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7E103A" w:rsidRDefault="006C72BA" w:rsidP="006655D3">
            <w:pPr>
              <w:pStyle w:val="LogoUPOV"/>
            </w:pPr>
            <w:r w:rsidRPr="007E103A">
              <w:rPr>
                <w:noProof/>
                <w:lang w:val="en-US" w:eastAsia="en-US" w:bidi="ar-SA"/>
              </w:rPr>
              <w:drawing>
                <wp:inline distT="0" distB="0" distL="0" distR="0" wp14:anchorId="62879293" wp14:editId="060F095E">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7E103A" w:rsidRDefault="0024416D" w:rsidP="006655D3">
            <w:pPr>
              <w:pStyle w:val="Lettrine"/>
            </w:pPr>
            <w:r w:rsidRPr="007E103A">
              <w:t>G</w:t>
            </w:r>
          </w:p>
          <w:p w:rsidR="000D7780" w:rsidRPr="007E103A" w:rsidRDefault="00667404" w:rsidP="006655D3">
            <w:pPr>
              <w:pStyle w:val="Docoriginal"/>
            </w:pPr>
            <w:r w:rsidRPr="007E103A">
              <w:t>TC/50/</w:t>
            </w:r>
            <w:bookmarkStart w:id="0" w:name="Code"/>
            <w:bookmarkEnd w:id="0"/>
            <w:r w:rsidRPr="007E103A">
              <w:t>12</w:t>
            </w:r>
          </w:p>
          <w:p w:rsidR="000D7780" w:rsidRPr="007E103A" w:rsidRDefault="0061555F" w:rsidP="006655D3">
            <w:pPr>
              <w:pStyle w:val="Docoriginal"/>
              <w:rPr>
                <w:b w:val="0"/>
                <w:spacing w:val="0"/>
              </w:rPr>
            </w:pPr>
            <w:r w:rsidRPr="007E103A">
              <w:rPr>
                <w:rStyle w:val="StyleDoclangBold"/>
                <w:b/>
                <w:bCs/>
                <w:spacing w:val="0"/>
              </w:rPr>
              <w:t>ORIGINAL:</w:t>
            </w:r>
            <w:r w:rsidRPr="007E103A">
              <w:rPr>
                <w:rStyle w:val="StyleDocoriginalNotBold1"/>
                <w:spacing w:val="0"/>
              </w:rPr>
              <w:t xml:space="preserve"> </w:t>
            </w:r>
            <w:r w:rsidRPr="007E103A">
              <w:rPr>
                <w:spacing w:val="0"/>
              </w:rPr>
              <w:t xml:space="preserve"> </w:t>
            </w:r>
            <w:bookmarkStart w:id="1" w:name="Original"/>
            <w:bookmarkEnd w:id="1"/>
            <w:r w:rsidRPr="007E103A">
              <w:rPr>
                <w:b w:val="0"/>
                <w:spacing w:val="0"/>
              </w:rPr>
              <w:t>englisch</w:t>
            </w:r>
          </w:p>
          <w:p w:rsidR="000D7780" w:rsidRPr="00C5280D" w:rsidRDefault="000D7780" w:rsidP="003941D8">
            <w:pPr>
              <w:pStyle w:val="Docoriginal"/>
            </w:pPr>
            <w:r w:rsidRPr="007E103A">
              <w:rPr>
                <w:spacing w:val="0"/>
              </w:rPr>
              <w:t xml:space="preserve">DATUM: </w:t>
            </w:r>
            <w:r w:rsidRPr="007E103A">
              <w:rPr>
                <w:rStyle w:val="StyleDocoriginalNotBold1"/>
                <w:spacing w:val="0"/>
              </w:rPr>
              <w:t xml:space="preserve"> </w:t>
            </w:r>
            <w:bookmarkStart w:id="2" w:name="Date"/>
            <w:bookmarkEnd w:id="2"/>
            <w:r w:rsidR="007E103A" w:rsidRPr="007E103A">
              <w:rPr>
                <w:b w:val="0"/>
                <w:spacing w:val="0"/>
              </w:rPr>
              <w:t>27</w:t>
            </w:r>
            <w:r w:rsidRPr="007E103A">
              <w:rPr>
                <w:b w:val="0"/>
                <w:spacing w:val="0"/>
              </w:rPr>
              <w:t>. Januar 2014</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5B0B8B" w:rsidP="006655D3">
      <w:pPr>
        <w:pStyle w:val="Sessiontc"/>
      </w:pPr>
      <w:r>
        <w:t>Technischer AusschuSS</w:t>
      </w:r>
    </w:p>
    <w:p w:rsidR="00361821" w:rsidRPr="00C5280D" w:rsidRDefault="0061555F" w:rsidP="006655D3">
      <w:pPr>
        <w:pStyle w:val="Sessiontcplacedate"/>
      </w:pPr>
      <w:r>
        <w:t>Fünfzigste Tagung</w:t>
      </w:r>
      <w:r>
        <w:br/>
        <w:t>Genf, 7. bis 9. April 2014</w:t>
      </w:r>
    </w:p>
    <w:p w:rsidR="000D7780" w:rsidRPr="00C5280D" w:rsidRDefault="00EB233F" w:rsidP="006655D3">
      <w:pPr>
        <w:pStyle w:val="Titleofdoc0"/>
      </w:pPr>
      <w:bookmarkStart w:id="3" w:name="TitleOfDoc"/>
      <w:bookmarkEnd w:id="3"/>
      <w:r>
        <w:t>Prüfung der Homogenität anhand von Abweichern aufgrund von mehr als einer Probe oder Unterproben</w:t>
      </w:r>
    </w:p>
    <w:p w:rsidR="00050E16" w:rsidRPr="00C5280D" w:rsidRDefault="00AE0EF1" w:rsidP="00050E16">
      <w:pPr>
        <w:pStyle w:val="preparedby1"/>
      </w:pPr>
      <w:bookmarkStart w:id="4" w:name="Prepared"/>
      <w:bookmarkEnd w:id="4"/>
      <w:r>
        <w:t>vom Verbandsbüro erstelltes Dokument</w:t>
      </w:r>
      <w:r>
        <w:br/>
      </w:r>
      <w:r>
        <w:br/>
      </w:r>
      <w:r>
        <w:rPr>
          <w:color w:val="A6A6A6"/>
        </w:rPr>
        <w:t>Haftungsausschluß:  dieses Dokument gibt nicht die Grundsätze oder eine Anleitung der UPOV wieder</w:t>
      </w:r>
    </w:p>
    <w:p w:rsidR="00183337" w:rsidRPr="00ED3415" w:rsidRDefault="00183337" w:rsidP="00183337">
      <w:pPr>
        <w:autoSpaceDE w:val="0"/>
        <w:autoSpaceDN w:val="0"/>
        <w:adjustRightInd w:val="0"/>
        <w:rPr>
          <w:rFonts w:eastAsia="MS Mincho"/>
          <w:color w:val="000000"/>
          <w:szCs w:val="24"/>
        </w:rPr>
      </w:pPr>
      <w:r w:rsidRPr="00ED3415">
        <w:rPr>
          <w:szCs w:val="24"/>
        </w:rPr>
        <w:fldChar w:fldCharType="begin"/>
      </w:r>
      <w:r w:rsidRPr="00ED3415">
        <w:rPr>
          <w:szCs w:val="24"/>
        </w:rPr>
        <w:instrText xml:space="preserve"> AUTONUM  </w:instrText>
      </w:r>
      <w:r w:rsidRPr="00ED3415">
        <w:rPr>
          <w:szCs w:val="24"/>
        </w:rPr>
        <w:fldChar w:fldCharType="end"/>
      </w:r>
      <w:r>
        <w:tab/>
      </w:r>
      <w:r>
        <w:rPr>
          <w:color w:val="000000"/>
          <w:szCs w:val="24"/>
        </w:rPr>
        <w:t>Zweck dieses Dokuments ist es, über Entwicklungen betreffend eine Zusammenfassung der Ansätze zu berichten, die die Verbandsmitglieder bei der Prüfung der Homogenität anhand von Abweichern aufgrund von mehr als einer Probe oder Unterprobe anwenden</w:t>
      </w:r>
      <w:r w:rsidR="00646BD1">
        <w:rPr>
          <w:color w:val="000000"/>
          <w:szCs w:val="24"/>
        </w:rPr>
        <w:t xml:space="preserve">. </w:t>
      </w:r>
    </w:p>
    <w:p w:rsidR="00183337" w:rsidRDefault="00183337" w:rsidP="00183337">
      <w:pPr>
        <w:autoSpaceDE w:val="0"/>
        <w:autoSpaceDN w:val="0"/>
        <w:adjustRightInd w:val="0"/>
        <w:rPr>
          <w:rFonts w:eastAsia="MS Mincho"/>
          <w:color w:val="000000"/>
          <w:szCs w:val="24"/>
          <w:lang w:eastAsia="ja-JP"/>
        </w:rPr>
      </w:pPr>
    </w:p>
    <w:p w:rsidR="00183337" w:rsidRDefault="00183337" w:rsidP="00183337">
      <w:pPr>
        <w:rPr>
          <w:rFonts w:cs="Arial"/>
          <w:color w:val="000000"/>
        </w:rPr>
      </w:pPr>
      <w:r w:rsidRPr="005623A7">
        <w:fldChar w:fldCharType="begin"/>
      </w:r>
      <w:r w:rsidRPr="005623A7">
        <w:instrText xml:space="preserve"> AUTONUM  </w:instrText>
      </w:r>
      <w:r w:rsidRPr="005623A7">
        <w:fldChar w:fldCharType="end"/>
      </w:r>
      <w:r>
        <w:tab/>
      </w:r>
      <w:r>
        <w:rPr>
          <w:color w:val="000000"/>
        </w:rPr>
        <w:t>In diesem Dokument werden folgende Abkürzungen verwendet:</w:t>
      </w:r>
    </w:p>
    <w:p w:rsidR="00183337" w:rsidRDefault="00183337" w:rsidP="00183337">
      <w:pPr>
        <w:rPr>
          <w:rFonts w:cs="Arial"/>
          <w:color w:val="000000"/>
        </w:rPr>
      </w:pPr>
    </w:p>
    <w:p w:rsidR="00183337" w:rsidRPr="00322838" w:rsidRDefault="00183337" w:rsidP="00183337">
      <w:pPr>
        <w:rPr>
          <w:rFonts w:cs="Arial"/>
        </w:rPr>
      </w:pPr>
      <w:r>
        <w:tab/>
        <w:t>TC:</w:t>
      </w:r>
      <w:r>
        <w:tab/>
      </w:r>
      <w:r>
        <w:tab/>
        <w:t>Technischer Ausschuß</w:t>
      </w:r>
    </w:p>
    <w:p w:rsidR="00183337" w:rsidRPr="00322838" w:rsidRDefault="00183337" w:rsidP="00183337">
      <w:pPr>
        <w:rPr>
          <w:rFonts w:eastAsia="PMingLiU" w:cs="Arial"/>
          <w:szCs w:val="24"/>
        </w:rPr>
      </w:pPr>
      <w:r>
        <w:tab/>
      </w:r>
      <w:r>
        <w:rPr>
          <w:szCs w:val="24"/>
        </w:rPr>
        <w:t>TC-EDC:</w:t>
      </w:r>
      <w:r>
        <w:tab/>
      </w:r>
      <w:r>
        <w:rPr>
          <w:szCs w:val="24"/>
        </w:rPr>
        <w:t>Erweiterter Redaktionsausschuß</w:t>
      </w:r>
    </w:p>
    <w:p w:rsidR="00183337" w:rsidRPr="00322838" w:rsidRDefault="00183337" w:rsidP="00183337">
      <w:pPr>
        <w:rPr>
          <w:rFonts w:eastAsia="PMingLiU" w:cs="Arial"/>
          <w:szCs w:val="24"/>
        </w:rPr>
      </w:pPr>
      <w:r>
        <w:tab/>
      </w:r>
      <w:r>
        <w:rPr>
          <w:szCs w:val="24"/>
        </w:rPr>
        <w:t>TWA:</w:t>
      </w:r>
      <w:r>
        <w:tab/>
      </w:r>
      <w:r>
        <w:tab/>
      </w:r>
      <w:r>
        <w:rPr>
          <w:szCs w:val="24"/>
        </w:rPr>
        <w:t>Technische Arbeitsgruppe für landwirtschaftliche Arten</w:t>
      </w:r>
    </w:p>
    <w:p w:rsidR="00183337" w:rsidRPr="00322838" w:rsidRDefault="00183337" w:rsidP="00183337">
      <w:pPr>
        <w:rPr>
          <w:rFonts w:eastAsia="PMingLiU" w:cs="Arial"/>
          <w:szCs w:val="24"/>
        </w:rPr>
      </w:pPr>
      <w:r>
        <w:tab/>
      </w:r>
      <w:r>
        <w:rPr>
          <w:szCs w:val="24"/>
        </w:rPr>
        <w:t>TWC:</w:t>
      </w:r>
      <w:r>
        <w:tab/>
      </w:r>
      <w:r>
        <w:tab/>
      </w:r>
      <w:r>
        <w:rPr>
          <w:szCs w:val="24"/>
        </w:rPr>
        <w:t>Technische Arbeitsgruppe für Automatisierung und Computerprogramme</w:t>
      </w:r>
    </w:p>
    <w:p w:rsidR="00183337" w:rsidRPr="00322838" w:rsidRDefault="00183337" w:rsidP="00183337">
      <w:pPr>
        <w:rPr>
          <w:rFonts w:eastAsia="PMingLiU" w:cs="Arial"/>
          <w:szCs w:val="24"/>
        </w:rPr>
      </w:pPr>
      <w:r>
        <w:tab/>
      </w:r>
      <w:r>
        <w:rPr>
          <w:szCs w:val="24"/>
        </w:rPr>
        <w:t xml:space="preserve">TWF: </w:t>
      </w:r>
      <w:r>
        <w:tab/>
      </w:r>
      <w:r>
        <w:tab/>
      </w:r>
      <w:r>
        <w:rPr>
          <w:szCs w:val="24"/>
        </w:rPr>
        <w:t>Technische Arbeitsgruppe für Obstarten</w:t>
      </w:r>
    </w:p>
    <w:p w:rsidR="00183337" w:rsidRPr="00322838" w:rsidRDefault="00183337" w:rsidP="00183337">
      <w:pPr>
        <w:rPr>
          <w:rFonts w:eastAsia="PMingLiU" w:cs="Arial"/>
          <w:szCs w:val="24"/>
        </w:rPr>
      </w:pPr>
      <w:r>
        <w:tab/>
      </w:r>
      <w:r>
        <w:rPr>
          <w:szCs w:val="24"/>
        </w:rPr>
        <w:t>TWO:</w:t>
      </w:r>
      <w:r>
        <w:tab/>
      </w:r>
      <w:r>
        <w:tab/>
      </w:r>
      <w:r>
        <w:rPr>
          <w:szCs w:val="24"/>
        </w:rPr>
        <w:t>Technische Arbeitsgruppe für Zierpflanzen und forstliche Baumarten</w:t>
      </w:r>
    </w:p>
    <w:p w:rsidR="00183337" w:rsidRPr="00322838" w:rsidRDefault="00183337" w:rsidP="00183337">
      <w:pPr>
        <w:rPr>
          <w:rFonts w:eastAsia="PMingLiU" w:cs="Arial"/>
          <w:szCs w:val="24"/>
        </w:rPr>
      </w:pPr>
      <w:r>
        <w:tab/>
      </w:r>
      <w:r>
        <w:rPr>
          <w:szCs w:val="24"/>
        </w:rPr>
        <w:t>TWP:</w:t>
      </w:r>
      <w:r>
        <w:tab/>
      </w:r>
      <w:r w:rsidR="00DD398E">
        <w:tab/>
      </w:r>
      <w:r>
        <w:rPr>
          <w:szCs w:val="24"/>
        </w:rPr>
        <w:t>Technische Arbeitsgruppen</w:t>
      </w:r>
    </w:p>
    <w:p w:rsidR="00183337" w:rsidRPr="00FF5F20" w:rsidRDefault="00183337" w:rsidP="00183337">
      <w:pPr>
        <w:rPr>
          <w:rFonts w:eastAsia="PMingLiU" w:cs="Arial"/>
          <w:szCs w:val="24"/>
        </w:rPr>
      </w:pPr>
      <w:r>
        <w:tab/>
      </w:r>
      <w:r>
        <w:rPr>
          <w:szCs w:val="24"/>
        </w:rPr>
        <w:t>TWV:</w:t>
      </w:r>
      <w:r>
        <w:tab/>
      </w:r>
      <w:r>
        <w:tab/>
      </w:r>
      <w:r>
        <w:rPr>
          <w:szCs w:val="24"/>
        </w:rPr>
        <w:t>Technische Arbeitsgruppe für Gemüsearten</w:t>
      </w:r>
    </w:p>
    <w:p w:rsidR="00E5345F" w:rsidRDefault="00E5345F">
      <w:pPr>
        <w:jc w:val="left"/>
      </w:pPr>
      <w:r>
        <w:br w:type="page"/>
      </w:r>
    </w:p>
    <w:p w:rsidR="00183337" w:rsidRDefault="00183337" w:rsidP="00183337">
      <w:pPr>
        <w:autoSpaceDE w:val="0"/>
        <w:autoSpaceDN w:val="0"/>
        <w:adjustRightInd w:val="0"/>
      </w:pPr>
    </w:p>
    <w:p w:rsidR="00183337" w:rsidRDefault="00183337" w:rsidP="00183337">
      <w:pPr>
        <w:autoSpaceDE w:val="0"/>
        <w:autoSpaceDN w:val="0"/>
        <w:adjustRightInd w:val="0"/>
        <w:spacing w:before="120"/>
        <w:rPr>
          <w:rFonts w:eastAsia="MS Mincho"/>
          <w:color w:val="000000"/>
          <w:szCs w:val="24"/>
        </w:rPr>
      </w:pPr>
      <w:r w:rsidRPr="005623A7">
        <w:fldChar w:fldCharType="begin"/>
      </w:r>
      <w:r w:rsidRPr="005623A7">
        <w:instrText xml:space="preserve"> AUTONUM  </w:instrText>
      </w:r>
      <w:r w:rsidRPr="005623A7">
        <w:fldChar w:fldCharType="end"/>
      </w:r>
      <w:r>
        <w:tab/>
      </w:r>
      <w:r>
        <w:rPr>
          <w:color w:val="000000"/>
          <w:szCs w:val="24"/>
        </w:rPr>
        <w:t>Der Aufbau dieses Dokuments ist wie folgt:</w:t>
      </w:r>
    </w:p>
    <w:p w:rsidR="00183337" w:rsidRPr="00A70561" w:rsidRDefault="00183337" w:rsidP="00183337">
      <w:pPr>
        <w:autoSpaceDE w:val="0"/>
        <w:autoSpaceDN w:val="0"/>
        <w:adjustRightInd w:val="0"/>
        <w:rPr>
          <w:rFonts w:eastAsia="MS Mincho"/>
          <w:color w:val="000000"/>
          <w:szCs w:val="16"/>
          <w:lang w:eastAsia="ja-JP"/>
        </w:rPr>
      </w:pPr>
    </w:p>
    <w:p w:rsidR="00156FC4" w:rsidRDefault="00183337">
      <w:pPr>
        <w:pStyle w:val="TOC1"/>
        <w:rPr>
          <w:rFonts w:asciiTheme="minorHAnsi" w:eastAsiaTheme="minorEastAsia" w:hAnsiTheme="minorHAnsi" w:cstheme="minorBidi"/>
          <w:caps w:val="0"/>
          <w:noProof/>
          <w:sz w:val="22"/>
          <w:szCs w:val="22"/>
          <w:lang w:val="en-US" w:eastAsia="en-US" w:bidi="ar-SA"/>
        </w:rPr>
      </w:pPr>
      <w:r>
        <w:rPr>
          <w:rFonts w:eastAsia="MS Mincho"/>
          <w:noProof/>
          <w:szCs w:val="24"/>
          <w:lang w:eastAsia="ja-JP"/>
        </w:rPr>
        <w:fldChar w:fldCharType="begin"/>
      </w:r>
      <w:r>
        <w:rPr>
          <w:rFonts w:eastAsia="MS Mincho"/>
          <w:szCs w:val="24"/>
          <w:lang w:eastAsia="ja-JP"/>
        </w:rPr>
        <w:instrText xml:space="preserve"> TOC \o "1-3" \u </w:instrText>
      </w:r>
      <w:r>
        <w:rPr>
          <w:rFonts w:eastAsia="MS Mincho"/>
          <w:noProof/>
          <w:szCs w:val="24"/>
          <w:lang w:eastAsia="ja-JP"/>
        </w:rPr>
        <w:fldChar w:fldCharType="separate"/>
      </w:r>
      <w:r w:rsidR="00156FC4">
        <w:rPr>
          <w:noProof/>
        </w:rPr>
        <w:t>i.</w:t>
      </w:r>
      <w:r w:rsidR="00156FC4">
        <w:rPr>
          <w:rFonts w:asciiTheme="minorHAnsi" w:eastAsiaTheme="minorEastAsia" w:hAnsiTheme="minorHAnsi" w:cstheme="minorBidi"/>
          <w:caps w:val="0"/>
          <w:noProof/>
          <w:sz w:val="22"/>
          <w:szCs w:val="22"/>
          <w:lang w:val="en-US" w:eastAsia="en-US" w:bidi="ar-SA"/>
        </w:rPr>
        <w:tab/>
      </w:r>
      <w:r w:rsidR="00156FC4">
        <w:rPr>
          <w:noProof/>
        </w:rPr>
        <w:t>HINTERGRUND</w:t>
      </w:r>
      <w:r w:rsidR="00156FC4">
        <w:rPr>
          <w:noProof/>
        </w:rPr>
        <w:tab/>
      </w:r>
      <w:r w:rsidR="00156FC4">
        <w:rPr>
          <w:noProof/>
        </w:rPr>
        <w:fldChar w:fldCharType="begin"/>
      </w:r>
      <w:r w:rsidR="00156FC4">
        <w:rPr>
          <w:noProof/>
        </w:rPr>
        <w:instrText xml:space="preserve"> PAGEREF _Toc380071446 \h </w:instrText>
      </w:r>
      <w:r w:rsidR="00156FC4">
        <w:rPr>
          <w:noProof/>
        </w:rPr>
      </w:r>
      <w:r w:rsidR="00156FC4">
        <w:rPr>
          <w:noProof/>
        </w:rPr>
        <w:fldChar w:fldCharType="separate"/>
      </w:r>
      <w:r w:rsidR="00D75E12">
        <w:rPr>
          <w:noProof/>
        </w:rPr>
        <w:t>2</w:t>
      </w:r>
      <w:r w:rsidR="00156FC4">
        <w:rPr>
          <w:noProof/>
        </w:rPr>
        <w:fldChar w:fldCharType="end"/>
      </w:r>
    </w:p>
    <w:p w:rsidR="00156FC4" w:rsidRDefault="00156FC4">
      <w:pPr>
        <w:pStyle w:val="TOC1"/>
        <w:rPr>
          <w:rFonts w:asciiTheme="minorHAnsi" w:eastAsiaTheme="minorEastAsia" w:hAnsiTheme="minorHAnsi" w:cstheme="minorBidi"/>
          <w:caps w:val="0"/>
          <w:noProof/>
          <w:sz w:val="22"/>
          <w:szCs w:val="22"/>
          <w:lang w:val="en-US" w:eastAsia="en-US" w:bidi="ar-SA"/>
        </w:rPr>
      </w:pPr>
      <w:r>
        <w:rPr>
          <w:noProof/>
        </w:rPr>
        <w:t>ii.</w:t>
      </w:r>
      <w:r>
        <w:rPr>
          <w:rFonts w:asciiTheme="minorHAnsi" w:eastAsiaTheme="minorEastAsia" w:hAnsiTheme="minorHAnsi" w:cstheme="minorBidi"/>
          <w:caps w:val="0"/>
          <w:noProof/>
          <w:sz w:val="22"/>
          <w:szCs w:val="22"/>
          <w:lang w:val="en-US" w:eastAsia="en-US" w:bidi="ar-SA"/>
        </w:rPr>
        <w:tab/>
      </w:r>
      <w:r>
        <w:rPr>
          <w:noProof/>
        </w:rPr>
        <w:t>Entwicklungen im Jahr 2012</w:t>
      </w:r>
      <w:r>
        <w:rPr>
          <w:noProof/>
        </w:rPr>
        <w:tab/>
      </w:r>
      <w:r>
        <w:rPr>
          <w:noProof/>
        </w:rPr>
        <w:fldChar w:fldCharType="begin"/>
      </w:r>
      <w:r>
        <w:rPr>
          <w:noProof/>
        </w:rPr>
        <w:instrText xml:space="preserve"> PAGEREF _Toc380071447 \h </w:instrText>
      </w:r>
      <w:r>
        <w:rPr>
          <w:noProof/>
        </w:rPr>
      </w:r>
      <w:r>
        <w:rPr>
          <w:noProof/>
        </w:rPr>
        <w:fldChar w:fldCharType="separate"/>
      </w:r>
      <w:r w:rsidR="00D75E12">
        <w:rPr>
          <w:noProof/>
        </w:rPr>
        <w:t>2</w:t>
      </w:r>
      <w:r>
        <w:rPr>
          <w:noProof/>
        </w:rPr>
        <w:fldChar w:fldCharType="end"/>
      </w:r>
    </w:p>
    <w:p w:rsidR="00156FC4" w:rsidRDefault="00156FC4">
      <w:pPr>
        <w:pStyle w:val="TOC2"/>
        <w:rPr>
          <w:rFonts w:asciiTheme="minorHAnsi" w:eastAsiaTheme="minorEastAsia" w:hAnsiTheme="minorHAnsi" w:cstheme="minorBidi"/>
          <w:smallCaps w:val="0"/>
          <w:noProof/>
          <w:sz w:val="22"/>
          <w:szCs w:val="22"/>
          <w:lang w:val="en-US" w:eastAsia="en-US" w:bidi="ar-SA"/>
        </w:rPr>
      </w:pPr>
      <w:r>
        <w:rPr>
          <w:noProof/>
        </w:rPr>
        <w:t xml:space="preserve">Technische Arbeitsgruppe </w:t>
      </w:r>
      <w:r w:rsidRPr="00066279">
        <w:rPr>
          <w:iCs/>
          <w:noProof/>
        </w:rPr>
        <w:t>für landwirtschaftliche Arten</w:t>
      </w:r>
      <w:r>
        <w:rPr>
          <w:noProof/>
        </w:rPr>
        <w:tab/>
      </w:r>
      <w:r>
        <w:rPr>
          <w:noProof/>
        </w:rPr>
        <w:fldChar w:fldCharType="begin"/>
      </w:r>
      <w:r>
        <w:rPr>
          <w:noProof/>
        </w:rPr>
        <w:instrText xml:space="preserve"> PAGEREF _Toc380071448 \h </w:instrText>
      </w:r>
      <w:r>
        <w:rPr>
          <w:noProof/>
        </w:rPr>
      </w:r>
      <w:r>
        <w:rPr>
          <w:noProof/>
        </w:rPr>
        <w:fldChar w:fldCharType="separate"/>
      </w:r>
      <w:r w:rsidR="00D75E12">
        <w:rPr>
          <w:noProof/>
        </w:rPr>
        <w:t>2</w:t>
      </w:r>
      <w:r>
        <w:rPr>
          <w:noProof/>
        </w:rPr>
        <w:fldChar w:fldCharType="end"/>
      </w:r>
    </w:p>
    <w:p w:rsidR="00156FC4" w:rsidRDefault="00156FC4">
      <w:pPr>
        <w:pStyle w:val="TOC2"/>
        <w:rPr>
          <w:rFonts w:asciiTheme="minorHAnsi" w:eastAsiaTheme="minorEastAsia" w:hAnsiTheme="minorHAnsi" w:cstheme="minorBidi"/>
          <w:smallCaps w:val="0"/>
          <w:noProof/>
          <w:sz w:val="22"/>
          <w:szCs w:val="22"/>
          <w:lang w:val="en-US" w:eastAsia="en-US" w:bidi="ar-SA"/>
        </w:rPr>
      </w:pPr>
      <w:r>
        <w:rPr>
          <w:noProof/>
        </w:rPr>
        <w:t>Technische Arbeitsgruppe für Gemüsearten</w:t>
      </w:r>
      <w:r>
        <w:rPr>
          <w:noProof/>
        </w:rPr>
        <w:tab/>
      </w:r>
      <w:r>
        <w:rPr>
          <w:noProof/>
        </w:rPr>
        <w:fldChar w:fldCharType="begin"/>
      </w:r>
      <w:r>
        <w:rPr>
          <w:noProof/>
        </w:rPr>
        <w:instrText xml:space="preserve"> PAGEREF _Toc380071449 \h </w:instrText>
      </w:r>
      <w:r>
        <w:rPr>
          <w:noProof/>
        </w:rPr>
      </w:r>
      <w:r>
        <w:rPr>
          <w:noProof/>
        </w:rPr>
        <w:fldChar w:fldCharType="separate"/>
      </w:r>
      <w:r w:rsidR="00D75E12">
        <w:rPr>
          <w:noProof/>
        </w:rPr>
        <w:t>3</w:t>
      </w:r>
      <w:r>
        <w:rPr>
          <w:noProof/>
        </w:rPr>
        <w:fldChar w:fldCharType="end"/>
      </w:r>
    </w:p>
    <w:p w:rsidR="00156FC4" w:rsidRDefault="00156FC4">
      <w:pPr>
        <w:pStyle w:val="TOC2"/>
        <w:rPr>
          <w:rFonts w:asciiTheme="minorHAnsi" w:eastAsiaTheme="minorEastAsia" w:hAnsiTheme="minorHAnsi" w:cstheme="minorBidi"/>
          <w:smallCaps w:val="0"/>
          <w:noProof/>
          <w:sz w:val="22"/>
          <w:szCs w:val="22"/>
          <w:lang w:val="en-US" w:eastAsia="en-US" w:bidi="ar-SA"/>
        </w:rPr>
      </w:pPr>
      <w:r>
        <w:rPr>
          <w:noProof/>
        </w:rPr>
        <w:t>Technische Arbeitsgruppe für Automatisierung und Computerprogramme</w:t>
      </w:r>
      <w:r>
        <w:rPr>
          <w:noProof/>
        </w:rPr>
        <w:tab/>
      </w:r>
      <w:r>
        <w:rPr>
          <w:noProof/>
        </w:rPr>
        <w:fldChar w:fldCharType="begin"/>
      </w:r>
      <w:r>
        <w:rPr>
          <w:noProof/>
        </w:rPr>
        <w:instrText xml:space="preserve"> PAGEREF _Toc380071450 \h </w:instrText>
      </w:r>
      <w:r>
        <w:rPr>
          <w:noProof/>
        </w:rPr>
      </w:r>
      <w:r>
        <w:rPr>
          <w:noProof/>
        </w:rPr>
        <w:fldChar w:fldCharType="separate"/>
      </w:r>
      <w:r w:rsidR="00D75E12">
        <w:rPr>
          <w:noProof/>
        </w:rPr>
        <w:t>3</w:t>
      </w:r>
      <w:r>
        <w:rPr>
          <w:noProof/>
        </w:rPr>
        <w:fldChar w:fldCharType="end"/>
      </w:r>
    </w:p>
    <w:p w:rsidR="00156FC4" w:rsidRDefault="00156FC4">
      <w:pPr>
        <w:pStyle w:val="TOC2"/>
        <w:rPr>
          <w:rFonts w:asciiTheme="minorHAnsi" w:eastAsiaTheme="minorEastAsia" w:hAnsiTheme="minorHAnsi" w:cstheme="minorBidi"/>
          <w:smallCaps w:val="0"/>
          <w:noProof/>
          <w:sz w:val="22"/>
          <w:szCs w:val="22"/>
          <w:lang w:val="en-US" w:eastAsia="en-US" w:bidi="ar-SA"/>
        </w:rPr>
      </w:pPr>
      <w:r w:rsidRPr="00066279">
        <w:rPr>
          <w:noProof/>
          <w:snapToGrid w:val="0"/>
        </w:rPr>
        <w:t>Technische Arbeitsgruppe für Obstarten</w:t>
      </w:r>
      <w:r>
        <w:rPr>
          <w:noProof/>
        </w:rPr>
        <w:tab/>
      </w:r>
      <w:r>
        <w:rPr>
          <w:noProof/>
        </w:rPr>
        <w:fldChar w:fldCharType="begin"/>
      </w:r>
      <w:r>
        <w:rPr>
          <w:noProof/>
        </w:rPr>
        <w:instrText xml:space="preserve"> PAGEREF _Toc380071451 \h </w:instrText>
      </w:r>
      <w:r>
        <w:rPr>
          <w:noProof/>
        </w:rPr>
      </w:r>
      <w:r>
        <w:rPr>
          <w:noProof/>
        </w:rPr>
        <w:fldChar w:fldCharType="separate"/>
      </w:r>
      <w:r w:rsidR="00D75E12">
        <w:rPr>
          <w:noProof/>
        </w:rPr>
        <w:t>4</w:t>
      </w:r>
      <w:r>
        <w:rPr>
          <w:noProof/>
        </w:rPr>
        <w:fldChar w:fldCharType="end"/>
      </w:r>
    </w:p>
    <w:p w:rsidR="00156FC4" w:rsidRDefault="00156FC4">
      <w:pPr>
        <w:pStyle w:val="TOC2"/>
        <w:rPr>
          <w:rFonts w:asciiTheme="minorHAnsi" w:eastAsiaTheme="minorEastAsia" w:hAnsiTheme="minorHAnsi" w:cstheme="minorBidi"/>
          <w:smallCaps w:val="0"/>
          <w:noProof/>
          <w:sz w:val="22"/>
          <w:szCs w:val="22"/>
          <w:lang w:val="en-US" w:eastAsia="en-US" w:bidi="ar-SA"/>
        </w:rPr>
      </w:pPr>
      <w:r w:rsidRPr="00066279">
        <w:rPr>
          <w:noProof/>
          <w:snapToGrid w:val="0"/>
        </w:rPr>
        <w:t>Technische Arbeitsgruppe für Zierpflanzen und forstliche Baumarten</w:t>
      </w:r>
      <w:r>
        <w:rPr>
          <w:noProof/>
        </w:rPr>
        <w:tab/>
      </w:r>
      <w:r>
        <w:rPr>
          <w:noProof/>
        </w:rPr>
        <w:fldChar w:fldCharType="begin"/>
      </w:r>
      <w:r>
        <w:rPr>
          <w:noProof/>
        </w:rPr>
        <w:instrText xml:space="preserve"> PAGEREF _Toc380071452 \h </w:instrText>
      </w:r>
      <w:r>
        <w:rPr>
          <w:noProof/>
        </w:rPr>
      </w:r>
      <w:r>
        <w:rPr>
          <w:noProof/>
        </w:rPr>
        <w:fldChar w:fldCharType="separate"/>
      </w:r>
      <w:r w:rsidR="00D75E12">
        <w:rPr>
          <w:noProof/>
        </w:rPr>
        <w:t>4</w:t>
      </w:r>
      <w:r>
        <w:rPr>
          <w:noProof/>
        </w:rPr>
        <w:fldChar w:fldCharType="end"/>
      </w:r>
    </w:p>
    <w:p w:rsidR="00156FC4" w:rsidRDefault="00156FC4">
      <w:pPr>
        <w:pStyle w:val="TOC1"/>
        <w:rPr>
          <w:rFonts w:asciiTheme="minorHAnsi" w:eastAsiaTheme="minorEastAsia" w:hAnsiTheme="minorHAnsi" w:cstheme="minorBidi"/>
          <w:caps w:val="0"/>
          <w:noProof/>
          <w:sz w:val="22"/>
          <w:szCs w:val="22"/>
          <w:lang w:val="en-US" w:eastAsia="en-US" w:bidi="ar-SA"/>
        </w:rPr>
      </w:pPr>
      <w:r>
        <w:rPr>
          <w:noProof/>
        </w:rPr>
        <w:t>iii.</w:t>
      </w:r>
      <w:r>
        <w:rPr>
          <w:rFonts w:asciiTheme="minorHAnsi" w:eastAsiaTheme="minorEastAsia" w:hAnsiTheme="minorHAnsi" w:cstheme="minorBidi"/>
          <w:caps w:val="0"/>
          <w:noProof/>
          <w:sz w:val="22"/>
          <w:szCs w:val="22"/>
          <w:lang w:val="en-US" w:eastAsia="en-US" w:bidi="ar-SA"/>
        </w:rPr>
        <w:tab/>
      </w:r>
      <w:r>
        <w:rPr>
          <w:noProof/>
        </w:rPr>
        <w:t>ENTWICKLUNGEN IM JAHR 2013</w:t>
      </w:r>
      <w:r>
        <w:rPr>
          <w:noProof/>
        </w:rPr>
        <w:tab/>
      </w:r>
      <w:r>
        <w:rPr>
          <w:noProof/>
        </w:rPr>
        <w:fldChar w:fldCharType="begin"/>
      </w:r>
      <w:r>
        <w:rPr>
          <w:noProof/>
        </w:rPr>
        <w:instrText xml:space="preserve"> PAGEREF _Toc380071453 \h </w:instrText>
      </w:r>
      <w:r>
        <w:rPr>
          <w:noProof/>
        </w:rPr>
      </w:r>
      <w:r>
        <w:rPr>
          <w:noProof/>
        </w:rPr>
        <w:fldChar w:fldCharType="separate"/>
      </w:r>
      <w:r w:rsidR="00D75E12">
        <w:rPr>
          <w:noProof/>
        </w:rPr>
        <w:t>4</w:t>
      </w:r>
      <w:r>
        <w:rPr>
          <w:noProof/>
        </w:rPr>
        <w:fldChar w:fldCharType="end"/>
      </w:r>
    </w:p>
    <w:p w:rsidR="00156FC4" w:rsidRDefault="00156FC4">
      <w:pPr>
        <w:pStyle w:val="TOC2"/>
        <w:rPr>
          <w:rFonts w:asciiTheme="minorHAnsi" w:eastAsiaTheme="minorEastAsia" w:hAnsiTheme="minorHAnsi" w:cstheme="minorBidi"/>
          <w:smallCaps w:val="0"/>
          <w:noProof/>
          <w:sz w:val="22"/>
          <w:szCs w:val="22"/>
          <w:lang w:val="en-US" w:eastAsia="en-US" w:bidi="ar-SA"/>
        </w:rPr>
      </w:pPr>
      <w:r>
        <w:rPr>
          <w:noProof/>
        </w:rPr>
        <w:t>Technischer Ausschuß</w:t>
      </w:r>
      <w:r>
        <w:rPr>
          <w:noProof/>
        </w:rPr>
        <w:tab/>
      </w:r>
      <w:r>
        <w:rPr>
          <w:noProof/>
        </w:rPr>
        <w:fldChar w:fldCharType="begin"/>
      </w:r>
      <w:r>
        <w:rPr>
          <w:noProof/>
        </w:rPr>
        <w:instrText xml:space="preserve"> PAGEREF _Toc380071454 \h </w:instrText>
      </w:r>
      <w:r>
        <w:rPr>
          <w:noProof/>
        </w:rPr>
      </w:r>
      <w:r>
        <w:rPr>
          <w:noProof/>
        </w:rPr>
        <w:fldChar w:fldCharType="separate"/>
      </w:r>
      <w:r w:rsidR="00D75E12">
        <w:rPr>
          <w:noProof/>
        </w:rPr>
        <w:t>4</w:t>
      </w:r>
      <w:r>
        <w:rPr>
          <w:noProof/>
        </w:rPr>
        <w:fldChar w:fldCharType="end"/>
      </w:r>
    </w:p>
    <w:p w:rsidR="00156FC4" w:rsidRDefault="00156FC4">
      <w:pPr>
        <w:pStyle w:val="TOC2"/>
        <w:rPr>
          <w:rFonts w:asciiTheme="minorHAnsi" w:eastAsiaTheme="minorEastAsia" w:hAnsiTheme="minorHAnsi" w:cstheme="minorBidi"/>
          <w:smallCaps w:val="0"/>
          <w:noProof/>
          <w:sz w:val="22"/>
          <w:szCs w:val="22"/>
          <w:lang w:val="en-US" w:eastAsia="en-US" w:bidi="ar-SA"/>
        </w:rPr>
      </w:pPr>
      <w:r>
        <w:rPr>
          <w:noProof/>
        </w:rPr>
        <w:t>Technische Arbeitsgruppe für Zierpflanzen und forstliche Baumarten</w:t>
      </w:r>
      <w:r>
        <w:rPr>
          <w:noProof/>
        </w:rPr>
        <w:tab/>
      </w:r>
      <w:r>
        <w:rPr>
          <w:noProof/>
        </w:rPr>
        <w:fldChar w:fldCharType="begin"/>
      </w:r>
      <w:r>
        <w:rPr>
          <w:noProof/>
        </w:rPr>
        <w:instrText xml:space="preserve"> PAGEREF _Toc380071455 \h </w:instrText>
      </w:r>
      <w:r>
        <w:rPr>
          <w:noProof/>
        </w:rPr>
      </w:r>
      <w:r>
        <w:rPr>
          <w:noProof/>
        </w:rPr>
        <w:fldChar w:fldCharType="separate"/>
      </w:r>
      <w:r w:rsidR="00D75E12">
        <w:rPr>
          <w:noProof/>
        </w:rPr>
        <w:t>5</w:t>
      </w:r>
      <w:r>
        <w:rPr>
          <w:noProof/>
        </w:rPr>
        <w:fldChar w:fldCharType="end"/>
      </w:r>
    </w:p>
    <w:p w:rsidR="00156FC4" w:rsidRDefault="00156FC4">
      <w:pPr>
        <w:pStyle w:val="TOC2"/>
        <w:rPr>
          <w:rFonts w:asciiTheme="minorHAnsi" w:eastAsiaTheme="minorEastAsia" w:hAnsiTheme="minorHAnsi" w:cstheme="minorBidi"/>
          <w:smallCaps w:val="0"/>
          <w:noProof/>
          <w:sz w:val="22"/>
          <w:szCs w:val="22"/>
          <w:lang w:val="en-US" w:eastAsia="en-US" w:bidi="ar-SA"/>
        </w:rPr>
      </w:pPr>
      <w:r>
        <w:rPr>
          <w:noProof/>
        </w:rPr>
        <w:t>Technische Arbeitsgruppe für Obstarten</w:t>
      </w:r>
      <w:r>
        <w:rPr>
          <w:noProof/>
        </w:rPr>
        <w:tab/>
      </w:r>
      <w:r>
        <w:rPr>
          <w:noProof/>
        </w:rPr>
        <w:fldChar w:fldCharType="begin"/>
      </w:r>
      <w:r>
        <w:rPr>
          <w:noProof/>
        </w:rPr>
        <w:instrText xml:space="preserve"> PAGEREF _Toc380071456 \h </w:instrText>
      </w:r>
      <w:r>
        <w:rPr>
          <w:noProof/>
        </w:rPr>
      </w:r>
      <w:r>
        <w:rPr>
          <w:noProof/>
        </w:rPr>
        <w:fldChar w:fldCharType="separate"/>
      </w:r>
      <w:r w:rsidR="00D75E12">
        <w:rPr>
          <w:noProof/>
        </w:rPr>
        <w:t>5</w:t>
      </w:r>
      <w:r>
        <w:rPr>
          <w:noProof/>
        </w:rPr>
        <w:fldChar w:fldCharType="end"/>
      </w:r>
    </w:p>
    <w:p w:rsidR="00156FC4" w:rsidRDefault="00156FC4">
      <w:pPr>
        <w:pStyle w:val="TOC2"/>
        <w:rPr>
          <w:rFonts w:asciiTheme="minorHAnsi" w:eastAsiaTheme="minorEastAsia" w:hAnsiTheme="minorHAnsi" w:cstheme="minorBidi"/>
          <w:smallCaps w:val="0"/>
          <w:noProof/>
          <w:sz w:val="22"/>
          <w:szCs w:val="22"/>
          <w:lang w:val="en-US" w:eastAsia="en-US" w:bidi="ar-SA"/>
        </w:rPr>
      </w:pPr>
      <w:r>
        <w:rPr>
          <w:noProof/>
        </w:rPr>
        <w:t>Technische Arbeitsgruppe für Gemüsearten</w:t>
      </w:r>
      <w:r>
        <w:rPr>
          <w:noProof/>
        </w:rPr>
        <w:tab/>
      </w:r>
      <w:r>
        <w:rPr>
          <w:noProof/>
        </w:rPr>
        <w:fldChar w:fldCharType="begin"/>
      </w:r>
      <w:r>
        <w:rPr>
          <w:noProof/>
        </w:rPr>
        <w:instrText xml:space="preserve"> PAGEREF _Toc380071457 \h </w:instrText>
      </w:r>
      <w:r>
        <w:rPr>
          <w:noProof/>
        </w:rPr>
      </w:r>
      <w:r>
        <w:rPr>
          <w:noProof/>
        </w:rPr>
        <w:fldChar w:fldCharType="separate"/>
      </w:r>
      <w:r w:rsidR="00D75E12">
        <w:rPr>
          <w:noProof/>
        </w:rPr>
        <w:t>5</w:t>
      </w:r>
      <w:r>
        <w:rPr>
          <w:noProof/>
        </w:rPr>
        <w:fldChar w:fldCharType="end"/>
      </w:r>
    </w:p>
    <w:p w:rsidR="00156FC4" w:rsidRDefault="00156FC4">
      <w:pPr>
        <w:pStyle w:val="TOC2"/>
        <w:rPr>
          <w:rFonts w:asciiTheme="minorHAnsi" w:eastAsiaTheme="minorEastAsia" w:hAnsiTheme="minorHAnsi" w:cstheme="minorBidi"/>
          <w:smallCaps w:val="0"/>
          <w:noProof/>
          <w:sz w:val="22"/>
          <w:szCs w:val="22"/>
          <w:lang w:val="en-US" w:eastAsia="en-US" w:bidi="ar-SA"/>
        </w:rPr>
      </w:pPr>
      <w:r>
        <w:rPr>
          <w:noProof/>
        </w:rPr>
        <w:t>Technische Arbeitsgruppe für Automatisierung und Computerprogramme</w:t>
      </w:r>
      <w:r>
        <w:rPr>
          <w:noProof/>
        </w:rPr>
        <w:tab/>
      </w:r>
      <w:r>
        <w:rPr>
          <w:noProof/>
        </w:rPr>
        <w:fldChar w:fldCharType="begin"/>
      </w:r>
      <w:r>
        <w:rPr>
          <w:noProof/>
        </w:rPr>
        <w:instrText xml:space="preserve"> PAGEREF _Toc380071458 \h </w:instrText>
      </w:r>
      <w:r>
        <w:rPr>
          <w:noProof/>
        </w:rPr>
      </w:r>
      <w:r>
        <w:rPr>
          <w:noProof/>
        </w:rPr>
        <w:fldChar w:fldCharType="separate"/>
      </w:r>
      <w:r w:rsidR="00D75E12">
        <w:rPr>
          <w:noProof/>
        </w:rPr>
        <w:t>6</w:t>
      </w:r>
      <w:r>
        <w:rPr>
          <w:noProof/>
        </w:rPr>
        <w:fldChar w:fldCharType="end"/>
      </w:r>
    </w:p>
    <w:p w:rsidR="00156FC4" w:rsidRDefault="00156FC4">
      <w:pPr>
        <w:pStyle w:val="TOC2"/>
        <w:rPr>
          <w:rFonts w:asciiTheme="minorHAnsi" w:eastAsiaTheme="minorEastAsia" w:hAnsiTheme="minorHAnsi" w:cstheme="minorBidi"/>
          <w:smallCaps w:val="0"/>
          <w:noProof/>
          <w:sz w:val="22"/>
          <w:szCs w:val="22"/>
          <w:lang w:val="en-US" w:eastAsia="en-US" w:bidi="ar-SA"/>
        </w:rPr>
      </w:pPr>
      <w:r>
        <w:rPr>
          <w:noProof/>
        </w:rPr>
        <w:t xml:space="preserve">Technische Arbeitsgruppe </w:t>
      </w:r>
      <w:r w:rsidRPr="00066279">
        <w:rPr>
          <w:iCs/>
          <w:noProof/>
        </w:rPr>
        <w:t>für landwirtschaftliche Arten</w:t>
      </w:r>
      <w:r>
        <w:rPr>
          <w:noProof/>
        </w:rPr>
        <w:tab/>
      </w:r>
      <w:r>
        <w:rPr>
          <w:noProof/>
        </w:rPr>
        <w:fldChar w:fldCharType="begin"/>
      </w:r>
      <w:r>
        <w:rPr>
          <w:noProof/>
        </w:rPr>
        <w:instrText xml:space="preserve"> PAGEREF _Toc380071459 \h </w:instrText>
      </w:r>
      <w:r>
        <w:rPr>
          <w:noProof/>
        </w:rPr>
      </w:r>
      <w:r>
        <w:rPr>
          <w:noProof/>
        </w:rPr>
        <w:fldChar w:fldCharType="separate"/>
      </w:r>
      <w:r w:rsidR="00D75E12">
        <w:rPr>
          <w:noProof/>
        </w:rPr>
        <w:t>7</w:t>
      </w:r>
      <w:r>
        <w:rPr>
          <w:noProof/>
        </w:rPr>
        <w:fldChar w:fldCharType="end"/>
      </w:r>
    </w:p>
    <w:p w:rsidR="00156FC4" w:rsidRDefault="00156FC4">
      <w:pPr>
        <w:pStyle w:val="TOC1"/>
        <w:rPr>
          <w:rFonts w:asciiTheme="minorHAnsi" w:eastAsiaTheme="minorEastAsia" w:hAnsiTheme="minorHAnsi" w:cstheme="minorBidi"/>
          <w:caps w:val="0"/>
          <w:noProof/>
          <w:sz w:val="22"/>
          <w:szCs w:val="22"/>
          <w:lang w:val="en-US" w:eastAsia="en-US" w:bidi="ar-SA"/>
        </w:rPr>
      </w:pPr>
      <w:r>
        <w:rPr>
          <w:noProof/>
        </w:rPr>
        <w:t>iV.</w:t>
      </w:r>
      <w:r>
        <w:rPr>
          <w:rFonts w:asciiTheme="minorHAnsi" w:eastAsiaTheme="minorEastAsia" w:hAnsiTheme="minorHAnsi" w:cstheme="minorBidi"/>
          <w:caps w:val="0"/>
          <w:noProof/>
          <w:sz w:val="22"/>
          <w:szCs w:val="22"/>
          <w:lang w:val="en-US" w:eastAsia="en-US" w:bidi="ar-SA"/>
        </w:rPr>
        <w:tab/>
      </w:r>
      <w:r>
        <w:rPr>
          <w:noProof/>
        </w:rPr>
        <w:t>ENTWICKLUNGEN IM JAHR 2014</w:t>
      </w:r>
      <w:r>
        <w:rPr>
          <w:noProof/>
        </w:rPr>
        <w:tab/>
      </w:r>
      <w:r>
        <w:rPr>
          <w:noProof/>
        </w:rPr>
        <w:fldChar w:fldCharType="begin"/>
      </w:r>
      <w:r>
        <w:rPr>
          <w:noProof/>
        </w:rPr>
        <w:instrText xml:space="preserve"> PAGEREF _Toc380071460 \h </w:instrText>
      </w:r>
      <w:r>
        <w:rPr>
          <w:noProof/>
        </w:rPr>
      </w:r>
      <w:r>
        <w:rPr>
          <w:noProof/>
        </w:rPr>
        <w:fldChar w:fldCharType="separate"/>
      </w:r>
      <w:r w:rsidR="00D75E12">
        <w:rPr>
          <w:noProof/>
        </w:rPr>
        <w:t>8</w:t>
      </w:r>
      <w:r>
        <w:rPr>
          <w:noProof/>
        </w:rPr>
        <w:fldChar w:fldCharType="end"/>
      </w:r>
    </w:p>
    <w:p w:rsidR="00156FC4" w:rsidRDefault="00156FC4">
      <w:pPr>
        <w:pStyle w:val="TOC2"/>
        <w:rPr>
          <w:rFonts w:asciiTheme="minorHAnsi" w:eastAsiaTheme="minorEastAsia" w:hAnsiTheme="minorHAnsi" w:cstheme="minorBidi"/>
          <w:smallCaps w:val="0"/>
          <w:noProof/>
          <w:sz w:val="22"/>
          <w:szCs w:val="22"/>
          <w:lang w:val="en-US" w:eastAsia="en-US" w:bidi="ar-SA"/>
        </w:rPr>
      </w:pPr>
      <w:r>
        <w:rPr>
          <w:noProof/>
        </w:rPr>
        <w:t>Erweiterter Redaktionsausschuß</w:t>
      </w:r>
      <w:r>
        <w:rPr>
          <w:noProof/>
        </w:rPr>
        <w:tab/>
      </w:r>
      <w:r>
        <w:rPr>
          <w:noProof/>
        </w:rPr>
        <w:fldChar w:fldCharType="begin"/>
      </w:r>
      <w:r>
        <w:rPr>
          <w:noProof/>
        </w:rPr>
        <w:instrText xml:space="preserve"> PAGEREF _Toc380071461 \h </w:instrText>
      </w:r>
      <w:r>
        <w:rPr>
          <w:noProof/>
        </w:rPr>
      </w:r>
      <w:r>
        <w:rPr>
          <w:noProof/>
        </w:rPr>
        <w:fldChar w:fldCharType="separate"/>
      </w:r>
      <w:r w:rsidR="00D75E12">
        <w:rPr>
          <w:noProof/>
        </w:rPr>
        <w:t>8</w:t>
      </w:r>
      <w:r>
        <w:rPr>
          <w:noProof/>
        </w:rPr>
        <w:fldChar w:fldCharType="end"/>
      </w:r>
    </w:p>
    <w:p w:rsidR="00156FC4" w:rsidRDefault="00156FC4">
      <w:pPr>
        <w:pStyle w:val="TOC1"/>
        <w:rPr>
          <w:rFonts w:asciiTheme="minorHAnsi" w:eastAsiaTheme="minorEastAsia" w:hAnsiTheme="minorHAnsi" w:cstheme="minorBidi"/>
          <w:caps w:val="0"/>
          <w:noProof/>
          <w:sz w:val="22"/>
          <w:szCs w:val="22"/>
          <w:lang w:val="en-US" w:eastAsia="en-US" w:bidi="ar-SA"/>
        </w:rPr>
      </w:pPr>
      <w:r>
        <w:rPr>
          <w:noProof/>
        </w:rPr>
        <w:t>v.</w:t>
      </w:r>
      <w:r>
        <w:rPr>
          <w:rFonts w:asciiTheme="minorHAnsi" w:eastAsiaTheme="minorEastAsia" w:hAnsiTheme="minorHAnsi" w:cstheme="minorBidi"/>
          <w:caps w:val="0"/>
          <w:noProof/>
          <w:sz w:val="22"/>
          <w:szCs w:val="22"/>
          <w:lang w:val="en-US" w:eastAsia="en-US" w:bidi="ar-SA"/>
        </w:rPr>
        <w:tab/>
      </w:r>
      <w:r>
        <w:rPr>
          <w:noProof/>
        </w:rPr>
        <w:t>Zusammenfassung der Ansätze</w:t>
      </w:r>
      <w:r>
        <w:rPr>
          <w:noProof/>
        </w:rPr>
        <w:tab/>
      </w:r>
      <w:r>
        <w:rPr>
          <w:noProof/>
        </w:rPr>
        <w:fldChar w:fldCharType="begin"/>
      </w:r>
      <w:r>
        <w:rPr>
          <w:noProof/>
        </w:rPr>
        <w:instrText xml:space="preserve"> PAGEREF _Toc380071462 \h </w:instrText>
      </w:r>
      <w:r>
        <w:rPr>
          <w:noProof/>
        </w:rPr>
      </w:r>
      <w:r>
        <w:rPr>
          <w:noProof/>
        </w:rPr>
        <w:fldChar w:fldCharType="separate"/>
      </w:r>
      <w:r w:rsidR="00D75E12">
        <w:rPr>
          <w:noProof/>
        </w:rPr>
        <w:t>8</w:t>
      </w:r>
      <w:r>
        <w:rPr>
          <w:noProof/>
        </w:rPr>
        <w:fldChar w:fldCharType="end"/>
      </w:r>
    </w:p>
    <w:p w:rsidR="00746616" w:rsidRPr="00031D45" w:rsidRDefault="00183337" w:rsidP="00156FC4">
      <w:pPr>
        <w:pStyle w:val="TOC1"/>
        <w:rPr>
          <w:rFonts w:ascii="Calibri" w:hAnsi="Calibri"/>
          <w:noProof/>
          <w:sz w:val="22"/>
          <w:szCs w:val="22"/>
        </w:rPr>
      </w:pPr>
      <w:r>
        <w:rPr>
          <w:rFonts w:eastAsia="MS Mincho"/>
          <w:lang w:eastAsia="ja-JP"/>
        </w:rPr>
        <w:fldChar w:fldCharType="end"/>
      </w:r>
    </w:p>
    <w:p w:rsidR="00183337" w:rsidRDefault="00183337" w:rsidP="00183337">
      <w:pPr>
        <w:autoSpaceDE w:val="0"/>
        <w:autoSpaceDN w:val="0"/>
        <w:adjustRightInd w:val="0"/>
        <w:spacing w:before="60"/>
        <w:jc w:val="left"/>
        <w:rPr>
          <w:rFonts w:eastAsia="MS Mincho"/>
          <w:color w:val="000000"/>
          <w:szCs w:val="24"/>
        </w:rPr>
      </w:pPr>
      <w:r>
        <w:rPr>
          <w:color w:val="000000"/>
          <w:szCs w:val="24"/>
        </w:rPr>
        <w:t xml:space="preserve">ANLAGE I: </w:t>
      </w:r>
      <w:r>
        <w:tab/>
      </w:r>
      <w:r>
        <w:tab/>
      </w:r>
      <w:r>
        <w:rPr>
          <w:color w:val="000000"/>
          <w:szCs w:val="24"/>
        </w:rPr>
        <w:t xml:space="preserve">Situation A: Zwei Wachstumsperioden an einem Standort </w:t>
      </w:r>
    </w:p>
    <w:p w:rsidR="00183337" w:rsidRDefault="00183337" w:rsidP="00183337">
      <w:pPr>
        <w:tabs>
          <w:tab w:val="left" w:pos="1701"/>
        </w:tabs>
        <w:autoSpaceDE w:val="0"/>
        <w:autoSpaceDN w:val="0"/>
        <w:adjustRightInd w:val="0"/>
        <w:rPr>
          <w:rFonts w:eastAsia="MS Mincho"/>
          <w:color w:val="000000"/>
          <w:szCs w:val="24"/>
        </w:rPr>
      </w:pPr>
      <w:r>
        <w:rPr>
          <w:color w:val="000000"/>
          <w:szCs w:val="24"/>
        </w:rPr>
        <w:t>ANLAGE II:</w:t>
      </w:r>
      <w:r>
        <w:tab/>
      </w:r>
      <w:r>
        <w:rPr>
          <w:color w:val="000000"/>
          <w:szCs w:val="24"/>
        </w:rPr>
        <w:t xml:space="preserve">Situation B: Zwei Standorte im gleichen Jahr </w:t>
      </w:r>
    </w:p>
    <w:p w:rsidR="009D16C6" w:rsidRDefault="00183337" w:rsidP="00183337">
      <w:pPr>
        <w:tabs>
          <w:tab w:val="left" w:pos="1701"/>
        </w:tabs>
        <w:autoSpaceDE w:val="0"/>
        <w:autoSpaceDN w:val="0"/>
        <w:adjustRightInd w:val="0"/>
        <w:rPr>
          <w:color w:val="000000"/>
          <w:szCs w:val="24"/>
        </w:rPr>
      </w:pPr>
      <w:r>
        <w:rPr>
          <w:color w:val="000000"/>
          <w:szCs w:val="24"/>
        </w:rPr>
        <w:t>ANLAGE III:</w:t>
      </w:r>
      <w:r>
        <w:tab/>
      </w:r>
      <w:r>
        <w:rPr>
          <w:color w:val="000000"/>
          <w:szCs w:val="24"/>
        </w:rPr>
        <w:t>Situation C: Mehr als eine Prüfung / ein Versuch für ein Merkmal in der gleichen</w:t>
      </w:r>
    </w:p>
    <w:p w:rsidR="00183337" w:rsidRDefault="009D16C6" w:rsidP="00183337">
      <w:pPr>
        <w:tabs>
          <w:tab w:val="left" w:pos="1701"/>
        </w:tabs>
        <w:autoSpaceDE w:val="0"/>
        <w:autoSpaceDN w:val="0"/>
        <w:adjustRightInd w:val="0"/>
        <w:rPr>
          <w:rFonts w:eastAsia="MS Mincho"/>
          <w:color w:val="000000"/>
          <w:szCs w:val="24"/>
        </w:rPr>
      </w:pPr>
      <w:r>
        <w:rPr>
          <w:color w:val="000000"/>
          <w:szCs w:val="24"/>
        </w:rPr>
        <w:tab/>
      </w:r>
      <w:r w:rsidR="00183337">
        <w:rPr>
          <w:color w:val="000000"/>
          <w:szCs w:val="24"/>
        </w:rPr>
        <w:t xml:space="preserve">Wachstumsperiode </w:t>
      </w:r>
    </w:p>
    <w:p w:rsidR="00183337" w:rsidRPr="00ED3415" w:rsidRDefault="00183337" w:rsidP="00183337">
      <w:pPr>
        <w:tabs>
          <w:tab w:val="left" w:pos="1701"/>
        </w:tabs>
        <w:autoSpaceDE w:val="0"/>
        <w:autoSpaceDN w:val="0"/>
        <w:adjustRightInd w:val="0"/>
        <w:rPr>
          <w:rFonts w:eastAsia="MS Mincho"/>
          <w:color w:val="000000"/>
          <w:szCs w:val="24"/>
        </w:rPr>
      </w:pPr>
      <w:r>
        <w:rPr>
          <w:color w:val="000000"/>
          <w:szCs w:val="24"/>
        </w:rPr>
        <w:t>ANLAGE IV:</w:t>
      </w:r>
      <w:r>
        <w:tab/>
      </w:r>
      <w:r>
        <w:rPr>
          <w:color w:val="000000"/>
          <w:szCs w:val="24"/>
        </w:rPr>
        <w:t xml:space="preserve">Situation D: Prüfung von Unterproben in einer Prüfung / einem Versuch </w:t>
      </w:r>
    </w:p>
    <w:p w:rsidR="00183337" w:rsidRDefault="00183337" w:rsidP="00183337">
      <w:pPr>
        <w:pStyle w:val="Heading1"/>
        <w:rPr>
          <w:rFonts w:eastAsia="MS Mincho"/>
          <w:lang w:eastAsia="ja-JP"/>
        </w:rPr>
      </w:pPr>
    </w:p>
    <w:p w:rsidR="00183337" w:rsidRDefault="00183337" w:rsidP="00183337">
      <w:pPr>
        <w:pStyle w:val="Heading1"/>
        <w:rPr>
          <w:rFonts w:eastAsia="MS Mincho"/>
          <w:lang w:eastAsia="ja-JP"/>
        </w:rPr>
      </w:pPr>
    </w:p>
    <w:p w:rsidR="00183337" w:rsidRDefault="00183337" w:rsidP="00183337">
      <w:pPr>
        <w:pStyle w:val="Heading1"/>
        <w:rPr>
          <w:rFonts w:eastAsia="MS Mincho"/>
          <w:lang w:eastAsia="ja-JP"/>
        </w:rPr>
      </w:pPr>
    </w:p>
    <w:p w:rsidR="00E5345F" w:rsidRPr="00E5345F" w:rsidRDefault="00E5345F" w:rsidP="00E5345F">
      <w:pPr>
        <w:rPr>
          <w:rFonts w:eastAsia="MS Mincho"/>
          <w:lang w:eastAsia="ja-JP"/>
        </w:rPr>
      </w:pPr>
    </w:p>
    <w:p w:rsidR="00183337" w:rsidRPr="00D65E68" w:rsidRDefault="00183337" w:rsidP="00183337">
      <w:pPr>
        <w:pStyle w:val="Heading1"/>
        <w:rPr>
          <w:rFonts w:eastAsia="MS Mincho"/>
        </w:rPr>
      </w:pPr>
      <w:bookmarkStart w:id="5" w:name="_Toc378080729"/>
      <w:bookmarkStart w:id="6" w:name="_Toc380071446"/>
      <w:r>
        <w:t>i.</w:t>
      </w:r>
      <w:r>
        <w:tab/>
        <w:t>HINTERGRUND</w:t>
      </w:r>
      <w:bookmarkEnd w:id="5"/>
      <w:bookmarkEnd w:id="6"/>
    </w:p>
    <w:p w:rsidR="00183337" w:rsidRPr="00D65E68" w:rsidRDefault="00183337" w:rsidP="00183337">
      <w:pPr>
        <w:keepNext/>
        <w:autoSpaceDE w:val="0"/>
        <w:autoSpaceDN w:val="0"/>
        <w:adjustRightInd w:val="0"/>
        <w:rPr>
          <w:rFonts w:eastAsia="MS Mincho"/>
          <w:color w:val="000000"/>
          <w:szCs w:val="24"/>
          <w:lang w:eastAsia="ja-JP"/>
        </w:rPr>
      </w:pPr>
    </w:p>
    <w:p w:rsidR="00183337" w:rsidRDefault="00183337" w:rsidP="00183337">
      <w:r w:rsidRPr="005623A7">
        <w:fldChar w:fldCharType="begin"/>
      </w:r>
      <w:r w:rsidRPr="005623A7">
        <w:instrText xml:space="preserve"> AUTONUM  </w:instrText>
      </w:r>
      <w:r w:rsidRPr="005623A7">
        <w:fldChar w:fldCharType="end"/>
      </w:r>
      <w:r>
        <w:tab/>
      </w:r>
      <w:r>
        <w:rPr>
          <w:szCs w:val="24"/>
        </w:rPr>
        <w:t>Der vollständige Hintergrund zu dieser Angelegenheit ist in Dokument TC/48/14 „</w:t>
      </w:r>
      <w:r>
        <w:t>Prüfung der Homogenität anhand von Abweichern aufgrund von mehr als einer Probe oder Unterproben” enthalten.</w:t>
      </w:r>
    </w:p>
    <w:p w:rsidR="00183337" w:rsidRPr="0013283F" w:rsidRDefault="00183337" w:rsidP="00183337"/>
    <w:p w:rsidR="00183337" w:rsidRPr="0013283F" w:rsidRDefault="00183337" w:rsidP="00183337">
      <w:pPr>
        <w:pStyle w:val="Heading1"/>
        <w:keepNext w:val="0"/>
      </w:pPr>
    </w:p>
    <w:p w:rsidR="00183337" w:rsidRPr="00D65E68" w:rsidRDefault="00183337" w:rsidP="00183337">
      <w:pPr>
        <w:pStyle w:val="Heading1"/>
        <w:keepNext w:val="0"/>
        <w:rPr>
          <w:rFonts w:eastAsia="MS Mincho"/>
        </w:rPr>
      </w:pPr>
      <w:bookmarkStart w:id="7" w:name="_Toc378080730"/>
      <w:bookmarkStart w:id="8" w:name="_Toc380071447"/>
      <w:r>
        <w:t>ii.</w:t>
      </w:r>
      <w:r>
        <w:tab/>
        <w:t>Entwicklungen im Jahr 2012</w:t>
      </w:r>
      <w:bookmarkEnd w:id="7"/>
      <w:bookmarkEnd w:id="8"/>
      <w:r>
        <w:t xml:space="preserve"> </w:t>
      </w:r>
    </w:p>
    <w:p w:rsidR="00183337" w:rsidRDefault="00183337" w:rsidP="00183337">
      <w:pPr>
        <w:rPr>
          <w:rFonts w:eastAsia="MS Mincho"/>
          <w:color w:val="000000"/>
          <w:szCs w:val="24"/>
          <w:lang w:eastAsia="ja-JP"/>
        </w:rPr>
      </w:pPr>
    </w:p>
    <w:p w:rsidR="00183337" w:rsidRPr="00ED3415" w:rsidRDefault="00183337" w:rsidP="00183337">
      <w:pPr>
        <w:pStyle w:val="Heading2"/>
        <w:keepNext w:val="0"/>
      </w:pPr>
      <w:bookmarkStart w:id="9" w:name="_Toc378080731"/>
      <w:bookmarkStart w:id="10" w:name="_Toc380071448"/>
      <w:r>
        <w:t xml:space="preserve">Technische Arbeitsgruppe </w:t>
      </w:r>
      <w:r>
        <w:rPr>
          <w:iCs/>
        </w:rPr>
        <w:t>für landwirtschaftliche Arten</w:t>
      </w:r>
      <w:bookmarkEnd w:id="9"/>
      <w:bookmarkEnd w:id="10"/>
    </w:p>
    <w:p w:rsidR="00183337" w:rsidRDefault="00183337" w:rsidP="00183337"/>
    <w:p w:rsidR="00183337" w:rsidRPr="006C5D96" w:rsidRDefault="00183337" w:rsidP="00183337">
      <w:pPr>
        <w:autoSpaceDE w:val="0"/>
        <w:autoSpaceDN w:val="0"/>
        <w:adjustRightInd w:val="0"/>
        <w:rPr>
          <w:rFonts w:eastAsia="MS Mincho"/>
          <w:color w:val="000000"/>
          <w:szCs w:val="24"/>
          <w:lang w:val="en-US"/>
        </w:rPr>
      </w:pPr>
      <w:r w:rsidRPr="00CC4F79">
        <w:rPr>
          <w:rFonts w:cs="Arial"/>
        </w:rPr>
        <w:fldChar w:fldCharType="begin"/>
      </w:r>
      <w:r w:rsidRPr="00CC4F79">
        <w:rPr>
          <w:rFonts w:cs="Arial"/>
        </w:rPr>
        <w:instrText xml:space="preserve"> AUTONUM  </w:instrText>
      </w:r>
      <w:r w:rsidRPr="00CC4F79">
        <w:rPr>
          <w:rFonts w:cs="Arial"/>
        </w:rPr>
        <w:fldChar w:fldCharType="end"/>
      </w:r>
      <w:r>
        <w:tab/>
        <w:t xml:space="preserve">Die TWA prüfte auf ihrer einundvierzigsten Tagung vom 21. bis 25. </w:t>
      </w:r>
      <w:r w:rsidRPr="006C5D96">
        <w:rPr>
          <w:lang w:val="en-US"/>
        </w:rPr>
        <w:t xml:space="preserve">Mai 2012 in Angers, </w:t>
      </w:r>
      <w:proofErr w:type="spellStart"/>
      <w:r w:rsidRPr="006C5D96">
        <w:rPr>
          <w:lang w:val="en-US"/>
        </w:rPr>
        <w:t>Frankreich</w:t>
      </w:r>
      <w:proofErr w:type="spellEnd"/>
      <w:r w:rsidRPr="006C5D96">
        <w:rPr>
          <w:lang w:val="en-US"/>
        </w:rPr>
        <w:t xml:space="preserve">, </w:t>
      </w:r>
      <w:proofErr w:type="spellStart"/>
      <w:r w:rsidRPr="006C5D96">
        <w:rPr>
          <w:lang w:val="en-US"/>
        </w:rPr>
        <w:t>Dokument</w:t>
      </w:r>
      <w:proofErr w:type="spellEnd"/>
      <w:r w:rsidRPr="006C5D96">
        <w:rPr>
          <w:lang w:val="en-US"/>
        </w:rPr>
        <w:t xml:space="preserve"> TWA/41/9 „</w:t>
      </w:r>
      <w:r w:rsidR="000E24ED" w:rsidRPr="006C5D96">
        <w:rPr>
          <w:rFonts w:cs="Arial"/>
          <w:i/>
          <w:snapToGrid w:val="0"/>
          <w:lang w:val="en-US"/>
        </w:rPr>
        <w:t>Summary of Assessing Uniformity by Off-Types on the Basis of More than One Sample or Sub-Sampl</w:t>
      </w:r>
      <w:r w:rsidR="00156FC4">
        <w:rPr>
          <w:rFonts w:cs="Arial"/>
          <w:i/>
          <w:snapToGrid w:val="0"/>
          <w:lang w:val="en-US"/>
        </w:rPr>
        <w:t>e</w:t>
      </w:r>
      <w:r w:rsidRPr="006C5D96">
        <w:rPr>
          <w:color w:val="000000"/>
          <w:szCs w:val="24"/>
          <w:lang w:val="en-US"/>
        </w:rPr>
        <w:t xml:space="preserve">“ </w:t>
      </w:r>
      <w:r w:rsidRPr="006C5D96">
        <w:rPr>
          <w:szCs w:val="24"/>
          <w:lang w:val="en-US"/>
        </w:rPr>
        <w:t>(</w:t>
      </w:r>
      <w:proofErr w:type="spellStart"/>
      <w:r w:rsidRPr="006C5D96">
        <w:rPr>
          <w:szCs w:val="24"/>
          <w:lang w:val="en-US"/>
        </w:rPr>
        <w:t>vergleiche</w:t>
      </w:r>
      <w:proofErr w:type="spellEnd"/>
      <w:r w:rsidRPr="006C5D96">
        <w:rPr>
          <w:szCs w:val="24"/>
          <w:lang w:val="en-US"/>
        </w:rPr>
        <w:t xml:space="preserve"> </w:t>
      </w:r>
      <w:proofErr w:type="spellStart"/>
      <w:r w:rsidRPr="006C5D96">
        <w:rPr>
          <w:szCs w:val="24"/>
          <w:lang w:val="en-US"/>
        </w:rPr>
        <w:t>Dokument</w:t>
      </w:r>
      <w:proofErr w:type="spellEnd"/>
      <w:r w:rsidRPr="006C5D96">
        <w:rPr>
          <w:szCs w:val="24"/>
          <w:lang w:val="en-US"/>
        </w:rPr>
        <w:t> TWA/41/34 „</w:t>
      </w:r>
      <w:r w:rsidR="006C5D96" w:rsidRPr="006C5D96">
        <w:rPr>
          <w:i/>
          <w:szCs w:val="24"/>
          <w:lang w:val="en-US"/>
        </w:rPr>
        <w:t>Report</w:t>
      </w:r>
      <w:r w:rsidRPr="006C5D96">
        <w:rPr>
          <w:szCs w:val="24"/>
          <w:lang w:val="en-US"/>
        </w:rPr>
        <w:t xml:space="preserve">”, </w:t>
      </w:r>
      <w:proofErr w:type="spellStart"/>
      <w:r w:rsidRPr="006C5D96">
        <w:rPr>
          <w:szCs w:val="24"/>
          <w:lang w:val="en-US"/>
        </w:rPr>
        <w:t>Absatz</w:t>
      </w:r>
      <w:proofErr w:type="spellEnd"/>
      <w:r w:rsidRPr="006C5D96">
        <w:rPr>
          <w:szCs w:val="24"/>
          <w:lang w:val="en-US"/>
        </w:rPr>
        <w:t xml:space="preserve"> 46).</w:t>
      </w:r>
      <w:r w:rsidRPr="006C5D96">
        <w:rPr>
          <w:lang w:val="en-US"/>
        </w:rPr>
        <w:t xml:space="preserve"> </w:t>
      </w:r>
    </w:p>
    <w:p w:rsidR="00183337" w:rsidRPr="006C5D96" w:rsidRDefault="00183337" w:rsidP="00183337">
      <w:pPr>
        <w:rPr>
          <w:rFonts w:cs="Arial"/>
          <w:lang w:val="en-US"/>
        </w:rPr>
      </w:pPr>
    </w:p>
    <w:p w:rsidR="00183337" w:rsidRPr="00CC4F79" w:rsidRDefault="00183337" w:rsidP="00183337">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tab/>
        <w:t xml:space="preserve">Die TWA vereinbarte auf ihrer einundvierzigsten Tagung, im Hinblick auf die Situationen A und B sei zu klären, ob der Ansatz einer Kombination der Ergebnisse aus zwei Wachstumsperioden das Erfordernis „unabhängiger“ Wachstumsperioden erfüllt </w:t>
      </w:r>
      <w:r>
        <w:rPr>
          <w:szCs w:val="24"/>
        </w:rPr>
        <w:t>(vergleiche Dokument TWA/41/34 „</w:t>
      </w:r>
      <w:r w:rsidR="006C5D96" w:rsidRPr="006C5D96">
        <w:rPr>
          <w:i/>
          <w:szCs w:val="24"/>
        </w:rPr>
        <w:t>Report</w:t>
      </w:r>
      <w:r>
        <w:rPr>
          <w:szCs w:val="24"/>
        </w:rPr>
        <w:t>”, Absatz 47).</w:t>
      </w:r>
    </w:p>
    <w:p w:rsidR="00183337" w:rsidRPr="00CC4F79" w:rsidRDefault="00183337" w:rsidP="00183337">
      <w:pPr>
        <w:rPr>
          <w:rFonts w:cs="Arial"/>
        </w:rPr>
      </w:pPr>
      <w:bookmarkStart w:id="11" w:name="_GoBack"/>
      <w:bookmarkEnd w:id="11"/>
    </w:p>
    <w:p w:rsidR="00183337" w:rsidRPr="00CC4F79" w:rsidRDefault="00183337" w:rsidP="00183337">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tab/>
        <w:t xml:space="preserve">Die TWA nahm auf ihrer einundvierzigsten Tagung die Erklärung des Sachverständigen aus der Tschechischen Republik zur Kenntnis, das Beispiel Apfel zu streichen, da der gleiche Ansatz für andere Pflanzen verwendet werde </w:t>
      </w:r>
      <w:r>
        <w:rPr>
          <w:szCs w:val="24"/>
        </w:rPr>
        <w:t>(vergleiche Dokument TWA/41/34 „</w:t>
      </w:r>
      <w:r w:rsidR="006C5D96" w:rsidRPr="006C5D96">
        <w:rPr>
          <w:i/>
          <w:szCs w:val="24"/>
        </w:rPr>
        <w:t>Report</w:t>
      </w:r>
      <w:r>
        <w:rPr>
          <w:szCs w:val="24"/>
        </w:rPr>
        <w:t>”, Absatz 48).</w:t>
      </w:r>
    </w:p>
    <w:p w:rsidR="00183337" w:rsidRPr="00CC4F79" w:rsidRDefault="00183337" w:rsidP="00183337">
      <w:pPr>
        <w:rPr>
          <w:rFonts w:cs="Arial"/>
        </w:rPr>
      </w:pPr>
    </w:p>
    <w:p w:rsidR="00183337" w:rsidRPr="00CC4F79" w:rsidRDefault="00183337" w:rsidP="00183337">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tab/>
        <w:t>Auf der Grundlage der auf der Tagung über „Situation B:  Zwei Standorte im gleichen Jahr, Ansatz: Dritte Wachstumsperiode im Fall widersprüchlicher Ergebnisse“ verfügbaren Informationen vereinbarte die TWA, den Wortlaut wie folgt zu ändern:</w:t>
      </w:r>
    </w:p>
    <w:p w:rsidR="00183337" w:rsidRPr="00CC4F79" w:rsidRDefault="00183337" w:rsidP="00183337">
      <w:pPr>
        <w:rPr>
          <w:rFonts w:cs="Arial"/>
        </w:rPr>
      </w:pPr>
    </w:p>
    <w:p w:rsidR="00183337" w:rsidRPr="00CC4F79" w:rsidRDefault="00183337" w:rsidP="00183337">
      <w:pPr>
        <w:keepNext/>
        <w:keepLines/>
        <w:spacing w:before="120" w:after="120"/>
        <w:ind w:left="562" w:right="708"/>
        <w:rPr>
          <w:rFonts w:eastAsia="SimSun"/>
        </w:rPr>
      </w:pPr>
      <w:r>
        <w:lastRenderedPageBreak/>
        <w:t>„[…] Entspricht die Sorte an einem Standort dem Homogenitätsstandard, am anderen Standort jedoch nicht, dann</w:t>
      </w:r>
      <w:r w:rsidR="00646BD1">
        <w:t xml:space="preserve">: </w:t>
      </w:r>
    </w:p>
    <w:p w:rsidR="00183337" w:rsidRPr="00CC4F79" w:rsidRDefault="00183337" w:rsidP="00183337">
      <w:pPr>
        <w:keepNext/>
        <w:keepLines/>
        <w:spacing w:before="120" w:after="120"/>
        <w:ind w:left="562" w:right="708"/>
        <w:rPr>
          <w:rFonts w:eastAsia="SimSun"/>
        </w:rPr>
      </w:pPr>
      <w:r>
        <w:t>Alternative a)</w:t>
      </w:r>
      <w:r>
        <w:tab/>
        <w:t>wird der Anbauversuch an beiden Standorten in einem zweiten Jahr wiederholt;</w:t>
      </w:r>
    </w:p>
    <w:p w:rsidR="00183337" w:rsidRPr="00CC4F79" w:rsidRDefault="00183337" w:rsidP="00183337">
      <w:pPr>
        <w:keepNext/>
        <w:keepLines/>
        <w:spacing w:before="120" w:after="120"/>
        <w:ind w:left="562" w:right="708"/>
        <w:rPr>
          <w:rFonts w:eastAsia="SimSun"/>
        </w:rPr>
      </w:pPr>
      <w:r>
        <w:t>Alternative b)</w:t>
      </w:r>
      <w:r>
        <w:tab/>
        <w:t>wird der Anbauversuch in der Führenden Station (Standort) (Europäische Union) wiederholt”</w:t>
      </w:r>
    </w:p>
    <w:p w:rsidR="00183337" w:rsidRDefault="00183337" w:rsidP="00183337">
      <w:pPr>
        <w:rPr>
          <w:rFonts w:eastAsia="PMingLiU" w:cs="Arial"/>
          <w:szCs w:val="24"/>
        </w:rPr>
      </w:pPr>
      <w:r>
        <w:rPr>
          <w:szCs w:val="24"/>
        </w:rPr>
        <w:t>(v</w:t>
      </w:r>
      <w:r w:rsidR="006C5D96">
        <w:rPr>
          <w:szCs w:val="24"/>
        </w:rPr>
        <w:t>ergleiche</w:t>
      </w:r>
      <w:r>
        <w:rPr>
          <w:szCs w:val="24"/>
        </w:rPr>
        <w:t xml:space="preserve"> Dokument TWA/41/34 „</w:t>
      </w:r>
      <w:r w:rsidR="006C5D96" w:rsidRPr="006C5D96">
        <w:rPr>
          <w:i/>
          <w:szCs w:val="24"/>
        </w:rPr>
        <w:t>Report</w:t>
      </w:r>
      <w:r>
        <w:rPr>
          <w:szCs w:val="24"/>
        </w:rPr>
        <w:t>“, Absatz 49).</w:t>
      </w:r>
    </w:p>
    <w:p w:rsidR="00183337" w:rsidRPr="00CC4F79" w:rsidRDefault="00183337" w:rsidP="00183337">
      <w:pPr>
        <w:rPr>
          <w:rFonts w:cs="Arial"/>
        </w:rPr>
      </w:pPr>
    </w:p>
    <w:p w:rsidR="00183337" w:rsidRPr="00CC4F79" w:rsidRDefault="00183337" w:rsidP="00183337">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tab/>
        <w:t>Im Fall von „Situation D:  Prüfung von Unterproben in einer Prüfung / einem Versuch: Unterprobe als erster Schritt der Prüfung“ vereinbarte die TWA, daß die Erklärung verallgemeinert werden sollte (d.h. kein Hinweis auf 0 Abweicher in der Unterprobe) und daß sie die statistische Grundlage des Ansatzes erläutern sollte</w:t>
      </w:r>
      <w:r w:rsidR="00646BD1">
        <w:t xml:space="preserve">. </w:t>
      </w:r>
      <w:r>
        <w:t xml:space="preserve">Die TWA vereinbarte zudem, daß Statistik-Sachverständige aus Frankreich und Deutschland eingeladen werden sollten, um die statistische Grundlage der annehmbaren Anzahl von Abweichern in der Unterprobe von 20 Pflanzen zu erklären, die bei einer Probengröße von 100 Pflanzen verwendet werden </w:t>
      </w:r>
      <w:r>
        <w:rPr>
          <w:szCs w:val="24"/>
        </w:rPr>
        <w:t>(vergl</w:t>
      </w:r>
      <w:r w:rsidR="000E24ED">
        <w:rPr>
          <w:szCs w:val="24"/>
        </w:rPr>
        <w:t>eiche Dokument TWA/41/34 „</w:t>
      </w:r>
      <w:r w:rsidR="006C5D96" w:rsidRPr="006C5D96">
        <w:rPr>
          <w:i/>
          <w:szCs w:val="24"/>
        </w:rPr>
        <w:t>Report</w:t>
      </w:r>
      <w:r>
        <w:rPr>
          <w:szCs w:val="24"/>
        </w:rPr>
        <w:t>”, Absatz 50).</w:t>
      </w:r>
    </w:p>
    <w:p w:rsidR="00183337" w:rsidRPr="00CC4F79" w:rsidRDefault="00183337" w:rsidP="00183337">
      <w:pPr>
        <w:rPr>
          <w:rFonts w:cs="Arial"/>
        </w:rPr>
      </w:pPr>
    </w:p>
    <w:p w:rsidR="00183337" w:rsidRDefault="00183337" w:rsidP="003232C8">
      <w:pPr>
        <w:rPr>
          <w:rFonts w:eastAsia="PMingLiU"/>
          <w:szCs w:val="24"/>
        </w:rPr>
      </w:pPr>
      <w:r w:rsidRPr="00CC4F79">
        <w:fldChar w:fldCharType="begin"/>
      </w:r>
      <w:r w:rsidRPr="00CC4F79">
        <w:instrText xml:space="preserve"> AUTONUM  </w:instrText>
      </w:r>
      <w:r w:rsidRPr="00CC4F79">
        <w:fldChar w:fldCharType="end"/>
      </w:r>
      <w:r>
        <w:tab/>
        <w:t xml:space="preserve">Die TWA nahm auf ihrer einundvierzigsten Tagung zur Kenntnis, daß die TWC ersucht werden sollte, Anleitung zu den möglichen Auswirkungen unterschiedlicher Ansätze zu geben </w:t>
      </w:r>
      <w:r>
        <w:rPr>
          <w:szCs w:val="24"/>
        </w:rPr>
        <w:t>(vergl</w:t>
      </w:r>
      <w:r w:rsidR="000E24ED">
        <w:rPr>
          <w:szCs w:val="24"/>
        </w:rPr>
        <w:t>eiche Dokument TWA/41/34 „</w:t>
      </w:r>
      <w:r w:rsidR="006C5D96" w:rsidRPr="006C5D96">
        <w:rPr>
          <w:i/>
          <w:szCs w:val="24"/>
        </w:rPr>
        <w:t>Report</w:t>
      </w:r>
      <w:r>
        <w:rPr>
          <w:szCs w:val="24"/>
        </w:rPr>
        <w:t>”, Absatz 51).</w:t>
      </w:r>
    </w:p>
    <w:p w:rsidR="00183337" w:rsidRDefault="00183337" w:rsidP="003232C8">
      <w:pPr>
        <w:rPr>
          <w:rFonts w:eastAsia="PMingLiU"/>
          <w:szCs w:val="24"/>
        </w:rPr>
      </w:pPr>
    </w:p>
    <w:p w:rsidR="00183337" w:rsidRDefault="00183337" w:rsidP="003232C8">
      <w:pPr>
        <w:rPr>
          <w:rFonts w:eastAsia="PMingLiU"/>
          <w:szCs w:val="24"/>
        </w:rPr>
      </w:pPr>
    </w:p>
    <w:p w:rsidR="00183337" w:rsidRDefault="00183337" w:rsidP="00183337">
      <w:pPr>
        <w:pStyle w:val="Heading2"/>
      </w:pPr>
      <w:bookmarkStart w:id="12" w:name="_Toc378080732"/>
      <w:bookmarkStart w:id="13" w:name="_Toc380071449"/>
      <w:r>
        <w:t>Technische Arbeitsgruppe für Gemüsearten</w:t>
      </w:r>
      <w:bookmarkEnd w:id="12"/>
      <w:bookmarkEnd w:id="13"/>
      <w:r>
        <w:t xml:space="preserve"> </w:t>
      </w:r>
    </w:p>
    <w:p w:rsidR="00183337" w:rsidRPr="001576B7" w:rsidRDefault="00183337" w:rsidP="003232C8"/>
    <w:p w:rsidR="00183337" w:rsidRPr="00D8502F" w:rsidRDefault="00183337" w:rsidP="003232C8">
      <w:pPr>
        <w:rPr>
          <w:rFonts w:eastAsia="MS Mincho"/>
        </w:rPr>
      </w:pPr>
      <w:r w:rsidRPr="00722A02">
        <w:rPr>
          <w:rFonts w:cs="Arial"/>
        </w:rPr>
        <w:fldChar w:fldCharType="begin"/>
      </w:r>
      <w:r w:rsidRPr="00722A02">
        <w:rPr>
          <w:rFonts w:cs="Arial"/>
        </w:rPr>
        <w:instrText xml:space="preserve"> AUTONUM  </w:instrText>
      </w:r>
      <w:r w:rsidRPr="00722A02">
        <w:rPr>
          <w:rFonts w:cs="Arial"/>
        </w:rPr>
        <w:fldChar w:fldCharType="end"/>
      </w:r>
      <w:r>
        <w:tab/>
        <w:t xml:space="preserve">Die TWV prüfte auf ihrer sechsundvierzigsten Tagung, die vom 11. bis 15. </w:t>
      </w:r>
      <w:proofErr w:type="spellStart"/>
      <w:r w:rsidRPr="006C5D96">
        <w:rPr>
          <w:lang w:val="en-US"/>
        </w:rPr>
        <w:t>Juni</w:t>
      </w:r>
      <w:proofErr w:type="spellEnd"/>
      <w:r w:rsidRPr="006C5D96">
        <w:rPr>
          <w:lang w:val="en-US"/>
        </w:rPr>
        <w:t xml:space="preserve"> 2012 in Venlo, </w:t>
      </w:r>
      <w:proofErr w:type="spellStart"/>
      <w:r w:rsidRPr="006C5D96">
        <w:rPr>
          <w:lang w:val="en-US"/>
        </w:rPr>
        <w:t>Niederlande</w:t>
      </w:r>
      <w:proofErr w:type="spellEnd"/>
      <w:r w:rsidRPr="006C5D96">
        <w:rPr>
          <w:lang w:val="en-US"/>
        </w:rPr>
        <w:t xml:space="preserve">, </w:t>
      </w:r>
      <w:proofErr w:type="spellStart"/>
      <w:r w:rsidRPr="006C5D96">
        <w:rPr>
          <w:lang w:val="en-US"/>
        </w:rPr>
        <w:t>stattfand</w:t>
      </w:r>
      <w:proofErr w:type="spellEnd"/>
      <w:r w:rsidRPr="006C5D96">
        <w:rPr>
          <w:lang w:val="en-US"/>
        </w:rPr>
        <w:t xml:space="preserve">, </w:t>
      </w:r>
      <w:proofErr w:type="spellStart"/>
      <w:r w:rsidRPr="006C5D96">
        <w:rPr>
          <w:lang w:val="en-US"/>
        </w:rPr>
        <w:t>Dokument</w:t>
      </w:r>
      <w:proofErr w:type="spellEnd"/>
      <w:r w:rsidRPr="006C5D96">
        <w:rPr>
          <w:lang w:val="en-US"/>
        </w:rPr>
        <w:t xml:space="preserve"> TWV/46/9 „</w:t>
      </w:r>
      <w:r w:rsidRPr="006C5D96">
        <w:rPr>
          <w:i/>
          <w:lang w:val="en-US"/>
        </w:rPr>
        <w:t>Summary of Assessing Uniformity by Off-Types on the Basis of More than One Sample or Sub-Sample</w:t>
      </w:r>
      <w:r w:rsidRPr="006C5D96">
        <w:rPr>
          <w:lang w:val="en-US"/>
        </w:rPr>
        <w:t xml:space="preserve">“. </w:t>
      </w:r>
      <w:r>
        <w:t>Ausgehend von Dokument TWA/41/9 und den Bemerkungen der TWA auf ihrer einundvierzigsten Tagung wurden in Dokument TWV/46/9 die folgenden Änderungen vorgenommen:</w:t>
      </w:r>
    </w:p>
    <w:p w:rsidR="00183337" w:rsidRPr="00D8502F" w:rsidRDefault="00183337" w:rsidP="003232C8">
      <w:pPr>
        <w:rPr>
          <w:rFonts w:eastAsia="MS Mincho"/>
          <w:lang w:eastAsia="ja-JP"/>
        </w:rPr>
      </w:pPr>
    </w:p>
    <w:p w:rsidR="00183337" w:rsidRPr="00D8502F" w:rsidRDefault="00183337" w:rsidP="00183337">
      <w:pPr>
        <w:keepNext/>
        <w:numPr>
          <w:ilvl w:val="0"/>
          <w:numId w:val="1"/>
        </w:numPr>
        <w:autoSpaceDE w:val="0"/>
        <w:autoSpaceDN w:val="0"/>
        <w:adjustRightInd w:val="0"/>
        <w:rPr>
          <w:rFonts w:eastAsia="MS Mincho"/>
          <w:color w:val="000000"/>
          <w:szCs w:val="24"/>
        </w:rPr>
      </w:pPr>
      <w:r>
        <w:rPr>
          <w:color w:val="000000"/>
          <w:szCs w:val="24"/>
        </w:rPr>
        <w:t xml:space="preserve">Streichung von: Ansatz „Erfordernis des Homogenitätsstandards in beiden Wachstumsperioden“ (vorgeschlagen für das Beispiel Apfel) im Abschnitt „Zusammenfassung der Ansätze“, und in Anlage I „Situation A: </w:t>
      </w:r>
      <w:r>
        <w:rPr>
          <w:i/>
          <w:color w:val="000000"/>
          <w:szCs w:val="24"/>
        </w:rPr>
        <w:t>Zwei Wachstumsperioden an einem Standort“</w:t>
      </w:r>
      <w:r>
        <w:rPr>
          <w:color w:val="000000"/>
          <w:szCs w:val="24"/>
        </w:rPr>
        <w:t>, wie dargelegt in Absatz 10 dieses Dokuments;</w:t>
      </w:r>
    </w:p>
    <w:p w:rsidR="00183337" w:rsidRPr="00D8502F" w:rsidRDefault="00183337" w:rsidP="00183337">
      <w:pPr>
        <w:keepNext/>
        <w:autoSpaceDE w:val="0"/>
        <w:autoSpaceDN w:val="0"/>
        <w:adjustRightInd w:val="0"/>
        <w:rPr>
          <w:rFonts w:eastAsia="MS Mincho"/>
          <w:color w:val="000000"/>
          <w:szCs w:val="24"/>
          <w:lang w:eastAsia="ja-JP"/>
        </w:rPr>
      </w:pPr>
    </w:p>
    <w:p w:rsidR="00183337" w:rsidRPr="00D8502F" w:rsidRDefault="00183337" w:rsidP="00183337">
      <w:pPr>
        <w:keepNext/>
        <w:numPr>
          <w:ilvl w:val="0"/>
          <w:numId w:val="1"/>
        </w:numPr>
        <w:autoSpaceDE w:val="0"/>
        <w:autoSpaceDN w:val="0"/>
        <w:adjustRightInd w:val="0"/>
        <w:rPr>
          <w:rFonts w:eastAsia="MS Mincho"/>
          <w:color w:val="000000"/>
          <w:szCs w:val="24"/>
        </w:rPr>
      </w:pPr>
      <w:r>
        <w:rPr>
          <w:color w:val="000000"/>
          <w:szCs w:val="24"/>
        </w:rPr>
        <w:t xml:space="preserve">Neuer Wortlaut für: </w:t>
      </w:r>
      <w:r>
        <w:t>Ansatz „Dritte Wachstumsperiode im Fall widersprüchlicher Ergebnisse“</w:t>
      </w:r>
      <w:r>
        <w:rPr>
          <w:color w:val="000000"/>
          <w:szCs w:val="24"/>
        </w:rPr>
        <w:t xml:space="preserve"> in Anlage II „Situation B: </w:t>
      </w:r>
      <w:r>
        <w:rPr>
          <w:i/>
          <w:color w:val="000000"/>
          <w:szCs w:val="24"/>
        </w:rPr>
        <w:t>Zwei Standorte im gleichen Jahr“</w:t>
      </w:r>
      <w:r>
        <w:rPr>
          <w:color w:val="000000"/>
          <w:szCs w:val="24"/>
        </w:rPr>
        <w:t>, wie dargelegt in Absatz 11 dieses Dokuments.</w:t>
      </w:r>
    </w:p>
    <w:p w:rsidR="00183337" w:rsidRPr="00722A02" w:rsidRDefault="00183337" w:rsidP="00183337">
      <w:pPr>
        <w:keepNext/>
        <w:autoSpaceDE w:val="0"/>
        <w:autoSpaceDN w:val="0"/>
        <w:adjustRightInd w:val="0"/>
        <w:rPr>
          <w:rFonts w:cs="Arial"/>
        </w:rPr>
      </w:pPr>
    </w:p>
    <w:p w:rsidR="00183337" w:rsidRPr="00CB410A" w:rsidRDefault="00183337" w:rsidP="00183337">
      <w:r w:rsidRPr="00722A02">
        <w:rPr>
          <w:rFonts w:cs="Arial"/>
        </w:rPr>
        <w:fldChar w:fldCharType="begin"/>
      </w:r>
      <w:r w:rsidRPr="00722A02">
        <w:rPr>
          <w:rFonts w:cs="Arial"/>
        </w:rPr>
        <w:instrText xml:space="preserve"> AUTONUM  </w:instrText>
      </w:r>
      <w:r w:rsidRPr="00722A02">
        <w:rPr>
          <w:rFonts w:cs="Arial"/>
        </w:rPr>
        <w:fldChar w:fldCharType="end"/>
      </w:r>
      <w:r>
        <w:tab/>
        <w:t>Die TWV nahm auf ihrer sechsundvierzigsten Tagung die unterschiedlichen Ansätze und die Ähnlichkeiten der Ansätze verschiedener Verbandsmitglieder zur Kenntnis</w:t>
      </w:r>
      <w:r w:rsidR="00646BD1">
        <w:t xml:space="preserve">. </w:t>
      </w:r>
      <w:r>
        <w:t>Sie vereinbarte, die Technische Arbeitsgruppe für Automatisierung und Computerprogramme (TWC) um Beratung in der Frage zu ersuchen, ob die einzelnen oder die kombinierten Ergebnisse verwendet werden sollten</w:t>
      </w:r>
      <w:r w:rsidR="00646BD1">
        <w:t xml:space="preserve">. </w:t>
      </w:r>
      <w:r>
        <w:t xml:space="preserve">Die Sachverständigen aus Deutschland, Italien, Frankreich und den Niederlanden boten an, der TWC erforderlichenfalls Beispiele und Daten zur Verfügung zu stellen (vergleiche </w:t>
      </w:r>
      <w:r>
        <w:rPr>
          <w:szCs w:val="24"/>
        </w:rPr>
        <w:t>Dokument TWV/46/41 „</w:t>
      </w:r>
      <w:r w:rsidRPr="004A4453">
        <w:rPr>
          <w:i/>
          <w:szCs w:val="24"/>
        </w:rPr>
        <w:t>Report</w:t>
      </w:r>
      <w:r>
        <w:rPr>
          <w:szCs w:val="24"/>
        </w:rPr>
        <w:t>”, Absatz 55).</w:t>
      </w:r>
    </w:p>
    <w:p w:rsidR="00183337" w:rsidRPr="00722A02" w:rsidRDefault="00183337" w:rsidP="00183337">
      <w:pPr>
        <w:rPr>
          <w:rFonts w:cs="Arial"/>
        </w:rPr>
      </w:pPr>
    </w:p>
    <w:p w:rsidR="00183337" w:rsidRPr="00722A02" w:rsidRDefault="00183337" w:rsidP="00183337">
      <w:r w:rsidRPr="00722A02">
        <w:rPr>
          <w:rFonts w:cs="Arial"/>
        </w:rPr>
        <w:fldChar w:fldCharType="begin"/>
      </w:r>
      <w:r w:rsidRPr="00722A02">
        <w:rPr>
          <w:rFonts w:cs="Arial"/>
        </w:rPr>
        <w:instrText xml:space="preserve"> AUTONUM  </w:instrText>
      </w:r>
      <w:r w:rsidRPr="00722A02">
        <w:rPr>
          <w:rFonts w:cs="Arial"/>
        </w:rPr>
        <w:fldChar w:fldCharType="end"/>
      </w:r>
      <w:r>
        <w:tab/>
        <w:t xml:space="preserve">Die TWV vereinbarte auf ihrer sechsundvierzigsten Tagung, daß die Probengröße genauer definiert werden sollte (vergleiche </w:t>
      </w:r>
      <w:r>
        <w:rPr>
          <w:szCs w:val="24"/>
        </w:rPr>
        <w:t>Dokument TWV/46/41 „</w:t>
      </w:r>
      <w:r w:rsidRPr="004A4453">
        <w:rPr>
          <w:i/>
          <w:szCs w:val="24"/>
        </w:rPr>
        <w:t>Report</w:t>
      </w:r>
      <w:r>
        <w:rPr>
          <w:szCs w:val="24"/>
        </w:rPr>
        <w:t>”, Absatz 56).</w:t>
      </w:r>
    </w:p>
    <w:p w:rsidR="00183337" w:rsidRDefault="00183337" w:rsidP="00183337"/>
    <w:p w:rsidR="00183337" w:rsidRDefault="00183337" w:rsidP="00183337"/>
    <w:p w:rsidR="00183337" w:rsidRPr="00ED3415" w:rsidRDefault="00183337" w:rsidP="00183337">
      <w:pPr>
        <w:pStyle w:val="Heading2"/>
        <w:rPr>
          <w:rFonts w:eastAsia="MS Mincho"/>
        </w:rPr>
      </w:pPr>
      <w:bookmarkStart w:id="14" w:name="_Toc378080733"/>
      <w:bookmarkStart w:id="15" w:name="_Toc380071450"/>
      <w:r>
        <w:t>Technische Arbeitsgruppe für Automatisierung und Computerprogramme</w:t>
      </w:r>
      <w:bookmarkEnd w:id="14"/>
      <w:bookmarkEnd w:id="15"/>
      <w:r>
        <w:t xml:space="preserve"> </w:t>
      </w:r>
    </w:p>
    <w:p w:rsidR="00183337" w:rsidRDefault="00183337" w:rsidP="00183337"/>
    <w:p w:rsidR="00183337" w:rsidRPr="005E666F" w:rsidRDefault="00183337" w:rsidP="00183337">
      <w:pPr>
        <w:keepNext/>
        <w:autoSpaceDE w:val="0"/>
        <w:autoSpaceDN w:val="0"/>
        <w:adjustRightInd w:val="0"/>
        <w:rPr>
          <w:rFonts w:eastAsia="MS Mincho"/>
          <w:color w:val="000000"/>
          <w:szCs w:val="24"/>
        </w:rPr>
      </w:pPr>
      <w:r>
        <w:rPr>
          <w:szCs w:val="24"/>
        </w:rPr>
        <w:fldChar w:fldCharType="begin"/>
      </w:r>
      <w:r>
        <w:rPr>
          <w:szCs w:val="24"/>
        </w:rPr>
        <w:instrText xml:space="preserve"> AUTONUM  </w:instrText>
      </w:r>
      <w:r>
        <w:rPr>
          <w:szCs w:val="24"/>
        </w:rPr>
        <w:fldChar w:fldCharType="end"/>
      </w:r>
      <w:r>
        <w:tab/>
      </w:r>
      <w:r>
        <w:rPr>
          <w:szCs w:val="24"/>
        </w:rPr>
        <w:t xml:space="preserve">Die TWC </w:t>
      </w:r>
      <w:r>
        <w:t xml:space="preserve">prüfte auf ihrer dreißigsten Tagung, die vom 26. bis 29. Juni 2012 in Chisinau, Republik Moldau, stattfand, </w:t>
      </w:r>
      <w:r>
        <w:rPr>
          <w:szCs w:val="24"/>
        </w:rPr>
        <w:t xml:space="preserve">Dokument TWC/30/9 </w:t>
      </w:r>
      <w:r>
        <w:t>„</w:t>
      </w:r>
      <w:r w:rsidRPr="00451729">
        <w:rPr>
          <w:i/>
        </w:rPr>
        <w:t>A</w:t>
      </w:r>
      <w:r w:rsidRPr="00451729">
        <w:rPr>
          <w:i/>
          <w:color w:val="000000"/>
          <w:szCs w:val="24"/>
        </w:rPr>
        <w:t>ssessing uniformity by off-types on the basis of more than one sample or sub-sample</w:t>
      </w:r>
      <w:r>
        <w:rPr>
          <w:color w:val="000000"/>
          <w:szCs w:val="24"/>
        </w:rPr>
        <w:t xml:space="preserve">”, mit dem Abschnitt „Zusammenfassung der Ansätze“ und Anlagen, wie in diesem Dokument dargelegt. </w:t>
      </w:r>
    </w:p>
    <w:p w:rsidR="00183337" w:rsidRDefault="00183337" w:rsidP="00183337">
      <w:pPr>
        <w:autoSpaceDE w:val="0"/>
        <w:autoSpaceDN w:val="0"/>
        <w:adjustRightInd w:val="0"/>
        <w:rPr>
          <w:szCs w:val="24"/>
        </w:rPr>
      </w:pPr>
    </w:p>
    <w:p w:rsidR="00183337" w:rsidRDefault="00183337" w:rsidP="00183337">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tab/>
      </w:r>
      <w:r>
        <w:rPr>
          <w:szCs w:val="24"/>
        </w:rPr>
        <w:t xml:space="preserve">Die TWC </w:t>
      </w:r>
      <w:r>
        <w:t xml:space="preserve">nahm auf ihrer dreißigsten </w:t>
      </w:r>
      <w:r w:rsidR="00646BD1">
        <w:t xml:space="preserve">Tagung </w:t>
      </w:r>
      <w:r w:rsidR="00646BD1">
        <w:rPr>
          <w:szCs w:val="24"/>
        </w:rPr>
        <w:t>die</w:t>
      </w:r>
      <w:r>
        <w:rPr>
          <w:szCs w:val="24"/>
        </w:rPr>
        <w:t xml:space="preserve"> Notwendigkeit einer genaueren Erläuterung der beschriebenen Situationen zur Kenntnis; beispielsweise müsse geklärt werden, ob sich zwei Wachstumsperioden auf die Verwendung der gleichen Proben beziehen und im gleichen Jahr stattfanden. Die TWC vereinbarte, daß ausführlichere Informationen und genauere Analysen notwendig sind, um Anleitung zu den Auswirkungen der Verwendung unterschiedlicher Ansätze geben zu können </w:t>
      </w:r>
      <w:r>
        <w:t>(</w:t>
      </w:r>
      <w:r w:rsidR="00E932E8">
        <w:t>vergleiche</w:t>
      </w:r>
      <w:r>
        <w:t xml:space="preserve"> </w:t>
      </w:r>
      <w:r w:rsidR="00E932E8">
        <w:rPr>
          <w:szCs w:val="24"/>
        </w:rPr>
        <w:t>Dokument TWC/30/41</w:t>
      </w:r>
      <w:r>
        <w:rPr>
          <w:szCs w:val="24"/>
        </w:rPr>
        <w:t xml:space="preserve"> „</w:t>
      </w:r>
      <w:r w:rsidRPr="004A4453">
        <w:rPr>
          <w:i/>
          <w:szCs w:val="24"/>
        </w:rPr>
        <w:t>Report</w:t>
      </w:r>
      <w:r>
        <w:rPr>
          <w:szCs w:val="24"/>
        </w:rPr>
        <w:t>”, Absatz 83).</w:t>
      </w:r>
    </w:p>
    <w:p w:rsidR="00183337" w:rsidRPr="00A726B5" w:rsidRDefault="00183337" w:rsidP="00183337">
      <w:pPr>
        <w:autoSpaceDE w:val="0"/>
        <w:autoSpaceDN w:val="0"/>
        <w:adjustRightInd w:val="0"/>
        <w:rPr>
          <w:szCs w:val="24"/>
        </w:rPr>
      </w:pPr>
    </w:p>
    <w:p w:rsidR="00183337" w:rsidRDefault="00183337" w:rsidP="00183337">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tab/>
      </w:r>
      <w:r w:rsidR="00300824" w:rsidRPr="005843F8">
        <w:rPr>
          <w:rFonts w:cs="Arial"/>
          <w:snapToGrid w:val="0"/>
        </w:rPr>
        <w:t>Die TWC vereinbarte auf ihrer drei</w:t>
      </w:r>
      <w:r w:rsidR="00300824">
        <w:rPr>
          <w:rFonts w:cs="Arial"/>
          <w:snapToGrid w:val="0"/>
        </w:rPr>
        <w:t>ß</w:t>
      </w:r>
      <w:r w:rsidR="00300824" w:rsidRPr="005843F8">
        <w:rPr>
          <w:rFonts w:cs="Arial"/>
          <w:snapToGrid w:val="0"/>
        </w:rPr>
        <w:t>igsten Tagung, daß Frankreich, Deutschland und die Niederlande auf der nächsten Tagung eine oder mehrere konkrete Situationen in ihren Ländern sowie die statistische Grundlage ihrer Analyse vorstellen sollen (</w:t>
      </w:r>
      <w:r w:rsidR="00E932E8">
        <w:rPr>
          <w:rFonts w:cs="Arial"/>
          <w:snapToGrid w:val="0"/>
        </w:rPr>
        <w:t>vergleiche</w:t>
      </w:r>
      <w:r w:rsidR="00300824" w:rsidRPr="005843F8">
        <w:rPr>
          <w:rFonts w:cs="Arial"/>
          <w:snapToGrid w:val="0"/>
        </w:rPr>
        <w:t xml:space="preserve"> Dokument TWC/30/41 „</w:t>
      </w:r>
      <w:r w:rsidR="00300824" w:rsidRPr="00810A7B">
        <w:rPr>
          <w:rFonts w:cs="Arial"/>
          <w:i/>
          <w:snapToGrid w:val="0"/>
        </w:rPr>
        <w:t>Report</w:t>
      </w:r>
      <w:r w:rsidR="00300824" w:rsidRPr="005843F8">
        <w:rPr>
          <w:rFonts w:cs="Arial"/>
          <w:snapToGrid w:val="0"/>
        </w:rPr>
        <w:t>“, Absatz 84).</w:t>
      </w:r>
    </w:p>
    <w:p w:rsidR="00183337" w:rsidRPr="00A726B5" w:rsidRDefault="00183337" w:rsidP="00183337">
      <w:pPr>
        <w:autoSpaceDE w:val="0"/>
        <w:autoSpaceDN w:val="0"/>
        <w:adjustRightInd w:val="0"/>
        <w:rPr>
          <w:rFonts w:cs="Arial"/>
        </w:rPr>
      </w:pPr>
    </w:p>
    <w:p w:rsidR="00183337" w:rsidRDefault="00183337" w:rsidP="00183337">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tab/>
      </w:r>
      <w:r w:rsidR="00300824" w:rsidRPr="005843F8">
        <w:rPr>
          <w:rFonts w:cs="Arial"/>
          <w:snapToGrid w:val="0"/>
        </w:rPr>
        <w:t>Die TWC vereinbarte auf ihrer drei</w:t>
      </w:r>
      <w:r w:rsidR="00300824">
        <w:rPr>
          <w:rFonts w:cs="Arial"/>
          <w:snapToGrid w:val="0"/>
        </w:rPr>
        <w:t>ß</w:t>
      </w:r>
      <w:r w:rsidR="00300824" w:rsidRPr="005843F8">
        <w:rPr>
          <w:rFonts w:cs="Arial"/>
          <w:snapToGrid w:val="0"/>
        </w:rPr>
        <w:t>igsten Tagung, daß die statistische Grundlage der erlaubten Anzahl von Abweichern in der Unterprobe von 20 Pflanzen bei einer Probengrö</w:t>
      </w:r>
      <w:r w:rsidR="00300824">
        <w:rPr>
          <w:rFonts w:cs="Arial"/>
          <w:snapToGrid w:val="0"/>
        </w:rPr>
        <w:t>ß</w:t>
      </w:r>
      <w:r w:rsidR="00300824" w:rsidRPr="005843F8">
        <w:rPr>
          <w:rFonts w:cs="Arial"/>
          <w:snapToGrid w:val="0"/>
        </w:rPr>
        <w:t>e von 100 Pflanzen (Situation D) von Sachverständigen aus Frankreich und Deutschland bestimmt werden soll (</w:t>
      </w:r>
      <w:r w:rsidR="00E932E8">
        <w:rPr>
          <w:rFonts w:cs="Arial"/>
          <w:snapToGrid w:val="0"/>
        </w:rPr>
        <w:t>vergleiche</w:t>
      </w:r>
      <w:r w:rsidR="00300824" w:rsidRPr="005843F8">
        <w:rPr>
          <w:rFonts w:cs="Arial"/>
          <w:snapToGrid w:val="0"/>
        </w:rPr>
        <w:t xml:space="preserve"> Dokument TWC/30/41 „</w:t>
      </w:r>
      <w:r w:rsidR="00300824" w:rsidRPr="00810A7B">
        <w:rPr>
          <w:rFonts w:cs="Arial"/>
          <w:i/>
          <w:snapToGrid w:val="0"/>
        </w:rPr>
        <w:t>Report</w:t>
      </w:r>
      <w:r w:rsidR="00300824" w:rsidRPr="005843F8">
        <w:rPr>
          <w:rFonts w:cs="Arial"/>
          <w:snapToGrid w:val="0"/>
        </w:rPr>
        <w:t>“, Absatz 85).</w:t>
      </w:r>
    </w:p>
    <w:p w:rsidR="00183337" w:rsidRDefault="00183337" w:rsidP="00183337"/>
    <w:p w:rsidR="00183337" w:rsidRPr="00ED3415" w:rsidRDefault="00282292" w:rsidP="00183337">
      <w:pPr>
        <w:pStyle w:val="Heading2"/>
        <w:rPr>
          <w:rFonts w:eastAsia="MS Mincho"/>
        </w:rPr>
      </w:pPr>
      <w:bookmarkStart w:id="16" w:name="_Toc378080734"/>
      <w:bookmarkStart w:id="17" w:name="_Toc348962403"/>
      <w:bookmarkStart w:id="18" w:name="_Toc380071451"/>
      <w:r w:rsidRPr="005843F8">
        <w:rPr>
          <w:snapToGrid w:val="0"/>
        </w:rPr>
        <w:t>Technische Arbeitsgruppe für Obstarten</w:t>
      </w:r>
      <w:bookmarkEnd w:id="16"/>
      <w:bookmarkEnd w:id="17"/>
      <w:bookmarkEnd w:id="18"/>
    </w:p>
    <w:p w:rsidR="00183337" w:rsidRDefault="00183337" w:rsidP="00183337"/>
    <w:p w:rsidR="00183337" w:rsidRPr="00282292" w:rsidRDefault="00183337" w:rsidP="00183337">
      <w:pPr>
        <w:keepNext/>
        <w:autoSpaceDE w:val="0"/>
        <w:autoSpaceDN w:val="0"/>
        <w:adjustRightInd w:val="0"/>
        <w:rPr>
          <w:rFonts w:cs="Arial"/>
          <w:snapToGrid w:val="0"/>
        </w:rPr>
      </w:pPr>
      <w:r w:rsidRPr="000936D2">
        <w:rPr>
          <w:rFonts w:cs="Arial"/>
        </w:rPr>
        <w:fldChar w:fldCharType="begin"/>
      </w:r>
      <w:r w:rsidRPr="000936D2">
        <w:rPr>
          <w:rFonts w:cs="Arial"/>
        </w:rPr>
        <w:instrText xml:space="preserve"> AUTONUM  </w:instrText>
      </w:r>
      <w:r w:rsidRPr="000936D2">
        <w:rPr>
          <w:rFonts w:cs="Arial"/>
        </w:rPr>
        <w:fldChar w:fldCharType="end"/>
      </w:r>
      <w:r>
        <w:tab/>
      </w:r>
      <w:r w:rsidR="00282292" w:rsidRPr="005843F8">
        <w:rPr>
          <w:rFonts w:cs="Arial"/>
          <w:snapToGrid w:val="0"/>
        </w:rPr>
        <w:t xml:space="preserve">Die TWF prüfte auf ihrer dreiundvierzigsten Tagung, die vom 30. Juli bis 3. August 2012 in </w:t>
      </w:r>
      <w:r w:rsidR="00CD7002">
        <w:rPr>
          <w:rFonts w:cs="Arial"/>
          <w:snapToGrid w:val="0"/>
        </w:rPr>
        <w:t>Peking</w:t>
      </w:r>
      <w:r w:rsidR="00282292" w:rsidRPr="005843F8">
        <w:rPr>
          <w:rFonts w:cs="Arial"/>
          <w:snapToGrid w:val="0"/>
        </w:rPr>
        <w:t>, China, stattfand, Dokument TWF/43/9 Rev. „</w:t>
      </w:r>
      <w:r w:rsidR="00282292" w:rsidRPr="00810A7B">
        <w:rPr>
          <w:i/>
        </w:rPr>
        <w:t>Summary of Assessing Uniformity by Off-Types on the Basis of More than One Sample or Sub-Sample</w:t>
      </w:r>
      <w:r w:rsidR="00282292" w:rsidRPr="005843F8">
        <w:rPr>
          <w:rFonts w:cs="Arial"/>
          <w:snapToGrid w:val="0"/>
        </w:rPr>
        <w:t>“ mit dem Abschnitt „Zusammenfassung der Ansätze“ und Anlagen, wie in diesem Dokument dargelegt.</w:t>
      </w:r>
    </w:p>
    <w:p w:rsidR="00183337" w:rsidRPr="000936D2" w:rsidRDefault="00183337" w:rsidP="00183337">
      <w:pPr>
        <w:rPr>
          <w:rFonts w:cs="Arial"/>
        </w:rPr>
      </w:pPr>
    </w:p>
    <w:p w:rsidR="00282292" w:rsidRDefault="00183337" w:rsidP="00183337">
      <w:pPr>
        <w:rPr>
          <w:rFonts w:cs="Arial"/>
          <w:snapToGrid w:val="0"/>
        </w:rPr>
      </w:pPr>
      <w:r w:rsidRPr="000936D2">
        <w:rPr>
          <w:rFonts w:cs="Arial"/>
        </w:rPr>
        <w:fldChar w:fldCharType="begin"/>
      </w:r>
      <w:r w:rsidRPr="000936D2">
        <w:rPr>
          <w:rFonts w:cs="Arial"/>
        </w:rPr>
        <w:instrText xml:space="preserve"> AUTONUM  </w:instrText>
      </w:r>
      <w:r w:rsidRPr="000936D2">
        <w:rPr>
          <w:rFonts w:cs="Arial"/>
        </w:rPr>
        <w:fldChar w:fldCharType="end"/>
      </w:r>
      <w:r>
        <w:tab/>
      </w:r>
      <w:r w:rsidR="00282292" w:rsidRPr="005843F8">
        <w:rPr>
          <w:rFonts w:cs="Arial"/>
          <w:snapToGrid w:val="0"/>
        </w:rPr>
        <w:t>Die TWF nahm auf ihrer dreiundvierzigsten Tagung die unterschiedlichen Ansätze und die Ähnlichkeiten der Ansätze verschiedener Verbandsmitglieder zur Kenntnis. Sie vereinbarte, die Technische Arbeitsgruppe für Automatisierung und Computerprogramme (TWC) um Beratung in der Frage zu ersuchen, ob die einzelnen oder die kombinierten Ergebnisse verwendet werden sollten (</w:t>
      </w:r>
      <w:r w:rsidR="00E932E8">
        <w:rPr>
          <w:rFonts w:cs="Arial"/>
          <w:snapToGrid w:val="0"/>
        </w:rPr>
        <w:t>vergleiche</w:t>
      </w:r>
      <w:r w:rsidR="00282292" w:rsidRPr="005843F8">
        <w:rPr>
          <w:rFonts w:cs="Arial"/>
          <w:snapToGrid w:val="0"/>
        </w:rPr>
        <w:t xml:space="preserve"> Dokument TWF/43/38 „</w:t>
      </w:r>
      <w:r w:rsidR="00282292" w:rsidRPr="00810A7B">
        <w:rPr>
          <w:rFonts w:cs="Arial"/>
          <w:i/>
          <w:snapToGrid w:val="0"/>
        </w:rPr>
        <w:t>Report</w:t>
      </w:r>
      <w:r w:rsidR="00282292" w:rsidRPr="005843F8">
        <w:rPr>
          <w:rFonts w:cs="Arial"/>
          <w:snapToGrid w:val="0"/>
        </w:rPr>
        <w:t>“, Absatz 51).</w:t>
      </w:r>
    </w:p>
    <w:p w:rsidR="00183337" w:rsidRPr="000936D2" w:rsidRDefault="00183337" w:rsidP="00183337">
      <w:pPr>
        <w:rPr>
          <w:rFonts w:cs="Arial"/>
        </w:rPr>
      </w:pPr>
    </w:p>
    <w:p w:rsidR="00183337" w:rsidRPr="00E76C5D" w:rsidRDefault="00183337" w:rsidP="00183337">
      <w:pPr>
        <w:rPr>
          <w:rFonts w:cs="Arial"/>
          <w:snapToGrid w:val="0"/>
        </w:rPr>
      </w:pPr>
      <w:r w:rsidRPr="000936D2">
        <w:rPr>
          <w:rFonts w:cs="Arial"/>
        </w:rPr>
        <w:fldChar w:fldCharType="begin"/>
      </w:r>
      <w:r w:rsidRPr="000936D2">
        <w:rPr>
          <w:rFonts w:cs="Arial"/>
        </w:rPr>
        <w:instrText xml:space="preserve"> AUTONUM  </w:instrText>
      </w:r>
      <w:r w:rsidRPr="000936D2">
        <w:rPr>
          <w:rFonts w:cs="Arial"/>
        </w:rPr>
        <w:fldChar w:fldCharType="end"/>
      </w:r>
      <w:r>
        <w:tab/>
      </w:r>
      <w:r w:rsidR="00E76C5D" w:rsidRPr="005843F8">
        <w:rPr>
          <w:rFonts w:cs="Arial"/>
          <w:snapToGrid w:val="0"/>
        </w:rPr>
        <w:t xml:space="preserve">Die TWF ersuchte auf ihrer dreiundvierzigsten Tagung darum, daß der Sachverständige aus Neuseeland auf der Tagung der TWF </w:t>
      </w:r>
      <w:r w:rsidR="00E76C5D">
        <w:rPr>
          <w:rFonts w:cs="Arial"/>
          <w:snapToGrid w:val="0"/>
        </w:rPr>
        <w:t xml:space="preserve">im Jahr </w:t>
      </w:r>
      <w:r w:rsidR="00E76C5D" w:rsidRPr="005843F8">
        <w:rPr>
          <w:rFonts w:cs="Arial"/>
          <w:snapToGrid w:val="0"/>
        </w:rPr>
        <w:t>2013 einen Vortrag über die Prüfung der Homogenität von Apfelsorten aus Mutationen halten soll (</w:t>
      </w:r>
      <w:r w:rsidR="00E932E8">
        <w:rPr>
          <w:rFonts w:cs="Arial"/>
          <w:snapToGrid w:val="0"/>
        </w:rPr>
        <w:t>vergleiche</w:t>
      </w:r>
      <w:r w:rsidR="00E76C5D" w:rsidRPr="005843F8">
        <w:rPr>
          <w:rFonts w:cs="Arial"/>
          <w:snapToGrid w:val="0"/>
        </w:rPr>
        <w:t xml:space="preserve"> Dokument TWF/43/38 „</w:t>
      </w:r>
      <w:r w:rsidR="00E76C5D" w:rsidRPr="00810A7B">
        <w:rPr>
          <w:rFonts w:cs="Arial"/>
          <w:i/>
          <w:snapToGrid w:val="0"/>
        </w:rPr>
        <w:t>Report</w:t>
      </w:r>
      <w:r w:rsidR="00E76C5D" w:rsidRPr="005843F8">
        <w:rPr>
          <w:rFonts w:cs="Arial"/>
          <w:snapToGrid w:val="0"/>
        </w:rPr>
        <w:t>“, Absatz 52).</w:t>
      </w:r>
    </w:p>
    <w:p w:rsidR="00183337" w:rsidRPr="000936D2" w:rsidRDefault="00183337" w:rsidP="00183337">
      <w:pPr>
        <w:rPr>
          <w:rFonts w:cs="Arial"/>
        </w:rPr>
      </w:pPr>
    </w:p>
    <w:p w:rsidR="00183337" w:rsidRPr="000936D2" w:rsidRDefault="00183337" w:rsidP="00EE54DB">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tab/>
      </w:r>
      <w:r w:rsidR="00EE54DB" w:rsidRPr="005843F8">
        <w:rPr>
          <w:rFonts w:cs="Arial"/>
          <w:snapToGrid w:val="0"/>
        </w:rPr>
        <w:t>Die TWF vereinbarte auf ihrer dreiundvierzigsten Tagung, daß die Definition der Wachstumsperioden genauer sein sollte und daß künftig eine detaillierte Beschreibung des Vorgehens bei der Prüfung unter dem Punkt „Zur weiteren Erörterung“ auf die Tagesordnung gesetzt werden sollte (</w:t>
      </w:r>
      <w:r w:rsidR="00E932E8">
        <w:rPr>
          <w:rFonts w:cs="Arial"/>
          <w:snapToGrid w:val="0"/>
        </w:rPr>
        <w:t>vergleiche</w:t>
      </w:r>
      <w:r w:rsidR="00EE54DB" w:rsidRPr="005843F8">
        <w:rPr>
          <w:rFonts w:cs="Arial"/>
          <w:snapToGrid w:val="0"/>
        </w:rPr>
        <w:t xml:space="preserve"> Dokument TWF/43/38 „</w:t>
      </w:r>
      <w:r w:rsidR="00EE54DB" w:rsidRPr="00810A7B">
        <w:rPr>
          <w:rFonts w:cs="Arial"/>
          <w:i/>
          <w:snapToGrid w:val="0"/>
        </w:rPr>
        <w:t>Report</w:t>
      </w:r>
      <w:r w:rsidR="00EE54DB">
        <w:rPr>
          <w:rFonts w:cs="Arial"/>
          <w:snapToGrid w:val="0"/>
        </w:rPr>
        <w:t>“, Absatz 53)</w:t>
      </w:r>
      <w:r>
        <w:t>.</w:t>
      </w:r>
    </w:p>
    <w:p w:rsidR="00183337" w:rsidRDefault="00183337" w:rsidP="00183337"/>
    <w:p w:rsidR="00183337" w:rsidRDefault="00183337" w:rsidP="00183337"/>
    <w:p w:rsidR="00183337" w:rsidRPr="00147E9B" w:rsidRDefault="00147E9B" w:rsidP="00183337">
      <w:pPr>
        <w:pStyle w:val="Heading2"/>
        <w:rPr>
          <w:snapToGrid w:val="0"/>
        </w:rPr>
      </w:pPr>
      <w:bookmarkStart w:id="19" w:name="_Toc378080735"/>
      <w:bookmarkStart w:id="20" w:name="_Toc348962404"/>
      <w:bookmarkStart w:id="21" w:name="_Toc380071452"/>
      <w:r w:rsidRPr="005843F8">
        <w:rPr>
          <w:snapToGrid w:val="0"/>
        </w:rPr>
        <w:t>Technische Arbeitsgruppe für Zierpflanzen und forstliche Baumarten</w:t>
      </w:r>
      <w:bookmarkEnd w:id="19"/>
      <w:bookmarkEnd w:id="20"/>
      <w:bookmarkEnd w:id="21"/>
    </w:p>
    <w:p w:rsidR="00183337" w:rsidRPr="00FA78B5" w:rsidRDefault="00183337" w:rsidP="00183337">
      <w:pPr>
        <w:keepNext/>
        <w:rPr>
          <w:rFonts w:eastAsia="MS Mincho"/>
          <w:i/>
          <w:iCs/>
          <w:color w:val="000000"/>
          <w:szCs w:val="24"/>
          <w:lang w:eastAsia="ja-JP"/>
        </w:rPr>
      </w:pPr>
    </w:p>
    <w:p w:rsidR="00183337" w:rsidRPr="00147E9B" w:rsidRDefault="00183337" w:rsidP="00183337">
      <w:pPr>
        <w:keepNext/>
        <w:autoSpaceDE w:val="0"/>
        <w:autoSpaceDN w:val="0"/>
        <w:adjustRightInd w:val="0"/>
        <w:rPr>
          <w:rFonts w:cs="Arial"/>
          <w:snapToGrid w:val="0"/>
        </w:rPr>
      </w:pPr>
      <w:r w:rsidRPr="005623A7">
        <w:fldChar w:fldCharType="begin"/>
      </w:r>
      <w:r w:rsidRPr="005623A7">
        <w:instrText xml:space="preserve"> AUTONUM  </w:instrText>
      </w:r>
      <w:r w:rsidRPr="005623A7">
        <w:fldChar w:fldCharType="end"/>
      </w:r>
      <w:r>
        <w:tab/>
      </w:r>
      <w:r w:rsidR="00147E9B" w:rsidRPr="005843F8">
        <w:rPr>
          <w:rFonts w:cs="Arial"/>
          <w:snapToGrid w:val="0"/>
        </w:rPr>
        <w:t>Die TWO prüfte auf ihrer fünfundvierzigsten Tagung, die vom 6. bis 10. August 2012 in Jeju, Republik Korea, stattfand, Dokument TWO/45/9 „</w:t>
      </w:r>
      <w:r w:rsidR="00147E9B" w:rsidRPr="00810A7B">
        <w:rPr>
          <w:i/>
        </w:rPr>
        <w:t>Summary of Assessing Uniformity by Off-Types on the Basis of More than One Sample or Sub-Sample</w:t>
      </w:r>
      <w:r w:rsidR="00147E9B" w:rsidRPr="005843F8">
        <w:rPr>
          <w:rFonts w:cs="Arial"/>
          <w:snapToGrid w:val="0"/>
        </w:rPr>
        <w:t>“ mit dem Abschnitt „Zusammenfassung der Ansätze“ und Anlagen, wie in diesem Dokument dargelegt. Die TWO nahm die unterschiedlichen Ansätze verschiedener Verbandsmitglieder zur Kenntnis (</w:t>
      </w:r>
      <w:r w:rsidR="00E932E8">
        <w:rPr>
          <w:rFonts w:cs="Arial"/>
          <w:snapToGrid w:val="0"/>
        </w:rPr>
        <w:t>vergleiche</w:t>
      </w:r>
      <w:r w:rsidR="00147E9B" w:rsidRPr="005843F8">
        <w:rPr>
          <w:rFonts w:cs="Arial"/>
          <w:snapToGrid w:val="0"/>
        </w:rPr>
        <w:t xml:space="preserve"> Dokument TWO/45/37 „</w:t>
      </w:r>
      <w:r w:rsidR="00147E9B" w:rsidRPr="00810A7B">
        <w:rPr>
          <w:rFonts w:cs="Arial"/>
          <w:i/>
          <w:snapToGrid w:val="0"/>
        </w:rPr>
        <w:t>Report</w:t>
      </w:r>
      <w:r w:rsidR="00147E9B" w:rsidRPr="005843F8">
        <w:rPr>
          <w:rFonts w:cs="Arial"/>
          <w:snapToGrid w:val="0"/>
        </w:rPr>
        <w:t>“, Absatz 54)</w:t>
      </w:r>
      <w:r w:rsidR="00147E9B">
        <w:rPr>
          <w:rFonts w:cs="Arial"/>
          <w:snapToGrid w:val="0"/>
        </w:rPr>
        <w:t>.</w:t>
      </w:r>
    </w:p>
    <w:p w:rsidR="00183337" w:rsidRPr="005E5E84" w:rsidRDefault="00183337" w:rsidP="00183337"/>
    <w:p w:rsidR="00183337" w:rsidRDefault="00183337" w:rsidP="00183337">
      <w:pPr>
        <w:rPr>
          <w:caps/>
        </w:rPr>
      </w:pPr>
    </w:p>
    <w:p w:rsidR="00183337" w:rsidRDefault="00183337" w:rsidP="00183337">
      <w:pPr>
        <w:pStyle w:val="Heading1"/>
      </w:pPr>
      <w:bookmarkStart w:id="22" w:name="_Toc378080736"/>
      <w:bookmarkStart w:id="23" w:name="_Toc380071453"/>
      <w:r>
        <w:t>iii.</w:t>
      </w:r>
      <w:r>
        <w:tab/>
        <w:t>ENTWICKLUNGEN IM JAHR 2013</w:t>
      </w:r>
      <w:bookmarkEnd w:id="22"/>
      <w:bookmarkEnd w:id="23"/>
    </w:p>
    <w:p w:rsidR="00183337" w:rsidRDefault="00183337" w:rsidP="00183337">
      <w:pPr>
        <w:keepNext/>
      </w:pPr>
    </w:p>
    <w:p w:rsidR="00183337" w:rsidRPr="00ED3415" w:rsidRDefault="00183337" w:rsidP="00183337">
      <w:pPr>
        <w:pStyle w:val="Heading2"/>
      </w:pPr>
      <w:bookmarkStart w:id="24" w:name="_Toc378080737"/>
      <w:bookmarkStart w:id="25" w:name="_Toc380071454"/>
      <w:r>
        <w:t>Technischer Ausschuß</w:t>
      </w:r>
      <w:bookmarkEnd w:id="24"/>
      <w:bookmarkEnd w:id="25"/>
    </w:p>
    <w:p w:rsidR="00183337" w:rsidRDefault="00183337" w:rsidP="00183337">
      <w:pPr>
        <w:keepNext/>
        <w:rPr>
          <w:rFonts w:eastAsia="MS Mincho"/>
          <w:color w:val="000000"/>
          <w:szCs w:val="24"/>
          <w:lang w:eastAsia="ja-JP"/>
        </w:rPr>
      </w:pPr>
    </w:p>
    <w:p w:rsidR="00183337" w:rsidRPr="00AF342C" w:rsidRDefault="00183337" w:rsidP="00183337">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tab/>
      </w:r>
      <w:r>
        <w:rPr>
          <w:color w:val="000000"/>
        </w:rPr>
        <w:t xml:space="preserve">Auf seiner </w:t>
      </w:r>
      <w:r>
        <w:t xml:space="preserve">neunundvierzigsten Tagung vom 18. bis 20. März </w:t>
      </w:r>
      <w:r w:rsidR="00E932E8">
        <w:t>2013 prüfte der TC das Dokument </w:t>
      </w:r>
      <w:r>
        <w:t>TC/49/14 (vergleiche Dokument</w:t>
      </w:r>
      <w:r>
        <w:rPr>
          <w:szCs w:val="24"/>
        </w:rPr>
        <w:t> TC/49/41 „Bericht über die Entschließungen“, Absatz 114)</w:t>
      </w:r>
      <w:r>
        <w:t>.</w:t>
      </w:r>
    </w:p>
    <w:p w:rsidR="00183337" w:rsidRPr="00AF342C" w:rsidRDefault="00183337" w:rsidP="00183337">
      <w:pPr>
        <w:keepNext/>
        <w:ind w:left="567" w:hanging="567"/>
        <w:rPr>
          <w:snapToGrid w:val="0"/>
        </w:rPr>
      </w:pPr>
    </w:p>
    <w:p w:rsidR="00183337" w:rsidRPr="00AF342C" w:rsidRDefault="00183337" w:rsidP="00183337">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tab/>
        <w:t xml:space="preserve">Der TC </w:t>
      </w:r>
      <w:r>
        <w:rPr>
          <w:iCs/>
          <w:spacing w:val="-4"/>
        </w:rPr>
        <w:t xml:space="preserve">nahm zur Kenntnis, daß die TWC weitere Information über die in den Anlagen I bis IV von Dokument TC/49/14 dargelegten Situationen prüfen werde, </w:t>
      </w:r>
      <w:r>
        <w:rPr>
          <w:szCs w:val="24"/>
        </w:rPr>
        <w:t>wie etwa die Klärung der Frage, ob zwei Wachstumsperioden in Bezug auf die Verwendung derselben Probe und im selben Jahr möglich seien</w:t>
      </w:r>
      <w:r w:rsidR="00646BD1">
        <w:rPr>
          <w:szCs w:val="24"/>
        </w:rPr>
        <w:t xml:space="preserve">. </w:t>
      </w:r>
      <w:r>
        <w:rPr>
          <w:szCs w:val="24"/>
        </w:rPr>
        <w:t>Der TC nahm zur Kenntnis, daß die TWC vereinbart hatte, daß detailliertere Informationen und weitere Analysen erforderlich seien, um Anleitung zu den Folgen der Verwendung unterschiedlicher Herangehensweisen erteilen zu können</w:t>
      </w:r>
      <w:r w:rsidR="00646BD1">
        <w:rPr>
          <w:szCs w:val="24"/>
        </w:rPr>
        <w:t xml:space="preserve">. Die TWC hatte ferner </w:t>
      </w:r>
      <w:r w:rsidR="00646BD1">
        <w:t xml:space="preserve">vereinbart, daß Frankreich, Deutschland und die Niederlande eine oder mehr konkrete Situation/en aus ihren Ländern sowie die statistische Grundlage ihrer Analyse für ihre nächste Tagung vorlegen werden und </w:t>
      </w:r>
      <w:r w:rsidR="00646BD1">
        <w:rPr>
          <w:szCs w:val="24"/>
        </w:rPr>
        <w:t>daß die statistische Grundlage für die akzeptable Anzahl von Abweichern</w:t>
      </w:r>
      <w:r w:rsidR="00646BD1">
        <w:t xml:space="preserve"> </w:t>
      </w:r>
      <w:r w:rsidR="00646BD1">
        <w:rPr>
          <w:szCs w:val="24"/>
        </w:rPr>
        <w:t>in den Unterproben von 20 Pflanzen, die in Zusammenhang mit einer Probengröße von 100 Pflanzen (Situation D) von den Sachverständigen aus Frankreich und Deutschland geprüft werde (vergleiche Dokument TC/49/41 „Bericht über die Entschließungen“, Absatz 115.</w:t>
      </w:r>
    </w:p>
    <w:p w:rsidR="00183337" w:rsidRPr="00AF342C" w:rsidRDefault="00183337" w:rsidP="00183337">
      <w:pPr>
        <w:ind w:left="567" w:hanging="567"/>
      </w:pPr>
    </w:p>
    <w:p w:rsidR="00183337" w:rsidRPr="00AF342C" w:rsidRDefault="00183337" w:rsidP="00183337">
      <w:r w:rsidRPr="00AF342C">
        <w:fldChar w:fldCharType="begin"/>
      </w:r>
      <w:r w:rsidRPr="00AF342C">
        <w:instrText xml:space="preserve"> AUTONUM  </w:instrText>
      </w:r>
      <w:r w:rsidRPr="00AF342C">
        <w:fldChar w:fldCharType="end"/>
      </w:r>
      <w:r>
        <w:tab/>
        <w:t xml:space="preserve">Der TC </w:t>
      </w:r>
      <w:r>
        <w:rPr>
          <w:iCs/>
          <w:spacing w:val="-4"/>
        </w:rPr>
        <w:t>stimmte darin überein, daß der Ansatz der Kombination der Ergebnisse zweier Wachstumsperioden, wie in den Anlagen I und II, Situation A und B, dargelegt, das Erfordernis „unabhängiger“ Wachstumsperioden erfülle</w:t>
      </w:r>
      <w:r w:rsidR="00646BD1">
        <w:rPr>
          <w:iCs/>
          <w:spacing w:val="-4"/>
        </w:rPr>
        <w:t xml:space="preserve">. </w:t>
      </w:r>
      <w:r>
        <w:rPr>
          <w:iCs/>
          <w:spacing w:val="-4"/>
        </w:rPr>
        <w:t xml:space="preserve">Allerdings war er sich darin einig, daß bei der Prüfung von Ergebnissen, die in jeder der Wachstumsperioden sehr unterschiedlich sind, mit größter Sorgfalt verfahren werden müsse, etwa wenn ein Abweichertyp in einer Wachstumsperiode sehr häufig und in einer anderen überhaupt nicht vorkomme </w:t>
      </w:r>
      <w:r>
        <w:t xml:space="preserve">(vergleiche Dokument </w:t>
      </w:r>
      <w:r>
        <w:rPr>
          <w:szCs w:val="24"/>
        </w:rPr>
        <w:t>TC/49/41 „Bericht über die Entschließungen“, Absatz 116)</w:t>
      </w:r>
      <w:r>
        <w:rPr>
          <w:iCs/>
          <w:spacing w:val="-4"/>
        </w:rPr>
        <w:t>.</w:t>
      </w:r>
    </w:p>
    <w:p w:rsidR="00183337" w:rsidRPr="00AF342C" w:rsidRDefault="00183337" w:rsidP="00183337">
      <w:pPr>
        <w:ind w:left="567" w:hanging="567"/>
      </w:pPr>
    </w:p>
    <w:p w:rsidR="00183337" w:rsidRPr="00AF342C" w:rsidRDefault="00183337" w:rsidP="00183337">
      <w:r w:rsidRPr="00AF342C">
        <w:fldChar w:fldCharType="begin"/>
      </w:r>
      <w:r w:rsidRPr="00AF342C">
        <w:instrText xml:space="preserve"> AUTONUM  </w:instrText>
      </w:r>
      <w:r w:rsidRPr="00AF342C">
        <w:fldChar w:fldCharType="end"/>
      </w:r>
      <w:r>
        <w:tab/>
        <w:t xml:space="preserve">Der TC </w:t>
      </w:r>
      <w:r>
        <w:rPr>
          <w:iCs/>
          <w:spacing w:val="-4"/>
        </w:rPr>
        <w:t xml:space="preserve">nahm zur Kenntnis, daß ein Sachverständiger aus Neuseeland auf der TWF-Tagung im Jahr 2013 ein Referat über die Prüfung der Homogenität von aus Mutation hervorgehenden Apfelsorten halten werde </w:t>
      </w:r>
      <w:r>
        <w:t>(vergleiche Dokument</w:t>
      </w:r>
      <w:r>
        <w:rPr>
          <w:szCs w:val="24"/>
        </w:rPr>
        <w:t> TC/49/41 „Bericht über die Entschließungen“, Absatz 117)</w:t>
      </w:r>
      <w:r>
        <w:rPr>
          <w:iCs/>
          <w:spacing w:val="-4"/>
        </w:rPr>
        <w:t>.</w:t>
      </w:r>
    </w:p>
    <w:p w:rsidR="00183337" w:rsidRDefault="00183337" w:rsidP="00183337"/>
    <w:p w:rsidR="00183337" w:rsidRDefault="00183337" w:rsidP="00183337">
      <w:r>
        <w:fldChar w:fldCharType="begin"/>
      </w:r>
      <w:r>
        <w:instrText xml:space="preserve"> AUTONUM  </w:instrText>
      </w:r>
      <w:r>
        <w:fldChar w:fldCharType="end"/>
      </w:r>
      <w:r w:rsidR="006C03B1">
        <w:tab/>
        <w:t>I</w:t>
      </w:r>
      <w:r>
        <w:t>m Anschluß an die Tagung des TC erklärte sich der Sachverständige aus Neuseeland dazu bereit, ein Dokument zur Vorlage auf allen TWP-Tagungen im Jahr 2013 ausz</w:t>
      </w:r>
      <w:r w:rsidR="00E932E8">
        <w:t>uarbeiten (vergleiche Dokumente </w:t>
      </w:r>
      <w:r>
        <w:t>TWO/46/26, TWF/44/26, TWV/47/26, TWC/31/26 und TWA/42/26 „</w:t>
      </w:r>
      <w:r w:rsidRPr="00E932E8">
        <w:rPr>
          <w:i/>
        </w:rPr>
        <w:t>Testing Uniformity of Apple Varieties Arising from Mutation</w:t>
      </w:r>
      <w:r>
        <w:t>”).</w:t>
      </w:r>
    </w:p>
    <w:p w:rsidR="00183337" w:rsidRDefault="00183337" w:rsidP="00183337"/>
    <w:p w:rsidR="00183337" w:rsidRDefault="00183337" w:rsidP="00183337"/>
    <w:p w:rsidR="00183337" w:rsidRDefault="00183337" w:rsidP="00183337">
      <w:pPr>
        <w:pStyle w:val="Heading2"/>
        <w:rPr>
          <w:rFonts w:eastAsia="MS Mincho"/>
        </w:rPr>
      </w:pPr>
      <w:bookmarkStart w:id="26" w:name="_Toc378080738"/>
      <w:bookmarkStart w:id="27" w:name="_Toc380071455"/>
      <w:r>
        <w:t>Technische Arbeitsgruppe für Zierpflanzen und forstliche Baumarten</w:t>
      </w:r>
      <w:bookmarkEnd w:id="26"/>
      <w:bookmarkEnd w:id="27"/>
      <w:r>
        <w:t xml:space="preserve"> </w:t>
      </w:r>
    </w:p>
    <w:p w:rsidR="00183337" w:rsidRPr="00ED3415" w:rsidRDefault="00183337" w:rsidP="00183337">
      <w:pPr>
        <w:pStyle w:val="Heading2"/>
        <w:rPr>
          <w:rFonts w:eastAsia="MS Mincho"/>
        </w:rPr>
      </w:pPr>
      <w:bookmarkStart w:id="28" w:name="_Toc378080739"/>
      <w:bookmarkStart w:id="29" w:name="_Toc380071456"/>
      <w:r>
        <w:t>Technische Arbeitsgruppe für Obstarten</w:t>
      </w:r>
      <w:bookmarkEnd w:id="28"/>
      <w:bookmarkEnd w:id="29"/>
      <w:r>
        <w:t xml:space="preserve"> </w:t>
      </w:r>
    </w:p>
    <w:p w:rsidR="00183337" w:rsidRDefault="00183337" w:rsidP="00183337">
      <w:pPr>
        <w:rPr>
          <w:rFonts w:eastAsia="MS Mincho"/>
          <w:lang w:eastAsia="ja-JP"/>
        </w:rPr>
      </w:pPr>
    </w:p>
    <w:p w:rsidR="00183337" w:rsidRPr="00143E49" w:rsidRDefault="00183337" w:rsidP="00183337">
      <w:pPr>
        <w:rPr>
          <w:rFonts w:eastAsia="MS Mincho"/>
        </w:rPr>
      </w:pPr>
      <w:r>
        <w:fldChar w:fldCharType="begin"/>
      </w:r>
      <w:r>
        <w:instrText xml:space="preserve"> AUTONUM  </w:instrText>
      </w:r>
      <w:r>
        <w:fldChar w:fldCharType="end"/>
      </w:r>
      <w:r>
        <w:tab/>
        <w:t>Die TWO und die TWF prüften jeweils die Dokumente TWO/46/22 Rev</w:t>
      </w:r>
      <w:r w:rsidR="00D65AAB">
        <w:t xml:space="preserve">. und TWF/44/22 und nahmen </w:t>
      </w:r>
      <w:r>
        <w:t>zur Kenntnis</w:t>
      </w:r>
      <w:r w:rsidR="00D65AAB">
        <w:t xml:space="preserve"> daß</w:t>
      </w:r>
      <w:r>
        <w:t xml:space="preserve"> (vergleiche Dokumente TWO/46/29 „</w:t>
      </w:r>
      <w:r w:rsidRPr="00D65AAB">
        <w:rPr>
          <w:i/>
        </w:rPr>
        <w:t>Report</w:t>
      </w:r>
      <w:r>
        <w:t>”, Absatz 63 und TWF/44/31 „</w:t>
      </w:r>
      <w:r w:rsidRPr="00D65AAB">
        <w:rPr>
          <w:i/>
        </w:rPr>
        <w:t>Report</w:t>
      </w:r>
      <w:r w:rsidR="006C5D96">
        <w:t>”, Absatz </w:t>
      </w:r>
      <w:r>
        <w:t>61):</w:t>
      </w:r>
    </w:p>
    <w:p w:rsidR="00183337" w:rsidRPr="00143E49" w:rsidRDefault="00183337" w:rsidP="00183337">
      <w:pPr>
        <w:rPr>
          <w:rFonts w:eastAsia="MS Mincho"/>
        </w:rPr>
      </w:pPr>
    </w:p>
    <w:p w:rsidR="00183337" w:rsidRPr="00143E49" w:rsidRDefault="00183337" w:rsidP="00183337">
      <w:pPr>
        <w:numPr>
          <w:ilvl w:val="0"/>
          <w:numId w:val="3"/>
        </w:numPr>
        <w:ind w:left="0" w:firstLine="540"/>
      </w:pPr>
      <w:r>
        <w:t xml:space="preserve">die TWC hatte vereinbart, daß detailliertere Informationen und weitere Analysen erforderlich seien, um Anleitung zu den Folgen der Verwendung der in den Anlagen </w:t>
      </w:r>
      <w:r w:rsidR="00E932E8">
        <w:t>I bis IV von Dokument TWO/46/22 </w:t>
      </w:r>
      <w:r>
        <w:t>Rev. dargelegten unterschiedlichen Herangehensweisen erteilen zu können und daß Deutschland, Frankreich und die Niederlande eine oder mehrere konkrete Situationen aus ihren Ländern sowie die statistische Grundlage ihrer Analyse für ihre nächste Tagung vorlegen werden;</w:t>
      </w:r>
    </w:p>
    <w:p w:rsidR="00183337" w:rsidRPr="00143E49" w:rsidRDefault="00183337" w:rsidP="00183337">
      <w:pPr>
        <w:ind w:firstLine="540"/>
      </w:pPr>
    </w:p>
    <w:p w:rsidR="00183337" w:rsidRPr="00143E49" w:rsidRDefault="00646BD1" w:rsidP="00183337">
      <w:pPr>
        <w:numPr>
          <w:ilvl w:val="0"/>
          <w:numId w:val="3"/>
        </w:numPr>
        <w:ind w:left="0" w:firstLine="540"/>
        <w:rPr>
          <w:rFonts w:eastAsia="MS Mincho"/>
        </w:rPr>
      </w:pPr>
      <w:r>
        <w:t>Die TWC hatte vereinbart, daß die statistische Grundlage für die akzeptable Zahl von Abweichern in den Unterproben von 20 Pflanzen, die im Zusammenhan</w:t>
      </w:r>
      <w:r w:rsidR="00E932E8">
        <w:t>g mit einer Probengröße von 100 </w:t>
      </w:r>
      <w:r>
        <w:t>Pflanzen (Situation D) verwendet werden, von den Sachverständigen aus Frankreich und Deutschland geprüft werde; und</w:t>
      </w:r>
    </w:p>
    <w:p w:rsidR="00183337" w:rsidRPr="00143E49" w:rsidRDefault="00183337" w:rsidP="00183337">
      <w:pPr>
        <w:ind w:firstLine="540"/>
        <w:rPr>
          <w:rFonts w:eastAsia="MS Mincho"/>
        </w:rPr>
      </w:pPr>
    </w:p>
    <w:p w:rsidR="00183337" w:rsidRPr="00143E49" w:rsidRDefault="00183337" w:rsidP="00183337">
      <w:pPr>
        <w:ind w:firstLine="540"/>
        <w:rPr>
          <w:rFonts w:eastAsia="MS Mincho"/>
        </w:rPr>
      </w:pPr>
      <w:r>
        <w:t>c)</w:t>
      </w:r>
      <w:r>
        <w:tab/>
        <w:t>im Hinblick auf den Ansatz der Kombination der Ergebnisse zweier Wachstumsperioden, wie in den Anlagen I und II, Situation A und B, dargelegt, war der TC sich darin einig, daß bei der Prüfung von Ergebnissen, die in jeder der Wachstumsperioden sehr unterschiedlich sind, mit größter Sorgfalt verfahren werden müsse, etwa wenn ein Abweichertyp in einer Wachstumsperiode sehr häufig und in einer anderen überhaupt nicht vorkomme.</w:t>
      </w:r>
    </w:p>
    <w:p w:rsidR="00183337" w:rsidRDefault="00183337" w:rsidP="00183337">
      <w:pPr>
        <w:rPr>
          <w:rFonts w:eastAsia="MS Mincho"/>
          <w:lang w:eastAsia="ja-JP"/>
        </w:rPr>
      </w:pPr>
    </w:p>
    <w:p w:rsidR="00183337" w:rsidRDefault="00183337" w:rsidP="00183337">
      <w:pPr>
        <w:rPr>
          <w:caps/>
        </w:rPr>
      </w:pPr>
    </w:p>
    <w:p w:rsidR="00183337" w:rsidRDefault="00183337" w:rsidP="00183337">
      <w:pPr>
        <w:pStyle w:val="Heading2"/>
      </w:pPr>
      <w:bookmarkStart w:id="30" w:name="_Toc378080740"/>
      <w:bookmarkStart w:id="31" w:name="_Toc380071457"/>
      <w:r>
        <w:t>Technische Arbeitsgruppe für Gemüsearten</w:t>
      </w:r>
      <w:bookmarkEnd w:id="30"/>
      <w:bookmarkEnd w:id="31"/>
      <w:r>
        <w:t xml:space="preserve"> </w:t>
      </w:r>
    </w:p>
    <w:p w:rsidR="00183337" w:rsidRDefault="00183337" w:rsidP="00183337">
      <w:pPr>
        <w:rPr>
          <w:caps/>
        </w:rPr>
      </w:pPr>
    </w:p>
    <w:p w:rsidR="00183337" w:rsidRPr="004B761D" w:rsidRDefault="00183337" w:rsidP="00183337">
      <w:pPr>
        <w:pStyle w:val="Titleofdoc0"/>
        <w:spacing w:before="0"/>
        <w:jc w:val="both"/>
        <w:rPr>
          <w:rFonts w:eastAsia="MS Mincho"/>
        </w:rPr>
      </w:pPr>
      <w:r w:rsidRPr="004B761D">
        <w:fldChar w:fldCharType="begin"/>
      </w:r>
      <w:r w:rsidRPr="004B761D">
        <w:instrText xml:space="preserve"> AUTONUM  </w:instrText>
      </w:r>
      <w:r w:rsidRPr="004B761D">
        <w:fldChar w:fldCharType="end"/>
      </w:r>
      <w:r>
        <w:tab/>
      </w:r>
      <w:r>
        <w:rPr>
          <w:caps w:val="0"/>
        </w:rPr>
        <w:t xml:space="preserve">Die TWV prüfte Dokument </w:t>
      </w:r>
      <w:r>
        <w:t>TWV/47/22</w:t>
      </w:r>
      <w:r>
        <w:rPr>
          <w:caps w:val="0"/>
        </w:rPr>
        <w:t xml:space="preserve"> und nahm zur Kenntnis, daß (vergleiche Dokumente TWV/47/34 „</w:t>
      </w:r>
      <w:r w:rsidRPr="00451729">
        <w:rPr>
          <w:i/>
          <w:caps w:val="0"/>
        </w:rPr>
        <w:t>Report</w:t>
      </w:r>
      <w:r>
        <w:rPr>
          <w:caps w:val="0"/>
        </w:rPr>
        <w:t>”, Absätze 62 bis 64):</w:t>
      </w:r>
    </w:p>
    <w:p w:rsidR="00183337" w:rsidRPr="004B761D" w:rsidRDefault="00183337" w:rsidP="00183337">
      <w:pPr>
        <w:rPr>
          <w:rFonts w:eastAsia="MS Mincho"/>
        </w:rPr>
      </w:pPr>
    </w:p>
    <w:p w:rsidR="00183337" w:rsidRPr="004B761D" w:rsidRDefault="00183337" w:rsidP="00183337">
      <w:pPr>
        <w:ind w:firstLine="540"/>
      </w:pPr>
      <w:r>
        <w:t>a)</w:t>
      </w:r>
      <w:r>
        <w:tab/>
        <w:t>die TWC vereinbart hatte, daß detailliertere Informationen und weitere Analysen erforderlich seien, um Anleitung zu den Folgen der Verwendung der in den Anlagen I bis IV von Dokument TWV/47/22 dargelegten unterschiedlichen Herangehensweisen erteilen zu können und daß Deutschland, Frankreich und die Niederlande eine oder mehrere konkrete Situationen aus ihren Ländern sowie die statistische Grundlage ihrer Analyse für ihre nächste Tagung vorlegen werden;</w:t>
      </w:r>
    </w:p>
    <w:p w:rsidR="00183337" w:rsidRPr="004B761D" w:rsidRDefault="00183337" w:rsidP="00183337">
      <w:pPr>
        <w:ind w:firstLine="540"/>
      </w:pPr>
    </w:p>
    <w:p w:rsidR="00183337" w:rsidRPr="004B761D" w:rsidRDefault="00646BD1" w:rsidP="00183337">
      <w:pPr>
        <w:ind w:firstLine="540"/>
        <w:rPr>
          <w:rFonts w:eastAsia="MS Mincho"/>
        </w:rPr>
      </w:pPr>
      <w:r>
        <w:t>b)</w:t>
      </w:r>
      <w:r>
        <w:tab/>
        <w:t>die TWC vereinbart hatte, daß die statistische Grundlage für die akzeptable Zahl von Abweichern in den Unterproben von 20 Pflanzen, die im Zusammenhang mit</w:t>
      </w:r>
      <w:r w:rsidR="00E932E8">
        <w:t xml:space="preserve"> einer Probengröße von 100 </w:t>
      </w:r>
      <w:r>
        <w:t>Pflanzen (Situation D) verwendet werden, von den Sachverständigen aus Frankreich und Deutschland geprüft werde; und</w:t>
      </w:r>
    </w:p>
    <w:p w:rsidR="00183337" w:rsidRPr="004B761D" w:rsidRDefault="00183337" w:rsidP="00183337">
      <w:pPr>
        <w:ind w:firstLine="540"/>
        <w:rPr>
          <w:rFonts w:eastAsia="MS Mincho"/>
        </w:rPr>
      </w:pPr>
    </w:p>
    <w:p w:rsidR="00183337" w:rsidRPr="004B761D" w:rsidRDefault="00646BD1" w:rsidP="00183337">
      <w:pPr>
        <w:ind w:firstLine="540"/>
        <w:rPr>
          <w:rFonts w:eastAsia="MS Mincho"/>
        </w:rPr>
      </w:pPr>
      <w:r>
        <w:t>c)</w:t>
      </w:r>
      <w:r>
        <w:tab/>
        <w:t>der TC sich im Hinblick auf den Ansatz der Kombination der Ergebnisse zweier Wachstumsperioden, wie in den Anlagen I und II von Dokument TWV/47/22, Situation A und B, dargelegt, darin einig war, daß bei der Prüfung von Ergebnissen, die in jeder der Wachstumsperioden sehr unterschiedlich sind, mit größter Sorgfalt verfahren werden müsse, etwa wenn ein Abweichertyp in einer Wachstumsperiode sehr häufig und in einer anderen überhaupt nicht vorkomme.</w:t>
      </w:r>
    </w:p>
    <w:p w:rsidR="00183337" w:rsidRPr="004B761D" w:rsidRDefault="00183337" w:rsidP="00183337">
      <w:pPr>
        <w:ind w:firstLine="540"/>
        <w:rPr>
          <w:rFonts w:eastAsia="MS Mincho"/>
        </w:rPr>
      </w:pPr>
    </w:p>
    <w:p w:rsidR="00183337" w:rsidRPr="00700478" w:rsidRDefault="00183337" w:rsidP="00183337">
      <w:pPr>
        <w:pStyle w:val="Titleofdoc0"/>
        <w:spacing w:before="0"/>
        <w:jc w:val="both"/>
        <w:rPr>
          <w:caps w:val="0"/>
        </w:rPr>
      </w:pPr>
      <w:r w:rsidRPr="004B761D">
        <w:fldChar w:fldCharType="begin"/>
      </w:r>
      <w:r w:rsidRPr="004B761D">
        <w:instrText xml:space="preserve"> AUTONUM  </w:instrText>
      </w:r>
      <w:r w:rsidRPr="004B761D">
        <w:fldChar w:fldCharType="end"/>
      </w:r>
      <w:r>
        <w:tab/>
        <w:t>D</w:t>
      </w:r>
      <w:r>
        <w:rPr>
          <w:caps w:val="0"/>
        </w:rPr>
        <w:t>ie TWV nahm zur Kenntnis, daß der Sachverständige aus Frankreich im Hinblick auf die Situation B, wie in Anlage II von Dokument TWV/47/22 dargelegt, nun jede Periode als unabhängig betrachte und nicht länger die Ergebnisse zweier Standorte kombiniere, weshalb der Hinweis auf Frankreich und Blumenkohl nicht mehr zweckmäßig und der Text folgendermaßen zu ändern sei:</w:t>
      </w:r>
    </w:p>
    <w:p w:rsidR="00E5345F" w:rsidRDefault="00E5345F">
      <w:pPr>
        <w:jc w:val="left"/>
      </w:pPr>
    </w:p>
    <w:p w:rsidR="00183337" w:rsidRPr="00700478" w:rsidRDefault="00183337" w:rsidP="00183337">
      <w:pPr>
        <w:pStyle w:val="Titleofdoc0"/>
        <w:spacing w:before="0"/>
        <w:jc w:val="both"/>
        <w:rPr>
          <w:caps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83337" w:rsidRPr="00552754" w:rsidTr="00183337">
        <w:trPr>
          <w:trHeight w:val="404"/>
        </w:trPr>
        <w:tc>
          <w:tcPr>
            <w:tcW w:w="9889" w:type="dxa"/>
          </w:tcPr>
          <w:p w:rsidR="00183337" w:rsidRPr="00552754" w:rsidRDefault="00183337" w:rsidP="003941D8">
            <w:pPr>
              <w:keepNext/>
              <w:autoSpaceDE w:val="0"/>
              <w:autoSpaceDN w:val="0"/>
              <w:adjustRightInd w:val="0"/>
              <w:spacing w:before="120" w:after="120"/>
              <w:jc w:val="center"/>
              <w:rPr>
                <w:rFonts w:eastAsia="SimSun"/>
                <w:sz w:val="18"/>
                <w:szCs w:val="18"/>
              </w:rPr>
            </w:pPr>
            <w:r>
              <w:rPr>
                <w:sz w:val="18"/>
                <w:szCs w:val="18"/>
              </w:rPr>
              <w:t>SITUATION B: ZWEI STANDORTE IM GLEICHEN JAHR</w:t>
            </w:r>
          </w:p>
        </w:tc>
      </w:tr>
      <w:tr w:rsidR="00183337" w:rsidRPr="00552754" w:rsidTr="00183337">
        <w:trPr>
          <w:trHeight w:val="2880"/>
        </w:trPr>
        <w:tc>
          <w:tcPr>
            <w:tcW w:w="9889" w:type="dxa"/>
            <w:tcBorders>
              <w:bottom w:val="single" w:sz="4" w:space="0" w:color="auto"/>
            </w:tcBorders>
          </w:tcPr>
          <w:p w:rsidR="00183337" w:rsidRPr="00552754" w:rsidRDefault="00183337" w:rsidP="003941D8">
            <w:pPr>
              <w:keepNext/>
              <w:ind w:left="567" w:right="601"/>
              <w:rPr>
                <w:b/>
                <w:sz w:val="18"/>
                <w:szCs w:val="18"/>
              </w:rPr>
            </w:pPr>
          </w:p>
          <w:p w:rsidR="00183337" w:rsidRPr="00552754" w:rsidRDefault="00183337" w:rsidP="003941D8">
            <w:pPr>
              <w:keepNext/>
              <w:ind w:left="567" w:right="601"/>
              <w:rPr>
                <w:b/>
                <w:sz w:val="18"/>
                <w:szCs w:val="18"/>
              </w:rPr>
            </w:pPr>
            <w:r>
              <w:rPr>
                <w:b/>
                <w:sz w:val="18"/>
                <w:szCs w:val="18"/>
              </w:rPr>
              <w:t xml:space="preserve">Ansatz: Dritte Wachstumsperiode im Fall widersprüchlicher Ergebnisse </w:t>
            </w:r>
          </w:p>
          <w:p w:rsidR="00183337" w:rsidRPr="00552754" w:rsidRDefault="00183337" w:rsidP="003941D8">
            <w:pPr>
              <w:keepNext/>
              <w:ind w:left="567" w:right="601"/>
              <w:rPr>
                <w:rFonts w:eastAsia="SimSun"/>
                <w:sz w:val="18"/>
                <w:szCs w:val="18"/>
                <w:lang w:eastAsia="zh-CN"/>
              </w:rPr>
            </w:pPr>
          </w:p>
          <w:p w:rsidR="00183337" w:rsidRPr="00552754" w:rsidRDefault="00183337" w:rsidP="003941D8">
            <w:pPr>
              <w:keepNext/>
              <w:ind w:left="567" w:right="601"/>
              <w:rPr>
                <w:rFonts w:eastAsia="SimSun"/>
                <w:sz w:val="18"/>
                <w:szCs w:val="18"/>
              </w:rPr>
            </w:pPr>
            <w:r>
              <w:rPr>
                <w:sz w:val="18"/>
                <w:szCs w:val="18"/>
              </w:rPr>
              <w:t>Eine Sorte wird als homogen betrachtet, wenn sie an beiden Standorten innerhalb des Homogenitätsstandards liegt.</w:t>
            </w:r>
          </w:p>
          <w:p w:rsidR="00183337" w:rsidRPr="00552754" w:rsidRDefault="00183337" w:rsidP="003941D8">
            <w:pPr>
              <w:keepNext/>
              <w:ind w:left="567" w:right="601"/>
              <w:rPr>
                <w:rFonts w:eastAsia="SimSun"/>
                <w:sz w:val="18"/>
                <w:szCs w:val="18"/>
                <w:lang w:eastAsia="zh-CN"/>
              </w:rPr>
            </w:pPr>
          </w:p>
          <w:p w:rsidR="00183337" w:rsidRPr="00552754" w:rsidRDefault="00183337" w:rsidP="003941D8">
            <w:pPr>
              <w:keepNext/>
              <w:ind w:left="567" w:right="601"/>
              <w:rPr>
                <w:rFonts w:eastAsia="SimSun"/>
                <w:sz w:val="18"/>
                <w:szCs w:val="18"/>
              </w:rPr>
            </w:pPr>
            <w:r>
              <w:rPr>
                <w:sz w:val="18"/>
                <w:szCs w:val="18"/>
              </w:rPr>
              <w:t>Eine Sorte wird als nicht homogen betra</w:t>
            </w:r>
            <w:r w:rsidR="00A35BEF">
              <w:rPr>
                <w:sz w:val="18"/>
                <w:szCs w:val="18"/>
              </w:rPr>
              <w:t>chtet, wenn sie an beid</w:t>
            </w:r>
            <w:r>
              <w:rPr>
                <w:sz w:val="18"/>
                <w:szCs w:val="18"/>
              </w:rPr>
              <w:t>en</w:t>
            </w:r>
            <w:r w:rsidR="00A35BEF">
              <w:rPr>
                <w:sz w:val="18"/>
                <w:szCs w:val="18"/>
              </w:rPr>
              <w:t xml:space="preserve"> Standorten</w:t>
            </w:r>
            <w:r>
              <w:rPr>
                <w:sz w:val="18"/>
                <w:szCs w:val="18"/>
              </w:rPr>
              <w:t xml:space="preserve"> nicht dem Homogenitätsstandard entspricht.</w:t>
            </w:r>
          </w:p>
          <w:p w:rsidR="00183337" w:rsidRPr="00552754" w:rsidRDefault="00183337" w:rsidP="003941D8">
            <w:pPr>
              <w:keepNext/>
              <w:ind w:left="567" w:right="601"/>
              <w:rPr>
                <w:rFonts w:eastAsia="SimSun"/>
                <w:sz w:val="18"/>
                <w:szCs w:val="18"/>
                <w:lang w:eastAsia="zh-CN"/>
              </w:rPr>
            </w:pPr>
          </w:p>
          <w:p w:rsidR="00183337" w:rsidRPr="00552754" w:rsidRDefault="00183337" w:rsidP="003941D8">
            <w:pPr>
              <w:keepNext/>
              <w:keepLines/>
              <w:ind w:left="567" w:right="601"/>
              <w:rPr>
                <w:rFonts w:eastAsia="SimSun"/>
                <w:sz w:val="18"/>
                <w:szCs w:val="18"/>
              </w:rPr>
            </w:pPr>
            <w:r>
              <w:rPr>
                <w:sz w:val="18"/>
                <w:szCs w:val="18"/>
              </w:rPr>
              <w:t xml:space="preserve">Entspricht die Sorte an einem Standort dem Homogenitätsstandard, am anderen Standort jedoch nicht, dann </w:t>
            </w:r>
          </w:p>
          <w:p w:rsidR="00183337" w:rsidRPr="00552754" w:rsidRDefault="00183337" w:rsidP="003941D8">
            <w:pPr>
              <w:keepNext/>
              <w:keepLines/>
              <w:ind w:left="567" w:right="601"/>
              <w:rPr>
                <w:rFonts w:eastAsia="SimSun"/>
                <w:sz w:val="18"/>
                <w:szCs w:val="18"/>
                <w:lang w:eastAsia="zh-CN"/>
              </w:rPr>
            </w:pPr>
          </w:p>
          <w:p w:rsidR="00183337" w:rsidRPr="00552754" w:rsidRDefault="00183337" w:rsidP="003941D8">
            <w:pPr>
              <w:keepNext/>
              <w:keepLines/>
              <w:ind w:left="567" w:right="601"/>
              <w:rPr>
                <w:rFonts w:eastAsia="SimSun"/>
                <w:sz w:val="18"/>
                <w:szCs w:val="18"/>
              </w:rPr>
            </w:pPr>
            <w:r>
              <w:rPr>
                <w:sz w:val="18"/>
                <w:szCs w:val="18"/>
              </w:rPr>
              <w:t>Alternative a)</w:t>
            </w:r>
            <w:r>
              <w:tab/>
            </w:r>
            <w:r>
              <w:rPr>
                <w:sz w:val="18"/>
                <w:szCs w:val="18"/>
              </w:rPr>
              <w:t>wird der Versuch an beiden Standorten in einem zweiten Jahr wiederholt;</w:t>
            </w:r>
          </w:p>
          <w:p w:rsidR="00183337" w:rsidRPr="00552754" w:rsidRDefault="00183337" w:rsidP="003941D8">
            <w:pPr>
              <w:keepNext/>
              <w:keepLines/>
              <w:ind w:left="567" w:right="601"/>
              <w:rPr>
                <w:rFonts w:eastAsia="SimSun"/>
                <w:sz w:val="18"/>
                <w:szCs w:val="18"/>
                <w:lang w:eastAsia="zh-CN"/>
              </w:rPr>
            </w:pPr>
          </w:p>
          <w:p w:rsidR="00183337" w:rsidRPr="00552754" w:rsidRDefault="00646BD1" w:rsidP="003941D8">
            <w:pPr>
              <w:keepNext/>
              <w:keepLines/>
              <w:ind w:left="567" w:right="601"/>
              <w:rPr>
                <w:rFonts w:eastAsia="SimSun"/>
                <w:sz w:val="18"/>
                <w:szCs w:val="18"/>
              </w:rPr>
            </w:pPr>
            <w:r>
              <w:rPr>
                <w:sz w:val="18"/>
                <w:szCs w:val="18"/>
              </w:rPr>
              <w:t>Altern</w:t>
            </w:r>
            <w:r w:rsidR="004C02DA">
              <w:rPr>
                <w:sz w:val="18"/>
                <w:szCs w:val="18"/>
              </w:rPr>
              <w:t xml:space="preserve">ative </w:t>
            </w:r>
            <w:r>
              <w:rPr>
                <w:sz w:val="18"/>
                <w:szCs w:val="18"/>
              </w:rPr>
              <w:t xml:space="preserve">b) </w:t>
            </w:r>
            <w:r>
              <w:tab/>
            </w:r>
            <w:r>
              <w:rPr>
                <w:sz w:val="18"/>
                <w:szCs w:val="18"/>
              </w:rPr>
              <w:t>wird der Anbauversuch in der Führenden Station (Standort)</w:t>
            </w:r>
            <w:r w:rsidR="004C02DA">
              <w:rPr>
                <w:sz w:val="18"/>
                <w:szCs w:val="18"/>
              </w:rPr>
              <w:t xml:space="preserve"> </w:t>
            </w:r>
          </w:p>
          <w:p w:rsidR="00183337" w:rsidRPr="00552754" w:rsidRDefault="00646BD1" w:rsidP="003941D8">
            <w:pPr>
              <w:keepNext/>
              <w:keepLines/>
              <w:ind w:left="567" w:right="601"/>
              <w:rPr>
                <w:rFonts w:eastAsia="MS Mincho"/>
                <w:color w:val="000000"/>
                <w:sz w:val="18"/>
                <w:szCs w:val="18"/>
              </w:rPr>
            </w:pPr>
            <w:r>
              <w:rPr>
                <w:sz w:val="18"/>
                <w:szCs w:val="18"/>
              </w:rPr>
              <w:t>(</w:t>
            </w:r>
            <w:r>
              <w:rPr>
                <w:color w:val="000000"/>
                <w:sz w:val="18"/>
                <w:szCs w:val="18"/>
              </w:rPr>
              <w:t>Europäische Union (</w:t>
            </w:r>
            <w:r>
              <w:rPr>
                <w:sz w:val="18"/>
                <w:szCs w:val="18"/>
              </w:rPr>
              <w:t>Blumenkohl)</w:t>
            </w:r>
            <w:r>
              <w:rPr>
                <w:color w:val="000000"/>
                <w:sz w:val="18"/>
                <w:szCs w:val="18"/>
              </w:rPr>
              <w:t>)</w:t>
            </w:r>
            <w:r w:rsidR="001A1D07">
              <w:rPr>
                <w:color w:val="000000"/>
                <w:sz w:val="18"/>
                <w:szCs w:val="18"/>
              </w:rPr>
              <w:t xml:space="preserve"> </w:t>
            </w:r>
            <w:r w:rsidR="001A1D07">
              <w:rPr>
                <w:sz w:val="18"/>
                <w:szCs w:val="18"/>
              </w:rPr>
              <w:t>wiederholt</w:t>
            </w:r>
          </w:p>
          <w:p w:rsidR="00183337" w:rsidRPr="00552754" w:rsidRDefault="00183337" w:rsidP="003941D8">
            <w:pPr>
              <w:keepNext/>
              <w:keepLines/>
              <w:ind w:left="567" w:right="601"/>
              <w:rPr>
                <w:b/>
                <w:sz w:val="18"/>
                <w:szCs w:val="18"/>
              </w:rPr>
            </w:pPr>
          </w:p>
          <w:p w:rsidR="00183337" w:rsidRPr="00552754" w:rsidRDefault="00183337" w:rsidP="003941D8">
            <w:pPr>
              <w:keepNext/>
              <w:ind w:left="567" w:right="601"/>
              <w:rPr>
                <w:rFonts w:eastAsia="SimSun"/>
                <w:b/>
                <w:sz w:val="18"/>
                <w:szCs w:val="18"/>
              </w:rPr>
            </w:pPr>
            <w:r>
              <w:rPr>
                <w:b/>
                <w:sz w:val="18"/>
                <w:szCs w:val="18"/>
              </w:rPr>
              <w:t xml:space="preserve">Ansatz: Kombination der Ergebnisse aus zwei Standorten </w:t>
            </w:r>
          </w:p>
          <w:p w:rsidR="00183337" w:rsidRDefault="00183337" w:rsidP="003941D8">
            <w:pPr>
              <w:keepNext/>
              <w:ind w:left="567" w:right="601"/>
              <w:rPr>
                <w:rFonts w:eastAsia="SimSun"/>
                <w:b/>
                <w:sz w:val="18"/>
                <w:szCs w:val="18"/>
                <w:lang w:eastAsia="zh-CN"/>
              </w:rPr>
            </w:pPr>
          </w:p>
          <w:p w:rsidR="00183337" w:rsidRPr="00BD2498" w:rsidRDefault="00183337" w:rsidP="003941D8">
            <w:pPr>
              <w:keepNext/>
              <w:ind w:left="567" w:right="601"/>
              <w:rPr>
                <w:rFonts w:eastAsia="SimSun"/>
                <w:strike/>
                <w:sz w:val="18"/>
                <w:szCs w:val="18"/>
                <w:u w:val="single"/>
              </w:rPr>
            </w:pPr>
            <w:r w:rsidRPr="005B57C1">
              <w:rPr>
                <w:strike/>
                <w:sz w:val="18"/>
                <w:szCs w:val="18"/>
                <w:highlight w:val="lightGray"/>
                <w:u w:val="single"/>
              </w:rPr>
              <w:t>(Frankreich (Blumenkohl))</w:t>
            </w:r>
          </w:p>
          <w:p w:rsidR="00183337" w:rsidRPr="00552754" w:rsidRDefault="00183337" w:rsidP="003941D8">
            <w:pPr>
              <w:keepNext/>
              <w:ind w:left="567" w:right="601"/>
              <w:rPr>
                <w:rFonts w:eastAsia="SimSun"/>
                <w:b/>
                <w:sz w:val="18"/>
                <w:szCs w:val="18"/>
                <w:lang w:eastAsia="zh-CN"/>
              </w:rPr>
            </w:pPr>
          </w:p>
          <w:p w:rsidR="00183337" w:rsidRPr="00552754" w:rsidRDefault="00183337" w:rsidP="003941D8">
            <w:pPr>
              <w:keepNext/>
              <w:ind w:left="567" w:right="601"/>
              <w:rPr>
                <w:rFonts w:eastAsia="SimSun"/>
                <w:sz w:val="18"/>
                <w:szCs w:val="18"/>
              </w:rPr>
            </w:pPr>
            <w:r>
              <w:rPr>
                <w:sz w:val="18"/>
                <w:szCs w:val="18"/>
              </w:rPr>
              <w:t>Eine Sorte wird als homogen betrachtet, wenn sie an beiden Standorten innerhalb des Homogenitätsstandards liegt.</w:t>
            </w:r>
          </w:p>
          <w:p w:rsidR="00183337" w:rsidRPr="00552754" w:rsidRDefault="00183337" w:rsidP="003941D8">
            <w:pPr>
              <w:keepNext/>
              <w:ind w:left="567" w:right="601"/>
              <w:rPr>
                <w:rFonts w:eastAsia="SimSun"/>
                <w:sz w:val="18"/>
                <w:szCs w:val="18"/>
                <w:lang w:eastAsia="zh-CN"/>
              </w:rPr>
            </w:pPr>
          </w:p>
          <w:p w:rsidR="00183337" w:rsidRPr="00552754" w:rsidRDefault="00183337" w:rsidP="003941D8">
            <w:pPr>
              <w:keepNext/>
              <w:keepLines/>
              <w:tabs>
                <w:tab w:val="left" w:pos="1985"/>
              </w:tabs>
              <w:ind w:left="567" w:right="601"/>
              <w:rPr>
                <w:rFonts w:eastAsia="SimSun"/>
                <w:sz w:val="18"/>
                <w:szCs w:val="18"/>
              </w:rPr>
            </w:pPr>
            <w:r>
              <w:rPr>
                <w:sz w:val="18"/>
                <w:szCs w:val="18"/>
              </w:rPr>
              <w:t>Eine Sorte wird als nicht homogen betrachtet, wenn</w:t>
            </w:r>
            <w:r w:rsidR="004C02DA">
              <w:rPr>
                <w:sz w:val="18"/>
                <w:szCs w:val="18"/>
              </w:rPr>
              <w:t xml:space="preserve"> sie an beiden Standorten</w:t>
            </w:r>
            <w:r>
              <w:rPr>
                <w:sz w:val="18"/>
                <w:szCs w:val="18"/>
              </w:rPr>
              <w:t xml:space="preserve"> nicht dem Homogenitätsstandard entspricht.</w:t>
            </w:r>
          </w:p>
          <w:p w:rsidR="00183337" w:rsidRPr="00552754" w:rsidRDefault="00183337" w:rsidP="003941D8">
            <w:pPr>
              <w:keepNext/>
              <w:keepLines/>
              <w:tabs>
                <w:tab w:val="left" w:pos="1985"/>
              </w:tabs>
              <w:ind w:left="567" w:right="601"/>
              <w:rPr>
                <w:rFonts w:eastAsia="SimSun"/>
                <w:sz w:val="18"/>
                <w:szCs w:val="18"/>
                <w:lang w:eastAsia="zh-CN"/>
              </w:rPr>
            </w:pPr>
          </w:p>
          <w:p w:rsidR="00183337" w:rsidRPr="00552754" w:rsidRDefault="00183337" w:rsidP="003941D8">
            <w:pPr>
              <w:keepNext/>
              <w:ind w:left="567" w:right="601"/>
              <w:rPr>
                <w:rFonts w:eastAsia="SimSun"/>
                <w:sz w:val="18"/>
                <w:szCs w:val="18"/>
              </w:rPr>
            </w:pPr>
            <w:r>
              <w:rPr>
                <w:sz w:val="18"/>
                <w:szCs w:val="18"/>
              </w:rPr>
              <w:t xml:space="preserve">Eine Sorte wird als homogen betrachtet, wenn die Gesamtzahl der Abweicherpflanzen </w:t>
            </w:r>
            <w:r w:rsidR="004C02DA">
              <w:rPr>
                <w:sz w:val="18"/>
                <w:szCs w:val="18"/>
              </w:rPr>
              <w:t xml:space="preserve">oder -pflanzenteile </w:t>
            </w:r>
            <w:r>
              <w:rPr>
                <w:sz w:val="18"/>
                <w:szCs w:val="18"/>
              </w:rPr>
              <w:t>die Anzahl der erlaubten Abweicher in der kombinierten Probe nicht übersteigt (zwei Standorte).</w:t>
            </w:r>
          </w:p>
          <w:p w:rsidR="00183337" w:rsidRPr="00552754" w:rsidRDefault="00183337" w:rsidP="003941D8">
            <w:pPr>
              <w:keepNext/>
              <w:ind w:left="567" w:right="601"/>
              <w:rPr>
                <w:rFonts w:eastAsia="SimSun"/>
                <w:sz w:val="18"/>
                <w:szCs w:val="18"/>
                <w:lang w:eastAsia="zh-CN"/>
              </w:rPr>
            </w:pPr>
          </w:p>
          <w:p w:rsidR="00183337" w:rsidRPr="00552754" w:rsidRDefault="00183337" w:rsidP="003941D8">
            <w:pPr>
              <w:keepNext/>
              <w:ind w:left="567" w:right="601"/>
              <w:rPr>
                <w:sz w:val="18"/>
                <w:szCs w:val="18"/>
              </w:rPr>
            </w:pPr>
          </w:p>
        </w:tc>
      </w:tr>
    </w:tbl>
    <w:p w:rsidR="00183337" w:rsidRDefault="00183337" w:rsidP="00183337">
      <w:pPr>
        <w:pStyle w:val="Titleofdoc0"/>
        <w:spacing w:before="0"/>
        <w:jc w:val="both"/>
        <w:rPr>
          <w:rFonts w:cs="Arial"/>
          <w:caps w:val="0"/>
        </w:rPr>
      </w:pPr>
    </w:p>
    <w:p w:rsidR="00183337" w:rsidRPr="00700478" w:rsidRDefault="00183337" w:rsidP="00183337">
      <w:pPr>
        <w:pStyle w:val="Titleofdoc0"/>
        <w:spacing w:before="0"/>
        <w:jc w:val="both"/>
        <w:rPr>
          <w:caps w:val="0"/>
        </w:rPr>
      </w:pPr>
      <w:r w:rsidRPr="00700478">
        <w:fldChar w:fldCharType="begin"/>
      </w:r>
      <w:r w:rsidRPr="00700478">
        <w:instrText xml:space="preserve"> AUTONUM  </w:instrText>
      </w:r>
      <w:r w:rsidRPr="00700478">
        <w:fldChar w:fldCharType="end"/>
      </w:r>
      <w:r>
        <w:tab/>
      </w:r>
      <w:r w:rsidR="00646BD1">
        <w:t>D</w:t>
      </w:r>
      <w:r w:rsidR="00646BD1">
        <w:rPr>
          <w:caps w:val="0"/>
        </w:rPr>
        <w:t>ie TWV vereinbarte, daß der vorzuziehende Ansatz zur Prüfung der Homogenität von Gemüsearten die Verwendung der einzelnen Ergebnisse statt der kombinierten Ergebnisse sei und ersuchte die TWC, bei der Prüfung der verschiedenen Ansätze folgendes Beispiel zu prüfen:</w:t>
      </w:r>
    </w:p>
    <w:p w:rsidR="00183337" w:rsidRPr="00700478" w:rsidRDefault="00183337" w:rsidP="00183337">
      <w:pPr>
        <w:pStyle w:val="Titleofdoc0"/>
        <w:spacing w:before="0"/>
        <w:jc w:val="both"/>
        <w:rPr>
          <w:caps w:val="0"/>
        </w:rPr>
      </w:pPr>
    </w:p>
    <w:p w:rsidR="00183337" w:rsidRPr="00700478" w:rsidRDefault="00183337" w:rsidP="00183337">
      <w:pPr>
        <w:pStyle w:val="Titleofdoc0"/>
        <w:spacing w:before="0"/>
        <w:ind w:left="567"/>
        <w:jc w:val="both"/>
        <w:rPr>
          <w:caps w:val="0"/>
        </w:rPr>
      </w:pPr>
      <w:r>
        <w:rPr>
          <w:caps w:val="0"/>
        </w:rPr>
        <w:t xml:space="preserve">Versuch 1: 50 Pflanzen / 2 Abweichertypen </w:t>
      </w:r>
      <w:r>
        <w:tab/>
      </w:r>
      <w:r>
        <w:tab/>
      </w:r>
      <w:r>
        <w:rPr>
          <w:caps w:val="0"/>
        </w:rPr>
        <w:t>→</w:t>
      </w:r>
      <w:r>
        <w:tab/>
      </w:r>
      <w:r>
        <w:rPr>
          <w:caps w:val="0"/>
        </w:rPr>
        <w:t>die Sorte wird als homogen betrachtet</w:t>
      </w:r>
    </w:p>
    <w:p w:rsidR="00183337" w:rsidRPr="00700478" w:rsidRDefault="00183337" w:rsidP="00183337">
      <w:pPr>
        <w:pStyle w:val="Titleofdoc0"/>
        <w:spacing w:before="0"/>
        <w:ind w:left="567"/>
        <w:jc w:val="both"/>
        <w:rPr>
          <w:caps w:val="0"/>
        </w:rPr>
      </w:pPr>
      <w:r>
        <w:rPr>
          <w:caps w:val="0"/>
        </w:rPr>
        <w:t>(basierend auf einem Populationsstandard von 1% und einer Akzeptanzwahrscheinlichkeit von 95% bei einer Probengröße von 36 bis 82 Pflanzen)</w:t>
      </w:r>
    </w:p>
    <w:p w:rsidR="00183337" w:rsidRPr="00700478" w:rsidRDefault="00183337" w:rsidP="00183337">
      <w:pPr>
        <w:pStyle w:val="Titleofdoc0"/>
        <w:spacing w:before="0"/>
        <w:ind w:left="567"/>
        <w:jc w:val="both"/>
        <w:rPr>
          <w:caps w:val="0"/>
        </w:rPr>
      </w:pPr>
    </w:p>
    <w:p w:rsidR="00183337" w:rsidRPr="00700478" w:rsidRDefault="00183337" w:rsidP="00183337">
      <w:pPr>
        <w:pStyle w:val="Titleofdoc0"/>
        <w:spacing w:before="0"/>
        <w:ind w:left="567"/>
        <w:jc w:val="both"/>
        <w:rPr>
          <w:caps w:val="0"/>
        </w:rPr>
      </w:pPr>
      <w:r>
        <w:rPr>
          <w:caps w:val="0"/>
        </w:rPr>
        <w:t xml:space="preserve">Versuch 2: 50 Pflanzen / 2 Abweichertypen </w:t>
      </w:r>
      <w:r>
        <w:tab/>
      </w:r>
      <w:r>
        <w:tab/>
      </w:r>
      <w:r>
        <w:rPr>
          <w:caps w:val="0"/>
        </w:rPr>
        <w:t>→</w:t>
      </w:r>
      <w:r>
        <w:tab/>
      </w:r>
      <w:r>
        <w:rPr>
          <w:caps w:val="0"/>
        </w:rPr>
        <w:t>die Sorte wird als homogen betrachtet</w:t>
      </w:r>
    </w:p>
    <w:p w:rsidR="00183337" w:rsidRPr="00700478" w:rsidRDefault="00183337" w:rsidP="00183337">
      <w:pPr>
        <w:pStyle w:val="Titleofdoc0"/>
        <w:spacing w:before="0"/>
        <w:ind w:left="567"/>
        <w:jc w:val="both"/>
        <w:rPr>
          <w:caps w:val="0"/>
        </w:rPr>
      </w:pPr>
      <w:r>
        <w:rPr>
          <w:caps w:val="0"/>
        </w:rPr>
        <w:t>(basierend auf einem Populationsstandard von 1% und einer Akzeptanzwahrscheinlichkeit von 95% bei einer Probengröße von 36 bis 82 Pflanzen)</w:t>
      </w:r>
    </w:p>
    <w:p w:rsidR="00183337" w:rsidRPr="00700478" w:rsidRDefault="00183337" w:rsidP="00183337">
      <w:pPr>
        <w:pStyle w:val="Titleofdoc0"/>
        <w:spacing w:before="0"/>
        <w:jc w:val="both"/>
        <w:rPr>
          <w:caps w:val="0"/>
        </w:rPr>
      </w:pPr>
    </w:p>
    <w:p w:rsidR="00183337" w:rsidRPr="00700478" w:rsidRDefault="00183337" w:rsidP="00183337">
      <w:pPr>
        <w:pStyle w:val="Titleofdoc0"/>
        <w:spacing w:before="0"/>
        <w:ind w:left="567"/>
        <w:jc w:val="both"/>
        <w:rPr>
          <w:caps w:val="0"/>
        </w:rPr>
      </w:pPr>
      <w:r>
        <w:rPr>
          <w:caps w:val="0"/>
        </w:rPr>
        <w:t xml:space="preserve">Versuch 1+2: 100 Pflanzen / 4 Abweichertypen </w:t>
      </w:r>
      <w:r>
        <w:tab/>
      </w:r>
      <w:r>
        <w:tab/>
      </w:r>
      <w:r>
        <w:rPr>
          <w:caps w:val="0"/>
        </w:rPr>
        <w:t>→</w:t>
      </w:r>
      <w:r>
        <w:tab/>
      </w:r>
      <w:r>
        <w:rPr>
          <w:caps w:val="0"/>
        </w:rPr>
        <w:t>die Sorte wird als nicht homogen betrachtet</w:t>
      </w:r>
    </w:p>
    <w:p w:rsidR="00183337" w:rsidRPr="00700478" w:rsidRDefault="00183337" w:rsidP="00183337">
      <w:pPr>
        <w:pStyle w:val="Titleofdoc0"/>
        <w:spacing w:before="0"/>
        <w:ind w:left="567"/>
        <w:jc w:val="both"/>
        <w:rPr>
          <w:caps w:val="0"/>
        </w:rPr>
      </w:pPr>
      <w:r>
        <w:rPr>
          <w:caps w:val="0"/>
        </w:rPr>
        <w:t>(basierend auf einem Populationsstandard von 1% und einer Akzeptanzwahrscheinlichkeit von 95% bei einer Probengröße von 83 bis 130 Pflanzen)</w:t>
      </w:r>
    </w:p>
    <w:p w:rsidR="00183337" w:rsidRPr="00700478" w:rsidRDefault="00183337" w:rsidP="00183337">
      <w:pPr>
        <w:pStyle w:val="Titleofdoc0"/>
        <w:spacing w:before="0"/>
        <w:jc w:val="both"/>
        <w:rPr>
          <w:caps w:val="0"/>
        </w:rPr>
      </w:pPr>
    </w:p>
    <w:p w:rsidR="00183337" w:rsidRDefault="00183337" w:rsidP="00183337">
      <w:pPr>
        <w:pStyle w:val="Titleofdoc0"/>
        <w:spacing w:before="0"/>
        <w:jc w:val="both"/>
        <w:rPr>
          <w:caps w:val="0"/>
        </w:rPr>
      </w:pPr>
      <w:r>
        <w:rPr>
          <w:caps w:val="0"/>
        </w:rPr>
        <w:t>Werden die zwei Versuche als unabhängig betrachtet, so wird die Sorte als homogen betrachtet. Werden die zwei Versuche kombiniert, so wird die Sorte als nicht homogen betrachtet.</w:t>
      </w:r>
    </w:p>
    <w:p w:rsidR="00183337" w:rsidRDefault="00183337" w:rsidP="00183337">
      <w:pPr>
        <w:rPr>
          <w:caps/>
        </w:rPr>
      </w:pPr>
    </w:p>
    <w:p w:rsidR="00183337" w:rsidRDefault="00183337" w:rsidP="00183337">
      <w:pPr>
        <w:rPr>
          <w:caps/>
        </w:rPr>
      </w:pPr>
    </w:p>
    <w:p w:rsidR="00183337" w:rsidRPr="00ED3415" w:rsidRDefault="00183337" w:rsidP="00183337">
      <w:pPr>
        <w:pStyle w:val="Heading2"/>
        <w:rPr>
          <w:rFonts w:eastAsia="MS Mincho"/>
        </w:rPr>
      </w:pPr>
      <w:bookmarkStart w:id="32" w:name="_Toc378080741"/>
      <w:bookmarkStart w:id="33" w:name="_Toc380071458"/>
      <w:r>
        <w:t>Technische Arbeitsgruppe für Automatisierung und Computerprogramme</w:t>
      </w:r>
      <w:bookmarkEnd w:id="32"/>
      <w:bookmarkEnd w:id="33"/>
      <w:r>
        <w:t xml:space="preserve"> </w:t>
      </w:r>
    </w:p>
    <w:p w:rsidR="00183337" w:rsidRDefault="00183337" w:rsidP="00183337">
      <w:pPr>
        <w:rPr>
          <w:caps/>
        </w:rPr>
      </w:pPr>
    </w:p>
    <w:p w:rsidR="00183337" w:rsidRPr="00917C3E" w:rsidRDefault="00183337" w:rsidP="00183337">
      <w:pPr>
        <w:autoSpaceDE w:val="0"/>
        <w:autoSpaceDN w:val="0"/>
        <w:adjustRightInd w:val="0"/>
        <w:ind w:left="567" w:hanging="567"/>
        <w:jc w:val="left"/>
        <w:rPr>
          <w:color w:val="000000"/>
        </w:rPr>
      </w:pPr>
      <w:r w:rsidRPr="00917C3E">
        <w:rPr>
          <w:color w:val="000000"/>
        </w:rPr>
        <w:fldChar w:fldCharType="begin"/>
      </w:r>
      <w:r w:rsidRPr="00917C3E">
        <w:rPr>
          <w:color w:val="000000"/>
        </w:rPr>
        <w:instrText xml:space="preserve"> AUTONUM  </w:instrText>
      </w:r>
      <w:r w:rsidRPr="00917C3E">
        <w:rPr>
          <w:color w:val="000000"/>
        </w:rPr>
        <w:fldChar w:fldCharType="end"/>
      </w:r>
      <w:r>
        <w:tab/>
      </w:r>
      <w:r>
        <w:rPr>
          <w:color w:val="000000"/>
        </w:rPr>
        <w:t>Die TWC prüfte das Dokument TWC/31/22.</w:t>
      </w:r>
    </w:p>
    <w:p w:rsidR="00183337" w:rsidRPr="00917C3E" w:rsidRDefault="00183337" w:rsidP="00183337">
      <w:pPr>
        <w:autoSpaceDE w:val="0"/>
        <w:autoSpaceDN w:val="0"/>
        <w:adjustRightInd w:val="0"/>
        <w:ind w:left="567" w:hanging="567"/>
        <w:jc w:val="left"/>
        <w:rPr>
          <w:color w:val="000000"/>
        </w:rPr>
      </w:pPr>
    </w:p>
    <w:p w:rsidR="00183337" w:rsidRPr="00917C3E" w:rsidRDefault="00183337" w:rsidP="0018333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tab/>
      </w:r>
      <w:r>
        <w:rPr>
          <w:color w:val="000000"/>
          <w:szCs w:val="24"/>
        </w:rPr>
        <w:t>Die TWC merkte an, daß sie vereinbart hatte, daß detailliertere Informationen und weitere Analysen erforderlich seien, um Anleitung zu den Folgen der Verwendung der in den Anlagen I bis IV von Dokument</w:t>
      </w:r>
      <w:r w:rsidR="00E932E8">
        <w:rPr>
          <w:color w:val="000000"/>
          <w:szCs w:val="24"/>
        </w:rPr>
        <w:t> </w:t>
      </w:r>
      <w:r>
        <w:rPr>
          <w:color w:val="000000"/>
          <w:szCs w:val="24"/>
        </w:rPr>
        <w:t xml:space="preserve">TWV/31/22 dargelegten unterschiedlichen Herangehensweisen erteilen zu können und daß Deutschland, Frankreich und die Niederlande eine oder mehrere konkrete Situationen aus ihren Ländern sowie die statistische Grundlage ihrer Analyse für ihre nächste Tagung vorlegen werden. </w:t>
      </w:r>
    </w:p>
    <w:p w:rsidR="00183337" w:rsidRPr="00917C3E" w:rsidRDefault="00183337" w:rsidP="00183337">
      <w:pPr>
        <w:autoSpaceDE w:val="0"/>
        <w:autoSpaceDN w:val="0"/>
        <w:adjustRightInd w:val="0"/>
        <w:ind w:left="567" w:hanging="27"/>
        <w:jc w:val="left"/>
        <w:rPr>
          <w:color w:val="000000"/>
          <w:szCs w:val="24"/>
        </w:rPr>
      </w:pPr>
    </w:p>
    <w:p w:rsidR="00183337" w:rsidRPr="00917C3E" w:rsidRDefault="00183337" w:rsidP="0018333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tab/>
      </w:r>
      <w:r w:rsidR="00646BD1">
        <w:rPr>
          <w:color w:val="000000"/>
          <w:szCs w:val="24"/>
        </w:rPr>
        <w:t>Die TWC prüfte die statistische Grundlage für die annehmbare Anzahl von Abweichern in der Unterprobe von 20 Pflanzen, die bei einer Probengröße von 100 Pflanzen verwendet werden, wie in Anlage</w:t>
      </w:r>
      <w:r w:rsidR="00E932E8">
        <w:rPr>
          <w:color w:val="000000"/>
          <w:szCs w:val="24"/>
        </w:rPr>
        <w:t> </w:t>
      </w:r>
      <w:r w:rsidR="00646BD1">
        <w:rPr>
          <w:color w:val="000000"/>
          <w:szCs w:val="24"/>
        </w:rPr>
        <w:t xml:space="preserve">V von Dokument TWC/31/22 enthalten, die von einem Sachverständigen aus Deutschland auf elektronischem Wege eingereicht wurde. </w:t>
      </w:r>
    </w:p>
    <w:p w:rsidR="00183337" w:rsidRPr="00917C3E" w:rsidRDefault="00183337" w:rsidP="00183337">
      <w:pPr>
        <w:autoSpaceDE w:val="0"/>
        <w:autoSpaceDN w:val="0"/>
        <w:adjustRightInd w:val="0"/>
        <w:rPr>
          <w:color w:val="000000"/>
          <w:szCs w:val="24"/>
        </w:rPr>
      </w:pPr>
    </w:p>
    <w:p w:rsidR="00183337" w:rsidRPr="00917C3E" w:rsidRDefault="00183337" w:rsidP="00183337">
      <w:pPr>
        <w:autoSpaceDE w:val="0"/>
        <w:autoSpaceDN w:val="0"/>
        <w:adjustRightInd w:val="0"/>
        <w:rPr>
          <w:color w:val="000000"/>
          <w:szCs w:val="24"/>
        </w:rPr>
      </w:pPr>
      <w:r w:rsidRPr="008232BD">
        <w:rPr>
          <w:color w:val="000000"/>
          <w:szCs w:val="24"/>
        </w:rPr>
        <w:fldChar w:fldCharType="begin"/>
      </w:r>
      <w:r w:rsidRPr="008232BD">
        <w:rPr>
          <w:color w:val="000000"/>
          <w:szCs w:val="24"/>
        </w:rPr>
        <w:instrText xml:space="preserve"> AUTONUM  </w:instrText>
      </w:r>
      <w:r w:rsidRPr="008232BD">
        <w:rPr>
          <w:color w:val="000000"/>
          <w:szCs w:val="24"/>
        </w:rPr>
        <w:fldChar w:fldCharType="end"/>
      </w:r>
      <w:r>
        <w:tab/>
      </w:r>
      <w:r>
        <w:rPr>
          <w:color w:val="000000"/>
          <w:szCs w:val="24"/>
        </w:rPr>
        <w:t>Die TWC ersuchte die Sachverständigen aus Deutschland, die in der statistischen Grundlage für die annehmbare Anzahl von Abweichern in der Unterprobe von 20 Pflanzen, die bei einer Probengröße von 100</w:t>
      </w:r>
      <w:r w:rsidR="00E932E8">
        <w:rPr>
          <w:color w:val="000000"/>
          <w:szCs w:val="24"/>
        </w:rPr>
        <w:t> </w:t>
      </w:r>
      <w:r>
        <w:rPr>
          <w:color w:val="000000"/>
          <w:szCs w:val="24"/>
        </w:rPr>
        <w:t xml:space="preserve">Pflanzen verwendet werden, die Fehler vom Typ I und Typ II zu erklären. Die TWC vereinbarte, die statistische Grundlage für diesen Ansatz auf ihrer zweiunddreißigsten Tagung weiter zu erörtern. Die TWC vereinbarte, daß es nicht zweckmäßig sei, diesen Ansatz für andere Pflanzen oder Probengrößen zu empfehlen, bevor sie sich auf die statistische Grundlage geeinigt habe. </w:t>
      </w:r>
    </w:p>
    <w:p w:rsidR="00183337" w:rsidRPr="00917C3E" w:rsidRDefault="00183337" w:rsidP="00183337">
      <w:pPr>
        <w:autoSpaceDE w:val="0"/>
        <w:autoSpaceDN w:val="0"/>
        <w:adjustRightInd w:val="0"/>
        <w:ind w:left="567" w:hanging="27"/>
        <w:jc w:val="left"/>
        <w:rPr>
          <w:color w:val="000000"/>
          <w:szCs w:val="24"/>
        </w:rPr>
      </w:pPr>
    </w:p>
    <w:p w:rsidR="00183337" w:rsidRPr="00917C3E" w:rsidRDefault="00183337" w:rsidP="0018333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tab/>
      </w:r>
      <w:r>
        <w:rPr>
          <w:color w:val="000000"/>
        </w:rPr>
        <w:t xml:space="preserve">Die TWC </w:t>
      </w:r>
      <w:r>
        <w:rPr>
          <w:color w:val="000000"/>
          <w:szCs w:val="24"/>
        </w:rPr>
        <w:t>merkte an, daß der TC im Hinblick auf den Ansatz der Kombination der Ergebnisse zweier Wachstumsperioden, wie in den Anlagen I und II von Dokument TWC/31/22, Situation A und B, dargelegt, vereinbart hatte, daß bei der Prüfung von Ergebnissen, die in jeder der Wachstumsperioden sehr unterschiedlich sind, mit größter Sorgfalt verfahren werden müsse, etwa wenn ein Abweichertyp in einer Wachstumsperiode sehr häufig und in einer anderen überhaupt nicht vorkomme.</w:t>
      </w:r>
    </w:p>
    <w:p w:rsidR="00183337" w:rsidRPr="00917C3E" w:rsidRDefault="00183337" w:rsidP="00183337">
      <w:pPr>
        <w:autoSpaceDE w:val="0"/>
        <w:autoSpaceDN w:val="0"/>
        <w:adjustRightInd w:val="0"/>
        <w:ind w:left="567" w:hanging="27"/>
        <w:rPr>
          <w:color w:val="000000"/>
          <w:szCs w:val="24"/>
        </w:rPr>
      </w:pPr>
    </w:p>
    <w:p w:rsidR="00183337" w:rsidRDefault="00183337" w:rsidP="0018333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tab/>
      </w:r>
      <w:r>
        <w:rPr>
          <w:color w:val="000000"/>
          <w:szCs w:val="24"/>
        </w:rPr>
        <w:t xml:space="preserve">Die TWC nahm zur Kenntnis, daß in Dokument TWC/31/26 Informationen über die Prüfung der Homogenität von Apfelsorten aus Mutationen in Neuseeland dargelegt würden </w:t>
      </w:r>
      <w:r w:rsidR="00E932E8">
        <w:t>(vergleiche Dokument </w:t>
      </w:r>
      <w:r>
        <w:t>TWC/31/32 „</w:t>
      </w:r>
      <w:r w:rsidRPr="006C03B1">
        <w:rPr>
          <w:i/>
        </w:rPr>
        <w:t>Report</w:t>
      </w:r>
      <w:r>
        <w:t>”, Absätze 82 bis 87)</w:t>
      </w:r>
      <w:r>
        <w:rPr>
          <w:color w:val="000000"/>
          <w:szCs w:val="24"/>
        </w:rPr>
        <w:t>.</w:t>
      </w:r>
    </w:p>
    <w:p w:rsidR="00183337" w:rsidRDefault="00183337" w:rsidP="00183337">
      <w:pPr>
        <w:rPr>
          <w:caps/>
        </w:rPr>
      </w:pPr>
    </w:p>
    <w:p w:rsidR="00183337" w:rsidRDefault="00183337" w:rsidP="00183337">
      <w:pPr>
        <w:rPr>
          <w:caps/>
        </w:rPr>
      </w:pPr>
    </w:p>
    <w:p w:rsidR="00183337" w:rsidRPr="00ED3415" w:rsidRDefault="00183337" w:rsidP="00183337">
      <w:pPr>
        <w:pStyle w:val="Heading2"/>
        <w:keepNext w:val="0"/>
      </w:pPr>
      <w:bookmarkStart w:id="34" w:name="_Toc378080742"/>
      <w:bookmarkStart w:id="35" w:name="_Toc380071459"/>
      <w:r>
        <w:t xml:space="preserve">Technische Arbeitsgruppe </w:t>
      </w:r>
      <w:r>
        <w:rPr>
          <w:iCs/>
        </w:rPr>
        <w:t>für landwirtschaftliche Arten</w:t>
      </w:r>
      <w:bookmarkEnd w:id="34"/>
      <w:bookmarkEnd w:id="35"/>
    </w:p>
    <w:p w:rsidR="00183337" w:rsidRDefault="00183337" w:rsidP="00183337">
      <w:pPr>
        <w:rPr>
          <w:caps/>
        </w:rPr>
      </w:pPr>
    </w:p>
    <w:p w:rsidR="00183337" w:rsidRPr="004B761D" w:rsidRDefault="00183337" w:rsidP="00183337">
      <w:pPr>
        <w:pStyle w:val="Titleofdoc0"/>
        <w:spacing w:before="0"/>
        <w:jc w:val="both"/>
        <w:rPr>
          <w:rFonts w:eastAsia="MS Mincho"/>
        </w:rPr>
      </w:pPr>
      <w:r w:rsidRPr="004B761D">
        <w:fldChar w:fldCharType="begin"/>
      </w:r>
      <w:r w:rsidRPr="004B761D">
        <w:instrText xml:space="preserve"> AUTONUM  </w:instrText>
      </w:r>
      <w:r w:rsidRPr="004B761D">
        <w:fldChar w:fldCharType="end"/>
      </w:r>
      <w:r>
        <w:tab/>
      </w:r>
      <w:r>
        <w:rPr>
          <w:caps w:val="0"/>
        </w:rPr>
        <w:t xml:space="preserve">Die TWA prüfte Dokument </w:t>
      </w:r>
      <w:r>
        <w:t>TWA/42/22</w:t>
      </w:r>
      <w:r>
        <w:rPr>
          <w:caps w:val="0"/>
        </w:rPr>
        <w:t xml:space="preserve"> und nahm zur Kenntnis, daß:</w:t>
      </w:r>
    </w:p>
    <w:p w:rsidR="00183337" w:rsidRPr="004B761D" w:rsidRDefault="00183337" w:rsidP="00183337">
      <w:pPr>
        <w:rPr>
          <w:rFonts w:eastAsia="MS Mincho"/>
        </w:rPr>
      </w:pPr>
    </w:p>
    <w:p w:rsidR="00183337" w:rsidRPr="004B761D" w:rsidRDefault="00183337" w:rsidP="00183337">
      <w:pPr>
        <w:ind w:firstLine="540"/>
      </w:pPr>
      <w:r>
        <w:t>a)</w:t>
      </w:r>
      <w:r>
        <w:tab/>
        <w:t>die TWC vereinbart hatte, daß detailliertere Informationen und weitere Analysen erforderlich seien, um Anleitung zu den Folgen der Verwendung der in den Anlagen I bis IV von Dokument TWA/42/22 dargelegten unterschiedlichen Herangehensweisen erteilen zu können und daß Deutschland, Frankreich und die Niederlande eine oder mehrere konkrete Situationen aus ihren Ländern sowie die statistische Grundlage ihrer Analyse für ihre nächste Tagung vorlegen werden;</w:t>
      </w:r>
    </w:p>
    <w:p w:rsidR="00183337" w:rsidRPr="004B761D" w:rsidRDefault="00183337" w:rsidP="00183337">
      <w:pPr>
        <w:ind w:firstLine="540"/>
      </w:pPr>
    </w:p>
    <w:p w:rsidR="00183337" w:rsidRPr="004B761D" w:rsidRDefault="00646BD1" w:rsidP="00183337">
      <w:pPr>
        <w:ind w:firstLine="540"/>
        <w:rPr>
          <w:rFonts w:eastAsia="MS Mincho"/>
        </w:rPr>
      </w:pPr>
      <w:r>
        <w:t>b)</w:t>
      </w:r>
      <w:r>
        <w:tab/>
        <w:t>die TWC vereinbart hatte, daß die statistische Grundlage für die akzeptable Zahl von Abweichern in den Unterproben von 20 Pflanzen, die im Zusammenhan</w:t>
      </w:r>
      <w:r w:rsidR="00E932E8">
        <w:t>g mit einer Probengröße von 100 </w:t>
      </w:r>
      <w:r>
        <w:t>Pflanzen (Situation D) verwendet werden, von den Sachverständigen aus Frankreich und Deutschland geprüft werde; und</w:t>
      </w:r>
    </w:p>
    <w:p w:rsidR="00183337" w:rsidRPr="004B761D" w:rsidRDefault="00183337" w:rsidP="00183337">
      <w:pPr>
        <w:ind w:firstLine="540"/>
        <w:rPr>
          <w:rFonts w:eastAsia="MS Mincho"/>
        </w:rPr>
      </w:pPr>
    </w:p>
    <w:p w:rsidR="00183337" w:rsidRPr="004B761D" w:rsidRDefault="00646BD1" w:rsidP="00183337">
      <w:pPr>
        <w:ind w:firstLine="540"/>
        <w:rPr>
          <w:rFonts w:eastAsia="MS Mincho"/>
        </w:rPr>
      </w:pPr>
      <w:r>
        <w:t>c)</w:t>
      </w:r>
      <w:r>
        <w:tab/>
        <w:t>der TC sich im Hinblick auf den Ansatz der Kombination der Ergebnisse zweier Wachstumsperioden, wie in den Anlagen I und II von Dokument TWA/42/22, Situation A und B, dargelegt, darin einig war, daß bei der Prüfung von Ergebnissen, die in jeder der Wachstumsperioden sehr unterschiedlich sind, mit größter Sorgfalt verfahren werden müsse, etwa wenn ein Abweichertyp in einer Wachstumsperiode sehr häufig und in einer anderen überhaupt nicht vorkomme.</w:t>
      </w:r>
    </w:p>
    <w:p w:rsidR="00183337" w:rsidRPr="004B761D" w:rsidRDefault="00183337" w:rsidP="00183337">
      <w:pPr>
        <w:ind w:firstLine="540"/>
        <w:rPr>
          <w:rFonts w:eastAsia="MS Mincho"/>
        </w:rPr>
      </w:pPr>
    </w:p>
    <w:p w:rsidR="00183337" w:rsidRDefault="00183337" w:rsidP="0018333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tab/>
      </w:r>
      <w:r>
        <w:rPr>
          <w:caps w:val="0"/>
        </w:rPr>
        <w:t xml:space="preserve">Die TWA ersuchte das Verbandsbüro, die Anlagen zu Dokument TWA/42/22 zur Vorlage auf ihrer dreiundvierzigsten Tagung im Hinblick auf die Darlegung der von der TWC für die Analyse der Auswirkungen unterschiedlicher Ansätze ersuchten Information weiter zu entwickeln. Die TWA vereinbarte, daß die Sachverständigen aus Deutschland, Frankreich, den Niederlanden und dem Vereinigten Königreich das Büro bei der Ausarbeitung des Dokuments unterstützen sollten. </w:t>
      </w:r>
    </w:p>
    <w:p w:rsidR="00183337" w:rsidRDefault="00183337" w:rsidP="00183337">
      <w:pPr>
        <w:pStyle w:val="Titleofdoc0"/>
        <w:spacing w:before="0"/>
        <w:jc w:val="both"/>
        <w:rPr>
          <w:caps w:val="0"/>
        </w:rPr>
      </w:pPr>
    </w:p>
    <w:p w:rsidR="00183337" w:rsidRPr="005076CA" w:rsidRDefault="00183337" w:rsidP="0018333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tab/>
      </w:r>
      <w:r>
        <w:rPr>
          <w:caps w:val="0"/>
        </w:rPr>
        <w:t>Die TWA vereinbarte, daß die unterschiedlichen Situationen an einem Beispiel ohne Erwähnung einzelner Verbandsmitglieder dargelegt werden sollen. Die TWA vereinbarte ferner, daß klargestellt werden soll, ob die zwei Ansätze in Situation A widersprüchlich seien oder ob einer von beiden zweckmäßiger sei und daß sich Situation C auf die Verwendung von Proben oder Unterproben statt auf „Prüfungen/Versuche“ beziehen solle (vergleiche Dokument TWA/42/31 „</w:t>
      </w:r>
      <w:r w:rsidRPr="006C03B1">
        <w:rPr>
          <w:i/>
          <w:caps w:val="0"/>
        </w:rPr>
        <w:t>Report</w:t>
      </w:r>
      <w:r>
        <w:rPr>
          <w:caps w:val="0"/>
        </w:rPr>
        <w:t xml:space="preserve">“, Absätze 68 bis 70). </w:t>
      </w:r>
    </w:p>
    <w:p w:rsidR="00183337" w:rsidRDefault="00183337" w:rsidP="00183337">
      <w:pPr>
        <w:rPr>
          <w:caps/>
        </w:rPr>
      </w:pPr>
    </w:p>
    <w:p w:rsidR="00E5345F" w:rsidRDefault="00E5345F" w:rsidP="00183337">
      <w:pPr>
        <w:rPr>
          <w:caps/>
        </w:rPr>
      </w:pPr>
    </w:p>
    <w:p w:rsidR="00B74E0F" w:rsidRDefault="00B74E0F" w:rsidP="00B74E0F">
      <w:pPr>
        <w:pStyle w:val="Heading1"/>
      </w:pPr>
      <w:bookmarkStart w:id="36" w:name="_Toc378080743"/>
      <w:bookmarkStart w:id="37" w:name="_Toc380071460"/>
      <w:r>
        <w:t>iV.</w:t>
      </w:r>
      <w:r>
        <w:tab/>
        <w:t>ENTWICKLUNGEN IM JAHR 2014</w:t>
      </w:r>
      <w:bookmarkEnd w:id="36"/>
      <w:bookmarkEnd w:id="37"/>
    </w:p>
    <w:p w:rsidR="00183337" w:rsidRDefault="00183337" w:rsidP="00183337">
      <w:pPr>
        <w:rPr>
          <w:caps/>
        </w:rPr>
      </w:pPr>
    </w:p>
    <w:p w:rsidR="00183337" w:rsidRDefault="00B74E0F" w:rsidP="00B74E0F">
      <w:pPr>
        <w:pStyle w:val="Heading2"/>
      </w:pPr>
      <w:bookmarkStart w:id="38" w:name="_Toc378080744"/>
      <w:bookmarkStart w:id="39" w:name="_Toc380071461"/>
      <w:r>
        <w:t>Erweiterter Redaktionsausschuß</w:t>
      </w:r>
      <w:bookmarkEnd w:id="38"/>
      <w:bookmarkEnd w:id="39"/>
    </w:p>
    <w:p w:rsidR="00B74E0F" w:rsidRDefault="00B74E0F" w:rsidP="00183337"/>
    <w:p w:rsidR="00B74E0F" w:rsidRDefault="00B74E0F" w:rsidP="00B74E0F">
      <w:r>
        <w:fldChar w:fldCharType="begin"/>
      </w:r>
      <w:r>
        <w:instrText xml:space="preserve"> AUTONUM  </w:instrText>
      </w:r>
      <w:r>
        <w:fldChar w:fldCharType="end"/>
      </w:r>
      <w:r>
        <w:tab/>
        <w:t>Der TC-EDC,</w:t>
      </w:r>
      <w:r>
        <w:rPr>
          <w:color w:val="000000"/>
        </w:rPr>
        <w:t xml:space="preserve"> </w:t>
      </w:r>
      <w:r>
        <w:t>prüfte auf seinen Tagungen am 8. und 9. Januar 2014 in Genf</w:t>
      </w:r>
      <w:r>
        <w:rPr>
          <w:color w:val="000000"/>
        </w:rPr>
        <w:t xml:space="preserve"> </w:t>
      </w:r>
      <w:r w:rsidR="00E932E8">
        <w:t>Dokument </w:t>
      </w:r>
      <w:r>
        <w:t>TC</w:t>
      </w:r>
      <w:r>
        <w:noBreakHyphen/>
        <w:t>EDC/Jan14/23 „</w:t>
      </w:r>
      <w:r w:rsidRPr="006C03B1">
        <w:rPr>
          <w:i/>
        </w:rPr>
        <w:t>Assessing Uniformity by Off-Types on Basis of More than One Sample or Sub-Samples</w:t>
      </w:r>
      <w:r>
        <w:t>” und die von den TWP auf ihren Tagungen im Jahr 2013 angebrachten Kommentare und machte folgende Anmerkungen:</w:t>
      </w:r>
    </w:p>
    <w:p w:rsidR="003232C8" w:rsidRDefault="003232C8" w:rsidP="00B74E0F"/>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8208"/>
      </w:tblGrid>
      <w:tr w:rsidR="003232C8" w:rsidRPr="002302DC" w:rsidTr="00E14650">
        <w:trPr>
          <w:cantSplit/>
        </w:trPr>
        <w:tc>
          <w:tcPr>
            <w:tcW w:w="1431" w:type="dxa"/>
          </w:tcPr>
          <w:p w:rsidR="003232C8" w:rsidRPr="002302DC" w:rsidRDefault="00AE2B12" w:rsidP="00AE2B12">
            <w:pPr>
              <w:rPr>
                <w:rFonts w:cs="Arial"/>
              </w:rPr>
            </w:pPr>
            <w:r>
              <w:t>Allgemein</w:t>
            </w:r>
          </w:p>
        </w:tc>
        <w:tc>
          <w:tcPr>
            <w:tcW w:w="8208" w:type="dxa"/>
          </w:tcPr>
          <w:p w:rsidR="003232C8" w:rsidRPr="00031D45" w:rsidRDefault="00AE2B12" w:rsidP="00DD41C2">
            <w:pPr>
              <w:keepNext/>
              <w:jc w:val="left"/>
              <w:rPr>
                <w:rFonts w:cs="Arial"/>
                <w:color w:val="000000"/>
              </w:rPr>
            </w:pPr>
            <w:r>
              <w:rPr>
                <w:bCs/>
                <w:snapToGrid w:val="0"/>
                <w:color w:val="000000"/>
              </w:rPr>
              <w:t>prüfen, ob Anleitung für Situationen A, B, C und D in Dokument TGP/10 entwickelt werden sollte und im Falle der Situationen A und B, ob Anleitung auf der Grundlage einer der Ansätze oder beider Ansätze entwickelt werden sollte.</w:t>
            </w:r>
          </w:p>
        </w:tc>
      </w:tr>
      <w:tr w:rsidR="00E14650" w:rsidRPr="002302DC" w:rsidTr="00E14650">
        <w:trPr>
          <w:cantSplit/>
        </w:trPr>
        <w:tc>
          <w:tcPr>
            <w:tcW w:w="1431" w:type="dxa"/>
          </w:tcPr>
          <w:p w:rsidR="00E14650" w:rsidRPr="002302DC" w:rsidRDefault="00E14650" w:rsidP="00E14650">
            <w:pPr>
              <w:jc w:val="left"/>
              <w:rPr>
                <w:rFonts w:cs="Arial"/>
              </w:rPr>
            </w:pPr>
            <w:r>
              <w:t>Anlagen I und II</w:t>
            </w:r>
          </w:p>
        </w:tc>
        <w:tc>
          <w:tcPr>
            <w:tcW w:w="8208" w:type="dxa"/>
          </w:tcPr>
          <w:p w:rsidR="00E14650" w:rsidRPr="00031D45" w:rsidRDefault="00E14650" w:rsidP="00E14650">
            <w:pPr>
              <w:autoSpaceDE w:val="0"/>
              <w:autoSpaceDN w:val="0"/>
              <w:adjustRightInd w:val="0"/>
              <w:rPr>
                <w:rFonts w:cs="Arial"/>
                <w:color w:val="000000"/>
              </w:rPr>
            </w:pPr>
            <w:r>
              <w:rPr>
                <w:color w:val="000000"/>
              </w:rPr>
              <w:t>Zu Ansatz 2 zu Beginn des dritten Absatzes hinzufügen „</w:t>
            </w:r>
            <w:r w:rsidRPr="005B57C1">
              <w:rPr>
                <w:szCs w:val="24"/>
                <w:highlight w:val="lightGray"/>
                <w:u w:val="single"/>
              </w:rPr>
              <w:t>Entspricht die Sorte am Ende der beiden Wachstumsperioden in einer Wachstumsperiode dem Homogenitätsstandard, in der anderen Wachstumsperiode aber nicht,”</w:t>
            </w:r>
            <w:r>
              <w:rPr>
                <w:szCs w:val="24"/>
              </w:rPr>
              <w:t xml:space="preserve">. </w:t>
            </w:r>
          </w:p>
        </w:tc>
      </w:tr>
      <w:tr w:rsidR="003232C8" w:rsidRPr="002302DC" w:rsidTr="00E14650">
        <w:trPr>
          <w:cantSplit/>
        </w:trPr>
        <w:tc>
          <w:tcPr>
            <w:tcW w:w="1431" w:type="dxa"/>
          </w:tcPr>
          <w:p w:rsidR="003232C8" w:rsidRPr="002302DC" w:rsidRDefault="003232C8" w:rsidP="00DD41C2">
            <w:pPr>
              <w:rPr>
                <w:rFonts w:cs="Arial"/>
              </w:rPr>
            </w:pPr>
            <w:r>
              <w:t xml:space="preserve">Anlage III </w:t>
            </w:r>
          </w:p>
        </w:tc>
        <w:tc>
          <w:tcPr>
            <w:tcW w:w="8208" w:type="dxa"/>
          </w:tcPr>
          <w:p w:rsidR="003232C8" w:rsidRPr="00031D45" w:rsidRDefault="003232C8" w:rsidP="00DD41C2">
            <w:pPr>
              <w:autoSpaceDE w:val="0"/>
              <w:autoSpaceDN w:val="0"/>
              <w:adjustRightInd w:val="0"/>
              <w:rPr>
                <w:rFonts w:cs="Arial"/>
                <w:color w:val="000000"/>
              </w:rPr>
            </w:pPr>
            <w:r>
              <w:rPr>
                <w:color w:val="000000"/>
              </w:rPr>
              <w:t>prüfen, ob der in Anlage III dargelegte Ansatz ausgehend davon, daß er sich nicht auf eine häufig vorkommende Situation bezieht, gestrichen werden soll.</w:t>
            </w:r>
          </w:p>
        </w:tc>
      </w:tr>
    </w:tbl>
    <w:p w:rsidR="00906BFB" w:rsidRDefault="00906BFB" w:rsidP="00183337">
      <w:pPr>
        <w:pStyle w:val="Heading1"/>
      </w:pPr>
      <w:bookmarkStart w:id="40" w:name="_Toc378080745"/>
    </w:p>
    <w:p w:rsidR="00183337" w:rsidRPr="00D65E68" w:rsidRDefault="00183337" w:rsidP="00183337">
      <w:pPr>
        <w:pStyle w:val="Heading1"/>
      </w:pPr>
      <w:bookmarkStart w:id="41" w:name="_Toc380071462"/>
      <w:r>
        <w:t>v.</w:t>
      </w:r>
      <w:r>
        <w:tab/>
        <w:t>Zusammenfassung der Ansätze</w:t>
      </w:r>
      <w:bookmarkEnd w:id="40"/>
      <w:bookmarkEnd w:id="41"/>
    </w:p>
    <w:p w:rsidR="00183337" w:rsidRPr="00D65E68" w:rsidRDefault="00183337" w:rsidP="00183337">
      <w:pPr>
        <w:rPr>
          <w:rFonts w:cs="Arial"/>
          <w:caps/>
          <w:snapToGrid w:val="0"/>
        </w:rPr>
      </w:pPr>
    </w:p>
    <w:p w:rsidR="00183337" w:rsidRDefault="00183337" w:rsidP="00183337">
      <w:pPr>
        <w:rPr>
          <w:szCs w:val="24"/>
        </w:rPr>
      </w:pPr>
      <w:r w:rsidRPr="00D8502F">
        <w:fldChar w:fldCharType="begin"/>
      </w:r>
      <w:r w:rsidRPr="00D8502F">
        <w:instrText xml:space="preserve"> AUTONUM  </w:instrText>
      </w:r>
      <w:r w:rsidRPr="00D8502F">
        <w:fldChar w:fldCharType="end"/>
      </w:r>
      <w:r>
        <w:tab/>
      </w:r>
      <w:r>
        <w:rPr>
          <w:szCs w:val="24"/>
        </w:rPr>
        <w:t xml:space="preserve">In den Anlagen I bis IV dieses Dokuments, in ihrer auf der Grundlage der Anmerkungen der TWP auf ihren Tagungen im Jahr 2013 geänderten Form sind unterschiedliche Situationen, in denen verschiedene Proben für die Gesamtprüfung der Homogenität einer Sorte kombiniert werden, wie folgt zusammengefaßt: </w:t>
      </w:r>
    </w:p>
    <w:p w:rsidR="00183337" w:rsidRDefault="00183337" w:rsidP="00183337">
      <w:pPr>
        <w:snapToGrid w:val="0"/>
        <w:rPr>
          <w:szCs w:val="24"/>
        </w:rPr>
      </w:pPr>
    </w:p>
    <w:p w:rsidR="00183337" w:rsidRPr="00F971AF" w:rsidRDefault="00183337" w:rsidP="00183337">
      <w:pPr>
        <w:autoSpaceDE w:val="0"/>
        <w:autoSpaceDN w:val="0"/>
        <w:adjustRightInd w:val="0"/>
        <w:snapToGrid w:val="0"/>
        <w:rPr>
          <w:i/>
          <w:szCs w:val="24"/>
        </w:rPr>
      </w:pPr>
      <w:r>
        <w:rPr>
          <w:i/>
          <w:szCs w:val="24"/>
        </w:rPr>
        <w:t>Anlage I: Situation A:  Zwei Wachstumsperioden an einem Standort</w:t>
      </w:r>
    </w:p>
    <w:p w:rsidR="00183337" w:rsidRPr="00F971AF" w:rsidRDefault="00183337" w:rsidP="00183337">
      <w:pPr>
        <w:autoSpaceDE w:val="0"/>
        <w:autoSpaceDN w:val="0"/>
        <w:adjustRightInd w:val="0"/>
        <w:snapToGrid w:val="0"/>
        <w:ind w:left="567"/>
        <w:rPr>
          <w:szCs w:val="24"/>
        </w:rPr>
      </w:pPr>
    </w:p>
    <w:p w:rsidR="00183337" w:rsidRPr="00F971AF" w:rsidRDefault="00183337" w:rsidP="00183337">
      <w:pPr>
        <w:autoSpaceDE w:val="0"/>
        <w:autoSpaceDN w:val="0"/>
        <w:adjustRightInd w:val="0"/>
        <w:snapToGrid w:val="0"/>
        <w:ind w:left="567" w:firstLine="273"/>
        <w:rPr>
          <w:szCs w:val="24"/>
        </w:rPr>
      </w:pPr>
      <w:r>
        <w:rPr>
          <w:szCs w:val="24"/>
        </w:rPr>
        <w:t xml:space="preserve">Ansatz 1:  Dritte Wachstumsperiode im Fall widersprüchlicher Ergebnisse </w:t>
      </w:r>
    </w:p>
    <w:p w:rsidR="00183337" w:rsidRPr="00F971AF" w:rsidRDefault="00183337" w:rsidP="00183337">
      <w:pPr>
        <w:autoSpaceDE w:val="0"/>
        <w:autoSpaceDN w:val="0"/>
        <w:adjustRightInd w:val="0"/>
        <w:snapToGrid w:val="0"/>
        <w:ind w:left="567" w:firstLine="273"/>
        <w:rPr>
          <w:szCs w:val="24"/>
        </w:rPr>
      </w:pPr>
      <w:r>
        <w:rPr>
          <w:szCs w:val="24"/>
        </w:rPr>
        <w:t>Ansatz 2:  Kombination der Ergebnisse aus zwei Wachstumsperioden</w:t>
      </w:r>
    </w:p>
    <w:p w:rsidR="00183337" w:rsidRPr="00F971AF" w:rsidRDefault="00183337" w:rsidP="00183337">
      <w:pPr>
        <w:autoSpaceDE w:val="0"/>
        <w:autoSpaceDN w:val="0"/>
        <w:adjustRightInd w:val="0"/>
        <w:snapToGrid w:val="0"/>
        <w:ind w:left="567" w:firstLine="273"/>
        <w:rPr>
          <w:szCs w:val="24"/>
        </w:rPr>
      </w:pPr>
    </w:p>
    <w:p w:rsidR="00183337" w:rsidRPr="00F971AF" w:rsidRDefault="00183337" w:rsidP="00183337">
      <w:pPr>
        <w:snapToGrid w:val="0"/>
        <w:jc w:val="left"/>
        <w:rPr>
          <w:i/>
          <w:szCs w:val="24"/>
        </w:rPr>
      </w:pPr>
      <w:r>
        <w:rPr>
          <w:i/>
          <w:szCs w:val="24"/>
        </w:rPr>
        <w:t xml:space="preserve">Anlage II: Situation B:  Zwei Standorte im gleichen Jahr </w:t>
      </w:r>
    </w:p>
    <w:p w:rsidR="00183337" w:rsidRPr="00F971AF" w:rsidRDefault="00183337" w:rsidP="00183337">
      <w:pPr>
        <w:snapToGrid w:val="0"/>
        <w:ind w:left="567"/>
        <w:jc w:val="left"/>
      </w:pPr>
    </w:p>
    <w:p w:rsidR="00183337" w:rsidRPr="00F971AF" w:rsidRDefault="00183337" w:rsidP="00183337">
      <w:pPr>
        <w:snapToGrid w:val="0"/>
        <w:ind w:left="567" w:firstLine="273"/>
        <w:rPr>
          <w:szCs w:val="24"/>
        </w:rPr>
      </w:pPr>
      <w:r>
        <w:rPr>
          <w:szCs w:val="24"/>
        </w:rPr>
        <w:t xml:space="preserve">Ansatz 1:  Dritte Wachstumsperiode im Fall widersprüchlicher Ergebnisse </w:t>
      </w:r>
    </w:p>
    <w:p w:rsidR="00183337" w:rsidRPr="00F971AF" w:rsidRDefault="00183337" w:rsidP="00183337">
      <w:pPr>
        <w:snapToGrid w:val="0"/>
        <w:ind w:left="567" w:firstLine="273"/>
        <w:rPr>
          <w:szCs w:val="24"/>
        </w:rPr>
      </w:pPr>
      <w:r>
        <w:rPr>
          <w:szCs w:val="24"/>
        </w:rPr>
        <w:t xml:space="preserve">Ansatz 2:  Kombination der Ergebnisse aus zwei Standorten </w:t>
      </w:r>
    </w:p>
    <w:p w:rsidR="00183337" w:rsidRPr="00F971AF" w:rsidRDefault="00183337" w:rsidP="00183337">
      <w:pPr>
        <w:autoSpaceDE w:val="0"/>
        <w:autoSpaceDN w:val="0"/>
        <w:adjustRightInd w:val="0"/>
        <w:snapToGrid w:val="0"/>
        <w:ind w:left="567"/>
        <w:rPr>
          <w:szCs w:val="24"/>
        </w:rPr>
      </w:pPr>
    </w:p>
    <w:p w:rsidR="00183337" w:rsidRPr="00F971AF" w:rsidRDefault="00183337" w:rsidP="00183337">
      <w:pPr>
        <w:snapToGrid w:val="0"/>
        <w:jc w:val="left"/>
        <w:rPr>
          <w:i/>
        </w:rPr>
      </w:pPr>
      <w:r>
        <w:rPr>
          <w:i/>
          <w:szCs w:val="24"/>
        </w:rPr>
        <w:t xml:space="preserve">Anlage III: Situation C:  </w:t>
      </w:r>
      <w:r>
        <w:rPr>
          <w:i/>
        </w:rPr>
        <w:t>Mehr als eine Probe / Unterprobe für ein Merkmal in der gleichen Wachstumsperiode</w:t>
      </w:r>
    </w:p>
    <w:p w:rsidR="00183337" w:rsidRPr="00F971AF" w:rsidRDefault="00183337" w:rsidP="00183337">
      <w:pPr>
        <w:snapToGrid w:val="0"/>
        <w:ind w:left="567"/>
        <w:jc w:val="left"/>
        <w:rPr>
          <w:i/>
        </w:rPr>
      </w:pPr>
    </w:p>
    <w:p w:rsidR="00183337" w:rsidRPr="00F971AF" w:rsidRDefault="00183337" w:rsidP="00183337">
      <w:pPr>
        <w:snapToGrid w:val="0"/>
        <w:ind w:left="567" w:firstLine="273"/>
        <w:jc w:val="left"/>
      </w:pPr>
      <w:r>
        <w:t>Ansatz:  Zusätzliche Wachstumsperiode im Fall widersprüchlicher Ergebnisse</w:t>
      </w:r>
    </w:p>
    <w:p w:rsidR="00183337" w:rsidRPr="00F971AF" w:rsidRDefault="00183337" w:rsidP="00183337">
      <w:pPr>
        <w:autoSpaceDE w:val="0"/>
        <w:autoSpaceDN w:val="0"/>
        <w:adjustRightInd w:val="0"/>
        <w:snapToGrid w:val="0"/>
        <w:ind w:left="567"/>
        <w:rPr>
          <w:szCs w:val="24"/>
        </w:rPr>
      </w:pPr>
    </w:p>
    <w:p w:rsidR="00183337" w:rsidRPr="00F971AF" w:rsidRDefault="00183337" w:rsidP="00183337">
      <w:pPr>
        <w:snapToGrid w:val="0"/>
        <w:jc w:val="left"/>
        <w:rPr>
          <w:i/>
          <w:szCs w:val="24"/>
        </w:rPr>
      </w:pPr>
      <w:r>
        <w:rPr>
          <w:i/>
          <w:szCs w:val="24"/>
        </w:rPr>
        <w:t xml:space="preserve">Anlage IV: Situation D:  Prüfung von Unterproben in einer einzigen Prüfung / einem einzigen Versuch </w:t>
      </w:r>
    </w:p>
    <w:p w:rsidR="00183337" w:rsidRPr="00F971AF" w:rsidRDefault="00183337" w:rsidP="00183337">
      <w:pPr>
        <w:snapToGrid w:val="0"/>
        <w:ind w:left="567"/>
        <w:jc w:val="left"/>
        <w:rPr>
          <w:i/>
          <w:szCs w:val="24"/>
        </w:rPr>
      </w:pPr>
    </w:p>
    <w:p w:rsidR="00183337" w:rsidRPr="00966299" w:rsidRDefault="00183337" w:rsidP="00183337">
      <w:pPr>
        <w:snapToGrid w:val="0"/>
        <w:ind w:left="567" w:firstLine="273"/>
        <w:jc w:val="left"/>
        <w:rPr>
          <w:i/>
          <w:szCs w:val="24"/>
        </w:rPr>
      </w:pPr>
      <w:r>
        <w:rPr>
          <w:szCs w:val="24"/>
        </w:rPr>
        <w:t>Ansatz</w:t>
      </w:r>
      <w:r>
        <w:rPr>
          <w:i/>
          <w:szCs w:val="24"/>
        </w:rPr>
        <w:t xml:space="preserve">: </w:t>
      </w:r>
      <w:r>
        <w:rPr>
          <w:szCs w:val="24"/>
        </w:rPr>
        <w:t xml:space="preserve"> Unterprobe als erster Prüfungsschritt </w:t>
      </w:r>
    </w:p>
    <w:p w:rsidR="00183337" w:rsidRDefault="00183337" w:rsidP="00183337">
      <w:pPr>
        <w:snapToGrid w:val="0"/>
        <w:jc w:val="left"/>
        <w:rPr>
          <w:szCs w:val="24"/>
        </w:rPr>
      </w:pPr>
    </w:p>
    <w:p w:rsidR="00183337" w:rsidRDefault="00183337" w:rsidP="00183337">
      <w:r w:rsidRPr="00654E37">
        <w:fldChar w:fldCharType="begin"/>
      </w:r>
      <w:r w:rsidRPr="00654E37">
        <w:instrText xml:space="preserve"> AUTONUM  </w:instrText>
      </w:r>
      <w:r w:rsidRPr="00654E37">
        <w:fldChar w:fldCharType="end"/>
      </w:r>
      <w:r>
        <w:tab/>
      </w:r>
      <w:r w:rsidR="00646BD1">
        <w:t xml:space="preserve">Die Zusammenfassung in den Anlagen I bis IV beziehen sich lediglich auf Situationen, in denen mehr als eine Probe oder Unterprobe die Prüfung desselben Merkmals betreffen. Im Falle verschiedener Proben oder Unterproben (z.B. Sonderprüfung) zur Prüfung eines unterschiedlichen Merkmals gibt es keine Anforderung zur Kombination der Ergebnisse, da eine Sorte in allen maßgeblichen Merkmalen homogen sein muß. </w:t>
      </w:r>
    </w:p>
    <w:p w:rsidR="00183337" w:rsidRDefault="00183337" w:rsidP="00183337">
      <w:pPr>
        <w:jc w:val="left"/>
        <w:rPr>
          <w:szCs w:val="24"/>
        </w:rPr>
      </w:pPr>
    </w:p>
    <w:p w:rsidR="003232C8" w:rsidRDefault="00183337" w:rsidP="00183337">
      <w:pPr>
        <w:ind w:left="4820"/>
        <w:rPr>
          <w:i/>
        </w:rPr>
      </w:pPr>
      <w:r>
        <w:rPr>
          <w:i/>
        </w:rPr>
        <w:fldChar w:fldCharType="begin"/>
      </w:r>
      <w:r>
        <w:rPr>
          <w:i/>
        </w:rPr>
        <w:instrText xml:space="preserve"> AUTONUM  </w:instrText>
      </w:r>
      <w:r>
        <w:rPr>
          <w:i/>
        </w:rPr>
        <w:fldChar w:fldCharType="end"/>
      </w:r>
      <w:r>
        <w:tab/>
      </w:r>
      <w:r w:rsidR="00906BFB">
        <w:tab/>
      </w:r>
      <w:r>
        <w:rPr>
          <w:i/>
        </w:rPr>
        <w:t xml:space="preserve">Der TC wird ersucht, </w:t>
      </w:r>
    </w:p>
    <w:p w:rsidR="003232C8" w:rsidRDefault="003232C8" w:rsidP="003232C8">
      <w:pPr>
        <w:ind w:left="4820" w:firstLine="567"/>
        <w:rPr>
          <w:i/>
        </w:rPr>
      </w:pPr>
    </w:p>
    <w:p w:rsidR="003515D6" w:rsidRPr="001142CD" w:rsidRDefault="00EB4FC2" w:rsidP="003515D6">
      <w:pPr>
        <w:pStyle w:val="ListParagraph"/>
        <w:numPr>
          <w:ilvl w:val="0"/>
          <w:numId w:val="4"/>
        </w:numPr>
        <w:ind w:firstLine="567"/>
        <w:rPr>
          <w:i/>
        </w:rPr>
      </w:pPr>
      <w:r>
        <w:rPr>
          <w:i/>
        </w:rPr>
        <w:t xml:space="preserve">zur Kenntnis zu nehmen, daß die TWC vorgeschlagen hat, detailliertere Informationen und weitere Analysen zu den Folgen der Verwendung unterschiedlicher Herangehensweisen in den Situationen A, B, C und D auf ihrer Tagung im Jahr 2014, wie in Absatz 33 dargelegt, zu liefern; </w:t>
      </w:r>
    </w:p>
    <w:p w:rsidR="00EB4FC2" w:rsidRPr="001142CD" w:rsidRDefault="00EB4FC2" w:rsidP="00EB4FC2">
      <w:pPr>
        <w:rPr>
          <w:i/>
        </w:rPr>
      </w:pPr>
    </w:p>
    <w:p w:rsidR="003232C8" w:rsidRPr="001142CD" w:rsidRDefault="00646BD1" w:rsidP="003515D6">
      <w:pPr>
        <w:pStyle w:val="ListParagraph"/>
        <w:numPr>
          <w:ilvl w:val="0"/>
          <w:numId w:val="4"/>
        </w:numPr>
        <w:ind w:firstLine="567"/>
        <w:rPr>
          <w:i/>
        </w:rPr>
      </w:pPr>
      <w:r>
        <w:rPr>
          <w:i/>
        </w:rPr>
        <w:t>zur Kenntnis zu nehmen, daß die TWC vorgeschlagen hat, daß die statistische Grundlage für die akzeptable Anzahl von Abweichern in Situation D auf ihrer Tagung im Jahr 2014, wie in den Absätzen 34 und 35 dargelegt, weiter erörtert werden soll;</w:t>
      </w:r>
    </w:p>
    <w:p w:rsidR="003515D6" w:rsidRPr="003515D6" w:rsidRDefault="003515D6" w:rsidP="003515D6">
      <w:pPr>
        <w:pStyle w:val="ListParagraph"/>
        <w:ind w:left="5747"/>
        <w:rPr>
          <w:i/>
        </w:rPr>
      </w:pPr>
    </w:p>
    <w:p w:rsidR="00183337" w:rsidRPr="00DD41C2" w:rsidRDefault="003232C8" w:rsidP="003232C8">
      <w:pPr>
        <w:pStyle w:val="ListParagraph"/>
        <w:numPr>
          <w:ilvl w:val="0"/>
          <w:numId w:val="4"/>
        </w:numPr>
        <w:ind w:firstLine="567"/>
        <w:rPr>
          <w:rFonts w:cs="Arial"/>
          <w:i/>
        </w:rPr>
      </w:pPr>
      <w:r>
        <w:rPr>
          <w:i/>
        </w:rPr>
        <w:t xml:space="preserve">zu prüfen, ob </w:t>
      </w:r>
      <w:r>
        <w:rPr>
          <w:bCs/>
          <w:i/>
          <w:snapToGrid w:val="0"/>
          <w:color w:val="000000"/>
        </w:rPr>
        <w:t xml:space="preserve">Anleitung für Situationen A, B, C und D in Dokument TGP/10, wie in den anlagen I bis IV dieses Dokuments dargelegt, entwickelt werden sollte und ob die Anleitung im Falle der Situationen A und B auf einem der Ansätze oder auf beiden Ansätzen </w:t>
      </w:r>
      <w:r>
        <w:rPr>
          <w:i/>
        </w:rPr>
        <w:t>basieren sollte; und</w:t>
      </w:r>
    </w:p>
    <w:p w:rsidR="003232C8" w:rsidRPr="003232C8" w:rsidRDefault="003232C8" w:rsidP="003232C8">
      <w:pPr>
        <w:pStyle w:val="ListParagraph"/>
        <w:ind w:left="5180" w:firstLine="567"/>
        <w:rPr>
          <w:rFonts w:cs="Arial"/>
        </w:rPr>
      </w:pPr>
    </w:p>
    <w:p w:rsidR="003232C8" w:rsidRPr="003232C8" w:rsidRDefault="003232C8" w:rsidP="003232C8">
      <w:pPr>
        <w:pStyle w:val="ListParagraph"/>
        <w:numPr>
          <w:ilvl w:val="0"/>
          <w:numId w:val="4"/>
        </w:numPr>
        <w:ind w:firstLine="567"/>
        <w:rPr>
          <w:rFonts w:cs="Arial"/>
        </w:rPr>
      </w:pPr>
      <w:r>
        <w:rPr>
          <w:i/>
        </w:rPr>
        <w:t>zu prüfen, ob der in Situation C dargelegte Ansatz, wie in Anlage III dieses Dokuments dargelegt, gestrichen werden soll.</w:t>
      </w:r>
    </w:p>
    <w:p w:rsidR="003232C8" w:rsidRPr="003232C8" w:rsidRDefault="003232C8" w:rsidP="003232C8">
      <w:pPr>
        <w:pStyle w:val="ListParagraph"/>
        <w:rPr>
          <w:rFonts w:cs="Arial"/>
        </w:rPr>
      </w:pPr>
    </w:p>
    <w:p w:rsidR="00183337" w:rsidRDefault="00183337" w:rsidP="00183337">
      <w:pPr>
        <w:jc w:val="right"/>
      </w:pPr>
    </w:p>
    <w:p w:rsidR="00183337" w:rsidRDefault="00183337" w:rsidP="00183337">
      <w:pPr>
        <w:jc w:val="right"/>
      </w:pPr>
    </w:p>
    <w:p w:rsidR="00183337" w:rsidRDefault="00183337" w:rsidP="00183337">
      <w:pPr>
        <w:jc w:val="right"/>
      </w:pPr>
      <w:r>
        <w:t>[Anlagen folgen]</w:t>
      </w:r>
    </w:p>
    <w:p w:rsidR="00183337" w:rsidRDefault="00183337" w:rsidP="00183337">
      <w:pPr>
        <w:rPr>
          <w:snapToGrid w:val="0"/>
        </w:rPr>
        <w:sectPr w:rsidR="00183337" w:rsidSect="00906DDC">
          <w:headerReference w:type="default" r:id="rId10"/>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83337" w:rsidRPr="00ED3415" w:rsidTr="00183337">
        <w:trPr>
          <w:trHeight w:val="392"/>
        </w:trPr>
        <w:tc>
          <w:tcPr>
            <w:tcW w:w="9889" w:type="dxa"/>
          </w:tcPr>
          <w:p w:rsidR="00183337" w:rsidRPr="002A2C89" w:rsidRDefault="00183337" w:rsidP="00183337">
            <w:pPr>
              <w:autoSpaceDE w:val="0"/>
              <w:autoSpaceDN w:val="0"/>
              <w:adjustRightInd w:val="0"/>
              <w:spacing w:before="120" w:after="120"/>
              <w:jc w:val="center"/>
              <w:rPr>
                <w:rFonts w:eastAsia="SimSun"/>
                <w:szCs w:val="24"/>
              </w:rPr>
            </w:pPr>
            <w:r>
              <w:rPr>
                <w:szCs w:val="24"/>
              </w:rPr>
              <w:t>SITUATION A:  ZWEI WACHSTUMSPERIODEN AN EINEM STANDORT</w:t>
            </w:r>
          </w:p>
        </w:tc>
      </w:tr>
      <w:tr w:rsidR="00183337" w:rsidRPr="00ED3415" w:rsidTr="00183337">
        <w:trPr>
          <w:trHeight w:val="2880"/>
        </w:trPr>
        <w:tc>
          <w:tcPr>
            <w:tcW w:w="9889" w:type="dxa"/>
            <w:tcBorders>
              <w:bottom w:val="single" w:sz="4" w:space="0" w:color="auto"/>
            </w:tcBorders>
          </w:tcPr>
          <w:p w:rsidR="00183337" w:rsidRDefault="00183337" w:rsidP="00183337">
            <w:pPr>
              <w:rPr>
                <w:b/>
                <w:szCs w:val="24"/>
              </w:rPr>
            </w:pPr>
          </w:p>
          <w:p w:rsidR="00183337" w:rsidRDefault="00183337" w:rsidP="00183337">
            <w:pPr>
              <w:rPr>
                <w:b/>
                <w:szCs w:val="24"/>
              </w:rPr>
            </w:pPr>
            <w:r>
              <w:rPr>
                <w:b/>
                <w:szCs w:val="24"/>
              </w:rPr>
              <w:t xml:space="preserve">Ansatz 1:  Dritte Wachstumsperiode im Fall widersprüchlicher Ergebnisse </w:t>
            </w:r>
          </w:p>
          <w:p w:rsidR="00183337" w:rsidRPr="00C9028D" w:rsidRDefault="00183337" w:rsidP="00183337">
            <w:pPr>
              <w:rPr>
                <w:b/>
                <w:szCs w:val="24"/>
              </w:rPr>
            </w:pPr>
          </w:p>
          <w:p w:rsidR="00183337" w:rsidRDefault="00183337" w:rsidP="00183337">
            <w:pPr>
              <w:rPr>
                <w:rFonts w:eastAsia="SimSun"/>
                <w:szCs w:val="24"/>
              </w:rPr>
            </w:pPr>
            <w:r>
              <w:rPr>
                <w:szCs w:val="24"/>
              </w:rPr>
              <w:t>Eine Sorte wird als homogen betrachtet, wenn sie in beiden Wachstumsperioden dem Homogenitätsstandard entspricht.</w:t>
            </w:r>
          </w:p>
          <w:p w:rsidR="00183337" w:rsidRPr="00ED3415" w:rsidRDefault="00183337" w:rsidP="00183337">
            <w:pPr>
              <w:rPr>
                <w:rFonts w:eastAsia="SimSun"/>
                <w:szCs w:val="24"/>
                <w:lang w:eastAsia="zh-CN"/>
              </w:rPr>
            </w:pPr>
          </w:p>
          <w:p w:rsidR="00183337" w:rsidRDefault="00183337" w:rsidP="00183337">
            <w:pPr>
              <w:rPr>
                <w:rFonts w:eastAsia="SimSun"/>
                <w:szCs w:val="24"/>
              </w:rPr>
            </w:pPr>
            <w:r>
              <w:rPr>
                <w:szCs w:val="24"/>
              </w:rPr>
              <w:t>Eine Sorte wird als nicht homogen betrachtet, wenn sie in beiden Wachstumsperioden nicht dem Homogenitätsstandard entspricht.</w:t>
            </w:r>
          </w:p>
          <w:p w:rsidR="00183337" w:rsidRPr="00ED3415" w:rsidRDefault="00183337" w:rsidP="00183337">
            <w:pPr>
              <w:rPr>
                <w:rFonts w:eastAsia="SimSun"/>
                <w:szCs w:val="24"/>
                <w:lang w:eastAsia="zh-CN"/>
              </w:rPr>
            </w:pPr>
          </w:p>
          <w:p w:rsidR="00183337" w:rsidRDefault="00183337" w:rsidP="00183337">
            <w:pPr>
              <w:keepNext/>
              <w:keepLines/>
              <w:rPr>
                <w:rFonts w:eastAsia="SimSun"/>
                <w:szCs w:val="24"/>
              </w:rPr>
            </w:pPr>
            <w:r>
              <w:rPr>
                <w:szCs w:val="24"/>
              </w:rPr>
              <w:t>Entspricht die Sorte am Ende der beiden Wachstumsperioden in einer Wachstumsperiode dem Homogenitätsstandard, in der anderen Wachstumsperiode aber nicht, dann wird die Homogenität nach Rücksprache mit dem Antragsteller in einer dritten Wachstumsperiode geprüft</w:t>
            </w:r>
            <w:r w:rsidR="00646BD1">
              <w:rPr>
                <w:szCs w:val="24"/>
              </w:rPr>
              <w:t xml:space="preserve">. </w:t>
            </w:r>
            <w:r>
              <w:rPr>
                <w:szCs w:val="24"/>
              </w:rPr>
              <w:t>Liegt die Sorte in der dritten Wachstumsperiode im Homogenitätsstandard, so wird die Sorte als homogen betrachtet</w:t>
            </w:r>
            <w:r w:rsidR="00646BD1">
              <w:rPr>
                <w:szCs w:val="24"/>
              </w:rPr>
              <w:t xml:space="preserve">. </w:t>
            </w:r>
            <w:r>
              <w:rPr>
                <w:szCs w:val="24"/>
              </w:rPr>
              <w:t>Entspricht die Sorte in der dritten Wachstumsperiode nicht dem Homogenitätsstandard, so wird die Sorte als nicht homogen betrachtet.</w:t>
            </w:r>
          </w:p>
          <w:p w:rsidR="00183337" w:rsidRDefault="00183337" w:rsidP="00183337">
            <w:pPr>
              <w:keepNext/>
              <w:keepLines/>
              <w:rPr>
                <w:color w:val="000000"/>
                <w:szCs w:val="24"/>
              </w:rPr>
            </w:pPr>
          </w:p>
          <w:p w:rsidR="00183337" w:rsidRDefault="00183337" w:rsidP="00183337">
            <w:pPr>
              <w:keepNext/>
              <w:keepLines/>
              <w:rPr>
                <w:rFonts w:eastAsia="SimSun"/>
                <w:szCs w:val="24"/>
              </w:rPr>
            </w:pPr>
            <w:r>
              <w:rPr>
                <w:color w:val="000000"/>
                <w:szCs w:val="24"/>
              </w:rPr>
              <w:t>Bei der Prüfung von Ergebnissen, die in jeder der Wachstumsperioden sehr unterschiedlich sind, muß mit größter Sorgfalt verfahren werden, etwa wenn ein Abweichertyp in einer Wachstumsperiode sehr häufig und in einer anderen überhaupt nicht vorkommt.</w:t>
            </w:r>
          </w:p>
          <w:p w:rsidR="00183337" w:rsidRDefault="00183337" w:rsidP="00183337">
            <w:pPr>
              <w:keepNext/>
              <w:keepLines/>
              <w:rPr>
                <w:rFonts w:eastAsia="SimSun"/>
                <w:szCs w:val="24"/>
                <w:lang w:eastAsia="zh-CN"/>
              </w:rPr>
            </w:pPr>
          </w:p>
          <w:p w:rsidR="00183337" w:rsidRPr="00443AD8" w:rsidRDefault="00183337" w:rsidP="00183337">
            <w:pPr>
              <w:keepNext/>
              <w:keepLines/>
              <w:rPr>
                <w:rFonts w:eastAsia="SimSun"/>
                <w:szCs w:val="24"/>
                <w:lang w:eastAsia="zh-CN"/>
              </w:rPr>
            </w:pPr>
          </w:p>
          <w:p w:rsidR="00183337" w:rsidRDefault="00183337" w:rsidP="00183337">
            <w:pPr>
              <w:rPr>
                <w:b/>
                <w:szCs w:val="24"/>
              </w:rPr>
            </w:pPr>
            <w:r>
              <w:rPr>
                <w:b/>
                <w:szCs w:val="24"/>
              </w:rPr>
              <w:t>Ansatz 2:  Kombination der Ergebnisse aus zwei Wachstumsperioden</w:t>
            </w:r>
          </w:p>
          <w:p w:rsidR="00183337" w:rsidRPr="00AE31A9" w:rsidRDefault="00183337" w:rsidP="00183337">
            <w:pPr>
              <w:keepNext/>
              <w:keepLines/>
              <w:rPr>
                <w:rFonts w:eastAsia="MS Mincho"/>
                <w:color w:val="000000"/>
                <w:lang w:eastAsia="ja-JP"/>
              </w:rPr>
            </w:pPr>
          </w:p>
          <w:p w:rsidR="00183337" w:rsidRDefault="00183337" w:rsidP="00183337">
            <w:pPr>
              <w:rPr>
                <w:rFonts w:eastAsia="SimSun"/>
              </w:rPr>
            </w:pPr>
            <w:r>
              <w:t>Eine Sorte wird als homogen betrachtet, wenn sie in beiden Wachstumsperioden dem Homogenitätsstandard entspricht.</w:t>
            </w:r>
          </w:p>
          <w:p w:rsidR="00183337" w:rsidRDefault="00183337" w:rsidP="00183337">
            <w:pPr>
              <w:rPr>
                <w:rFonts w:eastAsia="SimSun"/>
                <w:lang w:eastAsia="zh-CN"/>
              </w:rPr>
            </w:pPr>
          </w:p>
          <w:p w:rsidR="00183337" w:rsidRPr="002302DC" w:rsidRDefault="00183337" w:rsidP="00183337">
            <w:pPr>
              <w:rPr>
                <w:rFonts w:eastAsia="SimSun"/>
              </w:rPr>
            </w:pPr>
            <w:r>
              <w:t>Eine Sorte wird als nicht homogen betrachtet, wenn sie in beiden Wachstumsperioden nicht dem Homogenitätsstandard entspricht.</w:t>
            </w:r>
          </w:p>
          <w:p w:rsidR="00183337" w:rsidRPr="00160D6F" w:rsidRDefault="00183337" w:rsidP="00183337">
            <w:pPr>
              <w:rPr>
                <w:rFonts w:eastAsia="SimSun"/>
                <w:lang w:eastAsia="zh-CN"/>
              </w:rPr>
            </w:pPr>
          </w:p>
          <w:p w:rsidR="00183337" w:rsidRPr="00183337" w:rsidRDefault="00183337" w:rsidP="00183337">
            <w:pPr>
              <w:keepNext/>
              <w:keepLines/>
              <w:rPr>
                <w:rFonts w:eastAsia="SimSun"/>
              </w:rPr>
            </w:pPr>
            <w:r>
              <w:t>Entspricht die Sorte am Ende der beiden Wachstumsperioden in einer Wachstumsperiode dem Homogenitätsstandard, in der anderen Wachstumsperiode aber nicht, wird eine Sorte als homogen betrachtet, wenn die Anzahl der Abweichertypen am Ende der beiden Wachstumsperioden die Anzahl der erlaubten Abweichertypen der kombinierten Probe nicht übersteigt.</w:t>
            </w:r>
          </w:p>
          <w:p w:rsidR="00183337" w:rsidRPr="00183337" w:rsidRDefault="00183337" w:rsidP="00183337">
            <w:pPr>
              <w:keepNext/>
              <w:keepLines/>
              <w:ind w:right="459"/>
              <w:rPr>
                <w:rFonts w:eastAsia="SimSun"/>
                <w:lang w:eastAsia="zh-CN"/>
              </w:rPr>
            </w:pPr>
          </w:p>
          <w:p w:rsidR="00183337" w:rsidRPr="00183337" w:rsidRDefault="00183337" w:rsidP="00183337">
            <w:pPr>
              <w:keepNext/>
              <w:keepLines/>
              <w:rPr>
                <w:rFonts w:eastAsia="SimSun"/>
              </w:rPr>
            </w:pPr>
            <w:r>
              <w:t>Bei der Prüfung von Ergebnissen, die in jeder der Wachstumsperioden sehr unterschiedlich sind, muß mit größter Sorgfalt verfahren werden, etwa wenn ein Abweichertyp in einer Wachstumsperiode sehr häufig und in einer anderen überhaupt nicht vorkommt.</w:t>
            </w:r>
          </w:p>
          <w:p w:rsidR="00183337" w:rsidRDefault="00183337" w:rsidP="00183337">
            <w:pPr>
              <w:rPr>
                <w:szCs w:val="24"/>
              </w:rPr>
            </w:pPr>
            <w:r>
              <w:rPr>
                <w:color w:val="000000"/>
                <w:szCs w:val="24"/>
              </w:rPr>
              <w:t>______________________________________________________________________________________</w:t>
            </w:r>
          </w:p>
          <w:p w:rsidR="00183337" w:rsidRDefault="00183337" w:rsidP="00183337">
            <w:pPr>
              <w:rPr>
                <w:szCs w:val="24"/>
              </w:rPr>
            </w:pPr>
          </w:p>
          <w:p w:rsidR="00183337" w:rsidRPr="00BD2498" w:rsidRDefault="00183337" w:rsidP="00183337">
            <w:pPr>
              <w:rPr>
                <w:szCs w:val="24"/>
              </w:rPr>
            </w:pPr>
            <w:r>
              <w:rPr>
                <w:szCs w:val="24"/>
              </w:rPr>
              <w:t xml:space="preserve">Zu prüfendes Beispiel: </w:t>
            </w:r>
          </w:p>
          <w:p w:rsidR="00183337" w:rsidRDefault="00183337" w:rsidP="00183337">
            <w:pPr>
              <w:rPr>
                <w:szCs w:val="24"/>
              </w:rPr>
            </w:pPr>
          </w:p>
          <w:tbl>
            <w:tblPr>
              <w:tblW w:w="5778" w:type="dxa"/>
              <w:tblInd w:w="1593" w:type="dxa"/>
              <w:tblLook w:val="04A0" w:firstRow="1" w:lastRow="0" w:firstColumn="1" w:lastColumn="0" w:noHBand="0" w:noVBand="1"/>
            </w:tblPr>
            <w:tblGrid>
              <w:gridCol w:w="5778"/>
            </w:tblGrid>
            <w:tr w:rsidR="00183337" w:rsidRPr="00304612" w:rsidTr="00183337">
              <w:trPr>
                <w:trHeight w:val="255"/>
              </w:trPr>
              <w:tc>
                <w:tcPr>
                  <w:tcW w:w="5778" w:type="dxa"/>
                  <w:tcBorders>
                    <w:top w:val="nil"/>
                    <w:left w:val="nil"/>
                    <w:bottom w:val="nil"/>
                    <w:right w:val="nil"/>
                  </w:tcBorders>
                  <w:shd w:val="clear" w:color="auto" w:fill="auto"/>
                  <w:noWrap/>
                  <w:vAlign w:val="bottom"/>
                  <w:hideMark/>
                </w:tcPr>
                <w:p w:rsidR="00183337" w:rsidRPr="00304612" w:rsidRDefault="00183337" w:rsidP="00183337">
                  <w:pPr>
                    <w:jc w:val="left"/>
                    <w:rPr>
                      <w:rFonts w:cs="Arial"/>
                      <w:color w:val="000000"/>
                    </w:rPr>
                  </w:pPr>
                  <w:r>
                    <w:rPr>
                      <w:color w:val="000000"/>
                    </w:rPr>
                    <w:t xml:space="preserve">Populationsstandard  = 1%  </w:t>
                  </w:r>
                </w:p>
              </w:tc>
            </w:tr>
            <w:tr w:rsidR="00183337" w:rsidRPr="00304612" w:rsidTr="00183337">
              <w:trPr>
                <w:trHeight w:val="270"/>
              </w:trPr>
              <w:tc>
                <w:tcPr>
                  <w:tcW w:w="5778" w:type="dxa"/>
                  <w:tcBorders>
                    <w:top w:val="nil"/>
                    <w:left w:val="nil"/>
                    <w:bottom w:val="nil"/>
                    <w:right w:val="nil"/>
                  </w:tcBorders>
                  <w:shd w:val="clear" w:color="auto" w:fill="auto"/>
                  <w:noWrap/>
                  <w:vAlign w:val="bottom"/>
                  <w:hideMark/>
                </w:tcPr>
                <w:p w:rsidR="00183337" w:rsidRPr="00304612" w:rsidRDefault="00183337" w:rsidP="00183337">
                  <w:pPr>
                    <w:jc w:val="left"/>
                    <w:rPr>
                      <w:rFonts w:cs="Arial"/>
                      <w:color w:val="000000"/>
                    </w:rPr>
                  </w:pPr>
                  <w:r>
                    <w:rPr>
                      <w:color w:val="000000"/>
                    </w:rPr>
                    <w:t>Akzeptanzwahrscheinlichkeit ≥ 95%</w:t>
                  </w:r>
                </w:p>
              </w:tc>
            </w:tr>
            <w:tr w:rsidR="00183337" w:rsidRPr="00304612" w:rsidTr="00183337">
              <w:trPr>
                <w:trHeight w:val="255"/>
              </w:trPr>
              <w:tc>
                <w:tcPr>
                  <w:tcW w:w="5778" w:type="dxa"/>
                  <w:tcBorders>
                    <w:top w:val="single" w:sz="8" w:space="0" w:color="auto"/>
                    <w:left w:val="single" w:sz="8" w:space="0" w:color="auto"/>
                    <w:bottom w:val="nil"/>
                    <w:right w:val="single" w:sz="8" w:space="0" w:color="000000"/>
                  </w:tcBorders>
                  <w:shd w:val="clear" w:color="auto" w:fill="auto"/>
                  <w:noWrap/>
                  <w:vAlign w:val="bottom"/>
                  <w:hideMark/>
                </w:tcPr>
                <w:p w:rsidR="00183337" w:rsidRPr="00304612" w:rsidRDefault="00183337" w:rsidP="00183337">
                  <w:pPr>
                    <w:jc w:val="left"/>
                    <w:rPr>
                      <w:rFonts w:cs="Arial"/>
                      <w:color w:val="000000"/>
                    </w:rPr>
                  </w:pPr>
                  <w:r>
                    <w:rPr>
                      <w:color w:val="000000"/>
                    </w:rPr>
                    <w:t>Probengröße in jeder der Wachstumsperioden 1 und 2 = 50</w:t>
                  </w:r>
                </w:p>
              </w:tc>
            </w:tr>
            <w:tr w:rsidR="00183337" w:rsidRPr="00304612" w:rsidTr="00183337">
              <w:trPr>
                <w:trHeight w:val="270"/>
              </w:trPr>
              <w:tc>
                <w:tcPr>
                  <w:tcW w:w="5778" w:type="dxa"/>
                  <w:tcBorders>
                    <w:top w:val="nil"/>
                    <w:left w:val="single" w:sz="4" w:space="0" w:color="auto"/>
                    <w:bottom w:val="single" w:sz="8" w:space="0" w:color="auto"/>
                    <w:right w:val="single" w:sz="8" w:space="0" w:color="000000"/>
                  </w:tcBorders>
                  <w:shd w:val="clear" w:color="auto" w:fill="auto"/>
                  <w:noWrap/>
                  <w:vAlign w:val="bottom"/>
                  <w:hideMark/>
                </w:tcPr>
                <w:p w:rsidR="00183337" w:rsidRPr="00304612" w:rsidRDefault="00183337" w:rsidP="00183337">
                  <w:pPr>
                    <w:jc w:val="left"/>
                    <w:rPr>
                      <w:rFonts w:cs="Arial"/>
                      <w:color w:val="000000"/>
                    </w:rPr>
                  </w:pPr>
                  <w:r>
                    <w:rPr>
                      <w:color w:val="000000"/>
                    </w:rPr>
                    <w:t>Höchstzahl an Abweichertypen = 2</w:t>
                  </w:r>
                </w:p>
              </w:tc>
            </w:tr>
            <w:tr w:rsidR="00183337" w:rsidRPr="00304612" w:rsidTr="00183337">
              <w:trPr>
                <w:trHeight w:val="270"/>
              </w:trPr>
              <w:tc>
                <w:tcPr>
                  <w:tcW w:w="5778" w:type="dxa"/>
                  <w:tcBorders>
                    <w:top w:val="nil"/>
                    <w:left w:val="single" w:sz="4" w:space="0" w:color="auto"/>
                    <w:bottom w:val="nil"/>
                    <w:right w:val="single" w:sz="4" w:space="0" w:color="auto"/>
                  </w:tcBorders>
                  <w:shd w:val="clear" w:color="auto" w:fill="auto"/>
                  <w:noWrap/>
                  <w:vAlign w:val="bottom"/>
                  <w:hideMark/>
                </w:tcPr>
                <w:p w:rsidR="00183337" w:rsidRPr="00304612" w:rsidRDefault="00183337" w:rsidP="00183337">
                  <w:pPr>
                    <w:jc w:val="left"/>
                    <w:rPr>
                      <w:rFonts w:cs="Arial"/>
                      <w:color w:val="000000"/>
                    </w:rPr>
                  </w:pPr>
                  <w:r>
                    <w:rPr>
                      <w:color w:val="000000"/>
                    </w:rPr>
                    <w:t>Probengröße in den kombinierten Wachstumsperioden 1 und 2 = 100</w:t>
                  </w:r>
                </w:p>
              </w:tc>
            </w:tr>
            <w:tr w:rsidR="00183337" w:rsidRPr="00304612" w:rsidTr="00183337">
              <w:trPr>
                <w:trHeight w:val="270"/>
              </w:trPr>
              <w:tc>
                <w:tcPr>
                  <w:tcW w:w="5778" w:type="dxa"/>
                  <w:tcBorders>
                    <w:top w:val="nil"/>
                    <w:left w:val="single" w:sz="4" w:space="0" w:color="auto"/>
                    <w:bottom w:val="single" w:sz="4" w:space="0" w:color="auto"/>
                    <w:right w:val="single" w:sz="4" w:space="0" w:color="auto"/>
                  </w:tcBorders>
                  <w:shd w:val="clear" w:color="auto" w:fill="auto"/>
                  <w:noWrap/>
                  <w:vAlign w:val="bottom"/>
                  <w:hideMark/>
                </w:tcPr>
                <w:p w:rsidR="00183337" w:rsidRPr="00304612" w:rsidRDefault="00183337" w:rsidP="00183337">
                  <w:pPr>
                    <w:jc w:val="left"/>
                    <w:rPr>
                      <w:rFonts w:cs="Arial"/>
                      <w:color w:val="000000"/>
                    </w:rPr>
                  </w:pPr>
                  <w:r>
                    <w:rPr>
                      <w:color w:val="000000"/>
                    </w:rPr>
                    <w:t>Höchstzahl an Abweichertypen = 3</w:t>
                  </w:r>
                </w:p>
              </w:tc>
            </w:tr>
          </w:tbl>
          <w:p w:rsidR="00183337" w:rsidRDefault="00183337"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tbl>
            <w:tblPr>
              <w:tblW w:w="5781" w:type="dxa"/>
              <w:tblInd w:w="1593" w:type="dxa"/>
              <w:tblLook w:val="04A0" w:firstRow="1" w:lastRow="0" w:firstColumn="1" w:lastColumn="0" w:noHBand="0" w:noVBand="1"/>
            </w:tblPr>
            <w:tblGrid>
              <w:gridCol w:w="520"/>
              <w:gridCol w:w="1080"/>
              <w:gridCol w:w="1260"/>
              <w:gridCol w:w="1928"/>
              <w:gridCol w:w="1420"/>
            </w:tblGrid>
            <w:tr w:rsidR="00183337" w:rsidRPr="00BD2498" w:rsidTr="00183337">
              <w:trPr>
                <w:trHeight w:val="255"/>
              </w:trPr>
              <w:tc>
                <w:tcPr>
                  <w:tcW w:w="520" w:type="dxa"/>
                  <w:tcBorders>
                    <w:top w:val="nil"/>
                    <w:left w:val="nil"/>
                    <w:bottom w:val="nil"/>
                    <w:right w:val="nil"/>
                  </w:tcBorders>
                  <w:shd w:val="clear" w:color="auto" w:fill="auto"/>
                  <w:noWrap/>
                  <w:vAlign w:val="bottom"/>
                  <w:hideMark/>
                </w:tcPr>
                <w:p w:rsidR="00183337" w:rsidRPr="00BD2498" w:rsidRDefault="00183337" w:rsidP="00E932E8">
                  <w:pPr>
                    <w:keepNext/>
                    <w:jc w:val="left"/>
                    <w:rPr>
                      <w:rFonts w:cs="Arial"/>
                      <w:color w:val="000000"/>
                    </w:rPr>
                  </w:pPr>
                </w:p>
              </w:tc>
              <w:tc>
                <w:tcPr>
                  <w:tcW w:w="1080" w:type="dxa"/>
                  <w:tcBorders>
                    <w:top w:val="nil"/>
                    <w:left w:val="nil"/>
                    <w:bottom w:val="single" w:sz="4" w:space="0" w:color="auto"/>
                    <w:right w:val="nil"/>
                  </w:tcBorders>
                  <w:shd w:val="clear" w:color="auto" w:fill="auto"/>
                  <w:noWrap/>
                  <w:vAlign w:val="bottom"/>
                  <w:hideMark/>
                </w:tcPr>
                <w:p w:rsidR="00183337" w:rsidRPr="00BD2498" w:rsidRDefault="00183337" w:rsidP="00E932E8">
                  <w:pPr>
                    <w:keepNext/>
                    <w:jc w:val="left"/>
                    <w:rPr>
                      <w:rFonts w:cs="Arial"/>
                      <w:color w:val="000000"/>
                    </w:rPr>
                  </w:pPr>
                  <w:r>
                    <w:rPr>
                      <w:color w:val="000000"/>
                    </w:rPr>
                    <w:t> </w:t>
                  </w:r>
                </w:p>
              </w:tc>
              <w:tc>
                <w:tcPr>
                  <w:tcW w:w="1260" w:type="dxa"/>
                  <w:tcBorders>
                    <w:top w:val="nil"/>
                    <w:left w:val="nil"/>
                    <w:bottom w:val="single" w:sz="4" w:space="0" w:color="auto"/>
                    <w:right w:val="nil"/>
                  </w:tcBorders>
                  <w:shd w:val="clear" w:color="auto" w:fill="auto"/>
                  <w:noWrap/>
                  <w:vAlign w:val="bottom"/>
                  <w:hideMark/>
                </w:tcPr>
                <w:p w:rsidR="00183337" w:rsidRPr="00BD2498" w:rsidRDefault="00183337" w:rsidP="00E932E8">
                  <w:pPr>
                    <w:keepNext/>
                    <w:jc w:val="left"/>
                    <w:rPr>
                      <w:rFonts w:cs="Arial"/>
                      <w:color w:val="000000"/>
                    </w:rPr>
                  </w:pPr>
                  <w:r>
                    <w:rPr>
                      <w:color w:val="000000"/>
                    </w:rPr>
                    <w:t> </w:t>
                  </w:r>
                </w:p>
              </w:tc>
              <w:tc>
                <w:tcPr>
                  <w:tcW w:w="1501" w:type="dxa"/>
                  <w:tcBorders>
                    <w:top w:val="nil"/>
                    <w:left w:val="nil"/>
                    <w:bottom w:val="single" w:sz="4" w:space="0" w:color="auto"/>
                    <w:right w:val="nil"/>
                  </w:tcBorders>
                  <w:shd w:val="clear" w:color="auto" w:fill="auto"/>
                  <w:noWrap/>
                  <w:vAlign w:val="bottom"/>
                  <w:hideMark/>
                </w:tcPr>
                <w:p w:rsidR="00183337" w:rsidRPr="00BD2498" w:rsidRDefault="00183337" w:rsidP="00E932E8">
                  <w:pPr>
                    <w:keepNext/>
                    <w:jc w:val="left"/>
                    <w:rPr>
                      <w:rFonts w:cs="Arial"/>
                      <w:color w:val="000000"/>
                    </w:rPr>
                  </w:pPr>
                  <w:r>
                    <w:rPr>
                      <w:color w:val="000000"/>
                    </w:rPr>
                    <w:t> </w:t>
                  </w:r>
                </w:p>
              </w:tc>
              <w:tc>
                <w:tcPr>
                  <w:tcW w:w="1420" w:type="dxa"/>
                  <w:tcBorders>
                    <w:top w:val="nil"/>
                    <w:left w:val="nil"/>
                    <w:bottom w:val="single" w:sz="4" w:space="0" w:color="auto"/>
                    <w:right w:val="nil"/>
                  </w:tcBorders>
                  <w:shd w:val="clear" w:color="auto" w:fill="auto"/>
                  <w:noWrap/>
                  <w:vAlign w:val="bottom"/>
                  <w:hideMark/>
                </w:tcPr>
                <w:p w:rsidR="00183337" w:rsidRPr="00BD2498" w:rsidRDefault="00183337" w:rsidP="00E932E8">
                  <w:pPr>
                    <w:keepNext/>
                    <w:jc w:val="left"/>
                    <w:rPr>
                      <w:rFonts w:cs="Arial"/>
                      <w:color w:val="000000"/>
                    </w:rPr>
                  </w:pPr>
                  <w:r>
                    <w:rPr>
                      <w:color w:val="000000"/>
                    </w:rPr>
                    <w:t> </w:t>
                  </w:r>
                </w:p>
              </w:tc>
            </w:tr>
            <w:tr w:rsidR="00183337" w:rsidRPr="00BD2498" w:rsidTr="00183337">
              <w:trPr>
                <w:trHeight w:val="255"/>
              </w:trPr>
              <w:tc>
                <w:tcPr>
                  <w:tcW w:w="520" w:type="dxa"/>
                  <w:tcBorders>
                    <w:top w:val="nil"/>
                    <w:left w:val="nil"/>
                    <w:bottom w:val="nil"/>
                    <w:right w:val="single" w:sz="4" w:space="0" w:color="auto"/>
                  </w:tcBorders>
                  <w:shd w:val="clear" w:color="auto" w:fill="auto"/>
                  <w:noWrap/>
                  <w:vAlign w:val="bottom"/>
                  <w:hideMark/>
                </w:tcPr>
                <w:p w:rsidR="00183337" w:rsidRPr="00BD2498" w:rsidRDefault="00183337" w:rsidP="00E932E8">
                  <w:pPr>
                    <w:keepNext/>
                    <w:jc w:val="left"/>
                    <w:rPr>
                      <w:rFonts w:cs="Arial"/>
                      <w:color w:val="000000"/>
                    </w:rPr>
                  </w:pPr>
                  <w:r>
                    <w:rPr>
                      <w:color w:val="000000"/>
                    </w:rPr>
                    <w:t> </w:t>
                  </w:r>
                </w:p>
              </w:tc>
              <w:tc>
                <w:tcPr>
                  <w:tcW w:w="2340" w:type="dxa"/>
                  <w:gridSpan w:val="2"/>
                  <w:tcBorders>
                    <w:top w:val="nil"/>
                    <w:left w:val="nil"/>
                    <w:bottom w:val="single" w:sz="4" w:space="0" w:color="auto"/>
                    <w:right w:val="single" w:sz="4" w:space="0" w:color="000000"/>
                  </w:tcBorders>
                  <w:shd w:val="clear" w:color="auto" w:fill="auto"/>
                  <w:noWrap/>
                  <w:vAlign w:val="bottom"/>
                  <w:hideMark/>
                </w:tcPr>
                <w:p w:rsidR="00183337" w:rsidRPr="00BD2498" w:rsidRDefault="00183337" w:rsidP="00E932E8">
                  <w:pPr>
                    <w:keepNext/>
                    <w:jc w:val="center"/>
                    <w:rPr>
                      <w:rFonts w:cs="Arial"/>
                      <w:color w:val="000000"/>
                    </w:rPr>
                  </w:pPr>
                  <w:r>
                    <w:rPr>
                      <w:color w:val="000000"/>
                    </w:rPr>
                    <w:t>Wachstumsperiode</w:t>
                  </w:r>
                </w:p>
              </w:tc>
              <w:tc>
                <w:tcPr>
                  <w:tcW w:w="29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3337" w:rsidRPr="00BD2498" w:rsidRDefault="00183337" w:rsidP="00E932E8">
                  <w:pPr>
                    <w:keepNext/>
                    <w:jc w:val="center"/>
                    <w:rPr>
                      <w:rFonts w:cs="Arial"/>
                      <w:color w:val="000000"/>
                    </w:rPr>
                  </w:pPr>
                  <w:r>
                    <w:rPr>
                      <w:color w:val="000000"/>
                    </w:rPr>
                    <w:t>Entscheidung</w:t>
                  </w:r>
                </w:p>
              </w:tc>
            </w:tr>
            <w:tr w:rsidR="00183337" w:rsidRPr="00BD2498" w:rsidTr="00183337">
              <w:trPr>
                <w:trHeight w:val="270"/>
              </w:trPr>
              <w:tc>
                <w:tcPr>
                  <w:tcW w:w="520" w:type="dxa"/>
                  <w:tcBorders>
                    <w:top w:val="nil"/>
                    <w:left w:val="nil"/>
                    <w:bottom w:val="single" w:sz="4" w:space="0" w:color="auto"/>
                    <w:right w:val="single" w:sz="4" w:space="0" w:color="auto"/>
                  </w:tcBorders>
                  <w:shd w:val="clear" w:color="auto" w:fill="auto"/>
                  <w:noWrap/>
                  <w:vAlign w:val="bottom"/>
                  <w:hideMark/>
                </w:tcPr>
                <w:p w:rsidR="00183337" w:rsidRPr="00BD2498" w:rsidRDefault="00183337" w:rsidP="00E932E8">
                  <w:pPr>
                    <w:keepNext/>
                    <w:jc w:val="left"/>
                    <w:rPr>
                      <w:rFonts w:cs="Arial"/>
                      <w:color w:val="000000"/>
                    </w:rPr>
                  </w:pPr>
                  <w:r>
                    <w:rPr>
                      <w:color w:val="000000"/>
                    </w:rPr>
                    <w:t> </w:t>
                  </w:r>
                </w:p>
              </w:tc>
              <w:tc>
                <w:tcPr>
                  <w:tcW w:w="1080"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E932E8">
                  <w:pPr>
                    <w:keepNext/>
                    <w:jc w:val="center"/>
                    <w:rPr>
                      <w:rFonts w:cs="Arial"/>
                      <w:color w:val="000000"/>
                    </w:rPr>
                  </w:pPr>
                  <w:r>
                    <w:rPr>
                      <w:color w:val="000000"/>
                    </w:rPr>
                    <w:t>erster</w:t>
                  </w:r>
                </w:p>
              </w:tc>
              <w:tc>
                <w:tcPr>
                  <w:tcW w:w="1260"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E932E8">
                  <w:pPr>
                    <w:keepNext/>
                    <w:jc w:val="center"/>
                    <w:rPr>
                      <w:rFonts w:cs="Arial"/>
                      <w:color w:val="000000"/>
                    </w:rPr>
                  </w:pPr>
                  <w:r>
                    <w:rPr>
                      <w:color w:val="000000"/>
                    </w:rPr>
                    <w:t>zweiter</w:t>
                  </w:r>
                </w:p>
              </w:tc>
              <w:tc>
                <w:tcPr>
                  <w:tcW w:w="1501"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E932E8">
                  <w:pPr>
                    <w:keepNext/>
                    <w:jc w:val="center"/>
                    <w:rPr>
                      <w:rFonts w:cs="Arial"/>
                      <w:color w:val="000000"/>
                    </w:rPr>
                  </w:pPr>
                  <w:r>
                    <w:rPr>
                      <w:color w:val="000000"/>
                    </w:rPr>
                    <w:t>Ansatz 1</w:t>
                  </w:r>
                </w:p>
              </w:tc>
              <w:tc>
                <w:tcPr>
                  <w:tcW w:w="1420"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E932E8">
                  <w:pPr>
                    <w:keepNext/>
                    <w:jc w:val="center"/>
                    <w:rPr>
                      <w:rFonts w:cs="Arial"/>
                      <w:color w:val="000000"/>
                    </w:rPr>
                  </w:pPr>
                  <w:r>
                    <w:rPr>
                      <w:color w:val="000000"/>
                    </w:rPr>
                    <w:t>Ansatz 2</w:t>
                  </w:r>
                </w:p>
              </w:tc>
            </w:tr>
            <w:tr w:rsidR="00183337" w:rsidRPr="00BD2498" w:rsidTr="00183337">
              <w:trPr>
                <w:trHeight w:val="390"/>
              </w:trPr>
              <w:tc>
                <w:tcPr>
                  <w:tcW w:w="520" w:type="dxa"/>
                  <w:vMerge w:val="restart"/>
                  <w:tcBorders>
                    <w:top w:val="nil"/>
                    <w:left w:val="single" w:sz="4" w:space="0" w:color="auto"/>
                    <w:bottom w:val="single" w:sz="4" w:space="0" w:color="000000"/>
                    <w:right w:val="single" w:sz="4" w:space="0" w:color="000000"/>
                  </w:tcBorders>
                  <w:shd w:val="clear" w:color="auto" w:fill="auto"/>
                  <w:textDirection w:val="btLr"/>
                  <w:vAlign w:val="bottom"/>
                  <w:hideMark/>
                </w:tcPr>
                <w:p w:rsidR="00183337" w:rsidRPr="00BD2498" w:rsidRDefault="00183337" w:rsidP="00E932E8">
                  <w:pPr>
                    <w:keepNext/>
                    <w:jc w:val="center"/>
                    <w:rPr>
                      <w:rFonts w:cs="Arial"/>
                      <w:color w:val="000000"/>
                    </w:rPr>
                  </w:pPr>
                  <w:r>
                    <w:rPr>
                      <w:color w:val="000000"/>
                    </w:rPr>
                    <w:t>Anzahl an Abweichertypen</w:t>
                  </w:r>
                </w:p>
              </w:tc>
              <w:tc>
                <w:tcPr>
                  <w:tcW w:w="1080" w:type="dxa"/>
                  <w:tcBorders>
                    <w:top w:val="nil"/>
                    <w:left w:val="single" w:sz="8" w:space="0" w:color="auto"/>
                    <w:bottom w:val="single" w:sz="8" w:space="0" w:color="auto"/>
                    <w:right w:val="single" w:sz="4" w:space="0" w:color="auto"/>
                  </w:tcBorders>
                  <w:shd w:val="clear" w:color="auto" w:fill="auto"/>
                  <w:noWrap/>
                  <w:vAlign w:val="center"/>
                  <w:hideMark/>
                </w:tcPr>
                <w:p w:rsidR="00183337" w:rsidRPr="00BD2498" w:rsidRDefault="00183337" w:rsidP="00E932E8">
                  <w:pPr>
                    <w:keepNext/>
                    <w:jc w:val="center"/>
                    <w:rPr>
                      <w:rFonts w:cs="Arial"/>
                      <w:color w:val="000000"/>
                    </w:rPr>
                  </w:pPr>
                  <w:r>
                    <w:rPr>
                      <w:color w:val="000000"/>
                    </w:rPr>
                    <w:t>2</w:t>
                  </w:r>
                </w:p>
              </w:tc>
              <w:tc>
                <w:tcPr>
                  <w:tcW w:w="1260" w:type="dxa"/>
                  <w:tcBorders>
                    <w:top w:val="nil"/>
                    <w:left w:val="nil"/>
                    <w:bottom w:val="single" w:sz="8" w:space="0" w:color="auto"/>
                    <w:right w:val="single" w:sz="4" w:space="0" w:color="auto"/>
                  </w:tcBorders>
                  <w:shd w:val="clear" w:color="auto" w:fill="auto"/>
                  <w:noWrap/>
                  <w:vAlign w:val="center"/>
                  <w:hideMark/>
                </w:tcPr>
                <w:p w:rsidR="00183337" w:rsidRPr="00BD2498" w:rsidRDefault="00183337" w:rsidP="00E932E8">
                  <w:pPr>
                    <w:keepNext/>
                    <w:jc w:val="center"/>
                    <w:rPr>
                      <w:rFonts w:cs="Arial"/>
                      <w:color w:val="000000"/>
                    </w:rPr>
                  </w:pPr>
                  <w:r>
                    <w:rPr>
                      <w:color w:val="000000"/>
                    </w:rPr>
                    <w:t>2</w:t>
                  </w:r>
                </w:p>
              </w:tc>
              <w:tc>
                <w:tcPr>
                  <w:tcW w:w="1501" w:type="dxa"/>
                  <w:tcBorders>
                    <w:top w:val="nil"/>
                    <w:left w:val="nil"/>
                    <w:bottom w:val="single" w:sz="8" w:space="0" w:color="auto"/>
                    <w:right w:val="single" w:sz="4" w:space="0" w:color="auto"/>
                  </w:tcBorders>
                  <w:shd w:val="clear" w:color="auto" w:fill="auto"/>
                  <w:noWrap/>
                  <w:vAlign w:val="center"/>
                  <w:hideMark/>
                </w:tcPr>
                <w:p w:rsidR="00183337" w:rsidRPr="00BD2498" w:rsidRDefault="00AE7105" w:rsidP="00E932E8">
                  <w:pPr>
                    <w:keepNext/>
                    <w:jc w:val="center"/>
                    <w:rPr>
                      <w:rFonts w:cs="Arial"/>
                      <w:color w:val="000000"/>
                    </w:rPr>
                  </w:pPr>
                  <w:r>
                    <w:rPr>
                      <w:color w:val="000000"/>
                    </w:rPr>
                    <w:t>homogen</w:t>
                  </w:r>
                </w:p>
              </w:tc>
              <w:tc>
                <w:tcPr>
                  <w:tcW w:w="1420" w:type="dxa"/>
                  <w:tcBorders>
                    <w:top w:val="nil"/>
                    <w:left w:val="nil"/>
                    <w:bottom w:val="single" w:sz="8" w:space="0" w:color="auto"/>
                    <w:right w:val="single" w:sz="8" w:space="0" w:color="auto"/>
                  </w:tcBorders>
                  <w:shd w:val="clear" w:color="auto" w:fill="auto"/>
                  <w:vAlign w:val="center"/>
                  <w:hideMark/>
                </w:tcPr>
                <w:p w:rsidR="00183337" w:rsidRPr="00BD2498" w:rsidRDefault="00AE7105" w:rsidP="00E932E8">
                  <w:pPr>
                    <w:keepNext/>
                    <w:jc w:val="center"/>
                    <w:rPr>
                      <w:rFonts w:cs="Arial"/>
                      <w:color w:val="000000"/>
                    </w:rPr>
                  </w:pPr>
                  <w:r>
                    <w:rPr>
                      <w:color w:val="000000"/>
                    </w:rPr>
                    <w:t>homogen</w:t>
                  </w:r>
                </w:p>
              </w:tc>
            </w:tr>
            <w:tr w:rsidR="00183337" w:rsidRPr="00BD2498" w:rsidTr="00183337">
              <w:trPr>
                <w:trHeight w:val="525"/>
              </w:trPr>
              <w:tc>
                <w:tcPr>
                  <w:tcW w:w="520" w:type="dxa"/>
                  <w:vMerge/>
                  <w:tcBorders>
                    <w:top w:val="nil"/>
                    <w:left w:val="single" w:sz="4" w:space="0" w:color="auto"/>
                    <w:bottom w:val="single" w:sz="4" w:space="0" w:color="000000"/>
                    <w:right w:val="single" w:sz="4" w:space="0" w:color="000000"/>
                  </w:tcBorders>
                  <w:vAlign w:val="center"/>
                  <w:hideMark/>
                </w:tcPr>
                <w:p w:rsidR="00183337" w:rsidRPr="00BD2498" w:rsidRDefault="00183337" w:rsidP="00E932E8">
                  <w:pPr>
                    <w:keepNext/>
                    <w:jc w:val="left"/>
                    <w:rPr>
                      <w:rFonts w:cs="Arial"/>
                      <w:color w:val="000000"/>
                    </w:rPr>
                  </w:pPr>
                </w:p>
              </w:tc>
              <w:tc>
                <w:tcPr>
                  <w:tcW w:w="108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E932E8">
                  <w:pPr>
                    <w:keepNext/>
                    <w:jc w:val="center"/>
                    <w:rPr>
                      <w:rFonts w:cs="Arial"/>
                      <w:color w:val="000000"/>
                    </w:rPr>
                  </w:pPr>
                  <w:r>
                    <w:rPr>
                      <w:color w:val="000000"/>
                    </w:rPr>
                    <w:t>0</w:t>
                  </w:r>
                </w:p>
              </w:tc>
              <w:tc>
                <w:tcPr>
                  <w:tcW w:w="126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E932E8">
                  <w:pPr>
                    <w:keepNext/>
                    <w:jc w:val="center"/>
                    <w:rPr>
                      <w:rFonts w:cs="Arial"/>
                      <w:color w:val="000000"/>
                    </w:rPr>
                  </w:pPr>
                  <w:r>
                    <w:rPr>
                      <w:color w:val="000000"/>
                    </w:rPr>
                    <w:t>3</w:t>
                  </w:r>
                </w:p>
              </w:tc>
              <w:tc>
                <w:tcPr>
                  <w:tcW w:w="1501"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E932E8">
                  <w:pPr>
                    <w:keepNext/>
                    <w:jc w:val="center"/>
                    <w:rPr>
                      <w:rFonts w:cs="Arial"/>
                      <w:color w:val="000000"/>
                    </w:rPr>
                  </w:pPr>
                  <w:r>
                    <w:rPr>
                      <w:color w:val="000000"/>
                    </w:rPr>
                    <w:t>dritte Wachstumsperiode</w:t>
                  </w:r>
                </w:p>
              </w:tc>
              <w:tc>
                <w:tcPr>
                  <w:tcW w:w="1420" w:type="dxa"/>
                  <w:tcBorders>
                    <w:top w:val="nil"/>
                    <w:left w:val="nil"/>
                    <w:bottom w:val="single" w:sz="8" w:space="0" w:color="auto"/>
                    <w:right w:val="single" w:sz="4" w:space="0" w:color="auto"/>
                  </w:tcBorders>
                  <w:shd w:val="clear" w:color="auto" w:fill="auto"/>
                  <w:vAlign w:val="center"/>
                  <w:hideMark/>
                </w:tcPr>
                <w:p w:rsidR="00183337" w:rsidRPr="00BD2498" w:rsidRDefault="00AE7105" w:rsidP="00E932E8">
                  <w:pPr>
                    <w:keepNext/>
                    <w:jc w:val="center"/>
                    <w:rPr>
                      <w:rFonts w:cs="Arial"/>
                      <w:color w:val="000000"/>
                    </w:rPr>
                  </w:pPr>
                  <w:r>
                    <w:rPr>
                      <w:color w:val="000000"/>
                    </w:rPr>
                    <w:t>homogen</w:t>
                  </w:r>
                </w:p>
              </w:tc>
            </w:tr>
            <w:tr w:rsidR="00183337" w:rsidRPr="00BD2498" w:rsidTr="00183337">
              <w:trPr>
                <w:trHeight w:val="525"/>
              </w:trPr>
              <w:tc>
                <w:tcPr>
                  <w:tcW w:w="520" w:type="dxa"/>
                  <w:vMerge/>
                  <w:tcBorders>
                    <w:top w:val="nil"/>
                    <w:left w:val="single" w:sz="4" w:space="0" w:color="auto"/>
                    <w:bottom w:val="single" w:sz="4" w:space="0" w:color="000000"/>
                    <w:right w:val="single" w:sz="4" w:space="0" w:color="000000"/>
                  </w:tcBorders>
                  <w:vAlign w:val="center"/>
                  <w:hideMark/>
                </w:tcPr>
                <w:p w:rsidR="00183337" w:rsidRPr="00BD2498" w:rsidRDefault="00183337" w:rsidP="00183337">
                  <w:pPr>
                    <w:jc w:val="left"/>
                    <w:rPr>
                      <w:rFonts w:cs="Arial"/>
                      <w:color w:val="000000"/>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color w:val="000000"/>
                    </w:rPr>
                    <w:t>1</w:t>
                  </w:r>
                </w:p>
              </w:tc>
              <w:tc>
                <w:tcPr>
                  <w:tcW w:w="126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color w:val="000000"/>
                    </w:rPr>
                    <w:t>3</w:t>
                  </w:r>
                </w:p>
              </w:tc>
              <w:tc>
                <w:tcPr>
                  <w:tcW w:w="1501"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color w:val="000000"/>
                    </w:rPr>
                    <w:t>dritte Wachstumsperiode</w:t>
                  </w:r>
                </w:p>
              </w:tc>
              <w:tc>
                <w:tcPr>
                  <w:tcW w:w="1420" w:type="dxa"/>
                  <w:tcBorders>
                    <w:top w:val="nil"/>
                    <w:left w:val="nil"/>
                    <w:bottom w:val="single" w:sz="8" w:space="0" w:color="auto"/>
                    <w:right w:val="single" w:sz="8" w:space="0" w:color="auto"/>
                  </w:tcBorders>
                  <w:shd w:val="clear" w:color="auto" w:fill="auto"/>
                  <w:vAlign w:val="center"/>
                  <w:hideMark/>
                </w:tcPr>
                <w:p w:rsidR="00183337" w:rsidRPr="00BD2498" w:rsidRDefault="00AE7105" w:rsidP="00183337">
                  <w:pPr>
                    <w:jc w:val="center"/>
                    <w:rPr>
                      <w:rFonts w:cs="Arial"/>
                      <w:color w:val="000000"/>
                    </w:rPr>
                  </w:pPr>
                  <w:r>
                    <w:rPr>
                      <w:color w:val="000000"/>
                    </w:rPr>
                    <w:t>nicht homogen</w:t>
                  </w:r>
                </w:p>
              </w:tc>
            </w:tr>
            <w:tr w:rsidR="00183337" w:rsidRPr="00BD2498" w:rsidTr="00183337">
              <w:trPr>
                <w:trHeight w:val="510"/>
              </w:trPr>
              <w:tc>
                <w:tcPr>
                  <w:tcW w:w="520" w:type="dxa"/>
                  <w:vMerge/>
                  <w:tcBorders>
                    <w:top w:val="nil"/>
                    <w:left w:val="single" w:sz="4" w:space="0" w:color="auto"/>
                    <w:bottom w:val="single" w:sz="4" w:space="0" w:color="000000"/>
                    <w:right w:val="single" w:sz="4" w:space="0" w:color="000000"/>
                  </w:tcBorders>
                  <w:vAlign w:val="center"/>
                  <w:hideMark/>
                </w:tcPr>
                <w:p w:rsidR="00183337" w:rsidRPr="00BD2498" w:rsidRDefault="00183337" w:rsidP="00183337">
                  <w:pPr>
                    <w:jc w:val="left"/>
                    <w:rPr>
                      <w:rFonts w:cs="Arial"/>
                      <w:color w:val="000000"/>
                    </w:rPr>
                  </w:pPr>
                </w:p>
              </w:tc>
              <w:tc>
                <w:tcPr>
                  <w:tcW w:w="1080" w:type="dxa"/>
                  <w:tcBorders>
                    <w:top w:val="nil"/>
                    <w:left w:val="nil"/>
                    <w:bottom w:val="single" w:sz="4"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Pr>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Pr>
                      <w:color w:val="000000"/>
                    </w:rPr>
                    <w:t>10</w:t>
                  </w:r>
                </w:p>
              </w:tc>
              <w:tc>
                <w:tcPr>
                  <w:tcW w:w="1501" w:type="dxa"/>
                  <w:tcBorders>
                    <w:top w:val="nil"/>
                    <w:left w:val="nil"/>
                    <w:bottom w:val="single" w:sz="4"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color w:val="000000"/>
                    </w:rPr>
                    <w:t>dritte Wachstumsperiode</w:t>
                  </w:r>
                </w:p>
              </w:tc>
              <w:tc>
                <w:tcPr>
                  <w:tcW w:w="1420" w:type="dxa"/>
                  <w:tcBorders>
                    <w:top w:val="nil"/>
                    <w:left w:val="nil"/>
                    <w:bottom w:val="single" w:sz="4" w:space="0" w:color="auto"/>
                    <w:right w:val="single" w:sz="4" w:space="0" w:color="auto"/>
                  </w:tcBorders>
                  <w:shd w:val="clear" w:color="auto" w:fill="auto"/>
                  <w:vAlign w:val="center"/>
                  <w:hideMark/>
                </w:tcPr>
                <w:p w:rsidR="00183337" w:rsidRPr="00BD2498" w:rsidRDefault="00AE7105" w:rsidP="00183337">
                  <w:pPr>
                    <w:jc w:val="center"/>
                    <w:rPr>
                      <w:rFonts w:cs="Arial"/>
                      <w:color w:val="000000"/>
                    </w:rPr>
                  </w:pPr>
                  <w:r>
                    <w:rPr>
                      <w:color w:val="000000"/>
                    </w:rPr>
                    <w:t>nicht homogen</w:t>
                  </w:r>
                </w:p>
              </w:tc>
            </w:tr>
            <w:tr w:rsidR="00183337" w:rsidRPr="00BD2498" w:rsidTr="00183337">
              <w:trPr>
                <w:trHeight w:val="255"/>
              </w:trPr>
              <w:tc>
                <w:tcPr>
                  <w:tcW w:w="52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08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26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501"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42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r>
          </w:tbl>
          <w:p w:rsidR="00183337" w:rsidRPr="0071257F" w:rsidRDefault="00183337" w:rsidP="00183337">
            <w:pPr>
              <w:pStyle w:val="Titleofdoc0"/>
              <w:spacing w:before="0"/>
              <w:jc w:val="both"/>
              <w:rPr>
                <w:szCs w:val="24"/>
              </w:rPr>
            </w:pPr>
          </w:p>
        </w:tc>
      </w:tr>
    </w:tbl>
    <w:p w:rsidR="00183337" w:rsidRDefault="00183337" w:rsidP="00183337">
      <w:pPr>
        <w:rPr>
          <w:snapToGrid w:val="0"/>
        </w:rPr>
      </w:pPr>
    </w:p>
    <w:p w:rsidR="00183337" w:rsidRDefault="00183337" w:rsidP="00183337">
      <w:pPr>
        <w:rPr>
          <w:snapToGrid w:val="0"/>
        </w:rPr>
      </w:pPr>
    </w:p>
    <w:p w:rsidR="00183337" w:rsidRDefault="00183337" w:rsidP="00183337">
      <w:pPr>
        <w:jc w:val="right"/>
        <w:rPr>
          <w:snapToGrid w:val="0"/>
        </w:rPr>
      </w:pPr>
      <w:r>
        <w:rPr>
          <w:color w:val="000000"/>
        </w:rPr>
        <w:t>[Anlage II folgt]</w:t>
      </w:r>
    </w:p>
    <w:p w:rsidR="00183337" w:rsidRDefault="00183337" w:rsidP="00183337">
      <w:pPr>
        <w:rPr>
          <w:snapToGrid w:val="0"/>
        </w:rPr>
        <w:sectPr w:rsidR="00183337" w:rsidSect="00906DDC">
          <w:headerReference w:type="first" r:id="rId11"/>
          <w:footerReference w:type="first" r:id="rId12"/>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83337" w:rsidRPr="00ED3415" w:rsidTr="00183337">
        <w:trPr>
          <w:trHeight w:val="404"/>
        </w:trPr>
        <w:tc>
          <w:tcPr>
            <w:tcW w:w="9889" w:type="dxa"/>
          </w:tcPr>
          <w:p w:rsidR="00183337" w:rsidRPr="002A2C89" w:rsidRDefault="00183337" w:rsidP="00183337">
            <w:pPr>
              <w:autoSpaceDE w:val="0"/>
              <w:autoSpaceDN w:val="0"/>
              <w:adjustRightInd w:val="0"/>
              <w:spacing w:before="120" w:after="120"/>
              <w:jc w:val="center"/>
              <w:rPr>
                <w:rFonts w:eastAsia="SimSun"/>
                <w:szCs w:val="24"/>
              </w:rPr>
            </w:pPr>
            <w:r>
              <w:rPr>
                <w:szCs w:val="24"/>
              </w:rPr>
              <w:t>SITUATION B: ZWEI STANDORTE IM GLEICHEN JAHR</w:t>
            </w:r>
          </w:p>
        </w:tc>
      </w:tr>
      <w:tr w:rsidR="00183337" w:rsidRPr="00ED3415" w:rsidTr="00183337">
        <w:trPr>
          <w:trHeight w:val="2880"/>
        </w:trPr>
        <w:tc>
          <w:tcPr>
            <w:tcW w:w="9889" w:type="dxa"/>
            <w:tcBorders>
              <w:bottom w:val="single" w:sz="4" w:space="0" w:color="auto"/>
            </w:tcBorders>
          </w:tcPr>
          <w:p w:rsidR="00183337" w:rsidRPr="006556B3" w:rsidRDefault="00183337" w:rsidP="00183337">
            <w:pPr>
              <w:rPr>
                <w:b/>
                <w:szCs w:val="24"/>
              </w:rPr>
            </w:pPr>
          </w:p>
          <w:p w:rsidR="00183337" w:rsidRPr="006556B3" w:rsidRDefault="00183337" w:rsidP="00183337">
            <w:pPr>
              <w:rPr>
                <w:b/>
                <w:szCs w:val="24"/>
              </w:rPr>
            </w:pPr>
            <w:r>
              <w:rPr>
                <w:b/>
                <w:szCs w:val="24"/>
              </w:rPr>
              <w:t xml:space="preserve">Ansatz 1: Dritte Wachstumsperiode im Fall widersprüchlicher Ergebnisse </w:t>
            </w:r>
          </w:p>
          <w:p w:rsidR="00183337" w:rsidRPr="006556B3" w:rsidRDefault="00183337" w:rsidP="00183337">
            <w:pPr>
              <w:rPr>
                <w:rFonts w:eastAsia="SimSun"/>
                <w:szCs w:val="24"/>
                <w:lang w:eastAsia="zh-CN"/>
              </w:rPr>
            </w:pPr>
          </w:p>
          <w:p w:rsidR="00183337" w:rsidRPr="006556B3" w:rsidRDefault="00183337" w:rsidP="00183337">
            <w:pPr>
              <w:rPr>
                <w:rFonts w:eastAsia="SimSun"/>
                <w:szCs w:val="24"/>
              </w:rPr>
            </w:pPr>
            <w:r>
              <w:rPr>
                <w:szCs w:val="24"/>
              </w:rPr>
              <w:t>Eine Sorte wird als homogen betrachtet, wenn sie an beiden Standorten innerhalb des Homogenitätsstandards liegt.</w:t>
            </w:r>
          </w:p>
          <w:p w:rsidR="00183337" w:rsidRPr="006556B3" w:rsidRDefault="00183337" w:rsidP="00183337">
            <w:pPr>
              <w:rPr>
                <w:rFonts w:eastAsia="SimSun"/>
                <w:szCs w:val="24"/>
                <w:lang w:eastAsia="zh-CN"/>
              </w:rPr>
            </w:pPr>
          </w:p>
          <w:p w:rsidR="00183337" w:rsidRPr="006556B3" w:rsidRDefault="00183337" w:rsidP="00183337">
            <w:pPr>
              <w:rPr>
                <w:rFonts w:eastAsia="SimSun"/>
                <w:szCs w:val="24"/>
              </w:rPr>
            </w:pPr>
            <w:r>
              <w:rPr>
                <w:szCs w:val="24"/>
              </w:rPr>
              <w:t>Eine Sorte wird als nicht homogen betrachtet, we</w:t>
            </w:r>
            <w:r w:rsidR="003346D4">
              <w:rPr>
                <w:szCs w:val="24"/>
              </w:rPr>
              <w:t>nn sie an beiden Standort</w:t>
            </w:r>
            <w:r>
              <w:rPr>
                <w:szCs w:val="24"/>
              </w:rPr>
              <w:t>en nicht dem Homogenitätsstandard entspricht.</w:t>
            </w:r>
          </w:p>
          <w:p w:rsidR="00183337" w:rsidRPr="006556B3" w:rsidRDefault="00183337" w:rsidP="00183337">
            <w:pPr>
              <w:rPr>
                <w:rFonts w:eastAsia="SimSun"/>
                <w:szCs w:val="24"/>
                <w:lang w:eastAsia="zh-CN"/>
              </w:rPr>
            </w:pPr>
          </w:p>
          <w:p w:rsidR="00183337" w:rsidRPr="006556B3" w:rsidRDefault="00183337" w:rsidP="00183337">
            <w:pPr>
              <w:keepNext/>
              <w:keepLines/>
              <w:rPr>
                <w:rFonts w:eastAsia="SimSun"/>
                <w:szCs w:val="24"/>
              </w:rPr>
            </w:pPr>
            <w:r>
              <w:rPr>
                <w:szCs w:val="24"/>
              </w:rPr>
              <w:t xml:space="preserve">Entspricht die Sorte an einem Standort dem Homogenitätsstandard, am anderen Standort jedoch nicht, dann </w:t>
            </w:r>
          </w:p>
          <w:p w:rsidR="00183337" w:rsidRPr="006556B3" w:rsidRDefault="00183337" w:rsidP="00183337">
            <w:pPr>
              <w:keepNext/>
              <w:keepLines/>
              <w:rPr>
                <w:rFonts w:eastAsia="SimSun"/>
                <w:szCs w:val="24"/>
                <w:lang w:eastAsia="zh-CN"/>
              </w:rPr>
            </w:pPr>
          </w:p>
          <w:p w:rsidR="00183337" w:rsidRPr="006556B3" w:rsidRDefault="00183337" w:rsidP="00183337">
            <w:pPr>
              <w:keepNext/>
              <w:keepLines/>
              <w:ind w:left="561" w:right="709"/>
              <w:rPr>
                <w:rFonts w:eastAsia="SimSun"/>
              </w:rPr>
            </w:pPr>
            <w:r>
              <w:t>Alternative a)</w:t>
            </w:r>
            <w:r>
              <w:tab/>
              <w:t>wird der Anbauversuch an beiden Standorten in einem zweiten Jahr wiederholt;</w:t>
            </w:r>
          </w:p>
          <w:p w:rsidR="00183337" w:rsidRPr="006556B3" w:rsidRDefault="00183337" w:rsidP="00183337">
            <w:pPr>
              <w:keepNext/>
              <w:keepLines/>
              <w:ind w:left="561" w:right="709"/>
              <w:rPr>
                <w:rFonts w:eastAsia="SimSun"/>
                <w:lang w:eastAsia="zh-CN"/>
              </w:rPr>
            </w:pPr>
          </w:p>
          <w:p w:rsidR="00183337" w:rsidRPr="006556B3" w:rsidRDefault="003346D4" w:rsidP="00183337">
            <w:pPr>
              <w:keepNext/>
              <w:keepLines/>
              <w:ind w:left="561" w:right="709"/>
              <w:rPr>
                <w:rFonts w:eastAsia="SimSun"/>
              </w:rPr>
            </w:pPr>
            <w:r>
              <w:t xml:space="preserve">Alternative </w:t>
            </w:r>
            <w:r w:rsidR="00183337">
              <w:t>b)</w:t>
            </w:r>
            <w:r w:rsidR="00183337">
              <w:tab/>
              <w:t>wird der Anbauversuch in der Führenden Station (Standort) wiederholt</w:t>
            </w:r>
          </w:p>
          <w:p w:rsidR="00183337" w:rsidRPr="006556B3" w:rsidRDefault="00183337" w:rsidP="00183337">
            <w:pPr>
              <w:keepNext/>
              <w:keepLines/>
              <w:ind w:left="561" w:right="709"/>
            </w:pPr>
          </w:p>
          <w:p w:rsidR="00183337" w:rsidRDefault="00183337" w:rsidP="00183337">
            <w:pPr>
              <w:keepNext/>
              <w:keepLines/>
              <w:rPr>
                <w:rFonts w:eastAsia="SimSun"/>
                <w:szCs w:val="24"/>
              </w:rPr>
            </w:pPr>
            <w:r>
              <w:rPr>
                <w:color w:val="000000"/>
                <w:szCs w:val="24"/>
              </w:rPr>
              <w:t>Bei der Prüfung von Ergebnissen, die in jeder der Wachstumsperioden sehr unterschiedlich sind, muß mit größter Sorgfalt verfahren werden, etwa wenn ein Abweichertyp in einer Wachstumsperiode sehr häufig und in einer anderen überhaupt nicht vorkommt.</w:t>
            </w:r>
          </w:p>
          <w:p w:rsidR="00183337" w:rsidRDefault="00183337" w:rsidP="00183337">
            <w:pPr>
              <w:keepNext/>
              <w:keepLines/>
              <w:rPr>
                <w:rFonts w:eastAsia="SimSun"/>
                <w:szCs w:val="24"/>
                <w:lang w:eastAsia="zh-CN"/>
              </w:rPr>
            </w:pPr>
          </w:p>
          <w:p w:rsidR="00183337" w:rsidRPr="006556B3" w:rsidRDefault="00183337" w:rsidP="00183337">
            <w:pPr>
              <w:keepNext/>
              <w:keepLines/>
              <w:ind w:left="561" w:right="709"/>
              <w:rPr>
                <w:b/>
                <w:szCs w:val="24"/>
              </w:rPr>
            </w:pPr>
          </w:p>
          <w:p w:rsidR="00183337" w:rsidRPr="006556B3" w:rsidRDefault="00183337" w:rsidP="00183337">
            <w:pPr>
              <w:rPr>
                <w:rFonts w:eastAsia="SimSun"/>
                <w:b/>
                <w:szCs w:val="24"/>
              </w:rPr>
            </w:pPr>
            <w:r>
              <w:rPr>
                <w:b/>
                <w:szCs w:val="24"/>
              </w:rPr>
              <w:t xml:space="preserve">Ansatz 2: Kombination der Ergebnisse aus zwei Standorten </w:t>
            </w:r>
          </w:p>
          <w:p w:rsidR="00183337" w:rsidRPr="006556B3" w:rsidRDefault="00183337" w:rsidP="00183337">
            <w:pPr>
              <w:rPr>
                <w:rFonts w:eastAsia="SimSun"/>
                <w:b/>
                <w:szCs w:val="24"/>
                <w:lang w:eastAsia="zh-CN"/>
              </w:rPr>
            </w:pPr>
          </w:p>
          <w:p w:rsidR="00183337" w:rsidRPr="006556B3" w:rsidRDefault="00183337" w:rsidP="00183337">
            <w:pPr>
              <w:rPr>
                <w:rFonts w:eastAsia="SimSun"/>
                <w:szCs w:val="24"/>
              </w:rPr>
            </w:pPr>
            <w:r>
              <w:rPr>
                <w:szCs w:val="24"/>
              </w:rPr>
              <w:t>Eine Sorte wird als homogen betrachtet, wenn sie an beiden Standorten innerhalb des Homogenitätsstandards liegt.</w:t>
            </w:r>
          </w:p>
          <w:p w:rsidR="00183337" w:rsidRPr="006556B3" w:rsidRDefault="00183337" w:rsidP="00183337">
            <w:pPr>
              <w:rPr>
                <w:rFonts w:eastAsia="SimSun"/>
                <w:szCs w:val="24"/>
                <w:lang w:eastAsia="zh-CN"/>
              </w:rPr>
            </w:pPr>
          </w:p>
          <w:p w:rsidR="00183337" w:rsidRPr="006556B3" w:rsidRDefault="00183337" w:rsidP="00183337">
            <w:pPr>
              <w:keepNext/>
              <w:keepLines/>
              <w:tabs>
                <w:tab w:val="left" w:pos="1985"/>
              </w:tabs>
              <w:rPr>
                <w:rFonts w:eastAsia="SimSun"/>
                <w:szCs w:val="24"/>
              </w:rPr>
            </w:pPr>
            <w:r>
              <w:rPr>
                <w:szCs w:val="24"/>
              </w:rPr>
              <w:t>Eine Sorte wird als nicht homogen betrachtet, wenn sie in beiden Wachstumsperioden nicht dem Homogenitätsstandard entspricht.</w:t>
            </w:r>
          </w:p>
          <w:p w:rsidR="00183337" w:rsidRPr="006556B3" w:rsidRDefault="00183337" w:rsidP="00183337">
            <w:pPr>
              <w:keepNext/>
              <w:keepLines/>
              <w:tabs>
                <w:tab w:val="left" w:pos="1985"/>
              </w:tabs>
              <w:rPr>
                <w:rFonts w:eastAsia="SimSun"/>
                <w:szCs w:val="24"/>
                <w:lang w:eastAsia="zh-CN"/>
              </w:rPr>
            </w:pPr>
          </w:p>
          <w:p w:rsidR="00183337" w:rsidRPr="006556B3" w:rsidRDefault="00183337" w:rsidP="00183337">
            <w:pPr>
              <w:rPr>
                <w:rFonts w:eastAsia="SimSun"/>
                <w:szCs w:val="24"/>
              </w:rPr>
            </w:pPr>
            <w:r>
              <w:rPr>
                <w:szCs w:val="24"/>
              </w:rPr>
              <w:t xml:space="preserve">Entspricht die Sorte an einem Standort dem Homogenitätsstandard, am anderen Standort aber </w:t>
            </w:r>
            <w:r w:rsidR="00646BD1">
              <w:rPr>
                <w:szCs w:val="24"/>
              </w:rPr>
              <w:t>nicht,</w:t>
            </w:r>
            <w:r>
              <w:rPr>
                <w:szCs w:val="24"/>
              </w:rPr>
              <w:t xml:space="preserve"> so wird eine Sorte als homogen betrachtet, wenn die Anzahl der Abweicherpflanzen oder -pflanzenteile die für die kombinierte Probe (zwei Standorte) erlaubte Anzahl Abweichertypen nicht übersteigt.</w:t>
            </w:r>
          </w:p>
          <w:p w:rsidR="00183337" w:rsidRDefault="00183337" w:rsidP="00183337">
            <w:pPr>
              <w:keepNext/>
              <w:keepLines/>
              <w:rPr>
                <w:rFonts w:eastAsia="SimSun"/>
                <w:szCs w:val="24"/>
                <w:lang w:eastAsia="zh-CN"/>
              </w:rPr>
            </w:pPr>
          </w:p>
          <w:p w:rsidR="00183337" w:rsidRDefault="00183337" w:rsidP="00183337">
            <w:pPr>
              <w:keepNext/>
              <w:keepLines/>
              <w:rPr>
                <w:color w:val="000000"/>
                <w:szCs w:val="24"/>
              </w:rPr>
            </w:pPr>
            <w:r>
              <w:rPr>
                <w:color w:val="000000"/>
                <w:szCs w:val="24"/>
              </w:rPr>
              <w:t>Bei der Prüfung von Ergebnissen, die in jeder der Wachstumsperioden sehr unterschiedlich sind, muß mit größter Sorgfalt verfahren werden, etwa wenn ein Abweichertyp in einer Wachstumsperiode sehr häufig und in einer anderen überhaupt nicht vorkommt.</w:t>
            </w:r>
          </w:p>
          <w:p w:rsidR="00183337" w:rsidRDefault="00183337" w:rsidP="00183337">
            <w:pPr>
              <w:keepNext/>
              <w:keepLines/>
              <w:rPr>
                <w:rFonts w:eastAsia="SimSun"/>
                <w:szCs w:val="24"/>
              </w:rPr>
            </w:pPr>
            <w:r>
              <w:rPr>
                <w:szCs w:val="24"/>
              </w:rPr>
              <w:t>______________________________________________________________________________________</w:t>
            </w:r>
          </w:p>
          <w:p w:rsidR="00183337" w:rsidRDefault="00183337" w:rsidP="00183337">
            <w:pPr>
              <w:rPr>
                <w:szCs w:val="24"/>
              </w:rPr>
            </w:pPr>
          </w:p>
          <w:p w:rsidR="00183337" w:rsidRPr="00BD2498" w:rsidRDefault="00183337" w:rsidP="00183337">
            <w:pPr>
              <w:rPr>
                <w:szCs w:val="24"/>
              </w:rPr>
            </w:pPr>
            <w:r>
              <w:rPr>
                <w:szCs w:val="24"/>
              </w:rPr>
              <w:t xml:space="preserve">Zu prüfendes Beispiel: </w:t>
            </w:r>
          </w:p>
          <w:p w:rsidR="00183337" w:rsidRDefault="00183337" w:rsidP="00183337">
            <w:pPr>
              <w:rPr>
                <w:szCs w:val="24"/>
              </w:rPr>
            </w:pPr>
          </w:p>
          <w:tbl>
            <w:tblPr>
              <w:tblW w:w="5778" w:type="dxa"/>
              <w:tblInd w:w="1593" w:type="dxa"/>
              <w:tblLook w:val="04A0" w:firstRow="1" w:lastRow="0" w:firstColumn="1" w:lastColumn="0" w:noHBand="0" w:noVBand="1"/>
            </w:tblPr>
            <w:tblGrid>
              <w:gridCol w:w="5778"/>
            </w:tblGrid>
            <w:tr w:rsidR="00183337" w:rsidRPr="00304612" w:rsidTr="00183337">
              <w:trPr>
                <w:trHeight w:val="255"/>
              </w:trPr>
              <w:tc>
                <w:tcPr>
                  <w:tcW w:w="5778" w:type="dxa"/>
                  <w:tcBorders>
                    <w:top w:val="nil"/>
                    <w:left w:val="nil"/>
                    <w:bottom w:val="nil"/>
                    <w:right w:val="nil"/>
                  </w:tcBorders>
                  <w:shd w:val="clear" w:color="auto" w:fill="auto"/>
                  <w:noWrap/>
                  <w:vAlign w:val="bottom"/>
                  <w:hideMark/>
                </w:tcPr>
                <w:p w:rsidR="00183337" w:rsidRPr="00304612" w:rsidRDefault="00183337" w:rsidP="00183337">
                  <w:pPr>
                    <w:jc w:val="left"/>
                    <w:rPr>
                      <w:rFonts w:cs="Arial"/>
                      <w:color w:val="000000"/>
                    </w:rPr>
                  </w:pPr>
                  <w:r>
                    <w:rPr>
                      <w:color w:val="000000"/>
                    </w:rPr>
                    <w:t xml:space="preserve">Populationsstandard  = 1%  </w:t>
                  </w:r>
                </w:p>
              </w:tc>
            </w:tr>
            <w:tr w:rsidR="00183337" w:rsidRPr="00304612" w:rsidTr="00183337">
              <w:trPr>
                <w:trHeight w:val="270"/>
              </w:trPr>
              <w:tc>
                <w:tcPr>
                  <w:tcW w:w="5778" w:type="dxa"/>
                  <w:tcBorders>
                    <w:top w:val="nil"/>
                    <w:left w:val="nil"/>
                    <w:bottom w:val="nil"/>
                    <w:right w:val="nil"/>
                  </w:tcBorders>
                  <w:shd w:val="clear" w:color="auto" w:fill="auto"/>
                  <w:noWrap/>
                  <w:vAlign w:val="bottom"/>
                  <w:hideMark/>
                </w:tcPr>
                <w:p w:rsidR="00183337" w:rsidRPr="00304612" w:rsidRDefault="00183337" w:rsidP="00183337">
                  <w:pPr>
                    <w:jc w:val="left"/>
                    <w:rPr>
                      <w:rFonts w:cs="Arial"/>
                      <w:color w:val="000000"/>
                    </w:rPr>
                  </w:pPr>
                  <w:r>
                    <w:rPr>
                      <w:color w:val="000000"/>
                    </w:rPr>
                    <w:t>Akzeptanzwahrscheinlichkeit ≥ 95%</w:t>
                  </w:r>
                </w:p>
              </w:tc>
            </w:tr>
            <w:tr w:rsidR="00183337" w:rsidRPr="00304612" w:rsidTr="00183337">
              <w:trPr>
                <w:trHeight w:val="255"/>
              </w:trPr>
              <w:tc>
                <w:tcPr>
                  <w:tcW w:w="5778" w:type="dxa"/>
                  <w:tcBorders>
                    <w:top w:val="single" w:sz="8" w:space="0" w:color="auto"/>
                    <w:left w:val="single" w:sz="8" w:space="0" w:color="auto"/>
                    <w:bottom w:val="nil"/>
                    <w:right w:val="single" w:sz="8" w:space="0" w:color="000000"/>
                  </w:tcBorders>
                  <w:shd w:val="clear" w:color="auto" w:fill="auto"/>
                  <w:noWrap/>
                  <w:vAlign w:val="bottom"/>
                  <w:hideMark/>
                </w:tcPr>
                <w:p w:rsidR="00183337" w:rsidRPr="00304612" w:rsidRDefault="00183337" w:rsidP="00183337">
                  <w:pPr>
                    <w:jc w:val="left"/>
                    <w:rPr>
                      <w:rFonts w:cs="Arial"/>
                      <w:color w:val="000000"/>
                    </w:rPr>
                  </w:pPr>
                  <w:r>
                    <w:rPr>
                      <w:color w:val="000000"/>
                    </w:rPr>
                    <w:t>Probengröße in jeder der Wachstumsperioden 1 und 2 = 50</w:t>
                  </w:r>
                </w:p>
              </w:tc>
            </w:tr>
            <w:tr w:rsidR="00183337" w:rsidRPr="00304612" w:rsidTr="00183337">
              <w:trPr>
                <w:trHeight w:val="270"/>
              </w:trPr>
              <w:tc>
                <w:tcPr>
                  <w:tcW w:w="5778" w:type="dxa"/>
                  <w:tcBorders>
                    <w:top w:val="nil"/>
                    <w:left w:val="single" w:sz="4" w:space="0" w:color="auto"/>
                    <w:bottom w:val="single" w:sz="8" w:space="0" w:color="auto"/>
                    <w:right w:val="single" w:sz="8" w:space="0" w:color="000000"/>
                  </w:tcBorders>
                  <w:shd w:val="clear" w:color="auto" w:fill="auto"/>
                  <w:noWrap/>
                  <w:vAlign w:val="bottom"/>
                  <w:hideMark/>
                </w:tcPr>
                <w:p w:rsidR="00183337" w:rsidRPr="00304612" w:rsidRDefault="00183337" w:rsidP="00183337">
                  <w:pPr>
                    <w:jc w:val="left"/>
                    <w:rPr>
                      <w:rFonts w:cs="Arial"/>
                      <w:color w:val="000000"/>
                    </w:rPr>
                  </w:pPr>
                  <w:r>
                    <w:rPr>
                      <w:color w:val="000000"/>
                    </w:rPr>
                    <w:t>Höchstzahl an Abweichertypen = 2</w:t>
                  </w:r>
                </w:p>
              </w:tc>
            </w:tr>
            <w:tr w:rsidR="00183337" w:rsidRPr="00304612" w:rsidTr="00183337">
              <w:trPr>
                <w:trHeight w:val="270"/>
              </w:trPr>
              <w:tc>
                <w:tcPr>
                  <w:tcW w:w="5778" w:type="dxa"/>
                  <w:tcBorders>
                    <w:top w:val="nil"/>
                    <w:left w:val="single" w:sz="4" w:space="0" w:color="auto"/>
                    <w:bottom w:val="nil"/>
                    <w:right w:val="single" w:sz="4" w:space="0" w:color="auto"/>
                  </w:tcBorders>
                  <w:shd w:val="clear" w:color="auto" w:fill="auto"/>
                  <w:noWrap/>
                  <w:vAlign w:val="bottom"/>
                  <w:hideMark/>
                </w:tcPr>
                <w:p w:rsidR="00183337" w:rsidRPr="00304612" w:rsidRDefault="00183337" w:rsidP="00183337">
                  <w:pPr>
                    <w:jc w:val="left"/>
                    <w:rPr>
                      <w:rFonts w:cs="Arial"/>
                      <w:color w:val="000000"/>
                    </w:rPr>
                  </w:pPr>
                  <w:r>
                    <w:rPr>
                      <w:color w:val="000000"/>
                    </w:rPr>
                    <w:t>Probengröße in den kombinierten Wachstumsperioden 1 und 2 = 100</w:t>
                  </w:r>
                </w:p>
              </w:tc>
            </w:tr>
            <w:tr w:rsidR="00183337" w:rsidRPr="00304612" w:rsidTr="00183337">
              <w:trPr>
                <w:trHeight w:val="270"/>
              </w:trPr>
              <w:tc>
                <w:tcPr>
                  <w:tcW w:w="5778" w:type="dxa"/>
                  <w:tcBorders>
                    <w:top w:val="nil"/>
                    <w:left w:val="single" w:sz="4" w:space="0" w:color="auto"/>
                    <w:bottom w:val="single" w:sz="4" w:space="0" w:color="auto"/>
                    <w:right w:val="single" w:sz="4" w:space="0" w:color="auto"/>
                  </w:tcBorders>
                  <w:shd w:val="clear" w:color="auto" w:fill="auto"/>
                  <w:noWrap/>
                  <w:vAlign w:val="bottom"/>
                  <w:hideMark/>
                </w:tcPr>
                <w:p w:rsidR="00183337" w:rsidRPr="00304612" w:rsidRDefault="00183337" w:rsidP="00183337">
                  <w:pPr>
                    <w:jc w:val="left"/>
                    <w:rPr>
                      <w:rFonts w:cs="Arial"/>
                      <w:color w:val="000000"/>
                    </w:rPr>
                  </w:pPr>
                  <w:r>
                    <w:rPr>
                      <w:color w:val="000000"/>
                    </w:rPr>
                    <w:t>Höchstzahl an Abweichertypen = 3</w:t>
                  </w:r>
                </w:p>
              </w:tc>
            </w:tr>
          </w:tbl>
          <w:p w:rsidR="00183337" w:rsidRDefault="00183337"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p w:rsidR="00E932E8" w:rsidRDefault="00E932E8" w:rsidP="00183337">
            <w:pPr>
              <w:pStyle w:val="Titleofdoc0"/>
              <w:spacing w:before="0"/>
              <w:jc w:val="both"/>
              <w:rPr>
                <w:szCs w:val="24"/>
              </w:rPr>
            </w:pPr>
          </w:p>
          <w:tbl>
            <w:tblPr>
              <w:tblW w:w="5781" w:type="dxa"/>
              <w:tblInd w:w="1593" w:type="dxa"/>
              <w:tblLook w:val="04A0" w:firstRow="1" w:lastRow="0" w:firstColumn="1" w:lastColumn="0" w:noHBand="0" w:noVBand="1"/>
            </w:tblPr>
            <w:tblGrid>
              <w:gridCol w:w="520"/>
              <w:gridCol w:w="1080"/>
              <w:gridCol w:w="1260"/>
              <w:gridCol w:w="1501"/>
              <w:gridCol w:w="1420"/>
            </w:tblGrid>
            <w:tr w:rsidR="00183337" w:rsidRPr="00BD2498" w:rsidTr="00183337">
              <w:trPr>
                <w:trHeight w:val="255"/>
              </w:trPr>
              <w:tc>
                <w:tcPr>
                  <w:tcW w:w="52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080" w:type="dxa"/>
                  <w:tcBorders>
                    <w:top w:val="nil"/>
                    <w:left w:val="nil"/>
                    <w:bottom w:val="single" w:sz="4" w:space="0" w:color="auto"/>
                    <w:right w:val="nil"/>
                  </w:tcBorders>
                  <w:shd w:val="clear" w:color="auto" w:fill="auto"/>
                  <w:noWrap/>
                  <w:vAlign w:val="bottom"/>
                  <w:hideMark/>
                </w:tcPr>
                <w:p w:rsidR="00183337" w:rsidRPr="00BD2498" w:rsidRDefault="00183337" w:rsidP="00183337">
                  <w:pPr>
                    <w:jc w:val="left"/>
                    <w:rPr>
                      <w:rFonts w:cs="Arial"/>
                      <w:color w:val="000000"/>
                    </w:rPr>
                  </w:pPr>
                  <w:r>
                    <w:rPr>
                      <w:color w:val="000000"/>
                    </w:rPr>
                    <w:t> </w:t>
                  </w:r>
                </w:p>
              </w:tc>
              <w:tc>
                <w:tcPr>
                  <w:tcW w:w="1260" w:type="dxa"/>
                  <w:tcBorders>
                    <w:top w:val="nil"/>
                    <w:left w:val="nil"/>
                    <w:bottom w:val="single" w:sz="4" w:space="0" w:color="auto"/>
                    <w:right w:val="nil"/>
                  </w:tcBorders>
                  <w:shd w:val="clear" w:color="auto" w:fill="auto"/>
                  <w:noWrap/>
                  <w:vAlign w:val="bottom"/>
                  <w:hideMark/>
                </w:tcPr>
                <w:p w:rsidR="00183337" w:rsidRPr="00BD2498" w:rsidRDefault="00183337" w:rsidP="00183337">
                  <w:pPr>
                    <w:jc w:val="left"/>
                    <w:rPr>
                      <w:rFonts w:cs="Arial"/>
                      <w:color w:val="000000"/>
                    </w:rPr>
                  </w:pPr>
                  <w:r>
                    <w:rPr>
                      <w:color w:val="000000"/>
                    </w:rPr>
                    <w:t> </w:t>
                  </w:r>
                </w:p>
              </w:tc>
              <w:tc>
                <w:tcPr>
                  <w:tcW w:w="1501" w:type="dxa"/>
                  <w:tcBorders>
                    <w:top w:val="nil"/>
                    <w:left w:val="nil"/>
                    <w:bottom w:val="single" w:sz="4" w:space="0" w:color="auto"/>
                    <w:right w:val="nil"/>
                  </w:tcBorders>
                  <w:shd w:val="clear" w:color="auto" w:fill="auto"/>
                  <w:noWrap/>
                  <w:vAlign w:val="bottom"/>
                  <w:hideMark/>
                </w:tcPr>
                <w:p w:rsidR="00183337" w:rsidRPr="00BD2498" w:rsidRDefault="00183337" w:rsidP="00183337">
                  <w:pPr>
                    <w:jc w:val="left"/>
                    <w:rPr>
                      <w:rFonts w:cs="Arial"/>
                      <w:color w:val="000000"/>
                    </w:rPr>
                  </w:pPr>
                  <w:r>
                    <w:rPr>
                      <w:color w:val="000000"/>
                    </w:rPr>
                    <w:t> </w:t>
                  </w:r>
                </w:p>
              </w:tc>
              <w:tc>
                <w:tcPr>
                  <w:tcW w:w="1420" w:type="dxa"/>
                  <w:tcBorders>
                    <w:top w:val="nil"/>
                    <w:left w:val="nil"/>
                    <w:bottom w:val="single" w:sz="4" w:space="0" w:color="auto"/>
                    <w:right w:val="nil"/>
                  </w:tcBorders>
                  <w:shd w:val="clear" w:color="auto" w:fill="auto"/>
                  <w:noWrap/>
                  <w:vAlign w:val="bottom"/>
                  <w:hideMark/>
                </w:tcPr>
                <w:p w:rsidR="00183337" w:rsidRPr="00BD2498" w:rsidRDefault="00183337" w:rsidP="00183337">
                  <w:pPr>
                    <w:jc w:val="left"/>
                    <w:rPr>
                      <w:rFonts w:cs="Arial"/>
                      <w:color w:val="000000"/>
                    </w:rPr>
                  </w:pPr>
                  <w:r>
                    <w:rPr>
                      <w:color w:val="000000"/>
                    </w:rPr>
                    <w:t> </w:t>
                  </w:r>
                </w:p>
              </w:tc>
            </w:tr>
            <w:tr w:rsidR="00183337" w:rsidRPr="00BD2498" w:rsidTr="00183337">
              <w:trPr>
                <w:trHeight w:val="255"/>
              </w:trPr>
              <w:tc>
                <w:tcPr>
                  <w:tcW w:w="520" w:type="dxa"/>
                  <w:tcBorders>
                    <w:top w:val="nil"/>
                    <w:left w:val="nil"/>
                    <w:bottom w:val="nil"/>
                    <w:right w:val="single" w:sz="4" w:space="0" w:color="auto"/>
                  </w:tcBorders>
                  <w:shd w:val="clear" w:color="auto" w:fill="auto"/>
                  <w:noWrap/>
                  <w:vAlign w:val="bottom"/>
                  <w:hideMark/>
                </w:tcPr>
                <w:p w:rsidR="00183337" w:rsidRPr="00BD2498" w:rsidRDefault="00183337" w:rsidP="00183337">
                  <w:pPr>
                    <w:jc w:val="left"/>
                    <w:rPr>
                      <w:rFonts w:cs="Arial"/>
                      <w:color w:val="000000"/>
                    </w:rPr>
                  </w:pPr>
                  <w:r>
                    <w:rPr>
                      <w:color w:val="000000"/>
                    </w:rPr>
                    <w:t> </w:t>
                  </w:r>
                </w:p>
              </w:tc>
              <w:tc>
                <w:tcPr>
                  <w:tcW w:w="2340" w:type="dxa"/>
                  <w:gridSpan w:val="2"/>
                  <w:tcBorders>
                    <w:top w:val="nil"/>
                    <w:left w:val="nil"/>
                    <w:bottom w:val="single" w:sz="4" w:space="0" w:color="auto"/>
                    <w:right w:val="single" w:sz="4" w:space="0" w:color="000000"/>
                  </w:tcBorders>
                  <w:shd w:val="clear" w:color="auto" w:fill="auto"/>
                  <w:noWrap/>
                  <w:vAlign w:val="bottom"/>
                  <w:hideMark/>
                </w:tcPr>
                <w:p w:rsidR="00183337" w:rsidRPr="00BD2498" w:rsidRDefault="00183337" w:rsidP="00183337">
                  <w:pPr>
                    <w:jc w:val="center"/>
                    <w:rPr>
                      <w:rFonts w:cs="Arial"/>
                      <w:color w:val="000000"/>
                    </w:rPr>
                  </w:pPr>
                  <w:r>
                    <w:rPr>
                      <w:color w:val="000000"/>
                    </w:rPr>
                    <w:t>Standort</w:t>
                  </w:r>
                </w:p>
              </w:tc>
              <w:tc>
                <w:tcPr>
                  <w:tcW w:w="29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3337" w:rsidRPr="00BD2498" w:rsidRDefault="00183337" w:rsidP="00183337">
                  <w:pPr>
                    <w:jc w:val="center"/>
                    <w:rPr>
                      <w:rFonts w:cs="Arial"/>
                      <w:color w:val="000000"/>
                    </w:rPr>
                  </w:pPr>
                  <w:r>
                    <w:rPr>
                      <w:color w:val="000000"/>
                    </w:rPr>
                    <w:t>Entscheidung</w:t>
                  </w:r>
                </w:p>
              </w:tc>
            </w:tr>
            <w:tr w:rsidR="00183337" w:rsidRPr="00BD2498" w:rsidTr="00183337">
              <w:trPr>
                <w:trHeight w:val="270"/>
              </w:trPr>
              <w:tc>
                <w:tcPr>
                  <w:tcW w:w="520" w:type="dxa"/>
                  <w:tcBorders>
                    <w:top w:val="nil"/>
                    <w:left w:val="nil"/>
                    <w:bottom w:val="single" w:sz="4" w:space="0" w:color="auto"/>
                    <w:right w:val="single" w:sz="4" w:space="0" w:color="auto"/>
                  </w:tcBorders>
                  <w:shd w:val="clear" w:color="auto" w:fill="auto"/>
                  <w:noWrap/>
                  <w:vAlign w:val="bottom"/>
                  <w:hideMark/>
                </w:tcPr>
                <w:p w:rsidR="00183337" w:rsidRPr="00BD2498" w:rsidRDefault="00183337" w:rsidP="00183337">
                  <w:pPr>
                    <w:jc w:val="left"/>
                    <w:rPr>
                      <w:rFonts w:cs="Arial"/>
                      <w:color w:val="000000"/>
                    </w:rPr>
                  </w:pPr>
                  <w:r>
                    <w:rPr>
                      <w:color w:val="000000"/>
                    </w:rPr>
                    <w:t> </w:t>
                  </w:r>
                </w:p>
              </w:tc>
              <w:tc>
                <w:tcPr>
                  <w:tcW w:w="1080"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183337">
                  <w:pPr>
                    <w:jc w:val="center"/>
                    <w:rPr>
                      <w:rFonts w:cs="Arial"/>
                      <w:color w:val="000000"/>
                    </w:rPr>
                  </w:pPr>
                  <w:r>
                    <w:rPr>
                      <w:color w:val="000000"/>
                    </w:rPr>
                    <w:t>erster</w:t>
                  </w:r>
                </w:p>
              </w:tc>
              <w:tc>
                <w:tcPr>
                  <w:tcW w:w="1260"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183337">
                  <w:pPr>
                    <w:jc w:val="center"/>
                    <w:rPr>
                      <w:rFonts w:cs="Arial"/>
                      <w:color w:val="000000"/>
                    </w:rPr>
                  </w:pPr>
                  <w:r>
                    <w:rPr>
                      <w:color w:val="000000"/>
                    </w:rPr>
                    <w:t>zweiter</w:t>
                  </w:r>
                </w:p>
              </w:tc>
              <w:tc>
                <w:tcPr>
                  <w:tcW w:w="1501"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183337">
                  <w:pPr>
                    <w:jc w:val="center"/>
                    <w:rPr>
                      <w:rFonts w:cs="Arial"/>
                      <w:color w:val="000000"/>
                    </w:rPr>
                  </w:pPr>
                  <w:r>
                    <w:rPr>
                      <w:color w:val="000000"/>
                    </w:rPr>
                    <w:t>Ansatz 1</w:t>
                  </w:r>
                </w:p>
              </w:tc>
              <w:tc>
                <w:tcPr>
                  <w:tcW w:w="1420"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183337">
                  <w:pPr>
                    <w:jc w:val="center"/>
                    <w:rPr>
                      <w:rFonts w:cs="Arial"/>
                      <w:color w:val="000000"/>
                    </w:rPr>
                  </w:pPr>
                  <w:r>
                    <w:rPr>
                      <w:color w:val="000000"/>
                    </w:rPr>
                    <w:t>Ansatz 2</w:t>
                  </w:r>
                </w:p>
              </w:tc>
            </w:tr>
            <w:tr w:rsidR="00183337" w:rsidRPr="00BD2498" w:rsidTr="00183337">
              <w:trPr>
                <w:trHeight w:val="390"/>
              </w:trPr>
              <w:tc>
                <w:tcPr>
                  <w:tcW w:w="520" w:type="dxa"/>
                  <w:vMerge w:val="restart"/>
                  <w:tcBorders>
                    <w:top w:val="nil"/>
                    <w:left w:val="single" w:sz="4" w:space="0" w:color="auto"/>
                    <w:bottom w:val="single" w:sz="4" w:space="0" w:color="000000"/>
                    <w:right w:val="single" w:sz="4" w:space="0" w:color="000000"/>
                  </w:tcBorders>
                  <w:shd w:val="clear" w:color="auto" w:fill="auto"/>
                  <w:textDirection w:val="btLr"/>
                  <w:vAlign w:val="bottom"/>
                  <w:hideMark/>
                </w:tcPr>
                <w:p w:rsidR="00183337" w:rsidRPr="00BD2498" w:rsidRDefault="00183337" w:rsidP="00183337">
                  <w:pPr>
                    <w:jc w:val="center"/>
                    <w:rPr>
                      <w:rFonts w:cs="Arial"/>
                      <w:color w:val="000000"/>
                    </w:rPr>
                  </w:pPr>
                  <w:r>
                    <w:rPr>
                      <w:color w:val="000000"/>
                    </w:rPr>
                    <w:t>Anzahl an Abweichertypen</w:t>
                  </w:r>
                </w:p>
              </w:tc>
              <w:tc>
                <w:tcPr>
                  <w:tcW w:w="1080" w:type="dxa"/>
                  <w:tcBorders>
                    <w:top w:val="nil"/>
                    <w:left w:val="single" w:sz="8" w:space="0" w:color="auto"/>
                    <w:bottom w:val="single" w:sz="8"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Pr>
                      <w:color w:val="000000"/>
                    </w:rPr>
                    <w:t>2</w:t>
                  </w:r>
                </w:p>
              </w:tc>
              <w:tc>
                <w:tcPr>
                  <w:tcW w:w="1260" w:type="dxa"/>
                  <w:tcBorders>
                    <w:top w:val="nil"/>
                    <w:left w:val="nil"/>
                    <w:bottom w:val="single" w:sz="8"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Pr>
                      <w:color w:val="000000"/>
                    </w:rPr>
                    <w:t>2</w:t>
                  </w:r>
                </w:p>
              </w:tc>
              <w:tc>
                <w:tcPr>
                  <w:tcW w:w="1501" w:type="dxa"/>
                  <w:tcBorders>
                    <w:top w:val="nil"/>
                    <w:left w:val="nil"/>
                    <w:bottom w:val="single" w:sz="8" w:space="0" w:color="auto"/>
                    <w:right w:val="single" w:sz="4" w:space="0" w:color="auto"/>
                  </w:tcBorders>
                  <w:shd w:val="clear" w:color="auto" w:fill="auto"/>
                  <w:noWrap/>
                  <w:vAlign w:val="center"/>
                  <w:hideMark/>
                </w:tcPr>
                <w:p w:rsidR="00183337" w:rsidRPr="00BD2498" w:rsidRDefault="003346D4" w:rsidP="00183337">
                  <w:pPr>
                    <w:jc w:val="center"/>
                    <w:rPr>
                      <w:rFonts w:cs="Arial"/>
                      <w:color w:val="000000"/>
                    </w:rPr>
                  </w:pPr>
                  <w:r>
                    <w:rPr>
                      <w:color w:val="000000"/>
                    </w:rPr>
                    <w:t>homogen</w:t>
                  </w:r>
                </w:p>
              </w:tc>
              <w:tc>
                <w:tcPr>
                  <w:tcW w:w="1420" w:type="dxa"/>
                  <w:tcBorders>
                    <w:top w:val="nil"/>
                    <w:left w:val="nil"/>
                    <w:bottom w:val="single" w:sz="8" w:space="0" w:color="auto"/>
                    <w:right w:val="single" w:sz="8" w:space="0" w:color="auto"/>
                  </w:tcBorders>
                  <w:shd w:val="clear" w:color="auto" w:fill="auto"/>
                  <w:vAlign w:val="center"/>
                  <w:hideMark/>
                </w:tcPr>
                <w:p w:rsidR="00183337" w:rsidRPr="00BD2498" w:rsidRDefault="003346D4" w:rsidP="00183337">
                  <w:pPr>
                    <w:jc w:val="center"/>
                    <w:rPr>
                      <w:rFonts w:cs="Arial"/>
                      <w:color w:val="000000"/>
                    </w:rPr>
                  </w:pPr>
                  <w:r>
                    <w:rPr>
                      <w:color w:val="000000"/>
                    </w:rPr>
                    <w:t>homogen</w:t>
                  </w:r>
                </w:p>
              </w:tc>
            </w:tr>
            <w:tr w:rsidR="00183337" w:rsidRPr="00BD2498" w:rsidTr="00183337">
              <w:trPr>
                <w:trHeight w:val="525"/>
              </w:trPr>
              <w:tc>
                <w:tcPr>
                  <w:tcW w:w="520" w:type="dxa"/>
                  <w:vMerge/>
                  <w:tcBorders>
                    <w:top w:val="nil"/>
                    <w:left w:val="single" w:sz="4" w:space="0" w:color="auto"/>
                    <w:bottom w:val="single" w:sz="4" w:space="0" w:color="000000"/>
                    <w:right w:val="single" w:sz="4" w:space="0" w:color="000000"/>
                  </w:tcBorders>
                  <w:vAlign w:val="center"/>
                  <w:hideMark/>
                </w:tcPr>
                <w:p w:rsidR="00183337" w:rsidRPr="00BD2498" w:rsidRDefault="00183337" w:rsidP="00183337">
                  <w:pPr>
                    <w:jc w:val="left"/>
                    <w:rPr>
                      <w:rFonts w:cs="Arial"/>
                      <w:color w:val="000000"/>
                    </w:rPr>
                  </w:pPr>
                </w:p>
              </w:tc>
              <w:tc>
                <w:tcPr>
                  <w:tcW w:w="108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color w:val="000000"/>
                    </w:rPr>
                    <w:t>0</w:t>
                  </w:r>
                </w:p>
              </w:tc>
              <w:tc>
                <w:tcPr>
                  <w:tcW w:w="126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color w:val="000000"/>
                    </w:rPr>
                    <w:t>3</w:t>
                  </w:r>
                </w:p>
              </w:tc>
              <w:tc>
                <w:tcPr>
                  <w:tcW w:w="1501"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color w:val="000000"/>
                    </w:rPr>
                    <w:t>Versuch wiederholen</w:t>
                  </w:r>
                </w:p>
              </w:tc>
              <w:tc>
                <w:tcPr>
                  <w:tcW w:w="1420" w:type="dxa"/>
                  <w:tcBorders>
                    <w:top w:val="nil"/>
                    <w:left w:val="nil"/>
                    <w:bottom w:val="single" w:sz="8" w:space="0" w:color="auto"/>
                    <w:right w:val="single" w:sz="4" w:space="0" w:color="auto"/>
                  </w:tcBorders>
                  <w:shd w:val="clear" w:color="auto" w:fill="auto"/>
                  <w:vAlign w:val="center"/>
                  <w:hideMark/>
                </w:tcPr>
                <w:p w:rsidR="00183337" w:rsidRPr="00BD2498" w:rsidRDefault="003346D4" w:rsidP="00183337">
                  <w:pPr>
                    <w:jc w:val="center"/>
                    <w:rPr>
                      <w:rFonts w:cs="Arial"/>
                      <w:color w:val="000000"/>
                    </w:rPr>
                  </w:pPr>
                  <w:r>
                    <w:rPr>
                      <w:color w:val="000000"/>
                    </w:rPr>
                    <w:t>homogen</w:t>
                  </w:r>
                </w:p>
              </w:tc>
            </w:tr>
            <w:tr w:rsidR="00183337" w:rsidRPr="00BD2498" w:rsidTr="00183337">
              <w:trPr>
                <w:trHeight w:val="525"/>
              </w:trPr>
              <w:tc>
                <w:tcPr>
                  <w:tcW w:w="520" w:type="dxa"/>
                  <w:vMerge/>
                  <w:tcBorders>
                    <w:top w:val="nil"/>
                    <w:left w:val="single" w:sz="4" w:space="0" w:color="auto"/>
                    <w:bottom w:val="single" w:sz="4" w:space="0" w:color="000000"/>
                    <w:right w:val="single" w:sz="4" w:space="0" w:color="000000"/>
                  </w:tcBorders>
                  <w:vAlign w:val="center"/>
                  <w:hideMark/>
                </w:tcPr>
                <w:p w:rsidR="00183337" w:rsidRPr="00BD2498" w:rsidRDefault="00183337" w:rsidP="00183337">
                  <w:pPr>
                    <w:jc w:val="left"/>
                    <w:rPr>
                      <w:rFonts w:cs="Arial"/>
                      <w:color w:val="000000"/>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color w:val="000000"/>
                    </w:rPr>
                    <w:t>1</w:t>
                  </w:r>
                </w:p>
              </w:tc>
              <w:tc>
                <w:tcPr>
                  <w:tcW w:w="126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color w:val="000000"/>
                    </w:rPr>
                    <w:t>3</w:t>
                  </w:r>
                </w:p>
              </w:tc>
              <w:tc>
                <w:tcPr>
                  <w:tcW w:w="1501"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color w:val="000000"/>
                    </w:rPr>
                    <w:t>Versuch wiederholen</w:t>
                  </w:r>
                </w:p>
              </w:tc>
              <w:tc>
                <w:tcPr>
                  <w:tcW w:w="1420" w:type="dxa"/>
                  <w:tcBorders>
                    <w:top w:val="nil"/>
                    <w:left w:val="nil"/>
                    <w:bottom w:val="single" w:sz="8" w:space="0" w:color="auto"/>
                    <w:right w:val="single" w:sz="8" w:space="0" w:color="auto"/>
                  </w:tcBorders>
                  <w:shd w:val="clear" w:color="auto" w:fill="auto"/>
                  <w:vAlign w:val="center"/>
                  <w:hideMark/>
                </w:tcPr>
                <w:p w:rsidR="00183337" w:rsidRPr="00BD2498" w:rsidRDefault="003346D4" w:rsidP="00183337">
                  <w:pPr>
                    <w:jc w:val="center"/>
                    <w:rPr>
                      <w:rFonts w:cs="Arial"/>
                      <w:color w:val="000000"/>
                    </w:rPr>
                  </w:pPr>
                  <w:r>
                    <w:rPr>
                      <w:color w:val="000000"/>
                    </w:rPr>
                    <w:t>nicht homogen</w:t>
                  </w:r>
                </w:p>
              </w:tc>
            </w:tr>
            <w:tr w:rsidR="00183337" w:rsidRPr="00BD2498" w:rsidTr="00183337">
              <w:trPr>
                <w:trHeight w:val="510"/>
              </w:trPr>
              <w:tc>
                <w:tcPr>
                  <w:tcW w:w="520" w:type="dxa"/>
                  <w:vMerge/>
                  <w:tcBorders>
                    <w:top w:val="nil"/>
                    <w:left w:val="single" w:sz="4" w:space="0" w:color="auto"/>
                    <w:bottom w:val="single" w:sz="4" w:space="0" w:color="000000"/>
                    <w:right w:val="single" w:sz="4" w:space="0" w:color="000000"/>
                  </w:tcBorders>
                  <w:vAlign w:val="center"/>
                  <w:hideMark/>
                </w:tcPr>
                <w:p w:rsidR="00183337" w:rsidRPr="00BD2498" w:rsidRDefault="00183337" w:rsidP="00183337">
                  <w:pPr>
                    <w:jc w:val="left"/>
                    <w:rPr>
                      <w:rFonts w:cs="Arial"/>
                      <w:color w:val="000000"/>
                    </w:rPr>
                  </w:pPr>
                </w:p>
              </w:tc>
              <w:tc>
                <w:tcPr>
                  <w:tcW w:w="1080" w:type="dxa"/>
                  <w:tcBorders>
                    <w:top w:val="nil"/>
                    <w:left w:val="nil"/>
                    <w:bottom w:val="single" w:sz="4"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Pr>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Pr>
                      <w:color w:val="000000"/>
                    </w:rPr>
                    <w:t>10</w:t>
                  </w:r>
                </w:p>
              </w:tc>
              <w:tc>
                <w:tcPr>
                  <w:tcW w:w="1501" w:type="dxa"/>
                  <w:tcBorders>
                    <w:top w:val="nil"/>
                    <w:left w:val="nil"/>
                    <w:bottom w:val="single" w:sz="4"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color w:val="000000"/>
                    </w:rPr>
                    <w:t>Versuch wiederholen</w:t>
                  </w:r>
                </w:p>
              </w:tc>
              <w:tc>
                <w:tcPr>
                  <w:tcW w:w="1420" w:type="dxa"/>
                  <w:tcBorders>
                    <w:top w:val="nil"/>
                    <w:left w:val="nil"/>
                    <w:bottom w:val="single" w:sz="4" w:space="0" w:color="auto"/>
                    <w:right w:val="single" w:sz="4" w:space="0" w:color="auto"/>
                  </w:tcBorders>
                  <w:shd w:val="clear" w:color="auto" w:fill="auto"/>
                  <w:vAlign w:val="center"/>
                  <w:hideMark/>
                </w:tcPr>
                <w:p w:rsidR="00183337" w:rsidRPr="00BD2498" w:rsidRDefault="003346D4" w:rsidP="00183337">
                  <w:pPr>
                    <w:jc w:val="center"/>
                    <w:rPr>
                      <w:rFonts w:cs="Arial"/>
                      <w:color w:val="000000"/>
                    </w:rPr>
                  </w:pPr>
                  <w:r>
                    <w:rPr>
                      <w:color w:val="000000"/>
                    </w:rPr>
                    <w:t>nicht homogen</w:t>
                  </w:r>
                </w:p>
              </w:tc>
            </w:tr>
            <w:tr w:rsidR="00183337" w:rsidRPr="00BD2498" w:rsidTr="00183337">
              <w:trPr>
                <w:trHeight w:val="255"/>
              </w:trPr>
              <w:tc>
                <w:tcPr>
                  <w:tcW w:w="52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08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26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501"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42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r>
          </w:tbl>
          <w:p w:rsidR="00183337" w:rsidRPr="006556B3" w:rsidRDefault="00183337" w:rsidP="00183337">
            <w:pPr>
              <w:pStyle w:val="Titleofdoc0"/>
              <w:spacing w:before="0"/>
              <w:jc w:val="both"/>
              <w:rPr>
                <w:szCs w:val="24"/>
              </w:rPr>
            </w:pPr>
          </w:p>
        </w:tc>
      </w:tr>
    </w:tbl>
    <w:p w:rsidR="00183337" w:rsidRDefault="00183337" w:rsidP="00183337">
      <w:pPr>
        <w:rPr>
          <w:snapToGrid w:val="0"/>
        </w:rPr>
      </w:pPr>
    </w:p>
    <w:p w:rsidR="00183337" w:rsidRDefault="00183337" w:rsidP="00183337">
      <w:pPr>
        <w:jc w:val="right"/>
        <w:rPr>
          <w:snapToGrid w:val="0"/>
        </w:rPr>
      </w:pPr>
      <w:r>
        <w:rPr>
          <w:color w:val="000000"/>
        </w:rPr>
        <w:t>[Anlage III folgt]</w:t>
      </w:r>
    </w:p>
    <w:p w:rsidR="00183337" w:rsidRDefault="00183337" w:rsidP="00183337">
      <w:pPr>
        <w:rPr>
          <w:snapToGrid w:val="0"/>
        </w:rPr>
        <w:sectPr w:rsidR="00183337" w:rsidSect="00906DDC">
          <w:headerReference w:type="first" r:id="rId13"/>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83337" w:rsidRPr="00ED3415" w:rsidTr="00183337">
        <w:trPr>
          <w:trHeight w:val="632"/>
        </w:trPr>
        <w:tc>
          <w:tcPr>
            <w:tcW w:w="9889" w:type="dxa"/>
          </w:tcPr>
          <w:p w:rsidR="00183337" w:rsidRPr="002A2C89" w:rsidRDefault="00183337" w:rsidP="00183337">
            <w:pPr>
              <w:autoSpaceDE w:val="0"/>
              <w:autoSpaceDN w:val="0"/>
              <w:adjustRightInd w:val="0"/>
              <w:spacing w:before="120" w:after="120"/>
              <w:jc w:val="center"/>
              <w:rPr>
                <w:rFonts w:eastAsia="SimSun"/>
                <w:szCs w:val="24"/>
              </w:rPr>
            </w:pPr>
            <w:r>
              <w:rPr>
                <w:szCs w:val="24"/>
              </w:rPr>
              <w:t>SITUATION C:  MEHR ALS EINE PROBE / UNTERPROBE FÜR EIN MERKMAL IN DER GLEICHEN WACHSTUMSPERIODE</w:t>
            </w:r>
          </w:p>
        </w:tc>
      </w:tr>
      <w:tr w:rsidR="00183337" w:rsidRPr="00ED3415" w:rsidTr="00183337">
        <w:trPr>
          <w:trHeight w:val="2880"/>
        </w:trPr>
        <w:tc>
          <w:tcPr>
            <w:tcW w:w="9889" w:type="dxa"/>
            <w:tcBorders>
              <w:bottom w:val="single" w:sz="4" w:space="0" w:color="auto"/>
            </w:tcBorders>
          </w:tcPr>
          <w:p w:rsidR="00183337" w:rsidRDefault="00183337" w:rsidP="00183337">
            <w:pPr>
              <w:rPr>
                <w:b/>
                <w:szCs w:val="24"/>
              </w:rPr>
            </w:pPr>
          </w:p>
          <w:p w:rsidR="00183337" w:rsidRPr="00A4174A" w:rsidRDefault="00183337" w:rsidP="00183337">
            <w:r>
              <w:rPr>
                <w:b/>
                <w:szCs w:val="24"/>
              </w:rPr>
              <w:t>Ansatz:  Zusätzliche Wachstumsperiode im Fall widersprüchlicher Ergebnisse</w:t>
            </w:r>
          </w:p>
          <w:p w:rsidR="00183337" w:rsidRDefault="00183337" w:rsidP="00183337">
            <w:pPr>
              <w:jc w:val="left"/>
              <w:rPr>
                <w:rFonts w:eastAsia="MS Mincho"/>
                <w:color w:val="000000"/>
                <w:lang w:eastAsia="ja-JP"/>
              </w:rPr>
            </w:pPr>
          </w:p>
          <w:p w:rsidR="00183337" w:rsidRPr="00ED3415" w:rsidRDefault="00183337" w:rsidP="00183337">
            <w:pPr>
              <w:rPr>
                <w:szCs w:val="24"/>
                <w:u w:val="single"/>
              </w:rPr>
            </w:pPr>
            <w:r>
              <w:rPr>
                <w:szCs w:val="24"/>
              </w:rPr>
              <w:t>Eine Sorte wird als homogen für ein Merkmal betrachtet, wenn sie in allen Proben oder Unterproben innerhalb des Homogenitätsstandards liegt.</w:t>
            </w:r>
          </w:p>
          <w:p w:rsidR="00183337" w:rsidRDefault="00183337" w:rsidP="00183337">
            <w:pPr>
              <w:rPr>
                <w:rFonts w:eastAsia="SimSun"/>
                <w:szCs w:val="24"/>
                <w:lang w:eastAsia="zh-CN"/>
              </w:rPr>
            </w:pPr>
          </w:p>
          <w:p w:rsidR="00183337" w:rsidRPr="00ED3415" w:rsidRDefault="00183337" w:rsidP="00183337">
            <w:pPr>
              <w:rPr>
                <w:rFonts w:eastAsia="SimSun"/>
                <w:szCs w:val="24"/>
              </w:rPr>
            </w:pPr>
            <w:r>
              <w:rPr>
                <w:szCs w:val="24"/>
              </w:rPr>
              <w:t>Eine Sorte wird als nicht homogen betrachtet, wenn sie in allen Proben oder Unterproben nicht dem Homogenitätsstandard für das Merkmal entspricht.</w:t>
            </w:r>
          </w:p>
          <w:p w:rsidR="00183337" w:rsidRDefault="00183337" w:rsidP="00183337">
            <w:pPr>
              <w:rPr>
                <w:szCs w:val="24"/>
              </w:rPr>
            </w:pPr>
          </w:p>
          <w:p w:rsidR="00183337" w:rsidRPr="006556B3" w:rsidRDefault="00183337" w:rsidP="00183337">
            <w:pPr>
              <w:rPr>
                <w:szCs w:val="24"/>
              </w:rPr>
            </w:pPr>
            <w:r>
              <w:rPr>
                <w:szCs w:val="24"/>
              </w:rPr>
              <w:t>In dem Fall, in dem eine Sorte in einer Probe oder Unterproben (z.B. Hauptprüfung) innerhalb des Homogenitätsstandards liegt, bei anderen Proben / Unterproben (z.B. Ährenreihen-Parzelle) jedoch nicht, dann werden beide Proben oder Unterproben in einer weiteren Wachstumsperiode geprüft.</w:t>
            </w:r>
          </w:p>
          <w:p w:rsidR="00183337" w:rsidRPr="0071257F" w:rsidRDefault="00183337" w:rsidP="00183337">
            <w:pPr>
              <w:rPr>
                <w:szCs w:val="24"/>
              </w:rPr>
            </w:pPr>
          </w:p>
        </w:tc>
      </w:tr>
    </w:tbl>
    <w:p w:rsidR="00183337" w:rsidRDefault="00183337" w:rsidP="00183337">
      <w:pPr>
        <w:rPr>
          <w:snapToGrid w:val="0"/>
        </w:rPr>
      </w:pPr>
    </w:p>
    <w:p w:rsidR="00183337" w:rsidRDefault="00183337" w:rsidP="00183337">
      <w:pPr>
        <w:rPr>
          <w:snapToGrid w:val="0"/>
        </w:rPr>
      </w:pPr>
    </w:p>
    <w:p w:rsidR="00183337" w:rsidRDefault="00183337" w:rsidP="00183337">
      <w:pPr>
        <w:rPr>
          <w:snapToGrid w:val="0"/>
        </w:rPr>
      </w:pPr>
    </w:p>
    <w:p w:rsidR="00183337" w:rsidRDefault="00183337" w:rsidP="00183337">
      <w:pPr>
        <w:jc w:val="right"/>
      </w:pPr>
      <w:r>
        <w:t>[Anlage IV folgt]</w:t>
      </w:r>
    </w:p>
    <w:p w:rsidR="00183337" w:rsidRDefault="00183337" w:rsidP="00183337">
      <w:pPr>
        <w:rPr>
          <w:snapToGrid w:val="0"/>
        </w:rPr>
      </w:pPr>
    </w:p>
    <w:p w:rsidR="00183337" w:rsidRDefault="00183337" w:rsidP="00183337">
      <w:pPr>
        <w:rPr>
          <w:snapToGrid w:val="0"/>
        </w:rPr>
        <w:sectPr w:rsidR="00183337" w:rsidSect="00906DDC">
          <w:headerReference w:type="first" r:id="rId14"/>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83337" w:rsidRPr="00ED3415" w:rsidTr="00183337">
        <w:trPr>
          <w:trHeight w:val="512"/>
        </w:trPr>
        <w:tc>
          <w:tcPr>
            <w:tcW w:w="9889" w:type="dxa"/>
          </w:tcPr>
          <w:p w:rsidR="00183337" w:rsidRPr="002A2C89" w:rsidRDefault="00183337" w:rsidP="00183337">
            <w:pPr>
              <w:autoSpaceDE w:val="0"/>
              <w:autoSpaceDN w:val="0"/>
              <w:adjustRightInd w:val="0"/>
              <w:spacing w:before="120" w:after="120"/>
              <w:jc w:val="center"/>
              <w:rPr>
                <w:rFonts w:eastAsia="SimSun"/>
                <w:szCs w:val="24"/>
              </w:rPr>
            </w:pPr>
            <w:r>
              <w:rPr>
                <w:szCs w:val="24"/>
              </w:rPr>
              <w:t>SITUATION D:  PRÜFUNG VON UNTERPROBEN IN EINER EINZIGEN PRÜFUNG / EINEM EINZIGEN VERSUCH</w:t>
            </w:r>
          </w:p>
        </w:tc>
      </w:tr>
      <w:tr w:rsidR="00183337" w:rsidRPr="00ED3415" w:rsidTr="00183337">
        <w:trPr>
          <w:trHeight w:val="2880"/>
        </w:trPr>
        <w:tc>
          <w:tcPr>
            <w:tcW w:w="9889" w:type="dxa"/>
            <w:tcBorders>
              <w:bottom w:val="single" w:sz="4" w:space="0" w:color="auto"/>
            </w:tcBorders>
          </w:tcPr>
          <w:p w:rsidR="00183337" w:rsidRPr="00443AD8" w:rsidRDefault="00183337" w:rsidP="00183337"/>
          <w:p w:rsidR="00183337" w:rsidRDefault="00183337" w:rsidP="00183337">
            <w:pPr>
              <w:rPr>
                <w:b/>
              </w:rPr>
            </w:pPr>
            <w:r>
              <w:rPr>
                <w:b/>
              </w:rPr>
              <w:t>Ansatz:  Verwendung von Unterproben als erster Prüfungsschritt</w:t>
            </w:r>
          </w:p>
          <w:p w:rsidR="00183337" w:rsidRPr="00443AD8" w:rsidRDefault="00183337" w:rsidP="00183337">
            <w:pPr>
              <w:rPr>
                <w:b/>
              </w:rPr>
            </w:pPr>
          </w:p>
          <w:p w:rsidR="00183337" w:rsidRDefault="00183337" w:rsidP="00183337">
            <w:r>
              <w:t>Ein Sorte wird als homogen betrachtet, wenn eine Unterprobe keine Abweicher aufweist.</w:t>
            </w:r>
          </w:p>
          <w:p w:rsidR="00183337" w:rsidRPr="00443AD8" w:rsidRDefault="00183337" w:rsidP="00183337"/>
          <w:p w:rsidR="00183337" w:rsidRDefault="00183337" w:rsidP="00183337">
            <w:r>
              <w:t>Eine Sorte wird als nicht homogen betrachtet, wenn die Anzahl der Abweichertypen in der Unterprobe die akzeptierte Anzahl an Abweichertypen für die gesamte Probe übersteigt.</w:t>
            </w:r>
          </w:p>
          <w:p w:rsidR="00183337" w:rsidRPr="00443AD8" w:rsidRDefault="00183337" w:rsidP="00183337"/>
          <w:p w:rsidR="00183337" w:rsidRDefault="00183337" w:rsidP="00183337">
            <w:r>
              <w:t>Ist die Anzahl an Abweichertypen 1 oder höher, aber geringer als die akzeptierte Anzahl an Abweichertypen für die gesamte Probe, wird die gesamte Probe geprüft.</w:t>
            </w:r>
          </w:p>
          <w:p w:rsidR="00183337" w:rsidRDefault="00183337" w:rsidP="00183337">
            <w:pPr>
              <w:rPr>
                <w:szCs w:val="24"/>
              </w:rPr>
            </w:pPr>
          </w:p>
          <w:p w:rsidR="00183337" w:rsidRDefault="00183337" w:rsidP="00183337">
            <w:pPr>
              <w:rPr>
                <w:szCs w:val="24"/>
              </w:rPr>
            </w:pPr>
            <w:r>
              <w:rPr>
                <w:szCs w:val="24"/>
              </w:rPr>
              <w:t>______________________________________________________________________________________</w:t>
            </w:r>
          </w:p>
          <w:p w:rsidR="00183337" w:rsidRDefault="00183337" w:rsidP="00183337">
            <w:pPr>
              <w:rPr>
                <w:szCs w:val="24"/>
              </w:rPr>
            </w:pPr>
          </w:p>
          <w:p w:rsidR="00183337" w:rsidRPr="00BF512B" w:rsidRDefault="00183337" w:rsidP="00183337">
            <w:pPr>
              <w:rPr>
                <w:szCs w:val="24"/>
              </w:rPr>
            </w:pPr>
            <w:r>
              <w:rPr>
                <w:szCs w:val="24"/>
              </w:rPr>
              <w:t>Zu prüfendes Beispiel:</w:t>
            </w:r>
          </w:p>
          <w:p w:rsidR="00183337" w:rsidRDefault="00183337" w:rsidP="00183337">
            <w:pPr>
              <w:rPr>
                <w:szCs w:val="24"/>
              </w:rPr>
            </w:pPr>
          </w:p>
          <w:p w:rsidR="00183337" w:rsidRDefault="00183337" w:rsidP="00183337">
            <w:pPr>
              <w:autoSpaceDE w:val="0"/>
              <w:autoSpaceDN w:val="0"/>
              <w:adjustRightInd w:val="0"/>
              <w:rPr>
                <w:color w:val="000000"/>
                <w:szCs w:val="24"/>
              </w:rPr>
            </w:pPr>
            <w:r>
              <w:rPr>
                <w:color w:val="000000"/>
                <w:szCs w:val="24"/>
              </w:rPr>
              <w:t>In einer Probengröße von 100 Pflanzen beträgt die akzeptierte Anzahl an Abweichertypen 3 (ausgehend von einem Populationsstandard von 1% und einer Akzeptanzwahrscheinlichkeit von mindestens 95%).</w:t>
            </w:r>
          </w:p>
          <w:p w:rsidR="00183337" w:rsidRDefault="00183337" w:rsidP="00183337">
            <w:pPr>
              <w:autoSpaceDE w:val="0"/>
              <w:autoSpaceDN w:val="0"/>
              <w:adjustRightInd w:val="0"/>
              <w:rPr>
                <w:color w:val="000000"/>
                <w:szCs w:val="24"/>
              </w:rPr>
            </w:pPr>
          </w:p>
          <w:p w:rsidR="00183337" w:rsidRDefault="00183337" w:rsidP="00183337">
            <w:pPr>
              <w:autoSpaceDE w:val="0"/>
              <w:autoSpaceDN w:val="0"/>
              <w:adjustRightInd w:val="0"/>
              <w:rPr>
                <w:color w:val="000000"/>
                <w:szCs w:val="24"/>
              </w:rPr>
            </w:pPr>
            <w:r>
              <w:rPr>
                <w:color w:val="000000"/>
                <w:szCs w:val="24"/>
              </w:rPr>
              <w:t>In einer Unterprobe von 20 Pflanzen, die in Zusammenhang mit der oben genannten Probengröße von 100</w:t>
            </w:r>
            <w:r w:rsidR="00E932E8">
              <w:rPr>
                <w:color w:val="000000"/>
                <w:szCs w:val="24"/>
              </w:rPr>
              <w:t> </w:t>
            </w:r>
            <w:r>
              <w:rPr>
                <w:color w:val="000000"/>
                <w:szCs w:val="24"/>
              </w:rPr>
              <w:t>Pflanzen verwendet wird:</w:t>
            </w:r>
          </w:p>
          <w:p w:rsidR="00183337" w:rsidRDefault="00183337" w:rsidP="00183337">
            <w:pPr>
              <w:autoSpaceDE w:val="0"/>
              <w:autoSpaceDN w:val="0"/>
              <w:adjustRightInd w:val="0"/>
              <w:rPr>
                <w:color w:val="000000"/>
                <w:szCs w:val="24"/>
              </w:rPr>
            </w:pPr>
          </w:p>
          <w:p w:rsidR="00183337" w:rsidRDefault="00183337" w:rsidP="00183337">
            <w:pPr>
              <w:ind w:left="567"/>
            </w:pPr>
            <w:r>
              <w:t>Eine Sorte wird als homogen betrachtet, wenn die Unterprobe keine Abweicher aufweist.</w:t>
            </w:r>
          </w:p>
          <w:p w:rsidR="00183337" w:rsidRPr="00443AD8" w:rsidRDefault="00183337" w:rsidP="00183337"/>
          <w:p w:rsidR="00183337" w:rsidRDefault="00183337" w:rsidP="00183337">
            <w:pPr>
              <w:ind w:left="567"/>
            </w:pPr>
            <w:r>
              <w:t>Eine Sorte wird als nicht homogen betrachtet, wenn die Unterprobe mehr als 3 Abweicher aufweist.</w:t>
            </w:r>
          </w:p>
          <w:p w:rsidR="00183337" w:rsidRPr="00443AD8" w:rsidRDefault="00183337" w:rsidP="00183337"/>
          <w:p w:rsidR="00183337" w:rsidRDefault="00183337" w:rsidP="00183337">
            <w:pPr>
              <w:ind w:left="567"/>
            </w:pPr>
            <w:r>
              <w:t>Ist die Anzahl der Abweichertypen 1 bis 3, so wird die gesamte Probe von 100 Pflanzen geprüft.</w:t>
            </w:r>
          </w:p>
          <w:p w:rsidR="00183337" w:rsidRDefault="00183337" w:rsidP="00183337">
            <w:pPr>
              <w:rPr>
                <w:szCs w:val="24"/>
              </w:rPr>
            </w:pPr>
          </w:p>
          <w:p w:rsidR="00183337" w:rsidRPr="0071257F" w:rsidRDefault="00183337" w:rsidP="00183337">
            <w:pPr>
              <w:rPr>
                <w:szCs w:val="24"/>
              </w:rPr>
            </w:pPr>
            <w:r>
              <w:rPr>
                <w:szCs w:val="24"/>
              </w:rPr>
              <w:t xml:space="preserve"> </w:t>
            </w:r>
          </w:p>
        </w:tc>
      </w:tr>
    </w:tbl>
    <w:p w:rsidR="00183337" w:rsidRDefault="00183337" w:rsidP="00183337">
      <w:pPr>
        <w:rPr>
          <w:snapToGrid w:val="0"/>
        </w:rPr>
      </w:pPr>
    </w:p>
    <w:p w:rsidR="00183337" w:rsidRDefault="00183337" w:rsidP="00183337">
      <w:pPr>
        <w:pStyle w:val="endofdoc"/>
        <w:rPr>
          <w:snapToGrid w:val="0"/>
        </w:rPr>
      </w:pPr>
      <w:r>
        <w:t>[Ende der Anlage IV und des Dokuments]</w:t>
      </w:r>
    </w:p>
    <w:p w:rsidR="00050E16" w:rsidRPr="00C5280D" w:rsidRDefault="00050E16" w:rsidP="00183337"/>
    <w:sectPr w:rsidR="00050E16" w:rsidRPr="00C5280D" w:rsidSect="00906DDC">
      <w:headerReference w:type="default" r:id="rId15"/>
      <w:headerReference w:type="first" r:id="rId16"/>
      <w:footerReference w:type="firs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C1" w:rsidRDefault="005B57C1" w:rsidP="006655D3">
      <w:r>
        <w:separator/>
      </w:r>
    </w:p>
    <w:p w:rsidR="005B57C1" w:rsidRDefault="005B57C1" w:rsidP="006655D3"/>
    <w:p w:rsidR="005B57C1" w:rsidRDefault="005B57C1" w:rsidP="006655D3"/>
  </w:endnote>
  <w:endnote w:type="continuationSeparator" w:id="0">
    <w:p w:rsidR="005B57C1" w:rsidRDefault="005B57C1" w:rsidP="006655D3">
      <w:r>
        <w:separator/>
      </w:r>
    </w:p>
    <w:p w:rsidR="005B57C1" w:rsidRPr="009B4AAE" w:rsidRDefault="005B57C1">
      <w:pPr>
        <w:pStyle w:val="Footer"/>
        <w:spacing w:after="60"/>
        <w:rPr>
          <w:sz w:val="18"/>
          <w:lang w:val="fr-FR"/>
        </w:rPr>
      </w:pPr>
      <w:r w:rsidRPr="009B4AAE">
        <w:rPr>
          <w:sz w:val="18"/>
          <w:lang w:val="fr-FR"/>
        </w:rPr>
        <w:t>[Suite de la note de la page précédente]</w:t>
      </w:r>
    </w:p>
    <w:p w:rsidR="005B57C1" w:rsidRPr="009B4AAE" w:rsidRDefault="005B57C1" w:rsidP="006655D3">
      <w:pPr>
        <w:rPr>
          <w:lang w:val="fr-FR"/>
        </w:rPr>
      </w:pPr>
    </w:p>
    <w:p w:rsidR="005B57C1" w:rsidRPr="009B4AAE" w:rsidRDefault="005B57C1" w:rsidP="006655D3">
      <w:pPr>
        <w:rPr>
          <w:lang w:val="fr-FR"/>
        </w:rPr>
      </w:pPr>
    </w:p>
  </w:endnote>
  <w:endnote w:type="continuationNotice" w:id="1">
    <w:p w:rsidR="005B57C1" w:rsidRPr="009B4AAE" w:rsidRDefault="005B57C1" w:rsidP="006655D3">
      <w:pPr>
        <w:rPr>
          <w:lang w:val="fr-FR"/>
        </w:rPr>
      </w:pPr>
      <w:r w:rsidRPr="009B4AAE">
        <w:rPr>
          <w:lang w:val="fr-FR"/>
        </w:rPr>
        <w:t>[Suite de la note page suivante]</w:t>
      </w:r>
    </w:p>
    <w:p w:rsidR="005B57C1" w:rsidRPr="009B4AAE" w:rsidRDefault="005B57C1" w:rsidP="006655D3">
      <w:pPr>
        <w:rPr>
          <w:lang w:val="fr-FR"/>
        </w:rPr>
      </w:pPr>
    </w:p>
    <w:p w:rsidR="005B57C1" w:rsidRPr="009B4AAE" w:rsidRDefault="005B57C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29" w:rsidRPr="005C0679" w:rsidRDefault="00451729" w:rsidP="005C0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29" w:rsidRPr="00AE0EF1" w:rsidRDefault="00451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C1" w:rsidRDefault="005B57C1" w:rsidP="006655D3">
      <w:r>
        <w:separator/>
      </w:r>
    </w:p>
  </w:footnote>
  <w:footnote w:type="continuationSeparator" w:id="0">
    <w:p w:rsidR="005B57C1" w:rsidRDefault="005B57C1" w:rsidP="006655D3">
      <w:r>
        <w:separator/>
      </w:r>
    </w:p>
  </w:footnote>
  <w:footnote w:type="continuationNotice" w:id="1">
    <w:p w:rsidR="005B57C1" w:rsidRPr="00AB530F" w:rsidRDefault="005B57C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29" w:rsidRPr="00C5280D" w:rsidRDefault="00451729" w:rsidP="00EB048E">
    <w:pPr>
      <w:pStyle w:val="Header"/>
      <w:rPr>
        <w:rStyle w:val="PageNumber"/>
      </w:rPr>
    </w:pPr>
    <w:r>
      <w:rPr>
        <w:rStyle w:val="PageNumber"/>
      </w:rPr>
      <w:t>TC/50/12</w:t>
    </w:r>
  </w:p>
  <w:p w:rsidR="00451729" w:rsidRPr="00C5280D" w:rsidRDefault="00451729"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75E12">
      <w:rPr>
        <w:rStyle w:val="PageNumber"/>
        <w:noProof/>
      </w:rPr>
      <w:t>13</w:t>
    </w:r>
    <w:r w:rsidRPr="00C5280D">
      <w:rPr>
        <w:rStyle w:val="PageNumber"/>
      </w:rPr>
      <w:fldChar w:fldCharType="end"/>
    </w:r>
  </w:p>
  <w:p w:rsidR="00451729" w:rsidRPr="00C5280D" w:rsidRDefault="0045172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29" w:rsidRPr="00C5280D" w:rsidRDefault="00451729" w:rsidP="00183337">
    <w:pPr>
      <w:pStyle w:val="Header"/>
      <w:rPr>
        <w:rStyle w:val="PageNumber"/>
      </w:rPr>
    </w:pPr>
    <w:r>
      <w:rPr>
        <w:rStyle w:val="PageNumber"/>
      </w:rPr>
      <w:t>TC/50/12</w:t>
    </w:r>
  </w:p>
  <w:p w:rsidR="00451729" w:rsidRDefault="00451729" w:rsidP="00CB0247">
    <w:pPr>
      <w:pStyle w:val="Header"/>
    </w:pPr>
  </w:p>
  <w:p w:rsidR="00451729" w:rsidRPr="000555A3" w:rsidRDefault="00451729" w:rsidP="00CB0247">
    <w:pPr>
      <w:pStyle w:val="Header"/>
    </w:pPr>
    <w:r>
      <w:t>ANLAGE I</w:t>
    </w:r>
  </w:p>
  <w:p w:rsidR="00451729" w:rsidRDefault="00451729" w:rsidP="00CB0247">
    <w:pPr>
      <w:pStyle w:val="Header"/>
      <w:rPr>
        <w:rFonts w:eastAsia="MS Mincho"/>
        <w:lang w:eastAsia="ja-JP"/>
      </w:rPr>
    </w:pPr>
  </w:p>
  <w:p w:rsidR="00451729" w:rsidRDefault="004517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29" w:rsidRPr="00C5280D" w:rsidRDefault="00451729" w:rsidP="00183337">
    <w:pPr>
      <w:pStyle w:val="Header"/>
      <w:rPr>
        <w:rStyle w:val="PageNumber"/>
      </w:rPr>
    </w:pPr>
    <w:r>
      <w:rPr>
        <w:rStyle w:val="PageNumber"/>
      </w:rPr>
      <w:t>TC/50/12</w:t>
    </w:r>
  </w:p>
  <w:p w:rsidR="00451729" w:rsidRDefault="00451729" w:rsidP="00CB0247">
    <w:pPr>
      <w:pStyle w:val="Header"/>
    </w:pPr>
  </w:p>
  <w:p w:rsidR="00451729" w:rsidRPr="000555A3" w:rsidRDefault="00451729" w:rsidP="00CB0247">
    <w:pPr>
      <w:pStyle w:val="Header"/>
    </w:pPr>
    <w:r>
      <w:t>ANLAGE II</w:t>
    </w:r>
  </w:p>
  <w:p w:rsidR="00451729" w:rsidRDefault="00451729" w:rsidP="00CB0247">
    <w:pPr>
      <w:pStyle w:val="Header"/>
      <w:rPr>
        <w:rFonts w:eastAsia="MS Mincho"/>
        <w:lang w:eastAsia="ja-JP"/>
      </w:rPr>
    </w:pPr>
  </w:p>
  <w:p w:rsidR="00451729" w:rsidRDefault="004517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29" w:rsidRPr="00C5280D" w:rsidRDefault="00451729" w:rsidP="00183337">
    <w:pPr>
      <w:pStyle w:val="Header"/>
      <w:rPr>
        <w:rStyle w:val="PageNumber"/>
      </w:rPr>
    </w:pPr>
    <w:r>
      <w:rPr>
        <w:rStyle w:val="PageNumber"/>
      </w:rPr>
      <w:t>TC/50/12</w:t>
    </w:r>
  </w:p>
  <w:p w:rsidR="00451729" w:rsidRDefault="00451729" w:rsidP="00CB0247">
    <w:pPr>
      <w:pStyle w:val="Header"/>
    </w:pPr>
  </w:p>
  <w:p w:rsidR="00451729" w:rsidRPr="000555A3" w:rsidRDefault="00451729" w:rsidP="00CB0247">
    <w:pPr>
      <w:pStyle w:val="Header"/>
    </w:pPr>
    <w:r>
      <w:t>ANLAGE III</w:t>
    </w:r>
  </w:p>
  <w:p w:rsidR="00451729" w:rsidRDefault="00451729" w:rsidP="00CB0247">
    <w:pPr>
      <w:pStyle w:val="Header"/>
      <w:rPr>
        <w:rFonts w:eastAsia="MS Mincho"/>
        <w:lang w:eastAsia="ja-JP"/>
      </w:rPr>
    </w:pPr>
  </w:p>
  <w:p w:rsidR="00451729" w:rsidRDefault="0045172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29" w:rsidRPr="00C5280D" w:rsidRDefault="00451729" w:rsidP="00EB048E">
    <w:pPr>
      <w:pStyle w:val="Header"/>
      <w:rPr>
        <w:rStyle w:val="PageNumber"/>
      </w:rPr>
    </w:pPr>
    <w:r>
      <w:rPr>
        <w:rStyle w:val="PageNumber"/>
      </w:rPr>
      <w:t>TC/50/</w:t>
    </w:r>
  </w:p>
  <w:p w:rsidR="00451729" w:rsidRPr="00C5280D" w:rsidRDefault="00451729" w:rsidP="00EB048E">
    <w:pPr>
      <w:pStyle w:val="Header"/>
    </w:pPr>
    <w: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75E12">
      <w:rPr>
        <w:rStyle w:val="PageNumber"/>
        <w:noProof/>
        <w:lang w:val="en-US"/>
      </w:rPr>
      <w:t>15</w:t>
    </w:r>
    <w:r w:rsidRPr="00C5280D">
      <w:rPr>
        <w:rStyle w:val="PageNumber"/>
        <w:lang w:val="en-US"/>
      </w:rPr>
      <w:fldChar w:fldCharType="end"/>
    </w:r>
  </w:p>
  <w:p w:rsidR="00451729" w:rsidRPr="00C5280D" w:rsidRDefault="00451729"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29" w:rsidRPr="00C5280D" w:rsidRDefault="00451729" w:rsidP="00183337">
    <w:pPr>
      <w:pStyle w:val="Header"/>
      <w:rPr>
        <w:rStyle w:val="PageNumber"/>
      </w:rPr>
    </w:pPr>
    <w:r>
      <w:rPr>
        <w:rStyle w:val="PageNumber"/>
      </w:rPr>
      <w:t>TC/50/12</w:t>
    </w:r>
  </w:p>
  <w:p w:rsidR="00451729" w:rsidRDefault="00451729" w:rsidP="00CB0247">
    <w:pPr>
      <w:pStyle w:val="Header"/>
    </w:pPr>
  </w:p>
  <w:p w:rsidR="00451729" w:rsidRPr="000555A3" w:rsidRDefault="00451729" w:rsidP="00CB0247">
    <w:pPr>
      <w:pStyle w:val="Header"/>
    </w:pPr>
    <w:r>
      <w:t>ANLAGE IV</w:t>
    </w:r>
  </w:p>
  <w:p w:rsidR="00451729" w:rsidRDefault="00451729" w:rsidP="00CB0247">
    <w:pPr>
      <w:pStyle w:val="Header"/>
      <w:rPr>
        <w:rFonts w:eastAsia="MS Mincho"/>
        <w:lang w:eastAsia="ja-JP"/>
      </w:rPr>
    </w:pPr>
  </w:p>
  <w:p w:rsidR="00451729" w:rsidRDefault="004517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701444"/>
    <w:multiLevelType w:val="hybridMultilevel"/>
    <w:tmpl w:val="79E6D146"/>
    <w:lvl w:ilvl="0" w:tplc="04070017">
      <w:start w:val="1"/>
      <w:numFmt w:val="lowerLetter"/>
      <w:lvlText w:val="%1)"/>
      <w:lvlJc w:val="left"/>
      <w:pPr>
        <w:ind w:left="5180" w:hanging="360"/>
      </w:pPr>
      <w:rPr>
        <w:rFonts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4C1B6711"/>
    <w:multiLevelType w:val="hybridMultilevel"/>
    <w:tmpl w:val="5B14A574"/>
    <w:lvl w:ilvl="0" w:tplc="0407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CF6D60"/>
    <w:multiLevelType w:val="hybridMultilevel"/>
    <w:tmpl w:val="1890BE30"/>
    <w:lvl w:ilvl="0" w:tplc="CB20089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16C27"/>
    <w:multiLevelType w:val="hybridMultilevel"/>
    <w:tmpl w:val="D55497C2"/>
    <w:lvl w:ilvl="0" w:tplc="461E64C2">
      <w:start w:val="1"/>
      <w:numFmt w:val="lowerLetter"/>
      <w:lvlText w:val="(%1)"/>
      <w:lvlJc w:val="left"/>
      <w:pPr>
        <w:ind w:left="5180" w:hanging="360"/>
      </w:pPr>
      <w:rPr>
        <w:rFonts w:cs="Times New Roman"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1"/>
    <w:rsid w:val="00010CF3"/>
    <w:rsid w:val="00011E27"/>
    <w:rsid w:val="000148BC"/>
    <w:rsid w:val="00024AB8"/>
    <w:rsid w:val="00025CE5"/>
    <w:rsid w:val="00030854"/>
    <w:rsid w:val="00031D45"/>
    <w:rsid w:val="00036028"/>
    <w:rsid w:val="00044642"/>
    <w:rsid w:val="000446B9"/>
    <w:rsid w:val="00044F42"/>
    <w:rsid w:val="00047E21"/>
    <w:rsid w:val="00050E16"/>
    <w:rsid w:val="00056454"/>
    <w:rsid w:val="00057804"/>
    <w:rsid w:val="00084D77"/>
    <w:rsid w:val="00085505"/>
    <w:rsid w:val="000A37A7"/>
    <w:rsid w:val="000B324F"/>
    <w:rsid w:val="000C7021"/>
    <w:rsid w:val="000D6BBC"/>
    <w:rsid w:val="000D7780"/>
    <w:rsid w:val="000E24ED"/>
    <w:rsid w:val="000F2F11"/>
    <w:rsid w:val="00105929"/>
    <w:rsid w:val="001131D5"/>
    <w:rsid w:val="001142CD"/>
    <w:rsid w:val="00141DB8"/>
    <w:rsid w:val="00147E9B"/>
    <w:rsid w:val="00156FC4"/>
    <w:rsid w:val="0017474A"/>
    <w:rsid w:val="001758C6"/>
    <w:rsid w:val="00182B99"/>
    <w:rsid w:val="00183337"/>
    <w:rsid w:val="001A1D07"/>
    <w:rsid w:val="0021332C"/>
    <w:rsid w:val="00213982"/>
    <w:rsid w:val="0024416D"/>
    <w:rsid w:val="00271911"/>
    <w:rsid w:val="002800A0"/>
    <w:rsid w:val="002801B3"/>
    <w:rsid w:val="00281060"/>
    <w:rsid w:val="00282292"/>
    <w:rsid w:val="002872C8"/>
    <w:rsid w:val="002940E8"/>
    <w:rsid w:val="002A6E50"/>
    <w:rsid w:val="002C24C3"/>
    <w:rsid w:val="002C256A"/>
    <w:rsid w:val="00300824"/>
    <w:rsid w:val="00305A7F"/>
    <w:rsid w:val="003152FE"/>
    <w:rsid w:val="003232C8"/>
    <w:rsid w:val="00325ECA"/>
    <w:rsid w:val="00327436"/>
    <w:rsid w:val="003346D4"/>
    <w:rsid w:val="00344BD6"/>
    <w:rsid w:val="003515D6"/>
    <w:rsid w:val="0035528D"/>
    <w:rsid w:val="00361821"/>
    <w:rsid w:val="003941D8"/>
    <w:rsid w:val="003B0C7B"/>
    <w:rsid w:val="003D227C"/>
    <w:rsid w:val="003D2B4D"/>
    <w:rsid w:val="004244F6"/>
    <w:rsid w:val="00442A06"/>
    <w:rsid w:val="00444A88"/>
    <w:rsid w:val="00451729"/>
    <w:rsid w:val="00474DA4"/>
    <w:rsid w:val="00476B4D"/>
    <w:rsid w:val="004805FA"/>
    <w:rsid w:val="004A4453"/>
    <w:rsid w:val="004C02DA"/>
    <w:rsid w:val="004D047D"/>
    <w:rsid w:val="004D42C8"/>
    <w:rsid w:val="004E26E0"/>
    <w:rsid w:val="004F305A"/>
    <w:rsid w:val="005077F9"/>
    <w:rsid w:val="00512164"/>
    <w:rsid w:val="00520297"/>
    <w:rsid w:val="00532C99"/>
    <w:rsid w:val="005338F9"/>
    <w:rsid w:val="0054281C"/>
    <w:rsid w:val="0055268D"/>
    <w:rsid w:val="00576BE4"/>
    <w:rsid w:val="00593339"/>
    <w:rsid w:val="005A400A"/>
    <w:rsid w:val="005B0B8B"/>
    <w:rsid w:val="005B57C1"/>
    <w:rsid w:val="005C0679"/>
    <w:rsid w:val="005D3EDD"/>
    <w:rsid w:val="00604F80"/>
    <w:rsid w:val="00612379"/>
    <w:rsid w:val="0061555F"/>
    <w:rsid w:val="00627ABA"/>
    <w:rsid w:val="00641200"/>
    <w:rsid w:val="00646BD1"/>
    <w:rsid w:val="006655D3"/>
    <w:rsid w:val="00667404"/>
    <w:rsid w:val="00687EB4"/>
    <w:rsid w:val="006B16F2"/>
    <w:rsid w:val="006B17D2"/>
    <w:rsid w:val="006C03B1"/>
    <w:rsid w:val="006C224E"/>
    <w:rsid w:val="006C5D96"/>
    <w:rsid w:val="006C72BA"/>
    <w:rsid w:val="006D780A"/>
    <w:rsid w:val="00707660"/>
    <w:rsid w:val="00732DEC"/>
    <w:rsid w:val="00735BD5"/>
    <w:rsid w:val="00746616"/>
    <w:rsid w:val="007556F6"/>
    <w:rsid w:val="00760EEF"/>
    <w:rsid w:val="0077534F"/>
    <w:rsid w:val="00777EE5"/>
    <w:rsid w:val="00784836"/>
    <w:rsid w:val="0079023E"/>
    <w:rsid w:val="007A2854"/>
    <w:rsid w:val="007B3A96"/>
    <w:rsid w:val="007C1B0C"/>
    <w:rsid w:val="007D0B9D"/>
    <w:rsid w:val="007D19B0"/>
    <w:rsid w:val="007E103A"/>
    <w:rsid w:val="007F498F"/>
    <w:rsid w:val="0080679D"/>
    <w:rsid w:val="008108B0"/>
    <w:rsid w:val="00811B20"/>
    <w:rsid w:val="00820E39"/>
    <w:rsid w:val="0082296E"/>
    <w:rsid w:val="00824099"/>
    <w:rsid w:val="008571FF"/>
    <w:rsid w:val="00867AC1"/>
    <w:rsid w:val="00897D14"/>
    <w:rsid w:val="008A6E85"/>
    <w:rsid w:val="008A743F"/>
    <w:rsid w:val="008C0970"/>
    <w:rsid w:val="008D2CF7"/>
    <w:rsid w:val="00900C26"/>
    <w:rsid w:val="0090197F"/>
    <w:rsid w:val="00906BFB"/>
    <w:rsid w:val="00906DDC"/>
    <w:rsid w:val="00933C09"/>
    <w:rsid w:val="00934E09"/>
    <w:rsid w:val="00936253"/>
    <w:rsid w:val="00952DD4"/>
    <w:rsid w:val="00966299"/>
    <w:rsid w:val="009678B3"/>
    <w:rsid w:val="00970FED"/>
    <w:rsid w:val="00992D82"/>
    <w:rsid w:val="00997029"/>
    <w:rsid w:val="009B4AAE"/>
    <w:rsid w:val="009B69F2"/>
    <w:rsid w:val="009D16C6"/>
    <w:rsid w:val="009D690D"/>
    <w:rsid w:val="009E65B6"/>
    <w:rsid w:val="00A24C10"/>
    <w:rsid w:val="00A270DC"/>
    <w:rsid w:val="00A27BA8"/>
    <w:rsid w:val="00A30D79"/>
    <w:rsid w:val="00A35BEF"/>
    <w:rsid w:val="00A42AC3"/>
    <w:rsid w:val="00A430CF"/>
    <w:rsid w:val="00A54309"/>
    <w:rsid w:val="00AB2B93"/>
    <w:rsid w:val="00AB530F"/>
    <w:rsid w:val="00AB7E5B"/>
    <w:rsid w:val="00AE0EF1"/>
    <w:rsid w:val="00AE2937"/>
    <w:rsid w:val="00AE2B12"/>
    <w:rsid w:val="00AE7105"/>
    <w:rsid w:val="00AF06A8"/>
    <w:rsid w:val="00B07301"/>
    <w:rsid w:val="00B224DE"/>
    <w:rsid w:val="00B46575"/>
    <w:rsid w:val="00B74E0F"/>
    <w:rsid w:val="00B84BBD"/>
    <w:rsid w:val="00BA43FB"/>
    <w:rsid w:val="00BC127D"/>
    <w:rsid w:val="00BC1FE6"/>
    <w:rsid w:val="00C061B6"/>
    <w:rsid w:val="00C2446C"/>
    <w:rsid w:val="00C36AE5"/>
    <w:rsid w:val="00C41F17"/>
    <w:rsid w:val="00C4273C"/>
    <w:rsid w:val="00C5280D"/>
    <w:rsid w:val="00C5791C"/>
    <w:rsid w:val="00C66290"/>
    <w:rsid w:val="00C72B7A"/>
    <w:rsid w:val="00C973F2"/>
    <w:rsid w:val="00CA304C"/>
    <w:rsid w:val="00CA774A"/>
    <w:rsid w:val="00CB0247"/>
    <w:rsid w:val="00CC11B0"/>
    <w:rsid w:val="00CD7002"/>
    <w:rsid w:val="00CF7E36"/>
    <w:rsid w:val="00D3708D"/>
    <w:rsid w:val="00D40426"/>
    <w:rsid w:val="00D44CE1"/>
    <w:rsid w:val="00D57C96"/>
    <w:rsid w:val="00D608F7"/>
    <w:rsid w:val="00D65AAB"/>
    <w:rsid w:val="00D75E12"/>
    <w:rsid w:val="00D91203"/>
    <w:rsid w:val="00D95174"/>
    <w:rsid w:val="00DA6F36"/>
    <w:rsid w:val="00DB596E"/>
    <w:rsid w:val="00DB7773"/>
    <w:rsid w:val="00DC00EA"/>
    <w:rsid w:val="00DC7370"/>
    <w:rsid w:val="00DD398E"/>
    <w:rsid w:val="00DD41C2"/>
    <w:rsid w:val="00E11095"/>
    <w:rsid w:val="00E14650"/>
    <w:rsid w:val="00E32F7E"/>
    <w:rsid w:val="00E5345F"/>
    <w:rsid w:val="00E72D49"/>
    <w:rsid w:val="00E7593C"/>
    <w:rsid w:val="00E7678A"/>
    <w:rsid w:val="00E76C5D"/>
    <w:rsid w:val="00E8097F"/>
    <w:rsid w:val="00E932E8"/>
    <w:rsid w:val="00E935F1"/>
    <w:rsid w:val="00E94A81"/>
    <w:rsid w:val="00EA1A1B"/>
    <w:rsid w:val="00EA1ADE"/>
    <w:rsid w:val="00EA1FFB"/>
    <w:rsid w:val="00EB048E"/>
    <w:rsid w:val="00EB233F"/>
    <w:rsid w:val="00EB4FC2"/>
    <w:rsid w:val="00EE34DF"/>
    <w:rsid w:val="00EE54DB"/>
    <w:rsid w:val="00EF2F89"/>
    <w:rsid w:val="00F1237A"/>
    <w:rsid w:val="00F22CBD"/>
    <w:rsid w:val="00F45372"/>
    <w:rsid w:val="00F560F7"/>
    <w:rsid w:val="00F6334D"/>
    <w:rsid w:val="00FA49AB"/>
    <w:rsid w:val="00FE39C7"/>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bidi="de-DE"/>
    </w:rPr>
  </w:style>
  <w:style w:type="paragraph" w:styleId="Heading1">
    <w:name w:val="heading 1"/>
    <w:next w:val="Normal"/>
    <w:autoRedefine/>
    <w:qFormat/>
    <w:rsid w:val="004805FA"/>
    <w:pPr>
      <w:keepNext/>
      <w:jc w:val="both"/>
      <w:outlineLvl w:val="0"/>
    </w:pPr>
    <w:rPr>
      <w:rFonts w:ascii="Arial" w:hAnsi="Arial"/>
      <w:caps/>
      <w:lang w:bidi="de-DE"/>
    </w:rPr>
  </w:style>
  <w:style w:type="paragraph" w:styleId="Heading2">
    <w:name w:val="heading 2"/>
    <w:next w:val="Normal"/>
    <w:autoRedefine/>
    <w:qFormat/>
    <w:rsid w:val="004805FA"/>
    <w:pPr>
      <w:keepNext/>
      <w:jc w:val="both"/>
      <w:outlineLvl w:val="1"/>
    </w:pPr>
    <w:rPr>
      <w:rFonts w:ascii="Arial" w:hAnsi="Arial"/>
      <w:u w:val="single"/>
      <w:lang w:bidi="de-DE"/>
    </w:rPr>
  </w:style>
  <w:style w:type="paragraph" w:styleId="Heading3">
    <w:name w:val="heading 3"/>
    <w:next w:val="Normal"/>
    <w:autoRedefine/>
    <w:qFormat/>
    <w:rsid w:val="004805FA"/>
    <w:pPr>
      <w:keepNext/>
      <w:jc w:val="both"/>
      <w:outlineLvl w:val="2"/>
    </w:pPr>
    <w:rPr>
      <w:rFonts w:ascii="Arial" w:hAnsi="Arial"/>
      <w:i/>
      <w:lang w:bidi="de-DE"/>
    </w:rPr>
  </w:style>
  <w:style w:type="paragraph" w:styleId="Heading4">
    <w:name w:val="heading 4"/>
    <w:next w:val="Normal"/>
    <w:autoRedefine/>
    <w:qFormat/>
    <w:rsid w:val="004805FA"/>
    <w:pPr>
      <w:keepNext/>
      <w:ind w:left="567"/>
      <w:jc w:val="both"/>
      <w:outlineLvl w:val="3"/>
    </w:pPr>
    <w:rPr>
      <w:rFonts w:ascii="Arial" w:hAnsi="Arial"/>
      <w:u w:val="single"/>
      <w:lang w:bidi="de-DE"/>
    </w:rPr>
  </w:style>
  <w:style w:type="paragraph" w:styleId="Heading5">
    <w:name w:val="heading 5"/>
    <w:next w:val="Normal"/>
    <w:autoRedefine/>
    <w:qFormat/>
    <w:rsid w:val="004805FA"/>
    <w:pPr>
      <w:keepNext/>
      <w:ind w:left="1134" w:hanging="567"/>
      <w:jc w:val="both"/>
      <w:outlineLvl w:val="4"/>
    </w:pPr>
    <w:rPr>
      <w:rFonts w:ascii="Arial" w:hAnsi="Arial"/>
      <w:i/>
      <w:lang w:bidi="de-D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bidi="de-DE"/>
    </w:rPr>
  </w:style>
  <w:style w:type="paragraph" w:styleId="Footer">
    <w:name w:val="footer"/>
    <w:aliases w:val="doc_path_name"/>
    <w:autoRedefine/>
    <w:rsid w:val="009D690D"/>
    <w:pPr>
      <w:jc w:val="both"/>
    </w:pPr>
    <w:rPr>
      <w:rFonts w:ascii="Arial" w:hAnsi="Arial"/>
      <w:sz w:val="14"/>
      <w:lang w:bidi="de-DE"/>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lang w:bidi="de-DE"/>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bidi="de-DE"/>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lang w:bidi="de-DE"/>
    </w:rPr>
  </w:style>
  <w:style w:type="character" w:customStyle="1" w:styleId="DocoriginalChar">
    <w:name w:val="Doc_original Char"/>
    <w:link w:val="Docoriginal"/>
    <w:rsid w:val="00612379"/>
    <w:rPr>
      <w:rFonts w:ascii="Arial" w:hAnsi="Arial"/>
      <w:b/>
      <w:bCs/>
      <w:spacing w:val="10"/>
      <w:lang w:val="de-DE" w:eastAsia="de-DE" w:bidi="de-DE"/>
    </w:rPr>
  </w:style>
  <w:style w:type="character" w:customStyle="1" w:styleId="StyleDocoriginalNotBoldChar">
    <w:name w:val="Style Doc_original + Not Bold 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rsid w:val="00281060"/>
    <w:rPr>
      <w:rFonts w:ascii="Arial" w:hAnsi="Arial"/>
      <w:b/>
      <w:bCs/>
      <w:spacing w:val="10"/>
      <w:lang w:val="de-DE" w:eastAsia="de-DE" w:bidi="de-DE"/>
    </w:rPr>
  </w:style>
  <w:style w:type="character" w:customStyle="1" w:styleId="StyleDoclangBold">
    <w:name w:val="Style Doc_lang + Bold"/>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lang w:bidi="de-DE"/>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bidi="de-DE"/>
    </w:rPr>
  </w:style>
  <w:style w:type="character" w:styleId="Hyperlink">
    <w:name w:val="Hyperlink"/>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bidi="de-DE"/>
    </w:rPr>
  </w:style>
  <w:style w:type="paragraph" w:styleId="TOC1">
    <w:name w:val="toc 1"/>
    <w:next w:val="Normal"/>
    <w:autoRedefine/>
    <w:uiPriority w:val="39"/>
    <w:rsid w:val="00156FC4"/>
    <w:pPr>
      <w:tabs>
        <w:tab w:val="left" w:pos="454"/>
        <w:tab w:val="right" w:leader="dot" w:pos="9639"/>
      </w:tabs>
      <w:spacing w:before="120" w:after="120"/>
    </w:pPr>
    <w:rPr>
      <w:rFonts w:ascii="Arial" w:hAnsi="Arial"/>
      <w:caps/>
      <w:lang w:bidi="de-DE"/>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bidi="de-DE"/>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paragraph" w:styleId="ListParagraph">
    <w:name w:val="List Paragraph"/>
    <w:basedOn w:val="Normal"/>
    <w:uiPriority w:val="34"/>
    <w:qFormat/>
    <w:rsid w:val="003232C8"/>
    <w:pPr>
      <w:ind w:left="720"/>
      <w:contextualSpacing/>
    </w:pPr>
  </w:style>
  <w:style w:type="paragraph" w:customStyle="1" w:styleId="Default">
    <w:name w:val="Default"/>
    <w:rsid w:val="003232C8"/>
    <w:pPr>
      <w:autoSpaceDE w:val="0"/>
      <w:autoSpaceDN w:val="0"/>
      <w:adjustRightInd w:val="0"/>
    </w:pPr>
    <w:rPr>
      <w:rFonts w:ascii="Arial" w:hAnsi="Arial" w:cs="Arial"/>
      <w:color w:val="000000"/>
      <w:sz w:val="24"/>
      <w:szCs w:val="24"/>
      <w:lang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bidi="de-DE"/>
    </w:rPr>
  </w:style>
  <w:style w:type="paragraph" w:styleId="Heading1">
    <w:name w:val="heading 1"/>
    <w:next w:val="Normal"/>
    <w:autoRedefine/>
    <w:qFormat/>
    <w:rsid w:val="004805FA"/>
    <w:pPr>
      <w:keepNext/>
      <w:jc w:val="both"/>
      <w:outlineLvl w:val="0"/>
    </w:pPr>
    <w:rPr>
      <w:rFonts w:ascii="Arial" w:hAnsi="Arial"/>
      <w:caps/>
      <w:lang w:bidi="de-DE"/>
    </w:rPr>
  </w:style>
  <w:style w:type="paragraph" w:styleId="Heading2">
    <w:name w:val="heading 2"/>
    <w:next w:val="Normal"/>
    <w:autoRedefine/>
    <w:qFormat/>
    <w:rsid w:val="004805FA"/>
    <w:pPr>
      <w:keepNext/>
      <w:jc w:val="both"/>
      <w:outlineLvl w:val="1"/>
    </w:pPr>
    <w:rPr>
      <w:rFonts w:ascii="Arial" w:hAnsi="Arial"/>
      <w:u w:val="single"/>
      <w:lang w:bidi="de-DE"/>
    </w:rPr>
  </w:style>
  <w:style w:type="paragraph" w:styleId="Heading3">
    <w:name w:val="heading 3"/>
    <w:next w:val="Normal"/>
    <w:autoRedefine/>
    <w:qFormat/>
    <w:rsid w:val="004805FA"/>
    <w:pPr>
      <w:keepNext/>
      <w:jc w:val="both"/>
      <w:outlineLvl w:val="2"/>
    </w:pPr>
    <w:rPr>
      <w:rFonts w:ascii="Arial" w:hAnsi="Arial"/>
      <w:i/>
      <w:lang w:bidi="de-DE"/>
    </w:rPr>
  </w:style>
  <w:style w:type="paragraph" w:styleId="Heading4">
    <w:name w:val="heading 4"/>
    <w:next w:val="Normal"/>
    <w:autoRedefine/>
    <w:qFormat/>
    <w:rsid w:val="004805FA"/>
    <w:pPr>
      <w:keepNext/>
      <w:ind w:left="567"/>
      <w:jc w:val="both"/>
      <w:outlineLvl w:val="3"/>
    </w:pPr>
    <w:rPr>
      <w:rFonts w:ascii="Arial" w:hAnsi="Arial"/>
      <w:u w:val="single"/>
      <w:lang w:bidi="de-DE"/>
    </w:rPr>
  </w:style>
  <w:style w:type="paragraph" w:styleId="Heading5">
    <w:name w:val="heading 5"/>
    <w:next w:val="Normal"/>
    <w:autoRedefine/>
    <w:qFormat/>
    <w:rsid w:val="004805FA"/>
    <w:pPr>
      <w:keepNext/>
      <w:ind w:left="1134" w:hanging="567"/>
      <w:jc w:val="both"/>
      <w:outlineLvl w:val="4"/>
    </w:pPr>
    <w:rPr>
      <w:rFonts w:ascii="Arial" w:hAnsi="Arial"/>
      <w:i/>
      <w:lang w:bidi="de-D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bidi="de-DE"/>
    </w:rPr>
  </w:style>
  <w:style w:type="paragraph" w:styleId="Footer">
    <w:name w:val="footer"/>
    <w:aliases w:val="doc_path_name"/>
    <w:autoRedefine/>
    <w:rsid w:val="009D690D"/>
    <w:pPr>
      <w:jc w:val="both"/>
    </w:pPr>
    <w:rPr>
      <w:rFonts w:ascii="Arial" w:hAnsi="Arial"/>
      <w:sz w:val="14"/>
      <w:lang w:bidi="de-DE"/>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lang w:bidi="de-DE"/>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bidi="de-DE"/>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lang w:bidi="de-DE"/>
    </w:rPr>
  </w:style>
  <w:style w:type="character" w:customStyle="1" w:styleId="DocoriginalChar">
    <w:name w:val="Doc_original Char"/>
    <w:link w:val="Docoriginal"/>
    <w:rsid w:val="00612379"/>
    <w:rPr>
      <w:rFonts w:ascii="Arial" w:hAnsi="Arial"/>
      <w:b/>
      <w:bCs/>
      <w:spacing w:val="10"/>
      <w:lang w:val="de-DE" w:eastAsia="de-DE" w:bidi="de-DE"/>
    </w:rPr>
  </w:style>
  <w:style w:type="character" w:customStyle="1" w:styleId="StyleDocoriginalNotBoldChar">
    <w:name w:val="Style Doc_original + Not Bold 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rsid w:val="00281060"/>
    <w:rPr>
      <w:rFonts w:ascii="Arial" w:hAnsi="Arial"/>
      <w:b/>
      <w:bCs/>
      <w:spacing w:val="10"/>
      <w:lang w:val="de-DE" w:eastAsia="de-DE" w:bidi="de-DE"/>
    </w:rPr>
  </w:style>
  <w:style w:type="character" w:customStyle="1" w:styleId="StyleDoclangBold">
    <w:name w:val="Style Doc_lang + Bold"/>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lang w:bidi="de-DE"/>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bidi="de-DE"/>
    </w:rPr>
  </w:style>
  <w:style w:type="character" w:styleId="Hyperlink">
    <w:name w:val="Hyperlink"/>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bidi="de-DE"/>
    </w:rPr>
  </w:style>
  <w:style w:type="paragraph" w:styleId="TOC1">
    <w:name w:val="toc 1"/>
    <w:next w:val="Normal"/>
    <w:autoRedefine/>
    <w:uiPriority w:val="39"/>
    <w:rsid w:val="00156FC4"/>
    <w:pPr>
      <w:tabs>
        <w:tab w:val="left" w:pos="454"/>
        <w:tab w:val="right" w:leader="dot" w:pos="9639"/>
      </w:tabs>
      <w:spacing w:before="120" w:after="120"/>
    </w:pPr>
    <w:rPr>
      <w:rFonts w:ascii="Arial" w:hAnsi="Arial"/>
      <w:caps/>
      <w:lang w:bidi="de-DE"/>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bidi="de-DE"/>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paragraph" w:styleId="ListParagraph">
    <w:name w:val="List Paragraph"/>
    <w:basedOn w:val="Normal"/>
    <w:uiPriority w:val="34"/>
    <w:qFormat/>
    <w:rsid w:val="003232C8"/>
    <w:pPr>
      <w:ind w:left="720"/>
      <w:contextualSpacing/>
    </w:pPr>
  </w:style>
  <w:style w:type="paragraph" w:customStyle="1" w:styleId="Default">
    <w:name w:val="Default"/>
    <w:rsid w:val="003232C8"/>
    <w:pPr>
      <w:autoSpaceDE w:val="0"/>
      <w:autoSpaceDN w:val="0"/>
      <w:adjustRightInd w:val="0"/>
    </w:pPr>
    <w:rPr>
      <w:rFonts w:ascii="Arial" w:hAnsi="Arial" w:cs="Arial"/>
      <w:color w:val="000000"/>
      <w:sz w:val="24"/>
      <w:szCs w:val="24"/>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e%20Witzig\UPOV%202014%20-%201\upov_tc_50_12_3431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D303-1DF4-4081-BE7B-EEDED3E5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upov_tc_50_12_34311_DE.dotx</Template>
  <TotalTime>14</TotalTime>
  <Pages>15</Pages>
  <Words>4574</Words>
  <Characters>29737</Characters>
  <Application>Microsoft Office Word</Application>
  <DocSecurity>0</DocSecurity>
  <Lines>247</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tc_5_xx_xxx</vt:lpstr>
      <vt:lpstr>tc_5_xx_xxx</vt:lpstr>
    </vt:vector>
  </TitlesOfParts>
  <Company>UPOV</Company>
  <LinksUpToDate>false</LinksUpToDate>
  <CharactersWithSpaces>34243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Sabine Witzig</dc:creator>
  <cp:lastModifiedBy>FAVA Alexandra</cp:lastModifiedBy>
  <cp:revision>11</cp:revision>
  <cp:lastPrinted>2014-02-14T13:23:00Z</cp:lastPrinted>
  <dcterms:created xsi:type="dcterms:W3CDTF">2014-01-27T08:42:00Z</dcterms:created>
  <dcterms:modified xsi:type="dcterms:W3CDTF">2014-02-14T13:23:00Z</dcterms:modified>
</cp:coreProperties>
</file>