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lang w:val="en-US" w:eastAsia="en-US" w:bidi="ar-SA"/>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TC/50/</w:t>
            </w:r>
            <w:bookmarkStart w:id="0" w:name="Code"/>
            <w:bookmarkEnd w:id="0"/>
            <w:r>
              <w:t>11</w:t>
            </w:r>
          </w:p>
          <w:p w:rsidR="000D7780" w:rsidRPr="00B46575" w:rsidRDefault="0061555F" w:rsidP="006655D3">
            <w:pPr>
              <w:pStyle w:val="Docoriginal"/>
              <w:rPr>
                <w:b w:val="0"/>
                <w:spacing w:val="0"/>
              </w:rPr>
            </w:pPr>
            <w:r>
              <w:rPr>
                <w:rStyle w:val="StyleDoclangBold"/>
                <w:b/>
                <w:bCs/>
                <w:spacing w:val="0"/>
              </w:rPr>
              <w:t>ORIGINAL:</w:t>
            </w:r>
            <w:r>
              <w:rPr>
                <w:rStyle w:val="StyleDocoriginalNotBold1"/>
                <w:spacing w:val="0"/>
              </w:rPr>
              <w:t xml:space="preserve"> </w:t>
            </w:r>
            <w:bookmarkStart w:id="1" w:name="Original"/>
            <w:bookmarkEnd w:id="1"/>
            <w:r w:rsidR="008F1A1C" w:rsidRPr="008F1A1C">
              <w:rPr>
                <w:b w:val="0"/>
                <w:spacing w:val="0"/>
              </w:rPr>
              <w:t>e</w:t>
            </w:r>
            <w:r>
              <w:rPr>
                <w:b w:val="0"/>
                <w:spacing w:val="0"/>
              </w:rPr>
              <w:t>nglisch</w:t>
            </w:r>
          </w:p>
          <w:p w:rsidR="000D7780" w:rsidRPr="00C5280D" w:rsidRDefault="000D7780" w:rsidP="008F1A1C">
            <w:pPr>
              <w:pStyle w:val="Docoriginal"/>
            </w:pPr>
            <w:r>
              <w:rPr>
                <w:spacing w:val="0"/>
              </w:rPr>
              <w:t xml:space="preserve">DATE: </w:t>
            </w:r>
            <w:r>
              <w:rPr>
                <w:rStyle w:val="StyleDocoriginalNotBold1"/>
                <w:spacing w:val="0"/>
              </w:rPr>
              <w:t xml:space="preserve"> </w:t>
            </w:r>
            <w:bookmarkStart w:id="2" w:name="Date"/>
            <w:bookmarkEnd w:id="2"/>
            <w:r w:rsidR="00107978">
              <w:rPr>
                <w:b w:val="0"/>
                <w:bCs w:val="0"/>
              </w:rPr>
              <w:t>1</w:t>
            </w:r>
            <w:r w:rsidR="006C6215">
              <w:rPr>
                <w:b w:val="0"/>
                <w:bCs w:val="0"/>
              </w:rPr>
              <w:t>2</w:t>
            </w:r>
            <w:bookmarkStart w:id="3" w:name="_GoBack"/>
            <w:bookmarkEnd w:id="3"/>
            <w:r w:rsidR="008D2B6E" w:rsidRPr="008F1A1C">
              <w:rPr>
                <w:b w:val="0"/>
                <w:bCs w:val="0"/>
              </w:rPr>
              <w:t>.</w:t>
            </w:r>
            <w:r w:rsidR="008D2B6E" w:rsidRPr="008F1A1C">
              <w:rPr>
                <w:rStyle w:val="StyleDocoriginalNotBold1"/>
                <w:spacing w:val="0"/>
              </w:rPr>
              <w:t xml:space="preserve"> </w:t>
            </w:r>
            <w:r w:rsidRPr="008F1A1C">
              <w:rPr>
                <w:b w:val="0"/>
                <w:spacing w:val="0"/>
              </w:rPr>
              <w:t>Februar 2014</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Fünfzigste Tagung</w:t>
      </w:r>
      <w:r>
        <w:br/>
        <w:t>Genf, 7. bis 9. April 2014</w:t>
      </w:r>
    </w:p>
    <w:p w:rsidR="000D7780" w:rsidRPr="00C5280D" w:rsidRDefault="00754CC1" w:rsidP="006655D3">
      <w:pPr>
        <w:pStyle w:val="Titleofdoc0"/>
      </w:pPr>
      <w:bookmarkStart w:id="4" w:name="TitleOfDoc"/>
      <w:bookmarkEnd w:id="4"/>
      <w:r>
        <w:t>Vorbereitende Arbeitstagungen</w:t>
      </w:r>
    </w:p>
    <w:p w:rsidR="00050E16" w:rsidRPr="00C5280D" w:rsidRDefault="008F1A1C" w:rsidP="00050E16">
      <w:pPr>
        <w:pStyle w:val="preparedby1"/>
      </w:pPr>
      <w:bookmarkStart w:id="5" w:name="Prepared"/>
      <w:bookmarkEnd w:id="5"/>
      <w:r>
        <w:t>v</w:t>
      </w:r>
      <w:r w:rsidR="00AE0EF1">
        <w:t>om Verbandsbüro erstelltes Dokument</w:t>
      </w:r>
      <w:r w:rsidR="00AE0EF1">
        <w:br/>
      </w:r>
      <w:r w:rsidR="00AE0EF1">
        <w:br/>
      </w:r>
      <w:r w:rsidR="00AE0EF1">
        <w:rPr>
          <w:color w:val="A6A6A6" w:themeColor="background1" w:themeShade="A6"/>
        </w:rPr>
        <w:t>Haftungsausschluß: dieses Dokument gibt nicht die Grundsätze oder eine Anleitung der UPOV wieder</w:t>
      </w:r>
    </w:p>
    <w:p w:rsidR="00A1690E" w:rsidRPr="004A69D5" w:rsidRDefault="008F16BF" w:rsidP="00A1690E">
      <w:pPr>
        <w:autoSpaceDE w:val="0"/>
        <w:autoSpaceDN w:val="0"/>
        <w:adjustRightInd w:val="0"/>
        <w:rPr>
          <w:rFonts w:cs="Arial"/>
          <w:snapToGrid w:val="0"/>
        </w:rPr>
      </w:pPr>
      <w:r w:rsidRPr="004A69D5">
        <w:rPr>
          <w:rFonts w:cs="Arial"/>
        </w:rPr>
        <w:fldChar w:fldCharType="begin"/>
      </w:r>
      <w:r w:rsidR="00A1690E" w:rsidRPr="004A69D5">
        <w:rPr>
          <w:rFonts w:cs="Arial"/>
        </w:rPr>
        <w:instrText xml:space="preserve"> AUTONUM  </w:instrText>
      </w:r>
      <w:r w:rsidRPr="004A69D5">
        <w:rPr>
          <w:rFonts w:cs="Arial"/>
        </w:rPr>
        <w:fldChar w:fldCharType="end"/>
      </w:r>
      <w:r w:rsidR="00A1690E">
        <w:tab/>
        <w:t>Der Technische Ausschuß (TC) vereinbarte auf seiner achtunddreißigsten Tagung vom 15. bis 17.</w:t>
      </w:r>
      <w:r w:rsidR="006A5874">
        <w:t> </w:t>
      </w:r>
      <w:r w:rsidR="00A1690E">
        <w:t>April 2002 in Genf aufgrund des Dokuments TC/38/12, jeweils vor den Sitzungen der Technischen Arbeitsgruppen (TWP) eine vorbereitende Arbeitstagung abzuhalten mit dem Ziel, einige Delegierte dabei zu unterstützen, sich aktiver</w:t>
      </w:r>
      <w:r w:rsidR="008D2B6E">
        <w:t xml:space="preserve"> an der Sitzung zu beteiligen. </w:t>
      </w:r>
      <w:r w:rsidR="00A1690E">
        <w:t xml:space="preserve">Auf seiner achtundvierzigsten Tagung vom </w:t>
      </w:r>
      <w:r w:rsidR="00A1690E">
        <w:rPr>
          <w:snapToGrid w:val="0"/>
          <w:szCs w:val="24"/>
        </w:rPr>
        <w:t>26 bis 28.</w:t>
      </w:r>
      <w:r w:rsidR="006A5874">
        <w:rPr>
          <w:snapToGrid w:val="0"/>
          <w:szCs w:val="24"/>
        </w:rPr>
        <w:t> </w:t>
      </w:r>
      <w:r w:rsidR="00A1690E">
        <w:rPr>
          <w:snapToGrid w:val="0"/>
          <w:szCs w:val="24"/>
        </w:rPr>
        <w:t xml:space="preserve">März 2012 </w:t>
      </w:r>
      <w:r w:rsidR="00A1690E">
        <w:t>in Genf nahm der TC den Bericht über die im Jahr 2011 abgehaltenen vorbereitenden Arbeitstagungen und den hohen Grad an Beteiligung von Beobachterstaaten zur Kenntnis.</w:t>
      </w:r>
      <w:r w:rsidR="00A1690E">
        <w:rPr>
          <w:rFonts w:ascii="ArialMT" w:hAnsi="ArialMT"/>
        </w:rPr>
        <w:t xml:space="preserve"> </w:t>
      </w:r>
      <w:r w:rsidR="00A1690E">
        <w:t>Er billigte das vorgeschlagene Programm für 2012, wie in Dokument TC/48/10 dargelegt (vergleiche Dokument TC/48/22 „Bericht über die Entschließungen”, Absätze 134-136).</w:t>
      </w:r>
    </w:p>
    <w:p w:rsidR="00A1690E" w:rsidRPr="004A69D5" w:rsidRDefault="00A1690E" w:rsidP="00A1690E">
      <w:pPr>
        <w:autoSpaceDE w:val="0"/>
        <w:autoSpaceDN w:val="0"/>
        <w:adjustRightInd w:val="0"/>
        <w:rPr>
          <w:rFonts w:cs="Arial"/>
        </w:rPr>
      </w:pPr>
    </w:p>
    <w:p w:rsidR="00A1690E" w:rsidRPr="004A69D5" w:rsidRDefault="008F16BF" w:rsidP="00A1690E">
      <w:pPr>
        <w:rPr>
          <w:rFonts w:cs="Arial"/>
        </w:rPr>
      </w:pPr>
      <w:r w:rsidRPr="004A69D5">
        <w:rPr>
          <w:rFonts w:cs="Arial"/>
        </w:rPr>
        <w:fldChar w:fldCharType="begin"/>
      </w:r>
      <w:r w:rsidR="00A1690E" w:rsidRPr="004A69D5">
        <w:rPr>
          <w:rFonts w:cs="Arial"/>
        </w:rPr>
        <w:instrText xml:space="preserve"> AUTONUM  </w:instrText>
      </w:r>
      <w:r w:rsidRPr="004A69D5">
        <w:rPr>
          <w:rFonts w:cs="Arial"/>
        </w:rPr>
        <w:fldChar w:fldCharType="end"/>
      </w:r>
      <w:r w:rsidR="00A1690E">
        <w:tab/>
        <w:t>Zweck dieses Dokuments ist es, über die im Jahre 2013 abgehaltenen vorbereitenden Arbeitstagungen zu berichten und Vorschläge für das Jahr 2014 zu unterbreiten.</w:t>
      </w:r>
    </w:p>
    <w:p w:rsidR="00A1690E" w:rsidRPr="004A69D5" w:rsidRDefault="00A1690E" w:rsidP="00A1690E">
      <w:pPr>
        <w:rPr>
          <w:rFonts w:cs="Arial"/>
        </w:rPr>
      </w:pPr>
    </w:p>
    <w:p w:rsidR="00A1690E" w:rsidRPr="004A69D5" w:rsidRDefault="008F16BF" w:rsidP="00A1690E">
      <w:pPr>
        <w:rPr>
          <w:rFonts w:cs="Arial"/>
          <w:color w:val="000000"/>
        </w:rPr>
      </w:pPr>
      <w:r w:rsidRPr="004A69D5">
        <w:rPr>
          <w:rFonts w:cs="Arial"/>
          <w:color w:val="000000"/>
        </w:rPr>
        <w:fldChar w:fldCharType="begin"/>
      </w:r>
      <w:r w:rsidR="00A1690E" w:rsidRPr="004A69D5">
        <w:rPr>
          <w:rFonts w:cs="Arial"/>
          <w:color w:val="000000"/>
        </w:rPr>
        <w:instrText xml:space="preserve"> AUTONUM  </w:instrText>
      </w:r>
      <w:r w:rsidRPr="004A69D5">
        <w:rPr>
          <w:rFonts w:cs="Arial"/>
          <w:color w:val="000000"/>
        </w:rPr>
        <w:fldChar w:fldCharType="end"/>
      </w:r>
      <w:r w:rsidR="00A1690E">
        <w:tab/>
        <w:t>In diesem Dokument werden folgende Abkürzungen verwendet:</w:t>
      </w:r>
    </w:p>
    <w:p w:rsidR="00A1690E" w:rsidRPr="004A69D5" w:rsidRDefault="00A1690E" w:rsidP="00A1690E">
      <w:pPr>
        <w:rPr>
          <w:rFonts w:cs="Arial"/>
          <w:color w:val="000000"/>
        </w:rPr>
      </w:pPr>
    </w:p>
    <w:p w:rsidR="00A1690E" w:rsidRPr="004A69D5" w:rsidRDefault="00A1690E" w:rsidP="00A1690E">
      <w:pPr>
        <w:tabs>
          <w:tab w:val="left" w:pos="567"/>
        </w:tabs>
        <w:spacing w:after="60"/>
        <w:ind w:left="1418" w:hanging="851"/>
        <w:rPr>
          <w:rFonts w:cs="Arial"/>
          <w:color w:val="000000"/>
        </w:rPr>
      </w:pPr>
      <w:r>
        <w:t>TC:</w:t>
      </w:r>
      <w:r>
        <w:tab/>
        <w:t>Technischer Ausschuß</w:t>
      </w:r>
    </w:p>
    <w:p w:rsidR="00A1690E" w:rsidRPr="004A69D5" w:rsidRDefault="00A1690E" w:rsidP="00A1690E">
      <w:pPr>
        <w:tabs>
          <w:tab w:val="left" w:pos="567"/>
        </w:tabs>
        <w:spacing w:after="60"/>
        <w:ind w:left="1418" w:hanging="851"/>
        <w:rPr>
          <w:rFonts w:cs="Arial"/>
          <w:color w:val="000000"/>
        </w:rPr>
      </w:pPr>
      <w:r>
        <w:t xml:space="preserve">TWA:  </w:t>
      </w:r>
      <w:r>
        <w:tab/>
        <w:t>Technische Arbeitsgruppe für landwirtschaftliche Arten</w:t>
      </w:r>
    </w:p>
    <w:p w:rsidR="00A1690E" w:rsidRPr="004A69D5" w:rsidRDefault="00A1690E" w:rsidP="00A1690E">
      <w:pPr>
        <w:spacing w:after="60"/>
        <w:ind w:left="1418" w:hanging="851"/>
        <w:rPr>
          <w:rFonts w:cs="Arial"/>
          <w:color w:val="000000"/>
        </w:rPr>
      </w:pPr>
      <w:r>
        <w:t>TWC:</w:t>
      </w:r>
      <w:r>
        <w:tab/>
        <w:t>Technische Arbeitsgruppe für Automatisierung und Computerprogramme</w:t>
      </w:r>
    </w:p>
    <w:p w:rsidR="00A1690E" w:rsidRPr="004A69D5" w:rsidRDefault="00A1690E" w:rsidP="00A1690E">
      <w:pPr>
        <w:spacing w:after="60"/>
        <w:ind w:left="1418" w:hanging="851"/>
        <w:rPr>
          <w:rFonts w:cs="Arial"/>
          <w:color w:val="000000"/>
        </w:rPr>
      </w:pPr>
      <w:r>
        <w:t>TWF:</w:t>
      </w:r>
      <w:r>
        <w:tab/>
        <w:t>Technische Arbeitsgruppe für Obstarten</w:t>
      </w:r>
    </w:p>
    <w:p w:rsidR="00A1690E" w:rsidRPr="004A69D5" w:rsidRDefault="00A1690E" w:rsidP="00A1690E">
      <w:pPr>
        <w:spacing w:after="60"/>
        <w:ind w:left="1418" w:hanging="851"/>
        <w:rPr>
          <w:rFonts w:cs="Arial"/>
          <w:color w:val="000000"/>
        </w:rPr>
      </w:pPr>
      <w:r>
        <w:t>TWO:</w:t>
      </w:r>
      <w:r>
        <w:tab/>
        <w:t>Technische Arbeitsgruppe für Zierpflanzen und forstliche Baumarten</w:t>
      </w:r>
    </w:p>
    <w:p w:rsidR="00A1690E" w:rsidRPr="004A69D5" w:rsidRDefault="00A1690E" w:rsidP="00A1690E">
      <w:pPr>
        <w:spacing w:after="60"/>
        <w:ind w:left="1418" w:hanging="851"/>
        <w:rPr>
          <w:rFonts w:cs="Arial"/>
          <w:color w:val="000000"/>
        </w:rPr>
      </w:pPr>
      <w:r>
        <w:t>TWV:</w:t>
      </w:r>
      <w:r>
        <w:tab/>
        <w:t>Technische Arbeitsgruppe für Gemüsearten</w:t>
      </w:r>
    </w:p>
    <w:p w:rsidR="00A1690E" w:rsidRPr="004A69D5" w:rsidRDefault="00A1690E" w:rsidP="00A1690E">
      <w:pPr>
        <w:pStyle w:val="BodyTextIndent3"/>
        <w:tabs>
          <w:tab w:val="left" w:pos="567"/>
        </w:tabs>
        <w:spacing w:after="60"/>
        <w:ind w:left="1418" w:hanging="851"/>
        <w:rPr>
          <w:rFonts w:ascii="Arial" w:hAnsi="Arial" w:cs="Arial"/>
          <w:sz w:val="20"/>
          <w:szCs w:val="20"/>
        </w:rPr>
      </w:pPr>
      <w:r>
        <w:rPr>
          <w:rFonts w:ascii="Arial" w:hAnsi="Arial"/>
          <w:sz w:val="20"/>
          <w:szCs w:val="20"/>
        </w:rPr>
        <w:t>BMT:</w:t>
      </w:r>
      <w:r>
        <w:tab/>
      </w:r>
      <w:r>
        <w:rPr>
          <w:rFonts w:ascii="Arial" w:hAnsi="Arial"/>
          <w:sz w:val="20"/>
          <w:szCs w:val="20"/>
        </w:rPr>
        <w:t>Arbeitsgruppe für biochemische und molekulare Verfahren und insbesondere für DNS</w:t>
      </w:r>
      <w:r>
        <w:noBreakHyphen/>
      </w:r>
      <w:r>
        <w:rPr>
          <w:rFonts w:ascii="Arial" w:hAnsi="Arial"/>
          <w:sz w:val="20"/>
          <w:szCs w:val="20"/>
        </w:rPr>
        <w:t>Profilierungsverfahren</w:t>
      </w:r>
    </w:p>
    <w:p w:rsidR="00A1690E" w:rsidRPr="004A69D5" w:rsidRDefault="00A1690E" w:rsidP="00A1690E">
      <w:pPr>
        <w:pStyle w:val="BodyTextIndent3"/>
        <w:tabs>
          <w:tab w:val="left" w:pos="567"/>
        </w:tabs>
        <w:ind w:left="1418" w:hanging="851"/>
        <w:rPr>
          <w:rFonts w:ascii="Arial" w:hAnsi="Arial" w:cs="Arial"/>
          <w:sz w:val="20"/>
          <w:szCs w:val="20"/>
        </w:rPr>
      </w:pPr>
      <w:r>
        <w:rPr>
          <w:rFonts w:ascii="Arial" w:hAnsi="Arial"/>
          <w:sz w:val="20"/>
          <w:szCs w:val="20"/>
        </w:rPr>
        <w:t>TWP:</w:t>
      </w:r>
      <w:r>
        <w:tab/>
      </w:r>
      <w:r>
        <w:rPr>
          <w:rFonts w:ascii="Arial" w:hAnsi="Arial"/>
          <w:sz w:val="20"/>
          <w:szCs w:val="20"/>
        </w:rPr>
        <w:t>Technische Arbeitsgruppen</w:t>
      </w:r>
    </w:p>
    <w:p w:rsidR="00A1690E" w:rsidRDefault="00A1690E" w:rsidP="00A1690E">
      <w:pPr>
        <w:pStyle w:val="Heading6"/>
        <w:keepNext w:val="0"/>
        <w:rPr>
          <w:rFonts w:ascii="Arial" w:hAnsi="Arial" w:cs="Arial"/>
          <w:sz w:val="20"/>
          <w:szCs w:val="20"/>
        </w:rPr>
      </w:pPr>
      <w:r>
        <w:br w:type="page"/>
      </w:r>
    </w:p>
    <w:p w:rsidR="00A1690E" w:rsidRPr="00362D68" w:rsidRDefault="00A1690E" w:rsidP="00A1690E">
      <w:pPr>
        <w:pStyle w:val="Heading6"/>
        <w:keepNext w:val="0"/>
        <w:rPr>
          <w:rFonts w:ascii="Arial" w:hAnsi="Arial" w:cs="Arial"/>
          <w:i w:val="0"/>
          <w:sz w:val="20"/>
          <w:szCs w:val="20"/>
          <w:u w:val="single"/>
        </w:rPr>
      </w:pPr>
      <w:r>
        <w:rPr>
          <w:rFonts w:ascii="Arial" w:hAnsi="Arial"/>
          <w:i w:val="0"/>
          <w:sz w:val="20"/>
          <w:szCs w:val="20"/>
          <w:u w:val="single"/>
        </w:rPr>
        <w:lastRenderedPageBreak/>
        <w:t>Bericht über die im Jahre 2013 abgehaltenen vorbereitenden Arbeitstagungen und die damit verbundenen Tätigkeiten</w:t>
      </w:r>
    </w:p>
    <w:p w:rsidR="00A1690E" w:rsidRPr="004A69D5" w:rsidRDefault="00A1690E" w:rsidP="00A1690E">
      <w:pPr>
        <w:rPr>
          <w:rFonts w:cs="Arial"/>
          <w:i/>
        </w:rPr>
      </w:pPr>
    </w:p>
    <w:p w:rsidR="00A1690E" w:rsidRPr="004A69D5" w:rsidRDefault="008F16BF" w:rsidP="00A1690E">
      <w:pPr>
        <w:rPr>
          <w:rFonts w:cs="Arial"/>
        </w:rPr>
      </w:pPr>
      <w:r w:rsidRPr="004A69D5">
        <w:rPr>
          <w:rFonts w:cs="Arial"/>
        </w:rPr>
        <w:fldChar w:fldCharType="begin"/>
      </w:r>
      <w:r w:rsidR="00A1690E" w:rsidRPr="004A69D5">
        <w:rPr>
          <w:rFonts w:cs="Arial"/>
        </w:rPr>
        <w:instrText xml:space="preserve"> AUTONUM  </w:instrText>
      </w:r>
      <w:r w:rsidRPr="004A69D5">
        <w:rPr>
          <w:rFonts w:cs="Arial"/>
        </w:rPr>
        <w:fldChar w:fldCharType="end"/>
      </w:r>
      <w:r w:rsidR="00A1690E">
        <w:tab/>
        <w:t>Im Jahr 2013 wurden die vorbereitenden Arbeitstagungen am Vortag des ersten Tages der TWP</w:t>
      </w:r>
      <w:r w:rsidR="006A5874">
        <w:noBreakHyphen/>
      </w:r>
      <w:r w:rsidR="00A1690E">
        <w:t>Tagung abgehalten und für die TWA, TWF, TWO, TWV auf ähnliche Weise durchgeführt. Es wurden folgende Punkte behandelt:</w:t>
      </w:r>
    </w:p>
    <w:p w:rsidR="00A1690E" w:rsidRPr="004A69D5" w:rsidRDefault="00A1690E" w:rsidP="00A1690E">
      <w:pPr>
        <w:spacing w:after="120"/>
        <w:rPr>
          <w:rFonts w:cs="Arial"/>
        </w:rPr>
      </w:pPr>
    </w:p>
    <w:p w:rsidR="00DE0087" w:rsidRPr="004A69D5" w:rsidRDefault="00DE0087" w:rsidP="00DE0087">
      <w:pPr>
        <w:numPr>
          <w:ilvl w:val="0"/>
          <w:numId w:val="3"/>
        </w:numPr>
        <w:spacing w:after="120"/>
        <w:rPr>
          <w:rFonts w:cs="Arial"/>
        </w:rPr>
      </w:pPr>
      <w:r>
        <w:t>Einführung zur UPOV und Rolle der Technischen Arbeitsgruppen (TWP) der UPOV</w:t>
      </w:r>
    </w:p>
    <w:p w:rsidR="00DE0087" w:rsidRDefault="00DE0087" w:rsidP="00DE0087">
      <w:pPr>
        <w:numPr>
          <w:ilvl w:val="0"/>
          <w:numId w:val="3"/>
        </w:numPr>
        <w:spacing w:after="120"/>
        <w:rPr>
          <w:rFonts w:cs="Arial"/>
        </w:rPr>
      </w:pPr>
      <w:r>
        <w:t>Überblick über die Allgemeine Einführung (Dokument TG/1/3 und TGP-Dokumente)</w:t>
      </w:r>
    </w:p>
    <w:p w:rsidR="00DE0087" w:rsidRPr="004A69D5" w:rsidRDefault="00DE0087" w:rsidP="00DE0087">
      <w:pPr>
        <w:numPr>
          <w:ilvl w:val="0"/>
          <w:numId w:val="6"/>
        </w:numPr>
        <w:spacing w:after="120"/>
        <w:rPr>
          <w:rFonts w:cs="Arial"/>
        </w:rPr>
      </w:pPr>
      <w:r>
        <w:t>Merkmale als Grundlage der DUS-Prüfung und Auswahl von Merkmalen</w:t>
      </w:r>
    </w:p>
    <w:p w:rsidR="00DE0087" w:rsidRPr="004A69D5" w:rsidRDefault="00DE0087" w:rsidP="00DE0087">
      <w:pPr>
        <w:numPr>
          <w:ilvl w:val="0"/>
          <w:numId w:val="3"/>
        </w:numPr>
        <w:spacing w:after="120"/>
        <w:rPr>
          <w:rFonts w:cs="Arial"/>
        </w:rPr>
      </w:pPr>
      <w:r>
        <w:t xml:space="preserve">Anleitung zur Erstellung von Prüfungsrichtlinien (Dokument TGP/7) </w:t>
      </w:r>
    </w:p>
    <w:p w:rsidR="00DE0087" w:rsidRDefault="00DE0087" w:rsidP="00DE0087">
      <w:pPr>
        <w:numPr>
          <w:ilvl w:val="0"/>
          <w:numId w:val="2"/>
        </w:numPr>
        <w:spacing w:before="60" w:after="60"/>
        <w:rPr>
          <w:rFonts w:cs="Arial"/>
        </w:rPr>
      </w:pPr>
      <w:r>
        <w:t>Anwendung der Prüfungsrichtlinien, Anforderungen an das Vermehrungsmaterial und Durchführung der Prüfung</w:t>
      </w:r>
    </w:p>
    <w:p w:rsidR="008F1A1C" w:rsidRPr="008F1A1C" w:rsidRDefault="00DE0087" w:rsidP="00DE0087">
      <w:pPr>
        <w:numPr>
          <w:ilvl w:val="0"/>
          <w:numId w:val="2"/>
        </w:numPr>
        <w:spacing w:before="60" w:after="60"/>
        <w:rPr>
          <w:rFonts w:cs="Arial"/>
        </w:rPr>
      </w:pPr>
      <w:r>
        <w:t xml:space="preserve">Beobachtungsmethode </w:t>
      </w:r>
      <w:r w:rsidR="008F1A1C">
        <w:t>(MS, MG, VS, VG)</w:t>
      </w:r>
    </w:p>
    <w:p w:rsidR="00DE0087" w:rsidRPr="008F1A1C" w:rsidRDefault="00DE0087" w:rsidP="00DE0087">
      <w:pPr>
        <w:numPr>
          <w:ilvl w:val="0"/>
          <w:numId w:val="2"/>
        </w:numPr>
        <w:spacing w:before="60" w:after="60"/>
        <w:rPr>
          <w:rFonts w:cs="Arial"/>
        </w:rPr>
      </w:pPr>
      <w:r>
        <w:t>Ausprägungstypen (QL, QN, PQ), Noten und Unterscheidbarkeit</w:t>
      </w:r>
    </w:p>
    <w:p w:rsidR="00DE0087" w:rsidRDefault="00DE0087" w:rsidP="00DE0087">
      <w:pPr>
        <w:numPr>
          <w:ilvl w:val="0"/>
          <w:numId w:val="2"/>
        </w:numPr>
        <w:spacing w:before="60" w:after="60"/>
        <w:rPr>
          <w:rFonts w:cs="Arial"/>
        </w:rPr>
      </w:pPr>
      <w:r>
        <w:t>Form- und Farbmerkmale</w:t>
      </w:r>
    </w:p>
    <w:p w:rsidR="00DE0087" w:rsidRDefault="00DE0087" w:rsidP="00DE0087">
      <w:pPr>
        <w:numPr>
          <w:ilvl w:val="0"/>
          <w:numId w:val="2"/>
        </w:numPr>
        <w:spacing w:before="60" w:after="60"/>
        <w:rPr>
          <w:rFonts w:cs="Arial"/>
        </w:rPr>
      </w:pPr>
      <w:r>
        <w:t>Beispielssorten</w:t>
      </w:r>
    </w:p>
    <w:p w:rsidR="00DE0087" w:rsidRDefault="00DE0087" w:rsidP="00DE0087">
      <w:pPr>
        <w:numPr>
          <w:ilvl w:val="0"/>
          <w:numId w:val="2"/>
        </w:numPr>
        <w:spacing w:before="60" w:after="60"/>
        <w:rPr>
          <w:rFonts w:cs="Arial"/>
        </w:rPr>
      </w:pPr>
      <w:r>
        <w:t>Verfahren zur Erstellung von UPOV-Prüfungsrichtlinien, einschließlich: TG</w:t>
      </w:r>
      <w:r w:rsidR="006A5874">
        <w:noBreakHyphen/>
      </w:r>
      <w:r>
        <w:t>Mustervorlage; Zusätzlicher Standardwortlaut (Additional Standard Wording); und Anleitungen;</w:t>
      </w:r>
    </w:p>
    <w:p w:rsidR="00DE0087" w:rsidRPr="004A69D5" w:rsidRDefault="00DE0087" w:rsidP="00DE0087">
      <w:pPr>
        <w:numPr>
          <w:ilvl w:val="0"/>
          <w:numId w:val="3"/>
        </w:numPr>
        <w:spacing w:after="120"/>
        <w:rPr>
          <w:rFonts w:cs="Arial"/>
        </w:rPr>
      </w:pPr>
      <w:r>
        <w:t>Tagesordnung für die TWP-Tagung</w:t>
      </w:r>
    </w:p>
    <w:p w:rsidR="00DE0087" w:rsidRDefault="00DE0087" w:rsidP="00DE0087">
      <w:pPr>
        <w:numPr>
          <w:ilvl w:val="0"/>
          <w:numId w:val="3"/>
        </w:numPr>
        <w:rPr>
          <w:rFonts w:cs="Arial"/>
        </w:rPr>
      </w:pPr>
      <w:r>
        <w:t>Feedback der Teilnehmer</w:t>
      </w:r>
    </w:p>
    <w:p w:rsidR="00DE0087" w:rsidRDefault="00DE0087" w:rsidP="00DE0087">
      <w:pPr>
        <w:rPr>
          <w:rFonts w:cs="Arial"/>
        </w:rPr>
      </w:pPr>
    </w:p>
    <w:p w:rsidR="00DE0087" w:rsidRDefault="008F16BF" w:rsidP="00DE0087">
      <w:pPr>
        <w:rPr>
          <w:rFonts w:cs="Arial"/>
        </w:rPr>
      </w:pPr>
      <w:r w:rsidRPr="004A69D5">
        <w:rPr>
          <w:rFonts w:cs="Arial"/>
        </w:rPr>
        <w:fldChar w:fldCharType="begin"/>
      </w:r>
      <w:r w:rsidR="00DE0087" w:rsidRPr="004A69D5">
        <w:rPr>
          <w:rFonts w:cs="Arial"/>
        </w:rPr>
        <w:instrText xml:space="preserve"> AUTONUM  </w:instrText>
      </w:r>
      <w:r w:rsidRPr="004A69D5">
        <w:rPr>
          <w:rFonts w:cs="Arial"/>
        </w:rPr>
        <w:fldChar w:fldCharType="end"/>
      </w:r>
      <w:r w:rsidR="00DE0087">
        <w:tab/>
      </w:r>
      <w:r w:rsidR="006A5874">
        <w:t>Auf der vorbereitenden Arbeitstagung der</w:t>
      </w:r>
      <w:r w:rsidR="00DE0087">
        <w:t xml:space="preserve"> TWC</w:t>
      </w:r>
      <w:r w:rsidR="006A5874" w:rsidRPr="006A5874">
        <w:t xml:space="preserve"> </w:t>
      </w:r>
      <w:r w:rsidR="006A5874">
        <w:t>wurden folgende Punkte behandelt:</w:t>
      </w:r>
      <w:r w:rsidR="00DE0087">
        <w:t>:</w:t>
      </w:r>
    </w:p>
    <w:p w:rsidR="00A1690E" w:rsidRDefault="00A1690E" w:rsidP="00A1690E">
      <w:pPr>
        <w:rPr>
          <w:rFonts w:cs="Arial"/>
        </w:rPr>
      </w:pPr>
    </w:p>
    <w:p w:rsidR="00DE0087" w:rsidRDefault="00DE0087" w:rsidP="00267815">
      <w:pPr>
        <w:spacing w:after="120"/>
        <w:ind w:left="1134" w:hanging="567"/>
      </w:pPr>
      <w:r>
        <w:t>1.</w:t>
      </w:r>
      <w:r>
        <w:tab/>
        <w:t>Einführung zur UPOV und Rolle der Technischen Arbeitsgruppen (TWP) der UPOV</w:t>
      </w:r>
    </w:p>
    <w:p w:rsidR="00DE0087" w:rsidRDefault="00DE0087" w:rsidP="00267815">
      <w:pPr>
        <w:spacing w:after="120"/>
        <w:ind w:left="1134" w:hanging="567"/>
      </w:pPr>
      <w:r>
        <w:t>2.</w:t>
      </w:r>
      <w:r>
        <w:tab/>
        <w:t>Überblick über DUS-Prüfungen und Prüfungsrichtlinien</w:t>
      </w:r>
    </w:p>
    <w:p w:rsidR="00DE0087" w:rsidRPr="00555B88" w:rsidRDefault="00DE0087" w:rsidP="00267815">
      <w:pPr>
        <w:spacing w:before="60" w:after="120"/>
        <w:ind w:left="1134"/>
      </w:pPr>
      <w:r>
        <w:t>a)</w:t>
      </w:r>
      <w:r>
        <w:tab/>
        <w:t>Erfassungsmethode und Art der Eintragung (MS, MG, VS, VG);</w:t>
      </w:r>
    </w:p>
    <w:p w:rsidR="00DE0087" w:rsidRDefault="00DE0087" w:rsidP="00267815">
      <w:pPr>
        <w:spacing w:before="60" w:after="120"/>
        <w:ind w:left="1134"/>
      </w:pPr>
      <w:r>
        <w:t>b)</w:t>
      </w:r>
      <w:r>
        <w:tab/>
        <w:t>Ausprägungstypen von Merkmalen (QL, PQ und QN) und Typen von Datenskalen</w:t>
      </w:r>
    </w:p>
    <w:p w:rsidR="00DE0087" w:rsidRPr="00BC13B0" w:rsidRDefault="00DE0087" w:rsidP="00267815">
      <w:pPr>
        <w:spacing w:after="120"/>
        <w:ind w:left="1134" w:hanging="567"/>
      </w:pPr>
      <w:r>
        <w:t>3.</w:t>
      </w:r>
      <w:r>
        <w:tab/>
        <w:t>Verfahren zur Auswertung von DUS-Daten und Erarbeitung von Sortenbeschreibungen</w:t>
      </w:r>
    </w:p>
    <w:p w:rsidR="00A62BD0" w:rsidRDefault="00DE0087" w:rsidP="00267815">
      <w:pPr>
        <w:spacing w:before="60" w:after="120"/>
        <w:ind w:left="1134"/>
      </w:pPr>
      <w:r>
        <w:t>a)</w:t>
      </w:r>
      <w:r>
        <w:tab/>
        <w:t xml:space="preserve">Verfahren, die bei der DUS-Prüfung zur Umwandlung von Beobachtungen und Messungen in Noten für die Unterscheidbarkeit und die Sortenbeschreibungen angewandt werden </w:t>
      </w:r>
    </w:p>
    <w:p w:rsidR="00DE0087" w:rsidRPr="00BC13B0" w:rsidRDefault="00DE0087" w:rsidP="00267815">
      <w:pPr>
        <w:spacing w:before="60" w:after="120"/>
        <w:ind w:left="1134"/>
      </w:pPr>
      <w:r>
        <w:t>b)</w:t>
      </w:r>
      <w:r>
        <w:tab/>
        <w:t xml:space="preserve">Verfahren für DUS-Prüfungsanlage und Datenanalyse </w:t>
      </w:r>
    </w:p>
    <w:p w:rsidR="00DE0087" w:rsidRDefault="00DE0087" w:rsidP="00267815">
      <w:pPr>
        <w:spacing w:after="120"/>
        <w:ind w:left="1134" w:hanging="567"/>
      </w:pPr>
      <w:r>
        <w:t>4.</w:t>
      </w:r>
      <w:r>
        <w:tab/>
        <w:t>Bildanalyse</w:t>
      </w:r>
    </w:p>
    <w:p w:rsidR="00DE0087" w:rsidRPr="00555B88" w:rsidRDefault="00DE0087" w:rsidP="00267815">
      <w:pPr>
        <w:spacing w:after="120"/>
        <w:ind w:left="1134" w:hanging="567"/>
      </w:pPr>
      <w:r>
        <w:t>5.</w:t>
      </w:r>
      <w:r>
        <w:tab/>
        <w:t>UPOV-Website</w:t>
      </w:r>
    </w:p>
    <w:p w:rsidR="00DE0087" w:rsidRPr="00555B88" w:rsidRDefault="00DE0087" w:rsidP="00267815">
      <w:pPr>
        <w:spacing w:before="60" w:after="120"/>
        <w:ind w:left="1134"/>
      </w:pPr>
      <w:r>
        <w:t>a)</w:t>
      </w:r>
      <w:r>
        <w:tab/>
        <w:t>Datenbanken (UPOV-Code, GENIE, PLUTO, Prüfungsrichtlinien und UPOV Lex)</w:t>
      </w:r>
    </w:p>
    <w:p w:rsidR="00DE0087" w:rsidRDefault="00DE0087" w:rsidP="00267815">
      <w:pPr>
        <w:spacing w:before="60" w:after="120"/>
        <w:ind w:left="1134"/>
      </w:pPr>
      <w:r>
        <w:t>b)</w:t>
      </w:r>
      <w:r>
        <w:tab/>
        <w:t>Andere verfügbare Ressourcen (Veröffentlichungen, Mitglieder, Sammlung, Tagungskalender)</w:t>
      </w:r>
    </w:p>
    <w:p w:rsidR="00DE0087" w:rsidRDefault="00DE0087" w:rsidP="00267815">
      <w:pPr>
        <w:spacing w:after="120"/>
        <w:ind w:left="1134" w:hanging="567"/>
      </w:pPr>
      <w:r>
        <w:t>6.</w:t>
      </w:r>
      <w:r>
        <w:tab/>
        <w:t>Tagesordnung für die TWC-Tagung</w:t>
      </w:r>
    </w:p>
    <w:p w:rsidR="00DE0087" w:rsidRDefault="00DE0087" w:rsidP="00267815">
      <w:pPr>
        <w:spacing w:after="120"/>
        <w:ind w:left="1134" w:hanging="567"/>
      </w:pPr>
      <w:r>
        <w:t>7.</w:t>
      </w:r>
      <w:r>
        <w:tab/>
        <w:t>Feedback der Teilnehmer</w:t>
      </w:r>
    </w:p>
    <w:p w:rsidR="00DE0087" w:rsidRPr="004A69D5" w:rsidRDefault="00DE0087" w:rsidP="00A1690E">
      <w:pPr>
        <w:rPr>
          <w:rFonts w:cs="Arial"/>
        </w:rPr>
      </w:pPr>
    </w:p>
    <w:p w:rsidR="00A1690E" w:rsidRPr="004A69D5" w:rsidRDefault="008F16BF" w:rsidP="00A1690E">
      <w:pPr>
        <w:rPr>
          <w:rFonts w:cs="Arial"/>
        </w:rPr>
      </w:pPr>
      <w:r w:rsidRPr="004A69D5">
        <w:rPr>
          <w:rFonts w:cs="Arial"/>
        </w:rPr>
        <w:fldChar w:fldCharType="begin"/>
      </w:r>
      <w:r w:rsidR="00A1690E" w:rsidRPr="004A69D5">
        <w:rPr>
          <w:rFonts w:cs="Arial"/>
        </w:rPr>
        <w:instrText xml:space="preserve"> AUTONUM  </w:instrText>
      </w:r>
      <w:r w:rsidRPr="004A69D5">
        <w:rPr>
          <w:rFonts w:cs="Arial"/>
        </w:rPr>
        <w:fldChar w:fldCharType="end"/>
      </w:r>
      <w:r w:rsidR="00A1690E">
        <w:tab/>
        <w:t xml:space="preserve">Die Dauer der vorbereitenden Arbeitstagungen betrug einen halben Tag.  </w:t>
      </w:r>
    </w:p>
    <w:p w:rsidR="00A1690E" w:rsidRPr="004A69D5" w:rsidRDefault="00A1690E" w:rsidP="00A1690E">
      <w:pPr>
        <w:rPr>
          <w:rFonts w:cs="Arial"/>
        </w:rPr>
      </w:pPr>
    </w:p>
    <w:p w:rsidR="00A1690E" w:rsidRPr="004A69D5" w:rsidRDefault="008F16BF" w:rsidP="00A1690E">
      <w:pPr>
        <w:rPr>
          <w:rFonts w:cs="Arial"/>
        </w:rPr>
      </w:pPr>
      <w:r w:rsidRPr="004A69D5">
        <w:rPr>
          <w:rFonts w:cs="Arial"/>
        </w:rPr>
        <w:fldChar w:fldCharType="begin"/>
      </w:r>
      <w:r w:rsidR="00A1690E" w:rsidRPr="004A69D5">
        <w:rPr>
          <w:rFonts w:cs="Arial"/>
        </w:rPr>
        <w:instrText xml:space="preserve"> AUTONUM  </w:instrText>
      </w:r>
      <w:r w:rsidRPr="004A69D5">
        <w:rPr>
          <w:rFonts w:cs="Arial"/>
        </w:rPr>
        <w:fldChar w:fldCharType="end"/>
      </w:r>
      <w:r w:rsidR="00A1690E">
        <w:tab/>
        <w:t>Die nachstehende Tabelle bietet einen Überblick über die Teilnahme an den vorbereitenden Arb</w:t>
      </w:r>
      <w:r w:rsidR="008D2B6E">
        <w:t>eitstagungen von 2003 bis 2013.</w:t>
      </w:r>
      <w:r w:rsidR="00A1690E">
        <w:t xml:space="preserve"> Zu den Teilnehmern werden auch die Sachverständigen gezählt, die auf den vorbereitenden Arbeitstagungen Referate hielten.  </w:t>
      </w:r>
    </w:p>
    <w:p w:rsidR="007626DA" w:rsidRDefault="007626DA">
      <w:pPr>
        <w:jc w:val="left"/>
        <w:rPr>
          <w:rFonts w:cs="Arial"/>
        </w:rPr>
      </w:pPr>
      <w:r>
        <w:br w:type="page"/>
      </w:r>
    </w:p>
    <w:tbl>
      <w:tblPr>
        <w:tblW w:w="964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6" w:type="dxa"/>
          <w:bottom w:w="28" w:type="dxa"/>
          <w:right w:w="56" w:type="dxa"/>
        </w:tblCellMar>
        <w:tblLook w:val="0000" w:firstRow="0" w:lastRow="0" w:firstColumn="0" w:lastColumn="0" w:noHBand="0" w:noVBand="0"/>
      </w:tblPr>
      <w:tblGrid>
        <w:gridCol w:w="2552"/>
        <w:gridCol w:w="644"/>
        <w:gridCol w:w="644"/>
        <w:gridCol w:w="645"/>
        <w:gridCol w:w="644"/>
        <w:gridCol w:w="644"/>
        <w:gridCol w:w="645"/>
        <w:gridCol w:w="644"/>
        <w:gridCol w:w="644"/>
        <w:gridCol w:w="645"/>
        <w:gridCol w:w="644"/>
        <w:gridCol w:w="645"/>
      </w:tblGrid>
      <w:tr w:rsidR="00A1690E" w:rsidRPr="004A69D5" w:rsidTr="0007430E">
        <w:trPr>
          <w:cantSplit/>
        </w:trPr>
        <w:tc>
          <w:tcPr>
            <w:tcW w:w="2552" w:type="dxa"/>
            <w:tcBorders>
              <w:top w:val="nil"/>
              <w:left w:val="nil"/>
              <w:bottom w:val="nil"/>
              <w:right w:val="nil"/>
            </w:tcBorders>
          </w:tcPr>
          <w:p w:rsidR="00A1690E" w:rsidRDefault="00A1690E" w:rsidP="00805193">
            <w:pPr>
              <w:jc w:val="left"/>
              <w:rPr>
                <w:rFonts w:cs="Arial"/>
                <w:sz w:val="18"/>
                <w:szCs w:val="18"/>
              </w:rPr>
            </w:pPr>
          </w:p>
          <w:p w:rsidR="00551141" w:rsidRPr="004A69D5" w:rsidRDefault="00551141" w:rsidP="00805193">
            <w:pPr>
              <w:jc w:val="left"/>
              <w:rPr>
                <w:rFonts w:cs="Arial"/>
                <w:sz w:val="18"/>
                <w:szCs w:val="18"/>
              </w:rPr>
            </w:pPr>
          </w:p>
        </w:tc>
        <w:tc>
          <w:tcPr>
            <w:tcW w:w="7088" w:type="dxa"/>
            <w:gridSpan w:val="11"/>
            <w:tcBorders>
              <w:left w:val="single" w:sz="4" w:space="0" w:color="auto"/>
            </w:tcBorders>
          </w:tcPr>
          <w:p w:rsidR="00A1690E" w:rsidRPr="00910B15" w:rsidRDefault="00A1690E" w:rsidP="00805193">
            <w:pPr>
              <w:keepNext/>
              <w:jc w:val="center"/>
              <w:rPr>
                <w:rFonts w:cs="Arial"/>
                <w:sz w:val="18"/>
                <w:szCs w:val="18"/>
                <w:u w:val="single"/>
              </w:rPr>
            </w:pPr>
            <w:r>
              <w:rPr>
                <w:sz w:val="18"/>
                <w:szCs w:val="18"/>
                <w:u w:val="single"/>
              </w:rPr>
              <w:t>Teilnahme</w:t>
            </w:r>
          </w:p>
        </w:tc>
      </w:tr>
      <w:tr w:rsidR="00A1690E" w:rsidRPr="004A69D5" w:rsidTr="00A1690E">
        <w:trPr>
          <w:cantSplit/>
        </w:trPr>
        <w:tc>
          <w:tcPr>
            <w:tcW w:w="2552" w:type="dxa"/>
            <w:tcBorders>
              <w:top w:val="nil"/>
              <w:left w:val="nil"/>
              <w:bottom w:val="nil"/>
              <w:right w:val="nil"/>
            </w:tcBorders>
          </w:tcPr>
          <w:p w:rsidR="00A1690E" w:rsidRDefault="00A1690E" w:rsidP="00805193">
            <w:pPr>
              <w:jc w:val="left"/>
              <w:rPr>
                <w:rFonts w:cs="Arial"/>
                <w:sz w:val="18"/>
                <w:szCs w:val="18"/>
              </w:rPr>
            </w:pPr>
          </w:p>
          <w:p w:rsidR="00551141" w:rsidRPr="004A69D5" w:rsidRDefault="00551141" w:rsidP="00805193">
            <w:pPr>
              <w:jc w:val="left"/>
              <w:rPr>
                <w:rFonts w:cs="Arial"/>
                <w:sz w:val="18"/>
                <w:szCs w:val="18"/>
              </w:rPr>
            </w:pPr>
          </w:p>
        </w:tc>
        <w:tc>
          <w:tcPr>
            <w:tcW w:w="644" w:type="dxa"/>
            <w:tcBorders>
              <w:left w:val="single" w:sz="4" w:space="0" w:color="auto"/>
            </w:tcBorders>
          </w:tcPr>
          <w:p w:rsidR="00A1690E" w:rsidRPr="004A69D5" w:rsidRDefault="00A1690E" w:rsidP="00805193">
            <w:pPr>
              <w:jc w:val="center"/>
              <w:rPr>
                <w:rFonts w:cs="Arial"/>
                <w:sz w:val="18"/>
                <w:szCs w:val="18"/>
                <w:u w:val="single"/>
              </w:rPr>
            </w:pPr>
            <w:r>
              <w:rPr>
                <w:sz w:val="18"/>
                <w:szCs w:val="18"/>
                <w:u w:val="single"/>
              </w:rPr>
              <w:t>2003</w:t>
            </w:r>
          </w:p>
        </w:tc>
        <w:tc>
          <w:tcPr>
            <w:tcW w:w="644" w:type="dxa"/>
          </w:tcPr>
          <w:p w:rsidR="00A1690E" w:rsidRPr="004A69D5" w:rsidRDefault="00A1690E" w:rsidP="00805193">
            <w:pPr>
              <w:keepNext/>
              <w:jc w:val="center"/>
              <w:rPr>
                <w:rFonts w:cs="Arial"/>
                <w:sz w:val="18"/>
                <w:szCs w:val="18"/>
                <w:u w:val="single"/>
              </w:rPr>
            </w:pPr>
            <w:r>
              <w:rPr>
                <w:sz w:val="18"/>
                <w:szCs w:val="18"/>
                <w:u w:val="single"/>
              </w:rPr>
              <w:t>2004</w:t>
            </w:r>
          </w:p>
        </w:tc>
        <w:tc>
          <w:tcPr>
            <w:tcW w:w="645" w:type="dxa"/>
          </w:tcPr>
          <w:p w:rsidR="00A1690E" w:rsidRPr="004A69D5" w:rsidRDefault="00A1690E" w:rsidP="00805193">
            <w:pPr>
              <w:keepNext/>
              <w:jc w:val="center"/>
              <w:rPr>
                <w:rFonts w:cs="Arial"/>
                <w:sz w:val="18"/>
                <w:szCs w:val="18"/>
                <w:u w:val="single"/>
              </w:rPr>
            </w:pPr>
            <w:r>
              <w:rPr>
                <w:sz w:val="18"/>
                <w:szCs w:val="18"/>
                <w:u w:val="single"/>
              </w:rPr>
              <w:t>2005</w:t>
            </w:r>
          </w:p>
        </w:tc>
        <w:tc>
          <w:tcPr>
            <w:tcW w:w="644" w:type="dxa"/>
          </w:tcPr>
          <w:p w:rsidR="00A1690E" w:rsidRPr="004A69D5" w:rsidRDefault="00A1690E" w:rsidP="00805193">
            <w:pPr>
              <w:keepNext/>
              <w:jc w:val="center"/>
              <w:rPr>
                <w:rFonts w:cs="Arial"/>
                <w:sz w:val="18"/>
                <w:szCs w:val="18"/>
                <w:u w:val="single"/>
              </w:rPr>
            </w:pPr>
            <w:r>
              <w:rPr>
                <w:sz w:val="18"/>
                <w:szCs w:val="18"/>
                <w:u w:val="single"/>
              </w:rPr>
              <w:t>2006</w:t>
            </w:r>
          </w:p>
        </w:tc>
        <w:tc>
          <w:tcPr>
            <w:tcW w:w="644" w:type="dxa"/>
          </w:tcPr>
          <w:p w:rsidR="00A1690E" w:rsidRPr="004A69D5" w:rsidRDefault="00A1690E" w:rsidP="00805193">
            <w:pPr>
              <w:keepNext/>
              <w:jc w:val="center"/>
              <w:rPr>
                <w:rFonts w:cs="Arial"/>
                <w:sz w:val="18"/>
                <w:szCs w:val="18"/>
                <w:u w:val="single"/>
              </w:rPr>
            </w:pPr>
            <w:r>
              <w:rPr>
                <w:sz w:val="18"/>
                <w:szCs w:val="18"/>
                <w:u w:val="single"/>
              </w:rPr>
              <w:t>2007</w:t>
            </w:r>
          </w:p>
        </w:tc>
        <w:tc>
          <w:tcPr>
            <w:tcW w:w="645" w:type="dxa"/>
          </w:tcPr>
          <w:p w:rsidR="00A1690E" w:rsidRPr="004A69D5" w:rsidRDefault="00A1690E" w:rsidP="00805193">
            <w:pPr>
              <w:keepNext/>
              <w:jc w:val="center"/>
              <w:rPr>
                <w:rFonts w:cs="Arial"/>
                <w:sz w:val="18"/>
                <w:szCs w:val="18"/>
                <w:u w:val="single"/>
              </w:rPr>
            </w:pPr>
            <w:r>
              <w:rPr>
                <w:sz w:val="18"/>
                <w:szCs w:val="18"/>
                <w:u w:val="single"/>
              </w:rPr>
              <w:t>2008</w:t>
            </w:r>
          </w:p>
        </w:tc>
        <w:tc>
          <w:tcPr>
            <w:tcW w:w="644" w:type="dxa"/>
          </w:tcPr>
          <w:p w:rsidR="00A1690E" w:rsidRPr="004A69D5" w:rsidRDefault="00A1690E" w:rsidP="00805193">
            <w:pPr>
              <w:keepNext/>
              <w:jc w:val="center"/>
              <w:rPr>
                <w:rFonts w:cs="Arial"/>
                <w:sz w:val="18"/>
                <w:szCs w:val="18"/>
                <w:u w:val="single"/>
              </w:rPr>
            </w:pPr>
            <w:r>
              <w:rPr>
                <w:sz w:val="18"/>
                <w:szCs w:val="18"/>
                <w:u w:val="single"/>
              </w:rPr>
              <w:t>2009</w:t>
            </w:r>
          </w:p>
        </w:tc>
        <w:tc>
          <w:tcPr>
            <w:tcW w:w="644" w:type="dxa"/>
          </w:tcPr>
          <w:p w:rsidR="00A1690E" w:rsidRPr="004A69D5" w:rsidRDefault="00A1690E" w:rsidP="00805193">
            <w:pPr>
              <w:keepNext/>
              <w:jc w:val="center"/>
              <w:rPr>
                <w:rFonts w:cs="Arial"/>
                <w:sz w:val="18"/>
                <w:szCs w:val="18"/>
                <w:u w:val="single"/>
              </w:rPr>
            </w:pPr>
            <w:r>
              <w:rPr>
                <w:sz w:val="18"/>
                <w:szCs w:val="18"/>
                <w:u w:val="single"/>
              </w:rPr>
              <w:t>2010</w:t>
            </w:r>
          </w:p>
        </w:tc>
        <w:tc>
          <w:tcPr>
            <w:tcW w:w="645" w:type="dxa"/>
          </w:tcPr>
          <w:p w:rsidR="00A1690E" w:rsidRPr="004A69D5" w:rsidRDefault="00A1690E" w:rsidP="00805193">
            <w:pPr>
              <w:keepNext/>
              <w:jc w:val="center"/>
              <w:rPr>
                <w:rFonts w:cs="Arial"/>
                <w:sz w:val="18"/>
                <w:szCs w:val="18"/>
                <w:u w:val="single"/>
              </w:rPr>
            </w:pPr>
            <w:r>
              <w:rPr>
                <w:sz w:val="18"/>
                <w:szCs w:val="18"/>
                <w:u w:val="single"/>
              </w:rPr>
              <w:t>2011</w:t>
            </w:r>
          </w:p>
        </w:tc>
        <w:tc>
          <w:tcPr>
            <w:tcW w:w="644" w:type="dxa"/>
          </w:tcPr>
          <w:p w:rsidR="00A1690E" w:rsidRPr="00910B15" w:rsidRDefault="00A1690E" w:rsidP="00805193">
            <w:pPr>
              <w:keepNext/>
              <w:jc w:val="center"/>
              <w:rPr>
                <w:rFonts w:cs="Arial"/>
                <w:sz w:val="18"/>
                <w:szCs w:val="18"/>
                <w:u w:val="single"/>
              </w:rPr>
            </w:pPr>
            <w:r>
              <w:rPr>
                <w:sz w:val="18"/>
                <w:szCs w:val="18"/>
                <w:u w:val="single"/>
              </w:rPr>
              <w:t>2012</w:t>
            </w:r>
          </w:p>
        </w:tc>
        <w:tc>
          <w:tcPr>
            <w:tcW w:w="645" w:type="dxa"/>
          </w:tcPr>
          <w:p w:rsidR="00A1690E" w:rsidRPr="00910B15" w:rsidRDefault="00A1690E" w:rsidP="00805193">
            <w:pPr>
              <w:keepNext/>
              <w:jc w:val="center"/>
              <w:rPr>
                <w:rFonts w:cs="Arial"/>
                <w:sz w:val="18"/>
                <w:szCs w:val="18"/>
                <w:u w:val="single"/>
              </w:rPr>
            </w:pPr>
            <w:r>
              <w:rPr>
                <w:sz w:val="18"/>
                <w:szCs w:val="18"/>
                <w:u w:val="single"/>
              </w:rPr>
              <w:t>2013</w:t>
            </w:r>
          </w:p>
        </w:tc>
      </w:tr>
      <w:tr w:rsidR="00A1690E" w:rsidRPr="004A69D5" w:rsidTr="007953E6">
        <w:trPr>
          <w:cantSplit/>
        </w:trPr>
        <w:tc>
          <w:tcPr>
            <w:tcW w:w="2552" w:type="dxa"/>
          </w:tcPr>
          <w:p w:rsidR="00A1690E" w:rsidRPr="004A69D5" w:rsidRDefault="00A1690E" w:rsidP="00805193">
            <w:pPr>
              <w:tabs>
                <w:tab w:val="left" w:pos="228"/>
              </w:tabs>
              <w:spacing w:after="60"/>
              <w:jc w:val="left"/>
              <w:rPr>
                <w:rFonts w:cs="Arial"/>
                <w:i/>
                <w:iCs/>
                <w:sz w:val="18"/>
                <w:szCs w:val="18"/>
              </w:rPr>
            </w:pPr>
            <w:r>
              <w:rPr>
                <w:i/>
                <w:iCs/>
                <w:sz w:val="18"/>
                <w:szCs w:val="18"/>
              </w:rPr>
              <w:t>Verbandsmitglieder</w:t>
            </w:r>
          </w:p>
          <w:p w:rsidR="00A1690E" w:rsidRPr="004A69D5" w:rsidRDefault="00A1690E" w:rsidP="00805193">
            <w:pPr>
              <w:tabs>
                <w:tab w:val="left" w:pos="228"/>
              </w:tabs>
              <w:ind w:left="228"/>
              <w:jc w:val="left"/>
              <w:rPr>
                <w:rFonts w:cs="Arial"/>
                <w:sz w:val="18"/>
                <w:szCs w:val="18"/>
              </w:rPr>
            </w:pPr>
            <w:r>
              <w:rPr>
                <w:sz w:val="18"/>
                <w:szCs w:val="18"/>
              </w:rPr>
              <w:t xml:space="preserve">Anzahl Teilnehmer / (Anzahl Verbandsmitglieder) </w:t>
            </w:r>
          </w:p>
        </w:tc>
        <w:tc>
          <w:tcPr>
            <w:tcW w:w="644" w:type="dxa"/>
            <w:vAlign w:val="bottom"/>
          </w:tcPr>
          <w:p w:rsidR="00A1690E" w:rsidRPr="004A69D5" w:rsidRDefault="00A1690E" w:rsidP="00805193">
            <w:pPr>
              <w:jc w:val="center"/>
              <w:rPr>
                <w:rFonts w:cs="Arial"/>
                <w:sz w:val="18"/>
                <w:szCs w:val="18"/>
              </w:rPr>
            </w:pPr>
            <w:r>
              <w:rPr>
                <w:sz w:val="18"/>
                <w:szCs w:val="18"/>
              </w:rPr>
              <w:t>55</w:t>
            </w:r>
            <w:r>
              <w:br/>
            </w:r>
            <w:r>
              <w:rPr>
                <w:sz w:val="18"/>
                <w:szCs w:val="18"/>
              </w:rPr>
              <w:t xml:space="preserve">(23) </w:t>
            </w:r>
          </w:p>
        </w:tc>
        <w:tc>
          <w:tcPr>
            <w:tcW w:w="644" w:type="dxa"/>
            <w:vAlign w:val="bottom"/>
          </w:tcPr>
          <w:p w:rsidR="00A1690E" w:rsidRPr="004A69D5" w:rsidRDefault="00A1690E" w:rsidP="00805193">
            <w:pPr>
              <w:keepNext/>
              <w:jc w:val="center"/>
              <w:rPr>
                <w:rFonts w:cs="Arial"/>
                <w:sz w:val="18"/>
                <w:szCs w:val="18"/>
              </w:rPr>
            </w:pPr>
            <w:r>
              <w:rPr>
                <w:sz w:val="18"/>
                <w:szCs w:val="18"/>
              </w:rPr>
              <w:t>69</w:t>
            </w:r>
            <w:r>
              <w:br/>
            </w:r>
            <w:r>
              <w:rPr>
                <w:sz w:val="18"/>
                <w:szCs w:val="18"/>
              </w:rPr>
              <w:t>(20)</w:t>
            </w:r>
          </w:p>
        </w:tc>
        <w:tc>
          <w:tcPr>
            <w:tcW w:w="645" w:type="dxa"/>
            <w:vAlign w:val="bottom"/>
          </w:tcPr>
          <w:p w:rsidR="00A1690E" w:rsidRPr="004A69D5" w:rsidRDefault="00A1690E" w:rsidP="00805193">
            <w:pPr>
              <w:keepNext/>
              <w:jc w:val="center"/>
              <w:rPr>
                <w:rFonts w:cs="Arial"/>
                <w:sz w:val="18"/>
                <w:szCs w:val="18"/>
              </w:rPr>
            </w:pPr>
            <w:r>
              <w:rPr>
                <w:sz w:val="18"/>
                <w:szCs w:val="18"/>
              </w:rPr>
              <w:t>130</w:t>
            </w:r>
            <w:r>
              <w:br/>
            </w:r>
            <w:r>
              <w:rPr>
                <w:sz w:val="18"/>
                <w:szCs w:val="18"/>
              </w:rPr>
              <w:t>(25)</w:t>
            </w:r>
          </w:p>
        </w:tc>
        <w:tc>
          <w:tcPr>
            <w:tcW w:w="644" w:type="dxa"/>
            <w:vAlign w:val="bottom"/>
          </w:tcPr>
          <w:p w:rsidR="00A1690E" w:rsidRPr="004A69D5" w:rsidRDefault="00A1690E" w:rsidP="00805193">
            <w:pPr>
              <w:keepNext/>
              <w:jc w:val="center"/>
              <w:rPr>
                <w:rFonts w:cs="Arial"/>
                <w:sz w:val="18"/>
                <w:szCs w:val="18"/>
              </w:rPr>
            </w:pPr>
            <w:r>
              <w:rPr>
                <w:sz w:val="18"/>
                <w:szCs w:val="18"/>
              </w:rPr>
              <w:t>136</w:t>
            </w:r>
            <w:r>
              <w:br/>
            </w:r>
            <w:r>
              <w:rPr>
                <w:sz w:val="18"/>
                <w:szCs w:val="18"/>
              </w:rPr>
              <w:t>(19)</w:t>
            </w:r>
          </w:p>
        </w:tc>
        <w:tc>
          <w:tcPr>
            <w:tcW w:w="644" w:type="dxa"/>
            <w:vAlign w:val="bottom"/>
          </w:tcPr>
          <w:p w:rsidR="00A1690E" w:rsidRPr="004A69D5" w:rsidRDefault="00A1690E" w:rsidP="00805193">
            <w:pPr>
              <w:keepNext/>
              <w:jc w:val="center"/>
              <w:rPr>
                <w:rFonts w:cs="Arial"/>
                <w:sz w:val="18"/>
                <w:szCs w:val="18"/>
              </w:rPr>
            </w:pPr>
            <w:r>
              <w:rPr>
                <w:sz w:val="18"/>
                <w:szCs w:val="18"/>
              </w:rPr>
              <w:t>167</w:t>
            </w:r>
            <w:r>
              <w:br/>
            </w:r>
            <w:r>
              <w:rPr>
                <w:sz w:val="18"/>
                <w:szCs w:val="18"/>
              </w:rPr>
              <w:t>(22)</w:t>
            </w:r>
          </w:p>
        </w:tc>
        <w:tc>
          <w:tcPr>
            <w:tcW w:w="645" w:type="dxa"/>
            <w:vAlign w:val="bottom"/>
          </w:tcPr>
          <w:p w:rsidR="00A1690E" w:rsidRPr="004A69D5" w:rsidRDefault="00A1690E" w:rsidP="00805193">
            <w:pPr>
              <w:keepNext/>
              <w:jc w:val="center"/>
              <w:rPr>
                <w:rFonts w:cs="Arial"/>
                <w:sz w:val="18"/>
                <w:szCs w:val="18"/>
              </w:rPr>
            </w:pPr>
            <w:r>
              <w:rPr>
                <w:sz w:val="18"/>
                <w:szCs w:val="18"/>
              </w:rPr>
              <w:t>162</w:t>
            </w:r>
            <w:r>
              <w:br/>
            </w:r>
            <w:r>
              <w:rPr>
                <w:sz w:val="18"/>
                <w:szCs w:val="18"/>
              </w:rPr>
              <w:t>(31)</w:t>
            </w:r>
          </w:p>
        </w:tc>
        <w:tc>
          <w:tcPr>
            <w:tcW w:w="644" w:type="dxa"/>
            <w:vAlign w:val="bottom"/>
          </w:tcPr>
          <w:p w:rsidR="00A1690E" w:rsidRPr="004A69D5" w:rsidRDefault="00A1690E" w:rsidP="00805193">
            <w:pPr>
              <w:keepNext/>
              <w:jc w:val="center"/>
              <w:rPr>
                <w:rFonts w:cs="Arial"/>
                <w:sz w:val="18"/>
                <w:szCs w:val="18"/>
              </w:rPr>
            </w:pPr>
            <w:r>
              <w:rPr>
                <w:sz w:val="18"/>
                <w:szCs w:val="18"/>
              </w:rPr>
              <w:t>95</w:t>
            </w:r>
            <w:r>
              <w:br/>
            </w:r>
            <w:r>
              <w:rPr>
                <w:sz w:val="18"/>
                <w:szCs w:val="18"/>
              </w:rPr>
              <w:t>(21)</w:t>
            </w:r>
          </w:p>
        </w:tc>
        <w:tc>
          <w:tcPr>
            <w:tcW w:w="644" w:type="dxa"/>
            <w:vAlign w:val="bottom"/>
          </w:tcPr>
          <w:p w:rsidR="00A1690E" w:rsidRPr="004A69D5" w:rsidRDefault="00A1690E" w:rsidP="00805193">
            <w:pPr>
              <w:keepNext/>
              <w:jc w:val="center"/>
              <w:rPr>
                <w:rFonts w:cs="Arial"/>
                <w:sz w:val="18"/>
                <w:szCs w:val="18"/>
              </w:rPr>
            </w:pPr>
            <w:r>
              <w:rPr>
                <w:sz w:val="18"/>
                <w:szCs w:val="18"/>
              </w:rPr>
              <w:t>117</w:t>
            </w:r>
            <w:r>
              <w:br/>
            </w:r>
            <w:r>
              <w:rPr>
                <w:sz w:val="18"/>
                <w:szCs w:val="18"/>
              </w:rPr>
              <w:t>(25)</w:t>
            </w:r>
          </w:p>
        </w:tc>
        <w:tc>
          <w:tcPr>
            <w:tcW w:w="645" w:type="dxa"/>
            <w:vAlign w:val="bottom"/>
          </w:tcPr>
          <w:p w:rsidR="00A1690E" w:rsidRPr="004A69D5" w:rsidRDefault="00A1690E" w:rsidP="00805193">
            <w:pPr>
              <w:keepNext/>
              <w:jc w:val="center"/>
              <w:rPr>
                <w:rFonts w:cs="Arial"/>
                <w:sz w:val="18"/>
                <w:szCs w:val="18"/>
              </w:rPr>
            </w:pPr>
            <w:r>
              <w:rPr>
                <w:sz w:val="18"/>
                <w:szCs w:val="18"/>
              </w:rPr>
              <w:t>115</w:t>
            </w:r>
            <w:r>
              <w:br/>
            </w:r>
            <w:r>
              <w:rPr>
                <w:sz w:val="18"/>
                <w:szCs w:val="18"/>
              </w:rPr>
              <w:t>(24)</w:t>
            </w:r>
          </w:p>
        </w:tc>
        <w:tc>
          <w:tcPr>
            <w:tcW w:w="644" w:type="dxa"/>
            <w:vAlign w:val="bottom"/>
          </w:tcPr>
          <w:p w:rsidR="00A1690E" w:rsidRPr="00910B15" w:rsidRDefault="00A1690E" w:rsidP="00805193">
            <w:pPr>
              <w:keepNext/>
              <w:jc w:val="center"/>
              <w:rPr>
                <w:rFonts w:cs="Arial"/>
                <w:sz w:val="18"/>
                <w:szCs w:val="18"/>
              </w:rPr>
            </w:pPr>
            <w:r>
              <w:rPr>
                <w:sz w:val="18"/>
                <w:szCs w:val="18"/>
              </w:rPr>
              <w:t>114</w:t>
            </w:r>
            <w:r>
              <w:br/>
            </w:r>
            <w:r>
              <w:rPr>
                <w:sz w:val="18"/>
                <w:szCs w:val="18"/>
              </w:rPr>
              <w:t>(26)</w:t>
            </w:r>
          </w:p>
        </w:tc>
        <w:tc>
          <w:tcPr>
            <w:tcW w:w="645" w:type="dxa"/>
            <w:vAlign w:val="bottom"/>
          </w:tcPr>
          <w:p w:rsidR="00A1690E" w:rsidRPr="00910B15" w:rsidRDefault="007953E6" w:rsidP="007953E6">
            <w:pPr>
              <w:keepNext/>
              <w:jc w:val="center"/>
              <w:rPr>
                <w:rFonts w:cs="Arial"/>
                <w:sz w:val="18"/>
                <w:szCs w:val="18"/>
              </w:rPr>
            </w:pPr>
            <w:r>
              <w:rPr>
                <w:sz w:val="18"/>
                <w:szCs w:val="18"/>
              </w:rPr>
              <w:t>125 (27)</w:t>
            </w:r>
          </w:p>
        </w:tc>
      </w:tr>
      <w:tr w:rsidR="00A1690E" w:rsidRPr="004A69D5" w:rsidTr="007953E6">
        <w:trPr>
          <w:cantSplit/>
        </w:trPr>
        <w:tc>
          <w:tcPr>
            <w:tcW w:w="2552" w:type="dxa"/>
          </w:tcPr>
          <w:p w:rsidR="00A1690E" w:rsidRPr="004A69D5" w:rsidRDefault="00A1690E" w:rsidP="00805193">
            <w:pPr>
              <w:tabs>
                <w:tab w:val="left" w:pos="228"/>
              </w:tabs>
              <w:spacing w:after="60"/>
              <w:jc w:val="left"/>
              <w:rPr>
                <w:rFonts w:cs="Arial"/>
                <w:i/>
                <w:iCs/>
                <w:sz w:val="18"/>
                <w:szCs w:val="18"/>
              </w:rPr>
            </w:pPr>
            <w:r>
              <w:rPr>
                <w:i/>
                <w:iCs/>
                <w:sz w:val="18"/>
                <w:szCs w:val="18"/>
              </w:rPr>
              <w:t>Beobachterstaaten / Behörden</w:t>
            </w:r>
          </w:p>
          <w:p w:rsidR="00A1690E" w:rsidRPr="004A69D5" w:rsidRDefault="00A1690E" w:rsidP="00805193">
            <w:pPr>
              <w:tabs>
                <w:tab w:val="left" w:pos="228"/>
              </w:tabs>
              <w:ind w:left="228"/>
              <w:jc w:val="left"/>
              <w:rPr>
                <w:rFonts w:cs="Arial"/>
                <w:sz w:val="18"/>
                <w:szCs w:val="18"/>
              </w:rPr>
            </w:pPr>
            <w:r>
              <w:rPr>
                <w:sz w:val="18"/>
                <w:szCs w:val="18"/>
              </w:rPr>
              <w:t>Anzahl Teilnehmer / (Anzahl Staaten / Behörden)</w:t>
            </w:r>
          </w:p>
        </w:tc>
        <w:tc>
          <w:tcPr>
            <w:tcW w:w="644" w:type="dxa"/>
            <w:vAlign w:val="bottom"/>
          </w:tcPr>
          <w:p w:rsidR="00A1690E" w:rsidRPr="004A69D5" w:rsidRDefault="00A1690E" w:rsidP="00805193">
            <w:pPr>
              <w:jc w:val="center"/>
              <w:rPr>
                <w:rFonts w:cs="Arial"/>
                <w:sz w:val="18"/>
                <w:szCs w:val="18"/>
              </w:rPr>
            </w:pPr>
            <w:r>
              <w:rPr>
                <w:sz w:val="18"/>
                <w:szCs w:val="18"/>
              </w:rPr>
              <w:t>10</w:t>
            </w:r>
            <w:r>
              <w:br/>
            </w:r>
            <w:r>
              <w:rPr>
                <w:sz w:val="18"/>
                <w:szCs w:val="18"/>
              </w:rPr>
              <w:t>(9)</w:t>
            </w:r>
          </w:p>
        </w:tc>
        <w:tc>
          <w:tcPr>
            <w:tcW w:w="644" w:type="dxa"/>
            <w:vAlign w:val="bottom"/>
          </w:tcPr>
          <w:p w:rsidR="00A1690E" w:rsidRPr="004A69D5" w:rsidRDefault="00A1690E" w:rsidP="00805193">
            <w:pPr>
              <w:keepNext/>
              <w:jc w:val="center"/>
              <w:rPr>
                <w:rFonts w:cs="Arial"/>
                <w:sz w:val="18"/>
                <w:szCs w:val="18"/>
              </w:rPr>
            </w:pPr>
            <w:r>
              <w:rPr>
                <w:sz w:val="18"/>
                <w:szCs w:val="18"/>
              </w:rPr>
              <w:t>2</w:t>
            </w:r>
            <w:r>
              <w:br/>
            </w:r>
            <w:r>
              <w:rPr>
                <w:sz w:val="18"/>
                <w:szCs w:val="18"/>
              </w:rPr>
              <w:t>(1)</w:t>
            </w:r>
          </w:p>
        </w:tc>
        <w:tc>
          <w:tcPr>
            <w:tcW w:w="645" w:type="dxa"/>
            <w:vAlign w:val="bottom"/>
          </w:tcPr>
          <w:p w:rsidR="00A1690E" w:rsidRPr="004A69D5" w:rsidRDefault="00A1690E" w:rsidP="00805193">
            <w:pPr>
              <w:keepNext/>
              <w:jc w:val="center"/>
              <w:rPr>
                <w:rFonts w:cs="Arial"/>
                <w:sz w:val="18"/>
                <w:szCs w:val="18"/>
              </w:rPr>
            </w:pPr>
            <w:r>
              <w:rPr>
                <w:sz w:val="18"/>
                <w:szCs w:val="18"/>
              </w:rPr>
              <w:t>3</w:t>
            </w:r>
            <w:r>
              <w:br/>
            </w:r>
            <w:r>
              <w:rPr>
                <w:sz w:val="18"/>
                <w:szCs w:val="18"/>
              </w:rPr>
              <w:t>(3)</w:t>
            </w:r>
          </w:p>
        </w:tc>
        <w:tc>
          <w:tcPr>
            <w:tcW w:w="644" w:type="dxa"/>
            <w:vAlign w:val="bottom"/>
          </w:tcPr>
          <w:p w:rsidR="00A1690E" w:rsidRPr="004A69D5" w:rsidRDefault="00A1690E" w:rsidP="00805193">
            <w:pPr>
              <w:keepNext/>
              <w:jc w:val="center"/>
              <w:rPr>
                <w:rFonts w:cs="Arial"/>
                <w:sz w:val="18"/>
                <w:szCs w:val="18"/>
              </w:rPr>
            </w:pPr>
            <w:r>
              <w:rPr>
                <w:sz w:val="18"/>
                <w:szCs w:val="18"/>
              </w:rPr>
              <w:t>-</w:t>
            </w:r>
          </w:p>
        </w:tc>
        <w:tc>
          <w:tcPr>
            <w:tcW w:w="644" w:type="dxa"/>
            <w:vAlign w:val="bottom"/>
          </w:tcPr>
          <w:p w:rsidR="00A1690E" w:rsidRPr="004A69D5" w:rsidRDefault="00A1690E" w:rsidP="00805193">
            <w:pPr>
              <w:keepNext/>
              <w:jc w:val="center"/>
              <w:rPr>
                <w:rFonts w:cs="Arial"/>
                <w:sz w:val="18"/>
                <w:szCs w:val="18"/>
              </w:rPr>
            </w:pPr>
            <w:r>
              <w:rPr>
                <w:sz w:val="18"/>
                <w:szCs w:val="18"/>
              </w:rPr>
              <w:t>3</w:t>
            </w:r>
            <w:r>
              <w:br/>
            </w:r>
            <w:r>
              <w:rPr>
                <w:sz w:val="18"/>
                <w:szCs w:val="18"/>
              </w:rPr>
              <w:t>(1)</w:t>
            </w:r>
          </w:p>
        </w:tc>
        <w:tc>
          <w:tcPr>
            <w:tcW w:w="645" w:type="dxa"/>
            <w:vAlign w:val="bottom"/>
          </w:tcPr>
          <w:p w:rsidR="00A1690E" w:rsidRPr="004A69D5" w:rsidRDefault="00A1690E" w:rsidP="00805193">
            <w:pPr>
              <w:keepNext/>
              <w:jc w:val="center"/>
              <w:rPr>
                <w:rFonts w:cs="Arial"/>
                <w:sz w:val="18"/>
                <w:szCs w:val="18"/>
              </w:rPr>
            </w:pPr>
            <w:r>
              <w:rPr>
                <w:sz w:val="18"/>
                <w:szCs w:val="18"/>
              </w:rPr>
              <w:t>3</w:t>
            </w:r>
            <w:r>
              <w:br/>
            </w:r>
            <w:r>
              <w:rPr>
                <w:sz w:val="18"/>
                <w:szCs w:val="18"/>
              </w:rPr>
              <w:t>(2)</w:t>
            </w:r>
          </w:p>
        </w:tc>
        <w:tc>
          <w:tcPr>
            <w:tcW w:w="644" w:type="dxa"/>
            <w:vAlign w:val="bottom"/>
          </w:tcPr>
          <w:p w:rsidR="00A1690E" w:rsidRPr="004A69D5" w:rsidRDefault="00A1690E" w:rsidP="00805193">
            <w:pPr>
              <w:keepNext/>
              <w:jc w:val="center"/>
              <w:rPr>
                <w:rFonts w:cs="Arial"/>
                <w:sz w:val="18"/>
                <w:szCs w:val="18"/>
              </w:rPr>
            </w:pPr>
            <w:r>
              <w:rPr>
                <w:sz w:val="18"/>
                <w:szCs w:val="18"/>
              </w:rPr>
              <w:t>-</w:t>
            </w:r>
          </w:p>
        </w:tc>
        <w:tc>
          <w:tcPr>
            <w:tcW w:w="644" w:type="dxa"/>
            <w:vAlign w:val="bottom"/>
          </w:tcPr>
          <w:p w:rsidR="00A1690E" w:rsidRPr="004A69D5" w:rsidRDefault="00A1690E" w:rsidP="00805193">
            <w:pPr>
              <w:keepNext/>
              <w:jc w:val="center"/>
              <w:rPr>
                <w:rFonts w:cs="Arial"/>
                <w:sz w:val="18"/>
                <w:szCs w:val="18"/>
              </w:rPr>
            </w:pPr>
            <w:r>
              <w:rPr>
                <w:sz w:val="18"/>
                <w:szCs w:val="18"/>
              </w:rPr>
              <w:t>-</w:t>
            </w:r>
          </w:p>
        </w:tc>
        <w:tc>
          <w:tcPr>
            <w:tcW w:w="645" w:type="dxa"/>
            <w:vAlign w:val="bottom"/>
          </w:tcPr>
          <w:p w:rsidR="00A1690E" w:rsidRPr="004A69D5" w:rsidRDefault="00A1690E" w:rsidP="00805193">
            <w:pPr>
              <w:keepNext/>
              <w:jc w:val="center"/>
              <w:rPr>
                <w:rFonts w:cs="Arial"/>
                <w:sz w:val="18"/>
                <w:szCs w:val="18"/>
              </w:rPr>
            </w:pPr>
            <w:r>
              <w:rPr>
                <w:sz w:val="18"/>
                <w:szCs w:val="18"/>
              </w:rPr>
              <w:t>15</w:t>
            </w:r>
            <w:r>
              <w:br/>
            </w:r>
            <w:r>
              <w:rPr>
                <w:sz w:val="18"/>
                <w:szCs w:val="18"/>
              </w:rPr>
              <w:t>(6)</w:t>
            </w:r>
          </w:p>
        </w:tc>
        <w:tc>
          <w:tcPr>
            <w:tcW w:w="644" w:type="dxa"/>
            <w:vAlign w:val="bottom"/>
          </w:tcPr>
          <w:p w:rsidR="00A1690E" w:rsidRPr="00910B15" w:rsidRDefault="00A1690E" w:rsidP="00805193">
            <w:pPr>
              <w:keepNext/>
              <w:jc w:val="center"/>
              <w:rPr>
                <w:rFonts w:cs="Arial"/>
                <w:sz w:val="18"/>
                <w:szCs w:val="18"/>
              </w:rPr>
            </w:pPr>
            <w:r>
              <w:rPr>
                <w:sz w:val="18"/>
                <w:szCs w:val="18"/>
              </w:rPr>
              <w:t>8</w:t>
            </w:r>
            <w:r>
              <w:br/>
            </w:r>
            <w:r>
              <w:rPr>
                <w:sz w:val="18"/>
                <w:szCs w:val="18"/>
              </w:rPr>
              <w:t>(4)</w:t>
            </w:r>
          </w:p>
        </w:tc>
        <w:tc>
          <w:tcPr>
            <w:tcW w:w="645" w:type="dxa"/>
            <w:vAlign w:val="bottom"/>
          </w:tcPr>
          <w:p w:rsidR="00A1690E" w:rsidRDefault="007953E6" w:rsidP="007953E6">
            <w:pPr>
              <w:keepNext/>
              <w:jc w:val="center"/>
              <w:rPr>
                <w:rFonts w:cs="Arial"/>
                <w:sz w:val="18"/>
                <w:szCs w:val="18"/>
              </w:rPr>
            </w:pPr>
            <w:r>
              <w:rPr>
                <w:sz w:val="18"/>
                <w:szCs w:val="18"/>
              </w:rPr>
              <w:t>12</w:t>
            </w:r>
          </w:p>
          <w:p w:rsidR="007953E6" w:rsidRPr="00910B15" w:rsidRDefault="007953E6" w:rsidP="007953E6">
            <w:pPr>
              <w:keepNext/>
              <w:jc w:val="center"/>
              <w:rPr>
                <w:rFonts w:cs="Arial"/>
                <w:sz w:val="18"/>
                <w:szCs w:val="18"/>
              </w:rPr>
            </w:pPr>
            <w:r>
              <w:rPr>
                <w:sz w:val="18"/>
                <w:szCs w:val="18"/>
              </w:rPr>
              <w:t>(4)</w:t>
            </w:r>
          </w:p>
        </w:tc>
      </w:tr>
      <w:tr w:rsidR="00A1690E" w:rsidRPr="004A69D5" w:rsidTr="007953E6">
        <w:trPr>
          <w:cantSplit/>
        </w:trPr>
        <w:tc>
          <w:tcPr>
            <w:tcW w:w="2552" w:type="dxa"/>
          </w:tcPr>
          <w:p w:rsidR="00A1690E" w:rsidRPr="004A69D5" w:rsidRDefault="00A1690E" w:rsidP="00805193">
            <w:pPr>
              <w:tabs>
                <w:tab w:val="left" w:pos="228"/>
              </w:tabs>
              <w:spacing w:after="60"/>
              <w:jc w:val="left"/>
              <w:rPr>
                <w:rFonts w:cs="Arial"/>
                <w:i/>
                <w:iCs/>
                <w:sz w:val="18"/>
                <w:szCs w:val="18"/>
              </w:rPr>
            </w:pPr>
            <w:r>
              <w:rPr>
                <w:i/>
                <w:iCs/>
                <w:sz w:val="18"/>
                <w:szCs w:val="18"/>
              </w:rPr>
              <w:t xml:space="preserve">Beobachterorganisationen </w:t>
            </w:r>
          </w:p>
          <w:p w:rsidR="00A1690E" w:rsidRPr="004A69D5" w:rsidRDefault="00A1690E" w:rsidP="00805193">
            <w:pPr>
              <w:tabs>
                <w:tab w:val="left" w:pos="228"/>
              </w:tabs>
              <w:ind w:left="228"/>
              <w:jc w:val="left"/>
              <w:rPr>
                <w:rFonts w:cs="Arial"/>
                <w:sz w:val="18"/>
                <w:szCs w:val="18"/>
              </w:rPr>
            </w:pPr>
            <w:r>
              <w:rPr>
                <w:sz w:val="18"/>
                <w:szCs w:val="18"/>
              </w:rPr>
              <w:t>Anzahl Teilnehmer / (Anzahl Organisationen)</w:t>
            </w:r>
          </w:p>
        </w:tc>
        <w:tc>
          <w:tcPr>
            <w:tcW w:w="644" w:type="dxa"/>
            <w:vAlign w:val="bottom"/>
          </w:tcPr>
          <w:p w:rsidR="00A1690E" w:rsidRPr="004A69D5" w:rsidRDefault="00A1690E" w:rsidP="00805193">
            <w:pPr>
              <w:jc w:val="center"/>
              <w:rPr>
                <w:rFonts w:cs="Arial"/>
                <w:sz w:val="18"/>
                <w:szCs w:val="18"/>
              </w:rPr>
            </w:pPr>
            <w:r>
              <w:rPr>
                <w:sz w:val="18"/>
                <w:szCs w:val="18"/>
              </w:rPr>
              <w:t>3</w:t>
            </w:r>
            <w:r>
              <w:br/>
            </w:r>
          </w:p>
        </w:tc>
        <w:tc>
          <w:tcPr>
            <w:tcW w:w="644" w:type="dxa"/>
            <w:vAlign w:val="bottom"/>
          </w:tcPr>
          <w:p w:rsidR="00A1690E" w:rsidRPr="004A69D5" w:rsidRDefault="00A1690E" w:rsidP="00805193">
            <w:pPr>
              <w:jc w:val="center"/>
              <w:rPr>
                <w:rFonts w:cs="Arial"/>
                <w:sz w:val="18"/>
                <w:szCs w:val="18"/>
              </w:rPr>
            </w:pPr>
            <w:r>
              <w:rPr>
                <w:sz w:val="18"/>
                <w:szCs w:val="18"/>
              </w:rPr>
              <w:t>2</w:t>
            </w:r>
            <w:r>
              <w:br/>
            </w:r>
          </w:p>
        </w:tc>
        <w:tc>
          <w:tcPr>
            <w:tcW w:w="645" w:type="dxa"/>
            <w:vAlign w:val="bottom"/>
          </w:tcPr>
          <w:p w:rsidR="00A1690E" w:rsidRPr="004A69D5" w:rsidRDefault="00A1690E" w:rsidP="00805193">
            <w:pPr>
              <w:jc w:val="center"/>
              <w:rPr>
                <w:rFonts w:cs="Arial"/>
                <w:color w:val="000000"/>
                <w:sz w:val="18"/>
                <w:szCs w:val="18"/>
              </w:rPr>
            </w:pPr>
            <w:r>
              <w:rPr>
                <w:color w:val="000000"/>
                <w:sz w:val="18"/>
                <w:szCs w:val="18"/>
              </w:rPr>
              <w:t>5</w:t>
            </w:r>
            <w:r>
              <w:br/>
            </w:r>
            <w:r>
              <w:rPr>
                <w:color w:val="000000"/>
                <w:sz w:val="18"/>
                <w:szCs w:val="18"/>
              </w:rPr>
              <w:t>(3)</w:t>
            </w:r>
          </w:p>
        </w:tc>
        <w:tc>
          <w:tcPr>
            <w:tcW w:w="644" w:type="dxa"/>
            <w:vAlign w:val="bottom"/>
          </w:tcPr>
          <w:p w:rsidR="00A1690E" w:rsidRPr="004A69D5" w:rsidRDefault="00A1690E" w:rsidP="00805193">
            <w:pPr>
              <w:jc w:val="center"/>
              <w:rPr>
                <w:rFonts w:cs="Arial"/>
                <w:color w:val="000000"/>
                <w:sz w:val="18"/>
                <w:szCs w:val="18"/>
              </w:rPr>
            </w:pPr>
            <w:r>
              <w:rPr>
                <w:color w:val="000000"/>
                <w:sz w:val="18"/>
                <w:szCs w:val="18"/>
              </w:rPr>
              <w:t>2</w:t>
            </w:r>
            <w:r>
              <w:br/>
            </w:r>
            <w:r>
              <w:rPr>
                <w:color w:val="000000"/>
                <w:sz w:val="18"/>
                <w:szCs w:val="18"/>
              </w:rPr>
              <w:t>(2)</w:t>
            </w:r>
          </w:p>
        </w:tc>
        <w:tc>
          <w:tcPr>
            <w:tcW w:w="644" w:type="dxa"/>
            <w:vAlign w:val="bottom"/>
          </w:tcPr>
          <w:p w:rsidR="00A1690E" w:rsidRPr="004A69D5" w:rsidRDefault="00A1690E" w:rsidP="00805193">
            <w:pPr>
              <w:jc w:val="center"/>
              <w:rPr>
                <w:rFonts w:cs="Arial"/>
                <w:color w:val="000000"/>
                <w:sz w:val="18"/>
                <w:szCs w:val="18"/>
              </w:rPr>
            </w:pPr>
            <w:r>
              <w:rPr>
                <w:color w:val="000000"/>
                <w:sz w:val="18"/>
                <w:szCs w:val="18"/>
              </w:rPr>
              <w:t>4</w:t>
            </w:r>
            <w:r>
              <w:br/>
            </w:r>
            <w:r>
              <w:rPr>
                <w:color w:val="000000"/>
                <w:sz w:val="18"/>
                <w:szCs w:val="18"/>
              </w:rPr>
              <w:t>(2)</w:t>
            </w:r>
          </w:p>
        </w:tc>
        <w:tc>
          <w:tcPr>
            <w:tcW w:w="645" w:type="dxa"/>
            <w:vAlign w:val="bottom"/>
          </w:tcPr>
          <w:p w:rsidR="00A1690E" w:rsidRPr="004A69D5" w:rsidRDefault="00A1690E" w:rsidP="00805193">
            <w:pPr>
              <w:jc w:val="center"/>
              <w:rPr>
                <w:rFonts w:cs="Arial"/>
                <w:color w:val="000000"/>
                <w:sz w:val="18"/>
                <w:szCs w:val="18"/>
              </w:rPr>
            </w:pPr>
            <w:r>
              <w:rPr>
                <w:color w:val="000000"/>
                <w:sz w:val="18"/>
                <w:szCs w:val="18"/>
              </w:rPr>
              <w:t>25</w:t>
            </w:r>
            <w:r>
              <w:br/>
            </w:r>
            <w:r>
              <w:rPr>
                <w:color w:val="000000"/>
                <w:sz w:val="18"/>
                <w:szCs w:val="18"/>
              </w:rPr>
              <w:t>(2)</w:t>
            </w:r>
          </w:p>
        </w:tc>
        <w:tc>
          <w:tcPr>
            <w:tcW w:w="644" w:type="dxa"/>
            <w:vAlign w:val="bottom"/>
          </w:tcPr>
          <w:p w:rsidR="00A1690E" w:rsidRPr="004A69D5" w:rsidRDefault="00A1690E" w:rsidP="00805193">
            <w:pPr>
              <w:jc w:val="center"/>
              <w:rPr>
                <w:rFonts w:cs="Arial"/>
                <w:color w:val="000000"/>
                <w:sz w:val="18"/>
                <w:szCs w:val="18"/>
              </w:rPr>
            </w:pPr>
            <w:r>
              <w:rPr>
                <w:color w:val="000000"/>
                <w:sz w:val="18"/>
                <w:szCs w:val="18"/>
              </w:rPr>
              <w:t>3</w:t>
            </w:r>
            <w:r>
              <w:br/>
            </w:r>
            <w:r>
              <w:rPr>
                <w:color w:val="000000"/>
                <w:sz w:val="18"/>
                <w:szCs w:val="18"/>
              </w:rPr>
              <w:t>(2*)</w:t>
            </w:r>
          </w:p>
        </w:tc>
        <w:tc>
          <w:tcPr>
            <w:tcW w:w="644" w:type="dxa"/>
            <w:vAlign w:val="bottom"/>
          </w:tcPr>
          <w:p w:rsidR="00A1690E" w:rsidRPr="004A69D5" w:rsidRDefault="00A1690E" w:rsidP="00805193">
            <w:pPr>
              <w:jc w:val="center"/>
              <w:rPr>
                <w:rFonts w:cs="Arial"/>
                <w:color w:val="000000"/>
                <w:sz w:val="18"/>
                <w:szCs w:val="18"/>
              </w:rPr>
            </w:pPr>
            <w:r>
              <w:rPr>
                <w:color w:val="000000"/>
                <w:sz w:val="18"/>
                <w:szCs w:val="18"/>
              </w:rPr>
              <w:t>10</w:t>
            </w:r>
            <w:r>
              <w:br/>
            </w:r>
            <w:r>
              <w:rPr>
                <w:color w:val="000000"/>
                <w:sz w:val="18"/>
                <w:szCs w:val="18"/>
              </w:rPr>
              <w:t>(2*)</w:t>
            </w:r>
          </w:p>
        </w:tc>
        <w:tc>
          <w:tcPr>
            <w:tcW w:w="645" w:type="dxa"/>
            <w:vAlign w:val="bottom"/>
          </w:tcPr>
          <w:p w:rsidR="00A1690E" w:rsidRPr="004A69D5" w:rsidRDefault="00A1690E" w:rsidP="00805193">
            <w:pPr>
              <w:jc w:val="center"/>
              <w:rPr>
                <w:rFonts w:cs="Arial"/>
                <w:color w:val="000000"/>
                <w:sz w:val="18"/>
                <w:szCs w:val="18"/>
              </w:rPr>
            </w:pPr>
            <w:r>
              <w:rPr>
                <w:color w:val="000000"/>
                <w:sz w:val="18"/>
                <w:szCs w:val="18"/>
              </w:rPr>
              <w:t>5</w:t>
            </w:r>
            <w:r>
              <w:br/>
            </w:r>
            <w:r>
              <w:rPr>
                <w:color w:val="000000"/>
                <w:sz w:val="18"/>
                <w:szCs w:val="18"/>
              </w:rPr>
              <w:t>(2*)</w:t>
            </w:r>
          </w:p>
        </w:tc>
        <w:tc>
          <w:tcPr>
            <w:tcW w:w="644" w:type="dxa"/>
            <w:vAlign w:val="bottom"/>
          </w:tcPr>
          <w:p w:rsidR="00A1690E" w:rsidRPr="00910B15" w:rsidRDefault="00A1690E" w:rsidP="00805193">
            <w:pPr>
              <w:jc w:val="center"/>
              <w:rPr>
                <w:rFonts w:cs="Arial"/>
                <w:color w:val="000000"/>
                <w:sz w:val="18"/>
                <w:szCs w:val="18"/>
              </w:rPr>
            </w:pPr>
            <w:bookmarkStart w:id="6" w:name="OLE_LINK3"/>
            <w:bookmarkStart w:id="7" w:name="OLE_LINK4"/>
            <w:r>
              <w:rPr>
                <w:color w:val="000000"/>
                <w:sz w:val="18"/>
                <w:szCs w:val="18"/>
              </w:rPr>
              <w:t>2</w:t>
            </w:r>
            <w:r>
              <w:br/>
            </w:r>
            <w:r>
              <w:rPr>
                <w:color w:val="000000"/>
                <w:sz w:val="18"/>
                <w:szCs w:val="18"/>
              </w:rPr>
              <w:t>(2*)</w:t>
            </w:r>
            <w:bookmarkEnd w:id="6"/>
            <w:bookmarkEnd w:id="7"/>
          </w:p>
        </w:tc>
        <w:tc>
          <w:tcPr>
            <w:tcW w:w="645" w:type="dxa"/>
            <w:vAlign w:val="bottom"/>
          </w:tcPr>
          <w:p w:rsidR="00A1690E" w:rsidRPr="007953E6" w:rsidRDefault="007953E6" w:rsidP="007953E6">
            <w:pPr>
              <w:keepNext/>
              <w:jc w:val="center"/>
              <w:rPr>
                <w:rFonts w:cs="Arial"/>
                <w:sz w:val="18"/>
                <w:szCs w:val="18"/>
              </w:rPr>
            </w:pPr>
            <w:r>
              <w:rPr>
                <w:sz w:val="18"/>
                <w:szCs w:val="18"/>
              </w:rPr>
              <w:t>4</w:t>
            </w:r>
          </w:p>
          <w:p w:rsidR="007953E6" w:rsidRPr="007953E6" w:rsidRDefault="007953E6" w:rsidP="007953E6">
            <w:pPr>
              <w:keepNext/>
              <w:jc w:val="center"/>
              <w:rPr>
                <w:rFonts w:cs="Arial"/>
                <w:sz w:val="18"/>
                <w:szCs w:val="18"/>
              </w:rPr>
            </w:pPr>
            <w:r>
              <w:rPr>
                <w:sz w:val="18"/>
                <w:szCs w:val="18"/>
              </w:rPr>
              <w:t>(2*)</w:t>
            </w:r>
          </w:p>
        </w:tc>
      </w:tr>
    </w:tbl>
    <w:p w:rsidR="00A1690E" w:rsidRDefault="006A5874" w:rsidP="00A1690E">
      <w:pPr>
        <w:ind w:left="567"/>
        <w:rPr>
          <w:rFonts w:cs="Arial"/>
          <w:color w:val="000000"/>
          <w:sz w:val="16"/>
        </w:rPr>
      </w:pPr>
      <w:r>
        <w:rPr>
          <w:color w:val="000000"/>
          <w:sz w:val="18"/>
          <w:szCs w:val="18"/>
        </w:rPr>
        <w:t>*</w:t>
      </w:r>
      <w:r w:rsidR="00A1690E">
        <w:rPr>
          <w:sz w:val="16"/>
        </w:rPr>
        <w:t>Internationale Gemeinschaft der Züchter vegetativ vermehrbarer Zier- und Obstpflanzen (CIOPORA); International Seed Federation (ISF)</w:t>
      </w:r>
    </w:p>
    <w:p w:rsidR="00A1690E" w:rsidRPr="004A69D5" w:rsidRDefault="00A1690E" w:rsidP="00A1690E">
      <w:pPr>
        <w:ind w:left="567"/>
        <w:rPr>
          <w:rFonts w:cs="Arial"/>
          <w:color w:val="000000"/>
          <w:sz w:val="16"/>
        </w:rPr>
      </w:pPr>
    </w:p>
    <w:p w:rsidR="00A1690E" w:rsidRDefault="008F16BF" w:rsidP="00A1690E">
      <w:pPr>
        <w:keepNext/>
        <w:rPr>
          <w:rFonts w:cs="Arial"/>
        </w:rPr>
      </w:pPr>
      <w:r w:rsidRPr="004A69D5">
        <w:rPr>
          <w:rFonts w:cs="Arial"/>
        </w:rPr>
        <w:fldChar w:fldCharType="begin"/>
      </w:r>
      <w:r w:rsidR="00A1690E" w:rsidRPr="004A69D5">
        <w:rPr>
          <w:rFonts w:cs="Arial"/>
        </w:rPr>
        <w:instrText xml:space="preserve"> AUTONUM  </w:instrText>
      </w:r>
      <w:r w:rsidRPr="004A69D5">
        <w:rPr>
          <w:rFonts w:cs="Arial"/>
        </w:rPr>
        <w:fldChar w:fldCharType="end"/>
      </w:r>
      <w:r w:rsidR="00A1690E">
        <w:tab/>
        <w:t>Die Anzahl der Teilnehmer an den vorbereitenden Arbeitstagungen im Jahre 2013 betrug (</w:t>
      </w:r>
      <w:r w:rsidR="006A5874">
        <w:t>einschließlich</w:t>
      </w:r>
      <w:r w:rsidR="00A1690E">
        <w:t xml:space="preserve"> örtliche Teilnehmer):</w:t>
      </w:r>
    </w:p>
    <w:p w:rsidR="00F43A3F" w:rsidRDefault="00F43A3F" w:rsidP="00A1690E">
      <w:pPr>
        <w:keepNext/>
        <w:rPr>
          <w:rFonts w:cs="Arial"/>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1276"/>
      </w:tblGrid>
      <w:tr w:rsidR="008D2B6E" w:rsidRPr="004A69D5" w:rsidTr="0045361B">
        <w:tc>
          <w:tcPr>
            <w:tcW w:w="3686" w:type="dxa"/>
          </w:tcPr>
          <w:p w:rsidR="008D2B6E" w:rsidRPr="004A69D5" w:rsidRDefault="008D2B6E" w:rsidP="0045361B">
            <w:pPr>
              <w:keepNext/>
              <w:tabs>
                <w:tab w:val="left" w:pos="690"/>
              </w:tabs>
              <w:spacing w:before="40" w:after="40"/>
              <w:jc w:val="left"/>
              <w:rPr>
                <w:rFonts w:cs="Arial"/>
              </w:rPr>
            </w:pPr>
            <w:r>
              <w:t xml:space="preserve">TWA </w:t>
            </w:r>
            <w:r>
              <w:tab/>
              <w:t xml:space="preserve">(Ukraine): </w:t>
            </w:r>
          </w:p>
        </w:tc>
        <w:tc>
          <w:tcPr>
            <w:tcW w:w="1276" w:type="dxa"/>
          </w:tcPr>
          <w:p w:rsidR="008D2B6E" w:rsidRPr="007070D3" w:rsidRDefault="008D2B6E" w:rsidP="0045361B">
            <w:pPr>
              <w:jc w:val="center"/>
              <w:rPr>
                <w:rFonts w:cs="Arial"/>
                <w:color w:val="000000"/>
                <w:sz w:val="18"/>
                <w:szCs w:val="18"/>
              </w:rPr>
            </w:pPr>
            <w:r>
              <w:rPr>
                <w:color w:val="000000"/>
                <w:sz w:val="18"/>
                <w:szCs w:val="18"/>
              </w:rPr>
              <w:t>34</w:t>
            </w:r>
          </w:p>
        </w:tc>
      </w:tr>
      <w:tr w:rsidR="008D2B6E" w:rsidRPr="004A69D5" w:rsidTr="0045361B">
        <w:tc>
          <w:tcPr>
            <w:tcW w:w="3686" w:type="dxa"/>
          </w:tcPr>
          <w:p w:rsidR="008D2B6E" w:rsidRPr="004A69D5" w:rsidRDefault="008D2B6E" w:rsidP="0045361B">
            <w:pPr>
              <w:keepNext/>
              <w:tabs>
                <w:tab w:val="left" w:pos="690"/>
                <w:tab w:val="left" w:pos="1276"/>
              </w:tabs>
              <w:spacing w:before="40" w:after="40"/>
              <w:jc w:val="left"/>
              <w:rPr>
                <w:rFonts w:cs="Arial"/>
              </w:rPr>
            </w:pPr>
            <w:r>
              <w:t>TWC</w:t>
            </w:r>
            <w:r>
              <w:tab/>
              <w:t xml:space="preserve">(Republik Korea): </w:t>
            </w:r>
          </w:p>
        </w:tc>
        <w:tc>
          <w:tcPr>
            <w:tcW w:w="1276" w:type="dxa"/>
          </w:tcPr>
          <w:p w:rsidR="008D2B6E" w:rsidRPr="007070D3" w:rsidRDefault="008D2B6E" w:rsidP="0045361B">
            <w:pPr>
              <w:jc w:val="center"/>
              <w:rPr>
                <w:rFonts w:cs="Arial"/>
                <w:color w:val="000000"/>
                <w:sz w:val="18"/>
                <w:szCs w:val="18"/>
              </w:rPr>
            </w:pPr>
            <w:r>
              <w:rPr>
                <w:color w:val="000000"/>
                <w:sz w:val="18"/>
                <w:szCs w:val="18"/>
              </w:rPr>
              <w:t>23</w:t>
            </w:r>
          </w:p>
        </w:tc>
      </w:tr>
      <w:tr w:rsidR="008D2B6E" w:rsidRPr="004A69D5" w:rsidTr="0045361B">
        <w:tc>
          <w:tcPr>
            <w:tcW w:w="3686" w:type="dxa"/>
          </w:tcPr>
          <w:p w:rsidR="008D2B6E" w:rsidRPr="004A69D5" w:rsidRDefault="008D2B6E" w:rsidP="0045361B">
            <w:pPr>
              <w:keepNext/>
              <w:tabs>
                <w:tab w:val="left" w:pos="690"/>
                <w:tab w:val="left" w:pos="1276"/>
              </w:tabs>
              <w:spacing w:before="40" w:after="40"/>
              <w:jc w:val="left"/>
              <w:rPr>
                <w:rFonts w:cs="Arial"/>
              </w:rPr>
            </w:pPr>
            <w:r>
              <w:t>TWF</w:t>
            </w:r>
            <w:r>
              <w:tab/>
              <w:t xml:space="preserve">(Neuseeland): </w:t>
            </w:r>
          </w:p>
        </w:tc>
        <w:tc>
          <w:tcPr>
            <w:tcW w:w="1276" w:type="dxa"/>
          </w:tcPr>
          <w:p w:rsidR="008D2B6E" w:rsidRPr="007070D3" w:rsidRDefault="008D2B6E" w:rsidP="0045361B">
            <w:pPr>
              <w:jc w:val="center"/>
              <w:rPr>
                <w:rFonts w:cs="Arial"/>
                <w:color w:val="000000"/>
                <w:sz w:val="18"/>
                <w:szCs w:val="18"/>
              </w:rPr>
            </w:pPr>
            <w:r>
              <w:rPr>
                <w:color w:val="000000"/>
                <w:sz w:val="18"/>
                <w:szCs w:val="18"/>
              </w:rPr>
              <w:t>34</w:t>
            </w:r>
          </w:p>
        </w:tc>
      </w:tr>
      <w:tr w:rsidR="008D2B6E" w:rsidRPr="004A69D5" w:rsidTr="0045361B">
        <w:tc>
          <w:tcPr>
            <w:tcW w:w="3686" w:type="dxa"/>
          </w:tcPr>
          <w:p w:rsidR="008D2B6E" w:rsidRPr="004A69D5" w:rsidRDefault="008D2B6E" w:rsidP="0045361B">
            <w:pPr>
              <w:keepNext/>
              <w:tabs>
                <w:tab w:val="left" w:pos="690"/>
                <w:tab w:val="left" w:pos="1276"/>
              </w:tabs>
              <w:spacing w:before="40" w:after="40"/>
              <w:jc w:val="left"/>
              <w:rPr>
                <w:rFonts w:cs="Arial"/>
              </w:rPr>
            </w:pPr>
            <w:r>
              <w:t>TWO</w:t>
            </w:r>
            <w:r>
              <w:tab/>
              <w:t xml:space="preserve">(Australien): </w:t>
            </w:r>
          </w:p>
        </w:tc>
        <w:tc>
          <w:tcPr>
            <w:tcW w:w="1276" w:type="dxa"/>
          </w:tcPr>
          <w:p w:rsidR="008D2B6E" w:rsidRPr="007070D3" w:rsidRDefault="008D2B6E" w:rsidP="0045361B">
            <w:pPr>
              <w:jc w:val="center"/>
              <w:rPr>
                <w:rFonts w:cs="Arial"/>
                <w:color w:val="000000"/>
                <w:sz w:val="18"/>
                <w:szCs w:val="18"/>
              </w:rPr>
            </w:pPr>
            <w:r>
              <w:rPr>
                <w:color w:val="000000"/>
                <w:sz w:val="18"/>
                <w:szCs w:val="18"/>
              </w:rPr>
              <w:t>29</w:t>
            </w:r>
          </w:p>
        </w:tc>
      </w:tr>
      <w:tr w:rsidR="008D2B6E" w:rsidRPr="004A69D5" w:rsidTr="0045361B">
        <w:tc>
          <w:tcPr>
            <w:tcW w:w="3686" w:type="dxa"/>
          </w:tcPr>
          <w:p w:rsidR="008D2B6E" w:rsidRPr="004A69D5" w:rsidRDefault="008D2B6E" w:rsidP="0045361B">
            <w:pPr>
              <w:keepNext/>
              <w:tabs>
                <w:tab w:val="left" w:pos="690"/>
                <w:tab w:val="left" w:pos="1276"/>
              </w:tabs>
              <w:spacing w:before="40" w:after="40"/>
              <w:jc w:val="left"/>
              <w:rPr>
                <w:rFonts w:cs="Arial"/>
              </w:rPr>
            </w:pPr>
            <w:r>
              <w:t>TWV</w:t>
            </w:r>
            <w:r>
              <w:tab/>
              <w:t xml:space="preserve">(Japan): </w:t>
            </w:r>
          </w:p>
        </w:tc>
        <w:tc>
          <w:tcPr>
            <w:tcW w:w="1276" w:type="dxa"/>
          </w:tcPr>
          <w:p w:rsidR="008D2B6E" w:rsidRPr="007070D3" w:rsidRDefault="008D2B6E" w:rsidP="0045361B">
            <w:pPr>
              <w:jc w:val="center"/>
              <w:rPr>
                <w:rFonts w:cs="Arial"/>
                <w:color w:val="000000"/>
                <w:sz w:val="18"/>
                <w:szCs w:val="18"/>
              </w:rPr>
            </w:pPr>
            <w:r>
              <w:rPr>
                <w:color w:val="000000"/>
                <w:sz w:val="18"/>
                <w:szCs w:val="18"/>
              </w:rPr>
              <w:t>21</w:t>
            </w:r>
          </w:p>
        </w:tc>
      </w:tr>
      <w:tr w:rsidR="008D2B6E" w:rsidRPr="004A69D5" w:rsidTr="0045361B">
        <w:tc>
          <w:tcPr>
            <w:tcW w:w="3686" w:type="dxa"/>
          </w:tcPr>
          <w:p w:rsidR="008D2B6E" w:rsidRPr="004A69D5" w:rsidRDefault="008D2B6E" w:rsidP="0045361B">
            <w:pPr>
              <w:keepNext/>
              <w:tabs>
                <w:tab w:val="left" w:pos="690"/>
                <w:tab w:val="left" w:pos="1276"/>
              </w:tabs>
              <w:spacing w:before="40" w:after="40"/>
              <w:jc w:val="left"/>
              <w:rPr>
                <w:rFonts w:cs="Arial"/>
              </w:rPr>
            </w:pPr>
            <w:r>
              <w:t>BMT</w:t>
            </w:r>
          </w:p>
        </w:tc>
        <w:tc>
          <w:tcPr>
            <w:tcW w:w="1276" w:type="dxa"/>
          </w:tcPr>
          <w:p w:rsidR="008D2B6E" w:rsidRDefault="008D2B6E" w:rsidP="0045361B">
            <w:pPr>
              <w:jc w:val="center"/>
              <w:rPr>
                <w:rFonts w:cs="Arial"/>
                <w:color w:val="000000"/>
                <w:sz w:val="18"/>
                <w:szCs w:val="18"/>
              </w:rPr>
            </w:pPr>
            <w:r>
              <w:rPr>
                <w:color w:val="000000"/>
                <w:sz w:val="18"/>
                <w:szCs w:val="18"/>
              </w:rPr>
              <w:t>keine Tagung</w:t>
            </w:r>
          </w:p>
        </w:tc>
      </w:tr>
    </w:tbl>
    <w:p w:rsidR="008D2B6E" w:rsidRPr="004A69D5" w:rsidRDefault="008D2B6E" w:rsidP="00A1690E">
      <w:pPr>
        <w:keepNext/>
        <w:rPr>
          <w:rFonts w:cs="Arial"/>
        </w:rPr>
      </w:pPr>
    </w:p>
    <w:p w:rsidR="00FF61F4" w:rsidRPr="007D0071" w:rsidRDefault="008F16BF" w:rsidP="00F43A3F">
      <w:pPr>
        <w:rPr>
          <w:rFonts w:cs="Arial"/>
        </w:rPr>
      </w:pPr>
      <w:r w:rsidRPr="004A69D5">
        <w:rPr>
          <w:rFonts w:cs="Arial"/>
        </w:rPr>
        <w:fldChar w:fldCharType="begin"/>
      </w:r>
      <w:r w:rsidR="00FF61F4" w:rsidRPr="004A69D5">
        <w:rPr>
          <w:rFonts w:cs="Arial"/>
        </w:rPr>
        <w:instrText xml:space="preserve"> AUTONUM  </w:instrText>
      </w:r>
      <w:r w:rsidRPr="004A69D5">
        <w:rPr>
          <w:rFonts w:cs="Arial"/>
        </w:rPr>
        <w:fldChar w:fldCharType="end"/>
      </w:r>
      <w:r w:rsidR="00FF61F4">
        <w:tab/>
        <w:t xml:space="preserve">Unter den Teilnehmern der vorbereitenden Arbeitstagungen im Jahr 2013 wurde eine Befragung durchgeführt, um Erkenntnisse betreffend die Effektivität der Tagung zu gewinnen. Das Ergebnis der Befragung und mögliche Mittel zur Steigerung der Effektivität der vorbereitenden Arbeitstagungen werden in Dokument TC/50/36 </w:t>
      </w:r>
      <w:r w:rsidR="008D2B6E">
        <w:t>„</w:t>
      </w:r>
      <w:r w:rsidR="00FF61F4">
        <w:t>Verbesserung der Effektivität des Technischen Ausschusses, der Technischen Arbeitsgruppen sowie der vorbereitenden Arbeitstagungen</w:t>
      </w:r>
      <w:r w:rsidR="008D2B6E">
        <w:t>“</w:t>
      </w:r>
      <w:r w:rsidR="00FF61F4">
        <w:t xml:space="preserve"> ausgeführt.</w:t>
      </w:r>
    </w:p>
    <w:p w:rsidR="00A1690E" w:rsidRDefault="00A1690E" w:rsidP="00FF61F4">
      <w:pPr>
        <w:tabs>
          <w:tab w:val="left" w:pos="1276"/>
        </w:tabs>
        <w:rPr>
          <w:rFonts w:cs="Arial"/>
        </w:rPr>
      </w:pPr>
    </w:p>
    <w:p w:rsidR="00A1690E" w:rsidRPr="00362D68" w:rsidRDefault="00A1690E" w:rsidP="00A1690E">
      <w:pPr>
        <w:pStyle w:val="Heading6"/>
        <w:keepNext w:val="0"/>
        <w:rPr>
          <w:rFonts w:ascii="Arial" w:hAnsi="Arial" w:cs="Arial"/>
          <w:i w:val="0"/>
          <w:sz w:val="20"/>
          <w:szCs w:val="20"/>
          <w:u w:val="single"/>
        </w:rPr>
      </w:pPr>
      <w:r>
        <w:rPr>
          <w:rFonts w:ascii="Arial" w:hAnsi="Arial"/>
          <w:i w:val="0"/>
          <w:sz w:val="20"/>
          <w:szCs w:val="20"/>
          <w:u w:val="single"/>
        </w:rPr>
        <w:t>Programm für die vorbereitenden Arbeitstagungen im Jahre 2014</w:t>
      </w:r>
    </w:p>
    <w:p w:rsidR="00A1690E" w:rsidRDefault="00A1690E" w:rsidP="00A1690E">
      <w:pPr>
        <w:rPr>
          <w:rFonts w:cs="Arial"/>
          <w:i/>
        </w:rPr>
      </w:pPr>
    </w:p>
    <w:p w:rsidR="00A1690E" w:rsidRDefault="008F16BF" w:rsidP="00A1690E">
      <w:pPr>
        <w:rPr>
          <w:rFonts w:cs="Arial"/>
        </w:rPr>
      </w:pPr>
      <w:r w:rsidRPr="004A69D5">
        <w:rPr>
          <w:rFonts w:cs="Arial"/>
        </w:rPr>
        <w:fldChar w:fldCharType="begin"/>
      </w:r>
      <w:r w:rsidR="00A1690E" w:rsidRPr="004A69D5">
        <w:rPr>
          <w:rFonts w:cs="Arial"/>
        </w:rPr>
        <w:instrText xml:space="preserve"> AUTONUM  </w:instrText>
      </w:r>
      <w:r w:rsidRPr="004A69D5">
        <w:rPr>
          <w:rFonts w:cs="Arial"/>
        </w:rPr>
        <w:fldChar w:fldCharType="end"/>
      </w:r>
      <w:r w:rsidR="00A1690E">
        <w:tab/>
        <w:t>Es wird vorgeschlagen, in V</w:t>
      </w:r>
      <w:r w:rsidR="006A5874">
        <w:t xml:space="preserve">erbindung mit den Tagungen der </w:t>
      </w:r>
      <w:r w:rsidR="008F1A1C">
        <w:t>TWA, TWF, TWO und TWV im Jahr </w:t>
      </w:r>
      <w:r w:rsidR="00A1690E">
        <w:t>2014 gemäß folgendem Programm eine halbtägige vorbereitende Arbeitstagung abzuhalten:</w:t>
      </w:r>
    </w:p>
    <w:p w:rsidR="00A1690E" w:rsidRPr="004A69D5" w:rsidRDefault="00A1690E" w:rsidP="00A1690E">
      <w:pPr>
        <w:rPr>
          <w:rFonts w:cs="Arial"/>
        </w:rPr>
      </w:pPr>
      <w:r>
        <w:t xml:space="preserve">  </w:t>
      </w:r>
    </w:p>
    <w:p w:rsidR="00A1690E" w:rsidRPr="007953E6" w:rsidRDefault="00A1690E" w:rsidP="00033BE0">
      <w:pPr>
        <w:numPr>
          <w:ilvl w:val="0"/>
          <w:numId w:val="7"/>
        </w:numPr>
        <w:spacing w:after="120"/>
        <w:rPr>
          <w:rFonts w:cs="Arial"/>
        </w:rPr>
      </w:pPr>
      <w:r>
        <w:t>Einführung zur UPOV und Rolle der Technischen Arbeitsgruppen (TWP) der UPOV</w:t>
      </w:r>
    </w:p>
    <w:p w:rsidR="00A1690E" w:rsidRPr="007953E6" w:rsidRDefault="00A1690E" w:rsidP="00033BE0">
      <w:pPr>
        <w:numPr>
          <w:ilvl w:val="0"/>
          <w:numId w:val="7"/>
        </w:numPr>
        <w:spacing w:after="120"/>
        <w:rPr>
          <w:rFonts w:cs="Arial"/>
        </w:rPr>
      </w:pPr>
      <w:r>
        <w:t>Überblick über die Allgemeine Einführung (Dokument TG/1/3 und TGP-Dokumente)</w:t>
      </w:r>
    </w:p>
    <w:p w:rsidR="00A1690E" w:rsidRPr="007953E6" w:rsidRDefault="00A1690E" w:rsidP="00A1690E">
      <w:pPr>
        <w:numPr>
          <w:ilvl w:val="0"/>
          <w:numId w:val="6"/>
        </w:numPr>
        <w:spacing w:after="120"/>
        <w:rPr>
          <w:rFonts w:cs="Arial"/>
        </w:rPr>
      </w:pPr>
      <w:r>
        <w:t>Merkmale als Grundlage der DUS-Prüfung und Auswahl von Merkmalen</w:t>
      </w:r>
    </w:p>
    <w:p w:rsidR="00A1690E" w:rsidRPr="007953E6" w:rsidRDefault="00A1690E" w:rsidP="00033BE0">
      <w:pPr>
        <w:numPr>
          <w:ilvl w:val="0"/>
          <w:numId w:val="7"/>
        </w:numPr>
        <w:spacing w:after="120"/>
        <w:rPr>
          <w:rFonts w:cs="Arial"/>
        </w:rPr>
      </w:pPr>
      <w:r>
        <w:t xml:space="preserve">Anleitung zur Erstellung von Prüfungsrichtlinien (Dokument TGP/7) </w:t>
      </w:r>
    </w:p>
    <w:p w:rsidR="00A1690E" w:rsidRPr="007953E6" w:rsidRDefault="00A1690E" w:rsidP="00267815">
      <w:pPr>
        <w:numPr>
          <w:ilvl w:val="0"/>
          <w:numId w:val="8"/>
        </w:numPr>
        <w:spacing w:before="60" w:after="60"/>
        <w:rPr>
          <w:rFonts w:cs="Arial"/>
        </w:rPr>
      </w:pPr>
      <w:r>
        <w:t>Anwendung der Prüfungsrichtlinien, Anforderungen an das Vermehrungsmaterial und Durchführung der Prüfung</w:t>
      </w:r>
    </w:p>
    <w:p w:rsidR="00A1690E" w:rsidRPr="007953E6" w:rsidRDefault="00A1690E" w:rsidP="00267815">
      <w:pPr>
        <w:numPr>
          <w:ilvl w:val="0"/>
          <w:numId w:val="8"/>
        </w:numPr>
        <w:spacing w:before="60" w:after="60"/>
        <w:rPr>
          <w:rFonts w:cs="Arial"/>
        </w:rPr>
      </w:pPr>
      <w:r>
        <w:t xml:space="preserve">Beobachtungsmethode </w:t>
      </w:r>
      <w:r w:rsidR="008F1A1C">
        <w:t>(MS, MG, VS, VG)</w:t>
      </w:r>
    </w:p>
    <w:p w:rsidR="00A1690E" w:rsidRPr="007953E6" w:rsidRDefault="00A1690E" w:rsidP="00267815">
      <w:pPr>
        <w:numPr>
          <w:ilvl w:val="0"/>
          <w:numId w:val="8"/>
        </w:numPr>
        <w:tabs>
          <w:tab w:val="left" w:pos="567"/>
          <w:tab w:val="left" w:pos="1134"/>
          <w:tab w:val="left" w:pos="2268"/>
          <w:tab w:val="left" w:pos="2835"/>
          <w:tab w:val="left" w:pos="3402"/>
          <w:tab w:val="left" w:pos="3969"/>
          <w:tab w:val="left" w:pos="4536"/>
          <w:tab w:val="center" w:pos="5386"/>
        </w:tabs>
        <w:spacing w:before="60" w:after="60"/>
        <w:rPr>
          <w:rFonts w:cs="Arial"/>
        </w:rPr>
      </w:pPr>
      <w:r>
        <w:t>Ausprägungstypen (QL, QN, PQ), Noten und Unterscheidbarkeit</w:t>
      </w:r>
    </w:p>
    <w:p w:rsidR="00A1690E" w:rsidRPr="007953E6" w:rsidRDefault="00A1690E" w:rsidP="00267815">
      <w:pPr>
        <w:numPr>
          <w:ilvl w:val="0"/>
          <w:numId w:val="8"/>
        </w:numPr>
        <w:spacing w:before="60" w:after="60"/>
        <w:rPr>
          <w:rFonts w:cs="Arial"/>
        </w:rPr>
      </w:pPr>
      <w:r>
        <w:t>Form- und Farbmerkmale</w:t>
      </w:r>
    </w:p>
    <w:p w:rsidR="00A1690E" w:rsidRPr="007953E6" w:rsidRDefault="00A1690E" w:rsidP="00267815">
      <w:pPr>
        <w:numPr>
          <w:ilvl w:val="0"/>
          <w:numId w:val="8"/>
        </w:numPr>
        <w:spacing w:before="60" w:after="60"/>
        <w:rPr>
          <w:rFonts w:cs="Arial"/>
        </w:rPr>
      </w:pPr>
      <w:r>
        <w:t>Beispielssorten</w:t>
      </w:r>
    </w:p>
    <w:p w:rsidR="00A1690E" w:rsidRPr="007953E6" w:rsidRDefault="00A1690E" w:rsidP="00267815">
      <w:pPr>
        <w:numPr>
          <w:ilvl w:val="0"/>
          <w:numId w:val="8"/>
        </w:numPr>
        <w:spacing w:before="60" w:after="60"/>
        <w:rPr>
          <w:rFonts w:cs="Arial"/>
        </w:rPr>
      </w:pPr>
      <w:r>
        <w:t>Verfahren zur Erstellung von UPOV-Prüfungsrichtlinien, einschließlich: TG</w:t>
      </w:r>
      <w:r w:rsidR="008D2B6E">
        <w:noBreakHyphen/>
      </w:r>
      <w:r>
        <w:t>Mustervorlage; Zusätzlicher Standardwortlaut (Additional Standard Wording); und Anleitungen;</w:t>
      </w:r>
    </w:p>
    <w:p w:rsidR="00A1690E" w:rsidRPr="007953E6" w:rsidRDefault="00A1690E" w:rsidP="00033BE0">
      <w:pPr>
        <w:numPr>
          <w:ilvl w:val="0"/>
          <w:numId w:val="7"/>
        </w:numPr>
        <w:spacing w:after="120"/>
        <w:rPr>
          <w:rFonts w:cs="Arial"/>
        </w:rPr>
      </w:pPr>
      <w:r>
        <w:t>Tagesordnung für die TWP-Tagung</w:t>
      </w:r>
    </w:p>
    <w:p w:rsidR="00A1690E" w:rsidRPr="007953E6" w:rsidRDefault="00A1690E" w:rsidP="00033BE0">
      <w:pPr>
        <w:numPr>
          <w:ilvl w:val="0"/>
          <w:numId w:val="7"/>
        </w:numPr>
        <w:rPr>
          <w:rFonts w:cs="Arial"/>
        </w:rPr>
      </w:pPr>
      <w:r>
        <w:t>Feedback der Teilnehmer</w:t>
      </w:r>
    </w:p>
    <w:p w:rsidR="00551141" w:rsidRDefault="00551141">
      <w:pPr>
        <w:jc w:val="left"/>
        <w:rPr>
          <w:rFonts w:cs="Arial"/>
        </w:rPr>
      </w:pPr>
      <w:r>
        <w:br w:type="page"/>
      </w:r>
    </w:p>
    <w:p w:rsidR="00A1690E" w:rsidRDefault="00A1690E" w:rsidP="00A1690E">
      <w:pPr>
        <w:rPr>
          <w:rFonts w:cs="Arial"/>
        </w:rPr>
      </w:pPr>
    </w:p>
    <w:p w:rsidR="00A1690E" w:rsidRPr="00F51858" w:rsidRDefault="008F16BF" w:rsidP="00A1690E">
      <w:pPr>
        <w:rPr>
          <w:rFonts w:cs="Arial"/>
        </w:rPr>
      </w:pPr>
      <w:r w:rsidRPr="00F51858">
        <w:rPr>
          <w:rFonts w:cs="Arial"/>
        </w:rPr>
        <w:fldChar w:fldCharType="begin"/>
      </w:r>
      <w:r w:rsidR="00A1690E" w:rsidRPr="00F51858">
        <w:rPr>
          <w:rFonts w:cs="Arial"/>
        </w:rPr>
        <w:instrText xml:space="preserve"> AUTONUM  </w:instrText>
      </w:r>
      <w:r w:rsidRPr="00F51858">
        <w:rPr>
          <w:rFonts w:cs="Arial"/>
        </w:rPr>
        <w:fldChar w:fldCharType="end"/>
      </w:r>
      <w:r w:rsidR="00A1690E">
        <w:tab/>
        <w:t xml:space="preserve">Es wird vorgeschlagen, in Verbindung mit </w:t>
      </w:r>
      <w:r w:rsidR="006A5874">
        <w:t xml:space="preserve">der </w:t>
      </w:r>
      <w:r w:rsidR="00A1690E">
        <w:t xml:space="preserve">Tagung der TWC im Jahr 2014 </w:t>
      </w:r>
      <w:r w:rsidR="006A5874">
        <w:t xml:space="preserve">eine halbtägige vorbereitende Arbeitstagung </w:t>
      </w:r>
      <w:r w:rsidR="00A1690E">
        <w:t>gemäß folgendem Programm abzuhalten:</w:t>
      </w:r>
    </w:p>
    <w:p w:rsidR="00A1690E" w:rsidRPr="00F51858" w:rsidRDefault="00A1690E" w:rsidP="00A1690E">
      <w:pPr>
        <w:rPr>
          <w:rFonts w:cs="Arial"/>
        </w:rPr>
      </w:pPr>
    </w:p>
    <w:p w:rsidR="00F51858" w:rsidRPr="00F51858" w:rsidRDefault="00A1690E" w:rsidP="00F51858">
      <w:pPr>
        <w:numPr>
          <w:ilvl w:val="0"/>
          <w:numId w:val="4"/>
        </w:numPr>
        <w:tabs>
          <w:tab w:val="clear" w:pos="1704"/>
          <w:tab w:val="num" w:pos="1134"/>
        </w:tabs>
        <w:spacing w:after="120"/>
        <w:ind w:left="1134" w:hanging="567"/>
        <w:rPr>
          <w:rFonts w:cs="Arial"/>
        </w:rPr>
      </w:pPr>
      <w:r>
        <w:t>Einführung zur UPOV und Rolle der Technischen Arbeitsgruppen (TWP) der UPOV</w:t>
      </w:r>
    </w:p>
    <w:p w:rsidR="00F51858" w:rsidRPr="00F51858" w:rsidRDefault="00F51858" w:rsidP="00F51858">
      <w:pPr>
        <w:numPr>
          <w:ilvl w:val="0"/>
          <w:numId w:val="4"/>
        </w:numPr>
        <w:tabs>
          <w:tab w:val="clear" w:pos="1704"/>
          <w:tab w:val="num" w:pos="1134"/>
        </w:tabs>
        <w:spacing w:after="120"/>
        <w:ind w:left="1134" w:hanging="567"/>
        <w:rPr>
          <w:rFonts w:cs="Arial"/>
        </w:rPr>
      </w:pPr>
      <w:r>
        <w:t>Überblick über die Allgemeine Einführung (Dokument TG/1/3 und TGP-Dokumente)</w:t>
      </w:r>
    </w:p>
    <w:p w:rsidR="00A1690E" w:rsidRPr="00F51858" w:rsidRDefault="00A1690E" w:rsidP="00A1690E">
      <w:pPr>
        <w:numPr>
          <w:ilvl w:val="0"/>
          <w:numId w:val="4"/>
        </w:numPr>
        <w:tabs>
          <w:tab w:val="clear" w:pos="1704"/>
          <w:tab w:val="num" w:pos="1134"/>
        </w:tabs>
        <w:spacing w:after="120"/>
        <w:ind w:left="1134" w:hanging="567"/>
        <w:rPr>
          <w:rFonts w:cs="Arial"/>
        </w:rPr>
      </w:pPr>
      <w:r>
        <w:t>Überblick über DUS-Prüfungen und Prüfungsrichtlinien</w:t>
      </w:r>
    </w:p>
    <w:p w:rsidR="00A1690E" w:rsidRPr="00F51858" w:rsidRDefault="00A1690E" w:rsidP="00A1690E">
      <w:pPr>
        <w:numPr>
          <w:ilvl w:val="2"/>
          <w:numId w:val="4"/>
        </w:numPr>
        <w:tabs>
          <w:tab w:val="clear" w:pos="3102"/>
          <w:tab w:val="num" w:pos="1701"/>
        </w:tabs>
        <w:spacing w:after="120"/>
        <w:ind w:left="1701" w:hanging="567"/>
        <w:rPr>
          <w:rFonts w:cs="Arial"/>
        </w:rPr>
      </w:pPr>
      <w:r>
        <w:t xml:space="preserve">Erfassungsmethode und Art der Eintragung (MS, MG, VS, VG); </w:t>
      </w:r>
    </w:p>
    <w:p w:rsidR="00A1690E" w:rsidRPr="00F51858" w:rsidRDefault="00A1690E" w:rsidP="00A1690E">
      <w:pPr>
        <w:numPr>
          <w:ilvl w:val="2"/>
          <w:numId w:val="4"/>
        </w:numPr>
        <w:tabs>
          <w:tab w:val="clear" w:pos="3102"/>
          <w:tab w:val="num" w:pos="1701"/>
        </w:tabs>
        <w:spacing w:after="120"/>
        <w:ind w:left="1701" w:hanging="567"/>
        <w:rPr>
          <w:rFonts w:cs="Arial"/>
        </w:rPr>
      </w:pPr>
      <w:r>
        <w:t xml:space="preserve">Ausprägungstypen von Merkmalen (QL, PQ und QN) und Typen von Datenskalen </w:t>
      </w:r>
    </w:p>
    <w:p w:rsidR="00A1690E" w:rsidRPr="00F51858" w:rsidRDefault="00A1690E" w:rsidP="00A1690E">
      <w:pPr>
        <w:numPr>
          <w:ilvl w:val="0"/>
          <w:numId w:val="4"/>
        </w:numPr>
        <w:tabs>
          <w:tab w:val="clear" w:pos="1704"/>
          <w:tab w:val="num" w:pos="1134"/>
        </w:tabs>
        <w:spacing w:after="120"/>
        <w:ind w:left="1134" w:hanging="567"/>
        <w:rPr>
          <w:rFonts w:cs="Arial"/>
        </w:rPr>
      </w:pPr>
      <w:r>
        <w:t>Bildanalyse</w:t>
      </w:r>
    </w:p>
    <w:p w:rsidR="00A1690E" w:rsidRPr="00F51858" w:rsidRDefault="00A1690E" w:rsidP="00A1690E">
      <w:pPr>
        <w:spacing w:after="120"/>
        <w:ind w:left="567"/>
        <w:rPr>
          <w:rFonts w:cs="Arial"/>
        </w:rPr>
      </w:pPr>
      <w:r>
        <w:t>5.</w:t>
      </w:r>
      <w:r>
        <w:tab/>
        <w:t>UPOV-Website</w:t>
      </w:r>
    </w:p>
    <w:p w:rsidR="00A1690E" w:rsidRPr="00F51858" w:rsidRDefault="00A1690E" w:rsidP="00033BE0">
      <w:pPr>
        <w:numPr>
          <w:ilvl w:val="2"/>
          <w:numId w:val="7"/>
        </w:numPr>
        <w:spacing w:after="120"/>
        <w:ind w:left="1701" w:hanging="567"/>
        <w:rPr>
          <w:rFonts w:cs="Arial"/>
        </w:rPr>
      </w:pPr>
      <w:r>
        <w:t>Datenbanken (UPOV-Code, GENIE, PLUTO, Prüfungsrichtlinien und UPOV Lex)</w:t>
      </w:r>
    </w:p>
    <w:p w:rsidR="00A1690E" w:rsidRPr="00F51858" w:rsidRDefault="00A1690E" w:rsidP="00033BE0">
      <w:pPr>
        <w:numPr>
          <w:ilvl w:val="2"/>
          <w:numId w:val="7"/>
        </w:numPr>
        <w:spacing w:after="120"/>
        <w:ind w:left="1701" w:hanging="567"/>
        <w:rPr>
          <w:rFonts w:cs="Arial"/>
        </w:rPr>
      </w:pPr>
      <w:r>
        <w:t>Andere verfügbare Ressourcen (Veröffentlichungen, Mitglieder, Sammlung, Tagungskalender)</w:t>
      </w:r>
    </w:p>
    <w:p w:rsidR="00A1690E" w:rsidRPr="00F51858" w:rsidRDefault="00A1690E" w:rsidP="00A1690E">
      <w:pPr>
        <w:spacing w:after="120"/>
        <w:ind w:left="1134" w:hanging="567"/>
        <w:rPr>
          <w:rFonts w:cs="Arial"/>
        </w:rPr>
      </w:pPr>
      <w:r>
        <w:t>6.</w:t>
      </w:r>
      <w:r>
        <w:tab/>
        <w:t>Tagesordnung für die TWP-Tagung</w:t>
      </w:r>
    </w:p>
    <w:p w:rsidR="00A1690E" w:rsidRPr="00F51858" w:rsidRDefault="00A1690E" w:rsidP="00A1690E">
      <w:pPr>
        <w:ind w:firstLine="567"/>
        <w:rPr>
          <w:rFonts w:cs="Arial"/>
        </w:rPr>
      </w:pPr>
      <w:r>
        <w:t>7.</w:t>
      </w:r>
      <w:r>
        <w:tab/>
        <w:t>Feedback der Teilnehmer</w:t>
      </w:r>
    </w:p>
    <w:p w:rsidR="00A1690E" w:rsidRPr="00F51858" w:rsidRDefault="00A1690E" w:rsidP="00A1690E">
      <w:pPr>
        <w:rPr>
          <w:rFonts w:cs="Arial"/>
        </w:rPr>
      </w:pPr>
    </w:p>
    <w:p w:rsidR="00A62BD0" w:rsidRPr="00F51858" w:rsidRDefault="008F16BF" w:rsidP="00A62BD0">
      <w:pPr>
        <w:rPr>
          <w:rFonts w:cs="Arial"/>
        </w:rPr>
      </w:pPr>
      <w:r w:rsidRPr="00F51858">
        <w:rPr>
          <w:rFonts w:cs="Arial"/>
        </w:rPr>
        <w:fldChar w:fldCharType="begin"/>
      </w:r>
      <w:r w:rsidR="00A62BD0" w:rsidRPr="00F51858">
        <w:rPr>
          <w:rFonts w:cs="Arial"/>
        </w:rPr>
        <w:instrText xml:space="preserve"> AUTONUM  </w:instrText>
      </w:r>
      <w:r w:rsidRPr="00F51858">
        <w:rPr>
          <w:rFonts w:cs="Arial"/>
        </w:rPr>
        <w:fldChar w:fldCharType="end"/>
      </w:r>
      <w:r w:rsidR="00A62BD0">
        <w:tab/>
        <w:t>Es wird vorgeschlagen, am 9. November in Verbindung mit der Tagung der BMT vom 10. bis 13.</w:t>
      </w:r>
      <w:r w:rsidR="008D2B6E">
        <w:t> </w:t>
      </w:r>
      <w:r w:rsidR="00A62BD0">
        <w:t>November 2014 in Seoul, Republik Korea</w:t>
      </w:r>
      <w:r w:rsidR="006A5874">
        <w:t>,</w:t>
      </w:r>
      <w:r w:rsidR="00A62BD0">
        <w:t xml:space="preserve"> </w:t>
      </w:r>
      <w:r w:rsidR="006A5874">
        <w:t xml:space="preserve">eine halbtägige vorbereitende Arbeitstagung </w:t>
      </w:r>
      <w:r w:rsidR="00A62BD0">
        <w:t xml:space="preserve">gemäß folgendem Programm abzuhalten: </w:t>
      </w:r>
    </w:p>
    <w:p w:rsidR="00267815" w:rsidRPr="00F51858" w:rsidRDefault="00267815" w:rsidP="00267815">
      <w:pPr>
        <w:rPr>
          <w:rFonts w:cs="Arial"/>
        </w:rPr>
      </w:pPr>
    </w:p>
    <w:p w:rsidR="00267815" w:rsidRPr="00F51858" w:rsidRDefault="00267815" w:rsidP="00267815">
      <w:pPr>
        <w:numPr>
          <w:ilvl w:val="0"/>
          <w:numId w:val="9"/>
        </w:numPr>
        <w:spacing w:after="120"/>
        <w:rPr>
          <w:rFonts w:cs="Arial"/>
        </w:rPr>
      </w:pPr>
      <w:r>
        <w:t>Einführung zur UPOV</w:t>
      </w:r>
    </w:p>
    <w:p w:rsidR="00267815" w:rsidRPr="00F51858" w:rsidRDefault="00267815" w:rsidP="00267815">
      <w:pPr>
        <w:numPr>
          <w:ilvl w:val="0"/>
          <w:numId w:val="9"/>
        </w:numPr>
        <w:spacing w:after="120"/>
        <w:rPr>
          <w:rFonts w:cs="Arial"/>
        </w:rPr>
      </w:pPr>
      <w:r>
        <w:t>Überblick über die Technischen Arbeitsgruppen (TWP)</w:t>
      </w:r>
    </w:p>
    <w:p w:rsidR="00267815" w:rsidRPr="00F51858" w:rsidRDefault="00267815" w:rsidP="00267815">
      <w:pPr>
        <w:numPr>
          <w:ilvl w:val="0"/>
          <w:numId w:val="9"/>
        </w:numPr>
        <w:spacing w:after="120"/>
        <w:rPr>
          <w:rFonts w:cs="Arial"/>
        </w:rPr>
      </w:pPr>
      <w:r>
        <w:t>Anleitung zur DUS-Prüfung</w:t>
      </w:r>
    </w:p>
    <w:p w:rsidR="00267815" w:rsidRPr="00F51858" w:rsidRDefault="00267815" w:rsidP="00267815">
      <w:pPr>
        <w:numPr>
          <w:ilvl w:val="0"/>
          <w:numId w:val="9"/>
        </w:numPr>
        <w:spacing w:after="120"/>
        <w:rPr>
          <w:rFonts w:cs="Arial"/>
        </w:rPr>
      </w:pPr>
      <w:r>
        <w:t>Rolle der TWP und der BMT</w:t>
      </w:r>
    </w:p>
    <w:p w:rsidR="00267815" w:rsidRPr="00F51858" w:rsidRDefault="00267815" w:rsidP="00267815">
      <w:pPr>
        <w:numPr>
          <w:ilvl w:val="0"/>
          <w:numId w:val="9"/>
        </w:numPr>
        <w:spacing w:after="120"/>
        <w:rPr>
          <w:rFonts w:cs="Arial"/>
        </w:rPr>
      </w:pPr>
      <w:r>
        <w:t>Lage in der UPOV hinsichtlich der etwaigen Anwendung m</w:t>
      </w:r>
      <w:r w:rsidR="008F1A1C">
        <w:t>olekularer Verfahren in der DUS</w:t>
      </w:r>
      <w:r w:rsidR="008F1A1C">
        <w:noBreakHyphen/>
      </w:r>
      <w:r>
        <w:t>Prüfung</w:t>
      </w:r>
    </w:p>
    <w:p w:rsidR="00267815" w:rsidRPr="00F51858" w:rsidRDefault="00267815" w:rsidP="00267815">
      <w:pPr>
        <w:numPr>
          <w:ilvl w:val="0"/>
          <w:numId w:val="9"/>
        </w:numPr>
        <w:spacing w:after="120"/>
        <w:rPr>
          <w:rFonts w:cs="Arial"/>
        </w:rPr>
      </w:pPr>
      <w:r>
        <w:t>Der Begriff der im wesentlichen abgeleiteten Sorten</w:t>
      </w:r>
    </w:p>
    <w:p w:rsidR="00267815" w:rsidRPr="00F51858" w:rsidRDefault="00267815" w:rsidP="00267815">
      <w:pPr>
        <w:numPr>
          <w:ilvl w:val="0"/>
          <w:numId w:val="9"/>
        </w:numPr>
        <w:spacing w:after="120"/>
        <w:rPr>
          <w:rFonts w:cs="Arial"/>
        </w:rPr>
      </w:pPr>
      <w:r>
        <w:t>Die Rolle der UPOV bei der Sortenidentifikation</w:t>
      </w:r>
    </w:p>
    <w:p w:rsidR="00267815" w:rsidRPr="00F51858" w:rsidRDefault="00267815" w:rsidP="00267815">
      <w:pPr>
        <w:numPr>
          <w:ilvl w:val="0"/>
          <w:numId w:val="9"/>
        </w:numPr>
        <w:spacing w:after="120"/>
        <w:rPr>
          <w:rFonts w:cs="Arial"/>
        </w:rPr>
      </w:pPr>
      <w:r>
        <w:t>Die UPOV-Website</w:t>
      </w:r>
    </w:p>
    <w:p w:rsidR="00267815" w:rsidRPr="00F51858" w:rsidRDefault="00267815" w:rsidP="00267815">
      <w:pPr>
        <w:numPr>
          <w:ilvl w:val="0"/>
          <w:numId w:val="9"/>
        </w:numPr>
        <w:spacing w:after="120"/>
        <w:rPr>
          <w:rFonts w:cs="Arial"/>
        </w:rPr>
      </w:pPr>
      <w:r>
        <w:t>Tagesordnung für die BMT-Tagung</w:t>
      </w:r>
    </w:p>
    <w:p w:rsidR="00A1690E" w:rsidRPr="007953E6" w:rsidRDefault="008F16BF" w:rsidP="00A1690E">
      <w:pPr>
        <w:pStyle w:val="DecisionParagraphs"/>
        <w:rPr>
          <w:rFonts w:cs="Arial"/>
        </w:rPr>
      </w:pPr>
      <w:r w:rsidRPr="007953E6">
        <w:rPr>
          <w:rFonts w:cs="Arial"/>
        </w:rPr>
        <w:fldChar w:fldCharType="begin"/>
      </w:r>
      <w:r w:rsidR="00A1690E" w:rsidRPr="007953E6">
        <w:rPr>
          <w:rFonts w:cs="Arial"/>
        </w:rPr>
        <w:instrText xml:space="preserve"> AUTONUM  </w:instrText>
      </w:r>
      <w:r w:rsidRPr="007953E6">
        <w:rPr>
          <w:rFonts w:cs="Arial"/>
        </w:rPr>
        <w:fldChar w:fldCharType="end"/>
      </w:r>
      <w:r w:rsidR="00A1690E">
        <w:tab/>
        <w:t>Der TC wird ersucht,</w:t>
      </w:r>
    </w:p>
    <w:p w:rsidR="00A1690E" w:rsidRPr="007953E6" w:rsidRDefault="00A1690E" w:rsidP="00A1690E">
      <w:pPr>
        <w:pStyle w:val="DecisionParagraphs"/>
        <w:rPr>
          <w:rFonts w:cs="Arial"/>
        </w:rPr>
      </w:pPr>
    </w:p>
    <w:p w:rsidR="00A1690E" w:rsidRDefault="00A1690E" w:rsidP="00A1690E">
      <w:pPr>
        <w:pStyle w:val="DecisionParagraphs"/>
        <w:numPr>
          <w:ilvl w:val="0"/>
          <w:numId w:val="1"/>
        </w:numPr>
        <w:tabs>
          <w:tab w:val="clear" w:pos="5387"/>
          <w:tab w:val="clear" w:pos="5960"/>
          <w:tab w:val="num" w:pos="4820"/>
        </w:tabs>
        <w:ind w:left="4820" w:firstLine="709"/>
        <w:rPr>
          <w:rFonts w:cs="Arial"/>
        </w:rPr>
      </w:pPr>
      <w:r>
        <w:t xml:space="preserve">den Bericht </w:t>
      </w:r>
      <w:r w:rsidR="008F1A1C">
        <w:t>über die</w:t>
      </w:r>
      <w:r>
        <w:t xml:space="preserve"> im Jahr 2013 abgehaltenen vorbereitenden Arbeitstagung</w:t>
      </w:r>
      <w:r w:rsidR="006A5874">
        <w:t>en</w:t>
      </w:r>
      <w:r>
        <w:t xml:space="preserve"> zur Kenntnis zu nehmen;</w:t>
      </w:r>
    </w:p>
    <w:p w:rsidR="00C11DDC" w:rsidRDefault="00C11DDC" w:rsidP="00C11DDC">
      <w:pPr>
        <w:pStyle w:val="DecisionParagraphs"/>
        <w:tabs>
          <w:tab w:val="clear" w:pos="5387"/>
        </w:tabs>
        <w:ind w:left="5529"/>
        <w:rPr>
          <w:rFonts w:cs="Arial"/>
        </w:rPr>
      </w:pPr>
    </w:p>
    <w:p w:rsidR="00FF61F4" w:rsidRPr="007953E6" w:rsidRDefault="00FF61F4" w:rsidP="00A1690E">
      <w:pPr>
        <w:pStyle w:val="DecisionParagraphs"/>
        <w:numPr>
          <w:ilvl w:val="0"/>
          <w:numId w:val="1"/>
        </w:numPr>
        <w:tabs>
          <w:tab w:val="clear" w:pos="5387"/>
          <w:tab w:val="clear" w:pos="5960"/>
          <w:tab w:val="num" w:pos="4820"/>
        </w:tabs>
        <w:ind w:left="4820" w:firstLine="709"/>
        <w:rPr>
          <w:rFonts w:cs="Arial"/>
        </w:rPr>
      </w:pPr>
      <w:r>
        <w:t>zur Kenntnis zu nehmen, da</w:t>
      </w:r>
      <w:r w:rsidR="008D2B6E">
        <w:rPr>
          <w:color w:val="000000"/>
        </w:rPr>
        <w:t>ß</w:t>
      </w:r>
      <w:r>
        <w:t xml:space="preserve"> </w:t>
      </w:r>
      <w:r w:rsidR="008D2B6E">
        <w:t xml:space="preserve">das </w:t>
      </w:r>
      <w:r>
        <w:t xml:space="preserve">Ergebnis der Befragung und mögliche Mittel zur Steigerung der Effektivität der vorbereitenden Arbeitstagungen in Dokument TC/50/36 ausgeführt werden; und </w:t>
      </w:r>
    </w:p>
    <w:p w:rsidR="00A1690E" w:rsidRPr="007953E6" w:rsidRDefault="00A1690E" w:rsidP="00A1690E">
      <w:pPr>
        <w:pStyle w:val="DecisionParagraphs"/>
        <w:tabs>
          <w:tab w:val="num" w:pos="4820"/>
        </w:tabs>
        <w:ind w:firstLine="709"/>
        <w:rPr>
          <w:rFonts w:cs="Arial"/>
        </w:rPr>
      </w:pPr>
    </w:p>
    <w:p w:rsidR="00A1690E" w:rsidRPr="007953E6" w:rsidRDefault="00A1690E" w:rsidP="007953E6">
      <w:pPr>
        <w:pStyle w:val="DecisionParagraphs"/>
        <w:numPr>
          <w:ilvl w:val="0"/>
          <w:numId w:val="1"/>
        </w:numPr>
        <w:tabs>
          <w:tab w:val="clear" w:pos="5960"/>
          <w:tab w:val="num" w:pos="4820"/>
          <w:tab w:val="num" w:pos="5387"/>
        </w:tabs>
        <w:ind w:left="4820" w:firstLine="709"/>
        <w:rPr>
          <w:rFonts w:cs="Arial"/>
        </w:rPr>
      </w:pPr>
      <w:r>
        <w:t xml:space="preserve">das vorgeschlagene Programm für die </w:t>
      </w:r>
      <w:r w:rsidR="008F1A1C">
        <w:t>v</w:t>
      </w:r>
      <w:r>
        <w:t>orbereitenden Arbeitstagungen für das Jahr 2014, wie in den Absätzen 10 bis 12</w:t>
      </w:r>
      <w:r w:rsidR="008F1A1C">
        <w:t xml:space="preserve"> dieses Dokuments</w:t>
      </w:r>
      <w:r>
        <w:t xml:space="preserve"> dargelegt</w:t>
      </w:r>
      <w:r w:rsidR="006A5874">
        <w:t>,</w:t>
      </w:r>
      <w:r>
        <w:t xml:space="preserve"> zu prüfen.</w:t>
      </w:r>
    </w:p>
    <w:p w:rsidR="00A1690E" w:rsidRDefault="00A1690E" w:rsidP="00A1690E">
      <w:pPr>
        <w:pStyle w:val="EndOfDoc0"/>
        <w:jc w:val="both"/>
        <w:rPr>
          <w:rFonts w:ascii="Arial" w:hAnsi="Arial" w:cs="Arial"/>
          <w:sz w:val="20"/>
        </w:rPr>
      </w:pPr>
    </w:p>
    <w:p w:rsidR="008F1A1C" w:rsidRDefault="008F1A1C" w:rsidP="00A1690E">
      <w:pPr>
        <w:pStyle w:val="EndOfDoc0"/>
        <w:jc w:val="both"/>
        <w:rPr>
          <w:rFonts w:ascii="Arial" w:hAnsi="Arial" w:cs="Arial"/>
          <w:sz w:val="20"/>
        </w:rPr>
      </w:pPr>
    </w:p>
    <w:p w:rsidR="008F1A1C" w:rsidRDefault="008F1A1C" w:rsidP="00A1690E">
      <w:pPr>
        <w:pStyle w:val="EndOfDoc0"/>
        <w:jc w:val="both"/>
        <w:rPr>
          <w:rFonts w:ascii="Arial" w:hAnsi="Arial" w:cs="Arial"/>
          <w:sz w:val="20"/>
        </w:rPr>
      </w:pPr>
    </w:p>
    <w:p w:rsidR="00050E16" w:rsidRPr="00C5280D" w:rsidRDefault="00050E16" w:rsidP="00050E16">
      <w:pPr>
        <w:jc w:val="right"/>
      </w:pPr>
      <w:r>
        <w:t>[Ende des Dokuments]</w:t>
      </w:r>
    </w:p>
    <w:sectPr w:rsidR="00050E16" w:rsidRPr="00C5280D" w:rsidSect="00906DDC">
      <w:headerReference w:type="default" r:id="rId10"/>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694" w:rsidRDefault="001E7694" w:rsidP="006655D3">
      <w:r>
        <w:separator/>
      </w:r>
    </w:p>
    <w:p w:rsidR="001E7694" w:rsidRDefault="001E7694" w:rsidP="006655D3"/>
    <w:p w:rsidR="001E7694" w:rsidRDefault="001E7694" w:rsidP="006655D3"/>
  </w:endnote>
  <w:endnote w:type="continuationSeparator" w:id="0">
    <w:p w:rsidR="001E7694" w:rsidRDefault="001E7694" w:rsidP="006655D3">
      <w:r>
        <w:separator/>
      </w:r>
    </w:p>
    <w:p w:rsidR="001E7694" w:rsidRPr="00A1690E" w:rsidRDefault="001E7694">
      <w:pPr>
        <w:pStyle w:val="Footer"/>
        <w:spacing w:after="60"/>
        <w:rPr>
          <w:sz w:val="18"/>
          <w:lang w:val="fr-FR"/>
        </w:rPr>
      </w:pPr>
      <w:r w:rsidRPr="00A1690E">
        <w:rPr>
          <w:sz w:val="18"/>
          <w:lang w:val="fr-FR"/>
        </w:rPr>
        <w:t>[Suite de la note de la page précédente]</w:t>
      </w:r>
    </w:p>
    <w:p w:rsidR="001E7694" w:rsidRPr="00A1690E" w:rsidRDefault="001E7694" w:rsidP="006655D3">
      <w:pPr>
        <w:rPr>
          <w:lang w:val="fr-FR"/>
        </w:rPr>
      </w:pPr>
    </w:p>
    <w:p w:rsidR="001E7694" w:rsidRPr="00A1690E" w:rsidRDefault="001E7694" w:rsidP="006655D3">
      <w:pPr>
        <w:rPr>
          <w:lang w:val="fr-FR"/>
        </w:rPr>
      </w:pPr>
    </w:p>
  </w:endnote>
  <w:endnote w:type="continuationNotice" w:id="1">
    <w:p w:rsidR="001E7694" w:rsidRPr="00A1690E" w:rsidRDefault="001E7694" w:rsidP="006655D3">
      <w:pPr>
        <w:rPr>
          <w:lang w:val="fr-FR"/>
        </w:rPr>
      </w:pPr>
      <w:r w:rsidRPr="00A1690E">
        <w:rPr>
          <w:lang w:val="fr-FR"/>
        </w:rPr>
        <w:t>[Suite de la note page suivante]</w:t>
      </w:r>
    </w:p>
    <w:p w:rsidR="001E7694" w:rsidRPr="00A1690E" w:rsidRDefault="001E7694" w:rsidP="006655D3">
      <w:pPr>
        <w:rPr>
          <w:lang w:val="fr-FR"/>
        </w:rPr>
      </w:pPr>
    </w:p>
    <w:p w:rsidR="001E7694" w:rsidRPr="00A1690E" w:rsidRDefault="001E769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平成明朝">
    <w:altName w:val="MS Gothic"/>
    <w:charset w:val="80"/>
    <w:family w:val="auto"/>
    <w:pitch w:val="variable"/>
    <w:sig w:usb0="01000000" w:usb1="00000708" w:usb2="10000000" w:usb3="00000000" w:csb0="0002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694" w:rsidRDefault="001E7694" w:rsidP="006655D3">
      <w:r>
        <w:separator/>
      </w:r>
    </w:p>
  </w:footnote>
  <w:footnote w:type="continuationSeparator" w:id="0">
    <w:p w:rsidR="001E7694" w:rsidRDefault="001E7694" w:rsidP="006655D3">
      <w:r>
        <w:separator/>
      </w:r>
    </w:p>
  </w:footnote>
  <w:footnote w:type="continuationNotice" w:id="1">
    <w:p w:rsidR="001E7694" w:rsidRPr="00AB530F" w:rsidRDefault="001E769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t>TC/50/11</w:t>
    </w:r>
  </w:p>
  <w:p w:rsidR="00182B99" w:rsidRPr="00C5280D" w:rsidRDefault="00182B99" w:rsidP="00EB048E">
    <w:pPr>
      <w:pStyle w:val="Header"/>
    </w:pPr>
    <w:r>
      <w:t xml:space="preserve">Seite </w:t>
    </w:r>
    <w:r w:rsidR="008F16BF" w:rsidRPr="00C5280D">
      <w:rPr>
        <w:rStyle w:val="PageNumber"/>
        <w:lang w:val="en-US"/>
      </w:rPr>
      <w:fldChar w:fldCharType="begin"/>
    </w:r>
    <w:r w:rsidRPr="00C5280D">
      <w:rPr>
        <w:rStyle w:val="PageNumber"/>
        <w:lang w:val="en-US"/>
      </w:rPr>
      <w:instrText xml:space="preserve"> PAGE </w:instrText>
    </w:r>
    <w:r w:rsidR="008F16BF" w:rsidRPr="00C5280D">
      <w:rPr>
        <w:rStyle w:val="PageNumber"/>
        <w:lang w:val="en-US"/>
      </w:rPr>
      <w:fldChar w:fldCharType="separate"/>
    </w:r>
    <w:r w:rsidR="006C6215">
      <w:rPr>
        <w:rStyle w:val="PageNumber"/>
        <w:noProof/>
        <w:lang w:val="en-US"/>
      </w:rPr>
      <w:t>4</w:t>
    </w:r>
    <w:r w:rsidR="008F16BF"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F99"/>
    <w:multiLevelType w:val="hybridMultilevel"/>
    <w:tmpl w:val="1998655E"/>
    <w:lvl w:ilvl="0" w:tplc="66FC4678">
      <w:start w:val="1"/>
      <w:numFmt w:val="decimal"/>
      <w:lvlText w:val="%1."/>
      <w:lvlJc w:val="left"/>
      <w:pPr>
        <w:tabs>
          <w:tab w:val="num" w:pos="1704"/>
        </w:tabs>
        <w:ind w:left="1704" w:hanging="570"/>
      </w:pPr>
      <w:rPr>
        <w:rFonts w:hint="default"/>
      </w:rPr>
    </w:lvl>
    <w:lvl w:ilvl="1" w:tplc="04090019">
      <w:start w:val="1"/>
      <w:numFmt w:val="lowerLetter"/>
      <w:lvlText w:val="%2."/>
      <w:lvlJc w:val="left"/>
      <w:pPr>
        <w:tabs>
          <w:tab w:val="num" w:pos="1920"/>
        </w:tabs>
        <w:ind w:left="1920" w:hanging="360"/>
      </w:pPr>
    </w:lvl>
    <w:lvl w:ilvl="2" w:tplc="040C0017">
      <w:start w:val="1"/>
      <w:numFmt w:val="lowerLetter"/>
      <w:lvlText w:val="%3)"/>
      <w:lvlJc w:val="left"/>
      <w:pPr>
        <w:tabs>
          <w:tab w:val="num" w:pos="3102"/>
        </w:tabs>
        <w:ind w:left="3102" w:hanging="555"/>
      </w:pPr>
      <w:rPr>
        <w:rFonts w:hint="default"/>
      </w:rPr>
    </w:lvl>
    <w:lvl w:ilvl="3" w:tplc="0409000F">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nsid w:val="10C45FFF"/>
    <w:multiLevelType w:val="hybridMultilevel"/>
    <w:tmpl w:val="B60A1E6E"/>
    <w:lvl w:ilvl="0" w:tplc="040C0017">
      <w:start w:val="1"/>
      <w:numFmt w:val="lowerLetter"/>
      <w:lvlText w:val="%1)"/>
      <w:lvlJc w:val="left"/>
      <w:pPr>
        <w:tabs>
          <w:tab w:val="num" w:pos="5960"/>
        </w:tabs>
        <w:ind w:left="5960" w:hanging="1140"/>
      </w:pPr>
      <w:rPr>
        <w:rFonts w:hint="default"/>
      </w:rPr>
    </w:lvl>
    <w:lvl w:ilvl="1" w:tplc="04090003" w:tentative="1">
      <w:start w:val="1"/>
      <w:numFmt w:val="bullet"/>
      <w:lvlText w:val="o"/>
      <w:lvlJc w:val="left"/>
      <w:pPr>
        <w:tabs>
          <w:tab w:val="num" w:pos="5333"/>
        </w:tabs>
        <w:ind w:left="5333" w:hanging="360"/>
      </w:pPr>
      <w:rPr>
        <w:rFonts w:ascii="Courier New" w:hAnsi="Courier New" w:cs="Courier New" w:hint="default"/>
      </w:rPr>
    </w:lvl>
    <w:lvl w:ilvl="2" w:tplc="04090005" w:tentative="1">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cs="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cs="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2">
    <w:nsid w:val="15157BC9"/>
    <w:multiLevelType w:val="hybridMultilevel"/>
    <w:tmpl w:val="445257C2"/>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C5DC7"/>
    <w:multiLevelType w:val="hybridMultilevel"/>
    <w:tmpl w:val="0AC6AC34"/>
    <w:lvl w:ilvl="0" w:tplc="040C0017">
      <w:start w:val="1"/>
      <w:numFmt w:val="lowerLetter"/>
      <w:lvlText w:val="%1)"/>
      <w:lvlJc w:val="left"/>
      <w:pPr>
        <w:tabs>
          <w:tab w:val="num" w:pos="1689"/>
        </w:tabs>
        <w:ind w:left="1689"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AF22E6"/>
    <w:multiLevelType w:val="hybridMultilevel"/>
    <w:tmpl w:val="E9E82AF4"/>
    <w:lvl w:ilvl="0" w:tplc="66FC4678">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49FB5F12"/>
    <w:multiLevelType w:val="hybridMultilevel"/>
    <w:tmpl w:val="E9E82AF4"/>
    <w:lvl w:ilvl="0" w:tplc="66FC4678">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nsid w:val="5B976E75"/>
    <w:multiLevelType w:val="hybridMultilevel"/>
    <w:tmpl w:val="2D766750"/>
    <w:lvl w:ilvl="0" w:tplc="66FC4678">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647"/>
        </w:tabs>
        <w:ind w:left="1647" w:hanging="360"/>
      </w:pPr>
    </w:lvl>
    <w:lvl w:ilvl="2" w:tplc="040C0017">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670B63C3"/>
    <w:multiLevelType w:val="hybridMultilevel"/>
    <w:tmpl w:val="063C9324"/>
    <w:lvl w:ilvl="0" w:tplc="040C0017">
      <w:start w:val="1"/>
      <w:numFmt w:val="lowerLetter"/>
      <w:lvlText w:val="%1)"/>
      <w:lvlJc w:val="left"/>
      <w:pPr>
        <w:tabs>
          <w:tab w:val="num" w:pos="1689"/>
        </w:tabs>
        <w:ind w:left="1689"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987130"/>
    <w:multiLevelType w:val="hybridMultilevel"/>
    <w:tmpl w:val="34307E80"/>
    <w:lvl w:ilvl="0" w:tplc="417A642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8"/>
  </w:num>
  <w:num w:numId="6">
    <w:abstractNumId w:val="9"/>
  </w:num>
  <w:num w:numId="7">
    <w:abstractNumId w:val="6"/>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2"/>
  </w:compat>
  <w:rsids>
    <w:rsidRoot w:val="00534E24"/>
    <w:rsid w:val="00010CF3"/>
    <w:rsid w:val="00011E27"/>
    <w:rsid w:val="000148BC"/>
    <w:rsid w:val="00024AB8"/>
    <w:rsid w:val="00025B73"/>
    <w:rsid w:val="00030854"/>
    <w:rsid w:val="00033BE0"/>
    <w:rsid w:val="00036028"/>
    <w:rsid w:val="00044642"/>
    <w:rsid w:val="000446B9"/>
    <w:rsid w:val="00047E21"/>
    <w:rsid w:val="00050E16"/>
    <w:rsid w:val="00085505"/>
    <w:rsid w:val="000923BC"/>
    <w:rsid w:val="000C7021"/>
    <w:rsid w:val="000D6BBC"/>
    <w:rsid w:val="000D7780"/>
    <w:rsid w:val="000F2F11"/>
    <w:rsid w:val="00105929"/>
    <w:rsid w:val="00107978"/>
    <w:rsid w:val="001131D5"/>
    <w:rsid w:val="00141DB8"/>
    <w:rsid w:val="0017474A"/>
    <w:rsid w:val="001758C6"/>
    <w:rsid w:val="00182B99"/>
    <w:rsid w:val="001E7694"/>
    <w:rsid w:val="0021332C"/>
    <w:rsid w:val="00213982"/>
    <w:rsid w:val="0024416D"/>
    <w:rsid w:val="00267815"/>
    <w:rsid w:val="00271911"/>
    <w:rsid w:val="002800A0"/>
    <w:rsid w:val="002801B3"/>
    <w:rsid w:val="00281060"/>
    <w:rsid w:val="002940E8"/>
    <w:rsid w:val="002A6E50"/>
    <w:rsid w:val="002C256A"/>
    <w:rsid w:val="00305A7F"/>
    <w:rsid w:val="003152FE"/>
    <w:rsid w:val="00327436"/>
    <w:rsid w:val="00344BD6"/>
    <w:rsid w:val="0035528D"/>
    <w:rsid w:val="00361821"/>
    <w:rsid w:val="003D227C"/>
    <w:rsid w:val="003D2B4D"/>
    <w:rsid w:val="004057A0"/>
    <w:rsid w:val="00444A88"/>
    <w:rsid w:val="004519FB"/>
    <w:rsid w:val="00474DA4"/>
    <w:rsid w:val="00476B4D"/>
    <w:rsid w:val="004805FA"/>
    <w:rsid w:val="004A4533"/>
    <w:rsid w:val="004D047D"/>
    <w:rsid w:val="004F305A"/>
    <w:rsid w:val="00512164"/>
    <w:rsid w:val="00520297"/>
    <w:rsid w:val="005338F9"/>
    <w:rsid w:val="00534E24"/>
    <w:rsid w:val="0054281C"/>
    <w:rsid w:val="00547EE9"/>
    <w:rsid w:val="00551141"/>
    <w:rsid w:val="0055268D"/>
    <w:rsid w:val="00576BE4"/>
    <w:rsid w:val="005A400A"/>
    <w:rsid w:val="005E7437"/>
    <w:rsid w:val="00612379"/>
    <w:rsid w:val="0061555F"/>
    <w:rsid w:val="00641200"/>
    <w:rsid w:val="006655D3"/>
    <w:rsid w:val="00667404"/>
    <w:rsid w:val="00687EB4"/>
    <w:rsid w:val="006A5874"/>
    <w:rsid w:val="006B17D2"/>
    <w:rsid w:val="006B2F4E"/>
    <w:rsid w:val="006B5DBC"/>
    <w:rsid w:val="006C224E"/>
    <w:rsid w:val="006C6215"/>
    <w:rsid w:val="006D780A"/>
    <w:rsid w:val="00732DEC"/>
    <w:rsid w:val="00735BD5"/>
    <w:rsid w:val="007456DE"/>
    <w:rsid w:val="00754CC1"/>
    <w:rsid w:val="007556F6"/>
    <w:rsid w:val="00760EEF"/>
    <w:rsid w:val="007626DA"/>
    <w:rsid w:val="00777EE5"/>
    <w:rsid w:val="00784836"/>
    <w:rsid w:val="0079023E"/>
    <w:rsid w:val="007953E6"/>
    <w:rsid w:val="007A2854"/>
    <w:rsid w:val="007D0B9D"/>
    <w:rsid w:val="007D19B0"/>
    <w:rsid w:val="007E1B68"/>
    <w:rsid w:val="007F498F"/>
    <w:rsid w:val="0080679D"/>
    <w:rsid w:val="008108B0"/>
    <w:rsid w:val="00811B20"/>
    <w:rsid w:val="0082296E"/>
    <w:rsid w:val="00824099"/>
    <w:rsid w:val="0085699D"/>
    <w:rsid w:val="00867AC1"/>
    <w:rsid w:val="008A105D"/>
    <w:rsid w:val="008A743F"/>
    <w:rsid w:val="008C0970"/>
    <w:rsid w:val="008D2B6E"/>
    <w:rsid w:val="008D2CF7"/>
    <w:rsid w:val="008F16BF"/>
    <w:rsid w:val="008F1A1C"/>
    <w:rsid w:val="00900C26"/>
    <w:rsid w:val="0090197F"/>
    <w:rsid w:val="00906DDC"/>
    <w:rsid w:val="00934E09"/>
    <w:rsid w:val="00936253"/>
    <w:rsid w:val="00952DD4"/>
    <w:rsid w:val="00970FED"/>
    <w:rsid w:val="00992D82"/>
    <w:rsid w:val="00997029"/>
    <w:rsid w:val="009D690D"/>
    <w:rsid w:val="009E65B6"/>
    <w:rsid w:val="00A1690E"/>
    <w:rsid w:val="00A24C10"/>
    <w:rsid w:val="00A42AC3"/>
    <w:rsid w:val="00A430CF"/>
    <w:rsid w:val="00A54309"/>
    <w:rsid w:val="00A62BD0"/>
    <w:rsid w:val="00AB2B93"/>
    <w:rsid w:val="00AB530F"/>
    <w:rsid w:val="00AB7E5B"/>
    <w:rsid w:val="00AE0EF1"/>
    <w:rsid w:val="00AE2937"/>
    <w:rsid w:val="00B07301"/>
    <w:rsid w:val="00B224DE"/>
    <w:rsid w:val="00B46575"/>
    <w:rsid w:val="00B84BBD"/>
    <w:rsid w:val="00BA43FB"/>
    <w:rsid w:val="00BC127D"/>
    <w:rsid w:val="00BC1FE6"/>
    <w:rsid w:val="00C061B6"/>
    <w:rsid w:val="00C11DDC"/>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5BF5"/>
    <w:rsid w:val="00D91203"/>
    <w:rsid w:val="00D95174"/>
    <w:rsid w:val="00DA6F36"/>
    <w:rsid w:val="00DB596E"/>
    <w:rsid w:val="00DB7773"/>
    <w:rsid w:val="00DC00EA"/>
    <w:rsid w:val="00DE0087"/>
    <w:rsid w:val="00E32F7E"/>
    <w:rsid w:val="00E72D49"/>
    <w:rsid w:val="00E7593C"/>
    <w:rsid w:val="00E7678A"/>
    <w:rsid w:val="00E935F1"/>
    <w:rsid w:val="00E94A81"/>
    <w:rsid w:val="00EA1FFB"/>
    <w:rsid w:val="00EB048E"/>
    <w:rsid w:val="00EB573D"/>
    <w:rsid w:val="00EE34DF"/>
    <w:rsid w:val="00EF2F89"/>
    <w:rsid w:val="00F01DE0"/>
    <w:rsid w:val="00F1237A"/>
    <w:rsid w:val="00F22CBD"/>
    <w:rsid w:val="00F43A3F"/>
    <w:rsid w:val="00F45372"/>
    <w:rsid w:val="00F51858"/>
    <w:rsid w:val="00F560F7"/>
    <w:rsid w:val="00F6334D"/>
    <w:rsid w:val="00FA49AB"/>
    <w:rsid w:val="00FE39C7"/>
    <w:rsid w:val="00FF6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1690E"/>
    <w:pPr>
      <w:keepNext/>
      <w:outlineLvl w:val="5"/>
    </w:pPr>
    <w:rPr>
      <w:rFonts w:ascii="Times New Roman" w:hAnsi="Times New Roman" w:cs="Angsana New"/>
      <w:i/>
      <w:iCs/>
      <w:sz w:val="24"/>
      <w:szCs w:val="24"/>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rsid w:val="00A1690E"/>
    <w:rPr>
      <w:rFonts w:cs="Angsana New"/>
      <w:i/>
      <w:iCs/>
      <w:sz w:val="24"/>
      <w:szCs w:val="24"/>
      <w:lang w:eastAsia="de-DE" w:bidi="de-DE"/>
    </w:rPr>
  </w:style>
  <w:style w:type="paragraph" w:customStyle="1" w:styleId="EndOfDoc0">
    <w:name w:val="EndOfDoc"/>
    <w:basedOn w:val="Normal"/>
    <w:rsid w:val="00A1690E"/>
    <w:pPr>
      <w:ind w:left="4536"/>
      <w:jc w:val="center"/>
    </w:pPr>
    <w:rPr>
      <w:rFonts w:ascii="Times New Roman" w:hAnsi="Times New Roman"/>
      <w:sz w:val="24"/>
    </w:rPr>
  </w:style>
  <w:style w:type="paragraph" w:styleId="BodyTextIndent3">
    <w:name w:val="Body Text Indent 3"/>
    <w:basedOn w:val="Normal"/>
    <w:link w:val="BodyTextIndent3Char"/>
    <w:rsid w:val="00A1690E"/>
    <w:pPr>
      <w:ind w:left="1701" w:hanging="1701"/>
    </w:pPr>
    <w:rPr>
      <w:rFonts w:ascii="Times New Roman" w:hAnsi="Times New Roman" w:cs="Angsana New"/>
      <w:color w:val="000000"/>
      <w:sz w:val="24"/>
      <w:szCs w:val="24"/>
    </w:rPr>
  </w:style>
  <w:style w:type="character" w:customStyle="1" w:styleId="BodyTextIndent3Char">
    <w:name w:val="Body Text Indent 3 Char"/>
    <w:basedOn w:val="DefaultParagraphFont"/>
    <w:link w:val="BodyTextIndent3"/>
    <w:rsid w:val="00A1690E"/>
    <w:rPr>
      <w:rFonts w:cs="Angsana New"/>
      <w:color w:val="000000"/>
      <w:sz w:val="24"/>
      <w:szCs w:val="24"/>
      <w:lang w:eastAsia="de-DE" w:bidi="de-DE"/>
    </w:rPr>
  </w:style>
  <w:style w:type="table" w:styleId="TableGrid">
    <w:name w:val="Table Grid"/>
    <w:basedOn w:val="TableNormal"/>
    <w:rsid w:val="00A1690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1690E"/>
    <w:rPr>
      <w:rFonts w:ascii="Arial" w:hAnsi="Arial"/>
      <w:u w:val="single"/>
    </w:rPr>
  </w:style>
  <w:style w:type="paragraph" w:customStyle="1" w:styleId="Style1">
    <w:name w:val="Style1"/>
    <w:basedOn w:val="Normal"/>
    <w:rsid w:val="00267815"/>
    <w:pPr>
      <w:spacing w:after="120"/>
      <w:ind w:left="1134" w:hanging="1134"/>
      <w:jc w:val="left"/>
    </w:pPr>
    <w:rPr>
      <w:rFonts w:ascii="Times New Roman" w:eastAsia="平成明朝" w:hAnsi="Times New Roman" w:cs="Angsana New"/>
      <w:sz w:val="24"/>
      <w:szCs w:val="24"/>
    </w:rPr>
  </w:style>
  <w:style w:type="paragraph" w:styleId="ListParagraph">
    <w:name w:val="List Paragraph"/>
    <w:basedOn w:val="Normal"/>
    <w:uiPriority w:val="34"/>
    <w:qFormat/>
    <w:rsid w:val="00A62BD0"/>
    <w:pPr>
      <w:ind w:left="720"/>
      <w:contextualSpacing/>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1690E"/>
    <w:pPr>
      <w:keepNext/>
      <w:outlineLvl w:val="5"/>
    </w:pPr>
    <w:rPr>
      <w:rFonts w:ascii="Times New Roman" w:hAnsi="Times New Roman" w:cs="Angsana New"/>
      <w:i/>
      <w:iCs/>
      <w:sz w:val="24"/>
      <w:szCs w:val="24"/>
      <w:lang w:eastAsia="ja-JP" w:bidi="th-TH"/>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rsid w:val="00A1690E"/>
    <w:rPr>
      <w:rFonts w:cs="Angsana New"/>
      <w:i/>
      <w:iCs/>
      <w:sz w:val="24"/>
      <w:szCs w:val="24"/>
      <w:lang w:eastAsia="ja-JP" w:bidi="th-TH"/>
    </w:rPr>
  </w:style>
  <w:style w:type="paragraph" w:customStyle="1" w:styleId="EndOfDoc0">
    <w:name w:val="EndOfDoc"/>
    <w:basedOn w:val="Normal"/>
    <w:rsid w:val="00A1690E"/>
    <w:pPr>
      <w:ind w:left="4536"/>
      <w:jc w:val="center"/>
    </w:pPr>
    <w:rPr>
      <w:rFonts w:ascii="Times New Roman" w:hAnsi="Times New Roman"/>
      <w:sz w:val="24"/>
    </w:rPr>
  </w:style>
  <w:style w:type="paragraph" w:styleId="BodyTextIndent3">
    <w:name w:val="Body Text Indent 3"/>
    <w:basedOn w:val="Normal"/>
    <w:link w:val="BodyTextIndent3Char"/>
    <w:rsid w:val="00A1690E"/>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A1690E"/>
    <w:rPr>
      <w:rFonts w:cs="Angsana New"/>
      <w:color w:val="000000"/>
      <w:sz w:val="24"/>
      <w:szCs w:val="24"/>
      <w:lang w:eastAsia="ja-JP" w:bidi="th-TH"/>
    </w:rPr>
  </w:style>
  <w:style w:type="table" w:styleId="TableGrid">
    <w:name w:val="Table Grid"/>
    <w:basedOn w:val="TableNormal"/>
    <w:rsid w:val="00A1690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1690E"/>
    <w:rPr>
      <w:rFonts w:ascii="Arial" w:hAnsi="Arial"/>
      <w:u w:val="single"/>
    </w:rPr>
  </w:style>
  <w:style w:type="paragraph" w:customStyle="1" w:styleId="Style1">
    <w:name w:val="Style1"/>
    <w:basedOn w:val="Normal"/>
    <w:rsid w:val="00267815"/>
    <w:pPr>
      <w:spacing w:after="120"/>
      <w:ind w:left="1134" w:hanging="1134"/>
      <w:jc w:val="left"/>
    </w:pPr>
    <w:rPr>
      <w:rFonts w:ascii="Times New Roman" w:eastAsia="平成明朝" w:hAnsi="Times New Roman" w:cs="Angsana New"/>
      <w:sz w:val="24"/>
      <w:szCs w:val="24"/>
      <w:lang w:eastAsia="ja-JP" w:bidi="th-TH"/>
    </w:rPr>
  </w:style>
  <w:style w:type="paragraph" w:styleId="ListParagraph">
    <w:name w:val="List Paragraph"/>
    <w:basedOn w:val="Normal"/>
    <w:uiPriority w:val="34"/>
    <w:qFormat/>
    <w:rsid w:val="00A62BD0"/>
    <w:pPr>
      <w:ind w:left="720"/>
      <w:contextualSpacing/>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2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A415-D4D0-4042-B2FA-285273E6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141</TotalTime>
  <Pages>4</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24</cp:revision>
  <cp:lastPrinted>2014-02-20T09:34:00Z</cp:lastPrinted>
  <dcterms:created xsi:type="dcterms:W3CDTF">2014-01-28T14:44:00Z</dcterms:created>
  <dcterms:modified xsi:type="dcterms:W3CDTF">2014-02-21T14:21:00Z</dcterms:modified>
</cp:coreProperties>
</file>