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BC76A2" w:rsidTr="0080679D">
        <w:trPr>
          <w:trHeight w:val="1760"/>
        </w:trPr>
        <w:tc>
          <w:tcPr>
            <w:tcW w:w="3993" w:type="dxa"/>
          </w:tcPr>
          <w:p w:rsidR="000D7780" w:rsidRPr="00BC76A2" w:rsidRDefault="000D7780" w:rsidP="006655D3">
            <w:pPr>
              <w:rPr>
                <w:lang w:val="de-DE"/>
              </w:rPr>
            </w:pPr>
          </w:p>
        </w:tc>
        <w:tc>
          <w:tcPr>
            <w:tcW w:w="1549" w:type="dxa"/>
            <w:vAlign w:val="center"/>
          </w:tcPr>
          <w:p w:rsidR="000D7780" w:rsidRPr="00BC76A2" w:rsidRDefault="00271911" w:rsidP="006655D3">
            <w:pPr>
              <w:pStyle w:val="LogoUPOV"/>
              <w:rPr>
                <w:lang w:val="de-DE"/>
              </w:rPr>
            </w:pPr>
            <w:r w:rsidRPr="00BC76A2">
              <w:rPr>
                <w:noProof/>
              </w:rPr>
              <w:drawing>
                <wp:inline distT="0" distB="0" distL="0" distR="0" wp14:anchorId="17315DCB" wp14:editId="5BE7FF4C">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3992" w:type="dxa"/>
            <w:vAlign w:val="center"/>
          </w:tcPr>
          <w:p w:rsidR="000D7780" w:rsidRPr="00BC76A2" w:rsidRDefault="00B01663" w:rsidP="006655D3">
            <w:pPr>
              <w:pStyle w:val="Lettrine"/>
              <w:rPr>
                <w:lang w:val="de-DE"/>
              </w:rPr>
            </w:pPr>
            <w:r w:rsidRPr="00BC76A2">
              <w:rPr>
                <w:lang w:val="de-DE"/>
              </w:rPr>
              <w:t>G</w:t>
            </w:r>
          </w:p>
          <w:p w:rsidR="000D7780" w:rsidRPr="00BC76A2" w:rsidRDefault="00667404" w:rsidP="006655D3">
            <w:pPr>
              <w:pStyle w:val="Docoriginal"/>
              <w:rPr>
                <w:lang w:val="de-DE"/>
              </w:rPr>
            </w:pPr>
            <w:r w:rsidRPr="00BC76A2">
              <w:rPr>
                <w:lang w:val="de-DE"/>
              </w:rPr>
              <w:t>TC/</w:t>
            </w:r>
            <w:r w:rsidR="00050E16" w:rsidRPr="00BC76A2">
              <w:rPr>
                <w:lang w:val="de-DE"/>
              </w:rPr>
              <w:t>50</w:t>
            </w:r>
            <w:r w:rsidRPr="00BC76A2">
              <w:rPr>
                <w:lang w:val="de-DE"/>
              </w:rPr>
              <w:t>/</w:t>
            </w:r>
            <w:bookmarkStart w:id="0" w:name="Code"/>
            <w:bookmarkEnd w:id="0"/>
            <w:r w:rsidR="001D4FC8" w:rsidRPr="00BC76A2">
              <w:rPr>
                <w:lang w:val="de-DE"/>
              </w:rPr>
              <w:t>10</w:t>
            </w:r>
          </w:p>
          <w:p w:rsidR="000D7780" w:rsidRPr="00BC76A2" w:rsidRDefault="0061555F" w:rsidP="006655D3">
            <w:pPr>
              <w:pStyle w:val="Docoriginal"/>
              <w:rPr>
                <w:b w:val="0"/>
                <w:spacing w:val="0"/>
                <w:lang w:val="de-DE"/>
              </w:rPr>
            </w:pPr>
            <w:r w:rsidRPr="00BC76A2">
              <w:rPr>
                <w:rStyle w:val="StyleDoclangBold"/>
                <w:b/>
                <w:bCs/>
                <w:spacing w:val="0"/>
                <w:lang w:val="de-DE"/>
              </w:rPr>
              <w:t>ORIGINAL</w:t>
            </w:r>
            <w:r w:rsidR="000D7780" w:rsidRPr="00BC76A2">
              <w:rPr>
                <w:rStyle w:val="StyleDoclangBold"/>
                <w:b/>
                <w:bCs/>
                <w:spacing w:val="0"/>
                <w:lang w:val="de-DE"/>
              </w:rPr>
              <w:t>:</w:t>
            </w:r>
            <w:r w:rsidRPr="00BC76A2">
              <w:rPr>
                <w:rStyle w:val="StyleDocoriginalNotBold1"/>
                <w:spacing w:val="0"/>
                <w:lang w:val="de-DE"/>
              </w:rPr>
              <w:t xml:space="preserve"> </w:t>
            </w:r>
            <w:bookmarkStart w:id="1" w:name="Original"/>
            <w:bookmarkEnd w:id="1"/>
            <w:r w:rsidR="00B01663" w:rsidRPr="00BC76A2">
              <w:rPr>
                <w:rStyle w:val="StyleDocoriginalNotBold1"/>
                <w:spacing w:val="0"/>
                <w:lang w:val="de-DE"/>
              </w:rPr>
              <w:t>e</w:t>
            </w:r>
            <w:r w:rsidR="0024416D" w:rsidRPr="00BC76A2">
              <w:rPr>
                <w:b w:val="0"/>
                <w:spacing w:val="0"/>
                <w:lang w:val="de-DE"/>
              </w:rPr>
              <w:t>nglis</w:t>
            </w:r>
            <w:r w:rsidR="00B01663" w:rsidRPr="00BC76A2">
              <w:rPr>
                <w:b w:val="0"/>
                <w:spacing w:val="0"/>
                <w:lang w:val="de-DE"/>
              </w:rPr>
              <w:t>c</w:t>
            </w:r>
            <w:r w:rsidR="0024416D" w:rsidRPr="00BC76A2">
              <w:rPr>
                <w:b w:val="0"/>
                <w:spacing w:val="0"/>
                <w:lang w:val="de-DE"/>
              </w:rPr>
              <w:t>h</w:t>
            </w:r>
          </w:p>
          <w:p w:rsidR="000D7780" w:rsidRPr="00BC76A2" w:rsidRDefault="000D7780" w:rsidP="00D21BC8">
            <w:pPr>
              <w:pStyle w:val="Docoriginal"/>
              <w:rPr>
                <w:lang w:val="de-DE"/>
              </w:rPr>
            </w:pPr>
            <w:r w:rsidRPr="00BC76A2">
              <w:rPr>
                <w:spacing w:val="0"/>
                <w:lang w:val="de-DE"/>
              </w:rPr>
              <w:t>DAT</w:t>
            </w:r>
            <w:r w:rsidR="00B01663" w:rsidRPr="00BC76A2">
              <w:rPr>
                <w:spacing w:val="0"/>
                <w:lang w:val="de-DE"/>
              </w:rPr>
              <w:t>UM</w:t>
            </w:r>
            <w:r w:rsidRPr="00BC76A2">
              <w:rPr>
                <w:spacing w:val="0"/>
                <w:lang w:val="de-DE"/>
              </w:rPr>
              <w:t>:</w:t>
            </w:r>
            <w:r w:rsidRPr="00BC76A2">
              <w:rPr>
                <w:rStyle w:val="StyleDocoriginalNotBold1"/>
                <w:spacing w:val="0"/>
                <w:lang w:val="de-DE"/>
              </w:rPr>
              <w:t xml:space="preserve"> </w:t>
            </w:r>
            <w:bookmarkStart w:id="2" w:name="Date"/>
            <w:bookmarkEnd w:id="2"/>
            <w:r w:rsidR="00B01663" w:rsidRPr="00D21BC8">
              <w:rPr>
                <w:b w:val="0"/>
                <w:spacing w:val="0"/>
                <w:lang w:val="de-DE"/>
              </w:rPr>
              <w:t>1</w:t>
            </w:r>
            <w:r w:rsidR="00D21BC8" w:rsidRPr="00D21BC8">
              <w:rPr>
                <w:b w:val="0"/>
                <w:spacing w:val="0"/>
                <w:lang w:val="de-DE"/>
              </w:rPr>
              <w:t>3</w:t>
            </w:r>
            <w:r w:rsidR="00B01663" w:rsidRPr="00D21BC8">
              <w:rPr>
                <w:b w:val="0"/>
                <w:spacing w:val="0"/>
                <w:lang w:val="de-DE"/>
              </w:rPr>
              <w:t>. F</w:t>
            </w:r>
            <w:r w:rsidR="00AB530F" w:rsidRPr="00D21BC8">
              <w:rPr>
                <w:b w:val="0"/>
                <w:spacing w:val="0"/>
                <w:lang w:val="de-DE"/>
              </w:rPr>
              <w:t>ebruar</w:t>
            </w:r>
            <w:r w:rsidR="0024416D" w:rsidRPr="00D21BC8">
              <w:rPr>
                <w:b w:val="0"/>
                <w:spacing w:val="0"/>
                <w:lang w:val="de-DE"/>
              </w:rPr>
              <w:t xml:space="preserve"> </w:t>
            </w:r>
            <w:r w:rsidR="001131D5" w:rsidRPr="00D21BC8">
              <w:rPr>
                <w:b w:val="0"/>
                <w:spacing w:val="0"/>
                <w:lang w:val="de-DE"/>
              </w:rPr>
              <w:t>201</w:t>
            </w:r>
            <w:r w:rsidR="00050E16" w:rsidRPr="00D21BC8">
              <w:rPr>
                <w:b w:val="0"/>
                <w:spacing w:val="0"/>
                <w:lang w:val="de-DE"/>
              </w:rPr>
              <w:t>4</w:t>
            </w:r>
          </w:p>
        </w:tc>
      </w:tr>
      <w:tr w:rsidR="000D7780" w:rsidRPr="00D9403C" w:rsidTr="00FA49AB">
        <w:tc>
          <w:tcPr>
            <w:tcW w:w="9534" w:type="dxa"/>
            <w:gridSpan w:val="3"/>
          </w:tcPr>
          <w:p w:rsidR="000D7780" w:rsidRPr="00BC76A2" w:rsidRDefault="0024416D" w:rsidP="00B01663">
            <w:pPr>
              <w:pStyle w:val="upove"/>
              <w:rPr>
                <w:sz w:val="28"/>
                <w:lang w:val="de-DE"/>
              </w:rPr>
            </w:pPr>
            <w:r w:rsidRPr="00BC76A2">
              <w:rPr>
                <w:snapToGrid w:val="0"/>
                <w:lang w:val="de-DE"/>
              </w:rPr>
              <w:t>INTERNATIONAL</w:t>
            </w:r>
            <w:r w:rsidR="00B01663" w:rsidRPr="00BC76A2">
              <w:rPr>
                <w:snapToGrid w:val="0"/>
                <w:lang w:val="de-DE"/>
              </w:rPr>
              <w:t>ER VERBAND ZUM SCHUTZ VON PFLANZENZÜCHTUNGEN</w:t>
            </w:r>
          </w:p>
        </w:tc>
      </w:tr>
      <w:tr w:rsidR="000D7780" w:rsidRPr="00BC76A2" w:rsidTr="00FA49AB">
        <w:tc>
          <w:tcPr>
            <w:tcW w:w="9534" w:type="dxa"/>
            <w:gridSpan w:val="3"/>
          </w:tcPr>
          <w:p w:rsidR="000D7780" w:rsidRPr="00BC76A2" w:rsidRDefault="00867AC1" w:rsidP="00B01663">
            <w:pPr>
              <w:pStyle w:val="Country"/>
              <w:rPr>
                <w:lang w:val="de-DE"/>
              </w:rPr>
            </w:pPr>
            <w:r w:rsidRPr="00BC76A2">
              <w:rPr>
                <w:lang w:val="de-DE"/>
              </w:rPr>
              <w:t>Gen</w:t>
            </w:r>
            <w:r w:rsidR="00B01663" w:rsidRPr="00BC76A2">
              <w:rPr>
                <w:lang w:val="de-DE"/>
              </w:rPr>
              <w:t>f</w:t>
            </w:r>
          </w:p>
        </w:tc>
      </w:tr>
    </w:tbl>
    <w:p w:rsidR="000D7780" w:rsidRPr="00BC76A2" w:rsidRDefault="0024416D" w:rsidP="006655D3">
      <w:pPr>
        <w:pStyle w:val="Sessiontc"/>
        <w:rPr>
          <w:lang w:val="de-DE"/>
        </w:rPr>
      </w:pPr>
      <w:r w:rsidRPr="00BC76A2">
        <w:rPr>
          <w:lang w:val="de-DE"/>
        </w:rPr>
        <w:t>Techni</w:t>
      </w:r>
      <w:r w:rsidR="00B01663" w:rsidRPr="00BC76A2">
        <w:rPr>
          <w:lang w:val="de-DE"/>
        </w:rPr>
        <w:t>SCHER AUSSCHUSS</w:t>
      </w:r>
    </w:p>
    <w:p w:rsidR="00361821" w:rsidRPr="00BC76A2" w:rsidRDefault="0061555F" w:rsidP="006655D3">
      <w:pPr>
        <w:pStyle w:val="Sessiontcplacedate"/>
        <w:rPr>
          <w:lang w:val="de-DE"/>
        </w:rPr>
      </w:pPr>
      <w:r w:rsidRPr="00BC76A2">
        <w:rPr>
          <w:lang w:val="de-DE"/>
        </w:rPr>
        <w:t>F</w:t>
      </w:r>
      <w:r w:rsidR="00950DFC" w:rsidRPr="00BC76A2">
        <w:rPr>
          <w:lang w:val="de-DE"/>
        </w:rPr>
        <w:t>ünfzigste Tagung</w:t>
      </w:r>
      <w:r w:rsidR="00361821" w:rsidRPr="00BC76A2">
        <w:rPr>
          <w:lang w:val="de-DE"/>
        </w:rPr>
        <w:br/>
      </w:r>
      <w:r w:rsidR="00867AC1" w:rsidRPr="00BC76A2">
        <w:rPr>
          <w:lang w:val="de-DE"/>
        </w:rPr>
        <w:t>Gen</w:t>
      </w:r>
      <w:r w:rsidR="00950DFC" w:rsidRPr="00BC76A2">
        <w:rPr>
          <w:lang w:val="de-DE"/>
        </w:rPr>
        <w:t>f</w:t>
      </w:r>
      <w:r w:rsidR="00867AC1" w:rsidRPr="00BC76A2">
        <w:rPr>
          <w:lang w:val="de-DE"/>
        </w:rPr>
        <w:t xml:space="preserve">, </w:t>
      </w:r>
      <w:r w:rsidR="00950DFC" w:rsidRPr="00BC76A2">
        <w:rPr>
          <w:lang w:val="de-DE"/>
        </w:rPr>
        <w:t xml:space="preserve">7. </w:t>
      </w:r>
      <w:r w:rsidR="003A240C" w:rsidRPr="00BC76A2">
        <w:rPr>
          <w:lang w:val="de-DE"/>
        </w:rPr>
        <w:t>b</w:t>
      </w:r>
      <w:r w:rsidR="00950DFC" w:rsidRPr="00BC76A2">
        <w:rPr>
          <w:lang w:val="de-DE"/>
        </w:rPr>
        <w:t xml:space="preserve">is 9. </w:t>
      </w:r>
      <w:r w:rsidR="00050E16" w:rsidRPr="00BC76A2">
        <w:rPr>
          <w:lang w:val="de-DE"/>
        </w:rPr>
        <w:t>April</w:t>
      </w:r>
      <w:r w:rsidR="00867AC1" w:rsidRPr="00BC76A2">
        <w:rPr>
          <w:lang w:val="de-DE"/>
        </w:rPr>
        <w:t xml:space="preserve"> 201</w:t>
      </w:r>
      <w:r w:rsidR="00050E16" w:rsidRPr="00BC76A2">
        <w:rPr>
          <w:lang w:val="de-DE"/>
        </w:rPr>
        <w:t>4</w:t>
      </w:r>
    </w:p>
    <w:p w:rsidR="000D7780" w:rsidRPr="00D21BC8" w:rsidRDefault="00D21BC8" w:rsidP="006655D3">
      <w:pPr>
        <w:pStyle w:val="Titleofdoc0"/>
        <w:rPr>
          <w:lang w:val="de-DE"/>
        </w:rPr>
      </w:pPr>
      <w:bookmarkStart w:id="3" w:name="TitleOfDoc"/>
      <w:bookmarkEnd w:id="3"/>
      <w:r w:rsidRPr="00D21BC8">
        <w:rPr>
          <w:lang w:val="de-DE"/>
        </w:rPr>
        <w:t>Bericht über die Entwicklungen in der UPOV, u. a. die auf den letzten Tagungen des Verwaltungs- und Rechtsausschusses, des Beratenden Ausschusses und des Rates erörterten wichtigen Angelegenheiten</w:t>
      </w:r>
    </w:p>
    <w:p w:rsidR="00050E16" w:rsidRPr="00BC76A2" w:rsidRDefault="00950DFC" w:rsidP="00050E16">
      <w:pPr>
        <w:pStyle w:val="preparedby1"/>
        <w:rPr>
          <w:lang w:val="de-DE"/>
        </w:rPr>
      </w:pPr>
      <w:bookmarkStart w:id="4" w:name="Prepared"/>
      <w:bookmarkEnd w:id="4"/>
      <w:r w:rsidRPr="00BC76A2">
        <w:rPr>
          <w:lang w:val="de-DE"/>
        </w:rPr>
        <w:t>vom Verbandsbüro erstellt</w:t>
      </w:r>
      <w:r w:rsidR="00050E16" w:rsidRPr="00BC76A2">
        <w:rPr>
          <w:lang w:val="de-DE"/>
        </w:rPr>
        <w:br/>
      </w:r>
      <w:r w:rsidR="00050E16" w:rsidRPr="00BC76A2">
        <w:rPr>
          <w:lang w:val="de-DE"/>
        </w:rPr>
        <w:br/>
      </w:r>
      <w:r w:rsidR="00FD4341" w:rsidRPr="00BC76A2">
        <w:rPr>
          <w:color w:val="999999"/>
          <w:lang w:val="de-DE"/>
        </w:rPr>
        <w:t>Haftungsausschluß: Dieses Dokument gibt nicht die Grundsätze oder eine Anleitung der UPOV wieder</w:t>
      </w:r>
    </w:p>
    <w:p w:rsidR="00050E16" w:rsidRPr="00BC76A2" w:rsidRDefault="006E3F4B" w:rsidP="00BD1A54">
      <w:pPr>
        <w:rPr>
          <w:snapToGrid w:val="0"/>
          <w:lang w:val="de-DE"/>
        </w:rPr>
      </w:pPr>
      <w:r w:rsidRPr="00BC76A2">
        <w:rPr>
          <w:snapToGrid w:val="0"/>
          <w:lang w:val="de-DE"/>
        </w:rPr>
        <w:fldChar w:fldCharType="begin"/>
      </w:r>
      <w:r w:rsidRPr="00BC76A2">
        <w:rPr>
          <w:snapToGrid w:val="0"/>
          <w:lang w:val="de-DE"/>
        </w:rPr>
        <w:instrText xml:space="preserve"> AUTONUM  </w:instrText>
      </w:r>
      <w:r w:rsidRPr="00BC76A2">
        <w:rPr>
          <w:snapToGrid w:val="0"/>
          <w:lang w:val="de-DE"/>
        </w:rPr>
        <w:fldChar w:fldCharType="end"/>
      </w:r>
      <w:r w:rsidRPr="00BC76A2">
        <w:rPr>
          <w:snapToGrid w:val="0"/>
          <w:lang w:val="de-DE"/>
        </w:rPr>
        <w:tab/>
      </w:r>
      <w:r w:rsidR="00CF3566" w:rsidRPr="00BC76A2">
        <w:rPr>
          <w:snapToGrid w:val="0"/>
          <w:lang w:val="de-DE"/>
        </w:rPr>
        <w:t xml:space="preserve">Zweck dieses Dokuments ist es, über die Entwicklungen bei der UPOV seit der neunundvierzigsten Tagung des Technischen Ausschusses zu berichten, die nicht unter spezifischen Tagesordnungspunkten der fünfzigsten Tagung des Technischen Ausschusses aufgeführt sind. </w:t>
      </w:r>
      <w:r w:rsidR="0002090B" w:rsidRPr="00BC76A2">
        <w:rPr>
          <w:snapToGrid w:val="0"/>
          <w:lang w:val="de-DE"/>
        </w:rPr>
        <w:t xml:space="preserve">Hierzu </w:t>
      </w:r>
      <w:r w:rsidR="00CF3566" w:rsidRPr="00BC76A2">
        <w:rPr>
          <w:snapToGrid w:val="0"/>
          <w:lang w:val="de-DE"/>
        </w:rPr>
        <w:t>gehören</w:t>
      </w:r>
      <w:r w:rsidR="0002090B" w:rsidRPr="00BC76A2">
        <w:rPr>
          <w:snapToGrid w:val="0"/>
          <w:lang w:val="de-DE"/>
        </w:rPr>
        <w:t xml:space="preserve"> wichtige Angelegenheiten, die </w:t>
      </w:r>
      <w:r w:rsidR="00CF3566" w:rsidRPr="00BC76A2">
        <w:rPr>
          <w:snapToGrid w:val="0"/>
          <w:lang w:val="de-DE"/>
        </w:rPr>
        <w:t>auf</w:t>
      </w:r>
      <w:r w:rsidR="0002090B" w:rsidRPr="00BC76A2">
        <w:rPr>
          <w:snapToGrid w:val="0"/>
          <w:lang w:val="de-DE"/>
        </w:rPr>
        <w:t xml:space="preserve"> </w:t>
      </w:r>
      <w:r w:rsidR="00CF3566" w:rsidRPr="00BC76A2">
        <w:rPr>
          <w:snapToGrid w:val="0"/>
          <w:lang w:val="de-DE"/>
        </w:rPr>
        <w:t>den</w:t>
      </w:r>
      <w:r w:rsidR="0002090B" w:rsidRPr="00BC76A2">
        <w:rPr>
          <w:snapToGrid w:val="0"/>
          <w:lang w:val="de-DE"/>
        </w:rPr>
        <w:t xml:space="preserve"> letzten Tagungen des Verwaltungs- </w:t>
      </w:r>
      <w:r w:rsidR="00CF3566" w:rsidRPr="00BC76A2">
        <w:rPr>
          <w:snapToGrid w:val="0"/>
          <w:lang w:val="de-DE"/>
        </w:rPr>
        <w:t>und</w:t>
      </w:r>
      <w:r w:rsidR="0002090B" w:rsidRPr="00BC76A2">
        <w:rPr>
          <w:snapToGrid w:val="0"/>
          <w:lang w:val="de-DE"/>
        </w:rPr>
        <w:t xml:space="preserve"> </w:t>
      </w:r>
      <w:r w:rsidR="00CF3566" w:rsidRPr="00BC76A2">
        <w:rPr>
          <w:snapToGrid w:val="0"/>
          <w:lang w:val="de-DE"/>
        </w:rPr>
        <w:t>Rechtsausschusses</w:t>
      </w:r>
      <w:r w:rsidR="0002090B" w:rsidRPr="00BC76A2">
        <w:rPr>
          <w:snapToGrid w:val="0"/>
          <w:lang w:val="de-DE"/>
        </w:rPr>
        <w:t>, des Beratenden Ausschusses und des Rates erörtert wurden.</w:t>
      </w:r>
    </w:p>
    <w:p w:rsidR="00BD1A54" w:rsidRPr="00BC76A2" w:rsidRDefault="00BD1A54" w:rsidP="00BD1A54">
      <w:pPr>
        <w:rPr>
          <w:snapToGrid w:val="0"/>
          <w:lang w:val="de-DE"/>
        </w:rPr>
      </w:pPr>
    </w:p>
    <w:p w:rsidR="00BD1A54" w:rsidRPr="00BC76A2" w:rsidRDefault="00BD1A54" w:rsidP="00BD1A54">
      <w:pPr>
        <w:rPr>
          <w:snapToGrid w:val="0"/>
          <w:lang w:val="de-DE"/>
        </w:rPr>
      </w:pPr>
      <w:r w:rsidRPr="00BC76A2">
        <w:rPr>
          <w:snapToGrid w:val="0"/>
          <w:lang w:val="de-DE"/>
        </w:rPr>
        <w:fldChar w:fldCharType="begin"/>
      </w:r>
      <w:r w:rsidRPr="00BC76A2">
        <w:rPr>
          <w:snapToGrid w:val="0"/>
          <w:lang w:val="de-DE"/>
        </w:rPr>
        <w:instrText xml:space="preserve"> AUTONUM  </w:instrText>
      </w:r>
      <w:r w:rsidRPr="00BC76A2">
        <w:rPr>
          <w:snapToGrid w:val="0"/>
          <w:lang w:val="de-DE"/>
        </w:rPr>
        <w:fldChar w:fldCharType="end"/>
      </w:r>
      <w:r w:rsidRPr="00BC76A2">
        <w:rPr>
          <w:snapToGrid w:val="0"/>
          <w:lang w:val="de-DE"/>
        </w:rPr>
        <w:tab/>
      </w:r>
      <w:r w:rsidR="00CF3566" w:rsidRPr="00BC76A2">
        <w:rPr>
          <w:snapToGrid w:val="0"/>
          <w:lang w:val="de-DE"/>
        </w:rPr>
        <w:t>Dieses Dokument enthält auch Angelegenheiten, die vom Technischen Ausschu</w:t>
      </w:r>
      <w:r w:rsidR="00753412" w:rsidRPr="00BC76A2">
        <w:rPr>
          <w:snapToGrid w:val="0"/>
          <w:lang w:val="de-DE"/>
        </w:rPr>
        <w:t>ß</w:t>
      </w:r>
      <w:r w:rsidR="00CF3566" w:rsidRPr="00BC76A2">
        <w:rPr>
          <w:snapToGrid w:val="0"/>
          <w:lang w:val="de-DE"/>
        </w:rPr>
        <w:t xml:space="preserve"> in bezug auf folgendes zu prüfen sind: Anleitung zu Sortenbeschreiben, Angelegenheiten, die von der </w:t>
      </w:r>
      <w:r w:rsidR="00D372D6" w:rsidRPr="00BC76A2">
        <w:rPr>
          <w:i/>
          <w:snapToGrid w:val="0"/>
          <w:lang w:val="de-DE"/>
        </w:rPr>
        <w:t xml:space="preserve">International Seed </w:t>
      </w:r>
      <w:r w:rsidR="001C43D6" w:rsidRPr="00BC76A2">
        <w:rPr>
          <w:i/>
          <w:snapToGrid w:val="0"/>
          <w:lang w:val="de-DE"/>
        </w:rPr>
        <w:t>Federation</w:t>
      </w:r>
      <w:r w:rsidR="00CF3566" w:rsidRPr="00BC76A2">
        <w:rPr>
          <w:snapToGrid w:val="0"/>
          <w:lang w:val="de-DE"/>
        </w:rPr>
        <w:t xml:space="preserve"> (ISF) aufgeworfen wurden, und die Entwicklung der webbasierten TG-</w:t>
      </w:r>
      <w:r w:rsidR="004368E1" w:rsidRPr="00BC76A2">
        <w:rPr>
          <w:snapToGrid w:val="0"/>
          <w:lang w:val="de-DE"/>
        </w:rPr>
        <w:t>Musterv</w:t>
      </w:r>
      <w:r w:rsidR="00CF3566" w:rsidRPr="00BC76A2">
        <w:rPr>
          <w:snapToGrid w:val="0"/>
          <w:lang w:val="de-DE"/>
        </w:rPr>
        <w:t>orlage.</w:t>
      </w:r>
    </w:p>
    <w:p w:rsidR="00BD1A54" w:rsidRPr="00BC76A2" w:rsidRDefault="00BD1A54" w:rsidP="00BD1A54">
      <w:pPr>
        <w:rPr>
          <w:snapToGrid w:val="0"/>
          <w:lang w:val="de-DE"/>
        </w:rPr>
      </w:pPr>
    </w:p>
    <w:p w:rsidR="00BD1A54" w:rsidRPr="00BC76A2" w:rsidRDefault="00BD1A54" w:rsidP="00BD1A54">
      <w:pPr>
        <w:rPr>
          <w:snapToGrid w:val="0"/>
          <w:lang w:val="de-DE"/>
        </w:rPr>
      </w:pPr>
      <w:r w:rsidRPr="00BC76A2">
        <w:rPr>
          <w:snapToGrid w:val="0"/>
          <w:lang w:val="de-DE"/>
        </w:rPr>
        <w:fldChar w:fldCharType="begin"/>
      </w:r>
      <w:r w:rsidRPr="00BC76A2">
        <w:rPr>
          <w:snapToGrid w:val="0"/>
          <w:lang w:val="de-DE"/>
        </w:rPr>
        <w:instrText xml:space="preserve"> AUTONUM  </w:instrText>
      </w:r>
      <w:r w:rsidRPr="00BC76A2">
        <w:rPr>
          <w:snapToGrid w:val="0"/>
          <w:lang w:val="de-DE"/>
        </w:rPr>
        <w:fldChar w:fldCharType="end"/>
      </w:r>
      <w:r w:rsidRPr="00BC76A2">
        <w:rPr>
          <w:snapToGrid w:val="0"/>
          <w:lang w:val="de-DE"/>
        </w:rPr>
        <w:tab/>
      </w:r>
      <w:r w:rsidR="001C43D6" w:rsidRPr="00BC76A2">
        <w:rPr>
          <w:snapToGrid w:val="0"/>
          <w:lang w:val="de-DE"/>
        </w:rPr>
        <w:t>Auf der fünfzigsten Tagung des</w:t>
      </w:r>
      <w:r w:rsidR="0000528D" w:rsidRPr="00BC76A2">
        <w:rPr>
          <w:snapToGrid w:val="0"/>
          <w:lang w:val="de-DE"/>
        </w:rPr>
        <w:t xml:space="preserve"> </w:t>
      </w:r>
      <w:r w:rsidR="00CF3566" w:rsidRPr="00BC76A2">
        <w:rPr>
          <w:snapToGrid w:val="0"/>
          <w:lang w:val="de-DE"/>
        </w:rPr>
        <w:t>Technischen</w:t>
      </w:r>
      <w:r w:rsidR="0000528D" w:rsidRPr="00BC76A2">
        <w:rPr>
          <w:snapToGrid w:val="0"/>
          <w:lang w:val="de-DE"/>
        </w:rPr>
        <w:t xml:space="preserve"> Ausschuss</w:t>
      </w:r>
      <w:r w:rsidR="001C43D6" w:rsidRPr="00BC76A2">
        <w:rPr>
          <w:snapToGrid w:val="0"/>
          <w:lang w:val="de-DE"/>
        </w:rPr>
        <w:t>es</w:t>
      </w:r>
      <w:r w:rsidR="0000528D" w:rsidRPr="00BC76A2">
        <w:rPr>
          <w:snapToGrid w:val="0"/>
          <w:lang w:val="de-DE"/>
        </w:rPr>
        <w:t xml:space="preserve"> wird ein</w:t>
      </w:r>
      <w:r w:rsidR="001C43D6" w:rsidRPr="00BC76A2">
        <w:rPr>
          <w:snapToGrid w:val="0"/>
          <w:lang w:val="de-DE"/>
        </w:rPr>
        <w:t xml:space="preserve"> Referat gehalten werden, das</w:t>
      </w:r>
      <w:r w:rsidR="0000528D" w:rsidRPr="00BC76A2">
        <w:rPr>
          <w:snapToGrid w:val="0"/>
          <w:lang w:val="de-DE"/>
        </w:rPr>
        <w:t xml:space="preserve"> die Punkte in diesem </w:t>
      </w:r>
      <w:r w:rsidR="00CF3566" w:rsidRPr="00BC76A2">
        <w:rPr>
          <w:snapToGrid w:val="0"/>
          <w:lang w:val="de-DE"/>
        </w:rPr>
        <w:t>Dokument</w:t>
      </w:r>
      <w:r w:rsidR="0000528D" w:rsidRPr="00BC76A2">
        <w:rPr>
          <w:snapToGrid w:val="0"/>
          <w:lang w:val="de-DE"/>
        </w:rPr>
        <w:t xml:space="preserve"> zusammenfa</w:t>
      </w:r>
      <w:r w:rsidR="00753412" w:rsidRPr="00BC76A2">
        <w:rPr>
          <w:snapToGrid w:val="0"/>
          <w:lang w:val="de-DE"/>
        </w:rPr>
        <w:t>ß</w:t>
      </w:r>
      <w:r w:rsidR="0000528D" w:rsidRPr="00BC76A2">
        <w:rPr>
          <w:snapToGrid w:val="0"/>
          <w:lang w:val="de-DE"/>
        </w:rPr>
        <w:t>t. Ein Exemplar (nur in Englisch) liegt diesem Dokument als Anlage an.</w:t>
      </w:r>
    </w:p>
    <w:p w:rsidR="00050E16" w:rsidRPr="00BC76A2" w:rsidRDefault="00050E16" w:rsidP="004816A1">
      <w:pPr>
        <w:pStyle w:val="TOC1"/>
        <w:rPr>
          <w:snapToGrid w:val="0"/>
          <w:lang w:val="de-DE"/>
        </w:rPr>
      </w:pPr>
    </w:p>
    <w:p w:rsidR="00BD1A54" w:rsidRPr="00BC76A2" w:rsidRDefault="00BD1A54">
      <w:pPr>
        <w:jc w:val="left"/>
        <w:rPr>
          <w:lang w:val="de-DE"/>
        </w:rPr>
      </w:pPr>
      <w:r w:rsidRPr="00BC76A2">
        <w:rPr>
          <w:lang w:val="de-DE"/>
        </w:rPr>
        <w:br w:type="page"/>
      </w:r>
    </w:p>
    <w:p w:rsidR="0099668A" w:rsidRPr="00BC76A2" w:rsidRDefault="00997EA0" w:rsidP="002E3428">
      <w:pPr>
        <w:spacing w:after="180"/>
        <w:rPr>
          <w:u w:val="single"/>
          <w:lang w:val="de-DE"/>
        </w:rPr>
      </w:pPr>
      <w:r w:rsidRPr="00BC76A2">
        <w:rPr>
          <w:u w:val="single"/>
          <w:lang w:val="de-DE"/>
        </w:rPr>
        <w:lastRenderedPageBreak/>
        <w:t>Inhalt</w:t>
      </w:r>
    </w:p>
    <w:p w:rsidR="00424C7E" w:rsidRDefault="00424C7E">
      <w:pPr>
        <w:pStyle w:val="TOC1"/>
        <w:rPr>
          <w:rFonts w:asciiTheme="minorHAnsi" w:eastAsiaTheme="minorEastAsia" w:hAnsiTheme="minorHAnsi" w:cstheme="minorBidi"/>
          <w:caps w:val="0"/>
          <w:noProof/>
          <w:sz w:val="22"/>
          <w:szCs w:val="22"/>
          <w:lang w:val="fr-CH" w:eastAsia="fr-CH"/>
        </w:rPr>
      </w:pPr>
      <w:r>
        <w:rPr>
          <w:caps w:val="0"/>
          <w:lang w:val="de-DE"/>
        </w:rPr>
        <w:fldChar w:fldCharType="begin"/>
      </w:r>
      <w:r>
        <w:rPr>
          <w:caps w:val="0"/>
          <w:lang w:val="de-DE"/>
        </w:rPr>
        <w:instrText xml:space="preserve"> TOC \o "1-3" \h \z \u </w:instrText>
      </w:r>
      <w:r>
        <w:rPr>
          <w:caps w:val="0"/>
          <w:lang w:val="de-DE"/>
        </w:rPr>
        <w:fldChar w:fldCharType="separate"/>
      </w:r>
      <w:hyperlink w:anchor="_Toc380483650" w:history="1">
        <w:r w:rsidRPr="00DC1EF1">
          <w:rPr>
            <w:rStyle w:val="Hyperlink"/>
            <w:b/>
            <w:bCs/>
            <w:smallCaps/>
            <w:noProof/>
            <w:spacing w:val="5"/>
            <w:lang w:val="de-DE"/>
          </w:rPr>
          <w:t>I.</w:t>
        </w:r>
        <w:r>
          <w:rPr>
            <w:rFonts w:asciiTheme="minorHAnsi" w:eastAsiaTheme="minorEastAsia" w:hAnsiTheme="minorHAnsi" w:cstheme="minorBidi"/>
            <w:caps w:val="0"/>
            <w:noProof/>
            <w:sz w:val="22"/>
            <w:szCs w:val="22"/>
            <w:lang w:val="fr-CH" w:eastAsia="fr-CH"/>
          </w:rPr>
          <w:tab/>
        </w:r>
        <w:r w:rsidRPr="00DC1EF1">
          <w:rPr>
            <w:rStyle w:val="Hyperlink"/>
            <w:b/>
            <w:bCs/>
            <w:smallCaps/>
            <w:noProof/>
            <w:spacing w:val="5"/>
            <w:lang w:val="de-DE"/>
          </w:rPr>
          <w:t>FRAGEN ZUR Information</w:t>
        </w:r>
        <w:r>
          <w:rPr>
            <w:noProof/>
            <w:webHidden/>
          </w:rPr>
          <w:tab/>
        </w:r>
        <w:r>
          <w:rPr>
            <w:noProof/>
            <w:webHidden/>
          </w:rPr>
          <w:fldChar w:fldCharType="begin"/>
        </w:r>
        <w:r>
          <w:rPr>
            <w:noProof/>
            <w:webHidden/>
          </w:rPr>
          <w:instrText xml:space="preserve"> PAGEREF _Toc380483650 \h </w:instrText>
        </w:r>
        <w:r>
          <w:rPr>
            <w:noProof/>
            <w:webHidden/>
          </w:rPr>
        </w:r>
        <w:r>
          <w:rPr>
            <w:noProof/>
            <w:webHidden/>
          </w:rPr>
          <w:fldChar w:fldCharType="separate"/>
        </w:r>
        <w:r w:rsidR="004D1C9D">
          <w:rPr>
            <w:noProof/>
            <w:webHidden/>
          </w:rPr>
          <w:t>4</w:t>
        </w:r>
        <w:r>
          <w:rPr>
            <w:noProof/>
            <w:webHidden/>
          </w:rPr>
          <w:fldChar w:fldCharType="end"/>
        </w:r>
      </w:hyperlink>
    </w:p>
    <w:p w:rsidR="00424C7E" w:rsidRDefault="00574BB5">
      <w:pPr>
        <w:pStyle w:val="TOC1"/>
        <w:rPr>
          <w:rFonts w:asciiTheme="minorHAnsi" w:eastAsiaTheme="minorEastAsia" w:hAnsiTheme="minorHAnsi" w:cstheme="minorBidi"/>
          <w:caps w:val="0"/>
          <w:noProof/>
          <w:sz w:val="22"/>
          <w:szCs w:val="22"/>
          <w:lang w:val="fr-CH" w:eastAsia="fr-CH"/>
        </w:rPr>
      </w:pPr>
      <w:hyperlink w:anchor="_Toc380483651" w:history="1">
        <w:r w:rsidR="00424C7E" w:rsidRPr="00DC1EF1">
          <w:rPr>
            <w:rStyle w:val="Hyperlink"/>
            <w:noProof/>
            <w:lang w:val="de-DE"/>
          </w:rPr>
          <w:t>MITGLIEDERZAHL</w:t>
        </w:r>
        <w:r w:rsidR="00424C7E">
          <w:rPr>
            <w:noProof/>
            <w:webHidden/>
          </w:rPr>
          <w:tab/>
        </w:r>
        <w:r w:rsidR="00424C7E">
          <w:rPr>
            <w:noProof/>
            <w:webHidden/>
          </w:rPr>
          <w:fldChar w:fldCharType="begin"/>
        </w:r>
        <w:r w:rsidR="00424C7E">
          <w:rPr>
            <w:noProof/>
            <w:webHidden/>
          </w:rPr>
          <w:instrText xml:space="preserve"> PAGEREF _Toc380483651 \h </w:instrText>
        </w:r>
        <w:r w:rsidR="00424C7E">
          <w:rPr>
            <w:noProof/>
            <w:webHidden/>
          </w:rPr>
        </w:r>
        <w:r w:rsidR="00424C7E">
          <w:rPr>
            <w:noProof/>
            <w:webHidden/>
          </w:rPr>
          <w:fldChar w:fldCharType="separate"/>
        </w:r>
        <w:r w:rsidR="004D1C9D">
          <w:rPr>
            <w:noProof/>
            <w:webHidden/>
          </w:rPr>
          <w:t>4</w:t>
        </w:r>
        <w:r w:rsidR="00424C7E">
          <w:rPr>
            <w:noProof/>
            <w:webHidden/>
          </w:rPr>
          <w:fldChar w:fldCharType="end"/>
        </w:r>
      </w:hyperlink>
    </w:p>
    <w:p w:rsidR="00424C7E" w:rsidRDefault="00574BB5">
      <w:pPr>
        <w:pStyle w:val="TOC2"/>
        <w:rPr>
          <w:rFonts w:asciiTheme="minorHAnsi" w:eastAsiaTheme="minorEastAsia" w:hAnsiTheme="minorHAnsi" w:cstheme="minorBidi"/>
          <w:smallCaps w:val="0"/>
          <w:noProof/>
          <w:sz w:val="22"/>
          <w:szCs w:val="22"/>
          <w:lang w:val="fr-CH" w:eastAsia="fr-CH"/>
        </w:rPr>
      </w:pPr>
      <w:hyperlink w:anchor="_Toc380483652" w:history="1">
        <w:r w:rsidR="00424C7E" w:rsidRPr="00DC1EF1">
          <w:rPr>
            <w:rStyle w:val="Hyperlink"/>
            <w:noProof/>
            <w:lang w:val="de-DE"/>
          </w:rPr>
          <w:t>Verbandsmitglieder</w:t>
        </w:r>
        <w:r w:rsidR="00424C7E">
          <w:rPr>
            <w:noProof/>
            <w:webHidden/>
          </w:rPr>
          <w:tab/>
        </w:r>
        <w:r w:rsidR="00424C7E">
          <w:rPr>
            <w:noProof/>
            <w:webHidden/>
          </w:rPr>
          <w:fldChar w:fldCharType="begin"/>
        </w:r>
        <w:r w:rsidR="00424C7E">
          <w:rPr>
            <w:noProof/>
            <w:webHidden/>
          </w:rPr>
          <w:instrText xml:space="preserve"> PAGEREF _Toc380483652 \h </w:instrText>
        </w:r>
        <w:r w:rsidR="00424C7E">
          <w:rPr>
            <w:noProof/>
            <w:webHidden/>
          </w:rPr>
        </w:r>
        <w:r w:rsidR="00424C7E">
          <w:rPr>
            <w:noProof/>
            <w:webHidden/>
          </w:rPr>
          <w:fldChar w:fldCharType="separate"/>
        </w:r>
        <w:r w:rsidR="004D1C9D">
          <w:rPr>
            <w:noProof/>
            <w:webHidden/>
          </w:rPr>
          <w:t>4</w:t>
        </w:r>
        <w:r w:rsidR="00424C7E">
          <w:rPr>
            <w:noProof/>
            <w:webHidden/>
          </w:rPr>
          <w:fldChar w:fldCharType="end"/>
        </w:r>
      </w:hyperlink>
    </w:p>
    <w:p w:rsidR="00424C7E" w:rsidRDefault="00574BB5">
      <w:pPr>
        <w:pStyle w:val="TOC2"/>
        <w:rPr>
          <w:rFonts w:asciiTheme="minorHAnsi" w:eastAsiaTheme="minorEastAsia" w:hAnsiTheme="minorHAnsi" w:cstheme="minorBidi"/>
          <w:smallCaps w:val="0"/>
          <w:noProof/>
          <w:sz w:val="22"/>
          <w:szCs w:val="22"/>
          <w:lang w:val="fr-CH" w:eastAsia="fr-CH"/>
        </w:rPr>
      </w:pPr>
      <w:hyperlink w:anchor="_Toc380483653" w:history="1">
        <w:r w:rsidR="00424C7E" w:rsidRPr="00DC1EF1">
          <w:rPr>
            <w:rStyle w:val="Hyperlink"/>
            <w:noProof/>
            <w:lang w:val="de-DE"/>
          </w:rPr>
          <w:t>Prüfung von Gesetzen</w:t>
        </w:r>
        <w:r w:rsidR="00424C7E">
          <w:rPr>
            <w:noProof/>
            <w:webHidden/>
          </w:rPr>
          <w:tab/>
        </w:r>
        <w:r w:rsidR="00424C7E">
          <w:rPr>
            <w:noProof/>
            <w:webHidden/>
          </w:rPr>
          <w:fldChar w:fldCharType="begin"/>
        </w:r>
        <w:r w:rsidR="00424C7E">
          <w:rPr>
            <w:noProof/>
            <w:webHidden/>
          </w:rPr>
          <w:instrText xml:space="preserve"> PAGEREF _Toc380483653 \h </w:instrText>
        </w:r>
        <w:r w:rsidR="00424C7E">
          <w:rPr>
            <w:noProof/>
            <w:webHidden/>
          </w:rPr>
        </w:r>
        <w:r w:rsidR="00424C7E">
          <w:rPr>
            <w:noProof/>
            <w:webHidden/>
          </w:rPr>
          <w:fldChar w:fldCharType="separate"/>
        </w:r>
        <w:r w:rsidR="004D1C9D">
          <w:rPr>
            <w:noProof/>
            <w:webHidden/>
          </w:rPr>
          <w:t>4</w:t>
        </w:r>
        <w:r w:rsidR="00424C7E">
          <w:rPr>
            <w:noProof/>
            <w:webHidden/>
          </w:rPr>
          <w:fldChar w:fldCharType="end"/>
        </w:r>
      </w:hyperlink>
    </w:p>
    <w:p w:rsidR="00424C7E" w:rsidRDefault="00574BB5">
      <w:pPr>
        <w:pStyle w:val="TOC3"/>
        <w:rPr>
          <w:rFonts w:asciiTheme="minorHAnsi" w:eastAsiaTheme="minorEastAsia" w:hAnsiTheme="minorHAnsi" w:cstheme="minorBidi"/>
          <w:noProof/>
          <w:sz w:val="22"/>
          <w:szCs w:val="22"/>
          <w:lang w:val="fr-CH" w:eastAsia="fr-CH"/>
        </w:rPr>
      </w:pPr>
      <w:hyperlink w:anchor="_Toc380483654" w:history="1">
        <w:r w:rsidR="00424C7E" w:rsidRPr="00DC1EF1">
          <w:rPr>
            <w:rStyle w:val="Hyperlink"/>
            <w:noProof/>
            <w:lang w:val="de-DE"/>
          </w:rPr>
          <w:t>Sansibar</w:t>
        </w:r>
        <w:r w:rsidR="00424C7E">
          <w:rPr>
            <w:noProof/>
            <w:webHidden/>
          </w:rPr>
          <w:tab/>
        </w:r>
        <w:r w:rsidR="00424C7E">
          <w:rPr>
            <w:noProof/>
            <w:webHidden/>
          </w:rPr>
          <w:fldChar w:fldCharType="begin"/>
        </w:r>
        <w:r w:rsidR="00424C7E">
          <w:rPr>
            <w:noProof/>
            <w:webHidden/>
          </w:rPr>
          <w:instrText xml:space="preserve"> PAGEREF _Toc380483654 \h </w:instrText>
        </w:r>
        <w:r w:rsidR="00424C7E">
          <w:rPr>
            <w:noProof/>
            <w:webHidden/>
          </w:rPr>
        </w:r>
        <w:r w:rsidR="00424C7E">
          <w:rPr>
            <w:noProof/>
            <w:webHidden/>
          </w:rPr>
          <w:fldChar w:fldCharType="separate"/>
        </w:r>
        <w:r w:rsidR="004D1C9D">
          <w:rPr>
            <w:noProof/>
            <w:webHidden/>
          </w:rPr>
          <w:t>4</w:t>
        </w:r>
        <w:r w:rsidR="00424C7E">
          <w:rPr>
            <w:noProof/>
            <w:webHidden/>
          </w:rPr>
          <w:fldChar w:fldCharType="end"/>
        </w:r>
      </w:hyperlink>
    </w:p>
    <w:p w:rsidR="00424C7E" w:rsidRDefault="00574BB5">
      <w:pPr>
        <w:pStyle w:val="TOC3"/>
        <w:rPr>
          <w:rFonts w:asciiTheme="minorHAnsi" w:eastAsiaTheme="minorEastAsia" w:hAnsiTheme="minorHAnsi" w:cstheme="minorBidi"/>
          <w:noProof/>
          <w:sz w:val="22"/>
          <w:szCs w:val="22"/>
          <w:lang w:val="fr-CH" w:eastAsia="fr-CH"/>
        </w:rPr>
      </w:pPr>
      <w:hyperlink w:anchor="_Toc380483655" w:history="1">
        <w:r w:rsidR="00424C7E" w:rsidRPr="00DC1EF1">
          <w:rPr>
            <w:rStyle w:val="Hyperlink"/>
            <w:noProof/>
            <w:lang w:val="de-DE"/>
          </w:rPr>
          <w:t>Bosnien-Herzegowina</w:t>
        </w:r>
        <w:r w:rsidR="00424C7E">
          <w:rPr>
            <w:noProof/>
            <w:webHidden/>
          </w:rPr>
          <w:tab/>
        </w:r>
        <w:r w:rsidR="00424C7E">
          <w:rPr>
            <w:noProof/>
            <w:webHidden/>
          </w:rPr>
          <w:fldChar w:fldCharType="begin"/>
        </w:r>
        <w:r w:rsidR="00424C7E">
          <w:rPr>
            <w:noProof/>
            <w:webHidden/>
          </w:rPr>
          <w:instrText xml:space="preserve"> PAGEREF _Toc380483655 \h </w:instrText>
        </w:r>
        <w:r w:rsidR="00424C7E">
          <w:rPr>
            <w:noProof/>
            <w:webHidden/>
          </w:rPr>
        </w:r>
        <w:r w:rsidR="00424C7E">
          <w:rPr>
            <w:noProof/>
            <w:webHidden/>
          </w:rPr>
          <w:fldChar w:fldCharType="separate"/>
        </w:r>
        <w:r w:rsidR="004D1C9D">
          <w:rPr>
            <w:noProof/>
            <w:webHidden/>
          </w:rPr>
          <w:t>4</w:t>
        </w:r>
        <w:r w:rsidR="00424C7E">
          <w:rPr>
            <w:noProof/>
            <w:webHidden/>
          </w:rPr>
          <w:fldChar w:fldCharType="end"/>
        </w:r>
      </w:hyperlink>
    </w:p>
    <w:p w:rsidR="00424C7E" w:rsidRDefault="00574BB5">
      <w:pPr>
        <w:pStyle w:val="TOC1"/>
        <w:rPr>
          <w:rFonts w:asciiTheme="minorHAnsi" w:eastAsiaTheme="minorEastAsia" w:hAnsiTheme="minorHAnsi" w:cstheme="minorBidi"/>
          <w:caps w:val="0"/>
          <w:noProof/>
          <w:sz w:val="22"/>
          <w:szCs w:val="22"/>
          <w:lang w:val="fr-CH" w:eastAsia="fr-CH"/>
        </w:rPr>
      </w:pPr>
      <w:hyperlink w:anchor="_Toc380483656" w:history="1">
        <w:r w:rsidR="00424C7E" w:rsidRPr="00DC1EF1">
          <w:rPr>
            <w:rStyle w:val="Hyperlink"/>
            <w:noProof/>
            <w:lang w:val="de-DE"/>
          </w:rPr>
          <w:t>sortenschutzStatistiK</w:t>
        </w:r>
        <w:r w:rsidR="00424C7E">
          <w:rPr>
            <w:noProof/>
            <w:webHidden/>
          </w:rPr>
          <w:tab/>
        </w:r>
        <w:r w:rsidR="00424C7E">
          <w:rPr>
            <w:noProof/>
            <w:webHidden/>
          </w:rPr>
          <w:fldChar w:fldCharType="begin"/>
        </w:r>
        <w:r w:rsidR="00424C7E">
          <w:rPr>
            <w:noProof/>
            <w:webHidden/>
          </w:rPr>
          <w:instrText xml:space="preserve"> PAGEREF _Toc380483656 \h </w:instrText>
        </w:r>
        <w:r w:rsidR="00424C7E">
          <w:rPr>
            <w:noProof/>
            <w:webHidden/>
          </w:rPr>
        </w:r>
        <w:r w:rsidR="00424C7E">
          <w:rPr>
            <w:noProof/>
            <w:webHidden/>
          </w:rPr>
          <w:fldChar w:fldCharType="separate"/>
        </w:r>
        <w:r w:rsidR="004D1C9D">
          <w:rPr>
            <w:noProof/>
            <w:webHidden/>
          </w:rPr>
          <w:t>4</w:t>
        </w:r>
        <w:r w:rsidR="00424C7E">
          <w:rPr>
            <w:noProof/>
            <w:webHidden/>
          </w:rPr>
          <w:fldChar w:fldCharType="end"/>
        </w:r>
      </w:hyperlink>
    </w:p>
    <w:p w:rsidR="00424C7E" w:rsidRDefault="00574BB5">
      <w:pPr>
        <w:pStyle w:val="TOC2"/>
        <w:rPr>
          <w:rFonts w:asciiTheme="minorHAnsi" w:eastAsiaTheme="minorEastAsia" w:hAnsiTheme="minorHAnsi" w:cstheme="minorBidi"/>
          <w:smallCaps w:val="0"/>
          <w:noProof/>
          <w:sz w:val="22"/>
          <w:szCs w:val="22"/>
          <w:lang w:val="fr-CH" w:eastAsia="fr-CH"/>
        </w:rPr>
      </w:pPr>
      <w:hyperlink w:anchor="_Toc380483657" w:history="1">
        <w:r w:rsidR="00424C7E" w:rsidRPr="00DC1EF1">
          <w:rPr>
            <w:rStyle w:val="Hyperlink"/>
            <w:rFonts w:eastAsia="MS Mincho"/>
            <w:noProof/>
            <w:lang w:val="de-DE" w:eastAsia="ja-JP"/>
          </w:rPr>
          <w:t>Liste der in den Verbandsmitgliedern schutzfähigen Taxa</w:t>
        </w:r>
        <w:r w:rsidR="00424C7E">
          <w:rPr>
            <w:noProof/>
            <w:webHidden/>
          </w:rPr>
          <w:tab/>
        </w:r>
        <w:r w:rsidR="00424C7E">
          <w:rPr>
            <w:noProof/>
            <w:webHidden/>
          </w:rPr>
          <w:fldChar w:fldCharType="begin"/>
        </w:r>
        <w:r w:rsidR="00424C7E">
          <w:rPr>
            <w:noProof/>
            <w:webHidden/>
          </w:rPr>
          <w:instrText xml:space="preserve"> PAGEREF _Toc380483657 \h </w:instrText>
        </w:r>
        <w:r w:rsidR="00424C7E">
          <w:rPr>
            <w:noProof/>
            <w:webHidden/>
          </w:rPr>
        </w:r>
        <w:r w:rsidR="00424C7E">
          <w:rPr>
            <w:noProof/>
            <w:webHidden/>
          </w:rPr>
          <w:fldChar w:fldCharType="separate"/>
        </w:r>
        <w:r w:rsidR="004D1C9D">
          <w:rPr>
            <w:noProof/>
            <w:webHidden/>
          </w:rPr>
          <w:t>4</w:t>
        </w:r>
        <w:r w:rsidR="00424C7E">
          <w:rPr>
            <w:noProof/>
            <w:webHidden/>
          </w:rPr>
          <w:fldChar w:fldCharType="end"/>
        </w:r>
      </w:hyperlink>
    </w:p>
    <w:p w:rsidR="00424C7E" w:rsidRDefault="00574BB5">
      <w:pPr>
        <w:pStyle w:val="TOC2"/>
        <w:rPr>
          <w:rFonts w:asciiTheme="minorHAnsi" w:eastAsiaTheme="minorEastAsia" w:hAnsiTheme="minorHAnsi" w:cstheme="minorBidi"/>
          <w:smallCaps w:val="0"/>
          <w:noProof/>
          <w:sz w:val="22"/>
          <w:szCs w:val="22"/>
          <w:lang w:val="fr-CH" w:eastAsia="fr-CH"/>
        </w:rPr>
      </w:pPr>
      <w:hyperlink w:anchor="_Toc380483658" w:history="1">
        <w:r w:rsidR="00424C7E" w:rsidRPr="00DC1EF1">
          <w:rPr>
            <w:rStyle w:val="Hyperlink"/>
            <w:noProof/>
            <w:lang w:val="de-DE"/>
          </w:rPr>
          <w:t>Sortenschutzstatistik</w:t>
        </w:r>
        <w:r w:rsidR="00424C7E">
          <w:rPr>
            <w:noProof/>
            <w:webHidden/>
          </w:rPr>
          <w:tab/>
        </w:r>
        <w:r w:rsidR="00424C7E">
          <w:rPr>
            <w:noProof/>
            <w:webHidden/>
          </w:rPr>
          <w:fldChar w:fldCharType="begin"/>
        </w:r>
        <w:r w:rsidR="00424C7E">
          <w:rPr>
            <w:noProof/>
            <w:webHidden/>
          </w:rPr>
          <w:instrText xml:space="preserve"> PAGEREF _Toc380483658 \h </w:instrText>
        </w:r>
        <w:r w:rsidR="00424C7E">
          <w:rPr>
            <w:noProof/>
            <w:webHidden/>
          </w:rPr>
        </w:r>
        <w:r w:rsidR="00424C7E">
          <w:rPr>
            <w:noProof/>
            <w:webHidden/>
          </w:rPr>
          <w:fldChar w:fldCharType="separate"/>
        </w:r>
        <w:r w:rsidR="004D1C9D">
          <w:rPr>
            <w:noProof/>
            <w:webHidden/>
          </w:rPr>
          <w:t>4</w:t>
        </w:r>
        <w:r w:rsidR="00424C7E">
          <w:rPr>
            <w:noProof/>
            <w:webHidden/>
          </w:rPr>
          <w:fldChar w:fldCharType="end"/>
        </w:r>
      </w:hyperlink>
    </w:p>
    <w:p w:rsidR="00424C7E" w:rsidRDefault="00574BB5">
      <w:pPr>
        <w:pStyle w:val="TOC2"/>
        <w:rPr>
          <w:rFonts w:asciiTheme="minorHAnsi" w:eastAsiaTheme="minorEastAsia" w:hAnsiTheme="minorHAnsi" w:cstheme="minorBidi"/>
          <w:smallCaps w:val="0"/>
          <w:noProof/>
          <w:sz w:val="22"/>
          <w:szCs w:val="22"/>
          <w:lang w:val="fr-CH" w:eastAsia="fr-CH"/>
        </w:rPr>
      </w:pPr>
      <w:hyperlink w:anchor="_Toc380483659" w:history="1">
        <w:r w:rsidR="00424C7E" w:rsidRPr="00DC1EF1">
          <w:rPr>
            <w:rStyle w:val="Hyperlink"/>
            <w:noProof/>
            <w:lang w:val="de-DE"/>
          </w:rPr>
          <w:t>Zusammenarbeit bei der Prüfung von Pflanzenzüchtungen</w:t>
        </w:r>
        <w:r w:rsidR="00424C7E">
          <w:rPr>
            <w:noProof/>
            <w:webHidden/>
          </w:rPr>
          <w:tab/>
        </w:r>
        <w:r w:rsidR="00424C7E">
          <w:rPr>
            <w:noProof/>
            <w:webHidden/>
          </w:rPr>
          <w:fldChar w:fldCharType="begin"/>
        </w:r>
        <w:r w:rsidR="00424C7E">
          <w:rPr>
            <w:noProof/>
            <w:webHidden/>
          </w:rPr>
          <w:instrText xml:space="preserve"> PAGEREF _Toc380483659 \h </w:instrText>
        </w:r>
        <w:r w:rsidR="00424C7E">
          <w:rPr>
            <w:noProof/>
            <w:webHidden/>
          </w:rPr>
        </w:r>
        <w:r w:rsidR="00424C7E">
          <w:rPr>
            <w:noProof/>
            <w:webHidden/>
          </w:rPr>
          <w:fldChar w:fldCharType="separate"/>
        </w:r>
        <w:r w:rsidR="004D1C9D">
          <w:rPr>
            <w:noProof/>
            <w:webHidden/>
          </w:rPr>
          <w:t>5</w:t>
        </w:r>
        <w:r w:rsidR="00424C7E">
          <w:rPr>
            <w:noProof/>
            <w:webHidden/>
          </w:rPr>
          <w:fldChar w:fldCharType="end"/>
        </w:r>
      </w:hyperlink>
    </w:p>
    <w:p w:rsidR="00424C7E" w:rsidRDefault="00574BB5">
      <w:pPr>
        <w:pStyle w:val="TOC1"/>
        <w:rPr>
          <w:rFonts w:asciiTheme="minorHAnsi" w:eastAsiaTheme="minorEastAsia" w:hAnsiTheme="minorHAnsi" w:cstheme="minorBidi"/>
          <w:caps w:val="0"/>
          <w:noProof/>
          <w:sz w:val="22"/>
          <w:szCs w:val="22"/>
          <w:lang w:val="fr-CH" w:eastAsia="fr-CH"/>
        </w:rPr>
      </w:pPr>
      <w:hyperlink w:anchor="_Toc380483660" w:history="1">
        <w:r w:rsidR="00424C7E" w:rsidRPr="00DC1EF1">
          <w:rPr>
            <w:rStyle w:val="Hyperlink"/>
            <w:noProof/>
            <w:lang w:val="de-DE"/>
          </w:rPr>
          <w:t>Finanzlage</w:t>
        </w:r>
        <w:r w:rsidR="00424C7E">
          <w:rPr>
            <w:noProof/>
            <w:webHidden/>
          </w:rPr>
          <w:tab/>
        </w:r>
        <w:r w:rsidR="00424C7E">
          <w:rPr>
            <w:noProof/>
            <w:webHidden/>
          </w:rPr>
          <w:fldChar w:fldCharType="begin"/>
        </w:r>
        <w:r w:rsidR="00424C7E">
          <w:rPr>
            <w:noProof/>
            <w:webHidden/>
          </w:rPr>
          <w:instrText xml:space="preserve"> PAGEREF _Toc380483660 \h </w:instrText>
        </w:r>
        <w:r w:rsidR="00424C7E">
          <w:rPr>
            <w:noProof/>
            <w:webHidden/>
          </w:rPr>
        </w:r>
        <w:r w:rsidR="00424C7E">
          <w:rPr>
            <w:noProof/>
            <w:webHidden/>
          </w:rPr>
          <w:fldChar w:fldCharType="separate"/>
        </w:r>
        <w:r w:rsidR="004D1C9D">
          <w:rPr>
            <w:noProof/>
            <w:webHidden/>
          </w:rPr>
          <w:t>5</w:t>
        </w:r>
        <w:r w:rsidR="00424C7E">
          <w:rPr>
            <w:noProof/>
            <w:webHidden/>
          </w:rPr>
          <w:fldChar w:fldCharType="end"/>
        </w:r>
      </w:hyperlink>
    </w:p>
    <w:p w:rsidR="00424C7E" w:rsidRDefault="00574BB5">
      <w:pPr>
        <w:pStyle w:val="TOC2"/>
        <w:rPr>
          <w:rFonts w:asciiTheme="minorHAnsi" w:eastAsiaTheme="minorEastAsia" w:hAnsiTheme="minorHAnsi" w:cstheme="minorBidi"/>
          <w:smallCaps w:val="0"/>
          <w:noProof/>
          <w:sz w:val="22"/>
          <w:szCs w:val="22"/>
          <w:lang w:val="fr-CH" w:eastAsia="fr-CH"/>
        </w:rPr>
      </w:pPr>
      <w:hyperlink w:anchor="_Toc380483661" w:history="1">
        <w:r w:rsidR="00424C7E" w:rsidRPr="00DC1EF1">
          <w:rPr>
            <w:rStyle w:val="Hyperlink"/>
            <w:noProof/>
            <w:lang w:val="de-DE"/>
          </w:rPr>
          <w:t>Programm und Haushaltsplan für die Rechnungsperiode 2014-2015</w:t>
        </w:r>
        <w:r w:rsidR="00424C7E">
          <w:rPr>
            <w:noProof/>
            <w:webHidden/>
          </w:rPr>
          <w:tab/>
        </w:r>
        <w:r w:rsidR="00424C7E">
          <w:rPr>
            <w:noProof/>
            <w:webHidden/>
          </w:rPr>
          <w:fldChar w:fldCharType="begin"/>
        </w:r>
        <w:r w:rsidR="00424C7E">
          <w:rPr>
            <w:noProof/>
            <w:webHidden/>
          </w:rPr>
          <w:instrText xml:space="preserve"> PAGEREF _Toc380483661 \h </w:instrText>
        </w:r>
        <w:r w:rsidR="00424C7E">
          <w:rPr>
            <w:noProof/>
            <w:webHidden/>
          </w:rPr>
        </w:r>
        <w:r w:rsidR="00424C7E">
          <w:rPr>
            <w:noProof/>
            <w:webHidden/>
          </w:rPr>
          <w:fldChar w:fldCharType="separate"/>
        </w:r>
        <w:r w:rsidR="004D1C9D">
          <w:rPr>
            <w:noProof/>
            <w:webHidden/>
          </w:rPr>
          <w:t>5</w:t>
        </w:r>
        <w:r w:rsidR="00424C7E">
          <w:rPr>
            <w:noProof/>
            <w:webHidden/>
          </w:rPr>
          <w:fldChar w:fldCharType="end"/>
        </w:r>
      </w:hyperlink>
    </w:p>
    <w:p w:rsidR="00424C7E" w:rsidRDefault="00574BB5">
      <w:pPr>
        <w:pStyle w:val="TOC2"/>
        <w:rPr>
          <w:rFonts w:asciiTheme="minorHAnsi" w:eastAsiaTheme="minorEastAsia" w:hAnsiTheme="minorHAnsi" w:cstheme="minorBidi"/>
          <w:smallCaps w:val="0"/>
          <w:noProof/>
          <w:sz w:val="22"/>
          <w:szCs w:val="22"/>
          <w:lang w:val="fr-CH" w:eastAsia="fr-CH"/>
        </w:rPr>
      </w:pPr>
      <w:hyperlink w:anchor="_Toc380483662" w:history="1">
        <w:r w:rsidR="00424C7E" w:rsidRPr="00DC1EF1">
          <w:rPr>
            <w:rStyle w:val="Hyperlink"/>
            <w:noProof/>
            <w:snapToGrid w:val="0"/>
            <w:lang w:val="de-DE"/>
          </w:rPr>
          <w:t>Reservefonds</w:t>
        </w:r>
        <w:r w:rsidR="00424C7E">
          <w:rPr>
            <w:noProof/>
            <w:webHidden/>
          </w:rPr>
          <w:tab/>
        </w:r>
        <w:r w:rsidR="00424C7E">
          <w:rPr>
            <w:noProof/>
            <w:webHidden/>
          </w:rPr>
          <w:fldChar w:fldCharType="begin"/>
        </w:r>
        <w:r w:rsidR="00424C7E">
          <w:rPr>
            <w:noProof/>
            <w:webHidden/>
          </w:rPr>
          <w:instrText xml:space="preserve"> PAGEREF _Toc380483662 \h </w:instrText>
        </w:r>
        <w:r w:rsidR="00424C7E">
          <w:rPr>
            <w:noProof/>
            <w:webHidden/>
          </w:rPr>
        </w:r>
        <w:r w:rsidR="00424C7E">
          <w:rPr>
            <w:noProof/>
            <w:webHidden/>
          </w:rPr>
          <w:fldChar w:fldCharType="separate"/>
        </w:r>
        <w:r w:rsidR="004D1C9D">
          <w:rPr>
            <w:noProof/>
            <w:webHidden/>
          </w:rPr>
          <w:t>5</w:t>
        </w:r>
        <w:r w:rsidR="00424C7E">
          <w:rPr>
            <w:noProof/>
            <w:webHidden/>
          </w:rPr>
          <w:fldChar w:fldCharType="end"/>
        </w:r>
      </w:hyperlink>
    </w:p>
    <w:p w:rsidR="00424C7E" w:rsidRDefault="00574BB5">
      <w:pPr>
        <w:pStyle w:val="TOC1"/>
        <w:rPr>
          <w:rFonts w:asciiTheme="minorHAnsi" w:eastAsiaTheme="minorEastAsia" w:hAnsiTheme="minorHAnsi" w:cstheme="minorBidi"/>
          <w:caps w:val="0"/>
          <w:noProof/>
          <w:sz w:val="22"/>
          <w:szCs w:val="22"/>
          <w:lang w:val="fr-CH" w:eastAsia="fr-CH"/>
        </w:rPr>
      </w:pPr>
      <w:hyperlink w:anchor="_Toc380483663" w:history="1">
        <w:r w:rsidR="00424C7E" w:rsidRPr="00DC1EF1">
          <w:rPr>
            <w:rStyle w:val="Hyperlink"/>
            <w:noProof/>
            <w:lang w:val="de-DE"/>
          </w:rPr>
          <w:t>vorsitz der upov-organe</w:t>
        </w:r>
        <w:r w:rsidR="00424C7E">
          <w:rPr>
            <w:noProof/>
            <w:webHidden/>
          </w:rPr>
          <w:tab/>
        </w:r>
        <w:r w:rsidR="00424C7E">
          <w:rPr>
            <w:noProof/>
            <w:webHidden/>
          </w:rPr>
          <w:fldChar w:fldCharType="begin"/>
        </w:r>
        <w:r w:rsidR="00424C7E">
          <w:rPr>
            <w:noProof/>
            <w:webHidden/>
          </w:rPr>
          <w:instrText xml:space="preserve"> PAGEREF _Toc380483663 \h </w:instrText>
        </w:r>
        <w:r w:rsidR="00424C7E">
          <w:rPr>
            <w:noProof/>
            <w:webHidden/>
          </w:rPr>
        </w:r>
        <w:r w:rsidR="00424C7E">
          <w:rPr>
            <w:noProof/>
            <w:webHidden/>
          </w:rPr>
          <w:fldChar w:fldCharType="separate"/>
        </w:r>
        <w:r w:rsidR="004D1C9D">
          <w:rPr>
            <w:noProof/>
            <w:webHidden/>
          </w:rPr>
          <w:t>6</w:t>
        </w:r>
        <w:r w:rsidR="00424C7E">
          <w:rPr>
            <w:noProof/>
            <w:webHidden/>
          </w:rPr>
          <w:fldChar w:fldCharType="end"/>
        </w:r>
      </w:hyperlink>
    </w:p>
    <w:p w:rsidR="00424C7E" w:rsidRDefault="00574BB5">
      <w:pPr>
        <w:pStyle w:val="TOC1"/>
        <w:rPr>
          <w:rFonts w:asciiTheme="minorHAnsi" w:eastAsiaTheme="minorEastAsia" w:hAnsiTheme="minorHAnsi" w:cstheme="minorBidi"/>
          <w:caps w:val="0"/>
          <w:noProof/>
          <w:sz w:val="22"/>
          <w:szCs w:val="22"/>
          <w:lang w:val="fr-CH" w:eastAsia="fr-CH"/>
        </w:rPr>
      </w:pPr>
      <w:hyperlink w:anchor="_Toc380483664" w:history="1">
        <w:r w:rsidR="00424C7E" w:rsidRPr="00DC1EF1">
          <w:rPr>
            <w:rStyle w:val="Hyperlink"/>
            <w:noProof/>
            <w:lang w:val="de-DE"/>
          </w:rPr>
          <w:t>UPOV-sammlung</w:t>
        </w:r>
        <w:r w:rsidR="00424C7E">
          <w:rPr>
            <w:noProof/>
            <w:webHidden/>
          </w:rPr>
          <w:tab/>
        </w:r>
        <w:r w:rsidR="00424C7E">
          <w:rPr>
            <w:noProof/>
            <w:webHidden/>
          </w:rPr>
          <w:fldChar w:fldCharType="begin"/>
        </w:r>
        <w:r w:rsidR="00424C7E">
          <w:rPr>
            <w:noProof/>
            <w:webHidden/>
          </w:rPr>
          <w:instrText xml:space="preserve"> PAGEREF _Toc380483664 \h </w:instrText>
        </w:r>
        <w:r w:rsidR="00424C7E">
          <w:rPr>
            <w:noProof/>
            <w:webHidden/>
          </w:rPr>
        </w:r>
        <w:r w:rsidR="00424C7E">
          <w:rPr>
            <w:noProof/>
            <w:webHidden/>
          </w:rPr>
          <w:fldChar w:fldCharType="separate"/>
        </w:r>
        <w:r w:rsidR="004D1C9D">
          <w:rPr>
            <w:noProof/>
            <w:webHidden/>
          </w:rPr>
          <w:t>6</w:t>
        </w:r>
        <w:r w:rsidR="00424C7E">
          <w:rPr>
            <w:noProof/>
            <w:webHidden/>
          </w:rPr>
          <w:fldChar w:fldCharType="end"/>
        </w:r>
      </w:hyperlink>
    </w:p>
    <w:p w:rsidR="00424C7E" w:rsidRDefault="00574BB5">
      <w:pPr>
        <w:pStyle w:val="TOC2"/>
        <w:rPr>
          <w:rFonts w:asciiTheme="minorHAnsi" w:eastAsiaTheme="minorEastAsia" w:hAnsiTheme="minorHAnsi" w:cstheme="minorBidi"/>
          <w:smallCaps w:val="0"/>
          <w:noProof/>
          <w:sz w:val="22"/>
          <w:szCs w:val="22"/>
          <w:lang w:val="fr-CH" w:eastAsia="fr-CH"/>
        </w:rPr>
      </w:pPr>
      <w:hyperlink w:anchor="_Toc380483665" w:history="1">
        <w:r w:rsidR="00424C7E" w:rsidRPr="00DC1EF1">
          <w:rPr>
            <w:rStyle w:val="Hyperlink"/>
            <w:noProof/>
            <w:lang w:val="de-DE"/>
          </w:rPr>
          <w:t>Neue Dokumente</w:t>
        </w:r>
        <w:r w:rsidR="00424C7E">
          <w:rPr>
            <w:noProof/>
            <w:webHidden/>
          </w:rPr>
          <w:tab/>
        </w:r>
        <w:r w:rsidR="00424C7E">
          <w:rPr>
            <w:noProof/>
            <w:webHidden/>
          </w:rPr>
          <w:fldChar w:fldCharType="begin"/>
        </w:r>
        <w:r w:rsidR="00424C7E">
          <w:rPr>
            <w:noProof/>
            <w:webHidden/>
          </w:rPr>
          <w:instrText xml:space="preserve"> PAGEREF _Toc380483665 \h </w:instrText>
        </w:r>
        <w:r w:rsidR="00424C7E">
          <w:rPr>
            <w:noProof/>
            <w:webHidden/>
          </w:rPr>
        </w:r>
        <w:r w:rsidR="00424C7E">
          <w:rPr>
            <w:noProof/>
            <w:webHidden/>
          </w:rPr>
          <w:fldChar w:fldCharType="separate"/>
        </w:r>
        <w:r w:rsidR="004D1C9D">
          <w:rPr>
            <w:noProof/>
            <w:webHidden/>
          </w:rPr>
          <w:t>6</w:t>
        </w:r>
        <w:r w:rsidR="00424C7E">
          <w:rPr>
            <w:noProof/>
            <w:webHidden/>
          </w:rPr>
          <w:fldChar w:fldCharType="end"/>
        </w:r>
      </w:hyperlink>
    </w:p>
    <w:p w:rsidR="00424C7E" w:rsidRDefault="00574BB5">
      <w:pPr>
        <w:pStyle w:val="TOC3"/>
        <w:rPr>
          <w:rFonts w:asciiTheme="minorHAnsi" w:eastAsiaTheme="minorEastAsia" w:hAnsiTheme="minorHAnsi" w:cstheme="minorBidi"/>
          <w:noProof/>
          <w:sz w:val="22"/>
          <w:szCs w:val="22"/>
          <w:lang w:val="fr-CH" w:eastAsia="fr-CH"/>
        </w:rPr>
      </w:pPr>
      <w:hyperlink w:anchor="_Toc380483666" w:history="1">
        <w:r w:rsidR="00424C7E" w:rsidRPr="00DC1EF1">
          <w:rPr>
            <w:rStyle w:val="Hyperlink"/>
            <w:noProof/>
            <w:snapToGrid w:val="0"/>
            <w:lang w:val="de-DE"/>
          </w:rPr>
          <w:t>Serie der UPOV/INF-Dokumente</w:t>
        </w:r>
        <w:r w:rsidR="00424C7E">
          <w:rPr>
            <w:noProof/>
            <w:webHidden/>
          </w:rPr>
          <w:tab/>
        </w:r>
        <w:r w:rsidR="00424C7E">
          <w:rPr>
            <w:noProof/>
            <w:webHidden/>
          </w:rPr>
          <w:fldChar w:fldCharType="begin"/>
        </w:r>
        <w:r w:rsidR="00424C7E">
          <w:rPr>
            <w:noProof/>
            <w:webHidden/>
          </w:rPr>
          <w:instrText xml:space="preserve"> PAGEREF _Toc380483666 \h </w:instrText>
        </w:r>
        <w:r w:rsidR="00424C7E">
          <w:rPr>
            <w:noProof/>
            <w:webHidden/>
          </w:rPr>
        </w:r>
        <w:r w:rsidR="00424C7E">
          <w:rPr>
            <w:noProof/>
            <w:webHidden/>
          </w:rPr>
          <w:fldChar w:fldCharType="separate"/>
        </w:r>
        <w:r w:rsidR="004D1C9D">
          <w:rPr>
            <w:noProof/>
            <w:webHidden/>
          </w:rPr>
          <w:t>6</w:t>
        </w:r>
        <w:r w:rsidR="00424C7E">
          <w:rPr>
            <w:noProof/>
            <w:webHidden/>
          </w:rPr>
          <w:fldChar w:fldCharType="end"/>
        </w:r>
      </w:hyperlink>
    </w:p>
    <w:p w:rsidR="00424C7E" w:rsidRDefault="00574BB5">
      <w:pPr>
        <w:pStyle w:val="TOC3"/>
        <w:rPr>
          <w:rFonts w:asciiTheme="minorHAnsi" w:eastAsiaTheme="minorEastAsia" w:hAnsiTheme="minorHAnsi" w:cstheme="minorBidi"/>
          <w:noProof/>
          <w:sz w:val="22"/>
          <w:szCs w:val="22"/>
          <w:lang w:val="fr-CH" w:eastAsia="fr-CH"/>
        </w:rPr>
      </w:pPr>
      <w:hyperlink w:anchor="_Toc380483667" w:history="1">
        <w:r w:rsidR="00424C7E" w:rsidRPr="00DC1EF1">
          <w:rPr>
            <w:rStyle w:val="Hyperlink"/>
            <w:noProof/>
            <w:snapToGrid w:val="0"/>
            <w:lang w:val="de-DE"/>
          </w:rPr>
          <w:t>Erläuterungen zum UPOV-Übereinkommen</w:t>
        </w:r>
        <w:r w:rsidR="00424C7E">
          <w:rPr>
            <w:noProof/>
            <w:webHidden/>
          </w:rPr>
          <w:tab/>
        </w:r>
        <w:r w:rsidR="00424C7E">
          <w:rPr>
            <w:noProof/>
            <w:webHidden/>
          </w:rPr>
          <w:fldChar w:fldCharType="begin"/>
        </w:r>
        <w:r w:rsidR="00424C7E">
          <w:rPr>
            <w:noProof/>
            <w:webHidden/>
          </w:rPr>
          <w:instrText xml:space="preserve"> PAGEREF _Toc380483667 \h </w:instrText>
        </w:r>
        <w:r w:rsidR="00424C7E">
          <w:rPr>
            <w:noProof/>
            <w:webHidden/>
          </w:rPr>
        </w:r>
        <w:r w:rsidR="00424C7E">
          <w:rPr>
            <w:noProof/>
            <w:webHidden/>
          </w:rPr>
          <w:fldChar w:fldCharType="separate"/>
        </w:r>
        <w:r w:rsidR="004D1C9D">
          <w:rPr>
            <w:noProof/>
            <w:webHidden/>
          </w:rPr>
          <w:t>7</w:t>
        </w:r>
        <w:r w:rsidR="00424C7E">
          <w:rPr>
            <w:noProof/>
            <w:webHidden/>
          </w:rPr>
          <w:fldChar w:fldCharType="end"/>
        </w:r>
      </w:hyperlink>
    </w:p>
    <w:p w:rsidR="00424C7E" w:rsidRDefault="00574BB5">
      <w:pPr>
        <w:pStyle w:val="TOC3"/>
        <w:rPr>
          <w:rFonts w:asciiTheme="minorHAnsi" w:eastAsiaTheme="minorEastAsia" w:hAnsiTheme="minorHAnsi" w:cstheme="minorBidi"/>
          <w:noProof/>
          <w:sz w:val="22"/>
          <w:szCs w:val="22"/>
          <w:lang w:val="fr-CH" w:eastAsia="fr-CH"/>
        </w:rPr>
      </w:pPr>
      <w:hyperlink w:anchor="_Toc380483668" w:history="1">
        <w:r w:rsidR="00424C7E" w:rsidRPr="00DC1EF1">
          <w:rPr>
            <w:rStyle w:val="Hyperlink"/>
            <w:noProof/>
            <w:snapToGrid w:val="0"/>
            <w:lang w:val="de-DE"/>
          </w:rPr>
          <w:t>TGP-Dokumente</w:t>
        </w:r>
        <w:r w:rsidR="00424C7E">
          <w:rPr>
            <w:noProof/>
            <w:webHidden/>
          </w:rPr>
          <w:tab/>
        </w:r>
        <w:r w:rsidR="00424C7E">
          <w:rPr>
            <w:noProof/>
            <w:webHidden/>
          </w:rPr>
          <w:fldChar w:fldCharType="begin"/>
        </w:r>
        <w:r w:rsidR="00424C7E">
          <w:rPr>
            <w:noProof/>
            <w:webHidden/>
          </w:rPr>
          <w:instrText xml:space="preserve"> PAGEREF _Toc380483668 \h </w:instrText>
        </w:r>
        <w:r w:rsidR="00424C7E">
          <w:rPr>
            <w:noProof/>
            <w:webHidden/>
          </w:rPr>
        </w:r>
        <w:r w:rsidR="00424C7E">
          <w:rPr>
            <w:noProof/>
            <w:webHidden/>
          </w:rPr>
          <w:fldChar w:fldCharType="separate"/>
        </w:r>
        <w:r w:rsidR="004D1C9D">
          <w:rPr>
            <w:noProof/>
            <w:webHidden/>
          </w:rPr>
          <w:t>7</w:t>
        </w:r>
        <w:r w:rsidR="00424C7E">
          <w:rPr>
            <w:noProof/>
            <w:webHidden/>
          </w:rPr>
          <w:fldChar w:fldCharType="end"/>
        </w:r>
      </w:hyperlink>
    </w:p>
    <w:p w:rsidR="00424C7E" w:rsidRDefault="00574BB5">
      <w:pPr>
        <w:pStyle w:val="TOC2"/>
        <w:rPr>
          <w:rFonts w:asciiTheme="minorHAnsi" w:eastAsiaTheme="minorEastAsia" w:hAnsiTheme="minorHAnsi" w:cstheme="minorBidi"/>
          <w:smallCaps w:val="0"/>
          <w:noProof/>
          <w:sz w:val="22"/>
          <w:szCs w:val="22"/>
          <w:lang w:val="fr-CH" w:eastAsia="fr-CH"/>
        </w:rPr>
      </w:pPr>
      <w:hyperlink w:anchor="_Toc380483669" w:history="1">
        <w:r w:rsidR="00424C7E" w:rsidRPr="00DC1EF1">
          <w:rPr>
            <w:rStyle w:val="Hyperlink"/>
            <w:noProof/>
            <w:lang w:val="de-DE"/>
          </w:rPr>
          <w:t>Programm für die Ausarbeitung der Erläuterungen zum UPOV-Übereinkommen</w:t>
        </w:r>
        <w:r w:rsidR="00424C7E">
          <w:rPr>
            <w:noProof/>
            <w:webHidden/>
          </w:rPr>
          <w:tab/>
        </w:r>
        <w:r w:rsidR="00424C7E">
          <w:rPr>
            <w:noProof/>
            <w:webHidden/>
          </w:rPr>
          <w:fldChar w:fldCharType="begin"/>
        </w:r>
        <w:r w:rsidR="00424C7E">
          <w:rPr>
            <w:noProof/>
            <w:webHidden/>
          </w:rPr>
          <w:instrText xml:space="preserve"> PAGEREF _Toc380483669 \h </w:instrText>
        </w:r>
        <w:r w:rsidR="00424C7E">
          <w:rPr>
            <w:noProof/>
            <w:webHidden/>
          </w:rPr>
        </w:r>
        <w:r w:rsidR="00424C7E">
          <w:rPr>
            <w:noProof/>
            <w:webHidden/>
          </w:rPr>
          <w:fldChar w:fldCharType="separate"/>
        </w:r>
        <w:r w:rsidR="004D1C9D">
          <w:rPr>
            <w:noProof/>
            <w:webHidden/>
          </w:rPr>
          <w:t>7</w:t>
        </w:r>
        <w:r w:rsidR="00424C7E">
          <w:rPr>
            <w:noProof/>
            <w:webHidden/>
          </w:rPr>
          <w:fldChar w:fldCharType="end"/>
        </w:r>
      </w:hyperlink>
    </w:p>
    <w:p w:rsidR="00424C7E" w:rsidRDefault="00574BB5">
      <w:pPr>
        <w:pStyle w:val="TOC2"/>
        <w:rPr>
          <w:rFonts w:asciiTheme="minorHAnsi" w:eastAsiaTheme="minorEastAsia" w:hAnsiTheme="minorHAnsi" w:cstheme="minorBidi"/>
          <w:smallCaps w:val="0"/>
          <w:noProof/>
          <w:sz w:val="22"/>
          <w:szCs w:val="22"/>
          <w:lang w:val="fr-CH" w:eastAsia="fr-CH"/>
        </w:rPr>
      </w:pPr>
      <w:hyperlink w:anchor="_Toc380483670" w:history="1">
        <w:r w:rsidR="00424C7E" w:rsidRPr="00DC1EF1">
          <w:rPr>
            <w:rStyle w:val="Hyperlink"/>
            <w:noProof/>
            <w:lang w:val="de-DE"/>
          </w:rPr>
          <w:t>UPOV Lex</w:t>
        </w:r>
        <w:r w:rsidR="00424C7E">
          <w:rPr>
            <w:noProof/>
            <w:webHidden/>
          </w:rPr>
          <w:tab/>
        </w:r>
        <w:r w:rsidR="00424C7E">
          <w:rPr>
            <w:noProof/>
            <w:webHidden/>
          </w:rPr>
          <w:fldChar w:fldCharType="begin"/>
        </w:r>
        <w:r w:rsidR="00424C7E">
          <w:rPr>
            <w:noProof/>
            <w:webHidden/>
          </w:rPr>
          <w:instrText xml:space="preserve"> PAGEREF _Toc380483670 \h </w:instrText>
        </w:r>
        <w:r w:rsidR="00424C7E">
          <w:rPr>
            <w:noProof/>
            <w:webHidden/>
          </w:rPr>
        </w:r>
        <w:r w:rsidR="00424C7E">
          <w:rPr>
            <w:noProof/>
            <w:webHidden/>
          </w:rPr>
          <w:fldChar w:fldCharType="separate"/>
        </w:r>
        <w:r w:rsidR="004D1C9D">
          <w:rPr>
            <w:noProof/>
            <w:webHidden/>
          </w:rPr>
          <w:t>7</w:t>
        </w:r>
        <w:r w:rsidR="00424C7E">
          <w:rPr>
            <w:noProof/>
            <w:webHidden/>
          </w:rPr>
          <w:fldChar w:fldCharType="end"/>
        </w:r>
      </w:hyperlink>
    </w:p>
    <w:p w:rsidR="00424C7E" w:rsidRDefault="00574BB5">
      <w:pPr>
        <w:pStyle w:val="TOC1"/>
        <w:rPr>
          <w:rFonts w:asciiTheme="minorHAnsi" w:eastAsiaTheme="minorEastAsia" w:hAnsiTheme="minorHAnsi" w:cstheme="minorBidi"/>
          <w:caps w:val="0"/>
          <w:noProof/>
          <w:sz w:val="22"/>
          <w:szCs w:val="22"/>
          <w:lang w:val="fr-CH" w:eastAsia="fr-CH"/>
        </w:rPr>
      </w:pPr>
      <w:hyperlink w:anchor="_Toc380483671" w:history="1">
        <w:r w:rsidR="00424C7E" w:rsidRPr="00DC1EF1">
          <w:rPr>
            <w:rStyle w:val="Hyperlink"/>
            <w:noProof/>
            <w:lang w:val="de-DE"/>
          </w:rPr>
          <w:t>veröffentlichungen, aktivitäten und schulung</w:t>
        </w:r>
        <w:r w:rsidR="00424C7E">
          <w:rPr>
            <w:noProof/>
            <w:webHidden/>
          </w:rPr>
          <w:tab/>
        </w:r>
        <w:r w:rsidR="00424C7E">
          <w:rPr>
            <w:noProof/>
            <w:webHidden/>
          </w:rPr>
          <w:fldChar w:fldCharType="begin"/>
        </w:r>
        <w:r w:rsidR="00424C7E">
          <w:rPr>
            <w:noProof/>
            <w:webHidden/>
          </w:rPr>
          <w:instrText xml:space="preserve"> PAGEREF _Toc380483671 \h </w:instrText>
        </w:r>
        <w:r w:rsidR="00424C7E">
          <w:rPr>
            <w:noProof/>
            <w:webHidden/>
          </w:rPr>
        </w:r>
        <w:r w:rsidR="00424C7E">
          <w:rPr>
            <w:noProof/>
            <w:webHidden/>
          </w:rPr>
          <w:fldChar w:fldCharType="separate"/>
        </w:r>
        <w:r w:rsidR="004D1C9D">
          <w:rPr>
            <w:noProof/>
            <w:webHidden/>
          </w:rPr>
          <w:t>8</w:t>
        </w:r>
        <w:r w:rsidR="00424C7E">
          <w:rPr>
            <w:noProof/>
            <w:webHidden/>
          </w:rPr>
          <w:fldChar w:fldCharType="end"/>
        </w:r>
      </w:hyperlink>
    </w:p>
    <w:p w:rsidR="00424C7E" w:rsidRDefault="00574BB5">
      <w:pPr>
        <w:pStyle w:val="TOC2"/>
        <w:rPr>
          <w:rFonts w:asciiTheme="minorHAnsi" w:eastAsiaTheme="minorEastAsia" w:hAnsiTheme="minorHAnsi" w:cstheme="minorBidi"/>
          <w:smallCaps w:val="0"/>
          <w:noProof/>
          <w:sz w:val="22"/>
          <w:szCs w:val="22"/>
          <w:lang w:val="fr-CH" w:eastAsia="fr-CH"/>
        </w:rPr>
      </w:pPr>
      <w:hyperlink w:anchor="_Toc380483672" w:history="1">
        <w:r w:rsidR="00424C7E" w:rsidRPr="00DC1EF1">
          <w:rPr>
            <w:rStyle w:val="Hyperlink"/>
            <w:noProof/>
            <w:lang w:val="de-DE"/>
          </w:rPr>
          <w:t>Kommunikationsstrategie</w:t>
        </w:r>
        <w:r w:rsidR="00424C7E">
          <w:rPr>
            <w:noProof/>
            <w:webHidden/>
          </w:rPr>
          <w:tab/>
        </w:r>
        <w:r w:rsidR="00424C7E">
          <w:rPr>
            <w:noProof/>
            <w:webHidden/>
          </w:rPr>
          <w:fldChar w:fldCharType="begin"/>
        </w:r>
        <w:r w:rsidR="00424C7E">
          <w:rPr>
            <w:noProof/>
            <w:webHidden/>
          </w:rPr>
          <w:instrText xml:space="preserve"> PAGEREF _Toc380483672 \h </w:instrText>
        </w:r>
        <w:r w:rsidR="00424C7E">
          <w:rPr>
            <w:noProof/>
            <w:webHidden/>
          </w:rPr>
        </w:r>
        <w:r w:rsidR="00424C7E">
          <w:rPr>
            <w:noProof/>
            <w:webHidden/>
          </w:rPr>
          <w:fldChar w:fldCharType="separate"/>
        </w:r>
        <w:r w:rsidR="004D1C9D">
          <w:rPr>
            <w:noProof/>
            <w:webHidden/>
          </w:rPr>
          <w:t>8</w:t>
        </w:r>
        <w:r w:rsidR="00424C7E">
          <w:rPr>
            <w:noProof/>
            <w:webHidden/>
          </w:rPr>
          <w:fldChar w:fldCharType="end"/>
        </w:r>
      </w:hyperlink>
    </w:p>
    <w:p w:rsidR="00424C7E" w:rsidRDefault="00574BB5">
      <w:pPr>
        <w:pStyle w:val="TOC2"/>
        <w:rPr>
          <w:rFonts w:asciiTheme="minorHAnsi" w:eastAsiaTheme="minorEastAsia" w:hAnsiTheme="minorHAnsi" w:cstheme="minorBidi"/>
          <w:smallCaps w:val="0"/>
          <w:noProof/>
          <w:sz w:val="22"/>
          <w:szCs w:val="22"/>
          <w:lang w:val="fr-CH" w:eastAsia="fr-CH"/>
        </w:rPr>
      </w:pPr>
      <w:hyperlink w:anchor="_Toc380483673" w:history="1">
        <w:r w:rsidR="00424C7E" w:rsidRPr="00DC1EF1">
          <w:rPr>
            <w:rStyle w:val="Hyperlink"/>
            <w:noProof/>
            <w:lang w:val="de-DE"/>
          </w:rPr>
          <w:t>Publikation Trilogie</w:t>
        </w:r>
        <w:r w:rsidR="00424C7E">
          <w:rPr>
            <w:noProof/>
            <w:webHidden/>
          </w:rPr>
          <w:tab/>
        </w:r>
        <w:r w:rsidR="00424C7E">
          <w:rPr>
            <w:noProof/>
            <w:webHidden/>
          </w:rPr>
          <w:fldChar w:fldCharType="begin"/>
        </w:r>
        <w:r w:rsidR="00424C7E">
          <w:rPr>
            <w:noProof/>
            <w:webHidden/>
          </w:rPr>
          <w:instrText xml:space="preserve"> PAGEREF _Toc380483673 \h </w:instrText>
        </w:r>
        <w:r w:rsidR="00424C7E">
          <w:rPr>
            <w:noProof/>
            <w:webHidden/>
          </w:rPr>
        </w:r>
        <w:r w:rsidR="00424C7E">
          <w:rPr>
            <w:noProof/>
            <w:webHidden/>
          </w:rPr>
          <w:fldChar w:fldCharType="separate"/>
        </w:r>
        <w:r w:rsidR="004D1C9D">
          <w:rPr>
            <w:noProof/>
            <w:webHidden/>
          </w:rPr>
          <w:t>8</w:t>
        </w:r>
        <w:r w:rsidR="00424C7E">
          <w:rPr>
            <w:noProof/>
            <w:webHidden/>
          </w:rPr>
          <w:fldChar w:fldCharType="end"/>
        </w:r>
      </w:hyperlink>
    </w:p>
    <w:p w:rsidR="00424C7E" w:rsidRDefault="00574BB5">
      <w:pPr>
        <w:pStyle w:val="TOC2"/>
        <w:rPr>
          <w:rFonts w:asciiTheme="minorHAnsi" w:eastAsiaTheme="minorEastAsia" w:hAnsiTheme="minorHAnsi" w:cstheme="minorBidi"/>
          <w:smallCaps w:val="0"/>
          <w:noProof/>
          <w:sz w:val="22"/>
          <w:szCs w:val="22"/>
          <w:lang w:val="fr-CH" w:eastAsia="fr-CH"/>
        </w:rPr>
      </w:pPr>
      <w:hyperlink w:anchor="_Toc380483674" w:history="1">
        <w:r w:rsidR="00424C7E" w:rsidRPr="00DC1EF1">
          <w:rPr>
            <w:rStyle w:val="Hyperlink"/>
            <w:noProof/>
            <w:lang w:val="de-DE"/>
          </w:rPr>
          <w:t>Seminar über im wesentlichen abgeleitete Sorten (EDV)</w:t>
        </w:r>
        <w:r w:rsidR="00424C7E">
          <w:rPr>
            <w:noProof/>
            <w:webHidden/>
          </w:rPr>
          <w:tab/>
        </w:r>
        <w:r w:rsidR="00424C7E">
          <w:rPr>
            <w:noProof/>
            <w:webHidden/>
          </w:rPr>
          <w:fldChar w:fldCharType="begin"/>
        </w:r>
        <w:r w:rsidR="00424C7E">
          <w:rPr>
            <w:noProof/>
            <w:webHidden/>
          </w:rPr>
          <w:instrText xml:space="preserve"> PAGEREF _Toc380483674 \h </w:instrText>
        </w:r>
        <w:r w:rsidR="00424C7E">
          <w:rPr>
            <w:noProof/>
            <w:webHidden/>
          </w:rPr>
        </w:r>
        <w:r w:rsidR="00424C7E">
          <w:rPr>
            <w:noProof/>
            <w:webHidden/>
          </w:rPr>
          <w:fldChar w:fldCharType="separate"/>
        </w:r>
        <w:r w:rsidR="004D1C9D">
          <w:rPr>
            <w:noProof/>
            <w:webHidden/>
          </w:rPr>
          <w:t>8</w:t>
        </w:r>
        <w:r w:rsidR="00424C7E">
          <w:rPr>
            <w:noProof/>
            <w:webHidden/>
          </w:rPr>
          <w:fldChar w:fldCharType="end"/>
        </w:r>
      </w:hyperlink>
    </w:p>
    <w:p w:rsidR="00424C7E" w:rsidRDefault="00574BB5">
      <w:pPr>
        <w:pStyle w:val="TOC2"/>
        <w:rPr>
          <w:rFonts w:asciiTheme="minorHAnsi" w:eastAsiaTheme="minorEastAsia" w:hAnsiTheme="minorHAnsi" w:cstheme="minorBidi"/>
          <w:smallCaps w:val="0"/>
          <w:noProof/>
          <w:sz w:val="22"/>
          <w:szCs w:val="22"/>
          <w:lang w:val="fr-CH" w:eastAsia="fr-CH"/>
        </w:rPr>
      </w:pPr>
      <w:hyperlink w:anchor="_Toc380483675" w:history="1">
        <w:r w:rsidR="00424C7E" w:rsidRPr="00DC1EF1">
          <w:rPr>
            <w:rStyle w:val="Hyperlink"/>
            <w:noProof/>
            <w:lang w:val="de-DE"/>
          </w:rPr>
          <w:t>Fernlehrgänge</w:t>
        </w:r>
        <w:r w:rsidR="00424C7E">
          <w:rPr>
            <w:noProof/>
            <w:webHidden/>
          </w:rPr>
          <w:tab/>
        </w:r>
        <w:r w:rsidR="00424C7E">
          <w:rPr>
            <w:noProof/>
            <w:webHidden/>
          </w:rPr>
          <w:fldChar w:fldCharType="begin"/>
        </w:r>
        <w:r w:rsidR="00424C7E">
          <w:rPr>
            <w:noProof/>
            <w:webHidden/>
          </w:rPr>
          <w:instrText xml:space="preserve"> PAGEREF _Toc380483675 \h </w:instrText>
        </w:r>
        <w:r w:rsidR="00424C7E">
          <w:rPr>
            <w:noProof/>
            <w:webHidden/>
          </w:rPr>
        </w:r>
        <w:r w:rsidR="00424C7E">
          <w:rPr>
            <w:noProof/>
            <w:webHidden/>
          </w:rPr>
          <w:fldChar w:fldCharType="separate"/>
        </w:r>
        <w:r w:rsidR="004D1C9D">
          <w:rPr>
            <w:noProof/>
            <w:webHidden/>
          </w:rPr>
          <w:t>8</w:t>
        </w:r>
        <w:r w:rsidR="00424C7E">
          <w:rPr>
            <w:noProof/>
            <w:webHidden/>
          </w:rPr>
          <w:fldChar w:fldCharType="end"/>
        </w:r>
      </w:hyperlink>
    </w:p>
    <w:p w:rsidR="00424C7E" w:rsidRDefault="00574BB5">
      <w:pPr>
        <w:pStyle w:val="TOC1"/>
        <w:rPr>
          <w:rFonts w:asciiTheme="minorHAnsi" w:eastAsiaTheme="minorEastAsia" w:hAnsiTheme="minorHAnsi" w:cstheme="minorBidi"/>
          <w:caps w:val="0"/>
          <w:noProof/>
          <w:sz w:val="22"/>
          <w:szCs w:val="22"/>
          <w:lang w:val="fr-CH" w:eastAsia="fr-CH"/>
        </w:rPr>
      </w:pPr>
      <w:hyperlink w:anchor="_Toc380483676" w:history="1">
        <w:r w:rsidR="00424C7E" w:rsidRPr="00DC1EF1">
          <w:rPr>
            <w:rStyle w:val="Hyperlink"/>
            <w:noProof/>
            <w:snapToGrid w:val="0"/>
            <w:lang w:val="de-DE"/>
          </w:rPr>
          <w:t>entwicklungen von belang für die upov auf anderen internationalen foren</w:t>
        </w:r>
        <w:r w:rsidR="00424C7E">
          <w:rPr>
            <w:noProof/>
            <w:webHidden/>
          </w:rPr>
          <w:tab/>
        </w:r>
        <w:r w:rsidR="00424C7E">
          <w:rPr>
            <w:noProof/>
            <w:webHidden/>
          </w:rPr>
          <w:fldChar w:fldCharType="begin"/>
        </w:r>
        <w:r w:rsidR="00424C7E">
          <w:rPr>
            <w:noProof/>
            <w:webHidden/>
          </w:rPr>
          <w:instrText xml:space="preserve"> PAGEREF _Toc380483676 \h </w:instrText>
        </w:r>
        <w:r w:rsidR="00424C7E">
          <w:rPr>
            <w:noProof/>
            <w:webHidden/>
          </w:rPr>
        </w:r>
        <w:r w:rsidR="00424C7E">
          <w:rPr>
            <w:noProof/>
            <w:webHidden/>
          </w:rPr>
          <w:fldChar w:fldCharType="separate"/>
        </w:r>
        <w:r w:rsidR="004D1C9D">
          <w:rPr>
            <w:noProof/>
            <w:webHidden/>
          </w:rPr>
          <w:t>9</w:t>
        </w:r>
        <w:r w:rsidR="00424C7E">
          <w:rPr>
            <w:noProof/>
            <w:webHidden/>
          </w:rPr>
          <w:fldChar w:fldCharType="end"/>
        </w:r>
      </w:hyperlink>
    </w:p>
    <w:p w:rsidR="00424C7E" w:rsidRDefault="00574BB5">
      <w:pPr>
        <w:pStyle w:val="TOC2"/>
        <w:rPr>
          <w:rFonts w:asciiTheme="minorHAnsi" w:eastAsiaTheme="minorEastAsia" w:hAnsiTheme="minorHAnsi" w:cstheme="minorBidi"/>
          <w:smallCaps w:val="0"/>
          <w:noProof/>
          <w:sz w:val="22"/>
          <w:szCs w:val="22"/>
          <w:lang w:val="fr-CH" w:eastAsia="fr-CH"/>
        </w:rPr>
      </w:pPr>
      <w:hyperlink w:anchor="_Toc380483677" w:history="1">
        <w:r w:rsidR="00424C7E" w:rsidRPr="00DC1EF1">
          <w:rPr>
            <w:rStyle w:val="Hyperlink"/>
            <w:noProof/>
            <w:lang w:val="de-DE"/>
          </w:rPr>
          <w:t>Internationaler Vertrag über pflanzengenetische Ressourcen für Ernährung und Landwirtschaft (ITPGRFA)</w:t>
        </w:r>
        <w:r w:rsidR="00424C7E">
          <w:rPr>
            <w:noProof/>
            <w:webHidden/>
          </w:rPr>
          <w:tab/>
        </w:r>
        <w:r w:rsidR="00424C7E">
          <w:rPr>
            <w:noProof/>
            <w:webHidden/>
          </w:rPr>
          <w:fldChar w:fldCharType="begin"/>
        </w:r>
        <w:r w:rsidR="00424C7E">
          <w:rPr>
            <w:noProof/>
            <w:webHidden/>
          </w:rPr>
          <w:instrText xml:space="preserve"> PAGEREF _Toc380483677 \h </w:instrText>
        </w:r>
        <w:r w:rsidR="00424C7E">
          <w:rPr>
            <w:noProof/>
            <w:webHidden/>
          </w:rPr>
        </w:r>
        <w:r w:rsidR="00424C7E">
          <w:rPr>
            <w:noProof/>
            <w:webHidden/>
          </w:rPr>
          <w:fldChar w:fldCharType="separate"/>
        </w:r>
        <w:r w:rsidR="004D1C9D">
          <w:rPr>
            <w:noProof/>
            <w:webHidden/>
          </w:rPr>
          <w:t>9</w:t>
        </w:r>
        <w:r w:rsidR="00424C7E">
          <w:rPr>
            <w:noProof/>
            <w:webHidden/>
          </w:rPr>
          <w:fldChar w:fldCharType="end"/>
        </w:r>
      </w:hyperlink>
    </w:p>
    <w:p w:rsidR="00424C7E" w:rsidRDefault="00574BB5">
      <w:pPr>
        <w:pStyle w:val="TOC3"/>
        <w:rPr>
          <w:rFonts w:asciiTheme="minorHAnsi" w:eastAsiaTheme="minorEastAsia" w:hAnsiTheme="minorHAnsi" w:cstheme="minorBidi"/>
          <w:noProof/>
          <w:sz w:val="22"/>
          <w:szCs w:val="22"/>
          <w:lang w:val="fr-CH" w:eastAsia="fr-CH"/>
        </w:rPr>
      </w:pPr>
      <w:hyperlink w:anchor="_Toc380483678" w:history="1">
        <w:r w:rsidR="00424C7E" w:rsidRPr="00DC1EF1">
          <w:rPr>
            <w:rStyle w:val="Hyperlink"/>
            <w:noProof/>
            <w:snapToGrid w:val="0"/>
            <w:lang w:val="de-DE"/>
          </w:rPr>
          <w:t>ITPGRFA-Plattform für die gemeinsame Entwicklung und den Transfer von Technologien</w:t>
        </w:r>
        <w:r w:rsidR="00424C7E">
          <w:rPr>
            <w:noProof/>
            <w:webHidden/>
          </w:rPr>
          <w:tab/>
        </w:r>
        <w:r w:rsidR="00424C7E">
          <w:rPr>
            <w:noProof/>
            <w:webHidden/>
          </w:rPr>
          <w:fldChar w:fldCharType="begin"/>
        </w:r>
        <w:r w:rsidR="00424C7E">
          <w:rPr>
            <w:noProof/>
            <w:webHidden/>
          </w:rPr>
          <w:instrText xml:space="preserve"> PAGEREF _Toc380483678 \h </w:instrText>
        </w:r>
        <w:r w:rsidR="00424C7E">
          <w:rPr>
            <w:noProof/>
            <w:webHidden/>
          </w:rPr>
        </w:r>
        <w:r w:rsidR="00424C7E">
          <w:rPr>
            <w:noProof/>
            <w:webHidden/>
          </w:rPr>
          <w:fldChar w:fldCharType="separate"/>
        </w:r>
        <w:r w:rsidR="004D1C9D">
          <w:rPr>
            <w:noProof/>
            <w:webHidden/>
          </w:rPr>
          <w:t>9</w:t>
        </w:r>
        <w:r w:rsidR="00424C7E">
          <w:rPr>
            <w:noProof/>
            <w:webHidden/>
          </w:rPr>
          <w:fldChar w:fldCharType="end"/>
        </w:r>
      </w:hyperlink>
    </w:p>
    <w:p w:rsidR="00424C7E" w:rsidRDefault="00574BB5">
      <w:pPr>
        <w:pStyle w:val="TOC3"/>
        <w:rPr>
          <w:rFonts w:asciiTheme="minorHAnsi" w:eastAsiaTheme="minorEastAsia" w:hAnsiTheme="minorHAnsi" w:cstheme="minorBidi"/>
          <w:noProof/>
          <w:sz w:val="22"/>
          <w:szCs w:val="22"/>
          <w:lang w:val="fr-CH" w:eastAsia="fr-CH"/>
        </w:rPr>
      </w:pPr>
      <w:hyperlink w:anchor="_Toc380483679" w:history="1">
        <w:r w:rsidR="00424C7E" w:rsidRPr="00DC1EF1">
          <w:rPr>
            <w:rStyle w:val="Hyperlink"/>
            <w:noProof/>
            <w:lang w:val="de-DE"/>
          </w:rPr>
          <w:t>Öffentlich-rechtliche Partnerschaften bei der Vorzucht</w:t>
        </w:r>
        <w:r w:rsidR="00424C7E">
          <w:rPr>
            <w:noProof/>
            <w:webHidden/>
          </w:rPr>
          <w:tab/>
        </w:r>
        <w:r w:rsidR="00424C7E">
          <w:rPr>
            <w:noProof/>
            <w:webHidden/>
          </w:rPr>
          <w:fldChar w:fldCharType="begin"/>
        </w:r>
        <w:r w:rsidR="00424C7E">
          <w:rPr>
            <w:noProof/>
            <w:webHidden/>
          </w:rPr>
          <w:instrText xml:space="preserve"> PAGEREF _Toc380483679 \h </w:instrText>
        </w:r>
        <w:r w:rsidR="00424C7E">
          <w:rPr>
            <w:noProof/>
            <w:webHidden/>
          </w:rPr>
        </w:r>
        <w:r w:rsidR="00424C7E">
          <w:rPr>
            <w:noProof/>
            <w:webHidden/>
          </w:rPr>
          <w:fldChar w:fldCharType="separate"/>
        </w:r>
        <w:r w:rsidR="004D1C9D">
          <w:rPr>
            <w:noProof/>
            <w:webHidden/>
          </w:rPr>
          <w:t>9</w:t>
        </w:r>
        <w:r w:rsidR="00424C7E">
          <w:rPr>
            <w:noProof/>
            <w:webHidden/>
          </w:rPr>
          <w:fldChar w:fldCharType="end"/>
        </w:r>
      </w:hyperlink>
    </w:p>
    <w:p w:rsidR="00424C7E" w:rsidRDefault="00574BB5">
      <w:pPr>
        <w:pStyle w:val="TOC3"/>
        <w:rPr>
          <w:rFonts w:asciiTheme="minorHAnsi" w:eastAsiaTheme="minorEastAsia" w:hAnsiTheme="minorHAnsi" w:cstheme="minorBidi"/>
          <w:noProof/>
          <w:sz w:val="22"/>
          <w:szCs w:val="22"/>
          <w:lang w:val="fr-CH" w:eastAsia="fr-CH"/>
        </w:rPr>
      </w:pPr>
      <w:hyperlink w:anchor="_Toc380483680" w:history="1">
        <w:r w:rsidR="00424C7E" w:rsidRPr="00DC1EF1">
          <w:rPr>
            <w:rStyle w:val="Hyperlink"/>
            <w:noProof/>
            <w:snapToGrid w:val="0"/>
            <w:lang w:val="de-DE"/>
          </w:rPr>
          <w:t>Wechselbeziehungen zwischen ITPGRFA, UPOV und WIPO</w:t>
        </w:r>
        <w:r w:rsidR="00424C7E">
          <w:rPr>
            <w:noProof/>
            <w:webHidden/>
          </w:rPr>
          <w:tab/>
        </w:r>
        <w:r w:rsidR="00424C7E">
          <w:rPr>
            <w:noProof/>
            <w:webHidden/>
          </w:rPr>
          <w:fldChar w:fldCharType="begin"/>
        </w:r>
        <w:r w:rsidR="00424C7E">
          <w:rPr>
            <w:noProof/>
            <w:webHidden/>
          </w:rPr>
          <w:instrText xml:space="preserve"> PAGEREF _Toc380483680 \h </w:instrText>
        </w:r>
        <w:r w:rsidR="00424C7E">
          <w:rPr>
            <w:noProof/>
            <w:webHidden/>
          </w:rPr>
        </w:r>
        <w:r w:rsidR="00424C7E">
          <w:rPr>
            <w:noProof/>
            <w:webHidden/>
          </w:rPr>
          <w:fldChar w:fldCharType="separate"/>
        </w:r>
        <w:r w:rsidR="004D1C9D">
          <w:rPr>
            <w:noProof/>
            <w:webHidden/>
          </w:rPr>
          <w:t>9</w:t>
        </w:r>
        <w:r w:rsidR="00424C7E">
          <w:rPr>
            <w:noProof/>
            <w:webHidden/>
          </w:rPr>
          <w:fldChar w:fldCharType="end"/>
        </w:r>
      </w:hyperlink>
    </w:p>
    <w:p w:rsidR="00424C7E" w:rsidRDefault="00574BB5">
      <w:pPr>
        <w:pStyle w:val="TOC1"/>
        <w:rPr>
          <w:rFonts w:asciiTheme="minorHAnsi" w:eastAsiaTheme="minorEastAsia" w:hAnsiTheme="minorHAnsi" w:cstheme="minorBidi"/>
          <w:caps w:val="0"/>
          <w:noProof/>
          <w:sz w:val="22"/>
          <w:szCs w:val="22"/>
          <w:lang w:val="fr-CH" w:eastAsia="fr-CH"/>
        </w:rPr>
      </w:pPr>
      <w:hyperlink w:anchor="_Toc380483681" w:history="1">
        <w:r w:rsidR="00424C7E" w:rsidRPr="00DC1EF1">
          <w:rPr>
            <w:rStyle w:val="Hyperlink"/>
            <w:b/>
            <w:bCs/>
            <w:smallCaps/>
            <w:noProof/>
            <w:spacing w:val="5"/>
            <w:lang w:val="de-DE"/>
          </w:rPr>
          <w:t>II.</w:t>
        </w:r>
        <w:r w:rsidR="00424C7E">
          <w:rPr>
            <w:rFonts w:asciiTheme="minorHAnsi" w:eastAsiaTheme="minorEastAsia" w:hAnsiTheme="minorHAnsi" w:cstheme="minorBidi"/>
            <w:caps w:val="0"/>
            <w:noProof/>
            <w:sz w:val="22"/>
            <w:szCs w:val="22"/>
            <w:lang w:val="fr-CH" w:eastAsia="fr-CH"/>
          </w:rPr>
          <w:tab/>
        </w:r>
        <w:r w:rsidR="00424C7E" w:rsidRPr="00DC1EF1">
          <w:rPr>
            <w:rStyle w:val="Hyperlink"/>
            <w:b/>
            <w:bCs/>
            <w:smallCaps/>
            <w:noProof/>
            <w:spacing w:val="5"/>
            <w:lang w:val="de-DE"/>
          </w:rPr>
          <w:t>vom technischen ausschuss zu prüfende angelegenheiten</w:t>
        </w:r>
        <w:r w:rsidR="00424C7E">
          <w:rPr>
            <w:noProof/>
            <w:webHidden/>
          </w:rPr>
          <w:tab/>
        </w:r>
        <w:r w:rsidR="00424C7E">
          <w:rPr>
            <w:noProof/>
            <w:webHidden/>
          </w:rPr>
          <w:fldChar w:fldCharType="begin"/>
        </w:r>
        <w:r w:rsidR="00424C7E">
          <w:rPr>
            <w:noProof/>
            <w:webHidden/>
          </w:rPr>
          <w:instrText xml:space="preserve"> PAGEREF _Toc380483681 \h </w:instrText>
        </w:r>
        <w:r w:rsidR="00424C7E">
          <w:rPr>
            <w:noProof/>
            <w:webHidden/>
          </w:rPr>
        </w:r>
        <w:r w:rsidR="00424C7E">
          <w:rPr>
            <w:noProof/>
            <w:webHidden/>
          </w:rPr>
          <w:fldChar w:fldCharType="separate"/>
        </w:r>
        <w:r w:rsidR="004D1C9D">
          <w:rPr>
            <w:noProof/>
            <w:webHidden/>
          </w:rPr>
          <w:t>9</w:t>
        </w:r>
        <w:r w:rsidR="00424C7E">
          <w:rPr>
            <w:noProof/>
            <w:webHidden/>
          </w:rPr>
          <w:fldChar w:fldCharType="end"/>
        </w:r>
      </w:hyperlink>
    </w:p>
    <w:p w:rsidR="00424C7E" w:rsidRDefault="00574BB5">
      <w:pPr>
        <w:pStyle w:val="TOC1"/>
        <w:rPr>
          <w:rFonts w:asciiTheme="minorHAnsi" w:eastAsiaTheme="minorEastAsia" w:hAnsiTheme="minorHAnsi" w:cstheme="minorBidi"/>
          <w:caps w:val="0"/>
          <w:noProof/>
          <w:sz w:val="22"/>
          <w:szCs w:val="22"/>
          <w:lang w:val="fr-CH" w:eastAsia="fr-CH"/>
        </w:rPr>
      </w:pPr>
      <w:hyperlink w:anchor="_Toc380483682" w:history="1">
        <w:r w:rsidR="00424C7E" w:rsidRPr="00DC1EF1">
          <w:rPr>
            <w:rStyle w:val="Hyperlink"/>
            <w:noProof/>
            <w:lang w:val="de-DE"/>
          </w:rPr>
          <w:t>sortenbeschreibungen</w:t>
        </w:r>
        <w:r w:rsidR="00424C7E">
          <w:rPr>
            <w:noProof/>
            <w:webHidden/>
          </w:rPr>
          <w:tab/>
        </w:r>
        <w:r w:rsidR="00424C7E">
          <w:rPr>
            <w:noProof/>
            <w:webHidden/>
          </w:rPr>
          <w:fldChar w:fldCharType="begin"/>
        </w:r>
        <w:r w:rsidR="00424C7E">
          <w:rPr>
            <w:noProof/>
            <w:webHidden/>
          </w:rPr>
          <w:instrText xml:space="preserve"> PAGEREF _Toc380483682 \h </w:instrText>
        </w:r>
        <w:r w:rsidR="00424C7E">
          <w:rPr>
            <w:noProof/>
            <w:webHidden/>
          </w:rPr>
        </w:r>
        <w:r w:rsidR="00424C7E">
          <w:rPr>
            <w:noProof/>
            <w:webHidden/>
          </w:rPr>
          <w:fldChar w:fldCharType="separate"/>
        </w:r>
        <w:r w:rsidR="004D1C9D">
          <w:rPr>
            <w:noProof/>
            <w:webHidden/>
          </w:rPr>
          <w:t>9</w:t>
        </w:r>
        <w:r w:rsidR="00424C7E">
          <w:rPr>
            <w:noProof/>
            <w:webHidden/>
          </w:rPr>
          <w:fldChar w:fldCharType="end"/>
        </w:r>
      </w:hyperlink>
    </w:p>
    <w:p w:rsidR="00424C7E" w:rsidRDefault="00574BB5">
      <w:pPr>
        <w:pStyle w:val="TOC1"/>
        <w:rPr>
          <w:rFonts w:asciiTheme="minorHAnsi" w:eastAsiaTheme="minorEastAsia" w:hAnsiTheme="minorHAnsi" w:cstheme="minorBidi"/>
          <w:caps w:val="0"/>
          <w:noProof/>
          <w:sz w:val="22"/>
          <w:szCs w:val="22"/>
          <w:lang w:val="fr-CH" w:eastAsia="fr-CH"/>
        </w:rPr>
      </w:pPr>
      <w:hyperlink w:anchor="_Toc380483683" w:history="1">
        <w:r w:rsidR="00424C7E" w:rsidRPr="00DC1EF1">
          <w:rPr>
            <w:rStyle w:val="Hyperlink"/>
            <w:noProof/>
            <w:lang w:val="de-DE"/>
          </w:rPr>
          <w:t xml:space="preserve">voN der </w:t>
        </w:r>
        <w:r w:rsidR="00424C7E" w:rsidRPr="00DC1EF1">
          <w:rPr>
            <w:rStyle w:val="Hyperlink"/>
            <w:i/>
            <w:noProof/>
            <w:lang w:val="de-DE"/>
          </w:rPr>
          <w:t>International SEED FEDERATION</w:t>
        </w:r>
        <w:r w:rsidR="00424C7E" w:rsidRPr="00DC1EF1">
          <w:rPr>
            <w:rStyle w:val="Hyperlink"/>
            <w:noProof/>
            <w:lang w:val="de-DE"/>
          </w:rPr>
          <w:t xml:space="preserve"> (ISF) aufgeworfene angelegenheiten</w:t>
        </w:r>
        <w:r w:rsidR="00424C7E">
          <w:rPr>
            <w:noProof/>
            <w:webHidden/>
          </w:rPr>
          <w:tab/>
        </w:r>
        <w:r w:rsidR="00424C7E">
          <w:rPr>
            <w:noProof/>
            <w:webHidden/>
          </w:rPr>
          <w:fldChar w:fldCharType="begin"/>
        </w:r>
        <w:r w:rsidR="00424C7E">
          <w:rPr>
            <w:noProof/>
            <w:webHidden/>
          </w:rPr>
          <w:instrText xml:space="preserve"> PAGEREF _Toc380483683 \h </w:instrText>
        </w:r>
        <w:r w:rsidR="00424C7E">
          <w:rPr>
            <w:noProof/>
            <w:webHidden/>
          </w:rPr>
        </w:r>
        <w:r w:rsidR="00424C7E">
          <w:rPr>
            <w:noProof/>
            <w:webHidden/>
          </w:rPr>
          <w:fldChar w:fldCharType="separate"/>
        </w:r>
        <w:r w:rsidR="004D1C9D">
          <w:rPr>
            <w:noProof/>
            <w:webHidden/>
          </w:rPr>
          <w:t>11</w:t>
        </w:r>
        <w:r w:rsidR="00424C7E">
          <w:rPr>
            <w:noProof/>
            <w:webHidden/>
          </w:rPr>
          <w:fldChar w:fldCharType="end"/>
        </w:r>
      </w:hyperlink>
    </w:p>
    <w:p w:rsidR="00424C7E" w:rsidRDefault="00574BB5">
      <w:pPr>
        <w:pStyle w:val="TOC2"/>
        <w:rPr>
          <w:rFonts w:asciiTheme="minorHAnsi" w:eastAsiaTheme="minorEastAsia" w:hAnsiTheme="minorHAnsi" w:cstheme="minorBidi"/>
          <w:smallCaps w:val="0"/>
          <w:noProof/>
          <w:sz w:val="22"/>
          <w:szCs w:val="22"/>
          <w:lang w:val="fr-CH" w:eastAsia="fr-CH"/>
        </w:rPr>
      </w:pPr>
      <w:hyperlink w:anchor="_Toc380483684" w:history="1">
        <w:r w:rsidR="00424C7E" w:rsidRPr="00DC1EF1">
          <w:rPr>
            <w:rStyle w:val="Hyperlink"/>
            <w:noProof/>
            <w:lang w:val="de-DE"/>
          </w:rPr>
          <w:t>Angelegenheiten, die zu prüfen der TC ersucht wird</w:t>
        </w:r>
        <w:r w:rsidR="00424C7E">
          <w:rPr>
            <w:noProof/>
            <w:webHidden/>
          </w:rPr>
          <w:tab/>
        </w:r>
        <w:r w:rsidR="00424C7E">
          <w:rPr>
            <w:noProof/>
            <w:webHidden/>
          </w:rPr>
          <w:fldChar w:fldCharType="begin"/>
        </w:r>
        <w:r w:rsidR="00424C7E">
          <w:rPr>
            <w:noProof/>
            <w:webHidden/>
          </w:rPr>
          <w:instrText xml:space="preserve"> PAGEREF _Toc380483684 \h </w:instrText>
        </w:r>
        <w:r w:rsidR="00424C7E">
          <w:rPr>
            <w:noProof/>
            <w:webHidden/>
          </w:rPr>
        </w:r>
        <w:r w:rsidR="00424C7E">
          <w:rPr>
            <w:noProof/>
            <w:webHidden/>
          </w:rPr>
          <w:fldChar w:fldCharType="separate"/>
        </w:r>
        <w:r w:rsidR="004D1C9D">
          <w:rPr>
            <w:noProof/>
            <w:webHidden/>
          </w:rPr>
          <w:t>11</w:t>
        </w:r>
        <w:r w:rsidR="00424C7E">
          <w:rPr>
            <w:noProof/>
            <w:webHidden/>
          </w:rPr>
          <w:fldChar w:fldCharType="end"/>
        </w:r>
      </w:hyperlink>
    </w:p>
    <w:p w:rsidR="00424C7E" w:rsidRDefault="00574BB5">
      <w:pPr>
        <w:pStyle w:val="TOC3"/>
        <w:tabs>
          <w:tab w:val="left" w:pos="964"/>
        </w:tabs>
        <w:rPr>
          <w:rFonts w:asciiTheme="minorHAnsi" w:eastAsiaTheme="minorEastAsia" w:hAnsiTheme="minorHAnsi" w:cstheme="minorBidi"/>
          <w:noProof/>
          <w:sz w:val="22"/>
          <w:szCs w:val="22"/>
          <w:lang w:val="fr-CH" w:eastAsia="fr-CH"/>
        </w:rPr>
      </w:pPr>
      <w:hyperlink w:anchor="_Toc380483685" w:history="1">
        <w:r w:rsidR="00424C7E" w:rsidRPr="00DC1EF1">
          <w:rPr>
            <w:rStyle w:val="Hyperlink"/>
            <w:noProof/>
            <w:lang w:val="de-DE"/>
          </w:rPr>
          <w:t>a)</w:t>
        </w:r>
        <w:r w:rsidR="00424C7E">
          <w:rPr>
            <w:rFonts w:asciiTheme="minorHAnsi" w:eastAsiaTheme="minorEastAsia" w:hAnsiTheme="minorHAnsi" w:cstheme="minorBidi"/>
            <w:noProof/>
            <w:sz w:val="22"/>
            <w:szCs w:val="22"/>
            <w:lang w:val="fr-CH" w:eastAsia="fr-CH"/>
          </w:rPr>
          <w:tab/>
        </w:r>
        <w:r w:rsidR="00424C7E" w:rsidRPr="00DC1EF1">
          <w:rPr>
            <w:rStyle w:val="Hyperlink"/>
            <w:noProof/>
            <w:lang w:val="de-DE"/>
          </w:rPr>
          <w:t>Fotoaufnahmen</w:t>
        </w:r>
        <w:r w:rsidR="00424C7E">
          <w:rPr>
            <w:noProof/>
            <w:webHidden/>
          </w:rPr>
          <w:tab/>
        </w:r>
        <w:r w:rsidR="00424C7E">
          <w:rPr>
            <w:noProof/>
            <w:webHidden/>
          </w:rPr>
          <w:fldChar w:fldCharType="begin"/>
        </w:r>
        <w:r w:rsidR="00424C7E">
          <w:rPr>
            <w:noProof/>
            <w:webHidden/>
          </w:rPr>
          <w:instrText xml:space="preserve"> PAGEREF _Toc380483685 \h </w:instrText>
        </w:r>
        <w:r w:rsidR="00424C7E">
          <w:rPr>
            <w:noProof/>
            <w:webHidden/>
          </w:rPr>
        </w:r>
        <w:r w:rsidR="00424C7E">
          <w:rPr>
            <w:noProof/>
            <w:webHidden/>
          </w:rPr>
          <w:fldChar w:fldCharType="separate"/>
        </w:r>
        <w:r w:rsidR="004D1C9D">
          <w:rPr>
            <w:noProof/>
            <w:webHidden/>
          </w:rPr>
          <w:t>11</w:t>
        </w:r>
        <w:r w:rsidR="00424C7E">
          <w:rPr>
            <w:noProof/>
            <w:webHidden/>
          </w:rPr>
          <w:fldChar w:fldCharType="end"/>
        </w:r>
      </w:hyperlink>
    </w:p>
    <w:p w:rsidR="00424C7E" w:rsidRDefault="00574BB5">
      <w:pPr>
        <w:pStyle w:val="TOC3"/>
        <w:tabs>
          <w:tab w:val="left" w:pos="964"/>
        </w:tabs>
        <w:rPr>
          <w:rFonts w:asciiTheme="minorHAnsi" w:eastAsiaTheme="minorEastAsia" w:hAnsiTheme="minorHAnsi" w:cstheme="minorBidi"/>
          <w:noProof/>
          <w:sz w:val="22"/>
          <w:szCs w:val="22"/>
          <w:lang w:val="fr-CH" w:eastAsia="fr-CH"/>
        </w:rPr>
      </w:pPr>
      <w:hyperlink w:anchor="_Toc380483686" w:history="1">
        <w:r w:rsidR="00424C7E" w:rsidRPr="00DC1EF1">
          <w:rPr>
            <w:rStyle w:val="Hyperlink"/>
            <w:noProof/>
            <w:snapToGrid w:val="0"/>
            <w:lang w:val="de-DE"/>
          </w:rPr>
          <w:t>b)</w:t>
        </w:r>
        <w:r w:rsidR="00424C7E">
          <w:rPr>
            <w:rFonts w:asciiTheme="minorHAnsi" w:eastAsiaTheme="minorEastAsia" w:hAnsiTheme="minorHAnsi" w:cstheme="minorBidi"/>
            <w:noProof/>
            <w:sz w:val="22"/>
            <w:szCs w:val="22"/>
            <w:lang w:val="fr-CH" w:eastAsia="fr-CH"/>
          </w:rPr>
          <w:tab/>
        </w:r>
        <w:r w:rsidR="00424C7E" w:rsidRPr="00DC1EF1">
          <w:rPr>
            <w:rStyle w:val="Hyperlink"/>
            <w:noProof/>
            <w:snapToGrid w:val="0"/>
            <w:lang w:val="de-DE"/>
          </w:rPr>
          <w:t>Mindestprobengröße</w:t>
        </w:r>
        <w:r w:rsidR="00424C7E">
          <w:rPr>
            <w:noProof/>
            <w:webHidden/>
          </w:rPr>
          <w:tab/>
        </w:r>
        <w:r w:rsidR="00424C7E">
          <w:rPr>
            <w:noProof/>
            <w:webHidden/>
          </w:rPr>
          <w:fldChar w:fldCharType="begin"/>
        </w:r>
        <w:r w:rsidR="00424C7E">
          <w:rPr>
            <w:noProof/>
            <w:webHidden/>
          </w:rPr>
          <w:instrText xml:space="preserve"> PAGEREF _Toc380483686 \h </w:instrText>
        </w:r>
        <w:r w:rsidR="00424C7E">
          <w:rPr>
            <w:noProof/>
            <w:webHidden/>
          </w:rPr>
        </w:r>
        <w:r w:rsidR="00424C7E">
          <w:rPr>
            <w:noProof/>
            <w:webHidden/>
          </w:rPr>
          <w:fldChar w:fldCharType="separate"/>
        </w:r>
        <w:r w:rsidR="004D1C9D">
          <w:rPr>
            <w:noProof/>
            <w:webHidden/>
          </w:rPr>
          <w:t>12</w:t>
        </w:r>
        <w:r w:rsidR="00424C7E">
          <w:rPr>
            <w:noProof/>
            <w:webHidden/>
          </w:rPr>
          <w:fldChar w:fldCharType="end"/>
        </w:r>
      </w:hyperlink>
    </w:p>
    <w:p w:rsidR="00424C7E" w:rsidRDefault="00574BB5">
      <w:pPr>
        <w:pStyle w:val="TOC3"/>
        <w:tabs>
          <w:tab w:val="left" w:pos="964"/>
        </w:tabs>
        <w:rPr>
          <w:rFonts w:asciiTheme="minorHAnsi" w:eastAsiaTheme="minorEastAsia" w:hAnsiTheme="minorHAnsi" w:cstheme="minorBidi"/>
          <w:noProof/>
          <w:sz w:val="22"/>
          <w:szCs w:val="22"/>
          <w:lang w:val="fr-CH" w:eastAsia="fr-CH"/>
        </w:rPr>
      </w:pPr>
      <w:hyperlink w:anchor="_Toc380483687" w:history="1">
        <w:r w:rsidR="00424C7E" w:rsidRPr="00DC1EF1">
          <w:rPr>
            <w:rStyle w:val="Hyperlink"/>
            <w:noProof/>
            <w:lang w:val="de-DE"/>
          </w:rPr>
          <w:t>c)</w:t>
        </w:r>
        <w:r w:rsidR="00424C7E">
          <w:rPr>
            <w:rFonts w:asciiTheme="minorHAnsi" w:eastAsiaTheme="minorEastAsia" w:hAnsiTheme="minorHAnsi" w:cstheme="minorBidi"/>
            <w:noProof/>
            <w:sz w:val="22"/>
            <w:szCs w:val="22"/>
            <w:lang w:val="fr-CH" w:eastAsia="fr-CH"/>
          </w:rPr>
          <w:tab/>
        </w:r>
        <w:r w:rsidR="00424C7E" w:rsidRPr="00DC1EF1">
          <w:rPr>
            <w:rStyle w:val="Hyperlink"/>
            <w:noProof/>
            <w:lang w:val="de-DE"/>
          </w:rPr>
          <w:t>Vergleichssammlungen</w:t>
        </w:r>
        <w:r w:rsidR="00424C7E">
          <w:rPr>
            <w:noProof/>
            <w:webHidden/>
          </w:rPr>
          <w:tab/>
        </w:r>
        <w:r w:rsidR="00424C7E">
          <w:rPr>
            <w:noProof/>
            <w:webHidden/>
          </w:rPr>
          <w:fldChar w:fldCharType="begin"/>
        </w:r>
        <w:r w:rsidR="00424C7E">
          <w:rPr>
            <w:noProof/>
            <w:webHidden/>
          </w:rPr>
          <w:instrText xml:space="preserve"> PAGEREF _Toc380483687 \h </w:instrText>
        </w:r>
        <w:r w:rsidR="00424C7E">
          <w:rPr>
            <w:noProof/>
            <w:webHidden/>
          </w:rPr>
        </w:r>
        <w:r w:rsidR="00424C7E">
          <w:rPr>
            <w:noProof/>
            <w:webHidden/>
          </w:rPr>
          <w:fldChar w:fldCharType="separate"/>
        </w:r>
        <w:r w:rsidR="004D1C9D">
          <w:rPr>
            <w:noProof/>
            <w:webHidden/>
          </w:rPr>
          <w:t>12</w:t>
        </w:r>
        <w:r w:rsidR="00424C7E">
          <w:rPr>
            <w:noProof/>
            <w:webHidden/>
          </w:rPr>
          <w:fldChar w:fldCharType="end"/>
        </w:r>
      </w:hyperlink>
    </w:p>
    <w:p w:rsidR="00424C7E" w:rsidRDefault="00574BB5">
      <w:pPr>
        <w:pStyle w:val="TOC3"/>
        <w:tabs>
          <w:tab w:val="left" w:pos="964"/>
        </w:tabs>
        <w:rPr>
          <w:rFonts w:asciiTheme="minorHAnsi" w:eastAsiaTheme="minorEastAsia" w:hAnsiTheme="minorHAnsi" w:cstheme="minorBidi"/>
          <w:noProof/>
          <w:sz w:val="22"/>
          <w:szCs w:val="22"/>
          <w:lang w:val="fr-CH" w:eastAsia="fr-CH"/>
        </w:rPr>
      </w:pPr>
      <w:hyperlink w:anchor="_Toc380483688" w:history="1">
        <w:r w:rsidR="00424C7E" w:rsidRPr="00DC1EF1">
          <w:rPr>
            <w:rStyle w:val="Hyperlink"/>
            <w:noProof/>
            <w:lang w:val="de-DE"/>
          </w:rPr>
          <w:t>d)</w:t>
        </w:r>
        <w:r w:rsidR="00424C7E">
          <w:rPr>
            <w:rFonts w:asciiTheme="minorHAnsi" w:eastAsiaTheme="minorEastAsia" w:hAnsiTheme="minorHAnsi" w:cstheme="minorBidi"/>
            <w:noProof/>
            <w:sz w:val="22"/>
            <w:szCs w:val="22"/>
            <w:lang w:val="fr-CH" w:eastAsia="fr-CH"/>
          </w:rPr>
          <w:tab/>
        </w:r>
        <w:r w:rsidR="00424C7E" w:rsidRPr="00DC1EF1">
          <w:rPr>
            <w:rStyle w:val="Hyperlink"/>
            <w:noProof/>
            <w:lang w:val="de-DE"/>
          </w:rPr>
          <w:t>Dauer der Prüfung</w:t>
        </w:r>
        <w:r w:rsidR="00424C7E">
          <w:rPr>
            <w:noProof/>
            <w:webHidden/>
          </w:rPr>
          <w:tab/>
        </w:r>
        <w:r w:rsidR="00424C7E">
          <w:rPr>
            <w:noProof/>
            <w:webHidden/>
          </w:rPr>
          <w:fldChar w:fldCharType="begin"/>
        </w:r>
        <w:r w:rsidR="00424C7E">
          <w:rPr>
            <w:noProof/>
            <w:webHidden/>
          </w:rPr>
          <w:instrText xml:space="preserve"> PAGEREF _Toc380483688 \h </w:instrText>
        </w:r>
        <w:r w:rsidR="00424C7E">
          <w:rPr>
            <w:noProof/>
            <w:webHidden/>
          </w:rPr>
        </w:r>
        <w:r w:rsidR="00424C7E">
          <w:rPr>
            <w:noProof/>
            <w:webHidden/>
          </w:rPr>
          <w:fldChar w:fldCharType="separate"/>
        </w:r>
        <w:r w:rsidR="004D1C9D">
          <w:rPr>
            <w:noProof/>
            <w:webHidden/>
          </w:rPr>
          <w:t>13</w:t>
        </w:r>
        <w:r w:rsidR="00424C7E">
          <w:rPr>
            <w:noProof/>
            <w:webHidden/>
          </w:rPr>
          <w:fldChar w:fldCharType="end"/>
        </w:r>
      </w:hyperlink>
    </w:p>
    <w:p w:rsidR="00424C7E" w:rsidRDefault="00574BB5">
      <w:pPr>
        <w:pStyle w:val="TOC3"/>
        <w:tabs>
          <w:tab w:val="left" w:pos="964"/>
        </w:tabs>
        <w:rPr>
          <w:rFonts w:asciiTheme="minorHAnsi" w:eastAsiaTheme="minorEastAsia" w:hAnsiTheme="minorHAnsi" w:cstheme="minorBidi"/>
          <w:noProof/>
          <w:sz w:val="22"/>
          <w:szCs w:val="22"/>
          <w:lang w:val="fr-CH" w:eastAsia="fr-CH"/>
        </w:rPr>
      </w:pPr>
      <w:hyperlink w:anchor="_Toc380483689" w:history="1">
        <w:r w:rsidR="00424C7E" w:rsidRPr="00DC1EF1">
          <w:rPr>
            <w:rStyle w:val="Hyperlink"/>
            <w:noProof/>
            <w:snapToGrid w:val="0"/>
            <w:lang w:val="de-DE"/>
          </w:rPr>
          <w:t>e)</w:t>
        </w:r>
        <w:r w:rsidR="00424C7E">
          <w:rPr>
            <w:rFonts w:asciiTheme="minorHAnsi" w:eastAsiaTheme="minorEastAsia" w:hAnsiTheme="minorHAnsi" w:cstheme="minorBidi"/>
            <w:noProof/>
            <w:sz w:val="22"/>
            <w:szCs w:val="22"/>
            <w:lang w:val="fr-CH" w:eastAsia="fr-CH"/>
          </w:rPr>
          <w:tab/>
        </w:r>
        <w:r w:rsidR="00424C7E" w:rsidRPr="00DC1EF1">
          <w:rPr>
            <w:rStyle w:val="Hyperlink"/>
            <w:noProof/>
            <w:snapToGrid w:val="0"/>
            <w:lang w:val="de-DE"/>
          </w:rPr>
          <w:t>Sortenbeschreibung der ähnlichsten Sorte</w:t>
        </w:r>
        <w:r w:rsidR="00424C7E">
          <w:rPr>
            <w:noProof/>
            <w:webHidden/>
          </w:rPr>
          <w:tab/>
        </w:r>
        <w:r w:rsidR="00424C7E">
          <w:rPr>
            <w:noProof/>
            <w:webHidden/>
          </w:rPr>
          <w:fldChar w:fldCharType="begin"/>
        </w:r>
        <w:r w:rsidR="00424C7E">
          <w:rPr>
            <w:noProof/>
            <w:webHidden/>
          </w:rPr>
          <w:instrText xml:space="preserve"> PAGEREF _Toc380483689 \h </w:instrText>
        </w:r>
        <w:r w:rsidR="00424C7E">
          <w:rPr>
            <w:noProof/>
            <w:webHidden/>
          </w:rPr>
        </w:r>
        <w:r w:rsidR="00424C7E">
          <w:rPr>
            <w:noProof/>
            <w:webHidden/>
          </w:rPr>
          <w:fldChar w:fldCharType="separate"/>
        </w:r>
        <w:r w:rsidR="004D1C9D">
          <w:rPr>
            <w:noProof/>
            <w:webHidden/>
          </w:rPr>
          <w:t>13</w:t>
        </w:r>
        <w:r w:rsidR="00424C7E">
          <w:rPr>
            <w:noProof/>
            <w:webHidden/>
          </w:rPr>
          <w:fldChar w:fldCharType="end"/>
        </w:r>
      </w:hyperlink>
    </w:p>
    <w:p w:rsidR="00424C7E" w:rsidRDefault="00574BB5">
      <w:pPr>
        <w:pStyle w:val="TOC3"/>
        <w:tabs>
          <w:tab w:val="left" w:pos="964"/>
        </w:tabs>
        <w:rPr>
          <w:rFonts w:asciiTheme="minorHAnsi" w:eastAsiaTheme="minorEastAsia" w:hAnsiTheme="minorHAnsi" w:cstheme="minorBidi"/>
          <w:noProof/>
          <w:sz w:val="22"/>
          <w:szCs w:val="22"/>
          <w:lang w:val="fr-CH" w:eastAsia="fr-CH"/>
        </w:rPr>
      </w:pPr>
      <w:hyperlink w:anchor="_Toc380483690" w:history="1">
        <w:r w:rsidR="00424C7E" w:rsidRPr="00DC1EF1">
          <w:rPr>
            <w:rStyle w:val="Hyperlink"/>
            <w:noProof/>
            <w:lang w:val="de-DE"/>
          </w:rPr>
          <w:t>f)</w:t>
        </w:r>
        <w:r w:rsidR="00424C7E">
          <w:rPr>
            <w:rFonts w:asciiTheme="minorHAnsi" w:eastAsiaTheme="minorEastAsia" w:hAnsiTheme="minorHAnsi" w:cstheme="minorBidi"/>
            <w:noProof/>
            <w:sz w:val="22"/>
            <w:szCs w:val="22"/>
            <w:lang w:val="fr-CH" w:eastAsia="fr-CH"/>
          </w:rPr>
          <w:tab/>
        </w:r>
        <w:r w:rsidR="00424C7E" w:rsidRPr="00DC1EF1">
          <w:rPr>
            <w:rStyle w:val="Hyperlink"/>
            <w:noProof/>
            <w:lang w:val="de-DE"/>
          </w:rPr>
          <w:t>Sortenbeschreibung durch den Antragsteller</w:t>
        </w:r>
        <w:r w:rsidR="00424C7E">
          <w:rPr>
            <w:noProof/>
            <w:webHidden/>
          </w:rPr>
          <w:tab/>
        </w:r>
        <w:r w:rsidR="00424C7E">
          <w:rPr>
            <w:noProof/>
            <w:webHidden/>
          </w:rPr>
          <w:fldChar w:fldCharType="begin"/>
        </w:r>
        <w:r w:rsidR="00424C7E">
          <w:rPr>
            <w:noProof/>
            <w:webHidden/>
          </w:rPr>
          <w:instrText xml:space="preserve"> PAGEREF _Toc380483690 \h </w:instrText>
        </w:r>
        <w:r w:rsidR="00424C7E">
          <w:rPr>
            <w:noProof/>
            <w:webHidden/>
          </w:rPr>
        </w:r>
        <w:r w:rsidR="00424C7E">
          <w:rPr>
            <w:noProof/>
            <w:webHidden/>
          </w:rPr>
          <w:fldChar w:fldCharType="separate"/>
        </w:r>
        <w:r w:rsidR="004D1C9D">
          <w:rPr>
            <w:noProof/>
            <w:webHidden/>
          </w:rPr>
          <w:t>14</w:t>
        </w:r>
        <w:r w:rsidR="00424C7E">
          <w:rPr>
            <w:noProof/>
            <w:webHidden/>
          </w:rPr>
          <w:fldChar w:fldCharType="end"/>
        </w:r>
      </w:hyperlink>
    </w:p>
    <w:p w:rsidR="00424C7E" w:rsidRDefault="00574BB5">
      <w:pPr>
        <w:pStyle w:val="TOC3"/>
        <w:tabs>
          <w:tab w:val="left" w:pos="964"/>
        </w:tabs>
        <w:rPr>
          <w:rFonts w:asciiTheme="minorHAnsi" w:eastAsiaTheme="minorEastAsia" w:hAnsiTheme="minorHAnsi" w:cstheme="minorBidi"/>
          <w:noProof/>
          <w:sz w:val="22"/>
          <w:szCs w:val="22"/>
          <w:lang w:val="fr-CH" w:eastAsia="fr-CH"/>
        </w:rPr>
      </w:pPr>
      <w:hyperlink w:anchor="_Toc380483691" w:history="1">
        <w:r w:rsidR="00424C7E" w:rsidRPr="00DC1EF1">
          <w:rPr>
            <w:rStyle w:val="Hyperlink"/>
            <w:noProof/>
            <w:lang w:val="de-DE"/>
          </w:rPr>
          <w:t>g)</w:t>
        </w:r>
        <w:r w:rsidR="00424C7E">
          <w:rPr>
            <w:rFonts w:asciiTheme="minorHAnsi" w:eastAsiaTheme="minorEastAsia" w:hAnsiTheme="minorHAnsi" w:cstheme="minorBidi"/>
            <w:noProof/>
            <w:sz w:val="22"/>
            <w:szCs w:val="22"/>
            <w:lang w:val="fr-CH" w:eastAsia="fr-CH"/>
          </w:rPr>
          <w:tab/>
        </w:r>
        <w:r w:rsidR="00424C7E" w:rsidRPr="00DC1EF1">
          <w:rPr>
            <w:rStyle w:val="Hyperlink"/>
            <w:noProof/>
            <w:lang w:val="de-DE"/>
          </w:rPr>
          <w:t>Datenbanken für Sortenbeschreibungen</w:t>
        </w:r>
        <w:r w:rsidR="00424C7E">
          <w:rPr>
            <w:noProof/>
            <w:webHidden/>
          </w:rPr>
          <w:tab/>
        </w:r>
        <w:r w:rsidR="00424C7E">
          <w:rPr>
            <w:noProof/>
            <w:webHidden/>
          </w:rPr>
          <w:fldChar w:fldCharType="begin"/>
        </w:r>
        <w:r w:rsidR="00424C7E">
          <w:rPr>
            <w:noProof/>
            <w:webHidden/>
          </w:rPr>
          <w:instrText xml:space="preserve"> PAGEREF _Toc380483691 \h </w:instrText>
        </w:r>
        <w:r w:rsidR="00424C7E">
          <w:rPr>
            <w:noProof/>
            <w:webHidden/>
          </w:rPr>
        </w:r>
        <w:r w:rsidR="00424C7E">
          <w:rPr>
            <w:noProof/>
            <w:webHidden/>
          </w:rPr>
          <w:fldChar w:fldCharType="separate"/>
        </w:r>
        <w:r w:rsidR="004D1C9D">
          <w:rPr>
            <w:noProof/>
            <w:webHidden/>
          </w:rPr>
          <w:t>14</w:t>
        </w:r>
        <w:r w:rsidR="00424C7E">
          <w:rPr>
            <w:noProof/>
            <w:webHidden/>
          </w:rPr>
          <w:fldChar w:fldCharType="end"/>
        </w:r>
      </w:hyperlink>
    </w:p>
    <w:p w:rsidR="00424C7E" w:rsidRDefault="00424C7E">
      <w:pPr>
        <w:jc w:val="left"/>
        <w:rPr>
          <w:rStyle w:val="Hyperlink"/>
          <w:caps/>
          <w:noProof/>
        </w:rPr>
      </w:pPr>
      <w:r>
        <w:rPr>
          <w:rStyle w:val="Hyperlink"/>
          <w:noProof/>
        </w:rPr>
        <w:br w:type="page"/>
      </w:r>
    </w:p>
    <w:p w:rsidR="00424C7E" w:rsidRDefault="00574BB5">
      <w:pPr>
        <w:pStyle w:val="TOC1"/>
        <w:rPr>
          <w:rFonts w:asciiTheme="minorHAnsi" w:eastAsiaTheme="minorEastAsia" w:hAnsiTheme="minorHAnsi" w:cstheme="minorBidi"/>
          <w:caps w:val="0"/>
          <w:noProof/>
          <w:sz w:val="22"/>
          <w:szCs w:val="22"/>
          <w:lang w:val="fr-CH" w:eastAsia="fr-CH"/>
        </w:rPr>
      </w:pPr>
      <w:hyperlink w:anchor="_Toc380483692" w:history="1">
        <w:r w:rsidR="00424C7E" w:rsidRPr="00DC1EF1">
          <w:rPr>
            <w:rStyle w:val="Hyperlink"/>
            <w:noProof/>
            <w:lang w:val="de-DE"/>
          </w:rPr>
          <w:t>Webbasierte TG-mustervorlage</w:t>
        </w:r>
        <w:r w:rsidR="00424C7E">
          <w:rPr>
            <w:noProof/>
            <w:webHidden/>
          </w:rPr>
          <w:tab/>
        </w:r>
        <w:r w:rsidR="00424C7E">
          <w:rPr>
            <w:noProof/>
            <w:webHidden/>
          </w:rPr>
          <w:fldChar w:fldCharType="begin"/>
        </w:r>
        <w:r w:rsidR="00424C7E">
          <w:rPr>
            <w:noProof/>
            <w:webHidden/>
          </w:rPr>
          <w:instrText xml:space="preserve"> PAGEREF _Toc380483692 \h </w:instrText>
        </w:r>
        <w:r w:rsidR="00424C7E">
          <w:rPr>
            <w:noProof/>
            <w:webHidden/>
          </w:rPr>
        </w:r>
        <w:r w:rsidR="00424C7E">
          <w:rPr>
            <w:noProof/>
            <w:webHidden/>
          </w:rPr>
          <w:fldChar w:fldCharType="separate"/>
        </w:r>
        <w:r w:rsidR="004D1C9D">
          <w:rPr>
            <w:noProof/>
            <w:webHidden/>
          </w:rPr>
          <w:t>15</w:t>
        </w:r>
        <w:r w:rsidR="00424C7E">
          <w:rPr>
            <w:noProof/>
            <w:webHidden/>
          </w:rPr>
          <w:fldChar w:fldCharType="end"/>
        </w:r>
      </w:hyperlink>
    </w:p>
    <w:p w:rsidR="00424C7E" w:rsidRDefault="00574BB5">
      <w:pPr>
        <w:pStyle w:val="TOC2"/>
        <w:rPr>
          <w:rFonts w:asciiTheme="minorHAnsi" w:eastAsiaTheme="minorEastAsia" w:hAnsiTheme="minorHAnsi" w:cstheme="minorBidi"/>
          <w:smallCaps w:val="0"/>
          <w:noProof/>
          <w:sz w:val="22"/>
          <w:szCs w:val="22"/>
          <w:lang w:val="fr-CH" w:eastAsia="fr-CH"/>
        </w:rPr>
      </w:pPr>
      <w:hyperlink w:anchor="_Toc380483693" w:history="1">
        <w:r w:rsidR="00424C7E" w:rsidRPr="00DC1EF1">
          <w:rPr>
            <w:rStyle w:val="Hyperlink"/>
            <w:noProof/>
            <w:lang w:val="de-DE"/>
          </w:rPr>
          <w:t>Version 1</w:t>
        </w:r>
        <w:r w:rsidR="00424C7E">
          <w:rPr>
            <w:noProof/>
            <w:webHidden/>
          </w:rPr>
          <w:tab/>
        </w:r>
        <w:r w:rsidR="00424C7E">
          <w:rPr>
            <w:noProof/>
            <w:webHidden/>
          </w:rPr>
          <w:fldChar w:fldCharType="begin"/>
        </w:r>
        <w:r w:rsidR="00424C7E">
          <w:rPr>
            <w:noProof/>
            <w:webHidden/>
          </w:rPr>
          <w:instrText xml:space="preserve"> PAGEREF _Toc380483693 \h </w:instrText>
        </w:r>
        <w:r w:rsidR="00424C7E">
          <w:rPr>
            <w:noProof/>
            <w:webHidden/>
          </w:rPr>
        </w:r>
        <w:r w:rsidR="00424C7E">
          <w:rPr>
            <w:noProof/>
            <w:webHidden/>
          </w:rPr>
          <w:fldChar w:fldCharType="separate"/>
        </w:r>
        <w:r w:rsidR="004D1C9D">
          <w:rPr>
            <w:noProof/>
            <w:webHidden/>
          </w:rPr>
          <w:t>16</w:t>
        </w:r>
        <w:r w:rsidR="00424C7E">
          <w:rPr>
            <w:noProof/>
            <w:webHidden/>
          </w:rPr>
          <w:fldChar w:fldCharType="end"/>
        </w:r>
      </w:hyperlink>
    </w:p>
    <w:p w:rsidR="00424C7E" w:rsidRDefault="00574BB5">
      <w:pPr>
        <w:pStyle w:val="TOC3"/>
        <w:rPr>
          <w:rFonts w:asciiTheme="minorHAnsi" w:eastAsiaTheme="minorEastAsia" w:hAnsiTheme="minorHAnsi" w:cstheme="minorBidi"/>
          <w:noProof/>
          <w:sz w:val="22"/>
          <w:szCs w:val="22"/>
          <w:lang w:val="fr-CH" w:eastAsia="fr-CH"/>
        </w:rPr>
      </w:pPr>
      <w:hyperlink w:anchor="_Toc380483694" w:history="1">
        <w:r w:rsidR="00424C7E" w:rsidRPr="00DC1EF1">
          <w:rPr>
            <w:rStyle w:val="Hyperlink"/>
            <w:noProof/>
            <w:lang w:val="de-DE"/>
          </w:rPr>
          <w:t>Eigenschaften</w:t>
        </w:r>
        <w:r w:rsidR="00424C7E">
          <w:rPr>
            <w:noProof/>
            <w:webHidden/>
          </w:rPr>
          <w:tab/>
        </w:r>
        <w:r w:rsidR="00424C7E">
          <w:rPr>
            <w:noProof/>
            <w:webHidden/>
          </w:rPr>
          <w:fldChar w:fldCharType="begin"/>
        </w:r>
        <w:r w:rsidR="00424C7E">
          <w:rPr>
            <w:noProof/>
            <w:webHidden/>
          </w:rPr>
          <w:instrText xml:space="preserve"> PAGEREF _Toc380483694 \h </w:instrText>
        </w:r>
        <w:r w:rsidR="00424C7E">
          <w:rPr>
            <w:noProof/>
            <w:webHidden/>
          </w:rPr>
        </w:r>
        <w:r w:rsidR="00424C7E">
          <w:rPr>
            <w:noProof/>
            <w:webHidden/>
          </w:rPr>
          <w:fldChar w:fldCharType="separate"/>
        </w:r>
        <w:r w:rsidR="004D1C9D">
          <w:rPr>
            <w:noProof/>
            <w:webHidden/>
          </w:rPr>
          <w:t>16</w:t>
        </w:r>
        <w:r w:rsidR="00424C7E">
          <w:rPr>
            <w:noProof/>
            <w:webHidden/>
          </w:rPr>
          <w:fldChar w:fldCharType="end"/>
        </w:r>
      </w:hyperlink>
    </w:p>
    <w:p w:rsidR="00424C7E" w:rsidRDefault="00574BB5">
      <w:pPr>
        <w:pStyle w:val="TOC3"/>
        <w:rPr>
          <w:rFonts w:asciiTheme="minorHAnsi" w:eastAsiaTheme="minorEastAsia" w:hAnsiTheme="minorHAnsi" w:cstheme="minorBidi"/>
          <w:noProof/>
          <w:sz w:val="22"/>
          <w:szCs w:val="22"/>
          <w:lang w:val="fr-CH" w:eastAsia="fr-CH"/>
        </w:rPr>
      </w:pPr>
      <w:hyperlink w:anchor="_Toc380483695" w:history="1">
        <w:r w:rsidR="00424C7E" w:rsidRPr="00DC1EF1">
          <w:rPr>
            <w:rStyle w:val="Hyperlink"/>
            <w:noProof/>
            <w:snapToGrid w:val="0"/>
            <w:lang w:val="de-DE"/>
          </w:rPr>
          <w:t>Umsetzung</w:t>
        </w:r>
        <w:r w:rsidR="00424C7E">
          <w:rPr>
            <w:noProof/>
            <w:webHidden/>
          </w:rPr>
          <w:tab/>
        </w:r>
        <w:r w:rsidR="00424C7E">
          <w:rPr>
            <w:noProof/>
            <w:webHidden/>
          </w:rPr>
          <w:fldChar w:fldCharType="begin"/>
        </w:r>
        <w:r w:rsidR="00424C7E">
          <w:rPr>
            <w:noProof/>
            <w:webHidden/>
          </w:rPr>
          <w:instrText xml:space="preserve"> PAGEREF _Toc380483695 \h </w:instrText>
        </w:r>
        <w:r w:rsidR="00424C7E">
          <w:rPr>
            <w:noProof/>
            <w:webHidden/>
          </w:rPr>
        </w:r>
        <w:r w:rsidR="00424C7E">
          <w:rPr>
            <w:noProof/>
            <w:webHidden/>
          </w:rPr>
          <w:fldChar w:fldCharType="separate"/>
        </w:r>
        <w:r w:rsidR="004D1C9D">
          <w:rPr>
            <w:noProof/>
            <w:webHidden/>
          </w:rPr>
          <w:t>16</w:t>
        </w:r>
        <w:r w:rsidR="00424C7E">
          <w:rPr>
            <w:noProof/>
            <w:webHidden/>
          </w:rPr>
          <w:fldChar w:fldCharType="end"/>
        </w:r>
      </w:hyperlink>
    </w:p>
    <w:p w:rsidR="00424C7E" w:rsidRDefault="00574BB5">
      <w:pPr>
        <w:pStyle w:val="TOC2"/>
        <w:rPr>
          <w:rFonts w:asciiTheme="minorHAnsi" w:eastAsiaTheme="minorEastAsia" w:hAnsiTheme="minorHAnsi" w:cstheme="minorBidi"/>
          <w:smallCaps w:val="0"/>
          <w:noProof/>
          <w:sz w:val="22"/>
          <w:szCs w:val="22"/>
          <w:lang w:val="fr-CH" w:eastAsia="fr-CH"/>
        </w:rPr>
      </w:pPr>
      <w:hyperlink w:anchor="_Toc380483696" w:history="1">
        <w:r w:rsidR="00424C7E" w:rsidRPr="00DC1EF1">
          <w:rPr>
            <w:rStyle w:val="Hyperlink"/>
            <w:noProof/>
            <w:lang w:val="de-DE"/>
          </w:rPr>
          <w:t>Version 2</w:t>
        </w:r>
        <w:r w:rsidR="00424C7E">
          <w:rPr>
            <w:noProof/>
            <w:webHidden/>
          </w:rPr>
          <w:tab/>
        </w:r>
        <w:r w:rsidR="00424C7E">
          <w:rPr>
            <w:noProof/>
            <w:webHidden/>
          </w:rPr>
          <w:fldChar w:fldCharType="begin"/>
        </w:r>
        <w:r w:rsidR="00424C7E">
          <w:rPr>
            <w:noProof/>
            <w:webHidden/>
          </w:rPr>
          <w:instrText xml:space="preserve"> PAGEREF _Toc380483696 \h </w:instrText>
        </w:r>
        <w:r w:rsidR="00424C7E">
          <w:rPr>
            <w:noProof/>
            <w:webHidden/>
          </w:rPr>
        </w:r>
        <w:r w:rsidR="00424C7E">
          <w:rPr>
            <w:noProof/>
            <w:webHidden/>
          </w:rPr>
          <w:fldChar w:fldCharType="separate"/>
        </w:r>
        <w:r w:rsidR="004D1C9D">
          <w:rPr>
            <w:noProof/>
            <w:webHidden/>
          </w:rPr>
          <w:t>17</w:t>
        </w:r>
        <w:r w:rsidR="00424C7E">
          <w:rPr>
            <w:noProof/>
            <w:webHidden/>
          </w:rPr>
          <w:fldChar w:fldCharType="end"/>
        </w:r>
      </w:hyperlink>
    </w:p>
    <w:p w:rsidR="00424C7E" w:rsidRDefault="00574BB5">
      <w:pPr>
        <w:pStyle w:val="TOC3"/>
        <w:rPr>
          <w:rFonts w:asciiTheme="minorHAnsi" w:eastAsiaTheme="minorEastAsia" w:hAnsiTheme="minorHAnsi" w:cstheme="minorBidi"/>
          <w:noProof/>
          <w:sz w:val="22"/>
          <w:szCs w:val="22"/>
          <w:lang w:val="fr-CH" w:eastAsia="fr-CH"/>
        </w:rPr>
      </w:pPr>
      <w:hyperlink w:anchor="_Toc380483697" w:history="1">
        <w:r w:rsidR="00424C7E" w:rsidRPr="00DC1EF1">
          <w:rPr>
            <w:rStyle w:val="Hyperlink"/>
            <w:noProof/>
            <w:lang w:val="de-DE"/>
          </w:rPr>
          <w:t>Simultanübersetzung</w:t>
        </w:r>
        <w:r w:rsidR="00424C7E">
          <w:rPr>
            <w:noProof/>
            <w:webHidden/>
          </w:rPr>
          <w:tab/>
        </w:r>
        <w:r w:rsidR="00424C7E">
          <w:rPr>
            <w:noProof/>
            <w:webHidden/>
          </w:rPr>
          <w:fldChar w:fldCharType="begin"/>
        </w:r>
        <w:r w:rsidR="00424C7E">
          <w:rPr>
            <w:noProof/>
            <w:webHidden/>
          </w:rPr>
          <w:instrText xml:space="preserve"> PAGEREF _Toc380483697 \h </w:instrText>
        </w:r>
        <w:r w:rsidR="00424C7E">
          <w:rPr>
            <w:noProof/>
            <w:webHidden/>
          </w:rPr>
        </w:r>
        <w:r w:rsidR="00424C7E">
          <w:rPr>
            <w:noProof/>
            <w:webHidden/>
          </w:rPr>
          <w:fldChar w:fldCharType="separate"/>
        </w:r>
        <w:r w:rsidR="004D1C9D">
          <w:rPr>
            <w:noProof/>
            <w:webHidden/>
          </w:rPr>
          <w:t>17</w:t>
        </w:r>
        <w:r w:rsidR="00424C7E">
          <w:rPr>
            <w:noProof/>
            <w:webHidden/>
          </w:rPr>
          <w:fldChar w:fldCharType="end"/>
        </w:r>
      </w:hyperlink>
    </w:p>
    <w:p w:rsidR="00424C7E" w:rsidRDefault="00574BB5">
      <w:pPr>
        <w:pStyle w:val="TOC3"/>
        <w:rPr>
          <w:rFonts w:asciiTheme="minorHAnsi" w:eastAsiaTheme="minorEastAsia" w:hAnsiTheme="minorHAnsi" w:cstheme="minorBidi"/>
          <w:noProof/>
          <w:sz w:val="22"/>
          <w:szCs w:val="22"/>
          <w:lang w:val="fr-CH" w:eastAsia="fr-CH"/>
        </w:rPr>
      </w:pPr>
      <w:hyperlink w:anchor="_Toc380483698" w:history="1">
        <w:r w:rsidR="00424C7E" w:rsidRPr="00DC1EF1">
          <w:rPr>
            <w:rStyle w:val="Hyperlink"/>
            <w:noProof/>
            <w:lang w:val="de-DE"/>
          </w:rPr>
          <w:t>Prüfungsrichtlinien einzelner Behörden</w:t>
        </w:r>
        <w:r w:rsidR="00424C7E">
          <w:rPr>
            <w:noProof/>
            <w:webHidden/>
          </w:rPr>
          <w:tab/>
        </w:r>
        <w:r w:rsidR="00424C7E">
          <w:rPr>
            <w:noProof/>
            <w:webHidden/>
          </w:rPr>
          <w:fldChar w:fldCharType="begin"/>
        </w:r>
        <w:r w:rsidR="00424C7E">
          <w:rPr>
            <w:noProof/>
            <w:webHidden/>
          </w:rPr>
          <w:instrText xml:space="preserve"> PAGEREF _Toc380483698 \h </w:instrText>
        </w:r>
        <w:r w:rsidR="00424C7E">
          <w:rPr>
            <w:noProof/>
            <w:webHidden/>
          </w:rPr>
        </w:r>
        <w:r w:rsidR="00424C7E">
          <w:rPr>
            <w:noProof/>
            <w:webHidden/>
          </w:rPr>
          <w:fldChar w:fldCharType="separate"/>
        </w:r>
        <w:r w:rsidR="004D1C9D">
          <w:rPr>
            <w:noProof/>
            <w:webHidden/>
          </w:rPr>
          <w:t>17</w:t>
        </w:r>
        <w:r w:rsidR="00424C7E">
          <w:rPr>
            <w:noProof/>
            <w:webHidden/>
          </w:rPr>
          <w:fldChar w:fldCharType="end"/>
        </w:r>
      </w:hyperlink>
    </w:p>
    <w:p w:rsidR="001F1B9E" w:rsidRPr="00BC76A2" w:rsidRDefault="00424C7E">
      <w:pPr>
        <w:jc w:val="left"/>
        <w:rPr>
          <w:caps/>
          <w:sz w:val="18"/>
          <w:lang w:val="de-DE"/>
        </w:rPr>
      </w:pPr>
      <w:r>
        <w:rPr>
          <w:caps/>
          <w:lang w:val="de-DE"/>
        </w:rPr>
        <w:fldChar w:fldCharType="end"/>
      </w:r>
      <w:r w:rsidR="001F1B9E" w:rsidRPr="00BC76A2">
        <w:rPr>
          <w:caps/>
          <w:lang w:val="de-DE"/>
        </w:rPr>
        <w:br w:type="page"/>
      </w:r>
    </w:p>
    <w:p w:rsidR="001F4113" w:rsidRPr="00BC76A2" w:rsidRDefault="001F4113" w:rsidP="00D135ED">
      <w:pPr>
        <w:pStyle w:val="Heading1"/>
        <w:rPr>
          <w:rStyle w:val="BookTitle"/>
          <w:b/>
          <w:lang w:val="de-DE"/>
        </w:rPr>
      </w:pPr>
      <w:bookmarkStart w:id="5" w:name="_Toc379530063"/>
      <w:bookmarkStart w:id="6" w:name="_Toc380391610"/>
      <w:bookmarkStart w:id="7" w:name="_Toc380419850"/>
      <w:bookmarkStart w:id="8" w:name="_Toc380483650"/>
      <w:r w:rsidRPr="00BC76A2">
        <w:rPr>
          <w:rStyle w:val="BookTitle"/>
          <w:b/>
          <w:lang w:val="de-DE"/>
        </w:rPr>
        <w:t>I.</w:t>
      </w:r>
      <w:r w:rsidRPr="00BC76A2">
        <w:rPr>
          <w:rStyle w:val="BookTitle"/>
          <w:b/>
          <w:lang w:val="de-DE"/>
        </w:rPr>
        <w:tab/>
      </w:r>
      <w:r w:rsidR="00A22889" w:rsidRPr="00BC76A2">
        <w:rPr>
          <w:rStyle w:val="BookTitle"/>
          <w:b/>
          <w:lang w:val="de-DE"/>
        </w:rPr>
        <w:t>FRAGEN ZUR</w:t>
      </w:r>
      <w:r w:rsidRPr="00BC76A2">
        <w:rPr>
          <w:rStyle w:val="BookTitle"/>
          <w:b/>
          <w:lang w:val="de-DE"/>
        </w:rPr>
        <w:t xml:space="preserve"> Information</w:t>
      </w:r>
      <w:bookmarkEnd w:id="5"/>
      <w:bookmarkEnd w:id="6"/>
      <w:bookmarkEnd w:id="7"/>
      <w:bookmarkEnd w:id="8"/>
    </w:p>
    <w:p w:rsidR="001F4113" w:rsidRPr="00BC76A2" w:rsidRDefault="001F4113" w:rsidP="00D135ED">
      <w:pPr>
        <w:pStyle w:val="Heading1"/>
        <w:rPr>
          <w:lang w:val="de-DE"/>
        </w:rPr>
      </w:pPr>
    </w:p>
    <w:p w:rsidR="00D41A77" w:rsidRPr="00BC76A2" w:rsidRDefault="00D41A77" w:rsidP="00D135ED">
      <w:pPr>
        <w:pStyle w:val="Heading1"/>
        <w:rPr>
          <w:lang w:val="de-DE"/>
        </w:rPr>
      </w:pPr>
      <w:bookmarkStart w:id="9" w:name="_Toc379530064"/>
      <w:bookmarkStart w:id="10" w:name="_Toc380391611"/>
      <w:bookmarkStart w:id="11" w:name="_Toc380419851"/>
      <w:bookmarkStart w:id="12" w:name="_Toc380483651"/>
      <w:r w:rsidRPr="00BC76A2">
        <w:rPr>
          <w:lang w:val="de-DE"/>
        </w:rPr>
        <w:t>M</w:t>
      </w:r>
      <w:r w:rsidR="00A22889" w:rsidRPr="00BC76A2">
        <w:rPr>
          <w:lang w:val="de-DE"/>
        </w:rPr>
        <w:t>ITGLIEDERZAHL</w:t>
      </w:r>
      <w:bookmarkEnd w:id="9"/>
      <w:bookmarkEnd w:id="10"/>
      <w:bookmarkEnd w:id="11"/>
      <w:bookmarkEnd w:id="12"/>
    </w:p>
    <w:p w:rsidR="00D41A77" w:rsidRPr="00BC76A2" w:rsidRDefault="00D41A77" w:rsidP="00D41A77">
      <w:pPr>
        <w:rPr>
          <w:lang w:val="de-DE"/>
        </w:rPr>
      </w:pPr>
    </w:p>
    <w:p w:rsidR="00D41A77" w:rsidRPr="00BC76A2" w:rsidRDefault="00A22889" w:rsidP="006A4A4E">
      <w:pPr>
        <w:pStyle w:val="Heading2"/>
        <w:rPr>
          <w:lang w:val="de-DE"/>
        </w:rPr>
      </w:pPr>
      <w:bookmarkStart w:id="13" w:name="_Toc379530065"/>
      <w:bookmarkStart w:id="14" w:name="_Toc380391612"/>
      <w:bookmarkStart w:id="15" w:name="_Toc380419852"/>
      <w:bookmarkStart w:id="16" w:name="_Toc380483652"/>
      <w:r w:rsidRPr="00BC76A2">
        <w:rPr>
          <w:lang w:val="de-DE"/>
        </w:rPr>
        <w:t>Verbandsmitglieder</w:t>
      </w:r>
      <w:bookmarkEnd w:id="13"/>
      <w:bookmarkEnd w:id="14"/>
      <w:bookmarkEnd w:id="15"/>
      <w:bookmarkEnd w:id="16"/>
    </w:p>
    <w:p w:rsidR="00D41A77" w:rsidRPr="00BC76A2" w:rsidRDefault="00D41A77" w:rsidP="00D41A77">
      <w:pPr>
        <w:rPr>
          <w:lang w:val="de-DE"/>
        </w:rPr>
      </w:pPr>
    </w:p>
    <w:p w:rsidR="00BD7BAB" w:rsidRPr="00E76CDC" w:rsidRDefault="0028178C" w:rsidP="00BD7BAB">
      <w:pPr>
        <w:rPr>
          <w:lang w:val="de-DE"/>
        </w:rPr>
      </w:pPr>
      <w:r w:rsidRPr="00E76CDC">
        <w:rPr>
          <w:snapToGrid w:val="0"/>
          <w:lang w:val="de-DE"/>
        </w:rPr>
        <w:fldChar w:fldCharType="begin"/>
      </w:r>
      <w:r w:rsidRPr="00E76CDC">
        <w:rPr>
          <w:snapToGrid w:val="0"/>
          <w:lang w:val="de-DE"/>
        </w:rPr>
        <w:instrText xml:space="preserve"> AUTONUM  </w:instrText>
      </w:r>
      <w:r w:rsidRPr="00E76CDC">
        <w:rPr>
          <w:snapToGrid w:val="0"/>
          <w:lang w:val="de-DE"/>
        </w:rPr>
        <w:fldChar w:fldCharType="end"/>
      </w:r>
      <w:r w:rsidRPr="00E76CDC">
        <w:rPr>
          <w:snapToGrid w:val="0"/>
          <w:lang w:val="de-DE"/>
        </w:rPr>
        <w:t xml:space="preserve"> </w:t>
      </w:r>
      <w:r w:rsidR="00BD7BAB" w:rsidRPr="00E76CDC">
        <w:rPr>
          <w:lang w:val="de-DE"/>
        </w:rPr>
        <w:t>Zum 31. Januar</w:t>
      </w:r>
      <w:r w:rsidR="008F289A" w:rsidRPr="00E76CDC">
        <w:rPr>
          <w:lang w:val="de-DE"/>
        </w:rPr>
        <w:t xml:space="preserve"> 2014</w:t>
      </w:r>
      <w:r w:rsidR="00BD7BAB" w:rsidRPr="00E76CDC">
        <w:rPr>
          <w:lang w:val="de-DE"/>
        </w:rPr>
        <w:t xml:space="preserve"> war die Lage der Verbandsmitglieder (insgesamt 71) bezüglich der verschiedenen Akten des Übereinkommens wie folgt:</w:t>
      </w:r>
    </w:p>
    <w:p w:rsidR="00BD7BAB" w:rsidRPr="00E76CDC" w:rsidRDefault="00BD7BAB" w:rsidP="00BD7BAB">
      <w:pPr>
        <w:rPr>
          <w:lang w:val="de-DE"/>
        </w:rPr>
      </w:pPr>
    </w:p>
    <w:p w:rsidR="00BD7BAB" w:rsidRPr="00E76CDC" w:rsidRDefault="00BD7BAB" w:rsidP="00BD7BAB">
      <w:pPr>
        <w:rPr>
          <w:lang w:val="de-DE"/>
        </w:rPr>
      </w:pPr>
      <w:r w:rsidRPr="00E76CDC">
        <w:rPr>
          <w:lang w:val="de-DE"/>
        </w:rPr>
        <w:tab/>
        <w:t>a)</w:t>
      </w:r>
      <w:r w:rsidRPr="00E76CDC">
        <w:rPr>
          <w:lang w:val="de-DE"/>
        </w:rPr>
        <w:tab/>
        <w:t>Belgien war durch die Akte von 1961, geändert durch die Akte von 1972, gebunden;</w:t>
      </w:r>
    </w:p>
    <w:p w:rsidR="00BD7BAB" w:rsidRPr="00E76CDC" w:rsidRDefault="00BD7BAB" w:rsidP="00BD7BAB">
      <w:pPr>
        <w:rPr>
          <w:lang w:val="de-DE"/>
        </w:rPr>
      </w:pPr>
    </w:p>
    <w:p w:rsidR="00BD7BAB" w:rsidRPr="00E76CDC" w:rsidRDefault="00BD7BAB" w:rsidP="00BD7BAB">
      <w:pPr>
        <w:rPr>
          <w:lang w:val="de-DE"/>
        </w:rPr>
      </w:pPr>
      <w:r w:rsidRPr="00E76CDC">
        <w:rPr>
          <w:lang w:val="de-DE"/>
        </w:rPr>
        <w:tab/>
        <w:t>b)</w:t>
      </w:r>
      <w:r w:rsidRPr="00E76CDC">
        <w:rPr>
          <w:lang w:val="de-DE"/>
        </w:rPr>
        <w:tab/>
        <w:t>19 Mitglieder waren durch die Akte von 1978 gebunden: Argentinien, Bolivien, Brasilien, Chile, China, Ecuador, Italien, Kanada, Kenia, Kolumbien, Mexiko, Neuseeland, Nicaragua, Norwegen, Paraguay, Portugal, Südafrika, Trinidad und Tobago</w:t>
      </w:r>
      <w:r w:rsidR="008F289A" w:rsidRPr="00E76CDC">
        <w:rPr>
          <w:lang w:val="de-DE"/>
        </w:rPr>
        <w:t xml:space="preserve"> und</w:t>
      </w:r>
      <w:r w:rsidRPr="00E76CDC">
        <w:rPr>
          <w:lang w:val="de-DE"/>
        </w:rPr>
        <w:t xml:space="preserve"> Uruguay.</w:t>
      </w:r>
    </w:p>
    <w:p w:rsidR="00BD7BAB" w:rsidRPr="00E76CDC" w:rsidRDefault="00BD7BAB" w:rsidP="00BD7BAB">
      <w:pPr>
        <w:rPr>
          <w:lang w:val="de-DE"/>
        </w:rPr>
      </w:pPr>
    </w:p>
    <w:p w:rsidR="00BD7BAB" w:rsidRPr="00BC76A2" w:rsidRDefault="00BD7BAB" w:rsidP="00BD7BAB">
      <w:pPr>
        <w:rPr>
          <w:lang w:val="de-DE"/>
        </w:rPr>
      </w:pPr>
      <w:r w:rsidRPr="00E76CDC">
        <w:rPr>
          <w:lang w:val="de-DE"/>
        </w:rPr>
        <w:tab/>
        <w:t>c)</w:t>
      </w:r>
      <w:r w:rsidRPr="00E76CDC">
        <w:rPr>
          <w:lang w:val="de-DE"/>
        </w:rPr>
        <w:tab/>
        <w:t xml:space="preserve">51 Mitglieder waren durch die Akte von 1991 gebunden: Albanien, Aserbaidschan, Australien, Belarus, Bulgarien, </w:t>
      </w:r>
      <w:r w:rsidR="008539FC" w:rsidRPr="00E76CDC">
        <w:rPr>
          <w:lang w:val="de-DE"/>
        </w:rPr>
        <w:t xml:space="preserve">Costa Rica, </w:t>
      </w:r>
      <w:r w:rsidRPr="00E76CDC">
        <w:rPr>
          <w:lang w:val="de-DE"/>
        </w:rPr>
        <w:t>Dänemark, Deutschland, Dominikanische Republik, Ehemalige Republik Mazedonien, Estland, Europäische Gemeinschaft, Frankreich, Finnland, Georgien, Irland, Island, Israel, Japan, Jordanien,</w:t>
      </w:r>
      <w:r w:rsidRPr="00BC76A2">
        <w:rPr>
          <w:lang w:val="de-DE"/>
        </w:rPr>
        <w:t xml:space="preserve"> Kirgisische Republik, Kroatien, Lettland, Litauen, Marokko, Niederlande, Oman, Österreich, Panama, Peru, Polen, Republik Korea, Republik Moldau, Rumänien, Russische Föderation, Schweden, Schweiz, </w:t>
      </w:r>
      <w:r w:rsidR="008F289A" w:rsidRPr="00BC76A2">
        <w:rPr>
          <w:lang w:val="de-DE"/>
        </w:rPr>
        <w:t xml:space="preserve">Serbien, </w:t>
      </w:r>
      <w:r w:rsidRPr="00BC76A2">
        <w:rPr>
          <w:lang w:val="de-DE"/>
        </w:rPr>
        <w:t>Singapur, Slowakei, Slowenien, Spanien, Tschechische Republik, Tunesien, Türkei, Ukraine, Ungarn,</w:t>
      </w:r>
      <w:r w:rsidR="008F289A" w:rsidRPr="00BC76A2">
        <w:rPr>
          <w:lang w:val="de-DE"/>
        </w:rPr>
        <w:t xml:space="preserve"> </w:t>
      </w:r>
      <w:r w:rsidRPr="00BC76A2">
        <w:rPr>
          <w:lang w:val="de-DE"/>
        </w:rPr>
        <w:t>Usbekistan, Vereinigtes Königreich, Vereinigte Staaten von Amerika und Vietnam.</w:t>
      </w:r>
    </w:p>
    <w:p w:rsidR="00D41A77" w:rsidRPr="00BC76A2" w:rsidRDefault="00D41A77" w:rsidP="00D41A77">
      <w:pPr>
        <w:rPr>
          <w:lang w:val="de-DE"/>
        </w:rPr>
      </w:pPr>
    </w:p>
    <w:p w:rsidR="00D135ED" w:rsidRPr="00BC76A2" w:rsidRDefault="00D135ED" w:rsidP="00D41A77">
      <w:pPr>
        <w:rPr>
          <w:lang w:val="de-DE"/>
        </w:rPr>
      </w:pPr>
    </w:p>
    <w:p w:rsidR="00D41A77" w:rsidRPr="00BC76A2" w:rsidRDefault="00195D26" w:rsidP="006A4A4E">
      <w:pPr>
        <w:pStyle w:val="Heading2"/>
        <w:rPr>
          <w:lang w:val="de-DE"/>
        </w:rPr>
      </w:pPr>
      <w:bookmarkStart w:id="17" w:name="_Toc379530066"/>
      <w:bookmarkStart w:id="18" w:name="_Toc380391613"/>
      <w:bookmarkStart w:id="19" w:name="_Toc380419853"/>
      <w:bookmarkStart w:id="20" w:name="_Toc380483653"/>
      <w:r w:rsidRPr="00BC76A2">
        <w:rPr>
          <w:lang w:val="de-DE"/>
        </w:rPr>
        <w:t xml:space="preserve">Prüfung von </w:t>
      </w:r>
      <w:bookmarkEnd w:id="17"/>
      <w:r w:rsidR="00CF3566" w:rsidRPr="00BC76A2">
        <w:rPr>
          <w:lang w:val="de-DE"/>
        </w:rPr>
        <w:t>Gesetzen</w:t>
      </w:r>
      <w:bookmarkEnd w:id="18"/>
      <w:bookmarkEnd w:id="19"/>
      <w:bookmarkEnd w:id="20"/>
    </w:p>
    <w:p w:rsidR="00D41A77" w:rsidRPr="00BC76A2" w:rsidRDefault="00D41A77" w:rsidP="00D41A77">
      <w:pPr>
        <w:keepNext/>
        <w:rPr>
          <w:lang w:val="de-DE"/>
        </w:rPr>
      </w:pPr>
    </w:p>
    <w:p w:rsidR="00D41A77" w:rsidRPr="00BC76A2" w:rsidRDefault="00195D26" w:rsidP="00574BB5">
      <w:pPr>
        <w:pStyle w:val="Heading3"/>
        <w:rPr>
          <w:lang w:val="de-DE"/>
        </w:rPr>
      </w:pPr>
      <w:bookmarkStart w:id="21" w:name="_Toc379530067"/>
      <w:bookmarkStart w:id="22" w:name="_Toc380391614"/>
      <w:bookmarkStart w:id="23" w:name="_Toc380419854"/>
      <w:bookmarkStart w:id="24" w:name="_Toc380483654"/>
      <w:r w:rsidRPr="00BC76A2">
        <w:rPr>
          <w:lang w:val="de-DE"/>
        </w:rPr>
        <w:t>S</w:t>
      </w:r>
      <w:r w:rsidR="00D41A77" w:rsidRPr="00BC76A2">
        <w:rPr>
          <w:lang w:val="de-DE"/>
        </w:rPr>
        <w:t>an</w:t>
      </w:r>
      <w:r w:rsidRPr="00BC76A2">
        <w:rPr>
          <w:lang w:val="de-DE"/>
        </w:rPr>
        <w:t>s</w:t>
      </w:r>
      <w:r w:rsidR="00D41A77" w:rsidRPr="00BC76A2">
        <w:rPr>
          <w:lang w:val="de-DE"/>
        </w:rPr>
        <w:t>ibar</w:t>
      </w:r>
      <w:bookmarkEnd w:id="21"/>
      <w:bookmarkEnd w:id="22"/>
      <w:bookmarkEnd w:id="23"/>
      <w:bookmarkEnd w:id="24"/>
    </w:p>
    <w:p w:rsidR="00D41A77" w:rsidRPr="00BC76A2" w:rsidRDefault="00D41A77" w:rsidP="00D41A77">
      <w:pPr>
        <w:keepNext/>
        <w:rPr>
          <w:lang w:val="de-DE"/>
        </w:rPr>
      </w:pPr>
    </w:p>
    <w:p w:rsidR="00D41A77" w:rsidRPr="00BC76A2" w:rsidRDefault="00D41A77" w:rsidP="008F289A">
      <w:pPr>
        <w:rPr>
          <w:lang w:val="de-DE"/>
        </w:rPr>
      </w:pPr>
      <w:r w:rsidRPr="00BC76A2">
        <w:rPr>
          <w:lang w:val="de-DE"/>
        </w:rPr>
        <w:fldChar w:fldCharType="begin"/>
      </w:r>
      <w:r w:rsidRPr="00BC76A2">
        <w:rPr>
          <w:lang w:val="de-DE"/>
        </w:rPr>
        <w:instrText xml:space="preserve"> AUTONUM  </w:instrText>
      </w:r>
      <w:r w:rsidRPr="00BC76A2">
        <w:rPr>
          <w:lang w:val="de-DE"/>
        </w:rPr>
        <w:fldChar w:fldCharType="end"/>
      </w:r>
      <w:r w:rsidRPr="00BC76A2">
        <w:rPr>
          <w:lang w:val="de-DE"/>
        </w:rPr>
        <w:tab/>
      </w:r>
      <w:r w:rsidR="00195D26" w:rsidRPr="00BC76A2">
        <w:rPr>
          <w:lang w:val="de-DE"/>
        </w:rPr>
        <w:t xml:space="preserve">Der Rat prüfte auf seiner </w:t>
      </w:r>
      <w:r w:rsidR="00CF3566" w:rsidRPr="00BC76A2">
        <w:rPr>
          <w:lang w:val="de-DE"/>
        </w:rPr>
        <w:t>dreißigsten</w:t>
      </w:r>
      <w:r w:rsidR="0034686C" w:rsidRPr="00BC76A2">
        <w:rPr>
          <w:lang w:val="de-DE"/>
        </w:rPr>
        <w:t xml:space="preserve"> </w:t>
      </w:r>
      <w:r w:rsidR="00CF3566" w:rsidRPr="00BC76A2">
        <w:rPr>
          <w:lang w:val="de-DE"/>
        </w:rPr>
        <w:t>außerordentlichen</w:t>
      </w:r>
      <w:r w:rsidR="0034686C" w:rsidRPr="00BC76A2">
        <w:rPr>
          <w:lang w:val="de-DE"/>
        </w:rPr>
        <w:t xml:space="preserve"> Tagung vom 22. März 2013 </w:t>
      </w:r>
      <w:r w:rsidR="008F289A" w:rsidRPr="00BC76A2">
        <w:rPr>
          <w:lang w:val="de-DE"/>
        </w:rPr>
        <w:t xml:space="preserve">in Genf </w:t>
      </w:r>
      <w:r w:rsidR="0034686C" w:rsidRPr="00BC76A2">
        <w:rPr>
          <w:lang w:val="de-DE"/>
        </w:rPr>
        <w:t>die Vereinbarkeit des Gesetzentwurfs über Pflanzenzüchterrechte für Sansibar mit der Akte von 1991 des UPOV-Übereinkommens</w:t>
      </w:r>
      <w:r w:rsidRPr="00BC76A2">
        <w:rPr>
          <w:lang w:val="de-DE"/>
        </w:rPr>
        <w:t>.</w:t>
      </w:r>
      <w:r w:rsidR="0034686C" w:rsidRPr="00BC76A2">
        <w:rPr>
          <w:lang w:val="de-DE"/>
        </w:rPr>
        <w:t xml:space="preserve"> Der Rat entschied, vorbehaltlich der Aufnahme </w:t>
      </w:r>
      <w:r w:rsidR="00EA50D3" w:rsidRPr="00BC76A2">
        <w:rPr>
          <w:lang w:val="de-DE"/>
        </w:rPr>
        <w:t xml:space="preserve">bestimmter </w:t>
      </w:r>
      <w:r w:rsidR="0034686C" w:rsidRPr="00BC76A2">
        <w:rPr>
          <w:lang w:val="de-DE"/>
        </w:rPr>
        <w:t xml:space="preserve">Änderungen </w:t>
      </w:r>
      <w:r w:rsidR="008F289A" w:rsidRPr="00BC76A2">
        <w:rPr>
          <w:lang w:val="de-DE"/>
        </w:rPr>
        <w:t xml:space="preserve">in den Gesetzentwurf über Pflanzenzüchterrechte für Sansibar, </w:t>
      </w:r>
      <w:r w:rsidR="00EA50D3" w:rsidRPr="00BC76A2">
        <w:rPr>
          <w:lang w:val="de-DE"/>
        </w:rPr>
        <w:t xml:space="preserve">ohne zusätzliche Änderungen, eine positive Entscheidung über die </w:t>
      </w:r>
      <w:r w:rsidR="0034686C" w:rsidRPr="00BC76A2">
        <w:rPr>
          <w:lang w:val="de-DE"/>
        </w:rPr>
        <w:t xml:space="preserve">Vereinbarkeit des Gesetzentwurfs über Pflanzenzüchterrechte </w:t>
      </w:r>
      <w:r w:rsidR="008F289A" w:rsidRPr="00BC76A2">
        <w:rPr>
          <w:lang w:val="de-DE"/>
        </w:rPr>
        <w:t>für</w:t>
      </w:r>
      <w:r w:rsidR="0034686C" w:rsidRPr="00BC76A2">
        <w:rPr>
          <w:lang w:val="de-DE"/>
        </w:rPr>
        <w:t xml:space="preserve"> Sansibar mit den Bestimmungen der Akte von 1991 des Internationalen Übereinkommens zum Schutz von Pflanzenzüchtungen zu </w:t>
      </w:r>
      <w:r w:rsidR="00CF3566" w:rsidRPr="00BC76A2">
        <w:rPr>
          <w:lang w:val="de-DE"/>
        </w:rPr>
        <w:t>treffen. Der</w:t>
      </w:r>
      <w:r w:rsidR="00EA50D3" w:rsidRPr="00BC76A2">
        <w:rPr>
          <w:lang w:val="de-DE"/>
        </w:rPr>
        <w:t xml:space="preserve"> Rat entschied zudem, </w:t>
      </w:r>
      <w:r w:rsidR="00EA50D3" w:rsidRPr="00BC76A2">
        <w:rPr>
          <w:szCs w:val="24"/>
          <w:lang w:val="de-DE"/>
        </w:rPr>
        <w:t xml:space="preserve">die Regierung der Vereinigten Republik Tansania darüber in Kenntnis zu setzen, </w:t>
      </w:r>
      <w:r w:rsidR="00EA50D3" w:rsidRPr="00BC76A2">
        <w:rPr>
          <w:lang w:val="de-DE"/>
        </w:rPr>
        <w:t xml:space="preserve">daß vorbehaltlich der Aufnahme der vom Rat empfohlenen Änderungen in das Gesetz über Pflanzenzüchterrechte für Sansibar und der Verabschiedung des Gesetzes ohne zusätzliche Änderungen </w:t>
      </w:r>
      <w:r w:rsidR="00EA50D3" w:rsidRPr="00BC76A2">
        <w:rPr>
          <w:szCs w:val="24"/>
          <w:lang w:val="de-DE"/>
        </w:rPr>
        <w:t>die Beitrittsurkunde der Vereinigten Republik Tansania hinterlegt werden kann</w:t>
      </w:r>
      <w:r w:rsidRPr="00BC76A2">
        <w:rPr>
          <w:lang w:val="de-DE"/>
        </w:rPr>
        <w:t xml:space="preserve"> (</w:t>
      </w:r>
      <w:r w:rsidR="00EA50D3" w:rsidRPr="00BC76A2">
        <w:rPr>
          <w:lang w:val="de-DE"/>
        </w:rPr>
        <w:t>vergleiche Dokument</w:t>
      </w:r>
      <w:r w:rsidRPr="00BC76A2">
        <w:rPr>
          <w:lang w:val="de-DE"/>
        </w:rPr>
        <w:t xml:space="preserve"> C(Extr.)/30/8 </w:t>
      </w:r>
      <w:r w:rsidR="00EA50D3" w:rsidRPr="00BC76A2">
        <w:rPr>
          <w:lang w:val="de-DE"/>
        </w:rPr>
        <w:t>„Bericht“</w:t>
      </w:r>
      <w:r w:rsidRPr="00BC76A2">
        <w:rPr>
          <w:lang w:val="de-DE"/>
        </w:rPr>
        <w:t xml:space="preserve"> </w:t>
      </w:r>
      <w:r w:rsidR="00EA50D3" w:rsidRPr="00BC76A2">
        <w:rPr>
          <w:lang w:val="de-DE"/>
        </w:rPr>
        <w:t>Absatz</w:t>
      </w:r>
      <w:r w:rsidRPr="00BC76A2">
        <w:rPr>
          <w:lang w:val="de-DE"/>
        </w:rPr>
        <w:t xml:space="preserve"> 13).</w:t>
      </w:r>
    </w:p>
    <w:p w:rsidR="00D41A77" w:rsidRPr="00BC76A2" w:rsidRDefault="00D41A77" w:rsidP="00D41A77">
      <w:pPr>
        <w:rPr>
          <w:lang w:val="de-DE"/>
        </w:rPr>
      </w:pPr>
    </w:p>
    <w:p w:rsidR="00D41A77" w:rsidRPr="00BC76A2" w:rsidRDefault="00D41A77" w:rsidP="00574BB5">
      <w:pPr>
        <w:pStyle w:val="Heading3"/>
        <w:rPr>
          <w:lang w:val="de-DE"/>
        </w:rPr>
      </w:pPr>
      <w:bookmarkStart w:id="25" w:name="_Toc379530068"/>
      <w:bookmarkStart w:id="26" w:name="_Toc380391615"/>
      <w:bookmarkStart w:id="27" w:name="_Toc380419855"/>
      <w:bookmarkStart w:id="28" w:name="_Toc380483655"/>
      <w:r w:rsidRPr="00BC76A2">
        <w:rPr>
          <w:lang w:val="de-DE"/>
        </w:rPr>
        <w:t>Bosni</w:t>
      </w:r>
      <w:r w:rsidR="005B601D" w:rsidRPr="00BC76A2">
        <w:rPr>
          <w:lang w:val="de-DE"/>
        </w:rPr>
        <w:t>en-</w:t>
      </w:r>
      <w:r w:rsidRPr="00BC76A2">
        <w:rPr>
          <w:lang w:val="de-DE"/>
        </w:rPr>
        <w:t>Herzego</w:t>
      </w:r>
      <w:r w:rsidR="005B601D" w:rsidRPr="00BC76A2">
        <w:rPr>
          <w:lang w:val="de-DE"/>
        </w:rPr>
        <w:t>w</w:t>
      </w:r>
      <w:r w:rsidRPr="00BC76A2">
        <w:rPr>
          <w:lang w:val="de-DE"/>
        </w:rPr>
        <w:t>ina</w:t>
      </w:r>
      <w:bookmarkEnd w:id="25"/>
      <w:bookmarkEnd w:id="26"/>
      <w:bookmarkEnd w:id="27"/>
      <w:bookmarkEnd w:id="28"/>
    </w:p>
    <w:p w:rsidR="00D41A77" w:rsidRPr="00BC76A2" w:rsidRDefault="00D41A77" w:rsidP="00D135ED">
      <w:pPr>
        <w:rPr>
          <w:lang w:val="de-DE"/>
        </w:rPr>
      </w:pPr>
    </w:p>
    <w:p w:rsidR="00D41A77" w:rsidRPr="00BC76A2" w:rsidRDefault="00D41A77" w:rsidP="00D41A77">
      <w:pPr>
        <w:rPr>
          <w:lang w:val="de-DE"/>
        </w:rPr>
      </w:pPr>
      <w:r w:rsidRPr="00BC76A2">
        <w:rPr>
          <w:lang w:val="de-DE"/>
        </w:rPr>
        <w:fldChar w:fldCharType="begin"/>
      </w:r>
      <w:r w:rsidRPr="00BC76A2">
        <w:rPr>
          <w:lang w:val="de-DE"/>
        </w:rPr>
        <w:instrText xml:space="preserve"> AUTONUM  </w:instrText>
      </w:r>
      <w:r w:rsidRPr="00BC76A2">
        <w:rPr>
          <w:lang w:val="de-DE"/>
        </w:rPr>
        <w:fldChar w:fldCharType="end"/>
      </w:r>
      <w:r w:rsidRPr="00BC76A2">
        <w:rPr>
          <w:lang w:val="de-DE"/>
        </w:rPr>
        <w:tab/>
      </w:r>
      <w:r w:rsidR="005B601D" w:rsidRPr="00BC76A2">
        <w:rPr>
          <w:lang w:val="de-DE"/>
        </w:rPr>
        <w:t xml:space="preserve">Der Rat traf auf </w:t>
      </w:r>
      <w:r w:rsidR="00CF3566" w:rsidRPr="00BC76A2">
        <w:rPr>
          <w:lang w:val="de-DE"/>
        </w:rPr>
        <w:t>seiner</w:t>
      </w:r>
      <w:r w:rsidR="005B601D" w:rsidRPr="00BC76A2">
        <w:rPr>
          <w:lang w:val="de-DE"/>
        </w:rPr>
        <w:t xml:space="preserve"> siebenundvierzigsten ordentlichen Tagung vom 24. Oktober 2013 </w:t>
      </w:r>
      <w:r w:rsidR="008F289A" w:rsidRPr="00BC76A2">
        <w:rPr>
          <w:lang w:val="de-DE"/>
        </w:rPr>
        <w:t xml:space="preserve">in Genf </w:t>
      </w:r>
      <w:r w:rsidR="005B601D" w:rsidRPr="00BC76A2">
        <w:rPr>
          <w:szCs w:val="24"/>
          <w:lang w:val="de-DE"/>
        </w:rPr>
        <w:t>eine positive Entscheidung über die Vereinbarkeit des Gesetzes über den Schutz von Pflanzenzüchtungen von Bosnien-Herzegowina mit den Bestimmungen der Akte von 1991 des Internationalen Übereinkommens zum Schutz von Pflanzenzüchtungen zu treffen, so daß Bosnien</w:t>
      </w:r>
      <w:r w:rsidR="005B601D" w:rsidRPr="00BC76A2">
        <w:rPr>
          <w:szCs w:val="24"/>
          <w:lang w:val="de-DE"/>
        </w:rPr>
        <w:noBreakHyphen/>
        <w:t xml:space="preserve">Herzegowina seine Beitrittsurkunde zu der Akte von 1991 hinterlegen kann </w:t>
      </w:r>
      <w:r w:rsidRPr="00BC76A2">
        <w:rPr>
          <w:lang w:val="de-DE"/>
        </w:rPr>
        <w:t>(</w:t>
      </w:r>
      <w:r w:rsidR="005B601D" w:rsidRPr="00BC76A2">
        <w:rPr>
          <w:lang w:val="de-DE"/>
        </w:rPr>
        <w:t>vergleiche Dokument</w:t>
      </w:r>
      <w:r w:rsidRPr="00BC76A2">
        <w:rPr>
          <w:lang w:val="de-DE"/>
        </w:rPr>
        <w:t xml:space="preserve"> C/47/19 </w:t>
      </w:r>
      <w:r w:rsidR="005B601D" w:rsidRPr="00BC76A2">
        <w:rPr>
          <w:lang w:val="de-DE"/>
        </w:rPr>
        <w:t xml:space="preserve">„Bericht über die </w:t>
      </w:r>
      <w:r w:rsidR="00CF3566" w:rsidRPr="00BC76A2">
        <w:rPr>
          <w:lang w:val="de-DE"/>
        </w:rPr>
        <w:t>Entschließungen</w:t>
      </w:r>
      <w:r w:rsidR="005B601D" w:rsidRPr="00BC76A2">
        <w:rPr>
          <w:lang w:val="de-DE"/>
        </w:rPr>
        <w:t>“</w:t>
      </w:r>
      <w:r w:rsidRPr="00BC76A2">
        <w:rPr>
          <w:lang w:val="de-DE"/>
        </w:rPr>
        <w:t xml:space="preserve">, </w:t>
      </w:r>
      <w:r w:rsidR="005B601D" w:rsidRPr="00BC76A2">
        <w:rPr>
          <w:lang w:val="de-DE"/>
        </w:rPr>
        <w:t>Absätze</w:t>
      </w:r>
      <w:r w:rsidRPr="00BC76A2">
        <w:rPr>
          <w:lang w:val="de-DE"/>
        </w:rPr>
        <w:t xml:space="preserve"> 8 </w:t>
      </w:r>
      <w:r w:rsidR="005B601D" w:rsidRPr="00BC76A2">
        <w:rPr>
          <w:lang w:val="de-DE"/>
        </w:rPr>
        <w:t>bis</w:t>
      </w:r>
      <w:r w:rsidRPr="00BC76A2">
        <w:rPr>
          <w:lang w:val="de-DE"/>
        </w:rPr>
        <w:t xml:space="preserve"> 11).</w:t>
      </w:r>
    </w:p>
    <w:p w:rsidR="00D41A77" w:rsidRPr="00BC76A2" w:rsidRDefault="00D41A77" w:rsidP="00D41A77">
      <w:pPr>
        <w:rPr>
          <w:lang w:val="de-DE"/>
        </w:rPr>
      </w:pPr>
    </w:p>
    <w:p w:rsidR="00D41A77" w:rsidRPr="00BC76A2" w:rsidRDefault="00D41A77" w:rsidP="00D41A77">
      <w:pPr>
        <w:rPr>
          <w:lang w:val="de-DE"/>
        </w:rPr>
      </w:pPr>
    </w:p>
    <w:p w:rsidR="00D135ED" w:rsidRPr="00BC76A2" w:rsidRDefault="008F289A" w:rsidP="00D135ED">
      <w:pPr>
        <w:pStyle w:val="Heading1"/>
        <w:rPr>
          <w:lang w:val="de-DE"/>
        </w:rPr>
      </w:pPr>
      <w:bookmarkStart w:id="29" w:name="_Toc379530069"/>
      <w:bookmarkStart w:id="30" w:name="_Toc380391616"/>
      <w:bookmarkStart w:id="31" w:name="_Toc380419856"/>
      <w:bookmarkStart w:id="32" w:name="_Toc380483656"/>
      <w:r w:rsidRPr="00BC76A2">
        <w:rPr>
          <w:lang w:val="de-DE"/>
        </w:rPr>
        <w:t>sortenschutz</w:t>
      </w:r>
      <w:r w:rsidR="00D135ED" w:rsidRPr="00BC76A2">
        <w:rPr>
          <w:lang w:val="de-DE"/>
        </w:rPr>
        <w:t>Statisti</w:t>
      </w:r>
      <w:r w:rsidR="005B601D" w:rsidRPr="00BC76A2">
        <w:rPr>
          <w:lang w:val="de-DE"/>
        </w:rPr>
        <w:t>K</w:t>
      </w:r>
      <w:bookmarkEnd w:id="29"/>
      <w:bookmarkEnd w:id="30"/>
      <w:bookmarkEnd w:id="31"/>
      <w:bookmarkEnd w:id="32"/>
    </w:p>
    <w:p w:rsidR="00D135ED" w:rsidRPr="00BC76A2" w:rsidRDefault="00D135ED" w:rsidP="00D135ED">
      <w:pPr>
        <w:keepNext/>
        <w:rPr>
          <w:lang w:val="de-DE"/>
        </w:rPr>
      </w:pPr>
    </w:p>
    <w:p w:rsidR="00D135ED" w:rsidRPr="00BC76A2" w:rsidRDefault="00D135ED" w:rsidP="006A4A4E">
      <w:pPr>
        <w:pStyle w:val="Heading2"/>
        <w:rPr>
          <w:rFonts w:eastAsia="MS Mincho"/>
          <w:lang w:val="de-DE" w:eastAsia="ja-JP"/>
        </w:rPr>
      </w:pPr>
      <w:bookmarkStart w:id="33" w:name="_Toc379530070"/>
      <w:bookmarkStart w:id="34" w:name="_Toc380391617"/>
      <w:bookmarkStart w:id="35" w:name="_Toc380419857"/>
      <w:bookmarkStart w:id="36" w:name="_Toc380483657"/>
      <w:r w:rsidRPr="00BC76A2">
        <w:rPr>
          <w:rFonts w:eastAsia="MS Mincho"/>
          <w:lang w:val="de-DE" w:eastAsia="ja-JP"/>
        </w:rPr>
        <w:t>List</w:t>
      </w:r>
      <w:r w:rsidR="005B601D" w:rsidRPr="00BC76A2">
        <w:rPr>
          <w:rFonts w:eastAsia="MS Mincho"/>
          <w:lang w:val="de-DE" w:eastAsia="ja-JP"/>
        </w:rPr>
        <w:t xml:space="preserve">e der </w:t>
      </w:r>
      <w:r w:rsidR="008F289A" w:rsidRPr="00BC76A2">
        <w:rPr>
          <w:rFonts w:eastAsia="MS Mincho"/>
          <w:lang w:val="de-DE" w:eastAsia="ja-JP"/>
        </w:rPr>
        <w:t>i</w:t>
      </w:r>
      <w:r w:rsidR="005B601D" w:rsidRPr="00BC76A2">
        <w:rPr>
          <w:rFonts w:eastAsia="MS Mincho"/>
          <w:lang w:val="de-DE" w:eastAsia="ja-JP"/>
        </w:rPr>
        <w:t xml:space="preserve">n den Verbandsmitgliedern </w:t>
      </w:r>
      <w:r w:rsidR="008F289A" w:rsidRPr="00BC76A2">
        <w:rPr>
          <w:rFonts w:eastAsia="MS Mincho"/>
          <w:lang w:val="de-DE" w:eastAsia="ja-JP"/>
        </w:rPr>
        <w:t>schutzfähigen</w:t>
      </w:r>
      <w:r w:rsidR="005B601D" w:rsidRPr="00BC76A2">
        <w:rPr>
          <w:rFonts w:eastAsia="MS Mincho"/>
          <w:lang w:val="de-DE" w:eastAsia="ja-JP"/>
        </w:rPr>
        <w:t xml:space="preserve"> Taxa</w:t>
      </w:r>
      <w:bookmarkEnd w:id="33"/>
      <w:bookmarkEnd w:id="34"/>
      <w:bookmarkEnd w:id="35"/>
      <w:bookmarkEnd w:id="36"/>
    </w:p>
    <w:p w:rsidR="00D135ED" w:rsidRPr="00BC76A2" w:rsidRDefault="00D135ED" w:rsidP="00D135ED">
      <w:pPr>
        <w:keepNext/>
        <w:autoSpaceDE w:val="0"/>
        <w:autoSpaceDN w:val="0"/>
        <w:adjustRightInd w:val="0"/>
        <w:rPr>
          <w:rFonts w:eastAsia="MS Mincho" w:cs="Arial"/>
          <w:lang w:val="de-DE" w:eastAsia="ja-JP"/>
        </w:rPr>
      </w:pPr>
      <w:r w:rsidRPr="00BC76A2">
        <w:rPr>
          <w:rFonts w:eastAsia="MS Mincho" w:cs="Arial"/>
          <w:lang w:val="de-DE" w:eastAsia="ja-JP"/>
        </w:rPr>
        <w:t>(</w:t>
      </w:r>
      <w:r w:rsidR="005B601D" w:rsidRPr="00BC76A2">
        <w:rPr>
          <w:rFonts w:eastAsia="MS Mincho" w:cs="Arial"/>
          <w:lang w:val="de-DE" w:eastAsia="ja-JP"/>
        </w:rPr>
        <w:t>vergleiche D</w:t>
      </w:r>
      <w:r w:rsidRPr="00BC76A2">
        <w:rPr>
          <w:rFonts w:eastAsia="MS Mincho" w:cs="Arial"/>
          <w:lang w:val="de-DE" w:eastAsia="ja-JP"/>
        </w:rPr>
        <w:t>o</w:t>
      </w:r>
      <w:r w:rsidR="005B601D" w:rsidRPr="00BC76A2">
        <w:rPr>
          <w:rFonts w:eastAsia="MS Mincho" w:cs="Arial"/>
          <w:lang w:val="de-DE" w:eastAsia="ja-JP"/>
        </w:rPr>
        <w:t>k</w:t>
      </w:r>
      <w:r w:rsidRPr="00BC76A2">
        <w:rPr>
          <w:rFonts w:eastAsia="MS Mincho" w:cs="Arial"/>
          <w:lang w:val="de-DE" w:eastAsia="ja-JP"/>
        </w:rPr>
        <w:t xml:space="preserve">ument C/47/6 </w:t>
      </w:r>
      <w:r w:rsidR="005B601D" w:rsidRPr="00BC76A2">
        <w:rPr>
          <w:rFonts w:eastAsia="MS Mincho" w:cs="Arial"/>
          <w:lang w:val="de-DE" w:eastAsia="ja-JP"/>
        </w:rPr>
        <w:t xml:space="preserve">„Liste der </w:t>
      </w:r>
      <w:r w:rsidR="008F289A" w:rsidRPr="00BC76A2">
        <w:rPr>
          <w:rFonts w:eastAsia="MS Mincho" w:cs="Arial"/>
          <w:lang w:val="de-DE" w:eastAsia="ja-JP"/>
        </w:rPr>
        <w:t>i</w:t>
      </w:r>
      <w:r w:rsidR="005B601D" w:rsidRPr="00BC76A2">
        <w:rPr>
          <w:rFonts w:eastAsia="MS Mincho" w:cs="Arial"/>
          <w:lang w:val="de-DE" w:eastAsia="ja-JP"/>
        </w:rPr>
        <w:t xml:space="preserve">n </w:t>
      </w:r>
      <w:r w:rsidR="00CF3566" w:rsidRPr="00BC76A2">
        <w:rPr>
          <w:rFonts w:eastAsia="MS Mincho" w:cs="Arial"/>
          <w:lang w:val="de-DE" w:eastAsia="ja-JP"/>
        </w:rPr>
        <w:t>den</w:t>
      </w:r>
      <w:r w:rsidR="005B601D" w:rsidRPr="00BC76A2">
        <w:rPr>
          <w:rFonts w:eastAsia="MS Mincho" w:cs="Arial"/>
          <w:lang w:val="de-DE" w:eastAsia="ja-JP"/>
        </w:rPr>
        <w:t xml:space="preserve"> </w:t>
      </w:r>
      <w:r w:rsidR="00CF3566" w:rsidRPr="00BC76A2">
        <w:rPr>
          <w:rFonts w:eastAsia="MS Mincho" w:cs="Arial"/>
          <w:lang w:val="de-DE" w:eastAsia="ja-JP"/>
        </w:rPr>
        <w:t>Verbandsmitgliedern</w:t>
      </w:r>
      <w:r w:rsidR="005B601D" w:rsidRPr="00BC76A2">
        <w:rPr>
          <w:rFonts w:eastAsia="MS Mincho" w:cs="Arial"/>
          <w:lang w:val="de-DE" w:eastAsia="ja-JP"/>
        </w:rPr>
        <w:t xml:space="preserve"> </w:t>
      </w:r>
      <w:r w:rsidR="00B833B2" w:rsidRPr="00BC76A2">
        <w:rPr>
          <w:rFonts w:eastAsia="MS Mincho" w:cs="Arial"/>
          <w:lang w:val="de-DE" w:eastAsia="ja-JP"/>
        </w:rPr>
        <w:t>schutzfähigen</w:t>
      </w:r>
      <w:r w:rsidR="005B601D" w:rsidRPr="00BC76A2">
        <w:rPr>
          <w:rFonts w:eastAsia="MS Mincho" w:cs="Arial"/>
          <w:lang w:val="de-DE" w:eastAsia="ja-JP"/>
        </w:rPr>
        <w:t xml:space="preserve"> Taxa“</w:t>
      </w:r>
      <w:r w:rsidRPr="00BC76A2">
        <w:rPr>
          <w:rFonts w:eastAsia="MS Mincho" w:cs="Arial"/>
          <w:lang w:val="de-DE" w:eastAsia="ja-JP"/>
        </w:rPr>
        <w:t>)</w:t>
      </w:r>
    </w:p>
    <w:p w:rsidR="00D135ED" w:rsidRPr="00BC76A2" w:rsidRDefault="00D135ED" w:rsidP="00D135ED">
      <w:pPr>
        <w:keepNext/>
        <w:autoSpaceDE w:val="0"/>
        <w:autoSpaceDN w:val="0"/>
        <w:adjustRightInd w:val="0"/>
        <w:rPr>
          <w:rFonts w:eastAsia="MS Mincho" w:cs="Arial"/>
          <w:lang w:val="de-DE" w:eastAsia="ja-JP"/>
        </w:rPr>
      </w:pPr>
    </w:p>
    <w:p w:rsidR="00D135ED" w:rsidRPr="00BC76A2" w:rsidRDefault="00D135ED" w:rsidP="00D135ED">
      <w:pPr>
        <w:autoSpaceDE w:val="0"/>
        <w:autoSpaceDN w:val="0"/>
        <w:adjustRightInd w:val="0"/>
        <w:rPr>
          <w:rFonts w:eastAsia="MS Mincho" w:cs="Arial"/>
          <w:lang w:val="de-DE" w:eastAsia="ja-JP"/>
        </w:rPr>
      </w:pPr>
      <w:r w:rsidRPr="00BC76A2">
        <w:rPr>
          <w:rFonts w:eastAsia="MS Mincho" w:cs="Arial"/>
          <w:lang w:val="de-DE" w:eastAsia="ja-JP"/>
        </w:rPr>
        <w:fldChar w:fldCharType="begin"/>
      </w:r>
      <w:r w:rsidRPr="00BC76A2">
        <w:rPr>
          <w:rFonts w:eastAsia="MS Mincho" w:cs="Arial"/>
          <w:lang w:val="de-DE" w:eastAsia="ja-JP"/>
        </w:rPr>
        <w:instrText xml:space="preserve"> AUTONUM  </w:instrText>
      </w:r>
      <w:r w:rsidRPr="00BC76A2">
        <w:rPr>
          <w:rFonts w:eastAsia="MS Mincho" w:cs="Arial"/>
          <w:lang w:val="de-DE" w:eastAsia="ja-JP"/>
        </w:rPr>
        <w:fldChar w:fldCharType="end"/>
      </w:r>
      <w:r w:rsidRPr="00BC76A2">
        <w:rPr>
          <w:rFonts w:eastAsia="MS Mincho" w:cs="Arial"/>
          <w:lang w:val="de-DE" w:eastAsia="ja-JP"/>
        </w:rPr>
        <w:tab/>
      </w:r>
      <w:r w:rsidR="00B833B2" w:rsidRPr="00BC76A2">
        <w:rPr>
          <w:rFonts w:eastAsia="MS Mincho" w:cs="Arial"/>
          <w:lang w:val="de-DE" w:eastAsia="ja-JP"/>
        </w:rPr>
        <w:t>Zum 16. Oktober</w:t>
      </w:r>
      <w:r w:rsidRPr="00BC76A2">
        <w:rPr>
          <w:rFonts w:eastAsia="MS Mincho" w:cs="Arial"/>
          <w:lang w:val="de-DE" w:eastAsia="ja-JP"/>
        </w:rPr>
        <w:t xml:space="preserve"> 2013</w:t>
      </w:r>
      <w:r w:rsidR="00B833B2" w:rsidRPr="00BC76A2">
        <w:rPr>
          <w:rFonts w:eastAsia="MS Mincho" w:cs="Arial"/>
          <w:lang w:val="de-DE" w:eastAsia="ja-JP"/>
        </w:rPr>
        <w:t xml:space="preserve"> schützten insgesamt </w:t>
      </w:r>
      <w:r w:rsidRPr="00BC76A2">
        <w:rPr>
          <w:rFonts w:eastAsia="MS Mincho" w:cs="Arial"/>
          <w:lang w:val="de-DE" w:eastAsia="ja-JP"/>
        </w:rPr>
        <w:t xml:space="preserve">56 </w:t>
      </w:r>
      <w:r w:rsidR="00CF3566" w:rsidRPr="00BC76A2">
        <w:rPr>
          <w:rFonts w:eastAsia="MS Mincho" w:cs="Arial"/>
          <w:lang w:val="de-DE" w:eastAsia="ja-JP"/>
        </w:rPr>
        <w:t>Verbandsmitglieder</w:t>
      </w:r>
      <w:r w:rsidR="00B833B2" w:rsidRPr="00BC76A2">
        <w:rPr>
          <w:rFonts w:eastAsia="MS Mincho" w:cs="Arial"/>
          <w:lang w:val="de-DE" w:eastAsia="ja-JP"/>
        </w:rPr>
        <w:t xml:space="preserve"> alle </w:t>
      </w:r>
      <w:r w:rsidR="00CF3566" w:rsidRPr="00BC76A2">
        <w:rPr>
          <w:rFonts w:eastAsia="MS Mincho" w:cs="Arial"/>
          <w:lang w:val="de-DE" w:eastAsia="ja-JP"/>
        </w:rPr>
        <w:t>Pflanzengattungen</w:t>
      </w:r>
      <w:r w:rsidR="00B833B2" w:rsidRPr="00BC76A2">
        <w:rPr>
          <w:rFonts w:eastAsia="MS Mincho" w:cs="Arial"/>
          <w:lang w:val="de-DE" w:eastAsia="ja-JP"/>
        </w:rPr>
        <w:t xml:space="preserve"> und </w:t>
      </w:r>
      <w:r w:rsidR="00B833B2" w:rsidRPr="00BC76A2">
        <w:rPr>
          <w:rFonts w:eastAsia="MS Mincho" w:cs="Arial"/>
          <w:lang w:val="de-DE" w:eastAsia="ja-JP"/>
        </w:rPr>
        <w:noBreakHyphen/>
        <w:t xml:space="preserve">arten </w:t>
      </w:r>
      <w:r w:rsidRPr="00BC76A2">
        <w:rPr>
          <w:rFonts w:eastAsia="MS Mincho" w:cs="Arial"/>
          <w:lang w:val="de-DE" w:eastAsia="ja-JP"/>
        </w:rPr>
        <w:t>(53 i</w:t>
      </w:r>
      <w:r w:rsidR="00B833B2" w:rsidRPr="00BC76A2">
        <w:rPr>
          <w:rFonts w:eastAsia="MS Mincho" w:cs="Arial"/>
          <w:lang w:val="de-DE" w:eastAsia="ja-JP"/>
        </w:rPr>
        <w:t>m Jahre</w:t>
      </w:r>
      <w:r w:rsidRPr="00BC76A2">
        <w:rPr>
          <w:rFonts w:eastAsia="MS Mincho" w:cs="Arial"/>
          <w:lang w:val="de-DE" w:eastAsia="ja-JP"/>
        </w:rPr>
        <w:t xml:space="preserve"> 2012)</w:t>
      </w:r>
      <w:r w:rsidR="00B833B2" w:rsidRPr="00BC76A2">
        <w:rPr>
          <w:rFonts w:eastAsia="MS Mincho" w:cs="Arial"/>
          <w:lang w:val="de-DE" w:eastAsia="ja-JP"/>
        </w:rPr>
        <w:t xml:space="preserve">; </w:t>
      </w:r>
      <w:r w:rsidRPr="00BC76A2">
        <w:rPr>
          <w:rFonts w:eastAsia="MS Mincho" w:cs="Arial"/>
          <w:lang w:val="de-DE" w:eastAsia="ja-JP"/>
        </w:rPr>
        <w:t>15 </w:t>
      </w:r>
      <w:r w:rsidR="00CF3566" w:rsidRPr="00BC76A2">
        <w:rPr>
          <w:rFonts w:eastAsia="MS Mincho" w:cs="Arial"/>
          <w:lang w:val="de-DE" w:eastAsia="ja-JP"/>
        </w:rPr>
        <w:t>Verbandsmitglieder</w:t>
      </w:r>
      <w:r w:rsidR="00B833B2" w:rsidRPr="00BC76A2">
        <w:rPr>
          <w:rFonts w:eastAsia="MS Mincho" w:cs="Arial"/>
          <w:lang w:val="de-DE" w:eastAsia="ja-JP"/>
        </w:rPr>
        <w:t xml:space="preserve"> schützten eine begrenzte Anzahl Pflanzengattungen und</w:t>
      </w:r>
      <w:r w:rsidR="00B833B2" w:rsidRPr="00BC76A2">
        <w:rPr>
          <w:rFonts w:eastAsia="MS Mincho" w:cs="Arial"/>
          <w:lang w:val="de-DE" w:eastAsia="ja-JP"/>
        </w:rPr>
        <w:noBreakHyphen/>
        <w:t>arten.</w:t>
      </w:r>
    </w:p>
    <w:p w:rsidR="00D135ED" w:rsidRPr="00BC76A2" w:rsidRDefault="00D135ED" w:rsidP="00D135ED">
      <w:pPr>
        <w:rPr>
          <w:lang w:val="de-DE"/>
        </w:rPr>
      </w:pPr>
    </w:p>
    <w:p w:rsidR="00D135ED" w:rsidRPr="00BC76A2" w:rsidRDefault="00CF3566" w:rsidP="006A4A4E">
      <w:pPr>
        <w:pStyle w:val="Heading2"/>
        <w:rPr>
          <w:lang w:val="de-DE"/>
        </w:rPr>
      </w:pPr>
      <w:bookmarkStart w:id="37" w:name="_Toc379530071"/>
      <w:bookmarkStart w:id="38" w:name="_Toc380391618"/>
      <w:bookmarkStart w:id="39" w:name="_Toc380419858"/>
      <w:bookmarkStart w:id="40" w:name="_Toc380483658"/>
      <w:r w:rsidRPr="00BC76A2">
        <w:rPr>
          <w:lang w:val="de-DE"/>
        </w:rPr>
        <w:t>Sortenschutzstatistik</w:t>
      </w:r>
      <w:bookmarkEnd w:id="37"/>
      <w:bookmarkEnd w:id="38"/>
      <w:bookmarkEnd w:id="39"/>
      <w:bookmarkEnd w:id="40"/>
    </w:p>
    <w:p w:rsidR="00D135ED" w:rsidRPr="00BC76A2" w:rsidRDefault="00D135ED" w:rsidP="00D135ED">
      <w:pPr>
        <w:keepNext/>
        <w:autoSpaceDE w:val="0"/>
        <w:autoSpaceDN w:val="0"/>
        <w:adjustRightInd w:val="0"/>
        <w:rPr>
          <w:rFonts w:eastAsia="MS Mincho" w:cs="Arial"/>
          <w:lang w:val="de-DE" w:eastAsia="ja-JP"/>
        </w:rPr>
      </w:pPr>
      <w:r w:rsidRPr="00BC76A2">
        <w:rPr>
          <w:rFonts w:eastAsia="MS Mincho" w:cs="Arial"/>
          <w:lang w:val="de-DE" w:eastAsia="ja-JP"/>
        </w:rPr>
        <w:t>(</w:t>
      </w:r>
      <w:r w:rsidR="003721E7" w:rsidRPr="00BC76A2">
        <w:rPr>
          <w:rFonts w:eastAsia="MS Mincho" w:cs="Arial"/>
          <w:lang w:val="de-DE" w:eastAsia="ja-JP"/>
        </w:rPr>
        <w:t>vergleiche D</w:t>
      </w:r>
      <w:r w:rsidRPr="00BC76A2">
        <w:rPr>
          <w:rFonts w:eastAsia="MS Mincho" w:cs="Arial"/>
          <w:lang w:val="de-DE" w:eastAsia="ja-JP"/>
        </w:rPr>
        <w:t>o</w:t>
      </w:r>
      <w:r w:rsidR="003721E7" w:rsidRPr="00BC76A2">
        <w:rPr>
          <w:rFonts w:eastAsia="MS Mincho" w:cs="Arial"/>
          <w:lang w:val="de-DE" w:eastAsia="ja-JP"/>
        </w:rPr>
        <w:t>k</w:t>
      </w:r>
      <w:r w:rsidRPr="00BC76A2">
        <w:rPr>
          <w:rFonts w:eastAsia="MS Mincho" w:cs="Arial"/>
          <w:lang w:val="de-DE" w:eastAsia="ja-JP"/>
        </w:rPr>
        <w:t xml:space="preserve">ument C/47/7 </w:t>
      </w:r>
      <w:r w:rsidR="003721E7" w:rsidRPr="00BC76A2">
        <w:rPr>
          <w:rFonts w:eastAsia="MS Mincho" w:cs="Arial"/>
          <w:lang w:val="de-DE" w:eastAsia="ja-JP"/>
        </w:rPr>
        <w:t>„</w:t>
      </w:r>
      <w:r w:rsidR="00CF3566" w:rsidRPr="00BC76A2">
        <w:rPr>
          <w:rFonts w:eastAsia="MS Mincho" w:cs="Arial"/>
          <w:lang w:val="de-DE" w:eastAsia="ja-JP"/>
        </w:rPr>
        <w:t>Sortenschutzstatistik</w:t>
      </w:r>
      <w:r w:rsidR="003721E7" w:rsidRPr="00BC76A2">
        <w:rPr>
          <w:rFonts w:eastAsia="MS Mincho" w:cs="Arial"/>
          <w:lang w:val="de-DE" w:eastAsia="ja-JP"/>
        </w:rPr>
        <w:t xml:space="preserve"> für den Zeitabschnitt </w:t>
      </w:r>
      <w:r w:rsidRPr="00BC76A2">
        <w:rPr>
          <w:lang w:val="de-DE"/>
        </w:rPr>
        <w:t>2008-2012</w:t>
      </w:r>
      <w:r w:rsidR="003721E7" w:rsidRPr="00BC76A2">
        <w:rPr>
          <w:lang w:val="de-DE"/>
        </w:rPr>
        <w:t>“</w:t>
      </w:r>
      <w:r w:rsidRPr="00BC76A2">
        <w:rPr>
          <w:lang w:val="de-DE"/>
        </w:rPr>
        <w:t>)</w:t>
      </w:r>
    </w:p>
    <w:p w:rsidR="00D135ED" w:rsidRPr="00BC76A2" w:rsidRDefault="00D135ED" w:rsidP="00D135ED">
      <w:pPr>
        <w:keepNext/>
        <w:autoSpaceDE w:val="0"/>
        <w:autoSpaceDN w:val="0"/>
        <w:adjustRightInd w:val="0"/>
        <w:rPr>
          <w:rFonts w:eastAsia="MS Mincho" w:cs="Arial"/>
          <w:lang w:val="de-DE" w:eastAsia="ja-JP"/>
        </w:rPr>
      </w:pPr>
    </w:p>
    <w:p w:rsidR="00D135ED" w:rsidRPr="00BC76A2" w:rsidRDefault="00D135ED" w:rsidP="00D135ED">
      <w:pPr>
        <w:autoSpaceDE w:val="0"/>
        <w:autoSpaceDN w:val="0"/>
        <w:adjustRightInd w:val="0"/>
        <w:rPr>
          <w:rFonts w:eastAsia="MS Mincho" w:cs="Arial"/>
          <w:strike/>
          <w:lang w:val="de-DE" w:eastAsia="ja-JP"/>
        </w:rPr>
      </w:pPr>
      <w:r w:rsidRPr="00BC76A2">
        <w:rPr>
          <w:rFonts w:eastAsia="MS Mincho" w:cs="Arial"/>
          <w:lang w:val="de-DE" w:eastAsia="ja-JP"/>
        </w:rPr>
        <w:fldChar w:fldCharType="begin"/>
      </w:r>
      <w:r w:rsidRPr="00BC76A2">
        <w:rPr>
          <w:rFonts w:eastAsia="MS Mincho" w:cs="Arial"/>
          <w:lang w:val="de-DE" w:eastAsia="ja-JP"/>
        </w:rPr>
        <w:instrText xml:space="preserve"> AUTONUM  </w:instrText>
      </w:r>
      <w:r w:rsidRPr="00BC76A2">
        <w:rPr>
          <w:rFonts w:eastAsia="MS Mincho" w:cs="Arial"/>
          <w:lang w:val="de-DE" w:eastAsia="ja-JP"/>
        </w:rPr>
        <w:fldChar w:fldCharType="end"/>
      </w:r>
      <w:r w:rsidRPr="00BC76A2">
        <w:rPr>
          <w:rFonts w:eastAsia="MS Mincho" w:cs="Arial"/>
          <w:lang w:val="de-DE" w:eastAsia="ja-JP"/>
        </w:rPr>
        <w:tab/>
        <w:t>I</w:t>
      </w:r>
      <w:r w:rsidR="003721E7" w:rsidRPr="00BC76A2">
        <w:rPr>
          <w:rFonts w:eastAsia="MS Mincho" w:cs="Arial"/>
          <w:lang w:val="de-DE" w:eastAsia="ja-JP"/>
        </w:rPr>
        <w:t xml:space="preserve">m Jahre </w:t>
      </w:r>
      <w:r w:rsidRPr="00BC76A2">
        <w:rPr>
          <w:rFonts w:eastAsia="MS Mincho" w:cs="Arial"/>
          <w:lang w:val="de-DE" w:eastAsia="ja-JP"/>
        </w:rPr>
        <w:t>2012</w:t>
      </w:r>
      <w:r w:rsidR="003721E7" w:rsidRPr="00BC76A2">
        <w:rPr>
          <w:rFonts w:eastAsia="MS Mincho" w:cs="Arial"/>
          <w:lang w:val="de-DE" w:eastAsia="ja-JP"/>
        </w:rPr>
        <w:t xml:space="preserve"> nahm die Zahl der Anträge auf Sortenschutz um 1,1 % zu </w:t>
      </w:r>
      <w:r w:rsidRPr="00BC76A2">
        <w:rPr>
          <w:rFonts w:eastAsia="MS Mincho" w:cs="Arial"/>
          <w:lang w:val="de-DE" w:eastAsia="ja-JP"/>
        </w:rPr>
        <w:t>(13</w:t>
      </w:r>
      <w:r w:rsidR="003721E7" w:rsidRPr="00BC76A2">
        <w:rPr>
          <w:rFonts w:eastAsia="MS Mincho" w:cs="Arial"/>
          <w:lang w:val="de-DE" w:eastAsia="ja-JP"/>
        </w:rPr>
        <w:t> </w:t>
      </w:r>
      <w:r w:rsidRPr="00BC76A2">
        <w:rPr>
          <w:rFonts w:eastAsia="MS Mincho" w:cs="Arial"/>
          <w:lang w:val="de-DE" w:eastAsia="ja-JP"/>
        </w:rPr>
        <w:t>867 i</w:t>
      </w:r>
      <w:r w:rsidR="003721E7" w:rsidRPr="00BC76A2">
        <w:rPr>
          <w:rFonts w:eastAsia="MS Mincho" w:cs="Arial"/>
          <w:lang w:val="de-DE" w:eastAsia="ja-JP"/>
        </w:rPr>
        <w:t>m Jahre</w:t>
      </w:r>
      <w:r w:rsidRPr="00BC76A2">
        <w:rPr>
          <w:rFonts w:eastAsia="MS Mincho" w:cs="Arial"/>
          <w:lang w:val="de-DE" w:eastAsia="ja-JP"/>
        </w:rPr>
        <w:t xml:space="preserve"> 2012; 13</w:t>
      </w:r>
      <w:r w:rsidR="003721E7" w:rsidRPr="00BC76A2">
        <w:rPr>
          <w:rFonts w:eastAsia="MS Mincho" w:cs="Arial"/>
          <w:lang w:val="de-DE" w:eastAsia="ja-JP"/>
        </w:rPr>
        <w:t> </w:t>
      </w:r>
      <w:r w:rsidRPr="00BC76A2">
        <w:rPr>
          <w:rFonts w:eastAsia="MS Mincho" w:cs="Arial"/>
          <w:lang w:val="de-DE" w:eastAsia="ja-JP"/>
        </w:rPr>
        <w:t>714 i</w:t>
      </w:r>
      <w:r w:rsidR="003721E7" w:rsidRPr="00BC76A2">
        <w:rPr>
          <w:rFonts w:eastAsia="MS Mincho" w:cs="Arial"/>
          <w:lang w:val="de-DE" w:eastAsia="ja-JP"/>
        </w:rPr>
        <w:t>m Jahre</w:t>
      </w:r>
      <w:r w:rsidRPr="00BC76A2">
        <w:rPr>
          <w:rFonts w:eastAsia="MS Mincho" w:cs="Arial"/>
          <w:lang w:val="de-DE" w:eastAsia="ja-JP"/>
        </w:rPr>
        <w:t xml:space="preserve"> 2011), </w:t>
      </w:r>
      <w:r w:rsidR="003721E7" w:rsidRPr="00BC76A2">
        <w:rPr>
          <w:rFonts w:eastAsia="MS Mincho" w:cs="Arial"/>
          <w:lang w:val="de-DE" w:eastAsia="ja-JP"/>
        </w:rPr>
        <w:t xml:space="preserve">was einem Rückgang von 0,7 % der Anzahl Anträge durch Inländer </w:t>
      </w:r>
      <w:r w:rsidRPr="00BC76A2">
        <w:rPr>
          <w:rFonts w:eastAsia="MS Mincho" w:cs="Arial"/>
          <w:lang w:val="de-DE" w:eastAsia="ja-JP"/>
        </w:rPr>
        <w:t>(8</w:t>
      </w:r>
      <w:r w:rsidR="003721E7" w:rsidRPr="00BC76A2">
        <w:rPr>
          <w:rFonts w:eastAsia="MS Mincho" w:cs="Arial"/>
          <w:lang w:val="de-DE" w:eastAsia="ja-JP"/>
        </w:rPr>
        <w:t> </w:t>
      </w:r>
      <w:r w:rsidRPr="00BC76A2">
        <w:rPr>
          <w:rFonts w:eastAsia="MS Mincho" w:cs="Arial"/>
          <w:lang w:val="de-DE" w:eastAsia="ja-JP"/>
        </w:rPr>
        <w:t>751 i</w:t>
      </w:r>
      <w:r w:rsidR="003721E7" w:rsidRPr="00BC76A2">
        <w:rPr>
          <w:rFonts w:eastAsia="MS Mincho" w:cs="Arial"/>
          <w:lang w:val="de-DE" w:eastAsia="ja-JP"/>
        </w:rPr>
        <w:t>m Jahre</w:t>
      </w:r>
      <w:r w:rsidR="00EA57F8" w:rsidRPr="00BC76A2">
        <w:rPr>
          <w:rFonts w:eastAsia="MS Mincho" w:cs="Arial"/>
          <w:lang w:val="de-DE" w:eastAsia="ja-JP"/>
        </w:rPr>
        <w:t> </w:t>
      </w:r>
      <w:r w:rsidRPr="00BC76A2">
        <w:rPr>
          <w:rFonts w:eastAsia="MS Mincho" w:cs="Arial"/>
          <w:lang w:val="de-DE" w:eastAsia="ja-JP"/>
        </w:rPr>
        <w:t>2012; 8</w:t>
      </w:r>
      <w:r w:rsidR="003721E7" w:rsidRPr="00BC76A2">
        <w:rPr>
          <w:rFonts w:eastAsia="MS Mincho" w:cs="Arial"/>
          <w:lang w:val="de-DE" w:eastAsia="ja-JP"/>
        </w:rPr>
        <w:t> </w:t>
      </w:r>
      <w:r w:rsidRPr="00BC76A2">
        <w:rPr>
          <w:rFonts w:eastAsia="MS Mincho" w:cs="Arial"/>
          <w:lang w:val="de-DE" w:eastAsia="ja-JP"/>
        </w:rPr>
        <w:t>813 i</w:t>
      </w:r>
      <w:r w:rsidR="003721E7" w:rsidRPr="00BC76A2">
        <w:rPr>
          <w:rFonts w:eastAsia="MS Mincho" w:cs="Arial"/>
          <w:lang w:val="de-DE" w:eastAsia="ja-JP"/>
        </w:rPr>
        <w:t>m Jahre</w:t>
      </w:r>
      <w:r w:rsidRPr="00BC76A2">
        <w:rPr>
          <w:rFonts w:eastAsia="MS Mincho" w:cs="Arial"/>
          <w:lang w:val="de-DE" w:eastAsia="ja-JP"/>
        </w:rPr>
        <w:t xml:space="preserve"> 2011) </w:t>
      </w:r>
      <w:r w:rsidR="003721E7" w:rsidRPr="00BC76A2">
        <w:rPr>
          <w:rFonts w:eastAsia="MS Mincho" w:cs="Arial"/>
          <w:lang w:val="de-DE" w:eastAsia="ja-JP"/>
        </w:rPr>
        <w:t xml:space="preserve">und einer Zunahme von 4,4 % der Anzahl Anträge </w:t>
      </w:r>
      <w:r w:rsidR="00CF3566" w:rsidRPr="00BC76A2">
        <w:rPr>
          <w:rFonts w:eastAsia="MS Mincho" w:cs="Arial"/>
          <w:lang w:val="de-DE" w:eastAsia="ja-JP"/>
        </w:rPr>
        <w:t>von</w:t>
      </w:r>
      <w:r w:rsidR="003721E7" w:rsidRPr="00BC76A2">
        <w:rPr>
          <w:rFonts w:eastAsia="MS Mincho" w:cs="Arial"/>
          <w:lang w:val="de-DE" w:eastAsia="ja-JP"/>
        </w:rPr>
        <w:t xml:space="preserve"> Ausländern </w:t>
      </w:r>
      <w:r w:rsidRPr="00BC76A2">
        <w:rPr>
          <w:rFonts w:eastAsia="MS Mincho" w:cs="Arial"/>
          <w:lang w:val="de-DE" w:eastAsia="ja-JP"/>
        </w:rPr>
        <w:t>(5</w:t>
      </w:r>
      <w:r w:rsidR="003721E7" w:rsidRPr="00BC76A2">
        <w:rPr>
          <w:rFonts w:eastAsia="MS Mincho" w:cs="Arial"/>
          <w:lang w:val="de-DE" w:eastAsia="ja-JP"/>
        </w:rPr>
        <w:t> </w:t>
      </w:r>
      <w:r w:rsidR="00D21BC8">
        <w:rPr>
          <w:rFonts w:eastAsia="MS Mincho" w:cs="Arial"/>
          <w:lang w:val="de-DE" w:eastAsia="ja-JP"/>
        </w:rPr>
        <w:t>116 </w:t>
      </w:r>
      <w:r w:rsidRPr="00BC76A2">
        <w:rPr>
          <w:rFonts w:eastAsia="MS Mincho" w:cs="Arial"/>
          <w:lang w:val="de-DE" w:eastAsia="ja-JP"/>
        </w:rPr>
        <w:t>i</w:t>
      </w:r>
      <w:r w:rsidR="003721E7" w:rsidRPr="00BC76A2">
        <w:rPr>
          <w:rFonts w:eastAsia="MS Mincho" w:cs="Arial"/>
          <w:lang w:val="de-DE" w:eastAsia="ja-JP"/>
        </w:rPr>
        <w:t>m Jahre</w:t>
      </w:r>
      <w:r w:rsidRPr="00BC76A2">
        <w:rPr>
          <w:rFonts w:eastAsia="MS Mincho" w:cs="Arial"/>
          <w:lang w:val="de-DE" w:eastAsia="ja-JP"/>
        </w:rPr>
        <w:t xml:space="preserve"> 2012; 4</w:t>
      </w:r>
      <w:r w:rsidR="003721E7" w:rsidRPr="00BC76A2">
        <w:rPr>
          <w:rFonts w:eastAsia="MS Mincho" w:cs="Arial"/>
          <w:lang w:val="de-DE" w:eastAsia="ja-JP"/>
        </w:rPr>
        <w:t> </w:t>
      </w:r>
      <w:r w:rsidRPr="00BC76A2">
        <w:rPr>
          <w:rFonts w:eastAsia="MS Mincho" w:cs="Arial"/>
          <w:lang w:val="de-DE" w:eastAsia="ja-JP"/>
        </w:rPr>
        <w:t>901 i</w:t>
      </w:r>
      <w:r w:rsidR="003721E7" w:rsidRPr="00BC76A2">
        <w:rPr>
          <w:rFonts w:eastAsia="MS Mincho" w:cs="Arial"/>
          <w:lang w:val="de-DE" w:eastAsia="ja-JP"/>
        </w:rPr>
        <w:t>m Jahre</w:t>
      </w:r>
      <w:r w:rsidRPr="00BC76A2">
        <w:rPr>
          <w:rFonts w:eastAsia="MS Mincho" w:cs="Arial"/>
          <w:lang w:val="de-DE" w:eastAsia="ja-JP"/>
        </w:rPr>
        <w:t xml:space="preserve"> 2011)</w:t>
      </w:r>
      <w:r w:rsidR="003721E7" w:rsidRPr="00BC76A2">
        <w:rPr>
          <w:rFonts w:eastAsia="MS Mincho" w:cs="Arial"/>
          <w:lang w:val="de-DE" w:eastAsia="ja-JP"/>
        </w:rPr>
        <w:t xml:space="preserve"> entspricht.</w:t>
      </w:r>
    </w:p>
    <w:p w:rsidR="00D135ED" w:rsidRPr="00BC76A2" w:rsidRDefault="00D135ED" w:rsidP="00D135ED">
      <w:pPr>
        <w:autoSpaceDE w:val="0"/>
        <w:autoSpaceDN w:val="0"/>
        <w:adjustRightInd w:val="0"/>
        <w:rPr>
          <w:rFonts w:eastAsia="MS Mincho" w:cs="Arial"/>
          <w:lang w:val="de-DE" w:eastAsia="ja-JP"/>
        </w:rPr>
      </w:pPr>
    </w:p>
    <w:p w:rsidR="00D135ED" w:rsidRPr="00BC76A2" w:rsidRDefault="00D135ED" w:rsidP="00D135ED">
      <w:pPr>
        <w:autoSpaceDE w:val="0"/>
        <w:autoSpaceDN w:val="0"/>
        <w:adjustRightInd w:val="0"/>
        <w:rPr>
          <w:rFonts w:eastAsia="MS Mincho" w:cs="Arial"/>
          <w:lang w:val="de-DE" w:eastAsia="ja-JP"/>
        </w:rPr>
      </w:pPr>
      <w:r w:rsidRPr="00BC76A2">
        <w:rPr>
          <w:rFonts w:eastAsia="MS Mincho" w:cs="Arial"/>
          <w:lang w:val="de-DE" w:eastAsia="ja-JP"/>
        </w:rPr>
        <w:fldChar w:fldCharType="begin"/>
      </w:r>
      <w:r w:rsidRPr="00BC76A2">
        <w:rPr>
          <w:rFonts w:eastAsia="MS Mincho" w:cs="Arial"/>
          <w:lang w:val="de-DE" w:eastAsia="ja-JP"/>
        </w:rPr>
        <w:instrText xml:space="preserve"> AUTONUM  </w:instrText>
      </w:r>
      <w:r w:rsidRPr="00BC76A2">
        <w:rPr>
          <w:rFonts w:eastAsia="MS Mincho" w:cs="Arial"/>
          <w:lang w:val="de-DE" w:eastAsia="ja-JP"/>
        </w:rPr>
        <w:fldChar w:fldCharType="end"/>
      </w:r>
      <w:r w:rsidRPr="00BC76A2">
        <w:rPr>
          <w:rFonts w:eastAsia="MS Mincho" w:cs="Arial"/>
          <w:lang w:val="de-DE" w:eastAsia="ja-JP"/>
        </w:rPr>
        <w:tab/>
      </w:r>
      <w:r w:rsidR="004C03DC" w:rsidRPr="00BC76A2">
        <w:rPr>
          <w:rFonts w:eastAsia="MS Mincho" w:cs="Arial"/>
          <w:lang w:val="de-DE" w:eastAsia="ja-JP"/>
        </w:rPr>
        <w:t xml:space="preserve">Die Zahl der erteilten Schutztitel nahm von 10 065 im Jahre 2011 auf 9 822 im Jahre 2012 um </w:t>
      </w:r>
      <w:r w:rsidRPr="00BC76A2">
        <w:rPr>
          <w:rFonts w:eastAsia="MS Mincho" w:cs="Arial"/>
          <w:lang w:val="de-DE" w:eastAsia="ja-JP"/>
        </w:rPr>
        <w:t>24</w:t>
      </w:r>
      <w:r w:rsidR="004C03DC" w:rsidRPr="00BC76A2">
        <w:rPr>
          <w:rFonts w:eastAsia="MS Mincho" w:cs="Arial"/>
          <w:lang w:val="de-DE" w:eastAsia="ja-JP"/>
        </w:rPr>
        <w:t> % ab.</w:t>
      </w:r>
    </w:p>
    <w:p w:rsidR="00D135ED" w:rsidRPr="00BC76A2" w:rsidRDefault="00D135ED" w:rsidP="00D135ED">
      <w:pPr>
        <w:autoSpaceDE w:val="0"/>
        <w:autoSpaceDN w:val="0"/>
        <w:adjustRightInd w:val="0"/>
        <w:rPr>
          <w:rFonts w:eastAsia="MS Mincho" w:cs="Arial"/>
          <w:lang w:val="de-DE" w:eastAsia="ja-JP"/>
        </w:rPr>
      </w:pPr>
    </w:p>
    <w:p w:rsidR="00D135ED" w:rsidRPr="00BC76A2" w:rsidRDefault="00D135ED" w:rsidP="00D135ED">
      <w:pPr>
        <w:autoSpaceDE w:val="0"/>
        <w:autoSpaceDN w:val="0"/>
        <w:adjustRightInd w:val="0"/>
        <w:rPr>
          <w:rFonts w:eastAsia="MS Mincho" w:cs="Arial"/>
          <w:lang w:val="de-DE" w:eastAsia="ja-JP"/>
        </w:rPr>
      </w:pPr>
      <w:r w:rsidRPr="00BC76A2">
        <w:rPr>
          <w:rFonts w:eastAsia="MS Mincho" w:cs="Arial"/>
          <w:lang w:val="de-DE" w:eastAsia="ja-JP"/>
        </w:rPr>
        <w:fldChar w:fldCharType="begin"/>
      </w:r>
      <w:r w:rsidRPr="00BC76A2">
        <w:rPr>
          <w:rFonts w:eastAsia="MS Mincho" w:cs="Arial"/>
          <w:lang w:val="de-DE" w:eastAsia="ja-JP"/>
        </w:rPr>
        <w:instrText xml:space="preserve"> AUTONUM  </w:instrText>
      </w:r>
      <w:r w:rsidRPr="00BC76A2">
        <w:rPr>
          <w:rFonts w:eastAsia="MS Mincho" w:cs="Arial"/>
          <w:lang w:val="de-DE" w:eastAsia="ja-JP"/>
        </w:rPr>
        <w:fldChar w:fldCharType="end"/>
      </w:r>
      <w:r w:rsidRPr="00BC76A2">
        <w:rPr>
          <w:rFonts w:eastAsia="MS Mincho" w:cs="Arial"/>
          <w:lang w:val="de-DE" w:eastAsia="ja-JP"/>
        </w:rPr>
        <w:tab/>
      </w:r>
      <w:r w:rsidR="004C03DC" w:rsidRPr="00BC76A2">
        <w:rPr>
          <w:rFonts w:eastAsia="MS Mincho" w:cs="Arial"/>
          <w:lang w:val="de-DE" w:eastAsia="ja-JP"/>
        </w:rPr>
        <w:t xml:space="preserve">Im Jahre 2012 wurde eine neue </w:t>
      </w:r>
      <w:r w:rsidR="00CF3566" w:rsidRPr="00BC76A2">
        <w:rPr>
          <w:rFonts w:eastAsia="MS Mincho" w:cs="Arial"/>
          <w:lang w:val="de-DE" w:eastAsia="ja-JP"/>
        </w:rPr>
        <w:t>Rekordzahl</w:t>
      </w:r>
      <w:r w:rsidR="004C03DC" w:rsidRPr="00BC76A2">
        <w:rPr>
          <w:rFonts w:eastAsia="MS Mincho" w:cs="Arial"/>
          <w:lang w:val="de-DE" w:eastAsia="ja-JP"/>
        </w:rPr>
        <w:t xml:space="preserve"> an gültigen Schutztiteln </w:t>
      </w:r>
      <w:r w:rsidRPr="00BC76A2">
        <w:rPr>
          <w:rFonts w:eastAsia="MS Mincho" w:cs="Arial"/>
          <w:lang w:val="de-DE" w:eastAsia="ja-JP"/>
        </w:rPr>
        <w:t>– 99</w:t>
      </w:r>
      <w:r w:rsidR="00EA57F8" w:rsidRPr="00BC76A2">
        <w:rPr>
          <w:rFonts w:eastAsia="MS Mincho" w:cs="Arial"/>
          <w:lang w:val="de-DE" w:eastAsia="ja-JP"/>
        </w:rPr>
        <w:t> </w:t>
      </w:r>
      <w:r w:rsidRPr="00BC76A2">
        <w:rPr>
          <w:rFonts w:eastAsia="MS Mincho" w:cs="Arial"/>
          <w:lang w:val="de-DE" w:eastAsia="ja-JP"/>
        </w:rPr>
        <w:t xml:space="preserve">409 – </w:t>
      </w:r>
      <w:r w:rsidR="004C03DC" w:rsidRPr="00BC76A2">
        <w:rPr>
          <w:rFonts w:eastAsia="MS Mincho" w:cs="Arial"/>
          <w:lang w:val="de-DE" w:eastAsia="ja-JP"/>
        </w:rPr>
        <w:t xml:space="preserve">verzeichnet, was einer Erhöhung von 4,6 % </w:t>
      </w:r>
      <w:r w:rsidR="00CF3566" w:rsidRPr="00BC76A2">
        <w:rPr>
          <w:rFonts w:eastAsia="MS Mincho" w:cs="Arial"/>
          <w:lang w:val="de-DE" w:eastAsia="ja-JP"/>
        </w:rPr>
        <w:t>gegenüber</w:t>
      </w:r>
      <w:r w:rsidR="004C03DC" w:rsidRPr="00BC76A2">
        <w:rPr>
          <w:rFonts w:eastAsia="MS Mincho" w:cs="Arial"/>
          <w:lang w:val="de-DE" w:eastAsia="ja-JP"/>
        </w:rPr>
        <w:t xml:space="preserve"> der Zahl </w:t>
      </w:r>
      <w:r w:rsidR="00EA57F8" w:rsidRPr="00BC76A2">
        <w:rPr>
          <w:rFonts w:eastAsia="MS Mincho" w:cs="Arial"/>
          <w:lang w:val="de-DE" w:eastAsia="ja-JP"/>
        </w:rPr>
        <w:t>für</w:t>
      </w:r>
      <w:r w:rsidR="004C03DC" w:rsidRPr="00BC76A2">
        <w:rPr>
          <w:rFonts w:eastAsia="MS Mincho" w:cs="Arial"/>
          <w:lang w:val="de-DE" w:eastAsia="ja-JP"/>
        </w:rPr>
        <w:t xml:space="preserve"> 2011 </w:t>
      </w:r>
      <w:r w:rsidRPr="00BC76A2">
        <w:rPr>
          <w:rFonts w:eastAsia="MS Mincho" w:cs="Arial"/>
          <w:lang w:val="de-DE" w:eastAsia="ja-JP"/>
        </w:rPr>
        <w:t>(95</w:t>
      </w:r>
      <w:r w:rsidR="004C03DC" w:rsidRPr="00BC76A2">
        <w:rPr>
          <w:rFonts w:eastAsia="MS Mincho" w:cs="Arial"/>
          <w:lang w:val="de-DE" w:eastAsia="ja-JP"/>
        </w:rPr>
        <w:t> </w:t>
      </w:r>
      <w:r w:rsidRPr="00BC76A2">
        <w:rPr>
          <w:rFonts w:eastAsia="MS Mincho" w:cs="Arial"/>
          <w:lang w:val="de-DE" w:eastAsia="ja-JP"/>
        </w:rPr>
        <w:t>041)</w:t>
      </w:r>
      <w:r w:rsidR="004C03DC" w:rsidRPr="00BC76A2">
        <w:rPr>
          <w:rFonts w:eastAsia="MS Mincho" w:cs="Arial"/>
          <w:lang w:val="de-DE" w:eastAsia="ja-JP"/>
        </w:rPr>
        <w:t xml:space="preserve"> </w:t>
      </w:r>
      <w:r w:rsidR="00CF3566" w:rsidRPr="00BC76A2">
        <w:rPr>
          <w:rFonts w:eastAsia="MS Mincho" w:cs="Arial"/>
          <w:lang w:val="de-DE" w:eastAsia="ja-JP"/>
        </w:rPr>
        <w:t>entspricht</w:t>
      </w:r>
      <w:r w:rsidRPr="00BC76A2">
        <w:rPr>
          <w:rFonts w:eastAsia="MS Mincho" w:cs="Arial"/>
          <w:lang w:val="de-DE" w:eastAsia="ja-JP"/>
        </w:rPr>
        <w:t>.</w:t>
      </w:r>
    </w:p>
    <w:p w:rsidR="00D135ED" w:rsidRPr="00BC76A2" w:rsidRDefault="00D135ED" w:rsidP="00D135ED">
      <w:pPr>
        <w:autoSpaceDE w:val="0"/>
        <w:autoSpaceDN w:val="0"/>
        <w:adjustRightInd w:val="0"/>
        <w:rPr>
          <w:rFonts w:eastAsia="MS Mincho" w:cs="Arial"/>
          <w:lang w:val="de-DE" w:eastAsia="ja-JP"/>
        </w:rPr>
      </w:pPr>
    </w:p>
    <w:p w:rsidR="00D135ED" w:rsidRPr="00BC76A2" w:rsidRDefault="00D135ED" w:rsidP="00D135ED">
      <w:pPr>
        <w:autoSpaceDE w:val="0"/>
        <w:autoSpaceDN w:val="0"/>
        <w:adjustRightInd w:val="0"/>
        <w:rPr>
          <w:rFonts w:eastAsia="MS Mincho" w:cs="Arial"/>
          <w:lang w:val="de-DE" w:eastAsia="ja-JP"/>
        </w:rPr>
      </w:pPr>
      <w:r w:rsidRPr="00BC76A2">
        <w:rPr>
          <w:rFonts w:eastAsia="MS Mincho" w:cs="Arial"/>
          <w:lang w:val="de-DE" w:eastAsia="ja-JP"/>
        </w:rPr>
        <w:fldChar w:fldCharType="begin"/>
      </w:r>
      <w:r w:rsidRPr="00BC76A2">
        <w:rPr>
          <w:rFonts w:eastAsia="MS Mincho" w:cs="Arial"/>
          <w:lang w:val="de-DE" w:eastAsia="ja-JP"/>
        </w:rPr>
        <w:instrText xml:space="preserve"> AUTONUM  </w:instrText>
      </w:r>
      <w:r w:rsidRPr="00BC76A2">
        <w:rPr>
          <w:rFonts w:eastAsia="MS Mincho" w:cs="Arial"/>
          <w:lang w:val="de-DE" w:eastAsia="ja-JP"/>
        </w:rPr>
        <w:fldChar w:fldCharType="end"/>
      </w:r>
      <w:r w:rsidRPr="00BC76A2">
        <w:rPr>
          <w:rFonts w:eastAsia="MS Mincho" w:cs="Arial"/>
          <w:lang w:val="de-DE" w:eastAsia="ja-JP"/>
        </w:rPr>
        <w:tab/>
      </w:r>
      <w:r w:rsidR="004C03DC" w:rsidRPr="00BC76A2">
        <w:rPr>
          <w:rFonts w:eastAsia="MS Mincho" w:cs="Arial"/>
          <w:lang w:val="de-DE" w:eastAsia="ja-JP"/>
        </w:rPr>
        <w:t xml:space="preserve">Das Verbandsbüro wird die Möglichkeit untersuchen, in künftigen </w:t>
      </w:r>
      <w:r w:rsidR="00CF3566" w:rsidRPr="00BC76A2">
        <w:rPr>
          <w:rFonts w:eastAsia="MS Mincho" w:cs="Arial"/>
          <w:lang w:val="de-DE" w:eastAsia="ja-JP"/>
        </w:rPr>
        <w:t>Fassungen</w:t>
      </w:r>
      <w:r w:rsidR="004C03DC" w:rsidRPr="00BC76A2">
        <w:rPr>
          <w:rFonts w:eastAsia="MS Mincho" w:cs="Arial"/>
          <w:lang w:val="de-DE" w:eastAsia="ja-JP"/>
        </w:rPr>
        <w:t xml:space="preserve"> des </w:t>
      </w:r>
      <w:r w:rsidR="00CF3566" w:rsidRPr="00BC76A2">
        <w:rPr>
          <w:rFonts w:eastAsia="MS Mincho" w:cs="Arial"/>
          <w:lang w:val="de-DE" w:eastAsia="ja-JP"/>
        </w:rPr>
        <w:t>Dokuments</w:t>
      </w:r>
      <w:r w:rsidR="004C03DC" w:rsidRPr="00BC76A2">
        <w:rPr>
          <w:rFonts w:eastAsia="MS Mincho" w:cs="Arial"/>
          <w:lang w:val="de-DE" w:eastAsia="ja-JP"/>
        </w:rPr>
        <w:t xml:space="preserve"> C/xx/7 Informationen über die </w:t>
      </w:r>
      <w:r w:rsidR="00CF3566" w:rsidRPr="00BC76A2">
        <w:rPr>
          <w:rFonts w:eastAsia="MS Mincho" w:cs="Arial"/>
          <w:lang w:val="de-DE" w:eastAsia="ja-JP"/>
        </w:rPr>
        <w:t>Statistik</w:t>
      </w:r>
      <w:r w:rsidR="004C03DC" w:rsidRPr="00BC76A2">
        <w:rPr>
          <w:rFonts w:eastAsia="MS Mincho" w:cs="Arial"/>
          <w:lang w:val="de-DE" w:eastAsia="ja-JP"/>
        </w:rPr>
        <w:t xml:space="preserve"> nach Pflanzentyp (z. B. landwirtschaftliche </w:t>
      </w:r>
      <w:r w:rsidR="00CF3566" w:rsidRPr="00BC76A2">
        <w:rPr>
          <w:rFonts w:eastAsia="MS Mincho" w:cs="Arial"/>
          <w:lang w:val="de-DE" w:eastAsia="ja-JP"/>
        </w:rPr>
        <w:t>Arten</w:t>
      </w:r>
      <w:r w:rsidR="004C03DC" w:rsidRPr="00BC76A2">
        <w:rPr>
          <w:rFonts w:eastAsia="MS Mincho" w:cs="Arial"/>
          <w:lang w:val="de-DE" w:eastAsia="ja-JP"/>
        </w:rPr>
        <w:t>, Obstarten</w:t>
      </w:r>
      <w:r w:rsidR="00EA57F8" w:rsidRPr="00BC76A2">
        <w:rPr>
          <w:rFonts w:eastAsia="MS Mincho" w:cs="Arial"/>
          <w:lang w:val="de-DE" w:eastAsia="ja-JP"/>
        </w:rPr>
        <w:t>,</w:t>
      </w:r>
      <w:r w:rsidR="004C03DC" w:rsidRPr="00BC76A2">
        <w:rPr>
          <w:rFonts w:eastAsia="MS Mincho" w:cs="Arial"/>
          <w:lang w:val="de-DE" w:eastAsia="ja-JP"/>
        </w:rPr>
        <w:t xml:space="preserve"> Zierpflanzen, Gemüsearten und forstliche Baumarten) bereitzustellen.</w:t>
      </w:r>
    </w:p>
    <w:p w:rsidR="00D135ED" w:rsidRPr="00BC76A2" w:rsidRDefault="00D135ED" w:rsidP="00D135ED">
      <w:pPr>
        <w:autoSpaceDE w:val="0"/>
        <w:autoSpaceDN w:val="0"/>
        <w:adjustRightInd w:val="0"/>
        <w:rPr>
          <w:rFonts w:eastAsia="MS Mincho" w:cs="Arial"/>
          <w:lang w:val="de-DE" w:eastAsia="ja-JP"/>
        </w:rPr>
      </w:pPr>
    </w:p>
    <w:p w:rsidR="00D135ED" w:rsidRPr="00BC76A2" w:rsidRDefault="004C03DC" w:rsidP="006A4A4E">
      <w:pPr>
        <w:pStyle w:val="Heading2"/>
        <w:rPr>
          <w:lang w:val="de-DE"/>
        </w:rPr>
      </w:pPr>
      <w:bookmarkStart w:id="41" w:name="_Toc379530072"/>
      <w:bookmarkStart w:id="42" w:name="_Toc380391619"/>
      <w:bookmarkStart w:id="43" w:name="_Toc380419859"/>
      <w:bookmarkStart w:id="44" w:name="_Toc380483659"/>
      <w:r w:rsidRPr="00BC76A2">
        <w:rPr>
          <w:lang w:val="de-DE"/>
        </w:rPr>
        <w:t xml:space="preserve">Zusammenarbeit bei der Prüfung </w:t>
      </w:r>
      <w:r w:rsidR="00EA57F8" w:rsidRPr="00BC76A2">
        <w:rPr>
          <w:lang w:val="de-DE"/>
        </w:rPr>
        <w:t>von</w:t>
      </w:r>
      <w:r w:rsidRPr="00BC76A2">
        <w:rPr>
          <w:lang w:val="de-DE"/>
        </w:rPr>
        <w:t xml:space="preserve"> Pflanzenzüchtungen</w:t>
      </w:r>
      <w:bookmarkEnd w:id="41"/>
      <w:bookmarkEnd w:id="42"/>
      <w:bookmarkEnd w:id="43"/>
      <w:bookmarkEnd w:id="44"/>
    </w:p>
    <w:p w:rsidR="00D135ED" w:rsidRPr="00BC76A2" w:rsidRDefault="00D135ED" w:rsidP="00D135ED">
      <w:pPr>
        <w:keepNext/>
        <w:autoSpaceDE w:val="0"/>
        <w:autoSpaceDN w:val="0"/>
        <w:adjustRightInd w:val="0"/>
        <w:rPr>
          <w:rFonts w:eastAsia="MS Mincho" w:cs="Arial"/>
          <w:lang w:val="de-DE" w:eastAsia="ja-JP"/>
        </w:rPr>
      </w:pPr>
      <w:r w:rsidRPr="00BC76A2">
        <w:rPr>
          <w:rFonts w:eastAsia="MS Mincho" w:cs="Arial"/>
          <w:lang w:val="de-DE" w:eastAsia="ja-JP"/>
        </w:rPr>
        <w:t>(</w:t>
      </w:r>
      <w:r w:rsidR="003C2AFD" w:rsidRPr="00BC76A2">
        <w:rPr>
          <w:rFonts w:eastAsia="MS Mincho" w:cs="Arial"/>
          <w:lang w:val="de-DE" w:eastAsia="ja-JP"/>
        </w:rPr>
        <w:t>vergleiche Dokument</w:t>
      </w:r>
      <w:r w:rsidRPr="00BC76A2">
        <w:rPr>
          <w:rFonts w:eastAsia="MS Mincho" w:cs="Arial"/>
          <w:lang w:val="de-DE" w:eastAsia="ja-JP"/>
        </w:rPr>
        <w:t xml:space="preserve"> C/47/5 </w:t>
      </w:r>
      <w:r w:rsidR="003C2AFD" w:rsidRPr="00BC76A2">
        <w:rPr>
          <w:rFonts w:eastAsia="MS Mincho" w:cs="Arial"/>
          <w:lang w:val="de-DE" w:eastAsia="ja-JP"/>
        </w:rPr>
        <w:t>„Zusammenarbeit bei der Prüfung“</w:t>
      </w:r>
      <w:r w:rsidRPr="00BC76A2">
        <w:rPr>
          <w:lang w:val="de-DE"/>
        </w:rPr>
        <w:t>)</w:t>
      </w:r>
    </w:p>
    <w:p w:rsidR="00D135ED" w:rsidRPr="00BC76A2" w:rsidRDefault="00D135ED" w:rsidP="00D135ED">
      <w:pPr>
        <w:keepNext/>
        <w:tabs>
          <w:tab w:val="num" w:pos="1440"/>
        </w:tabs>
        <w:autoSpaceDE w:val="0"/>
        <w:autoSpaceDN w:val="0"/>
        <w:adjustRightInd w:val="0"/>
        <w:rPr>
          <w:rFonts w:cs="Arial"/>
          <w:lang w:val="de-DE"/>
        </w:rPr>
      </w:pPr>
    </w:p>
    <w:p w:rsidR="00D135ED" w:rsidRPr="00BC76A2" w:rsidRDefault="00D135ED" w:rsidP="00D135ED">
      <w:pPr>
        <w:rPr>
          <w:lang w:val="de-DE"/>
        </w:rPr>
      </w:pPr>
      <w:r w:rsidRPr="00BC76A2">
        <w:rPr>
          <w:rFonts w:eastAsia="MS Mincho"/>
          <w:lang w:val="de-DE" w:eastAsia="ja-JP"/>
        </w:rPr>
        <w:fldChar w:fldCharType="begin"/>
      </w:r>
      <w:r w:rsidRPr="00BC76A2">
        <w:rPr>
          <w:rFonts w:eastAsia="MS Mincho"/>
          <w:lang w:val="de-DE" w:eastAsia="ja-JP"/>
        </w:rPr>
        <w:instrText xml:space="preserve"> AUTONUM  </w:instrText>
      </w:r>
      <w:r w:rsidRPr="00BC76A2">
        <w:rPr>
          <w:rFonts w:eastAsia="MS Mincho"/>
          <w:lang w:val="de-DE" w:eastAsia="ja-JP"/>
        </w:rPr>
        <w:fldChar w:fldCharType="end"/>
      </w:r>
      <w:r w:rsidRPr="00BC76A2">
        <w:rPr>
          <w:rFonts w:eastAsia="MS Mincho"/>
          <w:lang w:val="de-DE" w:eastAsia="ja-JP"/>
        </w:rPr>
        <w:tab/>
      </w:r>
      <w:r w:rsidR="00CF3566" w:rsidRPr="00BC76A2">
        <w:rPr>
          <w:rFonts w:eastAsia="MS Mincho"/>
          <w:lang w:val="de-DE" w:eastAsia="ja-JP"/>
        </w:rPr>
        <w:t xml:space="preserve">Im Jahre 2012 belief sich die Zahl der Pflanzengattungen und </w:t>
      </w:r>
      <w:r w:rsidR="00CF3566" w:rsidRPr="00BC76A2">
        <w:rPr>
          <w:rFonts w:eastAsia="MS Mincho"/>
          <w:lang w:val="de-DE" w:eastAsia="ja-JP"/>
        </w:rPr>
        <w:noBreakHyphen/>
        <w:t>arten, für die Vereinbarungen zwischen Verbandsmitgliedern über die Zusammenarbeit bei der Prüfung der Unterscheidbarkeit</w:t>
      </w:r>
      <w:r w:rsidR="00EA57F8" w:rsidRPr="00BC76A2">
        <w:rPr>
          <w:rFonts w:eastAsia="MS Mincho"/>
          <w:lang w:val="de-DE" w:eastAsia="ja-JP"/>
        </w:rPr>
        <w:t>,</w:t>
      </w:r>
      <w:r w:rsidR="00CF3566" w:rsidRPr="00BC76A2">
        <w:rPr>
          <w:rFonts w:eastAsia="MS Mincho"/>
          <w:lang w:val="de-DE" w:eastAsia="ja-JP"/>
        </w:rPr>
        <w:t xml:space="preserve"> der Homogenität und der Beständigkeit vorhanden waren, auf insgesamt 1 997, gegenüber 1 991 im Jahre 2011.</w:t>
      </w:r>
    </w:p>
    <w:p w:rsidR="00D135ED" w:rsidRPr="00BC76A2" w:rsidRDefault="00D135ED" w:rsidP="00D135ED">
      <w:pPr>
        <w:rPr>
          <w:lang w:val="de-DE"/>
        </w:rPr>
      </w:pPr>
    </w:p>
    <w:p w:rsidR="00D135ED" w:rsidRPr="00BC76A2" w:rsidRDefault="00D135ED" w:rsidP="00D135ED">
      <w:pPr>
        <w:rPr>
          <w:lang w:val="de-DE"/>
        </w:rPr>
      </w:pPr>
      <w:r w:rsidRPr="00BC76A2">
        <w:rPr>
          <w:lang w:val="de-DE"/>
        </w:rPr>
        <w:fldChar w:fldCharType="begin"/>
      </w:r>
      <w:r w:rsidRPr="00BC76A2">
        <w:rPr>
          <w:lang w:val="de-DE"/>
        </w:rPr>
        <w:instrText xml:space="preserve"> AUTONUM  </w:instrText>
      </w:r>
      <w:r w:rsidRPr="00BC76A2">
        <w:rPr>
          <w:lang w:val="de-DE"/>
        </w:rPr>
        <w:fldChar w:fldCharType="end"/>
      </w:r>
      <w:r w:rsidRPr="00BC76A2">
        <w:rPr>
          <w:lang w:val="de-DE"/>
        </w:rPr>
        <w:tab/>
      </w:r>
      <w:r w:rsidR="003C2AFD" w:rsidRPr="00BC76A2">
        <w:rPr>
          <w:lang w:val="de-DE"/>
        </w:rPr>
        <w:t xml:space="preserve">Der Rat vereinbarte auf seiner siebenundvierzigsten ordentlichen Tagung vom 24. Oktober 2013 in Genf, das Rundschreiben betreffend die Zusammenarbeit bei der Prüfung, vergleiche z. B. C/xx/5, in Kopie an die bezeichneten Personen des Technischen Ausschusses (TC) zu schicken, um möglichst viele Informationen sammeln zu können </w:t>
      </w:r>
      <w:r w:rsidRPr="00BC76A2">
        <w:rPr>
          <w:lang w:val="de-DE"/>
        </w:rPr>
        <w:t>(</w:t>
      </w:r>
      <w:r w:rsidR="003C2AFD" w:rsidRPr="00BC76A2">
        <w:rPr>
          <w:lang w:val="de-DE"/>
        </w:rPr>
        <w:t>vergleiche Dokument</w:t>
      </w:r>
      <w:r w:rsidRPr="00BC76A2">
        <w:rPr>
          <w:lang w:val="de-DE"/>
        </w:rPr>
        <w:t xml:space="preserve"> C/47/19</w:t>
      </w:r>
      <w:r w:rsidR="003C2AFD" w:rsidRPr="00BC76A2">
        <w:rPr>
          <w:lang w:val="de-DE"/>
        </w:rPr>
        <w:t xml:space="preserve"> „Bericht über die </w:t>
      </w:r>
      <w:r w:rsidR="00CF3566" w:rsidRPr="00BC76A2">
        <w:rPr>
          <w:lang w:val="de-DE"/>
        </w:rPr>
        <w:t>Entschließungen</w:t>
      </w:r>
      <w:r w:rsidR="003C2AFD" w:rsidRPr="00BC76A2">
        <w:rPr>
          <w:lang w:val="de-DE"/>
        </w:rPr>
        <w:t>“, Absatz</w:t>
      </w:r>
      <w:r w:rsidRPr="00BC76A2">
        <w:rPr>
          <w:lang w:val="de-DE"/>
        </w:rPr>
        <w:t xml:space="preserve"> 20).</w:t>
      </w:r>
    </w:p>
    <w:p w:rsidR="00D135ED" w:rsidRPr="00BC76A2" w:rsidRDefault="00D135ED" w:rsidP="00D135ED">
      <w:pPr>
        <w:rPr>
          <w:lang w:val="de-DE"/>
        </w:rPr>
      </w:pPr>
    </w:p>
    <w:p w:rsidR="00D135ED" w:rsidRPr="00BC76A2" w:rsidRDefault="00D135ED" w:rsidP="00D135ED">
      <w:pPr>
        <w:rPr>
          <w:lang w:val="de-DE"/>
        </w:rPr>
      </w:pPr>
    </w:p>
    <w:p w:rsidR="00D135ED" w:rsidRPr="00BC76A2" w:rsidRDefault="00D135ED" w:rsidP="00D135ED">
      <w:pPr>
        <w:pStyle w:val="Heading1"/>
        <w:rPr>
          <w:lang w:val="de-DE"/>
        </w:rPr>
      </w:pPr>
      <w:bookmarkStart w:id="45" w:name="_Toc379530073"/>
      <w:bookmarkStart w:id="46" w:name="_Toc380391620"/>
      <w:bookmarkStart w:id="47" w:name="_Toc380419860"/>
      <w:bookmarkStart w:id="48" w:name="_Toc380483660"/>
      <w:r w:rsidRPr="00BC76A2">
        <w:rPr>
          <w:lang w:val="de-DE"/>
        </w:rPr>
        <w:t>Finan</w:t>
      </w:r>
      <w:r w:rsidR="00CF3566" w:rsidRPr="00BC76A2">
        <w:rPr>
          <w:lang w:val="de-DE"/>
        </w:rPr>
        <w:t>zlage</w:t>
      </w:r>
      <w:bookmarkEnd w:id="45"/>
      <w:bookmarkEnd w:id="46"/>
      <w:bookmarkEnd w:id="47"/>
      <w:bookmarkEnd w:id="48"/>
    </w:p>
    <w:p w:rsidR="00D135ED" w:rsidRPr="00BC76A2" w:rsidRDefault="00D135ED" w:rsidP="00D135ED">
      <w:pPr>
        <w:keepNext/>
        <w:rPr>
          <w:lang w:val="de-DE"/>
        </w:rPr>
      </w:pPr>
    </w:p>
    <w:p w:rsidR="00807F07" w:rsidRPr="00BC76A2" w:rsidRDefault="00807F07" w:rsidP="006A4A4E">
      <w:pPr>
        <w:pStyle w:val="Heading2"/>
        <w:rPr>
          <w:lang w:val="de-DE"/>
        </w:rPr>
      </w:pPr>
      <w:bookmarkStart w:id="49" w:name="_Toc379530074"/>
      <w:bookmarkStart w:id="50" w:name="_Toc380391621"/>
      <w:bookmarkStart w:id="51" w:name="_Toc380419861"/>
      <w:bookmarkStart w:id="52" w:name="_Toc380483661"/>
      <w:r w:rsidRPr="00BC76A2">
        <w:rPr>
          <w:lang w:val="de-DE"/>
        </w:rPr>
        <w:t>Program</w:t>
      </w:r>
      <w:r w:rsidR="00CF3566" w:rsidRPr="00BC76A2">
        <w:rPr>
          <w:lang w:val="de-DE"/>
        </w:rPr>
        <w:t xml:space="preserve">m und Haushaltsplan für die Rechnungsperiode </w:t>
      </w:r>
      <w:r w:rsidRPr="00BC76A2">
        <w:rPr>
          <w:lang w:val="de-DE"/>
        </w:rPr>
        <w:t>2014-2015</w:t>
      </w:r>
      <w:bookmarkEnd w:id="49"/>
      <w:bookmarkEnd w:id="50"/>
      <w:bookmarkEnd w:id="51"/>
      <w:bookmarkEnd w:id="52"/>
    </w:p>
    <w:p w:rsidR="00807F07" w:rsidRPr="00BC76A2" w:rsidRDefault="00807F07" w:rsidP="00807F07">
      <w:pPr>
        <w:keepNext/>
        <w:rPr>
          <w:spacing w:val="-2"/>
          <w:szCs w:val="24"/>
          <w:lang w:val="de-DE"/>
        </w:rPr>
      </w:pPr>
    </w:p>
    <w:p w:rsidR="00226419" w:rsidRPr="00BC76A2" w:rsidRDefault="00337B8E" w:rsidP="00226419">
      <w:pPr>
        <w:keepNext/>
        <w:rPr>
          <w:lang w:val="de-DE"/>
        </w:rPr>
      </w:pPr>
      <w:r w:rsidRPr="00BC76A2">
        <w:rPr>
          <w:lang w:val="de-DE"/>
        </w:rPr>
        <w:fldChar w:fldCharType="begin"/>
      </w:r>
      <w:r w:rsidRPr="00BC76A2">
        <w:rPr>
          <w:lang w:val="de-DE"/>
        </w:rPr>
        <w:instrText xml:space="preserve"> AUTONUM  </w:instrText>
      </w:r>
      <w:r w:rsidRPr="00BC76A2">
        <w:rPr>
          <w:lang w:val="de-DE"/>
        </w:rPr>
        <w:fldChar w:fldCharType="end"/>
      </w:r>
      <w:r w:rsidRPr="00BC76A2">
        <w:rPr>
          <w:lang w:val="de-DE"/>
        </w:rPr>
        <w:tab/>
      </w:r>
      <w:r w:rsidR="003C2AFD" w:rsidRPr="00BC76A2">
        <w:rPr>
          <w:lang w:val="de-DE"/>
        </w:rPr>
        <w:t xml:space="preserve">Der Rat billigte auf seiner siebenundvierzigsten </w:t>
      </w:r>
      <w:r w:rsidR="00EA57F8" w:rsidRPr="00BC76A2">
        <w:rPr>
          <w:lang w:val="de-DE"/>
        </w:rPr>
        <w:t>o</w:t>
      </w:r>
      <w:r w:rsidR="003C2AFD" w:rsidRPr="00BC76A2">
        <w:rPr>
          <w:lang w:val="de-DE"/>
        </w:rPr>
        <w:t xml:space="preserve">rdentlichen Tagung vom 24. Oktober 2013 in Genf </w:t>
      </w:r>
      <w:r w:rsidR="00226419" w:rsidRPr="00BC76A2">
        <w:rPr>
          <w:lang w:val="de-DE"/>
        </w:rPr>
        <w:t>das Programm und den Haushaltsplan für die Rechnungsperiode 2014-2015, wie in der Anlage des Dokuments C/47/4 Rev., „Programm und Haushaltsplan des Verbandes für die Rechnungsperiode 2014</w:t>
      </w:r>
      <w:r w:rsidR="00C70F47" w:rsidRPr="00BC76A2">
        <w:rPr>
          <w:lang w:val="de-DE"/>
        </w:rPr>
        <w:noBreakHyphen/>
      </w:r>
      <w:r w:rsidR="00226419" w:rsidRPr="00BC76A2">
        <w:rPr>
          <w:lang w:val="de-DE"/>
        </w:rPr>
        <w:t>2015</w:t>
      </w:r>
      <w:r w:rsidR="00EA57F8" w:rsidRPr="00BC76A2">
        <w:rPr>
          <w:lang w:val="de-DE"/>
        </w:rPr>
        <w:t>“</w:t>
      </w:r>
      <w:r w:rsidR="00226419" w:rsidRPr="00BC76A2">
        <w:rPr>
          <w:lang w:val="de-DE"/>
        </w:rPr>
        <w:t xml:space="preserve"> dargelegt</w:t>
      </w:r>
      <w:r w:rsidR="00FF29BB" w:rsidRPr="00BC76A2">
        <w:rPr>
          <w:lang w:val="de-DE"/>
        </w:rPr>
        <w:t xml:space="preserve"> (vergleiche Dokument C/47/19 „Bericht über die Entschließungen“, Absätze 33 und 34).</w:t>
      </w:r>
    </w:p>
    <w:p w:rsidR="00337B8E" w:rsidRPr="00BC76A2" w:rsidRDefault="00337B8E" w:rsidP="00807F07">
      <w:pPr>
        <w:rPr>
          <w:lang w:val="de-DE"/>
        </w:rPr>
      </w:pPr>
    </w:p>
    <w:p w:rsidR="00337B8E" w:rsidRPr="00BC76A2" w:rsidRDefault="00337B8E" w:rsidP="00337B8E">
      <w:pPr>
        <w:rPr>
          <w:lang w:val="de-DE"/>
        </w:rPr>
      </w:pPr>
      <w:r w:rsidRPr="00BC76A2">
        <w:rPr>
          <w:lang w:val="de-DE"/>
        </w:rPr>
        <w:fldChar w:fldCharType="begin"/>
      </w:r>
      <w:r w:rsidRPr="00BC76A2">
        <w:rPr>
          <w:lang w:val="de-DE"/>
        </w:rPr>
        <w:instrText xml:space="preserve"> AUTONUM  </w:instrText>
      </w:r>
      <w:r w:rsidRPr="00BC76A2">
        <w:rPr>
          <w:lang w:val="de-DE"/>
        </w:rPr>
        <w:fldChar w:fldCharType="end"/>
      </w:r>
      <w:r w:rsidRPr="00BC76A2">
        <w:rPr>
          <w:lang w:val="de-DE"/>
        </w:rPr>
        <w:tab/>
      </w:r>
      <w:r w:rsidR="00226419" w:rsidRPr="00BC76A2">
        <w:rPr>
          <w:lang w:val="de-DE"/>
        </w:rPr>
        <w:t>Der Höchstbetrag für die im ordentlichen Haushaltsplan für die Rechnungsperiode 2014</w:t>
      </w:r>
      <w:r w:rsidR="00226419" w:rsidRPr="00BC76A2">
        <w:rPr>
          <w:lang w:val="de-DE"/>
        </w:rPr>
        <w:noBreakHyphen/>
        <w:t>2015 vorgesehenen Ausgaben beträgt</w:t>
      </w:r>
      <w:r w:rsidRPr="00BC76A2">
        <w:rPr>
          <w:lang w:val="de-DE"/>
        </w:rPr>
        <w:t xml:space="preserve"> 6</w:t>
      </w:r>
      <w:r w:rsidR="00226419" w:rsidRPr="00BC76A2">
        <w:rPr>
          <w:lang w:val="de-DE"/>
        </w:rPr>
        <w:t> </w:t>
      </w:r>
      <w:r w:rsidRPr="00BC76A2">
        <w:rPr>
          <w:lang w:val="de-DE"/>
        </w:rPr>
        <w:t>794</w:t>
      </w:r>
      <w:r w:rsidR="00226419" w:rsidRPr="00BC76A2">
        <w:rPr>
          <w:lang w:val="de-DE"/>
        </w:rPr>
        <w:t> </w:t>
      </w:r>
      <w:r w:rsidRPr="00BC76A2">
        <w:rPr>
          <w:lang w:val="de-DE"/>
        </w:rPr>
        <w:t>000 S</w:t>
      </w:r>
      <w:r w:rsidR="00226419" w:rsidRPr="00BC76A2">
        <w:rPr>
          <w:lang w:val="de-DE"/>
        </w:rPr>
        <w:t>chweizer Franken</w:t>
      </w:r>
      <w:r w:rsidRPr="00BC76A2">
        <w:rPr>
          <w:lang w:val="de-DE"/>
        </w:rPr>
        <w:t xml:space="preserve"> (</w:t>
      </w:r>
      <w:r w:rsidR="000536A6" w:rsidRPr="00BC76A2">
        <w:rPr>
          <w:lang w:val="de-DE"/>
        </w:rPr>
        <w:t>6</w:t>
      </w:r>
      <w:r w:rsidR="00226419" w:rsidRPr="00BC76A2">
        <w:rPr>
          <w:lang w:val="de-DE"/>
        </w:rPr>
        <w:t> </w:t>
      </w:r>
      <w:r w:rsidR="000536A6" w:rsidRPr="00BC76A2">
        <w:rPr>
          <w:lang w:val="de-DE"/>
        </w:rPr>
        <w:t>798</w:t>
      </w:r>
      <w:r w:rsidR="00226419" w:rsidRPr="00BC76A2">
        <w:rPr>
          <w:lang w:val="de-DE"/>
        </w:rPr>
        <w:t> </w:t>
      </w:r>
      <w:r w:rsidRPr="00BC76A2">
        <w:rPr>
          <w:lang w:val="de-DE"/>
        </w:rPr>
        <w:t>000 S</w:t>
      </w:r>
      <w:r w:rsidR="00226419" w:rsidRPr="00BC76A2">
        <w:rPr>
          <w:lang w:val="de-DE"/>
        </w:rPr>
        <w:t>chweizer Franken für die Rechnun</w:t>
      </w:r>
      <w:r w:rsidR="00A551D1" w:rsidRPr="00BC76A2">
        <w:rPr>
          <w:lang w:val="de-DE"/>
        </w:rPr>
        <w:t>g</w:t>
      </w:r>
      <w:r w:rsidR="00226419" w:rsidRPr="00BC76A2">
        <w:rPr>
          <w:lang w:val="de-DE"/>
        </w:rPr>
        <w:t>speriode</w:t>
      </w:r>
      <w:r w:rsidRPr="00BC76A2">
        <w:rPr>
          <w:lang w:val="de-DE"/>
        </w:rPr>
        <w:t xml:space="preserve"> 2012-2013) </w:t>
      </w:r>
      <w:r w:rsidR="00226419" w:rsidRPr="00BC76A2">
        <w:rPr>
          <w:lang w:val="de-DE"/>
        </w:rPr>
        <w:t xml:space="preserve">und beruht auf </w:t>
      </w:r>
      <w:r w:rsidR="006909B4" w:rsidRPr="00BC76A2">
        <w:rPr>
          <w:lang w:val="de-DE"/>
        </w:rPr>
        <w:t>keiner</w:t>
      </w:r>
      <w:r w:rsidR="00226419" w:rsidRPr="00BC76A2">
        <w:rPr>
          <w:lang w:val="de-DE"/>
        </w:rPr>
        <w:t xml:space="preserve"> Änderung der Höhe der Beitragseinheit </w:t>
      </w:r>
      <w:r w:rsidRPr="00BC76A2">
        <w:rPr>
          <w:lang w:val="de-DE"/>
        </w:rPr>
        <w:t>(53</w:t>
      </w:r>
      <w:r w:rsidR="00C70F47" w:rsidRPr="00BC76A2">
        <w:rPr>
          <w:lang w:val="de-DE"/>
        </w:rPr>
        <w:t> </w:t>
      </w:r>
      <w:r w:rsidRPr="00BC76A2">
        <w:rPr>
          <w:lang w:val="de-DE"/>
        </w:rPr>
        <w:t>641</w:t>
      </w:r>
      <w:r w:rsidR="00C70F47" w:rsidRPr="00BC76A2">
        <w:rPr>
          <w:lang w:val="de-DE"/>
        </w:rPr>
        <w:t> </w:t>
      </w:r>
      <w:r w:rsidRPr="00BC76A2">
        <w:rPr>
          <w:lang w:val="de-DE"/>
        </w:rPr>
        <w:t>S</w:t>
      </w:r>
      <w:r w:rsidR="00226419" w:rsidRPr="00BC76A2">
        <w:rPr>
          <w:lang w:val="de-DE"/>
        </w:rPr>
        <w:t>chweizer Franken</w:t>
      </w:r>
      <w:r w:rsidRPr="00BC76A2">
        <w:rPr>
          <w:lang w:val="de-DE"/>
        </w:rPr>
        <w:t xml:space="preserve">) </w:t>
      </w:r>
      <w:r w:rsidR="00226419" w:rsidRPr="00BC76A2">
        <w:rPr>
          <w:lang w:val="de-DE"/>
        </w:rPr>
        <w:t xml:space="preserve">und keiner Änderung der Gesamtstellenzahl </w:t>
      </w:r>
      <w:r w:rsidRPr="00BC76A2">
        <w:rPr>
          <w:lang w:val="de-DE"/>
        </w:rPr>
        <w:t xml:space="preserve">(11) </w:t>
      </w:r>
      <w:r w:rsidR="00226419" w:rsidRPr="00BC76A2">
        <w:rPr>
          <w:lang w:val="de-DE"/>
        </w:rPr>
        <w:t>des Verbandsbüros</w:t>
      </w:r>
      <w:r w:rsidR="000536A6" w:rsidRPr="00BC76A2">
        <w:rPr>
          <w:lang w:val="de-DE"/>
        </w:rPr>
        <w:t>.</w:t>
      </w:r>
    </w:p>
    <w:p w:rsidR="000536A6" w:rsidRPr="00BC76A2" w:rsidRDefault="000536A6" w:rsidP="00807F07">
      <w:pPr>
        <w:rPr>
          <w:lang w:val="de-DE"/>
        </w:rPr>
      </w:pPr>
    </w:p>
    <w:p w:rsidR="00574BC4" w:rsidRPr="00BC76A2" w:rsidRDefault="00574BC4" w:rsidP="006A4A4E">
      <w:pPr>
        <w:pStyle w:val="Heading2"/>
        <w:rPr>
          <w:snapToGrid w:val="0"/>
          <w:lang w:val="de-DE"/>
        </w:rPr>
      </w:pPr>
      <w:bookmarkStart w:id="53" w:name="_Toc379530075"/>
      <w:bookmarkStart w:id="54" w:name="_Toc380391622"/>
      <w:bookmarkStart w:id="55" w:name="_Toc380419862"/>
      <w:bookmarkStart w:id="56" w:name="_Toc380483662"/>
      <w:r w:rsidRPr="00BC76A2">
        <w:rPr>
          <w:snapToGrid w:val="0"/>
          <w:lang w:val="de-DE"/>
        </w:rPr>
        <w:t>Reserve</w:t>
      </w:r>
      <w:bookmarkEnd w:id="53"/>
      <w:bookmarkEnd w:id="54"/>
      <w:r w:rsidR="00EA57F8" w:rsidRPr="00BC76A2">
        <w:rPr>
          <w:snapToGrid w:val="0"/>
          <w:lang w:val="de-DE"/>
        </w:rPr>
        <w:t>fonds</w:t>
      </w:r>
      <w:bookmarkEnd w:id="55"/>
      <w:bookmarkEnd w:id="56"/>
    </w:p>
    <w:p w:rsidR="00574BC4" w:rsidRPr="00BC76A2" w:rsidRDefault="00574BC4" w:rsidP="00574BC4">
      <w:pPr>
        <w:keepNext/>
        <w:rPr>
          <w:rFonts w:cs="Arial"/>
          <w:snapToGrid w:val="0"/>
          <w:lang w:val="de-DE"/>
        </w:rPr>
      </w:pPr>
    </w:p>
    <w:p w:rsidR="00932B5A" w:rsidRPr="00BC76A2" w:rsidRDefault="00932B5A" w:rsidP="00932B5A">
      <w:pPr>
        <w:rPr>
          <w:lang w:val="de-DE"/>
        </w:rPr>
      </w:pPr>
      <w:r w:rsidRPr="00BC76A2">
        <w:rPr>
          <w:rFonts w:cs="Arial"/>
          <w:lang w:val="de-DE"/>
        </w:rPr>
        <w:fldChar w:fldCharType="begin"/>
      </w:r>
      <w:r w:rsidRPr="00BC76A2">
        <w:rPr>
          <w:rFonts w:cs="Arial"/>
          <w:lang w:val="de-DE"/>
        </w:rPr>
        <w:instrText xml:space="preserve"> AUTONUM  </w:instrText>
      </w:r>
      <w:r w:rsidRPr="00BC76A2">
        <w:rPr>
          <w:rFonts w:cs="Arial"/>
          <w:lang w:val="de-DE"/>
        </w:rPr>
        <w:fldChar w:fldCharType="end"/>
      </w:r>
      <w:r w:rsidRPr="00BC76A2">
        <w:rPr>
          <w:rFonts w:cs="Arial"/>
          <w:lang w:val="de-DE"/>
        </w:rPr>
        <w:tab/>
      </w:r>
      <w:r w:rsidR="00A551D1" w:rsidRPr="00BC76A2">
        <w:rPr>
          <w:rFonts w:cs="Arial"/>
          <w:lang w:val="de-DE"/>
        </w:rPr>
        <w:t>Regel</w:t>
      </w:r>
      <w:r w:rsidRPr="00BC76A2">
        <w:rPr>
          <w:rFonts w:cs="Arial"/>
          <w:lang w:val="de-DE"/>
        </w:rPr>
        <w:t xml:space="preserve"> 4.6 </w:t>
      </w:r>
      <w:r w:rsidR="00A551D1" w:rsidRPr="00BC76A2">
        <w:rPr>
          <w:rFonts w:cs="Arial"/>
          <w:lang w:val="de-DE"/>
        </w:rPr>
        <w:t>des Dokuments</w:t>
      </w:r>
      <w:r w:rsidRPr="00BC76A2">
        <w:rPr>
          <w:rFonts w:cs="Arial"/>
          <w:lang w:val="de-DE"/>
        </w:rPr>
        <w:t xml:space="preserve"> UPOV/INF/4/3</w:t>
      </w:r>
      <w:r w:rsidR="00AC145E" w:rsidRPr="00BC76A2">
        <w:rPr>
          <w:rFonts w:cs="Arial"/>
          <w:lang w:val="de-DE"/>
        </w:rPr>
        <w:t>,</w:t>
      </w:r>
      <w:r w:rsidRPr="00BC76A2">
        <w:rPr>
          <w:rFonts w:cs="Arial"/>
          <w:lang w:val="de-DE"/>
        </w:rPr>
        <w:t xml:space="preserve"> </w:t>
      </w:r>
      <w:r w:rsidR="00A551D1" w:rsidRPr="00BC76A2">
        <w:rPr>
          <w:rFonts w:cs="Arial"/>
          <w:lang w:val="de-DE"/>
        </w:rPr>
        <w:t>„Finanzordnung und ihre Durchführungsbestimmungen“</w:t>
      </w:r>
      <w:r w:rsidR="00AC145E" w:rsidRPr="00BC76A2">
        <w:rPr>
          <w:rFonts w:cs="Arial"/>
          <w:lang w:val="de-DE"/>
        </w:rPr>
        <w:t>,</w:t>
      </w:r>
      <w:r w:rsidR="00A551D1" w:rsidRPr="00BC76A2">
        <w:rPr>
          <w:rFonts w:cs="Arial"/>
          <w:lang w:val="de-DE"/>
        </w:rPr>
        <w:t xml:space="preserve"> sagt aus: „</w:t>
      </w:r>
      <w:r w:rsidRPr="00BC76A2">
        <w:rPr>
          <w:rFonts w:cs="Arial"/>
          <w:lang w:val="de-DE"/>
        </w:rPr>
        <w:t>[…]</w:t>
      </w:r>
      <w:r w:rsidR="00A551D1" w:rsidRPr="00BC76A2">
        <w:rPr>
          <w:rFonts w:cs="Arial"/>
          <w:lang w:val="de-DE"/>
        </w:rPr>
        <w:t xml:space="preserve"> </w:t>
      </w:r>
      <w:r w:rsidR="00A551D1" w:rsidRPr="00BC76A2">
        <w:rPr>
          <w:rFonts w:cs="Arial"/>
          <w:lang w:val="de-DE" w:eastAsia="fr-CH"/>
        </w:rPr>
        <w:t>Wenn der Reservefonds nach Abschluß der Rechnungsperiode 15 % der Gesamteinnahmen übersteigt, soll der überschüssige Betrag an die UPOV-Mitglieder zurückgezahlt werden, sofern vom Rat nicht anders entschieden. Jedes Mitglied der UPOV kann bestimmen, daß die ihm zustehende Rückzahlung in ein von ihm angegebenes Sonderkonto oder einen Treuhandfonds eingezahlt wird.“</w:t>
      </w:r>
    </w:p>
    <w:p w:rsidR="00932B5A" w:rsidRPr="00BC76A2" w:rsidRDefault="00932B5A" w:rsidP="00574BC4">
      <w:pPr>
        <w:rPr>
          <w:lang w:val="de-DE"/>
        </w:rPr>
      </w:pPr>
    </w:p>
    <w:p w:rsidR="005F5D9D" w:rsidRPr="00BC76A2" w:rsidRDefault="00574BC4" w:rsidP="005F5D9D">
      <w:pPr>
        <w:rPr>
          <w:rFonts w:cs="Arial"/>
          <w:lang w:val="de-DE"/>
        </w:rPr>
      </w:pPr>
      <w:r w:rsidRPr="00BC76A2">
        <w:rPr>
          <w:lang w:val="de-DE"/>
        </w:rPr>
        <w:fldChar w:fldCharType="begin"/>
      </w:r>
      <w:r w:rsidRPr="00BC76A2">
        <w:rPr>
          <w:lang w:val="de-DE"/>
        </w:rPr>
        <w:instrText xml:space="preserve"> AUTONUM  </w:instrText>
      </w:r>
      <w:r w:rsidRPr="00BC76A2">
        <w:rPr>
          <w:lang w:val="de-DE"/>
        </w:rPr>
        <w:fldChar w:fldCharType="end"/>
      </w:r>
      <w:r w:rsidRPr="00BC76A2">
        <w:rPr>
          <w:lang w:val="de-DE"/>
        </w:rPr>
        <w:tab/>
      </w:r>
      <w:r w:rsidR="00122A19" w:rsidRPr="00BC76A2">
        <w:rPr>
          <w:lang w:val="de-DE"/>
        </w:rPr>
        <w:t>Der Beratende Ausschu</w:t>
      </w:r>
      <w:r w:rsidR="00122A19" w:rsidRPr="00BC76A2">
        <w:rPr>
          <w:rFonts w:cs="Arial"/>
          <w:lang w:val="de-DE"/>
        </w:rPr>
        <w:t>ß empfahl auf seiner sechsundachtzigsten Tagung vom 23. und 24.</w:t>
      </w:r>
      <w:r w:rsidR="00C54D70" w:rsidRPr="00BC76A2">
        <w:rPr>
          <w:rFonts w:cs="Arial"/>
          <w:lang w:val="de-DE"/>
        </w:rPr>
        <w:t> </w:t>
      </w:r>
      <w:r w:rsidR="00122A19" w:rsidRPr="00BC76A2">
        <w:rPr>
          <w:rFonts w:cs="Arial"/>
          <w:lang w:val="de-DE"/>
        </w:rPr>
        <w:t>Oktober</w:t>
      </w:r>
      <w:r w:rsidR="00C54D70" w:rsidRPr="00BC76A2">
        <w:rPr>
          <w:rFonts w:cs="Arial"/>
          <w:lang w:val="de-DE"/>
        </w:rPr>
        <w:t> 2013</w:t>
      </w:r>
      <w:r w:rsidR="00122A19" w:rsidRPr="00BC76A2">
        <w:rPr>
          <w:rFonts w:cs="Arial"/>
          <w:lang w:val="de-DE"/>
        </w:rPr>
        <w:t xml:space="preserve"> in Genf f</w:t>
      </w:r>
      <w:r w:rsidR="00122A19" w:rsidRPr="00BC76A2">
        <w:rPr>
          <w:szCs w:val="24"/>
          <w:lang w:val="de-DE"/>
        </w:rPr>
        <w:t>ür den</w:t>
      </w:r>
      <w:r w:rsidR="00122A19" w:rsidRPr="00BC76A2">
        <w:rPr>
          <w:rFonts w:cs="Arial"/>
          <w:lang w:val="de-DE"/>
        </w:rPr>
        <w:t xml:space="preserve"> Fall, daß der Betrag des Reservefonds 15</w:t>
      </w:r>
      <w:r w:rsidR="00C54D70" w:rsidRPr="00BC76A2">
        <w:rPr>
          <w:rFonts w:cs="Arial"/>
          <w:lang w:val="de-DE"/>
        </w:rPr>
        <w:t> %</w:t>
      </w:r>
      <w:r w:rsidR="00122A19" w:rsidRPr="00BC76A2">
        <w:rPr>
          <w:rFonts w:cs="Arial"/>
          <w:lang w:val="de-DE"/>
        </w:rPr>
        <w:t xml:space="preserve"> der Gesamteinnahmen der Rechnungsperiode 2012-2013 übersteigt, die Einrichtung eines UPOV-Sonderkontos, das zur Finanzierung außeretatmäßiger, vom Rat gebilligter Projekte verwendet würde. </w:t>
      </w:r>
      <w:r w:rsidR="005F5D9D" w:rsidRPr="00BC76A2">
        <w:rPr>
          <w:rFonts w:cs="Arial"/>
          <w:lang w:val="de-DE"/>
        </w:rPr>
        <w:t>Es wurde vereinbart, daß das Konto für Projekte verwendet würde, die insbesondere:</w:t>
      </w:r>
    </w:p>
    <w:p w:rsidR="005F5D9D" w:rsidRPr="00BC76A2" w:rsidRDefault="005F5D9D" w:rsidP="005F5D9D">
      <w:pPr>
        <w:rPr>
          <w:rFonts w:cs="Arial"/>
          <w:lang w:val="de-DE"/>
        </w:rPr>
      </w:pPr>
    </w:p>
    <w:p w:rsidR="005F5D9D" w:rsidRPr="00BC76A2" w:rsidRDefault="005F5D9D" w:rsidP="005F5D9D">
      <w:pPr>
        <w:ind w:left="1134" w:hanging="567"/>
        <w:rPr>
          <w:rFonts w:cs="Arial"/>
          <w:lang w:val="de-DE"/>
        </w:rPr>
      </w:pPr>
      <w:r w:rsidRPr="00BC76A2">
        <w:rPr>
          <w:rFonts w:cs="Arial"/>
          <w:lang w:val="de-DE"/>
        </w:rPr>
        <w:t>i)</w:t>
      </w:r>
      <w:r w:rsidRPr="00BC76A2">
        <w:rPr>
          <w:rFonts w:cs="Arial"/>
          <w:lang w:val="de-DE"/>
        </w:rPr>
        <w:tab/>
        <w:t>Verbandsmitglieder, vor allem neue Verbandsmitglieder, bei der Durchführung ihrer Sortenschutzsysteme unterstützen;</w:t>
      </w:r>
    </w:p>
    <w:p w:rsidR="005F5D9D" w:rsidRPr="00BC76A2" w:rsidRDefault="005F5D9D" w:rsidP="005F5D9D">
      <w:pPr>
        <w:ind w:left="567"/>
        <w:rPr>
          <w:rFonts w:cs="Arial"/>
          <w:lang w:val="de-DE"/>
        </w:rPr>
      </w:pPr>
      <w:r w:rsidRPr="00BC76A2">
        <w:rPr>
          <w:rFonts w:cs="Arial"/>
          <w:lang w:val="de-DE"/>
        </w:rPr>
        <w:t>ii)</w:t>
      </w:r>
      <w:r w:rsidRPr="00BC76A2">
        <w:rPr>
          <w:rFonts w:cs="Arial"/>
          <w:lang w:val="de-DE"/>
        </w:rPr>
        <w:tab/>
        <w:t>sich über mehr als eine Rechnungsperiode erstrecken;</w:t>
      </w:r>
    </w:p>
    <w:p w:rsidR="005F5D9D" w:rsidRPr="00BC76A2" w:rsidRDefault="005F5D9D" w:rsidP="005F5D9D">
      <w:pPr>
        <w:ind w:left="567"/>
        <w:rPr>
          <w:rFonts w:cs="Arial"/>
          <w:lang w:val="de-DE"/>
        </w:rPr>
      </w:pPr>
      <w:r w:rsidRPr="00BC76A2">
        <w:rPr>
          <w:rFonts w:cs="Arial"/>
          <w:lang w:val="de-DE"/>
        </w:rPr>
        <w:t>iii)</w:t>
      </w:r>
      <w:r w:rsidRPr="00BC76A2">
        <w:rPr>
          <w:rFonts w:cs="Arial"/>
          <w:lang w:val="de-DE"/>
        </w:rPr>
        <w:tab/>
        <w:t>den Verbandsmitgliedern langfristigen Nutzen verschaffen</w:t>
      </w:r>
      <w:r w:rsidR="00C54D70" w:rsidRPr="00BC76A2">
        <w:rPr>
          <w:rFonts w:cs="Arial"/>
          <w:lang w:val="de-DE"/>
        </w:rPr>
        <w:t>,</w:t>
      </w:r>
      <w:r w:rsidRPr="00BC76A2">
        <w:rPr>
          <w:rFonts w:cs="Arial"/>
          <w:lang w:val="de-DE"/>
        </w:rPr>
        <w:t xml:space="preserve"> und</w:t>
      </w:r>
    </w:p>
    <w:p w:rsidR="005F5D9D" w:rsidRPr="00BC76A2" w:rsidRDefault="005F5D9D" w:rsidP="005F5D9D">
      <w:pPr>
        <w:ind w:left="567"/>
        <w:rPr>
          <w:rFonts w:cs="Arial"/>
          <w:lang w:val="de-DE"/>
        </w:rPr>
      </w:pPr>
      <w:r w:rsidRPr="00BC76A2">
        <w:rPr>
          <w:rFonts w:cs="Arial"/>
          <w:lang w:val="de-DE"/>
        </w:rPr>
        <w:t>iv)</w:t>
      </w:r>
      <w:r w:rsidRPr="00BC76A2">
        <w:rPr>
          <w:rFonts w:cs="Arial"/>
          <w:lang w:val="de-DE"/>
        </w:rPr>
        <w:tab/>
        <w:t>durch außeretatmäßige Mittel schneller vorangetrieben würden.</w:t>
      </w:r>
    </w:p>
    <w:p w:rsidR="005F5D9D" w:rsidRPr="00BC76A2" w:rsidRDefault="005F5D9D" w:rsidP="005F5D9D">
      <w:pPr>
        <w:rPr>
          <w:rFonts w:cs="Arial"/>
          <w:lang w:val="de-DE"/>
        </w:rPr>
      </w:pPr>
    </w:p>
    <w:p w:rsidR="005F5D9D" w:rsidRPr="00BC76A2" w:rsidRDefault="005F5D9D" w:rsidP="005F5D9D">
      <w:pPr>
        <w:rPr>
          <w:rFonts w:cs="Arial"/>
          <w:lang w:val="de-DE"/>
        </w:rPr>
      </w:pPr>
      <w:r w:rsidRPr="00BC76A2">
        <w:rPr>
          <w:szCs w:val="24"/>
          <w:lang w:val="de-DE"/>
        </w:rPr>
        <w:fldChar w:fldCharType="begin"/>
      </w:r>
      <w:r w:rsidRPr="00BC76A2">
        <w:rPr>
          <w:szCs w:val="24"/>
          <w:lang w:val="de-DE"/>
        </w:rPr>
        <w:instrText xml:space="preserve"> AUTONUM  </w:instrText>
      </w:r>
      <w:r w:rsidRPr="00BC76A2">
        <w:rPr>
          <w:szCs w:val="24"/>
          <w:lang w:val="de-DE"/>
        </w:rPr>
        <w:fldChar w:fldCharType="end"/>
      </w:r>
      <w:r w:rsidRPr="00BC76A2">
        <w:rPr>
          <w:szCs w:val="24"/>
          <w:lang w:val="de-DE"/>
        </w:rPr>
        <w:tab/>
        <w:t xml:space="preserve">Weiterhin wurde vereinbart, </w:t>
      </w:r>
      <w:r w:rsidRPr="00BC76A2">
        <w:rPr>
          <w:rFonts w:cs="Arial"/>
          <w:lang w:val="de-DE"/>
        </w:rPr>
        <w:t xml:space="preserve">daß im Hinblick auf ein UPOV-Sonderkonto zu prüfende Projekte dem Beratenden Ausschuß zur Prüfung vorgelegt würden, bevor sie dem Rat zur Billigung vorgelegt würden. In dieser Hinsicht wurde vereinbart, daß der </w:t>
      </w:r>
      <w:r w:rsidRPr="00BC76A2">
        <w:rPr>
          <w:lang w:val="de-DE"/>
        </w:rPr>
        <w:t>Beratende Ausschuß die Flexibilität haben sollte, Projekte zu empfehlen, die andere Faktoren als die oben in i) bis iv) aufgeführten berücksichtigen.</w:t>
      </w:r>
    </w:p>
    <w:p w:rsidR="00574BC4" w:rsidRPr="00BC76A2" w:rsidRDefault="00574BC4" w:rsidP="00574BC4">
      <w:pPr>
        <w:rPr>
          <w:sz w:val="18"/>
          <w:szCs w:val="18"/>
          <w:lang w:val="de-DE"/>
        </w:rPr>
      </w:pPr>
    </w:p>
    <w:p w:rsidR="00574BC4" w:rsidRPr="00BC76A2" w:rsidRDefault="00574BC4" w:rsidP="00574BC4">
      <w:pPr>
        <w:rPr>
          <w:spacing w:val="-2"/>
          <w:lang w:val="de-DE"/>
        </w:rPr>
      </w:pPr>
    </w:p>
    <w:p w:rsidR="000536A6" w:rsidRPr="00BC76A2" w:rsidRDefault="002118B7" w:rsidP="00D135ED">
      <w:pPr>
        <w:pStyle w:val="Heading1"/>
        <w:rPr>
          <w:lang w:val="de-DE"/>
        </w:rPr>
      </w:pPr>
      <w:bookmarkStart w:id="57" w:name="_Toc379530076"/>
      <w:bookmarkStart w:id="58" w:name="_Toc380391623"/>
      <w:bookmarkStart w:id="59" w:name="_Toc380419863"/>
      <w:bookmarkStart w:id="60" w:name="_Toc380483663"/>
      <w:r w:rsidRPr="00BC76A2">
        <w:rPr>
          <w:lang w:val="de-DE"/>
        </w:rPr>
        <w:t>vorsitz der upo</w:t>
      </w:r>
      <w:r w:rsidR="00CE4195" w:rsidRPr="00BC76A2">
        <w:rPr>
          <w:lang w:val="de-DE"/>
        </w:rPr>
        <w:t>v</w:t>
      </w:r>
      <w:r w:rsidRPr="00BC76A2">
        <w:rPr>
          <w:lang w:val="de-DE"/>
        </w:rPr>
        <w:t>-organe</w:t>
      </w:r>
      <w:bookmarkEnd w:id="57"/>
      <w:bookmarkEnd w:id="58"/>
      <w:bookmarkEnd w:id="59"/>
      <w:bookmarkEnd w:id="60"/>
    </w:p>
    <w:p w:rsidR="000536A6" w:rsidRPr="00BC76A2" w:rsidRDefault="000536A6" w:rsidP="000536A6">
      <w:pPr>
        <w:keepNext/>
        <w:rPr>
          <w:rFonts w:cs="Arial"/>
          <w:lang w:val="de-DE"/>
        </w:rPr>
      </w:pPr>
    </w:p>
    <w:p w:rsidR="002118B7" w:rsidRPr="00BC76A2" w:rsidRDefault="000536A6" w:rsidP="002118B7">
      <w:pPr>
        <w:rPr>
          <w:lang w:val="de-DE"/>
        </w:rPr>
      </w:pPr>
      <w:r w:rsidRPr="00BC76A2">
        <w:rPr>
          <w:rFonts w:cs="Arial"/>
          <w:lang w:val="de-DE"/>
        </w:rPr>
        <w:fldChar w:fldCharType="begin"/>
      </w:r>
      <w:r w:rsidRPr="00BC76A2">
        <w:rPr>
          <w:rFonts w:cs="Arial"/>
          <w:lang w:val="de-DE"/>
        </w:rPr>
        <w:instrText xml:space="preserve"> AUTONUM  </w:instrText>
      </w:r>
      <w:r w:rsidRPr="00BC76A2">
        <w:rPr>
          <w:rFonts w:cs="Arial"/>
          <w:lang w:val="de-DE"/>
        </w:rPr>
        <w:fldChar w:fldCharType="end"/>
      </w:r>
      <w:r w:rsidRPr="00BC76A2">
        <w:rPr>
          <w:rFonts w:cs="Arial"/>
          <w:lang w:val="de-DE"/>
        </w:rPr>
        <w:tab/>
      </w:r>
      <w:r w:rsidR="002118B7" w:rsidRPr="00BC76A2">
        <w:rPr>
          <w:rFonts w:cs="Arial"/>
          <w:lang w:val="de-DE"/>
        </w:rPr>
        <w:t xml:space="preserve">Der Rat wählte auf seiner </w:t>
      </w:r>
      <w:r w:rsidR="006909B4" w:rsidRPr="00BC76A2">
        <w:rPr>
          <w:rFonts w:cs="Arial"/>
          <w:lang w:val="de-DE"/>
        </w:rPr>
        <w:t>siebenundvierzigsten</w:t>
      </w:r>
      <w:r w:rsidR="002118B7" w:rsidRPr="00BC76A2">
        <w:rPr>
          <w:rFonts w:cs="Arial"/>
          <w:lang w:val="de-DE"/>
        </w:rPr>
        <w:t xml:space="preserve"> ordentlichen </w:t>
      </w:r>
      <w:r w:rsidR="006909B4" w:rsidRPr="00BC76A2">
        <w:rPr>
          <w:rFonts w:cs="Arial"/>
          <w:lang w:val="de-DE"/>
        </w:rPr>
        <w:t>Tagung</w:t>
      </w:r>
      <w:r w:rsidR="002118B7" w:rsidRPr="00BC76A2">
        <w:rPr>
          <w:rFonts w:cs="Arial"/>
          <w:lang w:val="de-DE"/>
        </w:rPr>
        <w:t xml:space="preserve"> vom 24. Oktober 2013 in </w:t>
      </w:r>
      <w:r w:rsidR="006909B4" w:rsidRPr="00BC76A2">
        <w:rPr>
          <w:rFonts w:cs="Arial"/>
          <w:lang w:val="de-DE"/>
        </w:rPr>
        <w:t>Genf</w:t>
      </w:r>
      <w:r w:rsidR="006909B4" w:rsidRPr="00BC76A2">
        <w:rPr>
          <w:lang w:val="de-DE"/>
        </w:rPr>
        <w:t xml:space="preserve"> jeweils</w:t>
      </w:r>
      <w:r w:rsidR="002118B7" w:rsidRPr="00BC76A2">
        <w:rPr>
          <w:lang w:val="de-DE"/>
        </w:rPr>
        <w:t xml:space="preserve"> für eine Amtszeit von drei Jahren, die mit der fünfzigsten ordentlichen Tagung des Rates im Jahr</w:t>
      </w:r>
      <w:r w:rsidR="00C54D70" w:rsidRPr="00BC76A2">
        <w:rPr>
          <w:lang w:val="de-DE"/>
        </w:rPr>
        <w:t>e </w:t>
      </w:r>
      <w:r w:rsidR="002118B7" w:rsidRPr="00BC76A2">
        <w:rPr>
          <w:lang w:val="de-DE"/>
        </w:rPr>
        <w:t xml:space="preserve">2016 endet (vergleiche Dokument C/47/19 </w:t>
      </w:r>
      <w:r w:rsidR="00C54D70" w:rsidRPr="00BC76A2">
        <w:rPr>
          <w:lang w:val="de-DE"/>
        </w:rPr>
        <w:t>„</w:t>
      </w:r>
      <w:r w:rsidR="002118B7" w:rsidRPr="00BC76A2">
        <w:rPr>
          <w:lang w:val="de-DE"/>
        </w:rPr>
        <w:t xml:space="preserve">Bericht über die </w:t>
      </w:r>
      <w:r w:rsidR="006909B4" w:rsidRPr="00BC76A2">
        <w:rPr>
          <w:lang w:val="de-DE"/>
        </w:rPr>
        <w:t>Entschließungen</w:t>
      </w:r>
      <w:r w:rsidR="002118B7" w:rsidRPr="00BC76A2">
        <w:rPr>
          <w:lang w:val="de-DE"/>
        </w:rPr>
        <w:t>“, Absatz 53)</w:t>
      </w:r>
      <w:r w:rsidR="002118B7" w:rsidRPr="00BC76A2">
        <w:rPr>
          <w:rFonts w:cs="Arial"/>
          <w:lang w:val="de-DE"/>
        </w:rPr>
        <w:t>:</w:t>
      </w:r>
    </w:p>
    <w:p w:rsidR="002118B7" w:rsidRPr="00BC76A2" w:rsidRDefault="002118B7" w:rsidP="002118B7">
      <w:pPr>
        <w:rPr>
          <w:lang w:val="de-DE"/>
        </w:rPr>
      </w:pPr>
    </w:p>
    <w:p w:rsidR="002118B7" w:rsidRPr="00BC76A2" w:rsidRDefault="002118B7" w:rsidP="002118B7">
      <w:pPr>
        <w:ind w:left="1134" w:hanging="567"/>
        <w:rPr>
          <w:rFonts w:cs="Arial"/>
          <w:lang w:val="de-DE"/>
        </w:rPr>
      </w:pPr>
      <w:r w:rsidRPr="00BC76A2">
        <w:rPr>
          <w:rFonts w:cs="Arial"/>
          <w:lang w:val="de-DE"/>
        </w:rPr>
        <w:t>a)</w:t>
      </w:r>
      <w:r w:rsidRPr="00BC76A2">
        <w:rPr>
          <w:rFonts w:cs="Arial"/>
          <w:lang w:val="de-DE"/>
        </w:rPr>
        <w:tab/>
        <w:t>Herrn Martin Ekvad (Europäische Union), zum Vorsitzenden des Verwaltungs- und Rechtsausschusses;</w:t>
      </w:r>
    </w:p>
    <w:p w:rsidR="002118B7" w:rsidRPr="00BC76A2" w:rsidRDefault="002118B7" w:rsidP="002118B7">
      <w:pPr>
        <w:ind w:left="1134" w:hanging="567"/>
        <w:rPr>
          <w:rFonts w:cs="Arial"/>
          <w:lang w:val="de-DE"/>
        </w:rPr>
      </w:pPr>
    </w:p>
    <w:p w:rsidR="002118B7" w:rsidRPr="00BC76A2" w:rsidRDefault="002118B7" w:rsidP="002118B7">
      <w:pPr>
        <w:ind w:left="1134" w:hanging="567"/>
        <w:rPr>
          <w:rFonts w:cs="Arial"/>
          <w:lang w:val="de-DE"/>
        </w:rPr>
      </w:pPr>
      <w:r w:rsidRPr="00BC76A2">
        <w:rPr>
          <w:rFonts w:cs="Arial"/>
          <w:lang w:val="de-DE"/>
        </w:rPr>
        <w:t>b)</w:t>
      </w:r>
      <w:r w:rsidRPr="00BC76A2">
        <w:rPr>
          <w:rFonts w:cs="Arial"/>
          <w:lang w:val="de-DE"/>
        </w:rPr>
        <w:tab/>
        <w:t>Herrn James M. Onsando (Kenia), zum Stellvertretenden Vorsitzender des Verwaltungs- und Rechtsausschusses;</w:t>
      </w:r>
    </w:p>
    <w:p w:rsidR="002118B7" w:rsidRPr="00BC76A2" w:rsidRDefault="002118B7" w:rsidP="002118B7">
      <w:pPr>
        <w:ind w:left="1134" w:hanging="567"/>
        <w:rPr>
          <w:rFonts w:cs="Arial"/>
          <w:lang w:val="de-DE"/>
        </w:rPr>
      </w:pPr>
    </w:p>
    <w:p w:rsidR="002118B7" w:rsidRPr="00BC76A2" w:rsidRDefault="006909B4" w:rsidP="002118B7">
      <w:pPr>
        <w:ind w:left="1134" w:hanging="567"/>
        <w:rPr>
          <w:rFonts w:cs="Arial"/>
          <w:lang w:val="de-DE"/>
        </w:rPr>
      </w:pPr>
      <w:r w:rsidRPr="00BC76A2">
        <w:rPr>
          <w:rFonts w:cs="Arial"/>
          <w:lang w:val="de-DE"/>
        </w:rPr>
        <w:t>c)</w:t>
      </w:r>
      <w:r w:rsidRPr="00BC76A2">
        <w:rPr>
          <w:rFonts w:cs="Arial"/>
          <w:lang w:val="de-DE"/>
        </w:rPr>
        <w:tab/>
        <w:t xml:space="preserve">Herrn Alejandro </w:t>
      </w:r>
      <w:r w:rsidR="00552893">
        <w:rPr>
          <w:rFonts w:cs="Arial"/>
          <w:lang w:val="de-DE"/>
        </w:rPr>
        <w:t xml:space="preserve">F. </w:t>
      </w:r>
      <w:r w:rsidRPr="00BC76A2">
        <w:rPr>
          <w:rFonts w:cs="Arial"/>
          <w:lang w:val="de-DE"/>
        </w:rPr>
        <w:t>Barrientos-Priego (Mexiko), zum Vorsitzenden des Technischen Ausschusses, und</w:t>
      </w:r>
    </w:p>
    <w:p w:rsidR="002118B7" w:rsidRPr="00BC76A2" w:rsidRDefault="002118B7" w:rsidP="002118B7">
      <w:pPr>
        <w:ind w:left="1134" w:hanging="567"/>
        <w:rPr>
          <w:rFonts w:cs="Arial"/>
          <w:lang w:val="de-DE"/>
        </w:rPr>
      </w:pPr>
    </w:p>
    <w:p w:rsidR="002118B7" w:rsidRPr="00BC76A2" w:rsidRDefault="002118B7" w:rsidP="002118B7">
      <w:pPr>
        <w:ind w:left="1134" w:hanging="567"/>
        <w:rPr>
          <w:rFonts w:cs="Arial"/>
          <w:lang w:val="de-DE"/>
        </w:rPr>
      </w:pPr>
      <w:r w:rsidRPr="00BC76A2">
        <w:rPr>
          <w:rFonts w:cs="Arial"/>
          <w:lang w:val="de-DE"/>
        </w:rPr>
        <w:t>d)</w:t>
      </w:r>
      <w:r w:rsidRPr="00BC76A2">
        <w:rPr>
          <w:rFonts w:cs="Arial"/>
          <w:lang w:val="de-DE"/>
        </w:rPr>
        <w:tab/>
        <w:t>Herrn Kees van Ettekoven (Niederlande), zum Stellvertretenden Vorsitzender des Technischen Ausschusses.</w:t>
      </w:r>
    </w:p>
    <w:p w:rsidR="000536A6" w:rsidRPr="00BC76A2" w:rsidRDefault="000536A6" w:rsidP="000536A6">
      <w:pPr>
        <w:rPr>
          <w:lang w:val="de-DE"/>
        </w:rPr>
      </w:pPr>
    </w:p>
    <w:p w:rsidR="000536A6" w:rsidRPr="00BC76A2" w:rsidRDefault="000536A6" w:rsidP="00807F07">
      <w:pPr>
        <w:rPr>
          <w:lang w:val="de-DE"/>
        </w:rPr>
      </w:pPr>
    </w:p>
    <w:p w:rsidR="007930E0" w:rsidRPr="00BC76A2" w:rsidRDefault="007930E0" w:rsidP="00D135ED">
      <w:pPr>
        <w:pStyle w:val="Heading1"/>
        <w:rPr>
          <w:lang w:val="de-DE"/>
        </w:rPr>
      </w:pPr>
      <w:bookmarkStart w:id="61" w:name="_Toc379530077"/>
      <w:bookmarkStart w:id="62" w:name="_Toc380391624"/>
      <w:bookmarkStart w:id="63" w:name="_Toc380419864"/>
      <w:bookmarkStart w:id="64" w:name="_Toc380483664"/>
      <w:r w:rsidRPr="00BC76A2">
        <w:rPr>
          <w:lang w:val="de-DE"/>
        </w:rPr>
        <w:t>UPOV</w:t>
      </w:r>
      <w:r w:rsidR="00CE4195" w:rsidRPr="00BC76A2">
        <w:rPr>
          <w:lang w:val="de-DE"/>
        </w:rPr>
        <w:t>-sammlung</w:t>
      </w:r>
      <w:bookmarkEnd w:id="61"/>
      <w:bookmarkEnd w:id="62"/>
      <w:bookmarkEnd w:id="63"/>
      <w:bookmarkEnd w:id="64"/>
    </w:p>
    <w:p w:rsidR="007930E0" w:rsidRPr="00BC76A2" w:rsidRDefault="007930E0" w:rsidP="00D135ED">
      <w:pPr>
        <w:pStyle w:val="Heading1"/>
        <w:rPr>
          <w:lang w:val="de-DE"/>
        </w:rPr>
      </w:pPr>
    </w:p>
    <w:p w:rsidR="007930E0" w:rsidRPr="00BC76A2" w:rsidRDefault="001C553C" w:rsidP="007930E0">
      <w:pPr>
        <w:rPr>
          <w:lang w:val="de-DE"/>
        </w:rPr>
      </w:pPr>
      <w:r w:rsidRPr="00BC76A2">
        <w:rPr>
          <w:lang w:val="de-DE"/>
        </w:rPr>
        <w:fldChar w:fldCharType="begin"/>
      </w:r>
      <w:r w:rsidRPr="00BC76A2">
        <w:rPr>
          <w:lang w:val="de-DE"/>
        </w:rPr>
        <w:instrText xml:space="preserve"> AUTONUM  </w:instrText>
      </w:r>
      <w:r w:rsidRPr="00BC76A2">
        <w:rPr>
          <w:lang w:val="de-DE"/>
        </w:rPr>
        <w:fldChar w:fldCharType="end"/>
      </w:r>
      <w:r w:rsidRPr="00BC76A2">
        <w:rPr>
          <w:lang w:val="de-DE"/>
        </w:rPr>
        <w:tab/>
      </w:r>
      <w:r w:rsidR="00CE4195" w:rsidRPr="00BC76A2">
        <w:rPr>
          <w:lang w:val="de-DE"/>
        </w:rPr>
        <w:t>Folgende Dokumente in der UPOV-Sammlung</w:t>
      </w:r>
      <w:r w:rsidR="00E011AF" w:rsidRPr="00BC76A2">
        <w:rPr>
          <w:lang w:val="de-DE"/>
        </w:rPr>
        <w:t xml:space="preserve"> wurden seit der </w:t>
      </w:r>
      <w:r w:rsidR="006909B4" w:rsidRPr="00BC76A2">
        <w:rPr>
          <w:lang w:val="de-DE"/>
        </w:rPr>
        <w:t>neunundvierzigsten</w:t>
      </w:r>
      <w:r w:rsidR="00E011AF" w:rsidRPr="00BC76A2">
        <w:rPr>
          <w:lang w:val="de-DE"/>
        </w:rPr>
        <w:t xml:space="preserve"> Tagung des </w:t>
      </w:r>
      <w:r w:rsidR="006909B4" w:rsidRPr="00BC76A2">
        <w:rPr>
          <w:lang w:val="de-DE"/>
        </w:rPr>
        <w:t>Technischen</w:t>
      </w:r>
      <w:r w:rsidR="00E011AF" w:rsidRPr="00BC76A2">
        <w:rPr>
          <w:lang w:val="de-DE"/>
        </w:rPr>
        <w:t xml:space="preserve"> Ausschusses vom 18. bis 20. März 2013 </w:t>
      </w:r>
      <w:r w:rsidR="00C54D70" w:rsidRPr="00BC76A2">
        <w:rPr>
          <w:lang w:val="de-DE"/>
        </w:rPr>
        <w:t xml:space="preserve">in Genf </w:t>
      </w:r>
      <w:r w:rsidR="006909B4" w:rsidRPr="00BC76A2">
        <w:rPr>
          <w:lang w:val="de-DE"/>
        </w:rPr>
        <w:t>angenommen</w:t>
      </w:r>
      <w:r w:rsidR="00E011AF" w:rsidRPr="00BC76A2">
        <w:rPr>
          <w:lang w:val="de-DE"/>
        </w:rPr>
        <w:t xml:space="preserve">: </w:t>
      </w:r>
    </w:p>
    <w:p w:rsidR="007930E0" w:rsidRPr="00BC76A2" w:rsidRDefault="007930E0" w:rsidP="007930E0">
      <w:pPr>
        <w:rPr>
          <w:lang w:val="de-DE"/>
        </w:rPr>
      </w:pPr>
    </w:p>
    <w:p w:rsidR="00CA449D" w:rsidRPr="00BC76A2" w:rsidRDefault="00CA449D" w:rsidP="006A4A4E">
      <w:pPr>
        <w:pStyle w:val="Heading2"/>
        <w:rPr>
          <w:lang w:val="de-DE"/>
        </w:rPr>
      </w:pPr>
      <w:bookmarkStart w:id="65" w:name="_Toc379530078"/>
      <w:bookmarkStart w:id="66" w:name="_Toc380391625"/>
      <w:bookmarkStart w:id="67" w:name="_Toc380419865"/>
      <w:bookmarkStart w:id="68" w:name="_Toc380483665"/>
      <w:r w:rsidRPr="00BC76A2">
        <w:rPr>
          <w:lang w:val="de-DE"/>
        </w:rPr>
        <w:t>Ne</w:t>
      </w:r>
      <w:r w:rsidR="00E011AF" w:rsidRPr="00BC76A2">
        <w:rPr>
          <w:lang w:val="de-DE"/>
        </w:rPr>
        <w:t xml:space="preserve">ue </w:t>
      </w:r>
      <w:r w:rsidR="0036363A">
        <w:rPr>
          <w:lang w:val="de-DE"/>
        </w:rPr>
        <w:t xml:space="preserve">angenommene </w:t>
      </w:r>
      <w:r w:rsidR="00E011AF" w:rsidRPr="00BC76A2">
        <w:rPr>
          <w:lang w:val="de-DE"/>
        </w:rPr>
        <w:t>Dokumente</w:t>
      </w:r>
      <w:bookmarkEnd w:id="65"/>
      <w:bookmarkEnd w:id="66"/>
      <w:bookmarkEnd w:id="67"/>
      <w:bookmarkEnd w:id="68"/>
    </w:p>
    <w:p w:rsidR="00CA449D" w:rsidRPr="00BC76A2" w:rsidRDefault="00CA449D" w:rsidP="007930E0">
      <w:pPr>
        <w:rPr>
          <w:lang w:val="de-DE"/>
        </w:rPr>
      </w:pPr>
    </w:p>
    <w:p w:rsidR="007C6459" w:rsidRPr="00BC76A2" w:rsidRDefault="00E011AF" w:rsidP="00574BB5">
      <w:pPr>
        <w:pStyle w:val="Heading3"/>
        <w:rPr>
          <w:snapToGrid w:val="0"/>
          <w:lang w:val="de-DE"/>
        </w:rPr>
      </w:pPr>
      <w:bookmarkStart w:id="69" w:name="_Toc379530079"/>
      <w:bookmarkStart w:id="70" w:name="_Toc380391626"/>
      <w:bookmarkStart w:id="71" w:name="_Toc380419866"/>
      <w:bookmarkStart w:id="72" w:name="_Toc380483666"/>
      <w:r w:rsidRPr="00BC76A2">
        <w:rPr>
          <w:snapToGrid w:val="0"/>
          <w:lang w:val="de-DE"/>
        </w:rPr>
        <w:t xml:space="preserve">Serie der </w:t>
      </w:r>
      <w:r w:rsidR="007C6459" w:rsidRPr="00BC76A2">
        <w:rPr>
          <w:snapToGrid w:val="0"/>
          <w:lang w:val="de-DE"/>
        </w:rPr>
        <w:t>UPOV/INF</w:t>
      </w:r>
      <w:r w:rsidRPr="00BC76A2">
        <w:rPr>
          <w:snapToGrid w:val="0"/>
          <w:lang w:val="de-DE"/>
        </w:rPr>
        <w:t>-Dokumente</w:t>
      </w:r>
      <w:bookmarkEnd w:id="69"/>
      <w:bookmarkEnd w:id="70"/>
      <w:bookmarkEnd w:id="71"/>
      <w:bookmarkEnd w:id="72"/>
    </w:p>
    <w:p w:rsidR="007C6459" w:rsidRPr="00BC76A2" w:rsidRDefault="007C6459" w:rsidP="007C6459">
      <w:pPr>
        <w:rPr>
          <w:snapToGrid w:val="0"/>
          <w:szCs w:val="24"/>
          <w:lang w:val="de-DE"/>
        </w:rPr>
      </w:pPr>
    </w:p>
    <w:tbl>
      <w:tblPr>
        <w:tblW w:w="964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985"/>
        <w:gridCol w:w="851"/>
        <w:gridCol w:w="4961"/>
        <w:gridCol w:w="1843"/>
      </w:tblGrid>
      <w:tr w:rsidR="007C6459" w:rsidRPr="00BC76A2" w:rsidTr="00A9076F">
        <w:trPr>
          <w:cantSplit/>
          <w:tblHeader/>
        </w:trPr>
        <w:tc>
          <w:tcPr>
            <w:tcW w:w="1985" w:type="dxa"/>
            <w:shd w:val="pct10" w:color="auto" w:fill="auto"/>
          </w:tcPr>
          <w:p w:rsidR="007C6459" w:rsidRPr="00BC76A2" w:rsidRDefault="007C6459" w:rsidP="00E011AF">
            <w:pPr>
              <w:spacing w:before="60" w:after="60"/>
              <w:rPr>
                <w:b/>
                <w:sz w:val="22"/>
                <w:szCs w:val="22"/>
                <w:lang w:val="de-DE"/>
              </w:rPr>
            </w:pPr>
            <w:r w:rsidRPr="00BC76A2">
              <w:rPr>
                <w:b/>
                <w:szCs w:val="22"/>
                <w:lang w:val="de-DE"/>
              </w:rPr>
              <w:t>Do</w:t>
            </w:r>
            <w:r w:rsidR="00E011AF" w:rsidRPr="00BC76A2">
              <w:rPr>
                <w:b/>
                <w:szCs w:val="22"/>
                <w:lang w:val="de-DE"/>
              </w:rPr>
              <w:t>k</w:t>
            </w:r>
            <w:r w:rsidRPr="00BC76A2">
              <w:rPr>
                <w:b/>
                <w:szCs w:val="22"/>
                <w:lang w:val="de-DE"/>
              </w:rPr>
              <w:t>ument</w:t>
            </w:r>
            <w:r w:rsidR="00E011AF" w:rsidRPr="00BC76A2">
              <w:rPr>
                <w:b/>
                <w:szCs w:val="22"/>
                <w:lang w:val="de-DE"/>
              </w:rPr>
              <w:t>-</w:t>
            </w:r>
            <w:r w:rsidRPr="00BC76A2">
              <w:rPr>
                <w:b/>
                <w:szCs w:val="22"/>
                <w:lang w:val="de-DE"/>
              </w:rPr>
              <w:t xml:space="preserve"> </w:t>
            </w:r>
            <w:r w:rsidR="00E011AF" w:rsidRPr="00BC76A2">
              <w:rPr>
                <w:b/>
                <w:szCs w:val="22"/>
                <w:lang w:val="de-DE"/>
              </w:rPr>
              <w:t>verweis</w:t>
            </w:r>
          </w:p>
        </w:tc>
        <w:tc>
          <w:tcPr>
            <w:tcW w:w="851" w:type="dxa"/>
            <w:shd w:val="pct10" w:color="auto" w:fill="auto"/>
          </w:tcPr>
          <w:p w:rsidR="007C6459" w:rsidRPr="00BC76A2" w:rsidRDefault="00C47C71" w:rsidP="00C47C71">
            <w:pPr>
              <w:spacing w:before="60" w:after="60"/>
              <w:rPr>
                <w:b/>
                <w:sz w:val="22"/>
                <w:szCs w:val="22"/>
                <w:lang w:val="de-DE"/>
              </w:rPr>
            </w:pPr>
            <w:r w:rsidRPr="00BC76A2">
              <w:rPr>
                <w:b/>
                <w:szCs w:val="22"/>
                <w:lang w:val="de-DE"/>
              </w:rPr>
              <w:t>Aus</w:t>
            </w:r>
            <w:r w:rsidR="008D2477" w:rsidRPr="00BC76A2">
              <w:rPr>
                <w:b/>
                <w:szCs w:val="22"/>
                <w:lang w:val="de-DE"/>
              </w:rPr>
              <w:t>-</w:t>
            </w:r>
            <w:r w:rsidRPr="00BC76A2">
              <w:rPr>
                <w:b/>
                <w:szCs w:val="22"/>
                <w:lang w:val="de-DE"/>
              </w:rPr>
              <w:t>gabe</w:t>
            </w:r>
          </w:p>
        </w:tc>
        <w:tc>
          <w:tcPr>
            <w:tcW w:w="4961" w:type="dxa"/>
            <w:shd w:val="pct10" w:color="auto" w:fill="auto"/>
          </w:tcPr>
          <w:p w:rsidR="007C6459" w:rsidRPr="00BC76A2" w:rsidRDefault="00C47C71" w:rsidP="00C47C71">
            <w:pPr>
              <w:spacing w:before="60" w:after="60"/>
              <w:rPr>
                <w:b/>
                <w:sz w:val="22"/>
                <w:szCs w:val="22"/>
                <w:lang w:val="de-DE"/>
              </w:rPr>
            </w:pPr>
            <w:r w:rsidRPr="00BC76A2">
              <w:rPr>
                <w:b/>
                <w:szCs w:val="22"/>
                <w:lang w:val="de-DE"/>
              </w:rPr>
              <w:t>Überschrift</w:t>
            </w:r>
          </w:p>
        </w:tc>
        <w:tc>
          <w:tcPr>
            <w:tcW w:w="1843" w:type="dxa"/>
            <w:shd w:val="pct10" w:color="auto" w:fill="auto"/>
          </w:tcPr>
          <w:p w:rsidR="007C6459" w:rsidRPr="00BC76A2" w:rsidRDefault="00C47C71" w:rsidP="00C47C71">
            <w:pPr>
              <w:spacing w:before="60" w:after="60"/>
              <w:rPr>
                <w:b/>
                <w:szCs w:val="22"/>
                <w:lang w:val="de-DE"/>
              </w:rPr>
            </w:pPr>
            <w:r w:rsidRPr="00BC76A2">
              <w:rPr>
                <w:b/>
                <w:szCs w:val="22"/>
                <w:lang w:val="de-DE"/>
              </w:rPr>
              <w:t>Ausgabedatum</w:t>
            </w:r>
          </w:p>
        </w:tc>
      </w:tr>
      <w:tr w:rsidR="007C6459" w:rsidRPr="00BC76A2" w:rsidTr="00A9076F">
        <w:trPr>
          <w:cantSplit/>
        </w:trPr>
        <w:tc>
          <w:tcPr>
            <w:tcW w:w="1985" w:type="dxa"/>
          </w:tcPr>
          <w:p w:rsidR="007C6459" w:rsidRPr="00BC76A2" w:rsidRDefault="007C6459" w:rsidP="00B252EB">
            <w:pPr>
              <w:spacing w:before="40" w:after="40"/>
              <w:rPr>
                <w:sz w:val="22"/>
                <w:szCs w:val="22"/>
                <w:lang w:val="de-DE"/>
              </w:rPr>
            </w:pPr>
            <w:r w:rsidRPr="00BC76A2">
              <w:rPr>
                <w:szCs w:val="22"/>
                <w:lang w:val="de-DE"/>
              </w:rPr>
              <w:t>UPOV/INF-EXN</w:t>
            </w:r>
          </w:p>
        </w:tc>
        <w:tc>
          <w:tcPr>
            <w:tcW w:w="851" w:type="dxa"/>
          </w:tcPr>
          <w:p w:rsidR="007C6459" w:rsidRPr="00BC76A2" w:rsidRDefault="007C6459" w:rsidP="00B252EB">
            <w:pPr>
              <w:spacing w:before="40" w:after="40"/>
              <w:rPr>
                <w:sz w:val="22"/>
                <w:szCs w:val="22"/>
                <w:lang w:val="de-DE"/>
              </w:rPr>
            </w:pPr>
            <w:r w:rsidRPr="00BC76A2">
              <w:rPr>
                <w:szCs w:val="22"/>
                <w:lang w:val="de-DE"/>
              </w:rPr>
              <w:t>/5</w:t>
            </w:r>
          </w:p>
        </w:tc>
        <w:tc>
          <w:tcPr>
            <w:tcW w:w="4961" w:type="dxa"/>
          </w:tcPr>
          <w:p w:rsidR="007C6459" w:rsidRPr="00BC76A2" w:rsidRDefault="007C6459" w:rsidP="00C47C71">
            <w:pPr>
              <w:spacing w:before="40" w:after="40"/>
              <w:jc w:val="left"/>
              <w:rPr>
                <w:sz w:val="22"/>
                <w:szCs w:val="22"/>
                <w:lang w:val="de-DE"/>
              </w:rPr>
            </w:pPr>
            <w:r w:rsidRPr="00BC76A2">
              <w:rPr>
                <w:szCs w:val="22"/>
                <w:lang w:val="de-DE"/>
              </w:rPr>
              <w:t>List</w:t>
            </w:r>
            <w:r w:rsidR="00C47C71" w:rsidRPr="00BC76A2">
              <w:rPr>
                <w:szCs w:val="22"/>
                <w:lang w:val="de-DE"/>
              </w:rPr>
              <w:t>e</w:t>
            </w:r>
            <w:r w:rsidRPr="00BC76A2">
              <w:rPr>
                <w:szCs w:val="22"/>
                <w:lang w:val="de-DE"/>
              </w:rPr>
              <w:t xml:space="preserve"> </w:t>
            </w:r>
            <w:r w:rsidR="00C47C71" w:rsidRPr="00BC76A2">
              <w:rPr>
                <w:szCs w:val="22"/>
                <w:lang w:val="de-DE"/>
              </w:rPr>
              <w:t>der</w:t>
            </w:r>
            <w:r w:rsidRPr="00BC76A2">
              <w:rPr>
                <w:szCs w:val="22"/>
                <w:lang w:val="de-DE"/>
              </w:rPr>
              <w:t xml:space="preserve"> UPOV/INF-EXN</w:t>
            </w:r>
            <w:r w:rsidR="00C47C71" w:rsidRPr="00BC76A2">
              <w:rPr>
                <w:szCs w:val="22"/>
                <w:lang w:val="de-DE"/>
              </w:rPr>
              <w:t>-Dokumente und Datum der letzten Ausgabe</w:t>
            </w:r>
          </w:p>
        </w:tc>
        <w:tc>
          <w:tcPr>
            <w:tcW w:w="1843" w:type="dxa"/>
          </w:tcPr>
          <w:p w:rsidR="007C6459" w:rsidRPr="00BC76A2" w:rsidRDefault="00E91E3B" w:rsidP="00E91E3B">
            <w:pPr>
              <w:spacing w:before="40" w:after="40"/>
              <w:jc w:val="left"/>
              <w:rPr>
                <w:szCs w:val="22"/>
                <w:lang w:val="de-DE"/>
              </w:rPr>
            </w:pPr>
            <w:r w:rsidRPr="00BC76A2">
              <w:rPr>
                <w:szCs w:val="22"/>
                <w:lang w:val="de-DE"/>
              </w:rPr>
              <w:t>24. Oktober</w:t>
            </w:r>
            <w:r w:rsidR="007C6459" w:rsidRPr="00BC76A2">
              <w:rPr>
                <w:szCs w:val="22"/>
                <w:lang w:val="de-DE"/>
              </w:rPr>
              <w:t xml:space="preserve"> 2013</w:t>
            </w:r>
          </w:p>
        </w:tc>
      </w:tr>
      <w:tr w:rsidR="007C6459" w:rsidRPr="00BC76A2" w:rsidTr="00A9076F">
        <w:trPr>
          <w:cantSplit/>
        </w:trPr>
        <w:tc>
          <w:tcPr>
            <w:tcW w:w="1985" w:type="dxa"/>
          </w:tcPr>
          <w:p w:rsidR="007C6459" w:rsidRPr="00BC76A2" w:rsidRDefault="007C6459" w:rsidP="00B252EB">
            <w:pPr>
              <w:spacing w:before="40" w:after="40"/>
              <w:rPr>
                <w:sz w:val="22"/>
                <w:szCs w:val="22"/>
                <w:lang w:val="de-DE"/>
              </w:rPr>
            </w:pPr>
            <w:r w:rsidRPr="00BC76A2">
              <w:rPr>
                <w:szCs w:val="22"/>
                <w:lang w:val="de-DE"/>
              </w:rPr>
              <w:t>UPOV/INF/4</w:t>
            </w:r>
          </w:p>
        </w:tc>
        <w:tc>
          <w:tcPr>
            <w:tcW w:w="851" w:type="dxa"/>
          </w:tcPr>
          <w:p w:rsidR="007C6459" w:rsidRPr="00BC76A2" w:rsidRDefault="007C6459" w:rsidP="00B252EB">
            <w:pPr>
              <w:spacing w:before="40" w:after="40"/>
              <w:rPr>
                <w:sz w:val="22"/>
                <w:szCs w:val="22"/>
                <w:lang w:val="de-DE"/>
              </w:rPr>
            </w:pPr>
            <w:r w:rsidRPr="00BC76A2">
              <w:rPr>
                <w:szCs w:val="22"/>
                <w:lang w:val="de-DE"/>
              </w:rPr>
              <w:t>/3</w:t>
            </w:r>
          </w:p>
        </w:tc>
        <w:tc>
          <w:tcPr>
            <w:tcW w:w="4961" w:type="dxa"/>
          </w:tcPr>
          <w:p w:rsidR="007C6459" w:rsidRPr="00BC76A2" w:rsidRDefault="00C47C71" w:rsidP="00B252EB">
            <w:pPr>
              <w:spacing w:before="40" w:after="40"/>
              <w:jc w:val="left"/>
              <w:rPr>
                <w:sz w:val="22"/>
                <w:szCs w:val="22"/>
                <w:lang w:val="de-DE"/>
              </w:rPr>
            </w:pPr>
            <w:r w:rsidRPr="00BC76A2">
              <w:rPr>
                <w:lang w:val="de-DE"/>
              </w:rPr>
              <w:t>Finanzordnung und ihre Durchführungsbestimmungen der UPOV</w:t>
            </w:r>
          </w:p>
        </w:tc>
        <w:tc>
          <w:tcPr>
            <w:tcW w:w="1843" w:type="dxa"/>
          </w:tcPr>
          <w:p w:rsidR="007C6459" w:rsidRPr="00BC76A2" w:rsidRDefault="00E91E3B" w:rsidP="00E91E3B">
            <w:pPr>
              <w:spacing w:before="40" w:after="40"/>
              <w:jc w:val="left"/>
              <w:rPr>
                <w:szCs w:val="22"/>
                <w:lang w:val="de-DE"/>
              </w:rPr>
            </w:pPr>
            <w:r w:rsidRPr="00BC76A2">
              <w:rPr>
                <w:szCs w:val="22"/>
                <w:lang w:val="de-DE"/>
              </w:rPr>
              <w:t>22. März</w:t>
            </w:r>
            <w:r w:rsidR="007C6459" w:rsidRPr="00BC76A2">
              <w:rPr>
                <w:szCs w:val="22"/>
                <w:lang w:val="de-DE"/>
              </w:rPr>
              <w:t xml:space="preserve"> 2013</w:t>
            </w:r>
          </w:p>
        </w:tc>
      </w:tr>
      <w:tr w:rsidR="007C6459" w:rsidRPr="00BC76A2" w:rsidTr="00A9076F">
        <w:trPr>
          <w:cantSplit/>
        </w:trPr>
        <w:tc>
          <w:tcPr>
            <w:tcW w:w="1985" w:type="dxa"/>
          </w:tcPr>
          <w:p w:rsidR="007C6459" w:rsidRPr="00BC76A2" w:rsidRDefault="007C6459" w:rsidP="00B252EB">
            <w:pPr>
              <w:spacing w:before="40" w:after="40"/>
              <w:rPr>
                <w:sz w:val="22"/>
                <w:szCs w:val="22"/>
                <w:lang w:val="de-DE"/>
              </w:rPr>
            </w:pPr>
            <w:r w:rsidRPr="00BC76A2">
              <w:rPr>
                <w:szCs w:val="22"/>
                <w:lang w:val="de-DE"/>
              </w:rPr>
              <w:t>UPOV/INF/6</w:t>
            </w:r>
          </w:p>
        </w:tc>
        <w:tc>
          <w:tcPr>
            <w:tcW w:w="851" w:type="dxa"/>
          </w:tcPr>
          <w:p w:rsidR="007C6459" w:rsidRPr="00BC76A2" w:rsidRDefault="007C6459" w:rsidP="00B252EB">
            <w:pPr>
              <w:spacing w:before="40" w:after="40"/>
              <w:rPr>
                <w:sz w:val="22"/>
                <w:szCs w:val="22"/>
                <w:lang w:val="de-DE"/>
              </w:rPr>
            </w:pPr>
            <w:r w:rsidRPr="00BC76A2">
              <w:rPr>
                <w:szCs w:val="22"/>
                <w:lang w:val="de-DE"/>
              </w:rPr>
              <w:t>/3</w:t>
            </w:r>
          </w:p>
        </w:tc>
        <w:tc>
          <w:tcPr>
            <w:tcW w:w="4961" w:type="dxa"/>
          </w:tcPr>
          <w:p w:rsidR="007C6459" w:rsidRPr="00BC76A2" w:rsidRDefault="00C47C71" w:rsidP="00C47C71">
            <w:pPr>
              <w:spacing w:before="40" w:after="40"/>
              <w:jc w:val="left"/>
              <w:rPr>
                <w:sz w:val="22"/>
                <w:szCs w:val="22"/>
                <w:lang w:val="de-DE"/>
              </w:rPr>
            </w:pPr>
            <w:r w:rsidRPr="00BC76A2">
              <w:rPr>
                <w:lang w:val="de-DE"/>
              </w:rPr>
              <w:t>Anleitung zur Ausarbeitung von Rechtsvorschriften aufgrund der Akte von 1991 des UPOV</w:t>
            </w:r>
            <w:r w:rsidRPr="00BC76A2">
              <w:rPr>
                <w:lang w:val="de-DE"/>
              </w:rPr>
              <w:noBreakHyphen/>
              <w:t>Übereinkommens</w:t>
            </w:r>
          </w:p>
        </w:tc>
        <w:tc>
          <w:tcPr>
            <w:tcW w:w="1843" w:type="dxa"/>
          </w:tcPr>
          <w:p w:rsidR="007C6459" w:rsidRPr="00BC76A2" w:rsidRDefault="00E91E3B" w:rsidP="00E91E3B">
            <w:pPr>
              <w:spacing w:before="40" w:after="40"/>
              <w:jc w:val="left"/>
              <w:rPr>
                <w:szCs w:val="22"/>
                <w:lang w:val="de-DE"/>
              </w:rPr>
            </w:pPr>
            <w:r w:rsidRPr="00BC76A2">
              <w:rPr>
                <w:szCs w:val="22"/>
                <w:lang w:val="de-DE"/>
              </w:rPr>
              <w:t>24. Oktober</w:t>
            </w:r>
            <w:r w:rsidR="007C6459" w:rsidRPr="00BC76A2">
              <w:rPr>
                <w:szCs w:val="22"/>
                <w:lang w:val="de-DE"/>
              </w:rPr>
              <w:t xml:space="preserve"> 2013</w:t>
            </w:r>
          </w:p>
        </w:tc>
      </w:tr>
      <w:tr w:rsidR="007C6459" w:rsidRPr="00BC76A2" w:rsidTr="00A9076F">
        <w:trPr>
          <w:cantSplit/>
        </w:trPr>
        <w:tc>
          <w:tcPr>
            <w:tcW w:w="1985" w:type="dxa"/>
          </w:tcPr>
          <w:p w:rsidR="007C6459" w:rsidRPr="00BC76A2" w:rsidRDefault="007C6459" w:rsidP="00B252EB">
            <w:pPr>
              <w:spacing w:before="40" w:after="40"/>
              <w:rPr>
                <w:sz w:val="22"/>
                <w:szCs w:val="22"/>
                <w:lang w:val="de-DE"/>
              </w:rPr>
            </w:pPr>
            <w:r w:rsidRPr="00BC76A2">
              <w:rPr>
                <w:szCs w:val="22"/>
                <w:lang w:val="de-DE"/>
              </w:rPr>
              <w:t>UPOV/INF/15</w:t>
            </w:r>
          </w:p>
        </w:tc>
        <w:tc>
          <w:tcPr>
            <w:tcW w:w="851" w:type="dxa"/>
          </w:tcPr>
          <w:p w:rsidR="007C6459" w:rsidRPr="00BC76A2" w:rsidRDefault="007C6459" w:rsidP="00B252EB">
            <w:pPr>
              <w:spacing w:before="40" w:after="40"/>
              <w:rPr>
                <w:sz w:val="22"/>
                <w:szCs w:val="22"/>
                <w:lang w:val="de-DE"/>
              </w:rPr>
            </w:pPr>
            <w:r w:rsidRPr="00BC76A2">
              <w:rPr>
                <w:szCs w:val="22"/>
                <w:lang w:val="de-DE"/>
              </w:rPr>
              <w:t>/2</w:t>
            </w:r>
          </w:p>
        </w:tc>
        <w:tc>
          <w:tcPr>
            <w:tcW w:w="4961" w:type="dxa"/>
          </w:tcPr>
          <w:p w:rsidR="007C6459" w:rsidRPr="00BC76A2" w:rsidRDefault="00C47C71" w:rsidP="00AC145E">
            <w:pPr>
              <w:spacing w:before="40" w:after="40"/>
              <w:jc w:val="left"/>
              <w:rPr>
                <w:sz w:val="22"/>
                <w:szCs w:val="22"/>
                <w:lang w:val="de-DE"/>
              </w:rPr>
            </w:pPr>
            <w:r w:rsidRPr="00BC76A2">
              <w:rPr>
                <w:lang w:val="de-DE"/>
              </w:rPr>
              <w:t xml:space="preserve">Anleitung für Mitglieder der UPOV zu laufenden </w:t>
            </w:r>
            <w:r w:rsidR="006909B4" w:rsidRPr="00BC76A2">
              <w:rPr>
                <w:lang w:val="de-DE"/>
              </w:rPr>
              <w:t>Verpflichtungen</w:t>
            </w:r>
            <w:r w:rsidRPr="00BC76A2">
              <w:rPr>
                <w:lang w:val="de-DE"/>
              </w:rPr>
              <w:t xml:space="preserve"> und d</w:t>
            </w:r>
            <w:r w:rsidR="00AC145E" w:rsidRPr="00BC76A2">
              <w:rPr>
                <w:lang w:val="de-DE"/>
              </w:rPr>
              <w:t>en</w:t>
            </w:r>
            <w:r w:rsidRPr="00BC76A2">
              <w:rPr>
                <w:lang w:val="de-DE"/>
              </w:rPr>
              <w:t xml:space="preserve"> damit verbundenen Notifizierungen</w:t>
            </w:r>
            <w:r w:rsidRPr="00BC76A2">
              <w:rPr>
                <w:szCs w:val="22"/>
                <w:lang w:val="de-DE"/>
              </w:rPr>
              <w:t xml:space="preserve"> und </w:t>
            </w:r>
            <w:r w:rsidR="006909B4" w:rsidRPr="00BC76A2">
              <w:rPr>
                <w:szCs w:val="22"/>
                <w:lang w:val="de-DE"/>
              </w:rPr>
              <w:t>zur</w:t>
            </w:r>
            <w:r w:rsidRPr="00BC76A2">
              <w:rPr>
                <w:szCs w:val="22"/>
                <w:lang w:val="de-DE"/>
              </w:rPr>
              <w:t xml:space="preserve"> Erteilung von Informationen zu Erleichterung der Zusammenarbeit</w:t>
            </w:r>
          </w:p>
        </w:tc>
        <w:tc>
          <w:tcPr>
            <w:tcW w:w="1843" w:type="dxa"/>
          </w:tcPr>
          <w:p w:rsidR="007C6459" w:rsidRPr="00BC76A2" w:rsidRDefault="00E91E3B" w:rsidP="00E91E3B">
            <w:pPr>
              <w:spacing w:before="40" w:after="40"/>
              <w:jc w:val="left"/>
              <w:rPr>
                <w:szCs w:val="22"/>
                <w:lang w:val="de-DE"/>
              </w:rPr>
            </w:pPr>
            <w:r w:rsidRPr="00BC76A2">
              <w:rPr>
                <w:szCs w:val="22"/>
                <w:lang w:val="de-DE"/>
              </w:rPr>
              <w:t>22. März</w:t>
            </w:r>
            <w:r w:rsidR="007C6459" w:rsidRPr="00BC76A2">
              <w:rPr>
                <w:szCs w:val="22"/>
                <w:lang w:val="de-DE"/>
              </w:rPr>
              <w:t xml:space="preserve"> 2013</w:t>
            </w:r>
          </w:p>
        </w:tc>
      </w:tr>
      <w:tr w:rsidR="007C6459" w:rsidRPr="00BC76A2" w:rsidTr="00A9076F">
        <w:trPr>
          <w:cantSplit/>
        </w:trPr>
        <w:tc>
          <w:tcPr>
            <w:tcW w:w="1985" w:type="dxa"/>
          </w:tcPr>
          <w:p w:rsidR="007C6459" w:rsidRPr="00BC76A2" w:rsidRDefault="007C6459" w:rsidP="00B252EB">
            <w:pPr>
              <w:spacing w:before="40" w:after="40"/>
              <w:rPr>
                <w:sz w:val="22"/>
                <w:szCs w:val="22"/>
                <w:lang w:val="de-DE"/>
              </w:rPr>
            </w:pPr>
            <w:r w:rsidRPr="00BC76A2">
              <w:rPr>
                <w:szCs w:val="22"/>
                <w:lang w:val="de-DE"/>
              </w:rPr>
              <w:t>UPOV/INF/16</w:t>
            </w:r>
          </w:p>
        </w:tc>
        <w:tc>
          <w:tcPr>
            <w:tcW w:w="851" w:type="dxa"/>
          </w:tcPr>
          <w:p w:rsidR="007C6459" w:rsidRPr="00BC76A2" w:rsidRDefault="007C6459" w:rsidP="00B252EB">
            <w:pPr>
              <w:spacing w:before="40" w:after="40"/>
              <w:rPr>
                <w:sz w:val="22"/>
                <w:szCs w:val="22"/>
                <w:lang w:val="de-DE"/>
              </w:rPr>
            </w:pPr>
            <w:r w:rsidRPr="00BC76A2">
              <w:rPr>
                <w:szCs w:val="22"/>
                <w:lang w:val="de-DE"/>
              </w:rPr>
              <w:t>/3</w:t>
            </w:r>
          </w:p>
        </w:tc>
        <w:tc>
          <w:tcPr>
            <w:tcW w:w="4961" w:type="dxa"/>
          </w:tcPr>
          <w:p w:rsidR="007C6459" w:rsidRPr="00BC76A2" w:rsidRDefault="00C47C71" w:rsidP="00B252EB">
            <w:pPr>
              <w:spacing w:before="40" w:after="40"/>
              <w:jc w:val="left"/>
              <w:rPr>
                <w:sz w:val="22"/>
                <w:szCs w:val="22"/>
                <w:lang w:val="de-DE"/>
              </w:rPr>
            </w:pPr>
            <w:r w:rsidRPr="00BC76A2">
              <w:rPr>
                <w:szCs w:val="22"/>
                <w:lang w:val="de-DE"/>
              </w:rPr>
              <w:t>Austauschbare Software</w:t>
            </w:r>
          </w:p>
        </w:tc>
        <w:tc>
          <w:tcPr>
            <w:tcW w:w="1843" w:type="dxa"/>
          </w:tcPr>
          <w:p w:rsidR="007C6459" w:rsidRPr="00BC76A2" w:rsidRDefault="00E91E3B" w:rsidP="00E91E3B">
            <w:pPr>
              <w:spacing w:before="40" w:after="40"/>
              <w:jc w:val="left"/>
              <w:rPr>
                <w:szCs w:val="22"/>
                <w:lang w:val="de-DE"/>
              </w:rPr>
            </w:pPr>
            <w:r w:rsidRPr="00BC76A2">
              <w:rPr>
                <w:szCs w:val="22"/>
                <w:lang w:val="de-DE"/>
              </w:rPr>
              <w:t>24. Oktober</w:t>
            </w:r>
            <w:r w:rsidR="007C6459" w:rsidRPr="00BC76A2">
              <w:rPr>
                <w:szCs w:val="22"/>
                <w:lang w:val="de-DE"/>
              </w:rPr>
              <w:t xml:space="preserve"> 2013</w:t>
            </w:r>
          </w:p>
        </w:tc>
      </w:tr>
    </w:tbl>
    <w:p w:rsidR="007C6459" w:rsidRPr="00BC76A2" w:rsidRDefault="007C6459" w:rsidP="007C6459">
      <w:pPr>
        <w:rPr>
          <w:snapToGrid w:val="0"/>
          <w:lang w:val="de-DE"/>
        </w:rPr>
      </w:pPr>
    </w:p>
    <w:p w:rsidR="0036363A" w:rsidRDefault="0036363A">
      <w:pPr>
        <w:jc w:val="left"/>
        <w:rPr>
          <w:i/>
          <w:snapToGrid w:val="0"/>
          <w:lang w:val="de-DE"/>
        </w:rPr>
      </w:pPr>
      <w:bookmarkStart w:id="73" w:name="_Toc380391627"/>
      <w:bookmarkStart w:id="74" w:name="_Toc380419867"/>
      <w:bookmarkStart w:id="75" w:name="_Toc380483667"/>
      <w:r>
        <w:rPr>
          <w:snapToGrid w:val="0"/>
          <w:lang w:val="de-DE"/>
        </w:rPr>
        <w:br w:type="page"/>
      </w:r>
    </w:p>
    <w:p w:rsidR="007C6459" w:rsidRPr="00BC76A2" w:rsidRDefault="006909B4" w:rsidP="00574BB5">
      <w:pPr>
        <w:pStyle w:val="Heading3"/>
        <w:rPr>
          <w:snapToGrid w:val="0"/>
          <w:lang w:val="de-DE"/>
        </w:rPr>
      </w:pPr>
      <w:r w:rsidRPr="00BC76A2">
        <w:rPr>
          <w:snapToGrid w:val="0"/>
          <w:lang w:val="de-DE"/>
        </w:rPr>
        <w:t>Erläuterungen zum UPOV-Übereinkommen</w:t>
      </w:r>
      <w:bookmarkEnd w:id="73"/>
      <w:bookmarkEnd w:id="74"/>
      <w:bookmarkEnd w:id="75"/>
    </w:p>
    <w:p w:rsidR="007C6459" w:rsidRPr="00BC76A2" w:rsidRDefault="007C6459" w:rsidP="007C6459">
      <w:pPr>
        <w:keepNext/>
        <w:rPr>
          <w:snapToGrid w:val="0"/>
          <w:szCs w:val="24"/>
          <w:lang w:val="de-DE"/>
        </w:rPr>
      </w:pPr>
    </w:p>
    <w:tbl>
      <w:tblPr>
        <w:tblW w:w="964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984"/>
        <w:gridCol w:w="851"/>
        <w:gridCol w:w="4962"/>
        <w:gridCol w:w="1843"/>
      </w:tblGrid>
      <w:tr w:rsidR="007C6459" w:rsidRPr="00BC76A2" w:rsidTr="00A9076F">
        <w:tc>
          <w:tcPr>
            <w:tcW w:w="1984" w:type="dxa"/>
            <w:shd w:val="pct10" w:color="auto" w:fill="auto"/>
          </w:tcPr>
          <w:p w:rsidR="007C6459" w:rsidRPr="00BC76A2" w:rsidRDefault="007C6459" w:rsidP="00C47C71">
            <w:pPr>
              <w:spacing w:before="60" w:after="60"/>
              <w:rPr>
                <w:b/>
                <w:sz w:val="22"/>
                <w:szCs w:val="22"/>
                <w:lang w:val="de-DE"/>
              </w:rPr>
            </w:pPr>
            <w:r w:rsidRPr="00BC76A2">
              <w:rPr>
                <w:b/>
                <w:szCs w:val="22"/>
                <w:lang w:val="de-DE"/>
              </w:rPr>
              <w:t>Do</w:t>
            </w:r>
            <w:r w:rsidR="00C47C71" w:rsidRPr="00BC76A2">
              <w:rPr>
                <w:b/>
                <w:szCs w:val="22"/>
                <w:lang w:val="de-DE"/>
              </w:rPr>
              <w:t>k</w:t>
            </w:r>
            <w:r w:rsidRPr="00BC76A2">
              <w:rPr>
                <w:b/>
                <w:szCs w:val="22"/>
                <w:lang w:val="de-DE"/>
              </w:rPr>
              <w:t>ument</w:t>
            </w:r>
            <w:r w:rsidR="00C47C71" w:rsidRPr="00BC76A2">
              <w:rPr>
                <w:b/>
                <w:szCs w:val="22"/>
                <w:lang w:val="de-DE"/>
              </w:rPr>
              <w:t>-verweis</w:t>
            </w:r>
          </w:p>
        </w:tc>
        <w:tc>
          <w:tcPr>
            <w:tcW w:w="851" w:type="dxa"/>
            <w:shd w:val="pct10" w:color="auto" w:fill="auto"/>
          </w:tcPr>
          <w:p w:rsidR="007C6459" w:rsidRPr="00BC76A2" w:rsidRDefault="00C47C71" w:rsidP="00C47C71">
            <w:pPr>
              <w:spacing w:before="60" w:after="60"/>
              <w:rPr>
                <w:b/>
                <w:sz w:val="22"/>
                <w:szCs w:val="22"/>
                <w:lang w:val="de-DE"/>
              </w:rPr>
            </w:pPr>
            <w:r w:rsidRPr="00BC76A2">
              <w:rPr>
                <w:b/>
                <w:szCs w:val="22"/>
                <w:lang w:val="de-DE"/>
              </w:rPr>
              <w:t>Aus</w:t>
            </w:r>
            <w:r w:rsidR="008D2477" w:rsidRPr="00BC76A2">
              <w:rPr>
                <w:b/>
                <w:szCs w:val="22"/>
                <w:lang w:val="de-DE"/>
              </w:rPr>
              <w:t>-</w:t>
            </w:r>
            <w:r w:rsidRPr="00BC76A2">
              <w:rPr>
                <w:b/>
                <w:szCs w:val="22"/>
                <w:lang w:val="de-DE"/>
              </w:rPr>
              <w:t>gabe</w:t>
            </w:r>
          </w:p>
        </w:tc>
        <w:tc>
          <w:tcPr>
            <w:tcW w:w="4962" w:type="dxa"/>
            <w:shd w:val="pct10" w:color="auto" w:fill="auto"/>
          </w:tcPr>
          <w:p w:rsidR="007C6459" w:rsidRPr="00BC76A2" w:rsidRDefault="00C47C71" w:rsidP="00B252EB">
            <w:pPr>
              <w:spacing w:before="60" w:after="60"/>
              <w:jc w:val="left"/>
              <w:rPr>
                <w:b/>
                <w:sz w:val="22"/>
                <w:szCs w:val="22"/>
                <w:lang w:val="de-DE"/>
              </w:rPr>
            </w:pPr>
            <w:r w:rsidRPr="00BC76A2">
              <w:rPr>
                <w:b/>
                <w:szCs w:val="22"/>
                <w:lang w:val="de-DE"/>
              </w:rPr>
              <w:t>Überschrift</w:t>
            </w:r>
          </w:p>
        </w:tc>
        <w:tc>
          <w:tcPr>
            <w:tcW w:w="1843" w:type="dxa"/>
            <w:shd w:val="pct10" w:color="auto" w:fill="auto"/>
          </w:tcPr>
          <w:p w:rsidR="007C6459" w:rsidRPr="00BC76A2" w:rsidRDefault="00C47C71" w:rsidP="00B252EB">
            <w:pPr>
              <w:spacing w:before="60" w:after="60"/>
              <w:rPr>
                <w:b/>
                <w:szCs w:val="22"/>
                <w:lang w:val="de-DE"/>
              </w:rPr>
            </w:pPr>
            <w:r w:rsidRPr="00BC76A2">
              <w:rPr>
                <w:b/>
                <w:szCs w:val="22"/>
                <w:lang w:val="de-DE"/>
              </w:rPr>
              <w:t>Ausgabedatum</w:t>
            </w:r>
          </w:p>
        </w:tc>
      </w:tr>
      <w:tr w:rsidR="00B252EB" w:rsidRPr="00BC76A2" w:rsidTr="00A9076F">
        <w:trPr>
          <w:cantSplit/>
        </w:trPr>
        <w:tc>
          <w:tcPr>
            <w:tcW w:w="1984" w:type="dxa"/>
          </w:tcPr>
          <w:p w:rsidR="00B252EB" w:rsidRPr="00BC76A2" w:rsidRDefault="00B252EB" w:rsidP="00C75FF4">
            <w:pPr>
              <w:spacing w:before="40" w:after="40"/>
              <w:rPr>
                <w:sz w:val="22"/>
                <w:szCs w:val="22"/>
                <w:lang w:val="de-DE"/>
              </w:rPr>
            </w:pPr>
            <w:r w:rsidRPr="00BC76A2">
              <w:rPr>
                <w:szCs w:val="22"/>
                <w:lang w:val="de-DE"/>
              </w:rPr>
              <w:t>UPOV/EXN/BRD</w:t>
            </w:r>
          </w:p>
        </w:tc>
        <w:tc>
          <w:tcPr>
            <w:tcW w:w="851" w:type="dxa"/>
          </w:tcPr>
          <w:p w:rsidR="00B252EB" w:rsidRPr="00BC76A2" w:rsidRDefault="00B252EB" w:rsidP="00C75FF4">
            <w:pPr>
              <w:spacing w:before="40" w:after="40"/>
              <w:rPr>
                <w:sz w:val="22"/>
                <w:szCs w:val="22"/>
                <w:lang w:val="de-DE"/>
              </w:rPr>
            </w:pPr>
            <w:r w:rsidRPr="00BC76A2">
              <w:rPr>
                <w:szCs w:val="22"/>
                <w:lang w:val="de-DE"/>
              </w:rPr>
              <w:t>/1</w:t>
            </w:r>
          </w:p>
        </w:tc>
        <w:tc>
          <w:tcPr>
            <w:tcW w:w="4962" w:type="dxa"/>
          </w:tcPr>
          <w:p w:rsidR="00B252EB" w:rsidRPr="00BC76A2" w:rsidRDefault="00C47C71" w:rsidP="00C54D70">
            <w:pPr>
              <w:spacing w:before="40" w:after="40"/>
              <w:jc w:val="left"/>
              <w:rPr>
                <w:sz w:val="22"/>
                <w:szCs w:val="22"/>
                <w:lang w:val="de-DE"/>
              </w:rPr>
            </w:pPr>
            <w:r w:rsidRPr="00BC76A2">
              <w:rPr>
                <w:lang w:val="de-DE"/>
              </w:rPr>
              <w:t>Erläuterungen zur Begriffsbestimmung des Züchters nach der Akte von 1991 des UPOV</w:t>
            </w:r>
            <w:r w:rsidRPr="00BC76A2">
              <w:rPr>
                <w:lang w:val="de-DE"/>
              </w:rPr>
              <w:noBreakHyphen/>
              <w:t>Übereinkommens</w:t>
            </w:r>
          </w:p>
        </w:tc>
        <w:tc>
          <w:tcPr>
            <w:tcW w:w="1843" w:type="dxa"/>
          </w:tcPr>
          <w:p w:rsidR="00B252EB" w:rsidRPr="00BC76A2" w:rsidRDefault="00E91E3B" w:rsidP="00E91E3B">
            <w:pPr>
              <w:spacing w:before="40" w:after="40"/>
              <w:jc w:val="left"/>
              <w:rPr>
                <w:szCs w:val="22"/>
                <w:lang w:val="de-DE"/>
              </w:rPr>
            </w:pPr>
            <w:r w:rsidRPr="00BC76A2">
              <w:rPr>
                <w:szCs w:val="22"/>
                <w:lang w:val="de-DE"/>
              </w:rPr>
              <w:t>24. Oktober</w:t>
            </w:r>
            <w:r w:rsidR="00B252EB" w:rsidRPr="00BC76A2">
              <w:rPr>
                <w:szCs w:val="22"/>
                <w:lang w:val="de-DE"/>
              </w:rPr>
              <w:t xml:space="preserve"> 2013</w:t>
            </w:r>
          </w:p>
        </w:tc>
      </w:tr>
      <w:tr w:rsidR="00B252EB" w:rsidRPr="00BC76A2" w:rsidTr="00A9076F">
        <w:trPr>
          <w:cantSplit/>
        </w:trPr>
        <w:tc>
          <w:tcPr>
            <w:tcW w:w="1984" w:type="dxa"/>
          </w:tcPr>
          <w:p w:rsidR="00B252EB" w:rsidRPr="00BC76A2" w:rsidRDefault="00B252EB" w:rsidP="00C75FF4">
            <w:pPr>
              <w:spacing w:before="40" w:after="40"/>
              <w:rPr>
                <w:color w:val="000000"/>
                <w:szCs w:val="22"/>
                <w:lang w:val="de-DE"/>
              </w:rPr>
            </w:pPr>
            <w:r w:rsidRPr="00BC76A2">
              <w:rPr>
                <w:color w:val="000000"/>
                <w:szCs w:val="22"/>
                <w:lang w:val="de-DE"/>
              </w:rPr>
              <w:t>UPOV/EXN/HRV</w:t>
            </w:r>
          </w:p>
        </w:tc>
        <w:tc>
          <w:tcPr>
            <w:tcW w:w="851" w:type="dxa"/>
          </w:tcPr>
          <w:p w:rsidR="00B252EB" w:rsidRPr="00BC76A2" w:rsidRDefault="00B252EB" w:rsidP="00C75FF4">
            <w:pPr>
              <w:spacing w:before="40" w:after="40"/>
              <w:rPr>
                <w:szCs w:val="22"/>
                <w:lang w:val="de-DE"/>
              </w:rPr>
            </w:pPr>
            <w:r w:rsidRPr="00BC76A2">
              <w:rPr>
                <w:szCs w:val="22"/>
                <w:lang w:val="de-DE"/>
              </w:rPr>
              <w:t>/1</w:t>
            </w:r>
          </w:p>
        </w:tc>
        <w:tc>
          <w:tcPr>
            <w:tcW w:w="4962" w:type="dxa"/>
          </w:tcPr>
          <w:p w:rsidR="00B252EB" w:rsidRPr="00BC76A2" w:rsidRDefault="00E91E3B" w:rsidP="00C54D70">
            <w:pPr>
              <w:spacing w:before="40" w:after="40"/>
              <w:jc w:val="left"/>
              <w:rPr>
                <w:color w:val="000000"/>
                <w:szCs w:val="22"/>
                <w:lang w:val="de-DE"/>
              </w:rPr>
            </w:pPr>
            <w:r w:rsidRPr="00BC76A2">
              <w:rPr>
                <w:color w:val="000000"/>
                <w:szCs w:val="22"/>
                <w:lang w:val="de-DE"/>
              </w:rPr>
              <w:t xml:space="preserve">Erläuterungen zu </w:t>
            </w:r>
            <w:r w:rsidRPr="00BC76A2">
              <w:rPr>
                <w:lang w:val="de-DE"/>
              </w:rPr>
              <w:t>Handlungen in bezug auf Erntegut nach der Akte von 1991 des UPOV</w:t>
            </w:r>
            <w:r w:rsidRPr="00BC76A2">
              <w:rPr>
                <w:lang w:val="de-DE"/>
              </w:rPr>
              <w:noBreakHyphen/>
              <w:t>Übereinkommens</w:t>
            </w:r>
          </w:p>
        </w:tc>
        <w:tc>
          <w:tcPr>
            <w:tcW w:w="1843" w:type="dxa"/>
          </w:tcPr>
          <w:p w:rsidR="00B252EB" w:rsidRPr="00BC76A2" w:rsidRDefault="00E91E3B" w:rsidP="00E91E3B">
            <w:pPr>
              <w:spacing w:before="40" w:after="40"/>
              <w:rPr>
                <w:szCs w:val="22"/>
                <w:lang w:val="de-DE"/>
              </w:rPr>
            </w:pPr>
            <w:r w:rsidRPr="00BC76A2">
              <w:rPr>
                <w:szCs w:val="22"/>
                <w:lang w:val="de-DE"/>
              </w:rPr>
              <w:t>24. Oktober</w:t>
            </w:r>
            <w:r w:rsidR="00B252EB" w:rsidRPr="00BC76A2">
              <w:rPr>
                <w:szCs w:val="22"/>
                <w:lang w:val="de-DE"/>
              </w:rPr>
              <w:t xml:space="preserve"> 2013</w:t>
            </w:r>
          </w:p>
        </w:tc>
      </w:tr>
    </w:tbl>
    <w:p w:rsidR="007C6459" w:rsidRPr="00BC76A2" w:rsidRDefault="007C6459" w:rsidP="007C6459">
      <w:pPr>
        <w:rPr>
          <w:snapToGrid w:val="0"/>
          <w:szCs w:val="24"/>
          <w:lang w:val="de-DE"/>
        </w:rPr>
      </w:pPr>
    </w:p>
    <w:p w:rsidR="007C6459" w:rsidRPr="00BC76A2" w:rsidRDefault="007C6459" w:rsidP="00574BB5">
      <w:pPr>
        <w:pStyle w:val="Heading3"/>
        <w:rPr>
          <w:snapToGrid w:val="0"/>
          <w:lang w:val="de-DE"/>
        </w:rPr>
      </w:pPr>
      <w:bookmarkStart w:id="76" w:name="_Toc379530081"/>
      <w:bookmarkStart w:id="77" w:name="_Toc380391628"/>
      <w:bookmarkStart w:id="78" w:name="_Toc380419868"/>
      <w:bookmarkStart w:id="79" w:name="_Toc380483668"/>
      <w:r w:rsidRPr="00BC76A2">
        <w:rPr>
          <w:snapToGrid w:val="0"/>
          <w:lang w:val="de-DE"/>
        </w:rPr>
        <w:t>TGP</w:t>
      </w:r>
      <w:r w:rsidR="00E91E3B" w:rsidRPr="00BC76A2">
        <w:rPr>
          <w:snapToGrid w:val="0"/>
          <w:lang w:val="de-DE"/>
        </w:rPr>
        <w:t>-Dokumente</w:t>
      </w:r>
      <w:bookmarkEnd w:id="76"/>
      <w:bookmarkEnd w:id="77"/>
      <w:bookmarkEnd w:id="78"/>
      <w:bookmarkEnd w:id="79"/>
    </w:p>
    <w:p w:rsidR="007C6459" w:rsidRPr="00BC76A2" w:rsidRDefault="007C6459" w:rsidP="007C6459">
      <w:pPr>
        <w:keepNext/>
        <w:ind w:left="567" w:hanging="567"/>
        <w:rPr>
          <w:snapToGrid w:val="0"/>
          <w:szCs w:val="24"/>
          <w:lang w:val="de-DE"/>
        </w:rPr>
      </w:pPr>
    </w:p>
    <w:tbl>
      <w:tblPr>
        <w:tblW w:w="964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985"/>
        <w:gridCol w:w="851"/>
        <w:gridCol w:w="4961"/>
        <w:gridCol w:w="1843"/>
      </w:tblGrid>
      <w:tr w:rsidR="007C6459" w:rsidRPr="00BC76A2" w:rsidTr="00A9076F">
        <w:trPr>
          <w:cantSplit/>
          <w:tblHeader/>
        </w:trPr>
        <w:tc>
          <w:tcPr>
            <w:tcW w:w="1985" w:type="dxa"/>
            <w:shd w:val="pct5" w:color="auto" w:fill="FFFFFF"/>
          </w:tcPr>
          <w:p w:rsidR="007C6459" w:rsidRPr="00BC76A2" w:rsidRDefault="006909B4" w:rsidP="00E91E3B">
            <w:pPr>
              <w:spacing w:before="60" w:after="60"/>
              <w:rPr>
                <w:b/>
                <w:sz w:val="22"/>
                <w:szCs w:val="22"/>
                <w:lang w:val="de-DE"/>
              </w:rPr>
            </w:pPr>
            <w:r w:rsidRPr="00BC76A2">
              <w:rPr>
                <w:b/>
                <w:szCs w:val="22"/>
                <w:lang w:val="de-DE"/>
              </w:rPr>
              <w:t>Dokumentverweis</w:t>
            </w:r>
          </w:p>
        </w:tc>
        <w:tc>
          <w:tcPr>
            <w:tcW w:w="851" w:type="dxa"/>
            <w:shd w:val="pct5" w:color="auto" w:fill="FFFFFF"/>
          </w:tcPr>
          <w:p w:rsidR="007C6459" w:rsidRPr="00BC76A2" w:rsidRDefault="00E91E3B" w:rsidP="00E91E3B">
            <w:pPr>
              <w:spacing w:before="60" w:after="60"/>
              <w:rPr>
                <w:b/>
                <w:sz w:val="22"/>
                <w:szCs w:val="22"/>
                <w:lang w:val="de-DE"/>
              </w:rPr>
            </w:pPr>
            <w:r w:rsidRPr="00BC76A2">
              <w:rPr>
                <w:b/>
                <w:szCs w:val="22"/>
                <w:lang w:val="de-DE"/>
              </w:rPr>
              <w:t>Aus</w:t>
            </w:r>
            <w:r w:rsidR="008D2477" w:rsidRPr="00BC76A2">
              <w:rPr>
                <w:b/>
                <w:szCs w:val="22"/>
                <w:lang w:val="de-DE"/>
              </w:rPr>
              <w:t>-</w:t>
            </w:r>
            <w:r w:rsidRPr="00BC76A2">
              <w:rPr>
                <w:b/>
                <w:szCs w:val="22"/>
                <w:lang w:val="de-DE"/>
              </w:rPr>
              <w:t>gabe</w:t>
            </w:r>
          </w:p>
        </w:tc>
        <w:tc>
          <w:tcPr>
            <w:tcW w:w="4961" w:type="dxa"/>
            <w:shd w:val="pct5" w:color="auto" w:fill="FFFFFF"/>
          </w:tcPr>
          <w:p w:rsidR="007C6459" w:rsidRPr="00BC76A2" w:rsidRDefault="00E91E3B" w:rsidP="00B252EB">
            <w:pPr>
              <w:spacing w:before="60" w:after="60"/>
              <w:rPr>
                <w:b/>
                <w:sz w:val="22"/>
                <w:szCs w:val="22"/>
                <w:lang w:val="de-DE"/>
              </w:rPr>
            </w:pPr>
            <w:r w:rsidRPr="00BC76A2">
              <w:rPr>
                <w:b/>
                <w:szCs w:val="22"/>
                <w:lang w:val="de-DE"/>
              </w:rPr>
              <w:t>Überschrift</w:t>
            </w:r>
          </w:p>
        </w:tc>
        <w:tc>
          <w:tcPr>
            <w:tcW w:w="1843" w:type="dxa"/>
            <w:shd w:val="pct5" w:color="auto" w:fill="FFFFFF"/>
          </w:tcPr>
          <w:p w:rsidR="007C6459" w:rsidRPr="00BC76A2" w:rsidRDefault="00E91E3B" w:rsidP="00B252EB">
            <w:pPr>
              <w:spacing w:before="60" w:after="60"/>
              <w:rPr>
                <w:b/>
                <w:sz w:val="22"/>
                <w:szCs w:val="22"/>
                <w:lang w:val="de-DE"/>
              </w:rPr>
            </w:pPr>
            <w:r w:rsidRPr="00BC76A2">
              <w:rPr>
                <w:b/>
                <w:szCs w:val="22"/>
                <w:lang w:val="de-DE"/>
              </w:rPr>
              <w:t>Ausgabedatum</w:t>
            </w:r>
          </w:p>
        </w:tc>
      </w:tr>
      <w:tr w:rsidR="007C6459" w:rsidRPr="00BC76A2" w:rsidTr="00A9076F">
        <w:trPr>
          <w:cantSplit/>
        </w:trPr>
        <w:tc>
          <w:tcPr>
            <w:tcW w:w="1985" w:type="dxa"/>
          </w:tcPr>
          <w:p w:rsidR="007C6459" w:rsidRPr="00BC76A2" w:rsidRDefault="007C6459" w:rsidP="00B252EB">
            <w:pPr>
              <w:spacing w:before="40" w:after="40"/>
              <w:rPr>
                <w:rFonts w:cs="Arial"/>
                <w:lang w:val="de-DE"/>
              </w:rPr>
            </w:pPr>
            <w:r w:rsidRPr="00BC76A2">
              <w:rPr>
                <w:rFonts w:cs="Arial"/>
                <w:lang w:val="de-DE"/>
              </w:rPr>
              <w:t>TGP/0</w:t>
            </w:r>
          </w:p>
        </w:tc>
        <w:tc>
          <w:tcPr>
            <w:tcW w:w="851" w:type="dxa"/>
          </w:tcPr>
          <w:p w:rsidR="007C6459" w:rsidRPr="00BC76A2" w:rsidRDefault="007C6459" w:rsidP="00B252EB">
            <w:pPr>
              <w:spacing w:before="40" w:after="40"/>
              <w:rPr>
                <w:rFonts w:cs="Arial"/>
                <w:lang w:val="de-DE"/>
              </w:rPr>
            </w:pPr>
            <w:r w:rsidRPr="00BC76A2">
              <w:rPr>
                <w:rFonts w:cs="Arial"/>
                <w:lang w:val="de-DE"/>
              </w:rPr>
              <w:t>/6</w:t>
            </w:r>
          </w:p>
        </w:tc>
        <w:tc>
          <w:tcPr>
            <w:tcW w:w="4961" w:type="dxa"/>
          </w:tcPr>
          <w:p w:rsidR="007C6459" w:rsidRPr="00BC76A2" w:rsidRDefault="00E91E3B" w:rsidP="00B252EB">
            <w:pPr>
              <w:spacing w:before="40" w:after="40"/>
              <w:jc w:val="left"/>
              <w:rPr>
                <w:rFonts w:cs="Arial"/>
                <w:lang w:val="de-DE"/>
              </w:rPr>
            </w:pPr>
            <w:r w:rsidRPr="00BC76A2">
              <w:rPr>
                <w:lang w:val="de-DE"/>
              </w:rPr>
              <w:t>Liste der TGP-Dokumente und jüngstes Ausgabedatum</w:t>
            </w:r>
          </w:p>
        </w:tc>
        <w:tc>
          <w:tcPr>
            <w:tcW w:w="1843" w:type="dxa"/>
          </w:tcPr>
          <w:p w:rsidR="007C6459" w:rsidRPr="00BC76A2" w:rsidRDefault="00E91E3B" w:rsidP="00E91E3B">
            <w:pPr>
              <w:spacing w:before="40" w:after="40"/>
              <w:jc w:val="left"/>
              <w:rPr>
                <w:rFonts w:cs="Arial"/>
                <w:lang w:val="de-DE"/>
              </w:rPr>
            </w:pPr>
            <w:r w:rsidRPr="00BC76A2">
              <w:rPr>
                <w:rFonts w:cs="Arial"/>
                <w:lang w:val="de-DE"/>
              </w:rPr>
              <w:t>24. Oktober</w:t>
            </w:r>
            <w:r w:rsidR="007C6459" w:rsidRPr="00BC76A2">
              <w:rPr>
                <w:rFonts w:cs="Arial"/>
                <w:lang w:val="de-DE"/>
              </w:rPr>
              <w:t xml:space="preserve"> 2013</w:t>
            </w:r>
          </w:p>
        </w:tc>
      </w:tr>
      <w:tr w:rsidR="007C6459" w:rsidRPr="00BC76A2" w:rsidTr="00A9076F">
        <w:trPr>
          <w:cantSplit/>
          <w:trHeight w:val="173"/>
        </w:trPr>
        <w:tc>
          <w:tcPr>
            <w:tcW w:w="1985" w:type="dxa"/>
            <w:vMerge w:val="restart"/>
          </w:tcPr>
          <w:p w:rsidR="007C6459" w:rsidRPr="00BC76A2" w:rsidRDefault="007C6459" w:rsidP="00B252EB">
            <w:pPr>
              <w:spacing w:before="40" w:after="40"/>
              <w:rPr>
                <w:sz w:val="22"/>
                <w:szCs w:val="22"/>
                <w:lang w:val="de-DE"/>
              </w:rPr>
            </w:pPr>
            <w:r w:rsidRPr="00BC76A2">
              <w:rPr>
                <w:szCs w:val="22"/>
                <w:lang w:val="de-DE"/>
              </w:rPr>
              <w:t>TGP/14</w:t>
            </w:r>
          </w:p>
        </w:tc>
        <w:tc>
          <w:tcPr>
            <w:tcW w:w="851" w:type="dxa"/>
            <w:vMerge w:val="restart"/>
          </w:tcPr>
          <w:p w:rsidR="007C6459" w:rsidRPr="00BC76A2" w:rsidRDefault="007C6459" w:rsidP="00B252EB">
            <w:pPr>
              <w:spacing w:before="40" w:after="40"/>
              <w:rPr>
                <w:sz w:val="22"/>
                <w:szCs w:val="22"/>
                <w:lang w:val="de-DE"/>
              </w:rPr>
            </w:pPr>
            <w:r w:rsidRPr="00BC76A2">
              <w:rPr>
                <w:szCs w:val="22"/>
                <w:lang w:val="de-DE"/>
              </w:rPr>
              <w:t>/2</w:t>
            </w:r>
          </w:p>
        </w:tc>
        <w:tc>
          <w:tcPr>
            <w:tcW w:w="4961" w:type="dxa"/>
          </w:tcPr>
          <w:p w:rsidR="007C6459" w:rsidRPr="00BC76A2" w:rsidRDefault="00E91E3B" w:rsidP="00B252EB">
            <w:pPr>
              <w:spacing w:before="40" w:after="40"/>
              <w:jc w:val="left"/>
              <w:rPr>
                <w:sz w:val="22"/>
                <w:szCs w:val="22"/>
                <w:lang w:val="de-DE"/>
              </w:rPr>
            </w:pPr>
            <w:r w:rsidRPr="00BC76A2">
              <w:rPr>
                <w:lang w:val="de-DE"/>
              </w:rPr>
              <w:t>Glossar der in den UPOV-Dokumenten verwendeten Begriffe</w:t>
            </w:r>
          </w:p>
        </w:tc>
        <w:tc>
          <w:tcPr>
            <w:tcW w:w="1843" w:type="dxa"/>
            <w:vMerge w:val="restart"/>
          </w:tcPr>
          <w:p w:rsidR="007C6459" w:rsidRPr="00BC76A2" w:rsidRDefault="00E91E3B" w:rsidP="00E91E3B">
            <w:pPr>
              <w:spacing w:before="40" w:after="40"/>
              <w:rPr>
                <w:sz w:val="22"/>
                <w:szCs w:val="22"/>
                <w:lang w:val="de-DE"/>
              </w:rPr>
            </w:pPr>
            <w:r w:rsidRPr="00BC76A2">
              <w:rPr>
                <w:szCs w:val="22"/>
                <w:lang w:val="de-DE"/>
              </w:rPr>
              <w:t>24. Oktober</w:t>
            </w:r>
            <w:r w:rsidR="007C6459" w:rsidRPr="00BC76A2">
              <w:rPr>
                <w:szCs w:val="22"/>
                <w:lang w:val="de-DE"/>
              </w:rPr>
              <w:t xml:space="preserve"> 2013</w:t>
            </w:r>
          </w:p>
        </w:tc>
      </w:tr>
      <w:tr w:rsidR="007C6459" w:rsidRPr="00E7627F" w:rsidTr="00A9076F">
        <w:trPr>
          <w:cantSplit/>
          <w:trHeight w:val="172"/>
        </w:trPr>
        <w:tc>
          <w:tcPr>
            <w:tcW w:w="1985" w:type="dxa"/>
            <w:vMerge/>
          </w:tcPr>
          <w:p w:rsidR="007C6459" w:rsidRPr="00BC76A2" w:rsidRDefault="007C6459" w:rsidP="00B252EB">
            <w:pPr>
              <w:spacing w:before="40" w:after="40"/>
              <w:rPr>
                <w:szCs w:val="22"/>
                <w:lang w:val="de-DE"/>
              </w:rPr>
            </w:pPr>
          </w:p>
        </w:tc>
        <w:tc>
          <w:tcPr>
            <w:tcW w:w="851" w:type="dxa"/>
            <w:vMerge/>
          </w:tcPr>
          <w:p w:rsidR="007C6459" w:rsidRPr="00BC76A2" w:rsidRDefault="007C6459" w:rsidP="00B252EB">
            <w:pPr>
              <w:spacing w:before="40" w:after="40"/>
              <w:rPr>
                <w:szCs w:val="22"/>
                <w:lang w:val="de-DE"/>
              </w:rPr>
            </w:pPr>
          </w:p>
        </w:tc>
        <w:tc>
          <w:tcPr>
            <w:tcW w:w="4961" w:type="dxa"/>
          </w:tcPr>
          <w:p w:rsidR="007C6459" w:rsidRPr="00BC76A2" w:rsidRDefault="00C54D70" w:rsidP="00D21BC8">
            <w:pPr>
              <w:spacing w:before="40" w:after="40"/>
              <w:jc w:val="left"/>
              <w:rPr>
                <w:szCs w:val="22"/>
                <w:lang w:val="de-DE"/>
              </w:rPr>
            </w:pPr>
            <w:r w:rsidRPr="00BC76A2">
              <w:rPr>
                <w:szCs w:val="22"/>
                <w:lang w:val="de-DE"/>
              </w:rPr>
              <w:t>Beilage zu</w:t>
            </w:r>
            <w:r w:rsidR="00E91E3B" w:rsidRPr="00BC76A2">
              <w:rPr>
                <w:szCs w:val="22"/>
                <w:lang w:val="de-DE"/>
              </w:rPr>
              <w:t xml:space="preserve"> Dokument </w:t>
            </w:r>
            <w:r w:rsidR="007C6459" w:rsidRPr="00BC76A2">
              <w:rPr>
                <w:szCs w:val="22"/>
                <w:lang w:val="de-DE"/>
              </w:rPr>
              <w:t xml:space="preserve">TGP/14 </w:t>
            </w:r>
            <w:r w:rsidR="00E91E3B" w:rsidRPr="00BC76A2">
              <w:rPr>
                <w:szCs w:val="22"/>
                <w:lang w:val="de-DE"/>
              </w:rPr>
              <w:t>„</w:t>
            </w:r>
            <w:r w:rsidR="00E91E3B" w:rsidRPr="00BC76A2">
              <w:rPr>
                <w:lang w:val="de-DE"/>
              </w:rPr>
              <w:t>Glossar der in den UPOV-Dokumenten verwendeten Begriffe“</w:t>
            </w:r>
          </w:p>
        </w:tc>
        <w:tc>
          <w:tcPr>
            <w:tcW w:w="1843" w:type="dxa"/>
            <w:vMerge/>
          </w:tcPr>
          <w:p w:rsidR="007C6459" w:rsidRPr="00BC76A2" w:rsidRDefault="007C6459" w:rsidP="00B252EB">
            <w:pPr>
              <w:spacing w:before="40" w:after="40"/>
              <w:rPr>
                <w:szCs w:val="22"/>
                <w:lang w:val="de-DE"/>
              </w:rPr>
            </w:pPr>
          </w:p>
        </w:tc>
      </w:tr>
      <w:tr w:rsidR="007C6459" w:rsidRPr="00BC76A2" w:rsidTr="00A9076F">
        <w:trPr>
          <w:cantSplit/>
        </w:trPr>
        <w:tc>
          <w:tcPr>
            <w:tcW w:w="1985" w:type="dxa"/>
          </w:tcPr>
          <w:p w:rsidR="007C6459" w:rsidRPr="00BC76A2" w:rsidRDefault="007C6459" w:rsidP="00B252EB">
            <w:pPr>
              <w:spacing w:before="40" w:after="40"/>
              <w:rPr>
                <w:sz w:val="22"/>
                <w:szCs w:val="22"/>
                <w:lang w:val="de-DE"/>
              </w:rPr>
            </w:pPr>
            <w:r w:rsidRPr="00BC76A2">
              <w:rPr>
                <w:szCs w:val="22"/>
                <w:lang w:val="de-DE"/>
              </w:rPr>
              <w:t>TGP/15</w:t>
            </w:r>
          </w:p>
        </w:tc>
        <w:tc>
          <w:tcPr>
            <w:tcW w:w="851" w:type="dxa"/>
          </w:tcPr>
          <w:p w:rsidR="007C6459" w:rsidRPr="00BC76A2" w:rsidRDefault="007C6459" w:rsidP="00B252EB">
            <w:pPr>
              <w:spacing w:before="40" w:after="40"/>
              <w:rPr>
                <w:sz w:val="22"/>
                <w:szCs w:val="22"/>
                <w:lang w:val="de-DE"/>
              </w:rPr>
            </w:pPr>
            <w:r w:rsidRPr="00BC76A2">
              <w:rPr>
                <w:sz w:val="22"/>
                <w:szCs w:val="22"/>
                <w:lang w:val="de-DE"/>
              </w:rPr>
              <w:t>/1</w:t>
            </w:r>
          </w:p>
        </w:tc>
        <w:tc>
          <w:tcPr>
            <w:tcW w:w="4961" w:type="dxa"/>
          </w:tcPr>
          <w:p w:rsidR="007C6459" w:rsidRPr="00BC76A2" w:rsidRDefault="00E91E3B" w:rsidP="00E91E3B">
            <w:pPr>
              <w:spacing w:before="40" w:after="40"/>
              <w:jc w:val="left"/>
              <w:rPr>
                <w:sz w:val="22"/>
                <w:szCs w:val="22"/>
                <w:lang w:val="de-DE"/>
              </w:rPr>
            </w:pPr>
            <w:r w:rsidRPr="00BC76A2">
              <w:rPr>
                <w:szCs w:val="22"/>
                <w:lang w:val="de-DE"/>
              </w:rPr>
              <w:t xml:space="preserve">Anleitung zur Anwendung biochemischer und molekularer Marker bei der Prüfung der Unterscheidbarkeit, der Homogenität und der </w:t>
            </w:r>
            <w:r w:rsidR="006909B4" w:rsidRPr="00BC76A2">
              <w:rPr>
                <w:szCs w:val="22"/>
                <w:lang w:val="de-DE"/>
              </w:rPr>
              <w:t>Beständigkeit</w:t>
            </w:r>
            <w:r w:rsidRPr="00BC76A2">
              <w:rPr>
                <w:szCs w:val="22"/>
                <w:lang w:val="de-DE"/>
              </w:rPr>
              <w:t xml:space="preserve"> </w:t>
            </w:r>
            <w:r w:rsidR="007C6459" w:rsidRPr="00BC76A2">
              <w:rPr>
                <w:szCs w:val="22"/>
                <w:lang w:val="de-DE"/>
              </w:rPr>
              <w:t>(DUS)</w:t>
            </w:r>
          </w:p>
        </w:tc>
        <w:tc>
          <w:tcPr>
            <w:tcW w:w="1843" w:type="dxa"/>
          </w:tcPr>
          <w:p w:rsidR="007C6459" w:rsidRPr="00BC76A2" w:rsidRDefault="00E91E3B" w:rsidP="00E91E3B">
            <w:pPr>
              <w:spacing w:before="40" w:after="40"/>
              <w:rPr>
                <w:szCs w:val="22"/>
                <w:lang w:val="de-DE"/>
              </w:rPr>
            </w:pPr>
            <w:r w:rsidRPr="00BC76A2">
              <w:rPr>
                <w:szCs w:val="22"/>
                <w:lang w:val="de-DE"/>
              </w:rPr>
              <w:t>24. Oktober</w:t>
            </w:r>
            <w:r w:rsidR="007C6459" w:rsidRPr="00BC76A2">
              <w:rPr>
                <w:szCs w:val="22"/>
                <w:lang w:val="de-DE"/>
              </w:rPr>
              <w:t xml:space="preserve"> 2013</w:t>
            </w:r>
          </w:p>
        </w:tc>
      </w:tr>
    </w:tbl>
    <w:p w:rsidR="00E91E3B" w:rsidRPr="00BC76A2" w:rsidRDefault="00E91E3B" w:rsidP="006A4A4E">
      <w:pPr>
        <w:pStyle w:val="Heading2"/>
        <w:rPr>
          <w:lang w:val="de-DE"/>
        </w:rPr>
      </w:pPr>
      <w:bookmarkStart w:id="80" w:name="_Toc379530082"/>
    </w:p>
    <w:p w:rsidR="00CA449D" w:rsidRPr="00BC76A2" w:rsidRDefault="00CA449D" w:rsidP="006A4A4E">
      <w:pPr>
        <w:pStyle w:val="Heading2"/>
        <w:rPr>
          <w:lang w:val="de-DE"/>
        </w:rPr>
      </w:pPr>
      <w:bookmarkStart w:id="81" w:name="_Toc380391629"/>
      <w:bookmarkStart w:id="82" w:name="_Toc380419869"/>
      <w:bookmarkStart w:id="83" w:name="_Toc380483669"/>
      <w:r w:rsidRPr="00BC76A2">
        <w:rPr>
          <w:lang w:val="de-DE"/>
        </w:rPr>
        <w:t>Program</w:t>
      </w:r>
      <w:r w:rsidR="00E91E3B" w:rsidRPr="00BC76A2">
        <w:rPr>
          <w:lang w:val="de-DE"/>
        </w:rPr>
        <w:t>m</w:t>
      </w:r>
      <w:r w:rsidRPr="00BC76A2">
        <w:rPr>
          <w:lang w:val="de-DE"/>
        </w:rPr>
        <w:t xml:space="preserve"> f</w:t>
      </w:r>
      <w:r w:rsidR="00E91E3B" w:rsidRPr="00BC76A2">
        <w:rPr>
          <w:lang w:val="de-DE"/>
        </w:rPr>
        <w:t xml:space="preserve">ür die </w:t>
      </w:r>
      <w:r w:rsidR="006909B4" w:rsidRPr="00BC76A2">
        <w:rPr>
          <w:lang w:val="de-DE"/>
        </w:rPr>
        <w:t>Ausarbeitung</w:t>
      </w:r>
      <w:r w:rsidR="00E91E3B" w:rsidRPr="00BC76A2">
        <w:rPr>
          <w:lang w:val="de-DE"/>
        </w:rPr>
        <w:t xml:space="preserve"> </w:t>
      </w:r>
      <w:r w:rsidR="006909B4" w:rsidRPr="00BC76A2">
        <w:rPr>
          <w:lang w:val="de-DE"/>
        </w:rPr>
        <w:t>der E</w:t>
      </w:r>
      <w:r w:rsidR="00E91E3B" w:rsidRPr="00BC76A2">
        <w:rPr>
          <w:lang w:val="de-DE"/>
        </w:rPr>
        <w:t>rläuter</w:t>
      </w:r>
      <w:r w:rsidR="006909B4" w:rsidRPr="00BC76A2">
        <w:rPr>
          <w:lang w:val="de-DE"/>
        </w:rPr>
        <w:t>u</w:t>
      </w:r>
      <w:r w:rsidR="00E91E3B" w:rsidRPr="00BC76A2">
        <w:rPr>
          <w:lang w:val="de-DE"/>
        </w:rPr>
        <w:t>n</w:t>
      </w:r>
      <w:r w:rsidR="006909B4" w:rsidRPr="00BC76A2">
        <w:rPr>
          <w:lang w:val="de-DE"/>
        </w:rPr>
        <w:t>gen</w:t>
      </w:r>
      <w:r w:rsidR="00E91E3B" w:rsidRPr="00BC76A2">
        <w:rPr>
          <w:lang w:val="de-DE"/>
        </w:rPr>
        <w:t xml:space="preserve"> zum UPOV-</w:t>
      </w:r>
      <w:bookmarkEnd w:id="80"/>
      <w:r w:rsidR="006909B4" w:rsidRPr="00BC76A2">
        <w:rPr>
          <w:lang w:val="de-DE"/>
        </w:rPr>
        <w:t>Übereinkommen</w:t>
      </w:r>
      <w:bookmarkEnd w:id="81"/>
      <w:bookmarkEnd w:id="82"/>
      <w:bookmarkEnd w:id="83"/>
    </w:p>
    <w:p w:rsidR="00CA449D" w:rsidRPr="00BC76A2" w:rsidRDefault="00CA449D" w:rsidP="006A4A4E">
      <w:pPr>
        <w:pStyle w:val="Heading2"/>
        <w:rPr>
          <w:lang w:val="de-DE"/>
        </w:rPr>
      </w:pPr>
    </w:p>
    <w:p w:rsidR="00CA449D" w:rsidRPr="00BC76A2" w:rsidRDefault="00CA449D" w:rsidP="00CA449D">
      <w:pPr>
        <w:rPr>
          <w:lang w:val="de-DE"/>
        </w:rPr>
      </w:pPr>
      <w:r w:rsidRPr="00BC76A2">
        <w:rPr>
          <w:lang w:val="de-DE"/>
        </w:rPr>
        <w:fldChar w:fldCharType="begin"/>
      </w:r>
      <w:r w:rsidRPr="00BC76A2">
        <w:rPr>
          <w:lang w:val="de-DE"/>
        </w:rPr>
        <w:instrText xml:space="preserve"> AUTONUM  </w:instrText>
      </w:r>
      <w:r w:rsidRPr="00BC76A2">
        <w:rPr>
          <w:lang w:val="de-DE"/>
        </w:rPr>
        <w:fldChar w:fldCharType="end"/>
      </w:r>
      <w:r w:rsidRPr="00BC76A2">
        <w:rPr>
          <w:lang w:val="de-DE"/>
        </w:rPr>
        <w:tab/>
      </w:r>
      <w:r w:rsidR="00E7765C" w:rsidRPr="00BC76A2">
        <w:rPr>
          <w:lang w:val="de-DE"/>
        </w:rPr>
        <w:t xml:space="preserve">Vorbehaltlich der Billigung </w:t>
      </w:r>
      <w:r w:rsidR="00795413" w:rsidRPr="00BC76A2">
        <w:rPr>
          <w:lang w:val="de-DE"/>
        </w:rPr>
        <w:t>durch den</w:t>
      </w:r>
      <w:r w:rsidR="00E7765C" w:rsidRPr="00BC76A2">
        <w:rPr>
          <w:lang w:val="de-DE"/>
        </w:rPr>
        <w:t xml:space="preserve"> Verwaltungs- und Rechtsausschu</w:t>
      </w:r>
      <w:r w:rsidR="00795413" w:rsidRPr="00BC76A2">
        <w:rPr>
          <w:rFonts w:cs="Arial"/>
          <w:lang w:val="de-DE"/>
        </w:rPr>
        <w:t>ß</w:t>
      </w:r>
      <w:r w:rsidR="00E7765C" w:rsidRPr="00BC76A2">
        <w:rPr>
          <w:lang w:val="de-DE"/>
        </w:rPr>
        <w:t xml:space="preserve"> (CAJ) auf seiner neunundsechzigsten Tagung vom 10. April 2014 in Genf hat d</w:t>
      </w:r>
      <w:r w:rsidR="00795413" w:rsidRPr="00BC76A2">
        <w:rPr>
          <w:lang w:val="de-DE"/>
        </w:rPr>
        <w:t>ie</w:t>
      </w:r>
      <w:r w:rsidR="00E7765C" w:rsidRPr="00BC76A2">
        <w:rPr>
          <w:lang w:val="de-DE"/>
        </w:rPr>
        <w:t xml:space="preserve"> CAJ-AG vor, auf </w:t>
      </w:r>
      <w:r w:rsidR="00795413" w:rsidRPr="00BC76A2">
        <w:rPr>
          <w:lang w:val="de-DE"/>
        </w:rPr>
        <w:t>ihr</w:t>
      </w:r>
      <w:r w:rsidR="00E7765C" w:rsidRPr="00BC76A2">
        <w:rPr>
          <w:lang w:val="de-DE"/>
        </w:rPr>
        <w:t>er neunten Sitzung im Oktober 2014 folgende Punkte zu prüfen:</w:t>
      </w:r>
    </w:p>
    <w:p w:rsidR="00CA449D" w:rsidRPr="00BC76A2" w:rsidRDefault="00CA449D" w:rsidP="00CA449D">
      <w:pPr>
        <w:rPr>
          <w:lang w:val="de-DE"/>
        </w:rPr>
      </w:pPr>
    </w:p>
    <w:p w:rsidR="00340861" w:rsidRPr="00BC76A2" w:rsidRDefault="00E7765C" w:rsidP="00CA449D">
      <w:pPr>
        <w:pStyle w:val="ListParagraph"/>
        <w:numPr>
          <w:ilvl w:val="0"/>
          <w:numId w:val="3"/>
        </w:numPr>
        <w:ind w:left="567"/>
        <w:rPr>
          <w:lang w:val="de-DE"/>
        </w:rPr>
      </w:pPr>
      <w:r w:rsidRPr="00BC76A2">
        <w:rPr>
          <w:lang w:val="de-DE"/>
        </w:rPr>
        <w:t>Erläuterungen zu den im wesentlichen abgeleiteten Sorten nach der Akte von 1991 des UPOV</w:t>
      </w:r>
      <w:r w:rsidRPr="00BC76A2">
        <w:rPr>
          <w:lang w:val="de-DE"/>
        </w:rPr>
        <w:noBreakHyphen/>
        <w:t xml:space="preserve">Übereinkommens </w:t>
      </w:r>
      <w:r w:rsidR="00340861" w:rsidRPr="00BC76A2">
        <w:rPr>
          <w:lang w:val="de-DE"/>
        </w:rPr>
        <w:t>(</w:t>
      </w:r>
      <w:r w:rsidRPr="00BC76A2">
        <w:rPr>
          <w:lang w:val="de-DE"/>
        </w:rPr>
        <w:t>Überarbeitung</w:t>
      </w:r>
      <w:r w:rsidR="00340861" w:rsidRPr="00BC76A2">
        <w:rPr>
          <w:lang w:val="de-DE"/>
        </w:rPr>
        <w:t>)</w:t>
      </w:r>
    </w:p>
    <w:p w:rsidR="00340861" w:rsidRPr="00BC76A2" w:rsidRDefault="00E7765C" w:rsidP="00CA449D">
      <w:pPr>
        <w:pStyle w:val="ListParagraph"/>
        <w:numPr>
          <w:ilvl w:val="0"/>
          <w:numId w:val="3"/>
        </w:numPr>
        <w:ind w:left="567"/>
        <w:rPr>
          <w:lang w:val="de-DE"/>
        </w:rPr>
      </w:pPr>
      <w:r w:rsidRPr="00BC76A2">
        <w:rPr>
          <w:lang w:val="de-DE"/>
        </w:rPr>
        <w:t>Erläuterungen</w:t>
      </w:r>
      <w:r w:rsidR="00CA449D" w:rsidRPr="00BC76A2">
        <w:rPr>
          <w:lang w:val="de-DE"/>
        </w:rPr>
        <w:t xml:space="preserve"> </w:t>
      </w:r>
      <w:r w:rsidRPr="00BC76A2">
        <w:rPr>
          <w:lang w:val="de-DE"/>
        </w:rPr>
        <w:t xml:space="preserve">zu Vermehrung und </w:t>
      </w:r>
      <w:r w:rsidR="00567D9E" w:rsidRPr="00BC76A2">
        <w:rPr>
          <w:lang w:val="de-DE"/>
        </w:rPr>
        <w:t>Vermehrungsmaterial</w:t>
      </w:r>
      <w:r w:rsidR="00795413" w:rsidRPr="00BC76A2">
        <w:rPr>
          <w:lang w:val="de-DE"/>
        </w:rPr>
        <w:t xml:space="preserve"> nach dem UPOV-Übereinkommen</w:t>
      </w:r>
    </w:p>
    <w:p w:rsidR="00340861" w:rsidRPr="00BC76A2" w:rsidRDefault="00567D9E" w:rsidP="00CA449D">
      <w:pPr>
        <w:pStyle w:val="ListParagraph"/>
        <w:numPr>
          <w:ilvl w:val="0"/>
          <w:numId w:val="3"/>
        </w:numPr>
        <w:ind w:left="567"/>
        <w:rPr>
          <w:lang w:val="de-DE"/>
        </w:rPr>
      </w:pPr>
      <w:r w:rsidRPr="00BC76A2">
        <w:rPr>
          <w:lang w:val="de-DE"/>
        </w:rPr>
        <w:t>Erläuterungen zu Handlungen in bezug auf Erntegut nach der Akte von 1991 des UPOV</w:t>
      </w:r>
      <w:r w:rsidR="00795413" w:rsidRPr="00BC76A2">
        <w:rPr>
          <w:lang w:val="de-DE"/>
        </w:rPr>
        <w:noBreakHyphen/>
      </w:r>
      <w:r w:rsidRPr="00BC76A2">
        <w:rPr>
          <w:lang w:val="de-DE"/>
        </w:rPr>
        <w:t>Übereinkommens (Überarbeitung)</w:t>
      </w:r>
    </w:p>
    <w:p w:rsidR="00340861" w:rsidRPr="00BC76A2" w:rsidRDefault="00E7765C" w:rsidP="00CA449D">
      <w:pPr>
        <w:pStyle w:val="ListParagraph"/>
        <w:numPr>
          <w:ilvl w:val="0"/>
          <w:numId w:val="3"/>
        </w:numPr>
        <w:ind w:left="567"/>
        <w:rPr>
          <w:lang w:val="de-DE"/>
        </w:rPr>
      </w:pPr>
      <w:r w:rsidRPr="00BC76A2">
        <w:rPr>
          <w:lang w:val="de-DE"/>
        </w:rPr>
        <w:t>Erläuterungen</w:t>
      </w:r>
      <w:r w:rsidR="00261FE9" w:rsidRPr="00BC76A2">
        <w:rPr>
          <w:lang w:val="de-DE"/>
        </w:rPr>
        <w:t xml:space="preserve"> </w:t>
      </w:r>
      <w:r w:rsidR="00C3168D" w:rsidRPr="00BC76A2">
        <w:rPr>
          <w:lang w:val="de-DE"/>
        </w:rPr>
        <w:t>zur Aufhebung des Züchterrechts nach dem UPOV-Übereinkommen</w:t>
      </w:r>
      <w:r w:rsidR="00261FE9" w:rsidRPr="00BC76A2">
        <w:rPr>
          <w:lang w:val="de-DE"/>
        </w:rPr>
        <w:t xml:space="preserve"> (</w:t>
      </w:r>
      <w:r w:rsidR="00C3168D" w:rsidRPr="00BC76A2">
        <w:rPr>
          <w:lang w:val="de-DE"/>
        </w:rPr>
        <w:t>Überarbeitung</w:t>
      </w:r>
      <w:r w:rsidR="00261FE9" w:rsidRPr="00BC76A2">
        <w:rPr>
          <w:lang w:val="de-DE"/>
        </w:rPr>
        <w:t>)</w:t>
      </w:r>
    </w:p>
    <w:p w:rsidR="00340861" w:rsidRPr="00BC76A2" w:rsidRDefault="00F00BB7" w:rsidP="00CA449D">
      <w:pPr>
        <w:pStyle w:val="ListParagraph"/>
        <w:numPr>
          <w:ilvl w:val="0"/>
          <w:numId w:val="3"/>
        </w:numPr>
        <w:ind w:left="567"/>
        <w:rPr>
          <w:lang w:val="de-DE"/>
        </w:rPr>
      </w:pPr>
      <w:r w:rsidRPr="00BC76A2">
        <w:rPr>
          <w:lang w:val="de-DE"/>
        </w:rPr>
        <w:t>Erläuterungen zur Nichtigkeit des Züchterrechts nach dem UPOV</w:t>
      </w:r>
      <w:r w:rsidRPr="00BC76A2">
        <w:rPr>
          <w:lang w:val="de-DE"/>
        </w:rPr>
        <w:noBreakHyphen/>
        <w:t>Übereinkommen (Überarbeitung)</w:t>
      </w:r>
    </w:p>
    <w:p w:rsidR="00340861" w:rsidRPr="00BC76A2" w:rsidRDefault="00E7765C" w:rsidP="00CA449D">
      <w:pPr>
        <w:pStyle w:val="ListParagraph"/>
        <w:numPr>
          <w:ilvl w:val="0"/>
          <w:numId w:val="3"/>
        </w:numPr>
        <w:ind w:left="567"/>
        <w:rPr>
          <w:lang w:val="de-DE"/>
        </w:rPr>
      </w:pPr>
      <w:r w:rsidRPr="00BC76A2">
        <w:rPr>
          <w:lang w:val="de-DE"/>
        </w:rPr>
        <w:t>Erläuterungen</w:t>
      </w:r>
      <w:r w:rsidR="00C3168D" w:rsidRPr="00BC76A2">
        <w:rPr>
          <w:lang w:val="de-DE"/>
        </w:rPr>
        <w:t xml:space="preserve"> zu Sortenbezeichnungen nach dem UPOV-Übereinkommen </w:t>
      </w:r>
      <w:r w:rsidR="00261FE9" w:rsidRPr="00BC76A2">
        <w:rPr>
          <w:lang w:val="de-DE"/>
        </w:rPr>
        <w:t>(</w:t>
      </w:r>
      <w:r w:rsidR="00C3168D" w:rsidRPr="00BC76A2">
        <w:rPr>
          <w:lang w:val="de-DE"/>
        </w:rPr>
        <w:t>Überarbeitung</w:t>
      </w:r>
      <w:r w:rsidR="00261FE9" w:rsidRPr="00BC76A2">
        <w:rPr>
          <w:lang w:val="de-DE"/>
        </w:rPr>
        <w:t>)</w:t>
      </w:r>
    </w:p>
    <w:p w:rsidR="00261FE9" w:rsidRPr="00BC76A2" w:rsidRDefault="00E7765C" w:rsidP="00261FE9">
      <w:pPr>
        <w:pStyle w:val="ListParagraph"/>
        <w:numPr>
          <w:ilvl w:val="0"/>
          <w:numId w:val="3"/>
        </w:numPr>
        <w:ind w:left="567"/>
        <w:rPr>
          <w:lang w:val="de-DE"/>
        </w:rPr>
      </w:pPr>
      <w:r w:rsidRPr="00BC76A2">
        <w:rPr>
          <w:lang w:val="de-DE"/>
        </w:rPr>
        <w:t>Erläuterungen</w:t>
      </w:r>
      <w:r w:rsidR="00261FE9" w:rsidRPr="00BC76A2">
        <w:rPr>
          <w:lang w:val="de-DE"/>
        </w:rPr>
        <w:t xml:space="preserve"> </w:t>
      </w:r>
      <w:r w:rsidR="00C3168D" w:rsidRPr="00BC76A2">
        <w:rPr>
          <w:lang w:val="de-DE"/>
        </w:rPr>
        <w:t>zum vorläufigen Schutz</w:t>
      </w:r>
      <w:r w:rsidR="00261FE9" w:rsidRPr="00BC76A2">
        <w:rPr>
          <w:lang w:val="de-DE"/>
        </w:rPr>
        <w:t xml:space="preserve"> </w:t>
      </w:r>
      <w:r w:rsidR="00C3168D" w:rsidRPr="00BC76A2">
        <w:rPr>
          <w:lang w:val="de-DE"/>
        </w:rPr>
        <w:t>nach dem UPOV-Übereinkommen</w:t>
      </w:r>
      <w:r w:rsidR="00261FE9" w:rsidRPr="00BC76A2">
        <w:rPr>
          <w:lang w:val="de-DE"/>
        </w:rPr>
        <w:t xml:space="preserve"> (</w:t>
      </w:r>
      <w:r w:rsidR="00C3168D" w:rsidRPr="00BC76A2">
        <w:rPr>
          <w:lang w:val="de-DE"/>
        </w:rPr>
        <w:t>Überarbeitung</w:t>
      </w:r>
      <w:r w:rsidR="00261FE9" w:rsidRPr="00BC76A2">
        <w:rPr>
          <w:lang w:val="de-DE"/>
        </w:rPr>
        <w:t>)</w:t>
      </w:r>
    </w:p>
    <w:p w:rsidR="00340861" w:rsidRPr="00BC76A2" w:rsidRDefault="00C3168D" w:rsidP="00CA449D">
      <w:pPr>
        <w:pStyle w:val="ListParagraph"/>
        <w:numPr>
          <w:ilvl w:val="0"/>
          <w:numId w:val="3"/>
        </w:numPr>
        <w:ind w:left="567"/>
        <w:rPr>
          <w:lang w:val="de-DE"/>
        </w:rPr>
      </w:pPr>
      <w:r w:rsidRPr="00BC76A2">
        <w:rPr>
          <w:lang w:val="de-DE"/>
        </w:rPr>
        <w:t>Angelegenheiten betreffend Sortenbeschreibungen</w:t>
      </w:r>
    </w:p>
    <w:p w:rsidR="00CA449D" w:rsidRPr="00BC76A2" w:rsidRDefault="00C3168D" w:rsidP="00340861">
      <w:pPr>
        <w:pStyle w:val="ListParagraph"/>
        <w:numPr>
          <w:ilvl w:val="0"/>
          <w:numId w:val="3"/>
        </w:numPr>
        <w:ind w:left="567"/>
        <w:rPr>
          <w:lang w:val="de-DE"/>
        </w:rPr>
      </w:pPr>
      <w:r w:rsidRPr="00BC76A2">
        <w:rPr>
          <w:lang w:val="de-DE"/>
        </w:rPr>
        <w:t xml:space="preserve">Etwaige </w:t>
      </w:r>
      <w:r w:rsidR="00F00BB7" w:rsidRPr="00BC76A2">
        <w:rPr>
          <w:lang w:val="de-DE"/>
        </w:rPr>
        <w:t>andere</w:t>
      </w:r>
      <w:r w:rsidRPr="00BC76A2">
        <w:rPr>
          <w:lang w:val="de-DE"/>
        </w:rPr>
        <w:t xml:space="preserve"> Streitbeilegungsmechanismen für im wesentlichen abgeleitete Sorten.</w:t>
      </w:r>
    </w:p>
    <w:p w:rsidR="00CA449D" w:rsidRPr="00BC76A2" w:rsidRDefault="00CA449D" w:rsidP="00340861">
      <w:pPr>
        <w:rPr>
          <w:lang w:val="de-DE"/>
        </w:rPr>
      </w:pPr>
    </w:p>
    <w:p w:rsidR="00340861" w:rsidRPr="00BC76A2" w:rsidRDefault="00340861" w:rsidP="00340861">
      <w:pPr>
        <w:rPr>
          <w:lang w:val="de-DE"/>
        </w:rPr>
      </w:pPr>
    </w:p>
    <w:p w:rsidR="00F27C33" w:rsidRPr="00BC76A2" w:rsidRDefault="00F27C33" w:rsidP="006A4A4E">
      <w:pPr>
        <w:pStyle w:val="Heading2"/>
        <w:rPr>
          <w:lang w:val="de-DE"/>
        </w:rPr>
      </w:pPr>
      <w:bookmarkStart w:id="84" w:name="_Toc379530083"/>
      <w:bookmarkStart w:id="85" w:name="_Toc380391630"/>
      <w:bookmarkStart w:id="86" w:name="_Toc380419870"/>
      <w:bookmarkStart w:id="87" w:name="_Toc380483670"/>
      <w:r w:rsidRPr="00BC76A2">
        <w:rPr>
          <w:lang w:val="de-DE"/>
        </w:rPr>
        <w:t>UPOV</w:t>
      </w:r>
      <w:r w:rsidR="00795413" w:rsidRPr="00BC76A2">
        <w:rPr>
          <w:lang w:val="de-DE"/>
        </w:rPr>
        <w:t xml:space="preserve"> </w:t>
      </w:r>
      <w:r w:rsidRPr="00BC76A2">
        <w:rPr>
          <w:lang w:val="de-DE"/>
        </w:rPr>
        <w:t>Lex</w:t>
      </w:r>
      <w:bookmarkEnd w:id="84"/>
      <w:bookmarkEnd w:id="85"/>
      <w:bookmarkEnd w:id="86"/>
      <w:bookmarkEnd w:id="87"/>
    </w:p>
    <w:p w:rsidR="00F27C33" w:rsidRPr="00BC76A2" w:rsidRDefault="00F27C33" w:rsidP="00F27C33">
      <w:pPr>
        <w:rPr>
          <w:lang w:val="de-DE"/>
        </w:rPr>
      </w:pPr>
    </w:p>
    <w:p w:rsidR="008E734A" w:rsidRPr="00D21BC8" w:rsidRDefault="00F27C33" w:rsidP="00505A73">
      <w:r w:rsidRPr="00E76CDC">
        <w:rPr>
          <w:lang w:val="de-DE"/>
        </w:rPr>
        <w:fldChar w:fldCharType="begin"/>
      </w:r>
      <w:r w:rsidRPr="00E76CDC">
        <w:rPr>
          <w:lang w:val="de-DE"/>
        </w:rPr>
        <w:instrText xml:space="preserve"> AUTONUM  </w:instrText>
      </w:r>
      <w:r w:rsidRPr="00E76CDC">
        <w:rPr>
          <w:lang w:val="de-DE"/>
        </w:rPr>
        <w:fldChar w:fldCharType="end"/>
      </w:r>
      <w:r w:rsidRPr="00E76CDC">
        <w:rPr>
          <w:lang w:val="de-DE"/>
        </w:rPr>
        <w:tab/>
      </w:r>
      <w:r w:rsidR="00122A19" w:rsidRPr="00E76CDC">
        <w:rPr>
          <w:lang w:val="de-DE"/>
        </w:rPr>
        <w:t>Die UPOV</w:t>
      </w:r>
      <w:r w:rsidR="00795413" w:rsidRPr="00E76CDC">
        <w:rPr>
          <w:lang w:val="de-DE"/>
        </w:rPr>
        <w:t xml:space="preserve"> </w:t>
      </w:r>
      <w:r w:rsidR="00122A19" w:rsidRPr="00E76CDC">
        <w:rPr>
          <w:lang w:val="de-DE"/>
        </w:rPr>
        <w:t>Lex enthält die Rechtsvorschriften von Verbandsmitgliedern, die gemäß dem UPOV</w:t>
      </w:r>
      <w:r w:rsidR="00795413" w:rsidRPr="00E76CDC">
        <w:rPr>
          <w:lang w:val="de-DE"/>
        </w:rPr>
        <w:noBreakHyphen/>
      </w:r>
      <w:r w:rsidR="00122A19" w:rsidRPr="00E76CDC">
        <w:rPr>
          <w:lang w:val="de-DE"/>
        </w:rPr>
        <w:t>Übereinkommen</w:t>
      </w:r>
      <w:r w:rsidR="00795413" w:rsidRPr="00E76CDC">
        <w:rPr>
          <w:lang w:val="de-DE"/>
        </w:rPr>
        <w:t xml:space="preserve"> notifiziert wurden</w:t>
      </w:r>
      <w:r w:rsidR="00122A19" w:rsidRPr="00E76CDC">
        <w:rPr>
          <w:lang w:val="de-DE"/>
        </w:rPr>
        <w:t xml:space="preserve">, die Notifizierungen im UPOV-Übereinkommen betreffend einzelne Verbandsmitglieder (z. B. Beitritte, Ratifikationen) und den Wortlaut des UPOV-Übereinkommens und von dessen Akten. </w:t>
      </w:r>
      <w:r w:rsidR="00CD54A9" w:rsidRPr="00E76CDC">
        <w:rPr>
          <w:lang w:val="de-DE"/>
        </w:rPr>
        <w:t xml:space="preserve">Die </w:t>
      </w:r>
      <w:r w:rsidRPr="00E76CDC">
        <w:rPr>
          <w:lang w:val="de-DE"/>
        </w:rPr>
        <w:t>UPOV</w:t>
      </w:r>
      <w:r w:rsidR="00795413" w:rsidRPr="00E76CDC">
        <w:rPr>
          <w:lang w:val="de-DE"/>
        </w:rPr>
        <w:t xml:space="preserve"> </w:t>
      </w:r>
      <w:r w:rsidRPr="00E76CDC">
        <w:rPr>
          <w:lang w:val="de-DE"/>
        </w:rPr>
        <w:t xml:space="preserve">Lex </w:t>
      </w:r>
      <w:r w:rsidR="00795413" w:rsidRPr="00E76CDC">
        <w:rPr>
          <w:lang w:val="de-DE"/>
        </w:rPr>
        <w:t xml:space="preserve">wurde dahingehend geändert, daß offizielle Mitteilungen von Verbandsmitgliedern über Pflanzengattungen und </w:t>
      </w:r>
      <w:r w:rsidR="00C34326" w:rsidRPr="00E76CDC">
        <w:rPr>
          <w:lang w:val="de-DE"/>
        </w:rPr>
        <w:noBreakHyphen/>
      </w:r>
      <w:r w:rsidR="00795413" w:rsidRPr="00E76CDC">
        <w:rPr>
          <w:lang w:val="de-DE"/>
        </w:rPr>
        <w:t xml:space="preserve">arten, die in ihren Hoheitsgebieten schutzfähig sind, aufgenommen werden </w:t>
      </w:r>
      <w:r w:rsidR="00607DB2" w:rsidRPr="00E76CDC">
        <w:rPr>
          <w:lang w:val="de-DE"/>
        </w:rPr>
        <w:t>(</w:t>
      </w:r>
      <w:r w:rsidR="003C2AFD" w:rsidRPr="00E76CDC">
        <w:rPr>
          <w:lang w:val="de-DE"/>
        </w:rPr>
        <w:t>vergleiche Dokument</w:t>
      </w:r>
      <w:r w:rsidR="00607DB2" w:rsidRPr="00E76CDC">
        <w:rPr>
          <w:lang w:val="de-DE"/>
        </w:rPr>
        <w:t xml:space="preserve"> C/47/15 Rev.</w:t>
      </w:r>
      <w:r w:rsidR="00CD54A9" w:rsidRPr="00E76CDC">
        <w:rPr>
          <w:lang w:val="de-DE"/>
        </w:rPr>
        <w:t xml:space="preserve"> </w:t>
      </w:r>
      <w:r w:rsidR="00CD54A9" w:rsidRPr="00E76CDC">
        <w:t>„</w:t>
      </w:r>
      <w:r w:rsidR="00CD54A9" w:rsidRPr="00E76CDC">
        <w:rPr>
          <w:i/>
        </w:rPr>
        <w:t>R</w:t>
      </w:r>
      <w:r w:rsidR="00CD54A9" w:rsidRPr="00E76CDC">
        <w:rPr>
          <w:bCs/>
          <w:i/>
        </w:rPr>
        <w:t xml:space="preserve">eport by the President on the work of the eighty-sixth session of the </w:t>
      </w:r>
      <w:r w:rsidR="00C34326" w:rsidRPr="00E76CDC">
        <w:rPr>
          <w:bCs/>
          <w:i/>
        </w:rPr>
        <w:t>Consultative Committee</w:t>
      </w:r>
      <w:r w:rsidR="00CD54A9" w:rsidRPr="00E76CDC">
        <w:rPr>
          <w:bCs/>
          <w:i/>
        </w:rPr>
        <w:t>; adoption of recommendations, if any, prepared by that Committee</w:t>
      </w:r>
      <w:r w:rsidR="00505A73" w:rsidRPr="00E76CDC">
        <w:t>“</w:t>
      </w:r>
      <w:r w:rsidR="00607DB2" w:rsidRPr="00E76CDC">
        <w:t xml:space="preserve">, </w:t>
      </w:r>
      <w:proofErr w:type="spellStart"/>
      <w:r w:rsidR="003C2AFD" w:rsidRPr="00E76CDC">
        <w:t>Absatz</w:t>
      </w:r>
      <w:proofErr w:type="spellEnd"/>
      <w:r w:rsidR="00607DB2" w:rsidRPr="00E76CDC">
        <w:t xml:space="preserve"> 30)</w:t>
      </w:r>
      <w:r w:rsidRPr="00E76CDC">
        <w:t>.</w:t>
      </w:r>
    </w:p>
    <w:p w:rsidR="00F27C33" w:rsidRPr="00D21BC8" w:rsidRDefault="00F27C33" w:rsidP="008E734A"/>
    <w:p w:rsidR="00F27C33" w:rsidRPr="00D21BC8" w:rsidRDefault="00F27C33" w:rsidP="008E734A"/>
    <w:p w:rsidR="007C6459" w:rsidRPr="00BC76A2" w:rsidRDefault="00CD54A9" w:rsidP="00D135ED">
      <w:pPr>
        <w:pStyle w:val="Heading1"/>
        <w:rPr>
          <w:lang w:val="de-DE"/>
        </w:rPr>
      </w:pPr>
      <w:bookmarkStart w:id="88" w:name="_Toc379530084"/>
      <w:bookmarkStart w:id="89" w:name="_Toc380391631"/>
      <w:bookmarkStart w:id="90" w:name="_Toc380419871"/>
      <w:bookmarkStart w:id="91" w:name="_Toc380483671"/>
      <w:r w:rsidRPr="00BC76A2">
        <w:rPr>
          <w:lang w:val="de-DE"/>
        </w:rPr>
        <w:t>veröffentlichungen, aktivitäten und schulung</w:t>
      </w:r>
      <w:bookmarkEnd w:id="88"/>
      <w:bookmarkEnd w:id="89"/>
      <w:bookmarkEnd w:id="90"/>
      <w:bookmarkEnd w:id="91"/>
    </w:p>
    <w:p w:rsidR="007C6459" w:rsidRPr="00BC76A2" w:rsidRDefault="007C6459" w:rsidP="0036363A">
      <w:pPr>
        <w:keepNext/>
        <w:rPr>
          <w:lang w:val="de-DE"/>
        </w:rPr>
      </w:pPr>
    </w:p>
    <w:p w:rsidR="001F4113" w:rsidRPr="00BC76A2" w:rsidRDefault="00462E64" w:rsidP="006A4A4E">
      <w:pPr>
        <w:pStyle w:val="Heading2"/>
        <w:rPr>
          <w:lang w:val="de-DE"/>
        </w:rPr>
      </w:pPr>
      <w:bookmarkStart w:id="92" w:name="_Toc379530085"/>
      <w:bookmarkStart w:id="93" w:name="_Toc380391632"/>
      <w:bookmarkStart w:id="94" w:name="_Toc380419872"/>
      <w:bookmarkStart w:id="95" w:name="_Toc380483672"/>
      <w:r w:rsidRPr="00BC76A2">
        <w:rPr>
          <w:lang w:val="de-DE"/>
        </w:rPr>
        <w:t>K</w:t>
      </w:r>
      <w:r w:rsidR="001F4113" w:rsidRPr="00BC76A2">
        <w:rPr>
          <w:lang w:val="de-DE"/>
        </w:rPr>
        <w:t>ommuni</w:t>
      </w:r>
      <w:r w:rsidRPr="00BC76A2">
        <w:rPr>
          <w:lang w:val="de-DE"/>
        </w:rPr>
        <w:t>k</w:t>
      </w:r>
      <w:r w:rsidR="001F4113" w:rsidRPr="00BC76A2">
        <w:rPr>
          <w:lang w:val="de-DE"/>
        </w:rPr>
        <w:t>ation</w:t>
      </w:r>
      <w:r w:rsidRPr="00BC76A2">
        <w:rPr>
          <w:lang w:val="de-DE"/>
        </w:rPr>
        <w:t>s</w:t>
      </w:r>
      <w:r w:rsidR="001F4113" w:rsidRPr="00BC76A2">
        <w:rPr>
          <w:lang w:val="de-DE"/>
        </w:rPr>
        <w:t>strateg</w:t>
      </w:r>
      <w:bookmarkEnd w:id="92"/>
      <w:r w:rsidRPr="00BC76A2">
        <w:rPr>
          <w:lang w:val="de-DE"/>
        </w:rPr>
        <w:t>ie</w:t>
      </w:r>
      <w:bookmarkEnd w:id="93"/>
      <w:bookmarkEnd w:id="94"/>
      <w:bookmarkEnd w:id="95"/>
    </w:p>
    <w:p w:rsidR="001F4113" w:rsidRPr="00BC76A2" w:rsidRDefault="001F4113" w:rsidP="001F4113">
      <w:pPr>
        <w:rPr>
          <w:lang w:val="de-DE"/>
        </w:rPr>
      </w:pPr>
    </w:p>
    <w:p w:rsidR="001F4113" w:rsidRPr="00BC76A2" w:rsidRDefault="001F4113" w:rsidP="001F4113">
      <w:pPr>
        <w:rPr>
          <w:lang w:val="de-DE"/>
        </w:rPr>
      </w:pPr>
      <w:r w:rsidRPr="00BC76A2">
        <w:rPr>
          <w:lang w:val="de-DE"/>
        </w:rPr>
        <w:fldChar w:fldCharType="begin"/>
      </w:r>
      <w:r w:rsidRPr="00BC76A2">
        <w:rPr>
          <w:lang w:val="de-DE"/>
        </w:rPr>
        <w:instrText xml:space="preserve"> AUTONUM  </w:instrText>
      </w:r>
      <w:r w:rsidRPr="00BC76A2">
        <w:rPr>
          <w:lang w:val="de-DE"/>
        </w:rPr>
        <w:fldChar w:fldCharType="end"/>
      </w:r>
      <w:r w:rsidRPr="00BC76A2">
        <w:rPr>
          <w:lang w:val="de-DE"/>
        </w:rPr>
        <w:tab/>
      </w:r>
      <w:r w:rsidR="00462E64" w:rsidRPr="00BC76A2">
        <w:rPr>
          <w:lang w:val="de-DE"/>
        </w:rPr>
        <w:t>Der Beratende Ausschu</w:t>
      </w:r>
      <w:r w:rsidR="00462E64" w:rsidRPr="00BC76A2">
        <w:rPr>
          <w:rFonts w:cs="Arial"/>
          <w:lang w:val="de-DE"/>
        </w:rPr>
        <w:t xml:space="preserve">ß billigte eine Kommunikationsstrategie, </w:t>
      </w:r>
      <w:r w:rsidR="007575C2" w:rsidRPr="00BC76A2">
        <w:rPr>
          <w:rFonts w:cs="Arial"/>
          <w:lang w:val="de-DE"/>
        </w:rPr>
        <w:t>einschließlich</w:t>
      </w:r>
      <w:r w:rsidR="00462E64" w:rsidRPr="00BC76A2">
        <w:rPr>
          <w:rFonts w:cs="Arial"/>
          <w:lang w:val="de-DE"/>
        </w:rPr>
        <w:t xml:space="preserve"> der </w:t>
      </w:r>
      <w:r w:rsidR="007575C2" w:rsidRPr="00BC76A2">
        <w:rPr>
          <w:rFonts w:cs="Arial"/>
          <w:lang w:val="de-DE"/>
        </w:rPr>
        <w:t>Antworten</w:t>
      </w:r>
      <w:r w:rsidR="00462E64" w:rsidRPr="00BC76A2">
        <w:rPr>
          <w:rFonts w:cs="Arial"/>
          <w:lang w:val="de-DE"/>
        </w:rPr>
        <w:t xml:space="preserve"> auf häufig gestellte Fragen </w:t>
      </w:r>
      <w:r w:rsidR="00524050" w:rsidRPr="00BC76A2">
        <w:rPr>
          <w:lang w:val="de-DE"/>
        </w:rPr>
        <w:t>(FAQs)</w:t>
      </w:r>
      <w:r w:rsidR="00462E64" w:rsidRPr="00BC76A2">
        <w:rPr>
          <w:lang w:val="de-DE"/>
        </w:rPr>
        <w:t>, die auf der UPOV-</w:t>
      </w:r>
      <w:r w:rsidR="00462E64" w:rsidRPr="00E55D39">
        <w:rPr>
          <w:lang w:val="de-DE"/>
        </w:rPr>
        <w:t>We</w:t>
      </w:r>
      <w:r w:rsidRPr="00E55D39">
        <w:rPr>
          <w:lang w:val="de-DE"/>
        </w:rPr>
        <w:t xml:space="preserve">bsite </w:t>
      </w:r>
      <w:r w:rsidR="00462E64" w:rsidRPr="00E55D39">
        <w:rPr>
          <w:lang w:val="de-DE"/>
        </w:rPr>
        <w:t xml:space="preserve">verfügbar gemacht werden </w:t>
      </w:r>
      <w:r w:rsidR="00C34326" w:rsidRPr="00E55D39">
        <w:rPr>
          <w:lang w:val="de-DE"/>
        </w:rPr>
        <w:t xml:space="preserve">sollen </w:t>
      </w:r>
      <w:r w:rsidRPr="00E55D39">
        <w:rPr>
          <w:lang w:val="de-DE"/>
        </w:rPr>
        <w:t>(</w:t>
      </w:r>
      <w:r w:rsidR="00462E64" w:rsidRPr="00E55D39">
        <w:rPr>
          <w:lang w:val="de-DE"/>
        </w:rPr>
        <w:t>vergleiche auch Dokument</w:t>
      </w:r>
      <w:r w:rsidRPr="00E55D39">
        <w:rPr>
          <w:lang w:val="de-DE"/>
        </w:rPr>
        <w:t xml:space="preserve"> TC/50/13 </w:t>
      </w:r>
      <w:r w:rsidR="00462E64" w:rsidRPr="00E55D39">
        <w:rPr>
          <w:lang w:val="de-DE"/>
        </w:rPr>
        <w:t>„</w:t>
      </w:r>
      <w:r w:rsidRPr="00E55D39">
        <w:rPr>
          <w:lang w:val="de-DE"/>
        </w:rPr>
        <w:t>Mole</w:t>
      </w:r>
      <w:r w:rsidR="00462E64" w:rsidRPr="00E55D39">
        <w:rPr>
          <w:lang w:val="de-DE"/>
        </w:rPr>
        <w:t>k</w:t>
      </w:r>
      <w:r w:rsidRPr="00E55D39">
        <w:rPr>
          <w:lang w:val="de-DE"/>
        </w:rPr>
        <w:t>ular</w:t>
      </w:r>
      <w:r w:rsidR="00462E64" w:rsidRPr="00E55D39">
        <w:rPr>
          <w:lang w:val="de-DE"/>
        </w:rPr>
        <w:t>e Verfahren“</w:t>
      </w:r>
      <w:r w:rsidR="00E7627F" w:rsidRPr="00E55D39">
        <w:rPr>
          <w:lang w:val="de-DE"/>
        </w:rPr>
        <w:t xml:space="preserve">, Absätze 24 </w:t>
      </w:r>
      <w:r w:rsidR="0084027D">
        <w:rPr>
          <w:lang w:val="de-DE"/>
        </w:rPr>
        <w:t>bis</w:t>
      </w:r>
      <w:r w:rsidR="00E7627F" w:rsidRPr="00E55D39">
        <w:rPr>
          <w:lang w:val="de-DE"/>
        </w:rPr>
        <w:t xml:space="preserve"> 26</w:t>
      </w:r>
      <w:r w:rsidRPr="00E55D39">
        <w:rPr>
          <w:lang w:val="de-DE"/>
        </w:rPr>
        <w:t>).</w:t>
      </w:r>
    </w:p>
    <w:p w:rsidR="001F4113" w:rsidRPr="00BC76A2" w:rsidRDefault="001F4113" w:rsidP="001F4113">
      <w:pPr>
        <w:rPr>
          <w:lang w:val="de-DE"/>
        </w:rPr>
      </w:pPr>
    </w:p>
    <w:p w:rsidR="00CE767B" w:rsidRPr="00BC76A2" w:rsidRDefault="00462E64" w:rsidP="006A4A4E">
      <w:pPr>
        <w:pStyle w:val="Heading2"/>
        <w:rPr>
          <w:lang w:val="de-DE"/>
        </w:rPr>
      </w:pPr>
      <w:bookmarkStart w:id="96" w:name="_Toc379530086"/>
      <w:bookmarkStart w:id="97" w:name="_Toc380391633"/>
      <w:bookmarkStart w:id="98" w:name="_Toc380419873"/>
      <w:bookmarkStart w:id="99" w:name="_Toc380483673"/>
      <w:r w:rsidRPr="00BC76A2">
        <w:rPr>
          <w:lang w:val="de-DE"/>
        </w:rPr>
        <w:t xml:space="preserve">Publikation </w:t>
      </w:r>
      <w:r w:rsidR="00CE767B" w:rsidRPr="00BC76A2">
        <w:rPr>
          <w:lang w:val="de-DE"/>
        </w:rPr>
        <w:t>Trilog</w:t>
      </w:r>
      <w:r w:rsidRPr="00BC76A2">
        <w:rPr>
          <w:lang w:val="de-DE"/>
        </w:rPr>
        <w:t>ie</w:t>
      </w:r>
      <w:bookmarkEnd w:id="96"/>
      <w:bookmarkEnd w:id="97"/>
      <w:bookmarkEnd w:id="98"/>
      <w:bookmarkEnd w:id="99"/>
    </w:p>
    <w:p w:rsidR="00CE767B" w:rsidRPr="00BC76A2" w:rsidRDefault="00CE767B" w:rsidP="00DB2E18">
      <w:pPr>
        <w:keepNext/>
        <w:rPr>
          <w:lang w:val="de-DE"/>
        </w:rPr>
      </w:pPr>
    </w:p>
    <w:p w:rsidR="00CE767B" w:rsidRPr="00BC76A2" w:rsidRDefault="00CE767B" w:rsidP="00CE767B">
      <w:pPr>
        <w:rPr>
          <w:lang w:val="de-DE"/>
        </w:rPr>
      </w:pPr>
      <w:r w:rsidRPr="00BC76A2">
        <w:rPr>
          <w:lang w:val="de-DE"/>
        </w:rPr>
        <w:fldChar w:fldCharType="begin"/>
      </w:r>
      <w:r w:rsidRPr="00BC76A2">
        <w:rPr>
          <w:lang w:val="de-DE"/>
        </w:rPr>
        <w:instrText xml:space="preserve"> AUTONUM  </w:instrText>
      </w:r>
      <w:r w:rsidRPr="00BC76A2">
        <w:rPr>
          <w:lang w:val="de-DE"/>
        </w:rPr>
        <w:fldChar w:fldCharType="end"/>
      </w:r>
      <w:r w:rsidRPr="00BC76A2">
        <w:rPr>
          <w:lang w:val="de-DE"/>
        </w:rPr>
        <w:tab/>
      </w:r>
      <w:r w:rsidR="00462E64" w:rsidRPr="00BC76A2">
        <w:rPr>
          <w:lang w:val="de-DE"/>
        </w:rPr>
        <w:t>„</w:t>
      </w:r>
      <w:r w:rsidRPr="00BC76A2">
        <w:rPr>
          <w:lang w:val="de-DE"/>
        </w:rPr>
        <w:t>Trilog</w:t>
      </w:r>
      <w:r w:rsidR="00462E64" w:rsidRPr="00BC76A2">
        <w:rPr>
          <w:lang w:val="de-DE"/>
        </w:rPr>
        <w:t>ie“ ist eine Publikation, die die Beratungen des „UPOV-Seminars über Sortenschutz u</w:t>
      </w:r>
      <w:r w:rsidR="001B3B42" w:rsidRPr="00BC76A2">
        <w:rPr>
          <w:lang w:val="de-DE"/>
        </w:rPr>
        <w:t>nd</w:t>
      </w:r>
      <w:r w:rsidR="00462E64" w:rsidRPr="00BC76A2">
        <w:rPr>
          <w:lang w:val="de-DE"/>
        </w:rPr>
        <w:t xml:space="preserve"> Tec</w:t>
      </w:r>
      <w:r w:rsidR="001B3B42" w:rsidRPr="00BC76A2">
        <w:rPr>
          <w:lang w:val="de-DE"/>
        </w:rPr>
        <w:t xml:space="preserve">hnologietransfer: die Vorteile </w:t>
      </w:r>
      <w:r w:rsidR="00462E64" w:rsidRPr="00BC76A2">
        <w:rPr>
          <w:lang w:val="de-DE"/>
        </w:rPr>
        <w:t>öffentlich-privat</w:t>
      </w:r>
      <w:r w:rsidR="001B3B42" w:rsidRPr="00BC76A2">
        <w:rPr>
          <w:lang w:val="de-DE"/>
        </w:rPr>
        <w:t>er</w:t>
      </w:r>
      <w:r w:rsidR="00462E64" w:rsidRPr="00BC76A2">
        <w:rPr>
          <w:lang w:val="de-DE"/>
        </w:rPr>
        <w:t xml:space="preserve"> Partnerschaft</w:t>
      </w:r>
      <w:r w:rsidR="001B3B42" w:rsidRPr="00BC76A2">
        <w:rPr>
          <w:lang w:val="de-DE"/>
        </w:rPr>
        <w:t>en</w:t>
      </w:r>
      <w:r w:rsidR="00462E64" w:rsidRPr="00BC76A2">
        <w:rPr>
          <w:lang w:val="de-DE"/>
        </w:rPr>
        <w:t>“, des „Symposiums über die Pflanzenzüchtung für die Zukunft“ und d</w:t>
      </w:r>
      <w:r w:rsidR="00C34326" w:rsidRPr="00BC76A2">
        <w:rPr>
          <w:lang w:val="de-DE"/>
        </w:rPr>
        <w:t>e</w:t>
      </w:r>
      <w:r w:rsidR="00462E64" w:rsidRPr="00BC76A2">
        <w:rPr>
          <w:lang w:val="de-DE"/>
        </w:rPr>
        <w:t>s „Symposium</w:t>
      </w:r>
      <w:r w:rsidR="00C34326" w:rsidRPr="00BC76A2">
        <w:rPr>
          <w:lang w:val="de-DE"/>
        </w:rPr>
        <w:t>s</w:t>
      </w:r>
      <w:r w:rsidR="00462E64" w:rsidRPr="00BC76A2">
        <w:rPr>
          <w:lang w:val="de-DE"/>
        </w:rPr>
        <w:t xml:space="preserve"> über die Vorteile des </w:t>
      </w:r>
      <w:r w:rsidR="001B3B42" w:rsidRPr="00BC76A2">
        <w:rPr>
          <w:lang w:val="de-DE"/>
        </w:rPr>
        <w:t>S</w:t>
      </w:r>
      <w:r w:rsidR="00462E64" w:rsidRPr="00BC76A2">
        <w:rPr>
          <w:lang w:val="de-DE"/>
        </w:rPr>
        <w:t xml:space="preserve">ortenschutzes für Landwirte und Pflanzer“ </w:t>
      </w:r>
      <w:r w:rsidR="00C34326" w:rsidRPr="00BC76A2">
        <w:rPr>
          <w:lang w:val="de-DE"/>
        </w:rPr>
        <w:t>vereinigt</w:t>
      </w:r>
      <w:r w:rsidR="00462E64" w:rsidRPr="00BC76A2">
        <w:rPr>
          <w:lang w:val="de-DE"/>
        </w:rPr>
        <w:t xml:space="preserve">. Ferner wurde eine </w:t>
      </w:r>
      <w:r w:rsidR="007575C2" w:rsidRPr="00BC76A2">
        <w:rPr>
          <w:lang w:val="de-DE"/>
        </w:rPr>
        <w:t>Zusammenfassung</w:t>
      </w:r>
      <w:r w:rsidR="00462E64" w:rsidRPr="00BC76A2">
        <w:rPr>
          <w:lang w:val="de-DE"/>
        </w:rPr>
        <w:t xml:space="preserve"> erstellt.</w:t>
      </w:r>
    </w:p>
    <w:p w:rsidR="00CE767B" w:rsidRPr="00BC76A2" w:rsidRDefault="00CE767B" w:rsidP="00CE767B">
      <w:pPr>
        <w:rPr>
          <w:lang w:val="de-DE"/>
        </w:rPr>
      </w:pPr>
    </w:p>
    <w:p w:rsidR="00CE767B" w:rsidRPr="00BC76A2" w:rsidRDefault="00CE767B" w:rsidP="00CE767B">
      <w:pPr>
        <w:rPr>
          <w:lang w:val="de-DE"/>
        </w:rPr>
      </w:pPr>
      <w:r w:rsidRPr="00BC76A2">
        <w:rPr>
          <w:lang w:val="de-DE"/>
        </w:rPr>
        <w:fldChar w:fldCharType="begin"/>
      </w:r>
      <w:r w:rsidRPr="00BC76A2">
        <w:rPr>
          <w:lang w:val="de-DE"/>
        </w:rPr>
        <w:instrText xml:space="preserve"> AUTONUM  </w:instrText>
      </w:r>
      <w:r w:rsidRPr="00BC76A2">
        <w:rPr>
          <w:lang w:val="de-DE"/>
        </w:rPr>
        <w:fldChar w:fldCharType="end"/>
      </w:r>
      <w:r w:rsidRPr="00BC76A2">
        <w:rPr>
          <w:lang w:val="de-DE"/>
        </w:rPr>
        <w:tab/>
      </w:r>
      <w:r w:rsidR="007575C2" w:rsidRPr="00BC76A2">
        <w:rPr>
          <w:lang w:val="de-DE"/>
        </w:rPr>
        <w:t xml:space="preserve">Die Trilogie ist verfügbar unter </w:t>
      </w:r>
      <w:hyperlink r:id="rId10" w:history="1">
        <w:r w:rsidR="00AE4953">
          <w:rPr>
            <w:rStyle w:val="Hyperlink"/>
            <w:lang w:val="de-DE"/>
          </w:rPr>
          <w:t>http://www.upov.int/about/de/benefits_upov_system.html</w:t>
        </w:r>
      </w:hyperlink>
      <w:r w:rsidR="007575C2" w:rsidRPr="00BC76A2">
        <w:rPr>
          <w:lang w:val="de-DE"/>
        </w:rPr>
        <w:t xml:space="preserve">, und </w:t>
      </w:r>
      <w:r w:rsidR="00C34326" w:rsidRPr="00BC76A2">
        <w:rPr>
          <w:lang w:val="de-DE"/>
        </w:rPr>
        <w:t>eine Zusammenstellung von</w:t>
      </w:r>
      <w:r w:rsidR="007575C2" w:rsidRPr="00BC76A2">
        <w:rPr>
          <w:lang w:val="de-DE"/>
        </w:rPr>
        <w:t xml:space="preserve"> Papie</w:t>
      </w:r>
      <w:r w:rsidR="00C34326" w:rsidRPr="00BC76A2">
        <w:rPr>
          <w:lang w:val="de-DE"/>
        </w:rPr>
        <w:t>rexemplaren</w:t>
      </w:r>
      <w:r w:rsidR="007575C2" w:rsidRPr="00BC76A2">
        <w:rPr>
          <w:lang w:val="de-DE"/>
        </w:rPr>
        <w:t xml:space="preserve"> </w:t>
      </w:r>
      <w:r w:rsidR="00C34326" w:rsidRPr="00BC76A2">
        <w:rPr>
          <w:lang w:val="de-DE"/>
        </w:rPr>
        <w:t>ist</w:t>
      </w:r>
      <w:r w:rsidR="007575C2" w:rsidRPr="00BC76A2">
        <w:rPr>
          <w:lang w:val="de-DE"/>
        </w:rPr>
        <w:t xml:space="preserve"> </w:t>
      </w:r>
      <w:r w:rsidR="002E4E85" w:rsidRPr="00BC76A2">
        <w:rPr>
          <w:lang w:val="de-DE"/>
        </w:rPr>
        <w:t xml:space="preserve">auf Anfrage </w:t>
      </w:r>
      <w:r w:rsidR="007575C2" w:rsidRPr="00BC76A2">
        <w:rPr>
          <w:lang w:val="de-DE"/>
        </w:rPr>
        <w:t>beim Informationszentrum der WIPO e</w:t>
      </w:r>
      <w:r w:rsidR="00C34326" w:rsidRPr="00BC76A2">
        <w:rPr>
          <w:lang w:val="de-DE"/>
        </w:rPr>
        <w:t>r</w:t>
      </w:r>
      <w:r w:rsidR="007575C2" w:rsidRPr="00BC76A2">
        <w:rPr>
          <w:lang w:val="de-DE"/>
        </w:rPr>
        <w:t>hältlich.</w:t>
      </w:r>
    </w:p>
    <w:p w:rsidR="00CE767B" w:rsidRPr="00BC76A2" w:rsidRDefault="00CE767B" w:rsidP="00CE767B">
      <w:pPr>
        <w:rPr>
          <w:lang w:val="de-DE"/>
        </w:rPr>
      </w:pPr>
    </w:p>
    <w:p w:rsidR="005F3FA7" w:rsidRPr="00BC76A2" w:rsidRDefault="005F3FA7" w:rsidP="006A4A4E">
      <w:pPr>
        <w:pStyle w:val="Heading2"/>
        <w:rPr>
          <w:lang w:val="de-DE"/>
        </w:rPr>
      </w:pPr>
      <w:bookmarkStart w:id="100" w:name="_Toc379530087"/>
      <w:bookmarkStart w:id="101" w:name="_Toc380391634"/>
      <w:bookmarkStart w:id="102" w:name="_Toc380419874"/>
      <w:bookmarkStart w:id="103" w:name="_Toc380483674"/>
      <w:r w:rsidRPr="00BC76A2">
        <w:rPr>
          <w:lang w:val="de-DE"/>
        </w:rPr>
        <w:t xml:space="preserve">Seminar </w:t>
      </w:r>
      <w:r w:rsidR="001B3B42" w:rsidRPr="00BC76A2">
        <w:rPr>
          <w:lang w:val="de-DE"/>
        </w:rPr>
        <w:t>über im wesentlichen abgeleitete Sorten</w:t>
      </w:r>
      <w:r w:rsidR="00CE767B" w:rsidRPr="00BC76A2">
        <w:rPr>
          <w:lang w:val="de-DE"/>
        </w:rPr>
        <w:t xml:space="preserve"> (EDV)</w:t>
      </w:r>
      <w:bookmarkEnd w:id="100"/>
      <w:bookmarkEnd w:id="101"/>
      <w:bookmarkEnd w:id="102"/>
      <w:bookmarkEnd w:id="103"/>
    </w:p>
    <w:p w:rsidR="00CE767B" w:rsidRPr="00BC76A2" w:rsidRDefault="00CE767B" w:rsidP="00CE767B">
      <w:pPr>
        <w:rPr>
          <w:rFonts w:cs="Arial"/>
          <w:highlight w:val="yellow"/>
          <w:lang w:val="de-DE"/>
        </w:rPr>
      </w:pPr>
      <w:bookmarkStart w:id="104" w:name="OLE_LINK1"/>
    </w:p>
    <w:p w:rsidR="00CE767B" w:rsidRPr="00BC76A2" w:rsidRDefault="00CE767B" w:rsidP="00CE767B">
      <w:pPr>
        <w:rPr>
          <w:rFonts w:cs="Arial"/>
          <w:snapToGrid w:val="0"/>
          <w:lang w:val="de-DE"/>
        </w:rPr>
      </w:pPr>
      <w:r w:rsidRPr="00BC76A2">
        <w:rPr>
          <w:rFonts w:cs="Arial"/>
          <w:lang w:val="de-DE"/>
        </w:rPr>
        <w:fldChar w:fldCharType="begin"/>
      </w:r>
      <w:r w:rsidRPr="00BC76A2">
        <w:rPr>
          <w:rFonts w:cs="Arial"/>
          <w:lang w:val="de-DE"/>
        </w:rPr>
        <w:instrText xml:space="preserve"> AUTONUM  </w:instrText>
      </w:r>
      <w:r w:rsidRPr="00BC76A2">
        <w:rPr>
          <w:rFonts w:cs="Arial"/>
          <w:lang w:val="de-DE"/>
        </w:rPr>
        <w:fldChar w:fldCharType="end"/>
      </w:r>
      <w:r w:rsidRPr="00BC76A2">
        <w:rPr>
          <w:rFonts w:cs="Arial"/>
          <w:lang w:val="de-DE"/>
        </w:rPr>
        <w:tab/>
      </w:r>
      <w:bookmarkEnd w:id="104"/>
      <w:r w:rsidR="001B3B42" w:rsidRPr="00BC76A2">
        <w:rPr>
          <w:rFonts w:cs="Arial"/>
          <w:lang w:val="de-DE"/>
        </w:rPr>
        <w:t xml:space="preserve">Am 22. </w:t>
      </w:r>
      <w:r w:rsidR="00C47C71" w:rsidRPr="00BC76A2">
        <w:rPr>
          <w:rFonts w:cs="Arial"/>
          <w:snapToGrid w:val="0"/>
          <w:lang w:val="de-DE"/>
        </w:rPr>
        <w:t>Oktober</w:t>
      </w:r>
      <w:r w:rsidRPr="00BC76A2">
        <w:rPr>
          <w:rFonts w:cs="Arial"/>
          <w:snapToGrid w:val="0"/>
          <w:lang w:val="de-DE"/>
        </w:rPr>
        <w:t xml:space="preserve"> 2013</w:t>
      </w:r>
      <w:r w:rsidR="001B3B42" w:rsidRPr="00BC76A2">
        <w:rPr>
          <w:rFonts w:cs="Arial"/>
          <w:snapToGrid w:val="0"/>
          <w:lang w:val="de-DE"/>
        </w:rPr>
        <w:t xml:space="preserve"> veranstaltete die</w:t>
      </w:r>
      <w:r w:rsidRPr="00BC76A2">
        <w:rPr>
          <w:rFonts w:cs="Arial"/>
          <w:snapToGrid w:val="0"/>
          <w:lang w:val="de-DE"/>
        </w:rPr>
        <w:t xml:space="preserve"> UPOV </w:t>
      </w:r>
      <w:r w:rsidR="007575C2" w:rsidRPr="00BC76A2">
        <w:rPr>
          <w:rFonts w:cs="Arial"/>
          <w:snapToGrid w:val="0"/>
          <w:lang w:val="de-DE"/>
        </w:rPr>
        <w:t>ein</w:t>
      </w:r>
      <w:r w:rsidR="001B3B42" w:rsidRPr="00BC76A2">
        <w:rPr>
          <w:rFonts w:cs="Arial"/>
          <w:snapToGrid w:val="0"/>
          <w:lang w:val="de-DE"/>
        </w:rPr>
        <w:t xml:space="preserve"> Seminar zur Prüfung technischer und juristischer Ansichten zu EDV und der etwaigen </w:t>
      </w:r>
      <w:r w:rsidR="007575C2" w:rsidRPr="00BC76A2">
        <w:rPr>
          <w:rFonts w:cs="Arial"/>
          <w:snapToGrid w:val="0"/>
          <w:lang w:val="de-DE"/>
        </w:rPr>
        <w:t>Auswirkungen</w:t>
      </w:r>
      <w:r w:rsidR="001B3B42" w:rsidRPr="00BC76A2">
        <w:rPr>
          <w:rFonts w:cs="Arial"/>
          <w:snapToGrid w:val="0"/>
          <w:lang w:val="de-DE"/>
        </w:rPr>
        <w:t xml:space="preserve"> auf die Züchtung </w:t>
      </w:r>
      <w:r w:rsidR="007575C2" w:rsidRPr="00BC76A2">
        <w:rPr>
          <w:rFonts w:cs="Arial"/>
          <w:snapToGrid w:val="0"/>
          <w:lang w:val="de-DE"/>
        </w:rPr>
        <w:t>und</w:t>
      </w:r>
      <w:r w:rsidR="001B3B42" w:rsidRPr="00BC76A2">
        <w:rPr>
          <w:rFonts w:cs="Arial"/>
          <w:snapToGrid w:val="0"/>
          <w:lang w:val="de-DE"/>
        </w:rPr>
        <w:t xml:space="preserve"> die Landwirtschaft, der vorhandenen </w:t>
      </w:r>
      <w:r w:rsidR="007575C2" w:rsidRPr="00BC76A2">
        <w:rPr>
          <w:rFonts w:cs="Arial"/>
          <w:snapToGrid w:val="0"/>
          <w:lang w:val="de-DE"/>
        </w:rPr>
        <w:t>Erfahrung</w:t>
      </w:r>
      <w:r w:rsidR="001B3B42" w:rsidRPr="00BC76A2">
        <w:rPr>
          <w:rFonts w:cs="Arial"/>
          <w:snapToGrid w:val="0"/>
          <w:lang w:val="de-DE"/>
        </w:rPr>
        <w:t xml:space="preserve"> in bezug auf EDV und d</w:t>
      </w:r>
      <w:r w:rsidR="00C34326" w:rsidRPr="00BC76A2">
        <w:rPr>
          <w:rFonts w:cs="Arial"/>
          <w:snapToGrid w:val="0"/>
          <w:lang w:val="de-DE"/>
        </w:rPr>
        <w:t>er</w:t>
      </w:r>
      <w:r w:rsidR="001B3B42" w:rsidRPr="00BC76A2">
        <w:rPr>
          <w:rFonts w:cs="Arial"/>
          <w:snapToGrid w:val="0"/>
          <w:lang w:val="de-DE"/>
        </w:rPr>
        <w:t xml:space="preserve"> mögliche</w:t>
      </w:r>
      <w:r w:rsidR="00C34326" w:rsidRPr="00BC76A2">
        <w:rPr>
          <w:rFonts w:cs="Arial"/>
          <w:snapToGrid w:val="0"/>
          <w:lang w:val="de-DE"/>
        </w:rPr>
        <w:t>n</w:t>
      </w:r>
      <w:r w:rsidR="001B3B42" w:rsidRPr="00BC76A2">
        <w:rPr>
          <w:rFonts w:cs="Arial"/>
          <w:snapToGrid w:val="0"/>
          <w:lang w:val="de-DE"/>
        </w:rPr>
        <w:t xml:space="preserve"> Rolle der </w:t>
      </w:r>
      <w:r w:rsidR="007575C2" w:rsidRPr="00BC76A2">
        <w:rPr>
          <w:rFonts w:cs="Arial"/>
          <w:snapToGrid w:val="0"/>
          <w:lang w:val="de-DE"/>
        </w:rPr>
        <w:t>künftigen</w:t>
      </w:r>
      <w:r w:rsidR="001B3B42" w:rsidRPr="00BC76A2">
        <w:rPr>
          <w:rFonts w:cs="Arial"/>
          <w:snapToGrid w:val="0"/>
          <w:lang w:val="de-DE"/>
        </w:rPr>
        <w:t xml:space="preserve"> UPOV-Anleitung zu EDV bei</w:t>
      </w:r>
      <w:r w:rsidR="00C34326" w:rsidRPr="00BC76A2">
        <w:rPr>
          <w:rFonts w:cs="Arial"/>
          <w:snapToGrid w:val="0"/>
          <w:lang w:val="de-DE"/>
        </w:rPr>
        <w:t xml:space="preserve"> Gerichtsverfahren.</w:t>
      </w:r>
    </w:p>
    <w:p w:rsidR="00CE767B" w:rsidRPr="00BC76A2" w:rsidRDefault="00CE767B" w:rsidP="00CE767B">
      <w:pPr>
        <w:rPr>
          <w:rFonts w:cs="Arial"/>
          <w:snapToGrid w:val="0"/>
          <w:lang w:val="de-DE"/>
        </w:rPr>
      </w:pPr>
    </w:p>
    <w:p w:rsidR="00CE767B" w:rsidRPr="00BC76A2" w:rsidRDefault="00CE767B" w:rsidP="00CE767B">
      <w:pPr>
        <w:rPr>
          <w:rFonts w:cs="Arial"/>
          <w:snapToGrid w:val="0"/>
          <w:lang w:val="de-DE"/>
        </w:rPr>
      </w:pPr>
      <w:r w:rsidRPr="00BC76A2">
        <w:rPr>
          <w:rFonts w:cs="Arial"/>
          <w:snapToGrid w:val="0"/>
          <w:lang w:val="de-DE"/>
        </w:rPr>
        <w:fldChar w:fldCharType="begin"/>
      </w:r>
      <w:r w:rsidRPr="00BC76A2">
        <w:rPr>
          <w:rFonts w:cs="Arial"/>
          <w:snapToGrid w:val="0"/>
          <w:lang w:val="de-DE"/>
        </w:rPr>
        <w:instrText xml:space="preserve"> AUTONUM  </w:instrText>
      </w:r>
      <w:r w:rsidRPr="00BC76A2">
        <w:rPr>
          <w:rFonts w:cs="Arial"/>
          <w:snapToGrid w:val="0"/>
          <w:lang w:val="de-DE"/>
        </w:rPr>
        <w:fldChar w:fldCharType="end"/>
      </w:r>
      <w:r w:rsidRPr="00BC76A2">
        <w:rPr>
          <w:rFonts w:cs="Arial"/>
          <w:snapToGrid w:val="0"/>
          <w:lang w:val="de-DE"/>
        </w:rPr>
        <w:tab/>
      </w:r>
      <w:r w:rsidR="007575C2" w:rsidRPr="00BC76A2">
        <w:rPr>
          <w:rFonts w:cs="Arial"/>
          <w:snapToGrid w:val="0"/>
          <w:lang w:val="de-DE"/>
        </w:rPr>
        <w:t xml:space="preserve">Ein Exemplar der Referate und ein Videofilm über das Seminar sind verfügbar auf der UPOV-Website unter </w:t>
      </w:r>
      <w:hyperlink r:id="rId11" w:history="1">
        <w:r w:rsidR="00114E8C">
          <w:rPr>
            <w:rStyle w:val="Hyperlink"/>
            <w:rFonts w:cs="Arial"/>
            <w:snapToGrid w:val="0"/>
            <w:lang w:val="de-DE"/>
          </w:rPr>
          <w:t>http://www.upov.int/meetings/de/details.jsp?meeting_id=29782</w:t>
        </w:r>
      </w:hyperlink>
      <w:r w:rsidR="007575C2" w:rsidRPr="00BC76A2">
        <w:rPr>
          <w:rFonts w:cs="Arial"/>
          <w:snapToGrid w:val="0"/>
          <w:lang w:val="de-DE"/>
        </w:rPr>
        <w:t>.</w:t>
      </w:r>
    </w:p>
    <w:p w:rsidR="00CE767B" w:rsidRPr="00BC76A2" w:rsidRDefault="00CE767B" w:rsidP="00CE767B">
      <w:pPr>
        <w:rPr>
          <w:lang w:val="de-DE"/>
        </w:rPr>
      </w:pPr>
    </w:p>
    <w:p w:rsidR="003D2768" w:rsidRPr="00BC76A2" w:rsidRDefault="001B3B42" w:rsidP="006A4A4E">
      <w:pPr>
        <w:pStyle w:val="Heading2"/>
        <w:rPr>
          <w:lang w:val="de-DE"/>
        </w:rPr>
      </w:pPr>
      <w:bookmarkStart w:id="105" w:name="_Toc379530088"/>
      <w:bookmarkStart w:id="106" w:name="_Toc380391635"/>
      <w:bookmarkStart w:id="107" w:name="_Toc380419875"/>
      <w:bookmarkStart w:id="108" w:name="_Toc380483675"/>
      <w:r w:rsidRPr="00BC76A2">
        <w:rPr>
          <w:lang w:val="de-DE"/>
        </w:rPr>
        <w:t>Fernlehrgänge</w:t>
      </w:r>
      <w:bookmarkEnd w:id="105"/>
      <w:bookmarkEnd w:id="106"/>
      <w:bookmarkEnd w:id="107"/>
      <w:bookmarkEnd w:id="108"/>
    </w:p>
    <w:p w:rsidR="003D2768" w:rsidRPr="00BC76A2" w:rsidRDefault="003D2768" w:rsidP="004E4FAC">
      <w:pPr>
        <w:keepNext/>
        <w:rPr>
          <w:lang w:val="de-DE"/>
        </w:rPr>
      </w:pPr>
    </w:p>
    <w:p w:rsidR="005902E4" w:rsidRPr="00BC76A2" w:rsidRDefault="005902E4" w:rsidP="004E4FAC">
      <w:pPr>
        <w:keepNext/>
        <w:rPr>
          <w:lang w:val="de-DE"/>
        </w:rPr>
      </w:pPr>
      <w:r w:rsidRPr="00BC76A2">
        <w:rPr>
          <w:lang w:val="de-DE"/>
        </w:rPr>
        <w:fldChar w:fldCharType="begin"/>
      </w:r>
      <w:r w:rsidRPr="00BC76A2">
        <w:rPr>
          <w:lang w:val="de-DE"/>
        </w:rPr>
        <w:instrText xml:space="preserve"> AUTONUM  </w:instrText>
      </w:r>
      <w:r w:rsidRPr="00BC76A2">
        <w:rPr>
          <w:lang w:val="de-DE"/>
        </w:rPr>
        <w:fldChar w:fldCharType="end"/>
      </w:r>
      <w:r w:rsidRPr="00BC76A2">
        <w:rPr>
          <w:lang w:val="de-DE"/>
        </w:rPr>
        <w:tab/>
      </w:r>
      <w:r w:rsidR="001B3B42" w:rsidRPr="00BC76A2">
        <w:rPr>
          <w:lang w:val="de-DE"/>
        </w:rPr>
        <w:t>Eine erste Session des Lehrgangs</w:t>
      </w:r>
      <w:r w:rsidRPr="00BC76A2">
        <w:rPr>
          <w:lang w:val="de-DE"/>
        </w:rPr>
        <w:t xml:space="preserve"> DL­305</w:t>
      </w:r>
      <w:r w:rsidR="002E4E85" w:rsidRPr="00BC76A2">
        <w:rPr>
          <w:lang w:val="de-DE"/>
        </w:rPr>
        <w:t>,</w:t>
      </w:r>
      <w:r w:rsidR="005B50EC" w:rsidRPr="00BC76A2">
        <w:rPr>
          <w:lang w:val="de-DE"/>
        </w:rPr>
        <w:t xml:space="preserve"> </w:t>
      </w:r>
      <w:r w:rsidR="001B3B42" w:rsidRPr="00BC76A2">
        <w:rPr>
          <w:lang w:val="de-DE"/>
        </w:rPr>
        <w:t>„</w:t>
      </w:r>
      <w:r w:rsidR="008358F8" w:rsidRPr="00BC76A2">
        <w:rPr>
          <w:lang w:val="de-DE"/>
        </w:rPr>
        <w:t xml:space="preserve">Prüfung </w:t>
      </w:r>
      <w:r w:rsidR="001B3B42" w:rsidRPr="00BC76A2">
        <w:rPr>
          <w:lang w:val="de-DE"/>
        </w:rPr>
        <w:t xml:space="preserve">der Anträge auf </w:t>
      </w:r>
      <w:r w:rsidR="00A60D2A" w:rsidRPr="00BC76A2">
        <w:rPr>
          <w:lang w:val="de-DE"/>
        </w:rPr>
        <w:t xml:space="preserve">Erteilung von Züchterrechten“ </w:t>
      </w:r>
      <w:r w:rsidR="005B50EC" w:rsidRPr="00BC76A2">
        <w:rPr>
          <w:lang w:val="de-DE"/>
        </w:rPr>
        <w:t>(DL-305)</w:t>
      </w:r>
      <w:r w:rsidRPr="00BC76A2">
        <w:rPr>
          <w:lang w:val="de-DE"/>
        </w:rPr>
        <w:t xml:space="preserve"> in Englis</w:t>
      </w:r>
      <w:r w:rsidR="00A60D2A" w:rsidRPr="00BC76A2">
        <w:rPr>
          <w:lang w:val="de-DE"/>
        </w:rPr>
        <w:t>c</w:t>
      </w:r>
      <w:r w:rsidRPr="00BC76A2">
        <w:rPr>
          <w:lang w:val="de-DE"/>
        </w:rPr>
        <w:t>h</w:t>
      </w:r>
      <w:r w:rsidR="002E4E85" w:rsidRPr="00BC76A2">
        <w:rPr>
          <w:lang w:val="de-DE"/>
        </w:rPr>
        <w:t>,</w:t>
      </w:r>
      <w:r w:rsidRPr="00BC76A2">
        <w:rPr>
          <w:lang w:val="de-DE"/>
        </w:rPr>
        <w:t xml:space="preserve"> </w:t>
      </w:r>
      <w:r w:rsidR="00A60D2A" w:rsidRPr="00BC76A2">
        <w:rPr>
          <w:lang w:val="de-DE"/>
        </w:rPr>
        <w:t>wird wie folgt stattfinden</w:t>
      </w:r>
      <w:r w:rsidRPr="00BC76A2">
        <w:rPr>
          <w:lang w:val="de-DE"/>
        </w:rPr>
        <w:t>:</w:t>
      </w:r>
    </w:p>
    <w:p w:rsidR="005902E4" w:rsidRPr="00BC76A2" w:rsidRDefault="005902E4" w:rsidP="005902E4">
      <w:pPr>
        <w:rPr>
          <w:lang w:val="de-DE"/>
        </w:rPr>
      </w:pPr>
    </w:p>
    <w:p w:rsidR="005902E4" w:rsidRPr="00BC76A2" w:rsidRDefault="00A60D2A" w:rsidP="005902E4">
      <w:pPr>
        <w:ind w:left="567"/>
        <w:rPr>
          <w:rFonts w:cs="Arial"/>
          <w:lang w:val="de-DE"/>
        </w:rPr>
      </w:pPr>
      <w:r w:rsidRPr="00BC76A2">
        <w:rPr>
          <w:rFonts w:cs="Arial"/>
          <w:lang w:val="de-DE"/>
        </w:rPr>
        <w:t>Daten des Lehrgangs</w:t>
      </w:r>
      <w:r w:rsidR="005902E4" w:rsidRPr="00BC76A2">
        <w:rPr>
          <w:rFonts w:cs="Arial"/>
          <w:lang w:val="de-DE"/>
        </w:rPr>
        <w:t>: </w:t>
      </w:r>
      <w:r w:rsidRPr="00BC76A2">
        <w:rPr>
          <w:rFonts w:cs="Arial"/>
          <w:lang w:val="de-DE"/>
        </w:rPr>
        <w:t>31.</w:t>
      </w:r>
      <w:r w:rsidR="005902E4" w:rsidRPr="00BC76A2">
        <w:rPr>
          <w:rFonts w:cs="Arial"/>
          <w:lang w:val="de-DE"/>
        </w:rPr>
        <w:t xml:space="preserve"> </w:t>
      </w:r>
      <w:r w:rsidR="00C47C71" w:rsidRPr="00BC76A2">
        <w:rPr>
          <w:rFonts w:cs="Arial"/>
          <w:lang w:val="de-DE"/>
        </w:rPr>
        <w:t>März</w:t>
      </w:r>
      <w:r w:rsidR="005902E4" w:rsidRPr="00BC76A2">
        <w:rPr>
          <w:rFonts w:cs="Arial"/>
          <w:lang w:val="de-DE"/>
        </w:rPr>
        <w:t xml:space="preserve"> </w:t>
      </w:r>
      <w:r w:rsidRPr="00BC76A2">
        <w:rPr>
          <w:rFonts w:cs="Arial"/>
          <w:lang w:val="de-DE"/>
        </w:rPr>
        <w:t>bis 11.</w:t>
      </w:r>
      <w:r w:rsidR="005902E4" w:rsidRPr="00BC76A2">
        <w:rPr>
          <w:rFonts w:cs="Arial"/>
          <w:lang w:val="de-DE"/>
        </w:rPr>
        <w:t xml:space="preserve"> Ma</w:t>
      </w:r>
      <w:r w:rsidRPr="00BC76A2">
        <w:rPr>
          <w:rFonts w:cs="Arial"/>
          <w:lang w:val="de-DE"/>
        </w:rPr>
        <w:t>i</w:t>
      </w:r>
      <w:r w:rsidR="005902E4" w:rsidRPr="00BC76A2">
        <w:rPr>
          <w:rFonts w:cs="Arial"/>
          <w:lang w:val="de-DE"/>
        </w:rPr>
        <w:t xml:space="preserve"> 2014</w:t>
      </w:r>
    </w:p>
    <w:p w:rsidR="005902E4" w:rsidRPr="00BC76A2" w:rsidRDefault="00A60D2A" w:rsidP="005902E4">
      <w:pPr>
        <w:ind w:left="567"/>
        <w:rPr>
          <w:rFonts w:cs="Arial"/>
          <w:lang w:val="de-DE"/>
        </w:rPr>
      </w:pPr>
      <w:r w:rsidRPr="00BC76A2">
        <w:rPr>
          <w:rFonts w:cs="Arial"/>
          <w:lang w:val="de-DE"/>
        </w:rPr>
        <w:t>Schlu</w:t>
      </w:r>
      <w:r w:rsidR="00753412" w:rsidRPr="00BC76A2">
        <w:rPr>
          <w:rFonts w:cs="Arial"/>
          <w:lang w:val="de-DE"/>
        </w:rPr>
        <w:t>ß</w:t>
      </w:r>
      <w:r w:rsidRPr="00BC76A2">
        <w:rPr>
          <w:rFonts w:cs="Arial"/>
          <w:lang w:val="de-DE"/>
        </w:rPr>
        <w:t>prüfung</w:t>
      </w:r>
      <w:r w:rsidR="005902E4" w:rsidRPr="00BC76A2">
        <w:rPr>
          <w:rFonts w:cs="Arial"/>
          <w:lang w:val="de-DE"/>
        </w:rPr>
        <w:t>: </w:t>
      </w:r>
      <w:r w:rsidRPr="00BC76A2">
        <w:rPr>
          <w:rFonts w:cs="Arial"/>
          <w:lang w:val="de-DE"/>
        </w:rPr>
        <w:t>5.</w:t>
      </w:r>
      <w:r w:rsidR="005902E4" w:rsidRPr="00BC76A2">
        <w:rPr>
          <w:rFonts w:cs="Arial"/>
          <w:lang w:val="de-DE"/>
        </w:rPr>
        <w:t xml:space="preserve"> </w:t>
      </w:r>
      <w:r w:rsidR="008358F8" w:rsidRPr="00BC76A2">
        <w:rPr>
          <w:rFonts w:cs="Arial"/>
          <w:lang w:val="de-DE"/>
        </w:rPr>
        <w:t>b</w:t>
      </w:r>
      <w:r w:rsidRPr="00BC76A2">
        <w:rPr>
          <w:rFonts w:cs="Arial"/>
          <w:lang w:val="de-DE"/>
        </w:rPr>
        <w:t>is 11.</w:t>
      </w:r>
      <w:r w:rsidR="005902E4" w:rsidRPr="00BC76A2">
        <w:rPr>
          <w:rFonts w:cs="Arial"/>
          <w:lang w:val="de-DE"/>
        </w:rPr>
        <w:t>Ma</w:t>
      </w:r>
      <w:r w:rsidRPr="00BC76A2">
        <w:rPr>
          <w:rFonts w:cs="Arial"/>
          <w:lang w:val="de-DE"/>
        </w:rPr>
        <w:t>i</w:t>
      </w:r>
      <w:r w:rsidR="005902E4" w:rsidRPr="00BC76A2">
        <w:rPr>
          <w:rFonts w:cs="Arial"/>
          <w:lang w:val="de-DE"/>
        </w:rPr>
        <w:t xml:space="preserve"> 2014</w:t>
      </w:r>
    </w:p>
    <w:p w:rsidR="005902E4" w:rsidRPr="00BC76A2" w:rsidRDefault="005902E4" w:rsidP="005902E4">
      <w:pPr>
        <w:rPr>
          <w:lang w:val="de-DE"/>
        </w:rPr>
      </w:pPr>
    </w:p>
    <w:p w:rsidR="005902E4" w:rsidRPr="00BC76A2" w:rsidRDefault="005902E4" w:rsidP="005902E4">
      <w:pPr>
        <w:rPr>
          <w:lang w:val="de-DE"/>
        </w:rPr>
      </w:pPr>
      <w:r w:rsidRPr="00BC76A2">
        <w:rPr>
          <w:lang w:val="de-DE"/>
        </w:rPr>
        <w:fldChar w:fldCharType="begin"/>
      </w:r>
      <w:r w:rsidRPr="00BC76A2">
        <w:rPr>
          <w:lang w:val="de-DE"/>
        </w:rPr>
        <w:instrText xml:space="preserve"> AUTONUM  </w:instrText>
      </w:r>
      <w:r w:rsidRPr="00BC76A2">
        <w:rPr>
          <w:lang w:val="de-DE"/>
        </w:rPr>
        <w:fldChar w:fldCharType="end"/>
      </w:r>
      <w:r w:rsidRPr="00BC76A2">
        <w:rPr>
          <w:lang w:val="de-DE"/>
        </w:rPr>
        <w:tab/>
      </w:r>
      <w:r w:rsidR="00E64645" w:rsidRPr="00BC76A2">
        <w:rPr>
          <w:lang w:val="de-DE"/>
        </w:rPr>
        <w:t xml:space="preserve">Die erste Session des Lehrgangs </w:t>
      </w:r>
      <w:r w:rsidRPr="00BC76A2">
        <w:rPr>
          <w:lang w:val="de-DE"/>
        </w:rPr>
        <w:t xml:space="preserve">DL-305 </w:t>
      </w:r>
      <w:r w:rsidR="00E64645" w:rsidRPr="00BC76A2">
        <w:rPr>
          <w:lang w:val="de-DE"/>
        </w:rPr>
        <w:t xml:space="preserve">wurde nur </w:t>
      </w:r>
      <w:r w:rsidR="005E0F66" w:rsidRPr="00BC76A2">
        <w:rPr>
          <w:lang w:val="de-DE"/>
        </w:rPr>
        <w:t xml:space="preserve">Beamten von </w:t>
      </w:r>
      <w:r w:rsidR="007575C2" w:rsidRPr="00BC76A2">
        <w:rPr>
          <w:lang w:val="de-DE"/>
        </w:rPr>
        <w:t>Verbandsmitgliedern</w:t>
      </w:r>
      <w:r w:rsidR="005E0F66" w:rsidRPr="00BC76A2">
        <w:rPr>
          <w:lang w:val="de-DE"/>
        </w:rPr>
        <w:t xml:space="preserve">, die den Lehrgang </w:t>
      </w:r>
      <w:r w:rsidRPr="00BC76A2">
        <w:rPr>
          <w:rFonts w:cs="Arial"/>
          <w:snapToGrid w:val="0"/>
          <w:lang w:val="de-DE"/>
        </w:rPr>
        <w:t>DL-205</w:t>
      </w:r>
      <w:r w:rsidR="008358F8" w:rsidRPr="00BC76A2">
        <w:rPr>
          <w:rFonts w:cs="Arial"/>
          <w:snapToGrid w:val="0"/>
          <w:lang w:val="de-DE"/>
        </w:rPr>
        <w:t>,</w:t>
      </w:r>
      <w:r w:rsidR="005B50EC" w:rsidRPr="00BC76A2">
        <w:rPr>
          <w:rFonts w:cs="Arial"/>
          <w:snapToGrid w:val="0"/>
          <w:lang w:val="de-DE"/>
        </w:rPr>
        <w:t xml:space="preserve"> </w:t>
      </w:r>
      <w:r w:rsidR="005E0F66" w:rsidRPr="00BC76A2">
        <w:rPr>
          <w:snapToGrid w:val="0"/>
          <w:lang w:val="de-DE"/>
        </w:rPr>
        <w:t>„Einführung in das UPOV-</w:t>
      </w:r>
      <w:r w:rsidR="007575C2" w:rsidRPr="00BC76A2">
        <w:rPr>
          <w:snapToGrid w:val="0"/>
          <w:lang w:val="de-DE"/>
        </w:rPr>
        <w:t>Sortenschutzsystem</w:t>
      </w:r>
      <w:r w:rsidR="005E0F66" w:rsidRPr="00BC76A2">
        <w:rPr>
          <w:snapToGrid w:val="0"/>
          <w:lang w:val="de-DE"/>
        </w:rPr>
        <w:t xml:space="preserve"> </w:t>
      </w:r>
      <w:r w:rsidR="007575C2" w:rsidRPr="00BC76A2">
        <w:rPr>
          <w:snapToGrid w:val="0"/>
          <w:lang w:val="de-DE"/>
        </w:rPr>
        <w:t>nach</w:t>
      </w:r>
      <w:r w:rsidR="005E0F66" w:rsidRPr="00BC76A2">
        <w:rPr>
          <w:snapToGrid w:val="0"/>
          <w:lang w:val="de-DE"/>
        </w:rPr>
        <w:t xml:space="preserve"> dem UPOV-Übereinkommen“</w:t>
      </w:r>
      <w:r w:rsidR="008358F8" w:rsidRPr="00BC76A2">
        <w:rPr>
          <w:snapToGrid w:val="0"/>
          <w:lang w:val="de-DE"/>
        </w:rPr>
        <w:t>, erfolgreich abschlossen,</w:t>
      </w:r>
      <w:r w:rsidR="005E0F66" w:rsidRPr="00BC76A2">
        <w:rPr>
          <w:snapToGrid w:val="0"/>
          <w:lang w:val="de-DE"/>
        </w:rPr>
        <w:t xml:space="preserve"> mit einer Erläuterung, </w:t>
      </w:r>
      <w:r w:rsidR="00A0388E" w:rsidRPr="00BC76A2">
        <w:rPr>
          <w:snapToGrid w:val="0"/>
          <w:lang w:val="de-DE"/>
        </w:rPr>
        <w:t>daß</w:t>
      </w:r>
      <w:r w:rsidR="005E0F66" w:rsidRPr="00BC76A2">
        <w:rPr>
          <w:snapToGrid w:val="0"/>
          <w:lang w:val="de-DE"/>
        </w:rPr>
        <w:t xml:space="preserve"> die künftige </w:t>
      </w:r>
      <w:r w:rsidR="007575C2" w:rsidRPr="00BC76A2">
        <w:rPr>
          <w:snapToGrid w:val="0"/>
          <w:lang w:val="de-DE"/>
        </w:rPr>
        <w:t>Aufteilung</w:t>
      </w:r>
      <w:r w:rsidR="005E0F66" w:rsidRPr="00BC76A2">
        <w:rPr>
          <w:snapToGrid w:val="0"/>
          <w:lang w:val="de-DE"/>
        </w:rPr>
        <w:t xml:space="preserve"> des Lehrgangs </w:t>
      </w:r>
      <w:r w:rsidRPr="00BC76A2">
        <w:rPr>
          <w:lang w:val="de-DE"/>
        </w:rPr>
        <w:t>DL-305 in</w:t>
      </w:r>
      <w:r w:rsidR="005E0F66" w:rsidRPr="00BC76A2">
        <w:rPr>
          <w:lang w:val="de-DE"/>
        </w:rPr>
        <w:t xml:space="preserve"> zwei getrennte </w:t>
      </w:r>
      <w:r w:rsidR="007575C2" w:rsidRPr="00BC76A2">
        <w:rPr>
          <w:lang w:val="de-DE"/>
        </w:rPr>
        <w:t>Lehrgänge</w:t>
      </w:r>
      <w:r w:rsidR="005E0F66" w:rsidRPr="00BC76A2">
        <w:rPr>
          <w:lang w:val="de-DE"/>
        </w:rPr>
        <w:t xml:space="preserve"> in </w:t>
      </w:r>
      <w:r w:rsidR="007575C2" w:rsidRPr="00BC76A2">
        <w:rPr>
          <w:lang w:val="de-DE"/>
        </w:rPr>
        <w:t>Betracht</w:t>
      </w:r>
      <w:r w:rsidR="005E0F66" w:rsidRPr="00BC76A2">
        <w:rPr>
          <w:lang w:val="de-DE"/>
        </w:rPr>
        <w:t xml:space="preserve"> gezogen werde</w:t>
      </w:r>
      <w:r w:rsidR="002E4E85" w:rsidRPr="00BC76A2">
        <w:rPr>
          <w:lang w:val="de-DE"/>
        </w:rPr>
        <w:t>,</w:t>
      </w:r>
      <w:r w:rsidR="002E4E85" w:rsidRPr="00BC76A2">
        <w:rPr>
          <w:snapToGrid w:val="0"/>
          <w:lang w:val="de-DE"/>
        </w:rPr>
        <w:t xml:space="preserve"> verfügbar gemacht</w:t>
      </w:r>
      <w:r w:rsidR="005E0F66" w:rsidRPr="00BC76A2">
        <w:rPr>
          <w:lang w:val="de-DE"/>
        </w:rPr>
        <w:t>.</w:t>
      </w:r>
    </w:p>
    <w:p w:rsidR="005902E4" w:rsidRPr="00BC76A2" w:rsidRDefault="005902E4" w:rsidP="005902E4">
      <w:pPr>
        <w:rPr>
          <w:lang w:val="de-DE"/>
        </w:rPr>
      </w:pPr>
    </w:p>
    <w:p w:rsidR="005B50EC" w:rsidRPr="00BC76A2" w:rsidRDefault="005B50EC" w:rsidP="005B50EC">
      <w:pPr>
        <w:rPr>
          <w:snapToGrid w:val="0"/>
          <w:lang w:val="de-DE"/>
        </w:rPr>
      </w:pPr>
      <w:r w:rsidRPr="00BC76A2">
        <w:rPr>
          <w:lang w:val="de-DE"/>
        </w:rPr>
        <w:fldChar w:fldCharType="begin"/>
      </w:r>
      <w:r w:rsidRPr="00BC76A2">
        <w:rPr>
          <w:lang w:val="de-DE"/>
        </w:rPr>
        <w:instrText xml:space="preserve"> AUTONUM  </w:instrText>
      </w:r>
      <w:r w:rsidRPr="00BC76A2">
        <w:rPr>
          <w:lang w:val="de-DE"/>
        </w:rPr>
        <w:fldChar w:fldCharType="end"/>
      </w:r>
      <w:r w:rsidRPr="00BC76A2">
        <w:rPr>
          <w:lang w:val="de-DE"/>
        </w:rPr>
        <w:tab/>
      </w:r>
      <w:r w:rsidR="007575C2" w:rsidRPr="00BC76A2">
        <w:rPr>
          <w:lang w:val="de-DE"/>
        </w:rPr>
        <w:t xml:space="preserve">Auf der Grundlage der während eines Probelaufs des Lehrgangs </w:t>
      </w:r>
      <w:r w:rsidR="007575C2" w:rsidRPr="00BC76A2">
        <w:rPr>
          <w:snapToGrid w:val="0"/>
          <w:lang w:val="de-DE"/>
        </w:rPr>
        <w:t>DL-305 eingegangenen Bemerkungen wird der Beratende Ausschu</w:t>
      </w:r>
      <w:r w:rsidR="007575C2" w:rsidRPr="00BC76A2">
        <w:rPr>
          <w:rFonts w:cs="Arial"/>
          <w:snapToGrid w:val="0"/>
          <w:lang w:val="de-DE"/>
        </w:rPr>
        <w:t xml:space="preserve">ß </w:t>
      </w:r>
      <w:r w:rsidR="007575C2" w:rsidRPr="00BC76A2">
        <w:rPr>
          <w:snapToGrid w:val="0"/>
          <w:lang w:val="de-DE"/>
        </w:rPr>
        <w:t xml:space="preserve">auf seiner siebenundachtzigsten Tagung vom 11. April 2014 in Genf ersucht werden, die </w:t>
      </w:r>
      <w:r w:rsidR="00D60F2E" w:rsidRPr="00BC76A2">
        <w:rPr>
          <w:snapToGrid w:val="0"/>
          <w:lang w:val="de-DE"/>
        </w:rPr>
        <w:t xml:space="preserve">künftige </w:t>
      </w:r>
      <w:r w:rsidR="007575C2" w:rsidRPr="00BC76A2">
        <w:rPr>
          <w:snapToGrid w:val="0"/>
          <w:lang w:val="de-DE"/>
        </w:rPr>
        <w:t xml:space="preserve">Aufteilung des Lehrgangs DL-305 in zwei getrennte Lehrgänge in Betracht zu ziehen. </w:t>
      </w:r>
      <w:r w:rsidR="005E0F66" w:rsidRPr="00BC76A2">
        <w:rPr>
          <w:snapToGrid w:val="0"/>
          <w:lang w:val="de-DE"/>
        </w:rPr>
        <w:t xml:space="preserve">Ziel der </w:t>
      </w:r>
      <w:r w:rsidR="007575C2" w:rsidRPr="00BC76A2">
        <w:rPr>
          <w:snapToGrid w:val="0"/>
          <w:lang w:val="de-DE"/>
        </w:rPr>
        <w:t>Aufteilung</w:t>
      </w:r>
      <w:r w:rsidR="005E0F66" w:rsidRPr="00BC76A2">
        <w:rPr>
          <w:snapToGrid w:val="0"/>
          <w:lang w:val="de-DE"/>
        </w:rPr>
        <w:t xml:space="preserve"> wäre es, die Teilnehmer </w:t>
      </w:r>
      <w:r w:rsidR="007575C2" w:rsidRPr="00BC76A2">
        <w:rPr>
          <w:snapToGrid w:val="0"/>
          <w:lang w:val="de-DE"/>
        </w:rPr>
        <w:t>gemäß</w:t>
      </w:r>
      <w:r w:rsidR="005E0F66" w:rsidRPr="00BC76A2">
        <w:rPr>
          <w:snapToGrid w:val="0"/>
          <w:lang w:val="de-DE"/>
        </w:rPr>
        <w:t xml:space="preserve"> ihrer Fachkenntnis und Erfahrung in die Lage zu versetzen, die Lehrgänge zu </w:t>
      </w:r>
      <w:r w:rsidR="007575C2" w:rsidRPr="00BC76A2">
        <w:rPr>
          <w:snapToGrid w:val="0"/>
          <w:lang w:val="de-DE"/>
        </w:rPr>
        <w:t>verschiedenen</w:t>
      </w:r>
      <w:r w:rsidR="005E0F66" w:rsidRPr="00BC76A2">
        <w:rPr>
          <w:snapToGrid w:val="0"/>
          <w:lang w:val="de-DE"/>
        </w:rPr>
        <w:t xml:space="preserve"> Zeiten zu absolvieren, und Lehrgänge mit ähnlicher Studiendauer wie der </w:t>
      </w:r>
      <w:r w:rsidR="007575C2" w:rsidRPr="00BC76A2">
        <w:rPr>
          <w:snapToGrid w:val="0"/>
          <w:lang w:val="de-DE"/>
        </w:rPr>
        <w:t>Lehrgang</w:t>
      </w:r>
      <w:r w:rsidR="005E0F66" w:rsidRPr="00BC76A2">
        <w:rPr>
          <w:snapToGrid w:val="0"/>
          <w:lang w:val="de-DE"/>
        </w:rPr>
        <w:t xml:space="preserve"> DL­205 (36 Stunden) anstelle der für den Einzellehrgang angegebenen 70 </w:t>
      </w:r>
      <w:r w:rsidR="007575C2" w:rsidRPr="00BC76A2">
        <w:rPr>
          <w:snapToGrid w:val="0"/>
          <w:lang w:val="de-DE"/>
        </w:rPr>
        <w:t>Stunden</w:t>
      </w:r>
      <w:r w:rsidR="005E0F66" w:rsidRPr="00BC76A2">
        <w:rPr>
          <w:snapToGrid w:val="0"/>
          <w:lang w:val="de-DE"/>
        </w:rPr>
        <w:t xml:space="preserve"> bereitzustellen. Ein Lehrgang würde sich mit der Verwaltung von Züchterrechten und der </w:t>
      </w:r>
      <w:r w:rsidR="007575C2" w:rsidRPr="00BC76A2">
        <w:rPr>
          <w:snapToGrid w:val="0"/>
          <w:lang w:val="de-DE"/>
        </w:rPr>
        <w:t>Prüfung</w:t>
      </w:r>
      <w:r w:rsidR="005E0F66" w:rsidRPr="00BC76A2">
        <w:rPr>
          <w:snapToGrid w:val="0"/>
          <w:lang w:val="de-DE"/>
        </w:rPr>
        <w:t xml:space="preserve"> der Neuheit und der Sortenbezeichnung, der andere mit der </w:t>
      </w:r>
      <w:r w:rsidR="007575C2" w:rsidRPr="00BC76A2">
        <w:rPr>
          <w:snapToGrid w:val="0"/>
          <w:lang w:val="de-DE"/>
        </w:rPr>
        <w:t>Prüfung</w:t>
      </w:r>
      <w:r w:rsidR="005E0F66" w:rsidRPr="00BC76A2">
        <w:rPr>
          <w:snapToGrid w:val="0"/>
          <w:lang w:val="de-DE"/>
        </w:rPr>
        <w:t xml:space="preserve"> der Unterscheidbarkeit, Homogenität und Beständigkeit („DUS“) befassen. </w:t>
      </w:r>
      <w:r w:rsidR="007575C2" w:rsidRPr="00BC76A2">
        <w:rPr>
          <w:snapToGrid w:val="0"/>
          <w:lang w:val="de-DE"/>
        </w:rPr>
        <w:t xml:space="preserve">Es wäre möglich, einen oder beide Lehrgänge zu absolvieren, und die beiden Lehrgänge würden nacheinander durchgeführt, um es denjenigen Studierenden, die beide Lehrgänge absolvieren möchten, zu ermöglichen, dies zu tun, und zwar einen </w:t>
      </w:r>
      <w:r w:rsidR="00D60F2E" w:rsidRPr="00BC76A2">
        <w:rPr>
          <w:snapToGrid w:val="0"/>
          <w:lang w:val="de-DE"/>
        </w:rPr>
        <w:t xml:space="preserve">unmittelbar </w:t>
      </w:r>
      <w:r w:rsidR="007575C2" w:rsidRPr="00BC76A2">
        <w:rPr>
          <w:snapToGrid w:val="0"/>
          <w:lang w:val="de-DE"/>
        </w:rPr>
        <w:t>nach dem anderen.</w:t>
      </w:r>
    </w:p>
    <w:p w:rsidR="005B50EC" w:rsidRPr="00BC76A2" w:rsidRDefault="005B50EC" w:rsidP="005902E4">
      <w:pPr>
        <w:rPr>
          <w:rFonts w:cs="Arial"/>
          <w:snapToGrid w:val="0"/>
          <w:lang w:val="de-DE"/>
        </w:rPr>
      </w:pPr>
    </w:p>
    <w:p w:rsidR="005B50EC" w:rsidRPr="00BC76A2" w:rsidRDefault="005B50EC" w:rsidP="005B50EC">
      <w:pPr>
        <w:shd w:val="clear" w:color="auto" w:fill="FFFFFF" w:themeFill="background1"/>
        <w:rPr>
          <w:rFonts w:cs="Arial"/>
          <w:lang w:val="de-DE"/>
        </w:rPr>
      </w:pPr>
      <w:r w:rsidRPr="00BC76A2">
        <w:rPr>
          <w:rFonts w:cs="Arial"/>
          <w:lang w:val="de-DE"/>
        </w:rPr>
        <w:fldChar w:fldCharType="begin"/>
      </w:r>
      <w:r w:rsidRPr="00BC76A2">
        <w:rPr>
          <w:rFonts w:cs="Arial"/>
          <w:lang w:val="de-DE"/>
        </w:rPr>
        <w:instrText xml:space="preserve"> AUTONUM  </w:instrText>
      </w:r>
      <w:r w:rsidRPr="00BC76A2">
        <w:rPr>
          <w:rFonts w:cs="Arial"/>
          <w:lang w:val="de-DE"/>
        </w:rPr>
        <w:fldChar w:fldCharType="end"/>
      </w:r>
      <w:r w:rsidRPr="00BC76A2">
        <w:rPr>
          <w:rFonts w:cs="Arial"/>
          <w:lang w:val="de-DE"/>
        </w:rPr>
        <w:tab/>
      </w:r>
      <w:r w:rsidR="00241D69" w:rsidRPr="00BC76A2">
        <w:rPr>
          <w:rFonts w:cs="Arial"/>
          <w:lang w:val="de-DE"/>
        </w:rPr>
        <w:t xml:space="preserve">Die erfolgreiche Durchführung der UPOV-Fernlehrgänge stützt sich auf Sachverständige von </w:t>
      </w:r>
      <w:r w:rsidR="007575C2" w:rsidRPr="00BC76A2">
        <w:rPr>
          <w:rFonts w:cs="Arial"/>
          <w:lang w:val="de-DE"/>
        </w:rPr>
        <w:t>Verbandsmitgliedern</w:t>
      </w:r>
      <w:r w:rsidR="00241D69" w:rsidRPr="00BC76A2">
        <w:rPr>
          <w:rFonts w:cs="Arial"/>
          <w:lang w:val="de-DE"/>
        </w:rPr>
        <w:t>, die als Tutoren für die Studierenden in Kategorie 1</w:t>
      </w:r>
      <w:r w:rsidR="00D60F2E" w:rsidRPr="00BC76A2">
        <w:rPr>
          <w:rFonts w:cs="Arial"/>
          <w:lang w:val="de-DE"/>
        </w:rPr>
        <w:t>,</w:t>
      </w:r>
      <w:r w:rsidR="00241D69" w:rsidRPr="00BC76A2">
        <w:rPr>
          <w:rFonts w:cs="Arial"/>
          <w:lang w:val="de-DE"/>
        </w:rPr>
        <w:t xml:space="preserve"> Beamte von Verbandsmitgliedern</w:t>
      </w:r>
      <w:r w:rsidR="00D60F2E" w:rsidRPr="00BC76A2">
        <w:rPr>
          <w:rFonts w:cs="Arial"/>
          <w:lang w:val="de-DE"/>
        </w:rPr>
        <w:t>,</w:t>
      </w:r>
      <w:r w:rsidR="00241D69" w:rsidRPr="00BC76A2">
        <w:rPr>
          <w:rFonts w:cs="Arial"/>
          <w:lang w:val="de-DE"/>
        </w:rPr>
        <w:t xml:space="preserve"> fungieren</w:t>
      </w:r>
      <w:r w:rsidR="000C3D1E" w:rsidRPr="00BC76A2">
        <w:rPr>
          <w:rFonts w:cs="Arial"/>
          <w:lang w:val="de-DE"/>
        </w:rPr>
        <w:t>. Daher ist die Verfügbarkeit derartiger Tutoren ein wichtiger Faktor für die Häufigkeit von Fernlehrgängen</w:t>
      </w:r>
      <w:r w:rsidRPr="00BC76A2">
        <w:rPr>
          <w:rFonts w:cs="Arial"/>
          <w:lang w:val="de-DE"/>
        </w:rPr>
        <w:t xml:space="preserve">. </w:t>
      </w:r>
      <w:r w:rsidR="007575C2" w:rsidRPr="00BC76A2">
        <w:rPr>
          <w:rFonts w:cs="Arial"/>
          <w:lang w:val="de-DE"/>
        </w:rPr>
        <w:t xml:space="preserve">In dieser Hinsicht wird erwartet, </w:t>
      </w:r>
      <w:r w:rsidR="00A0388E" w:rsidRPr="00BC76A2">
        <w:rPr>
          <w:rFonts w:cs="Arial"/>
          <w:lang w:val="de-DE"/>
        </w:rPr>
        <w:t>daß</w:t>
      </w:r>
      <w:r w:rsidR="007575C2" w:rsidRPr="00BC76A2">
        <w:rPr>
          <w:rFonts w:cs="Arial"/>
          <w:lang w:val="de-DE"/>
        </w:rPr>
        <w:t xml:space="preserve"> dieselben Tutoren für die Lehrgänge DL-205 und DL</w:t>
      </w:r>
      <w:r w:rsidR="007575C2" w:rsidRPr="00BC76A2">
        <w:rPr>
          <w:rFonts w:cs="Arial"/>
          <w:lang w:val="de-DE"/>
        </w:rPr>
        <w:noBreakHyphen/>
        <w:t xml:space="preserve">305 hinzugezogen werden. </w:t>
      </w:r>
      <w:r w:rsidR="000C3D1E" w:rsidRPr="00BC76A2">
        <w:rPr>
          <w:rFonts w:cs="Arial"/>
          <w:lang w:val="de-DE"/>
        </w:rPr>
        <w:t>Der Lehrgang</w:t>
      </w:r>
      <w:r w:rsidRPr="00BC76A2">
        <w:rPr>
          <w:rFonts w:cs="Arial"/>
          <w:lang w:val="de-DE"/>
        </w:rPr>
        <w:t xml:space="preserve"> DL-205 </w:t>
      </w:r>
      <w:r w:rsidR="000C3D1E" w:rsidRPr="00BC76A2">
        <w:rPr>
          <w:rFonts w:cs="Arial"/>
          <w:lang w:val="de-DE"/>
        </w:rPr>
        <w:t xml:space="preserve">wird </w:t>
      </w:r>
      <w:r w:rsidR="007575C2" w:rsidRPr="00BC76A2">
        <w:rPr>
          <w:rFonts w:cs="Arial"/>
          <w:lang w:val="de-DE"/>
        </w:rPr>
        <w:t>zur Zeit</w:t>
      </w:r>
      <w:r w:rsidR="000C3D1E" w:rsidRPr="00BC76A2">
        <w:rPr>
          <w:rFonts w:cs="Arial"/>
          <w:lang w:val="de-DE"/>
        </w:rPr>
        <w:t xml:space="preserve"> zweimal jährlich durchgeführt. Um mindestens zunächst über ausreichende Tutoringkapazität zu verfügen, wird vorgeschlagen, eine der Sessionen </w:t>
      </w:r>
      <w:r w:rsidR="007575C2" w:rsidRPr="00BC76A2">
        <w:rPr>
          <w:rFonts w:cs="Arial"/>
          <w:lang w:val="de-DE"/>
        </w:rPr>
        <w:t>des</w:t>
      </w:r>
      <w:r w:rsidR="000C3D1E" w:rsidRPr="00BC76A2">
        <w:rPr>
          <w:rFonts w:cs="Arial"/>
          <w:lang w:val="de-DE"/>
        </w:rPr>
        <w:t xml:space="preserve"> Lehrgangs</w:t>
      </w:r>
      <w:r w:rsidRPr="00BC76A2">
        <w:rPr>
          <w:rFonts w:cs="Arial"/>
          <w:lang w:val="de-DE"/>
        </w:rPr>
        <w:t xml:space="preserve"> DL-205 </w:t>
      </w:r>
      <w:r w:rsidR="000C3D1E" w:rsidRPr="00BC76A2">
        <w:rPr>
          <w:rFonts w:cs="Arial"/>
          <w:lang w:val="de-DE"/>
        </w:rPr>
        <w:t xml:space="preserve">durch </w:t>
      </w:r>
      <w:r w:rsidR="00D60F2E" w:rsidRPr="00BC76A2">
        <w:rPr>
          <w:rFonts w:cs="Arial"/>
          <w:lang w:val="de-DE"/>
        </w:rPr>
        <w:t xml:space="preserve">den </w:t>
      </w:r>
      <w:r w:rsidR="0020309F" w:rsidRPr="00BC76A2">
        <w:rPr>
          <w:rFonts w:cs="Arial"/>
          <w:lang w:val="de-DE"/>
        </w:rPr>
        <w:t xml:space="preserve">Lehrgang </w:t>
      </w:r>
      <w:r w:rsidR="00D60F2E" w:rsidRPr="00BC76A2">
        <w:rPr>
          <w:rFonts w:cs="Arial"/>
          <w:lang w:val="de-DE"/>
        </w:rPr>
        <w:t>(</w:t>
      </w:r>
      <w:r w:rsidR="000C3D1E" w:rsidRPr="00BC76A2">
        <w:rPr>
          <w:rFonts w:cs="Arial"/>
          <w:lang w:val="de-DE"/>
        </w:rPr>
        <w:t>die</w:t>
      </w:r>
      <w:r w:rsidRPr="00BC76A2">
        <w:rPr>
          <w:rFonts w:cs="Arial"/>
          <w:lang w:val="de-DE"/>
        </w:rPr>
        <w:t xml:space="preserve"> </w:t>
      </w:r>
      <w:r w:rsidR="000C3D1E" w:rsidRPr="00BC76A2">
        <w:rPr>
          <w:rFonts w:cs="Arial"/>
          <w:lang w:val="de-DE"/>
        </w:rPr>
        <w:t>Lehrgänge</w:t>
      </w:r>
      <w:r w:rsidR="00D60F2E" w:rsidRPr="00BC76A2">
        <w:rPr>
          <w:rFonts w:cs="Arial"/>
          <w:lang w:val="de-DE"/>
        </w:rPr>
        <w:t>)</w:t>
      </w:r>
      <w:r w:rsidR="000C3D1E" w:rsidRPr="00BC76A2">
        <w:rPr>
          <w:rFonts w:cs="Arial"/>
          <w:lang w:val="de-DE"/>
        </w:rPr>
        <w:t xml:space="preserve"> </w:t>
      </w:r>
      <w:r w:rsidRPr="00BC76A2">
        <w:rPr>
          <w:rFonts w:cs="Arial"/>
          <w:lang w:val="de-DE"/>
        </w:rPr>
        <w:t xml:space="preserve">DL-305 </w:t>
      </w:r>
      <w:r w:rsidR="000C3D1E" w:rsidRPr="00BC76A2">
        <w:rPr>
          <w:rFonts w:cs="Arial"/>
          <w:lang w:val="de-DE"/>
        </w:rPr>
        <w:t xml:space="preserve">zu ersetzen. Auf dieser Grundlage wird folgendes Programm für die Fernlehrgänge im Zeitraum </w:t>
      </w:r>
      <w:r w:rsidRPr="00BC76A2">
        <w:rPr>
          <w:rFonts w:cs="Arial"/>
          <w:lang w:val="de-DE"/>
        </w:rPr>
        <w:t>2014-2015</w:t>
      </w:r>
      <w:r w:rsidR="000C3D1E" w:rsidRPr="00BC76A2">
        <w:rPr>
          <w:rFonts w:cs="Arial"/>
          <w:lang w:val="de-DE"/>
        </w:rPr>
        <w:t xml:space="preserve"> vorgeschlagen</w:t>
      </w:r>
      <w:r w:rsidRPr="00BC76A2">
        <w:rPr>
          <w:rFonts w:cs="Arial"/>
          <w:lang w:val="de-DE"/>
        </w:rPr>
        <w:t>:</w:t>
      </w:r>
    </w:p>
    <w:p w:rsidR="005B50EC" w:rsidRPr="00BC76A2" w:rsidRDefault="005B50EC" w:rsidP="005B50EC">
      <w:pPr>
        <w:shd w:val="clear" w:color="auto" w:fill="FFFFFF" w:themeFill="background1"/>
        <w:rPr>
          <w:rFonts w:cs="Arial"/>
          <w:lang w:val="de-DE"/>
        </w:rPr>
      </w:pPr>
    </w:p>
    <w:p w:rsidR="005B50EC" w:rsidRPr="00BC76A2" w:rsidRDefault="007575C2" w:rsidP="005B50EC">
      <w:pPr>
        <w:shd w:val="clear" w:color="auto" w:fill="FFFFFF" w:themeFill="background1"/>
        <w:ind w:left="567"/>
        <w:rPr>
          <w:rFonts w:cs="Arial"/>
          <w:lang w:val="de-DE"/>
        </w:rPr>
      </w:pPr>
      <w:r w:rsidRPr="00BC76A2">
        <w:rPr>
          <w:rFonts w:cs="Arial"/>
          <w:lang w:val="de-DE"/>
        </w:rPr>
        <w:t xml:space="preserve">31. </w:t>
      </w:r>
      <w:r w:rsidR="00C47C71" w:rsidRPr="00BC76A2">
        <w:rPr>
          <w:rFonts w:cs="Arial"/>
          <w:lang w:val="de-DE"/>
        </w:rPr>
        <w:t>März</w:t>
      </w:r>
      <w:r w:rsidR="005B50EC" w:rsidRPr="00BC76A2">
        <w:rPr>
          <w:rFonts w:cs="Arial"/>
          <w:lang w:val="de-DE"/>
        </w:rPr>
        <w:t xml:space="preserve"> </w:t>
      </w:r>
      <w:r w:rsidRPr="00BC76A2">
        <w:rPr>
          <w:rFonts w:cs="Arial"/>
          <w:lang w:val="de-DE"/>
        </w:rPr>
        <w:t>bis</w:t>
      </w:r>
      <w:r w:rsidR="0020309F" w:rsidRPr="00BC76A2">
        <w:rPr>
          <w:rFonts w:cs="Arial"/>
          <w:lang w:val="de-DE"/>
        </w:rPr>
        <w:t xml:space="preserve"> </w:t>
      </w:r>
      <w:r w:rsidRPr="00BC76A2">
        <w:rPr>
          <w:rFonts w:cs="Arial"/>
          <w:lang w:val="de-DE"/>
        </w:rPr>
        <w:t>11.</w:t>
      </w:r>
      <w:r w:rsidR="005B50EC" w:rsidRPr="00BC76A2">
        <w:rPr>
          <w:rFonts w:cs="Arial"/>
          <w:lang w:val="de-DE"/>
        </w:rPr>
        <w:t xml:space="preserve"> Ma</w:t>
      </w:r>
      <w:r w:rsidRPr="00BC76A2">
        <w:rPr>
          <w:rFonts w:cs="Arial"/>
          <w:lang w:val="de-DE"/>
        </w:rPr>
        <w:t>i</w:t>
      </w:r>
      <w:r w:rsidR="005B50EC" w:rsidRPr="00BC76A2">
        <w:rPr>
          <w:rFonts w:cs="Arial"/>
          <w:lang w:val="de-DE"/>
        </w:rPr>
        <w:t xml:space="preserve"> 2014</w:t>
      </w:r>
      <w:r w:rsidR="005B50EC" w:rsidRPr="00BC76A2">
        <w:rPr>
          <w:rFonts w:cs="Arial"/>
          <w:lang w:val="de-DE"/>
        </w:rPr>
        <w:tab/>
      </w:r>
      <w:r w:rsidR="005B50EC" w:rsidRPr="00BC76A2">
        <w:rPr>
          <w:rFonts w:cs="Arial"/>
          <w:lang w:val="de-DE"/>
        </w:rPr>
        <w:tab/>
      </w:r>
      <w:r w:rsidRPr="00BC76A2">
        <w:rPr>
          <w:rFonts w:cs="Arial"/>
          <w:lang w:val="de-DE"/>
        </w:rPr>
        <w:tab/>
        <w:t xml:space="preserve">Einzellehrgang </w:t>
      </w:r>
      <w:r w:rsidR="005B50EC" w:rsidRPr="00BC76A2">
        <w:rPr>
          <w:rFonts w:cs="Arial"/>
          <w:lang w:val="de-DE"/>
        </w:rPr>
        <w:t>DL-305 (</w:t>
      </w:r>
      <w:r w:rsidRPr="00BC76A2">
        <w:rPr>
          <w:rFonts w:cs="Arial"/>
          <w:lang w:val="de-DE"/>
        </w:rPr>
        <w:t xml:space="preserve">nur in </w:t>
      </w:r>
      <w:r w:rsidR="005B50EC" w:rsidRPr="00BC76A2">
        <w:rPr>
          <w:rFonts w:cs="Arial"/>
          <w:lang w:val="de-DE"/>
        </w:rPr>
        <w:t>Englis</w:t>
      </w:r>
      <w:r w:rsidRPr="00BC76A2">
        <w:rPr>
          <w:rFonts w:cs="Arial"/>
          <w:lang w:val="de-DE"/>
        </w:rPr>
        <w:t>c</w:t>
      </w:r>
      <w:r w:rsidR="005B50EC" w:rsidRPr="00BC76A2">
        <w:rPr>
          <w:rFonts w:cs="Arial"/>
          <w:lang w:val="de-DE"/>
        </w:rPr>
        <w:t>h)</w:t>
      </w:r>
    </w:p>
    <w:p w:rsidR="005B50EC" w:rsidRPr="00BC76A2" w:rsidRDefault="007575C2" w:rsidP="005B50EC">
      <w:pPr>
        <w:shd w:val="clear" w:color="auto" w:fill="FFFFFF" w:themeFill="background1"/>
        <w:ind w:left="567"/>
        <w:rPr>
          <w:rFonts w:cs="Arial"/>
          <w:lang w:val="de-DE"/>
        </w:rPr>
      </w:pPr>
      <w:r w:rsidRPr="00BC76A2">
        <w:rPr>
          <w:rFonts w:cs="Arial"/>
          <w:lang w:val="de-DE"/>
        </w:rPr>
        <w:t xml:space="preserve">5. </w:t>
      </w:r>
      <w:r w:rsidR="005B50EC" w:rsidRPr="00BC76A2">
        <w:rPr>
          <w:rFonts w:cs="Arial"/>
          <w:lang w:val="de-DE"/>
        </w:rPr>
        <w:t>Ma</w:t>
      </w:r>
      <w:r w:rsidR="00D60F2E" w:rsidRPr="00BC76A2">
        <w:rPr>
          <w:rFonts w:cs="Arial"/>
          <w:lang w:val="de-DE"/>
        </w:rPr>
        <w:t>i</w:t>
      </w:r>
      <w:r w:rsidRPr="00BC76A2">
        <w:rPr>
          <w:rFonts w:cs="Arial"/>
          <w:lang w:val="de-DE"/>
        </w:rPr>
        <w:t xml:space="preserve"> bis 8.</w:t>
      </w:r>
      <w:r w:rsidR="005B50EC" w:rsidRPr="00BC76A2">
        <w:rPr>
          <w:rFonts w:cs="Arial"/>
          <w:lang w:val="de-DE"/>
        </w:rPr>
        <w:t xml:space="preserve"> Jun</w:t>
      </w:r>
      <w:r w:rsidRPr="00BC76A2">
        <w:rPr>
          <w:rFonts w:cs="Arial"/>
          <w:lang w:val="de-DE"/>
        </w:rPr>
        <w:t>i</w:t>
      </w:r>
      <w:r w:rsidR="005B50EC" w:rsidRPr="00BC76A2">
        <w:rPr>
          <w:rFonts w:cs="Arial"/>
          <w:lang w:val="de-DE"/>
        </w:rPr>
        <w:t xml:space="preserve"> 2014</w:t>
      </w:r>
      <w:r w:rsidR="005B50EC" w:rsidRPr="00BC76A2">
        <w:rPr>
          <w:rFonts w:cs="Arial"/>
          <w:lang w:val="de-DE"/>
        </w:rPr>
        <w:tab/>
      </w:r>
      <w:r w:rsidR="005B50EC" w:rsidRPr="00BC76A2">
        <w:rPr>
          <w:rFonts w:cs="Arial"/>
          <w:lang w:val="de-DE"/>
        </w:rPr>
        <w:tab/>
      </w:r>
      <w:r w:rsidR="005B50EC" w:rsidRPr="00BC76A2">
        <w:rPr>
          <w:rFonts w:cs="Arial"/>
          <w:lang w:val="de-DE"/>
        </w:rPr>
        <w:tab/>
        <w:t>DL-205 (E, F, G, S)</w:t>
      </w:r>
    </w:p>
    <w:p w:rsidR="005B50EC" w:rsidRPr="00BC76A2" w:rsidRDefault="007575C2" w:rsidP="005B50EC">
      <w:pPr>
        <w:shd w:val="clear" w:color="auto" w:fill="FFFFFF" w:themeFill="background1"/>
        <w:ind w:left="567"/>
        <w:rPr>
          <w:rFonts w:cs="Arial"/>
          <w:lang w:val="de-DE"/>
        </w:rPr>
      </w:pPr>
      <w:r w:rsidRPr="00BC76A2">
        <w:rPr>
          <w:rFonts w:cs="Arial"/>
          <w:lang w:val="de-DE"/>
        </w:rPr>
        <w:t xml:space="preserve">6. </w:t>
      </w:r>
      <w:r w:rsidR="00C47C71" w:rsidRPr="00BC76A2">
        <w:rPr>
          <w:rFonts w:cs="Arial"/>
          <w:lang w:val="de-DE"/>
        </w:rPr>
        <w:t>Oktober</w:t>
      </w:r>
      <w:r w:rsidR="005B50EC" w:rsidRPr="00BC76A2">
        <w:rPr>
          <w:rFonts w:cs="Arial"/>
          <w:lang w:val="de-DE"/>
        </w:rPr>
        <w:t xml:space="preserve"> </w:t>
      </w:r>
      <w:r w:rsidRPr="00BC76A2">
        <w:rPr>
          <w:rFonts w:cs="Arial"/>
          <w:lang w:val="de-DE"/>
        </w:rPr>
        <w:t>bis 9.</w:t>
      </w:r>
      <w:r w:rsidR="005B50EC" w:rsidRPr="00BC76A2">
        <w:rPr>
          <w:rFonts w:cs="Arial"/>
          <w:lang w:val="de-DE"/>
        </w:rPr>
        <w:t xml:space="preserve"> November 2014</w:t>
      </w:r>
      <w:r w:rsidR="005B50EC" w:rsidRPr="00BC76A2">
        <w:rPr>
          <w:rFonts w:cs="Arial"/>
          <w:lang w:val="de-DE"/>
        </w:rPr>
        <w:tab/>
        <w:t>DL-205 (E, F, G, S)</w:t>
      </w:r>
    </w:p>
    <w:p w:rsidR="005B50EC" w:rsidRPr="00BC76A2" w:rsidRDefault="005B50EC" w:rsidP="005B50EC">
      <w:pPr>
        <w:shd w:val="clear" w:color="auto" w:fill="FFFFFF" w:themeFill="background1"/>
        <w:ind w:left="567"/>
        <w:rPr>
          <w:rFonts w:cs="Arial"/>
          <w:lang w:val="de-DE"/>
        </w:rPr>
      </w:pPr>
    </w:p>
    <w:p w:rsidR="005B50EC" w:rsidRPr="00BC76A2" w:rsidRDefault="005B50EC" w:rsidP="005B50EC">
      <w:pPr>
        <w:shd w:val="clear" w:color="auto" w:fill="FFFFFF" w:themeFill="background1"/>
        <w:ind w:left="567"/>
        <w:rPr>
          <w:rFonts w:cs="Arial"/>
          <w:lang w:val="de-DE"/>
        </w:rPr>
      </w:pPr>
      <w:r w:rsidRPr="00BC76A2">
        <w:rPr>
          <w:rFonts w:cs="Arial"/>
          <w:lang w:val="de-DE"/>
        </w:rPr>
        <w:t>Februar/</w:t>
      </w:r>
      <w:r w:rsidR="00C47C71" w:rsidRPr="00BC76A2">
        <w:rPr>
          <w:rFonts w:cs="Arial"/>
          <w:lang w:val="de-DE"/>
        </w:rPr>
        <w:t>März</w:t>
      </w:r>
      <w:r w:rsidRPr="00BC76A2">
        <w:rPr>
          <w:rFonts w:cs="Arial"/>
          <w:lang w:val="de-DE"/>
        </w:rPr>
        <w:t xml:space="preserve"> 2015</w:t>
      </w:r>
      <w:r w:rsidRPr="00BC76A2">
        <w:rPr>
          <w:rFonts w:cs="Arial"/>
          <w:lang w:val="de-DE"/>
        </w:rPr>
        <w:tab/>
      </w:r>
      <w:r w:rsidRPr="00BC76A2">
        <w:rPr>
          <w:rFonts w:cs="Arial"/>
          <w:lang w:val="de-DE"/>
        </w:rPr>
        <w:tab/>
      </w:r>
      <w:r w:rsidRPr="00BC76A2">
        <w:rPr>
          <w:rFonts w:cs="Arial"/>
          <w:lang w:val="de-DE"/>
        </w:rPr>
        <w:tab/>
      </w:r>
      <w:r w:rsidR="007575C2" w:rsidRPr="00BC76A2">
        <w:rPr>
          <w:rFonts w:cs="Arial"/>
          <w:lang w:val="de-DE"/>
        </w:rPr>
        <w:tab/>
        <w:t xml:space="preserve">Einzellehrgang </w:t>
      </w:r>
      <w:r w:rsidRPr="00BC76A2">
        <w:rPr>
          <w:rFonts w:cs="Arial"/>
          <w:lang w:val="de-DE"/>
        </w:rPr>
        <w:t>DL-305 (E, F, S) o</w:t>
      </w:r>
      <w:r w:rsidR="007575C2" w:rsidRPr="00BC76A2">
        <w:rPr>
          <w:rFonts w:cs="Arial"/>
          <w:lang w:val="de-DE"/>
        </w:rPr>
        <w:t>de</w:t>
      </w:r>
      <w:r w:rsidRPr="00BC76A2">
        <w:rPr>
          <w:rFonts w:cs="Arial"/>
          <w:lang w:val="de-DE"/>
        </w:rPr>
        <w:t>r DL-305-1 (E, F, S)</w:t>
      </w:r>
    </w:p>
    <w:p w:rsidR="005B50EC" w:rsidRPr="00BC76A2" w:rsidRDefault="005B50EC" w:rsidP="005B50EC">
      <w:pPr>
        <w:shd w:val="clear" w:color="auto" w:fill="FFFFFF" w:themeFill="background1"/>
        <w:ind w:left="567"/>
        <w:rPr>
          <w:rFonts w:cs="Arial"/>
          <w:lang w:val="de-DE"/>
        </w:rPr>
      </w:pPr>
      <w:r w:rsidRPr="00BC76A2">
        <w:rPr>
          <w:rFonts w:cs="Arial"/>
          <w:lang w:val="de-DE"/>
        </w:rPr>
        <w:t>April/Ma</w:t>
      </w:r>
      <w:r w:rsidR="007575C2" w:rsidRPr="00BC76A2">
        <w:rPr>
          <w:rFonts w:cs="Arial"/>
          <w:lang w:val="de-DE"/>
        </w:rPr>
        <w:t>i</w:t>
      </w:r>
      <w:r w:rsidRPr="00BC76A2">
        <w:rPr>
          <w:rFonts w:cs="Arial"/>
          <w:lang w:val="de-DE"/>
        </w:rPr>
        <w:t xml:space="preserve"> 2015</w:t>
      </w:r>
      <w:r w:rsidRPr="00BC76A2">
        <w:rPr>
          <w:rFonts w:cs="Arial"/>
          <w:lang w:val="de-DE"/>
        </w:rPr>
        <w:tab/>
      </w:r>
      <w:r w:rsidRPr="00BC76A2">
        <w:rPr>
          <w:rFonts w:cs="Arial"/>
          <w:lang w:val="de-DE"/>
        </w:rPr>
        <w:tab/>
      </w:r>
      <w:r w:rsidRPr="00BC76A2">
        <w:rPr>
          <w:rFonts w:cs="Arial"/>
          <w:lang w:val="de-DE"/>
        </w:rPr>
        <w:tab/>
      </w:r>
      <w:r w:rsidRPr="00BC76A2">
        <w:rPr>
          <w:rFonts w:cs="Arial"/>
          <w:lang w:val="de-DE"/>
        </w:rPr>
        <w:tab/>
        <w:t>DL-305-2 (E, F, S)</w:t>
      </w:r>
    </w:p>
    <w:p w:rsidR="005B50EC" w:rsidRPr="00BC76A2" w:rsidRDefault="005B50EC" w:rsidP="005B50EC">
      <w:pPr>
        <w:shd w:val="clear" w:color="auto" w:fill="FFFFFF" w:themeFill="background1"/>
        <w:ind w:left="567"/>
        <w:rPr>
          <w:rFonts w:cs="Arial"/>
          <w:lang w:val="de-DE"/>
        </w:rPr>
      </w:pPr>
    </w:p>
    <w:p w:rsidR="005B50EC" w:rsidRPr="00BC76A2" w:rsidRDefault="00C47C71" w:rsidP="005B50EC">
      <w:pPr>
        <w:shd w:val="clear" w:color="auto" w:fill="FFFFFF" w:themeFill="background1"/>
        <w:ind w:left="567"/>
        <w:rPr>
          <w:rFonts w:cs="Arial"/>
          <w:lang w:val="de-DE"/>
        </w:rPr>
      </w:pPr>
      <w:r w:rsidRPr="00BC76A2">
        <w:rPr>
          <w:rFonts w:cs="Arial"/>
          <w:lang w:val="de-DE"/>
        </w:rPr>
        <w:t>Oktober</w:t>
      </w:r>
      <w:r w:rsidR="005B50EC" w:rsidRPr="00BC76A2">
        <w:rPr>
          <w:rFonts w:cs="Arial"/>
          <w:lang w:val="de-DE"/>
        </w:rPr>
        <w:t>/November 2015</w:t>
      </w:r>
      <w:r w:rsidR="005B50EC" w:rsidRPr="00BC76A2">
        <w:rPr>
          <w:rFonts w:cs="Arial"/>
          <w:lang w:val="de-DE"/>
        </w:rPr>
        <w:tab/>
      </w:r>
      <w:r w:rsidR="005B50EC" w:rsidRPr="00BC76A2">
        <w:rPr>
          <w:rFonts w:cs="Arial"/>
          <w:lang w:val="de-DE"/>
        </w:rPr>
        <w:tab/>
      </w:r>
      <w:r w:rsidR="005B50EC" w:rsidRPr="00BC76A2">
        <w:rPr>
          <w:rFonts w:cs="Arial"/>
          <w:lang w:val="de-DE"/>
        </w:rPr>
        <w:tab/>
        <w:t>DL-205 (E, F, G, S)</w:t>
      </w:r>
    </w:p>
    <w:p w:rsidR="005B50EC" w:rsidRPr="00BC76A2" w:rsidRDefault="005B50EC" w:rsidP="005B50EC">
      <w:pPr>
        <w:shd w:val="clear" w:color="auto" w:fill="FFFFFF" w:themeFill="background1"/>
        <w:rPr>
          <w:rFonts w:cs="Arial"/>
          <w:lang w:val="de-DE"/>
        </w:rPr>
      </w:pPr>
    </w:p>
    <w:p w:rsidR="005B50EC" w:rsidRPr="00BC76A2" w:rsidRDefault="005B50EC" w:rsidP="005B50EC">
      <w:pPr>
        <w:shd w:val="clear" w:color="auto" w:fill="FFFFFF" w:themeFill="background1"/>
        <w:rPr>
          <w:rFonts w:cs="Arial"/>
          <w:lang w:val="de-DE"/>
        </w:rPr>
      </w:pPr>
      <w:r w:rsidRPr="00BC76A2">
        <w:rPr>
          <w:rFonts w:cs="Arial"/>
          <w:lang w:val="de-DE"/>
        </w:rPr>
        <w:fldChar w:fldCharType="begin"/>
      </w:r>
      <w:r w:rsidRPr="00BC76A2">
        <w:rPr>
          <w:rFonts w:cs="Arial"/>
          <w:lang w:val="de-DE"/>
        </w:rPr>
        <w:instrText xml:space="preserve"> AUTONUM  </w:instrText>
      </w:r>
      <w:r w:rsidRPr="00BC76A2">
        <w:rPr>
          <w:rFonts w:cs="Arial"/>
          <w:lang w:val="de-DE"/>
        </w:rPr>
        <w:fldChar w:fldCharType="end"/>
      </w:r>
      <w:r w:rsidRPr="00BC76A2">
        <w:rPr>
          <w:rFonts w:cs="Arial"/>
          <w:lang w:val="de-DE"/>
        </w:rPr>
        <w:tab/>
      </w:r>
      <w:r w:rsidR="007575C2" w:rsidRPr="00BC76A2">
        <w:rPr>
          <w:rFonts w:cs="Arial"/>
          <w:lang w:val="de-DE"/>
        </w:rPr>
        <w:t>Die deutsche Fassung des Lehrgangs</w:t>
      </w:r>
      <w:r w:rsidRPr="00BC76A2">
        <w:rPr>
          <w:rFonts w:cs="Arial"/>
          <w:lang w:val="de-DE"/>
        </w:rPr>
        <w:t xml:space="preserve"> DL-305 </w:t>
      </w:r>
      <w:r w:rsidR="007575C2" w:rsidRPr="00BC76A2">
        <w:rPr>
          <w:rFonts w:cs="Arial"/>
          <w:lang w:val="de-DE"/>
        </w:rPr>
        <w:t>soll 2016 eingeführt werden.</w:t>
      </w:r>
    </w:p>
    <w:p w:rsidR="005B50EC" w:rsidRPr="00BC76A2" w:rsidRDefault="005B50EC" w:rsidP="005902E4">
      <w:pPr>
        <w:rPr>
          <w:rFonts w:cs="Arial"/>
          <w:snapToGrid w:val="0"/>
          <w:lang w:val="de-DE"/>
        </w:rPr>
      </w:pPr>
    </w:p>
    <w:p w:rsidR="001F4113" w:rsidRPr="00BC76A2" w:rsidRDefault="001F4113" w:rsidP="00D135ED">
      <w:pPr>
        <w:pStyle w:val="Heading1"/>
        <w:rPr>
          <w:snapToGrid w:val="0"/>
          <w:lang w:val="de-DE"/>
        </w:rPr>
      </w:pPr>
    </w:p>
    <w:p w:rsidR="001F4113" w:rsidRPr="00BC76A2" w:rsidRDefault="00072650" w:rsidP="00D135ED">
      <w:pPr>
        <w:pStyle w:val="Heading1"/>
        <w:rPr>
          <w:snapToGrid w:val="0"/>
          <w:lang w:val="de-DE"/>
        </w:rPr>
      </w:pPr>
      <w:bookmarkStart w:id="109" w:name="_Toc380391636"/>
      <w:bookmarkStart w:id="110" w:name="_Toc380419876"/>
      <w:bookmarkStart w:id="111" w:name="_Toc380483676"/>
      <w:r w:rsidRPr="00BC76A2">
        <w:rPr>
          <w:snapToGrid w:val="0"/>
          <w:lang w:val="de-DE"/>
        </w:rPr>
        <w:t>entwicklungen von belang für die upov auf anderen internationalen foren</w:t>
      </w:r>
      <w:bookmarkEnd w:id="109"/>
      <w:bookmarkEnd w:id="110"/>
      <w:bookmarkEnd w:id="111"/>
    </w:p>
    <w:p w:rsidR="001F4113" w:rsidRPr="00BC76A2" w:rsidRDefault="001F4113" w:rsidP="009678DE">
      <w:pPr>
        <w:keepNext/>
        <w:rPr>
          <w:snapToGrid w:val="0"/>
          <w:lang w:val="de-DE"/>
        </w:rPr>
      </w:pPr>
    </w:p>
    <w:p w:rsidR="001F4113" w:rsidRPr="00BC76A2" w:rsidRDefault="00072650" w:rsidP="006A4A4E">
      <w:pPr>
        <w:pStyle w:val="Heading2"/>
        <w:rPr>
          <w:lang w:val="de-DE"/>
        </w:rPr>
      </w:pPr>
      <w:bookmarkStart w:id="112" w:name="_Toc379530090"/>
      <w:bookmarkStart w:id="113" w:name="_Toc380391637"/>
      <w:bookmarkStart w:id="114" w:name="_Toc380419877"/>
      <w:bookmarkStart w:id="115" w:name="_Toc380483677"/>
      <w:r w:rsidRPr="00BC76A2">
        <w:rPr>
          <w:lang w:val="de-DE"/>
        </w:rPr>
        <w:t xml:space="preserve">Internationaler Vertrag über pflanzengenetische Ressourcen für Ernährung und Landwirtschaft </w:t>
      </w:r>
      <w:r w:rsidR="001F4113" w:rsidRPr="00BC76A2">
        <w:rPr>
          <w:lang w:val="de-DE"/>
        </w:rPr>
        <w:t>(ITPGRFA)</w:t>
      </w:r>
      <w:bookmarkEnd w:id="112"/>
      <w:bookmarkEnd w:id="113"/>
      <w:bookmarkEnd w:id="114"/>
      <w:bookmarkEnd w:id="115"/>
    </w:p>
    <w:p w:rsidR="001F4113" w:rsidRPr="00BC76A2" w:rsidRDefault="001F4113" w:rsidP="009678DE">
      <w:pPr>
        <w:keepNext/>
        <w:rPr>
          <w:snapToGrid w:val="0"/>
          <w:lang w:val="de-DE"/>
        </w:rPr>
      </w:pPr>
    </w:p>
    <w:p w:rsidR="001F4113" w:rsidRPr="00BC76A2" w:rsidRDefault="001F4113" w:rsidP="00574BB5">
      <w:pPr>
        <w:pStyle w:val="Heading3"/>
        <w:rPr>
          <w:lang w:val="de-DE"/>
        </w:rPr>
      </w:pPr>
      <w:bookmarkStart w:id="116" w:name="_Toc379530091"/>
      <w:bookmarkStart w:id="117" w:name="_Toc380391638"/>
      <w:bookmarkStart w:id="118" w:name="_Toc380419878"/>
      <w:bookmarkStart w:id="119" w:name="_Toc380483678"/>
      <w:r w:rsidRPr="00BC76A2">
        <w:rPr>
          <w:snapToGrid w:val="0"/>
          <w:lang w:val="de-DE"/>
        </w:rPr>
        <w:t>ITPGRFA</w:t>
      </w:r>
      <w:r w:rsidR="00072650" w:rsidRPr="00BC76A2">
        <w:rPr>
          <w:snapToGrid w:val="0"/>
          <w:lang w:val="de-DE"/>
        </w:rPr>
        <w:t>-</w:t>
      </w:r>
      <w:bookmarkStart w:id="120" w:name="_Toc333514853"/>
      <w:bookmarkStart w:id="121" w:name="_Toc334527800"/>
      <w:bookmarkStart w:id="122" w:name="_Toc335060372"/>
      <w:bookmarkStart w:id="123" w:name="_Toc335290892"/>
      <w:bookmarkStart w:id="124" w:name="_Toc335466331"/>
      <w:bookmarkStart w:id="125" w:name="_Toc335553417"/>
      <w:bookmarkStart w:id="126" w:name="_Toc335556574"/>
      <w:bookmarkEnd w:id="116"/>
      <w:r w:rsidR="00072650" w:rsidRPr="00BC76A2">
        <w:rPr>
          <w:snapToGrid w:val="0"/>
          <w:lang w:val="de-DE"/>
        </w:rPr>
        <w:t>Plattform für die gemeinsame Entwicklung und den Transfer von Technologie</w:t>
      </w:r>
      <w:bookmarkEnd w:id="120"/>
      <w:bookmarkEnd w:id="121"/>
      <w:bookmarkEnd w:id="122"/>
      <w:r w:rsidR="00072650" w:rsidRPr="00BC76A2">
        <w:rPr>
          <w:snapToGrid w:val="0"/>
          <w:lang w:val="de-DE"/>
        </w:rPr>
        <w:t>n</w:t>
      </w:r>
      <w:bookmarkEnd w:id="117"/>
      <w:bookmarkEnd w:id="118"/>
      <w:bookmarkEnd w:id="119"/>
      <w:bookmarkEnd w:id="123"/>
      <w:bookmarkEnd w:id="124"/>
      <w:bookmarkEnd w:id="125"/>
      <w:bookmarkEnd w:id="126"/>
    </w:p>
    <w:p w:rsidR="001F4113" w:rsidRPr="00BC76A2" w:rsidRDefault="001F4113" w:rsidP="009678DE">
      <w:pPr>
        <w:keepNext/>
        <w:rPr>
          <w:snapToGrid w:val="0"/>
          <w:lang w:val="de-DE"/>
        </w:rPr>
      </w:pPr>
    </w:p>
    <w:p w:rsidR="001F4113" w:rsidRPr="00BC76A2" w:rsidRDefault="001F4113" w:rsidP="001F4113">
      <w:pPr>
        <w:rPr>
          <w:snapToGrid w:val="0"/>
          <w:lang w:val="de-DE"/>
        </w:rPr>
      </w:pPr>
      <w:r w:rsidRPr="00BC76A2">
        <w:rPr>
          <w:snapToGrid w:val="0"/>
          <w:lang w:val="de-DE"/>
        </w:rPr>
        <w:fldChar w:fldCharType="begin"/>
      </w:r>
      <w:r w:rsidRPr="00BC76A2">
        <w:rPr>
          <w:snapToGrid w:val="0"/>
          <w:lang w:val="de-DE"/>
        </w:rPr>
        <w:instrText xml:space="preserve"> AUTONUM  </w:instrText>
      </w:r>
      <w:r w:rsidRPr="00BC76A2">
        <w:rPr>
          <w:snapToGrid w:val="0"/>
          <w:lang w:val="de-DE"/>
        </w:rPr>
        <w:fldChar w:fldCharType="end"/>
      </w:r>
      <w:r w:rsidRPr="00BC76A2">
        <w:rPr>
          <w:snapToGrid w:val="0"/>
          <w:lang w:val="de-DE"/>
        </w:rPr>
        <w:tab/>
        <w:t>I</w:t>
      </w:r>
      <w:r w:rsidR="00072650" w:rsidRPr="00BC76A2">
        <w:rPr>
          <w:snapToGrid w:val="0"/>
          <w:lang w:val="de-DE"/>
        </w:rPr>
        <w:t>m Jahre</w:t>
      </w:r>
      <w:r w:rsidRPr="00BC76A2">
        <w:rPr>
          <w:snapToGrid w:val="0"/>
          <w:lang w:val="de-DE"/>
        </w:rPr>
        <w:t xml:space="preserve"> 2012</w:t>
      </w:r>
      <w:r w:rsidR="00072650" w:rsidRPr="00BC76A2">
        <w:rPr>
          <w:snapToGrid w:val="0"/>
          <w:lang w:val="de-DE"/>
        </w:rPr>
        <w:t xml:space="preserve"> billigten </w:t>
      </w:r>
      <w:r w:rsidR="00D07B04" w:rsidRPr="00BC76A2">
        <w:rPr>
          <w:rFonts w:cs="Arial"/>
          <w:lang w:val="de-DE"/>
        </w:rPr>
        <w:t xml:space="preserve">die Verbandsmitglieder die Teilnahme des Verbandsbüros an der Plattform für die gemeinsame Entwicklung und den Transfer von Technologien im Rahmen des Internationalen Vertrags über pflanzengenetische Ressourcen für Ernährung und Landwirtschaft (ITPGRFA) </w:t>
      </w:r>
      <w:r w:rsidRPr="00BC76A2">
        <w:rPr>
          <w:snapToGrid w:val="0"/>
          <w:lang w:val="de-DE"/>
        </w:rPr>
        <w:t>(</w:t>
      </w:r>
      <w:r w:rsidR="003C2AFD" w:rsidRPr="00BC76A2">
        <w:rPr>
          <w:snapToGrid w:val="0"/>
          <w:lang w:val="de-DE"/>
        </w:rPr>
        <w:t>vergleiche Dokument</w:t>
      </w:r>
      <w:r w:rsidR="0020309F" w:rsidRPr="00BC76A2">
        <w:rPr>
          <w:snapToGrid w:val="0"/>
          <w:lang w:val="de-DE"/>
        </w:rPr>
        <w:t> </w:t>
      </w:r>
      <w:r w:rsidRPr="00BC76A2">
        <w:rPr>
          <w:snapToGrid w:val="0"/>
          <w:lang w:val="de-DE"/>
        </w:rPr>
        <w:t>C/46/19</w:t>
      </w:r>
      <w:r w:rsidR="00D07B04" w:rsidRPr="00BC76A2">
        <w:rPr>
          <w:snapToGrid w:val="0"/>
          <w:lang w:val="de-DE"/>
        </w:rPr>
        <w:t xml:space="preserve"> „Bericht“,</w:t>
      </w:r>
      <w:r w:rsidRPr="00BC76A2">
        <w:rPr>
          <w:snapToGrid w:val="0"/>
          <w:lang w:val="de-DE"/>
        </w:rPr>
        <w:t xml:space="preserve"> An</w:t>
      </w:r>
      <w:r w:rsidR="00D07B04" w:rsidRPr="00BC76A2">
        <w:rPr>
          <w:snapToGrid w:val="0"/>
          <w:lang w:val="de-DE"/>
        </w:rPr>
        <w:t>lage</w:t>
      </w:r>
      <w:r w:rsidRPr="00BC76A2">
        <w:rPr>
          <w:snapToGrid w:val="0"/>
          <w:lang w:val="de-DE"/>
        </w:rPr>
        <w:t xml:space="preserve"> I</w:t>
      </w:r>
      <w:r w:rsidR="00D07B04" w:rsidRPr="00BC76A2">
        <w:rPr>
          <w:snapToGrid w:val="0"/>
          <w:lang w:val="de-DE"/>
        </w:rPr>
        <w:t>I</w:t>
      </w:r>
      <w:r w:rsidRPr="00BC76A2">
        <w:rPr>
          <w:snapToGrid w:val="0"/>
          <w:lang w:val="de-DE"/>
        </w:rPr>
        <w:t>I</w:t>
      </w:r>
      <w:r w:rsidR="00D07B04" w:rsidRPr="00BC76A2">
        <w:rPr>
          <w:snapToGrid w:val="0"/>
          <w:lang w:val="de-DE"/>
        </w:rPr>
        <w:t>,</w:t>
      </w:r>
      <w:r w:rsidRPr="00BC76A2">
        <w:rPr>
          <w:snapToGrid w:val="0"/>
          <w:lang w:val="de-DE"/>
        </w:rPr>
        <w:t xml:space="preserve"> </w:t>
      </w:r>
      <w:r w:rsidR="00D07B04" w:rsidRPr="00BC76A2">
        <w:rPr>
          <w:snapToGrid w:val="0"/>
          <w:lang w:val="de-DE"/>
        </w:rPr>
        <w:t>„Pressemitteilung“</w:t>
      </w:r>
      <w:r w:rsidRPr="00BC76A2">
        <w:rPr>
          <w:snapToGrid w:val="0"/>
          <w:lang w:val="de-DE"/>
        </w:rPr>
        <w:t>).</w:t>
      </w:r>
    </w:p>
    <w:p w:rsidR="001F4113" w:rsidRPr="00BC76A2" w:rsidRDefault="001F4113" w:rsidP="001F4113">
      <w:pPr>
        <w:rPr>
          <w:snapToGrid w:val="0"/>
          <w:lang w:val="de-DE"/>
        </w:rPr>
      </w:pPr>
    </w:p>
    <w:p w:rsidR="001F4113" w:rsidRPr="00BC76A2" w:rsidRDefault="00D07B04" w:rsidP="00574BB5">
      <w:pPr>
        <w:pStyle w:val="Heading3"/>
        <w:rPr>
          <w:snapToGrid w:val="0"/>
          <w:lang w:val="de-DE"/>
        </w:rPr>
      </w:pPr>
      <w:bookmarkStart w:id="127" w:name="_Toc380391639"/>
      <w:bookmarkStart w:id="128" w:name="_Toc380419879"/>
      <w:bookmarkStart w:id="129" w:name="_Toc380483679"/>
      <w:r w:rsidRPr="00BC76A2">
        <w:rPr>
          <w:lang w:val="de-DE"/>
        </w:rPr>
        <w:t>Öffentlich-</w:t>
      </w:r>
      <w:r w:rsidR="00A07556" w:rsidRPr="00BC76A2">
        <w:rPr>
          <w:lang w:val="de-DE"/>
        </w:rPr>
        <w:t>rechtliche</w:t>
      </w:r>
      <w:r w:rsidRPr="00BC76A2">
        <w:rPr>
          <w:lang w:val="de-DE"/>
        </w:rPr>
        <w:t xml:space="preserve"> Partnerschaften bei der </w:t>
      </w:r>
      <w:r w:rsidR="00A07556" w:rsidRPr="00BC76A2">
        <w:rPr>
          <w:lang w:val="de-DE"/>
        </w:rPr>
        <w:t>Vorzucht</w:t>
      </w:r>
      <w:bookmarkEnd w:id="127"/>
      <w:bookmarkEnd w:id="128"/>
      <w:bookmarkEnd w:id="129"/>
    </w:p>
    <w:p w:rsidR="001F4113" w:rsidRPr="00BC76A2" w:rsidRDefault="001F4113" w:rsidP="001F4113">
      <w:pPr>
        <w:rPr>
          <w:snapToGrid w:val="0"/>
          <w:lang w:val="de-DE"/>
        </w:rPr>
      </w:pPr>
    </w:p>
    <w:p w:rsidR="001F4113" w:rsidRPr="00BC76A2" w:rsidRDefault="001F4113" w:rsidP="001F4113">
      <w:pPr>
        <w:rPr>
          <w:snapToGrid w:val="0"/>
          <w:lang w:val="de-DE"/>
        </w:rPr>
      </w:pPr>
      <w:r w:rsidRPr="00BC76A2">
        <w:rPr>
          <w:snapToGrid w:val="0"/>
          <w:lang w:val="de-DE"/>
        </w:rPr>
        <w:fldChar w:fldCharType="begin"/>
      </w:r>
      <w:r w:rsidRPr="00BC76A2">
        <w:rPr>
          <w:snapToGrid w:val="0"/>
          <w:lang w:val="de-DE"/>
        </w:rPr>
        <w:instrText xml:space="preserve"> AUTONUM  </w:instrText>
      </w:r>
      <w:r w:rsidRPr="00BC76A2">
        <w:rPr>
          <w:snapToGrid w:val="0"/>
          <w:lang w:val="de-DE"/>
        </w:rPr>
        <w:fldChar w:fldCharType="end"/>
      </w:r>
      <w:r w:rsidRPr="00BC76A2">
        <w:rPr>
          <w:snapToGrid w:val="0"/>
          <w:lang w:val="de-DE"/>
        </w:rPr>
        <w:tab/>
      </w:r>
      <w:r w:rsidR="00D07B04" w:rsidRPr="00BC76A2">
        <w:rPr>
          <w:szCs w:val="24"/>
          <w:lang w:val="de-DE"/>
        </w:rPr>
        <w:t xml:space="preserve">Auf Antrag des Teams „Pflanzengenetische Ressourcen und Saatgut“ der Ernährungs- und Landwirtschaftsorganisation der Vereinten Nationen (FAO) und einer Reihe anderer funktionaler Einheiten, im </w:t>
      </w:r>
      <w:r w:rsidR="00903632" w:rsidRPr="00BC76A2">
        <w:rPr>
          <w:szCs w:val="24"/>
          <w:lang w:val="de-DE"/>
        </w:rPr>
        <w:t>b</w:t>
      </w:r>
      <w:r w:rsidR="00D07B04" w:rsidRPr="00BC76A2">
        <w:rPr>
          <w:szCs w:val="24"/>
          <w:lang w:val="de-DE"/>
        </w:rPr>
        <w:t>esonderen des Internationalen Vertrags über pflanzengenetische Ressourcen für Ernährung und Landwirtschaft, vereinbarten die UPOV-Mitglieder, daß das Verbandsbüro als Teil eines Multi</w:t>
      </w:r>
      <w:r w:rsidR="00D07B04" w:rsidRPr="00BC76A2">
        <w:rPr>
          <w:szCs w:val="24"/>
          <w:lang w:val="de-DE"/>
        </w:rPr>
        <w:noBreakHyphen/>
        <w:t>Stakeholder</w:t>
      </w:r>
      <w:r w:rsidR="00D07B04" w:rsidRPr="00BC76A2">
        <w:rPr>
          <w:szCs w:val="24"/>
          <w:lang w:val="de-DE"/>
        </w:rPr>
        <w:noBreakHyphen/>
        <w:t>Teams an der „Festlegung von Mechanismen zur Förderung öffentlich-</w:t>
      </w:r>
      <w:r w:rsidR="00A07556" w:rsidRPr="00BC76A2">
        <w:rPr>
          <w:szCs w:val="24"/>
          <w:lang w:val="de-DE"/>
        </w:rPr>
        <w:t>rechtlicher</w:t>
      </w:r>
      <w:r w:rsidR="00D07B04" w:rsidRPr="00BC76A2">
        <w:rPr>
          <w:szCs w:val="24"/>
          <w:lang w:val="de-DE"/>
        </w:rPr>
        <w:t xml:space="preserve"> Partnerschaften bei der Vorzucht“ arbeiten solle </w:t>
      </w:r>
      <w:r w:rsidRPr="00BC76A2">
        <w:rPr>
          <w:snapToGrid w:val="0"/>
          <w:lang w:val="de-DE"/>
        </w:rPr>
        <w:t>(</w:t>
      </w:r>
      <w:r w:rsidR="003C2AFD" w:rsidRPr="00BC76A2">
        <w:rPr>
          <w:snapToGrid w:val="0"/>
          <w:lang w:val="de-DE"/>
        </w:rPr>
        <w:t>vergleiche Dokument</w:t>
      </w:r>
      <w:r w:rsidRPr="00BC76A2">
        <w:rPr>
          <w:snapToGrid w:val="0"/>
          <w:lang w:val="de-DE"/>
        </w:rPr>
        <w:t xml:space="preserve"> C(Extr.)/30/8</w:t>
      </w:r>
      <w:r w:rsidR="00D07B04" w:rsidRPr="00BC76A2">
        <w:rPr>
          <w:snapToGrid w:val="0"/>
          <w:lang w:val="de-DE"/>
        </w:rPr>
        <w:t xml:space="preserve"> „Bericht“, Anlage III, „Pressemitteilung“</w:t>
      </w:r>
      <w:r w:rsidRPr="00BC76A2">
        <w:rPr>
          <w:snapToGrid w:val="0"/>
          <w:lang w:val="de-DE"/>
        </w:rPr>
        <w:t>).</w:t>
      </w:r>
    </w:p>
    <w:p w:rsidR="001F4113" w:rsidRPr="00BC76A2" w:rsidRDefault="001F4113" w:rsidP="001F4113">
      <w:pPr>
        <w:rPr>
          <w:snapToGrid w:val="0"/>
          <w:lang w:val="de-DE"/>
        </w:rPr>
      </w:pPr>
    </w:p>
    <w:p w:rsidR="001F4113" w:rsidRPr="00BC76A2" w:rsidRDefault="004C45BB" w:rsidP="00574BB5">
      <w:pPr>
        <w:pStyle w:val="Heading3"/>
        <w:rPr>
          <w:snapToGrid w:val="0"/>
          <w:lang w:val="de-DE"/>
        </w:rPr>
      </w:pPr>
      <w:bookmarkStart w:id="130" w:name="_Toc379530093"/>
      <w:bookmarkStart w:id="131" w:name="_Toc380391640"/>
      <w:bookmarkStart w:id="132" w:name="_Toc380419880"/>
      <w:bookmarkStart w:id="133" w:name="_Toc380483680"/>
      <w:r w:rsidRPr="00BC76A2">
        <w:rPr>
          <w:snapToGrid w:val="0"/>
          <w:lang w:val="de-DE"/>
        </w:rPr>
        <w:t>Wechselbeziehungen zwischen</w:t>
      </w:r>
      <w:r w:rsidR="001F4113" w:rsidRPr="00BC76A2">
        <w:rPr>
          <w:snapToGrid w:val="0"/>
          <w:lang w:val="de-DE"/>
        </w:rPr>
        <w:t xml:space="preserve"> ITPGRFA, UPOV </w:t>
      </w:r>
      <w:r w:rsidRPr="00BC76A2">
        <w:rPr>
          <w:snapToGrid w:val="0"/>
          <w:lang w:val="de-DE"/>
        </w:rPr>
        <w:t>u</w:t>
      </w:r>
      <w:r w:rsidR="001F4113" w:rsidRPr="00BC76A2">
        <w:rPr>
          <w:snapToGrid w:val="0"/>
          <w:lang w:val="de-DE"/>
        </w:rPr>
        <w:t>nd WIPO</w:t>
      </w:r>
      <w:bookmarkEnd w:id="130"/>
      <w:bookmarkEnd w:id="131"/>
      <w:bookmarkEnd w:id="132"/>
      <w:bookmarkEnd w:id="133"/>
    </w:p>
    <w:p w:rsidR="001F4113" w:rsidRPr="00BC76A2" w:rsidRDefault="001F4113" w:rsidP="001F4113">
      <w:pPr>
        <w:rPr>
          <w:snapToGrid w:val="0"/>
          <w:lang w:val="de-DE"/>
        </w:rPr>
      </w:pPr>
    </w:p>
    <w:p w:rsidR="001F4113" w:rsidRPr="00BC76A2" w:rsidRDefault="001F4113" w:rsidP="001F4113">
      <w:pPr>
        <w:rPr>
          <w:rFonts w:eastAsia="SimSun" w:cs="Arial"/>
          <w:iCs/>
          <w:lang w:val="de-DE" w:eastAsia="zh-CN"/>
        </w:rPr>
      </w:pPr>
      <w:r w:rsidRPr="00BC76A2">
        <w:rPr>
          <w:snapToGrid w:val="0"/>
          <w:lang w:val="de-DE"/>
        </w:rPr>
        <w:fldChar w:fldCharType="begin"/>
      </w:r>
      <w:r w:rsidRPr="00BC76A2">
        <w:rPr>
          <w:snapToGrid w:val="0"/>
          <w:lang w:val="de-DE"/>
        </w:rPr>
        <w:instrText xml:space="preserve"> AUTONUM  </w:instrText>
      </w:r>
      <w:r w:rsidRPr="00BC76A2">
        <w:rPr>
          <w:snapToGrid w:val="0"/>
          <w:lang w:val="de-DE"/>
        </w:rPr>
        <w:fldChar w:fldCharType="end"/>
      </w:r>
      <w:r w:rsidRPr="00BC76A2">
        <w:rPr>
          <w:snapToGrid w:val="0"/>
          <w:lang w:val="de-DE"/>
        </w:rPr>
        <w:tab/>
      </w:r>
      <w:r w:rsidR="004C45BB" w:rsidRPr="00BC76A2">
        <w:rPr>
          <w:snapToGrid w:val="0"/>
          <w:lang w:val="de-DE"/>
        </w:rPr>
        <w:t xml:space="preserve">Die fünfte Session des </w:t>
      </w:r>
      <w:r w:rsidR="00A07556" w:rsidRPr="00BC76A2">
        <w:rPr>
          <w:snapToGrid w:val="0"/>
          <w:lang w:val="de-DE"/>
        </w:rPr>
        <w:t>Verwaltungsrates</w:t>
      </w:r>
      <w:r w:rsidR="004C45BB" w:rsidRPr="00BC76A2">
        <w:rPr>
          <w:snapToGrid w:val="0"/>
          <w:lang w:val="de-DE"/>
        </w:rPr>
        <w:t xml:space="preserve"> des </w:t>
      </w:r>
      <w:r w:rsidRPr="00BC76A2">
        <w:rPr>
          <w:snapToGrid w:val="0"/>
          <w:lang w:val="de-DE"/>
        </w:rPr>
        <w:t>ITPGRFA (GB)</w:t>
      </w:r>
      <w:r w:rsidR="004C45BB" w:rsidRPr="00BC76A2">
        <w:rPr>
          <w:snapToGrid w:val="0"/>
          <w:lang w:val="de-DE"/>
        </w:rPr>
        <w:t xml:space="preserve"> vom 24. </w:t>
      </w:r>
      <w:r w:rsidR="00903632" w:rsidRPr="00BC76A2">
        <w:rPr>
          <w:snapToGrid w:val="0"/>
          <w:lang w:val="de-DE"/>
        </w:rPr>
        <w:t>b</w:t>
      </w:r>
      <w:r w:rsidR="004C45BB" w:rsidRPr="00BC76A2">
        <w:rPr>
          <w:snapToGrid w:val="0"/>
          <w:lang w:val="de-DE"/>
        </w:rPr>
        <w:t xml:space="preserve">is 28. September 2013 </w:t>
      </w:r>
      <w:r w:rsidRPr="00BC76A2">
        <w:rPr>
          <w:snapToGrid w:val="0"/>
          <w:lang w:val="de-DE"/>
        </w:rPr>
        <w:t>in M</w:t>
      </w:r>
      <w:r w:rsidR="00903632" w:rsidRPr="00BC76A2">
        <w:rPr>
          <w:snapToGrid w:val="0"/>
          <w:lang w:val="de-DE"/>
        </w:rPr>
        <w:t>a</w:t>
      </w:r>
      <w:r w:rsidRPr="00BC76A2">
        <w:rPr>
          <w:snapToGrid w:val="0"/>
          <w:lang w:val="de-DE"/>
        </w:rPr>
        <w:t>s</w:t>
      </w:r>
      <w:r w:rsidR="00903632" w:rsidRPr="00BC76A2">
        <w:rPr>
          <w:snapToGrid w:val="0"/>
          <w:lang w:val="de-DE"/>
        </w:rPr>
        <w:t>k</w:t>
      </w:r>
      <w:r w:rsidRPr="00BC76A2">
        <w:rPr>
          <w:snapToGrid w:val="0"/>
          <w:lang w:val="de-DE"/>
        </w:rPr>
        <w:t xml:space="preserve">at, Oman, </w:t>
      </w:r>
      <w:r w:rsidR="004C45BB" w:rsidRPr="00BC76A2">
        <w:rPr>
          <w:snapToGrid w:val="0"/>
          <w:lang w:val="de-DE"/>
        </w:rPr>
        <w:t xml:space="preserve">nahm unter Punkt „Umsetzung des Artikels 9, Landwirterechte“ folgende </w:t>
      </w:r>
      <w:r w:rsidR="00A07556" w:rsidRPr="00BC76A2">
        <w:rPr>
          <w:snapToGrid w:val="0"/>
          <w:lang w:val="de-DE"/>
        </w:rPr>
        <w:t>Entschließung</w:t>
      </w:r>
      <w:r w:rsidRPr="00BC76A2">
        <w:rPr>
          <w:snapToGrid w:val="0"/>
          <w:lang w:val="de-DE"/>
        </w:rPr>
        <w:t xml:space="preserve"> </w:t>
      </w:r>
      <w:r w:rsidR="004C45BB" w:rsidRPr="00BC76A2">
        <w:rPr>
          <w:snapToGrid w:val="0"/>
          <w:lang w:val="de-DE"/>
        </w:rPr>
        <w:t>an:</w:t>
      </w:r>
    </w:p>
    <w:p w:rsidR="001F4113" w:rsidRPr="00BC76A2" w:rsidRDefault="001F4113" w:rsidP="001F4113">
      <w:pPr>
        <w:rPr>
          <w:rFonts w:eastAsia="SimSun" w:cs="Arial"/>
          <w:lang w:val="de-DE" w:eastAsia="zh-CN"/>
        </w:rPr>
      </w:pPr>
    </w:p>
    <w:p w:rsidR="001F4113" w:rsidRPr="00BC76A2" w:rsidRDefault="00A07556" w:rsidP="001F4113">
      <w:pPr>
        <w:keepNext/>
        <w:spacing w:after="120"/>
        <w:ind w:left="567" w:right="567"/>
        <w:outlineLvl w:val="3"/>
        <w:rPr>
          <w:rFonts w:eastAsia="SimSun" w:cs="Arial"/>
          <w:bCs/>
          <w:i/>
          <w:iCs/>
          <w:sz w:val="18"/>
          <w:lang w:val="de-DE" w:eastAsia="zh-CN"/>
        </w:rPr>
      </w:pPr>
      <w:r w:rsidRPr="00BC76A2">
        <w:rPr>
          <w:rFonts w:eastAsia="SimSun" w:cs="Arial"/>
          <w:bCs/>
          <w:i/>
          <w:iCs/>
          <w:sz w:val="18"/>
          <w:lang w:val="de-DE" w:eastAsia="zh-CN"/>
        </w:rPr>
        <w:t>„Entschließung: Umsetzung des Artikels 9, Landwirterechte</w:t>
      </w:r>
    </w:p>
    <w:p w:rsidR="001F4113" w:rsidRPr="00BC76A2" w:rsidRDefault="001F4113" w:rsidP="001F4113">
      <w:pPr>
        <w:spacing w:after="120"/>
        <w:ind w:left="567" w:right="567"/>
        <w:rPr>
          <w:rFonts w:cs="Arial"/>
          <w:sz w:val="18"/>
          <w:lang w:val="de-DE" w:eastAsia="zh-CN"/>
        </w:rPr>
      </w:pPr>
      <w:r w:rsidRPr="00BC76A2">
        <w:rPr>
          <w:rFonts w:cs="Arial"/>
          <w:sz w:val="18"/>
          <w:lang w:val="de-DE" w:eastAsia="zh-CN"/>
        </w:rPr>
        <w:t xml:space="preserve">3. </w:t>
      </w:r>
      <w:r w:rsidR="004C45BB" w:rsidRPr="00BC76A2">
        <w:rPr>
          <w:rFonts w:cs="Arial"/>
          <w:sz w:val="18"/>
          <w:lang w:val="de-DE" w:eastAsia="zh-CN"/>
        </w:rPr>
        <w:t xml:space="preserve">Ersucht den Sekretär, die UPOV und die WIPO aufzufordern, gemeinsam etwaige Bereiche der Wechselbeziehungen zwischen ihren jeweiligen </w:t>
      </w:r>
      <w:r w:rsidR="00A07556" w:rsidRPr="00BC76A2">
        <w:rPr>
          <w:rFonts w:cs="Arial"/>
          <w:sz w:val="18"/>
          <w:lang w:val="de-DE" w:eastAsia="zh-CN"/>
        </w:rPr>
        <w:t>internationalen</w:t>
      </w:r>
      <w:r w:rsidR="004C45BB" w:rsidRPr="00BC76A2">
        <w:rPr>
          <w:rFonts w:cs="Arial"/>
          <w:sz w:val="18"/>
          <w:lang w:val="de-DE" w:eastAsia="zh-CN"/>
        </w:rPr>
        <w:t xml:space="preserve"> Vertragswerken zu ermitteln;“</w:t>
      </w:r>
    </w:p>
    <w:p w:rsidR="001F4113" w:rsidRDefault="001F4113" w:rsidP="001F4113">
      <w:pPr>
        <w:keepNext/>
      </w:pPr>
      <w:r w:rsidRPr="00D21BC8">
        <w:t>(</w:t>
      </w:r>
      <w:proofErr w:type="spellStart"/>
      <w:proofErr w:type="gramStart"/>
      <w:r w:rsidR="003C2AFD" w:rsidRPr="00D21BC8">
        <w:t>vergleiche</w:t>
      </w:r>
      <w:proofErr w:type="spellEnd"/>
      <w:proofErr w:type="gramEnd"/>
      <w:r w:rsidR="003C2AFD" w:rsidRPr="00D21BC8">
        <w:t xml:space="preserve"> </w:t>
      </w:r>
      <w:proofErr w:type="spellStart"/>
      <w:r w:rsidR="003C2AFD" w:rsidRPr="00D21BC8">
        <w:t>Dokument</w:t>
      </w:r>
      <w:proofErr w:type="spellEnd"/>
      <w:r w:rsidRPr="00D21BC8">
        <w:t xml:space="preserve"> C/47/15 Rev.</w:t>
      </w:r>
      <w:r w:rsidR="00EF3DD3" w:rsidRPr="00D21BC8">
        <w:t xml:space="preserve"> </w:t>
      </w:r>
      <w:r w:rsidR="00A07556" w:rsidRPr="00D21BC8">
        <w:t>„</w:t>
      </w:r>
      <w:r w:rsidR="00A07556" w:rsidRPr="00D21BC8">
        <w:rPr>
          <w:bCs/>
          <w:i/>
        </w:rPr>
        <w:t>Report by the President on the work of the eighty-sixth session of the Consultative Committee; adoption of recommendations, if any, prepared by that Committee</w:t>
      </w:r>
      <w:r w:rsidR="00A07556" w:rsidRPr="00D21BC8">
        <w:rPr>
          <w:bCs/>
        </w:rPr>
        <w:t xml:space="preserve">“, </w:t>
      </w:r>
      <w:proofErr w:type="spellStart"/>
      <w:r w:rsidR="00A07556" w:rsidRPr="00D21BC8">
        <w:t>Absatz</w:t>
      </w:r>
      <w:proofErr w:type="spellEnd"/>
      <w:r w:rsidR="00A07556" w:rsidRPr="00D21BC8">
        <w:t xml:space="preserve"> 54).</w:t>
      </w:r>
    </w:p>
    <w:p w:rsidR="00D9403C" w:rsidRPr="00D21BC8" w:rsidRDefault="00D9403C" w:rsidP="001F4113">
      <w:pPr>
        <w:keepNext/>
      </w:pPr>
    </w:p>
    <w:p w:rsidR="009678DE" w:rsidRPr="00D21BC8" w:rsidRDefault="00D9403C" w:rsidP="00DB245A">
      <w:pPr>
        <w:pStyle w:val="DecisionParagraphs"/>
        <w:rPr>
          <w:rFonts w:cs="Arial"/>
          <w:snapToGrid w:val="0"/>
        </w:rPr>
      </w:pPr>
      <w:r w:rsidRPr="00A27C82">
        <w:rPr>
          <w:snapToGrid w:val="0"/>
          <w:lang w:val="de-DE"/>
        </w:rPr>
        <w:fldChar w:fldCharType="begin"/>
      </w:r>
      <w:r w:rsidRPr="00A27C82">
        <w:rPr>
          <w:snapToGrid w:val="0"/>
          <w:lang w:val="de-DE"/>
        </w:rPr>
        <w:instrText xml:space="preserve"> AUTONUM  </w:instrText>
      </w:r>
      <w:r w:rsidRPr="00A27C82">
        <w:rPr>
          <w:snapToGrid w:val="0"/>
          <w:lang w:val="de-DE"/>
        </w:rPr>
        <w:fldChar w:fldCharType="end"/>
      </w:r>
      <w:r w:rsidRPr="00A27C82">
        <w:rPr>
          <w:snapToGrid w:val="0"/>
          <w:lang w:val="de-DE"/>
        </w:rPr>
        <w:tab/>
      </w:r>
      <w:r w:rsidR="00DB245A" w:rsidRPr="00A27C82">
        <w:rPr>
          <w:lang w:val="de-DE"/>
        </w:rPr>
        <w:t>Der TC wird ersucht, die Entwicklungen in der UPOV, u. a. die auf den letzten Tagungen des Verwaltungs- und Rechtsausschusses, des Beratenden Ausschusses und des Rates erörter</w:t>
      </w:r>
      <w:r w:rsidR="00A27C82" w:rsidRPr="00A27C82">
        <w:rPr>
          <w:lang w:val="de-DE"/>
        </w:rPr>
        <w:t>ten wichtigen Angelegenheiten</w:t>
      </w:r>
      <w:r w:rsidR="00DB245A" w:rsidRPr="00A27C82">
        <w:rPr>
          <w:lang w:val="de-DE"/>
        </w:rPr>
        <w:t xml:space="preserve"> zur Kenntnis zu nehmen, wie in den Absätzen 4 bis 35 </w:t>
      </w:r>
      <w:r w:rsidR="00A27C82" w:rsidRPr="00A27C82">
        <w:rPr>
          <w:lang w:val="de-DE"/>
        </w:rPr>
        <w:t xml:space="preserve">dieses Dokuments </w:t>
      </w:r>
      <w:r w:rsidR="00DB245A" w:rsidRPr="00A27C82">
        <w:rPr>
          <w:lang w:val="de-DE"/>
        </w:rPr>
        <w:t>dargelegt.</w:t>
      </w:r>
    </w:p>
    <w:p w:rsidR="00557635" w:rsidRDefault="00557635" w:rsidP="008E734A"/>
    <w:p w:rsidR="00D9403C" w:rsidRPr="00D21BC8" w:rsidRDefault="00D9403C" w:rsidP="008E734A">
      <w:bookmarkStart w:id="134" w:name="_GoBack"/>
      <w:bookmarkEnd w:id="134"/>
    </w:p>
    <w:p w:rsidR="001C553C" w:rsidRPr="00BC76A2" w:rsidRDefault="001F4113" w:rsidP="00D135ED">
      <w:pPr>
        <w:pStyle w:val="Heading1"/>
        <w:rPr>
          <w:rStyle w:val="BookTitle"/>
          <w:b/>
          <w:lang w:val="de-DE"/>
        </w:rPr>
      </w:pPr>
      <w:bookmarkStart w:id="135" w:name="_Toc380391641"/>
      <w:bookmarkStart w:id="136" w:name="_Toc380419881"/>
      <w:bookmarkStart w:id="137" w:name="_Toc380483681"/>
      <w:bookmarkStart w:id="138" w:name="_Toc379530094"/>
      <w:r w:rsidRPr="00BC76A2">
        <w:rPr>
          <w:rStyle w:val="BookTitle"/>
          <w:b/>
          <w:lang w:val="de-DE"/>
        </w:rPr>
        <w:t>II.</w:t>
      </w:r>
      <w:r w:rsidRPr="00BC76A2">
        <w:rPr>
          <w:rStyle w:val="BookTitle"/>
          <w:b/>
          <w:lang w:val="de-DE"/>
        </w:rPr>
        <w:tab/>
      </w:r>
      <w:r w:rsidR="00603732" w:rsidRPr="00BC76A2">
        <w:rPr>
          <w:rStyle w:val="BookTitle"/>
          <w:b/>
          <w:lang w:val="de-DE"/>
        </w:rPr>
        <w:t>vom technischen ausschuss zu prüfende angelegenheiten</w:t>
      </w:r>
      <w:bookmarkEnd w:id="135"/>
      <w:bookmarkEnd w:id="136"/>
      <w:bookmarkEnd w:id="137"/>
      <w:r w:rsidR="00603732" w:rsidRPr="00BC76A2">
        <w:rPr>
          <w:rStyle w:val="BookTitle"/>
          <w:b/>
          <w:lang w:val="de-DE"/>
        </w:rPr>
        <w:t xml:space="preserve"> </w:t>
      </w:r>
      <w:bookmarkEnd w:id="138"/>
    </w:p>
    <w:p w:rsidR="001C553C" w:rsidRPr="00BC76A2" w:rsidRDefault="001C553C" w:rsidP="001C553C">
      <w:pPr>
        <w:rPr>
          <w:lang w:val="de-DE"/>
        </w:rPr>
      </w:pPr>
    </w:p>
    <w:p w:rsidR="00340861" w:rsidRPr="00BC76A2" w:rsidRDefault="00603732" w:rsidP="00D135ED">
      <w:pPr>
        <w:pStyle w:val="Heading1"/>
        <w:rPr>
          <w:lang w:val="de-DE"/>
        </w:rPr>
      </w:pPr>
      <w:bookmarkStart w:id="139" w:name="_Toc379530095"/>
      <w:bookmarkStart w:id="140" w:name="_Toc380391642"/>
      <w:bookmarkStart w:id="141" w:name="_Toc380419882"/>
      <w:bookmarkStart w:id="142" w:name="_Toc380483682"/>
      <w:r w:rsidRPr="00BC76A2">
        <w:rPr>
          <w:lang w:val="de-DE"/>
        </w:rPr>
        <w:t>sortenbeschreibungen</w:t>
      </w:r>
      <w:bookmarkEnd w:id="139"/>
      <w:bookmarkEnd w:id="140"/>
      <w:bookmarkEnd w:id="141"/>
      <w:bookmarkEnd w:id="142"/>
    </w:p>
    <w:p w:rsidR="00340861" w:rsidRPr="00BC76A2" w:rsidRDefault="00340861" w:rsidP="00340861">
      <w:pPr>
        <w:keepNext/>
        <w:rPr>
          <w:lang w:val="de-DE"/>
        </w:rPr>
      </w:pPr>
    </w:p>
    <w:p w:rsidR="00B94604" w:rsidRPr="00BC76A2" w:rsidRDefault="00B94604" w:rsidP="00340861">
      <w:pPr>
        <w:rPr>
          <w:rFonts w:cs="Arial"/>
          <w:lang w:val="de-DE"/>
        </w:rPr>
      </w:pPr>
      <w:r w:rsidRPr="00BC76A2">
        <w:rPr>
          <w:rFonts w:cs="Arial"/>
          <w:lang w:val="de-DE"/>
        </w:rPr>
        <w:fldChar w:fldCharType="begin"/>
      </w:r>
      <w:r w:rsidRPr="00BC76A2">
        <w:rPr>
          <w:rFonts w:cs="Arial"/>
          <w:lang w:val="de-DE"/>
        </w:rPr>
        <w:instrText xml:space="preserve"> AUTONUM  </w:instrText>
      </w:r>
      <w:r w:rsidRPr="00BC76A2">
        <w:rPr>
          <w:rFonts w:cs="Arial"/>
          <w:lang w:val="de-DE"/>
        </w:rPr>
        <w:fldChar w:fldCharType="end"/>
      </w:r>
      <w:r w:rsidRPr="00BC76A2">
        <w:rPr>
          <w:rFonts w:cs="Arial"/>
          <w:lang w:val="de-DE"/>
        </w:rPr>
        <w:tab/>
      </w:r>
      <w:r w:rsidR="007206B2" w:rsidRPr="00BC76A2">
        <w:rPr>
          <w:rFonts w:cs="Arial"/>
          <w:lang w:val="de-DE"/>
        </w:rPr>
        <w:t xml:space="preserve">Die Beratungsgruppe des Verwaltungs- und Rechtsausschusses (CAJ-AG) vertrat auf ihrer </w:t>
      </w:r>
      <w:r w:rsidR="00903632" w:rsidRPr="00BC76A2">
        <w:rPr>
          <w:rFonts w:cs="Arial"/>
          <w:lang w:val="de-DE"/>
        </w:rPr>
        <w:t>s</w:t>
      </w:r>
      <w:r w:rsidR="00114E8C">
        <w:rPr>
          <w:rFonts w:cs="Arial"/>
          <w:lang w:val="de-DE"/>
        </w:rPr>
        <w:t>ieb</w:t>
      </w:r>
      <w:r w:rsidR="00903632" w:rsidRPr="00BC76A2">
        <w:rPr>
          <w:rFonts w:cs="Arial"/>
          <w:lang w:val="de-DE"/>
        </w:rPr>
        <w:t xml:space="preserve">ten </w:t>
      </w:r>
      <w:r w:rsidR="007206B2" w:rsidRPr="00BC76A2">
        <w:rPr>
          <w:rFonts w:cs="Arial"/>
          <w:lang w:val="de-DE"/>
        </w:rPr>
        <w:t xml:space="preserve">Tagung vom </w:t>
      </w:r>
      <w:r w:rsidR="00114E8C">
        <w:rPr>
          <w:rFonts w:cs="Arial"/>
          <w:lang w:val="de-DE"/>
        </w:rPr>
        <w:t>29 und 30</w:t>
      </w:r>
      <w:r w:rsidR="007206B2" w:rsidRPr="00BC76A2">
        <w:rPr>
          <w:rFonts w:cs="Arial"/>
          <w:lang w:val="de-DE"/>
        </w:rPr>
        <w:t>. Oktober 201</w:t>
      </w:r>
      <w:r w:rsidR="00114E8C">
        <w:rPr>
          <w:rFonts w:cs="Arial"/>
          <w:lang w:val="de-DE"/>
        </w:rPr>
        <w:t>2</w:t>
      </w:r>
      <w:r w:rsidR="007206B2" w:rsidRPr="00BC76A2">
        <w:rPr>
          <w:rFonts w:cs="Arial"/>
          <w:lang w:val="de-DE"/>
        </w:rPr>
        <w:t xml:space="preserve"> in Genf die Ansicht, </w:t>
      </w:r>
      <w:r w:rsidR="00A0388E" w:rsidRPr="00BC76A2">
        <w:rPr>
          <w:rFonts w:cs="Arial"/>
          <w:lang w:val="de-DE"/>
        </w:rPr>
        <w:t>daß</w:t>
      </w:r>
      <w:r w:rsidR="007206B2" w:rsidRPr="00BC76A2">
        <w:rPr>
          <w:rFonts w:cs="Arial"/>
          <w:lang w:val="de-DE"/>
        </w:rPr>
        <w:t xml:space="preserve"> es angebracht wäre, weitere Anleitung zu Sortenbeschreibungen auszuarbeiten (vergleiche Dokument CAJ­AG/1</w:t>
      </w:r>
      <w:r w:rsidR="00114E8C">
        <w:rPr>
          <w:rFonts w:cs="Arial"/>
          <w:lang w:val="de-DE"/>
        </w:rPr>
        <w:t>2</w:t>
      </w:r>
      <w:r w:rsidR="007206B2" w:rsidRPr="00BC76A2">
        <w:rPr>
          <w:rFonts w:cs="Arial"/>
          <w:lang w:val="de-DE"/>
        </w:rPr>
        <w:t>/</w:t>
      </w:r>
      <w:r w:rsidR="00114E8C">
        <w:rPr>
          <w:rFonts w:cs="Arial"/>
          <w:lang w:val="de-DE"/>
        </w:rPr>
        <w:t>7</w:t>
      </w:r>
      <w:r w:rsidR="007206B2" w:rsidRPr="00BC76A2">
        <w:rPr>
          <w:rFonts w:cs="Arial"/>
          <w:lang w:val="de-DE"/>
        </w:rPr>
        <w:t xml:space="preserve">/7 „Bericht“, Absatz </w:t>
      </w:r>
      <w:r w:rsidR="00114E8C">
        <w:rPr>
          <w:rFonts w:cs="Arial"/>
          <w:lang w:val="de-DE"/>
        </w:rPr>
        <w:t>9</w:t>
      </w:r>
      <w:r w:rsidR="007206B2" w:rsidRPr="00BC76A2">
        <w:rPr>
          <w:rFonts w:cs="Arial"/>
          <w:lang w:val="de-DE"/>
        </w:rPr>
        <w:t>0).</w:t>
      </w:r>
    </w:p>
    <w:p w:rsidR="00B94604" w:rsidRPr="00BC76A2" w:rsidRDefault="00B94604" w:rsidP="00340861">
      <w:pPr>
        <w:rPr>
          <w:rFonts w:cs="Arial"/>
          <w:lang w:val="de-DE"/>
        </w:rPr>
      </w:pPr>
    </w:p>
    <w:p w:rsidR="00340861" w:rsidRPr="00BC76A2" w:rsidRDefault="00340861" w:rsidP="00340861">
      <w:pPr>
        <w:rPr>
          <w:rFonts w:cs="Arial"/>
          <w:lang w:val="de-DE"/>
        </w:rPr>
      </w:pPr>
      <w:r w:rsidRPr="00BC76A2">
        <w:rPr>
          <w:rFonts w:cs="Arial"/>
          <w:lang w:val="de-DE"/>
        </w:rPr>
        <w:fldChar w:fldCharType="begin"/>
      </w:r>
      <w:r w:rsidRPr="00BC76A2">
        <w:rPr>
          <w:rFonts w:cs="Arial"/>
          <w:lang w:val="de-DE"/>
        </w:rPr>
        <w:instrText xml:space="preserve"> AUTONUM  </w:instrText>
      </w:r>
      <w:r w:rsidRPr="00BC76A2">
        <w:rPr>
          <w:rFonts w:cs="Arial"/>
          <w:lang w:val="de-DE"/>
        </w:rPr>
        <w:fldChar w:fldCharType="end"/>
      </w:r>
      <w:r w:rsidRPr="00BC76A2">
        <w:rPr>
          <w:rFonts w:cs="Arial"/>
          <w:lang w:val="de-DE"/>
        </w:rPr>
        <w:tab/>
      </w:r>
      <w:r w:rsidR="007206B2" w:rsidRPr="00BC76A2">
        <w:rPr>
          <w:rFonts w:cs="Arial"/>
          <w:lang w:val="de-DE"/>
        </w:rPr>
        <w:t xml:space="preserve">Die Beratungsgruppe </w:t>
      </w:r>
      <w:r w:rsidR="00903632" w:rsidRPr="00BC76A2">
        <w:rPr>
          <w:rFonts w:cs="Arial"/>
          <w:lang w:val="de-DE"/>
        </w:rPr>
        <w:t>d</w:t>
      </w:r>
      <w:r w:rsidR="007206B2" w:rsidRPr="00BC76A2">
        <w:rPr>
          <w:rFonts w:cs="Arial"/>
          <w:lang w:val="de-DE"/>
        </w:rPr>
        <w:t xml:space="preserve">es Verwaltungs- und Rechtsausschusses (CAJ-AG) vereinbarte auf ihrer achten Tagung vom 25. Oktober 2013 in Genf, </w:t>
      </w:r>
      <w:r w:rsidR="00A0388E" w:rsidRPr="00BC76A2">
        <w:rPr>
          <w:rFonts w:cs="Arial"/>
          <w:lang w:val="de-DE"/>
        </w:rPr>
        <w:t>daß</w:t>
      </w:r>
      <w:r w:rsidR="007206B2" w:rsidRPr="00BC76A2">
        <w:rPr>
          <w:rFonts w:cs="Arial"/>
          <w:lang w:val="de-DE"/>
        </w:rPr>
        <w:t xml:space="preserve"> folgende Angelegenheiten in Dokument CAJ</w:t>
      </w:r>
      <w:r w:rsidR="007206B2" w:rsidRPr="00BC76A2">
        <w:rPr>
          <w:rFonts w:cs="Arial"/>
          <w:lang w:val="de-DE"/>
        </w:rPr>
        <w:noBreakHyphen/>
        <w:t>AG/13/8/7 „</w:t>
      </w:r>
      <w:r w:rsidR="007206B2" w:rsidRPr="00BC76A2">
        <w:rPr>
          <w:rFonts w:cs="Arial"/>
          <w:i/>
          <w:lang w:val="de-DE"/>
        </w:rPr>
        <w:t>Matters concerning Variety Descriptions</w:t>
      </w:r>
      <w:r w:rsidR="007206B2" w:rsidRPr="00BC76A2">
        <w:rPr>
          <w:rFonts w:cs="Arial"/>
          <w:lang w:val="de-DE"/>
        </w:rPr>
        <w:t>“, Absatz 4, von der CAJ-AG als erstes geprüft werden sollten:</w:t>
      </w:r>
    </w:p>
    <w:p w:rsidR="00340861" w:rsidRPr="00BC76A2" w:rsidRDefault="00340861" w:rsidP="00340861">
      <w:pPr>
        <w:rPr>
          <w:rFonts w:cs="Arial"/>
          <w:lang w:val="de-DE"/>
        </w:rPr>
      </w:pPr>
    </w:p>
    <w:p w:rsidR="00340861" w:rsidRPr="00BC76A2" w:rsidRDefault="007206B2" w:rsidP="00230328">
      <w:pPr>
        <w:ind w:left="567" w:right="567"/>
        <w:rPr>
          <w:sz w:val="18"/>
          <w:szCs w:val="18"/>
          <w:lang w:val="de-DE"/>
        </w:rPr>
      </w:pPr>
      <w:r w:rsidRPr="00BC76A2">
        <w:rPr>
          <w:sz w:val="18"/>
          <w:szCs w:val="18"/>
          <w:lang w:val="de-DE"/>
        </w:rPr>
        <w:t>„a)</w:t>
      </w:r>
      <w:r w:rsidRPr="00BC76A2">
        <w:rPr>
          <w:sz w:val="18"/>
          <w:szCs w:val="18"/>
          <w:lang w:val="de-DE"/>
        </w:rPr>
        <w:tab/>
        <w:t>den (die) Zweck</w:t>
      </w:r>
      <w:r w:rsidR="00903632" w:rsidRPr="00BC76A2">
        <w:rPr>
          <w:sz w:val="18"/>
          <w:szCs w:val="18"/>
          <w:lang w:val="de-DE"/>
        </w:rPr>
        <w:t>(e)</w:t>
      </w:r>
      <w:r w:rsidRPr="00BC76A2">
        <w:rPr>
          <w:sz w:val="18"/>
          <w:szCs w:val="18"/>
          <w:lang w:val="de-DE"/>
        </w:rPr>
        <w:t xml:space="preserve"> der zum Zeitpunkt der Erteilung des Rechts ausgearbeiteten Sortenbeschreibung (ursprüngliche Sortenbeschreibung);</w:t>
      </w:r>
    </w:p>
    <w:p w:rsidR="00340861" w:rsidRPr="00BC76A2" w:rsidRDefault="00340861" w:rsidP="00230328">
      <w:pPr>
        <w:ind w:left="567" w:right="567"/>
        <w:rPr>
          <w:sz w:val="18"/>
          <w:szCs w:val="18"/>
          <w:lang w:val="de-DE"/>
        </w:rPr>
      </w:pPr>
    </w:p>
    <w:p w:rsidR="00340861" w:rsidRPr="00BC76A2" w:rsidRDefault="00230328" w:rsidP="0036363A">
      <w:pPr>
        <w:keepNext/>
        <w:ind w:left="567" w:right="567"/>
        <w:rPr>
          <w:sz w:val="18"/>
          <w:szCs w:val="18"/>
          <w:lang w:val="de-DE"/>
        </w:rPr>
      </w:pPr>
      <w:r w:rsidRPr="00BC76A2">
        <w:rPr>
          <w:sz w:val="18"/>
          <w:szCs w:val="18"/>
          <w:lang w:val="de-DE"/>
        </w:rPr>
        <w:t>b)</w:t>
      </w:r>
      <w:r w:rsidRPr="00BC76A2">
        <w:rPr>
          <w:sz w:val="18"/>
          <w:szCs w:val="18"/>
          <w:lang w:val="de-DE"/>
        </w:rPr>
        <w:tab/>
      </w:r>
      <w:r w:rsidR="00392596" w:rsidRPr="00BC76A2">
        <w:rPr>
          <w:sz w:val="18"/>
          <w:szCs w:val="18"/>
          <w:lang w:val="de-DE"/>
        </w:rPr>
        <w:t xml:space="preserve">den Status der </w:t>
      </w:r>
      <w:r w:rsidR="007206B2" w:rsidRPr="00BC76A2">
        <w:rPr>
          <w:sz w:val="18"/>
          <w:szCs w:val="18"/>
          <w:lang w:val="de-DE"/>
        </w:rPr>
        <w:t>ursprünglichen</w:t>
      </w:r>
      <w:r w:rsidR="00392596" w:rsidRPr="00BC76A2">
        <w:rPr>
          <w:sz w:val="18"/>
          <w:szCs w:val="18"/>
          <w:lang w:val="de-DE"/>
        </w:rPr>
        <w:t xml:space="preserve"> </w:t>
      </w:r>
      <w:r w:rsidR="007206B2" w:rsidRPr="00BC76A2">
        <w:rPr>
          <w:sz w:val="18"/>
          <w:szCs w:val="18"/>
          <w:lang w:val="de-DE"/>
        </w:rPr>
        <w:t>Sortenbeschreibung</w:t>
      </w:r>
      <w:r w:rsidR="00392596" w:rsidRPr="00BC76A2">
        <w:rPr>
          <w:sz w:val="18"/>
          <w:szCs w:val="18"/>
          <w:lang w:val="de-DE"/>
        </w:rPr>
        <w:t xml:space="preserve"> in bezug auf die Überprüfung der Vereinbarkeit des </w:t>
      </w:r>
      <w:r w:rsidR="007206B2" w:rsidRPr="00BC76A2">
        <w:rPr>
          <w:sz w:val="18"/>
          <w:szCs w:val="18"/>
          <w:lang w:val="de-DE"/>
        </w:rPr>
        <w:t>Pflanzenmaterials</w:t>
      </w:r>
      <w:r w:rsidR="00392596" w:rsidRPr="00BC76A2">
        <w:rPr>
          <w:sz w:val="18"/>
          <w:szCs w:val="18"/>
          <w:lang w:val="de-DE"/>
        </w:rPr>
        <w:t xml:space="preserve"> mit ein</w:t>
      </w:r>
      <w:r w:rsidR="005E5038" w:rsidRPr="00BC76A2">
        <w:rPr>
          <w:sz w:val="18"/>
          <w:szCs w:val="18"/>
          <w:lang w:val="de-DE"/>
        </w:rPr>
        <w:t>er geschützten Sorte zum Zwecke</w:t>
      </w:r>
      <w:r w:rsidR="00340861" w:rsidRPr="00BC76A2">
        <w:rPr>
          <w:sz w:val="18"/>
          <w:szCs w:val="18"/>
          <w:lang w:val="de-DE"/>
        </w:rPr>
        <w:t>:</w:t>
      </w:r>
    </w:p>
    <w:p w:rsidR="00230328" w:rsidRPr="00BC76A2" w:rsidRDefault="00230328" w:rsidP="0036363A">
      <w:pPr>
        <w:keepNext/>
        <w:ind w:left="567" w:right="567"/>
        <w:rPr>
          <w:sz w:val="18"/>
          <w:szCs w:val="18"/>
          <w:lang w:val="de-DE"/>
        </w:rPr>
      </w:pPr>
    </w:p>
    <w:p w:rsidR="00340861" w:rsidRPr="00BC76A2" w:rsidRDefault="00340861" w:rsidP="00230328">
      <w:pPr>
        <w:ind w:left="567" w:right="567" w:firstLine="567"/>
        <w:rPr>
          <w:sz w:val="18"/>
          <w:szCs w:val="18"/>
          <w:lang w:val="de-DE"/>
        </w:rPr>
      </w:pPr>
      <w:r w:rsidRPr="00BC76A2">
        <w:rPr>
          <w:sz w:val="18"/>
          <w:szCs w:val="18"/>
          <w:lang w:val="de-DE"/>
        </w:rPr>
        <w:t>[…]</w:t>
      </w:r>
    </w:p>
    <w:p w:rsidR="00340861" w:rsidRPr="00BC76A2" w:rsidRDefault="00340861" w:rsidP="00230328">
      <w:pPr>
        <w:ind w:left="567" w:right="567" w:firstLine="567"/>
        <w:rPr>
          <w:sz w:val="18"/>
          <w:szCs w:val="18"/>
          <w:lang w:val="de-DE"/>
        </w:rPr>
      </w:pPr>
      <w:r w:rsidRPr="00BC76A2">
        <w:rPr>
          <w:sz w:val="18"/>
          <w:szCs w:val="18"/>
          <w:lang w:val="de-DE"/>
        </w:rPr>
        <w:t>iii)</w:t>
      </w:r>
      <w:r w:rsidRPr="00BC76A2">
        <w:rPr>
          <w:sz w:val="18"/>
          <w:szCs w:val="18"/>
          <w:lang w:val="de-DE"/>
        </w:rPr>
        <w:tab/>
      </w:r>
      <w:r w:rsidR="005E5038" w:rsidRPr="00BC76A2">
        <w:rPr>
          <w:sz w:val="18"/>
          <w:szCs w:val="18"/>
          <w:lang w:val="de-DE"/>
        </w:rPr>
        <w:t xml:space="preserve">der </w:t>
      </w:r>
      <w:r w:rsidR="007206B2" w:rsidRPr="00BC76A2">
        <w:rPr>
          <w:sz w:val="18"/>
          <w:szCs w:val="18"/>
          <w:lang w:val="de-DE"/>
        </w:rPr>
        <w:t>Durchsetzung</w:t>
      </w:r>
      <w:r w:rsidR="005E5038" w:rsidRPr="00BC76A2">
        <w:rPr>
          <w:sz w:val="18"/>
          <w:szCs w:val="18"/>
          <w:lang w:val="de-DE"/>
        </w:rPr>
        <w:t xml:space="preserve"> des </w:t>
      </w:r>
      <w:r w:rsidR="007206B2" w:rsidRPr="00BC76A2">
        <w:rPr>
          <w:sz w:val="18"/>
          <w:szCs w:val="18"/>
          <w:lang w:val="de-DE"/>
        </w:rPr>
        <w:t>Rechts</w:t>
      </w:r>
      <w:r w:rsidRPr="00BC76A2">
        <w:rPr>
          <w:sz w:val="18"/>
          <w:szCs w:val="18"/>
          <w:lang w:val="de-DE"/>
        </w:rPr>
        <w:t>.</w:t>
      </w:r>
      <w:r w:rsidR="00250679" w:rsidRPr="00BC76A2">
        <w:rPr>
          <w:sz w:val="18"/>
          <w:szCs w:val="18"/>
          <w:lang w:val="de-DE"/>
        </w:rPr>
        <w:t>“</w:t>
      </w:r>
    </w:p>
    <w:p w:rsidR="00340861" w:rsidRPr="00BC76A2" w:rsidRDefault="00340861" w:rsidP="00230328">
      <w:pPr>
        <w:rPr>
          <w:lang w:val="de-DE"/>
        </w:rPr>
      </w:pPr>
    </w:p>
    <w:p w:rsidR="00340861" w:rsidRPr="00BC76A2" w:rsidRDefault="00340861" w:rsidP="00340861">
      <w:pPr>
        <w:rPr>
          <w:rFonts w:cs="Arial"/>
          <w:lang w:val="de-DE"/>
        </w:rPr>
      </w:pPr>
      <w:r w:rsidRPr="00BC76A2">
        <w:rPr>
          <w:rFonts w:cs="Arial"/>
          <w:lang w:val="de-DE"/>
        </w:rPr>
        <w:fldChar w:fldCharType="begin"/>
      </w:r>
      <w:r w:rsidRPr="00BC76A2">
        <w:rPr>
          <w:rFonts w:cs="Arial"/>
          <w:lang w:val="de-DE"/>
        </w:rPr>
        <w:instrText xml:space="preserve"> AUTONUM  </w:instrText>
      </w:r>
      <w:r w:rsidRPr="00BC76A2">
        <w:rPr>
          <w:rFonts w:cs="Arial"/>
          <w:lang w:val="de-DE"/>
        </w:rPr>
        <w:fldChar w:fldCharType="end"/>
      </w:r>
      <w:r w:rsidRPr="00BC76A2">
        <w:rPr>
          <w:rFonts w:cs="Arial"/>
          <w:lang w:val="de-DE"/>
        </w:rPr>
        <w:tab/>
      </w:r>
      <w:r w:rsidR="005E5038" w:rsidRPr="00BC76A2">
        <w:rPr>
          <w:rFonts w:cs="Arial"/>
          <w:lang w:val="de-DE"/>
        </w:rPr>
        <w:t>Die</w:t>
      </w:r>
      <w:r w:rsidRPr="00BC76A2">
        <w:rPr>
          <w:rFonts w:cs="Arial"/>
          <w:lang w:val="de-DE"/>
        </w:rPr>
        <w:t xml:space="preserve"> CAJ-AG </w:t>
      </w:r>
      <w:r w:rsidR="005E5038" w:rsidRPr="00BC76A2">
        <w:rPr>
          <w:rFonts w:cs="Arial"/>
          <w:lang w:val="de-DE"/>
        </w:rPr>
        <w:t xml:space="preserve">stimmte der Ausarbeitung einer Anleitung zu </w:t>
      </w:r>
      <w:r w:rsidR="00250679" w:rsidRPr="00BC76A2">
        <w:rPr>
          <w:rFonts w:cs="Arial"/>
          <w:lang w:val="de-DE"/>
        </w:rPr>
        <w:t>f</w:t>
      </w:r>
      <w:r w:rsidR="005E5038" w:rsidRPr="00BC76A2">
        <w:rPr>
          <w:rFonts w:cs="Arial"/>
          <w:lang w:val="de-DE"/>
        </w:rPr>
        <w:t xml:space="preserve">olgendem zu und schlug vor, </w:t>
      </w:r>
      <w:r w:rsidR="00A0388E" w:rsidRPr="00BC76A2">
        <w:rPr>
          <w:rFonts w:cs="Arial"/>
          <w:lang w:val="de-DE"/>
        </w:rPr>
        <w:t>daß</w:t>
      </w:r>
      <w:r w:rsidR="005E5038" w:rsidRPr="00BC76A2">
        <w:rPr>
          <w:rFonts w:cs="Arial"/>
          <w:lang w:val="de-DE"/>
        </w:rPr>
        <w:t xml:space="preserve"> der CAJ den </w:t>
      </w:r>
      <w:r w:rsidR="007206B2" w:rsidRPr="00BC76A2">
        <w:rPr>
          <w:rFonts w:cs="Arial"/>
          <w:lang w:val="de-DE"/>
        </w:rPr>
        <w:t>Technischen</w:t>
      </w:r>
      <w:r w:rsidR="005E5038" w:rsidRPr="00BC76A2">
        <w:rPr>
          <w:rFonts w:cs="Arial"/>
          <w:lang w:val="de-DE"/>
        </w:rPr>
        <w:t xml:space="preserve"> </w:t>
      </w:r>
      <w:r w:rsidR="007206B2" w:rsidRPr="00BC76A2">
        <w:rPr>
          <w:rFonts w:cs="Arial"/>
          <w:lang w:val="de-DE"/>
        </w:rPr>
        <w:t>Ausschu</w:t>
      </w:r>
      <w:r w:rsidR="00753412" w:rsidRPr="00BC76A2">
        <w:rPr>
          <w:rFonts w:cs="Arial"/>
          <w:lang w:val="de-DE"/>
        </w:rPr>
        <w:t>ß</w:t>
      </w:r>
      <w:r w:rsidR="005E5038" w:rsidRPr="00BC76A2">
        <w:rPr>
          <w:rFonts w:cs="Arial"/>
          <w:lang w:val="de-DE"/>
        </w:rPr>
        <w:t xml:space="preserve"> (TC) ersuchen </w:t>
      </w:r>
      <w:r w:rsidR="007206B2" w:rsidRPr="00BC76A2">
        <w:rPr>
          <w:rFonts w:cs="Arial"/>
          <w:lang w:val="de-DE"/>
        </w:rPr>
        <w:t>sollte</w:t>
      </w:r>
      <w:r w:rsidR="005E5038" w:rsidRPr="00BC76A2">
        <w:rPr>
          <w:rFonts w:cs="Arial"/>
          <w:lang w:val="de-DE"/>
        </w:rPr>
        <w:t>, als erstes zu prüfen:</w:t>
      </w:r>
    </w:p>
    <w:p w:rsidR="00340861" w:rsidRPr="00BC76A2" w:rsidRDefault="00340861" w:rsidP="00340861">
      <w:pPr>
        <w:rPr>
          <w:rFonts w:cs="Arial"/>
          <w:lang w:val="de-DE"/>
        </w:rPr>
      </w:pPr>
    </w:p>
    <w:p w:rsidR="00B56D48" w:rsidRPr="00BC76A2" w:rsidRDefault="00340861" w:rsidP="00B56D48">
      <w:pPr>
        <w:rPr>
          <w:rFonts w:cs="Arial"/>
          <w:lang w:val="de-DE"/>
        </w:rPr>
      </w:pPr>
      <w:r w:rsidRPr="00BC76A2">
        <w:rPr>
          <w:rFonts w:cs="Arial"/>
          <w:lang w:val="de-DE"/>
        </w:rPr>
        <w:tab/>
        <w:t>a)</w:t>
      </w:r>
      <w:r w:rsidRPr="00BC76A2">
        <w:rPr>
          <w:rFonts w:cs="Arial"/>
          <w:lang w:val="de-DE"/>
        </w:rPr>
        <w:tab/>
      </w:r>
      <w:r w:rsidR="00B56D48" w:rsidRPr="00BC76A2">
        <w:rPr>
          <w:rFonts w:cs="Arial"/>
          <w:lang w:val="de-DE"/>
        </w:rPr>
        <w:t xml:space="preserve">die </w:t>
      </w:r>
      <w:r w:rsidR="007206B2" w:rsidRPr="00BC76A2">
        <w:rPr>
          <w:rFonts w:cs="Arial"/>
          <w:lang w:val="de-DE"/>
        </w:rPr>
        <w:t>Verwendung</w:t>
      </w:r>
      <w:r w:rsidR="00B56D48" w:rsidRPr="00BC76A2">
        <w:rPr>
          <w:rFonts w:cs="Arial"/>
          <w:lang w:val="de-DE"/>
        </w:rPr>
        <w:t xml:space="preserve"> von Informationen, Dokumenten oder Material, die vom Züchter für die </w:t>
      </w:r>
      <w:r w:rsidR="00241EB2" w:rsidRPr="00BC76A2">
        <w:rPr>
          <w:rFonts w:cs="Arial"/>
          <w:lang w:val="de-DE"/>
        </w:rPr>
        <w:t>Überwachung der Erhaltung</w:t>
      </w:r>
      <w:r w:rsidR="00B56D48" w:rsidRPr="00BC76A2">
        <w:rPr>
          <w:rFonts w:cs="Arial"/>
          <w:lang w:val="de-DE"/>
        </w:rPr>
        <w:t xml:space="preserve"> der Sorte, wie in </w:t>
      </w:r>
      <w:r w:rsidR="003C2AFD" w:rsidRPr="00BC76A2">
        <w:rPr>
          <w:rFonts w:cs="Arial"/>
          <w:lang w:val="de-DE"/>
        </w:rPr>
        <w:t>Absatz</w:t>
      </w:r>
      <w:r w:rsidRPr="00BC76A2">
        <w:rPr>
          <w:rFonts w:cs="Arial"/>
          <w:lang w:val="de-DE"/>
        </w:rPr>
        <w:t xml:space="preserve"> 15 </w:t>
      </w:r>
      <w:r w:rsidR="00B56D48" w:rsidRPr="00BC76A2">
        <w:rPr>
          <w:rFonts w:cs="Arial"/>
          <w:lang w:val="de-DE"/>
        </w:rPr>
        <w:t>des Dokuments</w:t>
      </w:r>
      <w:r w:rsidRPr="00BC76A2">
        <w:rPr>
          <w:rFonts w:cs="Arial"/>
          <w:lang w:val="de-DE"/>
        </w:rPr>
        <w:t xml:space="preserve"> CAJ-AG/13/8/4</w:t>
      </w:r>
      <w:r w:rsidR="00B56D48" w:rsidRPr="00BC76A2">
        <w:rPr>
          <w:rFonts w:cs="Arial"/>
          <w:lang w:val="de-DE"/>
        </w:rPr>
        <w:t>, „</w:t>
      </w:r>
      <w:r w:rsidR="006A4A4E" w:rsidRPr="00BC76A2">
        <w:rPr>
          <w:rFonts w:cs="Arial"/>
          <w:i/>
          <w:lang w:val="de-DE"/>
        </w:rPr>
        <w:t>Matters concerning cancellation of the breeder's right</w:t>
      </w:r>
      <w:r w:rsidR="00B56D48" w:rsidRPr="00BC76A2">
        <w:rPr>
          <w:rFonts w:cs="Arial"/>
          <w:lang w:val="de-DE"/>
        </w:rPr>
        <w:t>“</w:t>
      </w:r>
      <w:r w:rsidR="0020309F" w:rsidRPr="00BC76A2">
        <w:rPr>
          <w:rFonts w:cs="Arial"/>
          <w:lang w:val="de-DE"/>
        </w:rPr>
        <w:t>,</w:t>
      </w:r>
      <w:r w:rsidR="00B56D48" w:rsidRPr="00BC76A2">
        <w:rPr>
          <w:rFonts w:cs="Arial"/>
          <w:lang w:val="de-DE"/>
        </w:rPr>
        <w:t xml:space="preserve"> dargelegt, bereitgestellt werden</w:t>
      </w:r>
      <w:r w:rsidRPr="00BC76A2">
        <w:rPr>
          <w:rFonts w:cs="Arial"/>
          <w:lang w:val="de-DE"/>
        </w:rPr>
        <w:t xml:space="preserve">, </w:t>
      </w:r>
      <w:r w:rsidR="00B56D48" w:rsidRPr="00BC76A2">
        <w:rPr>
          <w:rFonts w:cs="Arial"/>
          <w:lang w:val="de-DE"/>
        </w:rPr>
        <w:t xml:space="preserve">mit einer Erläuterung, </w:t>
      </w:r>
      <w:r w:rsidR="00A0388E" w:rsidRPr="00BC76A2">
        <w:rPr>
          <w:rFonts w:cs="Arial"/>
          <w:lang w:val="de-DE"/>
        </w:rPr>
        <w:t>daß</w:t>
      </w:r>
      <w:r w:rsidR="00B56D48" w:rsidRPr="00BC76A2">
        <w:rPr>
          <w:rFonts w:cs="Arial"/>
          <w:lang w:val="de-DE"/>
        </w:rPr>
        <w:t xml:space="preserve"> die Informationen, Dokumente oder das Material in einem anderen Land </w:t>
      </w:r>
      <w:r w:rsidR="0020309F" w:rsidRPr="00BC76A2">
        <w:rPr>
          <w:rFonts w:cs="Arial"/>
          <w:lang w:val="de-DE"/>
        </w:rPr>
        <w:t>aufbewahrt</w:t>
      </w:r>
      <w:r w:rsidR="00B56D48" w:rsidRPr="00BC76A2">
        <w:rPr>
          <w:rFonts w:cs="Arial"/>
          <w:lang w:val="de-DE"/>
        </w:rPr>
        <w:t xml:space="preserve"> </w:t>
      </w:r>
      <w:r w:rsidR="00250679" w:rsidRPr="00BC76A2">
        <w:rPr>
          <w:rFonts w:cs="Arial"/>
          <w:lang w:val="de-DE"/>
        </w:rPr>
        <w:t>werden könnten, und</w:t>
      </w:r>
    </w:p>
    <w:p w:rsidR="00B56D48" w:rsidRPr="00BC76A2" w:rsidRDefault="00B56D48" w:rsidP="00340861">
      <w:pPr>
        <w:rPr>
          <w:rFonts w:cs="Arial"/>
          <w:lang w:val="de-DE"/>
        </w:rPr>
      </w:pPr>
    </w:p>
    <w:p w:rsidR="00340861" w:rsidRPr="00BC76A2" w:rsidRDefault="00340861" w:rsidP="00B56D48">
      <w:pPr>
        <w:ind w:firstLine="567"/>
        <w:rPr>
          <w:rFonts w:cs="Arial"/>
          <w:lang w:val="de-DE"/>
        </w:rPr>
      </w:pPr>
      <w:r w:rsidRPr="00BC76A2">
        <w:rPr>
          <w:rFonts w:cs="Arial"/>
          <w:lang w:val="de-DE"/>
        </w:rPr>
        <w:t>b)</w:t>
      </w:r>
      <w:r w:rsidRPr="00BC76A2">
        <w:rPr>
          <w:rFonts w:cs="Arial"/>
          <w:lang w:val="de-DE"/>
        </w:rPr>
        <w:tab/>
      </w:r>
      <w:r w:rsidR="00B56D48" w:rsidRPr="00BC76A2">
        <w:rPr>
          <w:rFonts w:cs="Arial"/>
          <w:lang w:val="de-DE"/>
        </w:rPr>
        <w:t xml:space="preserve">die Verwendung von Prüfungsrichtlinien für die </w:t>
      </w:r>
      <w:r w:rsidR="00241EB2" w:rsidRPr="00BC76A2">
        <w:rPr>
          <w:rFonts w:cs="Arial"/>
          <w:lang w:val="de-DE"/>
        </w:rPr>
        <w:t>Überwachung der Erhaltung</w:t>
      </w:r>
      <w:r w:rsidR="00B56D48" w:rsidRPr="00BC76A2">
        <w:rPr>
          <w:rFonts w:cs="Arial"/>
          <w:lang w:val="de-DE"/>
        </w:rPr>
        <w:t xml:space="preserve"> der Sorte, die sich von den </w:t>
      </w:r>
      <w:r w:rsidR="007206B2" w:rsidRPr="00BC76A2">
        <w:rPr>
          <w:rFonts w:cs="Arial"/>
          <w:lang w:val="de-DE"/>
        </w:rPr>
        <w:t>Prüfungsrichtlinien</w:t>
      </w:r>
      <w:r w:rsidR="00B56D48" w:rsidRPr="00BC76A2">
        <w:rPr>
          <w:rFonts w:cs="Arial"/>
          <w:lang w:val="de-DE"/>
        </w:rPr>
        <w:t xml:space="preserve"> </w:t>
      </w:r>
      <w:r w:rsidR="007206B2" w:rsidRPr="00BC76A2">
        <w:rPr>
          <w:rFonts w:cs="Arial"/>
          <w:lang w:val="de-DE"/>
        </w:rPr>
        <w:t>unterscheiden</w:t>
      </w:r>
      <w:r w:rsidR="00B56D48" w:rsidRPr="00BC76A2">
        <w:rPr>
          <w:rFonts w:cs="Arial"/>
          <w:lang w:val="de-DE"/>
        </w:rPr>
        <w:t xml:space="preserve">, die für die Prüfung der </w:t>
      </w:r>
      <w:r w:rsidR="007206B2" w:rsidRPr="00BC76A2">
        <w:rPr>
          <w:rFonts w:cs="Arial"/>
          <w:lang w:val="de-DE"/>
        </w:rPr>
        <w:t>Unterscheidbarkeit</w:t>
      </w:r>
      <w:r w:rsidR="00B56D48" w:rsidRPr="00BC76A2">
        <w:rPr>
          <w:rFonts w:cs="Arial"/>
          <w:lang w:val="de-DE"/>
        </w:rPr>
        <w:t xml:space="preserve">, der Homogenität und der Beständigkeit („DUS“) </w:t>
      </w:r>
      <w:r w:rsidR="00250679" w:rsidRPr="00BC76A2">
        <w:rPr>
          <w:rFonts w:cs="Arial"/>
          <w:lang w:val="de-DE"/>
        </w:rPr>
        <w:t>verwendet wurden</w:t>
      </w:r>
      <w:r w:rsidRPr="00BC76A2">
        <w:rPr>
          <w:rFonts w:cs="Arial"/>
          <w:lang w:val="de-DE"/>
        </w:rPr>
        <w:t>.</w:t>
      </w:r>
    </w:p>
    <w:p w:rsidR="00340861" w:rsidRPr="00BC76A2" w:rsidRDefault="00340861" w:rsidP="00340861">
      <w:pPr>
        <w:rPr>
          <w:lang w:val="de-DE"/>
        </w:rPr>
      </w:pPr>
    </w:p>
    <w:p w:rsidR="00340861" w:rsidRPr="00BC76A2" w:rsidRDefault="00340861" w:rsidP="00340861">
      <w:pPr>
        <w:rPr>
          <w:rFonts w:cs="Arial"/>
          <w:lang w:val="de-DE"/>
        </w:rPr>
      </w:pPr>
      <w:r w:rsidRPr="00BC76A2">
        <w:rPr>
          <w:rFonts w:cs="Arial"/>
          <w:lang w:val="de-DE"/>
        </w:rPr>
        <w:fldChar w:fldCharType="begin"/>
      </w:r>
      <w:r w:rsidRPr="00BC76A2">
        <w:rPr>
          <w:rFonts w:cs="Arial"/>
          <w:lang w:val="de-DE"/>
        </w:rPr>
        <w:instrText xml:space="preserve"> AUTONUM  </w:instrText>
      </w:r>
      <w:r w:rsidRPr="00BC76A2">
        <w:rPr>
          <w:rFonts w:cs="Arial"/>
          <w:lang w:val="de-DE"/>
        </w:rPr>
        <w:fldChar w:fldCharType="end"/>
      </w:r>
      <w:r w:rsidRPr="00BC76A2">
        <w:rPr>
          <w:rFonts w:cs="Arial"/>
          <w:lang w:val="de-DE"/>
        </w:rPr>
        <w:tab/>
      </w:r>
      <w:r w:rsidR="00B56D48" w:rsidRPr="00BC76A2">
        <w:rPr>
          <w:rFonts w:cs="Arial"/>
          <w:lang w:val="de-DE"/>
        </w:rPr>
        <w:t>Die</w:t>
      </w:r>
      <w:r w:rsidRPr="00BC76A2">
        <w:rPr>
          <w:rFonts w:cs="Arial"/>
          <w:lang w:val="de-DE"/>
        </w:rPr>
        <w:t xml:space="preserve"> CAJ-AG </w:t>
      </w:r>
      <w:r w:rsidR="00B56D48" w:rsidRPr="00BC76A2">
        <w:rPr>
          <w:rFonts w:cs="Arial"/>
          <w:lang w:val="de-DE"/>
        </w:rPr>
        <w:t xml:space="preserve">vereinbarte, </w:t>
      </w:r>
      <w:r w:rsidR="007206B2" w:rsidRPr="00BC76A2">
        <w:rPr>
          <w:rFonts w:cs="Arial"/>
          <w:lang w:val="de-DE"/>
        </w:rPr>
        <w:t>dem</w:t>
      </w:r>
      <w:r w:rsidR="00B56D48" w:rsidRPr="00BC76A2">
        <w:rPr>
          <w:rFonts w:cs="Arial"/>
          <w:lang w:val="de-DE"/>
        </w:rPr>
        <w:t xml:space="preserve"> CAJ </w:t>
      </w:r>
      <w:r w:rsidR="007206B2" w:rsidRPr="00BC76A2">
        <w:rPr>
          <w:rFonts w:cs="Arial"/>
          <w:lang w:val="de-DE"/>
        </w:rPr>
        <w:t>vorzuschlagen</w:t>
      </w:r>
      <w:r w:rsidR="00B56D48" w:rsidRPr="00BC76A2">
        <w:rPr>
          <w:rFonts w:cs="Arial"/>
          <w:lang w:val="de-DE"/>
        </w:rPr>
        <w:t>, da</w:t>
      </w:r>
      <w:r w:rsidR="00250679" w:rsidRPr="00BC76A2">
        <w:rPr>
          <w:rFonts w:cs="Arial"/>
          <w:lang w:val="de-DE"/>
        </w:rPr>
        <w:t>ß</w:t>
      </w:r>
      <w:r w:rsidR="00B56D48" w:rsidRPr="00BC76A2">
        <w:rPr>
          <w:rFonts w:cs="Arial"/>
          <w:lang w:val="de-DE"/>
        </w:rPr>
        <w:t xml:space="preserve"> folge</w:t>
      </w:r>
      <w:r w:rsidR="00D21BC8">
        <w:rPr>
          <w:rFonts w:cs="Arial"/>
          <w:lang w:val="de-DE"/>
        </w:rPr>
        <w:t>nde Angelegenheiten in Dokument </w:t>
      </w:r>
      <w:r w:rsidRPr="00BC76A2">
        <w:rPr>
          <w:rFonts w:cs="Arial"/>
          <w:lang w:val="de-DE"/>
        </w:rPr>
        <w:t>CAJ</w:t>
      </w:r>
      <w:r w:rsidR="00B56D48" w:rsidRPr="00BC76A2">
        <w:rPr>
          <w:rFonts w:cs="Arial"/>
          <w:lang w:val="de-DE"/>
        </w:rPr>
        <w:noBreakHyphen/>
      </w:r>
      <w:r w:rsidRPr="00BC76A2">
        <w:rPr>
          <w:rFonts w:cs="Arial"/>
          <w:lang w:val="de-DE"/>
        </w:rPr>
        <w:t xml:space="preserve">AG/13/8/7 </w:t>
      </w:r>
      <w:r w:rsidR="003C2AFD" w:rsidRPr="00BC76A2">
        <w:rPr>
          <w:rFonts w:cs="Arial"/>
          <w:lang w:val="de-DE"/>
        </w:rPr>
        <w:t>Absatz</w:t>
      </w:r>
      <w:r w:rsidRPr="00BC76A2">
        <w:rPr>
          <w:rFonts w:cs="Arial"/>
          <w:lang w:val="de-DE"/>
        </w:rPr>
        <w:t xml:space="preserve"> 4, </w:t>
      </w:r>
      <w:r w:rsidR="00B56D48" w:rsidRPr="00BC76A2">
        <w:rPr>
          <w:rFonts w:cs="Arial"/>
          <w:lang w:val="de-DE"/>
        </w:rPr>
        <w:t>vom TC als erstes geprüft werden sollten:</w:t>
      </w:r>
    </w:p>
    <w:p w:rsidR="00340861" w:rsidRPr="00BC76A2" w:rsidRDefault="00340861" w:rsidP="00340861">
      <w:pPr>
        <w:rPr>
          <w:rFonts w:cs="Arial"/>
          <w:lang w:val="de-DE"/>
        </w:rPr>
      </w:pPr>
    </w:p>
    <w:p w:rsidR="00340861" w:rsidRPr="00BC76A2" w:rsidRDefault="00B56D48" w:rsidP="00230328">
      <w:pPr>
        <w:ind w:left="567" w:right="567"/>
        <w:rPr>
          <w:sz w:val="18"/>
          <w:szCs w:val="18"/>
          <w:lang w:val="de-DE"/>
        </w:rPr>
      </w:pPr>
      <w:r w:rsidRPr="00BC76A2">
        <w:rPr>
          <w:sz w:val="18"/>
          <w:szCs w:val="18"/>
          <w:lang w:val="de-DE"/>
        </w:rPr>
        <w:t>„</w:t>
      </w:r>
      <w:r w:rsidR="00340861" w:rsidRPr="00BC76A2">
        <w:rPr>
          <w:sz w:val="18"/>
          <w:szCs w:val="18"/>
          <w:lang w:val="de-DE"/>
        </w:rPr>
        <w:t>[…]</w:t>
      </w:r>
    </w:p>
    <w:p w:rsidR="00340861" w:rsidRPr="00BC76A2" w:rsidRDefault="00340861" w:rsidP="00230328">
      <w:pPr>
        <w:ind w:left="567" w:right="567"/>
        <w:rPr>
          <w:sz w:val="18"/>
          <w:szCs w:val="18"/>
          <w:lang w:val="de-DE"/>
        </w:rPr>
      </w:pPr>
    </w:p>
    <w:p w:rsidR="00340861" w:rsidRPr="00BC76A2" w:rsidRDefault="00340861" w:rsidP="00230328">
      <w:pPr>
        <w:ind w:left="567" w:right="567"/>
        <w:rPr>
          <w:sz w:val="18"/>
          <w:szCs w:val="18"/>
          <w:lang w:val="de-DE"/>
        </w:rPr>
      </w:pPr>
      <w:r w:rsidRPr="00BC76A2">
        <w:rPr>
          <w:sz w:val="18"/>
          <w:szCs w:val="18"/>
          <w:lang w:val="de-DE"/>
        </w:rPr>
        <w:t>b)</w:t>
      </w:r>
      <w:r w:rsidRPr="00BC76A2">
        <w:rPr>
          <w:sz w:val="18"/>
          <w:szCs w:val="18"/>
          <w:lang w:val="de-DE"/>
        </w:rPr>
        <w:tab/>
      </w:r>
      <w:r w:rsidR="00B56D48" w:rsidRPr="00BC76A2">
        <w:rPr>
          <w:sz w:val="18"/>
          <w:szCs w:val="18"/>
          <w:lang w:val="de-DE"/>
        </w:rPr>
        <w:t xml:space="preserve">der Status der </w:t>
      </w:r>
      <w:r w:rsidR="007206B2" w:rsidRPr="00BC76A2">
        <w:rPr>
          <w:sz w:val="18"/>
          <w:szCs w:val="18"/>
          <w:lang w:val="de-DE"/>
        </w:rPr>
        <w:t>ursprünglichen</w:t>
      </w:r>
      <w:r w:rsidR="00B56D48" w:rsidRPr="00BC76A2">
        <w:rPr>
          <w:sz w:val="18"/>
          <w:szCs w:val="18"/>
          <w:lang w:val="de-DE"/>
        </w:rPr>
        <w:t xml:space="preserve"> </w:t>
      </w:r>
      <w:r w:rsidR="007206B2" w:rsidRPr="00BC76A2">
        <w:rPr>
          <w:sz w:val="18"/>
          <w:szCs w:val="18"/>
          <w:lang w:val="de-DE"/>
        </w:rPr>
        <w:t>Sortenbeschreibung</w:t>
      </w:r>
      <w:r w:rsidR="00B56D48" w:rsidRPr="00BC76A2">
        <w:rPr>
          <w:sz w:val="18"/>
          <w:szCs w:val="18"/>
          <w:lang w:val="de-DE"/>
        </w:rPr>
        <w:t xml:space="preserve"> in bezug auf die Überprüfung der Vereinbarkeit des Pflanzenmaterials mit einer geschützten Sorte zum </w:t>
      </w:r>
      <w:r w:rsidR="007206B2" w:rsidRPr="00BC76A2">
        <w:rPr>
          <w:sz w:val="18"/>
          <w:szCs w:val="18"/>
          <w:lang w:val="de-DE"/>
        </w:rPr>
        <w:t>Zwecke</w:t>
      </w:r>
      <w:r w:rsidR="00B56D48" w:rsidRPr="00BC76A2">
        <w:rPr>
          <w:sz w:val="18"/>
          <w:szCs w:val="18"/>
          <w:lang w:val="de-DE"/>
        </w:rPr>
        <w:t xml:space="preserve">: </w:t>
      </w:r>
    </w:p>
    <w:p w:rsidR="00340861" w:rsidRPr="00BC76A2" w:rsidRDefault="00340861" w:rsidP="00230328">
      <w:pPr>
        <w:ind w:left="567" w:right="567"/>
        <w:rPr>
          <w:sz w:val="18"/>
          <w:szCs w:val="18"/>
          <w:lang w:val="de-DE"/>
        </w:rPr>
      </w:pPr>
    </w:p>
    <w:p w:rsidR="00340861" w:rsidRPr="00BC76A2" w:rsidRDefault="00340861" w:rsidP="00230328">
      <w:pPr>
        <w:ind w:left="1134" w:right="567"/>
        <w:rPr>
          <w:sz w:val="18"/>
          <w:szCs w:val="18"/>
          <w:lang w:val="de-DE"/>
        </w:rPr>
      </w:pPr>
      <w:r w:rsidRPr="00BC76A2">
        <w:rPr>
          <w:sz w:val="18"/>
          <w:szCs w:val="18"/>
          <w:lang w:val="de-DE"/>
        </w:rPr>
        <w:t>i)</w:t>
      </w:r>
      <w:r w:rsidRPr="00BC76A2">
        <w:rPr>
          <w:sz w:val="18"/>
          <w:szCs w:val="18"/>
          <w:lang w:val="de-DE"/>
        </w:rPr>
        <w:tab/>
      </w:r>
      <w:r w:rsidR="00B56D48" w:rsidRPr="00BC76A2">
        <w:rPr>
          <w:sz w:val="18"/>
          <w:szCs w:val="18"/>
          <w:lang w:val="de-DE"/>
        </w:rPr>
        <w:t>der Überwachung der Erhaltung der Sorte</w:t>
      </w:r>
      <w:r w:rsidR="00B56D48" w:rsidRPr="00BC76A2">
        <w:rPr>
          <w:sz w:val="24"/>
          <w:lang w:val="de-DE"/>
        </w:rPr>
        <w:t xml:space="preserve"> </w:t>
      </w:r>
      <w:r w:rsidRPr="00BC76A2">
        <w:rPr>
          <w:sz w:val="18"/>
          <w:szCs w:val="18"/>
          <w:lang w:val="de-DE"/>
        </w:rPr>
        <w:t>(Arti</w:t>
      </w:r>
      <w:r w:rsidR="00B56D48" w:rsidRPr="00BC76A2">
        <w:rPr>
          <w:sz w:val="18"/>
          <w:szCs w:val="18"/>
          <w:lang w:val="de-DE"/>
        </w:rPr>
        <w:t>kel</w:t>
      </w:r>
      <w:r w:rsidRPr="00BC76A2">
        <w:rPr>
          <w:sz w:val="18"/>
          <w:szCs w:val="18"/>
          <w:lang w:val="de-DE"/>
        </w:rPr>
        <w:t xml:space="preserve"> 22 </w:t>
      </w:r>
      <w:r w:rsidR="00B56D48" w:rsidRPr="00BC76A2">
        <w:rPr>
          <w:sz w:val="18"/>
          <w:szCs w:val="18"/>
          <w:lang w:val="de-DE"/>
        </w:rPr>
        <w:t>der Akte von</w:t>
      </w:r>
      <w:r w:rsidRPr="00BC76A2">
        <w:rPr>
          <w:sz w:val="18"/>
          <w:szCs w:val="18"/>
          <w:lang w:val="de-DE"/>
        </w:rPr>
        <w:t xml:space="preserve"> 1</w:t>
      </w:r>
      <w:r w:rsidR="00230328" w:rsidRPr="00BC76A2">
        <w:rPr>
          <w:sz w:val="18"/>
          <w:szCs w:val="18"/>
          <w:lang w:val="de-DE"/>
        </w:rPr>
        <w:t>991, Arti</w:t>
      </w:r>
      <w:r w:rsidR="00B56D48" w:rsidRPr="00BC76A2">
        <w:rPr>
          <w:sz w:val="18"/>
          <w:szCs w:val="18"/>
          <w:lang w:val="de-DE"/>
        </w:rPr>
        <w:t>kel</w:t>
      </w:r>
      <w:r w:rsidR="00230328" w:rsidRPr="00BC76A2">
        <w:rPr>
          <w:sz w:val="18"/>
          <w:szCs w:val="18"/>
          <w:lang w:val="de-DE"/>
        </w:rPr>
        <w:t xml:space="preserve"> 10 </w:t>
      </w:r>
      <w:r w:rsidR="00B56D48" w:rsidRPr="00BC76A2">
        <w:rPr>
          <w:sz w:val="18"/>
          <w:szCs w:val="18"/>
          <w:lang w:val="de-DE"/>
        </w:rPr>
        <w:t>der Akte von</w:t>
      </w:r>
      <w:r w:rsidR="00230328" w:rsidRPr="00BC76A2">
        <w:rPr>
          <w:sz w:val="18"/>
          <w:szCs w:val="18"/>
          <w:lang w:val="de-DE"/>
        </w:rPr>
        <w:t xml:space="preserve"> 1978</w:t>
      </w:r>
      <w:r w:rsidRPr="00BC76A2">
        <w:rPr>
          <w:sz w:val="18"/>
          <w:szCs w:val="18"/>
          <w:lang w:val="de-DE"/>
        </w:rPr>
        <w:t>);</w:t>
      </w:r>
    </w:p>
    <w:p w:rsidR="00340861" w:rsidRPr="00BC76A2" w:rsidRDefault="00340861" w:rsidP="00230328">
      <w:pPr>
        <w:ind w:left="1134" w:right="567"/>
        <w:rPr>
          <w:sz w:val="18"/>
          <w:szCs w:val="18"/>
          <w:lang w:val="de-DE"/>
        </w:rPr>
      </w:pPr>
    </w:p>
    <w:p w:rsidR="00340861" w:rsidRPr="00BC76A2" w:rsidRDefault="00340861" w:rsidP="00230328">
      <w:pPr>
        <w:ind w:left="1134" w:right="567"/>
        <w:rPr>
          <w:sz w:val="18"/>
          <w:szCs w:val="18"/>
          <w:lang w:val="de-DE"/>
        </w:rPr>
      </w:pPr>
      <w:r w:rsidRPr="00BC76A2">
        <w:rPr>
          <w:sz w:val="18"/>
          <w:szCs w:val="18"/>
          <w:lang w:val="de-DE"/>
        </w:rPr>
        <w:t>ii)</w:t>
      </w:r>
      <w:r w:rsidRPr="00BC76A2">
        <w:rPr>
          <w:sz w:val="18"/>
          <w:szCs w:val="18"/>
          <w:lang w:val="de-DE"/>
        </w:rPr>
        <w:tab/>
      </w:r>
      <w:r w:rsidR="009327E5" w:rsidRPr="00BC76A2">
        <w:rPr>
          <w:sz w:val="18"/>
          <w:szCs w:val="18"/>
          <w:lang w:val="de-DE"/>
        </w:rPr>
        <w:t xml:space="preserve">der Prüfung der Unterscheidbarkeit, Homogenität </w:t>
      </w:r>
      <w:r w:rsidR="007206B2" w:rsidRPr="00BC76A2">
        <w:rPr>
          <w:sz w:val="18"/>
          <w:szCs w:val="18"/>
          <w:lang w:val="de-DE"/>
        </w:rPr>
        <w:t>und</w:t>
      </w:r>
      <w:r w:rsidR="009327E5" w:rsidRPr="00BC76A2">
        <w:rPr>
          <w:sz w:val="18"/>
          <w:szCs w:val="18"/>
          <w:lang w:val="de-DE"/>
        </w:rPr>
        <w:t xml:space="preserve"> </w:t>
      </w:r>
      <w:r w:rsidR="007206B2" w:rsidRPr="00BC76A2">
        <w:rPr>
          <w:sz w:val="18"/>
          <w:szCs w:val="18"/>
          <w:lang w:val="de-DE"/>
        </w:rPr>
        <w:t>Beständigkeit</w:t>
      </w:r>
      <w:r w:rsidR="009327E5" w:rsidRPr="00BC76A2">
        <w:rPr>
          <w:sz w:val="18"/>
          <w:szCs w:val="18"/>
          <w:lang w:val="de-DE"/>
        </w:rPr>
        <w:t xml:space="preserve"> (</w:t>
      </w:r>
      <w:r w:rsidR="00473803" w:rsidRPr="00BC76A2">
        <w:rPr>
          <w:sz w:val="18"/>
          <w:szCs w:val="18"/>
          <w:lang w:val="de-DE"/>
        </w:rPr>
        <w:t>„</w:t>
      </w:r>
      <w:r w:rsidR="009327E5" w:rsidRPr="00BC76A2">
        <w:rPr>
          <w:sz w:val="18"/>
          <w:szCs w:val="18"/>
          <w:lang w:val="de-DE"/>
        </w:rPr>
        <w:t>DUS</w:t>
      </w:r>
      <w:r w:rsidR="00473803" w:rsidRPr="00BC76A2">
        <w:rPr>
          <w:sz w:val="18"/>
          <w:szCs w:val="18"/>
          <w:lang w:val="de-DE"/>
        </w:rPr>
        <w:t>“) der Kandidatensorten, und</w:t>
      </w:r>
    </w:p>
    <w:p w:rsidR="00340861" w:rsidRPr="00BC76A2" w:rsidRDefault="00340861" w:rsidP="00230328">
      <w:pPr>
        <w:ind w:left="567" w:right="567"/>
        <w:rPr>
          <w:sz w:val="18"/>
          <w:szCs w:val="18"/>
          <w:lang w:val="de-DE"/>
        </w:rPr>
      </w:pPr>
    </w:p>
    <w:p w:rsidR="00340861" w:rsidRPr="00BC76A2" w:rsidRDefault="00340861" w:rsidP="00230328">
      <w:pPr>
        <w:spacing w:after="240"/>
        <w:ind w:left="567" w:right="567" w:firstLine="567"/>
        <w:rPr>
          <w:sz w:val="18"/>
          <w:szCs w:val="18"/>
          <w:lang w:val="de-DE"/>
        </w:rPr>
      </w:pPr>
      <w:r w:rsidRPr="00BC76A2">
        <w:rPr>
          <w:sz w:val="18"/>
          <w:szCs w:val="18"/>
          <w:lang w:val="de-DE"/>
        </w:rPr>
        <w:t>[…]</w:t>
      </w:r>
    </w:p>
    <w:p w:rsidR="00340861" w:rsidRPr="00BC76A2" w:rsidRDefault="00340861" w:rsidP="00230328">
      <w:pPr>
        <w:ind w:left="567" w:right="567"/>
        <w:rPr>
          <w:sz w:val="18"/>
          <w:szCs w:val="18"/>
          <w:lang w:val="de-DE"/>
        </w:rPr>
      </w:pPr>
      <w:r w:rsidRPr="00BC76A2">
        <w:rPr>
          <w:sz w:val="18"/>
          <w:szCs w:val="18"/>
          <w:lang w:val="de-DE"/>
        </w:rPr>
        <w:t>c)</w:t>
      </w:r>
      <w:r w:rsidRPr="00BC76A2">
        <w:rPr>
          <w:sz w:val="18"/>
          <w:szCs w:val="18"/>
          <w:lang w:val="de-DE"/>
        </w:rPr>
        <w:tab/>
      </w:r>
      <w:r w:rsidR="009327E5" w:rsidRPr="00BC76A2">
        <w:rPr>
          <w:sz w:val="18"/>
          <w:szCs w:val="18"/>
          <w:lang w:val="de-DE"/>
        </w:rPr>
        <w:t xml:space="preserve">der </w:t>
      </w:r>
      <w:r w:rsidR="007206B2" w:rsidRPr="00BC76A2">
        <w:rPr>
          <w:sz w:val="18"/>
          <w:szCs w:val="18"/>
          <w:lang w:val="de-DE"/>
        </w:rPr>
        <w:t>Status</w:t>
      </w:r>
      <w:r w:rsidR="009327E5" w:rsidRPr="00BC76A2">
        <w:rPr>
          <w:sz w:val="18"/>
          <w:szCs w:val="18"/>
          <w:lang w:val="de-DE"/>
        </w:rPr>
        <w:t xml:space="preserve"> einer geänderten Sortenbeschreibung in bezug auf a) </w:t>
      </w:r>
      <w:r w:rsidR="007206B2" w:rsidRPr="00BC76A2">
        <w:rPr>
          <w:sz w:val="18"/>
          <w:szCs w:val="18"/>
          <w:lang w:val="de-DE"/>
        </w:rPr>
        <w:t>und</w:t>
      </w:r>
      <w:r w:rsidR="009327E5" w:rsidRPr="00BC76A2">
        <w:rPr>
          <w:sz w:val="18"/>
          <w:szCs w:val="18"/>
          <w:lang w:val="de-DE"/>
        </w:rPr>
        <w:t xml:space="preserve"> b) oben, die </w:t>
      </w:r>
      <w:r w:rsidR="007206B2" w:rsidRPr="00BC76A2">
        <w:rPr>
          <w:sz w:val="18"/>
          <w:szCs w:val="18"/>
          <w:lang w:val="de-DE"/>
        </w:rPr>
        <w:t>beispielsweise</w:t>
      </w:r>
      <w:r w:rsidR="009327E5" w:rsidRPr="00BC76A2">
        <w:rPr>
          <w:sz w:val="18"/>
          <w:szCs w:val="18"/>
          <w:lang w:val="de-DE"/>
        </w:rPr>
        <w:t xml:space="preserve"> erstellt wurde als Ergebnis</w:t>
      </w:r>
      <w:r w:rsidRPr="00BC76A2">
        <w:rPr>
          <w:sz w:val="18"/>
          <w:szCs w:val="18"/>
          <w:lang w:val="de-DE"/>
        </w:rPr>
        <w:t>:</w:t>
      </w:r>
    </w:p>
    <w:p w:rsidR="00340861" w:rsidRPr="00BC76A2" w:rsidRDefault="00340861" w:rsidP="00230328">
      <w:pPr>
        <w:ind w:left="567" w:right="567"/>
        <w:rPr>
          <w:sz w:val="18"/>
          <w:szCs w:val="18"/>
          <w:lang w:val="de-DE"/>
        </w:rPr>
      </w:pPr>
    </w:p>
    <w:p w:rsidR="00340861" w:rsidRPr="00BC76A2" w:rsidRDefault="00340861" w:rsidP="00230328">
      <w:pPr>
        <w:spacing w:after="60"/>
        <w:ind w:left="1701" w:right="567" w:hanging="567"/>
        <w:rPr>
          <w:sz w:val="18"/>
          <w:szCs w:val="18"/>
          <w:lang w:val="de-DE"/>
        </w:rPr>
      </w:pPr>
      <w:r w:rsidRPr="00BC76A2">
        <w:rPr>
          <w:sz w:val="18"/>
          <w:szCs w:val="18"/>
          <w:lang w:val="de-DE"/>
        </w:rPr>
        <w:t>i)</w:t>
      </w:r>
      <w:r w:rsidRPr="00BC76A2">
        <w:rPr>
          <w:sz w:val="18"/>
          <w:szCs w:val="18"/>
          <w:lang w:val="de-DE"/>
        </w:rPr>
        <w:tab/>
      </w:r>
      <w:r w:rsidR="009327E5" w:rsidRPr="00BC76A2">
        <w:rPr>
          <w:sz w:val="18"/>
          <w:szCs w:val="18"/>
          <w:lang w:val="de-DE"/>
        </w:rPr>
        <w:t xml:space="preserve">einer Neukalibrierung der Skala in </w:t>
      </w:r>
      <w:r w:rsidR="007206B2" w:rsidRPr="00BC76A2">
        <w:rPr>
          <w:sz w:val="18"/>
          <w:szCs w:val="18"/>
          <w:lang w:val="de-DE"/>
        </w:rPr>
        <w:t>den</w:t>
      </w:r>
      <w:r w:rsidR="009327E5" w:rsidRPr="00BC76A2">
        <w:rPr>
          <w:sz w:val="18"/>
          <w:szCs w:val="18"/>
          <w:lang w:val="de-DE"/>
        </w:rPr>
        <w:t xml:space="preserve"> </w:t>
      </w:r>
      <w:r w:rsidR="007206B2" w:rsidRPr="00BC76A2">
        <w:rPr>
          <w:sz w:val="18"/>
          <w:szCs w:val="18"/>
          <w:lang w:val="de-DE"/>
        </w:rPr>
        <w:t>Prüfungsrichtlinien</w:t>
      </w:r>
      <w:r w:rsidR="009327E5" w:rsidRPr="00BC76A2">
        <w:rPr>
          <w:sz w:val="18"/>
          <w:szCs w:val="18"/>
          <w:lang w:val="de-DE"/>
        </w:rPr>
        <w:t xml:space="preserve"> </w:t>
      </w:r>
      <w:r w:rsidRPr="00BC76A2">
        <w:rPr>
          <w:sz w:val="18"/>
          <w:szCs w:val="18"/>
          <w:lang w:val="de-DE"/>
        </w:rPr>
        <w:t>(</w:t>
      </w:r>
      <w:r w:rsidR="009327E5" w:rsidRPr="00BC76A2">
        <w:rPr>
          <w:sz w:val="18"/>
          <w:szCs w:val="18"/>
          <w:lang w:val="de-DE"/>
        </w:rPr>
        <w:t>insbesondere für Merkmale ohne Sternchen</w:t>
      </w:r>
      <w:r w:rsidRPr="00BC76A2">
        <w:rPr>
          <w:rStyle w:val="FootnoteReference"/>
          <w:sz w:val="18"/>
          <w:szCs w:val="18"/>
          <w:lang w:val="de-DE"/>
        </w:rPr>
        <w:footnoteReference w:id="2"/>
      </w:r>
      <w:r w:rsidRPr="00BC76A2">
        <w:rPr>
          <w:sz w:val="18"/>
          <w:szCs w:val="18"/>
          <w:lang w:val="de-DE"/>
        </w:rPr>
        <w:t>);</w:t>
      </w:r>
    </w:p>
    <w:p w:rsidR="00340861" w:rsidRPr="00BC76A2" w:rsidRDefault="00340861" w:rsidP="00230328">
      <w:pPr>
        <w:spacing w:after="60"/>
        <w:ind w:left="1701" w:right="567" w:hanging="567"/>
        <w:rPr>
          <w:sz w:val="18"/>
          <w:szCs w:val="18"/>
          <w:lang w:val="de-DE"/>
        </w:rPr>
      </w:pPr>
      <w:r w:rsidRPr="00BC76A2">
        <w:rPr>
          <w:sz w:val="18"/>
          <w:szCs w:val="18"/>
          <w:lang w:val="de-DE"/>
        </w:rPr>
        <w:t>ii)</w:t>
      </w:r>
      <w:r w:rsidRPr="00BC76A2">
        <w:rPr>
          <w:sz w:val="18"/>
          <w:szCs w:val="18"/>
          <w:lang w:val="de-DE"/>
        </w:rPr>
        <w:tab/>
      </w:r>
      <w:r w:rsidR="009327E5" w:rsidRPr="00BC76A2">
        <w:rPr>
          <w:sz w:val="18"/>
          <w:szCs w:val="18"/>
          <w:lang w:val="de-DE"/>
        </w:rPr>
        <w:t>der V</w:t>
      </w:r>
      <w:r w:rsidRPr="00BC76A2">
        <w:rPr>
          <w:sz w:val="18"/>
          <w:szCs w:val="18"/>
          <w:lang w:val="de-DE"/>
        </w:rPr>
        <w:t xml:space="preserve">ariation </w:t>
      </w:r>
      <w:r w:rsidR="009327E5" w:rsidRPr="00BC76A2">
        <w:rPr>
          <w:sz w:val="18"/>
          <w:szCs w:val="18"/>
          <w:lang w:val="de-DE"/>
        </w:rPr>
        <w:t xml:space="preserve">infolge von Umweltbedingungen der </w:t>
      </w:r>
      <w:r w:rsidR="007206B2" w:rsidRPr="00BC76A2">
        <w:rPr>
          <w:sz w:val="18"/>
          <w:szCs w:val="18"/>
          <w:lang w:val="de-DE"/>
        </w:rPr>
        <w:t>Prüfungsjahre</w:t>
      </w:r>
      <w:r w:rsidR="009327E5" w:rsidRPr="00BC76A2">
        <w:rPr>
          <w:sz w:val="18"/>
          <w:szCs w:val="18"/>
          <w:lang w:val="de-DE"/>
        </w:rPr>
        <w:t xml:space="preserve"> </w:t>
      </w:r>
      <w:r w:rsidR="007206B2" w:rsidRPr="00BC76A2">
        <w:rPr>
          <w:sz w:val="18"/>
          <w:szCs w:val="18"/>
          <w:lang w:val="de-DE"/>
        </w:rPr>
        <w:t>für</w:t>
      </w:r>
      <w:r w:rsidR="009327E5" w:rsidRPr="00BC76A2">
        <w:rPr>
          <w:sz w:val="18"/>
          <w:szCs w:val="18"/>
          <w:lang w:val="de-DE"/>
        </w:rPr>
        <w:t xml:space="preserve"> Merkmale, die von der Umwelt beeinflu</w:t>
      </w:r>
      <w:r w:rsidR="009327E5" w:rsidRPr="00BC76A2">
        <w:rPr>
          <w:rFonts w:cs="Arial"/>
          <w:sz w:val="18"/>
          <w:szCs w:val="18"/>
          <w:lang w:val="de-DE"/>
        </w:rPr>
        <w:t>ß</w:t>
      </w:r>
      <w:r w:rsidR="009327E5" w:rsidRPr="00BC76A2">
        <w:rPr>
          <w:sz w:val="18"/>
          <w:szCs w:val="18"/>
          <w:lang w:val="de-DE"/>
        </w:rPr>
        <w:t>t werden;</w:t>
      </w:r>
    </w:p>
    <w:p w:rsidR="00340861" w:rsidRPr="00BC76A2" w:rsidRDefault="00340861" w:rsidP="00230328">
      <w:pPr>
        <w:spacing w:after="60"/>
        <w:ind w:left="1701" w:right="567" w:hanging="567"/>
        <w:rPr>
          <w:sz w:val="18"/>
          <w:szCs w:val="18"/>
          <w:lang w:val="de-DE"/>
        </w:rPr>
      </w:pPr>
      <w:r w:rsidRPr="00BC76A2">
        <w:rPr>
          <w:sz w:val="18"/>
          <w:szCs w:val="18"/>
          <w:lang w:val="de-DE"/>
        </w:rPr>
        <w:t>iii)</w:t>
      </w:r>
      <w:r w:rsidRPr="00BC76A2">
        <w:rPr>
          <w:sz w:val="18"/>
          <w:szCs w:val="18"/>
          <w:lang w:val="de-DE"/>
        </w:rPr>
        <w:tab/>
      </w:r>
      <w:r w:rsidR="009327E5" w:rsidRPr="00BC76A2">
        <w:rPr>
          <w:sz w:val="18"/>
          <w:szCs w:val="18"/>
          <w:lang w:val="de-DE"/>
        </w:rPr>
        <w:t>der V</w:t>
      </w:r>
      <w:r w:rsidRPr="00BC76A2">
        <w:rPr>
          <w:sz w:val="18"/>
          <w:szCs w:val="18"/>
          <w:lang w:val="de-DE"/>
        </w:rPr>
        <w:t xml:space="preserve">ariation </w:t>
      </w:r>
      <w:r w:rsidR="009327E5" w:rsidRPr="00BC76A2">
        <w:rPr>
          <w:sz w:val="18"/>
          <w:szCs w:val="18"/>
          <w:lang w:val="de-DE"/>
        </w:rPr>
        <w:t xml:space="preserve">infolge der </w:t>
      </w:r>
      <w:r w:rsidR="007206B2" w:rsidRPr="00BC76A2">
        <w:rPr>
          <w:sz w:val="18"/>
          <w:szCs w:val="18"/>
          <w:lang w:val="de-DE"/>
        </w:rPr>
        <w:t>Erfassung</w:t>
      </w:r>
      <w:r w:rsidR="009327E5" w:rsidRPr="00BC76A2">
        <w:rPr>
          <w:sz w:val="18"/>
          <w:szCs w:val="18"/>
          <w:lang w:val="de-DE"/>
        </w:rPr>
        <w:t xml:space="preserve"> </w:t>
      </w:r>
      <w:r w:rsidR="007206B2" w:rsidRPr="00BC76A2">
        <w:rPr>
          <w:sz w:val="18"/>
          <w:szCs w:val="18"/>
          <w:lang w:val="de-DE"/>
        </w:rPr>
        <w:t>durch</w:t>
      </w:r>
      <w:r w:rsidR="009327E5" w:rsidRPr="00BC76A2">
        <w:rPr>
          <w:sz w:val="18"/>
          <w:szCs w:val="18"/>
          <w:lang w:val="de-DE"/>
        </w:rPr>
        <w:t xml:space="preserve"> </w:t>
      </w:r>
      <w:r w:rsidR="007206B2" w:rsidRPr="00BC76A2">
        <w:rPr>
          <w:sz w:val="18"/>
          <w:szCs w:val="18"/>
          <w:lang w:val="de-DE"/>
        </w:rPr>
        <w:t>verschiedene</w:t>
      </w:r>
      <w:r w:rsidR="009327E5" w:rsidRPr="00BC76A2">
        <w:rPr>
          <w:sz w:val="18"/>
          <w:szCs w:val="18"/>
          <w:lang w:val="de-DE"/>
        </w:rPr>
        <w:t xml:space="preserve"> </w:t>
      </w:r>
      <w:r w:rsidR="007206B2" w:rsidRPr="00BC76A2">
        <w:rPr>
          <w:sz w:val="18"/>
          <w:szCs w:val="18"/>
          <w:lang w:val="de-DE"/>
        </w:rPr>
        <w:t>Sachverständige</w:t>
      </w:r>
      <w:r w:rsidR="009327E5" w:rsidRPr="00BC76A2">
        <w:rPr>
          <w:sz w:val="18"/>
          <w:szCs w:val="18"/>
          <w:lang w:val="de-DE"/>
        </w:rPr>
        <w:t>, oder</w:t>
      </w:r>
    </w:p>
    <w:p w:rsidR="00340861" w:rsidRPr="00BC76A2" w:rsidRDefault="00340861" w:rsidP="00230328">
      <w:pPr>
        <w:ind w:left="1701" w:right="567" w:hanging="567"/>
        <w:rPr>
          <w:sz w:val="18"/>
          <w:szCs w:val="18"/>
          <w:lang w:val="de-DE"/>
        </w:rPr>
      </w:pPr>
      <w:r w:rsidRPr="00BC76A2">
        <w:rPr>
          <w:sz w:val="18"/>
          <w:szCs w:val="18"/>
          <w:lang w:val="de-DE"/>
        </w:rPr>
        <w:t>iv)</w:t>
      </w:r>
      <w:r w:rsidRPr="00BC76A2">
        <w:rPr>
          <w:sz w:val="18"/>
          <w:szCs w:val="18"/>
          <w:lang w:val="de-DE"/>
        </w:rPr>
        <w:tab/>
      </w:r>
      <w:r w:rsidR="009327E5" w:rsidRPr="00BC76A2">
        <w:rPr>
          <w:sz w:val="18"/>
          <w:szCs w:val="18"/>
          <w:lang w:val="de-DE"/>
        </w:rPr>
        <w:t xml:space="preserve">der </w:t>
      </w:r>
      <w:r w:rsidR="007206B2" w:rsidRPr="00BC76A2">
        <w:rPr>
          <w:sz w:val="18"/>
          <w:szCs w:val="18"/>
          <w:lang w:val="de-DE"/>
        </w:rPr>
        <w:t>Verwendung</w:t>
      </w:r>
      <w:r w:rsidR="009327E5" w:rsidRPr="00BC76A2">
        <w:rPr>
          <w:sz w:val="18"/>
          <w:szCs w:val="18"/>
          <w:lang w:val="de-DE"/>
        </w:rPr>
        <w:t xml:space="preserve"> verschiedener Versionen von Skalen (z. B. </w:t>
      </w:r>
      <w:r w:rsidR="007206B2" w:rsidRPr="00BC76A2">
        <w:rPr>
          <w:sz w:val="18"/>
          <w:szCs w:val="18"/>
          <w:lang w:val="de-DE"/>
        </w:rPr>
        <w:t>unterschiedliche</w:t>
      </w:r>
      <w:r w:rsidR="00473803" w:rsidRPr="00BC76A2">
        <w:rPr>
          <w:sz w:val="18"/>
          <w:szCs w:val="18"/>
          <w:lang w:val="de-DE"/>
        </w:rPr>
        <w:t xml:space="preserve"> Versionen der RHS-Farbkarte).</w:t>
      </w:r>
    </w:p>
    <w:p w:rsidR="00340861" w:rsidRPr="00BC76A2" w:rsidRDefault="00340861" w:rsidP="00230328">
      <w:pPr>
        <w:ind w:left="567" w:right="567"/>
        <w:rPr>
          <w:sz w:val="18"/>
          <w:szCs w:val="18"/>
          <w:lang w:val="de-DE"/>
        </w:rPr>
      </w:pPr>
    </w:p>
    <w:p w:rsidR="00340861" w:rsidRPr="00BC76A2" w:rsidRDefault="00340861" w:rsidP="00230328">
      <w:pPr>
        <w:ind w:left="567" w:right="567"/>
        <w:rPr>
          <w:sz w:val="18"/>
          <w:szCs w:val="18"/>
          <w:lang w:val="de-DE"/>
        </w:rPr>
      </w:pPr>
      <w:r w:rsidRPr="00BC76A2">
        <w:rPr>
          <w:sz w:val="18"/>
          <w:szCs w:val="18"/>
          <w:lang w:val="de-DE"/>
        </w:rPr>
        <w:t>d)</w:t>
      </w:r>
      <w:r w:rsidRPr="00BC76A2">
        <w:rPr>
          <w:sz w:val="18"/>
          <w:szCs w:val="18"/>
          <w:lang w:val="de-DE"/>
        </w:rPr>
        <w:tab/>
      </w:r>
      <w:r w:rsidR="009327E5" w:rsidRPr="00BC76A2">
        <w:rPr>
          <w:sz w:val="18"/>
          <w:szCs w:val="18"/>
          <w:lang w:val="de-DE"/>
        </w:rPr>
        <w:t>d</w:t>
      </w:r>
      <w:r w:rsidR="00241EB2" w:rsidRPr="00BC76A2">
        <w:rPr>
          <w:sz w:val="18"/>
          <w:szCs w:val="18"/>
          <w:lang w:val="de-DE"/>
        </w:rPr>
        <w:t>ie</w:t>
      </w:r>
      <w:r w:rsidR="009327E5" w:rsidRPr="00BC76A2">
        <w:rPr>
          <w:sz w:val="18"/>
          <w:szCs w:val="18"/>
          <w:lang w:val="de-DE"/>
        </w:rPr>
        <w:t xml:space="preserve"> Situationen in denen ein Fehler in der </w:t>
      </w:r>
      <w:r w:rsidR="007206B2" w:rsidRPr="00BC76A2">
        <w:rPr>
          <w:sz w:val="18"/>
          <w:szCs w:val="18"/>
          <w:lang w:val="de-DE"/>
        </w:rPr>
        <w:t>ersten</w:t>
      </w:r>
      <w:r w:rsidR="009327E5" w:rsidRPr="00BC76A2">
        <w:rPr>
          <w:sz w:val="18"/>
          <w:szCs w:val="18"/>
          <w:lang w:val="de-DE"/>
        </w:rPr>
        <w:t xml:space="preserve"> </w:t>
      </w:r>
      <w:r w:rsidR="007206B2" w:rsidRPr="00BC76A2">
        <w:rPr>
          <w:sz w:val="18"/>
          <w:szCs w:val="18"/>
          <w:lang w:val="de-DE"/>
        </w:rPr>
        <w:t>Sortenbeschreibung</w:t>
      </w:r>
      <w:r w:rsidR="009327E5" w:rsidRPr="00BC76A2">
        <w:rPr>
          <w:sz w:val="18"/>
          <w:szCs w:val="18"/>
          <w:lang w:val="de-DE"/>
        </w:rPr>
        <w:t xml:space="preserve"> nachträglich festgestellt wird</w:t>
      </w:r>
      <w:r w:rsidRPr="00BC76A2">
        <w:rPr>
          <w:sz w:val="18"/>
          <w:szCs w:val="18"/>
          <w:lang w:val="de-DE"/>
        </w:rPr>
        <w:t>.</w:t>
      </w:r>
      <w:r w:rsidR="00473803" w:rsidRPr="00BC76A2">
        <w:rPr>
          <w:sz w:val="18"/>
          <w:szCs w:val="18"/>
          <w:lang w:val="de-DE"/>
        </w:rPr>
        <w:t>“</w:t>
      </w:r>
    </w:p>
    <w:p w:rsidR="00F27C33" w:rsidRPr="00BC76A2" w:rsidRDefault="00F27C33" w:rsidP="001C553C">
      <w:pPr>
        <w:rPr>
          <w:lang w:val="de-DE"/>
        </w:rPr>
      </w:pPr>
    </w:p>
    <w:p w:rsidR="00505A73" w:rsidRPr="00BC76A2" w:rsidRDefault="00B94604" w:rsidP="001C553C">
      <w:pPr>
        <w:rPr>
          <w:lang w:val="de-DE"/>
        </w:rPr>
      </w:pPr>
      <w:r w:rsidRPr="00BC76A2">
        <w:rPr>
          <w:lang w:val="de-DE"/>
        </w:rPr>
        <w:fldChar w:fldCharType="begin"/>
      </w:r>
      <w:r w:rsidRPr="00BC76A2">
        <w:rPr>
          <w:lang w:val="de-DE"/>
        </w:rPr>
        <w:instrText xml:space="preserve"> AUTONUM  </w:instrText>
      </w:r>
      <w:r w:rsidRPr="00BC76A2">
        <w:rPr>
          <w:lang w:val="de-DE"/>
        </w:rPr>
        <w:fldChar w:fldCharType="end"/>
      </w:r>
      <w:r w:rsidRPr="00BC76A2">
        <w:rPr>
          <w:lang w:val="de-DE"/>
        </w:rPr>
        <w:tab/>
      </w:r>
      <w:r w:rsidR="009327E5" w:rsidRPr="00BC76A2">
        <w:rPr>
          <w:lang w:val="de-DE"/>
        </w:rPr>
        <w:t>Der</w:t>
      </w:r>
      <w:r w:rsidR="00B27EAD" w:rsidRPr="00BC76A2">
        <w:rPr>
          <w:lang w:val="de-DE"/>
        </w:rPr>
        <w:t xml:space="preserve"> CAJ wi</w:t>
      </w:r>
      <w:r w:rsidR="009327E5" w:rsidRPr="00BC76A2">
        <w:rPr>
          <w:lang w:val="de-DE"/>
        </w:rPr>
        <w:t xml:space="preserve">rd den </w:t>
      </w:r>
      <w:r w:rsidR="007206B2" w:rsidRPr="00BC76A2">
        <w:rPr>
          <w:lang w:val="de-DE"/>
        </w:rPr>
        <w:t>Vorschlag</w:t>
      </w:r>
      <w:r w:rsidR="009327E5" w:rsidRPr="00BC76A2">
        <w:rPr>
          <w:lang w:val="de-DE"/>
        </w:rPr>
        <w:t xml:space="preserve"> der</w:t>
      </w:r>
      <w:r w:rsidR="00B27EAD" w:rsidRPr="00BC76A2">
        <w:rPr>
          <w:lang w:val="de-DE"/>
        </w:rPr>
        <w:t xml:space="preserve"> CAJ-AG </w:t>
      </w:r>
      <w:r w:rsidR="009327E5" w:rsidRPr="00BC76A2">
        <w:rPr>
          <w:lang w:val="de-DE"/>
        </w:rPr>
        <w:t xml:space="preserve">auf seiner </w:t>
      </w:r>
      <w:r w:rsidR="007206B2" w:rsidRPr="00BC76A2">
        <w:rPr>
          <w:lang w:val="de-DE"/>
        </w:rPr>
        <w:t>neunundsechzigsten</w:t>
      </w:r>
      <w:r w:rsidR="009327E5" w:rsidRPr="00BC76A2">
        <w:rPr>
          <w:lang w:val="de-DE"/>
        </w:rPr>
        <w:t xml:space="preserve"> Tagung vom 10. April 2014 in Genf prüfen.</w:t>
      </w:r>
    </w:p>
    <w:p w:rsidR="00B94604" w:rsidRPr="00BC76A2" w:rsidRDefault="00B94604" w:rsidP="001C553C">
      <w:pPr>
        <w:rPr>
          <w:lang w:val="de-DE"/>
        </w:rPr>
      </w:pPr>
    </w:p>
    <w:p w:rsidR="001F4113" w:rsidRPr="00BC76A2" w:rsidRDefault="001F4113" w:rsidP="00574BB5">
      <w:pPr>
        <w:pStyle w:val="DecisionParagraphs"/>
        <w:keepLines/>
        <w:rPr>
          <w:lang w:val="de-DE"/>
        </w:rPr>
      </w:pPr>
      <w:r w:rsidRPr="00BC76A2">
        <w:rPr>
          <w:lang w:val="de-DE"/>
        </w:rPr>
        <w:fldChar w:fldCharType="begin"/>
      </w:r>
      <w:r w:rsidRPr="00BC76A2">
        <w:rPr>
          <w:lang w:val="de-DE"/>
        </w:rPr>
        <w:instrText xml:space="preserve"> AUTONUM  </w:instrText>
      </w:r>
      <w:r w:rsidRPr="00BC76A2">
        <w:rPr>
          <w:lang w:val="de-DE"/>
        </w:rPr>
        <w:fldChar w:fldCharType="end"/>
      </w:r>
      <w:r w:rsidRPr="00BC76A2">
        <w:rPr>
          <w:lang w:val="de-DE"/>
        </w:rPr>
        <w:tab/>
      </w:r>
      <w:r w:rsidR="007206B2" w:rsidRPr="00BC76A2">
        <w:rPr>
          <w:lang w:val="de-DE"/>
        </w:rPr>
        <w:t xml:space="preserve">Der TC wird ersucht, zur Kenntnis zu nehmen, </w:t>
      </w:r>
      <w:r w:rsidR="00A0388E" w:rsidRPr="00BC76A2">
        <w:rPr>
          <w:lang w:val="de-DE"/>
        </w:rPr>
        <w:t>daß</w:t>
      </w:r>
      <w:r w:rsidR="007206B2" w:rsidRPr="00BC76A2">
        <w:rPr>
          <w:lang w:val="de-DE"/>
        </w:rPr>
        <w:t xml:space="preserve"> der CAJ auf seiner neunundsechzigsten Tagung den Vorschlag der CAJ-AG, den TC zu ersuchen, weitere Anleitung zu bestimmten Angelegenheiten betreffend Sortenbeschreibungen auszuarbeiten, prüfen wird, wie in den Absätzen </w:t>
      </w:r>
      <w:r w:rsidR="00D9403C">
        <w:rPr>
          <w:lang w:val="de-DE"/>
        </w:rPr>
        <w:t>37</w:t>
      </w:r>
      <w:r w:rsidR="007206B2" w:rsidRPr="00BC76A2">
        <w:rPr>
          <w:lang w:val="de-DE"/>
        </w:rPr>
        <w:t xml:space="preserve"> bis </w:t>
      </w:r>
      <w:r w:rsidR="00D9403C">
        <w:rPr>
          <w:lang w:val="de-DE"/>
        </w:rPr>
        <w:t>41</w:t>
      </w:r>
      <w:r w:rsidR="007206B2" w:rsidRPr="00BC76A2">
        <w:rPr>
          <w:lang w:val="de-DE"/>
        </w:rPr>
        <w:t xml:space="preserve"> dargelegt.</w:t>
      </w:r>
    </w:p>
    <w:p w:rsidR="001F4113" w:rsidRPr="00BC76A2" w:rsidRDefault="001F4113" w:rsidP="001C553C">
      <w:pPr>
        <w:rPr>
          <w:lang w:val="de-DE"/>
        </w:rPr>
      </w:pPr>
    </w:p>
    <w:p w:rsidR="009678DE" w:rsidRPr="00BC76A2" w:rsidRDefault="009678DE" w:rsidP="001C553C">
      <w:pPr>
        <w:rPr>
          <w:lang w:val="de-DE"/>
        </w:rPr>
      </w:pPr>
    </w:p>
    <w:p w:rsidR="00505A73" w:rsidRPr="00BC76A2" w:rsidRDefault="009327E5" w:rsidP="00D135ED">
      <w:pPr>
        <w:pStyle w:val="Heading1"/>
        <w:rPr>
          <w:lang w:val="de-DE"/>
        </w:rPr>
      </w:pPr>
      <w:bookmarkStart w:id="143" w:name="_Toc379530096"/>
      <w:bookmarkStart w:id="144" w:name="_Toc380391643"/>
      <w:bookmarkStart w:id="145" w:name="_Toc380419883"/>
      <w:bookmarkStart w:id="146" w:name="_Toc380483683"/>
      <w:r w:rsidRPr="00BC76A2">
        <w:rPr>
          <w:lang w:val="de-DE"/>
        </w:rPr>
        <w:t>vo</w:t>
      </w:r>
      <w:r w:rsidR="00473803" w:rsidRPr="00BC76A2">
        <w:rPr>
          <w:lang w:val="de-DE"/>
        </w:rPr>
        <w:t>N der</w:t>
      </w:r>
      <w:r w:rsidRPr="00BC76A2">
        <w:rPr>
          <w:lang w:val="de-DE"/>
        </w:rPr>
        <w:t xml:space="preserve"> </w:t>
      </w:r>
      <w:r w:rsidR="00505A73" w:rsidRPr="00BC76A2">
        <w:rPr>
          <w:i/>
          <w:lang w:val="de-DE"/>
        </w:rPr>
        <w:t>International</w:t>
      </w:r>
      <w:r w:rsidR="008D2477" w:rsidRPr="00BC76A2">
        <w:rPr>
          <w:i/>
          <w:lang w:val="de-DE"/>
        </w:rPr>
        <w:t xml:space="preserve"> SEED </w:t>
      </w:r>
      <w:r w:rsidR="00877FEA" w:rsidRPr="00BC76A2">
        <w:rPr>
          <w:i/>
          <w:lang w:val="de-DE"/>
        </w:rPr>
        <w:t>FEDERATION</w:t>
      </w:r>
      <w:r w:rsidRPr="00BC76A2">
        <w:rPr>
          <w:lang w:val="de-DE"/>
        </w:rPr>
        <w:t xml:space="preserve"> (ISF)</w:t>
      </w:r>
      <w:r w:rsidR="008D2477" w:rsidRPr="00BC76A2">
        <w:rPr>
          <w:lang w:val="de-DE"/>
        </w:rPr>
        <w:t xml:space="preserve"> </w:t>
      </w:r>
      <w:r w:rsidRPr="00BC76A2">
        <w:rPr>
          <w:lang w:val="de-DE"/>
        </w:rPr>
        <w:t>aufgeworfene angelegenheiten</w:t>
      </w:r>
      <w:bookmarkEnd w:id="143"/>
      <w:bookmarkEnd w:id="144"/>
      <w:bookmarkEnd w:id="145"/>
      <w:bookmarkEnd w:id="146"/>
    </w:p>
    <w:p w:rsidR="001F4113" w:rsidRPr="00BC76A2" w:rsidRDefault="001F4113" w:rsidP="00505A73">
      <w:pPr>
        <w:rPr>
          <w:snapToGrid w:val="0"/>
          <w:lang w:val="de-DE"/>
        </w:rPr>
      </w:pPr>
    </w:p>
    <w:p w:rsidR="00505A73" w:rsidRPr="00D21BC8" w:rsidRDefault="007206B2" w:rsidP="00505A73">
      <w:pPr>
        <w:rPr>
          <w:snapToGrid w:val="0"/>
        </w:rPr>
      </w:pPr>
      <w:r w:rsidRPr="00D21BC8">
        <w:rPr>
          <w:snapToGrid w:val="0"/>
        </w:rPr>
        <w:t>(</w:t>
      </w:r>
      <w:proofErr w:type="spellStart"/>
      <w:r w:rsidR="008D2477" w:rsidRPr="00D21BC8">
        <w:rPr>
          <w:snapToGrid w:val="0"/>
        </w:rPr>
        <w:t>V</w:t>
      </w:r>
      <w:r w:rsidRPr="00D21BC8">
        <w:t>ergleiche</w:t>
      </w:r>
      <w:proofErr w:type="spellEnd"/>
      <w:r w:rsidRPr="00D21BC8">
        <w:t xml:space="preserve"> </w:t>
      </w:r>
      <w:proofErr w:type="spellStart"/>
      <w:r w:rsidRPr="00D21BC8">
        <w:t>Dokument</w:t>
      </w:r>
      <w:proofErr w:type="spellEnd"/>
      <w:r w:rsidRPr="00D21BC8">
        <w:t xml:space="preserve"> C/47/15 Rev. „</w:t>
      </w:r>
      <w:r w:rsidRPr="00D21BC8">
        <w:rPr>
          <w:i/>
        </w:rPr>
        <w:t>Report by the President on the work of the eighty-sixth session of the Consultative Committee; adoption of recommendations, if any, prepared by that Committee</w:t>
      </w:r>
      <w:r w:rsidRPr="00D21BC8">
        <w:t xml:space="preserve">“, </w:t>
      </w:r>
      <w:proofErr w:type="spellStart"/>
      <w:r w:rsidR="0036363A">
        <w:rPr>
          <w:snapToGrid w:val="0"/>
        </w:rPr>
        <w:t>Absätze</w:t>
      </w:r>
      <w:proofErr w:type="spellEnd"/>
      <w:r w:rsidR="0036363A">
        <w:rPr>
          <w:snapToGrid w:val="0"/>
        </w:rPr>
        <w:t xml:space="preserve"> 62 </w:t>
      </w:r>
      <w:proofErr w:type="spellStart"/>
      <w:r w:rsidR="0036363A">
        <w:rPr>
          <w:snapToGrid w:val="0"/>
        </w:rPr>
        <w:t>bis</w:t>
      </w:r>
      <w:proofErr w:type="spellEnd"/>
      <w:r w:rsidR="0036363A">
        <w:rPr>
          <w:snapToGrid w:val="0"/>
        </w:rPr>
        <w:t> </w:t>
      </w:r>
      <w:r w:rsidRPr="00D21BC8">
        <w:rPr>
          <w:snapToGrid w:val="0"/>
        </w:rPr>
        <w:t>66)</w:t>
      </w:r>
    </w:p>
    <w:p w:rsidR="00505A73" w:rsidRPr="00D21BC8" w:rsidRDefault="00505A73" w:rsidP="00505A73">
      <w:pPr>
        <w:rPr>
          <w:snapToGrid w:val="0"/>
        </w:rPr>
      </w:pPr>
    </w:p>
    <w:p w:rsidR="00505A73" w:rsidRPr="00BC76A2" w:rsidRDefault="00505A73" w:rsidP="00505A73">
      <w:pPr>
        <w:rPr>
          <w:lang w:val="de-DE"/>
        </w:rPr>
      </w:pPr>
      <w:r w:rsidRPr="00BC76A2">
        <w:rPr>
          <w:lang w:val="de-DE"/>
        </w:rPr>
        <w:fldChar w:fldCharType="begin"/>
      </w:r>
      <w:r w:rsidRPr="00BC76A2">
        <w:rPr>
          <w:lang w:val="de-DE"/>
        </w:rPr>
        <w:instrText xml:space="preserve"> AUTONUM  </w:instrText>
      </w:r>
      <w:r w:rsidRPr="00BC76A2">
        <w:rPr>
          <w:lang w:val="de-DE"/>
        </w:rPr>
        <w:fldChar w:fldCharType="end"/>
      </w:r>
      <w:r w:rsidRPr="00BC76A2">
        <w:rPr>
          <w:lang w:val="de-DE"/>
        </w:rPr>
        <w:tab/>
      </w:r>
      <w:r w:rsidR="009D434D" w:rsidRPr="00BC76A2">
        <w:rPr>
          <w:lang w:val="de-DE"/>
        </w:rPr>
        <w:t xml:space="preserve">Der Beratende Ausschuß erörterte auf seiner sechsundachtzigsten Tagung vom 23. und 24. Oktober 2013 in Genf das Schreiben der </w:t>
      </w:r>
      <w:r w:rsidR="009D434D" w:rsidRPr="00BC76A2">
        <w:rPr>
          <w:i/>
          <w:lang w:val="de-DE"/>
        </w:rPr>
        <w:t>International Seed Federation</w:t>
      </w:r>
      <w:r w:rsidR="009D434D" w:rsidRPr="00BC76A2">
        <w:rPr>
          <w:lang w:val="de-DE"/>
        </w:rPr>
        <w:t xml:space="preserve"> (ISF) vom 21. Januar 2013 zum Thema „Anträge, Prüfung und Erteilungsaspekte von Anträgen auf Erteilung von Züchterrechten“ und ersuchte die ISF, ihre Ansichten über den einschlägigen Teil dieses Punktes zu äußern.</w:t>
      </w:r>
    </w:p>
    <w:p w:rsidR="00505A73" w:rsidRPr="00BC76A2" w:rsidRDefault="00505A73" w:rsidP="00505A73">
      <w:pPr>
        <w:rPr>
          <w:lang w:val="de-DE"/>
        </w:rPr>
      </w:pPr>
    </w:p>
    <w:p w:rsidR="00505A73" w:rsidRPr="00BC76A2" w:rsidRDefault="00505A73" w:rsidP="00505A73">
      <w:pPr>
        <w:rPr>
          <w:lang w:val="de-DE"/>
        </w:rPr>
      </w:pPr>
      <w:r w:rsidRPr="00BC76A2">
        <w:rPr>
          <w:lang w:val="de-DE"/>
        </w:rPr>
        <w:fldChar w:fldCharType="begin"/>
      </w:r>
      <w:r w:rsidRPr="00BC76A2">
        <w:rPr>
          <w:lang w:val="de-DE"/>
        </w:rPr>
        <w:instrText xml:space="preserve"> AUTONUM  </w:instrText>
      </w:r>
      <w:r w:rsidRPr="00BC76A2">
        <w:rPr>
          <w:lang w:val="de-DE"/>
        </w:rPr>
        <w:fldChar w:fldCharType="end"/>
      </w:r>
      <w:r w:rsidRPr="00BC76A2">
        <w:rPr>
          <w:lang w:val="de-DE"/>
        </w:rPr>
        <w:tab/>
      </w:r>
      <w:r w:rsidR="003C37BC" w:rsidRPr="00BC76A2">
        <w:rPr>
          <w:lang w:val="de-DE"/>
        </w:rPr>
        <w:t>Der Beratende Ausschu</w:t>
      </w:r>
      <w:r w:rsidR="00753412" w:rsidRPr="00BC76A2">
        <w:rPr>
          <w:lang w:val="de-DE"/>
        </w:rPr>
        <w:t>ß</w:t>
      </w:r>
      <w:r w:rsidR="003C37BC" w:rsidRPr="00BC76A2">
        <w:rPr>
          <w:lang w:val="de-DE"/>
        </w:rPr>
        <w:t xml:space="preserve"> stimmte der Ausarbeitung des </w:t>
      </w:r>
      <w:r w:rsidR="007206B2" w:rsidRPr="00BC76A2">
        <w:rPr>
          <w:lang w:val="de-DE"/>
        </w:rPr>
        <w:t>Dokuments</w:t>
      </w:r>
      <w:r w:rsidR="003C37BC" w:rsidRPr="00BC76A2">
        <w:rPr>
          <w:lang w:val="de-DE"/>
        </w:rPr>
        <w:t xml:space="preserve"> </w:t>
      </w:r>
      <w:r w:rsidRPr="00BC76A2">
        <w:rPr>
          <w:lang w:val="de-DE"/>
        </w:rPr>
        <w:t xml:space="preserve">UPOV/INF/15 </w:t>
      </w:r>
      <w:r w:rsidR="003C37BC" w:rsidRPr="00BC76A2">
        <w:rPr>
          <w:lang w:val="de-DE"/>
        </w:rPr>
        <w:t>„A</w:t>
      </w:r>
      <w:r w:rsidR="003C37BC" w:rsidRPr="00BC76A2">
        <w:rPr>
          <w:rFonts w:cs="Arial"/>
          <w:lang w:val="de-DE" w:eastAsia="fr-CH"/>
        </w:rPr>
        <w:t>nleitung über die laufenden Verpflichtungen der Verbandsmitglieder und die damit verbundenen Notifizierungen und über die Erteilung von Auskünften zur Erleichterung der Zusammenarbeit“</w:t>
      </w:r>
      <w:r w:rsidR="00473803" w:rsidRPr="00BC76A2">
        <w:rPr>
          <w:rFonts w:cs="Arial"/>
          <w:lang w:val="de-DE" w:eastAsia="fr-CH"/>
        </w:rPr>
        <w:t>,</w:t>
      </w:r>
      <w:r w:rsidR="003C37BC" w:rsidRPr="00BC76A2">
        <w:rPr>
          <w:rFonts w:cs="Arial"/>
          <w:lang w:val="de-DE" w:eastAsia="fr-CH"/>
        </w:rPr>
        <w:t xml:space="preserve"> </w:t>
      </w:r>
      <w:r w:rsidR="00473803" w:rsidRPr="00BC76A2">
        <w:rPr>
          <w:rFonts w:cs="Arial"/>
          <w:lang w:val="de-DE" w:eastAsia="fr-CH"/>
        </w:rPr>
        <w:t>zu</w:t>
      </w:r>
      <w:r w:rsidR="003C37BC" w:rsidRPr="00BC76A2">
        <w:rPr>
          <w:rFonts w:cs="Arial"/>
          <w:lang w:val="de-DE" w:eastAsia="fr-CH"/>
        </w:rPr>
        <w:t xml:space="preserve"> ein</w:t>
      </w:r>
      <w:r w:rsidR="00473803" w:rsidRPr="00BC76A2">
        <w:rPr>
          <w:rFonts w:cs="Arial"/>
          <w:lang w:val="de-DE" w:eastAsia="fr-CH"/>
        </w:rPr>
        <w:t>em</w:t>
      </w:r>
      <w:r w:rsidR="003C37BC" w:rsidRPr="00BC76A2">
        <w:rPr>
          <w:rFonts w:cs="Arial"/>
          <w:lang w:val="de-DE" w:eastAsia="fr-CH"/>
        </w:rPr>
        <w:t xml:space="preserve"> Übersichtsdokument</w:t>
      </w:r>
      <w:r w:rsidR="00473803" w:rsidRPr="00BC76A2">
        <w:rPr>
          <w:rFonts w:cs="Arial"/>
          <w:lang w:val="de-DE" w:eastAsia="fr-CH"/>
        </w:rPr>
        <w:t xml:space="preserve"> zu</w:t>
      </w:r>
      <w:r w:rsidR="003C37BC" w:rsidRPr="00BC76A2">
        <w:rPr>
          <w:rFonts w:cs="Arial"/>
          <w:lang w:val="de-DE" w:eastAsia="fr-CH"/>
        </w:rPr>
        <w:t xml:space="preserve">, das wichtige Aspekte für die </w:t>
      </w:r>
      <w:r w:rsidR="007206B2" w:rsidRPr="00BC76A2">
        <w:rPr>
          <w:rFonts w:cs="Arial"/>
          <w:lang w:val="de-DE" w:eastAsia="fr-CH"/>
        </w:rPr>
        <w:t>Durchführung</w:t>
      </w:r>
      <w:r w:rsidR="00473803" w:rsidRPr="00BC76A2">
        <w:rPr>
          <w:rFonts w:cs="Arial"/>
          <w:lang w:val="de-DE" w:eastAsia="fr-CH"/>
        </w:rPr>
        <w:t xml:space="preserve"> e</w:t>
      </w:r>
      <w:r w:rsidR="003C37BC" w:rsidRPr="00BC76A2">
        <w:rPr>
          <w:rFonts w:cs="Arial"/>
          <w:lang w:val="de-DE" w:eastAsia="fr-CH"/>
        </w:rPr>
        <w:t xml:space="preserve">ines </w:t>
      </w:r>
      <w:r w:rsidR="007206B2" w:rsidRPr="00BC76A2">
        <w:rPr>
          <w:rFonts w:cs="Arial"/>
          <w:lang w:val="de-DE" w:eastAsia="fr-CH"/>
        </w:rPr>
        <w:t>Sortenschutzsystems</w:t>
      </w:r>
      <w:r w:rsidR="003C37BC" w:rsidRPr="00BC76A2">
        <w:rPr>
          <w:rFonts w:cs="Arial"/>
          <w:lang w:val="de-DE" w:eastAsia="fr-CH"/>
        </w:rPr>
        <w:t xml:space="preserve"> ausweisen und Links zu </w:t>
      </w:r>
      <w:r w:rsidR="007206B2" w:rsidRPr="00BC76A2">
        <w:rPr>
          <w:rFonts w:cs="Arial"/>
          <w:lang w:val="de-DE" w:eastAsia="fr-CH"/>
        </w:rPr>
        <w:t>detaillierte</w:t>
      </w:r>
      <w:r w:rsidR="00241EB2" w:rsidRPr="00BC76A2">
        <w:rPr>
          <w:rFonts w:cs="Arial"/>
          <w:lang w:val="de-DE" w:eastAsia="fr-CH"/>
        </w:rPr>
        <w:t>m</w:t>
      </w:r>
      <w:r w:rsidR="003C37BC" w:rsidRPr="00BC76A2">
        <w:rPr>
          <w:rFonts w:cs="Arial"/>
          <w:lang w:val="de-DE" w:eastAsia="fr-CH"/>
        </w:rPr>
        <w:t xml:space="preserve"> Informationsmaterial bereitstellen würde.</w:t>
      </w:r>
    </w:p>
    <w:p w:rsidR="00505A73" w:rsidRPr="00BC76A2" w:rsidRDefault="00505A73" w:rsidP="00505A73">
      <w:pPr>
        <w:rPr>
          <w:lang w:val="de-DE"/>
        </w:rPr>
      </w:pPr>
    </w:p>
    <w:p w:rsidR="00842EE6" w:rsidRPr="00BC76A2" w:rsidRDefault="003C37BC" w:rsidP="006A4A4E">
      <w:pPr>
        <w:pStyle w:val="Heading2"/>
        <w:rPr>
          <w:lang w:val="de-DE"/>
        </w:rPr>
      </w:pPr>
      <w:bookmarkStart w:id="147" w:name="_Toc380391644"/>
      <w:bookmarkStart w:id="148" w:name="_Toc380419884"/>
      <w:bookmarkStart w:id="149" w:name="_Toc380483684"/>
      <w:r w:rsidRPr="00BC76A2">
        <w:rPr>
          <w:lang w:val="de-DE"/>
        </w:rPr>
        <w:t>Angelegenheiten, die zu prüfen der TC ersucht wird</w:t>
      </w:r>
      <w:bookmarkEnd w:id="147"/>
      <w:bookmarkEnd w:id="148"/>
      <w:bookmarkEnd w:id="149"/>
      <w:r w:rsidRPr="00BC76A2">
        <w:rPr>
          <w:lang w:val="de-DE"/>
        </w:rPr>
        <w:t xml:space="preserve"> </w:t>
      </w:r>
    </w:p>
    <w:p w:rsidR="00842EE6" w:rsidRPr="00BC76A2" w:rsidRDefault="00842EE6" w:rsidP="00505A73">
      <w:pPr>
        <w:rPr>
          <w:lang w:val="de-DE"/>
        </w:rPr>
      </w:pPr>
    </w:p>
    <w:p w:rsidR="00505A73" w:rsidRPr="00BC76A2" w:rsidRDefault="00505A73" w:rsidP="00505A73">
      <w:pPr>
        <w:rPr>
          <w:lang w:val="de-DE"/>
        </w:rPr>
      </w:pPr>
      <w:r w:rsidRPr="00BC76A2">
        <w:rPr>
          <w:lang w:val="de-DE"/>
        </w:rPr>
        <w:fldChar w:fldCharType="begin"/>
      </w:r>
      <w:r w:rsidRPr="00BC76A2">
        <w:rPr>
          <w:lang w:val="de-DE"/>
        </w:rPr>
        <w:instrText xml:space="preserve"> AUTONUM  </w:instrText>
      </w:r>
      <w:r w:rsidRPr="00BC76A2">
        <w:rPr>
          <w:lang w:val="de-DE"/>
        </w:rPr>
        <w:fldChar w:fldCharType="end"/>
      </w:r>
      <w:r w:rsidRPr="00BC76A2">
        <w:rPr>
          <w:lang w:val="de-DE"/>
        </w:rPr>
        <w:tab/>
      </w:r>
      <w:r w:rsidR="003C37BC" w:rsidRPr="00BC76A2">
        <w:rPr>
          <w:lang w:val="de-DE"/>
        </w:rPr>
        <w:t xml:space="preserve">Der Beratende Ausschusses vereinbarte, den CAJ </w:t>
      </w:r>
      <w:r w:rsidR="007206B2" w:rsidRPr="00BC76A2">
        <w:rPr>
          <w:lang w:val="de-DE"/>
        </w:rPr>
        <w:t>und</w:t>
      </w:r>
      <w:r w:rsidR="003C37BC" w:rsidRPr="00BC76A2">
        <w:rPr>
          <w:lang w:val="de-DE"/>
        </w:rPr>
        <w:t xml:space="preserve"> </w:t>
      </w:r>
      <w:r w:rsidR="007206B2" w:rsidRPr="00BC76A2">
        <w:rPr>
          <w:lang w:val="de-DE"/>
        </w:rPr>
        <w:t>den</w:t>
      </w:r>
      <w:r w:rsidR="003C37BC" w:rsidRPr="00BC76A2">
        <w:rPr>
          <w:lang w:val="de-DE"/>
        </w:rPr>
        <w:t xml:space="preserve"> TC zu ersuchen, die ISF-Empfehlungen </w:t>
      </w:r>
      <w:r w:rsidR="007206B2" w:rsidRPr="00BC76A2">
        <w:rPr>
          <w:lang w:val="de-DE"/>
        </w:rPr>
        <w:t>in</w:t>
      </w:r>
      <w:r w:rsidR="003C37BC" w:rsidRPr="00BC76A2">
        <w:rPr>
          <w:lang w:val="de-DE"/>
        </w:rPr>
        <w:t xml:space="preserve"> bezug auf bestehendes und </w:t>
      </w:r>
      <w:r w:rsidR="007206B2" w:rsidRPr="00BC76A2">
        <w:rPr>
          <w:lang w:val="de-DE"/>
        </w:rPr>
        <w:t>etwaiges</w:t>
      </w:r>
      <w:r w:rsidR="003C37BC" w:rsidRPr="00BC76A2">
        <w:rPr>
          <w:lang w:val="de-DE"/>
        </w:rPr>
        <w:t xml:space="preserve"> künftiges Informationsmaterial parallel zur Ausarbeitung des Dokuments </w:t>
      </w:r>
      <w:r w:rsidRPr="00BC76A2">
        <w:rPr>
          <w:lang w:val="de-DE"/>
        </w:rPr>
        <w:t xml:space="preserve">UPOV/INF/15 </w:t>
      </w:r>
      <w:r w:rsidR="003C37BC" w:rsidRPr="00BC76A2">
        <w:rPr>
          <w:lang w:val="de-DE"/>
        </w:rPr>
        <w:t xml:space="preserve">zu einem </w:t>
      </w:r>
      <w:r w:rsidR="007206B2" w:rsidRPr="00BC76A2">
        <w:rPr>
          <w:lang w:val="de-DE"/>
        </w:rPr>
        <w:t>Übersichtsdokument</w:t>
      </w:r>
      <w:r w:rsidR="003C37BC" w:rsidRPr="00BC76A2">
        <w:rPr>
          <w:lang w:val="de-DE"/>
        </w:rPr>
        <w:t xml:space="preserve"> zu prüfen.</w:t>
      </w:r>
    </w:p>
    <w:p w:rsidR="00842EE6" w:rsidRPr="00BC76A2" w:rsidRDefault="00842EE6" w:rsidP="00505A73">
      <w:pPr>
        <w:rPr>
          <w:lang w:val="de-DE"/>
        </w:rPr>
      </w:pPr>
    </w:p>
    <w:p w:rsidR="00842EE6" w:rsidRPr="00BC76A2" w:rsidRDefault="00D61804" w:rsidP="00505A73">
      <w:pPr>
        <w:rPr>
          <w:lang w:val="de-DE"/>
        </w:rPr>
      </w:pPr>
      <w:r w:rsidRPr="00BC76A2">
        <w:rPr>
          <w:lang w:val="de-DE"/>
        </w:rPr>
        <w:fldChar w:fldCharType="begin"/>
      </w:r>
      <w:r w:rsidRPr="00BC76A2">
        <w:rPr>
          <w:lang w:val="de-DE"/>
        </w:rPr>
        <w:instrText xml:space="preserve"> AUTONUM  </w:instrText>
      </w:r>
      <w:r w:rsidRPr="00BC76A2">
        <w:rPr>
          <w:lang w:val="de-DE"/>
        </w:rPr>
        <w:fldChar w:fldCharType="end"/>
      </w:r>
      <w:r w:rsidRPr="00BC76A2">
        <w:rPr>
          <w:lang w:val="de-DE"/>
        </w:rPr>
        <w:tab/>
      </w:r>
      <w:r w:rsidR="003C37BC" w:rsidRPr="00BC76A2">
        <w:rPr>
          <w:lang w:val="de-DE"/>
        </w:rPr>
        <w:t>Der Beratende Ausschu</w:t>
      </w:r>
      <w:r w:rsidR="00753412" w:rsidRPr="00BC76A2">
        <w:rPr>
          <w:lang w:val="de-DE"/>
        </w:rPr>
        <w:t>ß</w:t>
      </w:r>
      <w:r w:rsidR="003C37BC" w:rsidRPr="00BC76A2">
        <w:rPr>
          <w:lang w:val="de-DE"/>
        </w:rPr>
        <w:t xml:space="preserve"> vereinbarte, den </w:t>
      </w:r>
      <w:r w:rsidR="007206B2" w:rsidRPr="00BC76A2">
        <w:rPr>
          <w:lang w:val="de-DE"/>
        </w:rPr>
        <w:t>TC</w:t>
      </w:r>
      <w:r w:rsidR="003C37BC" w:rsidRPr="00BC76A2">
        <w:rPr>
          <w:lang w:val="de-DE"/>
        </w:rPr>
        <w:t xml:space="preserve"> zu ersuchen, folgende </w:t>
      </w:r>
      <w:r w:rsidR="00473803" w:rsidRPr="00BC76A2">
        <w:rPr>
          <w:lang w:val="de-DE"/>
        </w:rPr>
        <w:t>von der</w:t>
      </w:r>
      <w:r w:rsidR="003C37BC" w:rsidRPr="00BC76A2">
        <w:rPr>
          <w:lang w:val="de-DE"/>
        </w:rPr>
        <w:t xml:space="preserve"> </w:t>
      </w:r>
      <w:r w:rsidR="00727189" w:rsidRPr="00BC76A2">
        <w:rPr>
          <w:lang w:val="de-DE"/>
        </w:rPr>
        <w:t xml:space="preserve">ISF </w:t>
      </w:r>
      <w:r w:rsidR="003C37BC" w:rsidRPr="00BC76A2">
        <w:rPr>
          <w:lang w:val="de-DE"/>
        </w:rPr>
        <w:t>aufgeworf</w:t>
      </w:r>
      <w:r w:rsidR="00473803" w:rsidRPr="00BC76A2">
        <w:rPr>
          <w:lang w:val="de-DE"/>
        </w:rPr>
        <w:t>enen Angelegenheiten zu prüfen:</w:t>
      </w:r>
    </w:p>
    <w:p w:rsidR="00557635" w:rsidRPr="00BC76A2" w:rsidRDefault="00557635" w:rsidP="00505A73">
      <w:pPr>
        <w:rPr>
          <w:lang w:val="de-DE"/>
        </w:rPr>
      </w:pPr>
    </w:p>
    <w:p w:rsidR="00230328" w:rsidRPr="00BC76A2" w:rsidRDefault="00230328" w:rsidP="00574BB5">
      <w:pPr>
        <w:pStyle w:val="Heading3"/>
        <w:rPr>
          <w:lang w:val="de-DE"/>
        </w:rPr>
      </w:pPr>
      <w:bookmarkStart w:id="150" w:name="_Toc379530098"/>
      <w:bookmarkStart w:id="151" w:name="_Toc380391645"/>
      <w:bookmarkStart w:id="152" w:name="_Toc380419885"/>
      <w:bookmarkStart w:id="153" w:name="_Toc380483685"/>
      <w:r w:rsidRPr="00BC76A2">
        <w:rPr>
          <w:lang w:val="de-DE"/>
        </w:rPr>
        <w:t>a)</w:t>
      </w:r>
      <w:r w:rsidRPr="00BC76A2">
        <w:rPr>
          <w:lang w:val="de-DE"/>
        </w:rPr>
        <w:tab/>
      </w:r>
      <w:r w:rsidR="009375CE" w:rsidRPr="00BC76A2">
        <w:rPr>
          <w:lang w:val="de-DE"/>
        </w:rPr>
        <w:t>Fotoaufnahmen</w:t>
      </w:r>
      <w:bookmarkEnd w:id="150"/>
      <w:bookmarkEnd w:id="151"/>
      <w:bookmarkEnd w:id="152"/>
      <w:bookmarkEnd w:id="153"/>
    </w:p>
    <w:p w:rsidR="00230328" w:rsidRPr="00BC76A2" w:rsidRDefault="00230328" w:rsidP="00505A73">
      <w:pPr>
        <w:rPr>
          <w:lang w:val="de-DE"/>
        </w:rPr>
      </w:pPr>
    </w:p>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6"/>
      </w:tblGrid>
      <w:tr w:rsidR="00D61804" w:rsidRPr="00D9403C" w:rsidTr="00230328">
        <w:tc>
          <w:tcPr>
            <w:tcW w:w="8646" w:type="dxa"/>
          </w:tcPr>
          <w:p w:rsidR="00727189" w:rsidRPr="00BC76A2" w:rsidRDefault="00727189" w:rsidP="00230328">
            <w:pPr>
              <w:rPr>
                <w:sz w:val="18"/>
                <w:szCs w:val="18"/>
                <w:lang w:val="de-DE"/>
              </w:rPr>
            </w:pPr>
            <w:r w:rsidRPr="00BC76A2">
              <w:rPr>
                <w:sz w:val="18"/>
                <w:szCs w:val="18"/>
                <w:lang w:val="de-DE"/>
              </w:rPr>
              <w:t>[</w:t>
            </w:r>
            <w:r w:rsidR="009375CE" w:rsidRPr="00BC76A2">
              <w:rPr>
                <w:sz w:val="18"/>
                <w:szCs w:val="18"/>
                <w:lang w:val="de-DE"/>
              </w:rPr>
              <w:t>Auszug aus dem Schreiben de</w:t>
            </w:r>
            <w:r w:rsidR="00473803" w:rsidRPr="00BC76A2">
              <w:rPr>
                <w:sz w:val="18"/>
                <w:szCs w:val="18"/>
                <w:lang w:val="de-DE"/>
              </w:rPr>
              <w:t>r</w:t>
            </w:r>
            <w:r w:rsidR="009375CE" w:rsidRPr="00BC76A2">
              <w:rPr>
                <w:sz w:val="18"/>
                <w:szCs w:val="18"/>
                <w:lang w:val="de-DE"/>
              </w:rPr>
              <w:t xml:space="preserve"> ISF</w:t>
            </w:r>
            <w:r w:rsidR="00B61B03" w:rsidRPr="00BC76A2">
              <w:rPr>
                <w:sz w:val="18"/>
                <w:szCs w:val="18"/>
                <w:lang w:val="de-DE"/>
              </w:rPr>
              <w:t xml:space="preserve"> – (</w:t>
            </w:r>
            <w:r w:rsidR="00424C7E" w:rsidRPr="00BC76A2">
              <w:rPr>
                <w:sz w:val="18"/>
                <w:szCs w:val="18"/>
                <w:lang w:val="de-DE"/>
              </w:rPr>
              <w:t>Übersetzung</w:t>
            </w:r>
            <w:r w:rsidR="00241EB2" w:rsidRPr="00BC76A2">
              <w:rPr>
                <w:sz w:val="18"/>
                <w:szCs w:val="18"/>
                <w:lang w:val="de-DE"/>
              </w:rPr>
              <w:t xml:space="preserve"> aus </w:t>
            </w:r>
            <w:r w:rsidR="00424C7E" w:rsidRPr="00BC76A2">
              <w:rPr>
                <w:sz w:val="18"/>
                <w:szCs w:val="18"/>
                <w:lang w:val="de-DE"/>
              </w:rPr>
              <w:t>dem</w:t>
            </w:r>
            <w:r w:rsidR="00241EB2" w:rsidRPr="00BC76A2">
              <w:rPr>
                <w:sz w:val="18"/>
                <w:szCs w:val="18"/>
                <w:lang w:val="de-DE"/>
              </w:rPr>
              <w:t xml:space="preserve"> E</w:t>
            </w:r>
            <w:r w:rsidR="00B61B03" w:rsidRPr="00BC76A2">
              <w:rPr>
                <w:sz w:val="18"/>
                <w:szCs w:val="18"/>
                <w:lang w:val="de-DE"/>
              </w:rPr>
              <w:t>nglis</w:t>
            </w:r>
            <w:r w:rsidR="00473803" w:rsidRPr="00BC76A2">
              <w:rPr>
                <w:sz w:val="18"/>
                <w:szCs w:val="18"/>
                <w:lang w:val="de-DE"/>
              </w:rPr>
              <w:t>c</w:t>
            </w:r>
            <w:r w:rsidR="00B61B03" w:rsidRPr="00BC76A2">
              <w:rPr>
                <w:sz w:val="18"/>
                <w:szCs w:val="18"/>
                <w:lang w:val="de-DE"/>
              </w:rPr>
              <w:t>h</w:t>
            </w:r>
            <w:r w:rsidR="00241EB2" w:rsidRPr="00BC76A2">
              <w:rPr>
                <w:sz w:val="18"/>
                <w:szCs w:val="18"/>
                <w:lang w:val="de-DE"/>
              </w:rPr>
              <w:t>en</w:t>
            </w:r>
            <w:r w:rsidR="00B61B03" w:rsidRPr="00BC76A2">
              <w:rPr>
                <w:sz w:val="18"/>
                <w:szCs w:val="18"/>
                <w:lang w:val="de-DE"/>
              </w:rPr>
              <w:t>)</w:t>
            </w:r>
            <w:r w:rsidRPr="00BC76A2">
              <w:rPr>
                <w:sz w:val="18"/>
                <w:szCs w:val="18"/>
                <w:lang w:val="de-DE"/>
              </w:rPr>
              <w:t>]</w:t>
            </w:r>
          </w:p>
          <w:p w:rsidR="00230328" w:rsidRPr="00BC76A2" w:rsidRDefault="007206B2" w:rsidP="00241EB2">
            <w:pPr>
              <w:rPr>
                <w:sz w:val="18"/>
                <w:szCs w:val="18"/>
                <w:lang w:val="de-DE"/>
              </w:rPr>
            </w:pPr>
            <w:r w:rsidRPr="00BC76A2">
              <w:rPr>
                <w:sz w:val="18"/>
                <w:szCs w:val="18"/>
                <w:u w:val="single"/>
                <w:lang w:val="de-DE"/>
              </w:rPr>
              <w:t>„Fotoaufnahme</w:t>
            </w:r>
            <w:r w:rsidRPr="00BC76A2">
              <w:rPr>
                <w:sz w:val="18"/>
                <w:szCs w:val="18"/>
                <w:lang w:val="de-DE"/>
              </w:rPr>
              <w:t xml:space="preserve">: In bestimmten Ländern verlangt das Prüfungsamt eine detaillierte Fotoaufnahme, in anderen Ländern müssen die Vergleichssorten ebenfalls im Bild sein und in wiederum anderen Ländern werden Fotoaufnahmen im Land selbst verlangt und aufgenommen. </w:t>
            </w:r>
            <w:r w:rsidR="00E54319" w:rsidRPr="00BC76A2">
              <w:rPr>
                <w:sz w:val="18"/>
                <w:szCs w:val="18"/>
                <w:lang w:val="de-DE"/>
              </w:rPr>
              <w:t xml:space="preserve">Dies </w:t>
            </w:r>
            <w:r w:rsidRPr="00BC76A2">
              <w:rPr>
                <w:sz w:val="18"/>
                <w:szCs w:val="18"/>
                <w:lang w:val="de-DE"/>
              </w:rPr>
              <w:t>ist</w:t>
            </w:r>
            <w:r w:rsidR="00E54319" w:rsidRPr="00BC76A2">
              <w:rPr>
                <w:sz w:val="18"/>
                <w:szCs w:val="18"/>
                <w:lang w:val="de-DE"/>
              </w:rPr>
              <w:t xml:space="preserve"> ein </w:t>
            </w:r>
            <w:r w:rsidRPr="00BC76A2">
              <w:rPr>
                <w:sz w:val="18"/>
                <w:szCs w:val="18"/>
                <w:lang w:val="de-DE"/>
              </w:rPr>
              <w:t>Problem</w:t>
            </w:r>
            <w:r w:rsidR="00E54319" w:rsidRPr="00BC76A2">
              <w:rPr>
                <w:sz w:val="18"/>
                <w:szCs w:val="18"/>
                <w:lang w:val="de-DE"/>
              </w:rPr>
              <w:t xml:space="preserve">, wenn der Zeitpunkt des Antrags auf </w:t>
            </w:r>
            <w:r w:rsidRPr="00BC76A2">
              <w:rPr>
                <w:sz w:val="18"/>
                <w:szCs w:val="18"/>
                <w:lang w:val="de-DE"/>
              </w:rPr>
              <w:t>Erteilung</w:t>
            </w:r>
            <w:r w:rsidR="00E54319" w:rsidRPr="00BC76A2">
              <w:rPr>
                <w:sz w:val="18"/>
                <w:szCs w:val="18"/>
                <w:lang w:val="de-DE"/>
              </w:rPr>
              <w:t xml:space="preserve"> des Züchterrechts nicht in der Wachstumsperiode der Sort</w:t>
            </w:r>
            <w:r w:rsidR="00DA4E6C" w:rsidRPr="00BC76A2">
              <w:rPr>
                <w:sz w:val="18"/>
                <w:szCs w:val="18"/>
                <w:lang w:val="de-DE"/>
              </w:rPr>
              <w:t>e</w:t>
            </w:r>
            <w:r w:rsidR="00E54319" w:rsidRPr="00BC76A2">
              <w:rPr>
                <w:sz w:val="18"/>
                <w:szCs w:val="18"/>
                <w:lang w:val="de-DE"/>
              </w:rPr>
              <w:t xml:space="preserve"> liegt, w</w:t>
            </w:r>
            <w:r w:rsidR="00655FF9" w:rsidRPr="00BC76A2">
              <w:rPr>
                <w:sz w:val="18"/>
                <w:szCs w:val="18"/>
                <w:lang w:val="de-DE"/>
              </w:rPr>
              <w:t xml:space="preserve">as die </w:t>
            </w:r>
            <w:r w:rsidR="003D3C05" w:rsidRPr="00BC76A2">
              <w:rPr>
                <w:sz w:val="18"/>
                <w:szCs w:val="18"/>
                <w:lang w:val="de-DE"/>
              </w:rPr>
              <w:t>Beschaff</w:t>
            </w:r>
            <w:r w:rsidR="00655FF9" w:rsidRPr="00BC76A2">
              <w:rPr>
                <w:sz w:val="18"/>
                <w:szCs w:val="18"/>
                <w:lang w:val="de-DE"/>
              </w:rPr>
              <w:t>ung einer</w:t>
            </w:r>
            <w:r w:rsidR="00E54319" w:rsidRPr="00BC76A2">
              <w:rPr>
                <w:sz w:val="18"/>
                <w:szCs w:val="18"/>
                <w:lang w:val="de-DE"/>
              </w:rPr>
              <w:t xml:space="preserve"> Fotoaufnahme </w:t>
            </w:r>
            <w:r w:rsidR="003D3C05" w:rsidRPr="00BC76A2">
              <w:rPr>
                <w:sz w:val="18"/>
                <w:szCs w:val="18"/>
                <w:lang w:val="de-DE"/>
              </w:rPr>
              <w:t>unmöglich macht</w:t>
            </w:r>
            <w:r w:rsidR="00E54319" w:rsidRPr="00BC76A2">
              <w:rPr>
                <w:sz w:val="18"/>
                <w:szCs w:val="18"/>
                <w:lang w:val="de-DE"/>
              </w:rPr>
              <w:t xml:space="preserve">. </w:t>
            </w:r>
            <w:r w:rsidRPr="00BC76A2">
              <w:rPr>
                <w:sz w:val="18"/>
                <w:szCs w:val="18"/>
                <w:lang w:val="de-DE"/>
              </w:rPr>
              <w:t xml:space="preserve">Deshalb kann die Forderung nach </w:t>
            </w:r>
            <w:r w:rsidR="00241EB2" w:rsidRPr="00BC76A2">
              <w:rPr>
                <w:sz w:val="18"/>
                <w:szCs w:val="18"/>
                <w:lang w:val="de-DE"/>
              </w:rPr>
              <w:t>Einreich</w:t>
            </w:r>
            <w:r w:rsidRPr="00BC76A2">
              <w:rPr>
                <w:sz w:val="18"/>
                <w:szCs w:val="18"/>
                <w:lang w:val="de-DE"/>
              </w:rPr>
              <w:t xml:space="preserve">ung von Fotoaufnahmen den Antrag verzögern. </w:t>
            </w:r>
            <w:r w:rsidR="00E54319" w:rsidRPr="00BC76A2">
              <w:rPr>
                <w:sz w:val="18"/>
                <w:szCs w:val="18"/>
                <w:lang w:val="de-DE"/>
              </w:rPr>
              <w:t xml:space="preserve">Zudem sollte angemerkt werden, </w:t>
            </w:r>
            <w:r w:rsidR="00A0388E" w:rsidRPr="00BC76A2">
              <w:rPr>
                <w:sz w:val="18"/>
                <w:szCs w:val="18"/>
                <w:lang w:val="de-DE"/>
              </w:rPr>
              <w:t>daß</w:t>
            </w:r>
            <w:r w:rsidR="00E54319" w:rsidRPr="00BC76A2">
              <w:rPr>
                <w:sz w:val="18"/>
                <w:szCs w:val="18"/>
                <w:lang w:val="de-DE"/>
              </w:rPr>
              <w:t xml:space="preserve"> verschiedene Umgebungen zu </w:t>
            </w:r>
            <w:r w:rsidRPr="00BC76A2">
              <w:rPr>
                <w:sz w:val="18"/>
                <w:szCs w:val="18"/>
                <w:lang w:val="de-DE"/>
              </w:rPr>
              <w:t>unterschiedlichen</w:t>
            </w:r>
            <w:r w:rsidR="00E54319" w:rsidRPr="00BC76A2">
              <w:rPr>
                <w:sz w:val="18"/>
                <w:szCs w:val="18"/>
                <w:lang w:val="de-DE"/>
              </w:rPr>
              <w:t xml:space="preserve"> Morphologien führen können, so </w:t>
            </w:r>
            <w:r w:rsidR="00A0388E" w:rsidRPr="00BC76A2">
              <w:rPr>
                <w:sz w:val="18"/>
                <w:szCs w:val="18"/>
                <w:lang w:val="de-DE"/>
              </w:rPr>
              <w:t>daß</w:t>
            </w:r>
            <w:r w:rsidR="00E54319" w:rsidRPr="00BC76A2">
              <w:rPr>
                <w:sz w:val="18"/>
                <w:szCs w:val="18"/>
                <w:lang w:val="de-DE"/>
              </w:rPr>
              <w:t xml:space="preserve"> die sich er</w:t>
            </w:r>
            <w:r w:rsidR="00EA284C" w:rsidRPr="00BC76A2">
              <w:rPr>
                <w:sz w:val="18"/>
                <w:szCs w:val="18"/>
                <w:lang w:val="de-DE"/>
              </w:rPr>
              <w:t>gebenden F</w:t>
            </w:r>
            <w:r w:rsidR="00E54319" w:rsidRPr="00BC76A2">
              <w:rPr>
                <w:sz w:val="18"/>
                <w:szCs w:val="18"/>
                <w:lang w:val="de-DE"/>
              </w:rPr>
              <w:t xml:space="preserve">otoaufnahmen irreführend sein können. </w:t>
            </w:r>
            <w:r w:rsidR="009D434D" w:rsidRPr="00BC76A2">
              <w:rPr>
                <w:sz w:val="18"/>
                <w:szCs w:val="18"/>
                <w:lang w:val="de-DE"/>
              </w:rPr>
              <w:t>In der Regel sollten Fotoaufnahmen für landwirtschaftliche</w:t>
            </w:r>
            <w:r w:rsidR="00241EB2" w:rsidRPr="00BC76A2">
              <w:rPr>
                <w:sz w:val="18"/>
                <w:szCs w:val="18"/>
                <w:lang w:val="de-DE"/>
              </w:rPr>
              <w:t xml:space="preserve"> Arten</w:t>
            </w:r>
            <w:r w:rsidR="009D434D" w:rsidRPr="00BC76A2">
              <w:rPr>
                <w:sz w:val="18"/>
                <w:szCs w:val="18"/>
                <w:lang w:val="de-DE"/>
              </w:rPr>
              <w:t xml:space="preserve">, Futterarten oder fremdbefruchtende Arten nicht notwendig sein. </w:t>
            </w:r>
            <w:r w:rsidR="00E54319" w:rsidRPr="00BC76A2">
              <w:rPr>
                <w:sz w:val="18"/>
                <w:szCs w:val="18"/>
                <w:lang w:val="de-DE"/>
              </w:rPr>
              <w:t xml:space="preserve">Bei anderen Pflanzen sollten Fotoaufnahmen </w:t>
            </w:r>
            <w:r w:rsidRPr="00BC76A2">
              <w:rPr>
                <w:sz w:val="18"/>
                <w:szCs w:val="18"/>
                <w:lang w:val="de-DE"/>
              </w:rPr>
              <w:t>nur</w:t>
            </w:r>
            <w:r w:rsidR="00E54319" w:rsidRPr="00BC76A2">
              <w:rPr>
                <w:sz w:val="18"/>
                <w:szCs w:val="18"/>
                <w:lang w:val="de-DE"/>
              </w:rPr>
              <w:t xml:space="preserve"> notwendig sein, </w:t>
            </w:r>
            <w:r w:rsidRPr="00BC76A2">
              <w:rPr>
                <w:sz w:val="18"/>
                <w:szCs w:val="18"/>
                <w:lang w:val="de-DE"/>
              </w:rPr>
              <w:t>wenn</w:t>
            </w:r>
            <w:r w:rsidR="00E54319" w:rsidRPr="00BC76A2">
              <w:rPr>
                <w:sz w:val="18"/>
                <w:szCs w:val="18"/>
                <w:lang w:val="de-DE"/>
              </w:rPr>
              <w:t xml:space="preserve"> dies als wichtig erachtet wird, mit anderen </w:t>
            </w:r>
            <w:r w:rsidRPr="00BC76A2">
              <w:rPr>
                <w:sz w:val="18"/>
                <w:szCs w:val="18"/>
                <w:lang w:val="de-DE"/>
              </w:rPr>
              <w:t>Worten</w:t>
            </w:r>
            <w:r w:rsidR="00E54319" w:rsidRPr="00BC76A2">
              <w:rPr>
                <w:sz w:val="18"/>
                <w:szCs w:val="18"/>
                <w:lang w:val="de-DE"/>
              </w:rPr>
              <w:t xml:space="preserve">, wenn sie </w:t>
            </w:r>
            <w:r w:rsidR="00EA284C" w:rsidRPr="00BC76A2">
              <w:rPr>
                <w:sz w:val="18"/>
                <w:szCs w:val="18"/>
                <w:lang w:val="de-DE"/>
              </w:rPr>
              <w:t>z</w:t>
            </w:r>
            <w:r w:rsidRPr="00BC76A2">
              <w:rPr>
                <w:sz w:val="18"/>
                <w:szCs w:val="18"/>
                <w:lang w:val="de-DE"/>
              </w:rPr>
              <w:t>weck</w:t>
            </w:r>
            <w:r w:rsidR="00EA284C" w:rsidRPr="00BC76A2">
              <w:rPr>
                <w:sz w:val="18"/>
                <w:szCs w:val="18"/>
                <w:lang w:val="de-DE"/>
              </w:rPr>
              <w:t>dienliche Informationen</w:t>
            </w:r>
            <w:r w:rsidR="00E54319" w:rsidRPr="00BC76A2">
              <w:rPr>
                <w:sz w:val="18"/>
                <w:szCs w:val="18"/>
                <w:lang w:val="de-DE"/>
              </w:rPr>
              <w:t xml:space="preserve"> zu den im </w:t>
            </w:r>
            <w:r w:rsidRPr="00BC76A2">
              <w:rPr>
                <w:sz w:val="18"/>
                <w:szCs w:val="18"/>
                <w:lang w:val="de-DE"/>
              </w:rPr>
              <w:t>Technischen</w:t>
            </w:r>
            <w:r w:rsidR="00E54319" w:rsidRPr="00BC76A2">
              <w:rPr>
                <w:sz w:val="18"/>
                <w:szCs w:val="18"/>
                <w:lang w:val="de-DE"/>
              </w:rPr>
              <w:t xml:space="preserve"> Fragebogen (TQ) bereits angegebenen Auskünften hinzufügen. </w:t>
            </w:r>
            <w:r w:rsidRPr="00BC76A2">
              <w:rPr>
                <w:sz w:val="18"/>
                <w:szCs w:val="18"/>
                <w:lang w:val="de-DE"/>
              </w:rPr>
              <w:t>Außerdem</w:t>
            </w:r>
            <w:r w:rsidR="00E54319" w:rsidRPr="00BC76A2">
              <w:rPr>
                <w:sz w:val="18"/>
                <w:szCs w:val="18"/>
                <w:lang w:val="de-DE"/>
              </w:rPr>
              <w:t xml:space="preserve"> sollte es nicht notwendig sein, eine Fotoaufnahme der Vergleichssorte </w:t>
            </w:r>
            <w:r w:rsidR="00241EB2" w:rsidRPr="00BC76A2">
              <w:rPr>
                <w:sz w:val="18"/>
                <w:szCs w:val="18"/>
                <w:lang w:val="de-DE"/>
              </w:rPr>
              <w:t>einzureich</w:t>
            </w:r>
            <w:r w:rsidRPr="00BC76A2">
              <w:rPr>
                <w:sz w:val="18"/>
                <w:szCs w:val="18"/>
                <w:lang w:val="de-DE"/>
              </w:rPr>
              <w:t>en</w:t>
            </w:r>
            <w:r w:rsidR="00E54319" w:rsidRPr="00BC76A2">
              <w:rPr>
                <w:sz w:val="18"/>
                <w:szCs w:val="18"/>
                <w:lang w:val="de-DE"/>
              </w:rPr>
              <w:t>.“</w:t>
            </w:r>
          </w:p>
        </w:tc>
      </w:tr>
      <w:tr w:rsidR="00D61804" w:rsidRPr="00D9403C" w:rsidTr="00230328">
        <w:tc>
          <w:tcPr>
            <w:tcW w:w="8646" w:type="dxa"/>
          </w:tcPr>
          <w:p w:rsidR="00D61804" w:rsidRPr="00BC76A2" w:rsidRDefault="00E54319" w:rsidP="00505A73">
            <w:pPr>
              <w:rPr>
                <w:i/>
                <w:lang w:val="de-DE"/>
              </w:rPr>
            </w:pPr>
            <w:r w:rsidRPr="00BC76A2">
              <w:rPr>
                <w:i/>
                <w:lang w:val="de-DE"/>
              </w:rPr>
              <w:t xml:space="preserve">Einschlägiges </w:t>
            </w:r>
            <w:r w:rsidR="00D61804" w:rsidRPr="00BC76A2">
              <w:rPr>
                <w:i/>
                <w:lang w:val="de-DE"/>
              </w:rPr>
              <w:t>UPOV</w:t>
            </w:r>
            <w:r w:rsidRPr="00BC76A2">
              <w:rPr>
                <w:i/>
                <w:lang w:val="de-DE"/>
              </w:rPr>
              <w:t>-</w:t>
            </w:r>
            <w:r w:rsidR="00D61804" w:rsidRPr="00BC76A2">
              <w:rPr>
                <w:i/>
                <w:lang w:val="de-DE"/>
              </w:rPr>
              <w:t>Material:</w:t>
            </w:r>
          </w:p>
          <w:p w:rsidR="00A34B37" w:rsidRPr="00BC76A2" w:rsidRDefault="00A34B37" w:rsidP="00505A73">
            <w:pPr>
              <w:rPr>
                <w:i/>
                <w:lang w:val="de-DE"/>
              </w:rPr>
            </w:pPr>
          </w:p>
          <w:p w:rsidR="00D61804" w:rsidRPr="00BC76A2" w:rsidRDefault="00EC5DC9" w:rsidP="00D61804">
            <w:pPr>
              <w:pStyle w:val="ListParagraph"/>
              <w:numPr>
                <w:ilvl w:val="0"/>
                <w:numId w:val="5"/>
              </w:numPr>
              <w:tabs>
                <w:tab w:val="left" w:pos="290"/>
                <w:tab w:val="left" w:pos="574"/>
              </w:tabs>
              <w:ind w:left="574" w:hanging="284"/>
              <w:rPr>
                <w:i/>
                <w:snapToGrid w:val="0"/>
                <w:lang w:val="de-DE"/>
              </w:rPr>
            </w:pPr>
            <w:r>
              <w:rPr>
                <w:i/>
                <w:snapToGrid w:val="0"/>
                <w:lang w:val="de-DE"/>
              </w:rPr>
              <w:t>TGP/9</w:t>
            </w:r>
            <w:r w:rsidR="00D61804" w:rsidRPr="00BC76A2">
              <w:rPr>
                <w:i/>
                <w:snapToGrid w:val="0"/>
                <w:lang w:val="de-DE"/>
              </w:rPr>
              <w:t xml:space="preserve"> </w:t>
            </w:r>
            <w:r w:rsidR="00DA4E6C" w:rsidRPr="00BC76A2">
              <w:rPr>
                <w:i/>
                <w:snapToGrid w:val="0"/>
                <w:lang w:val="de-DE"/>
              </w:rPr>
              <w:t>„</w:t>
            </w:r>
            <w:r w:rsidR="00EA284C" w:rsidRPr="00BC76A2">
              <w:rPr>
                <w:i/>
                <w:snapToGrid w:val="0"/>
                <w:lang w:val="de-DE"/>
              </w:rPr>
              <w:t>Prüfung der Unterscheidbarkeit“</w:t>
            </w:r>
            <w:r w:rsidR="00D61804" w:rsidRPr="00BC76A2">
              <w:rPr>
                <w:i/>
                <w:snapToGrid w:val="0"/>
                <w:lang w:val="de-DE"/>
              </w:rPr>
              <w:t xml:space="preserve">, </w:t>
            </w:r>
            <w:r w:rsidR="00E54319" w:rsidRPr="00BC76A2">
              <w:rPr>
                <w:i/>
                <w:snapToGrid w:val="0"/>
                <w:lang w:val="de-DE"/>
              </w:rPr>
              <w:t>Abschnitt</w:t>
            </w:r>
            <w:r w:rsidR="00D61804" w:rsidRPr="00BC76A2">
              <w:rPr>
                <w:i/>
                <w:snapToGrid w:val="0"/>
                <w:lang w:val="de-DE"/>
              </w:rPr>
              <w:t xml:space="preserve"> 2.5</w:t>
            </w:r>
            <w:r w:rsidR="00EA284C" w:rsidRPr="00BC76A2">
              <w:rPr>
                <w:i/>
                <w:snapToGrid w:val="0"/>
                <w:lang w:val="de-DE"/>
              </w:rPr>
              <w:t>,</w:t>
            </w:r>
            <w:r w:rsidR="00D61804" w:rsidRPr="00BC76A2">
              <w:rPr>
                <w:i/>
                <w:snapToGrid w:val="0"/>
                <w:lang w:val="de-DE"/>
              </w:rPr>
              <w:t xml:space="preserve"> </w:t>
            </w:r>
            <w:r w:rsidR="00E54319" w:rsidRPr="00BC76A2">
              <w:rPr>
                <w:i/>
                <w:snapToGrid w:val="0"/>
                <w:lang w:val="de-DE"/>
              </w:rPr>
              <w:t>„Fotoaufnahmen“</w:t>
            </w:r>
          </w:p>
          <w:p w:rsidR="00D61804" w:rsidRPr="00BC76A2" w:rsidRDefault="00D61804" w:rsidP="00D61804">
            <w:pPr>
              <w:pStyle w:val="ListParagraph"/>
              <w:numPr>
                <w:ilvl w:val="0"/>
                <w:numId w:val="5"/>
              </w:numPr>
              <w:tabs>
                <w:tab w:val="left" w:pos="290"/>
                <w:tab w:val="left" w:pos="574"/>
              </w:tabs>
              <w:ind w:left="574" w:hanging="284"/>
              <w:rPr>
                <w:i/>
                <w:snapToGrid w:val="0"/>
                <w:lang w:val="de-DE"/>
              </w:rPr>
            </w:pPr>
            <w:r w:rsidRPr="00BC76A2">
              <w:rPr>
                <w:i/>
                <w:snapToGrid w:val="0"/>
                <w:lang w:val="de-DE"/>
              </w:rPr>
              <w:t xml:space="preserve">TGP/7 </w:t>
            </w:r>
            <w:r w:rsidR="00DA4E6C" w:rsidRPr="00BC76A2">
              <w:rPr>
                <w:i/>
                <w:snapToGrid w:val="0"/>
                <w:lang w:val="de-DE"/>
              </w:rPr>
              <w:t>„Erstellung von Prüfungsrichtlinien“</w:t>
            </w:r>
          </w:p>
          <w:p w:rsidR="00A34B37" w:rsidRPr="00BC76A2" w:rsidRDefault="00A34B37" w:rsidP="00D61804">
            <w:pPr>
              <w:rPr>
                <w:i/>
                <w:snapToGrid w:val="0"/>
                <w:lang w:val="de-DE"/>
              </w:rPr>
            </w:pPr>
          </w:p>
          <w:p w:rsidR="00D61804" w:rsidRPr="00BC76A2" w:rsidRDefault="00DA4E6C" w:rsidP="00EC5DC9">
            <w:pPr>
              <w:rPr>
                <w:lang w:val="de-DE"/>
              </w:rPr>
            </w:pPr>
            <w:r w:rsidRPr="00BC76A2">
              <w:rPr>
                <w:rFonts w:eastAsia="Calibri"/>
                <w:i/>
                <w:lang w:val="de-DE" w:eastAsia="de-DE" w:bidi="de-DE"/>
              </w:rPr>
              <w:t>Der TC stimmte dem neuen zusätzlichen Standardwortlaut (ASW) und der Erläuterung (GN) zur „Einreichung von Fotoaufnahmen als Beilage zum Technischen Fragebogen“ auf der Grundlage der Anlage von Dokument TC/49/20 zur Aufnahme in eine künftige Überarbeitung von Dokument TGP/7 zu. Der TC vereinbarte zudem, daß den Verbandsmitgliedern die „Anleitung zur Einreichung von Fotoaufnahmen als Beilage zum Technischen Fragebogen“ über einen Link zum maßgeblichen Bereich der UPOV</w:t>
            </w:r>
            <w:r w:rsidRPr="00BC76A2">
              <w:rPr>
                <w:rFonts w:eastAsia="Calibri"/>
                <w:i/>
                <w:lang w:val="de-DE" w:eastAsia="de-DE" w:bidi="de-DE"/>
              </w:rPr>
              <w:noBreakHyphen/>
              <w:t xml:space="preserve">Website bereitgestellt werden solle </w:t>
            </w:r>
            <w:r w:rsidR="00D61804" w:rsidRPr="00BC76A2">
              <w:rPr>
                <w:i/>
                <w:snapToGrid w:val="0"/>
                <w:lang w:val="de-DE"/>
              </w:rPr>
              <w:t>(</w:t>
            </w:r>
            <w:r w:rsidR="003C2AFD" w:rsidRPr="00BC76A2">
              <w:rPr>
                <w:i/>
                <w:snapToGrid w:val="0"/>
                <w:lang w:val="de-DE"/>
              </w:rPr>
              <w:t>vergleiche Dokument</w:t>
            </w:r>
            <w:r w:rsidR="00D61804" w:rsidRPr="00BC76A2">
              <w:rPr>
                <w:i/>
                <w:snapToGrid w:val="0"/>
                <w:lang w:val="de-DE"/>
              </w:rPr>
              <w:t xml:space="preserve"> TC/49/41</w:t>
            </w:r>
            <w:r w:rsidRPr="00BC76A2">
              <w:rPr>
                <w:i/>
                <w:snapToGrid w:val="0"/>
                <w:lang w:val="de-DE"/>
              </w:rPr>
              <w:t xml:space="preserve"> </w:t>
            </w:r>
            <w:r w:rsidR="00EA284C" w:rsidRPr="00BC76A2">
              <w:rPr>
                <w:i/>
                <w:snapToGrid w:val="0"/>
                <w:lang w:val="de-DE"/>
              </w:rPr>
              <w:t>„</w:t>
            </w:r>
            <w:r w:rsidR="007206B2" w:rsidRPr="00BC76A2">
              <w:rPr>
                <w:i/>
                <w:snapToGrid w:val="0"/>
                <w:lang w:val="de-DE"/>
              </w:rPr>
              <w:t>Bericht</w:t>
            </w:r>
            <w:r w:rsidRPr="00BC76A2">
              <w:rPr>
                <w:i/>
                <w:snapToGrid w:val="0"/>
                <w:lang w:val="de-DE"/>
              </w:rPr>
              <w:t xml:space="preserve"> über die </w:t>
            </w:r>
            <w:r w:rsidR="007206B2" w:rsidRPr="00BC76A2">
              <w:rPr>
                <w:i/>
                <w:snapToGrid w:val="0"/>
                <w:lang w:val="de-DE"/>
              </w:rPr>
              <w:t>Entschließungen</w:t>
            </w:r>
            <w:r w:rsidRPr="00BC76A2">
              <w:rPr>
                <w:i/>
                <w:snapToGrid w:val="0"/>
                <w:lang w:val="de-DE"/>
              </w:rPr>
              <w:t>“</w:t>
            </w:r>
            <w:r w:rsidR="00EA284C" w:rsidRPr="00BC76A2">
              <w:rPr>
                <w:i/>
                <w:snapToGrid w:val="0"/>
                <w:lang w:val="de-DE"/>
              </w:rPr>
              <w:t>,</w:t>
            </w:r>
            <w:r w:rsidR="00D61804" w:rsidRPr="00BC76A2">
              <w:rPr>
                <w:i/>
                <w:snapToGrid w:val="0"/>
                <w:lang w:val="de-DE"/>
              </w:rPr>
              <w:t xml:space="preserve"> </w:t>
            </w:r>
            <w:r w:rsidR="003C2AFD" w:rsidRPr="00BC76A2">
              <w:rPr>
                <w:i/>
                <w:snapToGrid w:val="0"/>
                <w:lang w:val="de-DE"/>
              </w:rPr>
              <w:t>Absätze</w:t>
            </w:r>
            <w:r w:rsidR="00A34B37" w:rsidRPr="00BC76A2">
              <w:rPr>
                <w:i/>
                <w:snapToGrid w:val="0"/>
                <w:lang w:val="de-DE"/>
              </w:rPr>
              <w:t xml:space="preserve"> 45 </w:t>
            </w:r>
            <w:r w:rsidRPr="00BC76A2">
              <w:rPr>
                <w:i/>
                <w:snapToGrid w:val="0"/>
                <w:lang w:val="de-DE"/>
              </w:rPr>
              <w:t>bis</w:t>
            </w:r>
            <w:r w:rsidR="00A34B37" w:rsidRPr="00BC76A2">
              <w:rPr>
                <w:i/>
                <w:snapToGrid w:val="0"/>
                <w:lang w:val="de-DE"/>
              </w:rPr>
              <w:t xml:space="preserve"> 47).</w:t>
            </w:r>
          </w:p>
        </w:tc>
      </w:tr>
    </w:tbl>
    <w:p w:rsidR="00A34B37" w:rsidRPr="00BC76A2" w:rsidRDefault="00A34B37">
      <w:pPr>
        <w:rPr>
          <w:lang w:val="de-DE"/>
        </w:rPr>
      </w:pPr>
    </w:p>
    <w:p w:rsidR="00A34B37" w:rsidRPr="00BC76A2" w:rsidRDefault="00A34B37" w:rsidP="00574BB5">
      <w:pPr>
        <w:pStyle w:val="Heading3"/>
        <w:rPr>
          <w:lang w:val="de-DE"/>
        </w:rPr>
      </w:pPr>
      <w:bookmarkStart w:id="154" w:name="_Toc379530099"/>
      <w:bookmarkStart w:id="155" w:name="_Toc380391646"/>
      <w:bookmarkStart w:id="156" w:name="_Toc380419886"/>
      <w:bookmarkStart w:id="157" w:name="_Toc380483686"/>
      <w:r w:rsidRPr="00BC76A2">
        <w:rPr>
          <w:snapToGrid w:val="0"/>
          <w:lang w:val="de-DE"/>
        </w:rPr>
        <w:t>b)</w:t>
      </w:r>
      <w:r w:rsidRPr="00BC76A2">
        <w:rPr>
          <w:snapToGrid w:val="0"/>
          <w:lang w:val="de-DE"/>
        </w:rPr>
        <w:tab/>
      </w:r>
      <w:r w:rsidR="007206B2" w:rsidRPr="00BC76A2">
        <w:rPr>
          <w:snapToGrid w:val="0"/>
          <w:lang w:val="de-DE"/>
        </w:rPr>
        <w:t>Mindestproben</w:t>
      </w:r>
      <w:bookmarkEnd w:id="154"/>
      <w:r w:rsidR="007206B2" w:rsidRPr="00BC76A2">
        <w:rPr>
          <w:snapToGrid w:val="0"/>
          <w:lang w:val="de-DE"/>
        </w:rPr>
        <w:t>größe</w:t>
      </w:r>
      <w:bookmarkEnd w:id="155"/>
      <w:bookmarkEnd w:id="156"/>
      <w:bookmarkEnd w:id="157"/>
    </w:p>
    <w:p w:rsidR="00A34B37" w:rsidRPr="00BC76A2" w:rsidRDefault="00A34B37" w:rsidP="00574BB5">
      <w:pPr>
        <w:keepNext/>
        <w:rPr>
          <w:lang w:val="de-DE"/>
        </w:rPr>
      </w:pPr>
    </w:p>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6"/>
      </w:tblGrid>
      <w:tr w:rsidR="00D61804" w:rsidRPr="00D9403C" w:rsidTr="00230328">
        <w:tc>
          <w:tcPr>
            <w:tcW w:w="8646" w:type="dxa"/>
          </w:tcPr>
          <w:p w:rsidR="00727189" w:rsidRPr="00BC76A2" w:rsidRDefault="00727189" w:rsidP="00727189">
            <w:pPr>
              <w:rPr>
                <w:sz w:val="18"/>
                <w:szCs w:val="18"/>
                <w:lang w:val="de-DE"/>
              </w:rPr>
            </w:pPr>
            <w:r w:rsidRPr="00BC76A2">
              <w:rPr>
                <w:sz w:val="18"/>
                <w:szCs w:val="18"/>
                <w:lang w:val="de-DE"/>
              </w:rPr>
              <w:t>[</w:t>
            </w:r>
            <w:r w:rsidR="007206B2" w:rsidRPr="00BC76A2">
              <w:rPr>
                <w:sz w:val="18"/>
                <w:szCs w:val="18"/>
                <w:lang w:val="de-DE"/>
              </w:rPr>
              <w:t>Auszug</w:t>
            </w:r>
            <w:r w:rsidR="00505A4D" w:rsidRPr="00BC76A2">
              <w:rPr>
                <w:sz w:val="18"/>
                <w:szCs w:val="18"/>
                <w:lang w:val="de-DE"/>
              </w:rPr>
              <w:t xml:space="preserve"> aus dem </w:t>
            </w:r>
            <w:r w:rsidR="007206B2" w:rsidRPr="00BC76A2">
              <w:rPr>
                <w:sz w:val="18"/>
                <w:szCs w:val="18"/>
                <w:lang w:val="de-DE"/>
              </w:rPr>
              <w:t>Schreiben</w:t>
            </w:r>
            <w:r w:rsidR="00505A4D" w:rsidRPr="00BC76A2">
              <w:rPr>
                <w:sz w:val="18"/>
                <w:szCs w:val="18"/>
                <w:lang w:val="de-DE"/>
              </w:rPr>
              <w:t xml:space="preserve"> de</w:t>
            </w:r>
            <w:r w:rsidR="00EA284C" w:rsidRPr="00BC76A2">
              <w:rPr>
                <w:sz w:val="18"/>
                <w:szCs w:val="18"/>
                <w:lang w:val="de-DE"/>
              </w:rPr>
              <w:t>r</w:t>
            </w:r>
            <w:r w:rsidRPr="00BC76A2">
              <w:rPr>
                <w:sz w:val="18"/>
                <w:szCs w:val="18"/>
                <w:lang w:val="de-DE"/>
              </w:rPr>
              <w:t xml:space="preserve"> ISF]</w:t>
            </w:r>
          </w:p>
          <w:p w:rsidR="00A34B37" w:rsidRPr="00BC76A2" w:rsidRDefault="007206B2" w:rsidP="00CE63AE">
            <w:pPr>
              <w:rPr>
                <w:sz w:val="18"/>
                <w:szCs w:val="18"/>
                <w:lang w:val="de-DE"/>
              </w:rPr>
            </w:pPr>
            <w:r w:rsidRPr="00BC76A2">
              <w:rPr>
                <w:sz w:val="18"/>
                <w:szCs w:val="18"/>
                <w:lang w:val="de-DE"/>
              </w:rPr>
              <w:t>„</w:t>
            </w:r>
            <w:r w:rsidRPr="00BC76A2">
              <w:rPr>
                <w:sz w:val="18"/>
                <w:szCs w:val="18"/>
                <w:u w:val="single"/>
                <w:lang w:val="de-DE"/>
              </w:rPr>
              <w:t>Mindestprobengröße</w:t>
            </w:r>
            <w:r w:rsidRPr="00BC76A2">
              <w:rPr>
                <w:sz w:val="18"/>
                <w:szCs w:val="18"/>
                <w:lang w:val="de-DE"/>
              </w:rPr>
              <w:t>: In den meisten Ländern wird eine Mindestproben</w:t>
            </w:r>
            <w:r w:rsidR="004211E6" w:rsidRPr="00BC76A2">
              <w:rPr>
                <w:sz w:val="18"/>
                <w:szCs w:val="18"/>
                <w:lang w:val="de-DE"/>
              </w:rPr>
              <w:t>g</w:t>
            </w:r>
            <w:r w:rsidRPr="00BC76A2">
              <w:rPr>
                <w:sz w:val="18"/>
                <w:szCs w:val="18"/>
                <w:lang w:val="de-DE"/>
              </w:rPr>
              <w:t xml:space="preserve">röße oder eine </w:t>
            </w:r>
            <w:r w:rsidR="009D434D" w:rsidRPr="00BC76A2">
              <w:rPr>
                <w:sz w:val="18"/>
                <w:szCs w:val="18"/>
                <w:lang w:val="de-DE"/>
              </w:rPr>
              <w:t>Mindestzahl</w:t>
            </w:r>
            <w:r w:rsidRPr="00BC76A2">
              <w:rPr>
                <w:sz w:val="18"/>
                <w:szCs w:val="18"/>
                <w:lang w:val="de-DE"/>
              </w:rPr>
              <w:t xml:space="preserve"> </w:t>
            </w:r>
            <w:r w:rsidR="004211E6" w:rsidRPr="00BC76A2">
              <w:rPr>
                <w:sz w:val="18"/>
                <w:szCs w:val="18"/>
                <w:lang w:val="de-DE"/>
              </w:rPr>
              <w:t xml:space="preserve">von </w:t>
            </w:r>
            <w:r w:rsidRPr="00BC76A2">
              <w:rPr>
                <w:sz w:val="18"/>
                <w:szCs w:val="18"/>
                <w:lang w:val="de-DE"/>
              </w:rPr>
              <w:t xml:space="preserve">Pflanzen verlangt. In einzelnen Ländern können die verlangten Probengrößen jedoch außerordentlich groß sein. </w:t>
            </w:r>
            <w:r w:rsidR="00DC766F" w:rsidRPr="00BC76A2">
              <w:rPr>
                <w:sz w:val="18"/>
                <w:szCs w:val="18"/>
                <w:lang w:val="de-DE"/>
              </w:rPr>
              <w:t xml:space="preserve">Dies ist insbesondere der Fall für Elternlinien, bei denen hohe Anforderungen problematisch sein </w:t>
            </w:r>
            <w:r w:rsidRPr="00BC76A2">
              <w:rPr>
                <w:sz w:val="18"/>
                <w:szCs w:val="18"/>
                <w:lang w:val="de-DE"/>
              </w:rPr>
              <w:t>können</w:t>
            </w:r>
            <w:r w:rsidR="00DC766F" w:rsidRPr="00BC76A2">
              <w:rPr>
                <w:sz w:val="18"/>
                <w:szCs w:val="18"/>
                <w:lang w:val="de-DE"/>
              </w:rPr>
              <w:t xml:space="preserve">. Die </w:t>
            </w:r>
            <w:r w:rsidR="008C3F35" w:rsidRPr="00BC76A2">
              <w:rPr>
                <w:sz w:val="18"/>
                <w:szCs w:val="18"/>
                <w:lang w:val="de-DE"/>
              </w:rPr>
              <w:t>Saatgut</w:t>
            </w:r>
            <w:r w:rsidR="00DC766F" w:rsidRPr="00BC76A2">
              <w:rPr>
                <w:sz w:val="18"/>
                <w:szCs w:val="18"/>
                <w:lang w:val="de-DE"/>
              </w:rPr>
              <w:t>mengen sollten angemessen und im Optimalfall möglichst gering sein.</w:t>
            </w:r>
            <w:r w:rsidR="00A34B37" w:rsidRPr="00BC76A2">
              <w:rPr>
                <w:sz w:val="18"/>
                <w:szCs w:val="18"/>
                <w:lang w:val="de-DE"/>
              </w:rPr>
              <w:t xml:space="preserve"> </w:t>
            </w:r>
            <w:r w:rsidR="00DC766F" w:rsidRPr="00BC76A2">
              <w:rPr>
                <w:sz w:val="18"/>
                <w:szCs w:val="18"/>
                <w:lang w:val="de-DE"/>
              </w:rPr>
              <w:t xml:space="preserve">Die </w:t>
            </w:r>
            <w:r w:rsidR="004211E6" w:rsidRPr="00BC76A2">
              <w:rPr>
                <w:sz w:val="18"/>
                <w:szCs w:val="18"/>
                <w:lang w:val="de-DE"/>
              </w:rPr>
              <w:t>Züchterrechts</w:t>
            </w:r>
            <w:r w:rsidR="00DC766F" w:rsidRPr="00BC76A2">
              <w:rPr>
                <w:sz w:val="18"/>
                <w:szCs w:val="18"/>
                <w:lang w:val="de-DE"/>
              </w:rPr>
              <w:t xml:space="preserve">behörden werden angehalten, nur die </w:t>
            </w:r>
            <w:r w:rsidRPr="00BC76A2">
              <w:rPr>
                <w:sz w:val="18"/>
                <w:szCs w:val="18"/>
                <w:lang w:val="de-DE"/>
              </w:rPr>
              <w:t>tatsächlich</w:t>
            </w:r>
            <w:r w:rsidR="00DC766F" w:rsidRPr="00BC76A2">
              <w:rPr>
                <w:sz w:val="18"/>
                <w:szCs w:val="18"/>
                <w:lang w:val="de-DE"/>
              </w:rPr>
              <w:t xml:space="preserve"> benötigt</w:t>
            </w:r>
            <w:r w:rsidR="00241EB2" w:rsidRPr="00BC76A2">
              <w:rPr>
                <w:sz w:val="18"/>
                <w:szCs w:val="18"/>
                <w:lang w:val="de-DE"/>
              </w:rPr>
              <w:t>e</w:t>
            </w:r>
            <w:r w:rsidR="00DC766F" w:rsidRPr="00BC76A2">
              <w:rPr>
                <w:sz w:val="18"/>
                <w:szCs w:val="18"/>
                <w:lang w:val="de-DE"/>
              </w:rPr>
              <w:t xml:space="preserve"> </w:t>
            </w:r>
            <w:r w:rsidR="008C3F35" w:rsidRPr="00BC76A2">
              <w:rPr>
                <w:sz w:val="18"/>
                <w:szCs w:val="18"/>
                <w:lang w:val="de-DE"/>
              </w:rPr>
              <w:t>Saatgut</w:t>
            </w:r>
            <w:r w:rsidR="00DC766F" w:rsidRPr="00BC76A2">
              <w:rPr>
                <w:sz w:val="18"/>
                <w:szCs w:val="18"/>
                <w:lang w:val="de-DE"/>
              </w:rPr>
              <w:t xml:space="preserve">menge zu verlangen, und diese Mengen sollten weltweit </w:t>
            </w:r>
            <w:r w:rsidRPr="00BC76A2">
              <w:rPr>
                <w:sz w:val="18"/>
                <w:szCs w:val="18"/>
                <w:lang w:val="de-DE"/>
              </w:rPr>
              <w:t>harmonisiert</w:t>
            </w:r>
            <w:r w:rsidR="00DC766F" w:rsidRPr="00BC76A2">
              <w:rPr>
                <w:sz w:val="18"/>
                <w:szCs w:val="18"/>
                <w:lang w:val="de-DE"/>
              </w:rPr>
              <w:t xml:space="preserve"> werden. Im allgemeinen ist es besser, </w:t>
            </w:r>
            <w:r w:rsidR="008C3F35" w:rsidRPr="00BC76A2">
              <w:rPr>
                <w:sz w:val="18"/>
                <w:szCs w:val="18"/>
                <w:lang w:val="de-DE"/>
              </w:rPr>
              <w:t>Saatgut</w:t>
            </w:r>
            <w:r w:rsidR="00DC766F" w:rsidRPr="00BC76A2">
              <w:rPr>
                <w:sz w:val="18"/>
                <w:szCs w:val="18"/>
                <w:lang w:val="de-DE"/>
              </w:rPr>
              <w:t xml:space="preserve"> vielmehr nach </w:t>
            </w:r>
            <w:r w:rsidRPr="00BC76A2">
              <w:rPr>
                <w:sz w:val="18"/>
                <w:szCs w:val="18"/>
                <w:lang w:val="de-DE"/>
              </w:rPr>
              <w:t>dem</w:t>
            </w:r>
            <w:r w:rsidR="00DC766F" w:rsidRPr="00BC76A2">
              <w:rPr>
                <w:sz w:val="18"/>
                <w:szCs w:val="18"/>
                <w:lang w:val="de-DE"/>
              </w:rPr>
              <w:t xml:space="preserve"> Kriterium der Anzahl als des </w:t>
            </w:r>
            <w:r w:rsidRPr="00BC76A2">
              <w:rPr>
                <w:sz w:val="18"/>
                <w:szCs w:val="18"/>
                <w:lang w:val="de-DE"/>
              </w:rPr>
              <w:t>Gewichts</w:t>
            </w:r>
            <w:r w:rsidR="00DC766F" w:rsidRPr="00BC76A2">
              <w:rPr>
                <w:sz w:val="18"/>
                <w:szCs w:val="18"/>
                <w:lang w:val="de-DE"/>
              </w:rPr>
              <w:t xml:space="preserve"> zu verlangen.“</w:t>
            </w:r>
          </w:p>
        </w:tc>
      </w:tr>
      <w:tr w:rsidR="00D61804" w:rsidRPr="00E7627F" w:rsidTr="00230328">
        <w:tc>
          <w:tcPr>
            <w:tcW w:w="8646" w:type="dxa"/>
          </w:tcPr>
          <w:p w:rsidR="00D61804" w:rsidRPr="00BC76A2" w:rsidRDefault="00DC766F" w:rsidP="00D61804">
            <w:pPr>
              <w:rPr>
                <w:i/>
                <w:lang w:val="de-DE"/>
              </w:rPr>
            </w:pPr>
            <w:r w:rsidRPr="00BC76A2">
              <w:rPr>
                <w:i/>
                <w:lang w:val="de-DE"/>
              </w:rPr>
              <w:t>Einschlägiges UPOV-Material</w:t>
            </w:r>
            <w:r w:rsidR="00D61804" w:rsidRPr="00BC76A2">
              <w:rPr>
                <w:i/>
                <w:lang w:val="de-DE"/>
              </w:rPr>
              <w:t>:</w:t>
            </w:r>
          </w:p>
          <w:p w:rsidR="00A34B37" w:rsidRPr="00BC76A2" w:rsidRDefault="00A34B37" w:rsidP="00D61804">
            <w:pPr>
              <w:rPr>
                <w:i/>
                <w:lang w:val="de-DE"/>
              </w:rPr>
            </w:pPr>
          </w:p>
          <w:p w:rsidR="00D61804" w:rsidRPr="00BC76A2" w:rsidRDefault="005C3E02" w:rsidP="00EC5DC9">
            <w:pPr>
              <w:pStyle w:val="ListParagraph"/>
              <w:numPr>
                <w:ilvl w:val="0"/>
                <w:numId w:val="7"/>
              </w:numPr>
              <w:rPr>
                <w:i/>
                <w:lang w:val="de-DE"/>
              </w:rPr>
            </w:pPr>
            <w:r w:rsidRPr="00BC76A2">
              <w:rPr>
                <w:i/>
                <w:lang w:val="de-DE"/>
              </w:rPr>
              <w:t xml:space="preserve">TGP/7 </w:t>
            </w:r>
            <w:r w:rsidR="00DA4E6C" w:rsidRPr="00BC76A2">
              <w:rPr>
                <w:i/>
                <w:lang w:val="de-DE"/>
              </w:rPr>
              <w:t>Abschnitt</w:t>
            </w:r>
            <w:r w:rsidRPr="00BC76A2">
              <w:rPr>
                <w:i/>
                <w:lang w:val="de-DE"/>
              </w:rPr>
              <w:t xml:space="preserve"> 4</w:t>
            </w:r>
            <w:r w:rsidR="00241EB2" w:rsidRPr="00BC76A2">
              <w:rPr>
                <w:i/>
                <w:lang w:val="de-DE"/>
              </w:rPr>
              <w:t>,</w:t>
            </w:r>
            <w:r w:rsidRPr="00BC76A2">
              <w:rPr>
                <w:i/>
                <w:lang w:val="de-DE"/>
              </w:rPr>
              <w:t xml:space="preserve"> </w:t>
            </w:r>
            <w:r w:rsidR="00DA4E6C" w:rsidRPr="00BC76A2">
              <w:rPr>
                <w:i/>
                <w:lang w:val="de-DE"/>
              </w:rPr>
              <w:t xml:space="preserve">„Erstellung von </w:t>
            </w:r>
            <w:r w:rsidR="007206B2" w:rsidRPr="00BC76A2">
              <w:rPr>
                <w:i/>
                <w:lang w:val="de-DE"/>
              </w:rPr>
              <w:t>Prüfungsrichtlinien</w:t>
            </w:r>
            <w:r w:rsidR="00DA4E6C" w:rsidRPr="00BC76A2">
              <w:rPr>
                <w:i/>
                <w:lang w:val="de-DE"/>
              </w:rPr>
              <w:t xml:space="preserve"> </w:t>
            </w:r>
            <w:r w:rsidR="007206B2" w:rsidRPr="00BC76A2">
              <w:rPr>
                <w:i/>
                <w:lang w:val="de-DE"/>
              </w:rPr>
              <w:t>einzelner</w:t>
            </w:r>
            <w:r w:rsidR="00DA4E6C" w:rsidRPr="00BC76A2">
              <w:rPr>
                <w:i/>
                <w:lang w:val="de-DE"/>
              </w:rPr>
              <w:t xml:space="preserve"> Behörden“</w:t>
            </w:r>
          </w:p>
        </w:tc>
      </w:tr>
    </w:tbl>
    <w:p w:rsidR="00A34B37" w:rsidRPr="00BC76A2" w:rsidRDefault="00A34B37">
      <w:pPr>
        <w:rPr>
          <w:lang w:val="de-DE"/>
        </w:rPr>
      </w:pPr>
    </w:p>
    <w:p w:rsidR="00A34B37" w:rsidRPr="00BC76A2" w:rsidRDefault="00A34B37" w:rsidP="00574BB5">
      <w:pPr>
        <w:pStyle w:val="Heading3"/>
        <w:rPr>
          <w:lang w:val="de-DE"/>
        </w:rPr>
      </w:pPr>
      <w:bookmarkStart w:id="158" w:name="_Toc379530100"/>
      <w:bookmarkStart w:id="159" w:name="_Toc380391647"/>
      <w:bookmarkStart w:id="160" w:name="_Toc380419887"/>
      <w:bookmarkStart w:id="161" w:name="_Toc380483687"/>
      <w:r w:rsidRPr="00BC76A2">
        <w:rPr>
          <w:lang w:val="de-DE"/>
        </w:rPr>
        <w:t>c)</w:t>
      </w:r>
      <w:r w:rsidRPr="00BC76A2">
        <w:rPr>
          <w:lang w:val="de-DE"/>
        </w:rPr>
        <w:tab/>
      </w:r>
      <w:r w:rsidR="00DC766F" w:rsidRPr="00BC76A2">
        <w:rPr>
          <w:lang w:val="de-DE"/>
        </w:rPr>
        <w:t>Vergleichssammlungen</w:t>
      </w:r>
      <w:bookmarkEnd w:id="158"/>
      <w:bookmarkEnd w:id="159"/>
      <w:bookmarkEnd w:id="160"/>
      <w:bookmarkEnd w:id="161"/>
    </w:p>
    <w:p w:rsidR="00A34B37" w:rsidRPr="00BC76A2" w:rsidRDefault="00A34B37">
      <w:pPr>
        <w:rPr>
          <w:lang w:val="de-DE"/>
        </w:rPr>
      </w:pPr>
    </w:p>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6"/>
      </w:tblGrid>
      <w:tr w:rsidR="005C3E02" w:rsidRPr="00D9403C" w:rsidTr="00230328">
        <w:tc>
          <w:tcPr>
            <w:tcW w:w="8646" w:type="dxa"/>
          </w:tcPr>
          <w:p w:rsidR="00727189" w:rsidRPr="00BC76A2" w:rsidRDefault="00727189" w:rsidP="00727189">
            <w:pPr>
              <w:rPr>
                <w:sz w:val="18"/>
                <w:szCs w:val="18"/>
                <w:lang w:val="de-DE"/>
              </w:rPr>
            </w:pPr>
            <w:r w:rsidRPr="00BC76A2">
              <w:rPr>
                <w:sz w:val="18"/>
                <w:szCs w:val="18"/>
                <w:lang w:val="de-DE"/>
              </w:rPr>
              <w:t>[</w:t>
            </w:r>
            <w:r w:rsidR="00DC766F" w:rsidRPr="00BC76A2">
              <w:rPr>
                <w:sz w:val="18"/>
                <w:szCs w:val="18"/>
                <w:lang w:val="de-DE"/>
              </w:rPr>
              <w:t xml:space="preserve">Auszug aus </w:t>
            </w:r>
            <w:r w:rsidR="007206B2" w:rsidRPr="00BC76A2">
              <w:rPr>
                <w:sz w:val="18"/>
                <w:szCs w:val="18"/>
                <w:lang w:val="de-DE"/>
              </w:rPr>
              <w:t>dem</w:t>
            </w:r>
            <w:r w:rsidR="00DC766F" w:rsidRPr="00BC76A2">
              <w:rPr>
                <w:sz w:val="18"/>
                <w:szCs w:val="18"/>
                <w:lang w:val="de-DE"/>
              </w:rPr>
              <w:t xml:space="preserve"> Schreiben de</w:t>
            </w:r>
            <w:r w:rsidR="004211E6" w:rsidRPr="00BC76A2">
              <w:rPr>
                <w:sz w:val="18"/>
                <w:szCs w:val="18"/>
                <w:lang w:val="de-DE"/>
              </w:rPr>
              <w:t>r</w:t>
            </w:r>
            <w:r w:rsidR="00DC766F" w:rsidRPr="00BC76A2">
              <w:rPr>
                <w:sz w:val="18"/>
                <w:szCs w:val="18"/>
                <w:lang w:val="de-DE"/>
              </w:rPr>
              <w:t xml:space="preserve"> </w:t>
            </w:r>
            <w:r w:rsidRPr="00BC76A2">
              <w:rPr>
                <w:sz w:val="18"/>
                <w:szCs w:val="18"/>
                <w:lang w:val="de-DE"/>
              </w:rPr>
              <w:t>ISF]</w:t>
            </w:r>
          </w:p>
          <w:p w:rsidR="00A34B37" w:rsidRPr="00BC76A2" w:rsidRDefault="00DC766F" w:rsidP="00727189">
            <w:pPr>
              <w:rPr>
                <w:sz w:val="18"/>
                <w:szCs w:val="18"/>
                <w:lang w:val="de-DE"/>
              </w:rPr>
            </w:pPr>
            <w:r w:rsidRPr="00BC76A2">
              <w:rPr>
                <w:sz w:val="18"/>
                <w:szCs w:val="18"/>
                <w:lang w:val="de-DE"/>
              </w:rPr>
              <w:t>„</w:t>
            </w:r>
            <w:r w:rsidRPr="00BC76A2">
              <w:rPr>
                <w:sz w:val="18"/>
                <w:szCs w:val="18"/>
                <w:u w:val="single"/>
                <w:lang w:val="de-DE"/>
              </w:rPr>
              <w:t>Vergleichssammlungen</w:t>
            </w:r>
            <w:r w:rsidR="00A34B37" w:rsidRPr="00BC76A2">
              <w:rPr>
                <w:sz w:val="18"/>
                <w:szCs w:val="18"/>
                <w:lang w:val="de-DE"/>
              </w:rPr>
              <w:t xml:space="preserve">: In </w:t>
            </w:r>
            <w:r w:rsidRPr="00BC76A2">
              <w:rPr>
                <w:sz w:val="18"/>
                <w:szCs w:val="18"/>
                <w:lang w:val="de-DE"/>
              </w:rPr>
              <w:t xml:space="preserve">bestimmten Ländern ist </w:t>
            </w:r>
            <w:r w:rsidR="007206B2" w:rsidRPr="00BC76A2">
              <w:rPr>
                <w:sz w:val="18"/>
                <w:szCs w:val="18"/>
                <w:lang w:val="de-DE"/>
              </w:rPr>
              <w:t>bekannt</w:t>
            </w:r>
            <w:r w:rsidRPr="00BC76A2">
              <w:rPr>
                <w:sz w:val="18"/>
                <w:szCs w:val="18"/>
                <w:lang w:val="de-DE"/>
              </w:rPr>
              <w:t xml:space="preserve">, </w:t>
            </w:r>
            <w:r w:rsidR="00A0388E" w:rsidRPr="00BC76A2">
              <w:rPr>
                <w:sz w:val="18"/>
                <w:szCs w:val="18"/>
                <w:lang w:val="de-DE"/>
              </w:rPr>
              <w:t>daß</w:t>
            </w:r>
            <w:r w:rsidRPr="00BC76A2">
              <w:rPr>
                <w:sz w:val="18"/>
                <w:szCs w:val="18"/>
                <w:lang w:val="de-DE"/>
              </w:rPr>
              <w:t xml:space="preserve"> </w:t>
            </w:r>
            <w:r w:rsidR="007206B2" w:rsidRPr="00BC76A2">
              <w:rPr>
                <w:sz w:val="18"/>
                <w:szCs w:val="18"/>
                <w:lang w:val="de-DE"/>
              </w:rPr>
              <w:t>das</w:t>
            </w:r>
            <w:r w:rsidRPr="00BC76A2">
              <w:rPr>
                <w:sz w:val="18"/>
                <w:szCs w:val="18"/>
                <w:lang w:val="de-DE"/>
              </w:rPr>
              <w:t xml:space="preserve"> Prüfungsamt nicht die </w:t>
            </w:r>
            <w:r w:rsidR="004211E6" w:rsidRPr="00BC76A2">
              <w:rPr>
                <w:sz w:val="18"/>
                <w:szCs w:val="18"/>
                <w:lang w:val="de-DE"/>
              </w:rPr>
              <w:t>richtig</w:t>
            </w:r>
            <w:r w:rsidRPr="00BC76A2">
              <w:rPr>
                <w:sz w:val="18"/>
                <w:szCs w:val="18"/>
                <w:lang w:val="de-DE"/>
              </w:rPr>
              <w:t xml:space="preserve">en </w:t>
            </w:r>
            <w:r w:rsidR="007206B2" w:rsidRPr="00BC76A2">
              <w:rPr>
                <w:sz w:val="18"/>
                <w:szCs w:val="18"/>
                <w:lang w:val="de-DE"/>
              </w:rPr>
              <w:t>Vergleichssorten</w:t>
            </w:r>
            <w:r w:rsidRPr="00BC76A2">
              <w:rPr>
                <w:sz w:val="18"/>
                <w:szCs w:val="18"/>
                <w:lang w:val="de-DE"/>
              </w:rPr>
              <w:t xml:space="preserve"> verwendet. Dies ist häufig einer </w:t>
            </w:r>
            <w:r w:rsidR="007206B2" w:rsidRPr="00BC76A2">
              <w:rPr>
                <w:sz w:val="18"/>
                <w:szCs w:val="18"/>
                <w:lang w:val="de-DE"/>
              </w:rPr>
              <w:t>unvollständigen</w:t>
            </w:r>
            <w:r w:rsidRPr="00BC76A2">
              <w:rPr>
                <w:sz w:val="18"/>
                <w:szCs w:val="18"/>
                <w:lang w:val="de-DE"/>
              </w:rPr>
              <w:t xml:space="preserve"> Vergleichssammlung zuzuschreiben.</w:t>
            </w:r>
          </w:p>
          <w:p w:rsidR="00A34B37" w:rsidRPr="00BC76A2" w:rsidRDefault="00A34B37" w:rsidP="00A34B37">
            <w:pPr>
              <w:rPr>
                <w:sz w:val="18"/>
                <w:szCs w:val="18"/>
                <w:lang w:val="de-DE"/>
              </w:rPr>
            </w:pPr>
          </w:p>
          <w:p w:rsidR="00A34B37" w:rsidRPr="00BC76A2" w:rsidRDefault="008D2477" w:rsidP="00A34B37">
            <w:pPr>
              <w:rPr>
                <w:sz w:val="18"/>
                <w:szCs w:val="18"/>
                <w:lang w:val="de-DE"/>
              </w:rPr>
            </w:pPr>
            <w:r w:rsidRPr="00BC76A2">
              <w:rPr>
                <w:sz w:val="18"/>
                <w:szCs w:val="18"/>
                <w:lang w:val="de-DE"/>
              </w:rPr>
              <w:t>Die Mitglieder de</w:t>
            </w:r>
            <w:r w:rsidR="004211E6" w:rsidRPr="00BC76A2">
              <w:rPr>
                <w:sz w:val="18"/>
                <w:szCs w:val="18"/>
                <w:lang w:val="de-DE"/>
              </w:rPr>
              <w:t>r</w:t>
            </w:r>
            <w:r w:rsidRPr="00BC76A2">
              <w:rPr>
                <w:sz w:val="18"/>
                <w:szCs w:val="18"/>
                <w:lang w:val="de-DE"/>
              </w:rPr>
              <w:t xml:space="preserve"> ISF </w:t>
            </w:r>
            <w:r w:rsidR="004E5810" w:rsidRPr="00BC76A2">
              <w:rPr>
                <w:sz w:val="18"/>
                <w:szCs w:val="18"/>
                <w:lang w:val="de-DE"/>
              </w:rPr>
              <w:t>haben</w:t>
            </w:r>
            <w:r w:rsidRPr="00BC76A2">
              <w:rPr>
                <w:sz w:val="18"/>
                <w:szCs w:val="18"/>
                <w:lang w:val="de-DE"/>
              </w:rPr>
              <w:t xml:space="preserve"> den Eindruck, </w:t>
            </w:r>
            <w:r w:rsidR="00A0388E" w:rsidRPr="00BC76A2">
              <w:rPr>
                <w:sz w:val="18"/>
                <w:szCs w:val="18"/>
                <w:lang w:val="de-DE"/>
              </w:rPr>
              <w:t>daß</w:t>
            </w:r>
            <w:r w:rsidRPr="00BC76A2">
              <w:rPr>
                <w:sz w:val="18"/>
                <w:szCs w:val="18"/>
                <w:lang w:val="de-DE"/>
              </w:rPr>
              <w:t xml:space="preserve"> eine unzureichende Sortensammlung den Schutz </w:t>
            </w:r>
            <w:r w:rsidR="004E5810" w:rsidRPr="00BC76A2">
              <w:rPr>
                <w:sz w:val="18"/>
                <w:szCs w:val="18"/>
                <w:lang w:val="de-DE"/>
              </w:rPr>
              <w:t>schwächt</w:t>
            </w:r>
            <w:r w:rsidRPr="00BC76A2">
              <w:rPr>
                <w:sz w:val="18"/>
                <w:szCs w:val="18"/>
                <w:lang w:val="de-DE"/>
              </w:rPr>
              <w:t xml:space="preserve">, da </w:t>
            </w:r>
            <w:r w:rsidR="004E5810" w:rsidRPr="00BC76A2">
              <w:rPr>
                <w:sz w:val="18"/>
                <w:szCs w:val="18"/>
                <w:lang w:val="de-DE"/>
              </w:rPr>
              <w:t>Sorten</w:t>
            </w:r>
            <w:r w:rsidRPr="00BC76A2">
              <w:rPr>
                <w:sz w:val="18"/>
                <w:szCs w:val="18"/>
                <w:lang w:val="de-DE"/>
              </w:rPr>
              <w:t xml:space="preserve">, die sich zu </w:t>
            </w:r>
            <w:r w:rsidR="004E5810" w:rsidRPr="00BC76A2">
              <w:rPr>
                <w:sz w:val="18"/>
                <w:szCs w:val="18"/>
                <w:lang w:val="de-DE"/>
              </w:rPr>
              <w:t>ähnlich</w:t>
            </w:r>
            <w:r w:rsidRPr="00BC76A2">
              <w:rPr>
                <w:sz w:val="18"/>
                <w:szCs w:val="18"/>
                <w:lang w:val="de-DE"/>
              </w:rPr>
              <w:t xml:space="preserve"> </w:t>
            </w:r>
            <w:r w:rsidR="004E5810" w:rsidRPr="00BC76A2">
              <w:rPr>
                <w:sz w:val="18"/>
                <w:szCs w:val="18"/>
                <w:lang w:val="de-DE"/>
              </w:rPr>
              <w:t>sind</w:t>
            </w:r>
            <w:r w:rsidRPr="00BC76A2">
              <w:rPr>
                <w:sz w:val="18"/>
                <w:szCs w:val="18"/>
                <w:lang w:val="de-DE"/>
              </w:rPr>
              <w:t xml:space="preserve">, geschützt werden. Die </w:t>
            </w:r>
            <w:r w:rsidR="004E5810" w:rsidRPr="00BC76A2">
              <w:rPr>
                <w:sz w:val="18"/>
                <w:szCs w:val="18"/>
                <w:lang w:val="de-DE"/>
              </w:rPr>
              <w:t>Vergleichssammlung</w:t>
            </w:r>
            <w:r w:rsidRPr="00BC76A2">
              <w:rPr>
                <w:sz w:val="18"/>
                <w:szCs w:val="18"/>
                <w:lang w:val="de-DE"/>
              </w:rPr>
              <w:t xml:space="preserve"> mu</w:t>
            </w:r>
            <w:r w:rsidR="00753412" w:rsidRPr="00BC76A2">
              <w:rPr>
                <w:sz w:val="18"/>
                <w:szCs w:val="18"/>
                <w:lang w:val="de-DE"/>
              </w:rPr>
              <w:t>ß</w:t>
            </w:r>
            <w:r w:rsidRPr="00BC76A2">
              <w:rPr>
                <w:sz w:val="18"/>
                <w:szCs w:val="18"/>
                <w:lang w:val="de-DE"/>
              </w:rPr>
              <w:t xml:space="preserve"> möglichst </w:t>
            </w:r>
            <w:r w:rsidR="004E5810" w:rsidRPr="00BC76A2">
              <w:rPr>
                <w:sz w:val="18"/>
                <w:szCs w:val="18"/>
                <w:lang w:val="de-DE"/>
              </w:rPr>
              <w:t>vollständig</w:t>
            </w:r>
            <w:r w:rsidRPr="00BC76A2">
              <w:rPr>
                <w:sz w:val="18"/>
                <w:szCs w:val="18"/>
                <w:lang w:val="de-DE"/>
              </w:rPr>
              <w:t xml:space="preserve"> sein</w:t>
            </w:r>
            <w:r w:rsidR="00A34B37" w:rsidRPr="00BC76A2">
              <w:rPr>
                <w:sz w:val="18"/>
                <w:szCs w:val="18"/>
                <w:lang w:val="de-DE"/>
              </w:rPr>
              <w:t>.</w:t>
            </w:r>
          </w:p>
          <w:p w:rsidR="00A34B37" w:rsidRPr="00BC76A2" w:rsidRDefault="00A34B37" w:rsidP="00A34B37">
            <w:pPr>
              <w:rPr>
                <w:sz w:val="18"/>
                <w:szCs w:val="18"/>
                <w:lang w:val="de-DE"/>
              </w:rPr>
            </w:pPr>
          </w:p>
          <w:p w:rsidR="00A34B37" w:rsidRPr="00BC76A2" w:rsidRDefault="008D2477" w:rsidP="00A34B37">
            <w:pPr>
              <w:rPr>
                <w:sz w:val="18"/>
                <w:szCs w:val="18"/>
                <w:lang w:val="de-DE"/>
              </w:rPr>
            </w:pPr>
            <w:r w:rsidRPr="00BC76A2">
              <w:rPr>
                <w:sz w:val="18"/>
                <w:szCs w:val="18"/>
                <w:lang w:val="de-DE"/>
              </w:rPr>
              <w:t xml:space="preserve">Ein weiteres Problem ist, </w:t>
            </w:r>
            <w:r w:rsidR="00A0388E" w:rsidRPr="00BC76A2">
              <w:rPr>
                <w:sz w:val="18"/>
                <w:szCs w:val="18"/>
                <w:lang w:val="de-DE"/>
              </w:rPr>
              <w:t>daß</w:t>
            </w:r>
            <w:r w:rsidRPr="00BC76A2">
              <w:rPr>
                <w:sz w:val="18"/>
                <w:szCs w:val="18"/>
                <w:lang w:val="de-DE"/>
              </w:rPr>
              <w:t xml:space="preserve"> </w:t>
            </w:r>
            <w:r w:rsidR="00B26C27" w:rsidRPr="00BC76A2">
              <w:rPr>
                <w:sz w:val="18"/>
                <w:szCs w:val="18"/>
                <w:lang w:val="de-DE"/>
              </w:rPr>
              <w:t xml:space="preserve">in mehreren Ländern </w:t>
            </w:r>
            <w:r w:rsidRPr="00BC76A2">
              <w:rPr>
                <w:sz w:val="18"/>
                <w:szCs w:val="18"/>
                <w:lang w:val="de-DE"/>
              </w:rPr>
              <w:t xml:space="preserve">der Antragsteller Saatgut der </w:t>
            </w:r>
            <w:r w:rsidR="004E5810" w:rsidRPr="00BC76A2">
              <w:rPr>
                <w:sz w:val="18"/>
                <w:szCs w:val="18"/>
                <w:lang w:val="de-DE"/>
              </w:rPr>
              <w:t>ähnlichsten</w:t>
            </w:r>
            <w:r w:rsidRPr="00BC76A2">
              <w:rPr>
                <w:sz w:val="18"/>
                <w:szCs w:val="18"/>
                <w:lang w:val="de-DE"/>
              </w:rPr>
              <w:t xml:space="preserve"> Vergleichssorten einreichen mu</w:t>
            </w:r>
            <w:r w:rsidR="00753412" w:rsidRPr="00BC76A2">
              <w:rPr>
                <w:sz w:val="18"/>
                <w:szCs w:val="18"/>
                <w:lang w:val="de-DE"/>
              </w:rPr>
              <w:t>ß</w:t>
            </w:r>
            <w:r w:rsidRPr="00BC76A2">
              <w:rPr>
                <w:sz w:val="18"/>
                <w:szCs w:val="18"/>
                <w:lang w:val="de-DE"/>
              </w:rPr>
              <w:t>, selbst wenn diese von einer Sorte eines Konkurrenten stammen.</w:t>
            </w:r>
          </w:p>
          <w:p w:rsidR="00A34B37" w:rsidRPr="00BC76A2" w:rsidRDefault="00A34B37" w:rsidP="00A34B37">
            <w:pPr>
              <w:rPr>
                <w:sz w:val="18"/>
                <w:szCs w:val="18"/>
                <w:lang w:val="de-DE"/>
              </w:rPr>
            </w:pPr>
          </w:p>
          <w:p w:rsidR="00A34B37" w:rsidRPr="00BC76A2" w:rsidRDefault="004E5810" w:rsidP="00A34B37">
            <w:pPr>
              <w:rPr>
                <w:sz w:val="18"/>
                <w:szCs w:val="18"/>
                <w:lang w:val="de-DE"/>
              </w:rPr>
            </w:pPr>
            <w:r w:rsidRPr="00BC76A2">
              <w:rPr>
                <w:sz w:val="18"/>
                <w:szCs w:val="18"/>
                <w:lang w:val="de-DE"/>
              </w:rPr>
              <w:t xml:space="preserve">Glücklicherweise werden die obigen Probleme in mehreren Ländern von den </w:t>
            </w:r>
            <w:r w:rsidR="004211E6" w:rsidRPr="00BC76A2">
              <w:rPr>
                <w:sz w:val="18"/>
                <w:szCs w:val="18"/>
                <w:lang w:val="de-DE"/>
              </w:rPr>
              <w:t>Züchterrechts</w:t>
            </w:r>
            <w:r w:rsidRPr="00BC76A2">
              <w:rPr>
                <w:sz w:val="18"/>
                <w:szCs w:val="18"/>
                <w:lang w:val="de-DE"/>
              </w:rPr>
              <w:t xml:space="preserve">ämtern erkannt, und diese </w:t>
            </w:r>
            <w:r w:rsidR="004211E6" w:rsidRPr="00BC76A2">
              <w:rPr>
                <w:sz w:val="18"/>
                <w:szCs w:val="18"/>
                <w:lang w:val="de-DE"/>
              </w:rPr>
              <w:t>a</w:t>
            </w:r>
            <w:r w:rsidRPr="00BC76A2">
              <w:rPr>
                <w:sz w:val="18"/>
                <w:szCs w:val="18"/>
                <w:lang w:val="de-DE"/>
              </w:rPr>
              <w:t>rbeit</w:t>
            </w:r>
            <w:r w:rsidR="004211E6" w:rsidRPr="00BC76A2">
              <w:rPr>
                <w:sz w:val="18"/>
                <w:szCs w:val="18"/>
                <w:lang w:val="de-DE"/>
              </w:rPr>
              <w:t>en</w:t>
            </w:r>
            <w:r w:rsidRPr="00BC76A2">
              <w:rPr>
                <w:sz w:val="18"/>
                <w:szCs w:val="18"/>
                <w:lang w:val="de-DE"/>
              </w:rPr>
              <w:t xml:space="preserve"> mit </w:t>
            </w:r>
            <w:r w:rsidR="009D434D" w:rsidRPr="00BC76A2">
              <w:rPr>
                <w:sz w:val="18"/>
                <w:szCs w:val="18"/>
                <w:lang w:val="de-DE"/>
              </w:rPr>
              <w:t>dem</w:t>
            </w:r>
            <w:r w:rsidRPr="00BC76A2">
              <w:rPr>
                <w:sz w:val="18"/>
                <w:szCs w:val="18"/>
                <w:lang w:val="de-DE"/>
              </w:rPr>
              <w:t xml:space="preserve"> Saatgutsektor zusammen, um diese Probleme zu überwinden.</w:t>
            </w:r>
          </w:p>
          <w:p w:rsidR="00A34B37" w:rsidRPr="00BC76A2" w:rsidRDefault="00A34B37" w:rsidP="00A34B37">
            <w:pPr>
              <w:rPr>
                <w:sz w:val="18"/>
                <w:szCs w:val="18"/>
                <w:lang w:val="de-DE"/>
              </w:rPr>
            </w:pPr>
          </w:p>
          <w:p w:rsidR="005C3E02" w:rsidRPr="00BC76A2" w:rsidRDefault="00B26C27" w:rsidP="005379E7">
            <w:pPr>
              <w:rPr>
                <w:sz w:val="18"/>
                <w:szCs w:val="18"/>
                <w:lang w:val="de-DE"/>
              </w:rPr>
            </w:pPr>
            <w:r w:rsidRPr="00BC76A2">
              <w:rPr>
                <w:sz w:val="18"/>
                <w:szCs w:val="18"/>
                <w:lang w:val="de-DE"/>
              </w:rPr>
              <w:t>Generell</w:t>
            </w:r>
            <w:r w:rsidR="004E5810" w:rsidRPr="00BC76A2">
              <w:rPr>
                <w:sz w:val="18"/>
                <w:szCs w:val="18"/>
                <w:lang w:val="de-DE"/>
              </w:rPr>
              <w:t xml:space="preserve"> möchte ISF, </w:t>
            </w:r>
            <w:r w:rsidR="00A0388E" w:rsidRPr="00BC76A2">
              <w:rPr>
                <w:sz w:val="18"/>
                <w:szCs w:val="18"/>
                <w:lang w:val="de-DE"/>
              </w:rPr>
              <w:t>daß</w:t>
            </w:r>
            <w:r w:rsidR="004E5810" w:rsidRPr="00BC76A2">
              <w:rPr>
                <w:sz w:val="18"/>
                <w:szCs w:val="18"/>
                <w:lang w:val="de-DE"/>
              </w:rPr>
              <w:t xml:space="preserve"> die Qualität der Prüfungen erhöht wird, und möchte diesbezüglich der UPOV vorschlagen, ein Qualitätssicherungsprogramm für </w:t>
            </w:r>
            <w:r w:rsidR="004211E6" w:rsidRPr="00BC76A2">
              <w:rPr>
                <w:sz w:val="18"/>
                <w:szCs w:val="18"/>
                <w:lang w:val="de-DE"/>
              </w:rPr>
              <w:t>Züchterrechts</w:t>
            </w:r>
            <w:r w:rsidR="004E5810" w:rsidRPr="00BC76A2">
              <w:rPr>
                <w:sz w:val="18"/>
                <w:szCs w:val="18"/>
                <w:lang w:val="de-DE"/>
              </w:rPr>
              <w:t>ämter mit einem Auditsystem in Anlehnung an diejenigen, die ISTA anwendet</w:t>
            </w:r>
            <w:r w:rsidR="004211E6" w:rsidRPr="00BC76A2">
              <w:rPr>
                <w:sz w:val="18"/>
                <w:szCs w:val="18"/>
                <w:lang w:val="de-DE"/>
              </w:rPr>
              <w:t>, in Betracht zu ziehen</w:t>
            </w:r>
            <w:r w:rsidR="004E5810" w:rsidRPr="00BC76A2">
              <w:rPr>
                <w:sz w:val="18"/>
                <w:szCs w:val="18"/>
                <w:lang w:val="de-DE"/>
              </w:rPr>
              <w:t xml:space="preserve">. </w:t>
            </w:r>
            <w:r w:rsidR="008D2477" w:rsidRPr="00BC76A2">
              <w:rPr>
                <w:sz w:val="18"/>
                <w:szCs w:val="18"/>
                <w:lang w:val="de-DE"/>
              </w:rPr>
              <w:t xml:space="preserve">ISF wäre erfreut, die etwaigen Vorteile dieses </w:t>
            </w:r>
            <w:r w:rsidR="004E5810" w:rsidRPr="00BC76A2">
              <w:rPr>
                <w:sz w:val="18"/>
                <w:szCs w:val="18"/>
                <w:lang w:val="de-DE"/>
              </w:rPr>
              <w:t>Vorschlags</w:t>
            </w:r>
            <w:r w:rsidR="008D2477" w:rsidRPr="00BC76A2">
              <w:rPr>
                <w:sz w:val="18"/>
                <w:szCs w:val="18"/>
                <w:lang w:val="de-DE"/>
              </w:rPr>
              <w:t xml:space="preserve"> weiter zu erörtern. </w:t>
            </w:r>
            <w:r w:rsidR="0083744A" w:rsidRPr="00BC76A2">
              <w:rPr>
                <w:sz w:val="18"/>
                <w:szCs w:val="18"/>
                <w:lang w:val="de-DE"/>
              </w:rPr>
              <w:t xml:space="preserve">Die UPOV könnte andernfalls </w:t>
            </w:r>
            <w:r w:rsidR="00A34B37" w:rsidRPr="00BC76A2">
              <w:rPr>
                <w:sz w:val="18"/>
                <w:szCs w:val="18"/>
                <w:lang w:val="de-DE"/>
              </w:rPr>
              <w:t xml:space="preserve"> </w:t>
            </w:r>
            <w:r w:rsidR="0083744A" w:rsidRPr="00BC76A2">
              <w:rPr>
                <w:sz w:val="18"/>
                <w:szCs w:val="18"/>
                <w:lang w:val="de-DE"/>
              </w:rPr>
              <w:t xml:space="preserve">die </w:t>
            </w:r>
            <w:r w:rsidR="004E5810" w:rsidRPr="00BC76A2">
              <w:rPr>
                <w:sz w:val="18"/>
                <w:szCs w:val="18"/>
                <w:lang w:val="de-DE"/>
              </w:rPr>
              <w:t>Bereitstellung</w:t>
            </w:r>
            <w:r w:rsidR="0083744A" w:rsidRPr="00BC76A2">
              <w:rPr>
                <w:sz w:val="18"/>
                <w:szCs w:val="18"/>
                <w:lang w:val="de-DE"/>
              </w:rPr>
              <w:t xml:space="preserve"> von Richtlinien für die </w:t>
            </w:r>
            <w:r w:rsidR="004211E6" w:rsidRPr="00BC76A2">
              <w:rPr>
                <w:sz w:val="18"/>
                <w:szCs w:val="18"/>
                <w:lang w:val="de-DE"/>
              </w:rPr>
              <w:t>Züchterrechts</w:t>
            </w:r>
            <w:r w:rsidR="0083744A" w:rsidRPr="00BC76A2">
              <w:rPr>
                <w:sz w:val="18"/>
                <w:szCs w:val="18"/>
                <w:lang w:val="de-DE"/>
              </w:rPr>
              <w:t>-</w:t>
            </w:r>
            <w:r w:rsidR="004E5810" w:rsidRPr="00BC76A2">
              <w:rPr>
                <w:sz w:val="18"/>
                <w:szCs w:val="18"/>
                <w:lang w:val="de-DE"/>
              </w:rPr>
              <w:t>Prüfungsämter</w:t>
            </w:r>
            <w:r w:rsidR="0083744A" w:rsidRPr="00BC76A2">
              <w:rPr>
                <w:sz w:val="18"/>
                <w:szCs w:val="18"/>
                <w:lang w:val="de-DE"/>
              </w:rPr>
              <w:t xml:space="preserve"> über die beste </w:t>
            </w:r>
            <w:r w:rsidR="004E5810" w:rsidRPr="00BC76A2">
              <w:rPr>
                <w:sz w:val="18"/>
                <w:szCs w:val="18"/>
                <w:lang w:val="de-DE"/>
              </w:rPr>
              <w:t>Praxis</w:t>
            </w:r>
            <w:r w:rsidR="0083744A" w:rsidRPr="00BC76A2">
              <w:rPr>
                <w:sz w:val="18"/>
                <w:szCs w:val="18"/>
                <w:lang w:val="de-DE"/>
              </w:rPr>
              <w:t xml:space="preserve"> für die </w:t>
            </w:r>
            <w:r w:rsidR="004E5810" w:rsidRPr="00BC76A2">
              <w:rPr>
                <w:sz w:val="18"/>
                <w:szCs w:val="18"/>
                <w:lang w:val="de-DE"/>
              </w:rPr>
              <w:t>Durchführung</w:t>
            </w:r>
            <w:r w:rsidR="0083744A" w:rsidRPr="00BC76A2">
              <w:rPr>
                <w:sz w:val="18"/>
                <w:szCs w:val="18"/>
                <w:lang w:val="de-DE"/>
              </w:rPr>
              <w:t xml:space="preserve"> der Prüfungen erwägen. Die UPOV-</w:t>
            </w:r>
            <w:r w:rsidR="004E5810" w:rsidRPr="00BC76A2">
              <w:rPr>
                <w:sz w:val="18"/>
                <w:szCs w:val="18"/>
                <w:lang w:val="de-DE"/>
              </w:rPr>
              <w:t>Fernlehrgänge</w:t>
            </w:r>
            <w:r w:rsidR="0083744A" w:rsidRPr="00BC76A2">
              <w:rPr>
                <w:sz w:val="18"/>
                <w:szCs w:val="18"/>
                <w:lang w:val="de-DE"/>
              </w:rPr>
              <w:t xml:space="preserve"> über die DUS-</w:t>
            </w:r>
            <w:r w:rsidR="004E5810" w:rsidRPr="00BC76A2">
              <w:rPr>
                <w:sz w:val="18"/>
                <w:szCs w:val="18"/>
                <w:lang w:val="de-DE"/>
              </w:rPr>
              <w:t>Prüfung</w:t>
            </w:r>
            <w:r w:rsidR="0083744A" w:rsidRPr="00BC76A2">
              <w:rPr>
                <w:sz w:val="18"/>
                <w:szCs w:val="18"/>
                <w:lang w:val="de-DE"/>
              </w:rPr>
              <w:t xml:space="preserve"> und Kalibrierungs</w:t>
            </w:r>
            <w:r w:rsidR="004211E6" w:rsidRPr="00BC76A2">
              <w:rPr>
                <w:sz w:val="18"/>
                <w:szCs w:val="18"/>
                <w:lang w:val="de-DE"/>
              </w:rPr>
              <w:t>hand</w:t>
            </w:r>
            <w:r w:rsidR="0083744A" w:rsidRPr="00BC76A2">
              <w:rPr>
                <w:sz w:val="18"/>
                <w:szCs w:val="18"/>
                <w:lang w:val="de-DE"/>
              </w:rPr>
              <w:t xml:space="preserve">bücher </w:t>
            </w:r>
            <w:r w:rsidR="004211E6" w:rsidRPr="00BC76A2">
              <w:rPr>
                <w:sz w:val="18"/>
                <w:szCs w:val="18"/>
                <w:lang w:val="de-DE"/>
              </w:rPr>
              <w:t>s</w:t>
            </w:r>
            <w:r w:rsidR="0083744A" w:rsidRPr="00BC76A2">
              <w:rPr>
                <w:sz w:val="18"/>
                <w:szCs w:val="18"/>
                <w:lang w:val="de-DE"/>
              </w:rPr>
              <w:t xml:space="preserve">ind bereits ausgezeichnete Beispiele für gute Fortschritte in </w:t>
            </w:r>
            <w:r w:rsidR="004E5810" w:rsidRPr="00BC76A2">
              <w:rPr>
                <w:sz w:val="18"/>
                <w:szCs w:val="18"/>
                <w:lang w:val="de-DE"/>
              </w:rPr>
              <w:t>diesem</w:t>
            </w:r>
            <w:r w:rsidR="0083744A" w:rsidRPr="00BC76A2">
              <w:rPr>
                <w:sz w:val="18"/>
                <w:szCs w:val="18"/>
                <w:lang w:val="de-DE"/>
              </w:rPr>
              <w:t xml:space="preserve"> Bereich. </w:t>
            </w:r>
            <w:r w:rsidR="004E5810" w:rsidRPr="00BC76A2">
              <w:rPr>
                <w:sz w:val="18"/>
                <w:szCs w:val="18"/>
                <w:lang w:val="de-DE"/>
              </w:rPr>
              <w:t>Der Saatgutsektor ist sehr stark daran interessiert, Sortenbeschreibungen von guter Qualität und somit ein hochqualitatives Züchterzertifikat zu haben.“</w:t>
            </w:r>
          </w:p>
          <w:p w:rsidR="005379E7" w:rsidRPr="00BC76A2" w:rsidRDefault="005379E7" w:rsidP="005379E7">
            <w:pPr>
              <w:rPr>
                <w:sz w:val="18"/>
                <w:szCs w:val="18"/>
                <w:lang w:val="de-DE"/>
              </w:rPr>
            </w:pPr>
          </w:p>
        </w:tc>
      </w:tr>
      <w:tr w:rsidR="005C3E02" w:rsidRPr="00E7627F" w:rsidTr="00D51088">
        <w:trPr>
          <w:cantSplit/>
        </w:trPr>
        <w:tc>
          <w:tcPr>
            <w:tcW w:w="8646" w:type="dxa"/>
          </w:tcPr>
          <w:p w:rsidR="005C3E02" w:rsidRPr="00BC76A2" w:rsidRDefault="00DC766F" w:rsidP="005C3E02">
            <w:pPr>
              <w:rPr>
                <w:i/>
                <w:lang w:val="de-DE"/>
              </w:rPr>
            </w:pPr>
            <w:r w:rsidRPr="00BC76A2">
              <w:rPr>
                <w:i/>
                <w:lang w:val="de-DE"/>
              </w:rPr>
              <w:t>Einschlägiges UPOV-Material</w:t>
            </w:r>
            <w:r w:rsidR="005C3E02" w:rsidRPr="00BC76A2">
              <w:rPr>
                <w:i/>
                <w:lang w:val="de-DE"/>
              </w:rPr>
              <w:t>:</w:t>
            </w:r>
          </w:p>
          <w:p w:rsidR="005379E7" w:rsidRPr="00BC76A2" w:rsidRDefault="005379E7" w:rsidP="005C3E02">
            <w:pPr>
              <w:rPr>
                <w:i/>
                <w:lang w:val="de-DE"/>
              </w:rPr>
            </w:pPr>
          </w:p>
          <w:p w:rsidR="005C3E02" w:rsidRPr="00BC76A2" w:rsidRDefault="005C3E02" w:rsidP="005C3E02">
            <w:pPr>
              <w:pStyle w:val="ListParagraph"/>
              <w:numPr>
                <w:ilvl w:val="0"/>
                <w:numId w:val="5"/>
              </w:numPr>
              <w:tabs>
                <w:tab w:val="left" w:pos="290"/>
                <w:tab w:val="left" w:pos="574"/>
              </w:tabs>
              <w:ind w:left="574" w:hanging="284"/>
              <w:rPr>
                <w:i/>
                <w:snapToGrid w:val="0"/>
                <w:lang w:val="de-DE"/>
              </w:rPr>
            </w:pPr>
            <w:r w:rsidRPr="00BC76A2">
              <w:rPr>
                <w:i/>
                <w:snapToGrid w:val="0"/>
                <w:lang w:val="de-DE"/>
              </w:rPr>
              <w:t xml:space="preserve">TG/1/3 </w:t>
            </w:r>
            <w:r w:rsidR="002776C6" w:rsidRPr="00BC76A2">
              <w:rPr>
                <w:i/>
                <w:snapToGrid w:val="0"/>
                <w:lang w:val="de-DE"/>
              </w:rPr>
              <w:t xml:space="preserve">„Allgemeine </w:t>
            </w:r>
            <w:r w:rsidR="007206B2" w:rsidRPr="00BC76A2">
              <w:rPr>
                <w:i/>
                <w:snapToGrid w:val="0"/>
                <w:lang w:val="de-DE"/>
              </w:rPr>
              <w:t>Einführung</w:t>
            </w:r>
            <w:r w:rsidR="002776C6" w:rsidRPr="00BC76A2">
              <w:rPr>
                <w:i/>
                <w:snapToGrid w:val="0"/>
                <w:lang w:val="de-DE"/>
              </w:rPr>
              <w:t xml:space="preserve"> zur Prüfung auf </w:t>
            </w:r>
            <w:r w:rsidR="007206B2" w:rsidRPr="00BC76A2">
              <w:rPr>
                <w:i/>
                <w:snapToGrid w:val="0"/>
                <w:lang w:val="de-DE"/>
              </w:rPr>
              <w:t>Unterscheidbarkeit</w:t>
            </w:r>
            <w:r w:rsidR="002776C6" w:rsidRPr="00BC76A2">
              <w:rPr>
                <w:i/>
                <w:snapToGrid w:val="0"/>
                <w:lang w:val="de-DE"/>
              </w:rPr>
              <w:t xml:space="preserve">, Homogenität und </w:t>
            </w:r>
            <w:r w:rsidR="007206B2" w:rsidRPr="00BC76A2">
              <w:rPr>
                <w:i/>
                <w:snapToGrid w:val="0"/>
                <w:lang w:val="de-DE"/>
              </w:rPr>
              <w:t>Beständigkeit</w:t>
            </w:r>
            <w:r w:rsidR="002776C6" w:rsidRPr="00BC76A2">
              <w:rPr>
                <w:i/>
                <w:snapToGrid w:val="0"/>
                <w:lang w:val="de-DE"/>
              </w:rPr>
              <w:t xml:space="preserve"> und Erarbeitung harmonisierter Sortenbeschreibungen neuer </w:t>
            </w:r>
            <w:r w:rsidR="007206B2" w:rsidRPr="00BC76A2">
              <w:rPr>
                <w:i/>
                <w:snapToGrid w:val="0"/>
                <w:lang w:val="de-DE"/>
              </w:rPr>
              <w:t>Pflanzensorten</w:t>
            </w:r>
            <w:r w:rsidR="002776C6" w:rsidRPr="00BC76A2">
              <w:rPr>
                <w:i/>
                <w:snapToGrid w:val="0"/>
                <w:lang w:val="de-DE"/>
              </w:rPr>
              <w:t>“</w:t>
            </w:r>
            <w:r w:rsidR="00B26C27" w:rsidRPr="00BC76A2">
              <w:rPr>
                <w:i/>
                <w:snapToGrid w:val="0"/>
                <w:lang w:val="de-DE"/>
              </w:rPr>
              <w:t>,</w:t>
            </w:r>
            <w:r w:rsidR="002776C6" w:rsidRPr="00BC76A2">
              <w:rPr>
                <w:i/>
                <w:snapToGrid w:val="0"/>
                <w:lang w:val="de-DE"/>
              </w:rPr>
              <w:t xml:space="preserve"> und TGP-</w:t>
            </w:r>
            <w:r w:rsidR="007206B2" w:rsidRPr="00BC76A2">
              <w:rPr>
                <w:i/>
                <w:snapToGrid w:val="0"/>
                <w:lang w:val="de-DE"/>
              </w:rPr>
              <w:t>Dokumente</w:t>
            </w:r>
          </w:p>
          <w:p w:rsidR="005C3E02" w:rsidRPr="00BC76A2" w:rsidRDefault="002776C6" w:rsidP="00D61804">
            <w:pPr>
              <w:pStyle w:val="ListParagraph"/>
              <w:numPr>
                <w:ilvl w:val="0"/>
                <w:numId w:val="5"/>
              </w:numPr>
              <w:tabs>
                <w:tab w:val="left" w:pos="290"/>
                <w:tab w:val="left" w:pos="574"/>
              </w:tabs>
              <w:ind w:left="574" w:hanging="284"/>
              <w:rPr>
                <w:i/>
                <w:snapToGrid w:val="0"/>
                <w:lang w:val="de-DE"/>
              </w:rPr>
            </w:pPr>
            <w:r w:rsidRPr="00BC76A2">
              <w:rPr>
                <w:i/>
                <w:snapToGrid w:val="0"/>
                <w:lang w:val="de-DE"/>
              </w:rPr>
              <w:t>Künftiges In</w:t>
            </w:r>
            <w:r w:rsidR="005C3E02" w:rsidRPr="00BC76A2">
              <w:rPr>
                <w:i/>
                <w:snapToGrid w:val="0"/>
                <w:lang w:val="de-DE"/>
              </w:rPr>
              <w:t>formation</w:t>
            </w:r>
            <w:r w:rsidRPr="00BC76A2">
              <w:rPr>
                <w:i/>
                <w:snapToGrid w:val="0"/>
                <w:lang w:val="de-DE"/>
              </w:rPr>
              <w:t>s</w:t>
            </w:r>
            <w:r w:rsidR="005C3E02" w:rsidRPr="00BC76A2">
              <w:rPr>
                <w:i/>
                <w:snapToGrid w:val="0"/>
                <w:lang w:val="de-DE"/>
              </w:rPr>
              <w:t xml:space="preserve">material: </w:t>
            </w:r>
            <w:r w:rsidRPr="00BC76A2">
              <w:rPr>
                <w:i/>
                <w:snapToGrid w:val="0"/>
                <w:lang w:val="de-DE"/>
              </w:rPr>
              <w:t>Fernlehrgang</w:t>
            </w:r>
            <w:r w:rsidR="005C3E02" w:rsidRPr="00BC76A2">
              <w:rPr>
                <w:i/>
                <w:snapToGrid w:val="0"/>
                <w:lang w:val="de-DE"/>
              </w:rPr>
              <w:t xml:space="preserve"> DL</w:t>
            </w:r>
            <w:r w:rsidR="00D51088" w:rsidRPr="00BC76A2">
              <w:rPr>
                <w:i/>
                <w:snapToGrid w:val="0"/>
                <w:lang w:val="de-DE"/>
              </w:rPr>
              <w:t>-</w:t>
            </w:r>
            <w:r w:rsidR="005C3E02" w:rsidRPr="00BC76A2">
              <w:rPr>
                <w:i/>
                <w:snapToGrid w:val="0"/>
                <w:lang w:val="de-DE"/>
              </w:rPr>
              <w:t>305</w:t>
            </w:r>
          </w:p>
          <w:p w:rsidR="005379E7" w:rsidRPr="00BC76A2" w:rsidRDefault="005379E7" w:rsidP="005379E7">
            <w:pPr>
              <w:rPr>
                <w:lang w:val="de-DE"/>
              </w:rPr>
            </w:pPr>
          </w:p>
          <w:p w:rsidR="005379E7" w:rsidRPr="00BC76A2" w:rsidRDefault="002776C6" w:rsidP="0037356D">
            <w:pPr>
              <w:rPr>
                <w:lang w:val="de-DE"/>
              </w:rPr>
            </w:pPr>
            <w:r w:rsidRPr="00BC76A2">
              <w:rPr>
                <w:i/>
                <w:lang w:val="de-DE"/>
              </w:rPr>
              <w:t>Der Beratende Ausschu</w:t>
            </w:r>
            <w:r w:rsidR="00753412" w:rsidRPr="00BC76A2">
              <w:rPr>
                <w:i/>
                <w:lang w:val="de-DE"/>
              </w:rPr>
              <w:t>ß</w:t>
            </w:r>
            <w:r w:rsidRPr="00BC76A2">
              <w:rPr>
                <w:i/>
                <w:lang w:val="de-DE"/>
              </w:rPr>
              <w:t xml:space="preserve"> wird alle Angelegenheiten </w:t>
            </w:r>
            <w:r w:rsidR="007206B2" w:rsidRPr="00BC76A2">
              <w:rPr>
                <w:i/>
                <w:lang w:val="de-DE"/>
              </w:rPr>
              <w:t>betreffend</w:t>
            </w:r>
            <w:r w:rsidRPr="00BC76A2">
              <w:rPr>
                <w:i/>
                <w:lang w:val="de-DE"/>
              </w:rPr>
              <w:t xml:space="preserve"> ein UPOV</w:t>
            </w:r>
            <w:r w:rsidR="00190672" w:rsidRPr="00BC76A2">
              <w:rPr>
                <w:i/>
                <w:lang w:val="de-DE"/>
              </w:rPr>
              <w:noBreakHyphen/>
            </w:r>
            <w:r w:rsidR="007206B2" w:rsidRPr="00BC76A2">
              <w:rPr>
                <w:i/>
                <w:lang w:val="de-DE"/>
              </w:rPr>
              <w:t>Qualitätssicherungsprogramm</w:t>
            </w:r>
            <w:r w:rsidRPr="00BC76A2">
              <w:rPr>
                <w:i/>
                <w:lang w:val="de-DE"/>
              </w:rPr>
              <w:t xml:space="preserve"> prüfen (vergleiche </w:t>
            </w:r>
            <w:r w:rsidR="003C2AFD" w:rsidRPr="00BC76A2">
              <w:rPr>
                <w:i/>
                <w:lang w:val="de-DE"/>
              </w:rPr>
              <w:t>Absatz</w:t>
            </w:r>
            <w:r w:rsidR="005379E7" w:rsidRPr="00BC76A2">
              <w:rPr>
                <w:i/>
                <w:lang w:val="de-DE"/>
              </w:rPr>
              <w:t xml:space="preserve"> 4</w:t>
            </w:r>
            <w:r w:rsidR="0037356D">
              <w:rPr>
                <w:i/>
                <w:lang w:val="de-DE"/>
              </w:rPr>
              <w:t>6</w:t>
            </w:r>
            <w:r w:rsidR="005379E7" w:rsidRPr="00BC76A2">
              <w:rPr>
                <w:i/>
                <w:lang w:val="de-DE"/>
              </w:rPr>
              <w:t xml:space="preserve"> </w:t>
            </w:r>
            <w:r w:rsidRPr="00BC76A2">
              <w:rPr>
                <w:i/>
                <w:lang w:val="de-DE"/>
              </w:rPr>
              <w:t>unten</w:t>
            </w:r>
            <w:r w:rsidR="005379E7" w:rsidRPr="00BC76A2">
              <w:rPr>
                <w:i/>
                <w:lang w:val="de-DE"/>
              </w:rPr>
              <w:t>).</w:t>
            </w:r>
          </w:p>
        </w:tc>
      </w:tr>
    </w:tbl>
    <w:p w:rsidR="005379E7" w:rsidRPr="00BC76A2" w:rsidRDefault="005379E7">
      <w:pPr>
        <w:rPr>
          <w:lang w:val="de-DE"/>
        </w:rPr>
      </w:pPr>
    </w:p>
    <w:p w:rsidR="005379E7" w:rsidRPr="00BC76A2" w:rsidRDefault="005379E7" w:rsidP="00574BB5">
      <w:pPr>
        <w:pStyle w:val="Heading3"/>
        <w:rPr>
          <w:lang w:val="de-DE"/>
        </w:rPr>
      </w:pPr>
      <w:bookmarkStart w:id="162" w:name="_Toc379530101"/>
      <w:bookmarkStart w:id="163" w:name="_Toc380391648"/>
      <w:bookmarkStart w:id="164" w:name="_Toc380419888"/>
      <w:bookmarkStart w:id="165" w:name="_Toc380483688"/>
      <w:r w:rsidRPr="00BC76A2">
        <w:rPr>
          <w:lang w:val="de-DE"/>
        </w:rPr>
        <w:t>d)</w:t>
      </w:r>
      <w:r w:rsidRPr="00BC76A2">
        <w:rPr>
          <w:lang w:val="de-DE"/>
        </w:rPr>
        <w:tab/>
      </w:r>
      <w:r w:rsidR="002776C6" w:rsidRPr="00BC76A2">
        <w:rPr>
          <w:lang w:val="de-DE"/>
        </w:rPr>
        <w:t>Dauer der Prüfung</w:t>
      </w:r>
      <w:bookmarkEnd w:id="162"/>
      <w:bookmarkEnd w:id="163"/>
      <w:bookmarkEnd w:id="164"/>
      <w:bookmarkEnd w:id="165"/>
    </w:p>
    <w:p w:rsidR="005379E7" w:rsidRPr="00BC76A2" w:rsidRDefault="005379E7" w:rsidP="00727189">
      <w:pPr>
        <w:keepNext/>
        <w:rPr>
          <w:lang w:val="de-DE"/>
        </w:rPr>
      </w:pPr>
    </w:p>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6"/>
      </w:tblGrid>
      <w:tr w:rsidR="005C3E02" w:rsidRPr="00D9403C" w:rsidTr="00574BB5">
        <w:trPr>
          <w:cantSplit/>
        </w:trPr>
        <w:tc>
          <w:tcPr>
            <w:tcW w:w="8646" w:type="dxa"/>
          </w:tcPr>
          <w:p w:rsidR="00727189" w:rsidRPr="00BC76A2" w:rsidRDefault="00727189" w:rsidP="00727189">
            <w:pPr>
              <w:rPr>
                <w:sz w:val="18"/>
                <w:szCs w:val="18"/>
                <w:lang w:val="de-DE"/>
              </w:rPr>
            </w:pPr>
            <w:r w:rsidRPr="00BC76A2">
              <w:rPr>
                <w:sz w:val="18"/>
                <w:szCs w:val="18"/>
                <w:lang w:val="de-DE"/>
              </w:rPr>
              <w:t>[</w:t>
            </w:r>
            <w:r w:rsidR="008D2477" w:rsidRPr="00BC76A2">
              <w:rPr>
                <w:sz w:val="18"/>
                <w:szCs w:val="18"/>
                <w:lang w:val="de-DE"/>
              </w:rPr>
              <w:t>Auszug aus dem Schreiben de</w:t>
            </w:r>
            <w:r w:rsidR="004211E6" w:rsidRPr="00BC76A2">
              <w:rPr>
                <w:sz w:val="18"/>
                <w:szCs w:val="18"/>
                <w:lang w:val="de-DE"/>
              </w:rPr>
              <w:t>r</w:t>
            </w:r>
            <w:r w:rsidR="008D2477" w:rsidRPr="00BC76A2">
              <w:rPr>
                <w:sz w:val="18"/>
                <w:szCs w:val="18"/>
                <w:lang w:val="de-DE"/>
              </w:rPr>
              <w:t xml:space="preserve"> ISF</w:t>
            </w:r>
            <w:r w:rsidRPr="00BC76A2">
              <w:rPr>
                <w:sz w:val="18"/>
                <w:szCs w:val="18"/>
                <w:lang w:val="de-DE"/>
              </w:rPr>
              <w:t>]</w:t>
            </w:r>
          </w:p>
          <w:p w:rsidR="005C3E02" w:rsidRPr="00BC76A2" w:rsidRDefault="008C3F35" w:rsidP="00727189">
            <w:pPr>
              <w:rPr>
                <w:sz w:val="18"/>
                <w:szCs w:val="18"/>
                <w:lang w:val="de-DE"/>
              </w:rPr>
            </w:pPr>
            <w:r w:rsidRPr="00BC76A2">
              <w:rPr>
                <w:sz w:val="18"/>
                <w:szCs w:val="18"/>
                <w:lang w:val="de-DE"/>
              </w:rPr>
              <w:t>„</w:t>
            </w:r>
            <w:r w:rsidRPr="00BC76A2">
              <w:rPr>
                <w:sz w:val="18"/>
                <w:szCs w:val="18"/>
                <w:u w:val="single"/>
                <w:lang w:val="de-DE"/>
              </w:rPr>
              <w:t>Dauer der Prüfung</w:t>
            </w:r>
            <w:r w:rsidR="00D51088" w:rsidRPr="00BC76A2">
              <w:rPr>
                <w:sz w:val="18"/>
                <w:szCs w:val="18"/>
                <w:lang w:val="de-DE"/>
              </w:rPr>
              <w:t xml:space="preserve">: </w:t>
            </w:r>
            <w:r w:rsidRPr="00BC76A2">
              <w:rPr>
                <w:sz w:val="18"/>
                <w:szCs w:val="18"/>
                <w:lang w:val="de-DE"/>
              </w:rPr>
              <w:t xml:space="preserve">Die </w:t>
            </w:r>
            <w:r w:rsidR="004E5810" w:rsidRPr="00BC76A2">
              <w:rPr>
                <w:sz w:val="18"/>
                <w:szCs w:val="18"/>
                <w:lang w:val="de-DE"/>
              </w:rPr>
              <w:t>Unterschiede</w:t>
            </w:r>
            <w:r w:rsidRPr="00BC76A2">
              <w:rPr>
                <w:sz w:val="18"/>
                <w:szCs w:val="18"/>
                <w:lang w:val="de-DE"/>
              </w:rPr>
              <w:t xml:space="preserve"> </w:t>
            </w:r>
            <w:r w:rsidR="004E5810" w:rsidRPr="00BC76A2">
              <w:rPr>
                <w:sz w:val="18"/>
                <w:szCs w:val="18"/>
                <w:lang w:val="de-DE"/>
              </w:rPr>
              <w:t>bei</w:t>
            </w:r>
            <w:r w:rsidRPr="00BC76A2">
              <w:rPr>
                <w:sz w:val="18"/>
                <w:szCs w:val="18"/>
                <w:lang w:val="de-DE"/>
              </w:rPr>
              <w:t xml:space="preserve"> der Effizienz sind </w:t>
            </w:r>
            <w:r w:rsidR="004E5810" w:rsidRPr="00BC76A2">
              <w:rPr>
                <w:sz w:val="18"/>
                <w:szCs w:val="18"/>
                <w:lang w:val="de-DE"/>
              </w:rPr>
              <w:t>zwischen</w:t>
            </w:r>
            <w:r w:rsidRPr="00BC76A2">
              <w:rPr>
                <w:sz w:val="18"/>
                <w:szCs w:val="18"/>
                <w:lang w:val="de-DE"/>
              </w:rPr>
              <w:t xml:space="preserve"> den Prüfungsämtern </w:t>
            </w:r>
            <w:r w:rsidR="004E5810" w:rsidRPr="00BC76A2">
              <w:rPr>
                <w:sz w:val="18"/>
                <w:szCs w:val="18"/>
                <w:lang w:val="de-DE"/>
              </w:rPr>
              <w:t>groß</w:t>
            </w:r>
            <w:r w:rsidRPr="00BC76A2">
              <w:rPr>
                <w:sz w:val="18"/>
                <w:szCs w:val="18"/>
                <w:lang w:val="de-DE"/>
              </w:rPr>
              <w:t xml:space="preserve">. </w:t>
            </w:r>
            <w:r w:rsidR="004E5810" w:rsidRPr="00BC76A2">
              <w:rPr>
                <w:sz w:val="18"/>
                <w:szCs w:val="18"/>
                <w:lang w:val="de-DE"/>
              </w:rPr>
              <w:t xml:space="preserve">Während in einem Land die Erteilung eines Züchterrechts in zwei Wachstumsperioden </w:t>
            </w:r>
            <w:r w:rsidR="004211E6" w:rsidRPr="00BC76A2">
              <w:rPr>
                <w:sz w:val="18"/>
                <w:szCs w:val="18"/>
                <w:lang w:val="de-DE"/>
              </w:rPr>
              <w:t>erfolgt</w:t>
            </w:r>
            <w:r w:rsidR="004E5810" w:rsidRPr="00BC76A2">
              <w:rPr>
                <w:sz w:val="18"/>
                <w:szCs w:val="18"/>
                <w:lang w:val="de-DE"/>
              </w:rPr>
              <w:t xml:space="preserve">, kann in einem anderen Land das Erteilungsverfahren bis zu vier Jahren dauern. </w:t>
            </w:r>
            <w:r w:rsidRPr="00BC76A2">
              <w:rPr>
                <w:sz w:val="18"/>
                <w:szCs w:val="18"/>
                <w:lang w:val="de-DE"/>
              </w:rPr>
              <w:t xml:space="preserve">Es gibt extreme Beispiele für Länder, in denen die Prüfung zehn bis </w:t>
            </w:r>
            <w:r w:rsidR="004211E6" w:rsidRPr="00BC76A2">
              <w:rPr>
                <w:sz w:val="18"/>
                <w:szCs w:val="18"/>
                <w:lang w:val="de-DE"/>
              </w:rPr>
              <w:t>zwölf</w:t>
            </w:r>
            <w:r w:rsidRPr="00BC76A2">
              <w:rPr>
                <w:sz w:val="18"/>
                <w:szCs w:val="18"/>
                <w:lang w:val="de-DE"/>
              </w:rPr>
              <w:t xml:space="preserve"> Jahre dauerte. </w:t>
            </w:r>
            <w:r w:rsidR="004E5810" w:rsidRPr="00BC76A2">
              <w:rPr>
                <w:sz w:val="18"/>
                <w:szCs w:val="18"/>
                <w:lang w:val="de-DE"/>
              </w:rPr>
              <w:t xml:space="preserve">ISF möchte vorbringen, </w:t>
            </w:r>
            <w:r w:rsidR="00A0388E" w:rsidRPr="00BC76A2">
              <w:rPr>
                <w:sz w:val="18"/>
                <w:szCs w:val="18"/>
                <w:lang w:val="de-DE"/>
              </w:rPr>
              <w:t>daß</w:t>
            </w:r>
            <w:r w:rsidR="004E5810" w:rsidRPr="00BC76A2">
              <w:rPr>
                <w:sz w:val="18"/>
                <w:szCs w:val="18"/>
                <w:lang w:val="de-DE"/>
              </w:rPr>
              <w:t xml:space="preserve"> das Prüfungsverfahren für reguläre Anträge möglichst zügig und harmonisiert sein sollt</w:t>
            </w:r>
            <w:r w:rsidR="002D1294" w:rsidRPr="00BC76A2">
              <w:rPr>
                <w:sz w:val="18"/>
                <w:szCs w:val="18"/>
                <w:lang w:val="de-DE"/>
              </w:rPr>
              <w:t>e</w:t>
            </w:r>
            <w:r w:rsidR="004E5810" w:rsidRPr="00BC76A2">
              <w:rPr>
                <w:sz w:val="18"/>
                <w:szCs w:val="18"/>
                <w:lang w:val="de-DE"/>
              </w:rPr>
              <w:t>, da die Durchsetzung anhängiger Anträge schwieriger und mitunter erst nach der Erteilung möglich ist; eine Höchstdauer von zwei Jahren sollte vorgeschrieben werden. In einzelnen Ländern ist das Prüfungsverfahren in einem Jahr mit zwei Wachstumsperioden pro Jahr abgeschlossen, was äußerst effizient ist.</w:t>
            </w:r>
          </w:p>
          <w:p w:rsidR="00D51088" w:rsidRPr="00BC76A2" w:rsidRDefault="00D51088" w:rsidP="00D51088">
            <w:pPr>
              <w:rPr>
                <w:sz w:val="18"/>
                <w:szCs w:val="18"/>
                <w:lang w:val="de-DE"/>
              </w:rPr>
            </w:pPr>
          </w:p>
          <w:p w:rsidR="00D51088" w:rsidRPr="00BC76A2" w:rsidRDefault="00341156" w:rsidP="00D51088">
            <w:pPr>
              <w:rPr>
                <w:sz w:val="18"/>
                <w:szCs w:val="18"/>
                <w:lang w:val="de-DE"/>
              </w:rPr>
            </w:pPr>
            <w:r w:rsidRPr="00BC76A2">
              <w:rPr>
                <w:sz w:val="18"/>
                <w:szCs w:val="18"/>
                <w:lang w:val="de-DE"/>
              </w:rPr>
              <w:t xml:space="preserve">Bei schwer zu </w:t>
            </w:r>
            <w:r w:rsidR="004E5810" w:rsidRPr="00BC76A2">
              <w:rPr>
                <w:sz w:val="18"/>
                <w:szCs w:val="18"/>
                <w:lang w:val="de-DE"/>
              </w:rPr>
              <w:t>benotenden</w:t>
            </w:r>
            <w:r w:rsidRPr="00BC76A2">
              <w:rPr>
                <w:sz w:val="18"/>
                <w:szCs w:val="18"/>
                <w:lang w:val="de-DE"/>
              </w:rPr>
              <w:t xml:space="preserve"> Merkmalen (z. B. </w:t>
            </w:r>
            <w:r w:rsidR="004E5810" w:rsidRPr="00BC76A2">
              <w:rPr>
                <w:sz w:val="18"/>
                <w:szCs w:val="18"/>
                <w:lang w:val="de-DE"/>
              </w:rPr>
              <w:t>Krankheits</w:t>
            </w:r>
            <w:r w:rsidRPr="00BC76A2">
              <w:rPr>
                <w:sz w:val="18"/>
                <w:szCs w:val="18"/>
                <w:lang w:val="de-DE"/>
              </w:rPr>
              <w:t xml:space="preserve">- oder </w:t>
            </w:r>
            <w:r w:rsidR="004E5810" w:rsidRPr="00BC76A2">
              <w:rPr>
                <w:sz w:val="18"/>
                <w:szCs w:val="18"/>
                <w:lang w:val="de-DE"/>
              </w:rPr>
              <w:t>Insektenresistenz</w:t>
            </w:r>
            <w:r w:rsidR="00D51088" w:rsidRPr="00BC76A2">
              <w:rPr>
                <w:sz w:val="18"/>
                <w:szCs w:val="18"/>
                <w:lang w:val="de-DE"/>
              </w:rPr>
              <w:t xml:space="preserve">) </w:t>
            </w:r>
            <w:r w:rsidRPr="00BC76A2">
              <w:rPr>
                <w:sz w:val="18"/>
                <w:szCs w:val="18"/>
                <w:lang w:val="de-DE"/>
              </w:rPr>
              <w:t>könnten m</w:t>
            </w:r>
            <w:r w:rsidR="00D51088" w:rsidRPr="00BC76A2">
              <w:rPr>
                <w:sz w:val="18"/>
                <w:szCs w:val="18"/>
                <w:lang w:val="de-DE"/>
              </w:rPr>
              <w:t>ultilateral</w:t>
            </w:r>
            <w:r w:rsidRPr="00BC76A2">
              <w:rPr>
                <w:sz w:val="18"/>
                <w:szCs w:val="18"/>
                <w:lang w:val="de-DE"/>
              </w:rPr>
              <w:t>e</w:t>
            </w:r>
            <w:r w:rsidR="00D51088" w:rsidRPr="00BC76A2">
              <w:rPr>
                <w:sz w:val="18"/>
                <w:szCs w:val="18"/>
                <w:lang w:val="de-DE"/>
              </w:rPr>
              <w:t xml:space="preserve"> </w:t>
            </w:r>
            <w:r w:rsidRPr="00BC76A2">
              <w:rPr>
                <w:sz w:val="18"/>
                <w:szCs w:val="18"/>
                <w:lang w:val="de-DE"/>
              </w:rPr>
              <w:t xml:space="preserve">Kooperationsabkommen erwogen werden, </w:t>
            </w:r>
            <w:r w:rsidR="004E5810" w:rsidRPr="00BC76A2">
              <w:rPr>
                <w:sz w:val="18"/>
                <w:szCs w:val="18"/>
                <w:lang w:val="de-DE"/>
              </w:rPr>
              <w:t>bei</w:t>
            </w:r>
            <w:r w:rsidRPr="00BC76A2">
              <w:rPr>
                <w:sz w:val="18"/>
                <w:szCs w:val="18"/>
                <w:lang w:val="de-DE"/>
              </w:rPr>
              <w:t xml:space="preserve"> denen </w:t>
            </w:r>
            <w:r w:rsidR="004E5810" w:rsidRPr="00BC76A2">
              <w:rPr>
                <w:sz w:val="18"/>
                <w:szCs w:val="18"/>
                <w:lang w:val="de-DE"/>
              </w:rPr>
              <w:t>bestimmte</w:t>
            </w:r>
            <w:r w:rsidRPr="00BC76A2">
              <w:rPr>
                <w:sz w:val="18"/>
                <w:szCs w:val="18"/>
                <w:lang w:val="de-DE"/>
              </w:rPr>
              <w:t xml:space="preserve"> Länder Prüfungen für andere Länder durchführen.</w:t>
            </w:r>
          </w:p>
          <w:p w:rsidR="00D51088" w:rsidRPr="00BC76A2" w:rsidRDefault="00D51088" w:rsidP="00D51088">
            <w:pPr>
              <w:rPr>
                <w:sz w:val="18"/>
                <w:szCs w:val="18"/>
                <w:lang w:val="de-DE"/>
              </w:rPr>
            </w:pPr>
          </w:p>
          <w:p w:rsidR="00D51088" w:rsidRPr="00BC76A2" w:rsidRDefault="00341156" w:rsidP="00D51088">
            <w:pPr>
              <w:rPr>
                <w:sz w:val="18"/>
                <w:szCs w:val="18"/>
                <w:lang w:val="de-DE"/>
              </w:rPr>
            </w:pPr>
            <w:r w:rsidRPr="00BC76A2">
              <w:rPr>
                <w:sz w:val="18"/>
                <w:szCs w:val="18"/>
                <w:lang w:val="de-DE"/>
              </w:rPr>
              <w:t>Auch sollte die Übernahme von DUS-</w:t>
            </w:r>
            <w:r w:rsidR="002D1294" w:rsidRPr="00BC76A2">
              <w:rPr>
                <w:sz w:val="18"/>
                <w:szCs w:val="18"/>
                <w:lang w:val="de-DE"/>
              </w:rPr>
              <w:t>B</w:t>
            </w:r>
            <w:r w:rsidRPr="00BC76A2">
              <w:rPr>
                <w:sz w:val="18"/>
                <w:szCs w:val="18"/>
                <w:lang w:val="de-DE"/>
              </w:rPr>
              <w:t xml:space="preserve">erichten von einem anderen </w:t>
            </w:r>
            <w:r w:rsidR="004E5810" w:rsidRPr="00BC76A2">
              <w:rPr>
                <w:sz w:val="18"/>
                <w:szCs w:val="18"/>
                <w:lang w:val="de-DE"/>
              </w:rPr>
              <w:t>Land</w:t>
            </w:r>
            <w:r w:rsidRPr="00BC76A2">
              <w:rPr>
                <w:sz w:val="18"/>
                <w:szCs w:val="18"/>
                <w:lang w:val="de-DE"/>
              </w:rPr>
              <w:t xml:space="preserve"> möglichst gefördert werden, jedoch nur, wenn die Prüfungen auf Qualität beruhen und ein </w:t>
            </w:r>
            <w:r w:rsidR="004E5810" w:rsidRPr="00BC76A2">
              <w:rPr>
                <w:sz w:val="18"/>
                <w:szCs w:val="18"/>
                <w:lang w:val="de-DE"/>
              </w:rPr>
              <w:t>Qualitätssicherungssystem</w:t>
            </w:r>
            <w:r w:rsidRPr="00BC76A2">
              <w:rPr>
                <w:sz w:val="18"/>
                <w:szCs w:val="18"/>
                <w:lang w:val="de-DE"/>
              </w:rPr>
              <w:t xml:space="preserve"> </w:t>
            </w:r>
            <w:r w:rsidR="004E5810" w:rsidRPr="00BC76A2">
              <w:rPr>
                <w:sz w:val="18"/>
                <w:szCs w:val="18"/>
                <w:lang w:val="de-DE"/>
              </w:rPr>
              <w:t>vorhanden</w:t>
            </w:r>
            <w:r w:rsidRPr="00BC76A2">
              <w:rPr>
                <w:sz w:val="18"/>
                <w:szCs w:val="18"/>
                <w:lang w:val="de-DE"/>
              </w:rPr>
              <w:t xml:space="preserve"> ist</w:t>
            </w:r>
            <w:r w:rsidR="00D51088" w:rsidRPr="00BC76A2">
              <w:rPr>
                <w:sz w:val="18"/>
                <w:szCs w:val="18"/>
                <w:lang w:val="de-DE"/>
              </w:rPr>
              <w:t>.</w:t>
            </w:r>
          </w:p>
          <w:p w:rsidR="00D51088" w:rsidRPr="00BC76A2" w:rsidRDefault="00D51088" w:rsidP="00D51088">
            <w:pPr>
              <w:rPr>
                <w:sz w:val="18"/>
                <w:szCs w:val="18"/>
                <w:lang w:val="de-DE"/>
              </w:rPr>
            </w:pPr>
          </w:p>
          <w:p w:rsidR="00D51088" w:rsidRPr="00BC76A2" w:rsidRDefault="00341156" w:rsidP="00D51088">
            <w:pPr>
              <w:rPr>
                <w:sz w:val="18"/>
                <w:szCs w:val="18"/>
                <w:lang w:val="de-DE"/>
              </w:rPr>
            </w:pPr>
            <w:r w:rsidRPr="00BC76A2">
              <w:rPr>
                <w:sz w:val="18"/>
                <w:szCs w:val="18"/>
                <w:lang w:val="de-DE"/>
              </w:rPr>
              <w:t>Wurde d</w:t>
            </w:r>
            <w:r w:rsidR="002D1294" w:rsidRPr="00BC76A2">
              <w:rPr>
                <w:sz w:val="18"/>
                <w:szCs w:val="18"/>
                <w:lang w:val="de-DE"/>
              </w:rPr>
              <w:t>i</w:t>
            </w:r>
            <w:r w:rsidRPr="00BC76A2">
              <w:rPr>
                <w:sz w:val="18"/>
                <w:szCs w:val="18"/>
                <w:lang w:val="de-DE"/>
              </w:rPr>
              <w:t xml:space="preserve">e DUS-Prüfung </w:t>
            </w:r>
            <w:r w:rsidR="002D1294" w:rsidRPr="00BC76A2">
              <w:rPr>
                <w:sz w:val="18"/>
                <w:szCs w:val="18"/>
                <w:lang w:val="de-DE"/>
              </w:rPr>
              <w:t xml:space="preserve">im Hinblick auf </w:t>
            </w:r>
            <w:r w:rsidRPr="00BC76A2">
              <w:rPr>
                <w:sz w:val="18"/>
                <w:szCs w:val="18"/>
                <w:lang w:val="de-DE"/>
              </w:rPr>
              <w:t xml:space="preserve">die Aufnahme in die </w:t>
            </w:r>
            <w:r w:rsidR="004E5810" w:rsidRPr="00BC76A2">
              <w:rPr>
                <w:sz w:val="18"/>
                <w:szCs w:val="18"/>
                <w:lang w:val="de-DE"/>
              </w:rPr>
              <w:t>Nationale</w:t>
            </w:r>
            <w:r w:rsidRPr="00BC76A2">
              <w:rPr>
                <w:sz w:val="18"/>
                <w:szCs w:val="18"/>
                <w:lang w:val="de-DE"/>
              </w:rPr>
              <w:t xml:space="preserve"> Liste bezahlt, sollte es keine weiteren Prüfungskosten für einen Antrag auf </w:t>
            </w:r>
            <w:r w:rsidR="004E5810" w:rsidRPr="00BC76A2">
              <w:rPr>
                <w:sz w:val="18"/>
                <w:szCs w:val="18"/>
                <w:lang w:val="de-DE"/>
              </w:rPr>
              <w:t>Erteilung</w:t>
            </w:r>
            <w:r w:rsidRPr="00BC76A2">
              <w:rPr>
                <w:sz w:val="18"/>
                <w:szCs w:val="18"/>
                <w:lang w:val="de-DE"/>
              </w:rPr>
              <w:t xml:space="preserve"> von Züchterrechten für dieselbe Sorte geben.“</w:t>
            </w:r>
          </w:p>
          <w:p w:rsidR="00D51088" w:rsidRPr="00BC76A2" w:rsidRDefault="00D51088" w:rsidP="00D51088">
            <w:pPr>
              <w:rPr>
                <w:sz w:val="18"/>
                <w:szCs w:val="18"/>
                <w:lang w:val="de-DE"/>
              </w:rPr>
            </w:pPr>
          </w:p>
        </w:tc>
      </w:tr>
      <w:tr w:rsidR="005C3E02" w:rsidRPr="00EC5DC9" w:rsidTr="0036363A">
        <w:trPr>
          <w:cantSplit/>
        </w:trPr>
        <w:tc>
          <w:tcPr>
            <w:tcW w:w="8646" w:type="dxa"/>
          </w:tcPr>
          <w:p w:rsidR="001000A7" w:rsidRPr="00BC76A2" w:rsidRDefault="00DC766F" w:rsidP="001000A7">
            <w:pPr>
              <w:rPr>
                <w:i/>
                <w:lang w:val="de-DE"/>
              </w:rPr>
            </w:pPr>
            <w:r w:rsidRPr="00BC76A2">
              <w:rPr>
                <w:i/>
                <w:lang w:val="de-DE"/>
              </w:rPr>
              <w:t>Einschlägiges UPOV-Material</w:t>
            </w:r>
            <w:r w:rsidR="001000A7" w:rsidRPr="00BC76A2">
              <w:rPr>
                <w:i/>
                <w:lang w:val="de-DE"/>
              </w:rPr>
              <w:t>:</w:t>
            </w:r>
          </w:p>
          <w:p w:rsidR="00D51088" w:rsidRPr="00BC76A2" w:rsidRDefault="00D51088" w:rsidP="001000A7">
            <w:pPr>
              <w:rPr>
                <w:i/>
                <w:lang w:val="de-DE"/>
              </w:rPr>
            </w:pPr>
          </w:p>
          <w:p w:rsidR="005C3E02" w:rsidRPr="00BC76A2" w:rsidRDefault="005C3E02" w:rsidP="005C3E02">
            <w:pPr>
              <w:pStyle w:val="ListParagraph"/>
              <w:numPr>
                <w:ilvl w:val="0"/>
                <w:numId w:val="5"/>
              </w:numPr>
              <w:tabs>
                <w:tab w:val="left" w:pos="290"/>
                <w:tab w:val="left" w:pos="574"/>
              </w:tabs>
              <w:ind w:left="574" w:hanging="284"/>
              <w:rPr>
                <w:i/>
                <w:snapToGrid w:val="0"/>
                <w:lang w:val="de-DE"/>
              </w:rPr>
            </w:pPr>
            <w:r w:rsidRPr="00BC76A2">
              <w:rPr>
                <w:i/>
                <w:snapToGrid w:val="0"/>
                <w:lang w:val="de-DE"/>
              </w:rPr>
              <w:t xml:space="preserve">TGP/5 </w:t>
            </w:r>
            <w:r w:rsidR="00190672" w:rsidRPr="00BC76A2">
              <w:rPr>
                <w:i/>
                <w:snapToGrid w:val="0"/>
                <w:lang w:val="de-DE"/>
              </w:rPr>
              <w:t>„</w:t>
            </w:r>
            <w:r w:rsidR="00190672" w:rsidRPr="00BC76A2">
              <w:rPr>
                <w:i/>
                <w:lang w:val="de-DE"/>
              </w:rPr>
              <w:t>Erfahrung und Zusammenarbeit bei der DUS-Prüfung</w:t>
            </w:r>
            <w:r w:rsidR="002D1294" w:rsidRPr="00BC76A2">
              <w:rPr>
                <w:i/>
                <w:lang w:val="de-DE"/>
              </w:rPr>
              <w:t>“</w:t>
            </w:r>
            <w:r w:rsidRPr="00BC76A2">
              <w:rPr>
                <w:i/>
                <w:snapToGrid w:val="0"/>
                <w:lang w:val="de-DE"/>
              </w:rPr>
              <w:t xml:space="preserve">, </w:t>
            </w:r>
            <w:r w:rsidR="00190672" w:rsidRPr="00BC76A2">
              <w:rPr>
                <w:i/>
                <w:snapToGrid w:val="0"/>
                <w:lang w:val="de-DE"/>
              </w:rPr>
              <w:t>Einführung</w:t>
            </w:r>
          </w:p>
          <w:p w:rsidR="001000A7" w:rsidRPr="00BC76A2" w:rsidRDefault="007206B2" w:rsidP="001000A7">
            <w:pPr>
              <w:pStyle w:val="ListParagraph"/>
              <w:numPr>
                <w:ilvl w:val="0"/>
                <w:numId w:val="5"/>
              </w:numPr>
              <w:tabs>
                <w:tab w:val="left" w:pos="290"/>
                <w:tab w:val="left" w:pos="574"/>
              </w:tabs>
              <w:ind w:left="574" w:hanging="284"/>
              <w:rPr>
                <w:i/>
                <w:lang w:val="de-DE"/>
              </w:rPr>
            </w:pPr>
            <w:r w:rsidRPr="00BC76A2">
              <w:rPr>
                <w:i/>
                <w:snapToGrid w:val="0"/>
                <w:lang w:val="de-DE"/>
              </w:rPr>
              <w:t>TGP/7 „</w:t>
            </w:r>
            <w:r w:rsidRPr="00BC76A2">
              <w:rPr>
                <w:i/>
                <w:lang w:val="de-DE"/>
              </w:rPr>
              <w:t>Erstellung von Prüfungsrichtlinien</w:t>
            </w:r>
            <w:r w:rsidRPr="00BC76A2">
              <w:rPr>
                <w:i/>
                <w:snapToGrid w:val="0"/>
                <w:lang w:val="de-DE"/>
              </w:rPr>
              <w:t xml:space="preserve">“, Anlage 1: TG-Mustervorlage, Kapitel 3.1 „Anzahl von </w:t>
            </w:r>
            <w:r w:rsidR="004E5810" w:rsidRPr="00BC76A2">
              <w:rPr>
                <w:i/>
                <w:snapToGrid w:val="0"/>
                <w:lang w:val="de-DE"/>
              </w:rPr>
              <w:t>Wachstumsperioden</w:t>
            </w:r>
            <w:r w:rsidRPr="00BC76A2">
              <w:rPr>
                <w:i/>
                <w:snapToGrid w:val="0"/>
                <w:lang w:val="de-DE"/>
              </w:rPr>
              <w:t>“</w:t>
            </w:r>
          </w:p>
          <w:p w:rsidR="005C3E02" w:rsidRPr="00BC76A2" w:rsidRDefault="008505B3" w:rsidP="00EC5DC9">
            <w:pPr>
              <w:pStyle w:val="ListParagraph"/>
              <w:numPr>
                <w:ilvl w:val="0"/>
                <w:numId w:val="5"/>
              </w:numPr>
              <w:tabs>
                <w:tab w:val="left" w:pos="290"/>
                <w:tab w:val="left" w:pos="574"/>
              </w:tabs>
              <w:ind w:left="574" w:hanging="284"/>
              <w:rPr>
                <w:i/>
                <w:lang w:val="de-DE"/>
              </w:rPr>
            </w:pPr>
            <w:r w:rsidRPr="00BC76A2">
              <w:rPr>
                <w:i/>
                <w:snapToGrid w:val="0"/>
                <w:lang w:val="de-DE"/>
              </w:rPr>
              <w:t>TGP/8 „</w:t>
            </w:r>
            <w:r w:rsidRPr="00BC76A2">
              <w:rPr>
                <w:i/>
                <w:lang w:val="de-DE"/>
              </w:rPr>
              <w:t xml:space="preserve">Prüfungsanlage und Verfahren für die Prüfung der Unterscheidbarkeit, der Homogenität und der </w:t>
            </w:r>
            <w:r w:rsidR="007206B2" w:rsidRPr="00BC76A2">
              <w:rPr>
                <w:i/>
                <w:lang w:val="de-DE"/>
              </w:rPr>
              <w:t>Beständigkeit</w:t>
            </w:r>
            <w:r w:rsidR="002D1294" w:rsidRPr="00BC76A2">
              <w:rPr>
                <w:i/>
                <w:lang w:val="de-DE"/>
              </w:rPr>
              <w:t>“</w:t>
            </w:r>
            <w:r w:rsidR="005C3E02" w:rsidRPr="00BC76A2">
              <w:rPr>
                <w:i/>
                <w:snapToGrid w:val="0"/>
                <w:lang w:val="de-DE"/>
              </w:rPr>
              <w:t xml:space="preserve">, </w:t>
            </w:r>
            <w:r w:rsidRPr="00BC76A2">
              <w:rPr>
                <w:i/>
                <w:snapToGrid w:val="0"/>
                <w:lang w:val="de-DE"/>
              </w:rPr>
              <w:t xml:space="preserve">Teil </w:t>
            </w:r>
            <w:r w:rsidR="005C3E02" w:rsidRPr="00BC76A2">
              <w:rPr>
                <w:i/>
                <w:snapToGrid w:val="0"/>
                <w:lang w:val="de-DE"/>
              </w:rPr>
              <w:t>I: 1. DUS</w:t>
            </w:r>
            <w:r w:rsidRPr="00BC76A2">
              <w:rPr>
                <w:i/>
                <w:snapToGrid w:val="0"/>
                <w:lang w:val="de-DE"/>
              </w:rPr>
              <w:t>-Prüfungsanlage</w:t>
            </w:r>
            <w:r w:rsidR="005C3E02" w:rsidRPr="00BC76A2">
              <w:rPr>
                <w:i/>
                <w:snapToGrid w:val="0"/>
                <w:lang w:val="de-DE"/>
              </w:rPr>
              <w:t xml:space="preserve">n, </w:t>
            </w:r>
            <w:r w:rsidRPr="00BC76A2">
              <w:rPr>
                <w:i/>
                <w:snapToGrid w:val="0"/>
                <w:lang w:val="de-DE"/>
              </w:rPr>
              <w:t>Abschnitt</w:t>
            </w:r>
            <w:r w:rsidR="002D1294" w:rsidRPr="00BC76A2">
              <w:rPr>
                <w:i/>
                <w:snapToGrid w:val="0"/>
                <w:lang w:val="de-DE"/>
              </w:rPr>
              <w:t> </w:t>
            </w:r>
            <w:r w:rsidR="005C3E02" w:rsidRPr="00BC76A2">
              <w:rPr>
                <w:i/>
                <w:snapToGrid w:val="0"/>
                <w:lang w:val="de-DE"/>
              </w:rPr>
              <w:t>1.3.1.1</w:t>
            </w:r>
            <w:r w:rsidR="002D1294" w:rsidRPr="00BC76A2">
              <w:rPr>
                <w:i/>
                <w:snapToGrid w:val="0"/>
                <w:lang w:val="de-DE"/>
              </w:rPr>
              <w:t> </w:t>
            </w:r>
            <w:r w:rsidR="005C3E02" w:rsidRPr="00BC76A2">
              <w:rPr>
                <w:i/>
                <w:snapToGrid w:val="0"/>
                <w:lang w:val="de-DE"/>
              </w:rPr>
              <w:t>a)</w:t>
            </w:r>
            <w:r w:rsidR="002D1294" w:rsidRPr="00BC76A2">
              <w:rPr>
                <w:i/>
                <w:snapToGrid w:val="0"/>
                <w:lang w:val="de-DE"/>
              </w:rPr>
              <w:t>,</w:t>
            </w:r>
            <w:r w:rsidR="005C3E02" w:rsidRPr="00BC76A2">
              <w:rPr>
                <w:i/>
                <w:snapToGrid w:val="0"/>
                <w:lang w:val="de-DE"/>
              </w:rPr>
              <w:t xml:space="preserve"> </w:t>
            </w:r>
            <w:r w:rsidRPr="00BC76A2">
              <w:rPr>
                <w:i/>
                <w:snapToGrid w:val="0"/>
                <w:lang w:val="de-DE"/>
              </w:rPr>
              <w:t xml:space="preserve">„Verkürzung der </w:t>
            </w:r>
            <w:r w:rsidR="007206B2" w:rsidRPr="00BC76A2">
              <w:rPr>
                <w:i/>
                <w:snapToGrid w:val="0"/>
                <w:lang w:val="de-DE"/>
              </w:rPr>
              <w:t>gesamten</w:t>
            </w:r>
            <w:r w:rsidRPr="00BC76A2">
              <w:rPr>
                <w:i/>
                <w:snapToGrid w:val="0"/>
                <w:lang w:val="de-DE"/>
              </w:rPr>
              <w:t xml:space="preserve"> Prüfungsperiode“</w:t>
            </w:r>
          </w:p>
        </w:tc>
      </w:tr>
    </w:tbl>
    <w:p w:rsidR="00D51088" w:rsidRPr="00BC76A2" w:rsidRDefault="00D51088">
      <w:pPr>
        <w:rPr>
          <w:lang w:val="de-DE"/>
        </w:rPr>
      </w:pPr>
    </w:p>
    <w:p w:rsidR="00D51088" w:rsidRPr="00BC76A2" w:rsidRDefault="00D51088" w:rsidP="00574BB5">
      <w:pPr>
        <w:pStyle w:val="Heading3"/>
        <w:rPr>
          <w:lang w:val="de-DE"/>
        </w:rPr>
      </w:pPr>
      <w:bookmarkStart w:id="166" w:name="_Toc379530102"/>
      <w:bookmarkStart w:id="167" w:name="_Toc380391649"/>
      <w:bookmarkStart w:id="168" w:name="_Toc380419889"/>
      <w:bookmarkStart w:id="169" w:name="_Toc380483689"/>
      <w:r w:rsidRPr="00BC76A2">
        <w:rPr>
          <w:snapToGrid w:val="0"/>
          <w:lang w:val="de-DE"/>
        </w:rPr>
        <w:t>e)</w:t>
      </w:r>
      <w:r w:rsidRPr="00BC76A2">
        <w:rPr>
          <w:snapToGrid w:val="0"/>
          <w:lang w:val="de-DE"/>
        </w:rPr>
        <w:tab/>
      </w:r>
      <w:r w:rsidR="008505B3" w:rsidRPr="00BC76A2">
        <w:rPr>
          <w:snapToGrid w:val="0"/>
          <w:lang w:val="de-DE"/>
        </w:rPr>
        <w:t xml:space="preserve">Sortenbeschreibung der </w:t>
      </w:r>
      <w:r w:rsidR="007206B2" w:rsidRPr="00BC76A2">
        <w:rPr>
          <w:snapToGrid w:val="0"/>
          <w:lang w:val="de-DE"/>
        </w:rPr>
        <w:t>ähnlichsten</w:t>
      </w:r>
      <w:r w:rsidR="008505B3" w:rsidRPr="00BC76A2">
        <w:rPr>
          <w:snapToGrid w:val="0"/>
          <w:lang w:val="de-DE"/>
        </w:rPr>
        <w:t xml:space="preserve"> Sorte</w:t>
      </w:r>
      <w:bookmarkEnd w:id="166"/>
      <w:bookmarkEnd w:id="167"/>
      <w:bookmarkEnd w:id="168"/>
      <w:bookmarkEnd w:id="169"/>
    </w:p>
    <w:p w:rsidR="00D51088" w:rsidRPr="00BC76A2" w:rsidRDefault="00D51088">
      <w:pPr>
        <w:rPr>
          <w:lang w:val="de-DE"/>
        </w:rPr>
      </w:pPr>
    </w:p>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6"/>
      </w:tblGrid>
      <w:tr w:rsidR="005C3E02" w:rsidRPr="00D9403C" w:rsidTr="00230328">
        <w:tc>
          <w:tcPr>
            <w:tcW w:w="8646" w:type="dxa"/>
          </w:tcPr>
          <w:p w:rsidR="00727189" w:rsidRPr="00BC76A2" w:rsidRDefault="00727189" w:rsidP="00727189">
            <w:pPr>
              <w:rPr>
                <w:sz w:val="18"/>
                <w:szCs w:val="18"/>
                <w:lang w:val="de-DE"/>
              </w:rPr>
            </w:pPr>
            <w:r w:rsidRPr="00BC76A2">
              <w:rPr>
                <w:sz w:val="18"/>
                <w:szCs w:val="18"/>
                <w:lang w:val="de-DE"/>
              </w:rPr>
              <w:t>[</w:t>
            </w:r>
            <w:r w:rsidR="008D2477" w:rsidRPr="00BC76A2">
              <w:rPr>
                <w:sz w:val="18"/>
                <w:szCs w:val="18"/>
                <w:lang w:val="de-DE"/>
              </w:rPr>
              <w:t>Auszug aus dem Schreiben de</w:t>
            </w:r>
            <w:r w:rsidR="002D1294" w:rsidRPr="00BC76A2">
              <w:rPr>
                <w:sz w:val="18"/>
                <w:szCs w:val="18"/>
                <w:lang w:val="de-DE"/>
              </w:rPr>
              <w:t>r</w:t>
            </w:r>
            <w:r w:rsidR="008D2477" w:rsidRPr="00BC76A2">
              <w:rPr>
                <w:sz w:val="18"/>
                <w:szCs w:val="18"/>
                <w:lang w:val="de-DE"/>
              </w:rPr>
              <w:t xml:space="preserve"> ISF</w:t>
            </w:r>
            <w:r w:rsidRPr="00BC76A2">
              <w:rPr>
                <w:sz w:val="18"/>
                <w:szCs w:val="18"/>
                <w:lang w:val="de-DE"/>
              </w:rPr>
              <w:t>]</w:t>
            </w:r>
          </w:p>
          <w:p w:rsidR="00D51088" w:rsidRPr="00BC76A2" w:rsidRDefault="002D1294" w:rsidP="00727189">
            <w:pPr>
              <w:rPr>
                <w:sz w:val="18"/>
                <w:szCs w:val="18"/>
                <w:lang w:val="de-DE"/>
              </w:rPr>
            </w:pPr>
            <w:r w:rsidRPr="00BC76A2">
              <w:rPr>
                <w:sz w:val="18"/>
                <w:szCs w:val="18"/>
                <w:lang w:val="de-DE"/>
              </w:rPr>
              <w:t>„</w:t>
            </w:r>
            <w:r w:rsidR="004E5810" w:rsidRPr="00BC76A2">
              <w:rPr>
                <w:sz w:val="18"/>
                <w:szCs w:val="18"/>
                <w:u w:val="single"/>
                <w:lang w:val="de-DE"/>
              </w:rPr>
              <w:t>Sortenbeschreibung der ähnlichsten Sorte</w:t>
            </w:r>
            <w:r w:rsidR="004E5810" w:rsidRPr="00BC76A2">
              <w:rPr>
                <w:sz w:val="18"/>
                <w:szCs w:val="18"/>
                <w:lang w:val="de-DE"/>
              </w:rPr>
              <w:t xml:space="preserve">: In einzelnen Ländern wird vom Antragsteller verlangt, die vollständige Sortenbeschreibung der ähnlichsten Sorte(n) einzureichen, während im Sinne der UPOV lediglich die Unterschiede zwischen der Kandidatensorte und der ähnlichsten Sorte angegeben werden müssen. Die ISF-Mitglieder haben allgemein den Eindruck, </w:t>
            </w:r>
            <w:r w:rsidR="00A0388E" w:rsidRPr="00BC76A2">
              <w:rPr>
                <w:sz w:val="18"/>
                <w:szCs w:val="18"/>
                <w:lang w:val="de-DE"/>
              </w:rPr>
              <w:t>daß</w:t>
            </w:r>
            <w:r w:rsidR="004E5810" w:rsidRPr="00BC76A2">
              <w:rPr>
                <w:sz w:val="18"/>
                <w:szCs w:val="18"/>
                <w:lang w:val="de-DE"/>
              </w:rPr>
              <w:t xml:space="preserve"> die Einreichung einer vollständigen Sortenbeschreibung der Kandidatensorte</w:t>
            </w:r>
            <w:r w:rsidRPr="00BC76A2">
              <w:rPr>
                <w:sz w:val="18"/>
                <w:szCs w:val="18"/>
                <w:lang w:val="de-DE"/>
              </w:rPr>
              <w:t>n</w:t>
            </w:r>
            <w:r w:rsidR="004E5810" w:rsidRPr="00BC76A2">
              <w:rPr>
                <w:sz w:val="18"/>
                <w:szCs w:val="18"/>
                <w:lang w:val="de-DE"/>
              </w:rPr>
              <w:t xml:space="preserve"> und der Vergleichssorten für den Antragsteller zu beschwerlich ist. </w:t>
            </w:r>
            <w:r w:rsidR="00341156" w:rsidRPr="00BC76A2">
              <w:rPr>
                <w:sz w:val="18"/>
                <w:szCs w:val="18"/>
                <w:lang w:val="de-DE"/>
              </w:rPr>
              <w:t xml:space="preserve">Dies ist </w:t>
            </w:r>
            <w:r w:rsidR="004E5810" w:rsidRPr="00BC76A2">
              <w:rPr>
                <w:sz w:val="18"/>
                <w:szCs w:val="18"/>
                <w:lang w:val="de-DE"/>
              </w:rPr>
              <w:t>zeitraubend</w:t>
            </w:r>
            <w:r w:rsidR="00341156" w:rsidRPr="00BC76A2">
              <w:rPr>
                <w:sz w:val="18"/>
                <w:szCs w:val="18"/>
                <w:lang w:val="de-DE"/>
              </w:rPr>
              <w:t xml:space="preserve"> und verursacht Verzögerungen des Antragsverfahrens. In </w:t>
            </w:r>
            <w:r w:rsidR="004E5810" w:rsidRPr="00BC76A2">
              <w:rPr>
                <w:sz w:val="18"/>
                <w:szCs w:val="18"/>
                <w:lang w:val="de-DE"/>
              </w:rPr>
              <w:t>den</w:t>
            </w:r>
            <w:r w:rsidR="00341156" w:rsidRPr="00BC76A2">
              <w:rPr>
                <w:sz w:val="18"/>
                <w:szCs w:val="18"/>
                <w:lang w:val="de-DE"/>
              </w:rPr>
              <w:t xml:space="preserve"> meisten Fällen mu</w:t>
            </w:r>
            <w:r w:rsidR="00753412" w:rsidRPr="00BC76A2">
              <w:rPr>
                <w:sz w:val="18"/>
                <w:szCs w:val="18"/>
                <w:lang w:val="de-DE"/>
              </w:rPr>
              <w:t>ß</w:t>
            </w:r>
            <w:r w:rsidR="00341156" w:rsidRPr="00BC76A2">
              <w:rPr>
                <w:sz w:val="18"/>
                <w:szCs w:val="18"/>
                <w:lang w:val="de-DE"/>
              </w:rPr>
              <w:t xml:space="preserve"> für derartige Sortenbeschreibungen ein besonderer </w:t>
            </w:r>
            <w:r w:rsidRPr="00BC76A2">
              <w:rPr>
                <w:sz w:val="18"/>
                <w:szCs w:val="18"/>
                <w:lang w:val="de-DE"/>
              </w:rPr>
              <w:t>Beobachtungsversuch</w:t>
            </w:r>
            <w:r w:rsidR="00341156" w:rsidRPr="00BC76A2">
              <w:rPr>
                <w:sz w:val="18"/>
                <w:szCs w:val="18"/>
                <w:lang w:val="de-DE"/>
              </w:rPr>
              <w:t xml:space="preserve"> </w:t>
            </w:r>
            <w:r w:rsidR="004D0FBD" w:rsidRPr="00BC76A2">
              <w:rPr>
                <w:sz w:val="18"/>
                <w:szCs w:val="18"/>
                <w:lang w:val="de-DE"/>
              </w:rPr>
              <w:t>a</w:t>
            </w:r>
            <w:r w:rsidR="00341156" w:rsidRPr="00BC76A2">
              <w:rPr>
                <w:sz w:val="18"/>
                <w:szCs w:val="18"/>
                <w:lang w:val="de-DE"/>
              </w:rPr>
              <w:t>ngelegt werden.</w:t>
            </w:r>
            <w:r w:rsidR="00D51088" w:rsidRPr="00BC76A2">
              <w:rPr>
                <w:sz w:val="18"/>
                <w:szCs w:val="18"/>
                <w:lang w:val="de-DE"/>
              </w:rPr>
              <w:t xml:space="preserve"> </w:t>
            </w:r>
            <w:r w:rsidR="004D0FBD" w:rsidRPr="00BC76A2">
              <w:rPr>
                <w:sz w:val="18"/>
                <w:szCs w:val="18"/>
                <w:lang w:val="de-DE"/>
              </w:rPr>
              <w:t xml:space="preserve">Bei einem Prioritätsanspruch kann dies für </w:t>
            </w:r>
            <w:r w:rsidR="004E5810" w:rsidRPr="00BC76A2">
              <w:rPr>
                <w:sz w:val="18"/>
                <w:szCs w:val="18"/>
                <w:lang w:val="de-DE"/>
              </w:rPr>
              <w:t>den</w:t>
            </w:r>
            <w:r w:rsidR="004D0FBD" w:rsidRPr="00BC76A2">
              <w:rPr>
                <w:sz w:val="18"/>
                <w:szCs w:val="18"/>
                <w:lang w:val="de-DE"/>
              </w:rPr>
              <w:t xml:space="preserve"> Antragsteller ein </w:t>
            </w:r>
            <w:r w:rsidR="004E5810" w:rsidRPr="00BC76A2">
              <w:rPr>
                <w:sz w:val="18"/>
                <w:szCs w:val="18"/>
                <w:lang w:val="de-DE"/>
              </w:rPr>
              <w:t>großer</w:t>
            </w:r>
            <w:r w:rsidR="004D0FBD" w:rsidRPr="00BC76A2">
              <w:rPr>
                <w:sz w:val="18"/>
                <w:szCs w:val="18"/>
                <w:lang w:val="de-DE"/>
              </w:rPr>
              <w:t xml:space="preserve"> </w:t>
            </w:r>
            <w:r w:rsidR="004E5810" w:rsidRPr="00BC76A2">
              <w:rPr>
                <w:sz w:val="18"/>
                <w:szCs w:val="18"/>
                <w:lang w:val="de-DE"/>
              </w:rPr>
              <w:t>Nachteil</w:t>
            </w:r>
            <w:r w:rsidR="004D0FBD" w:rsidRPr="00BC76A2">
              <w:rPr>
                <w:sz w:val="18"/>
                <w:szCs w:val="18"/>
                <w:lang w:val="de-DE"/>
              </w:rPr>
              <w:t xml:space="preserve"> sein. Die </w:t>
            </w:r>
            <w:r w:rsidR="004E5810" w:rsidRPr="00BC76A2">
              <w:rPr>
                <w:sz w:val="18"/>
                <w:szCs w:val="18"/>
                <w:lang w:val="de-DE"/>
              </w:rPr>
              <w:t>Einreichung</w:t>
            </w:r>
            <w:r w:rsidR="004D0FBD" w:rsidRPr="00BC76A2">
              <w:rPr>
                <w:sz w:val="18"/>
                <w:szCs w:val="18"/>
                <w:lang w:val="de-DE"/>
              </w:rPr>
              <w:t xml:space="preserve"> einer </w:t>
            </w:r>
            <w:r w:rsidR="004E5810" w:rsidRPr="00BC76A2">
              <w:rPr>
                <w:sz w:val="18"/>
                <w:szCs w:val="18"/>
                <w:lang w:val="de-DE"/>
              </w:rPr>
              <w:t>vollständigen</w:t>
            </w:r>
            <w:r w:rsidR="004D0FBD" w:rsidRPr="00BC76A2">
              <w:rPr>
                <w:sz w:val="18"/>
                <w:szCs w:val="18"/>
                <w:lang w:val="de-DE"/>
              </w:rPr>
              <w:t xml:space="preserve"> </w:t>
            </w:r>
            <w:r w:rsidR="004E5810" w:rsidRPr="00BC76A2">
              <w:rPr>
                <w:sz w:val="18"/>
                <w:szCs w:val="18"/>
                <w:lang w:val="de-DE"/>
              </w:rPr>
              <w:t>Sortenbeschreibung</w:t>
            </w:r>
            <w:r w:rsidR="004D0FBD" w:rsidRPr="00BC76A2">
              <w:rPr>
                <w:sz w:val="18"/>
                <w:szCs w:val="18"/>
                <w:lang w:val="de-DE"/>
              </w:rPr>
              <w:t xml:space="preserve"> der </w:t>
            </w:r>
            <w:r w:rsidR="004E5810" w:rsidRPr="00BC76A2">
              <w:rPr>
                <w:sz w:val="18"/>
                <w:szCs w:val="18"/>
                <w:lang w:val="de-DE"/>
              </w:rPr>
              <w:t>ähnlichsten</w:t>
            </w:r>
            <w:r w:rsidR="004D0FBD" w:rsidRPr="00BC76A2">
              <w:rPr>
                <w:sz w:val="18"/>
                <w:szCs w:val="18"/>
                <w:lang w:val="de-DE"/>
              </w:rPr>
              <w:t xml:space="preserve"> Sorten ist ein noch </w:t>
            </w:r>
            <w:r w:rsidR="004E5810" w:rsidRPr="00BC76A2">
              <w:rPr>
                <w:sz w:val="18"/>
                <w:szCs w:val="18"/>
                <w:lang w:val="de-DE"/>
              </w:rPr>
              <w:t>größeres</w:t>
            </w:r>
            <w:r w:rsidR="004D0FBD" w:rsidRPr="00BC76A2">
              <w:rPr>
                <w:sz w:val="18"/>
                <w:szCs w:val="18"/>
                <w:lang w:val="de-DE"/>
              </w:rPr>
              <w:t xml:space="preserve"> Problem, wenn es sich um Sorten von Konkurrenten handelt.</w:t>
            </w:r>
          </w:p>
          <w:p w:rsidR="00D51088" w:rsidRPr="00BC76A2" w:rsidRDefault="00D51088" w:rsidP="00D51088">
            <w:pPr>
              <w:rPr>
                <w:sz w:val="18"/>
                <w:szCs w:val="18"/>
                <w:lang w:val="de-DE"/>
              </w:rPr>
            </w:pPr>
          </w:p>
          <w:p w:rsidR="00D51088" w:rsidRPr="00BC76A2" w:rsidRDefault="004D0FBD" w:rsidP="00D51088">
            <w:pPr>
              <w:rPr>
                <w:sz w:val="18"/>
                <w:szCs w:val="18"/>
                <w:lang w:val="de-DE"/>
              </w:rPr>
            </w:pPr>
            <w:r w:rsidRPr="00BC76A2">
              <w:rPr>
                <w:sz w:val="18"/>
                <w:szCs w:val="18"/>
                <w:lang w:val="de-DE"/>
              </w:rPr>
              <w:t xml:space="preserve">Der Antragsteller sollte lediglich die Unterschiede zwischen der Kandidatensorte und </w:t>
            </w:r>
            <w:r w:rsidR="004E5810" w:rsidRPr="00BC76A2">
              <w:rPr>
                <w:sz w:val="18"/>
                <w:szCs w:val="18"/>
                <w:lang w:val="de-DE"/>
              </w:rPr>
              <w:t>den</w:t>
            </w:r>
            <w:r w:rsidRPr="00BC76A2">
              <w:rPr>
                <w:sz w:val="18"/>
                <w:szCs w:val="18"/>
                <w:lang w:val="de-DE"/>
              </w:rPr>
              <w:t xml:space="preserve"> </w:t>
            </w:r>
            <w:r w:rsidR="004E5810" w:rsidRPr="00BC76A2">
              <w:rPr>
                <w:sz w:val="18"/>
                <w:szCs w:val="18"/>
                <w:lang w:val="de-DE"/>
              </w:rPr>
              <w:t>ähnlichsten</w:t>
            </w:r>
            <w:r w:rsidRPr="00BC76A2">
              <w:rPr>
                <w:sz w:val="18"/>
                <w:szCs w:val="18"/>
                <w:lang w:val="de-DE"/>
              </w:rPr>
              <w:t xml:space="preserve"> Sorten </w:t>
            </w:r>
            <w:r w:rsidR="004E5810" w:rsidRPr="00BC76A2">
              <w:rPr>
                <w:sz w:val="18"/>
                <w:szCs w:val="18"/>
                <w:lang w:val="de-DE"/>
              </w:rPr>
              <w:t>angeben</w:t>
            </w:r>
            <w:r w:rsidRPr="00BC76A2">
              <w:rPr>
                <w:sz w:val="18"/>
                <w:szCs w:val="18"/>
                <w:lang w:val="de-DE"/>
              </w:rPr>
              <w:t xml:space="preserve"> müssen. Mit anderen Worten sollte nur der von der UPOV erstellte </w:t>
            </w:r>
            <w:r w:rsidR="004E5810" w:rsidRPr="00BC76A2">
              <w:rPr>
                <w:sz w:val="18"/>
                <w:szCs w:val="18"/>
                <w:lang w:val="de-DE"/>
              </w:rPr>
              <w:t>Technische</w:t>
            </w:r>
            <w:r w:rsidRPr="00BC76A2">
              <w:rPr>
                <w:sz w:val="18"/>
                <w:szCs w:val="18"/>
                <w:lang w:val="de-DE"/>
              </w:rPr>
              <w:t xml:space="preserve"> Fragebogen </w:t>
            </w:r>
            <w:r w:rsidR="004E5810" w:rsidRPr="00BC76A2">
              <w:rPr>
                <w:sz w:val="18"/>
                <w:szCs w:val="18"/>
                <w:lang w:val="de-DE"/>
              </w:rPr>
              <w:t>ausgefüllt</w:t>
            </w:r>
            <w:r w:rsidRPr="00BC76A2">
              <w:rPr>
                <w:sz w:val="18"/>
                <w:szCs w:val="18"/>
                <w:lang w:val="de-DE"/>
              </w:rPr>
              <w:t xml:space="preserve"> werden</w:t>
            </w:r>
            <w:r w:rsidR="00D51088" w:rsidRPr="00BC76A2">
              <w:rPr>
                <w:sz w:val="18"/>
                <w:szCs w:val="18"/>
                <w:lang w:val="de-DE"/>
              </w:rPr>
              <w:t>.</w:t>
            </w:r>
          </w:p>
          <w:p w:rsidR="00D51088" w:rsidRPr="00BC76A2" w:rsidRDefault="00D51088" w:rsidP="00D51088">
            <w:pPr>
              <w:rPr>
                <w:sz w:val="18"/>
                <w:szCs w:val="18"/>
                <w:lang w:val="de-DE"/>
              </w:rPr>
            </w:pPr>
          </w:p>
          <w:p w:rsidR="005C3E02" w:rsidRPr="00BC76A2" w:rsidRDefault="004D0FBD" w:rsidP="00D51088">
            <w:pPr>
              <w:rPr>
                <w:sz w:val="18"/>
                <w:szCs w:val="18"/>
                <w:lang w:val="de-DE"/>
              </w:rPr>
            </w:pPr>
            <w:r w:rsidRPr="00BC76A2">
              <w:rPr>
                <w:sz w:val="18"/>
                <w:szCs w:val="18"/>
                <w:lang w:val="de-DE"/>
              </w:rPr>
              <w:t>Die Züchtungsverfahre</w:t>
            </w:r>
            <w:r w:rsidR="00B26C27" w:rsidRPr="00BC76A2">
              <w:rPr>
                <w:sz w:val="18"/>
                <w:szCs w:val="18"/>
                <w:lang w:val="de-DE"/>
              </w:rPr>
              <w:t>n</w:t>
            </w:r>
            <w:r w:rsidRPr="00BC76A2">
              <w:rPr>
                <w:sz w:val="18"/>
                <w:szCs w:val="18"/>
                <w:lang w:val="de-DE"/>
              </w:rPr>
              <w:t xml:space="preserve"> </w:t>
            </w:r>
            <w:r w:rsidR="004E5810" w:rsidRPr="00BC76A2">
              <w:rPr>
                <w:sz w:val="18"/>
                <w:szCs w:val="18"/>
                <w:lang w:val="de-DE"/>
              </w:rPr>
              <w:t>ändern</w:t>
            </w:r>
            <w:r w:rsidRPr="00BC76A2">
              <w:rPr>
                <w:sz w:val="18"/>
                <w:szCs w:val="18"/>
                <w:lang w:val="de-DE"/>
              </w:rPr>
              <w:t xml:space="preserve"> sich </w:t>
            </w:r>
            <w:r w:rsidR="004E5810" w:rsidRPr="00BC76A2">
              <w:rPr>
                <w:sz w:val="18"/>
                <w:szCs w:val="18"/>
                <w:lang w:val="de-DE"/>
              </w:rPr>
              <w:t>schnell</w:t>
            </w:r>
            <w:r w:rsidRPr="00BC76A2">
              <w:rPr>
                <w:sz w:val="18"/>
                <w:szCs w:val="18"/>
                <w:lang w:val="de-DE"/>
              </w:rPr>
              <w:t xml:space="preserve">, ebenso die Sorten. Neue Merkmale werden ständig zur derzeitigen Liste hinzugefügt. Somit ist eine fristgerechte </w:t>
            </w:r>
            <w:r w:rsidR="004E5810" w:rsidRPr="00BC76A2">
              <w:rPr>
                <w:sz w:val="18"/>
                <w:szCs w:val="18"/>
                <w:lang w:val="de-DE"/>
              </w:rPr>
              <w:t>Einführung</w:t>
            </w:r>
            <w:r w:rsidRPr="00BC76A2">
              <w:rPr>
                <w:sz w:val="18"/>
                <w:szCs w:val="18"/>
                <w:lang w:val="de-DE"/>
              </w:rPr>
              <w:t xml:space="preserve"> neuer Merkmale in die </w:t>
            </w:r>
            <w:r w:rsidR="004E5810" w:rsidRPr="00BC76A2">
              <w:rPr>
                <w:sz w:val="18"/>
                <w:szCs w:val="18"/>
                <w:lang w:val="de-DE"/>
              </w:rPr>
              <w:t>Technischen</w:t>
            </w:r>
            <w:r w:rsidRPr="00BC76A2">
              <w:rPr>
                <w:sz w:val="18"/>
                <w:szCs w:val="18"/>
                <w:lang w:val="de-DE"/>
              </w:rPr>
              <w:t xml:space="preserve"> Fragebogen und </w:t>
            </w:r>
            <w:r w:rsidR="00B26C27" w:rsidRPr="00BC76A2">
              <w:rPr>
                <w:sz w:val="18"/>
                <w:szCs w:val="18"/>
                <w:lang w:val="de-DE"/>
              </w:rPr>
              <w:t xml:space="preserve">die </w:t>
            </w:r>
            <w:r w:rsidRPr="00BC76A2">
              <w:rPr>
                <w:sz w:val="18"/>
                <w:szCs w:val="18"/>
                <w:lang w:val="de-DE"/>
              </w:rPr>
              <w:t xml:space="preserve">Sortenbeschreibungen notwendig, um ausreichende Unterscheidungskraft zwischen </w:t>
            </w:r>
            <w:r w:rsidR="004E5810" w:rsidRPr="00BC76A2">
              <w:rPr>
                <w:sz w:val="18"/>
                <w:szCs w:val="18"/>
                <w:lang w:val="de-DE"/>
              </w:rPr>
              <w:t>den</w:t>
            </w:r>
            <w:r w:rsidRPr="00BC76A2">
              <w:rPr>
                <w:sz w:val="18"/>
                <w:szCs w:val="18"/>
                <w:lang w:val="de-DE"/>
              </w:rPr>
              <w:t xml:space="preserve"> </w:t>
            </w:r>
            <w:r w:rsidR="004E5810" w:rsidRPr="00BC76A2">
              <w:rPr>
                <w:sz w:val="18"/>
                <w:szCs w:val="18"/>
                <w:lang w:val="de-DE"/>
              </w:rPr>
              <w:t>Sorten</w:t>
            </w:r>
            <w:r w:rsidRPr="00BC76A2">
              <w:rPr>
                <w:sz w:val="18"/>
                <w:szCs w:val="18"/>
                <w:lang w:val="de-DE"/>
              </w:rPr>
              <w:t xml:space="preserve"> sicherzustellen.</w:t>
            </w:r>
            <w:r w:rsidR="00DB0B54" w:rsidRPr="00BC76A2">
              <w:rPr>
                <w:sz w:val="18"/>
                <w:szCs w:val="18"/>
                <w:lang w:val="de-DE"/>
              </w:rPr>
              <w:t>“</w:t>
            </w:r>
          </w:p>
          <w:p w:rsidR="00D51088" w:rsidRPr="00BC76A2" w:rsidRDefault="00D51088" w:rsidP="00D51088">
            <w:pPr>
              <w:rPr>
                <w:sz w:val="18"/>
                <w:szCs w:val="18"/>
                <w:lang w:val="de-DE"/>
              </w:rPr>
            </w:pPr>
          </w:p>
        </w:tc>
      </w:tr>
      <w:tr w:rsidR="005F3D0F" w:rsidRPr="00D9403C" w:rsidTr="00230328">
        <w:tc>
          <w:tcPr>
            <w:tcW w:w="8646" w:type="dxa"/>
          </w:tcPr>
          <w:p w:rsidR="005F3D0F" w:rsidRPr="00BC76A2" w:rsidRDefault="00DC766F" w:rsidP="00557635">
            <w:pPr>
              <w:rPr>
                <w:i/>
                <w:lang w:val="de-DE"/>
              </w:rPr>
            </w:pPr>
            <w:r w:rsidRPr="00BC76A2">
              <w:rPr>
                <w:i/>
                <w:lang w:val="de-DE"/>
              </w:rPr>
              <w:t>Einschlägiges UPOV-Material</w:t>
            </w:r>
            <w:r w:rsidR="005F3D0F" w:rsidRPr="00BC76A2">
              <w:rPr>
                <w:i/>
                <w:lang w:val="de-DE"/>
              </w:rPr>
              <w:t>:</w:t>
            </w:r>
          </w:p>
          <w:p w:rsidR="00D51088" w:rsidRPr="00BC76A2" w:rsidRDefault="00D51088" w:rsidP="00557635">
            <w:pPr>
              <w:rPr>
                <w:i/>
                <w:lang w:val="de-DE"/>
              </w:rPr>
            </w:pPr>
          </w:p>
          <w:p w:rsidR="005F3D0F" w:rsidRPr="00BC76A2" w:rsidRDefault="005F3D0F" w:rsidP="005F3D0F">
            <w:pPr>
              <w:pStyle w:val="ListParagraph"/>
              <w:numPr>
                <w:ilvl w:val="0"/>
                <w:numId w:val="5"/>
              </w:numPr>
              <w:tabs>
                <w:tab w:val="left" w:pos="290"/>
                <w:tab w:val="left" w:pos="574"/>
              </w:tabs>
              <w:ind w:left="574" w:hanging="284"/>
              <w:rPr>
                <w:i/>
                <w:snapToGrid w:val="0"/>
                <w:lang w:val="de-DE"/>
              </w:rPr>
            </w:pPr>
            <w:r w:rsidRPr="00BC76A2">
              <w:rPr>
                <w:i/>
                <w:snapToGrid w:val="0"/>
                <w:lang w:val="de-DE"/>
              </w:rPr>
              <w:t xml:space="preserve">TGP/7 </w:t>
            </w:r>
            <w:r w:rsidR="008505B3" w:rsidRPr="00BC76A2">
              <w:rPr>
                <w:i/>
                <w:lang w:val="de-DE"/>
              </w:rPr>
              <w:t xml:space="preserve">Abschnitt 4, „Erstellung von </w:t>
            </w:r>
            <w:r w:rsidR="007206B2" w:rsidRPr="00BC76A2">
              <w:rPr>
                <w:i/>
                <w:lang w:val="de-DE"/>
              </w:rPr>
              <w:t>Prüfungsrichtlinien</w:t>
            </w:r>
            <w:r w:rsidR="008505B3" w:rsidRPr="00BC76A2">
              <w:rPr>
                <w:i/>
                <w:lang w:val="de-DE"/>
              </w:rPr>
              <w:t xml:space="preserve"> </w:t>
            </w:r>
            <w:r w:rsidR="007206B2" w:rsidRPr="00BC76A2">
              <w:rPr>
                <w:i/>
                <w:lang w:val="de-DE"/>
              </w:rPr>
              <w:t>einzelner</w:t>
            </w:r>
            <w:r w:rsidR="008505B3" w:rsidRPr="00BC76A2">
              <w:rPr>
                <w:i/>
                <w:lang w:val="de-DE"/>
              </w:rPr>
              <w:t xml:space="preserve"> Behörden</w:t>
            </w:r>
            <w:r w:rsidR="008505B3" w:rsidRPr="00BC76A2">
              <w:rPr>
                <w:i/>
                <w:snapToGrid w:val="0"/>
                <w:lang w:val="de-DE"/>
              </w:rPr>
              <w:t>“</w:t>
            </w:r>
          </w:p>
          <w:p w:rsidR="005F3D0F" w:rsidRPr="00BC76A2" w:rsidRDefault="008505B3" w:rsidP="00DB0B54">
            <w:pPr>
              <w:pStyle w:val="ListParagraph"/>
              <w:numPr>
                <w:ilvl w:val="0"/>
                <w:numId w:val="5"/>
              </w:numPr>
              <w:tabs>
                <w:tab w:val="left" w:pos="290"/>
                <w:tab w:val="left" w:pos="574"/>
              </w:tabs>
              <w:ind w:left="574" w:hanging="284"/>
              <w:rPr>
                <w:i/>
                <w:snapToGrid w:val="0"/>
                <w:lang w:val="de-DE"/>
              </w:rPr>
            </w:pPr>
            <w:r w:rsidRPr="00BC76A2">
              <w:rPr>
                <w:i/>
                <w:snapToGrid w:val="0"/>
                <w:lang w:val="de-DE"/>
              </w:rPr>
              <w:t>TGP/7 „</w:t>
            </w:r>
            <w:r w:rsidRPr="00BC76A2">
              <w:rPr>
                <w:i/>
                <w:lang w:val="de-DE"/>
              </w:rPr>
              <w:t xml:space="preserve">Erstellung von </w:t>
            </w:r>
            <w:r w:rsidR="007206B2" w:rsidRPr="00BC76A2">
              <w:rPr>
                <w:i/>
                <w:lang w:val="de-DE"/>
              </w:rPr>
              <w:t>Prüfungsrichtlinien</w:t>
            </w:r>
            <w:r w:rsidRPr="00BC76A2">
              <w:rPr>
                <w:i/>
                <w:lang w:val="de-DE"/>
              </w:rPr>
              <w:t>“</w:t>
            </w:r>
            <w:r w:rsidRPr="00BC76A2">
              <w:rPr>
                <w:i/>
                <w:snapToGrid w:val="0"/>
                <w:lang w:val="de-DE"/>
              </w:rPr>
              <w:t>, Abschnitt 2, „V</w:t>
            </w:r>
            <w:r w:rsidRPr="00BC76A2">
              <w:rPr>
                <w:i/>
                <w:lang w:val="de-DE"/>
              </w:rPr>
              <w:t>erfahren zur Einführung und Überarbeitung von UPOV-Prüfungsrichtlinien</w:t>
            </w:r>
            <w:r w:rsidR="00DB0B54" w:rsidRPr="00BC76A2">
              <w:rPr>
                <w:i/>
                <w:lang w:val="de-DE"/>
              </w:rPr>
              <w:t>“</w:t>
            </w:r>
          </w:p>
        </w:tc>
      </w:tr>
    </w:tbl>
    <w:p w:rsidR="00A07942" w:rsidRPr="00BC76A2" w:rsidRDefault="00A07942">
      <w:pPr>
        <w:rPr>
          <w:lang w:val="de-DE"/>
        </w:rPr>
      </w:pPr>
    </w:p>
    <w:p w:rsidR="00A07942" w:rsidRPr="00BC76A2" w:rsidRDefault="00A07942" w:rsidP="00574BB5">
      <w:pPr>
        <w:pStyle w:val="Heading3"/>
        <w:rPr>
          <w:lang w:val="de-DE"/>
        </w:rPr>
      </w:pPr>
      <w:bookmarkStart w:id="170" w:name="_Toc379530103"/>
      <w:bookmarkStart w:id="171" w:name="_Toc380391650"/>
      <w:bookmarkStart w:id="172" w:name="_Toc380419890"/>
      <w:bookmarkStart w:id="173" w:name="_Toc380483690"/>
      <w:r w:rsidRPr="00BC76A2">
        <w:rPr>
          <w:lang w:val="de-DE"/>
        </w:rPr>
        <w:t>f)</w:t>
      </w:r>
      <w:r w:rsidRPr="00BC76A2">
        <w:rPr>
          <w:lang w:val="de-DE"/>
        </w:rPr>
        <w:tab/>
      </w:r>
      <w:r w:rsidR="008505B3" w:rsidRPr="00BC76A2">
        <w:rPr>
          <w:lang w:val="de-DE"/>
        </w:rPr>
        <w:t xml:space="preserve">Sortenbeschreibung durch </w:t>
      </w:r>
      <w:r w:rsidR="007206B2" w:rsidRPr="00BC76A2">
        <w:rPr>
          <w:lang w:val="de-DE"/>
        </w:rPr>
        <w:t>den</w:t>
      </w:r>
      <w:r w:rsidR="008505B3" w:rsidRPr="00BC76A2">
        <w:rPr>
          <w:lang w:val="de-DE"/>
        </w:rPr>
        <w:t xml:space="preserve"> Antragsteller</w:t>
      </w:r>
      <w:bookmarkEnd w:id="170"/>
      <w:bookmarkEnd w:id="171"/>
      <w:bookmarkEnd w:id="172"/>
      <w:bookmarkEnd w:id="173"/>
    </w:p>
    <w:p w:rsidR="00A07942" w:rsidRPr="00BC76A2" w:rsidRDefault="00A07942" w:rsidP="00A07942">
      <w:pPr>
        <w:keepNext/>
        <w:rPr>
          <w:lang w:val="de-DE"/>
        </w:rPr>
      </w:pPr>
    </w:p>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6"/>
      </w:tblGrid>
      <w:tr w:rsidR="005C3E02" w:rsidRPr="00D9403C" w:rsidTr="00A07942">
        <w:trPr>
          <w:cantSplit/>
        </w:trPr>
        <w:tc>
          <w:tcPr>
            <w:tcW w:w="8646" w:type="dxa"/>
          </w:tcPr>
          <w:p w:rsidR="00727189" w:rsidRPr="00BC76A2" w:rsidRDefault="00727189" w:rsidP="00727189">
            <w:pPr>
              <w:rPr>
                <w:sz w:val="18"/>
                <w:szCs w:val="18"/>
                <w:lang w:val="de-DE"/>
              </w:rPr>
            </w:pPr>
            <w:r w:rsidRPr="00BC76A2">
              <w:rPr>
                <w:sz w:val="18"/>
                <w:szCs w:val="18"/>
                <w:lang w:val="de-DE"/>
              </w:rPr>
              <w:t>[</w:t>
            </w:r>
            <w:r w:rsidR="008D2477" w:rsidRPr="00BC76A2">
              <w:rPr>
                <w:sz w:val="18"/>
                <w:szCs w:val="18"/>
                <w:lang w:val="de-DE"/>
              </w:rPr>
              <w:t>Auszug aus dem Schreiben de</w:t>
            </w:r>
            <w:r w:rsidR="00DB0B54" w:rsidRPr="00BC76A2">
              <w:rPr>
                <w:sz w:val="18"/>
                <w:szCs w:val="18"/>
                <w:lang w:val="de-DE"/>
              </w:rPr>
              <w:t>r</w:t>
            </w:r>
            <w:r w:rsidR="008D2477" w:rsidRPr="00BC76A2">
              <w:rPr>
                <w:sz w:val="18"/>
                <w:szCs w:val="18"/>
                <w:lang w:val="de-DE"/>
              </w:rPr>
              <w:t xml:space="preserve"> ISF</w:t>
            </w:r>
            <w:r w:rsidRPr="00BC76A2">
              <w:rPr>
                <w:sz w:val="18"/>
                <w:szCs w:val="18"/>
                <w:lang w:val="de-DE"/>
              </w:rPr>
              <w:t>]</w:t>
            </w:r>
          </w:p>
          <w:p w:rsidR="00A07942" w:rsidRPr="00BC76A2" w:rsidRDefault="004D0FBD" w:rsidP="00727189">
            <w:pPr>
              <w:rPr>
                <w:sz w:val="18"/>
                <w:szCs w:val="18"/>
                <w:lang w:val="de-DE"/>
              </w:rPr>
            </w:pPr>
            <w:r w:rsidRPr="00BC76A2">
              <w:rPr>
                <w:sz w:val="18"/>
                <w:szCs w:val="18"/>
                <w:lang w:val="de-DE"/>
              </w:rPr>
              <w:t>„</w:t>
            </w:r>
            <w:r w:rsidRPr="00BC76A2">
              <w:rPr>
                <w:sz w:val="18"/>
                <w:szCs w:val="18"/>
                <w:u w:val="single"/>
                <w:lang w:val="de-DE"/>
              </w:rPr>
              <w:t>Sortenbeschreibung d</w:t>
            </w:r>
            <w:r w:rsidR="00DB0B54" w:rsidRPr="00BC76A2">
              <w:rPr>
                <w:sz w:val="18"/>
                <w:szCs w:val="18"/>
                <w:u w:val="single"/>
                <w:lang w:val="de-DE"/>
              </w:rPr>
              <w:t>urch den</w:t>
            </w:r>
            <w:r w:rsidRPr="00BC76A2">
              <w:rPr>
                <w:sz w:val="18"/>
                <w:szCs w:val="18"/>
                <w:u w:val="single"/>
                <w:lang w:val="de-DE"/>
              </w:rPr>
              <w:t xml:space="preserve"> Antragsteller</w:t>
            </w:r>
            <w:r w:rsidR="00A07942" w:rsidRPr="00BC76A2">
              <w:rPr>
                <w:sz w:val="18"/>
                <w:szCs w:val="18"/>
                <w:lang w:val="de-DE"/>
              </w:rPr>
              <w:t xml:space="preserve">: In </w:t>
            </w:r>
            <w:r w:rsidRPr="00BC76A2">
              <w:rPr>
                <w:sz w:val="18"/>
                <w:szCs w:val="18"/>
                <w:lang w:val="de-DE"/>
              </w:rPr>
              <w:t>bestimmten Ländern werden Sorten in vollem Umfang vom Antragsteller beschrieben</w:t>
            </w:r>
            <w:r w:rsidR="00DB0B54" w:rsidRPr="00BC76A2">
              <w:rPr>
                <w:sz w:val="18"/>
                <w:szCs w:val="18"/>
                <w:lang w:val="de-DE"/>
              </w:rPr>
              <w:t>.</w:t>
            </w:r>
            <w:r w:rsidRPr="00BC76A2">
              <w:rPr>
                <w:sz w:val="18"/>
                <w:szCs w:val="18"/>
                <w:lang w:val="de-DE"/>
              </w:rPr>
              <w:t xml:space="preserve"> Das bedeutet, </w:t>
            </w:r>
            <w:r w:rsidR="00A0388E" w:rsidRPr="00BC76A2">
              <w:rPr>
                <w:sz w:val="18"/>
                <w:szCs w:val="18"/>
                <w:lang w:val="de-DE"/>
              </w:rPr>
              <w:t>daß</w:t>
            </w:r>
            <w:r w:rsidRPr="00BC76A2">
              <w:rPr>
                <w:sz w:val="18"/>
                <w:szCs w:val="18"/>
                <w:lang w:val="de-DE"/>
              </w:rPr>
              <w:t xml:space="preserve"> dieselbe Sorte infolge verschiedener Einflu</w:t>
            </w:r>
            <w:r w:rsidR="00DB0B54" w:rsidRPr="00BC76A2">
              <w:rPr>
                <w:rFonts w:cs="Arial"/>
                <w:sz w:val="18"/>
                <w:szCs w:val="18"/>
                <w:lang w:val="de-DE"/>
              </w:rPr>
              <w:t>ß</w:t>
            </w:r>
            <w:r w:rsidRPr="00BC76A2">
              <w:rPr>
                <w:sz w:val="18"/>
                <w:szCs w:val="18"/>
                <w:lang w:val="de-DE"/>
              </w:rPr>
              <w:t xml:space="preserve">faktoren (Anbauperiode, Wachstumsumgebung und Antragsteller-Prüfer) völlig unterschiedlich beschrieben </w:t>
            </w:r>
            <w:r w:rsidR="004E5810" w:rsidRPr="00BC76A2">
              <w:rPr>
                <w:sz w:val="18"/>
                <w:szCs w:val="18"/>
                <w:lang w:val="de-DE"/>
              </w:rPr>
              <w:t>werden</w:t>
            </w:r>
            <w:r w:rsidRPr="00BC76A2">
              <w:rPr>
                <w:sz w:val="18"/>
                <w:szCs w:val="18"/>
                <w:lang w:val="de-DE"/>
              </w:rPr>
              <w:t xml:space="preserve"> kann. Erstellt der Antragsteller die Sortenbeschreibung,</w:t>
            </w:r>
            <w:r w:rsidR="00A07942" w:rsidRPr="00BC76A2">
              <w:rPr>
                <w:sz w:val="18"/>
                <w:szCs w:val="18"/>
                <w:lang w:val="de-DE"/>
              </w:rPr>
              <w:t xml:space="preserve"> </w:t>
            </w:r>
            <w:r w:rsidRPr="00BC76A2">
              <w:rPr>
                <w:sz w:val="18"/>
                <w:szCs w:val="18"/>
                <w:lang w:val="de-DE"/>
              </w:rPr>
              <w:t>mu</w:t>
            </w:r>
            <w:r w:rsidR="00753412" w:rsidRPr="00BC76A2">
              <w:rPr>
                <w:sz w:val="18"/>
                <w:szCs w:val="18"/>
                <w:lang w:val="de-DE"/>
              </w:rPr>
              <w:t>ß</w:t>
            </w:r>
            <w:r w:rsidRPr="00BC76A2">
              <w:rPr>
                <w:sz w:val="18"/>
                <w:szCs w:val="18"/>
                <w:lang w:val="de-DE"/>
              </w:rPr>
              <w:t xml:space="preserve"> es harmonisiertere Regeln und eine Aufsicht durch die </w:t>
            </w:r>
            <w:r w:rsidR="004E5810" w:rsidRPr="00BC76A2">
              <w:rPr>
                <w:sz w:val="18"/>
                <w:szCs w:val="18"/>
                <w:lang w:val="de-DE"/>
              </w:rPr>
              <w:t>Züchterrechtsbehörden</w:t>
            </w:r>
            <w:r w:rsidRPr="00BC76A2">
              <w:rPr>
                <w:sz w:val="18"/>
                <w:szCs w:val="18"/>
                <w:lang w:val="de-DE"/>
              </w:rPr>
              <w:t xml:space="preserve"> geben. Eine angemessene Kalibrierung </w:t>
            </w:r>
            <w:r w:rsidR="004E5810" w:rsidRPr="00BC76A2">
              <w:rPr>
                <w:sz w:val="18"/>
                <w:szCs w:val="18"/>
                <w:lang w:val="de-DE"/>
              </w:rPr>
              <w:t>gemäß</w:t>
            </w:r>
            <w:r w:rsidRPr="00BC76A2">
              <w:rPr>
                <w:sz w:val="18"/>
                <w:szCs w:val="18"/>
                <w:lang w:val="de-DE"/>
              </w:rPr>
              <w:t xml:space="preserve"> UPOV</w:t>
            </w:r>
            <w:r w:rsidR="004F1BBE" w:rsidRPr="00BC76A2">
              <w:rPr>
                <w:sz w:val="18"/>
                <w:szCs w:val="18"/>
                <w:lang w:val="de-DE"/>
              </w:rPr>
              <w:noBreakHyphen/>
            </w:r>
            <w:r w:rsidR="004E5810" w:rsidRPr="00BC76A2">
              <w:rPr>
                <w:sz w:val="18"/>
                <w:szCs w:val="18"/>
                <w:lang w:val="de-DE"/>
              </w:rPr>
              <w:t>Normen</w:t>
            </w:r>
            <w:r w:rsidRPr="00BC76A2">
              <w:rPr>
                <w:sz w:val="18"/>
                <w:szCs w:val="18"/>
                <w:lang w:val="de-DE"/>
              </w:rPr>
              <w:t xml:space="preserve"> ist ein Weg zur Lösung der </w:t>
            </w:r>
            <w:r w:rsidR="004E5810" w:rsidRPr="00BC76A2">
              <w:rPr>
                <w:sz w:val="18"/>
                <w:szCs w:val="18"/>
                <w:lang w:val="de-DE"/>
              </w:rPr>
              <w:t>Probleme</w:t>
            </w:r>
            <w:r w:rsidRPr="00BC76A2">
              <w:rPr>
                <w:sz w:val="18"/>
                <w:szCs w:val="18"/>
                <w:lang w:val="de-DE"/>
              </w:rPr>
              <w:t>. In der Regel lä</w:t>
            </w:r>
            <w:r w:rsidR="00753412" w:rsidRPr="00BC76A2">
              <w:rPr>
                <w:sz w:val="18"/>
                <w:szCs w:val="18"/>
                <w:lang w:val="de-DE"/>
              </w:rPr>
              <w:t>ß</w:t>
            </w:r>
            <w:r w:rsidRPr="00BC76A2">
              <w:rPr>
                <w:sz w:val="18"/>
                <w:szCs w:val="18"/>
                <w:lang w:val="de-DE"/>
              </w:rPr>
              <w:t xml:space="preserve">t sich </w:t>
            </w:r>
            <w:r w:rsidR="004E5810" w:rsidRPr="00BC76A2">
              <w:rPr>
                <w:sz w:val="18"/>
                <w:szCs w:val="18"/>
                <w:lang w:val="de-DE"/>
              </w:rPr>
              <w:t>sagen</w:t>
            </w:r>
            <w:r w:rsidRPr="00BC76A2">
              <w:rPr>
                <w:sz w:val="18"/>
                <w:szCs w:val="18"/>
                <w:lang w:val="de-DE"/>
              </w:rPr>
              <w:t>, da</w:t>
            </w:r>
            <w:r w:rsidR="004F1BBE" w:rsidRPr="00BC76A2">
              <w:rPr>
                <w:rFonts w:cs="Arial"/>
                <w:sz w:val="18"/>
                <w:szCs w:val="18"/>
                <w:lang w:val="de-DE"/>
              </w:rPr>
              <w:t>ß</w:t>
            </w:r>
            <w:r w:rsidRPr="00BC76A2">
              <w:rPr>
                <w:sz w:val="18"/>
                <w:szCs w:val="18"/>
                <w:lang w:val="de-DE"/>
              </w:rPr>
              <w:t xml:space="preserve"> das </w:t>
            </w:r>
            <w:r w:rsidR="004E5810" w:rsidRPr="00BC76A2">
              <w:rPr>
                <w:sz w:val="18"/>
                <w:szCs w:val="18"/>
                <w:lang w:val="de-DE"/>
              </w:rPr>
              <w:t>Vorhandensein</w:t>
            </w:r>
            <w:r w:rsidRPr="00BC76A2">
              <w:rPr>
                <w:sz w:val="18"/>
                <w:szCs w:val="18"/>
                <w:lang w:val="de-DE"/>
              </w:rPr>
              <w:t xml:space="preserve"> eines zentralen Prüfungsamtes eine bessere und vollständigere </w:t>
            </w:r>
            <w:r w:rsidR="004E5810" w:rsidRPr="00BC76A2">
              <w:rPr>
                <w:sz w:val="18"/>
                <w:szCs w:val="18"/>
                <w:lang w:val="de-DE"/>
              </w:rPr>
              <w:t>Vergleichssammlung</w:t>
            </w:r>
            <w:r w:rsidRPr="00BC76A2">
              <w:rPr>
                <w:sz w:val="18"/>
                <w:szCs w:val="18"/>
                <w:lang w:val="de-DE"/>
              </w:rPr>
              <w:t xml:space="preserve"> </w:t>
            </w:r>
            <w:r w:rsidR="00506C31" w:rsidRPr="00BC76A2">
              <w:rPr>
                <w:sz w:val="18"/>
                <w:szCs w:val="18"/>
                <w:lang w:val="de-DE"/>
              </w:rPr>
              <w:t>ermöglicht und eine bessere Prüfung der Kandidatensorten gewährleistet</w:t>
            </w:r>
            <w:r w:rsidR="00A07942" w:rsidRPr="00BC76A2">
              <w:rPr>
                <w:sz w:val="18"/>
                <w:szCs w:val="18"/>
                <w:lang w:val="de-DE"/>
              </w:rPr>
              <w:t>.</w:t>
            </w:r>
          </w:p>
          <w:p w:rsidR="001362DE" w:rsidRPr="00BC76A2" w:rsidRDefault="001362DE" w:rsidP="00A07942">
            <w:pPr>
              <w:rPr>
                <w:sz w:val="18"/>
                <w:szCs w:val="18"/>
                <w:lang w:val="de-DE"/>
              </w:rPr>
            </w:pPr>
          </w:p>
          <w:p w:rsidR="005C3E02" w:rsidRPr="00BC76A2" w:rsidRDefault="00506C31" w:rsidP="001362DE">
            <w:pPr>
              <w:rPr>
                <w:sz w:val="18"/>
                <w:szCs w:val="18"/>
                <w:lang w:val="de-DE"/>
              </w:rPr>
            </w:pPr>
            <w:r w:rsidRPr="00BC76A2">
              <w:rPr>
                <w:sz w:val="18"/>
                <w:szCs w:val="18"/>
                <w:lang w:val="de-DE"/>
              </w:rPr>
              <w:t xml:space="preserve">Die Erstellung </w:t>
            </w:r>
            <w:r w:rsidR="004E5810" w:rsidRPr="00BC76A2">
              <w:rPr>
                <w:sz w:val="18"/>
                <w:szCs w:val="18"/>
                <w:lang w:val="de-DE"/>
              </w:rPr>
              <w:t>einer</w:t>
            </w:r>
            <w:r w:rsidRPr="00BC76A2">
              <w:rPr>
                <w:sz w:val="18"/>
                <w:szCs w:val="18"/>
                <w:lang w:val="de-DE"/>
              </w:rPr>
              <w:t xml:space="preserve"> Sortenbeschreibung, </w:t>
            </w:r>
            <w:r w:rsidR="004E5810" w:rsidRPr="00BC76A2">
              <w:rPr>
                <w:sz w:val="18"/>
                <w:szCs w:val="18"/>
                <w:lang w:val="de-DE"/>
              </w:rPr>
              <w:t>einschließlich</w:t>
            </w:r>
            <w:r w:rsidRPr="00BC76A2">
              <w:rPr>
                <w:sz w:val="18"/>
                <w:szCs w:val="18"/>
                <w:lang w:val="de-DE"/>
              </w:rPr>
              <w:t xml:space="preserve"> statistischer Daten, ist eine schwere Belastung für </w:t>
            </w:r>
            <w:r w:rsidR="004E5810" w:rsidRPr="00BC76A2">
              <w:rPr>
                <w:sz w:val="18"/>
                <w:szCs w:val="18"/>
                <w:lang w:val="de-DE"/>
              </w:rPr>
              <w:t>den</w:t>
            </w:r>
            <w:r w:rsidRPr="00BC76A2">
              <w:rPr>
                <w:sz w:val="18"/>
                <w:szCs w:val="18"/>
                <w:lang w:val="de-DE"/>
              </w:rPr>
              <w:t xml:space="preserve"> Antragsteller, was ein Grund dafür </w:t>
            </w:r>
            <w:r w:rsidR="004E5810" w:rsidRPr="00BC76A2">
              <w:rPr>
                <w:sz w:val="18"/>
                <w:szCs w:val="18"/>
                <w:lang w:val="de-DE"/>
              </w:rPr>
              <w:t>ist</w:t>
            </w:r>
            <w:r w:rsidRPr="00BC76A2">
              <w:rPr>
                <w:sz w:val="18"/>
                <w:szCs w:val="18"/>
                <w:lang w:val="de-DE"/>
              </w:rPr>
              <w:t xml:space="preserve">, </w:t>
            </w:r>
            <w:r w:rsidR="00A0388E" w:rsidRPr="00BC76A2">
              <w:rPr>
                <w:sz w:val="18"/>
                <w:szCs w:val="18"/>
                <w:lang w:val="de-DE"/>
              </w:rPr>
              <w:t>daß</w:t>
            </w:r>
            <w:r w:rsidRPr="00BC76A2">
              <w:rPr>
                <w:sz w:val="18"/>
                <w:szCs w:val="18"/>
                <w:lang w:val="de-DE"/>
              </w:rPr>
              <w:t xml:space="preserve"> Saatgutunternehmen in diesem Land keine Anträge auf </w:t>
            </w:r>
            <w:r w:rsidR="004E5810" w:rsidRPr="00BC76A2">
              <w:rPr>
                <w:sz w:val="18"/>
                <w:szCs w:val="18"/>
                <w:lang w:val="de-DE"/>
              </w:rPr>
              <w:t>Erteilung</w:t>
            </w:r>
            <w:r w:rsidRPr="00BC76A2">
              <w:rPr>
                <w:sz w:val="18"/>
                <w:szCs w:val="18"/>
                <w:lang w:val="de-DE"/>
              </w:rPr>
              <w:t xml:space="preserve"> von Züchterrechten stellen. Beispiel: Dieselben Sorten von Mais </w:t>
            </w:r>
            <w:r w:rsidR="004E5810" w:rsidRPr="00BC76A2">
              <w:rPr>
                <w:sz w:val="18"/>
                <w:szCs w:val="18"/>
                <w:lang w:val="de-DE"/>
              </w:rPr>
              <w:t>wurden</w:t>
            </w:r>
            <w:r w:rsidRPr="00BC76A2">
              <w:rPr>
                <w:sz w:val="18"/>
                <w:szCs w:val="18"/>
                <w:lang w:val="de-DE"/>
              </w:rPr>
              <w:t xml:space="preserve"> </w:t>
            </w:r>
            <w:r w:rsidR="004E5810" w:rsidRPr="00BC76A2">
              <w:rPr>
                <w:sz w:val="18"/>
                <w:szCs w:val="18"/>
                <w:lang w:val="de-DE"/>
              </w:rPr>
              <w:t>auf</w:t>
            </w:r>
            <w:r w:rsidRPr="00BC76A2">
              <w:rPr>
                <w:sz w:val="18"/>
                <w:szCs w:val="18"/>
                <w:lang w:val="de-DE"/>
              </w:rPr>
              <w:t xml:space="preserve"> </w:t>
            </w:r>
            <w:r w:rsidR="004E5810" w:rsidRPr="00BC76A2">
              <w:rPr>
                <w:sz w:val="18"/>
                <w:szCs w:val="18"/>
                <w:lang w:val="de-DE"/>
              </w:rPr>
              <w:t>derart</w:t>
            </w:r>
            <w:r w:rsidRPr="00BC76A2">
              <w:rPr>
                <w:sz w:val="18"/>
                <w:szCs w:val="18"/>
                <w:lang w:val="de-DE"/>
              </w:rPr>
              <w:t xml:space="preserve"> unterschiedliche Weise beschreiben, </w:t>
            </w:r>
            <w:r w:rsidR="00A0388E" w:rsidRPr="00BC76A2">
              <w:rPr>
                <w:sz w:val="18"/>
                <w:szCs w:val="18"/>
                <w:lang w:val="de-DE"/>
              </w:rPr>
              <w:t>daß</w:t>
            </w:r>
            <w:r w:rsidRPr="00BC76A2">
              <w:rPr>
                <w:sz w:val="18"/>
                <w:szCs w:val="18"/>
                <w:lang w:val="de-DE"/>
              </w:rPr>
              <w:t xml:space="preserve"> verschiedene Merkmale nicht mehr verwendet </w:t>
            </w:r>
            <w:r w:rsidR="004E5810" w:rsidRPr="00BC76A2">
              <w:rPr>
                <w:sz w:val="18"/>
                <w:szCs w:val="18"/>
                <w:lang w:val="de-DE"/>
              </w:rPr>
              <w:t>werden</w:t>
            </w:r>
            <w:r w:rsidRPr="00BC76A2">
              <w:rPr>
                <w:sz w:val="18"/>
                <w:szCs w:val="18"/>
                <w:lang w:val="de-DE"/>
              </w:rPr>
              <w:t xml:space="preserve"> können, um die Sorten zu unterscheiden.“</w:t>
            </w:r>
          </w:p>
          <w:p w:rsidR="001362DE" w:rsidRPr="00BC76A2" w:rsidRDefault="001362DE" w:rsidP="001362DE">
            <w:pPr>
              <w:rPr>
                <w:sz w:val="18"/>
                <w:szCs w:val="18"/>
                <w:lang w:val="de-DE"/>
              </w:rPr>
            </w:pPr>
          </w:p>
        </w:tc>
      </w:tr>
      <w:tr w:rsidR="005F3D0F" w:rsidRPr="00D9403C" w:rsidTr="00230328">
        <w:tc>
          <w:tcPr>
            <w:tcW w:w="8646" w:type="dxa"/>
          </w:tcPr>
          <w:p w:rsidR="005F3D0F" w:rsidRPr="00BC76A2" w:rsidRDefault="00DC766F" w:rsidP="00557635">
            <w:pPr>
              <w:rPr>
                <w:i/>
                <w:lang w:val="de-DE"/>
              </w:rPr>
            </w:pPr>
            <w:r w:rsidRPr="00BC76A2">
              <w:rPr>
                <w:i/>
                <w:lang w:val="de-DE"/>
              </w:rPr>
              <w:t>Einschlägiges UPOV-Material</w:t>
            </w:r>
            <w:r w:rsidR="005F3D0F" w:rsidRPr="00BC76A2">
              <w:rPr>
                <w:i/>
                <w:lang w:val="de-DE"/>
              </w:rPr>
              <w:t>:</w:t>
            </w:r>
          </w:p>
          <w:p w:rsidR="001362DE" w:rsidRPr="00BC76A2" w:rsidRDefault="001362DE" w:rsidP="00557635">
            <w:pPr>
              <w:rPr>
                <w:i/>
                <w:lang w:val="de-DE"/>
              </w:rPr>
            </w:pPr>
          </w:p>
          <w:p w:rsidR="005F3D0F" w:rsidRPr="00BC76A2" w:rsidRDefault="005F3D0F" w:rsidP="00EC5DC9">
            <w:pPr>
              <w:pStyle w:val="ListParagraph"/>
              <w:numPr>
                <w:ilvl w:val="0"/>
                <w:numId w:val="5"/>
              </w:numPr>
              <w:tabs>
                <w:tab w:val="left" w:pos="290"/>
                <w:tab w:val="left" w:pos="574"/>
              </w:tabs>
              <w:ind w:left="574" w:hanging="284"/>
              <w:rPr>
                <w:i/>
                <w:lang w:val="de-DE"/>
              </w:rPr>
            </w:pPr>
            <w:r w:rsidRPr="00BC76A2">
              <w:rPr>
                <w:i/>
                <w:snapToGrid w:val="0"/>
                <w:color w:val="000000"/>
                <w:lang w:val="de-DE"/>
              </w:rPr>
              <w:t xml:space="preserve">TGP/6 </w:t>
            </w:r>
            <w:r w:rsidR="008505B3" w:rsidRPr="00BC76A2">
              <w:rPr>
                <w:i/>
                <w:snapToGrid w:val="0"/>
                <w:color w:val="000000"/>
                <w:lang w:val="de-DE"/>
              </w:rPr>
              <w:t>„</w:t>
            </w:r>
            <w:r w:rsidR="007206B2" w:rsidRPr="00BC76A2">
              <w:rPr>
                <w:i/>
                <w:snapToGrid w:val="0"/>
                <w:color w:val="000000"/>
                <w:lang w:val="de-DE"/>
              </w:rPr>
              <w:t>Organisation</w:t>
            </w:r>
            <w:r w:rsidR="008505B3" w:rsidRPr="00BC76A2">
              <w:rPr>
                <w:i/>
                <w:snapToGrid w:val="0"/>
                <w:color w:val="000000"/>
                <w:lang w:val="de-DE"/>
              </w:rPr>
              <w:t xml:space="preserve"> der</w:t>
            </w:r>
            <w:r w:rsidRPr="00BC76A2">
              <w:rPr>
                <w:i/>
                <w:snapToGrid w:val="0"/>
                <w:color w:val="000000"/>
                <w:lang w:val="de-DE"/>
              </w:rPr>
              <w:t xml:space="preserve"> DUS</w:t>
            </w:r>
            <w:r w:rsidR="008505B3" w:rsidRPr="00BC76A2">
              <w:rPr>
                <w:i/>
                <w:snapToGrid w:val="0"/>
                <w:color w:val="000000"/>
                <w:lang w:val="de-DE"/>
              </w:rPr>
              <w:t>-</w:t>
            </w:r>
            <w:r w:rsidR="007206B2" w:rsidRPr="00BC76A2">
              <w:rPr>
                <w:i/>
                <w:snapToGrid w:val="0"/>
                <w:color w:val="000000"/>
                <w:lang w:val="de-DE"/>
              </w:rPr>
              <w:t>Prüfung</w:t>
            </w:r>
            <w:r w:rsidR="008505B3" w:rsidRPr="00BC76A2">
              <w:rPr>
                <w:i/>
                <w:snapToGrid w:val="0"/>
                <w:color w:val="000000"/>
                <w:lang w:val="de-DE"/>
              </w:rPr>
              <w:t>“</w:t>
            </w:r>
            <w:r w:rsidRPr="00BC76A2">
              <w:rPr>
                <w:i/>
                <w:snapToGrid w:val="0"/>
                <w:color w:val="000000"/>
                <w:lang w:val="de-DE"/>
              </w:rPr>
              <w:t xml:space="preserve">, </w:t>
            </w:r>
            <w:r w:rsidR="008505B3" w:rsidRPr="00BC76A2">
              <w:rPr>
                <w:i/>
                <w:snapToGrid w:val="0"/>
                <w:color w:val="000000"/>
                <w:lang w:val="de-DE"/>
              </w:rPr>
              <w:t>Abschnitt</w:t>
            </w:r>
            <w:r w:rsidRPr="00BC76A2">
              <w:rPr>
                <w:i/>
                <w:snapToGrid w:val="0"/>
                <w:color w:val="000000"/>
                <w:lang w:val="de-DE"/>
              </w:rPr>
              <w:t xml:space="preserve"> 3</w:t>
            </w:r>
            <w:r w:rsidR="008505B3" w:rsidRPr="00BC76A2">
              <w:rPr>
                <w:i/>
                <w:snapToGrid w:val="0"/>
                <w:color w:val="000000"/>
                <w:lang w:val="de-DE"/>
              </w:rPr>
              <w:t>,</w:t>
            </w:r>
            <w:r w:rsidRPr="00BC76A2">
              <w:rPr>
                <w:i/>
                <w:snapToGrid w:val="0"/>
                <w:color w:val="000000"/>
                <w:lang w:val="de-DE"/>
              </w:rPr>
              <w:t xml:space="preserve"> </w:t>
            </w:r>
            <w:r w:rsidR="008505B3" w:rsidRPr="00BC76A2">
              <w:rPr>
                <w:i/>
                <w:snapToGrid w:val="0"/>
                <w:color w:val="000000"/>
                <w:lang w:val="de-DE"/>
              </w:rPr>
              <w:t>„</w:t>
            </w:r>
            <w:r w:rsidR="008505B3" w:rsidRPr="00BC76A2">
              <w:rPr>
                <w:i/>
                <w:lang w:val="de-DE"/>
              </w:rPr>
              <w:t>Erklärung zu den Bedingungen für die Prüfung einer Sorte aufgrund der durch oder für den Züchter durchgeführten Anbauprüfungen und sonstigen Untersuchungen</w:t>
            </w:r>
            <w:r w:rsidR="00A0388E" w:rsidRPr="00BC76A2">
              <w:rPr>
                <w:i/>
                <w:lang w:val="de-DE"/>
              </w:rPr>
              <w:t>“</w:t>
            </w:r>
          </w:p>
        </w:tc>
      </w:tr>
    </w:tbl>
    <w:p w:rsidR="001362DE" w:rsidRPr="00BC76A2" w:rsidRDefault="001362DE">
      <w:pPr>
        <w:rPr>
          <w:lang w:val="de-DE"/>
        </w:rPr>
      </w:pPr>
    </w:p>
    <w:p w:rsidR="001362DE" w:rsidRPr="00BC76A2" w:rsidRDefault="001362DE" w:rsidP="00574BB5">
      <w:pPr>
        <w:pStyle w:val="Heading3"/>
        <w:rPr>
          <w:lang w:val="de-DE"/>
        </w:rPr>
      </w:pPr>
      <w:bookmarkStart w:id="174" w:name="_Toc379530104"/>
      <w:bookmarkStart w:id="175" w:name="_Toc380391651"/>
      <w:bookmarkStart w:id="176" w:name="_Toc380419891"/>
      <w:bookmarkStart w:id="177" w:name="_Toc380483691"/>
      <w:r w:rsidRPr="00BC76A2">
        <w:rPr>
          <w:lang w:val="de-DE"/>
        </w:rPr>
        <w:t>g)</w:t>
      </w:r>
      <w:r w:rsidRPr="00BC76A2">
        <w:rPr>
          <w:lang w:val="de-DE"/>
        </w:rPr>
        <w:tab/>
      </w:r>
      <w:r w:rsidR="008505B3" w:rsidRPr="00BC76A2">
        <w:rPr>
          <w:lang w:val="de-DE"/>
        </w:rPr>
        <w:t>Datenbanken für Sortenbeschreibungen</w:t>
      </w:r>
      <w:bookmarkEnd w:id="174"/>
      <w:bookmarkEnd w:id="175"/>
      <w:bookmarkEnd w:id="176"/>
      <w:bookmarkEnd w:id="177"/>
    </w:p>
    <w:p w:rsidR="001362DE" w:rsidRPr="00BC76A2" w:rsidRDefault="001362DE">
      <w:pPr>
        <w:rPr>
          <w:lang w:val="de-DE"/>
        </w:rPr>
      </w:pPr>
    </w:p>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6"/>
      </w:tblGrid>
      <w:tr w:rsidR="00F0027E" w:rsidRPr="00D9403C" w:rsidTr="00230328">
        <w:tc>
          <w:tcPr>
            <w:tcW w:w="8646" w:type="dxa"/>
          </w:tcPr>
          <w:p w:rsidR="00727189" w:rsidRPr="00BC76A2" w:rsidRDefault="00727189" w:rsidP="00727189">
            <w:pPr>
              <w:rPr>
                <w:sz w:val="18"/>
                <w:szCs w:val="18"/>
                <w:lang w:val="de-DE"/>
              </w:rPr>
            </w:pPr>
            <w:r w:rsidRPr="00BC76A2">
              <w:rPr>
                <w:sz w:val="18"/>
                <w:szCs w:val="18"/>
                <w:lang w:val="de-DE"/>
              </w:rPr>
              <w:t>[</w:t>
            </w:r>
            <w:r w:rsidR="008D2477" w:rsidRPr="00BC76A2">
              <w:rPr>
                <w:sz w:val="18"/>
                <w:szCs w:val="18"/>
                <w:lang w:val="de-DE"/>
              </w:rPr>
              <w:t>Auszug aus dem Schreiben de</w:t>
            </w:r>
            <w:r w:rsidR="00EC5DC9">
              <w:rPr>
                <w:sz w:val="18"/>
                <w:szCs w:val="18"/>
                <w:lang w:val="de-DE"/>
              </w:rPr>
              <w:t>s</w:t>
            </w:r>
            <w:r w:rsidR="008D2477" w:rsidRPr="00BC76A2">
              <w:rPr>
                <w:sz w:val="18"/>
                <w:szCs w:val="18"/>
                <w:lang w:val="de-DE"/>
              </w:rPr>
              <w:t xml:space="preserve"> ISF</w:t>
            </w:r>
            <w:r w:rsidRPr="00BC76A2">
              <w:rPr>
                <w:sz w:val="18"/>
                <w:szCs w:val="18"/>
                <w:lang w:val="de-DE"/>
              </w:rPr>
              <w:t>]</w:t>
            </w:r>
          </w:p>
          <w:p w:rsidR="00F0027E" w:rsidRPr="00BC76A2" w:rsidRDefault="00506C31" w:rsidP="00727189">
            <w:pPr>
              <w:rPr>
                <w:sz w:val="18"/>
                <w:szCs w:val="18"/>
                <w:lang w:val="de-DE"/>
              </w:rPr>
            </w:pPr>
            <w:r w:rsidRPr="00BC76A2">
              <w:rPr>
                <w:sz w:val="18"/>
                <w:szCs w:val="18"/>
                <w:lang w:val="de-DE"/>
              </w:rPr>
              <w:t>„</w:t>
            </w:r>
            <w:r w:rsidRPr="00BC76A2">
              <w:rPr>
                <w:sz w:val="18"/>
                <w:szCs w:val="18"/>
                <w:u w:val="single"/>
                <w:lang w:val="de-DE"/>
              </w:rPr>
              <w:t>Datenbank für Sortenbeschreibungen</w:t>
            </w:r>
            <w:r w:rsidR="001362DE" w:rsidRPr="00BC76A2">
              <w:rPr>
                <w:sz w:val="18"/>
                <w:szCs w:val="18"/>
                <w:lang w:val="de-DE"/>
              </w:rPr>
              <w:t xml:space="preserve">: </w:t>
            </w:r>
            <w:r w:rsidRPr="00BC76A2">
              <w:rPr>
                <w:sz w:val="18"/>
                <w:szCs w:val="18"/>
                <w:lang w:val="de-DE"/>
              </w:rPr>
              <w:t xml:space="preserve">Für alle </w:t>
            </w:r>
            <w:r w:rsidR="004E5810" w:rsidRPr="00BC76A2">
              <w:rPr>
                <w:sz w:val="18"/>
                <w:szCs w:val="18"/>
                <w:lang w:val="de-DE"/>
              </w:rPr>
              <w:t>Beteiligten</w:t>
            </w:r>
            <w:r w:rsidRPr="00BC76A2">
              <w:rPr>
                <w:sz w:val="18"/>
                <w:szCs w:val="18"/>
                <w:lang w:val="de-DE"/>
              </w:rPr>
              <w:t xml:space="preserve"> sollte eine </w:t>
            </w:r>
            <w:r w:rsidR="004E5810" w:rsidRPr="00BC76A2">
              <w:rPr>
                <w:sz w:val="18"/>
                <w:szCs w:val="18"/>
                <w:lang w:val="de-DE"/>
              </w:rPr>
              <w:t>Datenbank</w:t>
            </w:r>
            <w:r w:rsidRPr="00BC76A2">
              <w:rPr>
                <w:sz w:val="18"/>
                <w:szCs w:val="18"/>
                <w:lang w:val="de-DE"/>
              </w:rPr>
              <w:t xml:space="preserve"> für Sortenbeschreibungen, </w:t>
            </w:r>
            <w:r w:rsidR="004E5810" w:rsidRPr="00BC76A2">
              <w:rPr>
                <w:sz w:val="18"/>
                <w:szCs w:val="18"/>
                <w:lang w:val="de-DE"/>
              </w:rPr>
              <w:t>einschließlich</w:t>
            </w:r>
            <w:r w:rsidRPr="00BC76A2">
              <w:rPr>
                <w:sz w:val="18"/>
                <w:szCs w:val="18"/>
                <w:lang w:val="de-DE"/>
              </w:rPr>
              <w:t xml:space="preserve"> der Informationen im </w:t>
            </w:r>
            <w:r w:rsidR="004E5810" w:rsidRPr="00BC76A2">
              <w:rPr>
                <w:sz w:val="18"/>
                <w:szCs w:val="18"/>
                <w:lang w:val="de-DE"/>
              </w:rPr>
              <w:t>Technischen</w:t>
            </w:r>
            <w:r w:rsidRPr="00BC76A2">
              <w:rPr>
                <w:sz w:val="18"/>
                <w:szCs w:val="18"/>
                <w:lang w:val="de-DE"/>
              </w:rPr>
              <w:t xml:space="preserve"> </w:t>
            </w:r>
            <w:r w:rsidR="004E5810" w:rsidRPr="00BC76A2">
              <w:rPr>
                <w:sz w:val="18"/>
                <w:szCs w:val="18"/>
                <w:lang w:val="de-DE"/>
              </w:rPr>
              <w:t>Fragebogen</w:t>
            </w:r>
            <w:r w:rsidRPr="00BC76A2">
              <w:rPr>
                <w:sz w:val="18"/>
                <w:szCs w:val="18"/>
                <w:lang w:val="de-DE"/>
              </w:rPr>
              <w:t xml:space="preserve">, verfügbar sein. Dies würde die Verwaltung von </w:t>
            </w:r>
            <w:r w:rsidR="004E5810" w:rsidRPr="00BC76A2">
              <w:rPr>
                <w:sz w:val="18"/>
                <w:szCs w:val="18"/>
                <w:lang w:val="de-DE"/>
              </w:rPr>
              <w:t>Vergleichssammlungen</w:t>
            </w:r>
            <w:r w:rsidRPr="00BC76A2">
              <w:rPr>
                <w:sz w:val="18"/>
                <w:szCs w:val="18"/>
                <w:lang w:val="de-DE"/>
              </w:rPr>
              <w:t xml:space="preserve"> verbessern und eine bessere Grundlage für die Auswahl der </w:t>
            </w:r>
            <w:r w:rsidR="004E5810" w:rsidRPr="00BC76A2">
              <w:rPr>
                <w:sz w:val="18"/>
                <w:szCs w:val="18"/>
                <w:lang w:val="de-DE"/>
              </w:rPr>
              <w:t>Vergleichssorten</w:t>
            </w:r>
            <w:r w:rsidRPr="00BC76A2">
              <w:rPr>
                <w:sz w:val="18"/>
                <w:szCs w:val="18"/>
                <w:lang w:val="de-DE"/>
              </w:rPr>
              <w:t xml:space="preserve"> bieten.</w:t>
            </w:r>
          </w:p>
          <w:p w:rsidR="001362DE" w:rsidRPr="00BC76A2" w:rsidRDefault="001362DE" w:rsidP="001362DE">
            <w:pPr>
              <w:rPr>
                <w:sz w:val="18"/>
                <w:szCs w:val="18"/>
                <w:lang w:val="de-DE"/>
              </w:rPr>
            </w:pPr>
          </w:p>
        </w:tc>
      </w:tr>
      <w:tr w:rsidR="00F0027E" w:rsidRPr="00BC76A2" w:rsidTr="00230328">
        <w:tc>
          <w:tcPr>
            <w:tcW w:w="8646" w:type="dxa"/>
          </w:tcPr>
          <w:p w:rsidR="00F0027E" w:rsidRPr="00BC76A2" w:rsidRDefault="00D372D6" w:rsidP="00D372D6">
            <w:pPr>
              <w:rPr>
                <w:i/>
                <w:lang w:val="de-DE"/>
              </w:rPr>
            </w:pPr>
            <w:r w:rsidRPr="00BC76A2">
              <w:rPr>
                <w:i/>
                <w:lang w:val="de-DE"/>
              </w:rPr>
              <w:t>Siehe unten</w:t>
            </w:r>
          </w:p>
        </w:tc>
      </w:tr>
    </w:tbl>
    <w:p w:rsidR="00505A73" w:rsidRPr="00BC76A2" w:rsidRDefault="00505A73" w:rsidP="00505A73">
      <w:pPr>
        <w:rPr>
          <w:lang w:val="de-DE"/>
        </w:rPr>
      </w:pPr>
    </w:p>
    <w:p w:rsidR="00505A73" w:rsidRPr="00BC76A2" w:rsidRDefault="00505A73" w:rsidP="00505A73">
      <w:pPr>
        <w:rPr>
          <w:lang w:val="de-DE"/>
        </w:rPr>
      </w:pPr>
      <w:r w:rsidRPr="00BC76A2">
        <w:rPr>
          <w:lang w:val="de-DE"/>
        </w:rPr>
        <w:fldChar w:fldCharType="begin"/>
      </w:r>
      <w:r w:rsidRPr="00BC76A2">
        <w:rPr>
          <w:lang w:val="de-DE"/>
        </w:rPr>
        <w:instrText xml:space="preserve"> AUTONUM  </w:instrText>
      </w:r>
      <w:r w:rsidRPr="00BC76A2">
        <w:rPr>
          <w:lang w:val="de-DE"/>
        </w:rPr>
        <w:fldChar w:fldCharType="end"/>
      </w:r>
      <w:r w:rsidRPr="00BC76A2">
        <w:rPr>
          <w:lang w:val="de-DE"/>
        </w:rPr>
        <w:tab/>
      </w:r>
      <w:r w:rsidR="00D372D6" w:rsidRPr="00BC76A2">
        <w:rPr>
          <w:lang w:val="de-DE"/>
        </w:rPr>
        <w:t>Der</w:t>
      </w:r>
      <w:r w:rsidRPr="00BC76A2">
        <w:rPr>
          <w:lang w:val="de-DE"/>
        </w:rPr>
        <w:t xml:space="preserve"> </w:t>
      </w:r>
      <w:r w:rsidR="00D372D6" w:rsidRPr="00BC76A2">
        <w:rPr>
          <w:lang w:val="de-DE"/>
        </w:rPr>
        <w:t>Beratende Ausschu</w:t>
      </w:r>
      <w:r w:rsidR="00753412" w:rsidRPr="00BC76A2">
        <w:rPr>
          <w:lang w:val="de-DE"/>
        </w:rPr>
        <w:t>ß</w:t>
      </w:r>
      <w:r w:rsidRPr="00BC76A2">
        <w:rPr>
          <w:lang w:val="de-DE"/>
        </w:rPr>
        <w:t xml:space="preserve"> </w:t>
      </w:r>
      <w:r w:rsidR="00D372D6" w:rsidRPr="00BC76A2">
        <w:rPr>
          <w:lang w:val="de-DE"/>
        </w:rPr>
        <w:t xml:space="preserve">ersuchte das Verbandsbüro und </w:t>
      </w:r>
      <w:r w:rsidR="007206B2" w:rsidRPr="00BC76A2">
        <w:rPr>
          <w:lang w:val="de-DE"/>
        </w:rPr>
        <w:t>d</w:t>
      </w:r>
      <w:r w:rsidR="00EC5DC9">
        <w:rPr>
          <w:lang w:val="de-DE"/>
        </w:rPr>
        <w:t>en</w:t>
      </w:r>
      <w:r w:rsidR="00ED63BD" w:rsidRPr="00BC76A2">
        <w:rPr>
          <w:lang w:val="de-DE"/>
        </w:rPr>
        <w:t xml:space="preserve"> </w:t>
      </w:r>
      <w:r w:rsidR="00D372D6" w:rsidRPr="00BC76A2">
        <w:rPr>
          <w:lang w:val="de-DE"/>
        </w:rPr>
        <w:t xml:space="preserve">ISF, </w:t>
      </w:r>
      <w:r w:rsidR="007206B2" w:rsidRPr="00BC76A2">
        <w:rPr>
          <w:lang w:val="de-DE"/>
        </w:rPr>
        <w:t>die vorhandenen</w:t>
      </w:r>
      <w:r w:rsidR="00D372D6" w:rsidRPr="00BC76A2">
        <w:rPr>
          <w:lang w:val="de-DE"/>
        </w:rPr>
        <w:t xml:space="preserve"> </w:t>
      </w:r>
      <w:r w:rsidR="007206B2" w:rsidRPr="00BC76A2">
        <w:rPr>
          <w:lang w:val="de-DE"/>
        </w:rPr>
        <w:t>Probleme sowie etwaige Lösungen in bezug auf die Ideen de</w:t>
      </w:r>
      <w:r w:rsidR="00EC5DC9">
        <w:rPr>
          <w:lang w:val="de-DE"/>
        </w:rPr>
        <w:t>s</w:t>
      </w:r>
      <w:r w:rsidR="007206B2" w:rsidRPr="00BC76A2">
        <w:rPr>
          <w:lang w:val="de-DE"/>
        </w:rPr>
        <w:t xml:space="preserve"> ISF betreffend ein internationales Registratur</w:t>
      </w:r>
      <w:r w:rsidR="00ED63BD" w:rsidRPr="00BC76A2">
        <w:rPr>
          <w:lang w:val="de-DE"/>
        </w:rPr>
        <w:t>s</w:t>
      </w:r>
      <w:r w:rsidR="007206B2" w:rsidRPr="00BC76A2">
        <w:rPr>
          <w:lang w:val="de-DE"/>
        </w:rPr>
        <w:t>ystem, ein UPOV-Qualitätssicherungsprogramm und ein zentrales Prüfungssystem für Sortenbezeichnungen</w:t>
      </w:r>
      <w:r w:rsidR="00523B95" w:rsidRPr="00BC76A2">
        <w:rPr>
          <w:lang w:val="de-DE"/>
        </w:rPr>
        <w:t xml:space="preserve"> näher auszuführen</w:t>
      </w:r>
      <w:r w:rsidR="007206B2" w:rsidRPr="00BC76A2">
        <w:rPr>
          <w:lang w:val="de-DE"/>
        </w:rPr>
        <w:t>, die vom Beratenden Ausschu</w:t>
      </w:r>
      <w:r w:rsidR="00753412" w:rsidRPr="00BC76A2">
        <w:rPr>
          <w:lang w:val="de-DE"/>
        </w:rPr>
        <w:t>ß</w:t>
      </w:r>
      <w:r w:rsidR="007206B2" w:rsidRPr="00BC76A2">
        <w:rPr>
          <w:lang w:val="de-DE"/>
        </w:rPr>
        <w:t xml:space="preserve"> auf seiner siebenundachtzigsten Tagung geprüft werden sollen.</w:t>
      </w:r>
    </w:p>
    <w:p w:rsidR="00CE1419" w:rsidRPr="00BC76A2" w:rsidRDefault="00CE1419" w:rsidP="00505A73">
      <w:pPr>
        <w:rPr>
          <w:lang w:val="de-DE"/>
        </w:rPr>
      </w:pPr>
    </w:p>
    <w:p w:rsidR="00CE1419" w:rsidRPr="00BC76A2" w:rsidRDefault="00CE1419" w:rsidP="00505A73">
      <w:pPr>
        <w:rPr>
          <w:lang w:val="de-DE"/>
        </w:rPr>
      </w:pPr>
      <w:r w:rsidRPr="00BC76A2">
        <w:rPr>
          <w:lang w:val="de-DE"/>
        </w:rPr>
        <w:fldChar w:fldCharType="begin"/>
      </w:r>
      <w:r w:rsidRPr="00BC76A2">
        <w:rPr>
          <w:lang w:val="de-DE"/>
        </w:rPr>
        <w:instrText xml:space="preserve"> AUTONUM  </w:instrText>
      </w:r>
      <w:r w:rsidRPr="00BC76A2">
        <w:rPr>
          <w:lang w:val="de-DE"/>
        </w:rPr>
        <w:fldChar w:fldCharType="end"/>
      </w:r>
      <w:r w:rsidRPr="00BC76A2">
        <w:rPr>
          <w:lang w:val="de-DE"/>
        </w:rPr>
        <w:tab/>
      </w:r>
      <w:r w:rsidR="007206B2" w:rsidRPr="00BC76A2">
        <w:rPr>
          <w:lang w:val="de-DE"/>
        </w:rPr>
        <w:t>Der TC könnte als ersten Schritt zur Prüfung der dem TC vom Beratenden Ausschu</w:t>
      </w:r>
      <w:r w:rsidR="00753412" w:rsidRPr="00BC76A2">
        <w:rPr>
          <w:lang w:val="de-DE"/>
        </w:rPr>
        <w:t>ß</w:t>
      </w:r>
      <w:r w:rsidR="007206B2" w:rsidRPr="00BC76A2">
        <w:rPr>
          <w:lang w:val="de-DE"/>
        </w:rPr>
        <w:t xml:space="preserve"> überwiesenen Fragen in den Punkten a) bis f) oben </w:t>
      </w:r>
      <w:r w:rsidR="00EC5DC9">
        <w:rPr>
          <w:lang w:val="de-DE"/>
        </w:rPr>
        <w:t>den</w:t>
      </w:r>
      <w:r w:rsidR="007206B2" w:rsidRPr="00BC76A2">
        <w:rPr>
          <w:lang w:val="de-DE"/>
        </w:rPr>
        <w:t xml:space="preserve"> ISF </w:t>
      </w:r>
      <w:r w:rsidR="00523B95" w:rsidRPr="00BC76A2">
        <w:rPr>
          <w:lang w:val="de-DE"/>
        </w:rPr>
        <w:t xml:space="preserve">zu </w:t>
      </w:r>
      <w:r w:rsidR="007206B2" w:rsidRPr="00BC76A2">
        <w:rPr>
          <w:lang w:val="de-DE"/>
        </w:rPr>
        <w:t xml:space="preserve">ersuchen </w:t>
      </w:r>
      <w:r w:rsidR="00523B95" w:rsidRPr="00BC76A2">
        <w:rPr>
          <w:lang w:val="de-DE"/>
        </w:rPr>
        <w:t>wünsch</w:t>
      </w:r>
      <w:r w:rsidR="007206B2" w:rsidRPr="00BC76A2">
        <w:rPr>
          <w:lang w:val="de-DE"/>
        </w:rPr>
        <w:t>en, das angegebene einschlägige UPOV</w:t>
      </w:r>
      <w:r w:rsidR="00523B95" w:rsidRPr="00BC76A2">
        <w:rPr>
          <w:lang w:val="de-DE"/>
        </w:rPr>
        <w:noBreakHyphen/>
      </w:r>
      <w:r w:rsidR="007206B2" w:rsidRPr="00BC76A2">
        <w:rPr>
          <w:lang w:val="de-DE"/>
        </w:rPr>
        <w:t xml:space="preserve">Material zu prüfen und zu erläutern, in welcher Hinsicht </w:t>
      </w:r>
      <w:r w:rsidR="009D434D" w:rsidRPr="00BC76A2">
        <w:rPr>
          <w:lang w:val="de-DE"/>
        </w:rPr>
        <w:t>ihres</w:t>
      </w:r>
      <w:r w:rsidR="007206B2" w:rsidRPr="00BC76A2">
        <w:rPr>
          <w:lang w:val="de-DE"/>
        </w:rPr>
        <w:t xml:space="preserve"> Erachtens weitere Anleitung ausgearbeitet werden könnte.</w:t>
      </w:r>
    </w:p>
    <w:p w:rsidR="00FA5BBD" w:rsidRPr="00BC76A2" w:rsidRDefault="00FA5BBD" w:rsidP="00505A73">
      <w:pPr>
        <w:rPr>
          <w:lang w:val="de-DE"/>
        </w:rPr>
      </w:pPr>
    </w:p>
    <w:p w:rsidR="009628A1" w:rsidRPr="00BC76A2" w:rsidRDefault="009628A1" w:rsidP="009628A1">
      <w:pPr>
        <w:rPr>
          <w:lang w:val="de-DE"/>
        </w:rPr>
      </w:pPr>
      <w:r w:rsidRPr="00BC76A2">
        <w:rPr>
          <w:lang w:val="de-DE"/>
        </w:rPr>
        <w:fldChar w:fldCharType="begin"/>
      </w:r>
      <w:r w:rsidRPr="00BC76A2">
        <w:rPr>
          <w:lang w:val="de-DE"/>
        </w:rPr>
        <w:instrText xml:space="preserve"> AUTONUM  </w:instrText>
      </w:r>
      <w:r w:rsidRPr="00BC76A2">
        <w:rPr>
          <w:lang w:val="de-DE"/>
        </w:rPr>
        <w:fldChar w:fldCharType="end"/>
      </w:r>
      <w:r w:rsidRPr="00BC76A2">
        <w:rPr>
          <w:lang w:val="de-DE"/>
        </w:rPr>
        <w:tab/>
      </w:r>
      <w:r w:rsidR="007206B2" w:rsidRPr="00BC76A2">
        <w:rPr>
          <w:lang w:val="de-DE"/>
        </w:rPr>
        <w:t>In bezug auf ein Ersuche</w:t>
      </w:r>
      <w:r w:rsidR="00523B95" w:rsidRPr="00BC76A2">
        <w:rPr>
          <w:lang w:val="de-DE"/>
        </w:rPr>
        <w:t>n</w:t>
      </w:r>
      <w:r w:rsidR="007206B2" w:rsidRPr="00BC76A2">
        <w:rPr>
          <w:lang w:val="de-DE"/>
        </w:rPr>
        <w:t xml:space="preserve"> de</w:t>
      </w:r>
      <w:r w:rsidR="00EC5DC9">
        <w:rPr>
          <w:lang w:val="de-DE"/>
        </w:rPr>
        <w:t>s</w:t>
      </w:r>
      <w:r w:rsidR="007206B2" w:rsidRPr="00BC76A2">
        <w:rPr>
          <w:lang w:val="de-DE"/>
        </w:rPr>
        <w:t xml:space="preserve"> ISF, eine Datenbank für Sortenbeschreibungen einzurichten, die </w:t>
      </w:r>
      <w:r w:rsidR="00523B95" w:rsidRPr="00BC76A2">
        <w:rPr>
          <w:lang w:val="de-DE"/>
        </w:rPr>
        <w:t xml:space="preserve">die </w:t>
      </w:r>
      <w:r w:rsidR="007206B2" w:rsidRPr="00BC76A2">
        <w:rPr>
          <w:lang w:val="de-DE"/>
        </w:rPr>
        <w:t>TQ-Informationen enthält</w:t>
      </w:r>
      <w:r w:rsidR="00523B95" w:rsidRPr="00BC76A2">
        <w:rPr>
          <w:lang w:val="de-DE"/>
        </w:rPr>
        <w:t xml:space="preserve"> und</w:t>
      </w:r>
      <w:r w:rsidR="007206B2" w:rsidRPr="00BC76A2">
        <w:rPr>
          <w:lang w:val="de-DE"/>
        </w:rPr>
        <w:t xml:space="preserve"> allen Beteiligten zur Verfügen stehen würde (vergleiche g) oben), vereinbarte der Beratende Ausschu</w:t>
      </w:r>
      <w:r w:rsidR="00753412" w:rsidRPr="00BC76A2">
        <w:rPr>
          <w:lang w:val="de-DE"/>
        </w:rPr>
        <w:t>ß</w:t>
      </w:r>
      <w:r w:rsidR="007206B2" w:rsidRPr="00BC76A2">
        <w:rPr>
          <w:lang w:val="de-DE"/>
        </w:rPr>
        <w:t>, d</w:t>
      </w:r>
      <w:r w:rsidR="00EC5DC9">
        <w:rPr>
          <w:lang w:val="de-DE"/>
        </w:rPr>
        <w:t>en</w:t>
      </w:r>
      <w:r w:rsidR="007206B2" w:rsidRPr="00BC76A2">
        <w:rPr>
          <w:lang w:val="de-DE"/>
        </w:rPr>
        <w:t xml:space="preserve"> ISF zu ersuchen, dem TC </w:t>
      </w:r>
      <w:r w:rsidR="00523B95" w:rsidRPr="00BC76A2">
        <w:rPr>
          <w:lang w:val="de-DE"/>
        </w:rPr>
        <w:t>ihr</w:t>
      </w:r>
      <w:r w:rsidR="007206B2" w:rsidRPr="00BC76A2">
        <w:rPr>
          <w:lang w:val="de-DE"/>
        </w:rPr>
        <w:t>e Ansichten bezüglich der Datenbanken von Sortenbeschreibungen und der vom TC für die Veröffentlichung von Sortenbeschreibungen ausgewiesenen Kriterien</w:t>
      </w:r>
      <w:r w:rsidR="00466A49" w:rsidRPr="00BC76A2">
        <w:rPr>
          <w:lang w:val="de-DE"/>
        </w:rPr>
        <w:t>,</w:t>
      </w:r>
      <w:r w:rsidR="007206B2" w:rsidRPr="00BC76A2">
        <w:rPr>
          <w:lang w:val="de-DE"/>
        </w:rPr>
        <w:t xml:space="preserve"> </w:t>
      </w:r>
      <w:r w:rsidR="00523B95" w:rsidRPr="00BC76A2">
        <w:rPr>
          <w:lang w:val="de-DE"/>
        </w:rPr>
        <w:t>wie in Dokument TC/45/9 „Veröffentlichung von Sortenbeschreibungen“, dargelegt, auseinanderzusetzen.</w:t>
      </w:r>
      <w:r w:rsidR="007206B2" w:rsidRPr="00BC76A2">
        <w:rPr>
          <w:lang w:val="de-DE"/>
        </w:rPr>
        <w:t xml:space="preserve"> </w:t>
      </w:r>
      <w:r w:rsidRPr="00BC76A2">
        <w:rPr>
          <w:lang w:val="de-DE"/>
        </w:rPr>
        <w:t>Do</w:t>
      </w:r>
      <w:r w:rsidR="00FF341C" w:rsidRPr="00BC76A2">
        <w:rPr>
          <w:lang w:val="de-DE"/>
        </w:rPr>
        <w:t>k</w:t>
      </w:r>
      <w:r w:rsidRPr="00BC76A2">
        <w:rPr>
          <w:lang w:val="de-DE"/>
        </w:rPr>
        <w:t xml:space="preserve">ument TC/45/9 </w:t>
      </w:r>
      <w:r w:rsidR="00FF341C" w:rsidRPr="00BC76A2">
        <w:rPr>
          <w:lang w:val="de-DE"/>
        </w:rPr>
        <w:t>sagt folgendes aus</w:t>
      </w:r>
      <w:r w:rsidRPr="00BC76A2">
        <w:rPr>
          <w:lang w:val="de-DE"/>
        </w:rPr>
        <w:t>:</w:t>
      </w:r>
    </w:p>
    <w:p w:rsidR="009628A1" w:rsidRPr="00BC76A2" w:rsidRDefault="009628A1" w:rsidP="009628A1">
      <w:pPr>
        <w:rPr>
          <w:lang w:val="de-DE"/>
        </w:rPr>
      </w:pPr>
    </w:p>
    <w:p w:rsidR="009812EA" w:rsidRPr="00BC76A2" w:rsidRDefault="00955F5D" w:rsidP="00955F5D">
      <w:pPr>
        <w:ind w:left="567" w:right="567"/>
        <w:rPr>
          <w:sz w:val="18"/>
          <w:szCs w:val="18"/>
          <w:lang w:val="de-DE"/>
        </w:rPr>
      </w:pPr>
      <w:r w:rsidRPr="00BC76A2">
        <w:rPr>
          <w:sz w:val="18"/>
          <w:szCs w:val="18"/>
          <w:lang w:val="de-DE"/>
        </w:rPr>
        <w:t>„</w:t>
      </w:r>
      <w:r w:rsidR="009628A1" w:rsidRPr="00BC76A2">
        <w:rPr>
          <w:sz w:val="18"/>
          <w:szCs w:val="18"/>
          <w:lang w:val="de-DE"/>
        </w:rPr>
        <w:t>1.</w:t>
      </w:r>
      <w:r w:rsidR="009628A1" w:rsidRPr="00BC76A2">
        <w:rPr>
          <w:sz w:val="18"/>
          <w:szCs w:val="18"/>
          <w:lang w:val="de-DE"/>
        </w:rPr>
        <w:tab/>
      </w:r>
      <w:r w:rsidR="009812EA" w:rsidRPr="00BC76A2">
        <w:rPr>
          <w:sz w:val="18"/>
          <w:szCs w:val="18"/>
          <w:lang w:val="de-DE"/>
        </w:rPr>
        <w:t>Es wird daran erinnert, daß es das Ziel des Projekts zur Prüfung der Veröffentlichung von Sortenbeschreibungen (vergleiche Dokument TC/38/10, Anlage) war:</w:t>
      </w:r>
    </w:p>
    <w:p w:rsidR="009812EA" w:rsidRPr="00BC76A2" w:rsidRDefault="009812EA" w:rsidP="00955F5D">
      <w:pPr>
        <w:ind w:right="567"/>
        <w:rPr>
          <w:sz w:val="18"/>
          <w:szCs w:val="18"/>
          <w:lang w:val="de-DE"/>
        </w:rPr>
      </w:pPr>
    </w:p>
    <w:p w:rsidR="009812EA" w:rsidRPr="00BC76A2" w:rsidRDefault="009812EA" w:rsidP="00955F5D">
      <w:pPr>
        <w:ind w:left="1134" w:right="567"/>
        <w:rPr>
          <w:sz w:val="18"/>
          <w:szCs w:val="18"/>
          <w:lang w:val="de-DE"/>
        </w:rPr>
      </w:pPr>
      <w:r w:rsidRPr="00BC76A2">
        <w:rPr>
          <w:sz w:val="18"/>
          <w:szCs w:val="18"/>
          <w:lang w:val="de-DE"/>
        </w:rPr>
        <w:t>a) die Verfügbarkeit von Sortenbeschreibungen für Beteiligte (d. h. DUS-Prüfer, Züchter und Erhaltungszüchter allgemein bekannter Sorten) zu erhöhen und dadurch die Wirksamkeit der Unterscheidbarkeitsprüfung auf ein Höchstmaß zu steigern, und</w:t>
      </w:r>
    </w:p>
    <w:p w:rsidR="009812EA" w:rsidRPr="00BC76A2" w:rsidRDefault="009812EA" w:rsidP="00955F5D">
      <w:pPr>
        <w:ind w:left="1134" w:right="567"/>
        <w:rPr>
          <w:sz w:val="18"/>
          <w:szCs w:val="18"/>
          <w:lang w:val="de-DE"/>
        </w:rPr>
      </w:pPr>
    </w:p>
    <w:p w:rsidR="00955F5D" w:rsidRPr="00BC76A2" w:rsidRDefault="009812EA" w:rsidP="00955F5D">
      <w:pPr>
        <w:ind w:left="1134" w:right="567"/>
        <w:rPr>
          <w:sz w:val="18"/>
          <w:szCs w:val="18"/>
          <w:lang w:val="de-DE"/>
        </w:rPr>
      </w:pPr>
      <w:r w:rsidRPr="00BC76A2">
        <w:rPr>
          <w:sz w:val="18"/>
          <w:szCs w:val="18"/>
          <w:lang w:val="de-DE"/>
        </w:rPr>
        <w:t>b) im Verfahren zur Unterscheidbarkeitsprüfung geeignete Elemente der Sortenbeschreibung zu verwenden, um Sorten auszuschalten, die keinen weiteren Vergleich benötigen, und jene Sorten zu ermitteln, für die ein weite</w:t>
      </w:r>
      <w:r w:rsidR="00955F5D" w:rsidRPr="00BC76A2">
        <w:rPr>
          <w:sz w:val="18"/>
          <w:szCs w:val="18"/>
          <w:lang w:val="de-DE"/>
        </w:rPr>
        <w:t>rer Vergleich erforderlich ist</w:t>
      </w:r>
    </w:p>
    <w:p w:rsidR="00955F5D" w:rsidRPr="00BC76A2" w:rsidRDefault="00955F5D" w:rsidP="00955F5D">
      <w:pPr>
        <w:ind w:left="1134" w:right="567"/>
        <w:rPr>
          <w:sz w:val="18"/>
          <w:szCs w:val="18"/>
          <w:lang w:val="de-DE"/>
        </w:rPr>
      </w:pPr>
    </w:p>
    <w:p w:rsidR="00955F5D" w:rsidRPr="00BC76A2" w:rsidRDefault="009812EA" w:rsidP="00955F5D">
      <w:pPr>
        <w:ind w:left="567" w:right="567"/>
        <w:rPr>
          <w:sz w:val="18"/>
          <w:szCs w:val="18"/>
          <w:lang w:val="de-DE"/>
        </w:rPr>
      </w:pPr>
      <w:r w:rsidRPr="00BC76A2">
        <w:rPr>
          <w:sz w:val="18"/>
          <w:szCs w:val="18"/>
          <w:lang w:val="de-DE"/>
        </w:rPr>
        <w:t>2.</w:t>
      </w:r>
      <w:r w:rsidR="00523B95" w:rsidRPr="00BC76A2">
        <w:rPr>
          <w:sz w:val="18"/>
          <w:szCs w:val="18"/>
          <w:lang w:val="de-DE"/>
        </w:rPr>
        <w:tab/>
      </w:r>
      <w:r w:rsidRPr="00BC76A2">
        <w:rPr>
          <w:sz w:val="18"/>
          <w:szCs w:val="18"/>
          <w:lang w:val="de-DE"/>
        </w:rPr>
        <w:t>Die Ad-hoc-Arbeitsgruppe für die Veröffentlichung von Sortenbeschreibungen (WG-PVD) stellte auf ihrer Sitzung vom 31. März 2004 in Genf klar, daß in bezug auf die UPOV-Datenbank für Pflanzensorten nicht beabsichtigt werde, eine „Online”-DUS-Prüfung zu entwickeln.</w:t>
      </w:r>
    </w:p>
    <w:p w:rsidR="00955F5D" w:rsidRPr="00BC76A2" w:rsidRDefault="00955F5D" w:rsidP="00955F5D">
      <w:pPr>
        <w:ind w:right="567"/>
        <w:rPr>
          <w:sz w:val="18"/>
          <w:szCs w:val="18"/>
          <w:lang w:val="de-DE"/>
        </w:rPr>
      </w:pPr>
    </w:p>
    <w:p w:rsidR="009628A1" w:rsidRPr="00BC76A2" w:rsidRDefault="009812EA" w:rsidP="00955F5D">
      <w:pPr>
        <w:ind w:left="567" w:right="567"/>
        <w:rPr>
          <w:sz w:val="18"/>
          <w:szCs w:val="18"/>
          <w:lang w:val="de-DE"/>
        </w:rPr>
      </w:pPr>
      <w:r w:rsidRPr="00BC76A2">
        <w:rPr>
          <w:sz w:val="18"/>
          <w:szCs w:val="18"/>
          <w:lang w:val="de-DE"/>
        </w:rPr>
        <w:t>3.</w:t>
      </w:r>
      <w:r w:rsidR="00523B95" w:rsidRPr="00BC76A2">
        <w:rPr>
          <w:sz w:val="18"/>
          <w:szCs w:val="18"/>
          <w:lang w:val="de-DE"/>
        </w:rPr>
        <w:tab/>
      </w:r>
      <w:r w:rsidRPr="00BC76A2">
        <w:rPr>
          <w:sz w:val="18"/>
          <w:szCs w:val="18"/>
          <w:lang w:val="de-DE"/>
        </w:rPr>
        <w:t>Der Technische Ausschuß (TC) vereinbarte auf seiner dreiundvierzigsten Tagung vom 26. bis 28.</w:t>
      </w:r>
      <w:r w:rsidR="00523B95" w:rsidRPr="00BC76A2">
        <w:rPr>
          <w:sz w:val="18"/>
          <w:szCs w:val="18"/>
          <w:lang w:val="de-DE"/>
        </w:rPr>
        <w:t> </w:t>
      </w:r>
      <w:r w:rsidRPr="00BC76A2">
        <w:rPr>
          <w:sz w:val="18"/>
          <w:szCs w:val="18"/>
          <w:lang w:val="de-DE"/>
        </w:rPr>
        <w:t>März 2007 in Genf die nachstehende Liste der Kriterien für die Verwendung der aus verschiedenen Prüfungsorten und Quellen beschafften Beschreibungen, wie in der Anlage des Dokuments TC/43/9 dargelegt, die von den Technischen Arbeitsgruppen (TWP) geprüft werden sollte</w:t>
      </w:r>
      <w:r w:rsidR="009628A1" w:rsidRPr="00BC76A2">
        <w:rPr>
          <w:sz w:val="18"/>
          <w:szCs w:val="18"/>
          <w:lang w:val="de-DE"/>
        </w:rPr>
        <w:t>:</w:t>
      </w:r>
    </w:p>
    <w:p w:rsidR="009628A1" w:rsidRPr="00BC76A2" w:rsidRDefault="009628A1" w:rsidP="00955F5D">
      <w:pPr>
        <w:ind w:left="567" w:right="567"/>
        <w:rPr>
          <w:sz w:val="18"/>
          <w:szCs w:val="18"/>
          <w:lang w:val="de-DE"/>
        </w:rPr>
      </w:pPr>
    </w:p>
    <w:p w:rsidR="00955F5D" w:rsidRPr="00BC76A2" w:rsidRDefault="00955F5D" w:rsidP="00523B95">
      <w:pPr>
        <w:ind w:left="1701" w:right="567" w:hanging="567"/>
        <w:rPr>
          <w:rFonts w:cs="Arial"/>
          <w:sz w:val="18"/>
          <w:szCs w:val="18"/>
          <w:lang w:val="de-DE" w:eastAsia="fr-CH"/>
        </w:rPr>
      </w:pPr>
      <w:r w:rsidRPr="00BC76A2">
        <w:rPr>
          <w:rFonts w:cs="Arial"/>
          <w:sz w:val="18"/>
          <w:szCs w:val="18"/>
          <w:lang w:val="de-DE" w:eastAsia="fr-CH"/>
        </w:rPr>
        <w:t>a)</w:t>
      </w:r>
      <w:r w:rsidRPr="00BC76A2">
        <w:rPr>
          <w:rFonts w:cs="Arial"/>
          <w:sz w:val="18"/>
          <w:szCs w:val="18"/>
          <w:lang w:val="de-DE" w:eastAsia="fr-CH"/>
        </w:rPr>
        <w:tab/>
        <w:t xml:space="preserve">die Arten in Betracht zu ziehen, für die durch die Einrichtung einer internationalen Datenbank für Sortenbeschreibungen ein tatsächlicher Nutzen zu erkennen ist; </w:t>
      </w:r>
    </w:p>
    <w:p w:rsidR="00955F5D" w:rsidRPr="00BC76A2" w:rsidRDefault="00955F5D" w:rsidP="00523B95">
      <w:pPr>
        <w:ind w:left="1701" w:right="567" w:hanging="567"/>
        <w:rPr>
          <w:rFonts w:cs="Arial"/>
          <w:sz w:val="18"/>
          <w:szCs w:val="18"/>
          <w:lang w:val="de-DE" w:eastAsia="fr-CH"/>
        </w:rPr>
      </w:pPr>
      <w:r w:rsidRPr="00BC76A2">
        <w:rPr>
          <w:rFonts w:cs="Arial"/>
          <w:sz w:val="18"/>
          <w:szCs w:val="18"/>
          <w:lang w:val="de-DE" w:eastAsia="fr-CH"/>
        </w:rPr>
        <w:t>b)</w:t>
      </w:r>
      <w:r w:rsidRPr="00BC76A2">
        <w:rPr>
          <w:rFonts w:cs="Arial"/>
          <w:sz w:val="18"/>
          <w:szCs w:val="18"/>
          <w:lang w:val="de-DE" w:eastAsia="fr-CH"/>
        </w:rPr>
        <w:tab/>
        <w:t xml:space="preserve">das erwartete Ziel und die voraussichtlichen Vorteile anzugeben; </w:t>
      </w:r>
    </w:p>
    <w:p w:rsidR="00955F5D" w:rsidRPr="00BC76A2" w:rsidRDefault="00955F5D" w:rsidP="00523B95">
      <w:pPr>
        <w:ind w:left="1701" w:right="567" w:hanging="567"/>
        <w:rPr>
          <w:rFonts w:cs="Arial"/>
          <w:sz w:val="18"/>
          <w:szCs w:val="18"/>
          <w:lang w:val="de-DE" w:eastAsia="fr-CH"/>
        </w:rPr>
      </w:pPr>
      <w:r w:rsidRPr="00BC76A2">
        <w:rPr>
          <w:rFonts w:cs="Arial"/>
          <w:sz w:val="18"/>
          <w:szCs w:val="18"/>
          <w:lang w:val="de-DE" w:eastAsia="fr-CH"/>
        </w:rPr>
        <w:t>c)</w:t>
      </w:r>
      <w:r w:rsidRPr="00BC76A2">
        <w:rPr>
          <w:rFonts w:cs="Arial"/>
          <w:sz w:val="18"/>
          <w:szCs w:val="18"/>
          <w:lang w:val="de-DE" w:eastAsia="fr-CH"/>
        </w:rPr>
        <w:tab/>
        <w:t>die Merkmale zu wählen, für die Beschreibungen veröffentlicht werden sollten;</w:t>
      </w:r>
    </w:p>
    <w:p w:rsidR="00955F5D" w:rsidRPr="00BC76A2" w:rsidRDefault="00955F5D" w:rsidP="00523B95">
      <w:pPr>
        <w:ind w:left="1701" w:right="567" w:hanging="567"/>
        <w:rPr>
          <w:rFonts w:cs="Arial"/>
          <w:sz w:val="18"/>
          <w:szCs w:val="18"/>
          <w:lang w:val="de-DE" w:eastAsia="fr-CH"/>
        </w:rPr>
      </w:pPr>
      <w:r w:rsidRPr="00BC76A2">
        <w:rPr>
          <w:rFonts w:cs="Arial"/>
          <w:sz w:val="18"/>
          <w:szCs w:val="18"/>
          <w:lang w:val="de-DE" w:eastAsia="fr-CH"/>
        </w:rPr>
        <w:t>d)</w:t>
      </w:r>
      <w:r w:rsidRPr="00BC76A2">
        <w:rPr>
          <w:rFonts w:cs="Arial"/>
          <w:sz w:val="18"/>
          <w:szCs w:val="18"/>
          <w:lang w:val="de-DE" w:eastAsia="fr-CH"/>
        </w:rPr>
        <w:tab/>
        <w:t>für jedes Merkmal das bereits erreichte oder das angestrebte Niveau der Harmonisierung anzugeben (im letzteren Fall ist anzugeben, ob Maßnahmen zur Verbesserung des Niveaus der Harmonisierung vorzusehen sind: Ringprüfungen, Überarbeitung der Beschreibung der Art der Erfassung in der Prüfungsrichtlinie ...);</w:t>
      </w:r>
    </w:p>
    <w:p w:rsidR="00955F5D" w:rsidRPr="00BC76A2" w:rsidRDefault="00955F5D" w:rsidP="00523B95">
      <w:pPr>
        <w:ind w:left="1701" w:right="567" w:hanging="567"/>
        <w:rPr>
          <w:rFonts w:cs="Arial"/>
          <w:sz w:val="18"/>
          <w:szCs w:val="18"/>
          <w:lang w:val="de-DE" w:eastAsia="fr-CH"/>
        </w:rPr>
      </w:pPr>
      <w:r w:rsidRPr="00BC76A2">
        <w:rPr>
          <w:rFonts w:cs="Arial"/>
          <w:sz w:val="18"/>
          <w:szCs w:val="18"/>
          <w:lang w:val="de-DE" w:eastAsia="fr-CH"/>
        </w:rPr>
        <w:t>e)</w:t>
      </w:r>
      <w:r w:rsidRPr="00BC76A2">
        <w:rPr>
          <w:rFonts w:cs="Arial"/>
          <w:sz w:val="18"/>
          <w:szCs w:val="18"/>
          <w:lang w:val="de-DE" w:eastAsia="fr-CH"/>
        </w:rPr>
        <w:tab/>
        <w:t xml:space="preserve">die Relevanz eines </w:t>
      </w:r>
      <w:r w:rsidR="00523B95" w:rsidRPr="00BC76A2">
        <w:rPr>
          <w:rFonts w:cs="Arial"/>
          <w:sz w:val="18"/>
          <w:szCs w:val="18"/>
          <w:lang w:val="de-DE" w:eastAsia="fr-CH"/>
        </w:rPr>
        <w:t>‚</w:t>
      </w:r>
      <w:r w:rsidRPr="00BC76A2">
        <w:rPr>
          <w:rFonts w:cs="Arial"/>
          <w:sz w:val="18"/>
          <w:szCs w:val="18"/>
          <w:lang w:val="de-DE" w:eastAsia="fr-CH"/>
        </w:rPr>
        <w:t>regionalen Ansatzes</w:t>
      </w:r>
      <w:r w:rsidR="00523B95" w:rsidRPr="00BC76A2">
        <w:rPr>
          <w:rFonts w:cs="Arial"/>
          <w:sz w:val="18"/>
          <w:szCs w:val="18"/>
          <w:lang w:val="de-DE" w:eastAsia="fr-CH"/>
        </w:rPr>
        <w:t>‘</w:t>
      </w:r>
      <w:r w:rsidRPr="00BC76A2">
        <w:rPr>
          <w:rFonts w:cs="Arial"/>
          <w:sz w:val="18"/>
          <w:szCs w:val="18"/>
          <w:lang w:val="de-DE" w:eastAsia="fr-CH"/>
        </w:rPr>
        <w:t xml:space="preserve"> anstelle eines </w:t>
      </w:r>
      <w:r w:rsidR="00523B95" w:rsidRPr="00BC76A2">
        <w:rPr>
          <w:rFonts w:cs="Arial"/>
          <w:sz w:val="18"/>
          <w:szCs w:val="18"/>
          <w:lang w:val="de-DE" w:eastAsia="fr-CH"/>
        </w:rPr>
        <w:t>,</w:t>
      </w:r>
      <w:r w:rsidRPr="00BC76A2">
        <w:rPr>
          <w:rFonts w:cs="Arial"/>
          <w:sz w:val="18"/>
          <w:szCs w:val="18"/>
          <w:lang w:val="de-DE" w:eastAsia="fr-CH"/>
        </w:rPr>
        <w:t>internationalen Ansatzes</w:t>
      </w:r>
      <w:r w:rsidR="00523B95" w:rsidRPr="00BC76A2">
        <w:rPr>
          <w:rFonts w:cs="Arial"/>
          <w:sz w:val="18"/>
          <w:szCs w:val="18"/>
          <w:lang w:val="de-DE" w:eastAsia="fr-CH"/>
        </w:rPr>
        <w:t>‘</w:t>
      </w:r>
      <w:r w:rsidRPr="00BC76A2">
        <w:rPr>
          <w:rFonts w:cs="Arial"/>
          <w:sz w:val="18"/>
          <w:szCs w:val="18"/>
          <w:lang w:val="de-DE" w:eastAsia="fr-CH"/>
        </w:rPr>
        <w:t xml:space="preserve"> zu untersuchen (Ländergruppen in Betracht zu ziehen und Beschreibungen nur innerhalb</w:t>
      </w:r>
      <w:r w:rsidR="00466A49" w:rsidRPr="00BC76A2">
        <w:rPr>
          <w:rFonts w:cs="Arial"/>
          <w:sz w:val="18"/>
          <w:szCs w:val="18"/>
          <w:lang w:val="de-DE" w:eastAsia="fr-CH"/>
        </w:rPr>
        <w:t xml:space="preserve"> dieser Gruppe zu vergleichen);</w:t>
      </w:r>
    </w:p>
    <w:p w:rsidR="00955F5D" w:rsidRPr="00BC76A2" w:rsidRDefault="00955F5D" w:rsidP="00523B95">
      <w:pPr>
        <w:ind w:left="1701" w:right="567" w:hanging="567"/>
        <w:jc w:val="left"/>
        <w:rPr>
          <w:rFonts w:cs="Arial"/>
          <w:sz w:val="18"/>
          <w:szCs w:val="18"/>
          <w:lang w:val="de-DE" w:eastAsia="fr-CH"/>
        </w:rPr>
      </w:pPr>
      <w:r w:rsidRPr="00BC76A2">
        <w:rPr>
          <w:rFonts w:cs="Arial"/>
          <w:sz w:val="18"/>
          <w:szCs w:val="18"/>
          <w:lang w:val="de-DE" w:eastAsia="fr-CH"/>
        </w:rPr>
        <w:t>f)</w:t>
      </w:r>
      <w:r w:rsidRPr="00BC76A2">
        <w:rPr>
          <w:rFonts w:cs="Arial"/>
          <w:sz w:val="18"/>
          <w:szCs w:val="18"/>
          <w:lang w:val="de-DE" w:eastAsia="fr-CH"/>
        </w:rPr>
        <w:tab/>
        <w:t>beim Vergleich der Daten für die maßgebenden Merkmale</w:t>
      </w:r>
      <w:r w:rsidR="00466A49" w:rsidRPr="00BC76A2">
        <w:rPr>
          <w:rFonts w:cs="Arial"/>
          <w:sz w:val="18"/>
          <w:szCs w:val="18"/>
          <w:lang w:val="de-DE" w:eastAsia="fr-CH"/>
        </w:rPr>
        <w:t xml:space="preserve"> Mindestabstände vorzuschlagen;</w:t>
      </w:r>
    </w:p>
    <w:p w:rsidR="00955F5D" w:rsidRPr="00BC76A2" w:rsidRDefault="00955F5D" w:rsidP="00523B95">
      <w:pPr>
        <w:ind w:left="1701" w:right="567" w:hanging="567"/>
        <w:jc w:val="left"/>
        <w:rPr>
          <w:rFonts w:cs="Arial"/>
          <w:sz w:val="18"/>
          <w:szCs w:val="18"/>
          <w:lang w:val="de-DE" w:eastAsia="fr-CH"/>
        </w:rPr>
      </w:pPr>
      <w:r w:rsidRPr="00BC76A2">
        <w:rPr>
          <w:rFonts w:cs="Arial"/>
          <w:sz w:val="18"/>
          <w:szCs w:val="18"/>
          <w:lang w:val="de-DE" w:eastAsia="fr-CH"/>
        </w:rPr>
        <w:t>g)</w:t>
      </w:r>
      <w:r w:rsidRPr="00BC76A2">
        <w:rPr>
          <w:rFonts w:cs="Arial"/>
          <w:sz w:val="18"/>
          <w:szCs w:val="18"/>
          <w:lang w:val="de-DE" w:eastAsia="fr-CH"/>
        </w:rPr>
        <w:tab/>
        <w:t xml:space="preserve">die Länder aufzulisten, die Beiträge zur Veröffentlichung leisten würden; </w:t>
      </w:r>
    </w:p>
    <w:p w:rsidR="00955F5D" w:rsidRPr="00BC76A2" w:rsidRDefault="00955F5D" w:rsidP="00523B95">
      <w:pPr>
        <w:ind w:left="1701" w:right="567" w:hanging="567"/>
        <w:jc w:val="left"/>
        <w:rPr>
          <w:rFonts w:cs="Arial"/>
          <w:sz w:val="18"/>
          <w:szCs w:val="18"/>
          <w:lang w:val="de-DE" w:eastAsia="fr-CH"/>
        </w:rPr>
      </w:pPr>
      <w:r w:rsidRPr="00BC76A2">
        <w:rPr>
          <w:rFonts w:cs="Arial"/>
          <w:sz w:val="18"/>
          <w:szCs w:val="18"/>
          <w:lang w:val="de-DE" w:eastAsia="fr-CH"/>
        </w:rPr>
        <w:t>h)</w:t>
      </w:r>
      <w:r w:rsidRPr="00BC76A2">
        <w:rPr>
          <w:rFonts w:cs="Arial"/>
          <w:sz w:val="18"/>
          <w:szCs w:val="18"/>
          <w:lang w:val="de-DE" w:eastAsia="fr-CH"/>
        </w:rPr>
        <w:tab/>
        <w:t>die Art des Zugangs zu prüfen (frei oder auf die Beitragsleistenden beschränkt), und</w:t>
      </w:r>
    </w:p>
    <w:p w:rsidR="00955F5D" w:rsidRPr="00BC76A2" w:rsidRDefault="00955F5D" w:rsidP="00523B95">
      <w:pPr>
        <w:ind w:left="1701" w:right="567" w:hanging="567"/>
        <w:jc w:val="left"/>
        <w:rPr>
          <w:rFonts w:cs="Arial"/>
          <w:sz w:val="18"/>
          <w:szCs w:val="18"/>
          <w:lang w:val="de-DE" w:eastAsia="fr-CH"/>
        </w:rPr>
      </w:pPr>
      <w:r w:rsidRPr="00BC76A2">
        <w:rPr>
          <w:rFonts w:cs="Arial"/>
          <w:sz w:val="18"/>
          <w:szCs w:val="18"/>
          <w:lang w:val="de-DE" w:eastAsia="fr-CH"/>
        </w:rPr>
        <w:t>i)</w:t>
      </w:r>
      <w:r w:rsidRPr="00BC76A2">
        <w:rPr>
          <w:rFonts w:cs="Arial"/>
          <w:sz w:val="18"/>
          <w:szCs w:val="18"/>
          <w:lang w:val="de-DE" w:eastAsia="fr-CH"/>
        </w:rPr>
        <w:tab/>
        <w:t>die Kosten eines Projekts zu berücksichtigen.</w:t>
      </w:r>
    </w:p>
    <w:p w:rsidR="00955F5D" w:rsidRPr="00BC76A2" w:rsidRDefault="00955F5D" w:rsidP="00466A49">
      <w:pPr>
        <w:ind w:right="567"/>
        <w:rPr>
          <w:sz w:val="18"/>
          <w:szCs w:val="18"/>
          <w:lang w:val="de-DE"/>
        </w:rPr>
      </w:pPr>
    </w:p>
    <w:p w:rsidR="00955F5D" w:rsidRPr="00BC76A2" w:rsidRDefault="00955F5D" w:rsidP="00466A49">
      <w:pPr>
        <w:ind w:left="567" w:right="567"/>
        <w:rPr>
          <w:rFonts w:cs="Arial"/>
          <w:sz w:val="18"/>
          <w:szCs w:val="18"/>
          <w:lang w:val="de-DE" w:eastAsia="fr-CH"/>
        </w:rPr>
      </w:pPr>
      <w:r w:rsidRPr="00BC76A2">
        <w:rPr>
          <w:rFonts w:cs="Arial"/>
          <w:sz w:val="18"/>
          <w:szCs w:val="18"/>
          <w:lang w:val="de-DE" w:eastAsia="fr-CH"/>
        </w:rPr>
        <w:t>4.</w:t>
      </w:r>
      <w:r w:rsidR="00466A49" w:rsidRPr="00BC76A2">
        <w:rPr>
          <w:rFonts w:cs="Arial"/>
          <w:sz w:val="18"/>
          <w:szCs w:val="18"/>
          <w:lang w:val="de-DE" w:eastAsia="fr-CH"/>
        </w:rPr>
        <w:tab/>
      </w:r>
      <w:r w:rsidRPr="00BC76A2">
        <w:rPr>
          <w:rFonts w:cs="Arial"/>
          <w:sz w:val="18"/>
          <w:szCs w:val="18"/>
          <w:lang w:val="de-DE" w:eastAsia="fr-CH"/>
        </w:rPr>
        <w:t>Der TC vereinbarte, keine weitere Sitzung der WG-PVD abzuhalten, sofern und solange der TC oder eine TWP keine spezifischen Vorschläge erarbeitet haben, die von der WG-PVD zu prüfen sind.</w:t>
      </w:r>
    </w:p>
    <w:p w:rsidR="009628A1" w:rsidRPr="00BC76A2" w:rsidRDefault="009628A1" w:rsidP="00466A49">
      <w:pPr>
        <w:ind w:left="567" w:right="567"/>
        <w:jc w:val="center"/>
        <w:rPr>
          <w:sz w:val="18"/>
          <w:szCs w:val="18"/>
          <w:lang w:val="de-DE"/>
        </w:rPr>
      </w:pPr>
    </w:p>
    <w:p w:rsidR="009628A1" w:rsidRPr="00BC76A2" w:rsidRDefault="00955F5D" w:rsidP="00467D0A">
      <w:pPr>
        <w:ind w:left="567" w:right="567"/>
        <w:rPr>
          <w:lang w:val="de-DE"/>
        </w:rPr>
      </w:pPr>
      <w:r w:rsidRPr="00BC76A2">
        <w:rPr>
          <w:sz w:val="18"/>
          <w:szCs w:val="18"/>
          <w:lang w:val="de-DE"/>
        </w:rPr>
        <w:t>[…]“</w:t>
      </w:r>
    </w:p>
    <w:p w:rsidR="00FA5BBD" w:rsidRPr="00BC76A2" w:rsidRDefault="00FA5BBD" w:rsidP="00505A73">
      <w:pPr>
        <w:rPr>
          <w:lang w:val="de-DE"/>
        </w:rPr>
      </w:pPr>
    </w:p>
    <w:p w:rsidR="00F0027E" w:rsidRPr="00BC76A2" w:rsidRDefault="001F4113" w:rsidP="00467D0A">
      <w:pPr>
        <w:pStyle w:val="DecisionParagraphs"/>
        <w:tabs>
          <w:tab w:val="left" w:pos="5954"/>
        </w:tabs>
        <w:rPr>
          <w:lang w:val="de-DE"/>
        </w:rPr>
      </w:pPr>
      <w:r w:rsidRPr="00BC76A2">
        <w:rPr>
          <w:lang w:val="de-DE"/>
        </w:rPr>
        <w:fldChar w:fldCharType="begin"/>
      </w:r>
      <w:r w:rsidRPr="00BC76A2">
        <w:rPr>
          <w:lang w:val="de-DE"/>
        </w:rPr>
        <w:instrText xml:space="preserve"> AUTONUM  </w:instrText>
      </w:r>
      <w:r w:rsidRPr="00BC76A2">
        <w:rPr>
          <w:lang w:val="de-DE"/>
        </w:rPr>
        <w:fldChar w:fldCharType="end"/>
      </w:r>
      <w:r w:rsidRPr="00BC76A2">
        <w:rPr>
          <w:lang w:val="de-DE"/>
        </w:rPr>
        <w:tab/>
      </w:r>
      <w:r w:rsidR="00955F5D" w:rsidRPr="00BC76A2">
        <w:rPr>
          <w:lang w:val="de-DE"/>
        </w:rPr>
        <w:t>Der</w:t>
      </w:r>
      <w:r w:rsidR="00F0027E" w:rsidRPr="00BC76A2">
        <w:rPr>
          <w:lang w:val="de-DE"/>
        </w:rPr>
        <w:t xml:space="preserve"> TC </w:t>
      </w:r>
      <w:r w:rsidR="00955F5D" w:rsidRPr="00BC76A2">
        <w:rPr>
          <w:lang w:val="de-DE"/>
        </w:rPr>
        <w:t>wird ersucht,</w:t>
      </w:r>
    </w:p>
    <w:p w:rsidR="00F0027E" w:rsidRPr="00BC76A2" w:rsidRDefault="00F0027E" w:rsidP="00467D0A">
      <w:pPr>
        <w:pStyle w:val="DecisionParagraphs"/>
        <w:tabs>
          <w:tab w:val="left" w:pos="5954"/>
        </w:tabs>
        <w:rPr>
          <w:lang w:val="de-DE"/>
        </w:rPr>
      </w:pPr>
    </w:p>
    <w:p w:rsidR="00CE1419" w:rsidRPr="00BC76A2" w:rsidRDefault="00F0027E" w:rsidP="00467D0A">
      <w:pPr>
        <w:pStyle w:val="DecisionParagraphs"/>
        <w:tabs>
          <w:tab w:val="left" w:pos="5954"/>
        </w:tabs>
        <w:rPr>
          <w:lang w:val="de-DE"/>
        </w:rPr>
      </w:pPr>
      <w:r w:rsidRPr="00BC76A2">
        <w:rPr>
          <w:lang w:val="de-DE"/>
        </w:rPr>
        <w:tab/>
        <w:t>a)</w:t>
      </w:r>
      <w:r w:rsidRPr="00BC76A2">
        <w:rPr>
          <w:lang w:val="de-DE"/>
        </w:rPr>
        <w:tab/>
      </w:r>
      <w:r w:rsidR="00067AEE" w:rsidRPr="00BC76A2">
        <w:rPr>
          <w:lang w:val="de-DE"/>
        </w:rPr>
        <w:t xml:space="preserve">zur Kenntnis zu nehmen, </w:t>
      </w:r>
      <w:r w:rsidR="00A0388E" w:rsidRPr="00BC76A2">
        <w:rPr>
          <w:lang w:val="de-DE"/>
        </w:rPr>
        <w:t>daß</w:t>
      </w:r>
      <w:r w:rsidR="00067AEE" w:rsidRPr="00BC76A2">
        <w:rPr>
          <w:lang w:val="de-DE"/>
        </w:rPr>
        <w:t xml:space="preserve"> der Beratende Ausschu</w:t>
      </w:r>
      <w:r w:rsidR="00753412" w:rsidRPr="00BC76A2">
        <w:rPr>
          <w:lang w:val="de-DE"/>
        </w:rPr>
        <w:t>ß</w:t>
      </w:r>
      <w:r w:rsidR="00067AEE" w:rsidRPr="00BC76A2">
        <w:rPr>
          <w:lang w:val="de-DE"/>
        </w:rPr>
        <w:t xml:space="preserve"> der Ausarbeitung des </w:t>
      </w:r>
      <w:r w:rsidR="007206B2" w:rsidRPr="00BC76A2">
        <w:rPr>
          <w:lang w:val="de-DE"/>
        </w:rPr>
        <w:t>Dokuments</w:t>
      </w:r>
      <w:r w:rsidR="00067AEE" w:rsidRPr="00BC76A2">
        <w:rPr>
          <w:lang w:val="de-DE"/>
        </w:rPr>
        <w:t xml:space="preserve"> UPOV/INF/15 „A</w:t>
      </w:r>
      <w:r w:rsidR="00067AEE" w:rsidRPr="00BC76A2">
        <w:rPr>
          <w:rFonts w:cs="Arial"/>
          <w:lang w:val="de-DE" w:eastAsia="fr-CH"/>
        </w:rPr>
        <w:t>nleitung über die laufenden Verpflichtungen der Verbandsmitglieder und die damit verbundenen Notifizierungen und über die Erteilung von Auskünften zur Erleichterung der Zusammenarbeit“</w:t>
      </w:r>
      <w:r w:rsidR="00523B95" w:rsidRPr="00BC76A2">
        <w:rPr>
          <w:rFonts w:cs="Arial"/>
          <w:lang w:val="de-DE" w:eastAsia="fr-CH"/>
        </w:rPr>
        <w:t>,</w:t>
      </w:r>
      <w:r w:rsidR="00067AEE" w:rsidRPr="00BC76A2">
        <w:rPr>
          <w:rFonts w:cs="Arial"/>
          <w:lang w:val="de-DE" w:eastAsia="fr-CH"/>
        </w:rPr>
        <w:t xml:space="preserve"> </w:t>
      </w:r>
      <w:r w:rsidR="00523B95" w:rsidRPr="00BC76A2">
        <w:rPr>
          <w:rFonts w:cs="Arial"/>
          <w:lang w:val="de-DE" w:eastAsia="fr-CH"/>
        </w:rPr>
        <w:t>zu einem</w:t>
      </w:r>
      <w:r w:rsidR="00067AEE" w:rsidRPr="00BC76A2">
        <w:rPr>
          <w:rFonts w:cs="Arial"/>
          <w:lang w:val="de-DE" w:eastAsia="fr-CH"/>
        </w:rPr>
        <w:t xml:space="preserve"> Übersichtsdokument, das wichtige Aspekte für die </w:t>
      </w:r>
      <w:r w:rsidR="007206B2" w:rsidRPr="00BC76A2">
        <w:rPr>
          <w:rFonts w:cs="Arial"/>
          <w:lang w:val="de-DE" w:eastAsia="fr-CH"/>
        </w:rPr>
        <w:t>Durchführung</w:t>
      </w:r>
      <w:r w:rsidR="00067AEE" w:rsidRPr="00BC76A2">
        <w:rPr>
          <w:rFonts w:cs="Arial"/>
          <w:lang w:val="de-DE" w:eastAsia="fr-CH"/>
        </w:rPr>
        <w:t xml:space="preserve"> </w:t>
      </w:r>
      <w:r w:rsidR="00523B95" w:rsidRPr="00BC76A2">
        <w:rPr>
          <w:rFonts w:cs="Arial"/>
          <w:lang w:val="de-DE" w:eastAsia="fr-CH"/>
        </w:rPr>
        <w:t>e</w:t>
      </w:r>
      <w:r w:rsidR="00067AEE" w:rsidRPr="00BC76A2">
        <w:rPr>
          <w:rFonts w:cs="Arial"/>
          <w:lang w:val="de-DE" w:eastAsia="fr-CH"/>
        </w:rPr>
        <w:t xml:space="preserve">ines </w:t>
      </w:r>
      <w:r w:rsidR="007206B2" w:rsidRPr="00BC76A2">
        <w:rPr>
          <w:rFonts w:cs="Arial"/>
          <w:lang w:val="de-DE" w:eastAsia="fr-CH"/>
        </w:rPr>
        <w:t>Sortenschutzsystems</w:t>
      </w:r>
      <w:r w:rsidR="00067AEE" w:rsidRPr="00BC76A2">
        <w:rPr>
          <w:rFonts w:cs="Arial"/>
          <w:lang w:val="de-DE" w:eastAsia="fr-CH"/>
        </w:rPr>
        <w:t xml:space="preserve"> ausweisen und Links zu detaillierten Informationsmaterialien bereitstellen würde</w:t>
      </w:r>
      <w:r w:rsidR="00CE1419" w:rsidRPr="00BC76A2">
        <w:rPr>
          <w:lang w:val="de-DE"/>
        </w:rPr>
        <w:t xml:space="preserve">, </w:t>
      </w:r>
      <w:r w:rsidR="00523B95" w:rsidRPr="00BC76A2">
        <w:rPr>
          <w:lang w:val="de-DE"/>
        </w:rPr>
        <w:t xml:space="preserve">zustimmte, </w:t>
      </w:r>
      <w:r w:rsidR="00067AEE" w:rsidRPr="00BC76A2">
        <w:rPr>
          <w:lang w:val="de-DE"/>
        </w:rPr>
        <w:t>wie in den</w:t>
      </w:r>
      <w:r w:rsidR="00CE1419" w:rsidRPr="00BC76A2">
        <w:rPr>
          <w:lang w:val="de-DE"/>
        </w:rPr>
        <w:t xml:space="preserve"> </w:t>
      </w:r>
      <w:r w:rsidR="003C2AFD" w:rsidRPr="00BC76A2">
        <w:rPr>
          <w:lang w:val="de-DE"/>
        </w:rPr>
        <w:t>Absätze</w:t>
      </w:r>
      <w:r w:rsidR="00067AEE" w:rsidRPr="00BC76A2">
        <w:rPr>
          <w:lang w:val="de-DE"/>
        </w:rPr>
        <w:t>n</w:t>
      </w:r>
      <w:r w:rsidR="00CE1419" w:rsidRPr="00BC76A2">
        <w:rPr>
          <w:lang w:val="de-DE"/>
        </w:rPr>
        <w:t xml:space="preserve"> </w:t>
      </w:r>
      <w:r w:rsidR="003B0CEA">
        <w:rPr>
          <w:lang w:val="de-DE"/>
        </w:rPr>
        <w:t>44</w:t>
      </w:r>
      <w:r w:rsidR="00CE1419" w:rsidRPr="00BC76A2">
        <w:rPr>
          <w:lang w:val="de-DE"/>
        </w:rPr>
        <w:t xml:space="preserve"> </w:t>
      </w:r>
      <w:r w:rsidR="00067AEE" w:rsidRPr="00BC76A2">
        <w:rPr>
          <w:lang w:val="de-DE"/>
        </w:rPr>
        <w:t>u</w:t>
      </w:r>
      <w:r w:rsidR="00CE1419" w:rsidRPr="00BC76A2">
        <w:rPr>
          <w:lang w:val="de-DE"/>
        </w:rPr>
        <w:t>nd 4</w:t>
      </w:r>
      <w:r w:rsidR="003B0CEA">
        <w:rPr>
          <w:lang w:val="de-DE"/>
        </w:rPr>
        <w:t>5</w:t>
      </w:r>
      <w:r w:rsidR="00067AEE" w:rsidRPr="00BC76A2">
        <w:rPr>
          <w:lang w:val="de-DE"/>
        </w:rPr>
        <w:t xml:space="preserve"> dargelegt</w:t>
      </w:r>
      <w:r w:rsidR="00CE1419" w:rsidRPr="00BC76A2">
        <w:rPr>
          <w:lang w:val="de-DE"/>
        </w:rPr>
        <w:t>;</w:t>
      </w:r>
    </w:p>
    <w:p w:rsidR="00CE1419" w:rsidRPr="00BC76A2" w:rsidRDefault="00CE1419" w:rsidP="00467D0A">
      <w:pPr>
        <w:pStyle w:val="DecisionParagraphs"/>
        <w:tabs>
          <w:tab w:val="left" w:pos="5954"/>
        </w:tabs>
        <w:rPr>
          <w:lang w:val="de-DE"/>
        </w:rPr>
      </w:pPr>
    </w:p>
    <w:p w:rsidR="00AE0E09" w:rsidRPr="00BC76A2" w:rsidRDefault="00CE1419" w:rsidP="00467D0A">
      <w:pPr>
        <w:pStyle w:val="DecisionParagraphs"/>
        <w:tabs>
          <w:tab w:val="left" w:pos="5954"/>
        </w:tabs>
        <w:rPr>
          <w:lang w:val="de-DE"/>
        </w:rPr>
      </w:pPr>
      <w:r w:rsidRPr="00BC76A2">
        <w:rPr>
          <w:lang w:val="de-DE"/>
        </w:rPr>
        <w:tab/>
        <w:t>b)</w:t>
      </w:r>
      <w:r w:rsidRPr="00BC76A2">
        <w:rPr>
          <w:lang w:val="de-DE"/>
        </w:rPr>
        <w:tab/>
      </w:r>
      <w:r w:rsidR="00067AEE" w:rsidRPr="00BC76A2">
        <w:rPr>
          <w:lang w:val="de-DE"/>
        </w:rPr>
        <w:t xml:space="preserve">in bezug auf die Fragen in den Punkten a) bis f) in </w:t>
      </w:r>
      <w:r w:rsidR="007206B2" w:rsidRPr="00BC76A2">
        <w:rPr>
          <w:lang w:val="de-DE"/>
        </w:rPr>
        <w:t>Absatz</w:t>
      </w:r>
      <w:r w:rsidR="00523B95" w:rsidRPr="00BC76A2">
        <w:rPr>
          <w:lang w:val="de-DE"/>
        </w:rPr>
        <w:t xml:space="preserve"> 45 d</w:t>
      </w:r>
      <w:r w:rsidR="00EC5DC9">
        <w:rPr>
          <w:lang w:val="de-DE"/>
        </w:rPr>
        <w:t>en</w:t>
      </w:r>
      <w:r w:rsidR="00067AEE" w:rsidRPr="00BC76A2">
        <w:rPr>
          <w:lang w:val="de-DE"/>
        </w:rPr>
        <w:t xml:space="preserve"> ISF zu ersuchen, das </w:t>
      </w:r>
      <w:r w:rsidR="007206B2" w:rsidRPr="00BC76A2">
        <w:rPr>
          <w:lang w:val="de-DE"/>
        </w:rPr>
        <w:t>angegeben</w:t>
      </w:r>
      <w:r w:rsidR="00067AEE" w:rsidRPr="00BC76A2">
        <w:rPr>
          <w:lang w:val="de-DE"/>
        </w:rPr>
        <w:t xml:space="preserve"> einschlägige UPOV-Material zu </w:t>
      </w:r>
      <w:r w:rsidR="007206B2" w:rsidRPr="00BC76A2">
        <w:rPr>
          <w:lang w:val="de-DE"/>
        </w:rPr>
        <w:t>prüfen</w:t>
      </w:r>
      <w:r w:rsidR="00067AEE" w:rsidRPr="00BC76A2">
        <w:rPr>
          <w:lang w:val="de-DE"/>
        </w:rPr>
        <w:t xml:space="preserve"> und zu </w:t>
      </w:r>
      <w:r w:rsidR="007206B2" w:rsidRPr="00BC76A2">
        <w:rPr>
          <w:lang w:val="de-DE"/>
        </w:rPr>
        <w:t>erläutern</w:t>
      </w:r>
      <w:r w:rsidR="00067AEE" w:rsidRPr="00BC76A2">
        <w:rPr>
          <w:lang w:val="de-DE"/>
        </w:rPr>
        <w:t xml:space="preserve">, in welcher Hinsicht </w:t>
      </w:r>
      <w:r w:rsidR="00523B95" w:rsidRPr="00BC76A2">
        <w:rPr>
          <w:lang w:val="de-DE"/>
        </w:rPr>
        <w:t>ihr</w:t>
      </w:r>
      <w:r w:rsidR="00067AEE" w:rsidRPr="00BC76A2">
        <w:rPr>
          <w:lang w:val="de-DE"/>
        </w:rPr>
        <w:t xml:space="preserve">es Erachtens </w:t>
      </w:r>
      <w:r w:rsidR="007206B2" w:rsidRPr="00BC76A2">
        <w:rPr>
          <w:lang w:val="de-DE"/>
        </w:rPr>
        <w:t>weitere</w:t>
      </w:r>
      <w:r w:rsidR="00067AEE" w:rsidRPr="00BC76A2">
        <w:rPr>
          <w:lang w:val="de-DE"/>
        </w:rPr>
        <w:t xml:space="preserve"> Anleitung ausgearbeitet </w:t>
      </w:r>
      <w:r w:rsidR="007206B2" w:rsidRPr="00BC76A2">
        <w:rPr>
          <w:lang w:val="de-DE"/>
        </w:rPr>
        <w:t>werden</w:t>
      </w:r>
      <w:r w:rsidR="00067AEE" w:rsidRPr="00BC76A2">
        <w:rPr>
          <w:lang w:val="de-DE"/>
        </w:rPr>
        <w:t xml:space="preserve"> könnte</w:t>
      </w:r>
      <w:r w:rsidR="002529FF" w:rsidRPr="00BC76A2">
        <w:rPr>
          <w:lang w:val="de-DE"/>
        </w:rPr>
        <w:t>, und</w:t>
      </w:r>
    </w:p>
    <w:p w:rsidR="00AE0E09" w:rsidRPr="00BC76A2" w:rsidRDefault="00AE0E09" w:rsidP="00467D0A">
      <w:pPr>
        <w:pStyle w:val="DecisionParagraphs"/>
        <w:tabs>
          <w:tab w:val="left" w:pos="5954"/>
        </w:tabs>
        <w:rPr>
          <w:lang w:val="de-DE"/>
        </w:rPr>
      </w:pPr>
    </w:p>
    <w:p w:rsidR="001F4113" w:rsidRPr="00BC76A2" w:rsidRDefault="00AE0E09" w:rsidP="00467D0A">
      <w:pPr>
        <w:pStyle w:val="DecisionParagraphs"/>
        <w:tabs>
          <w:tab w:val="left" w:pos="5954"/>
        </w:tabs>
        <w:rPr>
          <w:spacing w:val="-2"/>
          <w:lang w:val="de-DE"/>
        </w:rPr>
      </w:pPr>
      <w:r w:rsidRPr="00BC76A2">
        <w:rPr>
          <w:lang w:val="de-DE"/>
        </w:rPr>
        <w:tab/>
      </w:r>
      <w:r w:rsidR="007206B2" w:rsidRPr="00BC76A2">
        <w:rPr>
          <w:lang w:val="de-DE"/>
        </w:rPr>
        <w:t>c)</w:t>
      </w:r>
      <w:r w:rsidR="007206B2" w:rsidRPr="00BC76A2">
        <w:rPr>
          <w:lang w:val="de-DE"/>
        </w:rPr>
        <w:tab/>
        <w:t xml:space="preserve">zur Kenntnis zu nehmen, </w:t>
      </w:r>
      <w:r w:rsidR="00A0388E" w:rsidRPr="00BC76A2">
        <w:rPr>
          <w:lang w:val="de-DE"/>
        </w:rPr>
        <w:t>daß</w:t>
      </w:r>
      <w:r w:rsidR="007206B2" w:rsidRPr="00BC76A2">
        <w:rPr>
          <w:lang w:val="de-DE"/>
        </w:rPr>
        <w:t xml:space="preserve"> </w:t>
      </w:r>
      <w:r w:rsidR="00EC5DC9">
        <w:rPr>
          <w:lang w:val="de-DE"/>
        </w:rPr>
        <w:t>der</w:t>
      </w:r>
      <w:r w:rsidR="007206B2" w:rsidRPr="00BC76A2">
        <w:rPr>
          <w:lang w:val="de-DE"/>
        </w:rPr>
        <w:t xml:space="preserve"> ISF ersucht wurde, dem TC </w:t>
      </w:r>
      <w:r w:rsidR="00523B95" w:rsidRPr="00BC76A2">
        <w:rPr>
          <w:lang w:val="de-DE"/>
        </w:rPr>
        <w:t>ihr</w:t>
      </w:r>
      <w:r w:rsidR="007206B2" w:rsidRPr="00BC76A2">
        <w:rPr>
          <w:lang w:val="de-DE"/>
        </w:rPr>
        <w:t xml:space="preserve">e Ansichten bezüglich der Datenbanken von Sortenbeschreibungen und der vom TC für die Veröffentlichung von Sortenbeschreibungen ausgewiesenen Kriterien </w:t>
      </w:r>
      <w:r w:rsidR="00466A49" w:rsidRPr="00BC76A2">
        <w:rPr>
          <w:lang w:val="de-DE"/>
        </w:rPr>
        <w:t>auseinander</w:t>
      </w:r>
      <w:r w:rsidR="007206B2" w:rsidRPr="00BC76A2">
        <w:rPr>
          <w:lang w:val="de-DE"/>
        </w:rPr>
        <w:t>zu</w:t>
      </w:r>
      <w:r w:rsidR="00466A49" w:rsidRPr="00BC76A2">
        <w:rPr>
          <w:lang w:val="de-DE"/>
        </w:rPr>
        <w:t>setz</w:t>
      </w:r>
      <w:r w:rsidR="007206B2" w:rsidRPr="00BC76A2">
        <w:rPr>
          <w:lang w:val="de-DE"/>
        </w:rPr>
        <w:t>en, wie in Dokument TC/45/9 „Veröffentlichung von Sortenbeschreibungen“</w:t>
      </w:r>
      <w:r w:rsidR="00523B95" w:rsidRPr="00BC76A2">
        <w:rPr>
          <w:lang w:val="de-DE"/>
        </w:rPr>
        <w:t>,</w:t>
      </w:r>
      <w:r w:rsidR="007206B2" w:rsidRPr="00BC76A2">
        <w:rPr>
          <w:lang w:val="de-DE"/>
        </w:rPr>
        <w:t xml:space="preserve"> dargelegt</w:t>
      </w:r>
      <w:r w:rsidR="007206B2" w:rsidRPr="00BC76A2">
        <w:rPr>
          <w:spacing w:val="-2"/>
          <w:lang w:val="de-DE"/>
        </w:rPr>
        <w:t>.</w:t>
      </w:r>
    </w:p>
    <w:p w:rsidR="001F4113" w:rsidRPr="00BC76A2" w:rsidRDefault="001F4113" w:rsidP="00467D0A">
      <w:pPr>
        <w:rPr>
          <w:lang w:val="de-DE"/>
        </w:rPr>
      </w:pPr>
    </w:p>
    <w:p w:rsidR="001D6D97" w:rsidRPr="00BC76A2" w:rsidRDefault="001D6D97" w:rsidP="00467D0A">
      <w:pPr>
        <w:rPr>
          <w:lang w:val="de-DE"/>
        </w:rPr>
      </w:pPr>
    </w:p>
    <w:p w:rsidR="001D6D97" w:rsidRPr="00BC76A2" w:rsidRDefault="001D6D97" w:rsidP="00D135ED">
      <w:pPr>
        <w:pStyle w:val="Heading1"/>
        <w:rPr>
          <w:lang w:val="de-DE"/>
        </w:rPr>
      </w:pPr>
      <w:bookmarkStart w:id="178" w:name="_Toc348535867"/>
      <w:bookmarkStart w:id="179" w:name="_Toc379530105"/>
      <w:bookmarkStart w:id="180" w:name="_Toc380391652"/>
      <w:bookmarkStart w:id="181" w:name="_Toc380419892"/>
      <w:bookmarkStart w:id="182" w:name="_Toc380483692"/>
      <w:r w:rsidRPr="00BC76A2">
        <w:rPr>
          <w:lang w:val="de-DE"/>
        </w:rPr>
        <w:t>Webbas</w:t>
      </w:r>
      <w:r w:rsidR="002C02E8" w:rsidRPr="00BC76A2">
        <w:rPr>
          <w:lang w:val="de-DE"/>
        </w:rPr>
        <w:t>ierte</w:t>
      </w:r>
      <w:r w:rsidRPr="00BC76A2">
        <w:rPr>
          <w:lang w:val="de-DE"/>
        </w:rPr>
        <w:t xml:space="preserve"> TG</w:t>
      </w:r>
      <w:r w:rsidR="002C02E8" w:rsidRPr="00BC76A2">
        <w:rPr>
          <w:lang w:val="de-DE"/>
        </w:rPr>
        <w:t>-mustervorlage</w:t>
      </w:r>
      <w:bookmarkEnd w:id="178"/>
      <w:bookmarkEnd w:id="179"/>
      <w:bookmarkEnd w:id="180"/>
      <w:bookmarkEnd w:id="181"/>
      <w:bookmarkEnd w:id="182"/>
    </w:p>
    <w:p w:rsidR="00761761" w:rsidRPr="00BC76A2" w:rsidRDefault="00761761" w:rsidP="00761761">
      <w:pPr>
        <w:rPr>
          <w:lang w:val="de-DE"/>
        </w:rPr>
      </w:pPr>
    </w:p>
    <w:p w:rsidR="002C02E8" w:rsidRPr="00BC76A2" w:rsidRDefault="00761761" w:rsidP="002C02E8">
      <w:pPr>
        <w:rPr>
          <w:lang w:val="de-DE"/>
        </w:rPr>
      </w:pPr>
      <w:r w:rsidRPr="00BC76A2">
        <w:rPr>
          <w:lang w:val="de-DE"/>
        </w:rPr>
        <w:fldChar w:fldCharType="begin"/>
      </w:r>
      <w:r w:rsidRPr="00BC76A2">
        <w:rPr>
          <w:lang w:val="de-DE"/>
        </w:rPr>
        <w:instrText xml:space="preserve"> AUTONUM  </w:instrText>
      </w:r>
      <w:r w:rsidRPr="00BC76A2">
        <w:rPr>
          <w:lang w:val="de-DE"/>
        </w:rPr>
        <w:fldChar w:fldCharType="end"/>
      </w:r>
      <w:r w:rsidRPr="00BC76A2">
        <w:rPr>
          <w:lang w:val="de-DE"/>
        </w:rPr>
        <w:tab/>
      </w:r>
      <w:r w:rsidR="002C02E8" w:rsidRPr="00BC76A2">
        <w:rPr>
          <w:lang w:val="de-DE"/>
        </w:rPr>
        <w:t>Der TC hörte auf seiner neunundvierzigsten Tagung vom 18. bis 20. März 2013 in Genf ein</w:t>
      </w:r>
      <w:r w:rsidR="00E378AF" w:rsidRPr="00BC76A2">
        <w:rPr>
          <w:lang w:val="de-DE"/>
        </w:rPr>
        <w:t xml:space="preserve"> Referat</w:t>
      </w:r>
      <w:r w:rsidR="002C02E8" w:rsidRPr="00BC76A2">
        <w:rPr>
          <w:lang w:val="de-DE"/>
        </w:rPr>
        <w:t xml:space="preserve"> </w:t>
      </w:r>
      <w:r w:rsidR="00E378AF" w:rsidRPr="00BC76A2">
        <w:rPr>
          <w:lang w:val="de-DE"/>
        </w:rPr>
        <w:t xml:space="preserve">des Verbandsbüros und eines Sachverständigen aus Australien </w:t>
      </w:r>
      <w:r w:rsidR="002C02E8" w:rsidRPr="00BC76A2">
        <w:rPr>
          <w:lang w:val="de-DE"/>
        </w:rPr>
        <w:t>über das Projekt der Entwicklung einer webbasierten TG</w:t>
      </w:r>
      <w:r w:rsidR="002C02E8" w:rsidRPr="00BC76A2">
        <w:rPr>
          <w:lang w:val="de-DE"/>
        </w:rPr>
        <w:noBreakHyphen/>
        <w:t>Mustervorlage und nahm zur Kenntnis, daß eine Abschrift de</w:t>
      </w:r>
      <w:r w:rsidR="00E378AF" w:rsidRPr="00BC76A2">
        <w:rPr>
          <w:lang w:val="de-DE"/>
        </w:rPr>
        <w:t>s Referats</w:t>
      </w:r>
      <w:r w:rsidR="002C02E8" w:rsidRPr="00BC76A2">
        <w:rPr>
          <w:lang w:val="de-DE"/>
        </w:rPr>
        <w:t xml:space="preserve"> in einer Ergänzung zu Dokument TC/49/3 </w:t>
      </w:r>
      <w:r w:rsidR="00E378AF" w:rsidRPr="00BC76A2">
        <w:rPr>
          <w:lang w:val="de-DE"/>
        </w:rPr>
        <w:t>„</w:t>
      </w:r>
      <w:r w:rsidR="002C02E8" w:rsidRPr="00BC76A2">
        <w:rPr>
          <w:lang w:val="de-DE"/>
        </w:rPr>
        <w:t>Von den Technischen Arbeitsgruppen vorgebrachte Fragen</w:t>
      </w:r>
      <w:r w:rsidR="00E378AF" w:rsidRPr="00BC76A2">
        <w:rPr>
          <w:lang w:val="de-DE"/>
        </w:rPr>
        <w:t>“</w:t>
      </w:r>
      <w:r w:rsidR="00466A49" w:rsidRPr="00BC76A2">
        <w:rPr>
          <w:lang w:val="de-DE"/>
        </w:rPr>
        <w:t>,</w:t>
      </w:r>
      <w:r w:rsidR="002C02E8" w:rsidRPr="00BC76A2">
        <w:rPr>
          <w:lang w:val="de-DE"/>
        </w:rPr>
        <w:t xml:space="preserve"> </w:t>
      </w:r>
      <w:r w:rsidR="00E378AF" w:rsidRPr="00BC76A2">
        <w:rPr>
          <w:lang w:val="de-DE"/>
        </w:rPr>
        <w:t>bereitgestellt</w:t>
      </w:r>
      <w:r w:rsidR="002C02E8" w:rsidRPr="00BC76A2">
        <w:rPr>
          <w:lang w:val="de-DE"/>
        </w:rPr>
        <w:t xml:space="preserve"> werde. Der Stellvertretende Generalsekretär berichtete, daß </w:t>
      </w:r>
      <w:r w:rsidR="00E378AF" w:rsidRPr="00BC76A2">
        <w:rPr>
          <w:lang w:val="de-DE"/>
        </w:rPr>
        <w:t xml:space="preserve">bis Ende 2013 </w:t>
      </w:r>
      <w:r w:rsidR="002C02E8" w:rsidRPr="00BC76A2">
        <w:rPr>
          <w:lang w:val="de-DE"/>
        </w:rPr>
        <w:t xml:space="preserve">ein Prototyp zur Prüfung durch </w:t>
      </w:r>
      <w:r w:rsidR="00E378AF" w:rsidRPr="00BC76A2">
        <w:rPr>
          <w:lang w:val="de-DE"/>
        </w:rPr>
        <w:t>beteilig</w:t>
      </w:r>
      <w:r w:rsidR="002C02E8" w:rsidRPr="00BC76A2">
        <w:rPr>
          <w:lang w:val="de-DE"/>
        </w:rPr>
        <w:t xml:space="preserve">te Sachverständige </w:t>
      </w:r>
      <w:r w:rsidR="00E378AF" w:rsidRPr="00BC76A2">
        <w:rPr>
          <w:lang w:val="de-DE"/>
        </w:rPr>
        <w:t>entwickelt werden soll</w:t>
      </w:r>
      <w:r w:rsidR="002C02E8" w:rsidRPr="00BC76A2">
        <w:rPr>
          <w:lang w:val="de-DE"/>
        </w:rPr>
        <w:t>.</w:t>
      </w:r>
    </w:p>
    <w:p w:rsidR="002C02E8" w:rsidRPr="00BC76A2" w:rsidRDefault="002C02E8" w:rsidP="002C02E8">
      <w:pPr>
        <w:rPr>
          <w:lang w:val="de-DE"/>
        </w:rPr>
      </w:pPr>
    </w:p>
    <w:p w:rsidR="00761761" w:rsidRPr="00BC76A2" w:rsidRDefault="002C02E8" w:rsidP="009A0C94">
      <w:pPr>
        <w:rPr>
          <w:lang w:val="de-DE"/>
        </w:rPr>
      </w:pPr>
      <w:r w:rsidRPr="00BC76A2">
        <w:rPr>
          <w:lang w:val="de-DE"/>
        </w:rPr>
        <w:fldChar w:fldCharType="begin"/>
      </w:r>
      <w:r w:rsidRPr="00BC76A2">
        <w:rPr>
          <w:lang w:val="de-DE"/>
        </w:rPr>
        <w:instrText xml:space="preserve"> AUTONUM  </w:instrText>
      </w:r>
      <w:r w:rsidRPr="00BC76A2">
        <w:rPr>
          <w:lang w:val="de-DE"/>
        </w:rPr>
        <w:fldChar w:fldCharType="end"/>
      </w:r>
      <w:r w:rsidRPr="00BC76A2">
        <w:rPr>
          <w:lang w:val="de-DE"/>
        </w:rPr>
        <w:tab/>
        <w:t>Der TC brachte zum Ausdruck, daß er das Projekt unterstütze, und nahm dabei zur Kenntnis, daß die Mustervorlage den Verfassern von Prüfungsrichtlinien ausreichend Flexibilität geben werde, um Vorschläge einbringen zu können, die nicht vom bestehenden Standardwortlaut abgedeckt werden. Er nahm die Anmerkungen der TWP zu diesem Projekt auf ihren Tagungen im Jahr</w:t>
      </w:r>
      <w:r w:rsidR="00E378AF" w:rsidRPr="00BC76A2">
        <w:rPr>
          <w:lang w:val="de-DE"/>
        </w:rPr>
        <w:t>e</w:t>
      </w:r>
      <w:r w:rsidRPr="00BC76A2">
        <w:rPr>
          <w:lang w:val="de-DE"/>
        </w:rPr>
        <w:t xml:space="preserve"> 2012 sowie die Notwendigkeit der Beibehaltung einer gewissen Flexibilität in der Struktur im Hinblick auf die Weiterentwicklung von Prüfungsrichtlinien durch UPOV-Mitglieder zur Kenntnis</w:t>
      </w:r>
      <w:r w:rsidR="009A0C94" w:rsidRPr="00BC76A2">
        <w:rPr>
          <w:lang w:val="de-DE"/>
        </w:rPr>
        <w:t xml:space="preserve"> (</w:t>
      </w:r>
      <w:r w:rsidR="003C2AFD" w:rsidRPr="00BC76A2">
        <w:rPr>
          <w:lang w:val="de-DE"/>
        </w:rPr>
        <w:t>vergleiche Dokument</w:t>
      </w:r>
      <w:r w:rsidR="009A0C94" w:rsidRPr="00BC76A2">
        <w:rPr>
          <w:lang w:val="de-DE"/>
        </w:rPr>
        <w:t xml:space="preserve"> TC/49/41</w:t>
      </w:r>
      <w:r w:rsidR="00D21BC8">
        <w:rPr>
          <w:lang w:val="de-DE"/>
        </w:rPr>
        <w:t xml:space="preserve"> </w:t>
      </w:r>
      <w:r w:rsidRPr="00BC76A2">
        <w:rPr>
          <w:lang w:val="de-DE"/>
        </w:rPr>
        <w:t xml:space="preserve">„Bericht über die </w:t>
      </w:r>
      <w:r w:rsidR="007206B2" w:rsidRPr="00BC76A2">
        <w:rPr>
          <w:lang w:val="de-DE"/>
        </w:rPr>
        <w:t>Entschließungen</w:t>
      </w:r>
      <w:r w:rsidRPr="00BC76A2">
        <w:rPr>
          <w:lang w:val="de-DE"/>
        </w:rPr>
        <w:t>“</w:t>
      </w:r>
      <w:r w:rsidR="009A0C94" w:rsidRPr="00BC76A2">
        <w:rPr>
          <w:lang w:val="de-DE"/>
        </w:rPr>
        <w:t xml:space="preserve">, </w:t>
      </w:r>
      <w:r w:rsidR="003C2AFD" w:rsidRPr="00BC76A2">
        <w:rPr>
          <w:lang w:val="de-DE"/>
        </w:rPr>
        <w:t>Absätze</w:t>
      </w:r>
      <w:r w:rsidR="009A0C94" w:rsidRPr="00BC76A2">
        <w:rPr>
          <w:lang w:val="de-DE"/>
        </w:rPr>
        <w:t xml:space="preserve"> 13 </w:t>
      </w:r>
      <w:r w:rsidRPr="00BC76A2">
        <w:rPr>
          <w:lang w:val="de-DE"/>
        </w:rPr>
        <w:t>u</w:t>
      </w:r>
      <w:r w:rsidR="009A0C94" w:rsidRPr="00BC76A2">
        <w:rPr>
          <w:lang w:val="de-DE"/>
        </w:rPr>
        <w:t>nd 14)</w:t>
      </w:r>
      <w:r w:rsidR="00761761" w:rsidRPr="00BC76A2">
        <w:rPr>
          <w:lang w:val="de-DE"/>
        </w:rPr>
        <w:t>.</w:t>
      </w:r>
    </w:p>
    <w:p w:rsidR="009A0C94" w:rsidRPr="00BC76A2" w:rsidRDefault="009A0C94" w:rsidP="009A0C94">
      <w:pPr>
        <w:rPr>
          <w:lang w:val="de-DE"/>
        </w:rPr>
      </w:pPr>
    </w:p>
    <w:p w:rsidR="00974E05" w:rsidRPr="00BC76A2" w:rsidRDefault="00974E05" w:rsidP="00974E05">
      <w:pPr>
        <w:rPr>
          <w:lang w:val="de-DE"/>
        </w:rPr>
      </w:pPr>
      <w:r w:rsidRPr="00BC76A2">
        <w:rPr>
          <w:lang w:val="de-DE"/>
        </w:rPr>
        <w:fldChar w:fldCharType="begin"/>
      </w:r>
      <w:r w:rsidRPr="00BC76A2">
        <w:rPr>
          <w:lang w:val="de-DE"/>
        </w:rPr>
        <w:instrText xml:space="preserve"> AUTONUM  </w:instrText>
      </w:r>
      <w:r w:rsidRPr="00BC76A2">
        <w:rPr>
          <w:lang w:val="de-DE"/>
        </w:rPr>
        <w:fldChar w:fldCharType="end"/>
      </w:r>
      <w:r w:rsidRPr="00BC76A2">
        <w:rPr>
          <w:lang w:val="de-DE"/>
        </w:rPr>
        <w:tab/>
      </w:r>
      <w:r w:rsidR="002C02E8" w:rsidRPr="00BC76A2">
        <w:rPr>
          <w:lang w:val="de-DE"/>
        </w:rPr>
        <w:t>Die</w:t>
      </w:r>
      <w:r w:rsidRPr="00BC76A2">
        <w:rPr>
          <w:lang w:val="de-DE"/>
        </w:rPr>
        <w:t xml:space="preserve"> webbas</w:t>
      </w:r>
      <w:r w:rsidR="002C02E8" w:rsidRPr="00BC76A2">
        <w:rPr>
          <w:lang w:val="de-DE"/>
        </w:rPr>
        <w:t xml:space="preserve">ierte TG-Mustervorlage wird in zwei getrennten Phasen in Form der Versionen 1 und 2 </w:t>
      </w:r>
      <w:r w:rsidR="007206B2" w:rsidRPr="00BC76A2">
        <w:rPr>
          <w:lang w:val="de-DE"/>
        </w:rPr>
        <w:t>erarbeitet</w:t>
      </w:r>
      <w:r w:rsidR="002C02E8" w:rsidRPr="00BC76A2">
        <w:rPr>
          <w:lang w:val="de-DE"/>
        </w:rPr>
        <w:t xml:space="preserve"> werden.</w:t>
      </w:r>
    </w:p>
    <w:p w:rsidR="00974E05" w:rsidRPr="00BC76A2" w:rsidRDefault="00974E05" w:rsidP="00974E05">
      <w:pPr>
        <w:rPr>
          <w:lang w:val="de-DE"/>
        </w:rPr>
      </w:pPr>
    </w:p>
    <w:p w:rsidR="00974E05" w:rsidRPr="00BC76A2" w:rsidRDefault="007F6BE3" w:rsidP="006A4A4E">
      <w:pPr>
        <w:pStyle w:val="Heading2"/>
        <w:rPr>
          <w:lang w:val="de-DE"/>
        </w:rPr>
      </w:pPr>
      <w:bookmarkStart w:id="183" w:name="_Toc379530106"/>
      <w:bookmarkStart w:id="184" w:name="_Toc380391653"/>
      <w:bookmarkStart w:id="185" w:name="_Toc380419893"/>
      <w:bookmarkStart w:id="186" w:name="_Toc380483693"/>
      <w:r w:rsidRPr="00BC76A2">
        <w:rPr>
          <w:lang w:val="de-DE"/>
        </w:rPr>
        <w:t>Version</w:t>
      </w:r>
      <w:r w:rsidR="00974E05" w:rsidRPr="00BC76A2">
        <w:rPr>
          <w:lang w:val="de-DE"/>
        </w:rPr>
        <w:t xml:space="preserve"> 1</w:t>
      </w:r>
      <w:bookmarkEnd w:id="183"/>
      <w:bookmarkEnd w:id="184"/>
      <w:bookmarkEnd w:id="185"/>
      <w:bookmarkEnd w:id="186"/>
    </w:p>
    <w:p w:rsidR="00974E05" w:rsidRPr="00BC76A2" w:rsidRDefault="00974E05" w:rsidP="00974E05">
      <w:pPr>
        <w:rPr>
          <w:lang w:val="de-DE"/>
        </w:rPr>
      </w:pPr>
    </w:p>
    <w:p w:rsidR="009A0C94" w:rsidRPr="00BC76A2" w:rsidRDefault="007F6BE3" w:rsidP="00974E05">
      <w:pPr>
        <w:rPr>
          <w:lang w:val="de-DE"/>
        </w:rPr>
      </w:pPr>
      <w:r w:rsidRPr="00BC76A2">
        <w:rPr>
          <w:lang w:val="de-DE"/>
        </w:rPr>
        <w:fldChar w:fldCharType="begin"/>
      </w:r>
      <w:r w:rsidRPr="00BC76A2">
        <w:rPr>
          <w:lang w:val="de-DE"/>
        </w:rPr>
        <w:instrText xml:space="preserve"> AUTONUM  </w:instrText>
      </w:r>
      <w:r w:rsidRPr="00BC76A2">
        <w:rPr>
          <w:lang w:val="de-DE"/>
        </w:rPr>
        <w:fldChar w:fldCharType="end"/>
      </w:r>
      <w:r w:rsidRPr="00BC76A2">
        <w:rPr>
          <w:lang w:val="de-DE"/>
        </w:rPr>
        <w:tab/>
        <w:t>Version 1</w:t>
      </w:r>
      <w:r w:rsidR="00974E05" w:rsidRPr="00BC76A2">
        <w:rPr>
          <w:lang w:val="de-DE"/>
        </w:rPr>
        <w:t xml:space="preserve"> </w:t>
      </w:r>
      <w:r w:rsidR="002C02E8" w:rsidRPr="00BC76A2">
        <w:rPr>
          <w:lang w:val="de-DE"/>
        </w:rPr>
        <w:t>der</w:t>
      </w:r>
      <w:r w:rsidRPr="00BC76A2">
        <w:rPr>
          <w:lang w:val="de-DE"/>
        </w:rPr>
        <w:t xml:space="preserve"> </w:t>
      </w:r>
      <w:r w:rsidR="00974E05" w:rsidRPr="00BC76A2">
        <w:rPr>
          <w:lang w:val="de-DE"/>
        </w:rPr>
        <w:t>webbas</w:t>
      </w:r>
      <w:r w:rsidR="002C02E8" w:rsidRPr="00BC76A2">
        <w:rPr>
          <w:lang w:val="de-DE"/>
        </w:rPr>
        <w:t>ierten</w:t>
      </w:r>
      <w:r w:rsidR="00974E05" w:rsidRPr="00BC76A2">
        <w:rPr>
          <w:lang w:val="de-DE"/>
        </w:rPr>
        <w:t xml:space="preserve"> TG</w:t>
      </w:r>
      <w:r w:rsidR="002C02E8" w:rsidRPr="00BC76A2">
        <w:rPr>
          <w:lang w:val="de-DE"/>
        </w:rPr>
        <w:t xml:space="preserve">-Mustervorlage wird </w:t>
      </w:r>
      <w:r w:rsidR="005902CC" w:rsidRPr="00BC76A2">
        <w:rPr>
          <w:lang w:val="de-DE"/>
        </w:rPr>
        <w:t xml:space="preserve">für die Erstellung von UPOV-Prüfungsrichtlinien </w:t>
      </w:r>
      <w:r w:rsidR="007206B2" w:rsidRPr="00BC76A2">
        <w:rPr>
          <w:lang w:val="de-DE"/>
        </w:rPr>
        <w:t>durch</w:t>
      </w:r>
      <w:r w:rsidR="005902CC" w:rsidRPr="00BC76A2">
        <w:rPr>
          <w:lang w:val="de-DE"/>
        </w:rPr>
        <w:t xml:space="preserve"> führende </w:t>
      </w:r>
      <w:r w:rsidR="007206B2" w:rsidRPr="00BC76A2">
        <w:rPr>
          <w:lang w:val="de-DE"/>
        </w:rPr>
        <w:t>Sachverständige</w:t>
      </w:r>
      <w:r w:rsidR="005902CC" w:rsidRPr="00BC76A2">
        <w:rPr>
          <w:lang w:val="de-DE"/>
        </w:rPr>
        <w:t xml:space="preserve"> </w:t>
      </w:r>
      <w:r w:rsidR="007206B2" w:rsidRPr="00BC76A2">
        <w:rPr>
          <w:lang w:val="de-DE"/>
        </w:rPr>
        <w:t>vollständig</w:t>
      </w:r>
      <w:r w:rsidR="005902CC" w:rsidRPr="00BC76A2">
        <w:rPr>
          <w:lang w:val="de-DE"/>
        </w:rPr>
        <w:t xml:space="preserve"> funktionsfähig sein und </w:t>
      </w:r>
      <w:r w:rsidR="00E378AF" w:rsidRPr="00BC76A2">
        <w:rPr>
          <w:lang w:val="de-DE"/>
        </w:rPr>
        <w:t>beteilig</w:t>
      </w:r>
      <w:r w:rsidR="005902CC" w:rsidRPr="00BC76A2">
        <w:rPr>
          <w:lang w:val="de-DE"/>
        </w:rPr>
        <w:t xml:space="preserve">te Sachverständige </w:t>
      </w:r>
      <w:r w:rsidR="007206B2" w:rsidRPr="00BC76A2">
        <w:rPr>
          <w:lang w:val="de-DE"/>
        </w:rPr>
        <w:t>in</w:t>
      </w:r>
      <w:r w:rsidR="005902CC" w:rsidRPr="00BC76A2">
        <w:rPr>
          <w:lang w:val="de-DE"/>
        </w:rPr>
        <w:t xml:space="preserve"> die Lage versetzen, </w:t>
      </w:r>
      <w:r w:rsidR="007206B2" w:rsidRPr="00BC76A2">
        <w:rPr>
          <w:lang w:val="de-DE"/>
        </w:rPr>
        <w:t>Bemerkungen</w:t>
      </w:r>
      <w:r w:rsidR="005902CC" w:rsidRPr="00BC76A2">
        <w:rPr>
          <w:lang w:val="de-DE"/>
        </w:rPr>
        <w:t xml:space="preserve"> </w:t>
      </w:r>
      <w:r w:rsidR="007206B2" w:rsidRPr="00BC76A2">
        <w:rPr>
          <w:lang w:val="de-DE"/>
        </w:rPr>
        <w:t>abzugeben</w:t>
      </w:r>
      <w:r w:rsidR="005902CC" w:rsidRPr="00BC76A2">
        <w:rPr>
          <w:lang w:val="de-DE"/>
        </w:rPr>
        <w:t xml:space="preserve">. </w:t>
      </w:r>
      <w:r w:rsidR="007206B2" w:rsidRPr="00BC76A2">
        <w:rPr>
          <w:lang w:val="de-DE"/>
        </w:rPr>
        <w:t>Version</w:t>
      </w:r>
      <w:r w:rsidR="005902CC" w:rsidRPr="00BC76A2">
        <w:rPr>
          <w:lang w:val="de-DE"/>
        </w:rPr>
        <w:t xml:space="preserve"> 1 der webbasierten </w:t>
      </w:r>
      <w:r w:rsidR="007206B2" w:rsidRPr="00BC76A2">
        <w:rPr>
          <w:lang w:val="de-DE"/>
        </w:rPr>
        <w:t>TG</w:t>
      </w:r>
      <w:r w:rsidR="005902CC" w:rsidRPr="00BC76A2">
        <w:rPr>
          <w:lang w:val="de-DE"/>
        </w:rPr>
        <w:t xml:space="preserve">-Mustervorlage wird Anfang 2014 </w:t>
      </w:r>
      <w:r w:rsidR="007206B2" w:rsidRPr="00BC76A2">
        <w:rPr>
          <w:lang w:val="de-DE"/>
        </w:rPr>
        <w:t>fertiggestellt</w:t>
      </w:r>
      <w:r w:rsidR="005902CC" w:rsidRPr="00BC76A2">
        <w:rPr>
          <w:lang w:val="de-DE"/>
        </w:rPr>
        <w:t xml:space="preserve"> sein. </w:t>
      </w:r>
      <w:r w:rsidR="008B3E99" w:rsidRPr="00BC76A2">
        <w:rPr>
          <w:lang w:val="de-DE"/>
        </w:rPr>
        <w:t>Sie wird a</w:t>
      </w:r>
      <w:r w:rsidR="005902CC" w:rsidRPr="00BC76A2">
        <w:rPr>
          <w:lang w:val="de-DE"/>
        </w:rPr>
        <w:t xml:space="preserve">uf der fünfzigsten Tagung des TC </w:t>
      </w:r>
      <w:r w:rsidR="008B3E99" w:rsidRPr="00BC76A2">
        <w:rPr>
          <w:lang w:val="de-DE"/>
        </w:rPr>
        <w:t xml:space="preserve">vorgeführt </w:t>
      </w:r>
      <w:r w:rsidR="007206B2" w:rsidRPr="00BC76A2">
        <w:rPr>
          <w:lang w:val="de-DE"/>
        </w:rPr>
        <w:t>werden</w:t>
      </w:r>
      <w:r w:rsidR="008B3E99" w:rsidRPr="00BC76A2">
        <w:rPr>
          <w:lang w:val="de-DE"/>
        </w:rPr>
        <w:t>.</w:t>
      </w:r>
    </w:p>
    <w:p w:rsidR="00E378AF" w:rsidRPr="00BC76A2" w:rsidRDefault="00E378AF" w:rsidP="00574BB5">
      <w:pPr>
        <w:pStyle w:val="Heading3"/>
        <w:rPr>
          <w:lang w:val="de-DE"/>
        </w:rPr>
      </w:pPr>
      <w:bookmarkStart w:id="187" w:name="_Toc379530107"/>
      <w:bookmarkStart w:id="188" w:name="_Toc380391654"/>
    </w:p>
    <w:p w:rsidR="00B94A4D" w:rsidRPr="00BC76A2" w:rsidRDefault="007135C8" w:rsidP="00574BB5">
      <w:pPr>
        <w:pStyle w:val="Heading3"/>
        <w:rPr>
          <w:lang w:val="de-DE"/>
        </w:rPr>
      </w:pPr>
      <w:bookmarkStart w:id="189" w:name="_Toc380419894"/>
      <w:bookmarkStart w:id="190" w:name="_Toc380483694"/>
      <w:r w:rsidRPr="00BC76A2">
        <w:rPr>
          <w:lang w:val="de-DE"/>
        </w:rPr>
        <w:t>Eigenschaften</w:t>
      </w:r>
      <w:bookmarkEnd w:id="187"/>
      <w:bookmarkEnd w:id="188"/>
      <w:bookmarkEnd w:id="189"/>
      <w:bookmarkEnd w:id="190"/>
    </w:p>
    <w:p w:rsidR="00B94A4D" w:rsidRPr="00BC76A2" w:rsidRDefault="00B94A4D" w:rsidP="00727189">
      <w:pPr>
        <w:keepNext/>
        <w:rPr>
          <w:lang w:val="de-DE"/>
        </w:rPr>
      </w:pPr>
    </w:p>
    <w:p w:rsidR="00E4080D" w:rsidRPr="00BC76A2" w:rsidRDefault="00E4080D" w:rsidP="00974E05">
      <w:pPr>
        <w:rPr>
          <w:lang w:val="de-DE"/>
        </w:rPr>
      </w:pPr>
      <w:r w:rsidRPr="00BC76A2">
        <w:rPr>
          <w:lang w:val="de-DE"/>
        </w:rPr>
        <w:fldChar w:fldCharType="begin"/>
      </w:r>
      <w:r w:rsidRPr="00BC76A2">
        <w:rPr>
          <w:lang w:val="de-DE"/>
        </w:rPr>
        <w:instrText xml:space="preserve"> AUTONUM  </w:instrText>
      </w:r>
      <w:r w:rsidRPr="00BC76A2">
        <w:rPr>
          <w:lang w:val="de-DE"/>
        </w:rPr>
        <w:fldChar w:fldCharType="end"/>
      </w:r>
      <w:r w:rsidRPr="00BC76A2">
        <w:rPr>
          <w:lang w:val="de-DE"/>
        </w:rPr>
        <w:tab/>
      </w:r>
      <w:r w:rsidR="008B3E99" w:rsidRPr="00BC76A2">
        <w:rPr>
          <w:lang w:val="de-DE"/>
        </w:rPr>
        <w:t xml:space="preserve">Die </w:t>
      </w:r>
      <w:r w:rsidR="009D434D" w:rsidRPr="00BC76A2">
        <w:rPr>
          <w:lang w:val="de-DE"/>
        </w:rPr>
        <w:t>hauptsächlichen</w:t>
      </w:r>
      <w:r w:rsidR="007135C8" w:rsidRPr="00BC76A2">
        <w:rPr>
          <w:lang w:val="de-DE"/>
        </w:rPr>
        <w:t xml:space="preserve"> Eigenschaften</w:t>
      </w:r>
      <w:r w:rsidR="008B3E99" w:rsidRPr="00BC76A2">
        <w:rPr>
          <w:lang w:val="de-DE"/>
        </w:rPr>
        <w:t xml:space="preserve"> der </w:t>
      </w:r>
      <w:r w:rsidRPr="00BC76A2">
        <w:rPr>
          <w:lang w:val="de-DE"/>
        </w:rPr>
        <w:t xml:space="preserve">Version 1 </w:t>
      </w:r>
      <w:r w:rsidR="008B3E99" w:rsidRPr="00BC76A2">
        <w:rPr>
          <w:lang w:val="de-DE"/>
        </w:rPr>
        <w:t>sind</w:t>
      </w:r>
      <w:r w:rsidRPr="00BC76A2">
        <w:rPr>
          <w:lang w:val="de-DE"/>
        </w:rPr>
        <w:t>:</w:t>
      </w:r>
    </w:p>
    <w:p w:rsidR="00E4080D" w:rsidRPr="00BC76A2" w:rsidRDefault="00E4080D" w:rsidP="00974E05">
      <w:pPr>
        <w:rPr>
          <w:lang w:val="de-DE"/>
        </w:rPr>
      </w:pPr>
    </w:p>
    <w:p w:rsidR="001F065E" w:rsidRPr="00BC76A2" w:rsidRDefault="004412DF" w:rsidP="009C3347">
      <w:pPr>
        <w:pStyle w:val="ListParagraph"/>
        <w:numPr>
          <w:ilvl w:val="0"/>
          <w:numId w:val="5"/>
        </w:numPr>
        <w:spacing w:after="40"/>
        <w:ind w:left="714" w:hanging="357"/>
        <w:contextualSpacing w:val="0"/>
        <w:rPr>
          <w:lang w:val="de-DE"/>
        </w:rPr>
      </w:pPr>
      <w:r w:rsidRPr="00BC76A2">
        <w:rPr>
          <w:lang w:val="de-DE"/>
        </w:rPr>
        <w:t xml:space="preserve">Die </w:t>
      </w:r>
      <w:r w:rsidR="007206B2" w:rsidRPr="00BC76A2">
        <w:rPr>
          <w:lang w:val="de-DE"/>
        </w:rPr>
        <w:t>Prüfungsrichtlinien</w:t>
      </w:r>
      <w:r w:rsidRPr="00BC76A2">
        <w:rPr>
          <w:lang w:val="de-DE"/>
        </w:rPr>
        <w:t xml:space="preserve"> werden von </w:t>
      </w:r>
      <w:r w:rsidR="007206B2" w:rsidRPr="00BC76A2">
        <w:rPr>
          <w:lang w:val="de-DE"/>
        </w:rPr>
        <w:t>führenden</w:t>
      </w:r>
      <w:r w:rsidRPr="00BC76A2">
        <w:rPr>
          <w:lang w:val="de-DE"/>
        </w:rPr>
        <w:t xml:space="preserve"> </w:t>
      </w:r>
      <w:r w:rsidR="007206B2" w:rsidRPr="00BC76A2">
        <w:rPr>
          <w:lang w:val="de-DE"/>
        </w:rPr>
        <w:t>Sachverständigen</w:t>
      </w:r>
      <w:r w:rsidRPr="00BC76A2">
        <w:rPr>
          <w:lang w:val="de-DE"/>
        </w:rPr>
        <w:t xml:space="preserve"> </w:t>
      </w:r>
      <w:r w:rsidR="007206B2" w:rsidRPr="00BC76A2">
        <w:rPr>
          <w:lang w:val="de-DE"/>
        </w:rPr>
        <w:t>mittels</w:t>
      </w:r>
      <w:r w:rsidRPr="00BC76A2">
        <w:rPr>
          <w:lang w:val="de-DE"/>
        </w:rPr>
        <w:t xml:space="preserve"> der webbasierten TG</w:t>
      </w:r>
      <w:r w:rsidR="007135C8" w:rsidRPr="00BC76A2">
        <w:rPr>
          <w:lang w:val="de-DE"/>
        </w:rPr>
        <w:noBreakHyphen/>
      </w:r>
      <w:r w:rsidRPr="00BC76A2">
        <w:rPr>
          <w:lang w:val="de-DE"/>
        </w:rPr>
        <w:t xml:space="preserve">Mustervorlage </w:t>
      </w:r>
      <w:r w:rsidR="00EC24BF" w:rsidRPr="00BC76A2">
        <w:rPr>
          <w:lang w:val="de-DE"/>
        </w:rPr>
        <w:t xml:space="preserve">online </w:t>
      </w:r>
      <w:r w:rsidRPr="00BC76A2">
        <w:rPr>
          <w:lang w:val="de-DE"/>
        </w:rPr>
        <w:t>erstellt</w:t>
      </w:r>
    </w:p>
    <w:p w:rsidR="00E4080D" w:rsidRPr="00BC76A2" w:rsidRDefault="00EC24BF" w:rsidP="009C3347">
      <w:pPr>
        <w:pStyle w:val="ListParagraph"/>
        <w:numPr>
          <w:ilvl w:val="0"/>
          <w:numId w:val="5"/>
        </w:numPr>
        <w:spacing w:after="40"/>
        <w:ind w:left="714" w:hanging="357"/>
        <w:contextualSpacing w:val="0"/>
        <w:rPr>
          <w:lang w:val="de-DE"/>
        </w:rPr>
      </w:pPr>
      <w:r w:rsidRPr="00BC76A2">
        <w:rPr>
          <w:lang w:val="de-DE"/>
        </w:rPr>
        <w:t>f</w:t>
      </w:r>
      <w:r w:rsidR="004412DF" w:rsidRPr="00BC76A2">
        <w:rPr>
          <w:lang w:val="de-DE"/>
        </w:rPr>
        <w:t>este Mustervorlage, die den gesamten für alle Prüfungsrichtlinien geeigneten allgemeinen Standa</w:t>
      </w:r>
      <w:r w:rsidRPr="00BC76A2">
        <w:rPr>
          <w:lang w:val="de-DE"/>
        </w:rPr>
        <w:t>r</w:t>
      </w:r>
      <w:r w:rsidR="004412DF" w:rsidRPr="00BC76A2">
        <w:rPr>
          <w:lang w:val="de-DE"/>
        </w:rPr>
        <w:t xml:space="preserve">dwortlaut enthält </w:t>
      </w:r>
      <w:r w:rsidR="00E4080D" w:rsidRPr="00BC76A2">
        <w:rPr>
          <w:lang w:val="de-DE"/>
        </w:rPr>
        <w:t>(</w:t>
      </w:r>
      <w:r w:rsidR="003C2AFD" w:rsidRPr="00BC76A2">
        <w:rPr>
          <w:lang w:val="de-DE"/>
        </w:rPr>
        <w:t>vergleiche Dokument</w:t>
      </w:r>
      <w:r w:rsidR="005D6A9B" w:rsidRPr="00BC76A2">
        <w:rPr>
          <w:lang w:val="de-DE"/>
        </w:rPr>
        <w:t xml:space="preserve"> </w:t>
      </w:r>
      <w:r w:rsidR="00E4080D" w:rsidRPr="00BC76A2">
        <w:rPr>
          <w:lang w:val="de-DE"/>
        </w:rPr>
        <w:t>TGP/7</w:t>
      </w:r>
      <w:r w:rsidR="005D6A9B" w:rsidRPr="00BC76A2">
        <w:rPr>
          <w:lang w:val="de-DE"/>
        </w:rPr>
        <w:t>/3</w:t>
      </w:r>
      <w:r w:rsidR="004412DF" w:rsidRPr="00BC76A2">
        <w:rPr>
          <w:lang w:val="de-DE"/>
        </w:rPr>
        <w:t xml:space="preserve"> „Erstellung von </w:t>
      </w:r>
      <w:r w:rsidR="007206B2" w:rsidRPr="00BC76A2">
        <w:rPr>
          <w:lang w:val="de-DE"/>
        </w:rPr>
        <w:t>Prüfungsrichtlinien</w:t>
      </w:r>
      <w:r w:rsidR="004412DF" w:rsidRPr="00BC76A2">
        <w:rPr>
          <w:lang w:val="de-DE"/>
        </w:rPr>
        <w:t xml:space="preserve">“, </w:t>
      </w:r>
      <w:r w:rsidR="007206B2" w:rsidRPr="00BC76A2">
        <w:rPr>
          <w:lang w:val="de-DE"/>
        </w:rPr>
        <w:t>Abschnitt</w:t>
      </w:r>
      <w:r w:rsidR="00E4080D" w:rsidRPr="00BC76A2">
        <w:rPr>
          <w:lang w:val="de-DE"/>
        </w:rPr>
        <w:t xml:space="preserve"> 3.1</w:t>
      </w:r>
      <w:r w:rsidR="004412DF" w:rsidRPr="00BC76A2">
        <w:rPr>
          <w:lang w:val="de-DE"/>
        </w:rPr>
        <w:t>, „TG-Mustervorlage“</w:t>
      </w:r>
      <w:r w:rsidR="00E4080D" w:rsidRPr="00BC76A2">
        <w:rPr>
          <w:lang w:val="de-DE"/>
        </w:rPr>
        <w:t>)</w:t>
      </w:r>
    </w:p>
    <w:p w:rsidR="00E4080D" w:rsidRPr="00BC76A2" w:rsidRDefault="004412DF" w:rsidP="009C3347">
      <w:pPr>
        <w:pStyle w:val="ListParagraph"/>
        <w:numPr>
          <w:ilvl w:val="0"/>
          <w:numId w:val="5"/>
        </w:numPr>
        <w:spacing w:after="40"/>
        <w:ind w:left="714" w:hanging="357"/>
        <w:contextualSpacing w:val="0"/>
        <w:rPr>
          <w:lang w:val="de-DE"/>
        </w:rPr>
      </w:pPr>
      <w:r w:rsidRPr="00BC76A2">
        <w:rPr>
          <w:lang w:val="de-DE"/>
        </w:rPr>
        <w:t xml:space="preserve">Optionen für die Hinzufügung zusätzlichen </w:t>
      </w:r>
      <w:r w:rsidR="007206B2" w:rsidRPr="00BC76A2">
        <w:rPr>
          <w:lang w:val="de-DE"/>
        </w:rPr>
        <w:t>Standardwortlauts</w:t>
      </w:r>
      <w:r w:rsidRPr="00BC76A2">
        <w:rPr>
          <w:lang w:val="de-DE"/>
        </w:rPr>
        <w:t xml:space="preserve"> </w:t>
      </w:r>
      <w:r w:rsidR="00E4080D" w:rsidRPr="00BC76A2">
        <w:rPr>
          <w:lang w:val="de-DE"/>
        </w:rPr>
        <w:t>(ASW) (</w:t>
      </w:r>
      <w:r w:rsidR="003C2AFD" w:rsidRPr="00BC76A2">
        <w:rPr>
          <w:lang w:val="de-DE"/>
        </w:rPr>
        <w:t>vergleiche Dokument</w:t>
      </w:r>
      <w:r w:rsidR="007135C8" w:rsidRPr="00BC76A2">
        <w:rPr>
          <w:lang w:val="de-DE"/>
        </w:rPr>
        <w:t> </w:t>
      </w:r>
      <w:r w:rsidR="00E4080D" w:rsidRPr="00BC76A2">
        <w:rPr>
          <w:lang w:val="de-DE"/>
        </w:rPr>
        <w:t>TGP/7</w:t>
      </w:r>
      <w:r w:rsidR="005D6A9B" w:rsidRPr="00BC76A2">
        <w:rPr>
          <w:lang w:val="de-DE"/>
        </w:rPr>
        <w:t>/3</w:t>
      </w:r>
      <w:r w:rsidR="00E4080D" w:rsidRPr="00BC76A2">
        <w:rPr>
          <w:lang w:val="de-DE"/>
        </w:rPr>
        <w:t xml:space="preserve">, </w:t>
      </w:r>
      <w:r w:rsidRPr="00BC76A2">
        <w:rPr>
          <w:lang w:val="de-DE"/>
        </w:rPr>
        <w:t>Abschnitt</w:t>
      </w:r>
      <w:r w:rsidR="00E4080D" w:rsidRPr="00BC76A2">
        <w:rPr>
          <w:lang w:val="de-DE"/>
        </w:rPr>
        <w:t xml:space="preserve"> 3.2</w:t>
      </w:r>
      <w:r w:rsidRPr="00BC76A2">
        <w:rPr>
          <w:lang w:val="de-DE"/>
        </w:rPr>
        <w:t>,</w:t>
      </w:r>
      <w:r w:rsidR="00E4080D" w:rsidRPr="00BC76A2">
        <w:rPr>
          <w:lang w:val="de-DE"/>
        </w:rPr>
        <w:t xml:space="preserve"> </w:t>
      </w:r>
      <w:r w:rsidRPr="00BC76A2">
        <w:rPr>
          <w:lang w:val="de-DE"/>
        </w:rPr>
        <w:t xml:space="preserve">„Zusätzlicher </w:t>
      </w:r>
      <w:r w:rsidR="007206B2" w:rsidRPr="00BC76A2">
        <w:rPr>
          <w:lang w:val="de-DE"/>
        </w:rPr>
        <w:t>Standardwortlaut</w:t>
      </w:r>
      <w:r w:rsidR="00E4080D" w:rsidRPr="00BC76A2">
        <w:rPr>
          <w:lang w:val="de-DE"/>
        </w:rPr>
        <w:t xml:space="preserve"> (ASW) </w:t>
      </w:r>
      <w:r w:rsidRPr="00BC76A2">
        <w:rPr>
          <w:lang w:val="de-DE"/>
        </w:rPr>
        <w:t>zur TG-Mustervorlage“</w:t>
      </w:r>
      <w:r w:rsidR="00E4080D" w:rsidRPr="00BC76A2">
        <w:rPr>
          <w:lang w:val="de-DE"/>
        </w:rPr>
        <w:t>)</w:t>
      </w:r>
    </w:p>
    <w:p w:rsidR="00E4080D" w:rsidRPr="00BC76A2" w:rsidRDefault="00E4080D" w:rsidP="009C3347">
      <w:pPr>
        <w:pStyle w:val="ListParagraph"/>
        <w:numPr>
          <w:ilvl w:val="0"/>
          <w:numId w:val="5"/>
        </w:numPr>
        <w:spacing w:after="40"/>
        <w:ind w:left="714" w:hanging="357"/>
        <w:contextualSpacing w:val="0"/>
        <w:rPr>
          <w:lang w:val="de-DE"/>
        </w:rPr>
      </w:pPr>
      <w:r w:rsidRPr="00BC76A2">
        <w:rPr>
          <w:lang w:val="de-DE"/>
        </w:rPr>
        <w:t xml:space="preserve">Links </w:t>
      </w:r>
      <w:r w:rsidR="004412DF" w:rsidRPr="00BC76A2">
        <w:rPr>
          <w:lang w:val="de-DE"/>
        </w:rPr>
        <w:t>zu den Erläuterungen</w:t>
      </w:r>
      <w:r w:rsidRPr="00BC76A2">
        <w:rPr>
          <w:lang w:val="de-DE"/>
        </w:rPr>
        <w:t xml:space="preserve"> (GN) (</w:t>
      </w:r>
      <w:r w:rsidR="003C2AFD" w:rsidRPr="00BC76A2">
        <w:rPr>
          <w:lang w:val="de-DE"/>
        </w:rPr>
        <w:t>vergleiche Dokument</w:t>
      </w:r>
      <w:r w:rsidR="005D6A9B" w:rsidRPr="00BC76A2">
        <w:rPr>
          <w:lang w:val="de-DE"/>
        </w:rPr>
        <w:t xml:space="preserve"> </w:t>
      </w:r>
      <w:r w:rsidRPr="00BC76A2">
        <w:rPr>
          <w:lang w:val="de-DE"/>
        </w:rPr>
        <w:t>TGP/7</w:t>
      </w:r>
      <w:r w:rsidR="005D6A9B" w:rsidRPr="00BC76A2">
        <w:rPr>
          <w:lang w:val="de-DE"/>
        </w:rPr>
        <w:t>/3</w:t>
      </w:r>
      <w:r w:rsidRPr="00BC76A2">
        <w:rPr>
          <w:lang w:val="de-DE"/>
        </w:rPr>
        <w:t xml:space="preserve">, </w:t>
      </w:r>
      <w:r w:rsidR="004412DF" w:rsidRPr="00BC76A2">
        <w:rPr>
          <w:lang w:val="de-DE"/>
        </w:rPr>
        <w:t>Abschnitt</w:t>
      </w:r>
      <w:r w:rsidRPr="00BC76A2">
        <w:rPr>
          <w:lang w:val="de-DE"/>
        </w:rPr>
        <w:t xml:space="preserve"> 3.3</w:t>
      </w:r>
      <w:r w:rsidR="007135C8" w:rsidRPr="00BC76A2">
        <w:rPr>
          <w:lang w:val="de-DE"/>
        </w:rPr>
        <w:t>,</w:t>
      </w:r>
      <w:r w:rsidRPr="00BC76A2">
        <w:rPr>
          <w:lang w:val="de-DE"/>
        </w:rPr>
        <w:t xml:space="preserve"> </w:t>
      </w:r>
      <w:r w:rsidR="004412DF" w:rsidRPr="00BC76A2">
        <w:rPr>
          <w:lang w:val="de-DE"/>
        </w:rPr>
        <w:t xml:space="preserve">„Erläuterungen (GN) zur </w:t>
      </w:r>
      <w:r w:rsidRPr="00BC76A2">
        <w:rPr>
          <w:lang w:val="de-DE"/>
        </w:rPr>
        <w:t>TG</w:t>
      </w:r>
      <w:r w:rsidR="004412DF" w:rsidRPr="00BC76A2">
        <w:rPr>
          <w:lang w:val="de-DE"/>
        </w:rPr>
        <w:t>-Mustervorlage“</w:t>
      </w:r>
      <w:r w:rsidR="005D6A9B" w:rsidRPr="00BC76A2">
        <w:rPr>
          <w:lang w:val="de-DE"/>
        </w:rPr>
        <w:t>)</w:t>
      </w:r>
    </w:p>
    <w:p w:rsidR="001D2E82" w:rsidRPr="00BC76A2" w:rsidRDefault="00EC24BF" w:rsidP="005D6A9B">
      <w:pPr>
        <w:pStyle w:val="ListParagraph"/>
        <w:numPr>
          <w:ilvl w:val="0"/>
          <w:numId w:val="5"/>
        </w:numPr>
        <w:rPr>
          <w:i/>
          <w:snapToGrid w:val="0"/>
          <w:lang w:val="de-DE"/>
        </w:rPr>
      </w:pPr>
      <w:r w:rsidRPr="00BC76A2">
        <w:rPr>
          <w:lang w:val="de-DE"/>
        </w:rPr>
        <w:t>e</w:t>
      </w:r>
      <w:r w:rsidR="004412DF" w:rsidRPr="00BC76A2">
        <w:rPr>
          <w:lang w:val="de-DE"/>
        </w:rPr>
        <w:t>ine Datenbank mit Merkmalen</w:t>
      </w:r>
      <w:r w:rsidR="00CA06CC" w:rsidRPr="00BC76A2">
        <w:rPr>
          <w:lang w:val="de-DE"/>
        </w:rPr>
        <w:t xml:space="preserve"> (in </w:t>
      </w:r>
      <w:r w:rsidR="007135C8" w:rsidRPr="00BC76A2">
        <w:rPr>
          <w:lang w:val="de-DE"/>
        </w:rPr>
        <w:t xml:space="preserve">Deutsch, </w:t>
      </w:r>
      <w:r w:rsidR="00CA06CC" w:rsidRPr="00BC76A2">
        <w:rPr>
          <w:lang w:val="de-DE"/>
        </w:rPr>
        <w:t>Englis</w:t>
      </w:r>
      <w:r w:rsidR="004412DF" w:rsidRPr="00BC76A2">
        <w:rPr>
          <w:lang w:val="de-DE"/>
        </w:rPr>
        <w:t>c</w:t>
      </w:r>
      <w:r w:rsidR="00CA06CC" w:rsidRPr="00BC76A2">
        <w:rPr>
          <w:lang w:val="de-DE"/>
        </w:rPr>
        <w:t>h, Fr</w:t>
      </w:r>
      <w:r w:rsidR="004412DF" w:rsidRPr="00BC76A2">
        <w:rPr>
          <w:lang w:val="de-DE"/>
        </w:rPr>
        <w:t>anzösisch und Spanisch</w:t>
      </w:r>
      <w:r w:rsidR="00CA06CC" w:rsidRPr="00BC76A2">
        <w:rPr>
          <w:lang w:val="de-DE"/>
        </w:rPr>
        <w:t>)</w:t>
      </w:r>
      <w:r w:rsidR="005D6A9B" w:rsidRPr="00BC76A2">
        <w:rPr>
          <w:lang w:val="de-DE"/>
        </w:rPr>
        <w:t xml:space="preserve"> </w:t>
      </w:r>
      <w:r w:rsidR="004412DF" w:rsidRPr="00BC76A2">
        <w:rPr>
          <w:lang w:val="de-DE"/>
        </w:rPr>
        <w:t xml:space="preserve">aus </w:t>
      </w:r>
      <w:r w:rsidR="007206B2" w:rsidRPr="00BC76A2">
        <w:rPr>
          <w:lang w:val="de-DE"/>
        </w:rPr>
        <w:t>Prüfungsrichtlinien</w:t>
      </w:r>
      <w:r w:rsidR="00697190" w:rsidRPr="00BC76A2">
        <w:rPr>
          <w:lang w:val="de-DE"/>
        </w:rPr>
        <w:t>, die nach</w:t>
      </w:r>
      <w:r w:rsidR="004412DF" w:rsidRPr="00BC76A2">
        <w:rPr>
          <w:lang w:val="de-DE"/>
        </w:rPr>
        <w:t xml:space="preserve"> der Annahme des </w:t>
      </w:r>
      <w:r w:rsidR="00697190" w:rsidRPr="00BC76A2">
        <w:rPr>
          <w:lang w:val="de-DE"/>
        </w:rPr>
        <w:t>D</w:t>
      </w:r>
      <w:r w:rsidR="004412DF" w:rsidRPr="00BC76A2">
        <w:rPr>
          <w:lang w:val="de-DE"/>
        </w:rPr>
        <w:t xml:space="preserve">okuments </w:t>
      </w:r>
      <w:r w:rsidR="005D6A9B" w:rsidRPr="00BC76A2">
        <w:rPr>
          <w:lang w:val="de-DE"/>
        </w:rPr>
        <w:t>TGP/7/1</w:t>
      </w:r>
      <w:r w:rsidR="004412DF" w:rsidRPr="00BC76A2">
        <w:rPr>
          <w:lang w:val="de-DE"/>
        </w:rPr>
        <w:t xml:space="preserve"> </w:t>
      </w:r>
      <w:r w:rsidR="00697190" w:rsidRPr="00BC76A2">
        <w:rPr>
          <w:lang w:val="de-DE"/>
        </w:rPr>
        <w:t>„</w:t>
      </w:r>
      <w:r w:rsidR="007206B2" w:rsidRPr="00BC76A2">
        <w:rPr>
          <w:lang w:val="de-DE"/>
        </w:rPr>
        <w:t>Erstellung</w:t>
      </w:r>
      <w:r w:rsidR="004412DF" w:rsidRPr="00BC76A2">
        <w:rPr>
          <w:lang w:val="de-DE"/>
        </w:rPr>
        <w:t xml:space="preserve"> von </w:t>
      </w:r>
      <w:r w:rsidR="007206B2" w:rsidRPr="00BC76A2">
        <w:rPr>
          <w:lang w:val="de-DE"/>
        </w:rPr>
        <w:t>Prüfungsrichtlinien</w:t>
      </w:r>
      <w:r w:rsidR="004412DF" w:rsidRPr="00BC76A2">
        <w:rPr>
          <w:lang w:val="de-DE"/>
        </w:rPr>
        <w:t xml:space="preserve">“, </w:t>
      </w:r>
      <w:r w:rsidR="007135C8" w:rsidRPr="00BC76A2">
        <w:rPr>
          <w:lang w:val="de-DE"/>
        </w:rPr>
        <w:t>und der</w:t>
      </w:r>
      <w:r w:rsidR="00697190" w:rsidRPr="00BC76A2">
        <w:rPr>
          <w:lang w:val="de-DE"/>
        </w:rPr>
        <w:t xml:space="preserve"> </w:t>
      </w:r>
      <w:r w:rsidR="007206B2" w:rsidRPr="00BC76A2">
        <w:rPr>
          <w:lang w:val="de-DE"/>
        </w:rPr>
        <w:t>Sammlung</w:t>
      </w:r>
      <w:r w:rsidR="00697190" w:rsidRPr="00BC76A2">
        <w:rPr>
          <w:lang w:val="de-DE"/>
        </w:rPr>
        <w:t xml:space="preserve"> gebilligter Merkmale </w:t>
      </w:r>
      <w:r w:rsidR="005D6A9B" w:rsidRPr="00BC76A2">
        <w:rPr>
          <w:lang w:val="de-DE"/>
        </w:rPr>
        <w:t>(a</w:t>
      </w:r>
      <w:r w:rsidR="00697190" w:rsidRPr="00BC76A2">
        <w:rPr>
          <w:lang w:val="de-DE"/>
        </w:rPr>
        <w:t>ngenommen im Jahre</w:t>
      </w:r>
      <w:r w:rsidR="005D6A9B" w:rsidRPr="00BC76A2">
        <w:rPr>
          <w:lang w:val="de-DE"/>
        </w:rPr>
        <w:t xml:space="preserve"> 2004)</w:t>
      </w:r>
      <w:r w:rsidR="00697190" w:rsidRPr="00BC76A2">
        <w:rPr>
          <w:lang w:val="de-DE"/>
        </w:rPr>
        <w:t xml:space="preserve"> angenommen wurden</w:t>
      </w:r>
      <w:r w:rsidR="005D6A9B" w:rsidRPr="00BC76A2">
        <w:rPr>
          <w:lang w:val="de-DE"/>
        </w:rPr>
        <w:t xml:space="preserve"> (</w:t>
      </w:r>
      <w:r w:rsidR="003C2AFD" w:rsidRPr="00BC76A2">
        <w:rPr>
          <w:lang w:val="de-DE"/>
        </w:rPr>
        <w:t>vergleiche Dokument</w:t>
      </w:r>
      <w:r w:rsidR="005D6A9B" w:rsidRPr="00BC76A2">
        <w:rPr>
          <w:lang w:val="de-DE"/>
        </w:rPr>
        <w:t xml:space="preserve"> TGP/7/3, An</w:t>
      </w:r>
      <w:r w:rsidR="00697190" w:rsidRPr="00BC76A2">
        <w:rPr>
          <w:lang w:val="de-DE"/>
        </w:rPr>
        <w:t>lage</w:t>
      </w:r>
      <w:r w:rsidR="005D6A9B" w:rsidRPr="00BC76A2">
        <w:rPr>
          <w:lang w:val="de-DE"/>
        </w:rPr>
        <w:t xml:space="preserve"> 4</w:t>
      </w:r>
      <w:r w:rsidR="00697190" w:rsidRPr="00BC76A2">
        <w:rPr>
          <w:lang w:val="de-DE"/>
        </w:rPr>
        <w:t>, „Sammlung gebilligter Merkmale“</w:t>
      </w:r>
      <w:r w:rsidR="005D6A9B" w:rsidRPr="00BC76A2">
        <w:rPr>
          <w:lang w:val="de-DE"/>
        </w:rPr>
        <w:t>).</w:t>
      </w:r>
    </w:p>
    <w:p w:rsidR="00697190" w:rsidRPr="00BC76A2" w:rsidRDefault="00697190" w:rsidP="001D2E82">
      <w:pPr>
        <w:ind w:left="720"/>
        <w:rPr>
          <w:lang w:val="de-DE"/>
        </w:rPr>
      </w:pPr>
    </w:p>
    <w:p w:rsidR="00F23E20" w:rsidRPr="00BC76A2" w:rsidRDefault="00697190" w:rsidP="001D2E82">
      <w:pPr>
        <w:ind w:left="720"/>
        <w:rPr>
          <w:i/>
          <w:snapToGrid w:val="0"/>
          <w:lang w:val="de-DE"/>
        </w:rPr>
      </w:pPr>
      <w:r w:rsidRPr="00BC76A2">
        <w:rPr>
          <w:i/>
          <w:lang w:val="de-DE"/>
        </w:rPr>
        <w:t xml:space="preserve">Die Datenbank wird alle </w:t>
      </w:r>
      <w:r w:rsidR="007206B2" w:rsidRPr="00BC76A2">
        <w:rPr>
          <w:i/>
          <w:lang w:val="de-DE"/>
        </w:rPr>
        <w:t>Informationen</w:t>
      </w:r>
      <w:r w:rsidRPr="00BC76A2">
        <w:rPr>
          <w:i/>
          <w:lang w:val="de-DE"/>
        </w:rPr>
        <w:t xml:space="preserve"> der Merkmalstabelle enthalten, </w:t>
      </w:r>
      <w:r w:rsidR="007206B2" w:rsidRPr="00BC76A2">
        <w:rPr>
          <w:i/>
          <w:lang w:val="de-DE"/>
        </w:rPr>
        <w:t>einschließlich</w:t>
      </w:r>
      <w:r w:rsidRPr="00BC76A2">
        <w:rPr>
          <w:i/>
          <w:lang w:val="de-DE"/>
        </w:rPr>
        <w:t xml:space="preserve"> der Ausprägungsstufen, Noten, Beispielssorten usw. </w:t>
      </w:r>
      <w:r w:rsidR="007206B2" w:rsidRPr="00BC76A2">
        <w:rPr>
          <w:i/>
          <w:lang w:val="de-DE"/>
        </w:rPr>
        <w:t>Die Datenbank kann auf einschlägige Merkmale durchsucht werden, und ein einschlägiges Merkmal kann in den Entwurf von Prüfungsrichtlinien hochgeladen werden, nach Bedarf mit nachträglicher Änderung</w:t>
      </w:r>
      <w:r w:rsidR="007206B2" w:rsidRPr="00BC76A2">
        <w:rPr>
          <w:i/>
          <w:snapToGrid w:val="0"/>
          <w:lang w:val="de-DE"/>
        </w:rPr>
        <w:t>.</w:t>
      </w:r>
    </w:p>
    <w:p w:rsidR="001D2E82" w:rsidRPr="00BC76A2" w:rsidRDefault="001D2E82" w:rsidP="001D2E82">
      <w:pPr>
        <w:ind w:left="360"/>
        <w:rPr>
          <w:i/>
          <w:snapToGrid w:val="0"/>
          <w:lang w:val="de-DE"/>
        </w:rPr>
      </w:pPr>
    </w:p>
    <w:p w:rsidR="00AA731D" w:rsidRPr="00BC76A2" w:rsidRDefault="00697190" w:rsidP="009C3347">
      <w:pPr>
        <w:pStyle w:val="ListParagraph"/>
        <w:numPr>
          <w:ilvl w:val="0"/>
          <w:numId w:val="5"/>
        </w:numPr>
        <w:spacing w:after="40"/>
        <w:ind w:left="714" w:hanging="357"/>
        <w:contextualSpacing w:val="0"/>
        <w:rPr>
          <w:snapToGrid w:val="0"/>
          <w:lang w:val="de-DE"/>
        </w:rPr>
      </w:pPr>
      <w:r w:rsidRPr="00BC76A2">
        <w:rPr>
          <w:snapToGrid w:val="0"/>
          <w:lang w:val="de-DE"/>
        </w:rPr>
        <w:t>Kästen mit Bemerkungen für beteiligte Sachverständige, die online ausgefüllt werden können, mit der Möglichkeit, alle Bemerkungen zu betrachten</w:t>
      </w:r>
    </w:p>
    <w:p w:rsidR="001D2E82" w:rsidRPr="00BC76A2" w:rsidRDefault="009628A1" w:rsidP="009C3347">
      <w:pPr>
        <w:pStyle w:val="ListParagraph"/>
        <w:numPr>
          <w:ilvl w:val="0"/>
          <w:numId w:val="5"/>
        </w:numPr>
        <w:spacing w:after="40"/>
        <w:ind w:left="714" w:hanging="357"/>
        <w:contextualSpacing w:val="0"/>
        <w:rPr>
          <w:snapToGrid w:val="0"/>
          <w:lang w:val="de-DE"/>
        </w:rPr>
      </w:pPr>
      <w:r w:rsidRPr="00BC76A2">
        <w:rPr>
          <w:snapToGrid w:val="0"/>
          <w:lang w:val="de-DE"/>
        </w:rPr>
        <w:t>Option</w:t>
      </w:r>
      <w:r w:rsidR="00697190" w:rsidRPr="00BC76A2">
        <w:rPr>
          <w:snapToGrid w:val="0"/>
          <w:lang w:val="de-DE"/>
        </w:rPr>
        <w:t xml:space="preserve">en zur Erstellung von Ausgaben </w:t>
      </w:r>
      <w:r w:rsidR="00727F91" w:rsidRPr="00BC76A2">
        <w:rPr>
          <w:snapToGrid w:val="0"/>
          <w:lang w:val="de-DE"/>
        </w:rPr>
        <w:t>i</w:t>
      </w:r>
      <w:r w:rsidR="00697190" w:rsidRPr="00BC76A2">
        <w:rPr>
          <w:snapToGrid w:val="0"/>
          <w:lang w:val="de-DE"/>
        </w:rPr>
        <w:t xml:space="preserve">n </w:t>
      </w:r>
      <w:r w:rsidRPr="00BC76A2">
        <w:rPr>
          <w:snapToGrid w:val="0"/>
          <w:lang w:val="de-DE"/>
        </w:rPr>
        <w:t>HTML</w:t>
      </w:r>
      <w:r w:rsidR="00697190" w:rsidRPr="00BC76A2">
        <w:rPr>
          <w:snapToGrid w:val="0"/>
          <w:lang w:val="de-DE"/>
        </w:rPr>
        <w:t>-</w:t>
      </w:r>
      <w:r w:rsidRPr="00BC76A2">
        <w:rPr>
          <w:snapToGrid w:val="0"/>
          <w:lang w:val="de-DE"/>
        </w:rPr>
        <w:t>, PDF</w:t>
      </w:r>
      <w:r w:rsidR="00697190" w:rsidRPr="00BC76A2">
        <w:rPr>
          <w:snapToGrid w:val="0"/>
          <w:lang w:val="de-DE"/>
        </w:rPr>
        <w:t>-</w:t>
      </w:r>
      <w:r w:rsidRPr="00BC76A2">
        <w:rPr>
          <w:snapToGrid w:val="0"/>
          <w:lang w:val="de-DE"/>
        </w:rPr>
        <w:t xml:space="preserve"> </w:t>
      </w:r>
      <w:r w:rsidR="007206B2" w:rsidRPr="00BC76A2">
        <w:rPr>
          <w:snapToGrid w:val="0"/>
          <w:lang w:val="de-DE"/>
        </w:rPr>
        <w:t>oder</w:t>
      </w:r>
      <w:r w:rsidRPr="00BC76A2">
        <w:rPr>
          <w:snapToGrid w:val="0"/>
          <w:lang w:val="de-DE"/>
        </w:rPr>
        <w:t xml:space="preserve"> Word</w:t>
      </w:r>
      <w:r w:rsidR="00697190" w:rsidRPr="00BC76A2">
        <w:rPr>
          <w:snapToGrid w:val="0"/>
          <w:lang w:val="de-DE"/>
        </w:rPr>
        <w:t>-F</w:t>
      </w:r>
      <w:r w:rsidRPr="00BC76A2">
        <w:rPr>
          <w:snapToGrid w:val="0"/>
          <w:lang w:val="de-DE"/>
        </w:rPr>
        <w:t>ormat</w:t>
      </w:r>
    </w:p>
    <w:p w:rsidR="001D2E82" w:rsidRPr="00BC76A2" w:rsidRDefault="00697190" w:rsidP="009C3347">
      <w:pPr>
        <w:pStyle w:val="ListParagraph"/>
        <w:numPr>
          <w:ilvl w:val="0"/>
          <w:numId w:val="5"/>
        </w:numPr>
        <w:spacing w:after="40"/>
        <w:ind w:left="714" w:hanging="357"/>
        <w:contextualSpacing w:val="0"/>
        <w:rPr>
          <w:snapToGrid w:val="0"/>
          <w:lang w:val="de-DE"/>
        </w:rPr>
      </w:pPr>
      <w:r w:rsidRPr="00BC76A2">
        <w:rPr>
          <w:snapToGrid w:val="0"/>
          <w:lang w:val="de-DE"/>
        </w:rPr>
        <w:t xml:space="preserve">Version nur in </w:t>
      </w:r>
      <w:r w:rsidR="001D2E82" w:rsidRPr="00BC76A2">
        <w:rPr>
          <w:snapToGrid w:val="0"/>
          <w:lang w:val="de-DE"/>
        </w:rPr>
        <w:t>Englis</w:t>
      </w:r>
      <w:r w:rsidRPr="00BC76A2">
        <w:rPr>
          <w:snapToGrid w:val="0"/>
          <w:lang w:val="de-DE"/>
        </w:rPr>
        <w:t>c</w:t>
      </w:r>
      <w:r w:rsidR="001D2E82" w:rsidRPr="00BC76A2">
        <w:rPr>
          <w:snapToGrid w:val="0"/>
          <w:lang w:val="de-DE"/>
        </w:rPr>
        <w:t>h</w:t>
      </w:r>
    </w:p>
    <w:p w:rsidR="001D2E82" w:rsidRPr="00BC76A2" w:rsidRDefault="00697190" w:rsidP="001D2E82">
      <w:pPr>
        <w:pStyle w:val="ListParagraph"/>
        <w:numPr>
          <w:ilvl w:val="0"/>
          <w:numId w:val="5"/>
        </w:numPr>
        <w:rPr>
          <w:snapToGrid w:val="0"/>
          <w:lang w:val="de-DE"/>
        </w:rPr>
      </w:pPr>
      <w:r w:rsidRPr="00BC76A2">
        <w:rPr>
          <w:snapToGrid w:val="0"/>
          <w:lang w:val="de-DE"/>
        </w:rPr>
        <w:t>Hilfe für Übersetze</w:t>
      </w:r>
      <w:r w:rsidR="002E4663" w:rsidRPr="00BC76A2">
        <w:rPr>
          <w:snapToGrid w:val="0"/>
          <w:lang w:val="de-DE"/>
        </w:rPr>
        <w:t>r</w:t>
      </w:r>
      <w:r w:rsidRPr="00BC76A2">
        <w:rPr>
          <w:snapToGrid w:val="0"/>
          <w:lang w:val="de-DE"/>
        </w:rPr>
        <w:t xml:space="preserve"> für die Merkmalstabelle</w:t>
      </w:r>
      <w:r w:rsidR="00744A9B" w:rsidRPr="00BC76A2">
        <w:rPr>
          <w:snapToGrid w:val="0"/>
          <w:color w:val="000000"/>
          <w:lang w:val="de-DE"/>
        </w:rPr>
        <w:t xml:space="preserve"> (</w:t>
      </w:r>
      <w:r w:rsidRPr="00BC76A2">
        <w:rPr>
          <w:snapToGrid w:val="0"/>
          <w:color w:val="000000"/>
          <w:lang w:val="de-DE"/>
        </w:rPr>
        <w:t xml:space="preserve">Kapitel </w:t>
      </w:r>
      <w:r w:rsidR="00744A9B" w:rsidRPr="00BC76A2">
        <w:rPr>
          <w:snapToGrid w:val="0"/>
          <w:color w:val="000000"/>
          <w:lang w:val="de-DE"/>
        </w:rPr>
        <w:t>7)</w:t>
      </w:r>
    </w:p>
    <w:p w:rsidR="001D2E82" w:rsidRPr="00BC76A2" w:rsidRDefault="001D2E82" w:rsidP="001D2E82">
      <w:pPr>
        <w:ind w:left="720"/>
        <w:rPr>
          <w:i/>
          <w:snapToGrid w:val="0"/>
          <w:color w:val="000000"/>
          <w:lang w:val="de-DE"/>
        </w:rPr>
      </w:pPr>
    </w:p>
    <w:p w:rsidR="001D2E82" w:rsidRPr="00BC76A2" w:rsidRDefault="005D0511" w:rsidP="001D2E82">
      <w:pPr>
        <w:ind w:left="720"/>
        <w:rPr>
          <w:i/>
          <w:snapToGrid w:val="0"/>
          <w:color w:val="000000"/>
          <w:lang w:val="de-DE"/>
        </w:rPr>
      </w:pPr>
      <w:r w:rsidRPr="00BC76A2">
        <w:rPr>
          <w:i/>
          <w:snapToGrid w:val="0"/>
          <w:color w:val="000000"/>
          <w:lang w:val="de-DE"/>
        </w:rPr>
        <w:t xml:space="preserve">Für </w:t>
      </w:r>
      <w:r w:rsidR="00EC4D87" w:rsidRPr="00BC76A2">
        <w:rPr>
          <w:i/>
          <w:snapToGrid w:val="0"/>
          <w:color w:val="000000"/>
          <w:lang w:val="de-DE"/>
        </w:rPr>
        <w:t>Merkmale, die unverändert von der Datenbank</w:t>
      </w:r>
      <w:r w:rsidRPr="00BC76A2">
        <w:rPr>
          <w:i/>
          <w:snapToGrid w:val="0"/>
          <w:color w:val="000000"/>
          <w:lang w:val="de-DE"/>
        </w:rPr>
        <w:t xml:space="preserve"> mit der</w:t>
      </w:r>
      <w:r w:rsidR="00EC4D87" w:rsidRPr="00BC76A2">
        <w:rPr>
          <w:i/>
          <w:snapToGrid w:val="0"/>
          <w:color w:val="000000"/>
          <w:lang w:val="de-DE"/>
        </w:rPr>
        <w:t xml:space="preserve"> </w:t>
      </w:r>
      <w:r w:rsidR="007206B2" w:rsidRPr="00BC76A2">
        <w:rPr>
          <w:i/>
          <w:snapToGrid w:val="0"/>
          <w:color w:val="000000"/>
          <w:lang w:val="de-DE"/>
        </w:rPr>
        <w:t>Sammlung</w:t>
      </w:r>
      <w:r w:rsidR="00EC4D87" w:rsidRPr="00BC76A2">
        <w:rPr>
          <w:i/>
          <w:snapToGrid w:val="0"/>
          <w:color w:val="000000"/>
          <w:lang w:val="de-DE"/>
        </w:rPr>
        <w:t xml:space="preserve"> gebilligter Merkmale hochgeladen werden</w:t>
      </w:r>
      <w:r w:rsidRPr="00BC76A2">
        <w:rPr>
          <w:i/>
          <w:snapToGrid w:val="0"/>
          <w:color w:val="000000"/>
          <w:lang w:val="de-DE"/>
        </w:rPr>
        <w:t xml:space="preserve">, wird angegeben, </w:t>
      </w:r>
      <w:r w:rsidR="00A0388E" w:rsidRPr="00BC76A2">
        <w:rPr>
          <w:i/>
          <w:snapToGrid w:val="0"/>
          <w:color w:val="000000"/>
          <w:lang w:val="de-DE"/>
        </w:rPr>
        <w:t>daß</w:t>
      </w:r>
      <w:r w:rsidRPr="00BC76A2">
        <w:rPr>
          <w:i/>
          <w:snapToGrid w:val="0"/>
          <w:color w:val="000000"/>
          <w:lang w:val="de-DE"/>
        </w:rPr>
        <w:t xml:space="preserve"> sie keiner Übersetzung bedürfen.</w:t>
      </w:r>
      <w:r w:rsidR="00CA06CC" w:rsidRPr="00BC76A2">
        <w:rPr>
          <w:i/>
          <w:snapToGrid w:val="0"/>
          <w:color w:val="000000"/>
          <w:lang w:val="de-DE"/>
        </w:rPr>
        <w:t xml:space="preserve"> F</w:t>
      </w:r>
      <w:r w:rsidRPr="00BC76A2">
        <w:rPr>
          <w:i/>
          <w:snapToGrid w:val="0"/>
          <w:color w:val="000000"/>
          <w:lang w:val="de-DE"/>
        </w:rPr>
        <w:t xml:space="preserve">ür andere Merkmale </w:t>
      </w:r>
      <w:r w:rsidR="007206B2" w:rsidRPr="00BC76A2">
        <w:rPr>
          <w:i/>
          <w:snapToGrid w:val="0"/>
          <w:color w:val="000000"/>
          <w:lang w:val="de-DE"/>
        </w:rPr>
        <w:t>werden</w:t>
      </w:r>
      <w:r w:rsidRPr="00BC76A2">
        <w:rPr>
          <w:i/>
          <w:snapToGrid w:val="0"/>
          <w:color w:val="000000"/>
          <w:lang w:val="de-DE"/>
        </w:rPr>
        <w:t xml:space="preserve"> die Übersetzer in der Lage sein, die </w:t>
      </w:r>
      <w:r w:rsidR="007206B2" w:rsidRPr="00BC76A2">
        <w:rPr>
          <w:i/>
          <w:snapToGrid w:val="0"/>
          <w:color w:val="000000"/>
          <w:lang w:val="de-DE"/>
        </w:rPr>
        <w:t>Datenbank</w:t>
      </w:r>
      <w:r w:rsidRPr="00BC76A2">
        <w:rPr>
          <w:i/>
          <w:snapToGrid w:val="0"/>
          <w:color w:val="000000"/>
          <w:lang w:val="de-DE"/>
        </w:rPr>
        <w:t xml:space="preserve"> mit der </w:t>
      </w:r>
      <w:r w:rsidR="007206B2" w:rsidRPr="00BC76A2">
        <w:rPr>
          <w:i/>
          <w:snapToGrid w:val="0"/>
          <w:color w:val="000000"/>
          <w:lang w:val="de-DE"/>
        </w:rPr>
        <w:t>Sammlung</w:t>
      </w:r>
      <w:r w:rsidRPr="00BC76A2">
        <w:rPr>
          <w:i/>
          <w:snapToGrid w:val="0"/>
          <w:color w:val="000000"/>
          <w:lang w:val="de-DE"/>
        </w:rPr>
        <w:t xml:space="preserve"> gebilligter Merkmale zu </w:t>
      </w:r>
      <w:r w:rsidR="007206B2" w:rsidRPr="00BC76A2">
        <w:rPr>
          <w:i/>
          <w:snapToGrid w:val="0"/>
          <w:color w:val="000000"/>
          <w:lang w:val="de-DE"/>
        </w:rPr>
        <w:t>durchsuchen und die</w:t>
      </w:r>
      <w:r w:rsidRPr="00BC76A2">
        <w:rPr>
          <w:i/>
          <w:snapToGrid w:val="0"/>
          <w:color w:val="000000"/>
          <w:lang w:val="de-DE"/>
        </w:rPr>
        <w:t xml:space="preserve"> </w:t>
      </w:r>
      <w:r w:rsidR="007206B2" w:rsidRPr="00BC76A2">
        <w:rPr>
          <w:i/>
          <w:snapToGrid w:val="0"/>
          <w:color w:val="000000"/>
          <w:lang w:val="de-DE"/>
        </w:rPr>
        <w:t>erforderlichen</w:t>
      </w:r>
      <w:r w:rsidRPr="00BC76A2">
        <w:rPr>
          <w:i/>
          <w:snapToGrid w:val="0"/>
          <w:color w:val="000000"/>
          <w:lang w:val="de-DE"/>
        </w:rPr>
        <w:t xml:space="preserve"> </w:t>
      </w:r>
      <w:r w:rsidR="007206B2" w:rsidRPr="00BC76A2">
        <w:rPr>
          <w:i/>
          <w:snapToGrid w:val="0"/>
          <w:color w:val="000000"/>
          <w:lang w:val="de-DE"/>
        </w:rPr>
        <w:t>Übersetzungen</w:t>
      </w:r>
      <w:r w:rsidRPr="00BC76A2">
        <w:rPr>
          <w:i/>
          <w:snapToGrid w:val="0"/>
          <w:color w:val="000000"/>
          <w:lang w:val="de-DE"/>
        </w:rPr>
        <w:t xml:space="preserve"> einzugeben. Die Übersetzung der übrigen Kapitel der Prüfungsrichtlinien wird für </w:t>
      </w:r>
      <w:r w:rsidR="007206B2" w:rsidRPr="00BC76A2">
        <w:rPr>
          <w:i/>
          <w:snapToGrid w:val="0"/>
          <w:color w:val="000000"/>
          <w:lang w:val="de-DE"/>
        </w:rPr>
        <w:t>Version</w:t>
      </w:r>
      <w:r w:rsidRPr="00BC76A2">
        <w:rPr>
          <w:i/>
          <w:snapToGrid w:val="0"/>
          <w:color w:val="000000"/>
          <w:lang w:val="de-DE"/>
        </w:rPr>
        <w:t xml:space="preserve"> 1 getrennt bereitgestellt.</w:t>
      </w:r>
    </w:p>
    <w:p w:rsidR="00B94A4D" w:rsidRPr="00BC76A2" w:rsidRDefault="00B94A4D" w:rsidP="00B94A4D">
      <w:pPr>
        <w:rPr>
          <w:snapToGrid w:val="0"/>
          <w:lang w:val="de-DE"/>
        </w:rPr>
      </w:pPr>
    </w:p>
    <w:p w:rsidR="00B94A4D" w:rsidRPr="00BC76A2" w:rsidRDefault="005D0511" w:rsidP="00574BB5">
      <w:pPr>
        <w:pStyle w:val="Heading3"/>
        <w:rPr>
          <w:snapToGrid w:val="0"/>
          <w:lang w:val="de-DE"/>
        </w:rPr>
      </w:pPr>
      <w:bookmarkStart w:id="191" w:name="_Toc379530108"/>
      <w:bookmarkStart w:id="192" w:name="_Toc380391655"/>
      <w:bookmarkStart w:id="193" w:name="_Toc380419895"/>
      <w:bookmarkStart w:id="194" w:name="_Toc380483695"/>
      <w:r w:rsidRPr="00BC76A2">
        <w:rPr>
          <w:snapToGrid w:val="0"/>
          <w:lang w:val="de-DE"/>
        </w:rPr>
        <w:t>Umsetzung</w:t>
      </w:r>
      <w:bookmarkEnd w:id="191"/>
      <w:bookmarkEnd w:id="192"/>
      <w:bookmarkEnd w:id="193"/>
      <w:bookmarkEnd w:id="194"/>
    </w:p>
    <w:p w:rsidR="00FF721B" w:rsidRPr="00BC76A2" w:rsidRDefault="00FF721B" w:rsidP="00B94A4D">
      <w:pPr>
        <w:rPr>
          <w:snapToGrid w:val="0"/>
          <w:lang w:val="de-DE"/>
        </w:rPr>
      </w:pPr>
    </w:p>
    <w:p w:rsidR="007F1560" w:rsidRPr="00BC76A2" w:rsidRDefault="007F1560" w:rsidP="00B94A4D">
      <w:pPr>
        <w:rPr>
          <w:snapToGrid w:val="0"/>
          <w:lang w:val="de-DE"/>
        </w:rPr>
      </w:pPr>
      <w:r w:rsidRPr="00BC76A2">
        <w:rPr>
          <w:snapToGrid w:val="0"/>
          <w:lang w:val="de-DE"/>
        </w:rPr>
        <w:fldChar w:fldCharType="begin"/>
      </w:r>
      <w:r w:rsidRPr="00BC76A2">
        <w:rPr>
          <w:snapToGrid w:val="0"/>
          <w:lang w:val="de-DE"/>
        </w:rPr>
        <w:instrText xml:space="preserve"> AUTONUM  </w:instrText>
      </w:r>
      <w:r w:rsidRPr="00BC76A2">
        <w:rPr>
          <w:snapToGrid w:val="0"/>
          <w:lang w:val="de-DE"/>
        </w:rPr>
        <w:fldChar w:fldCharType="end"/>
      </w:r>
      <w:r w:rsidRPr="00BC76A2">
        <w:rPr>
          <w:snapToGrid w:val="0"/>
          <w:lang w:val="de-DE"/>
        </w:rPr>
        <w:tab/>
      </w:r>
      <w:r w:rsidR="005D0511" w:rsidRPr="00BC76A2">
        <w:rPr>
          <w:snapToGrid w:val="0"/>
          <w:lang w:val="de-DE"/>
        </w:rPr>
        <w:t xml:space="preserve">Der Zeitplan für die Ausarbeitung von </w:t>
      </w:r>
      <w:r w:rsidR="007206B2" w:rsidRPr="00BC76A2">
        <w:rPr>
          <w:snapToGrid w:val="0"/>
          <w:lang w:val="de-DE"/>
        </w:rPr>
        <w:t>Prüfungsrichtlinien</w:t>
      </w:r>
      <w:r w:rsidR="005D0511" w:rsidRPr="00BC76A2">
        <w:rPr>
          <w:snapToGrid w:val="0"/>
          <w:lang w:val="de-DE"/>
        </w:rPr>
        <w:t xml:space="preserve"> für die Tagungen der Technischen </w:t>
      </w:r>
      <w:r w:rsidR="007206B2" w:rsidRPr="00BC76A2">
        <w:rPr>
          <w:snapToGrid w:val="0"/>
          <w:lang w:val="de-DE"/>
        </w:rPr>
        <w:t>Arbeitsgruppen</w:t>
      </w:r>
      <w:r w:rsidR="005D0511" w:rsidRPr="00BC76A2">
        <w:rPr>
          <w:snapToGrid w:val="0"/>
          <w:lang w:val="de-DE"/>
        </w:rPr>
        <w:t xml:space="preserve"> im Jahre 2014 sieht </w:t>
      </w:r>
      <w:r w:rsidR="007206B2" w:rsidRPr="00BC76A2">
        <w:rPr>
          <w:snapToGrid w:val="0"/>
          <w:lang w:val="de-DE"/>
        </w:rPr>
        <w:t>folgendermaßen</w:t>
      </w:r>
      <w:r w:rsidR="005D0511" w:rsidRPr="00BC76A2">
        <w:rPr>
          <w:snapToGrid w:val="0"/>
          <w:lang w:val="de-DE"/>
        </w:rPr>
        <w:t xml:space="preserve"> aus:</w:t>
      </w:r>
    </w:p>
    <w:p w:rsidR="007F1560" w:rsidRPr="00BC76A2" w:rsidRDefault="007F1560" w:rsidP="00B94A4D">
      <w:pPr>
        <w:rPr>
          <w:snapToGrid w:val="0"/>
          <w:lang w:val="de-DE"/>
        </w:rPr>
      </w:pPr>
    </w:p>
    <w:tbl>
      <w:tblPr>
        <w:tblStyle w:val="TableGrid"/>
        <w:tblW w:w="0" w:type="auto"/>
        <w:tblInd w:w="1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9" w:type="dxa"/>
          <w:left w:w="115" w:type="dxa"/>
          <w:bottom w:w="29" w:type="dxa"/>
          <w:right w:w="115" w:type="dxa"/>
        </w:tblCellMar>
        <w:tblLook w:val="04A0" w:firstRow="1" w:lastRow="0" w:firstColumn="1" w:lastColumn="0" w:noHBand="0" w:noVBand="1"/>
      </w:tblPr>
      <w:tblGrid>
        <w:gridCol w:w="3533"/>
        <w:gridCol w:w="1400"/>
        <w:gridCol w:w="1671"/>
        <w:gridCol w:w="1451"/>
        <w:gridCol w:w="1616"/>
      </w:tblGrid>
      <w:tr w:rsidR="005D0511" w:rsidRPr="00BC76A2" w:rsidTr="004E4FAC">
        <w:trPr>
          <w:cantSplit/>
        </w:trPr>
        <w:tc>
          <w:tcPr>
            <w:tcW w:w="3787" w:type="dxa"/>
          </w:tcPr>
          <w:p w:rsidR="007F1560" w:rsidRPr="00BC76A2" w:rsidRDefault="007206B2" w:rsidP="005D0511">
            <w:pPr>
              <w:keepNext/>
              <w:rPr>
                <w:snapToGrid w:val="0"/>
                <w:sz w:val="18"/>
                <w:szCs w:val="18"/>
                <w:lang w:val="de-DE"/>
              </w:rPr>
            </w:pPr>
            <w:r w:rsidRPr="00BC76A2">
              <w:rPr>
                <w:snapToGrid w:val="0"/>
                <w:sz w:val="18"/>
                <w:szCs w:val="18"/>
                <w:lang w:val="de-DE"/>
              </w:rPr>
              <w:t>Technische</w:t>
            </w:r>
            <w:r w:rsidR="005D0511" w:rsidRPr="00BC76A2">
              <w:rPr>
                <w:snapToGrid w:val="0"/>
                <w:sz w:val="18"/>
                <w:szCs w:val="18"/>
                <w:lang w:val="de-DE"/>
              </w:rPr>
              <w:t xml:space="preserve"> Arbeitsgruppe für</w:t>
            </w:r>
            <w:r w:rsidR="004E4FAC" w:rsidRPr="00BC76A2">
              <w:rPr>
                <w:snapToGrid w:val="0"/>
                <w:sz w:val="18"/>
                <w:szCs w:val="18"/>
                <w:lang w:val="de-DE"/>
              </w:rPr>
              <w:t>:</w:t>
            </w:r>
          </w:p>
        </w:tc>
        <w:tc>
          <w:tcPr>
            <w:tcW w:w="1410" w:type="dxa"/>
          </w:tcPr>
          <w:p w:rsidR="007F1560" w:rsidRPr="00BC76A2" w:rsidRDefault="005D0511" w:rsidP="005D0511">
            <w:pPr>
              <w:keepNext/>
              <w:jc w:val="left"/>
              <w:rPr>
                <w:snapToGrid w:val="0"/>
                <w:sz w:val="18"/>
                <w:szCs w:val="18"/>
                <w:lang w:val="de-DE"/>
              </w:rPr>
            </w:pPr>
            <w:r w:rsidRPr="00BC76A2">
              <w:rPr>
                <w:snapToGrid w:val="0"/>
                <w:sz w:val="18"/>
                <w:szCs w:val="18"/>
                <w:lang w:val="de-DE"/>
              </w:rPr>
              <w:t>Entwurf der Untergruppen</w:t>
            </w:r>
          </w:p>
        </w:tc>
        <w:tc>
          <w:tcPr>
            <w:tcW w:w="1410" w:type="dxa"/>
          </w:tcPr>
          <w:p w:rsidR="005D0511" w:rsidRPr="00BC76A2" w:rsidRDefault="005D0511" w:rsidP="005D0511">
            <w:pPr>
              <w:keepNext/>
              <w:jc w:val="left"/>
              <w:rPr>
                <w:snapToGrid w:val="0"/>
                <w:sz w:val="18"/>
                <w:szCs w:val="18"/>
                <w:lang w:val="de-DE"/>
              </w:rPr>
            </w:pPr>
            <w:r w:rsidRPr="00BC76A2">
              <w:rPr>
                <w:snapToGrid w:val="0"/>
                <w:sz w:val="18"/>
                <w:szCs w:val="18"/>
                <w:lang w:val="de-DE"/>
              </w:rPr>
              <w:t>Bemerkungen der beteiligten Sachverständigen</w:t>
            </w:r>
          </w:p>
        </w:tc>
        <w:tc>
          <w:tcPr>
            <w:tcW w:w="1410" w:type="dxa"/>
          </w:tcPr>
          <w:p w:rsidR="007F1560" w:rsidRPr="00BC76A2" w:rsidRDefault="005D0511" w:rsidP="005D0511">
            <w:pPr>
              <w:keepNext/>
              <w:jc w:val="left"/>
              <w:rPr>
                <w:snapToGrid w:val="0"/>
                <w:sz w:val="18"/>
                <w:szCs w:val="18"/>
                <w:lang w:val="de-DE"/>
              </w:rPr>
            </w:pPr>
            <w:r w:rsidRPr="00BC76A2">
              <w:rPr>
                <w:snapToGrid w:val="0"/>
                <w:sz w:val="18"/>
                <w:szCs w:val="18"/>
                <w:lang w:val="de-DE"/>
              </w:rPr>
              <w:t xml:space="preserve">Entwurf der Technischen </w:t>
            </w:r>
            <w:r w:rsidR="007206B2" w:rsidRPr="00BC76A2">
              <w:rPr>
                <w:snapToGrid w:val="0"/>
                <w:sz w:val="18"/>
                <w:szCs w:val="18"/>
                <w:lang w:val="de-DE"/>
              </w:rPr>
              <w:t>Arbeitsgruppen</w:t>
            </w:r>
          </w:p>
        </w:tc>
        <w:tc>
          <w:tcPr>
            <w:tcW w:w="1640" w:type="dxa"/>
          </w:tcPr>
          <w:p w:rsidR="007F1560" w:rsidRPr="00BC76A2" w:rsidRDefault="005D0511" w:rsidP="005D0511">
            <w:pPr>
              <w:keepNext/>
              <w:jc w:val="left"/>
              <w:rPr>
                <w:snapToGrid w:val="0"/>
                <w:sz w:val="18"/>
                <w:szCs w:val="18"/>
                <w:lang w:val="de-DE"/>
              </w:rPr>
            </w:pPr>
            <w:r w:rsidRPr="00BC76A2">
              <w:rPr>
                <w:snapToGrid w:val="0"/>
                <w:sz w:val="18"/>
                <w:szCs w:val="18"/>
                <w:lang w:val="de-DE"/>
              </w:rPr>
              <w:t xml:space="preserve">Tagung der </w:t>
            </w:r>
            <w:r w:rsidR="007206B2" w:rsidRPr="00BC76A2">
              <w:rPr>
                <w:snapToGrid w:val="0"/>
                <w:sz w:val="18"/>
                <w:szCs w:val="18"/>
                <w:lang w:val="de-DE"/>
              </w:rPr>
              <w:t>Technischen</w:t>
            </w:r>
            <w:r w:rsidRPr="00BC76A2">
              <w:rPr>
                <w:snapToGrid w:val="0"/>
                <w:sz w:val="18"/>
                <w:szCs w:val="18"/>
                <w:lang w:val="de-DE"/>
              </w:rPr>
              <w:t xml:space="preserve"> Arbeitsgruppen</w:t>
            </w:r>
          </w:p>
        </w:tc>
      </w:tr>
      <w:tr w:rsidR="005D0511" w:rsidRPr="00BC76A2" w:rsidTr="004E4FAC">
        <w:trPr>
          <w:cantSplit/>
        </w:trPr>
        <w:tc>
          <w:tcPr>
            <w:tcW w:w="3787" w:type="dxa"/>
          </w:tcPr>
          <w:p w:rsidR="007F1560" w:rsidRPr="00BC76A2" w:rsidRDefault="005D0511" w:rsidP="005D0511">
            <w:pPr>
              <w:keepNext/>
              <w:rPr>
                <w:snapToGrid w:val="0"/>
                <w:sz w:val="18"/>
                <w:szCs w:val="18"/>
                <w:lang w:val="de-DE"/>
              </w:rPr>
            </w:pPr>
            <w:r w:rsidRPr="00BC76A2">
              <w:rPr>
                <w:snapToGrid w:val="0"/>
                <w:sz w:val="18"/>
                <w:szCs w:val="18"/>
                <w:lang w:val="de-DE"/>
              </w:rPr>
              <w:t xml:space="preserve">Zierpflanzen und forstliche Baumarten </w:t>
            </w:r>
            <w:r w:rsidR="007F1560" w:rsidRPr="00BC76A2">
              <w:rPr>
                <w:snapToGrid w:val="0"/>
                <w:sz w:val="18"/>
                <w:szCs w:val="18"/>
                <w:lang w:val="de-DE"/>
              </w:rPr>
              <w:t>(TWO)</w:t>
            </w:r>
          </w:p>
        </w:tc>
        <w:tc>
          <w:tcPr>
            <w:tcW w:w="1410" w:type="dxa"/>
          </w:tcPr>
          <w:p w:rsidR="007F1560" w:rsidRPr="00BC76A2" w:rsidRDefault="005D0511" w:rsidP="005D0511">
            <w:pPr>
              <w:keepNext/>
              <w:rPr>
                <w:snapToGrid w:val="0"/>
                <w:sz w:val="18"/>
                <w:szCs w:val="18"/>
                <w:lang w:val="de-DE"/>
              </w:rPr>
            </w:pPr>
            <w:r w:rsidRPr="00BC76A2">
              <w:rPr>
                <w:snapToGrid w:val="0"/>
                <w:sz w:val="18"/>
                <w:szCs w:val="18"/>
                <w:lang w:val="de-DE"/>
              </w:rPr>
              <w:t xml:space="preserve">8. </w:t>
            </w:r>
            <w:r w:rsidR="007F1560" w:rsidRPr="00BC76A2">
              <w:rPr>
                <w:snapToGrid w:val="0"/>
                <w:sz w:val="18"/>
                <w:szCs w:val="18"/>
                <w:lang w:val="de-DE"/>
              </w:rPr>
              <w:t>Februar</w:t>
            </w:r>
          </w:p>
        </w:tc>
        <w:tc>
          <w:tcPr>
            <w:tcW w:w="1410" w:type="dxa"/>
          </w:tcPr>
          <w:p w:rsidR="007F1560" w:rsidRPr="00BC76A2" w:rsidRDefault="005D0511" w:rsidP="005D0511">
            <w:pPr>
              <w:keepNext/>
              <w:rPr>
                <w:snapToGrid w:val="0"/>
                <w:sz w:val="18"/>
                <w:szCs w:val="18"/>
                <w:lang w:val="de-DE"/>
              </w:rPr>
            </w:pPr>
            <w:r w:rsidRPr="00BC76A2">
              <w:rPr>
                <w:snapToGrid w:val="0"/>
                <w:sz w:val="18"/>
                <w:szCs w:val="18"/>
                <w:lang w:val="de-DE"/>
              </w:rPr>
              <w:t xml:space="preserve">8. </w:t>
            </w:r>
            <w:r w:rsidR="00C47C71" w:rsidRPr="00BC76A2">
              <w:rPr>
                <w:snapToGrid w:val="0"/>
                <w:sz w:val="18"/>
                <w:szCs w:val="18"/>
                <w:lang w:val="de-DE"/>
              </w:rPr>
              <w:t>März</w:t>
            </w:r>
          </w:p>
        </w:tc>
        <w:tc>
          <w:tcPr>
            <w:tcW w:w="1410" w:type="dxa"/>
          </w:tcPr>
          <w:p w:rsidR="007F1560" w:rsidRPr="00BC76A2" w:rsidRDefault="00727F91" w:rsidP="00727F91">
            <w:pPr>
              <w:keepNext/>
              <w:rPr>
                <w:snapToGrid w:val="0"/>
                <w:sz w:val="18"/>
                <w:szCs w:val="18"/>
                <w:lang w:val="de-DE"/>
              </w:rPr>
            </w:pPr>
            <w:r w:rsidRPr="00BC76A2">
              <w:rPr>
                <w:snapToGrid w:val="0"/>
                <w:sz w:val="18"/>
                <w:szCs w:val="18"/>
                <w:lang w:val="de-DE"/>
              </w:rPr>
              <w:t xml:space="preserve">5. </w:t>
            </w:r>
            <w:r w:rsidR="007F1560" w:rsidRPr="00BC76A2">
              <w:rPr>
                <w:snapToGrid w:val="0"/>
                <w:sz w:val="18"/>
                <w:szCs w:val="18"/>
                <w:lang w:val="de-DE"/>
              </w:rPr>
              <w:t>April</w:t>
            </w:r>
          </w:p>
        </w:tc>
        <w:tc>
          <w:tcPr>
            <w:tcW w:w="1640" w:type="dxa"/>
          </w:tcPr>
          <w:p w:rsidR="007F1560" w:rsidRPr="00BC76A2" w:rsidRDefault="005D0511" w:rsidP="00727F91">
            <w:pPr>
              <w:keepNext/>
              <w:rPr>
                <w:snapToGrid w:val="0"/>
                <w:sz w:val="18"/>
                <w:szCs w:val="18"/>
                <w:lang w:val="de-DE"/>
              </w:rPr>
            </w:pPr>
            <w:r w:rsidRPr="00BC76A2">
              <w:rPr>
                <w:snapToGrid w:val="0"/>
                <w:sz w:val="18"/>
                <w:szCs w:val="18"/>
                <w:lang w:val="de-DE"/>
              </w:rPr>
              <w:t>19.-23</w:t>
            </w:r>
            <w:r w:rsidR="00727F91" w:rsidRPr="00BC76A2">
              <w:rPr>
                <w:snapToGrid w:val="0"/>
                <w:sz w:val="18"/>
                <w:szCs w:val="18"/>
                <w:lang w:val="de-DE"/>
              </w:rPr>
              <w:t>.</w:t>
            </w:r>
            <w:r w:rsidRPr="00BC76A2">
              <w:rPr>
                <w:snapToGrid w:val="0"/>
                <w:sz w:val="18"/>
                <w:szCs w:val="18"/>
                <w:lang w:val="de-DE"/>
              </w:rPr>
              <w:t xml:space="preserve"> </w:t>
            </w:r>
            <w:r w:rsidR="007F1560" w:rsidRPr="00BC76A2">
              <w:rPr>
                <w:snapToGrid w:val="0"/>
                <w:sz w:val="18"/>
                <w:szCs w:val="18"/>
                <w:lang w:val="de-DE"/>
              </w:rPr>
              <w:t>Ma</w:t>
            </w:r>
            <w:r w:rsidRPr="00BC76A2">
              <w:rPr>
                <w:snapToGrid w:val="0"/>
                <w:sz w:val="18"/>
                <w:szCs w:val="18"/>
                <w:lang w:val="de-DE"/>
              </w:rPr>
              <w:t>i</w:t>
            </w:r>
          </w:p>
        </w:tc>
      </w:tr>
      <w:tr w:rsidR="005D0511" w:rsidRPr="00BC76A2" w:rsidTr="004E4FAC">
        <w:trPr>
          <w:cantSplit/>
        </w:trPr>
        <w:tc>
          <w:tcPr>
            <w:tcW w:w="3787" w:type="dxa"/>
          </w:tcPr>
          <w:p w:rsidR="007F1560" w:rsidRPr="00BC76A2" w:rsidRDefault="007206B2" w:rsidP="005D0511">
            <w:pPr>
              <w:keepNext/>
              <w:rPr>
                <w:snapToGrid w:val="0"/>
                <w:sz w:val="18"/>
                <w:szCs w:val="18"/>
                <w:lang w:val="de-DE"/>
              </w:rPr>
            </w:pPr>
            <w:r w:rsidRPr="00BC76A2">
              <w:rPr>
                <w:snapToGrid w:val="0"/>
                <w:sz w:val="18"/>
                <w:szCs w:val="18"/>
                <w:lang w:val="de-DE"/>
              </w:rPr>
              <w:t>Obstarten</w:t>
            </w:r>
            <w:r w:rsidR="007F1560" w:rsidRPr="00BC76A2">
              <w:rPr>
                <w:snapToGrid w:val="0"/>
                <w:sz w:val="18"/>
                <w:szCs w:val="18"/>
                <w:lang w:val="de-DE"/>
              </w:rPr>
              <w:t xml:space="preserve"> (TWF)</w:t>
            </w:r>
          </w:p>
        </w:tc>
        <w:tc>
          <w:tcPr>
            <w:tcW w:w="1410" w:type="dxa"/>
          </w:tcPr>
          <w:p w:rsidR="007F1560" w:rsidRPr="00BC76A2" w:rsidRDefault="005D0511" w:rsidP="005D0511">
            <w:pPr>
              <w:keepNext/>
              <w:rPr>
                <w:snapToGrid w:val="0"/>
                <w:sz w:val="18"/>
                <w:szCs w:val="18"/>
                <w:lang w:val="de-DE"/>
              </w:rPr>
            </w:pPr>
            <w:r w:rsidRPr="00BC76A2">
              <w:rPr>
                <w:snapToGrid w:val="0"/>
                <w:sz w:val="18"/>
                <w:szCs w:val="18"/>
                <w:lang w:val="de-DE"/>
              </w:rPr>
              <w:t xml:space="preserve">14. </w:t>
            </w:r>
            <w:r w:rsidR="007F1560" w:rsidRPr="00BC76A2">
              <w:rPr>
                <w:snapToGrid w:val="0"/>
                <w:sz w:val="18"/>
                <w:szCs w:val="18"/>
                <w:lang w:val="de-DE"/>
              </w:rPr>
              <w:t>Februar</w:t>
            </w:r>
          </w:p>
        </w:tc>
        <w:tc>
          <w:tcPr>
            <w:tcW w:w="1410" w:type="dxa"/>
          </w:tcPr>
          <w:p w:rsidR="007F1560" w:rsidRPr="00BC76A2" w:rsidRDefault="005D0511" w:rsidP="005D0511">
            <w:pPr>
              <w:keepNext/>
              <w:rPr>
                <w:snapToGrid w:val="0"/>
                <w:sz w:val="18"/>
                <w:szCs w:val="18"/>
                <w:lang w:val="de-DE"/>
              </w:rPr>
            </w:pPr>
            <w:r w:rsidRPr="00BC76A2">
              <w:rPr>
                <w:snapToGrid w:val="0"/>
                <w:sz w:val="18"/>
                <w:szCs w:val="18"/>
                <w:lang w:val="de-DE"/>
              </w:rPr>
              <w:t xml:space="preserve">14. </w:t>
            </w:r>
            <w:r w:rsidR="00C47C71" w:rsidRPr="00BC76A2">
              <w:rPr>
                <w:snapToGrid w:val="0"/>
                <w:sz w:val="18"/>
                <w:szCs w:val="18"/>
                <w:lang w:val="de-DE"/>
              </w:rPr>
              <w:t>März</w:t>
            </w:r>
          </w:p>
        </w:tc>
        <w:tc>
          <w:tcPr>
            <w:tcW w:w="1410" w:type="dxa"/>
          </w:tcPr>
          <w:p w:rsidR="007F1560" w:rsidRPr="00BC76A2" w:rsidRDefault="00727F91" w:rsidP="004E4FAC">
            <w:pPr>
              <w:keepNext/>
              <w:rPr>
                <w:snapToGrid w:val="0"/>
                <w:sz w:val="18"/>
                <w:szCs w:val="18"/>
                <w:lang w:val="de-DE"/>
              </w:rPr>
            </w:pPr>
            <w:r w:rsidRPr="00BC76A2">
              <w:rPr>
                <w:snapToGrid w:val="0"/>
                <w:sz w:val="18"/>
                <w:szCs w:val="18"/>
                <w:lang w:val="de-DE"/>
              </w:rPr>
              <w:t>11. April</w:t>
            </w:r>
          </w:p>
        </w:tc>
        <w:tc>
          <w:tcPr>
            <w:tcW w:w="1640" w:type="dxa"/>
          </w:tcPr>
          <w:p w:rsidR="007F1560" w:rsidRPr="00BC76A2" w:rsidRDefault="005D0511" w:rsidP="005D0511">
            <w:pPr>
              <w:keepNext/>
              <w:rPr>
                <w:snapToGrid w:val="0"/>
                <w:sz w:val="18"/>
                <w:szCs w:val="18"/>
                <w:lang w:val="de-DE"/>
              </w:rPr>
            </w:pPr>
            <w:r w:rsidRPr="00BC76A2">
              <w:rPr>
                <w:snapToGrid w:val="0"/>
                <w:sz w:val="18"/>
                <w:szCs w:val="18"/>
                <w:lang w:val="de-DE"/>
              </w:rPr>
              <w:t xml:space="preserve">26.-30. </w:t>
            </w:r>
            <w:r w:rsidR="007F1560" w:rsidRPr="00BC76A2">
              <w:rPr>
                <w:snapToGrid w:val="0"/>
                <w:sz w:val="18"/>
                <w:szCs w:val="18"/>
                <w:lang w:val="de-DE"/>
              </w:rPr>
              <w:t>Ma</w:t>
            </w:r>
            <w:r w:rsidRPr="00BC76A2">
              <w:rPr>
                <w:snapToGrid w:val="0"/>
                <w:sz w:val="18"/>
                <w:szCs w:val="18"/>
                <w:lang w:val="de-DE"/>
              </w:rPr>
              <w:t>i</w:t>
            </w:r>
          </w:p>
        </w:tc>
      </w:tr>
      <w:tr w:rsidR="005D0511" w:rsidRPr="00BC76A2" w:rsidTr="004E4FAC">
        <w:trPr>
          <w:cantSplit/>
        </w:trPr>
        <w:tc>
          <w:tcPr>
            <w:tcW w:w="3787" w:type="dxa"/>
          </w:tcPr>
          <w:p w:rsidR="003367CB" w:rsidRPr="00BC76A2" w:rsidRDefault="005D0511" w:rsidP="005D0511">
            <w:pPr>
              <w:keepNext/>
              <w:rPr>
                <w:snapToGrid w:val="0"/>
                <w:sz w:val="18"/>
                <w:szCs w:val="18"/>
                <w:lang w:val="de-DE"/>
              </w:rPr>
            </w:pPr>
            <w:r w:rsidRPr="00BC76A2">
              <w:rPr>
                <w:snapToGrid w:val="0"/>
                <w:sz w:val="18"/>
                <w:szCs w:val="18"/>
                <w:lang w:val="de-DE"/>
              </w:rPr>
              <w:t>Gemüsearten</w:t>
            </w:r>
            <w:r w:rsidR="003367CB" w:rsidRPr="00BC76A2">
              <w:rPr>
                <w:snapToGrid w:val="0"/>
                <w:sz w:val="18"/>
                <w:szCs w:val="18"/>
                <w:lang w:val="de-DE"/>
              </w:rPr>
              <w:t xml:space="preserve"> (TWV)</w:t>
            </w:r>
          </w:p>
        </w:tc>
        <w:tc>
          <w:tcPr>
            <w:tcW w:w="1410" w:type="dxa"/>
          </w:tcPr>
          <w:p w:rsidR="003367CB" w:rsidRPr="00BC76A2" w:rsidRDefault="005D0511" w:rsidP="004E4FAC">
            <w:pPr>
              <w:keepNext/>
              <w:rPr>
                <w:snapToGrid w:val="0"/>
                <w:sz w:val="18"/>
                <w:szCs w:val="18"/>
                <w:lang w:val="de-DE"/>
              </w:rPr>
            </w:pPr>
            <w:r w:rsidRPr="00BC76A2">
              <w:rPr>
                <w:snapToGrid w:val="0"/>
                <w:sz w:val="18"/>
                <w:szCs w:val="18"/>
                <w:lang w:val="de-DE"/>
              </w:rPr>
              <w:t>14. März</w:t>
            </w:r>
          </w:p>
        </w:tc>
        <w:tc>
          <w:tcPr>
            <w:tcW w:w="1410" w:type="dxa"/>
          </w:tcPr>
          <w:p w:rsidR="003367CB" w:rsidRPr="00BC76A2" w:rsidRDefault="005D0511" w:rsidP="005D0511">
            <w:pPr>
              <w:keepNext/>
              <w:rPr>
                <w:snapToGrid w:val="0"/>
                <w:sz w:val="18"/>
                <w:szCs w:val="18"/>
                <w:lang w:val="de-DE"/>
              </w:rPr>
            </w:pPr>
            <w:r w:rsidRPr="00BC76A2">
              <w:rPr>
                <w:snapToGrid w:val="0"/>
                <w:sz w:val="18"/>
                <w:szCs w:val="18"/>
                <w:lang w:val="de-DE"/>
              </w:rPr>
              <w:t xml:space="preserve">11. </w:t>
            </w:r>
            <w:r w:rsidR="003367CB" w:rsidRPr="00BC76A2">
              <w:rPr>
                <w:snapToGrid w:val="0"/>
                <w:sz w:val="18"/>
                <w:szCs w:val="18"/>
                <w:lang w:val="de-DE"/>
              </w:rPr>
              <w:t>April</w:t>
            </w:r>
          </w:p>
        </w:tc>
        <w:tc>
          <w:tcPr>
            <w:tcW w:w="1410" w:type="dxa"/>
          </w:tcPr>
          <w:p w:rsidR="003367CB" w:rsidRPr="00BC76A2" w:rsidRDefault="00727F91" w:rsidP="00727F91">
            <w:pPr>
              <w:keepNext/>
              <w:rPr>
                <w:snapToGrid w:val="0"/>
                <w:sz w:val="18"/>
                <w:szCs w:val="18"/>
                <w:lang w:val="de-DE"/>
              </w:rPr>
            </w:pPr>
            <w:r w:rsidRPr="00BC76A2">
              <w:rPr>
                <w:snapToGrid w:val="0"/>
                <w:sz w:val="18"/>
                <w:szCs w:val="18"/>
                <w:lang w:val="de-DE"/>
              </w:rPr>
              <w:t xml:space="preserve">9. </w:t>
            </w:r>
            <w:r w:rsidR="003367CB" w:rsidRPr="00BC76A2">
              <w:rPr>
                <w:snapToGrid w:val="0"/>
                <w:sz w:val="18"/>
                <w:szCs w:val="18"/>
                <w:lang w:val="de-DE"/>
              </w:rPr>
              <w:t>Ma</w:t>
            </w:r>
            <w:r w:rsidRPr="00BC76A2">
              <w:rPr>
                <w:snapToGrid w:val="0"/>
                <w:sz w:val="18"/>
                <w:szCs w:val="18"/>
                <w:lang w:val="de-DE"/>
              </w:rPr>
              <w:t>i</w:t>
            </w:r>
          </w:p>
        </w:tc>
        <w:tc>
          <w:tcPr>
            <w:tcW w:w="1640" w:type="dxa"/>
          </w:tcPr>
          <w:p w:rsidR="003367CB" w:rsidRPr="00BC76A2" w:rsidRDefault="005D0511" w:rsidP="00727F91">
            <w:pPr>
              <w:keepNext/>
              <w:rPr>
                <w:snapToGrid w:val="0"/>
                <w:sz w:val="18"/>
                <w:szCs w:val="18"/>
                <w:lang w:val="de-DE"/>
              </w:rPr>
            </w:pPr>
            <w:r w:rsidRPr="00BC76A2">
              <w:rPr>
                <w:snapToGrid w:val="0"/>
                <w:sz w:val="18"/>
                <w:szCs w:val="18"/>
                <w:lang w:val="de-DE"/>
              </w:rPr>
              <w:t>23.-27</w:t>
            </w:r>
            <w:r w:rsidR="00727F91" w:rsidRPr="00BC76A2">
              <w:rPr>
                <w:snapToGrid w:val="0"/>
                <w:sz w:val="18"/>
                <w:szCs w:val="18"/>
                <w:lang w:val="de-DE"/>
              </w:rPr>
              <w:t>.</w:t>
            </w:r>
            <w:r w:rsidRPr="00BC76A2">
              <w:rPr>
                <w:snapToGrid w:val="0"/>
                <w:sz w:val="18"/>
                <w:szCs w:val="18"/>
                <w:lang w:val="de-DE"/>
              </w:rPr>
              <w:t xml:space="preserve"> </w:t>
            </w:r>
            <w:r w:rsidR="003367CB" w:rsidRPr="00BC76A2">
              <w:rPr>
                <w:snapToGrid w:val="0"/>
                <w:sz w:val="18"/>
                <w:szCs w:val="18"/>
                <w:lang w:val="de-DE"/>
              </w:rPr>
              <w:t>Jun</w:t>
            </w:r>
            <w:r w:rsidRPr="00BC76A2">
              <w:rPr>
                <w:snapToGrid w:val="0"/>
                <w:sz w:val="18"/>
                <w:szCs w:val="18"/>
                <w:lang w:val="de-DE"/>
              </w:rPr>
              <w:t>i</w:t>
            </w:r>
          </w:p>
        </w:tc>
      </w:tr>
      <w:tr w:rsidR="005D0511" w:rsidRPr="00BC76A2" w:rsidTr="004E4FAC">
        <w:trPr>
          <w:cantSplit/>
        </w:trPr>
        <w:tc>
          <w:tcPr>
            <w:tcW w:w="3787" w:type="dxa"/>
          </w:tcPr>
          <w:p w:rsidR="003367CB" w:rsidRPr="00BC76A2" w:rsidRDefault="005D0511" w:rsidP="005D0511">
            <w:pPr>
              <w:keepNext/>
              <w:rPr>
                <w:snapToGrid w:val="0"/>
                <w:sz w:val="18"/>
                <w:szCs w:val="18"/>
                <w:lang w:val="de-DE"/>
              </w:rPr>
            </w:pPr>
            <w:r w:rsidRPr="00BC76A2">
              <w:rPr>
                <w:snapToGrid w:val="0"/>
                <w:color w:val="000000"/>
                <w:sz w:val="18"/>
                <w:szCs w:val="18"/>
                <w:lang w:val="de-DE"/>
              </w:rPr>
              <w:t>Landwirtschaftliche Arten</w:t>
            </w:r>
            <w:r w:rsidR="003367CB" w:rsidRPr="00BC76A2">
              <w:rPr>
                <w:snapToGrid w:val="0"/>
                <w:color w:val="000000"/>
                <w:sz w:val="18"/>
                <w:szCs w:val="18"/>
                <w:lang w:val="de-DE"/>
              </w:rPr>
              <w:t xml:space="preserve"> (TWA)</w:t>
            </w:r>
          </w:p>
        </w:tc>
        <w:tc>
          <w:tcPr>
            <w:tcW w:w="1410" w:type="dxa"/>
          </w:tcPr>
          <w:p w:rsidR="003367CB" w:rsidRPr="00BC76A2" w:rsidRDefault="005D0511" w:rsidP="005D0511">
            <w:pPr>
              <w:keepNext/>
              <w:rPr>
                <w:snapToGrid w:val="0"/>
                <w:sz w:val="18"/>
                <w:szCs w:val="18"/>
                <w:lang w:val="de-DE"/>
              </w:rPr>
            </w:pPr>
            <w:r w:rsidRPr="00BC76A2">
              <w:rPr>
                <w:snapToGrid w:val="0"/>
                <w:sz w:val="18"/>
                <w:szCs w:val="18"/>
                <w:lang w:val="de-DE"/>
              </w:rPr>
              <w:t xml:space="preserve">8. </w:t>
            </w:r>
            <w:r w:rsidR="003367CB" w:rsidRPr="00BC76A2">
              <w:rPr>
                <w:snapToGrid w:val="0"/>
                <w:sz w:val="18"/>
                <w:szCs w:val="18"/>
                <w:lang w:val="de-DE"/>
              </w:rPr>
              <w:t>August</w:t>
            </w:r>
          </w:p>
        </w:tc>
        <w:tc>
          <w:tcPr>
            <w:tcW w:w="1410" w:type="dxa"/>
          </w:tcPr>
          <w:p w:rsidR="003367CB" w:rsidRPr="00BC76A2" w:rsidRDefault="005D0511" w:rsidP="005D0511">
            <w:pPr>
              <w:keepNext/>
              <w:rPr>
                <w:snapToGrid w:val="0"/>
                <w:sz w:val="18"/>
                <w:szCs w:val="18"/>
                <w:lang w:val="de-DE"/>
              </w:rPr>
            </w:pPr>
            <w:r w:rsidRPr="00BC76A2">
              <w:rPr>
                <w:snapToGrid w:val="0"/>
                <w:sz w:val="18"/>
                <w:szCs w:val="18"/>
                <w:lang w:val="de-DE"/>
              </w:rPr>
              <w:t xml:space="preserve">15. </w:t>
            </w:r>
            <w:r w:rsidR="003367CB" w:rsidRPr="00BC76A2">
              <w:rPr>
                <w:snapToGrid w:val="0"/>
                <w:sz w:val="18"/>
                <w:szCs w:val="18"/>
                <w:lang w:val="de-DE"/>
              </w:rPr>
              <w:t>September</w:t>
            </w:r>
          </w:p>
        </w:tc>
        <w:tc>
          <w:tcPr>
            <w:tcW w:w="1410" w:type="dxa"/>
          </w:tcPr>
          <w:p w:rsidR="003367CB" w:rsidRPr="00BC76A2" w:rsidRDefault="00727F91" w:rsidP="00727F91">
            <w:pPr>
              <w:keepNext/>
              <w:rPr>
                <w:snapToGrid w:val="0"/>
                <w:sz w:val="18"/>
                <w:szCs w:val="18"/>
                <w:lang w:val="de-DE"/>
              </w:rPr>
            </w:pPr>
            <w:r w:rsidRPr="00BC76A2">
              <w:rPr>
                <w:snapToGrid w:val="0"/>
                <w:sz w:val="18"/>
                <w:szCs w:val="18"/>
                <w:lang w:val="de-DE"/>
              </w:rPr>
              <w:t xml:space="preserve">3. </w:t>
            </w:r>
            <w:r w:rsidR="00C47C71" w:rsidRPr="00BC76A2">
              <w:rPr>
                <w:snapToGrid w:val="0"/>
                <w:sz w:val="18"/>
                <w:szCs w:val="18"/>
                <w:lang w:val="de-DE"/>
              </w:rPr>
              <w:t>Oktober</w:t>
            </w:r>
          </w:p>
        </w:tc>
        <w:tc>
          <w:tcPr>
            <w:tcW w:w="1640" w:type="dxa"/>
          </w:tcPr>
          <w:p w:rsidR="003367CB" w:rsidRPr="00BC76A2" w:rsidRDefault="005D0511" w:rsidP="005D0511">
            <w:pPr>
              <w:keepNext/>
              <w:rPr>
                <w:snapToGrid w:val="0"/>
                <w:sz w:val="18"/>
                <w:szCs w:val="18"/>
                <w:lang w:val="de-DE"/>
              </w:rPr>
            </w:pPr>
            <w:r w:rsidRPr="00BC76A2">
              <w:rPr>
                <w:snapToGrid w:val="0"/>
                <w:sz w:val="18"/>
                <w:szCs w:val="18"/>
                <w:lang w:val="de-DE"/>
              </w:rPr>
              <w:t xml:space="preserve">17.-21. </w:t>
            </w:r>
            <w:r w:rsidR="003367CB" w:rsidRPr="00BC76A2">
              <w:rPr>
                <w:snapToGrid w:val="0"/>
                <w:sz w:val="18"/>
                <w:szCs w:val="18"/>
                <w:lang w:val="de-DE"/>
              </w:rPr>
              <w:t>November</w:t>
            </w:r>
          </w:p>
        </w:tc>
      </w:tr>
    </w:tbl>
    <w:p w:rsidR="007F1560" w:rsidRPr="00BC76A2" w:rsidRDefault="007F1560" w:rsidP="00B94A4D">
      <w:pPr>
        <w:rPr>
          <w:snapToGrid w:val="0"/>
          <w:lang w:val="de-DE"/>
        </w:rPr>
      </w:pPr>
    </w:p>
    <w:p w:rsidR="003367CB" w:rsidRPr="00BC76A2" w:rsidRDefault="00B94A4D" w:rsidP="00B94A4D">
      <w:pPr>
        <w:rPr>
          <w:snapToGrid w:val="0"/>
          <w:color w:val="000000"/>
          <w:lang w:val="de-DE"/>
        </w:rPr>
      </w:pPr>
      <w:r w:rsidRPr="00BC76A2">
        <w:rPr>
          <w:snapToGrid w:val="0"/>
          <w:lang w:val="de-DE"/>
        </w:rPr>
        <w:fldChar w:fldCharType="begin"/>
      </w:r>
      <w:r w:rsidRPr="00BC76A2">
        <w:rPr>
          <w:snapToGrid w:val="0"/>
          <w:lang w:val="de-DE"/>
        </w:rPr>
        <w:instrText xml:space="preserve"> AUTONUM  </w:instrText>
      </w:r>
      <w:r w:rsidRPr="00BC76A2">
        <w:rPr>
          <w:snapToGrid w:val="0"/>
          <w:lang w:val="de-DE"/>
        </w:rPr>
        <w:fldChar w:fldCharType="end"/>
      </w:r>
      <w:r w:rsidRPr="00BC76A2">
        <w:rPr>
          <w:snapToGrid w:val="0"/>
          <w:lang w:val="de-DE"/>
        </w:rPr>
        <w:tab/>
      </w:r>
      <w:r w:rsidR="005D0511" w:rsidRPr="00BC76A2">
        <w:rPr>
          <w:snapToGrid w:val="0"/>
          <w:lang w:val="de-DE"/>
        </w:rPr>
        <w:t xml:space="preserve">Ende 2013 wurde zusammen mit Sachverständigen aus Australien und den Niederlanden ein Modell der </w:t>
      </w:r>
      <w:r w:rsidR="00803CC0" w:rsidRPr="00BC76A2">
        <w:rPr>
          <w:snapToGrid w:val="0"/>
          <w:lang w:val="de-DE"/>
        </w:rPr>
        <w:t xml:space="preserve">Version 1 </w:t>
      </w:r>
      <w:r w:rsidR="005D0511" w:rsidRPr="00BC76A2">
        <w:rPr>
          <w:snapToGrid w:val="0"/>
          <w:lang w:val="de-DE"/>
        </w:rPr>
        <w:t xml:space="preserve">der webbasierten TG-Mustervorlage </w:t>
      </w:r>
      <w:r w:rsidR="007206B2" w:rsidRPr="00BC76A2">
        <w:rPr>
          <w:snapToGrid w:val="0"/>
          <w:lang w:val="de-DE"/>
        </w:rPr>
        <w:t>entwickelt</w:t>
      </w:r>
      <w:r w:rsidR="005D0511" w:rsidRPr="00BC76A2">
        <w:rPr>
          <w:snapToGrid w:val="0"/>
          <w:lang w:val="de-DE"/>
        </w:rPr>
        <w:t xml:space="preserve"> und </w:t>
      </w:r>
      <w:r w:rsidR="007206B2" w:rsidRPr="00BC76A2">
        <w:rPr>
          <w:snapToGrid w:val="0"/>
          <w:lang w:val="de-DE"/>
        </w:rPr>
        <w:t>getestet</w:t>
      </w:r>
      <w:r w:rsidR="005D0511" w:rsidRPr="00BC76A2">
        <w:rPr>
          <w:snapToGrid w:val="0"/>
          <w:lang w:val="de-DE"/>
        </w:rPr>
        <w:t xml:space="preserve">, und </w:t>
      </w:r>
      <w:r w:rsidR="00727F91" w:rsidRPr="009A511D">
        <w:rPr>
          <w:snapToGrid w:val="0"/>
          <w:lang w:val="de-DE"/>
        </w:rPr>
        <w:t xml:space="preserve">im </w:t>
      </w:r>
      <w:r w:rsidR="00727F91" w:rsidRPr="009A511D">
        <w:rPr>
          <w:rFonts w:cs="Arial"/>
          <w:snapToGrid w:val="0"/>
          <w:color w:val="000000"/>
          <w:lang w:val="de-DE"/>
        </w:rPr>
        <w:t>März 2014</w:t>
      </w:r>
      <w:r w:rsidR="00727F91" w:rsidRPr="009A511D">
        <w:rPr>
          <w:snapToGrid w:val="0"/>
          <w:lang w:val="de-DE"/>
        </w:rPr>
        <w:t xml:space="preserve"> </w:t>
      </w:r>
      <w:r w:rsidR="00CE63AE">
        <w:rPr>
          <w:snapToGrid w:val="0"/>
          <w:lang w:val="de-DE"/>
        </w:rPr>
        <w:t xml:space="preserve">wird </w:t>
      </w:r>
      <w:r w:rsidR="005D0511" w:rsidRPr="009A511D">
        <w:rPr>
          <w:snapToGrid w:val="0"/>
          <w:lang w:val="de-DE"/>
        </w:rPr>
        <w:t xml:space="preserve">die voll funktionsfähige Software von denselben </w:t>
      </w:r>
      <w:r w:rsidR="00727F91" w:rsidRPr="009A511D">
        <w:rPr>
          <w:snapToGrid w:val="0"/>
          <w:lang w:val="de-DE"/>
        </w:rPr>
        <w:t>S</w:t>
      </w:r>
      <w:r w:rsidR="005D0511" w:rsidRPr="009A511D">
        <w:rPr>
          <w:snapToGrid w:val="0"/>
          <w:lang w:val="de-DE"/>
        </w:rPr>
        <w:t>achverständigen getestet</w:t>
      </w:r>
      <w:r w:rsidR="00CE63AE">
        <w:rPr>
          <w:snapToGrid w:val="0"/>
          <w:lang w:val="de-DE"/>
        </w:rPr>
        <w:t xml:space="preserve"> werden</w:t>
      </w:r>
      <w:r w:rsidR="005D0511" w:rsidRPr="009A511D">
        <w:rPr>
          <w:snapToGrid w:val="0"/>
          <w:lang w:val="de-DE"/>
        </w:rPr>
        <w:t xml:space="preserve">. </w:t>
      </w:r>
      <w:r w:rsidR="007136F6" w:rsidRPr="009A511D">
        <w:rPr>
          <w:snapToGrid w:val="0"/>
          <w:color w:val="000000"/>
          <w:lang w:val="de-DE"/>
        </w:rPr>
        <w:t xml:space="preserve">Das </w:t>
      </w:r>
      <w:r w:rsidR="007206B2" w:rsidRPr="009A511D">
        <w:rPr>
          <w:snapToGrid w:val="0"/>
          <w:color w:val="000000"/>
          <w:lang w:val="de-DE"/>
        </w:rPr>
        <w:t>Verbandsbüro</w:t>
      </w:r>
      <w:r w:rsidR="007136F6" w:rsidRPr="009A511D">
        <w:rPr>
          <w:snapToGrid w:val="0"/>
          <w:color w:val="000000"/>
          <w:lang w:val="de-DE"/>
        </w:rPr>
        <w:t xml:space="preserve"> </w:t>
      </w:r>
      <w:r w:rsidR="00CE63AE">
        <w:rPr>
          <w:snapToGrid w:val="0"/>
          <w:color w:val="000000"/>
          <w:lang w:val="de-DE"/>
        </w:rPr>
        <w:t xml:space="preserve">wird </w:t>
      </w:r>
      <w:r w:rsidR="007136F6" w:rsidRPr="009A511D">
        <w:rPr>
          <w:snapToGrid w:val="0"/>
          <w:color w:val="000000"/>
          <w:lang w:val="de-DE"/>
        </w:rPr>
        <w:t xml:space="preserve">alle </w:t>
      </w:r>
      <w:r w:rsidR="007206B2" w:rsidRPr="009A511D">
        <w:rPr>
          <w:snapToGrid w:val="0"/>
          <w:color w:val="000000"/>
          <w:lang w:val="de-DE"/>
        </w:rPr>
        <w:t>führenden</w:t>
      </w:r>
      <w:r w:rsidR="007136F6" w:rsidRPr="009A511D">
        <w:rPr>
          <w:snapToGrid w:val="0"/>
          <w:color w:val="000000"/>
          <w:lang w:val="de-DE"/>
        </w:rPr>
        <w:t xml:space="preserve"> Sachverständigen über die </w:t>
      </w:r>
      <w:r w:rsidR="007206B2" w:rsidRPr="009A511D">
        <w:rPr>
          <w:snapToGrid w:val="0"/>
          <w:color w:val="000000"/>
          <w:lang w:val="de-DE"/>
        </w:rPr>
        <w:t>Entwicklung</w:t>
      </w:r>
      <w:r w:rsidR="007136F6" w:rsidRPr="009A511D">
        <w:rPr>
          <w:snapToGrid w:val="0"/>
          <w:color w:val="000000"/>
          <w:lang w:val="de-DE"/>
        </w:rPr>
        <w:t xml:space="preserve"> der webbasierten TG-Mustervorlage </w:t>
      </w:r>
      <w:r w:rsidR="00CE63AE">
        <w:rPr>
          <w:snapToGrid w:val="0"/>
          <w:color w:val="000000"/>
          <w:lang w:val="de-DE"/>
        </w:rPr>
        <w:t>unterrichten</w:t>
      </w:r>
      <w:r w:rsidR="00CE63AE" w:rsidRPr="009A511D">
        <w:rPr>
          <w:snapToGrid w:val="0"/>
          <w:color w:val="000000"/>
          <w:lang w:val="de-DE"/>
        </w:rPr>
        <w:t xml:space="preserve"> </w:t>
      </w:r>
      <w:r w:rsidR="007136F6" w:rsidRPr="009A511D">
        <w:rPr>
          <w:snapToGrid w:val="0"/>
          <w:color w:val="000000"/>
          <w:lang w:val="de-DE"/>
        </w:rPr>
        <w:t xml:space="preserve">und </w:t>
      </w:r>
      <w:r w:rsidR="00CE63AE" w:rsidRPr="009A511D">
        <w:rPr>
          <w:snapToGrid w:val="0"/>
          <w:color w:val="000000"/>
          <w:lang w:val="de-DE"/>
        </w:rPr>
        <w:t xml:space="preserve">Freiwillige </w:t>
      </w:r>
      <w:r w:rsidR="00D42DCE">
        <w:rPr>
          <w:snapToGrid w:val="0"/>
          <w:color w:val="000000"/>
          <w:lang w:val="de-DE"/>
        </w:rPr>
        <w:t>ersuchen</w:t>
      </w:r>
      <w:r w:rsidR="00FE3D2C" w:rsidRPr="009A511D">
        <w:rPr>
          <w:snapToGrid w:val="0"/>
          <w:color w:val="000000"/>
          <w:lang w:val="de-DE"/>
        </w:rPr>
        <w:t xml:space="preserve">, </w:t>
      </w:r>
      <w:r w:rsidR="00D42DCE">
        <w:rPr>
          <w:snapToGrid w:val="0"/>
          <w:color w:val="000000"/>
          <w:lang w:val="de-DE"/>
        </w:rPr>
        <w:t>d</w:t>
      </w:r>
      <w:r w:rsidR="00FE3D2C" w:rsidRPr="009A511D">
        <w:rPr>
          <w:snapToGrid w:val="0"/>
          <w:color w:val="000000"/>
          <w:lang w:val="de-DE"/>
        </w:rPr>
        <w:t xml:space="preserve">ie </w:t>
      </w:r>
      <w:r w:rsidR="00D42DCE">
        <w:rPr>
          <w:snapToGrid w:val="0"/>
          <w:color w:val="000000"/>
          <w:lang w:val="de-DE"/>
        </w:rPr>
        <w:t xml:space="preserve">webbasierte </w:t>
      </w:r>
      <w:r w:rsidR="00D42DCE" w:rsidRPr="009A511D">
        <w:rPr>
          <w:snapToGrid w:val="0"/>
          <w:color w:val="000000"/>
          <w:lang w:val="de-DE"/>
        </w:rPr>
        <w:t xml:space="preserve">TG-Mustervorlage </w:t>
      </w:r>
      <w:r w:rsidR="00FE3D2C" w:rsidRPr="009A511D">
        <w:rPr>
          <w:snapToGrid w:val="0"/>
          <w:color w:val="000000"/>
          <w:lang w:val="de-DE"/>
        </w:rPr>
        <w:t xml:space="preserve">für die </w:t>
      </w:r>
      <w:r w:rsidR="007206B2" w:rsidRPr="009A511D">
        <w:rPr>
          <w:snapToGrid w:val="0"/>
          <w:color w:val="000000"/>
          <w:lang w:val="de-DE"/>
        </w:rPr>
        <w:t>Erstellung</w:t>
      </w:r>
      <w:r w:rsidR="00FE3D2C" w:rsidRPr="009A511D">
        <w:rPr>
          <w:snapToGrid w:val="0"/>
          <w:color w:val="000000"/>
          <w:lang w:val="de-DE"/>
        </w:rPr>
        <w:t xml:space="preserve"> von Prüfungsrichtlinien im </w:t>
      </w:r>
      <w:r w:rsidR="007206B2" w:rsidRPr="009A511D">
        <w:rPr>
          <w:snapToGrid w:val="0"/>
          <w:color w:val="000000"/>
          <w:lang w:val="de-DE"/>
        </w:rPr>
        <w:t>Jahre</w:t>
      </w:r>
      <w:r w:rsidR="00D42DCE">
        <w:rPr>
          <w:snapToGrid w:val="0"/>
          <w:color w:val="000000"/>
          <w:lang w:val="de-DE"/>
        </w:rPr>
        <w:t> </w:t>
      </w:r>
      <w:r w:rsidR="00FE3D2C" w:rsidRPr="009A511D">
        <w:rPr>
          <w:snapToGrid w:val="0"/>
          <w:color w:val="000000"/>
          <w:lang w:val="de-DE"/>
        </w:rPr>
        <w:t xml:space="preserve">2014 zu </w:t>
      </w:r>
      <w:r w:rsidR="00410258">
        <w:rPr>
          <w:snapToGrid w:val="0"/>
          <w:color w:val="000000"/>
          <w:lang w:val="de-DE"/>
        </w:rPr>
        <w:t>testen</w:t>
      </w:r>
      <w:r w:rsidR="003367CB" w:rsidRPr="009A511D">
        <w:rPr>
          <w:snapToGrid w:val="0"/>
          <w:color w:val="000000"/>
          <w:lang w:val="de-DE"/>
        </w:rPr>
        <w:t xml:space="preserve">. </w:t>
      </w:r>
      <w:r w:rsidR="00CE63AE" w:rsidRPr="009A511D">
        <w:rPr>
          <w:snapToGrid w:val="0"/>
          <w:lang w:val="de-DE"/>
        </w:rPr>
        <w:t>Was die Technische Arbeitsgruppe für landwirtschaftliche Arten be</w:t>
      </w:r>
      <w:r w:rsidR="00D42DCE">
        <w:rPr>
          <w:snapToGrid w:val="0"/>
          <w:lang w:val="de-DE"/>
        </w:rPr>
        <w:t>trifft, kann die webbasierte TG</w:t>
      </w:r>
      <w:r w:rsidR="00D42DCE">
        <w:rPr>
          <w:snapToGrid w:val="0"/>
          <w:lang w:val="de-DE"/>
        </w:rPr>
        <w:noBreakHyphen/>
      </w:r>
      <w:r w:rsidR="00CE63AE" w:rsidRPr="009A511D">
        <w:rPr>
          <w:snapToGrid w:val="0"/>
          <w:lang w:val="de-DE"/>
        </w:rPr>
        <w:t>Mustervorlage für die Erstellung der Entwürfe der Untergruppen verwendet werden.</w:t>
      </w:r>
    </w:p>
    <w:p w:rsidR="003367CB" w:rsidRPr="00BC76A2" w:rsidRDefault="003367CB" w:rsidP="00B94A4D">
      <w:pPr>
        <w:rPr>
          <w:snapToGrid w:val="0"/>
          <w:color w:val="000000"/>
          <w:lang w:val="de-DE"/>
        </w:rPr>
      </w:pPr>
    </w:p>
    <w:p w:rsidR="003367CB" w:rsidRPr="00BC76A2" w:rsidRDefault="003367CB" w:rsidP="003367CB">
      <w:pPr>
        <w:rPr>
          <w:snapToGrid w:val="0"/>
          <w:lang w:val="de-DE"/>
        </w:rPr>
      </w:pPr>
      <w:r w:rsidRPr="00BC76A2">
        <w:rPr>
          <w:snapToGrid w:val="0"/>
          <w:lang w:val="de-DE"/>
        </w:rPr>
        <w:fldChar w:fldCharType="begin"/>
      </w:r>
      <w:r w:rsidRPr="00BC76A2">
        <w:rPr>
          <w:snapToGrid w:val="0"/>
          <w:lang w:val="de-DE"/>
        </w:rPr>
        <w:instrText xml:space="preserve"> AUTONUM  </w:instrText>
      </w:r>
      <w:r w:rsidRPr="00BC76A2">
        <w:rPr>
          <w:snapToGrid w:val="0"/>
          <w:lang w:val="de-DE"/>
        </w:rPr>
        <w:fldChar w:fldCharType="end"/>
      </w:r>
      <w:r w:rsidRPr="00BC76A2">
        <w:rPr>
          <w:snapToGrid w:val="0"/>
          <w:lang w:val="de-DE"/>
        </w:rPr>
        <w:tab/>
      </w:r>
      <w:r w:rsidR="007206B2" w:rsidRPr="00BC76A2">
        <w:rPr>
          <w:snapToGrid w:val="0"/>
          <w:lang w:val="de-DE"/>
        </w:rPr>
        <w:t xml:space="preserve">Um die Vorteile der webbasierten TG-Mustervorlage zu erzielen, wird es notwendig sein, </w:t>
      </w:r>
      <w:r w:rsidR="00A0388E" w:rsidRPr="00BC76A2">
        <w:rPr>
          <w:snapToGrid w:val="0"/>
          <w:lang w:val="de-DE"/>
        </w:rPr>
        <w:t>daß</w:t>
      </w:r>
      <w:r w:rsidR="007206B2" w:rsidRPr="00BC76A2">
        <w:rPr>
          <w:snapToGrid w:val="0"/>
          <w:lang w:val="de-DE"/>
        </w:rPr>
        <w:t xml:space="preserve"> alle führenden Sachverständigen und beteiligten Sachverständigen die webbasierte TG-Mustervorlage ausschließlich für die </w:t>
      </w:r>
      <w:r w:rsidR="00727F91" w:rsidRPr="00BC76A2">
        <w:rPr>
          <w:snapToGrid w:val="0"/>
          <w:lang w:val="de-DE"/>
        </w:rPr>
        <w:t>Erstell</w:t>
      </w:r>
      <w:r w:rsidR="007206B2" w:rsidRPr="00BC76A2">
        <w:rPr>
          <w:snapToGrid w:val="0"/>
          <w:lang w:val="de-DE"/>
        </w:rPr>
        <w:t xml:space="preserve">ung von Prüfungsrichtlinien für die Technischen Arbeitsgruppen verwenden. </w:t>
      </w:r>
      <w:r w:rsidR="00C8693D" w:rsidRPr="00BC76A2">
        <w:rPr>
          <w:snapToGrid w:val="0"/>
          <w:lang w:val="de-DE"/>
        </w:rPr>
        <w:t xml:space="preserve">Deshalb wird die </w:t>
      </w:r>
      <w:r w:rsidR="007206B2" w:rsidRPr="00BC76A2">
        <w:rPr>
          <w:snapToGrid w:val="0"/>
          <w:lang w:val="de-DE"/>
        </w:rPr>
        <w:t>Verwendung</w:t>
      </w:r>
      <w:r w:rsidR="00C8693D" w:rsidRPr="00BC76A2">
        <w:rPr>
          <w:snapToGrid w:val="0"/>
          <w:lang w:val="de-DE"/>
        </w:rPr>
        <w:t xml:space="preserve"> der webbasierte TG-Mustervorlage</w:t>
      </w:r>
      <w:r w:rsidRPr="00BC76A2">
        <w:rPr>
          <w:snapToGrid w:val="0"/>
          <w:lang w:val="de-DE"/>
        </w:rPr>
        <w:t xml:space="preserve"> </w:t>
      </w:r>
      <w:r w:rsidR="00C8693D" w:rsidRPr="00BC76A2">
        <w:rPr>
          <w:snapToGrid w:val="0"/>
          <w:lang w:val="de-DE"/>
        </w:rPr>
        <w:t xml:space="preserve">ab 2015 für die </w:t>
      </w:r>
      <w:r w:rsidR="00727F91" w:rsidRPr="00BC76A2">
        <w:rPr>
          <w:snapToGrid w:val="0"/>
          <w:lang w:val="de-DE"/>
        </w:rPr>
        <w:t>Erstell</w:t>
      </w:r>
      <w:r w:rsidR="00C8693D" w:rsidRPr="00BC76A2">
        <w:rPr>
          <w:snapToGrid w:val="0"/>
          <w:lang w:val="de-DE"/>
        </w:rPr>
        <w:t xml:space="preserve">ung aller Prüfungsrichtlinien verlangt werden. Eine Schulung für die Verwendung der webbasierten TG-Mustervorlage wird zunächst auf den Tagungen der Technischen </w:t>
      </w:r>
      <w:r w:rsidR="007206B2" w:rsidRPr="00BC76A2">
        <w:rPr>
          <w:snapToGrid w:val="0"/>
          <w:lang w:val="de-DE"/>
        </w:rPr>
        <w:t>Arbeitsgruppen</w:t>
      </w:r>
      <w:r w:rsidR="00C8693D" w:rsidRPr="00BC76A2">
        <w:rPr>
          <w:snapToGrid w:val="0"/>
          <w:lang w:val="de-DE"/>
        </w:rPr>
        <w:t xml:space="preserve"> im Jahre 2014 sowie mittels </w:t>
      </w:r>
      <w:r w:rsidR="007206B2" w:rsidRPr="00BC76A2">
        <w:rPr>
          <w:snapToGrid w:val="0"/>
          <w:lang w:val="de-DE"/>
        </w:rPr>
        <w:t>elektronischer</w:t>
      </w:r>
      <w:r w:rsidR="006C7BD7" w:rsidRPr="00BC76A2">
        <w:rPr>
          <w:snapToGrid w:val="0"/>
          <w:lang w:val="de-DE"/>
        </w:rPr>
        <w:t xml:space="preserve"> </w:t>
      </w:r>
      <w:r w:rsidR="00C8693D" w:rsidRPr="00BC76A2">
        <w:rPr>
          <w:snapToGrid w:val="0"/>
          <w:lang w:val="de-DE"/>
        </w:rPr>
        <w:t xml:space="preserve">Arbeitstagungen bereitgestellt </w:t>
      </w:r>
      <w:r w:rsidR="006C7BD7" w:rsidRPr="00BC76A2">
        <w:rPr>
          <w:snapToGrid w:val="0"/>
          <w:lang w:val="de-DE"/>
        </w:rPr>
        <w:t xml:space="preserve">werden </w:t>
      </w:r>
      <w:r w:rsidR="00AF7303" w:rsidRPr="00BC76A2">
        <w:rPr>
          <w:snapToGrid w:val="0"/>
          <w:lang w:val="de-DE"/>
        </w:rPr>
        <w:t>(</w:t>
      </w:r>
      <w:r w:rsidR="003C2AFD" w:rsidRPr="00BC76A2">
        <w:rPr>
          <w:snapToGrid w:val="0"/>
          <w:lang w:val="de-DE"/>
        </w:rPr>
        <w:t>vergleiche Dokument</w:t>
      </w:r>
      <w:r w:rsidR="00AF7303" w:rsidRPr="00BC76A2">
        <w:rPr>
          <w:snapToGrid w:val="0"/>
          <w:lang w:val="de-DE"/>
        </w:rPr>
        <w:t xml:space="preserve"> TC/50/3 </w:t>
      </w:r>
      <w:r w:rsidR="006C7BD7" w:rsidRPr="00BC76A2">
        <w:rPr>
          <w:snapToGrid w:val="0"/>
          <w:lang w:val="de-DE"/>
        </w:rPr>
        <w:t xml:space="preserve">„Fragen, die von </w:t>
      </w:r>
      <w:r w:rsidR="007206B2" w:rsidRPr="00BC76A2">
        <w:rPr>
          <w:snapToGrid w:val="0"/>
          <w:lang w:val="de-DE"/>
        </w:rPr>
        <w:t>den</w:t>
      </w:r>
      <w:r w:rsidR="006C7BD7" w:rsidRPr="00BC76A2">
        <w:rPr>
          <w:snapToGrid w:val="0"/>
          <w:lang w:val="de-DE"/>
        </w:rPr>
        <w:t xml:space="preserve"> </w:t>
      </w:r>
      <w:r w:rsidR="007206B2" w:rsidRPr="00BC76A2">
        <w:rPr>
          <w:snapToGrid w:val="0"/>
          <w:lang w:val="de-DE"/>
        </w:rPr>
        <w:t>Technischen</w:t>
      </w:r>
      <w:r w:rsidR="006C7BD7" w:rsidRPr="00BC76A2">
        <w:rPr>
          <w:snapToGrid w:val="0"/>
          <w:lang w:val="de-DE"/>
        </w:rPr>
        <w:t xml:space="preserve"> Arbeitsgruppen </w:t>
      </w:r>
      <w:r w:rsidR="00727F91" w:rsidRPr="00BC76A2">
        <w:rPr>
          <w:snapToGrid w:val="0"/>
          <w:lang w:val="de-DE"/>
        </w:rPr>
        <w:t>a</w:t>
      </w:r>
      <w:r w:rsidR="006C7BD7" w:rsidRPr="00BC76A2">
        <w:rPr>
          <w:snapToGrid w:val="0"/>
          <w:lang w:val="de-DE"/>
        </w:rPr>
        <w:t>ufgeworfen wurden“).</w:t>
      </w:r>
    </w:p>
    <w:p w:rsidR="006C7BD7" w:rsidRPr="00BC76A2" w:rsidRDefault="006C7BD7" w:rsidP="003367CB">
      <w:pPr>
        <w:rPr>
          <w:snapToGrid w:val="0"/>
          <w:lang w:val="de-DE"/>
        </w:rPr>
      </w:pPr>
    </w:p>
    <w:p w:rsidR="00744A9B" w:rsidRPr="00BC76A2" w:rsidRDefault="00744A9B" w:rsidP="006A4A4E">
      <w:pPr>
        <w:pStyle w:val="Heading2"/>
        <w:rPr>
          <w:lang w:val="de-DE"/>
        </w:rPr>
      </w:pPr>
      <w:bookmarkStart w:id="195" w:name="_Toc379530109"/>
      <w:bookmarkStart w:id="196" w:name="_Toc380391656"/>
      <w:bookmarkStart w:id="197" w:name="_Toc380419896"/>
      <w:bookmarkStart w:id="198" w:name="_Toc380483696"/>
      <w:r w:rsidRPr="00BC76A2">
        <w:rPr>
          <w:lang w:val="de-DE"/>
        </w:rPr>
        <w:t>Version 2</w:t>
      </w:r>
      <w:bookmarkEnd w:id="195"/>
      <w:bookmarkEnd w:id="196"/>
      <w:bookmarkEnd w:id="197"/>
      <w:bookmarkEnd w:id="198"/>
    </w:p>
    <w:p w:rsidR="00AA731D" w:rsidRPr="00BC76A2" w:rsidRDefault="00AA731D" w:rsidP="00FF721B">
      <w:pPr>
        <w:rPr>
          <w:lang w:val="de-DE"/>
        </w:rPr>
      </w:pPr>
    </w:p>
    <w:p w:rsidR="00744A9B" w:rsidRPr="00BC76A2" w:rsidRDefault="00744A9B" w:rsidP="00D24E8D">
      <w:pPr>
        <w:rPr>
          <w:lang w:val="de-DE"/>
        </w:rPr>
      </w:pPr>
      <w:r w:rsidRPr="00BC76A2">
        <w:rPr>
          <w:snapToGrid w:val="0"/>
          <w:lang w:val="de-DE"/>
        </w:rPr>
        <w:fldChar w:fldCharType="begin"/>
      </w:r>
      <w:r w:rsidRPr="00BC76A2">
        <w:rPr>
          <w:snapToGrid w:val="0"/>
          <w:lang w:val="de-DE"/>
        </w:rPr>
        <w:instrText xml:space="preserve"> AUTONUM  </w:instrText>
      </w:r>
      <w:r w:rsidRPr="00BC76A2">
        <w:rPr>
          <w:snapToGrid w:val="0"/>
          <w:lang w:val="de-DE"/>
        </w:rPr>
        <w:fldChar w:fldCharType="end"/>
      </w:r>
      <w:r w:rsidRPr="00BC76A2">
        <w:rPr>
          <w:snapToGrid w:val="0"/>
          <w:lang w:val="de-DE"/>
        </w:rPr>
        <w:tab/>
      </w:r>
      <w:r w:rsidRPr="00BC76A2">
        <w:rPr>
          <w:lang w:val="de-DE"/>
        </w:rPr>
        <w:t xml:space="preserve">Version 2 </w:t>
      </w:r>
      <w:r w:rsidR="006C7BD7" w:rsidRPr="00BC76A2">
        <w:rPr>
          <w:lang w:val="de-DE"/>
        </w:rPr>
        <w:t>der</w:t>
      </w:r>
      <w:r w:rsidRPr="00BC76A2">
        <w:rPr>
          <w:lang w:val="de-DE"/>
        </w:rPr>
        <w:t xml:space="preserve"> </w:t>
      </w:r>
      <w:r w:rsidR="00C8693D" w:rsidRPr="00BC76A2">
        <w:rPr>
          <w:lang w:val="de-DE"/>
        </w:rPr>
        <w:t>webbasierte</w:t>
      </w:r>
      <w:r w:rsidR="006C7BD7" w:rsidRPr="00BC76A2">
        <w:rPr>
          <w:lang w:val="de-DE"/>
        </w:rPr>
        <w:t>n</w:t>
      </w:r>
      <w:r w:rsidR="00C8693D" w:rsidRPr="00BC76A2">
        <w:rPr>
          <w:lang w:val="de-DE"/>
        </w:rPr>
        <w:t xml:space="preserve"> TG-Mustervorlage</w:t>
      </w:r>
      <w:r w:rsidRPr="00BC76A2">
        <w:rPr>
          <w:lang w:val="de-DE"/>
        </w:rPr>
        <w:t xml:space="preserve"> wi</w:t>
      </w:r>
      <w:r w:rsidR="006C7BD7" w:rsidRPr="00BC76A2">
        <w:rPr>
          <w:lang w:val="de-DE"/>
        </w:rPr>
        <w:t xml:space="preserve">rd folgende zusätzlichen </w:t>
      </w:r>
      <w:r w:rsidR="00727F91" w:rsidRPr="00BC76A2">
        <w:rPr>
          <w:lang w:val="de-DE"/>
        </w:rPr>
        <w:t>Eigenschaften aufweisen</w:t>
      </w:r>
      <w:r w:rsidRPr="00BC76A2">
        <w:rPr>
          <w:lang w:val="de-DE"/>
        </w:rPr>
        <w:t>:</w:t>
      </w:r>
    </w:p>
    <w:p w:rsidR="00744A9B" w:rsidRPr="00BC76A2" w:rsidRDefault="00744A9B" w:rsidP="00D24E8D">
      <w:pPr>
        <w:rPr>
          <w:lang w:val="de-DE"/>
        </w:rPr>
      </w:pPr>
    </w:p>
    <w:p w:rsidR="00744A9B" w:rsidRPr="00BC76A2" w:rsidRDefault="002E4663" w:rsidP="00574BB5">
      <w:pPr>
        <w:pStyle w:val="Heading3"/>
        <w:rPr>
          <w:lang w:val="de-DE"/>
        </w:rPr>
      </w:pPr>
      <w:bookmarkStart w:id="199" w:name="_Toc379530110"/>
      <w:bookmarkStart w:id="200" w:name="_Toc380391657"/>
      <w:bookmarkStart w:id="201" w:name="_Toc380419897"/>
      <w:bookmarkStart w:id="202" w:name="_Toc380483697"/>
      <w:r w:rsidRPr="00BC76A2">
        <w:rPr>
          <w:lang w:val="de-DE"/>
        </w:rPr>
        <w:t>Simultanü</w:t>
      </w:r>
      <w:r w:rsidR="006C7BD7" w:rsidRPr="00BC76A2">
        <w:rPr>
          <w:lang w:val="de-DE"/>
        </w:rPr>
        <w:t>bersetzung</w:t>
      </w:r>
      <w:bookmarkEnd w:id="199"/>
      <w:bookmarkEnd w:id="200"/>
      <w:bookmarkEnd w:id="201"/>
      <w:bookmarkEnd w:id="202"/>
    </w:p>
    <w:p w:rsidR="00744A9B" w:rsidRPr="00BC76A2" w:rsidRDefault="00744A9B" w:rsidP="00D24E8D">
      <w:pPr>
        <w:rPr>
          <w:lang w:val="de-DE"/>
        </w:rPr>
      </w:pPr>
    </w:p>
    <w:p w:rsidR="00744A9B" w:rsidRPr="00BC76A2" w:rsidRDefault="00744A9B" w:rsidP="00D24E8D">
      <w:pPr>
        <w:rPr>
          <w:lang w:val="de-DE"/>
        </w:rPr>
      </w:pPr>
      <w:r w:rsidRPr="00BC76A2">
        <w:rPr>
          <w:lang w:val="de-DE"/>
        </w:rPr>
        <w:fldChar w:fldCharType="begin"/>
      </w:r>
      <w:r w:rsidRPr="00BC76A2">
        <w:rPr>
          <w:lang w:val="de-DE"/>
        </w:rPr>
        <w:instrText xml:space="preserve"> AUTONUM  </w:instrText>
      </w:r>
      <w:r w:rsidRPr="00BC76A2">
        <w:rPr>
          <w:lang w:val="de-DE"/>
        </w:rPr>
        <w:fldChar w:fldCharType="end"/>
      </w:r>
      <w:r w:rsidRPr="00BC76A2">
        <w:rPr>
          <w:lang w:val="de-DE"/>
        </w:rPr>
        <w:tab/>
      </w:r>
      <w:r w:rsidR="007206B2" w:rsidRPr="00BC76A2">
        <w:rPr>
          <w:lang w:val="de-DE"/>
        </w:rPr>
        <w:t xml:space="preserve">In Version 2 der webbasierten TG-Mustervorlage werden die deutsche, die französische, und die spanische Sprachfassung für den Standardwortlaut, den zusätzlichen Standardwortlaut (ASW) und die unveränderten, von der Datenbank mit der Sammlung gebilligter Merkmale hochgeladenen Merkmale der Prüfungsrichtlinien </w:t>
      </w:r>
      <w:r w:rsidR="002E4663" w:rsidRPr="00BC76A2">
        <w:rPr>
          <w:lang w:val="de-DE"/>
        </w:rPr>
        <w:t>simultan</w:t>
      </w:r>
      <w:r w:rsidR="007206B2" w:rsidRPr="00BC76A2">
        <w:rPr>
          <w:lang w:val="de-DE"/>
        </w:rPr>
        <w:t xml:space="preserve"> mit dem englischen Entwurf </w:t>
      </w:r>
      <w:r w:rsidR="00727F91" w:rsidRPr="00BC76A2">
        <w:rPr>
          <w:lang w:val="de-DE"/>
        </w:rPr>
        <w:t xml:space="preserve">automatisch </w:t>
      </w:r>
      <w:r w:rsidR="007206B2" w:rsidRPr="00BC76A2">
        <w:rPr>
          <w:lang w:val="de-DE"/>
        </w:rPr>
        <w:t xml:space="preserve">erstellt. </w:t>
      </w:r>
      <w:r w:rsidR="006C7BD7" w:rsidRPr="00BC76A2">
        <w:rPr>
          <w:lang w:val="de-DE"/>
        </w:rPr>
        <w:t xml:space="preserve">Der nicht automatisch übersetzte </w:t>
      </w:r>
      <w:r w:rsidR="007206B2" w:rsidRPr="00BC76A2">
        <w:rPr>
          <w:lang w:val="de-DE"/>
        </w:rPr>
        <w:t>Wortlaut</w:t>
      </w:r>
      <w:r w:rsidR="006C7BD7" w:rsidRPr="00BC76A2">
        <w:rPr>
          <w:lang w:val="de-DE"/>
        </w:rPr>
        <w:t xml:space="preserve"> wird für die Übersetzung in die betreffende Sprache angegeben.</w:t>
      </w:r>
    </w:p>
    <w:p w:rsidR="00744A9B" w:rsidRPr="00BC76A2" w:rsidRDefault="00744A9B" w:rsidP="00D24E8D">
      <w:pPr>
        <w:rPr>
          <w:lang w:val="de-DE"/>
        </w:rPr>
      </w:pPr>
    </w:p>
    <w:p w:rsidR="00744A9B" w:rsidRPr="00BC76A2" w:rsidRDefault="006C7BD7" w:rsidP="00574BB5">
      <w:pPr>
        <w:pStyle w:val="Heading3"/>
        <w:rPr>
          <w:lang w:val="de-DE"/>
        </w:rPr>
      </w:pPr>
      <w:bookmarkStart w:id="203" w:name="_Toc379530111"/>
      <w:bookmarkStart w:id="204" w:name="_Toc380391658"/>
      <w:bookmarkStart w:id="205" w:name="_Toc380419898"/>
      <w:bookmarkStart w:id="206" w:name="_Toc380483698"/>
      <w:r w:rsidRPr="00BC76A2">
        <w:rPr>
          <w:lang w:val="de-DE"/>
        </w:rPr>
        <w:t>Prüfungsrichtlinien einzelner Behörden</w:t>
      </w:r>
      <w:bookmarkEnd w:id="203"/>
      <w:bookmarkEnd w:id="204"/>
      <w:bookmarkEnd w:id="205"/>
      <w:bookmarkEnd w:id="206"/>
    </w:p>
    <w:p w:rsidR="00744A9B" w:rsidRPr="00BC76A2" w:rsidRDefault="00744A9B" w:rsidP="00D24E8D">
      <w:pPr>
        <w:rPr>
          <w:lang w:val="de-DE"/>
        </w:rPr>
      </w:pPr>
    </w:p>
    <w:p w:rsidR="0012327C" w:rsidRPr="00BC76A2" w:rsidRDefault="00744A9B" w:rsidP="00D24E8D">
      <w:pPr>
        <w:rPr>
          <w:lang w:val="de-DE"/>
        </w:rPr>
      </w:pPr>
      <w:r w:rsidRPr="00BC76A2">
        <w:rPr>
          <w:lang w:val="de-DE"/>
        </w:rPr>
        <w:fldChar w:fldCharType="begin"/>
      </w:r>
      <w:r w:rsidRPr="00BC76A2">
        <w:rPr>
          <w:lang w:val="de-DE"/>
        </w:rPr>
        <w:instrText xml:space="preserve"> AUTONUM  </w:instrText>
      </w:r>
      <w:r w:rsidRPr="00BC76A2">
        <w:rPr>
          <w:lang w:val="de-DE"/>
        </w:rPr>
        <w:fldChar w:fldCharType="end"/>
      </w:r>
      <w:r w:rsidRPr="00BC76A2">
        <w:rPr>
          <w:lang w:val="de-DE"/>
        </w:rPr>
        <w:tab/>
      </w:r>
      <w:r w:rsidR="004E4FAC" w:rsidRPr="00BC76A2">
        <w:rPr>
          <w:lang w:val="de-DE"/>
        </w:rPr>
        <w:t xml:space="preserve">Version 1 </w:t>
      </w:r>
      <w:r w:rsidR="006C7BD7" w:rsidRPr="00BC76A2">
        <w:rPr>
          <w:lang w:val="de-DE"/>
        </w:rPr>
        <w:t>der</w:t>
      </w:r>
      <w:r w:rsidR="004E4FAC" w:rsidRPr="00BC76A2">
        <w:rPr>
          <w:lang w:val="de-DE"/>
        </w:rPr>
        <w:t xml:space="preserve"> </w:t>
      </w:r>
      <w:r w:rsidR="00C8693D" w:rsidRPr="00BC76A2">
        <w:rPr>
          <w:lang w:val="de-DE"/>
        </w:rPr>
        <w:t>webbasierte</w:t>
      </w:r>
      <w:r w:rsidR="006C7BD7" w:rsidRPr="00BC76A2">
        <w:rPr>
          <w:lang w:val="de-DE"/>
        </w:rPr>
        <w:t>n</w:t>
      </w:r>
      <w:r w:rsidR="00C8693D" w:rsidRPr="00BC76A2">
        <w:rPr>
          <w:lang w:val="de-DE"/>
        </w:rPr>
        <w:t xml:space="preserve"> TG-Mustervorlage</w:t>
      </w:r>
      <w:r w:rsidR="00B34C30" w:rsidRPr="00BC76A2">
        <w:rPr>
          <w:lang w:val="de-DE"/>
        </w:rPr>
        <w:t xml:space="preserve"> </w:t>
      </w:r>
      <w:r w:rsidR="006C7BD7" w:rsidRPr="00BC76A2">
        <w:rPr>
          <w:lang w:val="de-DE"/>
        </w:rPr>
        <w:t xml:space="preserve">wurde für die </w:t>
      </w:r>
      <w:r w:rsidR="007206B2" w:rsidRPr="00BC76A2">
        <w:rPr>
          <w:lang w:val="de-DE"/>
        </w:rPr>
        <w:t>Erstellung</w:t>
      </w:r>
      <w:r w:rsidR="006C7BD7" w:rsidRPr="00BC76A2">
        <w:rPr>
          <w:lang w:val="de-DE"/>
        </w:rPr>
        <w:t xml:space="preserve"> von </w:t>
      </w:r>
      <w:r w:rsidR="007206B2" w:rsidRPr="00BC76A2">
        <w:rPr>
          <w:lang w:val="de-DE"/>
        </w:rPr>
        <w:t>Prüfungsrichtlinien</w:t>
      </w:r>
      <w:r w:rsidR="006C7BD7" w:rsidRPr="00BC76A2">
        <w:rPr>
          <w:lang w:val="de-DE"/>
        </w:rPr>
        <w:t xml:space="preserve"> für die </w:t>
      </w:r>
      <w:r w:rsidR="00B34C30" w:rsidRPr="00BC76A2">
        <w:rPr>
          <w:lang w:val="de-DE"/>
        </w:rPr>
        <w:t>UPOV</w:t>
      </w:r>
      <w:r w:rsidR="006C7BD7" w:rsidRPr="00BC76A2">
        <w:rPr>
          <w:lang w:val="de-DE"/>
        </w:rPr>
        <w:t xml:space="preserve"> konzipiert</w:t>
      </w:r>
      <w:r w:rsidR="00B34C30" w:rsidRPr="00BC76A2">
        <w:rPr>
          <w:lang w:val="de-DE"/>
        </w:rPr>
        <w:t xml:space="preserve">. </w:t>
      </w:r>
      <w:r w:rsidR="007206B2" w:rsidRPr="00BC76A2">
        <w:rPr>
          <w:lang w:val="de-DE"/>
        </w:rPr>
        <w:t xml:space="preserve">Sie wurde jedoch auch so konzipiert, </w:t>
      </w:r>
      <w:r w:rsidR="00A0388E" w:rsidRPr="00BC76A2">
        <w:rPr>
          <w:lang w:val="de-DE"/>
        </w:rPr>
        <w:t>daß</w:t>
      </w:r>
      <w:r w:rsidR="007206B2" w:rsidRPr="00BC76A2">
        <w:rPr>
          <w:lang w:val="de-DE"/>
        </w:rPr>
        <w:t xml:space="preserve"> Version 2 es den Verbandsmitgliedern ermöglichen wird, folgendes zu verwenden:</w:t>
      </w:r>
    </w:p>
    <w:p w:rsidR="0012327C" w:rsidRPr="00BC76A2" w:rsidRDefault="0012327C" w:rsidP="00D24E8D">
      <w:pPr>
        <w:rPr>
          <w:lang w:val="de-DE"/>
        </w:rPr>
      </w:pPr>
    </w:p>
    <w:p w:rsidR="0012327C" w:rsidRPr="00BC76A2" w:rsidRDefault="00FF721B" w:rsidP="00FF721B">
      <w:pPr>
        <w:rPr>
          <w:lang w:val="de-DE"/>
        </w:rPr>
      </w:pPr>
      <w:r w:rsidRPr="00BC76A2">
        <w:rPr>
          <w:lang w:val="de-DE"/>
        </w:rPr>
        <w:tab/>
      </w:r>
      <w:r w:rsidR="007206B2" w:rsidRPr="00BC76A2">
        <w:rPr>
          <w:lang w:val="de-DE"/>
        </w:rPr>
        <w:t>a)</w:t>
      </w:r>
      <w:r w:rsidR="007206B2" w:rsidRPr="00BC76A2">
        <w:rPr>
          <w:lang w:val="de-DE"/>
        </w:rPr>
        <w:tab/>
        <w:t>angenommene UPOV-Prüfungsrichtlinien als Grundl</w:t>
      </w:r>
      <w:r w:rsidR="00727F91" w:rsidRPr="00BC76A2">
        <w:rPr>
          <w:lang w:val="de-DE"/>
        </w:rPr>
        <w:t>a</w:t>
      </w:r>
      <w:r w:rsidR="007206B2" w:rsidRPr="00BC76A2">
        <w:rPr>
          <w:lang w:val="de-DE"/>
        </w:rPr>
        <w:t>ge für die Erstellung von Prüfungsrichtlinien einzelner Behörden;</w:t>
      </w:r>
    </w:p>
    <w:p w:rsidR="0012327C" w:rsidRPr="00BC76A2" w:rsidRDefault="0012327C" w:rsidP="00FF721B">
      <w:pPr>
        <w:rPr>
          <w:lang w:val="de-DE"/>
        </w:rPr>
      </w:pPr>
    </w:p>
    <w:p w:rsidR="0012327C" w:rsidRPr="00BC76A2" w:rsidRDefault="00FF721B" w:rsidP="00FF721B">
      <w:pPr>
        <w:rPr>
          <w:lang w:val="de-DE"/>
        </w:rPr>
      </w:pPr>
      <w:r w:rsidRPr="00BC76A2">
        <w:rPr>
          <w:lang w:val="de-DE"/>
        </w:rPr>
        <w:tab/>
      </w:r>
      <w:r w:rsidR="0012327C" w:rsidRPr="00BC76A2">
        <w:rPr>
          <w:lang w:val="de-DE"/>
        </w:rPr>
        <w:t>b)</w:t>
      </w:r>
      <w:r w:rsidR="0012327C" w:rsidRPr="00BC76A2">
        <w:rPr>
          <w:lang w:val="de-DE"/>
        </w:rPr>
        <w:tab/>
      </w:r>
      <w:r w:rsidR="006C7BD7" w:rsidRPr="00BC76A2">
        <w:rPr>
          <w:lang w:val="de-DE"/>
        </w:rPr>
        <w:t>die</w:t>
      </w:r>
      <w:r w:rsidR="0012327C" w:rsidRPr="00BC76A2">
        <w:rPr>
          <w:lang w:val="de-DE"/>
        </w:rPr>
        <w:t xml:space="preserve"> </w:t>
      </w:r>
      <w:r w:rsidR="00C8693D" w:rsidRPr="00BC76A2">
        <w:rPr>
          <w:lang w:val="de-DE"/>
        </w:rPr>
        <w:t>webbasierte TG-Mustervorlage</w:t>
      </w:r>
      <w:r w:rsidR="006C7BD7" w:rsidRPr="00BC76A2">
        <w:rPr>
          <w:lang w:val="de-DE"/>
        </w:rPr>
        <w:t xml:space="preserve"> u</w:t>
      </w:r>
      <w:r w:rsidR="0012327C" w:rsidRPr="00BC76A2">
        <w:rPr>
          <w:lang w:val="de-DE"/>
        </w:rPr>
        <w:t xml:space="preserve">nd </w:t>
      </w:r>
      <w:r w:rsidR="006C7BD7" w:rsidRPr="00BC76A2">
        <w:rPr>
          <w:lang w:val="de-DE"/>
        </w:rPr>
        <w:t xml:space="preserve">die Datenbank mit </w:t>
      </w:r>
      <w:r w:rsidR="007206B2" w:rsidRPr="00BC76A2">
        <w:rPr>
          <w:lang w:val="de-DE"/>
        </w:rPr>
        <w:t>Merkmalen</w:t>
      </w:r>
      <w:r w:rsidR="006C7BD7" w:rsidRPr="00BC76A2">
        <w:rPr>
          <w:lang w:val="de-DE"/>
        </w:rPr>
        <w:t xml:space="preserve"> zur </w:t>
      </w:r>
      <w:r w:rsidR="007206B2" w:rsidRPr="00BC76A2">
        <w:rPr>
          <w:lang w:val="de-DE"/>
        </w:rPr>
        <w:t>Erstellung</w:t>
      </w:r>
      <w:r w:rsidR="006C7BD7" w:rsidRPr="00BC76A2">
        <w:rPr>
          <w:lang w:val="de-DE"/>
        </w:rPr>
        <w:t xml:space="preserve"> von </w:t>
      </w:r>
      <w:r w:rsidR="007206B2" w:rsidRPr="00BC76A2">
        <w:rPr>
          <w:lang w:val="de-DE"/>
        </w:rPr>
        <w:t>Prüfungsrichtlinien</w:t>
      </w:r>
      <w:r w:rsidR="006C7BD7" w:rsidRPr="00BC76A2">
        <w:rPr>
          <w:lang w:val="de-DE"/>
        </w:rPr>
        <w:t xml:space="preserve"> einzelner Behörden</w:t>
      </w:r>
      <w:r w:rsidR="00727F91" w:rsidRPr="00BC76A2">
        <w:rPr>
          <w:lang w:val="de-DE"/>
        </w:rPr>
        <w:t>,</w:t>
      </w:r>
      <w:r w:rsidR="006C7BD7" w:rsidRPr="00BC76A2">
        <w:rPr>
          <w:lang w:val="de-DE"/>
        </w:rPr>
        <w:t xml:space="preserve"> für die keine UPOV-Prü</w:t>
      </w:r>
      <w:r w:rsidR="00727F91" w:rsidRPr="00BC76A2">
        <w:rPr>
          <w:lang w:val="de-DE"/>
        </w:rPr>
        <w:t>fungsrichtlinien vorliegen, und</w:t>
      </w:r>
    </w:p>
    <w:p w:rsidR="0012327C" w:rsidRPr="00BC76A2" w:rsidRDefault="0012327C" w:rsidP="00FF721B">
      <w:pPr>
        <w:rPr>
          <w:lang w:val="de-DE"/>
        </w:rPr>
      </w:pPr>
    </w:p>
    <w:p w:rsidR="0012327C" w:rsidRPr="00BC76A2" w:rsidRDefault="00FF721B" w:rsidP="00FF721B">
      <w:pPr>
        <w:rPr>
          <w:lang w:val="de-DE"/>
        </w:rPr>
      </w:pPr>
      <w:r w:rsidRPr="00BC76A2">
        <w:rPr>
          <w:lang w:val="de-DE"/>
        </w:rPr>
        <w:tab/>
      </w:r>
      <w:r w:rsidR="0012327C" w:rsidRPr="00BC76A2">
        <w:rPr>
          <w:lang w:val="de-DE"/>
        </w:rPr>
        <w:t>c)</w:t>
      </w:r>
      <w:r w:rsidR="0012327C" w:rsidRPr="00BC76A2">
        <w:rPr>
          <w:lang w:val="de-DE"/>
        </w:rPr>
        <w:tab/>
      </w:r>
      <w:r w:rsidR="00EB77D0" w:rsidRPr="00BC76A2">
        <w:rPr>
          <w:lang w:val="de-DE"/>
        </w:rPr>
        <w:t>die</w:t>
      </w:r>
      <w:r w:rsidR="00727F91" w:rsidRPr="00BC76A2">
        <w:rPr>
          <w:lang w:val="de-DE"/>
        </w:rPr>
        <w:t xml:space="preserve"> </w:t>
      </w:r>
      <w:r w:rsidR="007206B2" w:rsidRPr="00BC76A2">
        <w:rPr>
          <w:lang w:val="de-DE"/>
        </w:rPr>
        <w:t>Prüfungsrichtlinien</w:t>
      </w:r>
      <w:r w:rsidR="00657ECF" w:rsidRPr="00BC76A2">
        <w:rPr>
          <w:lang w:val="de-DE"/>
        </w:rPr>
        <w:t xml:space="preserve"> einzelner </w:t>
      </w:r>
      <w:r w:rsidR="007206B2" w:rsidRPr="00BC76A2">
        <w:rPr>
          <w:lang w:val="de-DE"/>
        </w:rPr>
        <w:t>Behörden</w:t>
      </w:r>
      <w:r w:rsidR="00657ECF" w:rsidRPr="00BC76A2">
        <w:rPr>
          <w:lang w:val="de-DE"/>
        </w:rPr>
        <w:t xml:space="preserve">, die unter </w:t>
      </w:r>
      <w:r w:rsidR="00EB77D0" w:rsidRPr="00BC76A2">
        <w:rPr>
          <w:lang w:val="de-DE"/>
        </w:rPr>
        <w:t>An</w:t>
      </w:r>
      <w:r w:rsidR="00657ECF" w:rsidRPr="00BC76A2">
        <w:rPr>
          <w:lang w:val="de-DE"/>
        </w:rPr>
        <w:t xml:space="preserve">wendung der </w:t>
      </w:r>
      <w:r w:rsidR="00C8693D" w:rsidRPr="00BC76A2">
        <w:rPr>
          <w:lang w:val="de-DE"/>
        </w:rPr>
        <w:t>webbasierte</w:t>
      </w:r>
      <w:r w:rsidR="00EB77D0" w:rsidRPr="00BC76A2">
        <w:rPr>
          <w:lang w:val="de-DE"/>
        </w:rPr>
        <w:t>n</w:t>
      </w:r>
      <w:r w:rsidR="00C8693D" w:rsidRPr="00BC76A2">
        <w:rPr>
          <w:lang w:val="de-DE"/>
        </w:rPr>
        <w:t xml:space="preserve"> TG</w:t>
      </w:r>
      <w:r w:rsidR="00657ECF" w:rsidRPr="00BC76A2">
        <w:rPr>
          <w:lang w:val="de-DE"/>
        </w:rPr>
        <w:noBreakHyphen/>
      </w:r>
      <w:r w:rsidR="00C8693D" w:rsidRPr="00BC76A2">
        <w:rPr>
          <w:lang w:val="de-DE"/>
        </w:rPr>
        <w:t>Mustervorlage</w:t>
      </w:r>
      <w:r w:rsidR="00657ECF" w:rsidRPr="00BC76A2">
        <w:rPr>
          <w:lang w:val="de-DE"/>
        </w:rPr>
        <w:t xml:space="preserve"> </w:t>
      </w:r>
      <w:r w:rsidR="007206B2" w:rsidRPr="00BC76A2">
        <w:rPr>
          <w:lang w:val="de-DE"/>
        </w:rPr>
        <w:t>erstellt</w:t>
      </w:r>
      <w:r w:rsidR="00657ECF" w:rsidRPr="00BC76A2">
        <w:rPr>
          <w:lang w:val="de-DE"/>
        </w:rPr>
        <w:t xml:space="preserve"> wurden</w:t>
      </w:r>
      <w:r w:rsidR="0012327C" w:rsidRPr="00BC76A2">
        <w:rPr>
          <w:lang w:val="de-DE"/>
        </w:rPr>
        <w:t xml:space="preserve">, </w:t>
      </w:r>
      <w:r w:rsidR="00657ECF" w:rsidRPr="00BC76A2">
        <w:rPr>
          <w:lang w:val="de-DE"/>
        </w:rPr>
        <w:t>als Grundlage für Entwürfe von UPOV-</w:t>
      </w:r>
      <w:r w:rsidR="007206B2" w:rsidRPr="00BC76A2">
        <w:rPr>
          <w:lang w:val="de-DE"/>
        </w:rPr>
        <w:t>Prüfungsrichtlinien</w:t>
      </w:r>
      <w:r w:rsidR="006A4A4E" w:rsidRPr="00BC76A2">
        <w:rPr>
          <w:lang w:val="de-DE"/>
        </w:rPr>
        <w:t>.</w:t>
      </w:r>
    </w:p>
    <w:p w:rsidR="0012327C" w:rsidRPr="00BC76A2" w:rsidRDefault="0012327C" w:rsidP="0012327C">
      <w:pPr>
        <w:ind w:left="567"/>
        <w:rPr>
          <w:lang w:val="de-DE"/>
        </w:rPr>
      </w:pPr>
    </w:p>
    <w:p w:rsidR="00744A9B" w:rsidRPr="00BC76A2" w:rsidRDefault="0012327C" w:rsidP="0012327C">
      <w:pPr>
        <w:rPr>
          <w:lang w:val="de-DE"/>
        </w:rPr>
      </w:pPr>
      <w:r w:rsidRPr="00BC76A2">
        <w:rPr>
          <w:lang w:val="de-DE"/>
        </w:rPr>
        <w:fldChar w:fldCharType="begin"/>
      </w:r>
      <w:r w:rsidRPr="00BC76A2">
        <w:rPr>
          <w:lang w:val="de-DE"/>
        </w:rPr>
        <w:instrText xml:space="preserve"> AUTONUM  </w:instrText>
      </w:r>
      <w:r w:rsidRPr="00BC76A2">
        <w:rPr>
          <w:lang w:val="de-DE"/>
        </w:rPr>
        <w:fldChar w:fldCharType="end"/>
      </w:r>
      <w:r w:rsidRPr="00BC76A2">
        <w:rPr>
          <w:lang w:val="de-DE"/>
        </w:rPr>
        <w:tab/>
      </w:r>
      <w:r w:rsidR="007206B2" w:rsidRPr="00BC76A2">
        <w:rPr>
          <w:lang w:val="de-DE"/>
        </w:rPr>
        <w:t>Version 2 wird eine Möglichkeit für einzelne Behörden enthalten, den Wortlaut der Mustervorlage im Rahmen derselben Struktur zu ändern, um sie als Mustervorlage für ihre eigenen Prüfungsrichtlinien zu verwenden, sowie eine Möglichkeit, es einzelnen Behörden zu erlauben, die UPOV-Prüfungsrichtlinien mit den erforderlichen Änderungen in Prüfungsrichtlinien einzelner Behörden umzuwandeln.</w:t>
      </w:r>
    </w:p>
    <w:p w:rsidR="00AF7303" w:rsidRPr="00BC76A2" w:rsidRDefault="00AF7303" w:rsidP="0012327C">
      <w:pPr>
        <w:rPr>
          <w:lang w:val="de-DE"/>
        </w:rPr>
      </w:pPr>
    </w:p>
    <w:p w:rsidR="00AF7303" w:rsidRPr="00BC76A2" w:rsidRDefault="00AF7303" w:rsidP="00D24E8D">
      <w:pPr>
        <w:rPr>
          <w:lang w:val="de-DE"/>
        </w:rPr>
      </w:pPr>
      <w:r w:rsidRPr="00BC76A2">
        <w:rPr>
          <w:lang w:val="de-DE"/>
        </w:rPr>
        <w:fldChar w:fldCharType="begin"/>
      </w:r>
      <w:r w:rsidRPr="00BC76A2">
        <w:rPr>
          <w:lang w:val="de-DE"/>
        </w:rPr>
        <w:instrText xml:space="preserve"> AUTONUM  </w:instrText>
      </w:r>
      <w:r w:rsidRPr="00BC76A2">
        <w:rPr>
          <w:lang w:val="de-DE"/>
        </w:rPr>
        <w:fldChar w:fldCharType="end"/>
      </w:r>
      <w:r w:rsidRPr="00BC76A2">
        <w:rPr>
          <w:lang w:val="de-DE"/>
        </w:rPr>
        <w:tab/>
      </w:r>
      <w:r w:rsidR="00657ECF" w:rsidRPr="00BC76A2">
        <w:rPr>
          <w:lang w:val="de-DE"/>
        </w:rPr>
        <w:t xml:space="preserve">Vorbehaltlich der erfolgreichen </w:t>
      </w:r>
      <w:r w:rsidR="007206B2" w:rsidRPr="00BC76A2">
        <w:rPr>
          <w:lang w:val="de-DE"/>
        </w:rPr>
        <w:t>Umsetzung</w:t>
      </w:r>
      <w:r w:rsidR="00657ECF" w:rsidRPr="00BC76A2">
        <w:rPr>
          <w:lang w:val="de-DE"/>
        </w:rPr>
        <w:t xml:space="preserve"> der</w:t>
      </w:r>
      <w:r w:rsidRPr="00BC76A2">
        <w:rPr>
          <w:lang w:val="de-DE"/>
        </w:rPr>
        <w:t xml:space="preserve"> Version 1 </w:t>
      </w:r>
      <w:r w:rsidR="00657ECF" w:rsidRPr="00BC76A2">
        <w:rPr>
          <w:lang w:val="de-DE"/>
        </w:rPr>
        <w:t>der</w:t>
      </w:r>
      <w:r w:rsidRPr="00BC76A2">
        <w:rPr>
          <w:lang w:val="de-DE"/>
        </w:rPr>
        <w:t xml:space="preserve"> </w:t>
      </w:r>
      <w:r w:rsidR="00C8693D" w:rsidRPr="00BC76A2">
        <w:rPr>
          <w:lang w:val="de-DE"/>
        </w:rPr>
        <w:t>webbasierte</w:t>
      </w:r>
      <w:r w:rsidR="00657ECF" w:rsidRPr="00BC76A2">
        <w:rPr>
          <w:lang w:val="de-DE"/>
        </w:rPr>
        <w:t>n</w:t>
      </w:r>
      <w:r w:rsidR="00C8693D" w:rsidRPr="00BC76A2">
        <w:rPr>
          <w:lang w:val="de-DE"/>
        </w:rPr>
        <w:t xml:space="preserve"> TG-Mustervorlage</w:t>
      </w:r>
      <w:r w:rsidRPr="00BC76A2">
        <w:rPr>
          <w:lang w:val="de-DE"/>
        </w:rPr>
        <w:t xml:space="preserve"> i</w:t>
      </w:r>
      <w:r w:rsidR="00657ECF" w:rsidRPr="00BC76A2">
        <w:rPr>
          <w:lang w:val="de-DE"/>
        </w:rPr>
        <w:t>m Jahre</w:t>
      </w:r>
      <w:r w:rsidRPr="00BC76A2">
        <w:rPr>
          <w:lang w:val="de-DE"/>
        </w:rPr>
        <w:t xml:space="preserve"> 2014</w:t>
      </w:r>
      <w:r w:rsidR="00657ECF" w:rsidRPr="00BC76A2">
        <w:rPr>
          <w:lang w:val="de-DE"/>
        </w:rPr>
        <w:t xml:space="preserve">, ist die </w:t>
      </w:r>
      <w:r w:rsidR="007206B2" w:rsidRPr="00BC76A2">
        <w:rPr>
          <w:lang w:val="de-DE"/>
        </w:rPr>
        <w:t>Entwicklung</w:t>
      </w:r>
      <w:r w:rsidR="00657ECF" w:rsidRPr="00BC76A2">
        <w:rPr>
          <w:lang w:val="de-DE"/>
        </w:rPr>
        <w:t xml:space="preserve"> der </w:t>
      </w:r>
      <w:r w:rsidR="00803CC0" w:rsidRPr="00BC76A2">
        <w:rPr>
          <w:lang w:val="de-DE"/>
        </w:rPr>
        <w:t xml:space="preserve">Version 2 </w:t>
      </w:r>
      <w:r w:rsidR="00657ECF" w:rsidRPr="00BC76A2">
        <w:rPr>
          <w:lang w:val="de-DE"/>
        </w:rPr>
        <w:t>für 2015 vorgesehen.</w:t>
      </w:r>
    </w:p>
    <w:p w:rsidR="00744A9B" w:rsidRPr="00BC76A2" w:rsidRDefault="00744A9B" w:rsidP="00D24E8D">
      <w:pPr>
        <w:rPr>
          <w:lang w:val="de-DE"/>
        </w:rPr>
      </w:pPr>
    </w:p>
    <w:p w:rsidR="00D24E8D" w:rsidRPr="00BC76A2" w:rsidRDefault="00D24E8D" w:rsidP="00A64B7C">
      <w:pPr>
        <w:pStyle w:val="DecisionParagraphs"/>
        <w:keepNext/>
        <w:tabs>
          <w:tab w:val="left" w:pos="5954"/>
        </w:tabs>
        <w:rPr>
          <w:lang w:val="de-DE"/>
        </w:rPr>
      </w:pPr>
      <w:r w:rsidRPr="00BC76A2">
        <w:rPr>
          <w:lang w:val="de-DE"/>
        </w:rPr>
        <w:fldChar w:fldCharType="begin"/>
      </w:r>
      <w:r w:rsidRPr="00BC76A2">
        <w:rPr>
          <w:lang w:val="de-DE"/>
        </w:rPr>
        <w:instrText xml:space="preserve"> AUTONUM  </w:instrText>
      </w:r>
      <w:r w:rsidRPr="00BC76A2">
        <w:rPr>
          <w:lang w:val="de-DE"/>
        </w:rPr>
        <w:fldChar w:fldCharType="end"/>
      </w:r>
      <w:r w:rsidRPr="00BC76A2">
        <w:rPr>
          <w:lang w:val="de-DE"/>
        </w:rPr>
        <w:tab/>
      </w:r>
      <w:r w:rsidR="00657ECF" w:rsidRPr="00BC76A2">
        <w:rPr>
          <w:lang w:val="de-DE"/>
        </w:rPr>
        <w:t>Der</w:t>
      </w:r>
      <w:r w:rsidRPr="00BC76A2">
        <w:rPr>
          <w:lang w:val="de-DE"/>
        </w:rPr>
        <w:t xml:space="preserve"> TC </w:t>
      </w:r>
      <w:r w:rsidR="00657ECF" w:rsidRPr="00BC76A2">
        <w:rPr>
          <w:lang w:val="de-DE"/>
        </w:rPr>
        <w:t xml:space="preserve">wird </w:t>
      </w:r>
      <w:r w:rsidR="007206B2" w:rsidRPr="00BC76A2">
        <w:rPr>
          <w:lang w:val="de-DE"/>
        </w:rPr>
        <w:t>ersucht</w:t>
      </w:r>
      <w:r w:rsidR="00657ECF" w:rsidRPr="00BC76A2">
        <w:rPr>
          <w:lang w:val="de-DE"/>
        </w:rPr>
        <w:t>,</w:t>
      </w:r>
    </w:p>
    <w:p w:rsidR="00D24E8D" w:rsidRPr="00BC76A2" w:rsidRDefault="00D24E8D" w:rsidP="00A64B7C">
      <w:pPr>
        <w:pStyle w:val="DecisionParagraphs"/>
        <w:keepNext/>
        <w:tabs>
          <w:tab w:val="left" w:pos="5954"/>
        </w:tabs>
        <w:rPr>
          <w:lang w:val="de-DE"/>
        </w:rPr>
      </w:pPr>
    </w:p>
    <w:p w:rsidR="00D24E8D" w:rsidRPr="00BC76A2" w:rsidRDefault="00FF721B" w:rsidP="00FF721B">
      <w:pPr>
        <w:pStyle w:val="DecisionParagraphs"/>
        <w:tabs>
          <w:tab w:val="left" w:pos="5954"/>
        </w:tabs>
        <w:rPr>
          <w:lang w:val="de-DE"/>
        </w:rPr>
      </w:pPr>
      <w:r w:rsidRPr="00BC76A2">
        <w:rPr>
          <w:lang w:val="de-DE"/>
        </w:rPr>
        <w:tab/>
        <w:t>a)</w:t>
      </w:r>
      <w:r w:rsidRPr="00BC76A2">
        <w:rPr>
          <w:lang w:val="de-DE"/>
        </w:rPr>
        <w:tab/>
      </w:r>
      <w:r w:rsidR="00657ECF" w:rsidRPr="00BC76A2">
        <w:rPr>
          <w:lang w:val="de-DE"/>
        </w:rPr>
        <w:t>die</w:t>
      </w:r>
      <w:r w:rsidR="00EB77D0" w:rsidRPr="00BC76A2">
        <w:rPr>
          <w:lang w:val="de-DE"/>
        </w:rPr>
        <w:t xml:space="preserve"> Eigenschaft</w:t>
      </w:r>
      <w:r w:rsidR="00657ECF" w:rsidRPr="00BC76A2">
        <w:rPr>
          <w:lang w:val="de-DE"/>
        </w:rPr>
        <w:t>en der</w:t>
      </w:r>
      <w:r w:rsidR="00D24E8D" w:rsidRPr="00BC76A2">
        <w:rPr>
          <w:lang w:val="de-DE"/>
        </w:rPr>
        <w:t xml:space="preserve"> Version 1 </w:t>
      </w:r>
      <w:r w:rsidR="00657ECF" w:rsidRPr="00BC76A2">
        <w:rPr>
          <w:lang w:val="de-DE"/>
        </w:rPr>
        <w:t>der</w:t>
      </w:r>
      <w:r w:rsidR="00D24E8D" w:rsidRPr="00BC76A2">
        <w:rPr>
          <w:lang w:val="de-DE"/>
        </w:rPr>
        <w:t xml:space="preserve"> </w:t>
      </w:r>
      <w:r w:rsidR="00C8693D" w:rsidRPr="00BC76A2">
        <w:rPr>
          <w:lang w:val="de-DE"/>
        </w:rPr>
        <w:t>webbasierte</w:t>
      </w:r>
      <w:r w:rsidR="00657ECF" w:rsidRPr="00BC76A2">
        <w:rPr>
          <w:lang w:val="de-DE"/>
        </w:rPr>
        <w:t>n</w:t>
      </w:r>
      <w:r w:rsidR="00C8693D" w:rsidRPr="00BC76A2">
        <w:rPr>
          <w:lang w:val="de-DE"/>
        </w:rPr>
        <w:t xml:space="preserve"> TG-Mustervorlage</w:t>
      </w:r>
      <w:r w:rsidR="00657ECF" w:rsidRPr="00BC76A2">
        <w:rPr>
          <w:lang w:val="de-DE"/>
        </w:rPr>
        <w:t xml:space="preserve">, wie in Absatz </w:t>
      </w:r>
      <w:r w:rsidR="00840EAA">
        <w:rPr>
          <w:lang w:val="de-DE"/>
        </w:rPr>
        <w:t>55</w:t>
      </w:r>
      <w:r w:rsidR="00657ECF" w:rsidRPr="00BC76A2">
        <w:rPr>
          <w:lang w:val="de-DE"/>
        </w:rPr>
        <w:t xml:space="preserve"> </w:t>
      </w:r>
      <w:r w:rsidR="007206B2" w:rsidRPr="00BC76A2">
        <w:rPr>
          <w:lang w:val="de-DE"/>
        </w:rPr>
        <w:t>dargelegt</w:t>
      </w:r>
      <w:r w:rsidR="00657ECF" w:rsidRPr="00BC76A2">
        <w:rPr>
          <w:lang w:val="de-DE"/>
        </w:rPr>
        <w:t>, zur Kenntnis zu nehmen</w:t>
      </w:r>
      <w:r w:rsidR="00D24E8D" w:rsidRPr="00BC76A2">
        <w:rPr>
          <w:lang w:val="de-DE"/>
        </w:rPr>
        <w:t>;</w:t>
      </w:r>
    </w:p>
    <w:p w:rsidR="00D24E8D" w:rsidRPr="00BC76A2" w:rsidRDefault="00D24E8D" w:rsidP="00FF721B">
      <w:pPr>
        <w:pStyle w:val="DecisionParagraphs"/>
        <w:tabs>
          <w:tab w:val="left" w:pos="5954"/>
        </w:tabs>
        <w:rPr>
          <w:lang w:val="de-DE"/>
        </w:rPr>
      </w:pPr>
    </w:p>
    <w:p w:rsidR="00D24E8D" w:rsidRPr="00BC76A2" w:rsidRDefault="00FF721B" w:rsidP="00FF721B">
      <w:pPr>
        <w:pStyle w:val="DecisionParagraphs"/>
        <w:tabs>
          <w:tab w:val="left" w:pos="5954"/>
        </w:tabs>
        <w:rPr>
          <w:lang w:val="de-DE"/>
        </w:rPr>
      </w:pPr>
      <w:r w:rsidRPr="00BC76A2">
        <w:rPr>
          <w:lang w:val="de-DE"/>
        </w:rPr>
        <w:tab/>
      </w:r>
      <w:r w:rsidR="00D24E8D" w:rsidRPr="00BC76A2">
        <w:rPr>
          <w:lang w:val="de-DE"/>
        </w:rPr>
        <w:t>b)</w:t>
      </w:r>
      <w:r w:rsidR="00D24E8D" w:rsidRPr="00BC76A2">
        <w:rPr>
          <w:lang w:val="de-DE"/>
        </w:rPr>
        <w:tab/>
      </w:r>
      <w:r w:rsidR="00657ECF" w:rsidRPr="00BC76A2">
        <w:rPr>
          <w:lang w:val="de-DE"/>
        </w:rPr>
        <w:t xml:space="preserve">die Vorhaben </w:t>
      </w:r>
      <w:r w:rsidR="007206B2" w:rsidRPr="00BC76A2">
        <w:rPr>
          <w:lang w:val="de-DE"/>
        </w:rPr>
        <w:t>zur</w:t>
      </w:r>
      <w:r w:rsidR="00657ECF" w:rsidRPr="00BC76A2">
        <w:rPr>
          <w:lang w:val="de-DE"/>
        </w:rPr>
        <w:t xml:space="preserve"> </w:t>
      </w:r>
      <w:r w:rsidR="007206B2" w:rsidRPr="00BC76A2">
        <w:rPr>
          <w:lang w:val="de-DE"/>
        </w:rPr>
        <w:t>Umsetzung</w:t>
      </w:r>
      <w:r w:rsidR="00657ECF" w:rsidRPr="00BC76A2">
        <w:rPr>
          <w:lang w:val="de-DE"/>
        </w:rPr>
        <w:t xml:space="preserve"> der </w:t>
      </w:r>
      <w:r w:rsidR="00C8693D" w:rsidRPr="00BC76A2">
        <w:rPr>
          <w:lang w:val="de-DE"/>
        </w:rPr>
        <w:t>webbasierte</w:t>
      </w:r>
      <w:r w:rsidR="00657ECF" w:rsidRPr="00BC76A2">
        <w:rPr>
          <w:lang w:val="de-DE"/>
        </w:rPr>
        <w:t>n</w:t>
      </w:r>
      <w:r w:rsidR="00C8693D" w:rsidRPr="00BC76A2">
        <w:rPr>
          <w:lang w:val="de-DE"/>
        </w:rPr>
        <w:t xml:space="preserve"> TG-Mustervorlage</w:t>
      </w:r>
      <w:r w:rsidR="00D24E8D" w:rsidRPr="00BC76A2">
        <w:rPr>
          <w:lang w:val="de-DE"/>
        </w:rPr>
        <w:t xml:space="preserve">, </w:t>
      </w:r>
      <w:r w:rsidR="007206B2" w:rsidRPr="00BC76A2">
        <w:rPr>
          <w:lang w:val="de-DE"/>
        </w:rPr>
        <w:t>einschließlich</w:t>
      </w:r>
      <w:r w:rsidR="00657ECF" w:rsidRPr="00BC76A2">
        <w:rPr>
          <w:lang w:val="de-DE"/>
        </w:rPr>
        <w:t xml:space="preserve"> der </w:t>
      </w:r>
      <w:r w:rsidR="007206B2" w:rsidRPr="00BC76A2">
        <w:rPr>
          <w:lang w:val="de-DE"/>
        </w:rPr>
        <w:t>Notwendigkeit</w:t>
      </w:r>
      <w:r w:rsidR="00657ECF" w:rsidRPr="00BC76A2">
        <w:rPr>
          <w:lang w:val="de-DE"/>
        </w:rPr>
        <w:t xml:space="preserve"> der </w:t>
      </w:r>
      <w:r w:rsidR="007206B2" w:rsidRPr="00BC76A2">
        <w:rPr>
          <w:lang w:val="de-DE"/>
        </w:rPr>
        <w:t>ausschließlichen</w:t>
      </w:r>
      <w:r w:rsidR="00657ECF" w:rsidRPr="00BC76A2">
        <w:rPr>
          <w:lang w:val="de-DE"/>
        </w:rPr>
        <w:t xml:space="preserve"> Verwendung der </w:t>
      </w:r>
      <w:r w:rsidR="00C8693D" w:rsidRPr="00BC76A2">
        <w:rPr>
          <w:lang w:val="de-DE"/>
        </w:rPr>
        <w:t>webbasierte</w:t>
      </w:r>
      <w:r w:rsidR="00657ECF" w:rsidRPr="00BC76A2">
        <w:rPr>
          <w:lang w:val="de-DE"/>
        </w:rPr>
        <w:t>n</w:t>
      </w:r>
      <w:r w:rsidR="00C8693D" w:rsidRPr="00BC76A2">
        <w:rPr>
          <w:lang w:val="de-DE"/>
        </w:rPr>
        <w:t xml:space="preserve"> TG-Mustervorlage</w:t>
      </w:r>
      <w:r w:rsidR="00D24E8D" w:rsidRPr="00BC76A2">
        <w:rPr>
          <w:lang w:val="de-DE"/>
        </w:rPr>
        <w:t xml:space="preserve"> </w:t>
      </w:r>
      <w:r w:rsidR="00657ECF" w:rsidRPr="00BC76A2">
        <w:rPr>
          <w:lang w:val="de-DE"/>
        </w:rPr>
        <w:t xml:space="preserve">für die </w:t>
      </w:r>
      <w:r w:rsidR="007206B2" w:rsidRPr="00BC76A2">
        <w:rPr>
          <w:lang w:val="de-DE"/>
        </w:rPr>
        <w:t>Erstellung</w:t>
      </w:r>
      <w:r w:rsidR="00657ECF" w:rsidRPr="00BC76A2">
        <w:rPr>
          <w:lang w:val="de-DE"/>
        </w:rPr>
        <w:t xml:space="preserve"> aller Prüfungsrichtlinien ab 2015, wie in den </w:t>
      </w:r>
      <w:r w:rsidR="003C2AFD" w:rsidRPr="00BC76A2">
        <w:rPr>
          <w:lang w:val="de-DE"/>
        </w:rPr>
        <w:t>Absätze</w:t>
      </w:r>
      <w:r w:rsidR="00657ECF" w:rsidRPr="00BC76A2">
        <w:rPr>
          <w:lang w:val="de-DE"/>
        </w:rPr>
        <w:t>n</w:t>
      </w:r>
      <w:r w:rsidR="00D24E8D" w:rsidRPr="00BC76A2">
        <w:rPr>
          <w:lang w:val="de-DE"/>
        </w:rPr>
        <w:t xml:space="preserve"> </w:t>
      </w:r>
      <w:r w:rsidR="00840EAA">
        <w:rPr>
          <w:lang w:val="de-DE"/>
        </w:rPr>
        <w:t>56</w:t>
      </w:r>
      <w:r w:rsidR="00D24E8D" w:rsidRPr="00BC76A2">
        <w:rPr>
          <w:lang w:val="de-DE"/>
        </w:rPr>
        <w:t xml:space="preserve"> </w:t>
      </w:r>
      <w:r w:rsidR="00657ECF" w:rsidRPr="00BC76A2">
        <w:rPr>
          <w:lang w:val="de-DE"/>
        </w:rPr>
        <w:t>bis</w:t>
      </w:r>
      <w:r w:rsidR="00D24E8D" w:rsidRPr="00BC76A2">
        <w:rPr>
          <w:lang w:val="de-DE"/>
        </w:rPr>
        <w:t xml:space="preserve"> </w:t>
      </w:r>
      <w:r w:rsidR="00840EAA">
        <w:rPr>
          <w:lang w:val="de-DE"/>
        </w:rPr>
        <w:t>58</w:t>
      </w:r>
      <w:r w:rsidR="00657ECF" w:rsidRPr="00BC76A2">
        <w:rPr>
          <w:lang w:val="de-DE"/>
        </w:rPr>
        <w:t xml:space="preserve"> dargelegt, zu billigen</w:t>
      </w:r>
      <w:r w:rsidR="00D24E8D" w:rsidRPr="00BC76A2">
        <w:rPr>
          <w:lang w:val="de-DE"/>
        </w:rPr>
        <w:t>;</w:t>
      </w:r>
    </w:p>
    <w:p w:rsidR="00D24E8D" w:rsidRPr="00BC76A2" w:rsidRDefault="00D24E8D" w:rsidP="00FF721B">
      <w:pPr>
        <w:pStyle w:val="DecisionParagraphs"/>
        <w:tabs>
          <w:tab w:val="left" w:pos="5954"/>
        </w:tabs>
        <w:rPr>
          <w:lang w:val="de-DE"/>
        </w:rPr>
      </w:pPr>
    </w:p>
    <w:p w:rsidR="00D24E8D" w:rsidRPr="00BC76A2" w:rsidRDefault="00FF721B" w:rsidP="00FF721B">
      <w:pPr>
        <w:pStyle w:val="DecisionParagraphs"/>
        <w:tabs>
          <w:tab w:val="left" w:pos="5954"/>
        </w:tabs>
        <w:rPr>
          <w:lang w:val="de-DE"/>
        </w:rPr>
      </w:pPr>
      <w:r w:rsidRPr="00BC76A2">
        <w:rPr>
          <w:lang w:val="de-DE"/>
        </w:rPr>
        <w:tab/>
      </w:r>
      <w:r w:rsidR="00D24E8D" w:rsidRPr="00BC76A2">
        <w:rPr>
          <w:lang w:val="de-DE"/>
        </w:rPr>
        <w:t>c)</w:t>
      </w:r>
      <w:r w:rsidR="00D24E8D" w:rsidRPr="00BC76A2">
        <w:rPr>
          <w:lang w:val="de-DE"/>
        </w:rPr>
        <w:tab/>
      </w:r>
      <w:r w:rsidR="00657ECF" w:rsidRPr="00BC76A2">
        <w:rPr>
          <w:lang w:val="de-DE"/>
        </w:rPr>
        <w:t xml:space="preserve">die </w:t>
      </w:r>
      <w:r w:rsidR="007206B2" w:rsidRPr="00BC76A2">
        <w:rPr>
          <w:lang w:val="de-DE"/>
        </w:rPr>
        <w:t>Besonderheiten</w:t>
      </w:r>
      <w:r w:rsidR="00657ECF" w:rsidRPr="00BC76A2">
        <w:rPr>
          <w:lang w:val="de-DE"/>
        </w:rPr>
        <w:t xml:space="preserve"> und den Zeitplan </w:t>
      </w:r>
      <w:r w:rsidR="007206B2" w:rsidRPr="00BC76A2">
        <w:rPr>
          <w:lang w:val="de-DE"/>
        </w:rPr>
        <w:t>für</w:t>
      </w:r>
      <w:r w:rsidR="00657ECF" w:rsidRPr="00BC76A2">
        <w:rPr>
          <w:lang w:val="de-DE"/>
        </w:rPr>
        <w:t xml:space="preserve"> die </w:t>
      </w:r>
      <w:r w:rsidR="007206B2" w:rsidRPr="00BC76A2">
        <w:rPr>
          <w:lang w:val="de-DE"/>
        </w:rPr>
        <w:t>Entwicklung</w:t>
      </w:r>
      <w:r w:rsidR="00657ECF" w:rsidRPr="00BC76A2">
        <w:rPr>
          <w:lang w:val="de-DE"/>
        </w:rPr>
        <w:t xml:space="preserve"> der </w:t>
      </w:r>
      <w:r w:rsidR="00D24E8D" w:rsidRPr="00BC76A2">
        <w:rPr>
          <w:lang w:val="de-DE"/>
        </w:rPr>
        <w:t xml:space="preserve">Version 2 </w:t>
      </w:r>
      <w:r w:rsidR="00657ECF" w:rsidRPr="00BC76A2">
        <w:rPr>
          <w:lang w:val="de-DE"/>
        </w:rPr>
        <w:t>der</w:t>
      </w:r>
      <w:r w:rsidR="00D24E8D" w:rsidRPr="00BC76A2">
        <w:rPr>
          <w:lang w:val="de-DE"/>
        </w:rPr>
        <w:t xml:space="preserve"> </w:t>
      </w:r>
      <w:r w:rsidR="00C8693D" w:rsidRPr="00BC76A2">
        <w:rPr>
          <w:lang w:val="de-DE"/>
        </w:rPr>
        <w:t>webbasierte</w:t>
      </w:r>
      <w:r w:rsidR="00657ECF" w:rsidRPr="00BC76A2">
        <w:rPr>
          <w:lang w:val="de-DE"/>
        </w:rPr>
        <w:t>n</w:t>
      </w:r>
      <w:r w:rsidR="00C8693D" w:rsidRPr="00BC76A2">
        <w:rPr>
          <w:lang w:val="de-DE"/>
        </w:rPr>
        <w:t xml:space="preserve"> TG</w:t>
      </w:r>
      <w:r w:rsidR="00657ECF" w:rsidRPr="00BC76A2">
        <w:rPr>
          <w:lang w:val="de-DE"/>
        </w:rPr>
        <w:noBreakHyphen/>
      </w:r>
      <w:r w:rsidR="00C8693D" w:rsidRPr="00BC76A2">
        <w:rPr>
          <w:lang w:val="de-DE"/>
        </w:rPr>
        <w:t>Mustervorlage</w:t>
      </w:r>
      <w:r w:rsidR="00D24E8D" w:rsidRPr="00BC76A2">
        <w:rPr>
          <w:lang w:val="de-DE"/>
        </w:rPr>
        <w:t xml:space="preserve">, </w:t>
      </w:r>
      <w:r w:rsidR="00657ECF" w:rsidRPr="00BC76A2">
        <w:rPr>
          <w:lang w:val="de-DE"/>
        </w:rPr>
        <w:t xml:space="preserve">wie in den </w:t>
      </w:r>
      <w:r w:rsidR="003C2AFD" w:rsidRPr="00BC76A2">
        <w:rPr>
          <w:lang w:val="de-DE"/>
        </w:rPr>
        <w:t>Absätze</w:t>
      </w:r>
      <w:r w:rsidR="00657ECF" w:rsidRPr="00BC76A2">
        <w:rPr>
          <w:lang w:val="de-DE"/>
        </w:rPr>
        <w:t>n</w:t>
      </w:r>
      <w:r w:rsidR="00D24E8D" w:rsidRPr="00BC76A2">
        <w:rPr>
          <w:lang w:val="de-DE"/>
        </w:rPr>
        <w:t xml:space="preserve"> </w:t>
      </w:r>
      <w:r w:rsidR="00840EAA">
        <w:rPr>
          <w:lang w:val="de-DE"/>
        </w:rPr>
        <w:t>59</w:t>
      </w:r>
      <w:r w:rsidR="00D24E8D" w:rsidRPr="00BC76A2">
        <w:rPr>
          <w:lang w:val="de-DE"/>
        </w:rPr>
        <w:t xml:space="preserve"> </w:t>
      </w:r>
      <w:r w:rsidR="00657ECF" w:rsidRPr="00BC76A2">
        <w:rPr>
          <w:lang w:val="de-DE"/>
        </w:rPr>
        <w:t>bis</w:t>
      </w:r>
      <w:r w:rsidR="00D24E8D" w:rsidRPr="00BC76A2">
        <w:rPr>
          <w:lang w:val="de-DE"/>
        </w:rPr>
        <w:t xml:space="preserve"> </w:t>
      </w:r>
      <w:r w:rsidR="00840EAA">
        <w:rPr>
          <w:lang w:val="de-DE"/>
        </w:rPr>
        <w:t>63</w:t>
      </w:r>
      <w:r w:rsidR="00657ECF" w:rsidRPr="00BC76A2">
        <w:rPr>
          <w:lang w:val="de-DE"/>
        </w:rPr>
        <w:t xml:space="preserve"> dargelegt, zur Kenntnis zu nehmen</w:t>
      </w:r>
      <w:r w:rsidR="00815DCE" w:rsidRPr="00BC76A2">
        <w:rPr>
          <w:lang w:val="de-DE"/>
        </w:rPr>
        <w:t>.</w:t>
      </w:r>
    </w:p>
    <w:p w:rsidR="00B07425" w:rsidRPr="00BC76A2" w:rsidRDefault="00B07425" w:rsidP="00974E05">
      <w:pPr>
        <w:rPr>
          <w:lang w:val="de-DE"/>
        </w:rPr>
      </w:pPr>
    </w:p>
    <w:p w:rsidR="00761761" w:rsidRPr="00BC76A2" w:rsidRDefault="00761761" w:rsidP="009A0C94">
      <w:pPr>
        <w:rPr>
          <w:lang w:val="de-DE"/>
        </w:rPr>
      </w:pPr>
    </w:p>
    <w:p w:rsidR="001D6D97" w:rsidRPr="00BC76A2" w:rsidRDefault="001D6D97" w:rsidP="009A0C94">
      <w:pPr>
        <w:rPr>
          <w:lang w:val="de-DE"/>
        </w:rPr>
      </w:pPr>
    </w:p>
    <w:p w:rsidR="00050E16" w:rsidRPr="00BC76A2" w:rsidRDefault="00050E16" w:rsidP="00050E16">
      <w:pPr>
        <w:jc w:val="right"/>
        <w:rPr>
          <w:lang w:val="de-DE"/>
        </w:rPr>
      </w:pPr>
      <w:r w:rsidRPr="00BC76A2">
        <w:rPr>
          <w:lang w:val="de-DE"/>
        </w:rPr>
        <w:t>[</w:t>
      </w:r>
      <w:r w:rsidR="00FC4145" w:rsidRPr="00BC76A2">
        <w:rPr>
          <w:lang w:val="de-DE"/>
        </w:rPr>
        <w:t>An</w:t>
      </w:r>
      <w:r w:rsidR="002C02E8" w:rsidRPr="00BC76A2">
        <w:rPr>
          <w:lang w:val="de-DE"/>
        </w:rPr>
        <w:t>lage</w:t>
      </w:r>
      <w:r w:rsidR="00FC4145" w:rsidRPr="00BC76A2">
        <w:rPr>
          <w:lang w:val="de-DE"/>
        </w:rPr>
        <w:t xml:space="preserve"> fol</w:t>
      </w:r>
      <w:r w:rsidR="002C02E8" w:rsidRPr="00BC76A2">
        <w:rPr>
          <w:lang w:val="de-DE"/>
        </w:rPr>
        <w:t>gt</w:t>
      </w:r>
      <w:r w:rsidR="00D070FD" w:rsidRPr="00BC76A2">
        <w:rPr>
          <w:lang w:val="de-DE"/>
        </w:rPr>
        <w:t>]</w:t>
      </w:r>
    </w:p>
    <w:p w:rsidR="005E2224" w:rsidRDefault="005E2224">
      <w:pPr>
        <w:jc w:val="right"/>
        <w:rPr>
          <w:lang w:val="de-DE"/>
        </w:rPr>
        <w:sectPr w:rsidR="005E2224" w:rsidSect="002E3428">
          <w:headerReference w:type="default" r:id="rId12"/>
          <w:pgSz w:w="11907" w:h="16840" w:code="9"/>
          <w:pgMar w:top="510" w:right="1134" w:bottom="993" w:left="1134" w:header="510" w:footer="680" w:gutter="0"/>
          <w:cols w:space="720"/>
          <w:titlePg/>
        </w:sectPr>
      </w:pPr>
    </w:p>
    <w:p w:rsidR="000C3D1E" w:rsidRPr="00D9403C" w:rsidRDefault="000C3D1E" w:rsidP="00677F0D">
      <w:pPr>
        <w:rPr>
          <w:lang w:val="fr-CH"/>
        </w:rPr>
      </w:pPr>
    </w:p>
    <w:p w:rsidR="005E2224" w:rsidRPr="00D9403C" w:rsidRDefault="005E2224" w:rsidP="00677F0D">
      <w:pPr>
        <w:rPr>
          <w:lang w:val="fr-CH"/>
        </w:rPr>
      </w:pPr>
    </w:p>
    <w:p w:rsidR="005E2224" w:rsidRDefault="005E2224" w:rsidP="005E2224">
      <w:pPr>
        <w:jc w:val="left"/>
        <w:rPr>
          <w:lang w:val="de-DE"/>
        </w:rPr>
      </w:pPr>
    </w:p>
    <w:p w:rsidR="005E2224" w:rsidRDefault="00677F0D" w:rsidP="005E2224">
      <w:pPr>
        <w:jc w:val="left"/>
        <w:rPr>
          <w:lang w:val="de-DE"/>
        </w:rPr>
      </w:pPr>
      <w:r>
        <w:rPr>
          <w:lang w:val="de-DE"/>
        </w:rPr>
        <w:t>[</w:t>
      </w:r>
      <w:r w:rsidR="005E2224">
        <w:rPr>
          <w:lang w:val="de-DE"/>
        </w:rPr>
        <w:t>Die Anlage dieses Dokuments ist nur in der PDF-Version verfügbar.</w:t>
      </w:r>
      <w:r>
        <w:rPr>
          <w:lang w:val="de-DE"/>
        </w:rPr>
        <w:t>]</w:t>
      </w:r>
    </w:p>
    <w:p w:rsidR="005E2224" w:rsidRDefault="005E2224" w:rsidP="005E2224">
      <w:pPr>
        <w:jc w:val="left"/>
        <w:rPr>
          <w:lang w:val="de-DE"/>
        </w:rPr>
      </w:pPr>
    </w:p>
    <w:p w:rsidR="005E2224" w:rsidRDefault="005E2224" w:rsidP="005E2224">
      <w:pPr>
        <w:jc w:val="left"/>
        <w:rPr>
          <w:lang w:val="de-DE"/>
        </w:rPr>
      </w:pPr>
    </w:p>
    <w:p w:rsidR="005E2224" w:rsidRDefault="005E2224" w:rsidP="005E2224">
      <w:pPr>
        <w:jc w:val="left"/>
        <w:rPr>
          <w:lang w:val="de-DE"/>
        </w:rPr>
      </w:pPr>
    </w:p>
    <w:p w:rsidR="005E2224" w:rsidRPr="00BC76A2" w:rsidRDefault="005E2224" w:rsidP="005E2224">
      <w:pPr>
        <w:jc w:val="right"/>
        <w:rPr>
          <w:lang w:val="de-DE"/>
        </w:rPr>
      </w:pPr>
      <w:r>
        <w:rPr>
          <w:lang w:val="de-DE"/>
        </w:rPr>
        <w:t>[Ende de</w:t>
      </w:r>
      <w:r w:rsidR="00677F0D">
        <w:rPr>
          <w:lang w:val="de-DE"/>
        </w:rPr>
        <w:t>r Anlage und des</w:t>
      </w:r>
      <w:r>
        <w:rPr>
          <w:lang w:val="de-DE"/>
        </w:rPr>
        <w:t xml:space="preserve"> Dokuments]</w:t>
      </w:r>
    </w:p>
    <w:sectPr w:rsidR="005E2224" w:rsidRPr="00BC76A2" w:rsidSect="002E3428">
      <w:headerReference w:type="first" r:id="rId13"/>
      <w:pgSz w:w="11907" w:h="16840" w:code="9"/>
      <w:pgMar w:top="510" w:right="1134" w:bottom="993"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BB5" w:rsidRDefault="00574BB5" w:rsidP="006655D3">
      <w:r>
        <w:separator/>
      </w:r>
    </w:p>
    <w:p w:rsidR="00574BB5" w:rsidRDefault="00574BB5" w:rsidP="006655D3"/>
    <w:p w:rsidR="00574BB5" w:rsidRDefault="00574BB5" w:rsidP="006655D3"/>
  </w:endnote>
  <w:endnote w:type="continuationSeparator" w:id="0">
    <w:p w:rsidR="00574BB5" w:rsidRDefault="00574BB5" w:rsidP="006655D3">
      <w:r>
        <w:separator/>
      </w:r>
    </w:p>
    <w:p w:rsidR="00574BB5" w:rsidRPr="008C7B58" w:rsidRDefault="00574BB5">
      <w:pPr>
        <w:pStyle w:val="Footer"/>
        <w:spacing w:after="60"/>
        <w:rPr>
          <w:sz w:val="18"/>
          <w:lang w:val="fr-CH"/>
        </w:rPr>
      </w:pPr>
      <w:r w:rsidRPr="008C7B58">
        <w:rPr>
          <w:sz w:val="18"/>
          <w:lang w:val="fr-CH"/>
        </w:rPr>
        <w:t>[Suite de la note de la page précédente]</w:t>
      </w:r>
    </w:p>
    <w:p w:rsidR="00574BB5" w:rsidRPr="008C7B58" w:rsidRDefault="00574BB5" w:rsidP="006655D3">
      <w:pPr>
        <w:rPr>
          <w:lang w:val="fr-CH"/>
        </w:rPr>
      </w:pPr>
    </w:p>
    <w:p w:rsidR="00574BB5" w:rsidRPr="008C7B58" w:rsidRDefault="00574BB5" w:rsidP="006655D3">
      <w:pPr>
        <w:rPr>
          <w:lang w:val="fr-CH"/>
        </w:rPr>
      </w:pPr>
    </w:p>
  </w:endnote>
  <w:endnote w:type="continuationNotice" w:id="1">
    <w:p w:rsidR="00574BB5" w:rsidRPr="008C7B58" w:rsidRDefault="00574BB5" w:rsidP="006655D3">
      <w:pPr>
        <w:rPr>
          <w:lang w:val="fr-CH"/>
        </w:rPr>
      </w:pPr>
      <w:r w:rsidRPr="008C7B58">
        <w:rPr>
          <w:lang w:val="fr-CH"/>
        </w:rPr>
        <w:t>[Suite de la note page suivante]</w:t>
      </w:r>
    </w:p>
    <w:p w:rsidR="00574BB5" w:rsidRPr="008C7B58" w:rsidRDefault="00574BB5" w:rsidP="006655D3">
      <w:pPr>
        <w:rPr>
          <w:lang w:val="fr-CH"/>
        </w:rPr>
      </w:pPr>
    </w:p>
    <w:p w:rsidR="00574BB5" w:rsidRPr="008C7B58" w:rsidRDefault="00574BB5"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BB5" w:rsidRDefault="00574BB5" w:rsidP="006655D3">
      <w:r>
        <w:separator/>
      </w:r>
    </w:p>
  </w:footnote>
  <w:footnote w:type="continuationSeparator" w:id="0">
    <w:p w:rsidR="00574BB5" w:rsidRDefault="00574BB5" w:rsidP="006655D3">
      <w:r>
        <w:separator/>
      </w:r>
    </w:p>
  </w:footnote>
  <w:footnote w:type="continuationNotice" w:id="1">
    <w:p w:rsidR="00574BB5" w:rsidRPr="00AB530F" w:rsidRDefault="00574BB5" w:rsidP="00AB530F">
      <w:pPr>
        <w:pStyle w:val="Footer"/>
      </w:pPr>
    </w:p>
  </w:footnote>
  <w:footnote w:id="2">
    <w:p w:rsidR="00574BB5" w:rsidRPr="00EA284C" w:rsidRDefault="00574BB5" w:rsidP="00EC5DC9">
      <w:pPr>
        <w:ind w:left="284" w:hanging="284"/>
        <w:rPr>
          <w:rFonts w:cs="Arial"/>
          <w:sz w:val="16"/>
          <w:szCs w:val="16"/>
          <w:lang w:val="de-DE" w:eastAsia="fr-CH"/>
        </w:rPr>
      </w:pPr>
      <w:r w:rsidRPr="000770FE">
        <w:rPr>
          <w:rStyle w:val="FootnoteReference"/>
          <w:lang w:val="de-DE"/>
        </w:rPr>
        <w:footnoteRef/>
      </w:r>
      <w:r>
        <w:rPr>
          <w:sz w:val="16"/>
          <w:szCs w:val="16"/>
          <w:lang w:val="de-DE"/>
        </w:rPr>
        <w:tab/>
      </w:r>
      <w:r w:rsidRPr="00EA284C">
        <w:rPr>
          <w:sz w:val="16"/>
          <w:szCs w:val="16"/>
          <w:lang w:val="de-DE"/>
        </w:rPr>
        <w:t xml:space="preserve">„[I]st </w:t>
      </w:r>
      <w:r w:rsidRPr="00EA284C">
        <w:rPr>
          <w:rFonts w:cs="Arial"/>
          <w:sz w:val="16"/>
          <w:szCs w:val="16"/>
          <w:lang w:val="de-DE" w:eastAsia="fr-CH"/>
        </w:rPr>
        <w:t xml:space="preserve">das Merkmal für die internationale Harmonisierung von Sortenbeschreibungen wichtig (Merkmale mit Sternchen) und wird von der Umwelt beeinflußt (die meisten qualitativen und pseudoqualitativen Merkmale) </w:t>
      </w:r>
      <w:r w:rsidRPr="00EA284C">
        <w:rPr>
          <w:sz w:val="16"/>
          <w:szCs w:val="16"/>
          <w:lang w:val="de-DE"/>
        </w:rPr>
        <w:t>[…]</w:t>
      </w:r>
      <w:r w:rsidRPr="00EA284C">
        <w:rPr>
          <w:rFonts w:cs="Arial"/>
          <w:sz w:val="16"/>
          <w:szCs w:val="16"/>
          <w:lang w:val="de-DE" w:eastAsia="fr-CH"/>
        </w:rPr>
        <w:t>,</w:t>
      </w:r>
      <w:r>
        <w:rPr>
          <w:rFonts w:cs="Arial"/>
          <w:sz w:val="16"/>
          <w:szCs w:val="16"/>
          <w:lang w:val="de-DE" w:eastAsia="fr-CH"/>
        </w:rPr>
        <w:t xml:space="preserve"> </w:t>
      </w:r>
      <w:r w:rsidRPr="00EA284C">
        <w:rPr>
          <w:rFonts w:cs="Arial"/>
          <w:sz w:val="16"/>
          <w:szCs w:val="16"/>
          <w:lang w:val="de-DE" w:eastAsia="fr-CH"/>
        </w:rPr>
        <w:t>müssen Beispielssorten</w:t>
      </w:r>
      <w:r>
        <w:rPr>
          <w:rFonts w:cs="Arial"/>
          <w:sz w:val="16"/>
          <w:szCs w:val="16"/>
          <w:lang w:val="de-DE" w:eastAsia="fr-CH"/>
        </w:rPr>
        <w:t>“</w:t>
      </w:r>
      <w:r w:rsidRPr="00EA284C">
        <w:rPr>
          <w:rFonts w:cs="Arial"/>
          <w:sz w:val="16"/>
          <w:szCs w:val="16"/>
          <w:lang w:val="de-DE" w:eastAsia="fr-CH"/>
        </w:rPr>
        <w:t xml:space="preserve"> in den Prüfun</w:t>
      </w:r>
      <w:r>
        <w:rPr>
          <w:rFonts w:cs="Arial"/>
          <w:sz w:val="16"/>
          <w:szCs w:val="16"/>
          <w:lang w:val="de-DE" w:eastAsia="fr-CH"/>
        </w:rPr>
        <w:t>g</w:t>
      </w:r>
      <w:r w:rsidRPr="00EA284C">
        <w:rPr>
          <w:rFonts w:cs="Arial"/>
          <w:sz w:val="16"/>
          <w:szCs w:val="16"/>
          <w:lang w:val="de-DE" w:eastAsia="fr-CH"/>
        </w:rPr>
        <w:t>sricht</w:t>
      </w:r>
      <w:r>
        <w:rPr>
          <w:rFonts w:cs="Arial"/>
          <w:sz w:val="16"/>
          <w:szCs w:val="16"/>
          <w:lang w:val="de-DE" w:eastAsia="fr-CH"/>
        </w:rPr>
        <w:t>l</w:t>
      </w:r>
      <w:r w:rsidRPr="00EA284C">
        <w:rPr>
          <w:rFonts w:cs="Arial"/>
          <w:sz w:val="16"/>
          <w:szCs w:val="16"/>
          <w:lang w:val="de-DE" w:eastAsia="fr-CH"/>
        </w:rPr>
        <w:t xml:space="preserve">inien </w:t>
      </w:r>
      <w:r>
        <w:rPr>
          <w:rFonts w:cs="Arial"/>
          <w:sz w:val="16"/>
          <w:szCs w:val="16"/>
          <w:lang w:val="de-DE" w:eastAsia="fr-CH"/>
        </w:rPr>
        <w:t>„</w:t>
      </w:r>
      <w:r w:rsidRPr="00EA284C">
        <w:rPr>
          <w:rFonts w:cs="Arial"/>
          <w:sz w:val="16"/>
          <w:szCs w:val="16"/>
          <w:lang w:val="de-DE" w:eastAsia="fr-CH"/>
        </w:rPr>
        <w:t xml:space="preserve">bereitgestellt werden“ (vergleiche </w:t>
      </w:r>
      <w:r w:rsidRPr="00EA284C">
        <w:rPr>
          <w:sz w:val="16"/>
          <w:szCs w:val="16"/>
          <w:lang w:val="de-DE"/>
        </w:rPr>
        <w:t xml:space="preserve">Dokument TGP/7, Anlage 3, Erläuterung GN 28, </w:t>
      </w:r>
      <w:r>
        <w:rPr>
          <w:sz w:val="16"/>
          <w:szCs w:val="16"/>
          <w:lang w:val="de-DE"/>
        </w:rPr>
        <w:t>„</w:t>
      </w:r>
      <w:r w:rsidRPr="00EA284C">
        <w:rPr>
          <w:sz w:val="16"/>
          <w:szCs w:val="16"/>
          <w:lang w:val="de-DE"/>
        </w:rPr>
        <w:t>Beispielssorten</w:t>
      </w:r>
      <w:r>
        <w:rPr>
          <w:sz w:val="16"/>
          <w:szCs w:val="16"/>
          <w:lang w:val="de-DE"/>
        </w:rPr>
        <w:t>“</w:t>
      </w:r>
      <w:r w:rsidRPr="00EA284C">
        <w:rPr>
          <w:sz w:val="16"/>
          <w:szCs w:val="16"/>
          <w:lang w:val="de-DE"/>
        </w:rPr>
        <w:t>, Abschnitt</w:t>
      </w:r>
      <w:r>
        <w:rPr>
          <w:sz w:val="16"/>
          <w:szCs w:val="16"/>
          <w:lang w:val="de-DE"/>
        </w:rPr>
        <w:t> </w:t>
      </w:r>
      <w:r w:rsidRPr="00EA284C">
        <w:rPr>
          <w:sz w:val="16"/>
          <w:szCs w:val="16"/>
          <w:lang w:val="de-DE"/>
        </w:rPr>
        <w:t>3.3</w:t>
      </w:r>
      <w:r>
        <w:rPr>
          <w:sz w:val="16"/>
          <w:szCs w:val="16"/>
          <w:lang w:val="de-DE"/>
        </w:rPr>
        <w:t> </w:t>
      </w:r>
      <w:r w:rsidRPr="00EA284C">
        <w:rPr>
          <w:sz w:val="16"/>
          <w:szCs w:val="16"/>
          <w:lang w:val="de-DE"/>
        </w:rPr>
        <w:t>iii)).</w:t>
      </w:r>
    </w:p>
    <w:p w:rsidR="00574BB5" w:rsidRPr="00EA284C" w:rsidRDefault="00574BB5" w:rsidP="00EC5DC9">
      <w:pPr>
        <w:ind w:left="284"/>
        <w:rPr>
          <w:sz w:val="16"/>
          <w:szCs w:val="16"/>
          <w:lang w:val="de-DE"/>
        </w:rPr>
      </w:pPr>
      <w:r w:rsidRPr="00EA284C">
        <w:rPr>
          <w:sz w:val="16"/>
          <w:szCs w:val="16"/>
          <w:lang w:val="de-DE"/>
        </w:rPr>
        <w:t>„1.2.3</w:t>
      </w:r>
      <w:r w:rsidRPr="00EA284C">
        <w:rPr>
          <w:rFonts w:cs="Arial"/>
          <w:sz w:val="16"/>
          <w:szCs w:val="16"/>
          <w:lang w:val="de-DE"/>
        </w:rPr>
        <w:tab/>
      </w:r>
      <w:r w:rsidRPr="00EA284C">
        <w:rPr>
          <w:rFonts w:cs="Arial"/>
          <w:sz w:val="16"/>
          <w:szCs w:val="16"/>
          <w:lang w:val="de-DE" w:eastAsia="fr-CH"/>
        </w:rPr>
        <w:t xml:space="preserve">Beispielssorten sind wichtig zur möglichst genauen Adjustierung der Beschreibung der Merkmale gegenüber den Jahres- und Standorteinflüssen </w:t>
      </w:r>
      <w:r w:rsidRPr="00EA284C">
        <w:rPr>
          <w:sz w:val="16"/>
          <w:szCs w:val="16"/>
          <w:lang w:val="de-DE"/>
        </w:rPr>
        <w:t>[…]“</w:t>
      </w:r>
      <w:r w:rsidRPr="00EA284C">
        <w:rPr>
          <w:rFonts w:cs="Arial"/>
          <w:sz w:val="16"/>
          <w:szCs w:val="16"/>
          <w:lang w:val="de-DE" w:eastAsia="fr-CH"/>
        </w:rPr>
        <w:t xml:space="preserve"> </w:t>
      </w:r>
      <w:r w:rsidRPr="00EA284C">
        <w:rPr>
          <w:sz w:val="16"/>
          <w:szCs w:val="16"/>
          <w:lang w:val="de-DE"/>
        </w:rPr>
        <w:t xml:space="preserve">(vergleiche Dokument TGP/7, Anlage 3, Erläuterung GN 28, </w:t>
      </w:r>
      <w:r>
        <w:rPr>
          <w:sz w:val="16"/>
          <w:szCs w:val="16"/>
          <w:lang w:val="de-DE"/>
        </w:rPr>
        <w:t>„</w:t>
      </w:r>
      <w:r w:rsidRPr="00EA284C">
        <w:rPr>
          <w:sz w:val="16"/>
          <w:szCs w:val="16"/>
          <w:lang w:val="de-DE"/>
        </w:rPr>
        <w:t>Beispielssorten</w:t>
      </w:r>
      <w:r>
        <w:rPr>
          <w:sz w:val="16"/>
          <w:szCs w:val="16"/>
          <w:lang w:val="de-DE"/>
        </w:rPr>
        <w:t>“</w:t>
      </w:r>
      <w:r w:rsidRPr="00EA284C">
        <w:rPr>
          <w:sz w:val="16"/>
          <w:szCs w:val="16"/>
          <w:lang w:val="de-DE"/>
        </w:rPr>
        <w:t>, Abschnitt 1.2.3)</w:t>
      </w:r>
      <w:r>
        <w:rPr>
          <w:sz w:val="16"/>
          <w:szCs w:val="16"/>
          <w:lang w:val="de-D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BB5" w:rsidRPr="00C5280D" w:rsidRDefault="00574BB5" w:rsidP="00EB048E">
    <w:pPr>
      <w:pStyle w:val="Header"/>
      <w:rPr>
        <w:rStyle w:val="PageNumber"/>
        <w:lang w:val="en-US"/>
      </w:rPr>
    </w:pPr>
    <w:r>
      <w:rPr>
        <w:rStyle w:val="PageNumber"/>
        <w:lang w:val="en-US"/>
      </w:rPr>
      <w:t>TC/50/10</w:t>
    </w:r>
  </w:p>
  <w:p w:rsidR="00574BB5" w:rsidRPr="00C5280D" w:rsidRDefault="00574BB5" w:rsidP="00EB048E">
    <w:pPr>
      <w:pStyle w:val="Header"/>
      <w:rPr>
        <w:lang w:val="en-US"/>
      </w:rPr>
    </w:pPr>
    <w:r>
      <w:rPr>
        <w:lang w:val="en-US"/>
      </w:rPr>
      <w:t>Seit</w:t>
    </w:r>
    <w:r w:rsidRPr="00C5280D">
      <w:rPr>
        <w:lang w:val="en-US"/>
      </w:rPr>
      <w:t xml:space="preserve">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D1C9D">
      <w:rPr>
        <w:rStyle w:val="PageNumber"/>
        <w:noProof/>
        <w:lang w:val="en-US"/>
      </w:rPr>
      <w:t>8</w:t>
    </w:r>
    <w:r w:rsidRPr="00C5280D">
      <w:rPr>
        <w:rStyle w:val="PageNumber"/>
        <w:lang w:val="en-US"/>
      </w:rPr>
      <w:fldChar w:fldCharType="end"/>
    </w:r>
  </w:p>
  <w:p w:rsidR="00574BB5" w:rsidRPr="00C5280D" w:rsidRDefault="00574BB5"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BB5" w:rsidRDefault="00574BB5">
    <w:pPr>
      <w:pStyle w:val="Header"/>
      <w:rPr>
        <w:lang w:val="fr-CH"/>
      </w:rPr>
    </w:pPr>
    <w:r>
      <w:rPr>
        <w:lang w:val="fr-CH"/>
      </w:rPr>
      <w:t>TC/50/10</w:t>
    </w:r>
  </w:p>
  <w:p w:rsidR="00574BB5" w:rsidRDefault="00574BB5">
    <w:pPr>
      <w:pStyle w:val="Header"/>
      <w:rPr>
        <w:lang w:val="fr-CH"/>
      </w:rPr>
    </w:pPr>
  </w:p>
  <w:p w:rsidR="00574BB5" w:rsidRPr="005E2224" w:rsidRDefault="00574BB5">
    <w:pPr>
      <w:pStyle w:val="Header"/>
      <w:rPr>
        <w:lang w:val="fr-CH"/>
      </w:rPr>
    </w:pPr>
    <w:r>
      <w:rPr>
        <w:lang w:val="fr-CH"/>
      </w:rPr>
      <w:t>ANLAGE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4B7D"/>
    <w:multiLevelType w:val="hybridMultilevel"/>
    <w:tmpl w:val="88DCD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46AFE"/>
    <w:multiLevelType w:val="hybridMultilevel"/>
    <w:tmpl w:val="AD669FD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15C8453D"/>
    <w:multiLevelType w:val="hybridMultilevel"/>
    <w:tmpl w:val="C41E4350"/>
    <w:lvl w:ilvl="0" w:tplc="9EC42AF8">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A3D5BEC"/>
    <w:multiLevelType w:val="hybridMultilevel"/>
    <w:tmpl w:val="700C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B517AB"/>
    <w:multiLevelType w:val="hybridMultilevel"/>
    <w:tmpl w:val="3D0C5BA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4C731A68"/>
    <w:multiLevelType w:val="hybridMultilevel"/>
    <w:tmpl w:val="43A687AE"/>
    <w:lvl w:ilvl="0" w:tplc="BD888B3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266848"/>
    <w:multiLevelType w:val="hybridMultilevel"/>
    <w:tmpl w:val="B120A2C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7F595D9F"/>
    <w:multiLevelType w:val="hybridMultilevel"/>
    <w:tmpl w:val="F9BC4AAA"/>
    <w:lvl w:ilvl="0" w:tplc="8826A95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1"/>
  </w:num>
  <w:num w:numId="2">
    <w:abstractNumId w:val="6"/>
  </w:num>
  <w:num w:numId="3">
    <w:abstractNumId w:val="4"/>
  </w:num>
  <w:num w:numId="4">
    <w:abstractNumId w:val="2"/>
  </w:num>
  <w:num w:numId="5">
    <w:abstractNumId w:val="5"/>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B43"/>
    <w:rsid w:val="00003A0C"/>
    <w:rsid w:val="0000528D"/>
    <w:rsid w:val="00010CF3"/>
    <w:rsid w:val="00011E27"/>
    <w:rsid w:val="000126EB"/>
    <w:rsid w:val="000148BC"/>
    <w:rsid w:val="000152EF"/>
    <w:rsid w:val="0002090B"/>
    <w:rsid w:val="00024AB8"/>
    <w:rsid w:val="00030854"/>
    <w:rsid w:val="00036028"/>
    <w:rsid w:val="00044642"/>
    <w:rsid w:val="000446B9"/>
    <w:rsid w:val="00047E21"/>
    <w:rsid w:val="00050E16"/>
    <w:rsid w:val="000536A6"/>
    <w:rsid w:val="00067AEE"/>
    <w:rsid w:val="00072650"/>
    <w:rsid w:val="000770FE"/>
    <w:rsid w:val="00082B29"/>
    <w:rsid w:val="00085505"/>
    <w:rsid w:val="000A60E8"/>
    <w:rsid w:val="000C3D1E"/>
    <w:rsid w:val="000C7021"/>
    <w:rsid w:val="000D680A"/>
    <w:rsid w:val="000D6BBC"/>
    <w:rsid w:val="000D7780"/>
    <w:rsid w:val="000E0359"/>
    <w:rsid w:val="000F2F11"/>
    <w:rsid w:val="001000A7"/>
    <w:rsid w:val="00105929"/>
    <w:rsid w:val="00113080"/>
    <w:rsid w:val="001131D5"/>
    <w:rsid w:val="00114E8C"/>
    <w:rsid w:val="00122A19"/>
    <w:rsid w:val="0012327C"/>
    <w:rsid w:val="001362DE"/>
    <w:rsid w:val="00141DB8"/>
    <w:rsid w:val="0017474A"/>
    <w:rsid w:val="001758C6"/>
    <w:rsid w:val="00182B99"/>
    <w:rsid w:val="00190672"/>
    <w:rsid w:val="00195D26"/>
    <w:rsid w:val="001B3B42"/>
    <w:rsid w:val="001C43D6"/>
    <w:rsid w:val="001C4B8F"/>
    <w:rsid w:val="001C553C"/>
    <w:rsid w:val="001C56C7"/>
    <w:rsid w:val="001D2E82"/>
    <w:rsid w:val="001D4FC8"/>
    <w:rsid w:val="001D6D97"/>
    <w:rsid w:val="001E3188"/>
    <w:rsid w:val="001F065E"/>
    <w:rsid w:val="001F1B9E"/>
    <w:rsid w:val="001F4113"/>
    <w:rsid w:val="0020309F"/>
    <w:rsid w:val="002118B7"/>
    <w:rsid w:val="0021332C"/>
    <w:rsid w:val="00213982"/>
    <w:rsid w:val="002207F0"/>
    <w:rsid w:val="0022518D"/>
    <w:rsid w:val="00226419"/>
    <w:rsid w:val="00230328"/>
    <w:rsid w:val="00231086"/>
    <w:rsid w:val="00241D69"/>
    <w:rsid w:val="00241EB2"/>
    <w:rsid w:val="0024416D"/>
    <w:rsid w:val="00245FD1"/>
    <w:rsid w:val="00250679"/>
    <w:rsid w:val="002509B3"/>
    <w:rsid w:val="002529FF"/>
    <w:rsid w:val="00261FE9"/>
    <w:rsid w:val="00271911"/>
    <w:rsid w:val="002776C6"/>
    <w:rsid w:val="002800A0"/>
    <w:rsid w:val="002801B3"/>
    <w:rsid w:val="00281060"/>
    <w:rsid w:val="0028178C"/>
    <w:rsid w:val="002940E8"/>
    <w:rsid w:val="002A6E50"/>
    <w:rsid w:val="002B6C3B"/>
    <w:rsid w:val="002C02E8"/>
    <w:rsid w:val="002C256A"/>
    <w:rsid w:val="002D1075"/>
    <w:rsid w:val="002D1294"/>
    <w:rsid w:val="002E3428"/>
    <w:rsid w:val="002E4663"/>
    <w:rsid w:val="002E4E85"/>
    <w:rsid w:val="00305A7F"/>
    <w:rsid w:val="00312169"/>
    <w:rsid w:val="003152FE"/>
    <w:rsid w:val="003207D8"/>
    <w:rsid w:val="00327436"/>
    <w:rsid w:val="003367CB"/>
    <w:rsid w:val="00337B8E"/>
    <w:rsid w:val="00340861"/>
    <w:rsid w:val="00341156"/>
    <w:rsid w:val="00344BD6"/>
    <w:rsid w:val="0034686C"/>
    <w:rsid w:val="0035528D"/>
    <w:rsid w:val="00357D44"/>
    <w:rsid w:val="00361821"/>
    <w:rsid w:val="0036363A"/>
    <w:rsid w:val="003721E7"/>
    <w:rsid w:val="0037356D"/>
    <w:rsid w:val="003803EF"/>
    <w:rsid w:val="00392596"/>
    <w:rsid w:val="003A240C"/>
    <w:rsid w:val="003B0CEA"/>
    <w:rsid w:val="003C2AFD"/>
    <w:rsid w:val="003C37BC"/>
    <w:rsid w:val="003D227C"/>
    <w:rsid w:val="003D2768"/>
    <w:rsid w:val="003D2B4D"/>
    <w:rsid w:val="003D3C05"/>
    <w:rsid w:val="003F1ED5"/>
    <w:rsid w:val="003F7472"/>
    <w:rsid w:val="00400415"/>
    <w:rsid w:val="00402DA4"/>
    <w:rsid w:val="00410258"/>
    <w:rsid w:val="004211E6"/>
    <w:rsid w:val="00424C7E"/>
    <w:rsid w:val="004368E1"/>
    <w:rsid w:val="004412DF"/>
    <w:rsid w:val="00444A88"/>
    <w:rsid w:val="00462E64"/>
    <w:rsid w:val="00465430"/>
    <w:rsid w:val="00466A49"/>
    <w:rsid w:val="00467D0A"/>
    <w:rsid w:val="00473803"/>
    <w:rsid w:val="00474DA4"/>
    <w:rsid w:val="00476B4D"/>
    <w:rsid w:val="004805FA"/>
    <w:rsid w:val="004808FC"/>
    <w:rsid w:val="004816A1"/>
    <w:rsid w:val="004B017A"/>
    <w:rsid w:val="004C03DC"/>
    <w:rsid w:val="004C45BB"/>
    <w:rsid w:val="004D047D"/>
    <w:rsid w:val="004D0FBD"/>
    <w:rsid w:val="004D1C9D"/>
    <w:rsid w:val="004D1E5C"/>
    <w:rsid w:val="004D6E10"/>
    <w:rsid w:val="004E4FAC"/>
    <w:rsid w:val="004E5810"/>
    <w:rsid w:val="004E7E98"/>
    <w:rsid w:val="004F1BBE"/>
    <w:rsid w:val="004F305A"/>
    <w:rsid w:val="00505A4D"/>
    <w:rsid w:val="00505A73"/>
    <w:rsid w:val="00506C31"/>
    <w:rsid w:val="00512164"/>
    <w:rsid w:val="00520297"/>
    <w:rsid w:val="00523B95"/>
    <w:rsid w:val="00524050"/>
    <w:rsid w:val="0052617C"/>
    <w:rsid w:val="00527B14"/>
    <w:rsid w:val="005338F9"/>
    <w:rsid w:val="005379E7"/>
    <w:rsid w:val="0054281C"/>
    <w:rsid w:val="005517E6"/>
    <w:rsid w:val="0055268D"/>
    <w:rsid w:val="00552893"/>
    <w:rsid w:val="00552A3C"/>
    <w:rsid w:val="00557635"/>
    <w:rsid w:val="0056007A"/>
    <w:rsid w:val="00567D9E"/>
    <w:rsid w:val="00574BB5"/>
    <w:rsid w:val="00574BC4"/>
    <w:rsid w:val="00576BE4"/>
    <w:rsid w:val="005902CC"/>
    <w:rsid w:val="005902E4"/>
    <w:rsid w:val="005935FC"/>
    <w:rsid w:val="005A400A"/>
    <w:rsid w:val="005B50EC"/>
    <w:rsid w:val="005B601D"/>
    <w:rsid w:val="005C3E02"/>
    <w:rsid w:val="005C4236"/>
    <w:rsid w:val="005D0511"/>
    <w:rsid w:val="005D265B"/>
    <w:rsid w:val="005D41FD"/>
    <w:rsid w:val="005D4EF4"/>
    <w:rsid w:val="005D6A9B"/>
    <w:rsid w:val="005E0F66"/>
    <w:rsid w:val="005E2224"/>
    <w:rsid w:val="005E24DF"/>
    <w:rsid w:val="005E5038"/>
    <w:rsid w:val="005E5955"/>
    <w:rsid w:val="005F3D0F"/>
    <w:rsid w:val="005F3FA7"/>
    <w:rsid w:val="005F5D9D"/>
    <w:rsid w:val="00603732"/>
    <w:rsid w:val="00607DB2"/>
    <w:rsid w:val="00610D9E"/>
    <w:rsid w:val="00612379"/>
    <w:rsid w:val="00613AD4"/>
    <w:rsid w:val="00613F65"/>
    <w:rsid w:val="0061555F"/>
    <w:rsid w:val="00615E39"/>
    <w:rsid w:val="00621EE3"/>
    <w:rsid w:val="00641200"/>
    <w:rsid w:val="006518C7"/>
    <w:rsid w:val="00655FF9"/>
    <w:rsid w:val="00657ECF"/>
    <w:rsid w:val="006655D3"/>
    <w:rsid w:val="00667404"/>
    <w:rsid w:val="00672A03"/>
    <w:rsid w:val="00673A70"/>
    <w:rsid w:val="00677F0D"/>
    <w:rsid w:val="00687EB4"/>
    <w:rsid w:val="006909B4"/>
    <w:rsid w:val="00697190"/>
    <w:rsid w:val="006A4A4E"/>
    <w:rsid w:val="006B17D2"/>
    <w:rsid w:val="006C224E"/>
    <w:rsid w:val="006C6269"/>
    <w:rsid w:val="006C7BD7"/>
    <w:rsid w:val="006D780A"/>
    <w:rsid w:val="006E1AF5"/>
    <w:rsid w:val="006E3F4B"/>
    <w:rsid w:val="00704CAA"/>
    <w:rsid w:val="007135C8"/>
    <w:rsid w:val="007136F6"/>
    <w:rsid w:val="007206B2"/>
    <w:rsid w:val="00727189"/>
    <w:rsid w:val="00727F91"/>
    <w:rsid w:val="00731C8F"/>
    <w:rsid w:val="00732DEC"/>
    <w:rsid w:val="00735BD5"/>
    <w:rsid w:val="00744A9B"/>
    <w:rsid w:val="00753412"/>
    <w:rsid w:val="007556F6"/>
    <w:rsid w:val="007575C2"/>
    <w:rsid w:val="00760EEF"/>
    <w:rsid w:val="00761761"/>
    <w:rsid w:val="00764373"/>
    <w:rsid w:val="007723E0"/>
    <w:rsid w:val="00777EE5"/>
    <w:rsid w:val="00784836"/>
    <w:rsid w:val="0079023E"/>
    <w:rsid w:val="007930E0"/>
    <w:rsid w:val="00795413"/>
    <w:rsid w:val="007A2854"/>
    <w:rsid w:val="007C6459"/>
    <w:rsid w:val="007D03F7"/>
    <w:rsid w:val="007D0B9D"/>
    <w:rsid w:val="007D19B0"/>
    <w:rsid w:val="007D7752"/>
    <w:rsid w:val="007F1560"/>
    <w:rsid w:val="007F498F"/>
    <w:rsid w:val="007F6BE3"/>
    <w:rsid w:val="00803CC0"/>
    <w:rsid w:val="0080679D"/>
    <w:rsid w:val="00807AE8"/>
    <w:rsid w:val="00807F07"/>
    <w:rsid w:val="008108B0"/>
    <w:rsid w:val="00811B20"/>
    <w:rsid w:val="00815DCE"/>
    <w:rsid w:val="0081734A"/>
    <w:rsid w:val="0082296E"/>
    <w:rsid w:val="00823721"/>
    <w:rsid w:val="008239F1"/>
    <w:rsid w:val="00824099"/>
    <w:rsid w:val="008334D4"/>
    <w:rsid w:val="008358F8"/>
    <w:rsid w:val="0083744A"/>
    <w:rsid w:val="0084027D"/>
    <w:rsid w:val="00840EAA"/>
    <w:rsid w:val="00842EE6"/>
    <w:rsid w:val="008505B3"/>
    <w:rsid w:val="008539FC"/>
    <w:rsid w:val="00867AC1"/>
    <w:rsid w:val="00870232"/>
    <w:rsid w:val="00877FEA"/>
    <w:rsid w:val="00893729"/>
    <w:rsid w:val="008A743F"/>
    <w:rsid w:val="008B3E99"/>
    <w:rsid w:val="008B494D"/>
    <w:rsid w:val="008C0970"/>
    <w:rsid w:val="008C3F35"/>
    <w:rsid w:val="008C7B58"/>
    <w:rsid w:val="008D2477"/>
    <w:rsid w:val="008D2CF7"/>
    <w:rsid w:val="008E72F3"/>
    <w:rsid w:val="008E734A"/>
    <w:rsid w:val="008F289A"/>
    <w:rsid w:val="008F343B"/>
    <w:rsid w:val="00900C26"/>
    <w:rsid w:val="0090197F"/>
    <w:rsid w:val="00903632"/>
    <w:rsid w:val="00906DDC"/>
    <w:rsid w:val="00916B7C"/>
    <w:rsid w:val="009327E5"/>
    <w:rsid w:val="00932B5A"/>
    <w:rsid w:val="00934E09"/>
    <w:rsid w:val="00936253"/>
    <w:rsid w:val="009375CE"/>
    <w:rsid w:val="00941413"/>
    <w:rsid w:val="00945057"/>
    <w:rsid w:val="00950DFC"/>
    <w:rsid w:val="00952DD4"/>
    <w:rsid w:val="00955F5D"/>
    <w:rsid w:val="009628A1"/>
    <w:rsid w:val="00966A24"/>
    <w:rsid w:val="009678DE"/>
    <w:rsid w:val="00970FED"/>
    <w:rsid w:val="00974E05"/>
    <w:rsid w:val="009812EA"/>
    <w:rsid w:val="00991EEB"/>
    <w:rsid w:val="00992D82"/>
    <w:rsid w:val="0099668A"/>
    <w:rsid w:val="00997029"/>
    <w:rsid w:val="00997EA0"/>
    <w:rsid w:val="009A0C94"/>
    <w:rsid w:val="009A511D"/>
    <w:rsid w:val="009C3347"/>
    <w:rsid w:val="009D434D"/>
    <w:rsid w:val="009D690D"/>
    <w:rsid w:val="009E65B6"/>
    <w:rsid w:val="009F57BC"/>
    <w:rsid w:val="00A0388E"/>
    <w:rsid w:val="00A07556"/>
    <w:rsid w:val="00A07942"/>
    <w:rsid w:val="00A22889"/>
    <w:rsid w:val="00A24C10"/>
    <w:rsid w:val="00A27C82"/>
    <w:rsid w:val="00A30E3C"/>
    <w:rsid w:val="00A34B37"/>
    <w:rsid w:val="00A42AC3"/>
    <w:rsid w:val="00A430CF"/>
    <w:rsid w:val="00A54309"/>
    <w:rsid w:val="00A551D1"/>
    <w:rsid w:val="00A60D2A"/>
    <w:rsid w:val="00A64B7C"/>
    <w:rsid w:val="00A720FD"/>
    <w:rsid w:val="00A9076F"/>
    <w:rsid w:val="00A917C8"/>
    <w:rsid w:val="00A97474"/>
    <w:rsid w:val="00A979A8"/>
    <w:rsid w:val="00AA731D"/>
    <w:rsid w:val="00AB2B93"/>
    <w:rsid w:val="00AB45C3"/>
    <w:rsid w:val="00AB530F"/>
    <w:rsid w:val="00AB7E5B"/>
    <w:rsid w:val="00AC145E"/>
    <w:rsid w:val="00AE0E09"/>
    <w:rsid w:val="00AE0EF1"/>
    <w:rsid w:val="00AE2937"/>
    <w:rsid w:val="00AE4953"/>
    <w:rsid w:val="00AE7054"/>
    <w:rsid w:val="00AF7303"/>
    <w:rsid w:val="00B01663"/>
    <w:rsid w:val="00B07301"/>
    <w:rsid w:val="00B07425"/>
    <w:rsid w:val="00B224DE"/>
    <w:rsid w:val="00B226AC"/>
    <w:rsid w:val="00B252EB"/>
    <w:rsid w:val="00B26C27"/>
    <w:rsid w:val="00B27EAD"/>
    <w:rsid w:val="00B34C30"/>
    <w:rsid w:val="00B46575"/>
    <w:rsid w:val="00B56D48"/>
    <w:rsid w:val="00B61B03"/>
    <w:rsid w:val="00B81DB7"/>
    <w:rsid w:val="00B833B2"/>
    <w:rsid w:val="00B84BBD"/>
    <w:rsid w:val="00B945DE"/>
    <w:rsid w:val="00B94604"/>
    <w:rsid w:val="00B94A4D"/>
    <w:rsid w:val="00BA1947"/>
    <w:rsid w:val="00BA43FB"/>
    <w:rsid w:val="00BC127D"/>
    <w:rsid w:val="00BC1FE6"/>
    <w:rsid w:val="00BC76A2"/>
    <w:rsid w:val="00BD1A54"/>
    <w:rsid w:val="00BD7BAB"/>
    <w:rsid w:val="00BF3941"/>
    <w:rsid w:val="00BF697B"/>
    <w:rsid w:val="00C061B6"/>
    <w:rsid w:val="00C11080"/>
    <w:rsid w:val="00C121BC"/>
    <w:rsid w:val="00C14689"/>
    <w:rsid w:val="00C2446C"/>
    <w:rsid w:val="00C262B0"/>
    <w:rsid w:val="00C3168D"/>
    <w:rsid w:val="00C34326"/>
    <w:rsid w:val="00C36AE5"/>
    <w:rsid w:val="00C41F17"/>
    <w:rsid w:val="00C47C71"/>
    <w:rsid w:val="00C5280D"/>
    <w:rsid w:val="00C54D70"/>
    <w:rsid w:val="00C5791C"/>
    <w:rsid w:val="00C66290"/>
    <w:rsid w:val="00C70F47"/>
    <w:rsid w:val="00C72B7A"/>
    <w:rsid w:val="00C75FF4"/>
    <w:rsid w:val="00C8693D"/>
    <w:rsid w:val="00C973F2"/>
    <w:rsid w:val="00CA06CC"/>
    <w:rsid w:val="00CA304C"/>
    <w:rsid w:val="00CA449D"/>
    <w:rsid w:val="00CA774A"/>
    <w:rsid w:val="00CC11B0"/>
    <w:rsid w:val="00CC4EA0"/>
    <w:rsid w:val="00CD1206"/>
    <w:rsid w:val="00CD366F"/>
    <w:rsid w:val="00CD405B"/>
    <w:rsid w:val="00CD54A9"/>
    <w:rsid w:val="00CE1419"/>
    <w:rsid w:val="00CE4195"/>
    <w:rsid w:val="00CE63AE"/>
    <w:rsid w:val="00CE767B"/>
    <w:rsid w:val="00CF3566"/>
    <w:rsid w:val="00CF7E36"/>
    <w:rsid w:val="00D0002A"/>
    <w:rsid w:val="00D070FD"/>
    <w:rsid w:val="00D07B04"/>
    <w:rsid w:val="00D135ED"/>
    <w:rsid w:val="00D21BC8"/>
    <w:rsid w:val="00D24E8D"/>
    <w:rsid w:val="00D3708D"/>
    <w:rsid w:val="00D372D6"/>
    <w:rsid w:val="00D40426"/>
    <w:rsid w:val="00D41A77"/>
    <w:rsid w:val="00D42DCE"/>
    <w:rsid w:val="00D51088"/>
    <w:rsid w:val="00D57C96"/>
    <w:rsid w:val="00D60F2E"/>
    <w:rsid w:val="00D61804"/>
    <w:rsid w:val="00D91203"/>
    <w:rsid w:val="00D9403C"/>
    <w:rsid w:val="00D95174"/>
    <w:rsid w:val="00D9733D"/>
    <w:rsid w:val="00DA0863"/>
    <w:rsid w:val="00DA4E6C"/>
    <w:rsid w:val="00DA6F36"/>
    <w:rsid w:val="00DB0B54"/>
    <w:rsid w:val="00DB245A"/>
    <w:rsid w:val="00DB2E18"/>
    <w:rsid w:val="00DB596E"/>
    <w:rsid w:val="00DB7773"/>
    <w:rsid w:val="00DC00EA"/>
    <w:rsid w:val="00DC42A0"/>
    <w:rsid w:val="00DC62FC"/>
    <w:rsid w:val="00DC766F"/>
    <w:rsid w:val="00E011AF"/>
    <w:rsid w:val="00E07B43"/>
    <w:rsid w:val="00E32F7E"/>
    <w:rsid w:val="00E376C5"/>
    <w:rsid w:val="00E378AF"/>
    <w:rsid w:val="00E4080D"/>
    <w:rsid w:val="00E54319"/>
    <w:rsid w:val="00E55D39"/>
    <w:rsid w:val="00E63766"/>
    <w:rsid w:val="00E64645"/>
    <w:rsid w:val="00E72D49"/>
    <w:rsid w:val="00E7593C"/>
    <w:rsid w:val="00E7627F"/>
    <w:rsid w:val="00E7678A"/>
    <w:rsid w:val="00E76CDC"/>
    <w:rsid w:val="00E7765C"/>
    <w:rsid w:val="00E91E3B"/>
    <w:rsid w:val="00E9274B"/>
    <w:rsid w:val="00E935F1"/>
    <w:rsid w:val="00E94A81"/>
    <w:rsid w:val="00EA1FFB"/>
    <w:rsid w:val="00EA284C"/>
    <w:rsid w:val="00EA50D3"/>
    <w:rsid w:val="00EA57F8"/>
    <w:rsid w:val="00EB048E"/>
    <w:rsid w:val="00EB77D0"/>
    <w:rsid w:val="00EC24BF"/>
    <w:rsid w:val="00EC4D87"/>
    <w:rsid w:val="00EC5DC9"/>
    <w:rsid w:val="00ED63BD"/>
    <w:rsid w:val="00EE34DF"/>
    <w:rsid w:val="00EF2F89"/>
    <w:rsid w:val="00EF3DD3"/>
    <w:rsid w:val="00EF6ABE"/>
    <w:rsid w:val="00F0027E"/>
    <w:rsid w:val="00F00BB7"/>
    <w:rsid w:val="00F1237A"/>
    <w:rsid w:val="00F22CBD"/>
    <w:rsid w:val="00F23E20"/>
    <w:rsid w:val="00F27C33"/>
    <w:rsid w:val="00F345D5"/>
    <w:rsid w:val="00F45372"/>
    <w:rsid w:val="00F46225"/>
    <w:rsid w:val="00F50671"/>
    <w:rsid w:val="00F560F7"/>
    <w:rsid w:val="00F6334D"/>
    <w:rsid w:val="00F70FE9"/>
    <w:rsid w:val="00FA49AB"/>
    <w:rsid w:val="00FA5BBD"/>
    <w:rsid w:val="00FC4145"/>
    <w:rsid w:val="00FD2B43"/>
    <w:rsid w:val="00FD4341"/>
    <w:rsid w:val="00FE39C7"/>
    <w:rsid w:val="00FE3D2C"/>
    <w:rsid w:val="00FF29BB"/>
    <w:rsid w:val="00FF341C"/>
    <w:rsid w:val="00FF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135ED"/>
    <w:pPr>
      <w:keepNext/>
      <w:outlineLvl w:val="0"/>
    </w:pPr>
    <w:rPr>
      <w:rFonts w:ascii="Arial" w:hAnsi="Arial"/>
      <w:caps/>
    </w:rPr>
  </w:style>
  <w:style w:type="paragraph" w:styleId="Heading2">
    <w:name w:val="heading 2"/>
    <w:next w:val="Normal"/>
    <w:link w:val="Heading2Char"/>
    <w:autoRedefine/>
    <w:qFormat/>
    <w:rsid w:val="006A4A4E"/>
    <w:pPr>
      <w:keepNext/>
      <w:jc w:val="both"/>
      <w:outlineLvl w:val="1"/>
    </w:pPr>
    <w:rPr>
      <w:rFonts w:ascii="Arial" w:hAnsi="Arial"/>
      <w:u w:val="single"/>
    </w:rPr>
  </w:style>
  <w:style w:type="paragraph" w:styleId="Heading3">
    <w:name w:val="heading 3"/>
    <w:next w:val="Normal"/>
    <w:autoRedefine/>
    <w:qFormat/>
    <w:rsid w:val="00574BB5"/>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7">
    <w:name w:val="heading 7"/>
    <w:basedOn w:val="Normal"/>
    <w:next w:val="Normal"/>
    <w:link w:val="Heading7Char"/>
    <w:semiHidden/>
    <w:unhideWhenUsed/>
    <w:qFormat/>
    <w:rsid w:val="007C6459"/>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678DE"/>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4816A1"/>
    <w:pPr>
      <w:tabs>
        <w:tab w:val="right" w:leader="dot" w:pos="9639"/>
      </w:tabs>
      <w:spacing w:before="120"/>
      <w:ind w:left="568" w:right="851" w:hanging="284"/>
      <w:contextualSpacing/>
    </w:pPr>
    <w:rPr>
      <w:rFonts w:ascii="Arial" w:hAnsi="Arial"/>
      <w:smallCaps/>
    </w:rPr>
  </w:style>
  <w:style w:type="paragraph" w:styleId="TOC3">
    <w:name w:val="toc 3"/>
    <w:next w:val="Normal"/>
    <w:autoRedefine/>
    <w:uiPriority w:val="39"/>
    <w:rsid w:val="004816A1"/>
    <w:pPr>
      <w:tabs>
        <w:tab w:val="right" w:leader="dot" w:pos="9639"/>
      </w:tabs>
      <w:spacing w:before="120"/>
      <w:ind w:left="964" w:right="851" w:hanging="396"/>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4816A1"/>
    <w:pPr>
      <w:tabs>
        <w:tab w:val="left" w:pos="454"/>
        <w:tab w:val="right" w:leader="dot" w:pos="9639"/>
      </w:tabs>
      <w:spacing w:before="120"/>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FootnoteTextChar">
    <w:name w:val="Footnote Text Char"/>
    <w:link w:val="FootnoteText"/>
    <w:rsid w:val="009678DE"/>
    <w:rPr>
      <w:rFonts w:ascii="Arial" w:hAnsi="Arial"/>
      <w:sz w:val="16"/>
    </w:rPr>
  </w:style>
  <w:style w:type="paragraph" w:styleId="CommentText">
    <w:name w:val="annotation text"/>
    <w:basedOn w:val="Normal"/>
    <w:link w:val="CommentTextChar"/>
    <w:unhideWhenUsed/>
    <w:rsid w:val="007930E0"/>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7930E0"/>
    <w:rPr>
      <w:sz w:val="22"/>
      <w:szCs w:val="22"/>
      <w:lang w:eastAsia="ja-JP"/>
    </w:rPr>
  </w:style>
  <w:style w:type="character" w:customStyle="1" w:styleId="Heading7Char">
    <w:name w:val="Heading 7 Char"/>
    <w:basedOn w:val="DefaultParagraphFont"/>
    <w:link w:val="Heading7"/>
    <w:semiHidden/>
    <w:rsid w:val="007C6459"/>
    <w:rPr>
      <w:rFonts w:asciiTheme="majorHAnsi" w:eastAsiaTheme="majorEastAsia" w:hAnsiTheme="majorHAnsi" w:cstheme="majorBidi"/>
      <w:i/>
      <w:iCs/>
      <w:color w:val="404040" w:themeColor="text1" w:themeTint="BF"/>
    </w:rPr>
  </w:style>
  <w:style w:type="character" w:customStyle="1" w:styleId="DecisionParagraphsChar">
    <w:name w:val="DecisionParagraphs Char"/>
    <w:basedOn w:val="DefaultParagraphFont"/>
    <w:link w:val="DecisionParagraphs"/>
    <w:rsid w:val="001C553C"/>
    <w:rPr>
      <w:rFonts w:ascii="Arial" w:hAnsi="Arial"/>
      <w:i/>
    </w:rPr>
  </w:style>
  <w:style w:type="paragraph" w:styleId="ListParagraph">
    <w:name w:val="List Paragraph"/>
    <w:basedOn w:val="Normal"/>
    <w:uiPriority w:val="34"/>
    <w:qFormat/>
    <w:rsid w:val="00337B8E"/>
    <w:pPr>
      <w:ind w:left="720"/>
      <w:contextualSpacing/>
    </w:pPr>
  </w:style>
  <w:style w:type="paragraph" w:styleId="TOCHeading">
    <w:name w:val="TOC Heading"/>
    <w:basedOn w:val="Heading1"/>
    <w:next w:val="Normal"/>
    <w:uiPriority w:val="39"/>
    <w:unhideWhenUsed/>
    <w:qFormat/>
    <w:rsid w:val="00574BC4"/>
    <w:pPr>
      <w:keepLines/>
      <w:spacing w:before="480" w:line="276" w:lineRule="auto"/>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ing2Char">
    <w:name w:val="Heading 2 Char"/>
    <w:link w:val="Heading2"/>
    <w:rsid w:val="006A4A4E"/>
    <w:rPr>
      <w:rFonts w:ascii="Arial" w:hAnsi="Arial"/>
      <w:u w:val="single"/>
    </w:rPr>
  </w:style>
  <w:style w:type="table" w:styleId="TableGrid">
    <w:name w:val="Table Grid"/>
    <w:basedOn w:val="TableNormal"/>
    <w:rsid w:val="00842E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basedOn w:val="DefaultParagraphFont"/>
    <w:uiPriority w:val="33"/>
    <w:qFormat/>
    <w:rsid w:val="004D6E10"/>
    <w:rPr>
      <w:b w:val="0"/>
      <w:bCs/>
      <w:smallCaps/>
      <w:spacing w:val="5"/>
    </w:rPr>
  </w:style>
  <w:style w:type="character" w:styleId="FollowedHyperlink">
    <w:name w:val="FollowedHyperlink"/>
    <w:basedOn w:val="DefaultParagraphFont"/>
    <w:rsid w:val="00AE495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135ED"/>
    <w:pPr>
      <w:keepNext/>
      <w:outlineLvl w:val="0"/>
    </w:pPr>
    <w:rPr>
      <w:rFonts w:ascii="Arial" w:hAnsi="Arial"/>
      <w:caps/>
    </w:rPr>
  </w:style>
  <w:style w:type="paragraph" w:styleId="Heading2">
    <w:name w:val="heading 2"/>
    <w:next w:val="Normal"/>
    <w:link w:val="Heading2Char"/>
    <w:autoRedefine/>
    <w:qFormat/>
    <w:rsid w:val="006A4A4E"/>
    <w:pPr>
      <w:keepNext/>
      <w:jc w:val="both"/>
      <w:outlineLvl w:val="1"/>
    </w:pPr>
    <w:rPr>
      <w:rFonts w:ascii="Arial" w:hAnsi="Arial"/>
      <w:u w:val="single"/>
    </w:rPr>
  </w:style>
  <w:style w:type="paragraph" w:styleId="Heading3">
    <w:name w:val="heading 3"/>
    <w:next w:val="Normal"/>
    <w:autoRedefine/>
    <w:qFormat/>
    <w:rsid w:val="00574BB5"/>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7">
    <w:name w:val="heading 7"/>
    <w:basedOn w:val="Normal"/>
    <w:next w:val="Normal"/>
    <w:link w:val="Heading7Char"/>
    <w:semiHidden/>
    <w:unhideWhenUsed/>
    <w:qFormat/>
    <w:rsid w:val="007C6459"/>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678DE"/>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4816A1"/>
    <w:pPr>
      <w:tabs>
        <w:tab w:val="right" w:leader="dot" w:pos="9639"/>
      </w:tabs>
      <w:spacing w:before="120"/>
      <w:ind w:left="568" w:right="851" w:hanging="284"/>
      <w:contextualSpacing/>
    </w:pPr>
    <w:rPr>
      <w:rFonts w:ascii="Arial" w:hAnsi="Arial"/>
      <w:smallCaps/>
    </w:rPr>
  </w:style>
  <w:style w:type="paragraph" w:styleId="TOC3">
    <w:name w:val="toc 3"/>
    <w:next w:val="Normal"/>
    <w:autoRedefine/>
    <w:uiPriority w:val="39"/>
    <w:rsid w:val="004816A1"/>
    <w:pPr>
      <w:tabs>
        <w:tab w:val="right" w:leader="dot" w:pos="9639"/>
      </w:tabs>
      <w:spacing w:before="120"/>
      <w:ind w:left="964" w:right="851" w:hanging="396"/>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4816A1"/>
    <w:pPr>
      <w:tabs>
        <w:tab w:val="left" w:pos="454"/>
        <w:tab w:val="right" w:leader="dot" w:pos="9639"/>
      </w:tabs>
      <w:spacing w:before="120"/>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FootnoteTextChar">
    <w:name w:val="Footnote Text Char"/>
    <w:link w:val="FootnoteText"/>
    <w:rsid w:val="009678DE"/>
    <w:rPr>
      <w:rFonts w:ascii="Arial" w:hAnsi="Arial"/>
      <w:sz w:val="16"/>
    </w:rPr>
  </w:style>
  <w:style w:type="paragraph" w:styleId="CommentText">
    <w:name w:val="annotation text"/>
    <w:basedOn w:val="Normal"/>
    <w:link w:val="CommentTextChar"/>
    <w:unhideWhenUsed/>
    <w:rsid w:val="007930E0"/>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7930E0"/>
    <w:rPr>
      <w:sz w:val="22"/>
      <w:szCs w:val="22"/>
      <w:lang w:eastAsia="ja-JP"/>
    </w:rPr>
  </w:style>
  <w:style w:type="character" w:customStyle="1" w:styleId="Heading7Char">
    <w:name w:val="Heading 7 Char"/>
    <w:basedOn w:val="DefaultParagraphFont"/>
    <w:link w:val="Heading7"/>
    <w:semiHidden/>
    <w:rsid w:val="007C6459"/>
    <w:rPr>
      <w:rFonts w:asciiTheme="majorHAnsi" w:eastAsiaTheme="majorEastAsia" w:hAnsiTheme="majorHAnsi" w:cstheme="majorBidi"/>
      <w:i/>
      <w:iCs/>
      <w:color w:val="404040" w:themeColor="text1" w:themeTint="BF"/>
    </w:rPr>
  </w:style>
  <w:style w:type="character" w:customStyle="1" w:styleId="DecisionParagraphsChar">
    <w:name w:val="DecisionParagraphs Char"/>
    <w:basedOn w:val="DefaultParagraphFont"/>
    <w:link w:val="DecisionParagraphs"/>
    <w:rsid w:val="001C553C"/>
    <w:rPr>
      <w:rFonts w:ascii="Arial" w:hAnsi="Arial"/>
      <w:i/>
    </w:rPr>
  </w:style>
  <w:style w:type="paragraph" w:styleId="ListParagraph">
    <w:name w:val="List Paragraph"/>
    <w:basedOn w:val="Normal"/>
    <w:uiPriority w:val="34"/>
    <w:qFormat/>
    <w:rsid w:val="00337B8E"/>
    <w:pPr>
      <w:ind w:left="720"/>
      <w:contextualSpacing/>
    </w:pPr>
  </w:style>
  <w:style w:type="paragraph" w:styleId="TOCHeading">
    <w:name w:val="TOC Heading"/>
    <w:basedOn w:val="Heading1"/>
    <w:next w:val="Normal"/>
    <w:uiPriority w:val="39"/>
    <w:unhideWhenUsed/>
    <w:qFormat/>
    <w:rsid w:val="00574BC4"/>
    <w:pPr>
      <w:keepLines/>
      <w:spacing w:before="480" w:line="276" w:lineRule="auto"/>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ing2Char">
    <w:name w:val="Heading 2 Char"/>
    <w:link w:val="Heading2"/>
    <w:rsid w:val="006A4A4E"/>
    <w:rPr>
      <w:rFonts w:ascii="Arial" w:hAnsi="Arial"/>
      <w:u w:val="single"/>
    </w:rPr>
  </w:style>
  <w:style w:type="table" w:styleId="TableGrid">
    <w:name w:val="Table Grid"/>
    <w:basedOn w:val="TableNormal"/>
    <w:rsid w:val="00842E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basedOn w:val="DefaultParagraphFont"/>
    <w:uiPriority w:val="33"/>
    <w:qFormat/>
    <w:rsid w:val="004D6E10"/>
    <w:rPr>
      <w:b w:val="0"/>
      <w:bCs/>
      <w:smallCaps/>
      <w:spacing w:val="5"/>
    </w:rPr>
  </w:style>
  <w:style w:type="character" w:styleId="FollowedHyperlink">
    <w:name w:val="FollowedHyperlink"/>
    <w:basedOn w:val="DefaultParagraphFont"/>
    <w:rsid w:val="00AE49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28983">
      <w:bodyDiv w:val="1"/>
      <w:marLeft w:val="0"/>
      <w:marRight w:val="0"/>
      <w:marTop w:val="0"/>
      <w:marBottom w:val="0"/>
      <w:divBdr>
        <w:top w:val="none" w:sz="0" w:space="0" w:color="auto"/>
        <w:left w:val="none" w:sz="0" w:space="0" w:color="auto"/>
        <w:bottom w:val="none" w:sz="0" w:space="0" w:color="auto"/>
        <w:right w:val="none" w:sz="0" w:space="0" w:color="auto"/>
      </w:divBdr>
      <w:divsChild>
        <w:div w:id="1324970176">
          <w:marLeft w:val="0"/>
          <w:marRight w:val="0"/>
          <w:marTop w:val="0"/>
          <w:marBottom w:val="0"/>
          <w:divBdr>
            <w:top w:val="none" w:sz="0" w:space="0" w:color="auto"/>
            <w:left w:val="none" w:sz="0" w:space="0" w:color="auto"/>
            <w:bottom w:val="none" w:sz="0" w:space="0" w:color="auto"/>
            <w:right w:val="none" w:sz="0" w:space="0" w:color="auto"/>
          </w:divBdr>
        </w:div>
        <w:div w:id="541283073">
          <w:marLeft w:val="0"/>
          <w:marRight w:val="0"/>
          <w:marTop w:val="0"/>
          <w:marBottom w:val="0"/>
          <w:divBdr>
            <w:top w:val="none" w:sz="0" w:space="0" w:color="auto"/>
            <w:left w:val="none" w:sz="0" w:space="0" w:color="auto"/>
            <w:bottom w:val="none" w:sz="0" w:space="0" w:color="auto"/>
            <w:right w:val="none" w:sz="0" w:space="0" w:color="auto"/>
          </w:divBdr>
        </w:div>
        <w:div w:id="1919824791">
          <w:marLeft w:val="0"/>
          <w:marRight w:val="0"/>
          <w:marTop w:val="0"/>
          <w:marBottom w:val="0"/>
          <w:divBdr>
            <w:top w:val="none" w:sz="0" w:space="0" w:color="auto"/>
            <w:left w:val="none" w:sz="0" w:space="0" w:color="auto"/>
            <w:bottom w:val="none" w:sz="0" w:space="0" w:color="auto"/>
            <w:right w:val="none" w:sz="0" w:space="0" w:color="auto"/>
          </w:divBdr>
        </w:div>
        <w:div w:id="968242783">
          <w:marLeft w:val="0"/>
          <w:marRight w:val="0"/>
          <w:marTop w:val="0"/>
          <w:marBottom w:val="0"/>
          <w:divBdr>
            <w:top w:val="none" w:sz="0" w:space="0" w:color="auto"/>
            <w:left w:val="none" w:sz="0" w:space="0" w:color="auto"/>
            <w:bottom w:val="none" w:sz="0" w:space="0" w:color="auto"/>
            <w:right w:val="none" w:sz="0" w:space="0" w:color="auto"/>
          </w:divBdr>
        </w:div>
        <w:div w:id="1751581041">
          <w:marLeft w:val="0"/>
          <w:marRight w:val="0"/>
          <w:marTop w:val="0"/>
          <w:marBottom w:val="0"/>
          <w:divBdr>
            <w:top w:val="none" w:sz="0" w:space="0" w:color="auto"/>
            <w:left w:val="none" w:sz="0" w:space="0" w:color="auto"/>
            <w:bottom w:val="none" w:sz="0" w:space="0" w:color="auto"/>
            <w:right w:val="none" w:sz="0" w:space="0" w:color="auto"/>
          </w:divBdr>
        </w:div>
        <w:div w:id="1490170651">
          <w:marLeft w:val="0"/>
          <w:marRight w:val="0"/>
          <w:marTop w:val="0"/>
          <w:marBottom w:val="0"/>
          <w:divBdr>
            <w:top w:val="none" w:sz="0" w:space="0" w:color="auto"/>
            <w:left w:val="none" w:sz="0" w:space="0" w:color="auto"/>
            <w:bottom w:val="none" w:sz="0" w:space="0" w:color="auto"/>
            <w:right w:val="none" w:sz="0" w:space="0" w:color="auto"/>
          </w:divBdr>
        </w:div>
        <w:div w:id="809708081">
          <w:marLeft w:val="0"/>
          <w:marRight w:val="0"/>
          <w:marTop w:val="0"/>
          <w:marBottom w:val="0"/>
          <w:divBdr>
            <w:top w:val="none" w:sz="0" w:space="0" w:color="auto"/>
            <w:left w:val="none" w:sz="0" w:space="0" w:color="auto"/>
            <w:bottom w:val="none" w:sz="0" w:space="0" w:color="auto"/>
            <w:right w:val="none" w:sz="0" w:space="0" w:color="auto"/>
          </w:divBdr>
        </w:div>
        <w:div w:id="767579865">
          <w:marLeft w:val="0"/>
          <w:marRight w:val="0"/>
          <w:marTop w:val="0"/>
          <w:marBottom w:val="0"/>
          <w:divBdr>
            <w:top w:val="none" w:sz="0" w:space="0" w:color="auto"/>
            <w:left w:val="none" w:sz="0" w:space="0" w:color="auto"/>
            <w:bottom w:val="none" w:sz="0" w:space="0" w:color="auto"/>
            <w:right w:val="none" w:sz="0" w:space="0" w:color="auto"/>
          </w:divBdr>
        </w:div>
        <w:div w:id="1922836002">
          <w:marLeft w:val="0"/>
          <w:marRight w:val="0"/>
          <w:marTop w:val="0"/>
          <w:marBottom w:val="0"/>
          <w:divBdr>
            <w:top w:val="none" w:sz="0" w:space="0" w:color="auto"/>
            <w:left w:val="none" w:sz="0" w:space="0" w:color="auto"/>
            <w:bottom w:val="none" w:sz="0" w:space="0" w:color="auto"/>
            <w:right w:val="none" w:sz="0" w:space="0" w:color="auto"/>
          </w:divBdr>
        </w:div>
        <w:div w:id="1983579981">
          <w:marLeft w:val="0"/>
          <w:marRight w:val="0"/>
          <w:marTop w:val="0"/>
          <w:marBottom w:val="0"/>
          <w:divBdr>
            <w:top w:val="none" w:sz="0" w:space="0" w:color="auto"/>
            <w:left w:val="none" w:sz="0" w:space="0" w:color="auto"/>
            <w:bottom w:val="none" w:sz="0" w:space="0" w:color="auto"/>
            <w:right w:val="none" w:sz="0" w:space="0" w:color="auto"/>
          </w:divBdr>
        </w:div>
      </w:divsChild>
    </w:div>
    <w:div w:id="405805782">
      <w:bodyDiv w:val="1"/>
      <w:marLeft w:val="0"/>
      <w:marRight w:val="0"/>
      <w:marTop w:val="0"/>
      <w:marBottom w:val="0"/>
      <w:divBdr>
        <w:top w:val="none" w:sz="0" w:space="0" w:color="auto"/>
        <w:left w:val="none" w:sz="0" w:space="0" w:color="auto"/>
        <w:bottom w:val="none" w:sz="0" w:space="0" w:color="auto"/>
        <w:right w:val="none" w:sz="0" w:space="0" w:color="auto"/>
      </w:divBdr>
      <w:divsChild>
        <w:div w:id="152725053">
          <w:marLeft w:val="0"/>
          <w:marRight w:val="0"/>
          <w:marTop w:val="0"/>
          <w:marBottom w:val="0"/>
          <w:divBdr>
            <w:top w:val="none" w:sz="0" w:space="0" w:color="auto"/>
            <w:left w:val="none" w:sz="0" w:space="0" w:color="auto"/>
            <w:bottom w:val="none" w:sz="0" w:space="0" w:color="auto"/>
            <w:right w:val="none" w:sz="0" w:space="0" w:color="auto"/>
          </w:divBdr>
        </w:div>
        <w:div w:id="1714959984">
          <w:marLeft w:val="0"/>
          <w:marRight w:val="0"/>
          <w:marTop w:val="0"/>
          <w:marBottom w:val="0"/>
          <w:divBdr>
            <w:top w:val="none" w:sz="0" w:space="0" w:color="auto"/>
            <w:left w:val="none" w:sz="0" w:space="0" w:color="auto"/>
            <w:bottom w:val="none" w:sz="0" w:space="0" w:color="auto"/>
            <w:right w:val="none" w:sz="0" w:space="0" w:color="auto"/>
          </w:divBdr>
        </w:div>
        <w:div w:id="2140757389">
          <w:marLeft w:val="0"/>
          <w:marRight w:val="0"/>
          <w:marTop w:val="0"/>
          <w:marBottom w:val="0"/>
          <w:divBdr>
            <w:top w:val="none" w:sz="0" w:space="0" w:color="auto"/>
            <w:left w:val="none" w:sz="0" w:space="0" w:color="auto"/>
            <w:bottom w:val="none" w:sz="0" w:space="0" w:color="auto"/>
            <w:right w:val="none" w:sz="0" w:space="0" w:color="auto"/>
          </w:divBdr>
        </w:div>
        <w:div w:id="64303835">
          <w:marLeft w:val="0"/>
          <w:marRight w:val="0"/>
          <w:marTop w:val="0"/>
          <w:marBottom w:val="0"/>
          <w:divBdr>
            <w:top w:val="none" w:sz="0" w:space="0" w:color="auto"/>
            <w:left w:val="none" w:sz="0" w:space="0" w:color="auto"/>
            <w:bottom w:val="none" w:sz="0" w:space="0" w:color="auto"/>
            <w:right w:val="none" w:sz="0" w:space="0" w:color="auto"/>
          </w:divBdr>
        </w:div>
      </w:divsChild>
    </w:div>
    <w:div w:id="443117779">
      <w:bodyDiv w:val="1"/>
      <w:marLeft w:val="0"/>
      <w:marRight w:val="0"/>
      <w:marTop w:val="0"/>
      <w:marBottom w:val="0"/>
      <w:divBdr>
        <w:top w:val="none" w:sz="0" w:space="0" w:color="auto"/>
        <w:left w:val="none" w:sz="0" w:space="0" w:color="auto"/>
        <w:bottom w:val="none" w:sz="0" w:space="0" w:color="auto"/>
        <w:right w:val="none" w:sz="0" w:space="0" w:color="auto"/>
      </w:divBdr>
      <w:divsChild>
        <w:div w:id="416558894">
          <w:marLeft w:val="0"/>
          <w:marRight w:val="0"/>
          <w:marTop w:val="0"/>
          <w:marBottom w:val="0"/>
          <w:divBdr>
            <w:top w:val="none" w:sz="0" w:space="0" w:color="auto"/>
            <w:left w:val="none" w:sz="0" w:space="0" w:color="auto"/>
            <w:bottom w:val="none" w:sz="0" w:space="0" w:color="auto"/>
            <w:right w:val="none" w:sz="0" w:space="0" w:color="auto"/>
          </w:divBdr>
        </w:div>
        <w:div w:id="85736316">
          <w:marLeft w:val="0"/>
          <w:marRight w:val="0"/>
          <w:marTop w:val="0"/>
          <w:marBottom w:val="0"/>
          <w:divBdr>
            <w:top w:val="none" w:sz="0" w:space="0" w:color="auto"/>
            <w:left w:val="none" w:sz="0" w:space="0" w:color="auto"/>
            <w:bottom w:val="none" w:sz="0" w:space="0" w:color="auto"/>
            <w:right w:val="none" w:sz="0" w:space="0" w:color="auto"/>
          </w:divBdr>
        </w:div>
        <w:div w:id="216018650">
          <w:marLeft w:val="0"/>
          <w:marRight w:val="0"/>
          <w:marTop w:val="0"/>
          <w:marBottom w:val="0"/>
          <w:divBdr>
            <w:top w:val="none" w:sz="0" w:space="0" w:color="auto"/>
            <w:left w:val="none" w:sz="0" w:space="0" w:color="auto"/>
            <w:bottom w:val="none" w:sz="0" w:space="0" w:color="auto"/>
            <w:right w:val="none" w:sz="0" w:space="0" w:color="auto"/>
          </w:divBdr>
        </w:div>
        <w:div w:id="115411736">
          <w:marLeft w:val="0"/>
          <w:marRight w:val="0"/>
          <w:marTop w:val="0"/>
          <w:marBottom w:val="0"/>
          <w:divBdr>
            <w:top w:val="none" w:sz="0" w:space="0" w:color="auto"/>
            <w:left w:val="none" w:sz="0" w:space="0" w:color="auto"/>
            <w:bottom w:val="none" w:sz="0" w:space="0" w:color="auto"/>
            <w:right w:val="none" w:sz="0" w:space="0" w:color="auto"/>
          </w:divBdr>
        </w:div>
      </w:divsChild>
    </w:div>
    <w:div w:id="694884734">
      <w:bodyDiv w:val="1"/>
      <w:marLeft w:val="0"/>
      <w:marRight w:val="0"/>
      <w:marTop w:val="0"/>
      <w:marBottom w:val="0"/>
      <w:divBdr>
        <w:top w:val="none" w:sz="0" w:space="0" w:color="auto"/>
        <w:left w:val="none" w:sz="0" w:space="0" w:color="auto"/>
        <w:bottom w:val="none" w:sz="0" w:space="0" w:color="auto"/>
        <w:right w:val="none" w:sz="0" w:space="0" w:color="auto"/>
      </w:divBdr>
      <w:divsChild>
        <w:div w:id="1542858491">
          <w:marLeft w:val="0"/>
          <w:marRight w:val="0"/>
          <w:marTop w:val="0"/>
          <w:marBottom w:val="0"/>
          <w:divBdr>
            <w:top w:val="none" w:sz="0" w:space="0" w:color="auto"/>
            <w:left w:val="none" w:sz="0" w:space="0" w:color="auto"/>
            <w:bottom w:val="none" w:sz="0" w:space="0" w:color="auto"/>
            <w:right w:val="none" w:sz="0" w:space="0" w:color="auto"/>
          </w:divBdr>
        </w:div>
        <w:div w:id="1940213035">
          <w:marLeft w:val="0"/>
          <w:marRight w:val="0"/>
          <w:marTop w:val="0"/>
          <w:marBottom w:val="0"/>
          <w:divBdr>
            <w:top w:val="none" w:sz="0" w:space="0" w:color="auto"/>
            <w:left w:val="none" w:sz="0" w:space="0" w:color="auto"/>
            <w:bottom w:val="none" w:sz="0" w:space="0" w:color="auto"/>
            <w:right w:val="none" w:sz="0" w:space="0" w:color="auto"/>
          </w:divBdr>
        </w:div>
        <w:div w:id="360327595">
          <w:marLeft w:val="0"/>
          <w:marRight w:val="0"/>
          <w:marTop w:val="0"/>
          <w:marBottom w:val="0"/>
          <w:divBdr>
            <w:top w:val="none" w:sz="0" w:space="0" w:color="auto"/>
            <w:left w:val="none" w:sz="0" w:space="0" w:color="auto"/>
            <w:bottom w:val="none" w:sz="0" w:space="0" w:color="auto"/>
            <w:right w:val="none" w:sz="0" w:space="0" w:color="auto"/>
          </w:divBdr>
        </w:div>
        <w:div w:id="576940810">
          <w:marLeft w:val="0"/>
          <w:marRight w:val="0"/>
          <w:marTop w:val="0"/>
          <w:marBottom w:val="0"/>
          <w:divBdr>
            <w:top w:val="none" w:sz="0" w:space="0" w:color="auto"/>
            <w:left w:val="none" w:sz="0" w:space="0" w:color="auto"/>
            <w:bottom w:val="none" w:sz="0" w:space="0" w:color="auto"/>
            <w:right w:val="none" w:sz="0" w:space="0" w:color="auto"/>
          </w:divBdr>
        </w:div>
        <w:div w:id="397747764">
          <w:marLeft w:val="0"/>
          <w:marRight w:val="0"/>
          <w:marTop w:val="0"/>
          <w:marBottom w:val="0"/>
          <w:divBdr>
            <w:top w:val="none" w:sz="0" w:space="0" w:color="auto"/>
            <w:left w:val="none" w:sz="0" w:space="0" w:color="auto"/>
            <w:bottom w:val="none" w:sz="0" w:space="0" w:color="auto"/>
            <w:right w:val="none" w:sz="0" w:space="0" w:color="auto"/>
          </w:divBdr>
        </w:div>
        <w:div w:id="791243250">
          <w:marLeft w:val="0"/>
          <w:marRight w:val="0"/>
          <w:marTop w:val="0"/>
          <w:marBottom w:val="0"/>
          <w:divBdr>
            <w:top w:val="none" w:sz="0" w:space="0" w:color="auto"/>
            <w:left w:val="none" w:sz="0" w:space="0" w:color="auto"/>
            <w:bottom w:val="none" w:sz="0" w:space="0" w:color="auto"/>
            <w:right w:val="none" w:sz="0" w:space="0" w:color="auto"/>
          </w:divBdr>
        </w:div>
        <w:div w:id="273291978">
          <w:marLeft w:val="0"/>
          <w:marRight w:val="0"/>
          <w:marTop w:val="0"/>
          <w:marBottom w:val="0"/>
          <w:divBdr>
            <w:top w:val="none" w:sz="0" w:space="0" w:color="auto"/>
            <w:left w:val="none" w:sz="0" w:space="0" w:color="auto"/>
            <w:bottom w:val="none" w:sz="0" w:space="0" w:color="auto"/>
            <w:right w:val="none" w:sz="0" w:space="0" w:color="auto"/>
          </w:divBdr>
        </w:div>
        <w:div w:id="1289243018">
          <w:marLeft w:val="0"/>
          <w:marRight w:val="0"/>
          <w:marTop w:val="0"/>
          <w:marBottom w:val="0"/>
          <w:divBdr>
            <w:top w:val="none" w:sz="0" w:space="0" w:color="auto"/>
            <w:left w:val="none" w:sz="0" w:space="0" w:color="auto"/>
            <w:bottom w:val="none" w:sz="0" w:space="0" w:color="auto"/>
            <w:right w:val="none" w:sz="0" w:space="0" w:color="auto"/>
          </w:divBdr>
        </w:div>
        <w:div w:id="1180923734">
          <w:marLeft w:val="0"/>
          <w:marRight w:val="0"/>
          <w:marTop w:val="0"/>
          <w:marBottom w:val="0"/>
          <w:divBdr>
            <w:top w:val="none" w:sz="0" w:space="0" w:color="auto"/>
            <w:left w:val="none" w:sz="0" w:space="0" w:color="auto"/>
            <w:bottom w:val="none" w:sz="0" w:space="0" w:color="auto"/>
            <w:right w:val="none" w:sz="0" w:space="0" w:color="auto"/>
          </w:divBdr>
        </w:div>
        <w:div w:id="948512005">
          <w:marLeft w:val="0"/>
          <w:marRight w:val="0"/>
          <w:marTop w:val="0"/>
          <w:marBottom w:val="0"/>
          <w:divBdr>
            <w:top w:val="none" w:sz="0" w:space="0" w:color="auto"/>
            <w:left w:val="none" w:sz="0" w:space="0" w:color="auto"/>
            <w:bottom w:val="none" w:sz="0" w:space="0" w:color="auto"/>
            <w:right w:val="none" w:sz="0" w:space="0" w:color="auto"/>
          </w:divBdr>
        </w:div>
        <w:div w:id="1068771002">
          <w:marLeft w:val="0"/>
          <w:marRight w:val="0"/>
          <w:marTop w:val="0"/>
          <w:marBottom w:val="0"/>
          <w:divBdr>
            <w:top w:val="none" w:sz="0" w:space="0" w:color="auto"/>
            <w:left w:val="none" w:sz="0" w:space="0" w:color="auto"/>
            <w:bottom w:val="none" w:sz="0" w:space="0" w:color="auto"/>
            <w:right w:val="none" w:sz="0" w:space="0" w:color="auto"/>
          </w:divBdr>
        </w:div>
        <w:div w:id="1128166268">
          <w:marLeft w:val="0"/>
          <w:marRight w:val="0"/>
          <w:marTop w:val="0"/>
          <w:marBottom w:val="0"/>
          <w:divBdr>
            <w:top w:val="none" w:sz="0" w:space="0" w:color="auto"/>
            <w:left w:val="none" w:sz="0" w:space="0" w:color="auto"/>
            <w:bottom w:val="none" w:sz="0" w:space="0" w:color="auto"/>
            <w:right w:val="none" w:sz="0" w:space="0" w:color="auto"/>
          </w:divBdr>
        </w:div>
        <w:div w:id="2135129911">
          <w:marLeft w:val="0"/>
          <w:marRight w:val="0"/>
          <w:marTop w:val="0"/>
          <w:marBottom w:val="0"/>
          <w:divBdr>
            <w:top w:val="none" w:sz="0" w:space="0" w:color="auto"/>
            <w:left w:val="none" w:sz="0" w:space="0" w:color="auto"/>
            <w:bottom w:val="none" w:sz="0" w:space="0" w:color="auto"/>
            <w:right w:val="none" w:sz="0" w:space="0" w:color="auto"/>
          </w:divBdr>
        </w:div>
        <w:div w:id="539362703">
          <w:marLeft w:val="0"/>
          <w:marRight w:val="0"/>
          <w:marTop w:val="0"/>
          <w:marBottom w:val="0"/>
          <w:divBdr>
            <w:top w:val="none" w:sz="0" w:space="0" w:color="auto"/>
            <w:left w:val="none" w:sz="0" w:space="0" w:color="auto"/>
            <w:bottom w:val="none" w:sz="0" w:space="0" w:color="auto"/>
            <w:right w:val="none" w:sz="0" w:space="0" w:color="auto"/>
          </w:divBdr>
        </w:div>
        <w:div w:id="1155342813">
          <w:marLeft w:val="0"/>
          <w:marRight w:val="0"/>
          <w:marTop w:val="0"/>
          <w:marBottom w:val="0"/>
          <w:divBdr>
            <w:top w:val="none" w:sz="0" w:space="0" w:color="auto"/>
            <w:left w:val="none" w:sz="0" w:space="0" w:color="auto"/>
            <w:bottom w:val="none" w:sz="0" w:space="0" w:color="auto"/>
            <w:right w:val="none" w:sz="0" w:space="0" w:color="auto"/>
          </w:divBdr>
        </w:div>
        <w:div w:id="1063017106">
          <w:marLeft w:val="0"/>
          <w:marRight w:val="0"/>
          <w:marTop w:val="0"/>
          <w:marBottom w:val="0"/>
          <w:divBdr>
            <w:top w:val="none" w:sz="0" w:space="0" w:color="auto"/>
            <w:left w:val="none" w:sz="0" w:space="0" w:color="auto"/>
            <w:bottom w:val="none" w:sz="0" w:space="0" w:color="auto"/>
            <w:right w:val="none" w:sz="0" w:space="0" w:color="auto"/>
          </w:divBdr>
        </w:div>
        <w:div w:id="824393009">
          <w:marLeft w:val="0"/>
          <w:marRight w:val="0"/>
          <w:marTop w:val="0"/>
          <w:marBottom w:val="0"/>
          <w:divBdr>
            <w:top w:val="none" w:sz="0" w:space="0" w:color="auto"/>
            <w:left w:val="none" w:sz="0" w:space="0" w:color="auto"/>
            <w:bottom w:val="none" w:sz="0" w:space="0" w:color="auto"/>
            <w:right w:val="none" w:sz="0" w:space="0" w:color="auto"/>
          </w:divBdr>
        </w:div>
        <w:div w:id="758452517">
          <w:marLeft w:val="0"/>
          <w:marRight w:val="0"/>
          <w:marTop w:val="0"/>
          <w:marBottom w:val="0"/>
          <w:divBdr>
            <w:top w:val="none" w:sz="0" w:space="0" w:color="auto"/>
            <w:left w:val="none" w:sz="0" w:space="0" w:color="auto"/>
            <w:bottom w:val="none" w:sz="0" w:space="0" w:color="auto"/>
            <w:right w:val="none" w:sz="0" w:space="0" w:color="auto"/>
          </w:divBdr>
        </w:div>
        <w:div w:id="1348169973">
          <w:marLeft w:val="0"/>
          <w:marRight w:val="0"/>
          <w:marTop w:val="0"/>
          <w:marBottom w:val="0"/>
          <w:divBdr>
            <w:top w:val="none" w:sz="0" w:space="0" w:color="auto"/>
            <w:left w:val="none" w:sz="0" w:space="0" w:color="auto"/>
            <w:bottom w:val="none" w:sz="0" w:space="0" w:color="auto"/>
            <w:right w:val="none" w:sz="0" w:space="0" w:color="auto"/>
          </w:divBdr>
        </w:div>
        <w:div w:id="449053970">
          <w:marLeft w:val="0"/>
          <w:marRight w:val="0"/>
          <w:marTop w:val="0"/>
          <w:marBottom w:val="0"/>
          <w:divBdr>
            <w:top w:val="none" w:sz="0" w:space="0" w:color="auto"/>
            <w:left w:val="none" w:sz="0" w:space="0" w:color="auto"/>
            <w:bottom w:val="none" w:sz="0" w:space="0" w:color="auto"/>
            <w:right w:val="none" w:sz="0" w:space="0" w:color="auto"/>
          </w:divBdr>
        </w:div>
        <w:div w:id="14500118">
          <w:marLeft w:val="0"/>
          <w:marRight w:val="0"/>
          <w:marTop w:val="0"/>
          <w:marBottom w:val="0"/>
          <w:divBdr>
            <w:top w:val="none" w:sz="0" w:space="0" w:color="auto"/>
            <w:left w:val="none" w:sz="0" w:space="0" w:color="auto"/>
            <w:bottom w:val="none" w:sz="0" w:space="0" w:color="auto"/>
            <w:right w:val="none" w:sz="0" w:space="0" w:color="auto"/>
          </w:divBdr>
        </w:div>
        <w:div w:id="205289839">
          <w:marLeft w:val="0"/>
          <w:marRight w:val="0"/>
          <w:marTop w:val="0"/>
          <w:marBottom w:val="0"/>
          <w:divBdr>
            <w:top w:val="none" w:sz="0" w:space="0" w:color="auto"/>
            <w:left w:val="none" w:sz="0" w:space="0" w:color="auto"/>
            <w:bottom w:val="none" w:sz="0" w:space="0" w:color="auto"/>
            <w:right w:val="none" w:sz="0" w:space="0" w:color="auto"/>
          </w:divBdr>
        </w:div>
        <w:div w:id="1433361265">
          <w:marLeft w:val="0"/>
          <w:marRight w:val="0"/>
          <w:marTop w:val="0"/>
          <w:marBottom w:val="0"/>
          <w:divBdr>
            <w:top w:val="none" w:sz="0" w:space="0" w:color="auto"/>
            <w:left w:val="none" w:sz="0" w:space="0" w:color="auto"/>
            <w:bottom w:val="none" w:sz="0" w:space="0" w:color="auto"/>
            <w:right w:val="none" w:sz="0" w:space="0" w:color="auto"/>
          </w:divBdr>
        </w:div>
        <w:div w:id="458301887">
          <w:marLeft w:val="0"/>
          <w:marRight w:val="0"/>
          <w:marTop w:val="0"/>
          <w:marBottom w:val="0"/>
          <w:divBdr>
            <w:top w:val="none" w:sz="0" w:space="0" w:color="auto"/>
            <w:left w:val="none" w:sz="0" w:space="0" w:color="auto"/>
            <w:bottom w:val="none" w:sz="0" w:space="0" w:color="auto"/>
            <w:right w:val="none" w:sz="0" w:space="0" w:color="auto"/>
          </w:divBdr>
        </w:div>
        <w:div w:id="1050113469">
          <w:marLeft w:val="0"/>
          <w:marRight w:val="0"/>
          <w:marTop w:val="0"/>
          <w:marBottom w:val="0"/>
          <w:divBdr>
            <w:top w:val="none" w:sz="0" w:space="0" w:color="auto"/>
            <w:left w:val="none" w:sz="0" w:space="0" w:color="auto"/>
            <w:bottom w:val="none" w:sz="0" w:space="0" w:color="auto"/>
            <w:right w:val="none" w:sz="0" w:space="0" w:color="auto"/>
          </w:divBdr>
        </w:div>
        <w:div w:id="262348231">
          <w:marLeft w:val="0"/>
          <w:marRight w:val="0"/>
          <w:marTop w:val="0"/>
          <w:marBottom w:val="0"/>
          <w:divBdr>
            <w:top w:val="none" w:sz="0" w:space="0" w:color="auto"/>
            <w:left w:val="none" w:sz="0" w:space="0" w:color="auto"/>
            <w:bottom w:val="none" w:sz="0" w:space="0" w:color="auto"/>
            <w:right w:val="none" w:sz="0" w:space="0" w:color="auto"/>
          </w:divBdr>
        </w:div>
        <w:div w:id="1516458271">
          <w:marLeft w:val="0"/>
          <w:marRight w:val="0"/>
          <w:marTop w:val="0"/>
          <w:marBottom w:val="0"/>
          <w:divBdr>
            <w:top w:val="none" w:sz="0" w:space="0" w:color="auto"/>
            <w:left w:val="none" w:sz="0" w:space="0" w:color="auto"/>
            <w:bottom w:val="none" w:sz="0" w:space="0" w:color="auto"/>
            <w:right w:val="none" w:sz="0" w:space="0" w:color="auto"/>
          </w:divBdr>
        </w:div>
        <w:div w:id="1154027516">
          <w:marLeft w:val="0"/>
          <w:marRight w:val="0"/>
          <w:marTop w:val="0"/>
          <w:marBottom w:val="0"/>
          <w:divBdr>
            <w:top w:val="none" w:sz="0" w:space="0" w:color="auto"/>
            <w:left w:val="none" w:sz="0" w:space="0" w:color="auto"/>
            <w:bottom w:val="none" w:sz="0" w:space="0" w:color="auto"/>
            <w:right w:val="none" w:sz="0" w:space="0" w:color="auto"/>
          </w:divBdr>
        </w:div>
        <w:div w:id="1018973019">
          <w:marLeft w:val="0"/>
          <w:marRight w:val="0"/>
          <w:marTop w:val="0"/>
          <w:marBottom w:val="0"/>
          <w:divBdr>
            <w:top w:val="none" w:sz="0" w:space="0" w:color="auto"/>
            <w:left w:val="none" w:sz="0" w:space="0" w:color="auto"/>
            <w:bottom w:val="none" w:sz="0" w:space="0" w:color="auto"/>
            <w:right w:val="none" w:sz="0" w:space="0" w:color="auto"/>
          </w:divBdr>
        </w:div>
        <w:div w:id="118186719">
          <w:marLeft w:val="0"/>
          <w:marRight w:val="0"/>
          <w:marTop w:val="0"/>
          <w:marBottom w:val="0"/>
          <w:divBdr>
            <w:top w:val="none" w:sz="0" w:space="0" w:color="auto"/>
            <w:left w:val="none" w:sz="0" w:space="0" w:color="auto"/>
            <w:bottom w:val="none" w:sz="0" w:space="0" w:color="auto"/>
            <w:right w:val="none" w:sz="0" w:space="0" w:color="auto"/>
          </w:divBdr>
        </w:div>
        <w:div w:id="1023704305">
          <w:marLeft w:val="0"/>
          <w:marRight w:val="0"/>
          <w:marTop w:val="0"/>
          <w:marBottom w:val="0"/>
          <w:divBdr>
            <w:top w:val="none" w:sz="0" w:space="0" w:color="auto"/>
            <w:left w:val="none" w:sz="0" w:space="0" w:color="auto"/>
            <w:bottom w:val="none" w:sz="0" w:space="0" w:color="auto"/>
            <w:right w:val="none" w:sz="0" w:space="0" w:color="auto"/>
          </w:divBdr>
        </w:div>
        <w:div w:id="1309355809">
          <w:marLeft w:val="0"/>
          <w:marRight w:val="0"/>
          <w:marTop w:val="0"/>
          <w:marBottom w:val="0"/>
          <w:divBdr>
            <w:top w:val="none" w:sz="0" w:space="0" w:color="auto"/>
            <w:left w:val="none" w:sz="0" w:space="0" w:color="auto"/>
            <w:bottom w:val="none" w:sz="0" w:space="0" w:color="auto"/>
            <w:right w:val="none" w:sz="0" w:space="0" w:color="auto"/>
          </w:divBdr>
        </w:div>
        <w:div w:id="327558821">
          <w:marLeft w:val="0"/>
          <w:marRight w:val="0"/>
          <w:marTop w:val="0"/>
          <w:marBottom w:val="0"/>
          <w:divBdr>
            <w:top w:val="none" w:sz="0" w:space="0" w:color="auto"/>
            <w:left w:val="none" w:sz="0" w:space="0" w:color="auto"/>
            <w:bottom w:val="none" w:sz="0" w:space="0" w:color="auto"/>
            <w:right w:val="none" w:sz="0" w:space="0" w:color="auto"/>
          </w:divBdr>
        </w:div>
        <w:div w:id="336689117">
          <w:marLeft w:val="0"/>
          <w:marRight w:val="0"/>
          <w:marTop w:val="0"/>
          <w:marBottom w:val="0"/>
          <w:divBdr>
            <w:top w:val="none" w:sz="0" w:space="0" w:color="auto"/>
            <w:left w:val="none" w:sz="0" w:space="0" w:color="auto"/>
            <w:bottom w:val="none" w:sz="0" w:space="0" w:color="auto"/>
            <w:right w:val="none" w:sz="0" w:space="0" w:color="auto"/>
          </w:divBdr>
        </w:div>
        <w:div w:id="92213454">
          <w:marLeft w:val="0"/>
          <w:marRight w:val="0"/>
          <w:marTop w:val="0"/>
          <w:marBottom w:val="0"/>
          <w:divBdr>
            <w:top w:val="none" w:sz="0" w:space="0" w:color="auto"/>
            <w:left w:val="none" w:sz="0" w:space="0" w:color="auto"/>
            <w:bottom w:val="none" w:sz="0" w:space="0" w:color="auto"/>
            <w:right w:val="none" w:sz="0" w:space="0" w:color="auto"/>
          </w:divBdr>
        </w:div>
      </w:divsChild>
    </w:div>
    <w:div w:id="728461160">
      <w:bodyDiv w:val="1"/>
      <w:marLeft w:val="0"/>
      <w:marRight w:val="0"/>
      <w:marTop w:val="0"/>
      <w:marBottom w:val="0"/>
      <w:divBdr>
        <w:top w:val="none" w:sz="0" w:space="0" w:color="auto"/>
        <w:left w:val="none" w:sz="0" w:space="0" w:color="auto"/>
        <w:bottom w:val="none" w:sz="0" w:space="0" w:color="auto"/>
        <w:right w:val="none" w:sz="0" w:space="0" w:color="auto"/>
      </w:divBdr>
      <w:divsChild>
        <w:div w:id="1937399328">
          <w:marLeft w:val="0"/>
          <w:marRight w:val="0"/>
          <w:marTop w:val="0"/>
          <w:marBottom w:val="0"/>
          <w:divBdr>
            <w:top w:val="none" w:sz="0" w:space="0" w:color="auto"/>
            <w:left w:val="none" w:sz="0" w:space="0" w:color="auto"/>
            <w:bottom w:val="none" w:sz="0" w:space="0" w:color="auto"/>
            <w:right w:val="none" w:sz="0" w:space="0" w:color="auto"/>
          </w:divBdr>
        </w:div>
        <w:div w:id="593125931">
          <w:marLeft w:val="0"/>
          <w:marRight w:val="0"/>
          <w:marTop w:val="0"/>
          <w:marBottom w:val="0"/>
          <w:divBdr>
            <w:top w:val="none" w:sz="0" w:space="0" w:color="auto"/>
            <w:left w:val="none" w:sz="0" w:space="0" w:color="auto"/>
            <w:bottom w:val="none" w:sz="0" w:space="0" w:color="auto"/>
            <w:right w:val="none" w:sz="0" w:space="0" w:color="auto"/>
          </w:divBdr>
        </w:div>
        <w:div w:id="543442340">
          <w:marLeft w:val="0"/>
          <w:marRight w:val="0"/>
          <w:marTop w:val="0"/>
          <w:marBottom w:val="0"/>
          <w:divBdr>
            <w:top w:val="none" w:sz="0" w:space="0" w:color="auto"/>
            <w:left w:val="none" w:sz="0" w:space="0" w:color="auto"/>
            <w:bottom w:val="none" w:sz="0" w:space="0" w:color="auto"/>
            <w:right w:val="none" w:sz="0" w:space="0" w:color="auto"/>
          </w:divBdr>
        </w:div>
        <w:div w:id="824081241">
          <w:marLeft w:val="0"/>
          <w:marRight w:val="0"/>
          <w:marTop w:val="0"/>
          <w:marBottom w:val="0"/>
          <w:divBdr>
            <w:top w:val="none" w:sz="0" w:space="0" w:color="auto"/>
            <w:left w:val="none" w:sz="0" w:space="0" w:color="auto"/>
            <w:bottom w:val="none" w:sz="0" w:space="0" w:color="auto"/>
            <w:right w:val="none" w:sz="0" w:space="0" w:color="auto"/>
          </w:divBdr>
        </w:div>
        <w:div w:id="1037313647">
          <w:marLeft w:val="0"/>
          <w:marRight w:val="0"/>
          <w:marTop w:val="0"/>
          <w:marBottom w:val="0"/>
          <w:divBdr>
            <w:top w:val="none" w:sz="0" w:space="0" w:color="auto"/>
            <w:left w:val="none" w:sz="0" w:space="0" w:color="auto"/>
            <w:bottom w:val="none" w:sz="0" w:space="0" w:color="auto"/>
            <w:right w:val="none" w:sz="0" w:space="0" w:color="auto"/>
          </w:divBdr>
        </w:div>
        <w:div w:id="2009557505">
          <w:marLeft w:val="0"/>
          <w:marRight w:val="0"/>
          <w:marTop w:val="0"/>
          <w:marBottom w:val="0"/>
          <w:divBdr>
            <w:top w:val="none" w:sz="0" w:space="0" w:color="auto"/>
            <w:left w:val="none" w:sz="0" w:space="0" w:color="auto"/>
            <w:bottom w:val="none" w:sz="0" w:space="0" w:color="auto"/>
            <w:right w:val="none" w:sz="0" w:space="0" w:color="auto"/>
          </w:divBdr>
        </w:div>
        <w:div w:id="1035959026">
          <w:marLeft w:val="0"/>
          <w:marRight w:val="0"/>
          <w:marTop w:val="0"/>
          <w:marBottom w:val="0"/>
          <w:divBdr>
            <w:top w:val="none" w:sz="0" w:space="0" w:color="auto"/>
            <w:left w:val="none" w:sz="0" w:space="0" w:color="auto"/>
            <w:bottom w:val="none" w:sz="0" w:space="0" w:color="auto"/>
            <w:right w:val="none" w:sz="0" w:space="0" w:color="auto"/>
          </w:divBdr>
        </w:div>
        <w:div w:id="1126774958">
          <w:marLeft w:val="0"/>
          <w:marRight w:val="0"/>
          <w:marTop w:val="0"/>
          <w:marBottom w:val="0"/>
          <w:divBdr>
            <w:top w:val="none" w:sz="0" w:space="0" w:color="auto"/>
            <w:left w:val="none" w:sz="0" w:space="0" w:color="auto"/>
            <w:bottom w:val="none" w:sz="0" w:space="0" w:color="auto"/>
            <w:right w:val="none" w:sz="0" w:space="0" w:color="auto"/>
          </w:divBdr>
        </w:div>
        <w:div w:id="2033217957">
          <w:marLeft w:val="0"/>
          <w:marRight w:val="0"/>
          <w:marTop w:val="0"/>
          <w:marBottom w:val="0"/>
          <w:divBdr>
            <w:top w:val="none" w:sz="0" w:space="0" w:color="auto"/>
            <w:left w:val="none" w:sz="0" w:space="0" w:color="auto"/>
            <w:bottom w:val="none" w:sz="0" w:space="0" w:color="auto"/>
            <w:right w:val="none" w:sz="0" w:space="0" w:color="auto"/>
          </w:divBdr>
        </w:div>
        <w:div w:id="2112166351">
          <w:marLeft w:val="0"/>
          <w:marRight w:val="0"/>
          <w:marTop w:val="0"/>
          <w:marBottom w:val="0"/>
          <w:divBdr>
            <w:top w:val="none" w:sz="0" w:space="0" w:color="auto"/>
            <w:left w:val="none" w:sz="0" w:space="0" w:color="auto"/>
            <w:bottom w:val="none" w:sz="0" w:space="0" w:color="auto"/>
            <w:right w:val="none" w:sz="0" w:space="0" w:color="auto"/>
          </w:divBdr>
        </w:div>
      </w:divsChild>
    </w:div>
    <w:div w:id="757754200">
      <w:bodyDiv w:val="1"/>
      <w:marLeft w:val="0"/>
      <w:marRight w:val="0"/>
      <w:marTop w:val="0"/>
      <w:marBottom w:val="0"/>
      <w:divBdr>
        <w:top w:val="none" w:sz="0" w:space="0" w:color="auto"/>
        <w:left w:val="none" w:sz="0" w:space="0" w:color="auto"/>
        <w:bottom w:val="none" w:sz="0" w:space="0" w:color="auto"/>
        <w:right w:val="none" w:sz="0" w:space="0" w:color="auto"/>
      </w:divBdr>
      <w:divsChild>
        <w:div w:id="1364557759">
          <w:marLeft w:val="0"/>
          <w:marRight w:val="0"/>
          <w:marTop w:val="0"/>
          <w:marBottom w:val="0"/>
          <w:divBdr>
            <w:top w:val="none" w:sz="0" w:space="0" w:color="auto"/>
            <w:left w:val="none" w:sz="0" w:space="0" w:color="auto"/>
            <w:bottom w:val="none" w:sz="0" w:space="0" w:color="auto"/>
            <w:right w:val="none" w:sz="0" w:space="0" w:color="auto"/>
          </w:divBdr>
        </w:div>
        <w:div w:id="1763909962">
          <w:marLeft w:val="0"/>
          <w:marRight w:val="0"/>
          <w:marTop w:val="0"/>
          <w:marBottom w:val="0"/>
          <w:divBdr>
            <w:top w:val="none" w:sz="0" w:space="0" w:color="auto"/>
            <w:left w:val="none" w:sz="0" w:space="0" w:color="auto"/>
            <w:bottom w:val="none" w:sz="0" w:space="0" w:color="auto"/>
            <w:right w:val="none" w:sz="0" w:space="0" w:color="auto"/>
          </w:divBdr>
        </w:div>
      </w:divsChild>
    </w:div>
    <w:div w:id="1044866310">
      <w:bodyDiv w:val="1"/>
      <w:marLeft w:val="0"/>
      <w:marRight w:val="0"/>
      <w:marTop w:val="0"/>
      <w:marBottom w:val="0"/>
      <w:divBdr>
        <w:top w:val="none" w:sz="0" w:space="0" w:color="auto"/>
        <w:left w:val="none" w:sz="0" w:space="0" w:color="auto"/>
        <w:bottom w:val="none" w:sz="0" w:space="0" w:color="auto"/>
        <w:right w:val="none" w:sz="0" w:space="0" w:color="auto"/>
      </w:divBdr>
      <w:divsChild>
        <w:div w:id="341594077">
          <w:marLeft w:val="0"/>
          <w:marRight w:val="0"/>
          <w:marTop w:val="0"/>
          <w:marBottom w:val="0"/>
          <w:divBdr>
            <w:top w:val="none" w:sz="0" w:space="0" w:color="auto"/>
            <w:left w:val="none" w:sz="0" w:space="0" w:color="auto"/>
            <w:bottom w:val="none" w:sz="0" w:space="0" w:color="auto"/>
            <w:right w:val="none" w:sz="0" w:space="0" w:color="auto"/>
          </w:divBdr>
        </w:div>
        <w:div w:id="1800877896">
          <w:marLeft w:val="0"/>
          <w:marRight w:val="0"/>
          <w:marTop w:val="0"/>
          <w:marBottom w:val="0"/>
          <w:divBdr>
            <w:top w:val="none" w:sz="0" w:space="0" w:color="auto"/>
            <w:left w:val="none" w:sz="0" w:space="0" w:color="auto"/>
            <w:bottom w:val="none" w:sz="0" w:space="0" w:color="auto"/>
            <w:right w:val="none" w:sz="0" w:space="0" w:color="auto"/>
          </w:divBdr>
        </w:div>
        <w:div w:id="1722821921">
          <w:marLeft w:val="0"/>
          <w:marRight w:val="0"/>
          <w:marTop w:val="0"/>
          <w:marBottom w:val="0"/>
          <w:divBdr>
            <w:top w:val="none" w:sz="0" w:space="0" w:color="auto"/>
            <w:left w:val="none" w:sz="0" w:space="0" w:color="auto"/>
            <w:bottom w:val="none" w:sz="0" w:space="0" w:color="auto"/>
            <w:right w:val="none" w:sz="0" w:space="0" w:color="auto"/>
          </w:divBdr>
        </w:div>
        <w:div w:id="1750888097">
          <w:marLeft w:val="0"/>
          <w:marRight w:val="0"/>
          <w:marTop w:val="0"/>
          <w:marBottom w:val="0"/>
          <w:divBdr>
            <w:top w:val="none" w:sz="0" w:space="0" w:color="auto"/>
            <w:left w:val="none" w:sz="0" w:space="0" w:color="auto"/>
            <w:bottom w:val="none" w:sz="0" w:space="0" w:color="auto"/>
            <w:right w:val="none" w:sz="0" w:space="0" w:color="auto"/>
          </w:divBdr>
        </w:div>
        <w:div w:id="1246302407">
          <w:marLeft w:val="0"/>
          <w:marRight w:val="0"/>
          <w:marTop w:val="0"/>
          <w:marBottom w:val="0"/>
          <w:divBdr>
            <w:top w:val="none" w:sz="0" w:space="0" w:color="auto"/>
            <w:left w:val="none" w:sz="0" w:space="0" w:color="auto"/>
            <w:bottom w:val="none" w:sz="0" w:space="0" w:color="auto"/>
            <w:right w:val="none" w:sz="0" w:space="0" w:color="auto"/>
          </w:divBdr>
        </w:div>
        <w:div w:id="931860497">
          <w:marLeft w:val="0"/>
          <w:marRight w:val="0"/>
          <w:marTop w:val="0"/>
          <w:marBottom w:val="0"/>
          <w:divBdr>
            <w:top w:val="none" w:sz="0" w:space="0" w:color="auto"/>
            <w:left w:val="none" w:sz="0" w:space="0" w:color="auto"/>
            <w:bottom w:val="none" w:sz="0" w:space="0" w:color="auto"/>
            <w:right w:val="none" w:sz="0" w:space="0" w:color="auto"/>
          </w:divBdr>
        </w:div>
        <w:div w:id="1455098549">
          <w:marLeft w:val="0"/>
          <w:marRight w:val="0"/>
          <w:marTop w:val="0"/>
          <w:marBottom w:val="0"/>
          <w:divBdr>
            <w:top w:val="none" w:sz="0" w:space="0" w:color="auto"/>
            <w:left w:val="none" w:sz="0" w:space="0" w:color="auto"/>
            <w:bottom w:val="none" w:sz="0" w:space="0" w:color="auto"/>
            <w:right w:val="none" w:sz="0" w:space="0" w:color="auto"/>
          </w:divBdr>
        </w:div>
        <w:div w:id="1605727269">
          <w:marLeft w:val="0"/>
          <w:marRight w:val="0"/>
          <w:marTop w:val="0"/>
          <w:marBottom w:val="0"/>
          <w:divBdr>
            <w:top w:val="none" w:sz="0" w:space="0" w:color="auto"/>
            <w:left w:val="none" w:sz="0" w:space="0" w:color="auto"/>
            <w:bottom w:val="none" w:sz="0" w:space="0" w:color="auto"/>
            <w:right w:val="none" w:sz="0" w:space="0" w:color="auto"/>
          </w:divBdr>
        </w:div>
        <w:div w:id="1493332493">
          <w:marLeft w:val="0"/>
          <w:marRight w:val="0"/>
          <w:marTop w:val="0"/>
          <w:marBottom w:val="0"/>
          <w:divBdr>
            <w:top w:val="none" w:sz="0" w:space="0" w:color="auto"/>
            <w:left w:val="none" w:sz="0" w:space="0" w:color="auto"/>
            <w:bottom w:val="none" w:sz="0" w:space="0" w:color="auto"/>
            <w:right w:val="none" w:sz="0" w:space="0" w:color="auto"/>
          </w:divBdr>
        </w:div>
        <w:div w:id="371925633">
          <w:marLeft w:val="0"/>
          <w:marRight w:val="0"/>
          <w:marTop w:val="0"/>
          <w:marBottom w:val="0"/>
          <w:divBdr>
            <w:top w:val="none" w:sz="0" w:space="0" w:color="auto"/>
            <w:left w:val="none" w:sz="0" w:space="0" w:color="auto"/>
            <w:bottom w:val="none" w:sz="0" w:space="0" w:color="auto"/>
            <w:right w:val="none" w:sz="0" w:space="0" w:color="auto"/>
          </w:divBdr>
        </w:div>
      </w:divsChild>
    </w:div>
    <w:div w:id="1318535994">
      <w:bodyDiv w:val="1"/>
      <w:marLeft w:val="0"/>
      <w:marRight w:val="0"/>
      <w:marTop w:val="0"/>
      <w:marBottom w:val="0"/>
      <w:divBdr>
        <w:top w:val="none" w:sz="0" w:space="0" w:color="auto"/>
        <w:left w:val="none" w:sz="0" w:space="0" w:color="auto"/>
        <w:bottom w:val="none" w:sz="0" w:space="0" w:color="auto"/>
        <w:right w:val="none" w:sz="0" w:space="0" w:color="auto"/>
      </w:divBdr>
      <w:divsChild>
        <w:div w:id="1039277429">
          <w:marLeft w:val="0"/>
          <w:marRight w:val="0"/>
          <w:marTop w:val="0"/>
          <w:marBottom w:val="0"/>
          <w:divBdr>
            <w:top w:val="none" w:sz="0" w:space="0" w:color="auto"/>
            <w:left w:val="none" w:sz="0" w:space="0" w:color="auto"/>
            <w:bottom w:val="none" w:sz="0" w:space="0" w:color="auto"/>
            <w:right w:val="none" w:sz="0" w:space="0" w:color="auto"/>
          </w:divBdr>
        </w:div>
        <w:div w:id="611203942">
          <w:marLeft w:val="0"/>
          <w:marRight w:val="0"/>
          <w:marTop w:val="0"/>
          <w:marBottom w:val="0"/>
          <w:divBdr>
            <w:top w:val="none" w:sz="0" w:space="0" w:color="auto"/>
            <w:left w:val="none" w:sz="0" w:space="0" w:color="auto"/>
            <w:bottom w:val="none" w:sz="0" w:space="0" w:color="auto"/>
            <w:right w:val="none" w:sz="0" w:space="0" w:color="auto"/>
          </w:divBdr>
        </w:div>
        <w:div w:id="1359426189">
          <w:marLeft w:val="0"/>
          <w:marRight w:val="0"/>
          <w:marTop w:val="0"/>
          <w:marBottom w:val="0"/>
          <w:divBdr>
            <w:top w:val="none" w:sz="0" w:space="0" w:color="auto"/>
            <w:left w:val="none" w:sz="0" w:space="0" w:color="auto"/>
            <w:bottom w:val="none" w:sz="0" w:space="0" w:color="auto"/>
            <w:right w:val="none" w:sz="0" w:space="0" w:color="auto"/>
          </w:divBdr>
        </w:div>
        <w:div w:id="1873221515">
          <w:marLeft w:val="0"/>
          <w:marRight w:val="0"/>
          <w:marTop w:val="0"/>
          <w:marBottom w:val="0"/>
          <w:divBdr>
            <w:top w:val="none" w:sz="0" w:space="0" w:color="auto"/>
            <w:left w:val="none" w:sz="0" w:space="0" w:color="auto"/>
            <w:bottom w:val="none" w:sz="0" w:space="0" w:color="auto"/>
            <w:right w:val="none" w:sz="0" w:space="0" w:color="auto"/>
          </w:divBdr>
        </w:div>
        <w:div w:id="884751728">
          <w:marLeft w:val="0"/>
          <w:marRight w:val="0"/>
          <w:marTop w:val="0"/>
          <w:marBottom w:val="0"/>
          <w:divBdr>
            <w:top w:val="none" w:sz="0" w:space="0" w:color="auto"/>
            <w:left w:val="none" w:sz="0" w:space="0" w:color="auto"/>
            <w:bottom w:val="none" w:sz="0" w:space="0" w:color="auto"/>
            <w:right w:val="none" w:sz="0" w:space="0" w:color="auto"/>
          </w:divBdr>
        </w:div>
        <w:div w:id="57214000">
          <w:marLeft w:val="0"/>
          <w:marRight w:val="0"/>
          <w:marTop w:val="0"/>
          <w:marBottom w:val="0"/>
          <w:divBdr>
            <w:top w:val="none" w:sz="0" w:space="0" w:color="auto"/>
            <w:left w:val="none" w:sz="0" w:space="0" w:color="auto"/>
            <w:bottom w:val="none" w:sz="0" w:space="0" w:color="auto"/>
            <w:right w:val="none" w:sz="0" w:space="0" w:color="auto"/>
          </w:divBdr>
        </w:div>
        <w:div w:id="470749436">
          <w:marLeft w:val="0"/>
          <w:marRight w:val="0"/>
          <w:marTop w:val="0"/>
          <w:marBottom w:val="0"/>
          <w:divBdr>
            <w:top w:val="none" w:sz="0" w:space="0" w:color="auto"/>
            <w:left w:val="none" w:sz="0" w:space="0" w:color="auto"/>
            <w:bottom w:val="none" w:sz="0" w:space="0" w:color="auto"/>
            <w:right w:val="none" w:sz="0" w:space="0" w:color="auto"/>
          </w:divBdr>
        </w:div>
        <w:div w:id="314260250">
          <w:marLeft w:val="0"/>
          <w:marRight w:val="0"/>
          <w:marTop w:val="0"/>
          <w:marBottom w:val="0"/>
          <w:divBdr>
            <w:top w:val="none" w:sz="0" w:space="0" w:color="auto"/>
            <w:left w:val="none" w:sz="0" w:space="0" w:color="auto"/>
            <w:bottom w:val="none" w:sz="0" w:space="0" w:color="auto"/>
            <w:right w:val="none" w:sz="0" w:space="0" w:color="auto"/>
          </w:divBdr>
        </w:div>
        <w:div w:id="2120444730">
          <w:marLeft w:val="0"/>
          <w:marRight w:val="0"/>
          <w:marTop w:val="0"/>
          <w:marBottom w:val="0"/>
          <w:divBdr>
            <w:top w:val="none" w:sz="0" w:space="0" w:color="auto"/>
            <w:left w:val="none" w:sz="0" w:space="0" w:color="auto"/>
            <w:bottom w:val="none" w:sz="0" w:space="0" w:color="auto"/>
            <w:right w:val="none" w:sz="0" w:space="0" w:color="auto"/>
          </w:divBdr>
        </w:div>
        <w:div w:id="1218709208">
          <w:marLeft w:val="0"/>
          <w:marRight w:val="0"/>
          <w:marTop w:val="0"/>
          <w:marBottom w:val="0"/>
          <w:divBdr>
            <w:top w:val="none" w:sz="0" w:space="0" w:color="auto"/>
            <w:left w:val="none" w:sz="0" w:space="0" w:color="auto"/>
            <w:bottom w:val="none" w:sz="0" w:space="0" w:color="auto"/>
            <w:right w:val="none" w:sz="0" w:space="0" w:color="auto"/>
          </w:divBdr>
        </w:div>
        <w:div w:id="403913033">
          <w:marLeft w:val="0"/>
          <w:marRight w:val="0"/>
          <w:marTop w:val="0"/>
          <w:marBottom w:val="0"/>
          <w:divBdr>
            <w:top w:val="none" w:sz="0" w:space="0" w:color="auto"/>
            <w:left w:val="none" w:sz="0" w:space="0" w:color="auto"/>
            <w:bottom w:val="none" w:sz="0" w:space="0" w:color="auto"/>
            <w:right w:val="none" w:sz="0" w:space="0" w:color="auto"/>
          </w:divBdr>
        </w:div>
        <w:div w:id="1227108721">
          <w:marLeft w:val="0"/>
          <w:marRight w:val="0"/>
          <w:marTop w:val="0"/>
          <w:marBottom w:val="0"/>
          <w:divBdr>
            <w:top w:val="none" w:sz="0" w:space="0" w:color="auto"/>
            <w:left w:val="none" w:sz="0" w:space="0" w:color="auto"/>
            <w:bottom w:val="none" w:sz="0" w:space="0" w:color="auto"/>
            <w:right w:val="none" w:sz="0" w:space="0" w:color="auto"/>
          </w:divBdr>
        </w:div>
        <w:div w:id="1564560791">
          <w:marLeft w:val="0"/>
          <w:marRight w:val="0"/>
          <w:marTop w:val="0"/>
          <w:marBottom w:val="0"/>
          <w:divBdr>
            <w:top w:val="none" w:sz="0" w:space="0" w:color="auto"/>
            <w:left w:val="none" w:sz="0" w:space="0" w:color="auto"/>
            <w:bottom w:val="none" w:sz="0" w:space="0" w:color="auto"/>
            <w:right w:val="none" w:sz="0" w:space="0" w:color="auto"/>
          </w:divBdr>
        </w:div>
        <w:div w:id="1092825119">
          <w:marLeft w:val="0"/>
          <w:marRight w:val="0"/>
          <w:marTop w:val="0"/>
          <w:marBottom w:val="0"/>
          <w:divBdr>
            <w:top w:val="none" w:sz="0" w:space="0" w:color="auto"/>
            <w:left w:val="none" w:sz="0" w:space="0" w:color="auto"/>
            <w:bottom w:val="none" w:sz="0" w:space="0" w:color="auto"/>
            <w:right w:val="none" w:sz="0" w:space="0" w:color="auto"/>
          </w:divBdr>
        </w:div>
        <w:div w:id="692152688">
          <w:marLeft w:val="0"/>
          <w:marRight w:val="0"/>
          <w:marTop w:val="0"/>
          <w:marBottom w:val="0"/>
          <w:divBdr>
            <w:top w:val="none" w:sz="0" w:space="0" w:color="auto"/>
            <w:left w:val="none" w:sz="0" w:space="0" w:color="auto"/>
            <w:bottom w:val="none" w:sz="0" w:space="0" w:color="auto"/>
            <w:right w:val="none" w:sz="0" w:space="0" w:color="auto"/>
          </w:divBdr>
        </w:div>
        <w:div w:id="237982641">
          <w:marLeft w:val="0"/>
          <w:marRight w:val="0"/>
          <w:marTop w:val="0"/>
          <w:marBottom w:val="0"/>
          <w:divBdr>
            <w:top w:val="none" w:sz="0" w:space="0" w:color="auto"/>
            <w:left w:val="none" w:sz="0" w:space="0" w:color="auto"/>
            <w:bottom w:val="none" w:sz="0" w:space="0" w:color="auto"/>
            <w:right w:val="none" w:sz="0" w:space="0" w:color="auto"/>
          </w:divBdr>
        </w:div>
        <w:div w:id="1143086097">
          <w:marLeft w:val="0"/>
          <w:marRight w:val="0"/>
          <w:marTop w:val="0"/>
          <w:marBottom w:val="0"/>
          <w:divBdr>
            <w:top w:val="none" w:sz="0" w:space="0" w:color="auto"/>
            <w:left w:val="none" w:sz="0" w:space="0" w:color="auto"/>
            <w:bottom w:val="none" w:sz="0" w:space="0" w:color="auto"/>
            <w:right w:val="none" w:sz="0" w:space="0" w:color="auto"/>
          </w:divBdr>
        </w:div>
        <w:div w:id="1038121483">
          <w:marLeft w:val="0"/>
          <w:marRight w:val="0"/>
          <w:marTop w:val="0"/>
          <w:marBottom w:val="0"/>
          <w:divBdr>
            <w:top w:val="none" w:sz="0" w:space="0" w:color="auto"/>
            <w:left w:val="none" w:sz="0" w:space="0" w:color="auto"/>
            <w:bottom w:val="none" w:sz="0" w:space="0" w:color="auto"/>
            <w:right w:val="none" w:sz="0" w:space="0" w:color="auto"/>
          </w:divBdr>
        </w:div>
        <w:div w:id="403725224">
          <w:marLeft w:val="0"/>
          <w:marRight w:val="0"/>
          <w:marTop w:val="0"/>
          <w:marBottom w:val="0"/>
          <w:divBdr>
            <w:top w:val="none" w:sz="0" w:space="0" w:color="auto"/>
            <w:left w:val="none" w:sz="0" w:space="0" w:color="auto"/>
            <w:bottom w:val="none" w:sz="0" w:space="0" w:color="auto"/>
            <w:right w:val="none" w:sz="0" w:space="0" w:color="auto"/>
          </w:divBdr>
        </w:div>
        <w:div w:id="1779527418">
          <w:marLeft w:val="0"/>
          <w:marRight w:val="0"/>
          <w:marTop w:val="0"/>
          <w:marBottom w:val="0"/>
          <w:divBdr>
            <w:top w:val="none" w:sz="0" w:space="0" w:color="auto"/>
            <w:left w:val="none" w:sz="0" w:space="0" w:color="auto"/>
            <w:bottom w:val="none" w:sz="0" w:space="0" w:color="auto"/>
            <w:right w:val="none" w:sz="0" w:space="0" w:color="auto"/>
          </w:divBdr>
        </w:div>
        <w:div w:id="300967690">
          <w:marLeft w:val="0"/>
          <w:marRight w:val="0"/>
          <w:marTop w:val="0"/>
          <w:marBottom w:val="0"/>
          <w:divBdr>
            <w:top w:val="none" w:sz="0" w:space="0" w:color="auto"/>
            <w:left w:val="none" w:sz="0" w:space="0" w:color="auto"/>
            <w:bottom w:val="none" w:sz="0" w:space="0" w:color="auto"/>
            <w:right w:val="none" w:sz="0" w:space="0" w:color="auto"/>
          </w:divBdr>
        </w:div>
        <w:div w:id="2118718932">
          <w:marLeft w:val="0"/>
          <w:marRight w:val="0"/>
          <w:marTop w:val="0"/>
          <w:marBottom w:val="0"/>
          <w:divBdr>
            <w:top w:val="none" w:sz="0" w:space="0" w:color="auto"/>
            <w:left w:val="none" w:sz="0" w:space="0" w:color="auto"/>
            <w:bottom w:val="none" w:sz="0" w:space="0" w:color="auto"/>
            <w:right w:val="none" w:sz="0" w:space="0" w:color="auto"/>
          </w:divBdr>
        </w:div>
        <w:div w:id="1651791957">
          <w:marLeft w:val="0"/>
          <w:marRight w:val="0"/>
          <w:marTop w:val="0"/>
          <w:marBottom w:val="0"/>
          <w:divBdr>
            <w:top w:val="none" w:sz="0" w:space="0" w:color="auto"/>
            <w:left w:val="none" w:sz="0" w:space="0" w:color="auto"/>
            <w:bottom w:val="none" w:sz="0" w:space="0" w:color="auto"/>
            <w:right w:val="none" w:sz="0" w:space="0" w:color="auto"/>
          </w:divBdr>
        </w:div>
        <w:div w:id="1699693188">
          <w:marLeft w:val="0"/>
          <w:marRight w:val="0"/>
          <w:marTop w:val="0"/>
          <w:marBottom w:val="0"/>
          <w:divBdr>
            <w:top w:val="none" w:sz="0" w:space="0" w:color="auto"/>
            <w:left w:val="none" w:sz="0" w:space="0" w:color="auto"/>
            <w:bottom w:val="none" w:sz="0" w:space="0" w:color="auto"/>
            <w:right w:val="none" w:sz="0" w:space="0" w:color="auto"/>
          </w:divBdr>
        </w:div>
        <w:div w:id="1438939334">
          <w:marLeft w:val="0"/>
          <w:marRight w:val="0"/>
          <w:marTop w:val="0"/>
          <w:marBottom w:val="0"/>
          <w:divBdr>
            <w:top w:val="none" w:sz="0" w:space="0" w:color="auto"/>
            <w:left w:val="none" w:sz="0" w:space="0" w:color="auto"/>
            <w:bottom w:val="none" w:sz="0" w:space="0" w:color="auto"/>
            <w:right w:val="none" w:sz="0" w:space="0" w:color="auto"/>
          </w:divBdr>
        </w:div>
        <w:div w:id="1789156214">
          <w:marLeft w:val="0"/>
          <w:marRight w:val="0"/>
          <w:marTop w:val="0"/>
          <w:marBottom w:val="0"/>
          <w:divBdr>
            <w:top w:val="none" w:sz="0" w:space="0" w:color="auto"/>
            <w:left w:val="none" w:sz="0" w:space="0" w:color="auto"/>
            <w:bottom w:val="none" w:sz="0" w:space="0" w:color="auto"/>
            <w:right w:val="none" w:sz="0" w:space="0" w:color="auto"/>
          </w:divBdr>
        </w:div>
        <w:div w:id="1549756111">
          <w:marLeft w:val="0"/>
          <w:marRight w:val="0"/>
          <w:marTop w:val="0"/>
          <w:marBottom w:val="0"/>
          <w:divBdr>
            <w:top w:val="none" w:sz="0" w:space="0" w:color="auto"/>
            <w:left w:val="none" w:sz="0" w:space="0" w:color="auto"/>
            <w:bottom w:val="none" w:sz="0" w:space="0" w:color="auto"/>
            <w:right w:val="none" w:sz="0" w:space="0" w:color="auto"/>
          </w:divBdr>
        </w:div>
        <w:div w:id="693729783">
          <w:marLeft w:val="0"/>
          <w:marRight w:val="0"/>
          <w:marTop w:val="0"/>
          <w:marBottom w:val="0"/>
          <w:divBdr>
            <w:top w:val="none" w:sz="0" w:space="0" w:color="auto"/>
            <w:left w:val="none" w:sz="0" w:space="0" w:color="auto"/>
            <w:bottom w:val="none" w:sz="0" w:space="0" w:color="auto"/>
            <w:right w:val="none" w:sz="0" w:space="0" w:color="auto"/>
          </w:divBdr>
        </w:div>
        <w:div w:id="660742494">
          <w:marLeft w:val="0"/>
          <w:marRight w:val="0"/>
          <w:marTop w:val="0"/>
          <w:marBottom w:val="0"/>
          <w:divBdr>
            <w:top w:val="none" w:sz="0" w:space="0" w:color="auto"/>
            <w:left w:val="none" w:sz="0" w:space="0" w:color="auto"/>
            <w:bottom w:val="none" w:sz="0" w:space="0" w:color="auto"/>
            <w:right w:val="none" w:sz="0" w:space="0" w:color="auto"/>
          </w:divBdr>
        </w:div>
        <w:div w:id="599527522">
          <w:marLeft w:val="0"/>
          <w:marRight w:val="0"/>
          <w:marTop w:val="0"/>
          <w:marBottom w:val="0"/>
          <w:divBdr>
            <w:top w:val="none" w:sz="0" w:space="0" w:color="auto"/>
            <w:left w:val="none" w:sz="0" w:space="0" w:color="auto"/>
            <w:bottom w:val="none" w:sz="0" w:space="0" w:color="auto"/>
            <w:right w:val="none" w:sz="0" w:space="0" w:color="auto"/>
          </w:divBdr>
        </w:div>
        <w:div w:id="40402762">
          <w:marLeft w:val="0"/>
          <w:marRight w:val="0"/>
          <w:marTop w:val="0"/>
          <w:marBottom w:val="0"/>
          <w:divBdr>
            <w:top w:val="none" w:sz="0" w:space="0" w:color="auto"/>
            <w:left w:val="none" w:sz="0" w:space="0" w:color="auto"/>
            <w:bottom w:val="none" w:sz="0" w:space="0" w:color="auto"/>
            <w:right w:val="none" w:sz="0" w:space="0" w:color="auto"/>
          </w:divBdr>
        </w:div>
        <w:div w:id="1631090381">
          <w:marLeft w:val="0"/>
          <w:marRight w:val="0"/>
          <w:marTop w:val="0"/>
          <w:marBottom w:val="0"/>
          <w:divBdr>
            <w:top w:val="none" w:sz="0" w:space="0" w:color="auto"/>
            <w:left w:val="none" w:sz="0" w:space="0" w:color="auto"/>
            <w:bottom w:val="none" w:sz="0" w:space="0" w:color="auto"/>
            <w:right w:val="none" w:sz="0" w:space="0" w:color="auto"/>
          </w:divBdr>
        </w:div>
        <w:div w:id="795483898">
          <w:marLeft w:val="0"/>
          <w:marRight w:val="0"/>
          <w:marTop w:val="0"/>
          <w:marBottom w:val="0"/>
          <w:divBdr>
            <w:top w:val="none" w:sz="0" w:space="0" w:color="auto"/>
            <w:left w:val="none" w:sz="0" w:space="0" w:color="auto"/>
            <w:bottom w:val="none" w:sz="0" w:space="0" w:color="auto"/>
            <w:right w:val="none" w:sz="0" w:space="0" w:color="auto"/>
          </w:divBdr>
        </w:div>
        <w:div w:id="1609895969">
          <w:marLeft w:val="0"/>
          <w:marRight w:val="0"/>
          <w:marTop w:val="0"/>
          <w:marBottom w:val="0"/>
          <w:divBdr>
            <w:top w:val="none" w:sz="0" w:space="0" w:color="auto"/>
            <w:left w:val="none" w:sz="0" w:space="0" w:color="auto"/>
            <w:bottom w:val="none" w:sz="0" w:space="0" w:color="auto"/>
            <w:right w:val="none" w:sz="0" w:space="0" w:color="auto"/>
          </w:divBdr>
        </w:div>
      </w:divsChild>
    </w:div>
    <w:div w:id="1484152014">
      <w:bodyDiv w:val="1"/>
      <w:marLeft w:val="0"/>
      <w:marRight w:val="0"/>
      <w:marTop w:val="0"/>
      <w:marBottom w:val="0"/>
      <w:divBdr>
        <w:top w:val="none" w:sz="0" w:space="0" w:color="auto"/>
        <w:left w:val="none" w:sz="0" w:space="0" w:color="auto"/>
        <w:bottom w:val="none" w:sz="0" w:space="0" w:color="auto"/>
        <w:right w:val="none" w:sz="0" w:space="0" w:color="auto"/>
      </w:divBdr>
      <w:divsChild>
        <w:div w:id="570504318">
          <w:marLeft w:val="0"/>
          <w:marRight w:val="0"/>
          <w:marTop w:val="0"/>
          <w:marBottom w:val="0"/>
          <w:divBdr>
            <w:top w:val="none" w:sz="0" w:space="0" w:color="auto"/>
            <w:left w:val="none" w:sz="0" w:space="0" w:color="auto"/>
            <w:bottom w:val="none" w:sz="0" w:space="0" w:color="auto"/>
            <w:right w:val="none" w:sz="0" w:space="0" w:color="auto"/>
          </w:divBdr>
        </w:div>
        <w:div w:id="1689478529">
          <w:marLeft w:val="0"/>
          <w:marRight w:val="0"/>
          <w:marTop w:val="0"/>
          <w:marBottom w:val="0"/>
          <w:divBdr>
            <w:top w:val="none" w:sz="0" w:space="0" w:color="auto"/>
            <w:left w:val="none" w:sz="0" w:space="0" w:color="auto"/>
            <w:bottom w:val="none" w:sz="0" w:space="0" w:color="auto"/>
            <w:right w:val="none" w:sz="0" w:space="0" w:color="auto"/>
          </w:divBdr>
        </w:div>
        <w:div w:id="765617571">
          <w:marLeft w:val="0"/>
          <w:marRight w:val="0"/>
          <w:marTop w:val="0"/>
          <w:marBottom w:val="0"/>
          <w:divBdr>
            <w:top w:val="none" w:sz="0" w:space="0" w:color="auto"/>
            <w:left w:val="none" w:sz="0" w:space="0" w:color="auto"/>
            <w:bottom w:val="none" w:sz="0" w:space="0" w:color="auto"/>
            <w:right w:val="none" w:sz="0" w:space="0" w:color="auto"/>
          </w:divBdr>
        </w:div>
        <w:div w:id="1024747237">
          <w:marLeft w:val="0"/>
          <w:marRight w:val="0"/>
          <w:marTop w:val="0"/>
          <w:marBottom w:val="0"/>
          <w:divBdr>
            <w:top w:val="none" w:sz="0" w:space="0" w:color="auto"/>
            <w:left w:val="none" w:sz="0" w:space="0" w:color="auto"/>
            <w:bottom w:val="none" w:sz="0" w:space="0" w:color="auto"/>
            <w:right w:val="none" w:sz="0" w:space="0" w:color="auto"/>
          </w:divBdr>
        </w:div>
        <w:div w:id="187060262">
          <w:marLeft w:val="0"/>
          <w:marRight w:val="0"/>
          <w:marTop w:val="0"/>
          <w:marBottom w:val="0"/>
          <w:divBdr>
            <w:top w:val="none" w:sz="0" w:space="0" w:color="auto"/>
            <w:left w:val="none" w:sz="0" w:space="0" w:color="auto"/>
            <w:bottom w:val="none" w:sz="0" w:space="0" w:color="auto"/>
            <w:right w:val="none" w:sz="0" w:space="0" w:color="auto"/>
          </w:divBdr>
        </w:div>
        <w:div w:id="1597709391">
          <w:marLeft w:val="0"/>
          <w:marRight w:val="0"/>
          <w:marTop w:val="0"/>
          <w:marBottom w:val="0"/>
          <w:divBdr>
            <w:top w:val="none" w:sz="0" w:space="0" w:color="auto"/>
            <w:left w:val="none" w:sz="0" w:space="0" w:color="auto"/>
            <w:bottom w:val="none" w:sz="0" w:space="0" w:color="auto"/>
            <w:right w:val="none" w:sz="0" w:space="0" w:color="auto"/>
          </w:divBdr>
        </w:div>
        <w:div w:id="473958899">
          <w:marLeft w:val="0"/>
          <w:marRight w:val="0"/>
          <w:marTop w:val="0"/>
          <w:marBottom w:val="0"/>
          <w:divBdr>
            <w:top w:val="none" w:sz="0" w:space="0" w:color="auto"/>
            <w:left w:val="none" w:sz="0" w:space="0" w:color="auto"/>
            <w:bottom w:val="none" w:sz="0" w:space="0" w:color="auto"/>
            <w:right w:val="none" w:sz="0" w:space="0" w:color="auto"/>
          </w:divBdr>
        </w:div>
        <w:div w:id="1041900516">
          <w:marLeft w:val="0"/>
          <w:marRight w:val="0"/>
          <w:marTop w:val="0"/>
          <w:marBottom w:val="0"/>
          <w:divBdr>
            <w:top w:val="none" w:sz="0" w:space="0" w:color="auto"/>
            <w:left w:val="none" w:sz="0" w:space="0" w:color="auto"/>
            <w:bottom w:val="none" w:sz="0" w:space="0" w:color="auto"/>
            <w:right w:val="none" w:sz="0" w:space="0" w:color="auto"/>
          </w:divBdr>
        </w:div>
        <w:div w:id="1873498125">
          <w:marLeft w:val="0"/>
          <w:marRight w:val="0"/>
          <w:marTop w:val="0"/>
          <w:marBottom w:val="0"/>
          <w:divBdr>
            <w:top w:val="none" w:sz="0" w:space="0" w:color="auto"/>
            <w:left w:val="none" w:sz="0" w:space="0" w:color="auto"/>
            <w:bottom w:val="none" w:sz="0" w:space="0" w:color="auto"/>
            <w:right w:val="none" w:sz="0" w:space="0" w:color="auto"/>
          </w:divBdr>
        </w:div>
        <w:div w:id="316152149">
          <w:marLeft w:val="0"/>
          <w:marRight w:val="0"/>
          <w:marTop w:val="0"/>
          <w:marBottom w:val="0"/>
          <w:divBdr>
            <w:top w:val="none" w:sz="0" w:space="0" w:color="auto"/>
            <w:left w:val="none" w:sz="0" w:space="0" w:color="auto"/>
            <w:bottom w:val="none" w:sz="0" w:space="0" w:color="auto"/>
            <w:right w:val="none" w:sz="0" w:space="0" w:color="auto"/>
          </w:divBdr>
        </w:div>
      </w:divsChild>
    </w:div>
    <w:div w:id="2022274168">
      <w:bodyDiv w:val="1"/>
      <w:marLeft w:val="0"/>
      <w:marRight w:val="0"/>
      <w:marTop w:val="0"/>
      <w:marBottom w:val="0"/>
      <w:divBdr>
        <w:top w:val="none" w:sz="0" w:space="0" w:color="auto"/>
        <w:left w:val="none" w:sz="0" w:space="0" w:color="auto"/>
        <w:bottom w:val="none" w:sz="0" w:space="0" w:color="auto"/>
        <w:right w:val="none" w:sz="0" w:space="0" w:color="auto"/>
      </w:divBdr>
      <w:divsChild>
        <w:div w:id="539243337">
          <w:marLeft w:val="0"/>
          <w:marRight w:val="0"/>
          <w:marTop w:val="0"/>
          <w:marBottom w:val="0"/>
          <w:divBdr>
            <w:top w:val="none" w:sz="0" w:space="0" w:color="auto"/>
            <w:left w:val="none" w:sz="0" w:space="0" w:color="auto"/>
            <w:bottom w:val="none" w:sz="0" w:space="0" w:color="auto"/>
            <w:right w:val="none" w:sz="0" w:space="0" w:color="auto"/>
          </w:divBdr>
        </w:div>
        <w:div w:id="440685869">
          <w:marLeft w:val="0"/>
          <w:marRight w:val="0"/>
          <w:marTop w:val="0"/>
          <w:marBottom w:val="0"/>
          <w:divBdr>
            <w:top w:val="none" w:sz="0" w:space="0" w:color="auto"/>
            <w:left w:val="none" w:sz="0" w:space="0" w:color="auto"/>
            <w:bottom w:val="none" w:sz="0" w:space="0" w:color="auto"/>
            <w:right w:val="none" w:sz="0" w:space="0" w:color="auto"/>
          </w:divBdr>
        </w:div>
        <w:div w:id="1043017588">
          <w:marLeft w:val="0"/>
          <w:marRight w:val="0"/>
          <w:marTop w:val="0"/>
          <w:marBottom w:val="0"/>
          <w:divBdr>
            <w:top w:val="none" w:sz="0" w:space="0" w:color="auto"/>
            <w:left w:val="none" w:sz="0" w:space="0" w:color="auto"/>
            <w:bottom w:val="none" w:sz="0" w:space="0" w:color="auto"/>
            <w:right w:val="none" w:sz="0" w:space="0" w:color="auto"/>
          </w:divBdr>
        </w:div>
        <w:div w:id="421292548">
          <w:marLeft w:val="0"/>
          <w:marRight w:val="0"/>
          <w:marTop w:val="0"/>
          <w:marBottom w:val="0"/>
          <w:divBdr>
            <w:top w:val="none" w:sz="0" w:space="0" w:color="auto"/>
            <w:left w:val="none" w:sz="0" w:space="0" w:color="auto"/>
            <w:bottom w:val="none" w:sz="0" w:space="0" w:color="auto"/>
            <w:right w:val="none" w:sz="0" w:space="0" w:color="auto"/>
          </w:divBdr>
        </w:div>
        <w:div w:id="956181061">
          <w:marLeft w:val="0"/>
          <w:marRight w:val="0"/>
          <w:marTop w:val="0"/>
          <w:marBottom w:val="0"/>
          <w:divBdr>
            <w:top w:val="none" w:sz="0" w:space="0" w:color="auto"/>
            <w:left w:val="none" w:sz="0" w:space="0" w:color="auto"/>
            <w:bottom w:val="none" w:sz="0" w:space="0" w:color="auto"/>
            <w:right w:val="none" w:sz="0" w:space="0" w:color="auto"/>
          </w:divBdr>
        </w:div>
        <w:div w:id="489298278">
          <w:marLeft w:val="0"/>
          <w:marRight w:val="0"/>
          <w:marTop w:val="0"/>
          <w:marBottom w:val="0"/>
          <w:divBdr>
            <w:top w:val="none" w:sz="0" w:space="0" w:color="auto"/>
            <w:left w:val="none" w:sz="0" w:space="0" w:color="auto"/>
            <w:bottom w:val="none" w:sz="0" w:space="0" w:color="auto"/>
            <w:right w:val="none" w:sz="0" w:space="0" w:color="auto"/>
          </w:divBdr>
        </w:div>
        <w:div w:id="1657031092">
          <w:marLeft w:val="0"/>
          <w:marRight w:val="0"/>
          <w:marTop w:val="0"/>
          <w:marBottom w:val="0"/>
          <w:divBdr>
            <w:top w:val="none" w:sz="0" w:space="0" w:color="auto"/>
            <w:left w:val="none" w:sz="0" w:space="0" w:color="auto"/>
            <w:bottom w:val="none" w:sz="0" w:space="0" w:color="auto"/>
            <w:right w:val="none" w:sz="0" w:space="0" w:color="auto"/>
          </w:divBdr>
        </w:div>
        <w:div w:id="217936973">
          <w:marLeft w:val="0"/>
          <w:marRight w:val="0"/>
          <w:marTop w:val="0"/>
          <w:marBottom w:val="0"/>
          <w:divBdr>
            <w:top w:val="none" w:sz="0" w:space="0" w:color="auto"/>
            <w:left w:val="none" w:sz="0" w:space="0" w:color="auto"/>
            <w:bottom w:val="none" w:sz="0" w:space="0" w:color="auto"/>
            <w:right w:val="none" w:sz="0" w:space="0" w:color="auto"/>
          </w:divBdr>
        </w:div>
        <w:div w:id="1524826795">
          <w:marLeft w:val="0"/>
          <w:marRight w:val="0"/>
          <w:marTop w:val="0"/>
          <w:marBottom w:val="0"/>
          <w:divBdr>
            <w:top w:val="none" w:sz="0" w:space="0" w:color="auto"/>
            <w:left w:val="none" w:sz="0" w:space="0" w:color="auto"/>
            <w:bottom w:val="none" w:sz="0" w:space="0" w:color="auto"/>
            <w:right w:val="none" w:sz="0" w:space="0" w:color="auto"/>
          </w:divBdr>
        </w:div>
        <w:div w:id="15958932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meetings/de/details.jsp?meeting_id=2978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pov.int/about/de/benefits_upov_system.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D01BD-D996-4179-8A8D-4A8580485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tc_50_EN.dotx</Template>
  <TotalTime>1058</TotalTime>
  <Pages>19</Pages>
  <Words>6474</Words>
  <Characters>48028</Characters>
  <Application>Microsoft Office Word</Application>
  <DocSecurity>0</DocSecurity>
  <Lines>400</Lines>
  <Paragraphs>108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tc_5_xx_xxx</vt:lpstr>
      <vt:lpstr>tc_5_xx_xxx</vt:lpstr>
    </vt:vector>
  </TitlesOfParts>
  <Company>UPOV</Company>
  <LinksUpToDate>false</LinksUpToDate>
  <CharactersWithSpaces>54394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SANCHEZ-VIZCAINO GOMEZ Rosa Maria</cp:lastModifiedBy>
  <cp:revision>168</cp:revision>
  <cp:lastPrinted>2014-03-03T15:31:00Z</cp:lastPrinted>
  <dcterms:created xsi:type="dcterms:W3CDTF">2014-02-13T12:51:00Z</dcterms:created>
  <dcterms:modified xsi:type="dcterms:W3CDTF">2014-03-03T15:31:00Z</dcterms:modified>
</cp:coreProperties>
</file>