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0116C" w:rsidRPr="0070116C" w:rsidTr="008E31A0">
        <w:trPr>
          <w:trHeight w:val="1760"/>
        </w:trPr>
        <w:tc>
          <w:tcPr>
            <w:tcW w:w="4243" w:type="dxa"/>
          </w:tcPr>
          <w:p w:rsidR="0070116C" w:rsidRPr="0070116C" w:rsidRDefault="0070116C" w:rsidP="00907AD7">
            <w:pPr>
              <w:rPr>
                <w:lang w:val="de-DE" w:eastAsia="de-DE" w:bidi="de-DE"/>
              </w:rPr>
            </w:pPr>
          </w:p>
        </w:tc>
        <w:tc>
          <w:tcPr>
            <w:tcW w:w="1646" w:type="dxa"/>
            <w:vAlign w:val="center"/>
          </w:tcPr>
          <w:p w:rsidR="0070116C" w:rsidRPr="0070116C" w:rsidRDefault="0070116C" w:rsidP="00907AD7">
            <w:pPr>
              <w:spacing w:before="720"/>
              <w:jc w:val="center"/>
              <w:rPr>
                <w:lang w:val="de-DE" w:eastAsia="de-DE" w:bidi="de-DE"/>
              </w:rPr>
            </w:pPr>
            <w:r w:rsidRPr="0070116C">
              <w:rPr>
                <w:noProof/>
              </w:rPr>
              <w:drawing>
                <wp:inline distT="0" distB="0" distL="0" distR="0" wp14:anchorId="4D504420" wp14:editId="1B525C2A">
                  <wp:extent cx="981710" cy="481330"/>
                  <wp:effectExtent l="0" t="0" r="8890" b="0"/>
                  <wp:docPr id="1"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0116C" w:rsidRPr="0070116C" w:rsidRDefault="0070116C" w:rsidP="00907AD7">
            <w:pPr>
              <w:spacing w:after="120" w:line="340" w:lineRule="atLeast"/>
              <w:jc w:val="right"/>
              <w:rPr>
                <w:b/>
                <w:bCs/>
                <w:sz w:val="56"/>
                <w:lang w:val="de-DE" w:eastAsia="de-DE" w:bidi="de-DE"/>
              </w:rPr>
            </w:pPr>
            <w:r w:rsidRPr="0070116C">
              <w:rPr>
                <w:b/>
                <w:bCs/>
                <w:sz w:val="56"/>
                <w:lang w:val="de-DE" w:eastAsia="de-DE" w:bidi="de-DE"/>
              </w:rPr>
              <w:t>G</w:t>
            </w:r>
          </w:p>
          <w:p w:rsidR="0070116C" w:rsidRPr="0070116C" w:rsidRDefault="0070116C" w:rsidP="00907AD7">
            <w:pPr>
              <w:spacing w:line="280" w:lineRule="exact"/>
              <w:ind w:left="1361"/>
              <w:jc w:val="left"/>
              <w:rPr>
                <w:b/>
                <w:bCs/>
                <w:spacing w:val="10"/>
                <w:lang w:val="de-DE" w:eastAsia="de-DE" w:bidi="de-DE"/>
              </w:rPr>
            </w:pPr>
            <w:r w:rsidRPr="0070116C">
              <w:rPr>
                <w:b/>
                <w:bCs/>
                <w:spacing w:val="10"/>
                <w:lang w:val="de-DE" w:eastAsia="de-DE" w:bidi="de-DE"/>
              </w:rPr>
              <w:t>CAJ-AG/14/</w:t>
            </w:r>
            <w:bookmarkStart w:id="0" w:name="Code"/>
            <w:bookmarkEnd w:id="0"/>
            <w:r w:rsidRPr="0070116C">
              <w:rPr>
                <w:b/>
                <w:bCs/>
                <w:spacing w:val="10"/>
                <w:lang w:val="de-DE" w:eastAsia="de-DE" w:bidi="de-DE"/>
              </w:rPr>
              <w:t>9/6</w:t>
            </w:r>
          </w:p>
          <w:p w:rsidR="0070116C" w:rsidRPr="0070116C" w:rsidRDefault="0070116C" w:rsidP="00907AD7">
            <w:pPr>
              <w:spacing w:line="280" w:lineRule="exact"/>
              <w:ind w:left="1361"/>
              <w:jc w:val="left"/>
              <w:rPr>
                <w:b/>
                <w:bCs/>
                <w:spacing w:val="10"/>
                <w:lang w:val="de-DE" w:eastAsia="de-DE" w:bidi="de-DE"/>
              </w:rPr>
            </w:pPr>
            <w:r w:rsidRPr="0070116C">
              <w:rPr>
                <w:b/>
                <w:lang w:val="de-DE" w:eastAsia="de-DE" w:bidi="de-DE"/>
              </w:rPr>
              <w:t>ORIGINAL:</w:t>
            </w:r>
            <w:r w:rsidRPr="0070116C">
              <w:rPr>
                <w:lang w:val="de-DE" w:eastAsia="de-DE" w:bidi="de-DE"/>
              </w:rPr>
              <w:t xml:space="preserve"> </w:t>
            </w:r>
            <w:bookmarkStart w:id="1" w:name="Original"/>
            <w:bookmarkEnd w:id="1"/>
            <w:r w:rsidRPr="0070116C">
              <w:rPr>
                <w:bCs/>
                <w:lang w:val="de-DE" w:eastAsia="de-DE" w:bidi="de-DE"/>
              </w:rPr>
              <w:t>englisch</w:t>
            </w:r>
          </w:p>
          <w:p w:rsidR="0070116C" w:rsidRPr="0070116C" w:rsidRDefault="0070116C" w:rsidP="00907AD7">
            <w:pPr>
              <w:spacing w:line="280" w:lineRule="exact"/>
              <w:ind w:left="1361"/>
              <w:jc w:val="left"/>
              <w:rPr>
                <w:bCs/>
                <w:lang w:val="de-DE" w:eastAsia="de-DE" w:bidi="de-DE"/>
              </w:rPr>
            </w:pPr>
            <w:r w:rsidRPr="0070116C">
              <w:rPr>
                <w:b/>
                <w:bCs/>
                <w:spacing w:val="10"/>
                <w:lang w:val="de-DE" w:eastAsia="de-DE" w:bidi="de-DE"/>
              </w:rPr>
              <w:t>DATUM:</w:t>
            </w:r>
            <w:r w:rsidRPr="0070116C">
              <w:rPr>
                <w:bCs/>
                <w:lang w:val="de-DE" w:eastAsia="de-DE" w:bidi="de-DE"/>
              </w:rPr>
              <w:t xml:space="preserve"> </w:t>
            </w:r>
            <w:bookmarkStart w:id="2" w:name="Date"/>
            <w:bookmarkEnd w:id="2"/>
            <w:r w:rsidRPr="0070116C">
              <w:rPr>
                <w:bCs/>
                <w:lang w:val="de-DE" w:eastAsia="de-DE" w:bidi="de-DE"/>
              </w:rPr>
              <w:t>17. Oktober 2014</w:t>
            </w:r>
          </w:p>
        </w:tc>
      </w:tr>
      <w:tr w:rsidR="0070116C" w:rsidRPr="0070116C" w:rsidTr="008E31A0">
        <w:tc>
          <w:tcPr>
            <w:tcW w:w="10131" w:type="dxa"/>
            <w:gridSpan w:val="3"/>
          </w:tcPr>
          <w:p w:rsidR="0070116C" w:rsidRPr="0070116C" w:rsidRDefault="0070116C" w:rsidP="00907AD7">
            <w:pPr>
              <w:spacing w:before="60"/>
              <w:jc w:val="center"/>
              <w:rPr>
                <w:b/>
                <w:bCs/>
                <w:spacing w:val="8"/>
                <w:sz w:val="28"/>
                <w:lang w:val="de-DE" w:eastAsia="de-DE" w:bidi="de-DE"/>
              </w:rPr>
            </w:pPr>
            <w:r w:rsidRPr="0070116C">
              <w:rPr>
                <w:b/>
                <w:bCs/>
                <w:spacing w:val="8"/>
                <w:sz w:val="24"/>
                <w:lang w:val="de-DE" w:eastAsia="de-DE" w:bidi="de-DE"/>
              </w:rPr>
              <w:t xml:space="preserve">INTERNATIONALER VERBAND ZUM SCHUTZ VON PFLANZENZÜCHTUNGEN </w:t>
            </w:r>
          </w:p>
        </w:tc>
      </w:tr>
      <w:tr w:rsidR="0070116C" w:rsidRPr="0070116C" w:rsidTr="008E31A0">
        <w:tc>
          <w:tcPr>
            <w:tcW w:w="10131" w:type="dxa"/>
            <w:gridSpan w:val="3"/>
          </w:tcPr>
          <w:p w:rsidR="0070116C" w:rsidRPr="0070116C" w:rsidRDefault="0070116C" w:rsidP="00907AD7">
            <w:pPr>
              <w:spacing w:before="60" w:after="480"/>
              <w:jc w:val="center"/>
              <w:rPr>
                <w:lang w:val="de-DE" w:eastAsia="de-DE" w:bidi="de-DE"/>
              </w:rPr>
            </w:pPr>
            <w:r w:rsidRPr="0070116C">
              <w:rPr>
                <w:lang w:val="de-DE" w:eastAsia="de-DE" w:bidi="de-DE"/>
              </w:rPr>
              <w:t>Genf</w:t>
            </w:r>
          </w:p>
        </w:tc>
      </w:tr>
    </w:tbl>
    <w:p w:rsidR="0070116C" w:rsidRPr="0070116C" w:rsidRDefault="0070116C" w:rsidP="00907AD7">
      <w:pPr>
        <w:spacing w:before="240"/>
        <w:jc w:val="center"/>
        <w:rPr>
          <w:b/>
          <w:bCs/>
          <w:caps/>
          <w:kern w:val="28"/>
          <w:sz w:val="24"/>
          <w:lang w:val="de-DE" w:eastAsia="de-DE" w:bidi="de-DE"/>
        </w:rPr>
      </w:pPr>
      <w:r w:rsidRPr="0070116C">
        <w:rPr>
          <w:b/>
          <w:bCs/>
          <w:caps/>
          <w:kern w:val="28"/>
          <w:sz w:val="24"/>
          <w:lang w:val="de-DE" w:eastAsia="de-DE" w:bidi="de-DE"/>
        </w:rPr>
        <w:t>BERATUNGSGRUPPE DES VERWALTUNGS- UND RECHTSAUSSCHUSSES</w:t>
      </w:r>
    </w:p>
    <w:p w:rsidR="0070116C" w:rsidRPr="0070116C" w:rsidRDefault="0070116C" w:rsidP="00907AD7">
      <w:pPr>
        <w:spacing w:before="240"/>
        <w:jc w:val="center"/>
        <w:rPr>
          <w:b/>
          <w:bCs/>
          <w:kern w:val="28"/>
          <w:sz w:val="24"/>
          <w:lang w:val="de-DE" w:eastAsia="de-DE" w:bidi="de-DE"/>
        </w:rPr>
      </w:pPr>
      <w:r w:rsidRPr="0070116C">
        <w:rPr>
          <w:b/>
          <w:bCs/>
          <w:kern w:val="28"/>
          <w:sz w:val="24"/>
          <w:lang w:val="de-DE" w:eastAsia="de-DE" w:bidi="de-DE"/>
        </w:rPr>
        <w:t>Neunte Tagung</w:t>
      </w:r>
      <w:r w:rsidRPr="0070116C">
        <w:rPr>
          <w:b/>
          <w:bCs/>
          <w:kern w:val="28"/>
          <w:sz w:val="24"/>
          <w:lang w:val="de-DE" w:eastAsia="de-DE" w:bidi="de-DE"/>
        </w:rPr>
        <w:br/>
        <w:t>Genf, 14. und 17. Oktober 2014</w:t>
      </w:r>
    </w:p>
    <w:p w:rsidR="0070116C" w:rsidRPr="0070116C" w:rsidRDefault="0070116C" w:rsidP="00907AD7">
      <w:pPr>
        <w:spacing w:before="600"/>
        <w:jc w:val="center"/>
        <w:rPr>
          <w:caps/>
          <w:lang w:val="de-DE" w:eastAsia="de-DE" w:bidi="de-DE"/>
        </w:rPr>
      </w:pPr>
      <w:bookmarkStart w:id="3" w:name="TitleOfDoc"/>
      <w:bookmarkEnd w:id="3"/>
      <w:r w:rsidRPr="0070116C">
        <w:rPr>
          <w:caps/>
          <w:lang w:val="de-DE" w:eastAsia="de-DE" w:bidi="de-DE"/>
        </w:rPr>
        <w:t>BERICHT ÜBER DIE ENTSCHLIESSUNGEN</w:t>
      </w:r>
    </w:p>
    <w:p w:rsidR="0070116C" w:rsidRPr="0070116C" w:rsidRDefault="0070116C" w:rsidP="00907AD7">
      <w:pPr>
        <w:spacing w:before="240" w:after="600"/>
        <w:jc w:val="center"/>
        <w:rPr>
          <w:i/>
          <w:lang w:val="de-DE" w:eastAsia="de-DE" w:bidi="de-DE"/>
        </w:rPr>
      </w:pPr>
      <w:bookmarkStart w:id="4" w:name="Prepared"/>
      <w:bookmarkEnd w:id="4"/>
      <w:r w:rsidRPr="0070116C">
        <w:rPr>
          <w:i/>
          <w:lang w:val="de-DE" w:eastAsia="de-DE" w:bidi="de-DE"/>
        </w:rPr>
        <w:t>Von der Beratungsgruppe des Verwaltungs- und Rechtsausschusses angenommen</w:t>
      </w:r>
      <w:r w:rsidRPr="0070116C">
        <w:rPr>
          <w:i/>
          <w:lang w:val="de-DE" w:eastAsia="de-DE" w:bidi="de-DE"/>
        </w:rPr>
        <w:br/>
      </w:r>
      <w:r w:rsidRPr="0070116C">
        <w:rPr>
          <w:i/>
          <w:lang w:val="de-DE" w:eastAsia="de-DE" w:bidi="de-DE"/>
        </w:rPr>
        <w:br/>
      </w:r>
      <w:r w:rsidRPr="0070116C">
        <w:rPr>
          <w:i/>
          <w:color w:val="A6A6A6" w:themeColor="background1" w:themeShade="A6"/>
          <w:lang w:val="de-DE" w:eastAsia="de-DE" w:bidi="de-DE"/>
        </w:rPr>
        <w:t>Haftungsausschluß:  dieses Dokument gibt nicht die Grundsätze oder eine Anleitung der UPOV wieder</w:t>
      </w:r>
    </w:p>
    <w:p w:rsidR="0070116C" w:rsidRPr="0070116C" w:rsidRDefault="0070116C" w:rsidP="00907AD7">
      <w:pPr>
        <w:keepNext/>
        <w:rPr>
          <w:u w:val="single"/>
          <w:lang w:val="de-DE" w:eastAsia="de-DE" w:bidi="de-DE"/>
        </w:rPr>
      </w:pPr>
      <w:r w:rsidRPr="0070116C">
        <w:rPr>
          <w:u w:val="single"/>
          <w:lang w:val="de-DE" w:eastAsia="de-DE" w:bidi="de-DE"/>
        </w:rPr>
        <w:t>Eröffnung der Tagung</w:t>
      </w:r>
    </w:p>
    <w:p w:rsidR="0070116C" w:rsidRPr="0070116C" w:rsidRDefault="0070116C" w:rsidP="00907AD7">
      <w:pPr>
        <w:keepNext/>
        <w:rPr>
          <w:lang w:val="de-DE" w:eastAsia="de-DE" w:bidi="de-DE"/>
        </w:rPr>
      </w:pPr>
    </w:p>
    <w:p w:rsidR="0070116C" w:rsidRPr="0097366A" w:rsidRDefault="0070116C" w:rsidP="00907AD7">
      <w:pPr>
        <w:rPr>
          <w:spacing w:val="-2"/>
          <w:lang w:val="de-DE" w:eastAsia="de-DE" w:bidi="de-DE"/>
        </w:rPr>
      </w:pPr>
      <w:r w:rsidRPr="0097366A">
        <w:rPr>
          <w:spacing w:val="-2"/>
          <w:szCs w:val="24"/>
          <w:lang w:val="de-DE" w:eastAsia="de-DE" w:bidi="de-DE"/>
        </w:rPr>
        <w:fldChar w:fldCharType="begin"/>
      </w:r>
      <w:r w:rsidRPr="0097366A">
        <w:rPr>
          <w:spacing w:val="-2"/>
          <w:szCs w:val="24"/>
          <w:lang w:val="de-DE" w:eastAsia="de-DE" w:bidi="de-DE"/>
        </w:rPr>
        <w:instrText xml:space="preserve"> AUTONUM  </w:instrText>
      </w:r>
      <w:r w:rsidRPr="0097366A">
        <w:rPr>
          <w:spacing w:val="-2"/>
          <w:szCs w:val="24"/>
          <w:lang w:val="de-DE" w:eastAsia="de-DE" w:bidi="de-DE"/>
        </w:rPr>
        <w:fldChar w:fldCharType="end"/>
      </w:r>
      <w:r w:rsidRPr="0097366A">
        <w:rPr>
          <w:spacing w:val="-2"/>
          <w:lang w:val="de-DE" w:eastAsia="de-DE" w:bidi="de-DE"/>
        </w:rPr>
        <w:tab/>
        <w:t>Die Beratungsgruppe des Verwaltungs- und Rechtsausschusses (CAJ</w:t>
      </w:r>
      <w:r w:rsidR="0097366A" w:rsidRPr="0097366A">
        <w:rPr>
          <w:spacing w:val="-2"/>
          <w:lang w:val="de-DE" w:eastAsia="de-DE" w:bidi="de-DE"/>
        </w:rPr>
        <w:noBreakHyphen/>
        <w:t>AG) hielt ihr neunte Tagung am </w:t>
      </w:r>
      <w:r w:rsidRPr="0097366A">
        <w:rPr>
          <w:spacing w:val="-2"/>
          <w:lang w:val="de-DE" w:eastAsia="de-DE" w:bidi="de-DE"/>
        </w:rPr>
        <w:t>14. und 17. Oktober 2014 unter dem Vorsitz des Stellvertretenden Generalsekretärs der UPOV in Genf ab.</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Die Teilnehmerliste ist der Anlage dieses Berichts zu entnehmen.  </w:t>
      </w:r>
    </w:p>
    <w:p w:rsidR="0070116C" w:rsidRPr="0070116C" w:rsidRDefault="0070116C" w:rsidP="00907AD7">
      <w:pPr>
        <w:rPr>
          <w:lang w:val="de-DE" w:eastAsia="de-DE" w:bidi="de-DE"/>
        </w:rPr>
      </w:pPr>
    </w:p>
    <w:p w:rsidR="0070116C" w:rsidRPr="0070116C" w:rsidRDefault="0070116C" w:rsidP="00907AD7">
      <w:pPr>
        <w:keepNext/>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nahm zur Kenntnis, daß der Verwaltungs- und Rechtsausschuß (CAJ) auf seiner siebzigsten Tagung am 13. Oktober 2014 folgendes vereinbart hat:</w:t>
      </w:r>
    </w:p>
    <w:p w:rsidR="0070116C" w:rsidRPr="0070116C" w:rsidRDefault="0070116C" w:rsidP="00907AD7">
      <w:pPr>
        <w:keepNext/>
        <w:rPr>
          <w:lang w:val="de-DE" w:eastAsia="de-DE" w:bidi="de-DE"/>
        </w:rPr>
      </w:pPr>
    </w:p>
    <w:p w:rsidR="0070116C" w:rsidRPr="0070116C" w:rsidRDefault="0070116C" w:rsidP="00907AD7">
      <w:pPr>
        <w:tabs>
          <w:tab w:val="left" w:pos="567"/>
        </w:tabs>
        <w:ind w:left="567" w:right="567"/>
        <w:rPr>
          <w:sz w:val="18"/>
          <w:lang w:val="de-DE" w:eastAsia="de-DE" w:bidi="de-DE"/>
        </w:rPr>
      </w:pPr>
      <w:r w:rsidRPr="0070116C">
        <w:rPr>
          <w:sz w:val="18"/>
          <w:lang w:val="de-DE" w:eastAsia="de-DE" w:bidi="de-DE"/>
        </w:rPr>
        <w:t>„38.</w:t>
      </w:r>
      <w:r w:rsidRPr="0070116C">
        <w:rPr>
          <w:lang w:val="de-DE" w:eastAsia="de-DE" w:bidi="de-DE"/>
        </w:rPr>
        <w:tab/>
      </w:r>
      <w:r w:rsidRPr="0070116C">
        <w:rPr>
          <w:sz w:val="18"/>
          <w:lang w:val="de-DE" w:eastAsia="de-DE" w:bidi="de-DE"/>
        </w:rPr>
        <w:t xml:space="preserve">Der CAJ vereinbarte, daß alle Angelegenheiten, die von der CAJ-AG auf ihrer neunten Tagung geprüft werden, nach der neunten Tagung der CAJ-AG vom CAJ geprüft werden sollten und daß die CAJ AG nur auf Ad-hoc-Basis, wenn vom CAJ für zweckmäßig erachtet, einberufen werden sollte.  </w:t>
      </w:r>
    </w:p>
    <w:p w:rsidR="0070116C" w:rsidRPr="0070116C" w:rsidRDefault="0070116C" w:rsidP="00907AD7">
      <w:pPr>
        <w:tabs>
          <w:tab w:val="left" w:pos="567"/>
        </w:tabs>
        <w:ind w:left="567" w:right="567"/>
        <w:rPr>
          <w:sz w:val="18"/>
          <w:lang w:val="de-DE" w:eastAsia="de-DE" w:bidi="de-DE"/>
        </w:rPr>
      </w:pPr>
    </w:p>
    <w:p w:rsidR="0070116C" w:rsidRPr="0070116C" w:rsidRDefault="0070116C" w:rsidP="00907AD7">
      <w:pPr>
        <w:tabs>
          <w:tab w:val="left" w:pos="567"/>
        </w:tabs>
        <w:ind w:left="567" w:right="567"/>
        <w:rPr>
          <w:sz w:val="18"/>
          <w:lang w:val="de-DE" w:eastAsia="de-DE" w:bidi="de-DE"/>
        </w:rPr>
      </w:pPr>
      <w:r w:rsidRPr="0070116C">
        <w:rPr>
          <w:sz w:val="18"/>
          <w:lang w:val="de-DE" w:eastAsia="de-DE" w:bidi="de-DE"/>
        </w:rPr>
        <w:t>39.</w:t>
      </w:r>
      <w:r w:rsidRPr="0070116C">
        <w:rPr>
          <w:lang w:val="de-DE" w:eastAsia="de-DE" w:bidi="de-DE"/>
        </w:rPr>
        <w:tab/>
      </w:r>
      <w:r w:rsidRPr="0070116C">
        <w:rPr>
          <w:sz w:val="18"/>
          <w:lang w:val="de-DE" w:eastAsia="de-DE" w:bidi="de-DE"/>
        </w:rPr>
        <w:t>Auf dieser Grundlage ersuchte der CAJ die CAJ-AG, daß sie auf ihrer neunten Tagung den CAJ über diejenigen Dokumente unterrichten sollte, die auf der einundsiebzigsten Tagung des CAJ im März 2015 zu prüfen sind.</w:t>
      </w:r>
      <w:r w:rsidR="007F2867">
        <w:rPr>
          <w:sz w:val="18"/>
          <w:lang w:val="de-DE" w:eastAsia="de-DE" w:bidi="de-DE"/>
        </w:rPr>
        <w:t>“</w:t>
      </w:r>
    </w:p>
    <w:p w:rsidR="0070116C" w:rsidRPr="0070116C" w:rsidRDefault="0070116C" w:rsidP="00907AD7">
      <w:pPr>
        <w:tabs>
          <w:tab w:val="left" w:pos="567"/>
        </w:tabs>
        <w:ind w:left="567"/>
        <w:rPr>
          <w:lang w:val="de-DE" w:eastAsia="de-DE" w:bidi="de-DE"/>
        </w:rPr>
      </w:pPr>
    </w:p>
    <w:p w:rsidR="0070116C" w:rsidRPr="0070116C" w:rsidRDefault="0070116C" w:rsidP="00907AD7">
      <w:pPr>
        <w:tabs>
          <w:tab w:val="left" w:pos="567"/>
        </w:tabs>
        <w:rPr>
          <w:lang w:val="de-DE" w:eastAsia="de-DE" w:bidi="de-DE"/>
        </w:rPr>
      </w:pPr>
      <w:r w:rsidRPr="0070116C">
        <w:rPr>
          <w:lang w:val="de-DE" w:eastAsia="de-DE" w:bidi="de-DE"/>
        </w:rPr>
        <w:t>(vergleiche Dokument CAJ/70/10 „Bericht über die Entschließungen”, Absätze 38 und 39).</w:t>
      </w:r>
    </w:p>
    <w:p w:rsidR="0070116C" w:rsidRPr="0070116C" w:rsidRDefault="0070116C" w:rsidP="00907AD7">
      <w:pPr>
        <w:rPr>
          <w:lang w:val="de-DE" w:eastAsia="de-DE" w:bidi="de-DE"/>
        </w:rPr>
      </w:pPr>
    </w:p>
    <w:p w:rsidR="0070116C" w:rsidRPr="0070116C" w:rsidRDefault="0070116C" w:rsidP="00907AD7">
      <w:pPr>
        <w:rPr>
          <w:rFonts w:cs="Arial"/>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Der Vorsitzende rief in Erinnerung, daß die CAJ-AG auf dem Schriftweg vereinbart hatte, Ad-hoc-Einladungen an die Organisationen zu schicken, deren Einladung die CAJ</w:t>
      </w:r>
      <w:r w:rsidRPr="0070116C">
        <w:rPr>
          <w:lang w:val="de-DE" w:eastAsia="de-DE" w:bidi="de-DE"/>
        </w:rPr>
        <w:noBreakHyphen/>
        <w:t>AG zuvor vereinbarte hatte, um ihnen zu ermöglichen, ihre Ansichten zu wichtigen Angelegenheiten auch weiterhin darlegen zu können (vergleiche Dokument CAJ-AG/13/8/10 „Bericht“, Absatz 83). Auf dieser Grundlage wurden folgende Organisationen zur Teilnahme an den einschlägigen Teilen der neunten Tagung der CAJ</w:t>
      </w:r>
      <w:r w:rsidRPr="0070116C">
        <w:rPr>
          <w:lang w:val="de-DE" w:eastAsia="de-DE" w:bidi="de-DE"/>
        </w:rPr>
        <w:noBreakHyphen/>
        <w:t>AG eingeladen:  der Internationale Verband des Erwerbsgartenbaus (AIPH), die Vereinigung für Pflanzenzüchtung zum Nutzen der Gesellschaft (APBREBES), die Internationale Gemeinschaft der Züchter vegetativ vermehrbarer Zier- und Obstpflanzen (CIOPORA), CropLife International, der Europäische Saatgutverband (ESA) und der International Seed Federation (ISF).</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nahm zur Kenntnis, daß die im Beisein von Beobachtern geführten Erörterungen in einem detaillierten Bericht dargelegt würden.</w:t>
      </w:r>
    </w:p>
    <w:p w:rsidR="0070116C" w:rsidRPr="0070116C" w:rsidRDefault="0070116C" w:rsidP="00907AD7">
      <w:pPr>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Annahme der Tagesordnung</w:t>
      </w:r>
    </w:p>
    <w:p w:rsidR="0070116C" w:rsidRPr="0070116C" w:rsidRDefault="0070116C" w:rsidP="00907AD7">
      <w:pPr>
        <w:keepNext/>
        <w:rPr>
          <w:rFonts w:cs="Arial"/>
          <w:snapToGrid w:val="0"/>
          <w:szCs w:val="26"/>
          <w:lang w:val="de-DE" w:eastAsia="de-DE" w:bidi="de-DE"/>
        </w:rPr>
      </w:pPr>
    </w:p>
    <w:p w:rsidR="0070116C" w:rsidRPr="0070116C" w:rsidRDefault="0070116C" w:rsidP="008A13EF">
      <w:pPr>
        <w:spacing w:after="480"/>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nahm den Entwurf der Tagesordnung, wie in Dokument CAJ-AG/14/9/1 Rev. dargelegt, an.</w:t>
      </w:r>
    </w:p>
    <w:p w:rsidR="0070116C" w:rsidRPr="0070116C" w:rsidRDefault="0070116C" w:rsidP="00907AD7">
      <w:pPr>
        <w:keepNext/>
        <w:outlineLvl w:val="1"/>
        <w:rPr>
          <w:u w:val="single"/>
          <w:lang w:val="de-DE" w:eastAsia="de-DE" w:bidi="de-DE"/>
        </w:rPr>
      </w:pPr>
      <w:r w:rsidRPr="0070116C">
        <w:rPr>
          <w:u w:val="single"/>
          <w:lang w:val="de-DE" w:eastAsia="de-DE" w:bidi="de-DE"/>
        </w:rPr>
        <w:lastRenderedPageBreak/>
        <w:t>Erläuterungen zu Vermehrung und Vermehrungsmaterial nach dem UPOV-Übereinkommen</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r w:rsidRPr="0070116C">
        <w:rPr>
          <w:rFonts w:cs="Arial"/>
          <w:lang w:val="de-DE" w:eastAsia="de-DE" w:bidi="de-DE"/>
        </w:rPr>
        <w:fldChar w:fldCharType="begin"/>
      </w:r>
      <w:r w:rsidRPr="0070116C">
        <w:rPr>
          <w:rFonts w:cs="Arial"/>
          <w:lang w:val="de-DE" w:eastAsia="de-DE" w:bidi="de-DE"/>
        </w:rPr>
        <w:instrText xml:space="preserve"> AUTONUM  </w:instrText>
      </w:r>
      <w:r w:rsidRPr="0070116C">
        <w:rPr>
          <w:rFonts w:cs="Arial"/>
          <w:lang w:val="de-DE" w:eastAsia="de-DE" w:bidi="de-DE"/>
        </w:rPr>
        <w:fldChar w:fldCharType="end"/>
      </w:r>
      <w:r w:rsidRPr="0070116C">
        <w:rPr>
          <w:lang w:val="de-DE" w:eastAsia="de-DE" w:bidi="de-DE"/>
        </w:rPr>
        <w:tab/>
        <w:t>Die CAJ-AG prüfte Dokument UPOV/EXN/PPM/1 Draft 3 und die Darlegung von Ansichten durch APBREBES, CIOPORA und ESA.</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vereinbarte folgende Änderungen an Dokument UPOV/EXN/PPM/1 Draft 3:</w:t>
      </w:r>
    </w:p>
    <w:p w:rsidR="0070116C" w:rsidRPr="0070116C" w:rsidRDefault="0070116C" w:rsidP="00907AD7">
      <w:pPr>
        <w:rPr>
          <w:rFonts w:cs="Arial"/>
          <w:lang w:val="de-DE" w:eastAsia="de-DE" w:bidi="de-DE"/>
        </w:rPr>
      </w:pPr>
    </w:p>
    <w:tbl>
      <w:tblPr>
        <w:tblW w:w="9272" w:type="dxa"/>
        <w:tblInd w:w="4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115" w:type="dxa"/>
        </w:tblCellMar>
        <w:tblLook w:val="0000" w:firstRow="0" w:lastRow="0" w:firstColumn="0" w:lastColumn="0" w:noHBand="0" w:noVBand="0"/>
      </w:tblPr>
      <w:tblGrid>
        <w:gridCol w:w="1483"/>
        <w:gridCol w:w="7789"/>
      </w:tblGrid>
      <w:tr w:rsidR="0070116C" w:rsidRPr="0070116C" w:rsidTr="00F07A7C">
        <w:trPr>
          <w:cantSplit/>
        </w:trPr>
        <w:tc>
          <w:tcPr>
            <w:tcW w:w="1483" w:type="dxa"/>
          </w:tcPr>
          <w:p w:rsidR="0070116C" w:rsidRPr="0070116C" w:rsidRDefault="0070116C" w:rsidP="00907AD7">
            <w:pPr>
              <w:spacing w:before="40" w:after="40"/>
              <w:rPr>
                <w:rFonts w:cs="Arial"/>
                <w:lang w:val="de-DE" w:eastAsia="de-DE" w:bidi="de-DE"/>
              </w:rPr>
            </w:pPr>
            <w:r w:rsidRPr="0070116C">
              <w:rPr>
                <w:lang w:val="de-DE" w:eastAsia="de-DE" w:bidi="de-DE"/>
              </w:rPr>
              <w:t>Allgemein</w:t>
            </w:r>
          </w:p>
        </w:tc>
        <w:tc>
          <w:tcPr>
            <w:tcW w:w="7789" w:type="dxa"/>
          </w:tcPr>
          <w:p w:rsidR="0070116C" w:rsidRPr="0070116C" w:rsidRDefault="0070116C" w:rsidP="00907AD7">
            <w:pPr>
              <w:spacing w:before="40" w:after="40"/>
              <w:rPr>
                <w:snapToGrid w:val="0"/>
                <w:lang w:val="de-DE" w:eastAsia="de-DE" w:bidi="de-DE"/>
              </w:rPr>
            </w:pPr>
            <w:r w:rsidRPr="0070116C">
              <w:rPr>
                <w:lang w:val="de-DE" w:eastAsia="de-DE" w:bidi="de-DE"/>
              </w:rPr>
              <w:t>Der Begriff „Vermehrung und Vermehrungsmaterial“ ist im Titel und im gesamten Dokument durch „Vermehrungsmaterial“ zu ersetzen.</w:t>
            </w:r>
          </w:p>
        </w:tc>
      </w:tr>
      <w:tr w:rsidR="0070116C" w:rsidRPr="0070116C" w:rsidTr="00F07A7C">
        <w:trPr>
          <w:cantSplit/>
        </w:trPr>
        <w:tc>
          <w:tcPr>
            <w:tcW w:w="1483" w:type="dxa"/>
          </w:tcPr>
          <w:p w:rsidR="0070116C" w:rsidRPr="0070116C" w:rsidRDefault="0070116C" w:rsidP="00907AD7">
            <w:pPr>
              <w:spacing w:before="40" w:after="40"/>
              <w:rPr>
                <w:rFonts w:cs="Arial"/>
                <w:lang w:val="de-DE" w:eastAsia="de-DE" w:bidi="de-DE"/>
              </w:rPr>
            </w:pPr>
            <w:r w:rsidRPr="0070116C">
              <w:rPr>
                <w:lang w:val="de-DE" w:eastAsia="de-DE" w:bidi="de-DE"/>
              </w:rPr>
              <w:t>1.</w:t>
            </w:r>
          </w:p>
        </w:tc>
        <w:tc>
          <w:tcPr>
            <w:tcW w:w="7789" w:type="dxa"/>
          </w:tcPr>
          <w:p w:rsidR="0070116C" w:rsidRPr="0070116C" w:rsidRDefault="0070116C" w:rsidP="00907AD7">
            <w:pPr>
              <w:spacing w:before="40" w:after="40"/>
              <w:rPr>
                <w:rFonts w:cs="Arial"/>
                <w:lang w:val="de-DE" w:eastAsia="de-DE" w:bidi="de-DE"/>
              </w:rPr>
            </w:pPr>
            <w:r w:rsidRPr="0070116C">
              <w:rPr>
                <w:lang w:val="de-DE" w:eastAsia="de-DE" w:bidi="de-DE"/>
              </w:rPr>
              <w:t xml:space="preserve">Soll lauten: </w:t>
            </w:r>
          </w:p>
          <w:p w:rsidR="0070116C" w:rsidRPr="0070116C" w:rsidRDefault="0070116C" w:rsidP="00907AD7">
            <w:pPr>
              <w:spacing w:before="40" w:after="40"/>
              <w:rPr>
                <w:rFonts w:cs="Arial"/>
                <w:lang w:val="de-DE" w:eastAsia="de-DE" w:bidi="de-DE"/>
              </w:rPr>
            </w:pPr>
            <w:r w:rsidRPr="0070116C">
              <w:rPr>
                <w:lang w:val="de-DE" w:eastAsia="de-DE" w:bidi="de-DE"/>
              </w:rPr>
              <w:t>„Vermehrungsmaterial umfaßt reproduktives und vegetatives Vermehrungsmaterial.  Das UPOV-Übereinkommen enthält keine Begriffsbestimmung für ‘Vermehrungsmaterial’. Folgender Abschnitt erteilt Anleitung zu Faktoren, die in Bezug darauf, ob Material Vermehrungsmaterial ist, geprüft werden könnten.“</w:t>
            </w:r>
          </w:p>
        </w:tc>
      </w:tr>
      <w:tr w:rsidR="0070116C" w:rsidRPr="0070116C" w:rsidTr="00F07A7C">
        <w:trPr>
          <w:cantSplit/>
        </w:trPr>
        <w:tc>
          <w:tcPr>
            <w:tcW w:w="1483" w:type="dxa"/>
          </w:tcPr>
          <w:p w:rsidR="0070116C" w:rsidRPr="0070116C" w:rsidRDefault="0070116C" w:rsidP="00907AD7">
            <w:pPr>
              <w:spacing w:before="40" w:after="40"/>
              <w:rPr>
                <w:rFonts w:cs="Arial"/>
                <w:lang w:val="de-DE" w:eastAsia="de-DE" w:bidi="de-DE"/>
              </w:rPr>
            </w:pPr>
            <w:r w:rsidRPr="0070116C">
              <w:rPr>
                <w:lang w:val="de-DE" w:eastAsia="de-DE" w:bidi="de-DE"/>
              </w:rPr>
              <w:t>2.</w:t>
            </w:r>
          </w:p>
        </w:tc>
        <w:tc>
          <w:tcPr>
            <w:tcW w:w="7789" w:type="dxa"/>
          </w:tcPr>
          <w:p w:rsidR="0070116C" w:rsidRPr="0070116C" w:rsidRDefault="0070116C" w:rsidP="00907AD7">
            <w:pPr>
              <w:spacing w:before="40" w:after="40"/>
              <w:rPr>
                <w:rFonts w:cs="Arial"/>
                <w:lang w:val="de-DE" w:eastAsia="de-DE" w:bidi="de-DE"/>
              </w:rPr>
            </w:pPr>
            <w:r w:rsidRPr="0070116C">
              <w:rPr>
                <w:lang w:val="de-DE" w:eastAsia="de-DE" w:bidi="de-DE"/>
              </w:rPr>
              <w:t xml:space="preserve">Soll lauten: </w:t>
            </w:r>
          </w:p>
          <w:p w:rsidR="0070116C" w:rsidRPr="0070116C" w:rsidRDefault="0070116C" w:rsidP="00907AD7">
            <w:pPr>
              <w:spacing w:before="40" w:after="40"/>
              <w:rPr>
                <w:rFonts w:cs="Arial"/>
                <w:lang w:val="de-DE" w:eastAsia="de-DE" w:bidi="de-DE"/>
              </w:rPr>
            </w:pPr>
            <w:r w:rsidRPr="0070116C">
              <w:rPr>
                <w:lang w:val="de-DE" w:eastAsia="de-DE" w:bidi="de-DE"/>
              </w:rPr>
              <w:t>„Ob Material Vermehrungsmaterial ist, ist eine Tatsache, kann aber auch die Absicht der betroffenen Parteien einschließen (Erzeuger, Verkäufer, Lieferant, Käufer, Empfänger, Nutzer) und hängt von der Begriffsbestimmung von Vermehrungsmaterial in den Rechtsvorschriften des betreffenden Verbandsmitgliedes ab. […]”</w:t>
            </w:r>
          </w:p>
        </w:tc>
      </w:tr>
      <w:tr w:rsidR="0070116C" w:rsidRPr="0070116C" w:rsidTr="00F07A7C">
        <w:trPr>
          <w:cantSplit/>
        </w:trPr>
        <w:tc>
          <w:tcPr>
            <w:tcW w:w="1483" w:type="dxa"/>
          </w:tcPr>
          <w:p w:rsidR="0070116C" w:rsidRPr="0070116C" w:rsidRDefault="0070116C" w:rsidP="00907AD7">
            <w:pPr>
              <w:spacing w:before="40" w:after="40"/>
              <w:rPr>
                <w:lang w:val="de-DE" w:eastAsia="de-DE" w:bidi="de-DE"/>
              </w:rPr>
            </w:pPr>
            <w:r w:rsidRPr="0070116C">
              <w:rPr>
                <w:lang w:val="de-DE" w:eastAsia="de-DE" w:bidi="de-DE"/>
              </w:rPr>
              <w:t>4.</w:t>
            </w:r>
          </w:p>
        </w:tc>
        <w:tc>
          <w:tcPr>
            <w:tcW w:w="7789" w:type="dxa"/>
          </w:tcPr>
          <w:p w:rsidR="0070116C" w:rsidRPr="0070116C" w:rsidRDefault="0070116C" w:rsidP="00907AD7">
            <w:pPr>
              <w:spacing w:before="40" w:after="40"/>
              <w:rPr>
                <w:lang w:val="de-DE" w:eastAsia="de-DE" w:bidi="de-DE"/>
              </w:rPr>
            </w:pPr>
            <w:r w:rsidRPr="0070116C">
              <w:rPr>
                <w:lang w:val="de-DE" w:eastAsia="de-DE" w:bidi="de-DE"/>
              </w:rPr>
              <w:t>Soll lauten:</w:t>
            </w:r>
          </w:p>
          <w:p w:rsidR="0070116C" w:rsidRPr="0070116C" w:rsidRDefault="0070116C" w:rsidP="00907AD7">
            <w:pPr>
              <w:autoSpaceDE w:val="0"/>
              <w:rPr>
                <w:lang w:val="de-DE" w:eastAsia="de-DE" w:bidi="de-DE"/>
              </w:rPr>
            </w:pPr>
            <w:r w:rsidRPr="0070116C">
              <w:rPr>
                <w:lang w:val="de-DE" w:eastAsia="de-DE" w:bidi="de-DE"/>
              </w:rPr>
              <w:t>„Unter Berücksichtigung der Begriffsbestimmung von Vermehrungsmaterial in den Rechtsvorschriften des betreffenden Verbandsmitgliedes könnte gegebenenfalls folgende nicht erschöpfende Liste von Faktoren und/oder Kombination von Faktoren bei der Entscheidung, ob Material Vermehrungsmaterial ist, geprüft werden:</w:t>
            </w:r>
          </w:p>
          <w:p w:rsidR="0070116C" w:rsidRPr="0070116C" w:rsidRDefault="0070116C" w:rsidP="00907AD7">
            <w:pPr>
              <w:rPr>
                <w:lang w:val="de-DE" w:eastAsia="de-DE" w:bidi="de-DE"/>
              </w:rPr>
            </w:pPr>
          </w:p>
          <w:p w:rsidR="0070116C" w:rsidRPr="0070116C" w:rsidRDefault="0070116C" w:rsidP="00907AD7">
            <w:pPr>
              <w:ind w:left="1102" w:hanging="535"/>
              <w:rPr>
                <w:lang w:val="de-DE" w:eastAsia="de-DE" w:bidi="de-DE"/>
              </w:rPr>
            </w:pPr>
            <w:r w:rsidRPr="0070116C">
              <w:rPr>
                <w:lang w:val="de-DE" w:eastAsia="de-DE" w:bidi="de-DE"/>
              </w:rPr>
              <w:t>i)</w:t>
            </w:r>
            <w:r w:rsidRPr="0070116C">
              <w:rPr>
                <w:lang w:val="de-DE" w:eastAsia="de-DE" w:bidi="de-DE"/>
              </w:rPr>
              <w:tab/>
              <w:t>ob das Material zur Vermehrung der Sorte verwendet wurde;</w:t>
            </w:r>
          </w:p>
          <w:p w:rsidR="0070116C" w:rsidRPr="0070116C" w:rsidRDefault="0070116C" w:rsidP="00907AD7">
            <w:pPr>
              <w:ind w:left="1102" w:hanging="535"/>
              <w:rPr>
                <w:lang w:val="de-DE" w:eastAsia="de-DE" w:bidi="de-DE"/>
              </w:rPr>
            </w:pPr>
            <w:r w:rsidRPr="0070116C">
              <w:rPr>
                <w:lang w:val="de-DE" w:eastAsia="de-DE" w:bidi="de-DE"/>
              </w:rPr>
              <w:t>ii)</w:t>
            </w:r>
            <w:r w:rsidRPr="0070116C">
              <w:rPr>
                <w:lang w:val="de-DE" w:eastAsia="de-DE" w:bidi="de-DE"/>
              </w:rPr>
              <w:tab/>
              <w:t>ob das Material zur Erzeugung ganzer Pflanzen der Sorte in der Lage ist;</w:t>
            </w:r>
          </w:p>
          <w:p w:rsidR="0070116C" w:rsidRPr="0070116C" w:rsidRDefault="0070116C" w:rsidP="00907AD7">
            <w:pPr>
              <w:ind w:left="1102" w:hanging="535"/>
              <w:rPr>
                <w:lang w:val="de-DE" w:eastAsia="de-DE" w:bidi="de-DE"/>
              </w:rPr>
            </w:pPr>
            <w:r w:rsidRPr="0070116C">
              <w:rPr>
                <w:lang w:val="de-DE" w:eastAsia="de-DE" w:bidi="de-DE"/>
              </w:rPr>
              <w:t>iii)</w:t>
            </w:r>
            <w:r w:rsidRPr="0070116C">
              <w:rPr>
                <w:lang w:val="de-DE" w:eastAsia="de-DE" w:bidi="de-DE"/>
              </w:rPr>
              <w:tab/>
              <w:t>ob bereits eine Gewohnheit/Praxis der Verwendung des Materials für diesen Zweck besteht oder ob infolge neuer Entwicklungen eine neue Gewohnheit/Praxis der Verwendung des Materials für diesen Zweck besteht;</w:t>
            </w:r>
          </w:p>
          <w:p w:rsidR="0070116C" w:rsidRPr="0070116C" w:rsidRDefault="0070116C" w:rsidP="00907AD7">
            <w:pPr>
              <w:ind w:left="1102" w:hanging="535"/>
              <w:rPr>
                <w:lang w:val="de-DE" w:eastAsia="de-DE" w:bidi="de-DE"/>
              </w:rPr>
            </w:pPr>
            <w:r w:rsidRPr="0070116C">
              <w:rPr>
                <w:lang w:val="de-DE" w:eastAsia="de-DE" w:bidi="de-DE"/>
              </w:rPr>
              <w:t>iv)</w:t>
            </w:r>
            <w:r w:rsidRPr="0070116C">
              <w:rPr>
                <w:lang w:val="de-DE" w:eastAsia="de-DE" w:bidi="de-DE"/>
              </w:rPr>
              <w:tab/>
              <w:t xml:space="preserve">die Absicht der Beteiligten (Produzent, Verkäufer, Käufer, Nutzer);  </w:t>
            </w:r>
          </w:p>
          <w:p w:rsidR="0070116C" w:rsidRPr="0070116C" w:rsidRDefault="0070116C" w:rsidP="00907AD7">
            <w:pPr>
              <w:ind w:left="1102" w:firstLine="59"/>
              <w:rPr>
                <w:lang w:val="de-DE" w:eastAsia="de-DE" w:bidi="de-DE"/>
              </w:rPr>
            </w:pPr>
            <w:r w:rsidRPr="0070116C">
              <w:rPr>
                <w:lang w:val="de-DE" w:eastAsia="de-DE" w:bidi="de-DE"/>
              </w:rPr>
              <w:t>oder</w:t>
            </w:r>
          </w:p>
          <w:p w:rsidR="0070116C" w:rsidRPr="0070116C" w:rsidRDefault="0070116C" w:rsidP="00907AD7">
            <w:pPr>
              <w:ind w:left="1102" w:hanging="535"/>
              <w:rPr>
                <w:lang w:val="de-DE" w:eastAsia="de-DE" w:bidi="de-DE"/>
              </w:rPr>
            </w:pPr>
            <w:r w:rsidRPr="0070116C">
              <w:rPr>
                <w:lang w:val="de-DE" w:eastAsia="de-DE" w:bidi="de-DE"/>
              </w:rPr>
              <w:t xml:space="preserve">v) </w:t>
            </w:r>
            <w:r w:rsidRPr="0070116C">
              <w:rPr>
                <w:lang w:val="de-DE" w:eastAsia="de-DE" w:bidi="de-DE"/>
              </w:rPr>
              <w:tab/>
              <w:t xml:space="preserve">ob aufgrund der Beschaffenheit und des Zustands des Material und/oder seiner Verwendungsform bestimmt werden kann, daß das Material „Vermehrungsmaterial“ ist. </w:t>
            </w:r>
          </w:p>
        </w:tc>
      </w:tr>
    </w:tbl>
    <w:p w:rsidR="0070116C" w:rsidRPr="0070116C" w:rsidRDefault="0070116C" w:rsidP="00907AD7">
      <w:pPr>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Erläuterungen zu Handlungen in bezug auf Erntegut nach der Akte von 1991 des UPOV-Übereinkommens (Überarbeitung)</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r w:rsidRPr="0070116C">
        <w:rPr>
          <w:rFonts w:cs="Arial"/>
          <w:lang w:val="de-DE" w:eastAsia="de-DE" w:bidi="de-DE"/>
        </w:rPr>
        <w:fldChar w:fldCharType="begin"/>
      </w:r>
      <w:r w:rsidRPr="0070116C">
        <w:rPr>
          <w:rFonts w:cs="Arial"/>
          <w:lang w:val="de-DE" w:eastAsia="de-DE" w:bidi="de-DE"/>
        </w:rPr>
        <w:instrText xml:space="preserve"> AUTONUM  </w:instrText>
      </w:r>
      <w:r w:rsidRPr="0070116C">
        <w:rPr>
          <w:rFonts w:cs="Arial"/>
          <w:lang w:val="de-DE" w:eastAsia="de-DE" w:bidi="de-DE"/>
        </w:rPr>
        <w:fldChar w:fldCharType="end"/>
      </w:r>
      <w:r w:rsidRPr="0070116C">
        <w:rPr>
          <w:lang w:val="de-DE" w:eastAsia="de-DE" w:bidi="de-DE"/>
        </w:rPr>
        <w:tab/>
        <w:t>Die CAJ-AG prüfte Dokument UPOV/EXN/HRV/2 Draft 2 und die Darlegung von Ansichten durch AIPH, APBREBES, CIOPORA und ESA.</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 Die CAJ-AG zog den Schluß, daß es zu diesem Zeitpunkt nicht zweckmäßig wäre, eine Überarbeitung von Dokument UPOV/EXN/HRV/1 auszuarbeiten.  </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Erläuterungen zur Aufhebung des Züchterrechts nach dem UPOV-Übereinkommen (Überarbeitung)</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prüfte Dokument UPOV/EXN/CAN/2 Draft 2 und die Darlegung von Ansichten durch CropLife International.</w:t>
      </w:r>
    </w:p>
    <w:p w:rsidR="0070116C" w:rsidRPr="0070116C" w:rsidRDefault="0070116C" w:rsidP="00907AD7">
      <w:pPr>
        <w:rPr>
          <w:lang w:val="de-DE" w:eastAsia="de-DE" w:bidi="de-DE"/>
        </w:rPr>
      </w:pPr>
    </w:p>
    <w:p w:rsidR="0070116C" w:rsidRPr="008E31A0" w:rsidRDefault="0097366A" w:rsidP="00907AD7">
      <w:pPr>
        <w:jc w:val="left"/>
        <w:rPr>
          <w:lang w:val="de-DE" w:eastAsia="de-DE" w:bidi="de-DE"/>
        </w:rPr>
      </w:pPr>
      <w:r>
        <w:rPr>
          <w:lang w:val="de-DE" w:eastAsia="de-DE" w:bidi="de-DE"/>
        </w:rPr>
        <w:fldChar w:fldCharType="begin"/>
      </w:r>
      <w:r>
        <w:rPr>
          <w:lang w:val="de-DE" w:eastAsia="de-DE" w:bidi="de-DE"/>
        </w:rPr>
        <w:instrText xml:space="preserve"> AUTONUM  </w:instrText>
      </w:r>
      <w:r>
        <w:rPr>
          <w:lang w:val="de-DE" w:eastAsia="de-DE" w:bidi="de-DE"/>
        </w:rPr>
        <w:fldChar w:fldCharType="end"/>
      </w:r>
      <w:r>
        <w:rPr>
          <w:lang w:val="de-DE" w:eastAsia="de-DE" w:bidi="de-DE"/>
        </w:rPr>
        <w:tab/>
      </w:r>
      <w:r w:rsidR="0070116C" w:rsidRPr="0070116C">
        <w:rPr>
          <w:lang w:val="de-DE" w:eastAsia="de-DE" w:bidi="de-DE"/>
        </w:rPr>
        <w:t>Die CAJ-AG vereinbarte folgende Änderungen an Dokument UPOV/EXN/CAN/2 Draft 2:</w:t>
      </w:r>
    </w:p>
    <w:p w:rsidR="0070116C" w:rsidRPr="0070116C" w:rsidRDefault="0070116C" w:rsidP="008A13EF">
      <w:pPr>
        <w:rPr>
          <w:lang w:val="de-DE" w:eastAsia="de-DE" w:bidi="de-DE"/>
        </w:rPr>
      </w:pPr>
    </w:p>
    <w:tbl>
      <w:tblPr>
        <w:tblW w:w="9180" w:type="dxa"/>
        <w:tblInd w:w="56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5" w:type="dxa"/>
        </w:tblCellMar>
        <w:tblLook w:val="0000" w:firstRow="0" w:lastRow="0" w:firstColumn="0" w:lastColumn="0" w:noHBand="0" w:noVBand="0"/>
      </w:tblPr>
      <w:tblGrid>
        <w:gridCol w:w="1407"/>
        <w:gridCol w:w="7773"/>
      </w:tblGrid>
      <w:tr w:rsidR="0070116C" w:rsidRPr="0070116C" w:rsidTr="00F3072C">
        <w:trPr>
          <w:cantSplit/>
        </w:trPr>
        <w:tc>
          <w:tcPr>
            <w:tcW w:w="1391" w:type="dxa"/>
          </w:tcPr>
          <w:p w:rsidR="0070116C" w:rsidRPr="0070116C" w:rsidRDefault="0070116C" w:rsidP="008A13EF">
            <w:pPr>
              <w:keepNext/>
              <w:jc w:val="left"/>
              <w:rPr>
                <w:rFonts w:cs="Arial"/>
                <w:lang w:val="de-DE" w:eastAsia="de-DE" w:bidi="de-DE"/>
              </w:rPr>
            </w:pPr>
            <w:r w:rsidRPr="0070116C">
              <w:rPr>
                <w:lang w:val="de-DE" w:eastAsia="de-DE" w:bidi="de-DE"/>
              </w:rPr>
              <w:lastRenderedPageBreak/>
              <w:t>Titel - Deckblatt</w:t>
            </w:r>
          </w:p>
        </w:tc>
        <w:tc>
          <w:tcPr>
            <w:tcW w:w="7789" w:type="dxa"/>
          </w:tcPr>
          <w:p w:rsidR="0070116C" w:rsidRPr="0070116C" w:rsidRDefault="0070116C" w:rsidP="008A13EF">
            <w:pPr>
              <w:keepNext/>
              <w:rPr>
                <w:snapToGrid w:val="0"/>
                <w:lang w:val="de-DE" w:eastAsia="de-DE" w:bidi="de-DE"/>
              </w:rPr>
            </w:pPr>
            <w:r w:rsidRPr="0070116C">
              <w:rPr>
                <w:lang w:val="de-DE" w:eastAsia="de-DE" w:bidi="de-DE"/>
              </w:rPr>
              <w:t>„die Akte von 1991“ streichen</w:t>
            </w:r>
          </w:p>
        </w:tc>
      </w:tr>
      <w:tr w:rsidR="0070116C" w:rsidRPr="0070116C" w:rsidTr="00F3072C">
        <w:trPr>
          <w:cantSplit/>
        </w:trPr>
        <w:tc>
          <w:tcPr>
            <w:tcW w:w="1391" w:type="dxa"/>
          </w:tcPr>
          <w:p w:rsidR="0070116C" w:rsidRPr="0070116C" w:rsidRDefault="0070116C" w:rsidP="00907AD7">
            <w:pPr>
              <w:rPr>
                <w:rFonts w:cs="Arial"/>
                <w:lang w:val="de-DE" w:eastAsia="de-DE" w:bidi="de-DE"/>
              </w:rPr>
            </w:pPr>
            <w:r w:rsidRPr="0070116C">
              <w:rPr>
                <w:lang w:val="de-DE" w:eastAsia="de-DE" w:bidi="de-DE"/>
              </w:rPr>
              <w:t xml:space="preserve">Absatz 6 </w:t>
            </w:r>
          </w:p>
        </w:tc>
        <w:tc>
          <w:tcPr>
            <w:tcW w:w="7789" w:type="dxa"/>
          </w:tcPr>
          <w:p w:rsidR="0070116C" w:rsidRPr="0070116C" w:rsidRDefault="0070116C" w:rsidP="00907AD7">
            <w:pPr>
              <w:rPr>
                <w:szCs w:val="24"/>
                <w:lang w:val="de-DE" w:eastAsia="de-DE" w:bidi="de-DE"/>
              </w:rPr>
            </w:pPr>
            <w:r w:rsidRPr="0070116C">
              <w:rPr>
                <w:szCs w:val="24"/>
                <w:lang w:val="de-DE" w:eastAsia="de-DE" w:bidi="de-DE"/>
              </w:rPr>
              <w:t>Zu ersetzen durch:</w:t>
            </w:r>
          </w:p>
          <w:p w:rsidR="0070116C" w:rsidRPr="0070116C" w:rsidRDefault="0070116C" w:rsidP="00907AD7">
            <w:pPr>
              <w:rPr>
                <w:szCs w:val="24"/>
                <w:lang w:val="de-DE" w:eastAsia="de-DE" w:bidi="de-DE"/>
              </w:rPr>
            </w:pPr>
          </w:p>
          <w:p w:rsidR="0070116C" w:rsidRPr="0070116C" w:rsidRDefault="0070116C" w:rsidP="00907AD7">
            <w:pPr>
              <w:rPr>
                <w:rFonts w:cs="Arial"/>
                <w:sz w:val="24"/>
                <w:szCs w:val="24"/>
                <w:lang w:val="de-DE" w:eastAsia="de-DE" w:bidi="de-DE"/>
              </w:rPr>
            </w:pPr>
            <w:r w:rsidRPr="0070116C">
              <w:rPr>
                <w:lang w:val="de-DE" w:eastAsia="de-DE" w:bidi="de-DE"/>
              </w:rPr>
              <w:t xml:space="preserve">6.  </w:t>
            </w:r>
            <w:bookmarkStart w:id="5" w:name="_GoBack"/>
            <w:bookmarkEnd w:id="5"/>
            <w:r w:rsidRPr="0070116C">
              <w:rPr>
                <w:lang w:val="de-DE" w:eastAsia="de-DE" w:bidi="de-DE"/>
              </w:rPr>
              <w:t xml:space="preserve">Die Aufhebung des Züchterrechts unterscheidet sich von der Aufgabe eines Züchterrechts oder dem Verzicht darauf. </w:t>
            </w:r>
            <w:r w:rsidRPr="0070116C">
              <w:rPr>
                <w:highlight w:val="lightGray"/>
                <w:u w:val="single"/>
                <w:lang w:val="de-DE" w:eastAsia="de-DE" w:bidi="de-DE"/>
              </w:rPr>
              <w:t xml:space="preserve">Über die Aufhebung eines Züchterrechts entscheidet die zuständige Behörde gemäß dem UPOV-Übereinkommen (siehe Absatz 3). Dagegen </w:t>
            </w:r>
            <w:r w:rsidRPr="0070116C">
              <w:rPr>
                <w:lang w:val="de-DE" w:eastAsia="de-DE" w:bidi="de-DE"/>
              </w:rPr>
              <w:t>handelt es sich bei Aufgabe des</w:t>
            </w:r>
            <w:r w:rsidR="008E31A0">
              <w:rPr>
                <w:lang w:val="de-DE" w:eastAsia="de-DE" w:bidi="de-DE"/>
              </w:rPr>
              <w:t xml:space="preserve"> Züchterrechts</w:t>
            </w:r>
            <w:r w:rsidRPr="0070116C">
              <w:rPr>
                <w:lang w:val="de-DE" w:eastAsia="de-DE" w:bidi="de-DE"/>
              </w:rPr>
              <w:t xml:space="preserve"> oder Verzicht auf das Züchterrecht um eine einseitige Entscheidung des Züchterrechtsinhabers, die nicht an die Erfüllung irgendeiner Voraussetzung nach dem UPOV-Übereinkommen geknüpft ist. Der Inhaber eines Züchterrechts </w:t>
            </w:r>
            <w:r w:rsidRPr="0070116C">
              <w:rPr>
                <w:strike/>
                <w:highlight w:val="lightGray"/>
                <w:lang w:val="de-DE" w:eastAsia="de-DE" w:bidi="de-DE"/>
              </w:rPr>
              <w:t>entscheidet</w:t>
            </w:r>
            <w:r w:rsidRPr="0070116C">
              <w:rPr>
                <w:lang w:val="de-DE" w:eastAsia="de-DE" w:bidi="de-DE"/>
              </w:rPr>
              <w:t xml:space="preserve"> </w:t>
            </w:r>
            <w:r w:rsidRPr="0070116C">
              <w:rPr>
                <w:highlight w:val="lightGray"/>
                <w:u w:val="single"/>
                <w:lang w:val="de-DE" w:eastAsia="de-DE" w:bidi="de-DE"/>
              </w:rPr>
              <w:t>kann sich</w:t>
            </w:r>
            <w:r w:rsidRPr="0070116C">
              <w:rPr>
                <w:lang w:val="de-DE" w:eastAsia="de-DE" w:bidi="de-DE"/>
              </w:rPr>
              <w:t xml:space="preserve"> für eine frühzeitige Beendigung </w:t>
            </w:r>
            <w:r w:rsidRPr="0070116C">
              <w:rPr>
                <w:highlight w:val="lightGray"/>
                <w:u w:val="single"/>
                <w:lang w:val="de-DE" w:eastAsia="de-DE" w:bidi="de-DE"/>
              </w:rPr>
              <w:t>entscheiden</w:t>
            </w:r>
            <w:r w:rsidRPr="0070116C">
              <w:rPr>
                <w:lang w:val="de-DE" w:eastAsia="de-DE" w:bidi="de-DE"/>
              </w:rPr>
              <w:t xml:space="preserve">, indem er die Behörde, die Züchterrechte erteilt, davon unterrichtet. </w:t>
            </w:r>
            <w:r w:rsidRPr="0070116C">
              <w:rPr>
                <w:highlight w:val="lightGray"/>
                <w:u w:val="single"/>
                <w:lang w:val="de-DE" w:eastAsia="de-DE" w:bidi="de-DE"/>
              </w:rPr>
              <w:t>Die zuständige Behörde veröffentlicht das Erlöschen des Züchterrechts.</w:t>
            </w:r>
            <w:r w:rsidRPr="0070116C">
              <w:rPr>
                <w:lang w:val="de-DE" w:eastAsia="de-DE" w:bidi="de-DE"/>
              </w:rPr>
              <w:t xml:space="preserve">  </w:t>
            </w:r>
          </w:p>
        </w:tc>
      </w:tr>
      <w:tr w:rsidR="0070116C" w:rsidRPr="0070116C" w:rsidTr="00F3072C">
        <w:trPr>
          <w:cantSplit/>
        </w:trPr>
        <w:tc>
          <w:tcPr>
            <w:tcW w:w="1391" w:type="dxa"/>
          </w:tcPr>
          <w:p w:rsidR="0070116C" w:rsidRPr="0070116C" w:rsidRDefault="0070116C" w:rsidP="00907AD7">
            <w:pPr>
              <w:rPr>
                <w:rFonts w:cs="Arial"/>
                <w:i/>
                <w:lang w:val="de-DE" w:eastAsia="de-DE" w:bidi="de-DE"/>
              </w:rPr>
            </w:pPr>
            <w:r w:rsidRPr="0070116C">
              <w:rPr>
                <w:i/>
                <w:lang w:val="de-DE" w:eastAsia="de-DE" w:bidi="de-DE"/>
              </w:rPr>
              <w:t xml:space="preserve">Überwachung der Erhaltung der Sorte </w:t>
            </w:r>
          </w:p>
        </w:tc>
        <w:tc>
          <w:tcPr>
            <w:tcW w:w="7789" w:type="dxa"/>
          </w:tcPr>
          <w:p w:rsidR="0070116C" w:rsidRPr="0070116C" w:rsidRDefault="0070116C" w:rsidP="00907AD7">
            <w:pPr>
              <w:rPr>
                <w:rFonts w:cs="Arial"/>
                <w:lang w:val="de-DE" w:eastAsia="de-DE" w:bidi="de-DE"/>
              </w:rPr>
            </w:pPr>
            <w:r w:rsidRPr="0070116C">
              <w:rPr>
                <w:lang w:val="de-DE" w:eastAsia="de-DE" w:bidi="de-DE"/>
              </w:rPr>
              <w:t>Die CAJ-AG nahm zur Kenntnis, daß die Ausarbeitung von Anleitung zum Abschnitt „</w:t>
            </w:r>
            <w:r w:rsidRPr="0070116C">
              <w:rPr>
                <w:i/>
                <w:lang w:val="de-DE" w:eastAsia="de-DE" w:bidi="de-DE"/>
              </w:rPr>
              <w:t>Überwachung der Erhaltung der Sorte”</w:t>
            </w:r>
            <w:r w:rsidRPr="0070116C">
              <w:rPr>
                <w:lang w:val="de-DE" w:eastAsia="de-DE" w:bidi="de-DE"/>
              </w:rPr>
              <w:t xml:space="preserve"> bis zur Prüfung einschlägiger Angelegenheiten zu Sortenbeschreibungen durch den Technischen Ausschuß, wie in der Anmerkung in Dokument UPOV/EXN/CAN/2 Draft 2 (unten wiedergegeben) dargelegt, warten müsse.</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r w:rsidRPr="0070116C">
              <w:rPr>
                <w:lang w:val="de-DE" w:eastAsia="de-DE" w:bidi="de-DE"/>
              </w:rPr>
              <w:t>Anmerkung: Die CAJ-AG vereinbarte auf ihrer achten Tagung am 21. und 25. Oktober 2013 in Genf die Ausarbeitung von Anleitung zu Folgendem, wobei sie vorschlug, daß der CAJ den Technischen Ausschuß (TC) ersuchen sollte, diese Punkte in erster Instanz zu prüfen (vergleiche Dokument CAJ-AG/13/8/10 „Bericht“, Absatz 73):</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r w:rsidRPr="0070116C">
              <w:rPr>
                <w:lang w:val="de-DE" w:eastAsia="de-DE" w:bidi="de-DE"/>
              </w:rPr>
              <w:tab/>
              <w:t>a)</w:t>
            </w:r>
            <w:r w:rsidRPr="0070116C">
              <w:rPr>
                <w:lang w:val="de-DE" w:eastAsia="de-DE" w:bidi="de-DE"/>
              </w:rPr>
              <w:tab/>
              <w:t xml:space="preserve">Verwendung von Informationen, Dokumenten oder Material, die vom Züchter zur Überwachung der Erhaltung der Sorte bereitgestellt werden, wie in Absatz 15 von Dokument CAJ-AG/13/8/4 „Angelegenheiten betreffend die Aufhebung des Züchterrechts“ dargelegt, mit einer Erklärung, daß die Informationen, Dokumente oder Material in einem anderen Land erhalten werden könnten; und  </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r w:rsidRPr="0070116C">
              <w:rPr>
                <w:lang w:val="de-DE" w:eastAsia="de-DE" w:bidi="de-DE"/>
              </w:rPr>
              <w:tab/>
              <w:t>b)</w:t>
            </w:r>
            <w:r w:rsidRPr="0070116C">
              <w:rPr>
                <w:lang w:val="de-DE" w:eastAsia="de-DE" w:bidi="de-DE"/>
              </w:rPr>
              <w:tab/>
              <w:t>die Verwendung von Prüfungsrichtlinien zur Überwachung der Erhaltung der Sorte, die sich von den Prüfungsrichtlinien, die zu Prüfung der Unterscheidbarkeit, Homogenität und Beständigkeit („DUS”) verwendet werden, unterscheiden.</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r w:rsidRPr="0070116C">
              <w:rPr>
                <w:lang w:val="de-DE" w:eastAsia="de-DE" w:bidi="de-DE"/>
              </w:rPr>
              <w:t>Der CAJ vereinbarte auf seiner neunundsechzigsten Tagung am 10. April 2014 in Genf im Einklang mit dem Vorschlag der CAJ-AG, den TC zu ersuchen, die Entwicklung einer Anleitung zu bestimmten Angelegenheiten betreffend Sortenbeschreibungen zu prüfen, wie in Dokument CAJ/69/2, Absätze 27 und 28, dargelegt (vergleiche Dokument CAJ/69/13 „Bericht“, Absatz 19).</w:t>
            </w:r>
          </w:p>
        </w:tc>
      </w:tr>
    </w:tbl>
    <w:p w:rsidR="0070116C" w:rsidRPr="0070116C" w:rsidRDefault="0070116C" w:rsidP="00907AD7">
      <w:pPr>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lastRenderedPageBreak/>
        <w:t>Erläuterungen zur Nichtigkeit des Züchterrechts nach dem UPOV-Übereinkommen (Überarbeitung)</w:t>
      </w:r>
    </w:p>
    <w:p w:rsidR="0070116C" w:rsidRPr="0070116C" w:rsidRDefault="0070116C" w:rsidP="00907AD7">
      <w:pPr>
        <w:keepNext/>
        <w:rPr>
          <w:lang w:val="de-DE" w:eastAsia="de-DE" w:bidi="de-DE"/>
        </w:rPr>
      </w:pPr>
    </w:p>
    <w:p w:rsidR="0070116C" w:rsidRPr="0070116C" w:rsidRDefault="0070116C" w:rsidP="008A13EF">
      <w:pPr>
        <w:keepNext/>
        <w:rPr>
          <w:rFonts w:cs="Arial"/>
          <w:szCs w:val="26"/>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prüfte Dokument UPOV/EXN/NUL/2 Draft 2 und die Darlegung von Ansichten durch ESA.</w:t>
      </w:r>
    </w:p>
    <w:p w:rsidR="0070116C" w:rsidRPr="0070116C" w:rsidRDefault="0070116C" w:rsidP="008A13EF">
      <w:pPr>
        <w:keepNext/>
        <w:rPr>
          <w:lang w:val="de-DE" w:eastAsia="de-DE" w:bidi="de-DE"/>
        </w:rPr>
      </w:pPr>
    </w:p>
    <w:p w:rsidR="0070116C" w:rsidRPr="0070116C" w:rsidRDefault="0070116C" w:rsidP="00907AD7">
      <w:pPr>
        <w:keepNext/>
        <w:rPr>
          <w:rFonts w:cs="Arial"/>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vereinbarte folgende Änderungen an Dokument UPOV/EXN/NUL/2 Draft 2:</w:t>
      </w:r>
    </w:p>
    <w:p w:rsidR="0070116C" w:rsidRPr="0070116C" w:rsidRDefault="0070116C" w:rsidP="00907AD7">
      <w:pPr>
        <w:keepNext/>
        <w:rPr>
          <w:rFonts w:cs="Arial"/>
          <w:lang w:val="de-DE" w:eastAsia="de-DE" w:bidi="de-DE"/>
        </w:rPr>
      </w:pPr>
    </w:p>
    <w:tbl>
      <w:tblPr>
        <w:tblW w:w="9180" w:type="dxa"/>
        <w:tblInd w:w="56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5" w:type="dxa"/>
        </w:tblCellMar>
        <w:tblLook w:val="0000" w:firstRow="0" w:lastRow="0" w:firstColumn="0" w:lastColumn="0" w:noHBand="0" w:noVBand="0"/>
      </w:tblPr>
      <w:tblGrid>
        <w:gridCol w:w="1391"/>
        <w:gridCol w:w="7789"/>
      </w:tblGrid>
      <w:tr w:rsidR="0070116C" w:rsidRPr="0070116C" w:rsidTr="003D1CB5">
        <w:trPr>
          <w:cantSplit/>
        </w:trPr>
        <w:tc>
          <w:tcPr>
            <w:tcW w:w="1391" w:type="dxa"/>
          </w:tcPr>
          <w:p w:rsidR="0070116C" w:rsidRPr="0070116C" w:rsidRDefault="0070116C" w:rsidP="00907AD7">
            <w:pPr>
              <w:spacing w:before="40" w:after="40"/>
              <w:rPr>
                <w:rFonts w:cs="Arial"/>
                <w:lang w:val="de-DE" w:eastAsia="de-DE" w:bidi="de-DE"/>
              </w:rPr>
            </w:pPr>
            <w:r w:rsidRPr="0070116C">
              <w:rPr>
                <w:lang w:val="de-DE" w:eastAsia="de-DE" w:bidi="de-DE"/>
              </w:rPr>
              <w:t>Absatz 9</w:t>
            </w:r>
          </w:p>
        </w:tc>
        <w:tc>
          <w:tcPr>
            <w:tcW w:w="7789" w:type="dxa"/>
          </w:tcPr>
          <w:p w:rsidR="0070116C" w:rsidRPr="0070116C" w:rsidRDefault="0070116C" w:rsidP="00907AD7">
            <w:pPr>
              <w:rPr>
                <w:rFonts w:cs="Arial"/>
                <w:u w:val="single"/>
                <w:lang w:val="de-DE" w:eastAsia="de-DE" w:bidi="de-DE"/>
              </w:rPr>
            </w:pPr>
            <w:r w:rsidRPr="0070116C">
              <w:rPr>
                <w:highlight w:val="lightGray"/>
                <w:u w:val="single"/>
                <w:lang w:val="de-DE" w:eastAsia="de-DE" w:bidi="de-DE"/>
              </w:rPr>
              <w:t>9.  Die Entscheidung, ein Züchterrecht für nichtig zu erklären führt zum Erlöschen des Rechtes ab dem Zeitpunkt der Erteilung, auch wenn die Entscheidung über die Nichtigkeit durch die zuständige Behörde zu einem späteren Zeitpunkt erfolgt. Die Nichtigkeit hat grundsätzlich rückwirkende Kraft.</w:t>
            </w:r>
            <w:r w:rsidRPr="0070116C">
              <w:rPr>
                <w:lang w:val="de-DE" w:eastAsia="de-DE" w:bidi="de-DE"/>
              </w:rPr>
              <w:t xml:space="preserve"> Die rückwirkende Kraft der Nichtigkeit kann in der Praxis variieren </w:t>
            </w:r>
            <w:r w:rsidRPr="0070116C">
              <w:rPr>
                <w:strike/>
                <w:highlight w:val="lightGray"/>
                <w:lang w:val="de-DE" w:eastAsia="de-DE" w:bidi="de-DE"/>
              </w:rPr>
              <w:t>[und wird von den jeweiligen Rechtsvorschriften des betreffenden Verbandsmitliedes abhängen]. [</w:t>
            </w:r>
            <w:r w:rsidRPr="0070116C">
              <w:rPr>
                <w:lang w:val="de-DE" w:eastAsia="de-DE" w:bidi="de-DE"/>
              </w:rPr>
              <w:t xml:space="preserve">Die </w:t>
            </w:r>
            <w:r w:rsidRPr="0070116C">
              <w:rPr>
                <w:highlight w:val="lightGray"/>
                <w:u w:val="single"/>
                <w:lang w:val="de-DE" w:eastAsia="de-DE" w:bidi="de-DE"/>
              </w:rPr>
              <w:t>Rechtsmittel betreffend die</w:t>
            </w:r>
            <w:r w:rsidRPr="0070116C">
              <w:rPr>
                <w:u w:val="single"/>
                <w:lang w:val="de-DE" w:eastAsia="de-DE" w:bidi="de-DE"/>
              </w:rPr>
              <w:t xml:space="preserve"> </w:t>
            </w:r>
            <w:r w:rsidRPr="0070116C">
              <w:rPr>
                <w:lang w:val="de-DE" w:eastAsia="de-DE" w:bidi="de-DE"/>
              </w:rPr>
              <w:t xml:space="preserve">rückwirkende Kraft der Nichtigkeit </w:t>
            </w:r>
            <w:r w:rsidRPr="0070116C">
              <w:rPr>
                <w:strike/>
                <w:highlight w:val="lightGray"/>
                <w:lang w:val="de-DE" w:eastAsia="de-DE" w:bidi="de-DE"/>
              </w:rPr>
              <w:t xml:space="preserve">können ebenfalls </w:t>
            </w:r>
            <w:r w:rsidRPr="0070116C">
              <w:rPr>
                <w:highlight w:val="lightGray"/>
                <w:u w:val="single"/>
                <w:lang w:val="de-DE" w:eastAsia="de-DE" w:bidi="de-DE"/>
              </w:rPr>
              <w:t>hängen von den Rechtsvorschriften des betreffenden Verbandsmitgliedes ab und</w:t>
            </w:r>
            <w:r w:rsidRPr="0070116C">
              <w:rPr>
                <w:lang w:val="de-DE" w:eastAsia="de-DE" w:bidi="de-DE"/>
              </w:rPr>
              <w:t xml:space="preserve"> können auch von vertraglichen Vereinbarungen abhängen</w:t>
            </w:r>
            <w:r w:rsidRPr="0070116C">
              <w:rPr>
                <w:strike/>
                <w:highlight w:val="lightGray"/>
                <w:lang w:val="de-DE" w:eastAsia="de-DE" w:bidi="de-DE"/>
              </w:rPr>
              <w:t>]</w:t>
            </w:r>
            <w:r w:rsidRPr="0070116C">
              <w:rPr>
                <w:lang w:val="de-DE" w:eastAsia="de-DE" w:bidi="de-DE"/>
              </w:rPr>
              <w:t>. In einigen Fällen, wie etwa im Falle von Betrug oder vorsätzlichen mißbräuchlichen Handlungen durch den Inhaber des Züchterrechts, können eine Rückerstattung von gezahlten Lizenzgebühren und/oder andere Rechtsbehelfe wirksam werden. In einigen anderen Fällen kann es sein, daß eine Rückerstattung von an den Inhaber des Züchterrechts gezahlten Lizenzgebühren nicht anwendbar ist.</w:t>
            </w:r>
          </w:p>
        </w:tc>
      </w:tr>
    </w:tbl>
    <w:p w:rsidR="0070116C" w:rsidRPr="0070116C" w:rsidRDefault="0070116C" w:rsidP="00907AD7">
      <w:pPr>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Erläuterungen zu Sortenbezeichnungen nach dem UPOV-Übereinkommen (Überarbeitung)</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prüfte Dokument UPOV/INF/12/5 Draft 2 und die Darlegung von Ansichten durch APBREBES und ESA.</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vereinbarte auf ihrer achten Tagung am 21. und 25. Oktober 2013 in Genf die Ausarbeitung von Anleitung zum Antrag eines Züchters auf Änderung einer eingetragenen Sortenbezeichnung (vergleiche Dokument CAJ-AG/13/8/10 „Bericht über die Entschließungen“, Absatz 70).  In dieser Hinsicht vereinbarte die CAJ-AG folgende Anleitung:</w:t>
      </w:r>
    </w:p>
    <w:p w:rsidR="0070116C" w:rsidRPr="0070116C" w:rsidRDefault="0070116C" w:rsidP="00907AD7">
      <w:pPr>
        <w:rPr>
          <w:lang w:val="de-DE" w:eastAsia="de-DE" w:bidi="de-DE"/>
        </w:rPr>
      </w:pPr>
    </w:p>
    <w:p w:rsidR="0070116C" w:rsidRPr="0070116C" w:rsidRDefault="0070116C" w:rsidP="00907AD7">
      <w:pPr>
        <w:ind w:left="567" w:right="567"/>
        <w:rPr>
          <w:sz w:val="18"/>
          <w:lang w:val="de-DE" w:eastAsia="de-DE" w:bidi="de-DE"/>
        </w:rPr>
      </w:pPr>
      <w:r w:rsidRPr="0070116C">
        <w:rPr>
          <w:sz w:val="18"/>
          <w:lang w:val="de-DE" w:eastAsia="de-DE" w:bidi="de-DE"/>
        </w:rPr>
        <w:t>„7.2</w:t>
      </w:r>
      <w:r w:rsidRPr="0070116C">
        <w:rPr>
          <w:lang w:val="de-DE" w:eastAsia="de-DE" w:bidi="de-DE"/>
        </w:rPr>
        <w:tab/>
        <w:t>Folgende Punkte erteilen Anleitung zu Änderungen eingetragener Sortenbezeichnungen:</w:t>
      </w:r>
    </w:p>
    <w:p w:rsidR="0070116C" w:rsidRPr="0070116C" w:rsidRDefault="0070116C" w:rsidP="00907AD7">
      <w:pPr>
        <w:ind w:left="567" w:right="567"/>
        <w:rPr>
          <w:sz w:val="18"/>
          <w:lang w:val="de-DE" w:eastAsia="de-DE" w:bidi="de-DE"/>
        </w:rPr>
      </w:pPr>
    </w:p>
    <w:p w:rsidR="0070116C" w:rsidRPr="008E31A0" w:rsidRDefault="0070116C" w:rsidP="00907AD7">
      <w:pPr>
        <w:ind w:left="567" w:right="567" w:firstLine="567"/>
        <w:rPr>
          <w:sz w:val="18"/>
          <w:szCs w:val="18"/>
          <w:lang w:val="de-DE" w:eastAsia="de-DE" w:bidi="de-DE"/>
        </w:rPr>
      </w:pPr>
      <w:r w:rsidRPr="0070116C">
        <w:rPr>
          <w:sz w:val="18"/>
          <w:lang w:val="de-DE" w:eastAsia="de-DE" w:bidi="de-DE"/>
        </w:rPr>
        <w:t>a)</w:t>
      </w:r>
      <w:r w:rsidRPr="0070116C">
        <w:rPr>
          <w:lang w:val="de-DE" w:eastAsia="de-DE" w:bidi="de-DE"/>
        </w:rPr>
        <w:tab/>
      </w:r>
      <w:r w:rsidRPr="008E31A0">
        <w:rPr>
          <w:sz w:val="18"/>
          <w:szCs w:val="18"/>
          <w:lang w:val="de-DE" w:eastAsia="de-DE" w:bidi="de-DE"/>
        </w:rPr>
        <w:t>Das UPOV-Übereinkommen erfordert eine Änderung der eingetragenen Bezeichnung, wenn die Bezeichnung der Sorte nach Erteilu</w:t>
      </w:r>
      <w:r w:rsidR="008E31A0">
        <w:rPr>
          <w:sz w:val="18"/>
          <w:szCs w:val="18"/>
          <w:lang w:val="de-DE" w:eastAsia="de-DE" w:bidi="de-DE"/>
        </w:rPr>
        <w:t xml:space="preserve">ng des Rechts gestrichen wird. </w:t>
      </w:r>
      <w:r w:rsidRPr="008E31A0">
        <w:rPr>
          <w:sz w:val="18"/>
          <w:szCs w:val="18"/>
          <w:lang w:val="de-DE" w:eastAsia="de-DE" w:bidi="de-DE"/>
        </w:rPr>
        <w:t xml:space="preserve">Die zuständige Behörde sollte eine Sortenbezeichnung streichen, falls: </w:t>
      </w:r>
    </w:p>
    <w:p w:rsidR="0070116C" w:rsidRPr="008E31A0" w:rsidRDefault="0070116C" w:rsidP="00907AD7">
      <w:pPr>
        <w:ind w:left="1287" w:right="567"/>
        <w:contextualSpacing/>
        <w:rPr>
          <w:sz w:val="18"/>
          <w:szCs w:val="18"/>
          <w:lang w:val="de-DE" w:eastAsia="de-DE" w:bidi="de-DE"/>
        </w:rPr>
      </w:pPr>
    </w:p>
    <w:p w:rsidR="0070116C" w:rsidRPr="008E31A0" w:rsidRDefault="0070116C" w:rsidP="00907AD7">
      <w:pPr>
        <w:ind w:left="567" w:right="567" w:firstLine="567"/>
        <w:rPr>
          <w:sz w:val="18"/>
          <w:szCs w:val="18"/>
          <w:lang w:val="de-DE" w:eastAsia="de-DE" w:bidi="de-DE"/>
        </w:rPr>
      </w:pPr>
      <w:r w:rsidRPr="008E31A0">
        <w:rPr>
          <w:sz w:val="18"/>
          <w:szCs w:val="18"/>
          <w:lang w:val="de-DE" w:eastAsia="de-DE" w:bidi="de-DE"/>
        </w:rPr>
        <w:tab/>
        <w:t>i)</w:t>
      </w:r>
      <w:r w:rsidRPr="008E31A0">
        <w:rPr>
          <w:sz w:val="18"/>
          <w:szCs w:val="18"/>
          <w:lang w:val="de-DE" w:eastAsia="de-DE" w:bidi="de-DE"/>
        </w:rPr>
        <w:tab/>
        <w:t xml:space="preserve">die Benutzung der Sortenbezeichnung einer Person, die nach </w:t>
      </w:r>
      <w:r w:rsidR="008E31A0">
        <w:rPr>
          <w:sz w:val="18"/>
          <w:szCs w:val="18"/>
          <w:lang w:val="de-DE" w:eastAsia="de-DE" w:bidi="de-DE"/>
        </w:rPr>
        <w:t>Absatz 7</w:t>
      </w:r>
      <w:r w:rsidRPr="008E31A0">
        <w:rPr>
          <w:sz w:val="18"/>
          <w:szCs w:val="18"/>
          <w:lang w:val="de-DE" w:eastAsia="de-DE" w:bidi="de-DE"/>
        </w:rPr>
        <w:t xml:space="preserve"> zu ihrer Benutzung verpflichtet ist, auf Grund eines älteren Rechtes untersagt wird (siehe Absatz 4) „Ältere Rechte Dritter“); </w:t>
      </w:r>
    </w:p>
    <w:p w:rsidR="0070116C" w:rsidRPr="008E31A0" w:rsidRDefault="0070116C" w:rsidP="00907AD7">
      <w:pPr>
        <w:ind w:left="567" w:right="567" w:firstLine="567"/>
        <w:rPr>
          <w:sz w:val="18"/>
          <w:szCs w:val="18"/>
          <w:lang w:val="de-DE" w:eastAsia="de-DE" w:bidi="de-DE"/>
        </w:rPr>
      </w:pPr>
    </w:p>
    <w:p w:rsidR="0070116C" w:rsidRPr="008E31A0" w:rsidRDefault="000B3D5C" w:rsidP="00907AD7">
      <w:pPr>
        <w:ind w:left="567" w:right="567" w:firstLine="567"/>
        <w:rPr>
          <w:sz w:val="18"/>
          <w:szCs w:val="18"/>
          <w:lang w:val="de-DE" w:eastAsia="de-DE" w:bidi="de-DE"/>
        </w:rPr>
      </w:pPr>
      <w:r>
        <w:rPr>
          <w:sz w:val="18"/>
          <w:szCs w:val="18"/>
          <w:lang w:val="de-DE" w:eastAsia="de-DE" w:bidi="de-DE"/>
        </w:rPr>
        <w:tab/>
        <w:t>ii)</w:t>
      </w:r>
      <w:r>
        <w:rPr>
          <w:sz w:val="18"/>
          <w:szCs w:val="18"/>
          <w:lang w:val="de-DE" w:eastAsia="de-DE" w:bidi="de-DE"/>
        </w:rPr>
        <w:tab/>
        <w:t xml:space="preserve">die Bezeichnung </w:t>
      </w:r>
      <w:r w:rsidR="0070116C" w:rsidRPr="008E31A0">
        <w:rPr>
          <w:sz w:val="18"/>
          <w:szCs w:val="18"/>
          <w:lang w:val="de-DE" w:eastAsia="de-DE" w:bidi="de-DE"/>
        </w:rPr>
        <w:t>ungeeignet</w:t>
      </w:r>
      <w:r>
        <w:rPr>
          <w:sz w:val="18"/>
          <w:szCs w:val="18"/>
          <w:lang w:val="de-DE" w:eastAsia="de-DE" w:bidi="de-DE"/>
        </w:rPr>
        <w:t xml:space="preserve"> ist</w:t>
      </w:r>
      <w:r w:rsidR="0070116C" w:rsidRPr="008E31A0">
        <w:rPr>
          <w:sz w:val="18"/>
          <w:szCs w:val="18"/>
          <w:lang w:val="de-DE" w:eastAsia="de-DE" w:bidi="de-DE"/>
        </w:rPr>
        <w:t xml:space="preserve">, da sie in Widerspruch zu den Bestimmungen in Absatz 2 „Eigenschaften der Bezeichnung“ steht; </w:t>
      </w:r>
    </w:p>
    <w:p w:rsidR="0070116C" w:rsidRPr="008E31A0" w:rsidRDefault="0070116C" w:rsidP="00907AD7">
      <w:pPr>
        <w:ind w:left="2421" w:right="567"/>
        <w:contextualSpacing/>
        <w:rPr>
          <w:sz w:val="18"/>
          <w:szCs w:val="18"/>
          <w:lang w:val="de-DE" w:eastAsia="de-DE" w:bidi="de-DE"/>
        </w:rPr>
      </w:pPr>
    </w:p>
    <w:p w:rsidR="0070116C" w:rsidRPr="008E31A0" w:rsidRDefault="0070116C" w:rsidP="00907AD7">
      <w:pPr>
        <w:ind w:left="567" w:right="567" w:firstLine="567"/>
        <w:rPr>
          <w:sz w:val="18"/>
          <w:szCs w:val="18"/>
          <w:lang w:val="de-DE" w:eastAsia="de-DE" w:bidi="de-DE"/>
        </w:rPr>
      </w:pPr>
      <w:r w:rsidRPr="008E31A0">
        <w:rPr>
          <w:sz w:val="18"/>
          <w:szCs w:val="18"/>
          <w:lang w:val="de-DE" w:eastAsia="de-DE" w:bidi="de-DE"/>
        </w:rPr>
        <w:t>b)</w:t>
      </w:r>
      <w:r w:rsidRPr="008E31A0">
        <w:rPr>
          <w:sz w:val="18"/>
          <w:szCs w:val="18"/>
          <w:lang w:val="de-DE" w:eastAsia="de-DE" w:bidi="de-DE"/>
        </w:rPr>
        <w:tab/>
        <w:t>In Fällen, in denen die eingetragene Bezeichnung im Nachhinein in einem anderen Verbandsmitglied abgelehnt wird, da sie in diesem Hoheitsgebiet ungeeignet ist (z.B. älteres Recht), kann es die Behörde auf Antrag des Züchters als zweckmäßig erachten, die Bezeichnung in die in dem genannten anderen Verbandsmitglied eingetragene Bezeichnung abzuändern (siehe Bestimmungen in Absatz 5 „Einheitlichkeit der Bezeichnung in allen Vertragsparteien“); und</w:t>
      </w:r>
    </w:p>
    <w:p w:rsidR="0070116C" w:rsidRPr="008E31A0" w:rsidRDefault="0070116C" w:rsidP="00907AD7">
      <w:pPr>
        <w:ind w:left="567" w:right="567"/>
        <w:rPr>
          <w:sz w:val="18"/>
          <w:szCs w:val="18"/>
          <w:lang w:val="de-DE" w:eastAsia="de-DE" w:bidi="de-DE"/>
        </w:rPr>
      </w:pPr>
    </w:p>
    <w:p w:rsidR="0070116C" w:rsidRPr="008E31A0" w:rsidRDefault="0070116C" w:rsidP="00907AD7">
      <w:pPr>
        <w:ind w:left="567" w:right="567" w:firstLine="567"/>
        <w:rPr>
          <w:sz w:val="18"/>
          <w:szCs w:val="18"/>
          <w:lang w:val="de-DE" w:eastAsia="de-DE" w:bidi="de-DE"/>
        </w:rPr>
      </w:pPr>
      <w:r w:rsidRPr="008E31A0">
        <w:rPr>
          <w:sz w:val="18"/>
          <w:szCs w:val="18"/>
          <w:lang w:val="de-DE" w:eastAsia="de-DE" w:bidi="de-DE"/>
        </w:rPr>
        <w:t>c)</w:t>
      </w:r>
      <w:r w:rsidRPr="008E31A0">
        <w:rPr>
          <w:sz w:val="18"/>
          <w:szCs w:val="18"/>
          <w:lang w:val="de-DE" w:eastAsia="de-DE" w:bidi="de-DE"/>
        </w:rPr>
        <w:tab/>
        <w:t>im Allgemeinen wäre es vorbehaltlich a) und b) oben nicht zweckmäßig, wenn die Behörde eine eingetragene Bezeichnung auf Anfrage eines Züchters ändern würde.“</w:t>
      </w:r>
    </w:p>
    <w:p w:rsidR="0070116C" w:rsidRPr="0070116C" w:rsidRDefault="0070116C" w:rsidP="00907AD7">
      <w:pPr>
        <w:rPr>
          <w:lang w:val="de-DE" w:eastAsia="de-DE" w:bidi="de-DE"/>
        </w:rPr>
      </w:pPr>
    </w:p>
    <w:p w:rsidR="0070116C" w:rsidRPr="0070116C" w:rsidRDefault="0070116C" w:rsidP="00907AD7">
      <w:pPr>
        <w:rPr>
          <w:rFonts w:cs="Arial"/>
          <w:lang w:val="de-DE" w:eastAsia="de-DE" w:bidi="de-DE"/>
        </w:rPr>
      </w:pPr>
      <w:r w:rsidRPr="0070116C">
        <w:rPr>
          <w:rFonts w:cs="Arial"/>
          <w:lang w:val="de-DE" w:eastAsia="de-DE" w:bidi="de-DE"/>
        </w:rPr>
        <w:fldChar w:fldCharType="begin"/>
      </w:r>
      <w:r w:rsidRPr="0070116C">
        <w:rPr>
          <w:rFonts w:cs="Arial"/>
          <w:lang w:val="de-DE" w:eastAsia="de-DE" w:bidi="de-DE"/>
        </w:rPr>
        <w:instrText xml:space="preserve"> AUTONUM  </w:instrText>
      </w:r>
      <w:r w:rsidRPr="0070116C">
        <w:rPr>
          <w:rFonts w:cs="Arial"/>
          <w:lang w:val="de-DE" w:eastAsia="de-DE" w:bidi="de-DE"/>
        </w:rPr>
        <w:fldChar w:fldCharType="end"/>
      </w:r>
      <w:r w:rsidRPr="0070116C">
        <w:rPr>
          <w:lang w:val="de-DE" w:eastAsia="de-DE" w:bidi="de-DE"/>
        </w:rPr>
        <w:tab/>
        <w:t>Als Dokument UPOV/INF/12/5 Draft 1 auf dem Schriftweg verbreitet wurde, gingen Vorschläge betreffend andere Aspekte in den Erläuterungen ein und die CAJ</w:t>
      </w:r>
      <w:r w:rsidRPr="0070116C">
        <w:rPr>
          <w:lang w:val="de-DE" w:eastAsia="de-DE" w:bidi="de-DE"/>
        </w:rPr>
        <w:softHyphen/>
      </w:r>
      <w:r w:rsidR="0027761D">
        <w:rPr>
          <w:lang w:val="de-DE" w:eastAsia="de-DE" w:bidi="de-DE"/>
        </w:rPr>
        <w:t>-</w:t>
      </w:r>
      <w:r w:rsidRPr="0070116C">
        <w:rPr>
          <w:lang w:val="de-DE" w:eastAsia="de-DE" w:bidi="de-DE"/>
        </w:rPr>
        <w:t>AG vereinbarte, eine erste Prüfung jener anderen Vorschläge durchzuführen, um den CAJ zu unterstützen.</w:t>
      </w:r>
    </w:p>
    <w:p w:rsidR="0070116C" w:rsidRPr="0070116C" w:rsidRDefault="0070116C" w:rsidP="00907AD7">
      <w:pPr>
        <w:rPr>
          <w:rFonts w:cs="Arial"/>
          <w:lang w:val="de-DE" w:eastAsia="de-DE" w:bidi="de-DE"/>
        </w:rPr>
      </w:pPr>
    </w:p>
    <w:p w:rsidR="0070116C" w:rsidRPr="0070116C" w:rsidRDefault="0070116C" w:rsidP="00907AD7">
      <w:pPr>
        <w:jc w:val="left"/>
        <w:rPr>
          <w:lang w:val="de-DE" w:eastAsia="de-DE" w:bidi="de-DE"/>
        </w:rPr>
      </w:pPr>
      <w:r w:rsidRPr="0070116C">
        <w:rPr>
          <w:lang w:val="de-DE" w:eastAsia="de-DE" w:bidi="de-DE"/>
        </w:rPr>
        <w:br w:type="page"/>
      </w:r>
    </w:p>
    <w:p w:rsidR="0070116C" w:rsidRPr="0070116C" w:rsidRDefault="0070116C" w:rsidP="00907AD7">
      <w:pPr>
        <w:rPr>
          <w:lang w:val="de-DE" w:eastAsia="de-DE" w:bidi="de-DE"/>
        </w:rPr>
      </w:pPr>
      <w:r w:rsidRPr="0070116C">
        <w:rPr>
          <w:lang w:val="de-DE" w:eastAsia="de-DE" w:bidi="de-DE"/>
        </w:rPr>
        <w:lastRenderedPageBreak/>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Folgende Vorschläge wurden von der CAJ-AG vereinbart: </w:t>
      </w:r>
    </w:p>
    <w:p w:rsidR="0070116C" w:rsidRPr="0070116C" w:rsidRDefault="0070116C" w:rsidP="00907AD7">
      <w:pPr>
        <w:keepNext/>
        <w:rPr>
          <w:rFonts w:cs="Arial"/>
          <w:lang w:val="de-DE" w:eastAsia="de-DE" w:bidi="de-DE"/>
        </w:rPr>
      </w:pPr>
    </w:p>
    <w:tbl>
      <w:tblPr>
        <w:tblW w:w="9180" w:type="dxa"/>
        <w:tblInd w:w="56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3" w:type="dxa"/>
        </w:tblCellMar>
        <w:tblLook w:val="0000" w:firstRow="0" w:lastRow="0" w:firstColumn="0" w:lastColumn="0" w:noHBand="0" w:noVBand="0"/>
      </w:tblPr>
      <w:tblGrid>
        <w:gridCol w:w="1191"/>
        <w:gridCol w:w="7989"/>
      </w:tblGrid>
      <w:tr w:rsidR="0070116C" w:rsidRPr="0070116C" w:rsidTr="008A13EF">
        <w:trPr>
          <w:cantSplit/>
        </w:trPr>
        <w:tc>
          <w:tcPr>
            <w:tcW w:w="1191" w:type="dxa"/>
          </w:tcPr>
          <w:p w:rsidR="0070116C" w:rsidRPr="0070116C" w:rsidRDefault="0070116C" w:rsidP="00907AD7">
            <w:pPr>
              <w:rPr>
                <w:rFonts w:cs="Arial"/>
                <w:lang w:val="de-DE" w:eastAsia="de-DE" w:bidi="de-DE"/>
              </w:rPr>
            </w:pPr>
            <w:r w:rsidRPr="0070116C">
              <w:rPr>
                <w:lang w:val="de-DE" w:eastAsia="de-DE" w:bidi="de-DE"/>
              </w:rPr>
              <w:t>2.2.2 b)</w:t>
            </w:r>
          </w:p>
        </w:tc>
        <w:tc>
          <w:tcPr>
            <w:tcW w:w="7989" w:type="dxa"/>
          </w:tcPr>
          <w:p w:rsidR="0070116C" w:rsidRPr="0070116C" w:rsidRDefault="0070116C" w:rsidP="00907AD7">
            <w:pPr>
              <w:rPr>
                <w:snapToGrid w:val="0"/>
                <w:lang w:val="de-DE" w:eastAsia="de-DE" w:bidi="de-DE"/>
              </w:rPr>
            </w:pPr>
            <w:r w:rsidRPr="0070116C">
              <w:rPr>
                <w:lang w:val="de-DE" w:eastAsia="de-DE" w:bidi="de-DE"/>
              </w:rPr>
              <w:t>Die Terminologie in 2.2.2 b) ist zu klären. Insbesondere ist zu prüfe</w:t>
            </w:r>
            <w:r w:rsidR="00790760">
              <w:rPr>
                <w:lang w:val="de-DE" w:eastAsia="de-DE" w:bidi="de-DE"/>
              </w:rPr>
              <w:t>n, ob die Beispiele in folgendem Satz</w:t>
            </w:r>
            <w:r w:rsidRPr="0070116C">
              <w:rPr>
                <w:lang w:val="de-DE" w:eastAsia="de-DE" w:bidi="de-DE"/>
              </w:rPr>
              <w:t xml:space="preserve"> geändert werden oder „Arten“ durch „Gattungen“ oder „Taxa“ ersetzt werden:</w:t>
            </w:r>
          </w:p>
          <w:p w:rsidR="0070116C" w:rsidRPr="0070116C" w:rsidRDefault="0070116C" w:rsidP="00907AD7">
            <w:pPr>
              <w:rPr>
                <w:snapToGrid w:val="0"/>
                <w:lang w:val="de-DE" w:eastAsia="de-DE" w:bidi="de-DE"/>
              </w:rPr>
            </w:pPr>
          </w:p>
          <w:p w:rsidR="0070116C" w:rsidRPr="0070116C" w:rsidRDefault="0070116C" w:rsidP="00907AD7">
            <w:pPr>
              <w:rPr>
                <w:snapToGrid w:val="0"/>
                <w:lang w:val="de-DE" w:eastAsia="de-DE" w:bidi="de-DE"/>
              </w:rPr>
            </w:pPr>
            <w:r w:rsidRPr="0070116C">
              <w:rPr>
                <w:lang w:val="de-DE" w:eastAsia="de-DE" w:bidi="de-DE"/>
              </w:rPr>
              <w:t>„</w:t>
            </w:r>
            <w:r w:rsidRPr="0070116C">
              <w:rPr>
                <w:color w:val="000000"/>
                <w:lang w:val="de-DE" w:eastAsia="de-DE" w:bidi="de-DE"/>
              </w:rPr>
              <w:t>b)</w:t>
            </w:r>
            <w:r w:rsidRPr="0070116C">
              <w:rPr>
                <w:lang w:val="de-DE" w:eastAsia="de-DE" w:bidi="de-DE"/>
              </w:rPr>
              <w:tab/>
              <w:t>die anerkannte Marktpraxis für bestimmte Sortentypen (z. B.  Hybriden) und bestimmte Arten (z.B.  Medicago, Helianthus).</w:t>
            </w:r>
            <w:r w:rsidR="007F574E">
              <w:rPr>
                <w:lang w:val="de-DE" w:eastAsia="de-DE" w:bidi="de-DE"/>
              </w:rPr>
              <w:t>“</w:t>
            </w:r>
          </w:p>
        </w:tc>
      </w:tr>
      <w:tr w:rsidR="0070116C" w:rsidRPr="0070116C" w:rsidTr="008A13EF">
        <w:trPr>
          <w:cantSplit/>
        </w:trPr>
        <w:tc>
          <w:tcPr>
            <w:tcW w:w="1191" w:type="dxa"/>
          </w:tcPr>
          <w:p w:rsidR="0070116C" w:rsidRPr="0070116C" w:rsidRDefault="0070116C" w:rsidP="00907AD7">
            <w:pPr>
              <w:rPr>
                <w:rFonts w:cs="Arial"/>
                <w:lang w:val="de-DE" w:eastAsia="de-DE" w:bidi="de-DE"/>
              </w:rPr>
            </w:pPr>
            <w:r w:rsidRPr="0070116C">
              <w:rPr>
                <w:lang w:val="de-DE" w:eastAsia="de-DE" w:bidi="de-DE"/>
              </w:rPr>
              <w:t>2.2.2 c)</w:t>
            </w:r>
          </w:p>
        </w:tc>
        <w:tc>
          <w:tcPr>
            <w:tcW w:w="7989" w:type="dxa"/>
          </w:tcPr>
          <w:p w:rsidR="0070116C" w:rsidRPr="0070116C" w:rsidRDefault="0070116C" w:rsidP="00907AD7">
            <w:pPr>
              <w:rPr>
                <w:rFonts w:cs="Arial"/>
                <w:lang w:val="de-DE" w:eastAsia="de-DE" w:bidi="de-DE"/>
              </w:rPr>
            </w:pPr>
            <w:r w:rsidRPr="0070116C">
              <w:rPr>
                <w:lang w:val="de-DE" w:eastAsia="de-DE" w:bidi="de-DE"/>
              </w:rPr>
              <w:t>2.2.2 c) ist wie folgt hinzuzufügen:</w:t>
            </w:r>
          </w:p>
          <w:p w:rsidR="0070116C" w:rsidRPr="0070116C" w:rsidRDefault="0070116C" w:rsidP="00907AD7">
            <w:pPr>
              <w:rPr>
                <w:rFonts w:cs="Arial"/>
                <w:lang w:val="de-DE" w:eastAsia="de-DE" w:bidi="de-DE"/>
              </w:rPr>
            </w:pPr>
          </w:p>
          <w:p w:rsidR="0070116C" w:rsidRPr="008A13EF" w:rsidRDefault="0070116C" w:rsidP="00907AD7">
            <w:pPr>
              <w:rPr>
                <w:rFonts w:cs="Arial"/>
                <w:spacing w:val="-2"/>
                <w:lang w:val="de-DE" w:eastAsia="de-DE" w:bidi="de-DE"/>
              </w:rPr>
            </w:pPr>
            <w:r w:rsidRPr="008A13EF">
              <w:rPr>
                <w:spacing w:val="-2"/>
                <w:lang w:val="de-DE" w:eastAsia="de-DE" w:bidi="de-DE"/>
              </w:rPr>
              <w:t>„c)</w:t>
            </w:r>
            <w:r w:rsidRPr="008A13EF">
              <w:rPr>
                <w:spacing w:val="-2"/>
                <w:lang w:val="de-DE" w:eastAsia="de-DE" w:bidi="de-DE"/>
              </w:rPr>
              <w:tab/>
              <w:t>als ‘feststehende Praxis’ ist festgelegt, wenn die Eintragung für eine Art oder Gruppe akzeptiert wurde, so daß sie bei anderen Arten verwendet werden kann, unter der noch keine Sorte eingetragen ist, deren Bezeichnung aus</w:t>
            </w:r>
            <w:r w:rsidR="007F574E">
              <w:rPr>
                <w:spacing w:val="-2"/>
                <w:lang w:val="de-DE" w:eastAsia="de-DE" w:bidi="de-DE"/>
              </w:rPr>
              <w:t>schließlich aus Zahlen besteht.“</w:t>
            </w:r>
          </w:p>
        </w:tc>
      </w:tr>
      <w:tr w:rsidR="0070116C" w:rsidRPr="0070116C" w:rsidTr="008A13EF">
        <w:trPr>
          <w:cantSplit/>
        </w:trPr>
        <w:tc>
          <w:tcPr>
            <w:tcW w:w="1191" w:type="dxa"/>
          </w:tcPr>
          <w:p w:rsidR="0070116C" w:rsidRPr="0070116C" w:rsidRDefault="0070116C" w:rsidP="00907AD7">
            <w:pPr>
              <w:rPr>
                <w:rFonts w:cs="Arial"/>
                <w:lang w:val="de-DE" w:eastAsia="de-DE" w:bidi="de-DE"/>
              </w:rPr>
            </w:pPr>
            <w:r w:rsidRPr="0070116C">
              <w:rPr>
                <w:lang w:val="de-DE" w:eastAsia="de-DE" w:bidi="de-DE"/>
              </w:rPr>
              <w:t>2.3.1 c)</w:t>
            </w:r>
          </w:p>
        </w:tc>
        <w:tc>
          <w:tcPr>
            <w:tcW w:w="7989" w:type="dxa"/>
          </w:tcPr>
          <w:p w:rsidR="0070116C" w:rsidRPr="0070116C" w:rsidRDefault="0070116C" w:rsidP="00907AD7">
            <w:pPr>
              <w:rPr>
                <w:lang w:val="de-DE" w:eastAsia="de-DE" w:bidi="de-DE"/>
              </w:rPr>
            </w:pPr>
            <w:r w:rsidRPr="0070116C">
              <w:rPr>
                <w:lang w:val="de-DE" w:eastAsia="de-DE" w:bidi="de-DE"/>
              </w:rPr>
              <w:t>Es ist weitere Anleitung zu 2.3.1 c) zu entwickeln und weitere zweckmäßigere Beispiele sind bereitzustellen.</w:t>
            </w:r>
          </w:p>
          <w:p w:rsidR="0070116C" w:rsidRPr="0070116C" w:rsidRDefault="0070116C" w:rsidP="00907AD7">
            <w:pPr>
              <w:keepNext/>
              <w:rPr>
                <w:lang w:val="de-DE" w:eastAsia="de-DE" w:bidi="de-DE"/>
              </w:rPr>
            </w:pPr>
          </w:p>
          <w:p w:rsidR="0070116C" w:rsidRPr="0070116C" w:rsidRDefault="0070116C" w:rsidP="00907AD7">
            <w:pPr>
              <w:keepNext/>
              <w:rPr>
                <w:lang w:val="de-DE" w:eastAsia="de-DE" w:bidi="de-DE"/>
              </w:rPr>
            </w:pPr>
            <w:r w:rsidRPr="0070116C">
              <w:rPr>
                <w:lang w:val="de-DE" w:eastAsia="de-DE" w:bidi="de-DE"/>
              </w:rPr>
              <w:t>„c)</w:t>
            </w:r>
            <w:r w:rsidRPr="0070116C">
              <w:rPr>
                <w:lang w:val="de-DE" w:eastAsia="de-DE" w:bidi="de-DE"/>
              </w:rPr>
              <w:tab/>
              <w:t>den Eindruck erwecken, daß die Sorte von einer anderen Sorte abstamme oder mit ihr verwandt sei, wenn dies tatsächlich nicht der Fall ist;</w:t>
            </w:r>
          </w:p>
          <w:p w:rsidR="0070116C" w:rsidRPr="0070116C" w:rsidRDefault="0070116C" w:rsidP="00907AD7">
            <w:pPr>
              <w:keepNext/>
              <w:rPr>
                <w:lang w:val="de-DE" w:eastAsia="de-DE" w:bidi="de-DE"/>
              </w:rPr>
            </w:pPr>
          </w:p>
          <w:p w:rsidR="0070116C" w:rsidRPr="0070116C" w:rsidRDefault="0070116C" w:rsidP="007F574E">
            <w:pPr>
              <w:rPr>
                <w:rFonts w:cs="Arial"/>
                <w:lang w:val="de-DE" w:eastAsia="de-DE" w:bidi="de-DE"/>
              </w:rPr>
            </w:pPr>
            <w:r w:rsidRPr="0070116C">
              <w:rPr>
                <w:i/>
                <w:lang w:val="de-DE" w:eastAsia="de-DE" w:bidi="de-DE"/>
              </w:rPr>
              <w:t>Beispiel:</w:t>
            </w:r>
            <w:r w:rsidRPr="0070116C">
              <w:rPr>
                <w:lang w:val="de-DE" w:eastAsia="de-DE" w:bidi="de-DE"/>
              </w:rPr>
              <w:t xml:space="preserve">  Eine Sortenbezeichnung, die derjenigen einer anderen Sorte derselben Art oder einer ver</w:t>
            </w:r>
            <w:r w:rsidR="007F574E">
              <w:rPr>
                <w:lang w:val="de-DE" w:eastAsia="de-DE" w:bidi="de-DE"/>
              </w:rPr>
              <w:t>wandten Art ähnlich ist, z. B. ‚</w:t>
            </w:r>
            <w:r w:rsidRPr="0070116C">
              <w:rPr>
                <w:lang w:val="de-DE" w:eastAsia="de-DE" w:bidi="de-DE"/>
              </w:rPr>
              <w:t>Kreuz des Südens 1</w:t>
            </w:r>
            <w:r w:rsidR="007F574E">
              <w:rPr>
                <w:lang w:val="de-DE" w:eastAsia="de-DE" w:bidi="de-DE"/>
              </w:rPr>
              <w:t>‘</w:t>
            </w:r>
            <w:r w:rsidRPr="0070116C">
              <w:rPr>
                <w:lang w:val="de-DE" w:eastAsia="de-DE" w:bidi="de-DE"/>
              </w:rPr>
              <w:t xml:space="preserve">; </w:t>
            </w:r>
            <w:r w:rsidR="007F574E">
              <w:rPr>
                <w:lang w:val="de-DE" w:eastAsia="de-DE" w:bidi="de-DE"/>
              </w:rPr>
              <w:t>‚</w:t>
            </w:r>
            <w:r w:rsidRPr="0070116C">
              <w:rPr>
                <w:lang w:val="de-DE" w:eastAsia="de-DE" w:bidi="de-DE"/>
              </w:rPr>
              <w:t>Kreuz des Südens 2</w:t>
            </w:r>
            <w:r w:rsidR="007F574E">
              <w:rPr>
                <w:lang w:val="de-DE" w:eastAsia="de-DE" w:bidi="de-DE"/>
              </w:rPr>
              <w:t>‘</w:t>
            </w:r>
            <w:r w:rsidRPr="0070116C">
              <w:rPr>
                <w:lang w:val="de-DE" w:eastAsia="de-DE" w:bidi="de-DE"/>
              </w:rPr>
              <w:t xml:space="preserve"> usw., was den Eindruck erweckt, daß diese Sorten eine Serie verwandter Sorten mit ähnlichen Eigenschaften sind, wenn dies tatsächlich nicht der Fall ist.“</w:t>
            </w:r>
          </w:p>
        </w:tc>
      </w:tr>
      <w:tr w:rsidR="0070116C" w:rsidRPr="0070116C" w:rsidTr="008A13EF">
        <w:trPr>
          <w:cantSplit/>
        </w:trPr>
        <w:tc>
          <w:tcPr>
            <w:tcW w:w="1191" w:type="dxa"/>
          </w:tcPr>
          <w:p w:rsidR="0070116C" w:rsidRPr="0070116C" w:rsidRDefault="0070116C" w:rsidP="00907AD7">
            <w:pPr>
              <w:rPr>
                <w:lang w:val="de-DE" w:eastAsia="de-DE" w:bidi="de-DE"/>
              </w:rPr>
            </w:pPr>
            <w:r w:rsidRPr="0070116C">
              <w:rPr>
                <w:lang w:val="de-DE" w:eastAsia="de-DE" w:bidi="de-DE"/>
              </w:rPr>
              <w:t>2.3.1.d)</w:t>
            </w:r>
          </w:p>
        </w:tc>
        <w:tc>
          <w:tcPr>
            <w:tcW w:w="7989" w:type="dxa"/>
          </w:tcPr>
          <w:p w:rsidR="0070116C" w:rsidRPr="0070116C" w:rsidRDefault="0070116C" w:rsidP="00907AD7">
            <w:pPr>
              <w:rPr>
                <w:lang w:val="de-DE" w:eastAsia="de-DE" w:bidi="de-DE"/>
              </w:rPr>
            </w:pPr>
            <w:r w:rsidRPr="0070116C">
              <w:rPr>
                <w:lang w:val="de-DE" w:eastAsia="de-DE" w:bidi="de-DE"/>
              </w:rPr>
              <w:t>2.3.1 d) ist wie folgt hinzuzufügen:</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t>„d)</w:t>
            </w:r>
            <w:r w:rsidRPr="0070116C">
              <w:rPr>
                <w:lang w:val="de-DE" w:eastAsia="de-DE" w:bidi="de-DE"/>
              </w:rPr>
              <w:tab/>
              <w:t xml:space="preserve"> enthält den botanischen oder landesüblichen Namen der Gattung, der die Sorte angehört. Die Identität der Bezeichnung und die der Gattung, zu der sie gehört, könnte unklar und verwirrend werden.“</w:t>
            </w:r>
          </w:p>
          <w:p w:rsidR="0070116C" w:rsidRPr="0070116C" w:rsidRDefault="0070116C" w:rsidP="00907AD7">
            <w:pPr>
              <w:rPr>
                <w:highlight w:val="lightGray"/>
                <w:lang w:val="de-DE" w:eastAsia="de-DE" w:bidi="de-DE"/>
              </w:rPr>
            </w:pPr>
          </w:p>
          <w:p w:rsidR="0070116C" w:rsidRPr="0070116C" w:rsidRDefault="0070116C" w:rsidP="00907AD7">
            <w:pPr>
              <w:rPr>
                <w:lang w:val="de-DE" w:eastAsia="de-DE" w:bidi="de-DE"/>
              </w:rPr>
            </w:pPr>
            <w:r w:rsidRPr="0070116C">
              <w:rPr>
                <w:lang w:val="de-DE" w:eastAsia="de-DE" w:bidi="de-DE"/>
              </w:rPr>
              <w:t>Folgendes Beispiel ist zu klären:</w:t>
            </w:r>
          </w:p>
          <w:p w:rsidR="0070116C" w:rsidRPr="0070116C" w:rsidRDefault="0070116C" w:rsidP="00907AD7">
            <w:pPr>
              <w:rPr>
                <w:lang w:val="de-DE" w:eastAsia="de-DE" w:bidi="de-DE"/>
              </w:rPr>
            </w:pPr>
          </w:p>
          <w:p w:rsidR="0070116C" w:rsidRPr="008A13EF" w:rsidRDefault="0070116C" w:rsidP="008A13EF">
            <w:pPr>
              <w:ind w:left="369"/>
              <w:rPr>
                <w:spacing w:val="-2"/>
                <w:lang w:val="de-DE" w:eastAsia="de-DE" w:bidi="de-DE"/>
              </w:rPr>
            </w:pPr>
            <w:r w:rsidRPr="008A13EF">
              <w:rPr>
                <w:i/>
                <w:spacing w:val="-2"/>
                <w:lang w:val="de-DE" w:eastAsia="de-DE" w:bidi="de-DE"/>
              </w:rPr>
              <w:t>Beispiel</w:t>
            </w:r>
            <w:r w:rsidRPr="008A13EF">
              <w:rPr>
                <w:spacing w:val="-2"/>
                <w:lang w:val="de-DE" w:eastAsia="de-DE" w:bidi="de-DE"/>
              </w:rPr>
              <w:t xml:space="preserve">:  </w:t>
            </w:r>
            <w:r w:rsidRPr="008A13EF">
              <w:rPr>
                <w:i/>
                <w:spacing w:val="-2"/>
                <w:lang w:val="de-DE" w:eastAsia="de-DE" w:bidi="de-DE"/>
              </w:rPr>
              <w:t xml:space="preserve">Carex </w:t>
            </w:r>
            <w:r w:rsidRPr="008A13EF">
              <w:rPr>
                <w:spacing w:val="-2"/>
                <w:lang w:val="de-DE" w:eastAsia="de-DE" w:bidi="de-DE"/>
              </w:rPr>
              <w:t xml:space="preserve">Sorte ‘Sedge’. Darauf könnte möglicherweise als ‘Sedge’ </w:t>
            </w:r>
            <w:r w:rsidRPr="008A13EF">
              <w:rPr>
                <w:i/>
                <w:spacing w:val="-2"/>
                <w:lang w:val="de-DE" w:eastAsia="de-DE" w:bidi="de-DE"/>
              </w:rPr>
              <w:t xml:space="preserve">Carex </w:t>
            </w:r>
            <w:r w:rsidRPr="008A13EF">
              <w:rPr>
                <w:spacing w:val="-2"/>
                <w:lang w:val="de-DE" w:eastAsia="de-DE" w:bidi="de-DE"/>
              </w:rPr>
              <w:t xml:space="preserve">Bezug genommen werden und ohne Verwendung von Kursivdruck oder einfachen Anführungszeichen könnte die Identität der Bezeichnung und der Gattung unklar sein. </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t xml:space="preserve">Es ist Anleitung zu möglicher Verunsicherung bezüglich der Verwendung des botanischen oder landesüblichen Namens einer Gattung, zu der die Sorte </w:t>
            </w:r>
            <w:r w:rsidRPr="0070116C">
              <w:rPr>
                <w:u w:val="single"/>
                <w:lang w:val="de-DE" w:eastAsia="de-DE" w:bidi="de-DE"/>
              </w:rPr>
              <w:t>nicht</w:t>
            </w:r>
            <w:r w:rsidRPr="0070116C">
              <w:rPr>
                <w:lang w:val="de-DE" w:eastAsia="de-DE" w:bidi="de-DE"/>
              </w:rPr>
              <w:t xml:space="preserve"> gehört - von Fall zu Fall - zu erarbeiten.</w:t>
            </w:r>
          </w:p>
        </w:tc>
      </w:tr>
      <w:tr w:rsidR="0070116C" w:rsidRPr="0070116C" w:rsidTr="008A13EF">
        <w:trPr>
          <w:cantSplit/>
        </w:trPr>
        <w:tc>
          <w:tcPr>
            <w:tcW w:w="1191" w:type="dxa"/>
          </w:tcPr>
          <w:p w:rsidR="0070116C" w:rsidRPr="0070116C" w:rsidRDefault="0070116C" w:rsidP="00907AD7">
            <w:pPr>
              <w:rPr>
                <w:lang w:val="de-DE" w:eastAsia="de-DE" w:bidi="de-DE"/>
              </w:rPr>
            </w:pPr>
            <w:r w:rsidRPr="0070116C">
              <w:rPr>
                <w:lang w:val="de-DE" w:eastAsia="de-DE" w:bidi="de-DE"/>
              </w:rPr>
              <w:t>2.3.3.</w:t>
            </w:r>
          </w:p>
        </w:tc>
        <w:tc>
          <w:tcPr>
            <w:tcW w:w="7989" w:type="dxa"/>
          </w:tcPr>
          <w:p w:rsidR="0070116C" w:rsidRPr="0070116C" w:rsidRDefault="0070116C" w:rsidP="00907AD7">
            <w:pPr>
              <w:rPr>
                <w:snapToGrid w:val="0"/>
                <w:lang w:val="de-DE" w:eastAsia="de-DE" w:bidi="de-DE"/>
              </w:rPr>
            </w:pPr>
            <w:r w:rsidRPr="0070116C">
              <w:rPr>
                <w:lang w:val="de-DE" w:eastAsia="de-DE" w:bidi="de-DE"/>
              </w:rPr>
              <w:t xml:space="preserve">Vorschläge in 2.3.3 von Dokument UPOV/INF/12/5 Draft 2 sind als erster Schritt zur Ausarbeitung weiterer Anleitung und zweckmäßiger Beispiele in Verbindung mit der Entwicklung eines effektiven UPOV-Suchinstruments für Ähnlichkeiten zu prüfen. </w:t>
            </w:r>
          </w:p>
        </w:tc>
      </w:tr>
      <w:tr w:rsidR="0070116C" w:rsidRPr="0070116C" w:rsidTr="008A13EF">
        <w:trPr>
          <w:cantSplit/>
        </w:trPr>
        <w:tc>
          <w:tcPr>
            <w:tcW w:w="1191" w:type="dxa"/>
          </w:tcPr>
          <w:p w:rsidR="0070116C" w:rsidRPr="0070116C" w:rsidRDefault="0070116C" w:rsidP="00907AD7">
            <w:pPr>
              <w:rPr>
                <w:lang w:val="de-DE" w:eastAsia="de-DE" w:bidi="de-DE"/>
              </w:rPr>
            </w:pPr>
            <w:r w:rsidRPr="0070116C">
              <w:rPr>
                <w:lang w:val="de-DE" w:eastAsia="de-DE" w:bidi="de-DE"/>
              </w:rPr>
              <w:t>4 a)</w:t>
            </w:r>
          </w:p>
        </w:tc>
        <w:tc>
          <w:tcPr>
            <w:tcW w:w="7989" w:type="dxa"/>
          </w:tcPr>
          <w:p w:rsidR="0070116C" w:rsidRPr="0070116C" w:rsidRDefault="0070116C" w:rsidP="00907AD7">
            <w:pPr>
              <w:rPr>
                <w:snapToGrid w:val="0"/>
                <w:lang w:val="de-DE" w:eastAsia="de-DE" w:bidi="de-DE"/>
              </w:rPr>
            </w:pPr>
            <w:r w:rsidRPr="0070116C">
              <w:rPr>
                <w:lang w:val="de-DE" w:eastAsia="de-DE" w:bidi="de-DE"/>
              </w:rPr>
              <w:t>4 a) ist wie folgt zu ändern:</w:t>
            </w:r>
          </w:p>
          <w:p w:rsidR="0070116C" w:rsidRPr="0070116C" w:rsidRDefault="0070116C" w:rsidP="00907AD7">
            <w:pPr>
              <w:rPr>
                <w:snapToGrid w:val="0"/>
                <w:lang w:val="de-DE" w:eastAsia="de-DE" w:bidi="de-DE"/>
              </w:rPr>
            </w:pPr>
          </w:p>
          <w:p w:rsidR="0070116C" w:rsidRPr="0070116C" w:rsidRDefault="0070116C" w:rsidP="00907AD7">
            <w:pPr>
              <w:ind w:firstLine="567"/>
              <w:rPr>
                <w:lang w:val="de-DE" w:eastAsia="de-DE" w:bidi="de-DE"/>
              </w:rPr>
            </w:pPr>
            <w:r w:rsidRPr="0070116C">
              <w:rPr>
                <w:lang w:val="de-DE" w:eastAsia="de-DE" w:bidi="de-DE"/>
              </w:rPr>
              <w:t>„a)</w:t>
            </w:r>
            <w:r w:rsidRPr="0070116C">
              <w:rPr>
                <w:lang w:val="de-DE" w:eastAsia="de-DE" w:bidi="de-DE"/>
              </w:rPr>
              <w:tab/>
              <w:t xml:space="preserve">Eine Behörde sollte eine Sortenbezeichnung nicht akzeptieren, wenn </w:t>
            </w:r>
            <w:r w:rsidRPr="0070116C">
              <w:rPr>
                <w:u w:val="single"/>
                <w:lang w:val="de-DE" w:eastAsia="de-DE" w:bidi="de-DE"/>
              </w:rPr>
              <w:t>ein</w:t>
            </w:r>
            <w:r w:rsidRPr="0070116C">
              <w:rPr>
                <w:lang w:val="de-DE" w:eastAsia="de-DE" w:bidi="de-DE"/>
              </w:rPr>
              <w:t xml:space="preserve"> älteres Recht </w:t>
            </w:r>
            <w:r w:rsidRPr="0070116C">
              <w:rPr>
                <w:u w:val="single"/>
                <w:lang w:val="de-DE" w:eastAsia="de-DE" w:bidi="de-DE"/>
              </w:rPr>
              <w:t>vorliegt</w:t>
            </w:r>
            <w:r w:rsidRPr="0070116C">
              <w:rPr>
                <w:lang w:val="de-DE" w:eastAsia="de-DE" w:bidi="de-DE"/>
              </w:rPr>
              <w:t>, dessen Ausübung der Benutzung der vorgeschlagenen Sortenbezeichnung entgegenstehen könnte</w:t>
            </w:r>
            <w:r w:rsidRPr="0070116C">
              <w:rPr>
                <w:strike/>
                <w:lang w:val="de-DE" w:eastAsia="de-DE" w:bidi="de-DE"/>
              </w:rPr>
              <w:t>.bereits einem Dritten nach den Züchterrechtsvorschriften, dem Markenrecht oder anderen Rechtsvorschriften über geistiges Eigentum erteilt wurde.</w:t>
            </w:r>
            <w:r w:rsidRPr="0070116C">
              <w:rPr>
                <w:lang w:val="de-DE" w:eastAsia="de-DE" w:bidi="de-DE"/>
              </w:rPr>
              <w:t xml:space="preserve"> Es obliegt dem Inhaber eines älteren Rechts, seine Rechte mittels der verfügbaren Einwendungs- oder Gerichtsverfahren geltend zu machen. Die Behörden werden jedoch dazu angehalten, in entsprechenden Veröffentlichungen (z.B. Amtsblättern) und Datenbanken (z.B. UPOV-Datenbank für Pflanzensorten (PLUTO) </w:t>
            </w:r>
            <w:hyperlink r:id="rId10">
              <w:r w:rsidRPr="0070116C">
                <w:rPr>
                  <w:color w:val="0000FF"/>
                  <w:u w:val="single"/>
                  <w:lang w:val="de-DE" w:eastAsia="de-DE" w:bidi="de-DE"/>
                </w:rPr>
                <w:t>http://www.upov.int/pluto/en/</w:t>
              </w:r>
            </w:hyperlink>
            <w:r w:rsidRPr="0070116C">
              <w:rPr>
                <w:lang w:val="de-DE" w:eastAsia="de-DE" w:bidi="de-DE"/>
              </w:rPr>
              <w:t>) vorherige Nachforschungen anzustellen, um ältere Rechte an Sortenbezeichnungen zu ermitteln. Sie können auch in anderen Registern wie Handelsmarkenregistern suchen, bevor sie eine Sortenbezeichnung akzeptieren.“</w:t>
            </w:r>
          </w:p>
        </w:tc>
      </w:tr>
      <w:tr w:rsidR="0070116C" w:rsidRPr="0070116C" w:rsidTr="008A13EF">
        <w:trPr>
          <w:cantSplit/>
        </w:trPr>
        <w:tc>
          <w:tcPr>
            <w:tcW w:w="1191" w:type="dxa"/>
          </w:tcPr>
          <w:p w:rsidR="0070116C" w:rsidRPr="0070116C" w:rsidRDefault="0070116C" w:rsidP="00907AD7">
            <w:pPr>
              <w:rPr>
                <w:lang w:val="de-DE" w:eastAsia="de-DE" w:bidi="de-DE"/>
              </w:rPr>
            </w:pPr>
            <w:r w:rsidRPr="0070116C">
              <w:rPr>
                <w:lang w:val="de-DE" w:eastAsia="de-DE" w:bidi="de-DE"/>
              </w:rPr>
              <w:lastRenderedPageBreak/>
              <w:t>4 e) ii)</w:t>
            </w:r>
          </w:p>
        </w:tc>
        <w:tc>
          <w:tcPr>
            <w:tcW w:w="7989" w:type="dxa"/>
          </w:tcPr>
          <w:p w:rsidR="0070116C" w:rsidRPr="0070116C" w:rsidRDefault="0070116C" w:rsidP="00907AD7">
            <w:pPr>
              <w:rPr>
                <w:snapToGrid w:val="0"/>
                <w:lang w:val="de-DE" w:eastAsia="de-DE" w:bidi="de-DE"/>
              </w:rPr>
            </w:pPr>
            <w:r w:rsidRPr="0070116C">
              <w:rPr>
                <w:lang w:val="de-DE" w:eastAsia="de-DE" w:bidi="de-DE"/>
              </w:rPr>
              <w:t>Letzter Satz von 4 e) i) ist wie folgt zu ändern:</w:t>
            </w:r>
          </w:p>
          <w:p w:rsidR="0070116C" w:rsidRPr="0070116C" w:rsidRDefault="0070116C" w:rsidP="00907AD7">
            <w:pPr>
              <w:rPr>
                <w:snapToGrid w:val="0"/>
                <w:lang w:val="de-DE" w:eastAsia="de-DE" w:bidi="de-DE"/>
              </w:rPr>
            </w:pPr>
          </w:p>
          <w:p w:rsidR="0070116C" w:rsidRPr="0070116C" w:rsidRDefault="0070116C" w:rsidP="00907AD7">
            <w:pPr>
              <w:tabs>
                <w:tab w:val="right" w:pos="1134"/>
                <w:tab w:val="left" w:pos="1418"/>
              </w:tabs>
              <w:rPr>
                <w:lang w:val="de-DE" w:eastAsia="de-DE" w:bidi="de-DE"/>
              </w:rPr>
            </w:pPr>
            <w:r w:rsidRPr="0070116C">
              <w:rPr>
                <w:lang w:val="de-DE" w:eastAsia="de-DE" w:bidi="de-DE"/>
              </w:rPr>
              <w:t>„In Fällen bloßer Ähnlichkeit oder einer geringen Wahrscheinlichkeit</w:t>
            </w:r>
            <w:r w:rsidRPr="0070116C">
              <w:rPr>
                <w:strike/>
                <w:lang w:val="de-DE" w:eastAsia="de-DE" w:bidi="de-DE"/>
              </w:rPr>
              <w:t>, daß sie von den Benutzern in Zusammenhang gebracht werden</w:t>
            </w:r>
            <w:r w:rsidRPr="0070116C">
              <w:rPr>
                <w:lang w:val="de-DE" w:eastAsia="de-DE" w:bidi="de-DE"/>
              </w:rPr>
              <w:t xml:space="preserve"> </w:t>
            </w:r>
            <w:r w:rsidRPr="0070116C">
              <w:rPr>
                <w:u w:val="single"/>
                <w:lang w:val="de-DE" w:eastAsia="de-DE" w:bidi="de-DE"/>
              </w:rPr>
              <w:t>der Verunsicherung</w:t>
            </w:r>
            <w:r w:rsidRPr="0070116C">
              <w:rPr>
                <w:lang w:val="de-DE" w:eastAsia="de-DE" w:bidi="de-DE"/>
              </w:rPr>
              <w:t xml:space="preserve"> von Benutzern, könnte ein Verzicht auf Einwendungen durch die Rechtsinhaber einer Handelsmarke zugunsten der Züch</w:t>
            </w:r>
            <w:r w:rsidR="007F574E">
              <w:rPr>
                <w:lang w:val="de-DE" w:eastAsia="de-DE" w:bidi="de-DE"/>
              </w:rPr>
              <w:t>ter eine geeignete Lösung sein.“</w:t>
            </w:r>
          </w:p>
        </w:tc>
      </w:tr>
    </w:tbl>
    <w:p w:rsidR="0070116C" w:rsidRPr="0070116C" w:rsidRDefault="0070116C" w:rsidP="00907AD7">
      <w:pPr>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Angelegenheiten, die Sortenbeschreibungen betreffen</w:t>
      </w:r>
    </w:p>
    <w:p w:rsidR="0070116C" w:rsidRPr="0070116C" w:rsidRDefault="0070116C" w:rsidP="00907AD7">
      <w:pPr>
        <w:keepNext/>
        <w:rPr>
          <w:lang w:val="de-DE" w:eastAsia="de-DE" w:bidi="de-DE"/>
        </w:rPr>
      </w:pPr>
    </w:p>
    <w:p w:rsidR="0070116C" w:rsidRPr="0070116C" w:rsidRDefault="0070116C" w:rsidP="00907AD7">
      <w:pPr>
        <w:keepNext/>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prüfte Dokument CAJ-AG/14/9/4 „Angelegenheiten betreffend Sortenbeschreibungen“.</w:t>
      </w:r>
    </w:p>
    <w:p w:rsidR="0070116C" w:rsidRPr="0070116C" w:rsidRDefault="0070116C" w:rsidP="00907AD7">
      <w:pPr>
        <w:keepNext/>
        <w:rPr>
          <w:lang w:val="de-DE" w:eastAsia="de-DE" w:bidi="de-DE"/>
        </w:rPr>
      </w:pPr>
    </w:p>
    <w:p w:rsidR="0070116C" w:rsidRPr="0070116C" w:rsidRDefault="0070116C" w:rsidP="00907AD7">
      <w:pPr>
        <w:keepNext/>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Die CAJ-AG vereinbarte, daß der Zweck, der zum Zeitpunkt der Erteilung eines Züchterrechts ausgearbeiteten Sortenbeschreibung (ursprüngliche Sortenbeschreibung) aufgrund von Dokument TGP/5 „Erfahrung und Zusammenarbeit bei der DUS-Prüfung“, Abschnitt 6 „UPOV-Bericht über technische Prüfung und UPOV-Sortenbeschreibung“ folgendermaßen zusammengefaßt werden könnte: </w:t>
      </w:r>
    </w:p>
    <w:p w:rsidR="0070116C" w:rsidRPr="0070116C" w:rsidRDefault="0070116C" w:rsidP="00907AD7">
      <w:pPr>
        <w:rPr>
          <w:lang w:val="de-DE" w:eastAsia="de-DE" w:bidi="de-DE"/>
        </w:rPr>
      </w:pPr>
    </w:p>
    <w:p w:rsidR="0070116C" w:rsidRPr="0070116C" w:rsidRDefault="0070116C" w:rsidP="00907AD7">
      <w:pPr>
        <w:keepNext/>
        <w:numPr>
          <w:ilvl w:val="0"/>
          <w:numId w:val="2"/>
        </w:numPr>
        <w:ind w:left="993" w:hanging="426"/>
        <w:contextualSpacing/>
        <w:rPr>
          <w:snapToGrid w:val="0"/>
          <w:lang w:val="de-DE" w:eastAsia="de-DE" w:bidi="de-DE"/>
        </w:rPr>
      </w:pPr>
      <w:r w:rsidRPr="0070116C">
        <w:rPr>
          <w:lang w:val="de-DE" w:eastAsia="de-DE" w:bidi="de-DE"/>
        </w:rPr>
        <w:t>Beschreibung der Merkmale der Sorte; und</w:t>
      </w:r>
    </w:p>
    <w:p w:rsidR="0070116C" w:rsidRPr="0070116C" w:rsidRDefault="0070116C" w:rsidP="00907AD7">
      <w:pPr>
        <w:numPr>
          <w:ilvl w:val="0"/>
          <w:numId w:val="2"/>
        </w:numPr>
        <w:ind w:left="993" w:hanging="426"/>
        <w:contextualSpacing/>
        <w:rPr>
          <w:snapToGrid w:val="0"/>
          <w:lang w:val="de-DE" w:eastAsia="de-DE" w:bidi="de-DE"/>
        </w:rPr>
      </w:pPr>
      <w:r w:rsidRPr="0070116C">
        <w:rPr>
          <w:lang w:val="de-DE" w:eastAsia="de-DE" w:bidi="de-DE"/>
        </w:rPr>
        <w:t xml:space="preserve">Benennung und Anführung ähnlicher Sorten und Unterschiede von diesen Sorten; </w:t>
      </w:r>
    </w:p>
    <w:p w:rsidR="0070116C" w:rsidRPr="0070116C" w:rsidRDefault="0070116C" w:rsidP="00907AD7">
      <w:pPr>
        <w:ind w:left="1419" w:hanging="426"/>
        <w:rPr>
          <w:snapToGrid w:val="0"/>
          <w:lang w:val="de-DE" w:eastAsia="de-DE" w:bidi="de-DE"/>
        </w:rPr>
      </w:pPr>
      <w:r w:rsidRPr="0070116C">
        <w:rPr>
          <w:lang w:val="de-DE" w:eastAsia="de-DE" w:bidi="de-DE"/>
        </w:rPr>
        <w:t>kombiniert mit der Information auf der Grundlage für a) und b), nämlich:</w:t>
      </w:r>
    </w:p>
    <w:p w:rsidR="0070116C" w:rsidRPr="0070116C" w:rsidRDefault="0070116C" w:rsidP="00907AD7">
      <w:pPr>
        <w:numPr>
          <w:ilvl w:val="2"/>
          <w:numId w:val="1"/>
        </w:numPr>
        <w:tabs>
          <w:tab w:val="left" w:pos="567"/>
          <w:tab w:val="left" w:pos="1560"/>
        </w:tabs>
        <w:spacing w:line="276" w:lineRule="auto"/>
        <w:ind w:left="1701" w:hanging="567"/>
        <w:contextualSpacing/>
        <w:rPr>
          <w:lang w:val="de-DE" w:eastAsia="de-DE" w:bidi="de-DE"/>
        </w:rPr>
      </w:pPr>
      <w:r w:rsidRPr="0070116C">
        <w:rPr>
          <w:lang w:val="de-DE" w:eastAsia="de-DE" w:bidi="de-DE"/>
        </w:rPr>
        <w:t>Datum und Dokumentennummer von UPOV-Prüfungsrichtlinien;</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Datum und/oder Dokumentennummer der Prüfungsrichtlinien der berichtenden Behörde;</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Berichtende Behörde;</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Prüfungsstation(en) und Ort(e);</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Zeitraum der Prüfung;</w:t>
      </w:r>
    </w:p>
    <w:p w:rsid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Ort und Datum der Ausstellung des Dokuments;</w:t>
      </w:r>
    </w:p>
    <w:p w:rsidR="0070116C" w:rsidRPr="0070116C" w:rsidRDefault="0070116C" w:rsidP="00907AD7">
      <w:pPr>
        <w:numPr>
          <w:ilvl w:val="2"/>
          <w:numId w:val="1"/>
        </w:numPr>
        <w:tabs>
          <w:tab w:val="left" w:pos="1560"/>
        </w:tabs>
        <w:spacing w:line="276" w:lineRule="auto"/>
        <w:ind w:left="1560" w:hanging="426"/>
        <w:contextualSpacing/>
        <w:rPr>
          <w:lang w:val="de-DE" w:eastAsia="de-DE" w:bidi="de-DE"/>
        </w:rPr>
      </w:pPr>
      <w:r w:rsidRPr="0070116C">
        <w:rPr>
          <w:lang w:val="de-DE" w:eastAsia="de-DE" w:bidi="de-DE"/>
        </w:rPr>
        <w:t xml:space="preserve">Gruppe: (Tabelle: Merkmale; Ausprägungsstufen; Note; Bemerkungen); </w:t>
      </w:r>
    </w:p>
    <w:p w:rsidR="0070116C" w:rsidRPr="0070116C" w:rsidRDefault="0070116C" w:rsidP="00907AD7">
      <w:pPr>
        <w:numPr>
          <w:ilvl w:val="2"/>
          <w:numId w:val="1"/>
        </w:numPr>
        <w:tabs>
          <w:tab w:val="left" w:pos="1560"/>
        </w:tabs>
        <w:spacing w:line="276" w:lineRule="auto"/>
        <w:ind w:left="1701" w:hanging="567"/>
        <w:contextualSpacing/>
        <w:rPr>
          <w:lang w:val="de-DE" w:eastAsia="de-DE" w:bidi="de-DE"/>
        </w:rPr>
      </w:pPr>
      <w:r w:rsidRPr="0070116C">
        <w:rPr>
          <w:lang w:val="de-DE" w:eastAsia="de-DE" w:bidi="de-DE"/>
        </w:rPr>
        <w:t>Zusatzinformation:</w:t>
      </w:r>
    </w:p>
    <w:p w:rsidR="0070116C" w:rsidRPr="0070116C" w:rsidRDefault="0070116C" w:rsidP="00907AD7">
      <w:pPr>
        <w:spacing w:line="276" w:lineRule="auto"/>
        <w:ind w:left="1134"/>
        <w:rPr>
          <w:lang w:val="de-DE" w:eastAsia="de-DE" w:bidi="de-DE"/>
        </w:rPr>
      </w:pPr>
      <w:r w:rsidRPr="0070116C">
        <w:rPr>
          <w:lang w:val="de-DE" w:eastAsia="de-DE" w:bidi="de-DE"/>
        </w:rPr>
        <w:tab/>
        <w:t>a)</w:t>
      </w:r>
      <w:r w:rsidRPr="0070116C">
        <w:rPr>
          <w:lang w:val="de-DE" w:eastAsia="de-DE" w:bidi="de-DE"/>
        </w:rPr>
        <w:tab/>
        <w:t>Zusätzliche Daten</w:t>
      </w:r>
    </w:p>
    <w:p w:rsidR="0070116C" w:rsidRPr="0070116C" w:rsidRDefault="0070116C" w:rsidP="00907AD7">
      <w:pPr>
        <w:spacing w:line="276" w:lineRule="auto"/>
        <w:ind w:left="1134"/>
        <w:rPr>
          <w:color w:val="000000"/>
          <w:lang w:val="de-DE" w:eastAsia="de-DE" w:bidi="de-DE"/>
        </w:rPr>
      </w:pPr>
      <w:r w:rsidRPr="0070116C">
        <w:rPr>
          <w:lang w:val="de-DE" w:eastAsia="de-DE" w:bidi="de-DE"/>
        </w:rPr>
        <w:tab/>
        <w:t xml:space="preserve">b) </w:t>
      </w:r>
      <w:r w:rsidRPr="0070116C">
        <w:rPr>
          <w:lang w:val="de-DE" w:eastAsia="de-DE" w:bidi="de-DE"/>
        </w:rPr>
        <w:tab/>
        <w:t>Fotoaufnahme (gegebenenfalls)</w:t>
      </w:r>
    </w:p>
    <w:p w:rsidR="0070116C" w:rsidRPr="0070116C" w:rsidRDefault="0070116C" w:rsidP="00907AD7">
      <w:pPr>
        <w:spacing w:line="276" w:lineRule="auto"/>
        <w:ind w:left="1134"/>
        <w:rPr>
          <w:color w:val="000000"/>
          <w:lang w:val="de-DE" w:eastAsia="de-DE" w:bidi="de-DE"/>
        </w:rPr>
      </w:pPr>
      <w:r w:rsidRPr="0070116C">
        <w:rPr>
          <w:lang w:val="de-DE" w:eastAsia="de-DE" w:bidi="de-DE"/>
        </w:rPr>
        <w:tab/>
      </w:r>
      <w:r w:rsidRPr="0070116C">
        <w:rPr>
          <w:color w:val="000000"/>
          <w:lang w:val="de-DE" w:eastAsia="de-DE" w:bidi="de-DE"/>
        </w:rPr>
        <w:t>c)</w:t>
      </w:r>
      <w:r w:rsidRPr="0070116C">
        <w:rPr>
          <w:lang w:val="de-DE" w:eastAsia="de-DE" w:bidi="de-DE"/>
        </w:rPr>
        <w:tab/>
        <w:t xml:space="preserve">Ausgabe der verwendeten </w:t>
      </w:r>
      <w:r w:rsidRPr="0070116C">
        <w:rPr>
          <w:color w:val="000000"/>
          <w:lang w:val="de-DE" w:eastAsia="de-DE" w:bidi="de-DE"/>
        </w:rPr>
        <w:t>RHS-Farbkarte (gegebenenfalls)</w:t>
      </w:r>
    </w:p>
    <w:p w:rsidR="0070116C" w:rsidRPr="0070116C" w:rsidRDefault="0070116C" w:rsidP="00907AD7">
      <w:pPr>
        <w:tabs>
          <w:tab w:val="left" w:pos="284"/>
        </w:tabs>
        <w:spacing w:line="276" w:lineRule="auto"/>
        <w:ind w:left="1134"/>
        <w:rPr>
          <w:lang w:val="de-DE" w:eastAsia="de-DE" w:bidi="de-DE"/>
        </w:rPr>
      </w:pPr>
      <w:r w:rsidRPr="0070116C">
        <w:rPr>
          <w:lang w:val="de-DE" w:eastAsia="de-DE" w:bidi="de-DE"/>
        </w:rPr>
        <w:tab/>
        <w:t xml:space="preserve">d) </w:t>
      </w:r>
      <w:r w:rsidRPr="0070116C">
        <w:rPr>
          <w:lang w:val="de-DE" w:eastAsia="de-DE" w:bidi="de-DE"/>
        </w:rPr>
        <w:tab/>
        <w:t>Bemerkungen</w:t>
      </w:r>
    </w:p>
    <w:p w:rsidR="0070116C" w:rsidRPr="0070116C" w:rsidRDefault="0070116C" w:rsidP="00907AD7">
      <w:pPr>
        <w:ind w:left="720"/>
        <w:contextualSpacing/>
        <w:rPr>
          <w:snapToGrid w:val="0"/>
          <w:lang w:val="de-DE" w:eastAsia="de-DE" w:bidi="de-DE"/>
        </w:rPr>
      </w:pPr>
    </w:p>
    <w:p w:rsidR="0070116C" w:rsidRPr="0070116C" w:rsidRDefault="0070116C" w:rsidP="00907AD7">
      <w:pPr>
        <w:rPr>
          <w:snapToGrid w:val="0"/>
          <w:lang w:val="de-DE" w:eastAsia="de-DE" w:bidi="de-DE"/>
        </w:rPr>
      </w:pPr>
      <w:r w:rsidRPr="0070116C">
        <w:rPr>
          <w:snapToGrid w:val="0"/>
          <w:lang w:val="de-DE" w:eastAsia="de-DE" w:bidi="de-DE"/>
        </w:rPr>
        <w:fldChar w:fldCharType="begin"/>
      </w:r>
      <w:r w:rsidRPr="0070116C">
        <w:rPr>
          <w:snapToGrid w:val="0"/>
          <w:lang w:val="de-DE" w:eastAsia="de-DE" w:bidi="de-DE"/>
        </w:rPr>
        <w:instrText xml:space="preserve"> AUTONUM  </w:instrText>
      </w:r>
      <w:r w:rsidRPr="0070116C">
        <w:rPr>
          <w:snapToGrid w:val="0"/>
          <w:lang w:val="de-DE" w:eastAsia="de-DE" w:bidi="de-DE"/>
        </w:rPr>
        <w:fldChar w:fldCharType="end"/>
      </w:r>
      <w:r w:rsidRPr="0070116C">
        <w:rPr>
          <w:lang w:val="de-DE" w:eastAsia="de-DE" w:bidi="de-DE"/>
        </w:rPr>
        <w:tab/>
        <w:t xml:space="preserve">Die CAJ-AG prüfte den Status der ursprünglichen Sortenbeschreibung in bezug auf die Überprüfung von Pflanzenmaterial einer geschützten Sorte zum Zwecke der Wahrung des Züchterrechts und nahm zur Kenntnis, daß die in Dokument UPOV/EXN/ENF/1 „Erläuterungen zur Wahrung der Züchterrechte nach dem UPOV-Übereinkommen“ enthaltene UPOV-Anleitung zur Durchsetzung von Züchterrechten folgende Erläuterung erteilt: </w:t>
      </w:r>
    </w:p>
    <w:p w:rsidR="0070116C" w:rsidRPr="0070116C" w:rsidRDefault="0070116C" w:rsidP="00907AD7">
      <w:pPr>
        <w:ind w:left="720"/>
        <w:contextualSpacing/>
        <w:rPr>
          <w:snapToGrid w:val="0"/>
          <w:lang w:val="de-DE" w:eastAsia="de-DE" w:bidi="de-DE"/>
        </w:rPr>
      </w:pPr>
    </w:p>
    <w:p w:rsidR="0070116C" w:rsidRPr="0070116C" w:rsidRDefault="0070116C" w:rsidP="00907AD7">
      <w:pPr>
        <w:ind w:left="567"/>
        <w:contextualSpacing/>
        <w:rPr>
          <w:snapToGrid w:val="0"/>
          <w:sz w:val="18"/>
          <w:lang w:val="de-DE" w:eastAsia="de-DE" w:bidi="de-DE"/>
        </w:rPr>
      </w:pPr>
      <w:r w:rsidRPr="0070116C">
        <w:rPr>
          <w:snapToGrid w:val="0"/>
          <w:sz w:val="18"/>
          <w:lang w:val="de-DE" w:eastAsia="de-DE" w:bidi="de-DE"/>
        </w:rPr>
        <w:t xml:space="preserve">„ABSCHNITT II: Mögliche Maßnahmen für die Wahrung der Züchterrechte: </w:t>
      </w:r>
    </w:p>
    <w:p w:rsidR="0070116C" w:rsidRPr="0070116C" w:rsidRDefault="0070116C" w:rsidP="00907AD7">
      <w:pPr>
        <w:ind w:left="567"/>
        <w:contextualSpacing/>
        <w:rPr>
          <w:snapToGrid w:val="0"/>
          <w:sz w:val="18"/>
          <w:lang w:val="de-DE" w:eastAsia="de-DE" w:bidi="de-DE"/>
        </w:rPr>
      </w:pPr>
    </w:p>
    <w:p w:rsidR="0070116C" w:rsidRPr="0070116C" w:rsidRDefault="0070116C" w:rsidP="00907AD7">
      <w:pPr>
        <w:ind w:left="567" w:right="567"/>
        <w:contextualSpacing/>
        <w:rPr>
          <w:snapToGrid w:val="0"/>
          <w:sz w:val="18"/>
          <w:lang w:val="de-DE" w:eastAsia="de-DE" w:bidi="de-DE"/>
        </w:rPr>
      </w:pPr>
      <w:r w:rsidRPr="0070116C">
        <w:rPr>
          <w:snapToGrid w:val="0"/>
          <w:sz w:val="18"/>
          <w:lang w:val="de-DE" w:eastAsia="de-DE" w:bidi="de-DE"/>
        </w:rPr>
        <w:t>„Das UPOV-Übereinkommen schreibt zwar vor, daß die Verbandsmitglieder geeignete Rechtsmittel zur wirksamen Wahrung der Züchterrechte vorsehen, doch ist es Sache der Züchter, ihre Rechte zu wahren.“</w:t>
      </w:r>
    </w:p>
    <w:p w:rsidR="0070116C" w:rsidRPr="0070116C" w:rsidRDefault="0070116C" w:rsidP="00907AD7">
      <w:pPr>
        <w:ind w:left="567" w:right="567"/>
        <w:contextualSpacing/>
        <w:rPr>
          <w:snapToGrid w:val="0"/>
          <w:sz w:val="18"/>
          <w:lang w:val="de-DE" w:eastAsia="de-DE" w:bidi="de-DE"/>
        </w:rPr>
      </w:pPr>
      <w:r w:rsidRPr="0070116C">
        <w:rPr>
          <w:snapToGrid w:val="0"/>
          <w:sz w:val="18"/>
          <w:lang w:val="de-DE" w:eastAsia="de-DE" w:bidi="de-DE"/>
        </w:rPr>
        <w:t>[…]</w:t>
      </w:r>
    </w:p>
    <w:p w:rsidR="0070116C" w:rsidRPr="0070116C" w:rsidRDefault="0070116C" w:rsidP="00907AD7">
      <w:pPr>
        <w:ind w:left="567" w:right="567"/>
        <w:contextualSpacing/>
        <w:rPr>
          <w:snapToGrid w:val="0"/>
          <w:sz w:val="18"/>
          <w:lang w:val="de-DE" w:eastAsia="de-DE" w:bidi="de-DE"/>
        </w:rPr>
      </w:pPr>
    </w:p>
    <w:p w:rsidR="0070116C" w:rsidRPr="0070116C" w:rsidRDefault="0070116C" w:rsidP="00907AD7">
      <w:pPr>
        <w:rPr>
          <w:snapToGrid w:val="0"/>
          <w:lang w:val="de-DE" w:eastAsia="de-DE" w:bidi="de-DE"/>
        </w:rPr>
      </w:pPr>
      <w:r w:rsidRPr="0070116C">
        <w:rPr>
          <w:snapToGrid w:val="0"/>
          <w:lang w:val="de-DE" w:eastAsia="de-DE" w:bidi="de-DE"/>
        </w:rPr>
        <w:fldChar w:fldCharType="begin"/>
      </w:r>
      <w:r w:rsidRPr="0070116C">
        <w:rPr>
          <w:snapToGrid w:val="0"/>
          <w:lang w:val="de-DE" w:eastAsia="de-DE" w:bidi="de-DE"/>
        </w:rPr>
        <w:instrText xml:space="preserve"> AUTONUM  </w:instrText>
      </w:r>
      <w:r w:rsidRPr="0070116C">
        <w:rPr>
          <w:snapToGrid w:val="0"/>
          <w:lang w:val="de-DE" w:eastAsia="de-DE" w:bidi="de-DE"/>
        </w:rPr>
        <w:fldChar w:fldCharType="end"/>
      </w:r>
      <w:r w:rsidRPr="0070116C">
        <w:rPr>
          <w:lang w:val="de-DE" w:eastAsia="de-DE" w:bidi="de-DE"/>
        </w:rPr>
        <w:tab/>
        <w:t>Die CAJ-AG vereinbarte, daß in Bezug auf die Verwendung der ursprünglichen Sortenbeschreibung in Erinnerung gerufen werden sollte, daß die Beschreibung der Sortenmerkmale und die Grundlage für die Unterscheibarkeit von den meisten ähnlichen Sorten mit den Umständen der DUS-Prüfung verknüpft sind, wie in Absatz 10 c) dieses Dokument dargelegt, nämlich:</w:t>
      </w:r>
    </w:p>
    <w:p w:rsidR="0070116C" w:rsidRPr="0070116C" w:rsidRDefault="0070116C" w:rsidP="00907AD7">
      <w:pPr>
        <w:rPr>
          <w:snapToGrid w:val="0"/>
          <w:lang w:val="de-DE" w:eastAsia="de-DE" w:bidi="de-DE"/>
        </w:rPr>
      </w:pPr>
    </w:p>
    <w:p w:rsidR="0070116C" w:rsidRPr="0070116C" w:rsidRDefault="0070116C" w:rsidP="00907AD7">
      <w:pPr>
        <w:numPr>
          <w:ilvl w:val="2"/>
          <w:numId w:val="1"/>
        </w:numPr>
        <w:tabs>
          <w:tab w:val="left" w:pos="567"/>
          <w:tab w:val="left" w:pos="1560"/>
        </w:tabs>
        <w:spacing w:line="276" w:lineRule="auto"/>
        <w:ind w:left="1701" w:hanging="567"/>
        <w:contextualSpacing/>
        <w:rPr>
          <w:lang w:val="de-DE" w:eastAsia="de-DE" w:bidi="de-DE"/>
        </w:rPr>
      </w:pPr>
      <w:r w:rsidRPr="0070116C">
        <w:rPr>
          <w:lang w:val="de-DE" w:eastAsia="de-DE" w:bidi="de-DE"/>
        </w:rPr>
        <w:t>Datum und Dokumentennummer von UPOV-Prüfungsrichtlinien;</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Datum und/oder Dokumentennummer der Prüfungsrichtlinien der berichtenden Behörde;</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Berichtende Behörde;</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Prüfungsstation(en) und Ort(e);</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Zeitraum der Prüfung;</w:t>
      </w:r>
    </w:p>
    <w:p w:rsidR="0070116C" w:rsidRPr="0070116C" w:rsidRDefault="0070116C" w:rsidP="00907AD7">
      <w:pPr>
        <w:numPr>
          <w:ilvl w:val="2"/>
          <w:numId w:val="1"/>
        </w:numPr>
        <w:tabs>
          <w:tab w:val="left" w:pos="567"/>
          <w:tab w:val="left" w:pos="1560"/>
          <w:tab w:val="left" w:pos="5103"/>
        </w:tabs>
        <w:spacing w:line="276" w:lineRule="auto"/>
        <w:ind w:left="1701" w:hanging="567"/>
        <w:contextualSpacing/>
        <w:rPr>
          <w:lang w:val="de-DE" w:eastAsia="de-DE" w:bidi="de-DE"/>
        </w:rPr>
      </w:pPr>
      <w:r w:rsidRPr="0070116C">
        <w:rPr>
          <w:lang w:val="de-DE" w:eastAsia="de-DE" w:bidi="de-DE"/>
        </w:rPr>
        <w:t>Ort und Datum der Ausstellung des Dokuments;</w:t>
      </w:r>
    </w:p>
    <w:p w:rsidR="0070116C" w:rsidRPr="0070116C" w:rsidRDefault="0070116C" w:rsidP="008A13EF">
      <w:pPr>
        <w:numPr>
          <w:ilvl w:val="2"/>
          <w:numId w:val="1"/>
        </w:numPr>
        <w:tabs>
          <w:tab w:val="left" w:pos="1560"/>
        </w:tabs>
        <w:spacing w:line="276" w:lineRule="auto"/>
        <w:ind w:left="1560" w:hanging="426"/>
        <w:contextualSpacing/>
        <w:rPr>
          <w:lang w:val="de-DE" w:eastAsia="de-DE" w:bidi="de-DE"/>
        </w:rPr>
      </w:pPr>
      <w:r w:rsidRPr="0070116C">
        <w:rPr>
          <w:lang w:val="de-DE" w:eastAsia="de-DE" w:bidi="de-DE"/>
        </w:rPr>
        <w:t>Gruppe: (Tabelle: Merkmale; Ausprägungsstufen; Note; Bemerkungen);</w:t>
      </w:r>
    </w:p>
    <w:p w:rsidR="0070116C" w:rsidRPr="0070116C" w:rsidRDefault="0070116C" w:rsidP="00907AD7">
      <w:pPr>
        <w:numPr>
          <w:ilvl w:val="2"/>
          <w:numId w:val="1"/>
        </w:numPr>
        <w:tabs>
          <w:tab w:val="left" w:pos="1560"/>
        </w:tabs>
        <w:spacing w:line="276" w:lineRule="auto"/>
        <w:ind w:left="1701" w:hanging="567"/>
        <w:contextualSpacing/>
        <w:rPr>
          <w:lang w:val="de-DE" w:eastAsia="de-DE" w:bidi="de-DE"/>
        </w:rPr>
      </w:pPr>
      <w:r w:rsidRPr="0070116C">
        <w:rPr>
          <w:lang w:val="de-DE" w:eastAsia="de-DE" w:bidi="de-DE"/>
        </w:rPr>
        <w:t>Zusatzinformation;</w:t>
      </w:r>
    </w:p>
    <w:p w:rsidR="0070116C" w:rsidRPr="0070116C" w:rsidRDefault="0070116C" w:rsidP="00907AD7">
      <w:pPr>
        <w:spacing w:line="276" w:lineRule="auto"/>
        <w:ind w:left="1134"/>
        <w:rPr>
          <w:lang w:val="de-DE" w:eastAsia="de-DE" w:bidi="de-DE"/>
        </w:rPr>
      </w:pPr>
      <w:r w:rsidRPr="0070116C">
        <w:rPr>
          <w:lang w:val="de-DE" w:eastAsia="de-DE" w:bidi="de-DE"/>
        </w:rPr>
        <w:tab/>
        <w:t>a)</w:t>
      </w:r>
      <w:r w:rsidRPr="0070116C">
        <w:rPr>
          <w:lang w:val="de-DE" w:eastAsia="de-DE" w:bidi="de-DE"/>
        </w:rPr>
        <w:tab/>
        <w:t>Zusätzliche Daten</w:t>
      </w:r>
    </w:p>
    <w:p w:rsidR="0070116C" w:rsidRPr="0070116C" w:rsidRDefault="0070116C" w:rsidP="00907AD7">
      <w:pPr>
        <w:spacing w:line="276" w:lineRule="auto"/>
        <w:ind w:left="1134"/>
        <w:rPr>
          <w:color w:val="000000"/>
          <w:lang w:val="de-DE" w:eastAsia="de-DE" w:bidi="de-DE"/>
        </w:rPr>
      </w:pPr>
      <w:r w:rsidRPr="0070116C">
        <w:rPr>
          <w:lang w:val="de-DE" w:eastAsia="de-DE" w:bidi="de-DE"/>
        </w:rPr>
        <w:tab/>
        <w:t xml:space="preserve">b) </w:t>
      </w:r>
      <w:r w:rsidRPr="0070116C">
        <w:rPr>
          <w:lang w:val="de-DE" w:eastAsia="de-DE" w:bidi="de-DE"/>
        </w:rPr>
        <w:tab/>
        <w:t>Fotoaufnahme (gegebenenfalls)</w:t>
      </w:r>
    </w:p>
    <w:p w:rsidR="0070116C" w:rsidRPr="0070116C" w:rsidRDefault="0070116C" w:rsidP="00907AD7">
      <w:pPr>
        <w:spacing w:line="276" w:lineRule="auto"/>
        <w:ind w:left="1134"/>
        <w:rPr>
          <w:color w:val="000000"/>
          <w:lang w:val="de-DE" w:eastAsia="de-DE" w:bidi="de-DE"/>
        </w:rPr>
      </w:pPr>
      <w:r w:rsidRPr="0070116C">
        <w:rPr>
          <w:lang w:val="de-DE" w:eastAsia="de-DE" w:bidi="de-DE"/>
        </w:rPr>
        <w:lastRenderedPageBreak/>
        <w:tab/>
      </w:r>
      <w:r w:rsidRPr="0070116C">
        <w:rPr>
          <w:color w:val="000000"/>
          <w:lang w:val="de-DE" w:eastAsia="de-DE" w:bidi="de-DE"/>
        </w:rPr>
        <w:t>c)</w:t>
      </w:r>
      <w:r w:rsidRPr="0070116C">
        <w:rPr>
          <w:lang w:val="de-DE" w:eastAsia="de-DE" w:bidi="de-DE"/>
        </w:rPr>
        <w:tab/>
        <w:t xml:space="preserve">Ausgabe der verwendeten </w:t>
      </w:r>
      <w:r w:rsidRPr="0070116C">
        <w:rPr>
          <w:color w:val="000000"/>
          <w:lang w:val="de-DE" w:eastAsia="de-DE" w:bidi="de-DE"/>
        </w:rPr>
        <w:t>RHS-Farbkarte (gegebenenfalls)</w:t>
      </w:r>
    </w:p>
    <w:p w:rsidR="0070116C" w:rsidRPr="0070116C" w:rsidRDefault="0070116C" w:rsidP="00907AD7">
      <w:pPr>
        <w:tabs>
          <w:tab w:val="left" w:pos="284"/>
        </w:tabs>
        <w:spacing w:line="276" w:lineRule="auto"/>
        <w:ind w:left="1134"/>
        <w:rPr>
          <w:lang w:val="de-DE" w:eastAsia="de-DE" w:bidi="de-DE"/>
        </w:rPr>
      </w:pPr>
      <w:r w:rsidRPr="0070116C">
        <w:rPr>
          <w:lang w:val="de-DE" w:eastAsia="de-DE" w:bidi="de-DE"/>
        </w:rPr>
        <w:tab/>
        <w:t xml:space="preserve">d) </w:t>
      </w:r>
      <w:r w:rsidRPr="0070116C">
        <w:rPr>
          <w:lang w:val="de-DE" w:eastAsia="de-DE" w:bidi="de-DE"/>
        </w:rPr>
        <w:tab/>
        <w:t>Bemerkungen</w:t>
      </w:r>
    </w:p>
    <w:p w:rsidR="0070116C" w:rsidRPr="0070116C" w:rsidRDefault="0070116C" w:rsidP="00907AD7">
      <w:pPr>
        <w:jc w:val="left"/>
        <w:rPr>
          <w:snapToGrid w:val="0"/>
          <w:lang w:val="de-DE" w:eastAsia="de-DE" w:bidi="de-DE"/>
        </w:rPr>
      </w:pPr>
    </w:p>
    <w:p w:rsidR="0070116C" w:rsidRPr="0070116C" w:rsidRDefault="0097366A" w:rsidP="00907AD7">
      <w:pPr>
        <w:rPr>
          <w:snapToGrid w:val="0"/>
          <w:lang w:val="de-DE" w:eastAsia="de-DE" w:bidi="de-DE"/>
        </w:rPr>
      </w:pPr>
      <w:r>
        <w:rPr>
          <w:lang w:val="de-DE" w:eastAsia="de-DE" w:bidi="de-DE"/>
        </w:rPr>
        <w:fldChar w:fldCharType="begin"/>
      </w:r>
      <w:r>
        <w:rPr>
          <w:lang w:val="de-DE" w:eastAsia="de-DE" w:bidi="de-DE"/>
        </w:rPr>
        <w:instrText xml:space="preserve"> AUTONUM  </w:instrText>
      </w:r>
      <w:r>
        <w:rPr>
          <w:lang w:val="de-DE" w:eastAsia="de-DE" w:bidi="de-DE"/>
        </w:rPr>
        <w:fldChar w:fldCharType="end"/>
      </w:r>
      <w:r>
        <w:rPr>
          <w:lang w:val="de-DE" w:eastAsia="de-DE" w:bidi="de-DE"/>
        </w:rPr>
        <w:tab/>
      </w:r>
      <w:r w:rsidR="0070116C" w:rsidRPr="0070116C">
        <w:rPr>
          <w:lang w:val="de-DE" w:eastAsia="de-DE" w:bidi="de-DE"/>
        </w:rPr>
        <w:t>Die CAJ-AG vereinbarte, dem CAJ zu empfehlen, daß der Zweck der ursprünglichen Sortenbeschreibung und der Status der ursprünglichen Sortenbeschreibung in bezug auf die Überprüfung der Vereinbarkeit des Pflanzenmaterials mit einer geschützten Sorte zum Zwecke der Durchsetzung des Rechts, wie oben dargelegt, dem Technischen Ausschuß übertragen werden sollte, um ihn bei bei seiner Prüfung zu unterstützen in bezug auf:</w:t>
      </w:r>
    </w:p>
    <w:p w:rsidR="0070116C" w:rsidRPr="0070116C" w:rsidRDefault="0070116C" w:rsidP="00907AD7">
      <w:pPr>
        <w:rPr>
          <w:rFonts w:cs="Arial"/>
          <w:lang w:val="de-DE" w:eastAsia="de-DE" w:bidi="de-DE"/>
        </w:rPr>
      </w:pPr>
    </w:p>
    <w:p w:rsidR="0070116C" w:rsidRPr="0070116C" w:rsidRDefault="0070116C" w:rsidP="00907AD7">
      <w:pPr>
        <w:keepNext/>
        <w:ind w:left="567" w:right="567"/>
        <w:rPr>
          <w:sz w:val="18"/>
          <w:szCs w:val="18"/>
          <w:lang w:val="de-DE" w:eastAsia="de-DE" w:bidi="de-DE"/>
        </w:rPr>
      </w:pPr>
      <w:r w:rsidRPr="0070116C">
        <w:rPr>
          <w:sz w:val="18"/>
          <w:lang w:val="de-DE" w:eastAsia="de-DE" w:bidi="de-DE"/>
        </w:rPr>
        <w:t>„[…]</w:t>
      </w:r>
    </w:p>
    <w:p w:rsidR="0070116C" w:rsidRPr="0070116C" w:rsidRDefault="0070116C" w:rsidP="00907AD7">
      <w:pPr>
        <w:ind w:left="567" w:right="567"/>
        <w:rPr>
          <w:sz w:val="18"/>
          <w:szCs w:val="18"/>
          <w:lang w:val="de-DE" w:eastAsia="de-DE" w:bidi="de-DE"/>
        </w:rPr>
      </w:pPr>
    </w:p>
    <w:p w:rsidR="0070116C" w:rsidRPr="0070116C" w:rsidRDefault="0070116C" w:rsidP="00907AD7">
      <w:pPr>
        <w:ind w:left="567" w:right="567"/>
        <w:rPr>
          <w:sz w:val="18"/>
          <w:szCs w:val="18"/>
          <w:lang w:val="de-DE" w:eastAsia="de-DE" w:bidi="de-DE"/>
        </w:rPr>
      </w:pPr>
      <w:r w:rsidRPr="0070116C">
        <w:rPr>
          <w:sz w:val="18"/>
          <w:lang w:val="de-DE" w:eastAsia="de-DE" w:bidi="de-DE"/>
        </w:rPr>
        <w:t>b)</w:t>
      </w:r>
      <w:r w:rsidRPr="0070116C">
        <w:rPr>
          <w:lang w:val="de-DE" w:eastAsia="de-DE" w:bidi="de-DE"/>
        </w:rPr>
        <w:tab/>
        <w:t>den Status der ursprünglichen Sortenbeschreibung in bezug auf die Überprüfung der Vereinbarkeit des Pflanzenmaterials mit einer geschützten Sorte zum Zwecke:</w:t>
      </w:r>
    </w:p>
    <w:p w:rsidR="0070116C" w:rsidRPr="0070116C" w:rsidRDefault="0070116C" w:rsidP="00907AD7">
      <w:pPr>
        <w:ind w:left="567" w:right="567"/>
        <w:rPr>
          <w:sz w:val="18"/>
          <w:szCs w:val="18"/>
          <w:lang w:val="de-DE" w:eastAsia="de-DE" w:bidi="de-DE"/>
        </w:rPr>
      </w:pPr>
    </w:p>
    <w:p w:rsidR="0070116C" w:rsidRPr="0070116C" w:rsidRDefault="0070116C" w:rsidP="00907AD7">
      <w:pPr>
        <w:ind w:left="1134" w:right="567"/>
        <w:rPr>
          <w:sz w:val="18"/>
          <w:szCs w:val="18"/>
          <w:lang w:val="de-DE" w:eastAsia="de-DE" w:bidi="de-DE"/>
        </w:rPr>
      </w:pPr>
      <w:r w:rsidRPr="0070116C">
        <w:rPr>
          <w:sz w:val="18"/>
          <w:lang w:val="de-DE" w:eastAsia="de-DE" w:bidi="de-DE"/>
        </w:rPr>
        <w:t>i)</w:t>
      </w:r>
      <w:r w:rsidRPr="0070116C">
        <w:rPr>
          <w:lang w:val="de-DE" w:eastAsia="de-DE" w:bidi="de-DE"/>
        </w:rPr>
        <w:tab/>
        <w:t xml:space="preserve">der </w:t>
      </w:r>
      <w:r w:rsidRPr="0070116C">
        <w:rPr>
          <w:sz w:val="18"/>
          <w:lang w:val="de-DE" w:eastAsia="de-DE" w:bidi="de-DE"/>
        </w:rPr>
        <w:t>Überwachung der Erhaltung der Sorte (Artikel 22 der Akte von 1991, Artikel 10 der Akte von 1978);</w:t>
      </w:r>
    </w:p>
    <w:p w:rsidR="0070116C" w:rsidRPr="0070116C" w:rsidRDefault="0070116C" w:rsidP="00907AD7">
      <w:pPr>
        <w:ind w:left="1134" w:right="567"/>
        <w:rPr>
          <w:sz w:val="18"/>
          <w:szCs w:val="18"/>
          <w:lang w:val="de-DE" w:eastAsia="de-DE" w:bidi="de-DE"/>
        </w:rPr>
      </w:pPr>
    </w:p>
    <w:p w:rsidR="0070116C" w:rsidRPr="0070116C" w:rsidRDefault="0070116C" w:rsidP="00907AD7">
      <w:pPr>
        <w:ind w:left="1134" w:right="567"/>
        <w:rPr>
          <w:sz w:val="18"/>
          <w:szCs w:val="18"/>
          <w:lang w:val="de-DE" w:eastAsia="de-DE" w:bidi="de-DE"/>
        </w:rPr>
      </w:pPr>
      <w:r w:rsidRPr="0070116C">
        <w:rPr>
          <w:sz w:val="18"/>
          <w:lang w:val="de-DE" w:eastAsia="de-DE" w:bidi="de-DE"/>
        </w:rPr>
        <w:t>ii)</w:t>
      </w:r>
      <w:r w:rsidRPr="0070116C">
        <w:rPr>
          <w:lang w:val="de-DE" w:eastAsia="de-DE" w:bidi="de-DE"/>
        </w:rPr>
        <w:tab/>
        <w:t xml:space="preserve">der </w:t>
      </w:r>
      <w:r w:rsidRPr="0070116C">
        <w:rPr>
          <w:sz w:val="18"/>
          <w:lang w:val="de-DE" w:eastAsia="de-DE" w:bidi="de-DE"/>
        </w:rPr>
        <w:t>Prüfung der Unterscheidbarkeit, Homogenität und Beständigkeit („DUS”) von Kandidatensorten; und“</w:t>
      </w:r>
    </w:p>
    <w:p w:rsidR="0070116C" w:rsidRPr="0070116C" w:rsidRDefault="0070116C" w:rsidP="00907AD7">
      <w:pPr>
        <w:ind w:left="567" w:right="567"/>
        <w:rPr>
          <w:sz w:val="18"/>
          <w:szCs w:val="18"/>
          <w:lang w:val="de-DE" w:eastAsia="de-DE" w:bidi="de-DE"/>
        </w:rPr>
      </w:pPr>
    </w:p>
    <w:p w:rsidR="0070116C" w:rsidRPr="0070116C" w:rsidRDefault="0070116C" w:rsidP="00907AD7">
      <w:pPr>
        <w:spacing w:after="240"/>
        <w:ind w:left="567" w:right="567" w:firstLine="567"/>
        <w:rPr>
          <w:sz w:val="18"/>
          <w:szCs w:val="18"/>
          <w:lang w:val="de-DE" w:eastAsia="de-DE" w:bidi="de-DE"/>
        </w:rPr>
      </w:pPr>
      <w:r w:rsidRPr="0070116C">
        <w:rPr>
          <w:sz w:val="18"/>
          <w:lang w:val="de-DE" w:eastAsia="de-DE" w:bidi="de-DE"/>
        </w:rPr>
        <w:t>„[…]</w:t>
      </w:r>
    </w:p>
    <w:p w:rsidR="0070116C" w:rsidRPr="0070116C" w:rsidRDefault="0070116C" w:rsidP="00907AD7">
      <w:pPr>
        <w:ind w:left="567" w:right="567"/>
        <w:rPr>
          <w:sz w:val="18"/>
          <w:szCs w:val="18"/>
          <w:lang w:val="de-DE" w:eastAsia="de-DE" w:bidi="de-DE"/>
        </w:rPr>
      </w:pPr>
      <w:r w:rsidRPr="0070116C">
        <w:rPr>
          <w:sz w:val="18"/>
          <w:lang w:val="de-DE" w:eastAsia="de-DE" w:bidi="de-DE"/>
        </w:rPr>
        <w:t>c)</w:t>
      </w:r>
      <w:r w:rsidRPr="0070116C">
        <w:rPr>
          <w:lang w:val="de-DE" w:eastAsia="de-DE" w:bidi="de-DE"/>
        </w:rPr>
        <w:tab/>
        <w:t>der Status einer geänderten Sortenbeschreibung in bezug auf a) und b) oben, die beispielsweise erstellt wurde als Ergebnis:</w:t>
      </w:r>
    </w:p>
    <w:p w:rsidR="0070116C" w:rsidRPr="0070116C" w:rsidRDefault="0070116C" w:rsidP="00907AD7">
      <w:pPr>
        <w:ind w:left="567" w:right="567"/>
        <w:rPr>
          <w:sz w:val="18"/>
          <w:szCs w:val="18"/>
          <w:lang w:val="de-DE" w:eastAsia="de-DE" w:bidi="de-DE"/>
        </w:rPr>
      </w:pPr>
    </w:p>
    <w:p w:rsidR="0070116C" w:rsidRPr="0070116C" w:rsidRDefault="0070116C" w:rsidP="00907AD7">
      <w:pPr>
        <w:spacing w:after="60"/>
        <w:ind w:left="1701" w:right="567" w:hanging="567"/>
        <w:rPr>
          <w:sz w:val="18"/>
          <w:szCs w:val="18"/>
          <w:lang w:val="de-DE" w:eastAsia="de-DE" w:bidi="de-DE"/>
        </w:rPr>
      </w:pPr>
      <w:r w:rsidRPr="0070116C">
        <w:rPr>
          <w:sz w:val="18"/>
          <w:lang w:val="de-DE" w:eastAsia="de-DE" w:bidi="de-DE"/>
        </w:rPr>
        <w:t>i)</w:t>
      </w:r>
      <w:r w:rsidRPr="0070116C">
        <w:rPr>
          <w:lang w:val="de-DE" w:eastAsia="de-DE" w:bidi="de-DE"/>
        </w:rPr>
        <w:tab/>
      </w:r>
      <w:r w:rsidRPr="0070116C">
        <w:rPr>
          <w:sz w:val="18"/>
          <w:lang w:val="de-DE" w:eastAsia="de-DE" w:bidi="de-DE"/>
        </w:rPr>
        <w:t>einer Neukalibrierung der Skala in den Prüfungsrichtlinien (insbesondere für Merkmale ohne Sternchen</w:t>
      </w:r>
      <w:r w:rsidRPr="0070116C">
        <w:rPr>
          <w:sz w:val="18"/>
          <w:vertAlign w:val="superscript"/>
          <w:lang w:val="de-DE" w:eastAsia="de-DE" w:bidi="de-DE"/>
        </w:rPr>
        <w:footnoteReference w:id="2"/>
      </w:r>
      <w:r w:rsidRPr="0070116C">
        <w:rPr>
          <w:sz w:val="18"/>
          <w:lang w:val="de-DE" w:eastAsia="de-DE" w:bidi="de-DE"/>
        </w:rPr>
        <w:t>);</w:t>
      </w:r>
    </w:p>
    <w:p w:rsidR="0070116C" w:rsidRPr="0070116C" w:rsidRDefault="0070116C" w:rsidP="00907AD7">
      <w:pPr>
        <w:spacing w:after="60"/>
        <w:ind w:left="1701" w:right="567" w:hanging="567"/>
        <w:rPr>
          <w:sz w:val="18"/>
          <w:szCs w:val="18"/>
          <w:lang w:val="de-DE" w:eastAsia="de-DE" w:bidi="de-DE"/>
        </w:rPr>
      </w:pPr>
      <w:r w:rsidRPr="0070116C">
        <w:rPr>
          <w:sz w:val="18"/>
          <w:lang w:val="de-DE" w:eastAsia="de-DE" w:bidi="de-DE"/>
        </w:rPr>
        <w:t>ii)</w:t>
      </w:r>
      <w:r w:rsidRPr="0070116C">
        <w:rPr>
          <w:lang w:val="de-DE" w:eastAsia="de-DE" w:bidi="de-DE"/>
        </w:rPr>
        <w:tab/>
      </w:r>
      <w:r w:rsidRPr="0070116C">
        <w:rPr>
          <w:sz w:val="18"/>
          <w:lang w:val="de-DE" w:eastAsia="de-DE" w:bidi="de-DE"/>
        </w:rPr>
        <w:t>einer Variation infolge von Umweltbedingungen der Prüfungsjahre für Merkmale, die durch die Umwelt beeinflußt werden;</w:t>
      </w:r>
    </w:p>
    <w:p w:rsidR="0070116C" w:rsidRPr="0070116C" w:rsidRDefault="0070116C" w:rsidP="00907AD7">
      <w:pPr>
        <w:spacing w:after="60"/>
        <w:ind w:left="1701" w:right="567" w:hanging="567"/>
        <w:rPr>
          <w:sz w:val="18"/>
          <w:szCs w:val="18"/>
          <w:lang w:val="de-DE" w:eastAsia="de-DE" w:bidi="de-DE"/>
        </w:rPr>
      </w:pPr>
      <w:r w:rsidRPr="0070116C">
        <w:rPr>
          <w:sz w:val="18"/>
          <w:lang w:val="de-DE" w:eastAsia="de-DE" w:bidi="de-DE"/>
        </w:rPr>
        <w:t>iii)</w:t>
      </w:r>
      <w:r w:rsidRPr="0070116C">
        <w:rPr>
          <w:lang w:val="de-DE" w:eastAsia="de-DE" w:bidi="de-DE"/>
        </w:rPr>
        <w:tab/>
      </w:r>
      <w:r w:rsidRPr="0070116C">
        <w:rPr>
          <w:sz w:val="18"/>
          <w:lang w:val="de-DE" w:eastAsia="de-DE" w:bidi="de-DE"/>
        </w:rPr>
        <w:t>einer Variation infolge der Beobachtung durch verschiedene Sachverständige;  oder</w:t>
      </w:r>
    </w:p>
    <w:p w:rsidR="0070116C" w:rsidRPr="0070116C" w:rsidRDefault="0070116C" w:rsidP="00907AD7">
      <w:pPr>
        <w:ind w:left="1701" w:right="567" w:hanging="567"/>
        <w:rPr>
          <w:sz w:val="18"/>
          <w:szCs w:val="18"/>
          <w:lang w:val="de-DE" w:eastAsia="de-DE" w:bidi="de-DE"/>
        </w:rPr>
      </w:pPr>
      <w:r w:rsidRPr="0070116C">
        <w:rPr>
          <w:sz w:val="18"/>
          <w:lang w:val="de-DE" w:eastAsia="de-DE" w:bidi="de-DE"/>
        </w:rPr>
        <w:t>iv)</w:t>
      </w:r>
      <w:r w:rsidRPr="0070116C">
        <w:rPr>
          <w:lang w:val="de-DE" w:eastAsia="de-DE" w:bidi="de-DE"/>
        </w:rPr>
        <w:tab/>
      </w:r>
      <w:r w:rsidRPr="0070116C">
        <w:rPr>
          <w:sz w:val="18"/>
          <w:lang w:val="de-DE" w:eastAsia="de-DE" w:bidi="de-DE"/>
        </w:rPr>
        <w:t>der Anwendung verschiedener Versionen von Skalen (z.B. verschiedene Versionen der RHS-Farbkarte).</w:t>
      </w:r>
    </w:p>
    <w:p w:rsidR="0070116C" w:rsidRPr="0070116C" w:rsidRDefault="0070116C" w:rsidP="00907AD7">
      <w:pPr>
        <w:ind w:left="567" w:right="567"/>
        <w:rPr>
          <w:sz w:val="18"/>
          <w:szCs w:val="18"/>
          <w:lang w:val="de-DE" w:eastAsia="de-DE" w:bidi="de-DE"/>
        </w:rPr>
      </w:pPr>
    </w:p>
    <w:p w:rsidR="0070116C" w:rsidRPr="0070116C" w:rsidRDefault="0070116C" w:rsidP="00907AD7">
      <w:pPr>
        <w:ind w:left="567" w:right="567"/>
        <w:rPr>
          <w:sz w:val="18"/>
          <w:szCs w:val="18"/>
          <w:lang w:val="de-DE" w:eastAsia="de-DE" w:bidi="de-DE"/>
        </w:rPr>
      </w:pPr>
      <w:r w:rsidRPr="0070116C">
        <w:rPr>
          <w:sz w:val="18"/>
          <w:lang w:val="de-DE" w:eastAsia="de-DE" w:bidi="de-DE"/>
        </w:rPr>
        <w:t>d)</w:t>
      </w:r>
      <w:r w:rsidRPr="0070116C">
        <w:rPr>
          <w:lang w:val="de-DE" w:eastAsia="de-DE" w:bidi="de-DE"/>
        </w:rPr>
        <w:tab/>
      </w:r>
      <w:r w:rsidRPr="0070116C">
        <w:rPr>
          <w:sz w:val="18"/>
          <w:lang w:val="de-DE" w:eastAsia="de-DE" w:bidi="de-DE"/>
        </w:rPr>
        <w:t>Situationen, in denen im Nachhinein ein Fehler in der ursprünglichen Sortenbeschreibung entdeckt wird.“</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Erläuterungen zu vorläufigem Schutz nach dem UPOV-Übereinkommen (Überarbeitung)</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Die CAJ-AG prüfte Dokument UPOV/EXN/PRP/2 Draft 2 und die Darlegung von Ansichten durch CropLife International. </w:t>
      </w:r>
    </w:p>
    <w:p w:rsidR="0070116C" w:rsidRPr="0070116C" w:rsidRDefault="0070116C" w:rsidP="00907AD7">
      <w:pPr>
        <w:rPr>
          <w:lang w:val="de-DE" w:eastAsia="de-DE" w:bidi="de-DE"/>
        </w:rPr>
      </w:pPr>
    </w:p>
    <w:p w:rsidR="0070116C" w:rsidRPr="0070116C" w:rsidRDefault="0070116C" w:rsidP="00907AD7">
      <w:pPr>
        <w:keepNext/>
        <w:rPr>
          <w:rFonts w:cs="Arial"/>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w:t>
      </w:r>
      <w:r w:rsidR="00790760">
        <w:rPr>
          <w:lang w:val="de-DE" w:eastAsia="de-DE" w:bidi="de-DE"/>
        </w:rPr>
        <w:t>-</w:t>
      </w:r>
      <w:r w:rsidRPr="0070116C">
        <w:rPr>
          <w:lang w:val="de-DE" w:eastAsia="de-DE" w:bidi="de-DE"/>
        </w:rPr>
        <w:softHyphen/>
        <w:t>AG vereinbarte, dem CAJ eine Überarbeitung von Dokument UPOV/EXN/PRP vorzuschlagen, wie in Dokument UPOV/EXN/PRP/2 Draft 2 dargelegt.</w:t>
      </w: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Im wesentlichen abgeleitete Sorten</w:t>
      </w:r>
    </w:p>
    <w:p w:rsidR="0070116C" w:rsidRPr="0070116C" w:rsidRDefault="0070116C" w:rsidP="00907AD7">
      <w:pPr>
        <w:keepNext/>
        <w:rPr>
          <w:lang w:val="de-DE" w:eastAsia="de-DE" w:bidi="de-DE"/>
        </w:rPr>
      </w:pPr>
    </w:p>
    <w:p w:rsidR="0070116C" w:rsidRPr="0070116C" w:rsidRDefault="0070116C" w:rsidP="00907AD7">
      <w:pPr>
        <w:keepNext/>
        <w:outlineLvl w:val="2"/>
        <w:rPr>
          <w:i/>
          <w:lang w:val="de-DE" w:eastAsia="de-DE" w:bidi="de-DE"/>
        </w:rPr>
      </w:pPr>
      <w:r w:rsidRPr="0070116C">
        <w:rPr>
          <w:i/>
          <w:lang w:val="de-DE" w:eastAsia="de-DE" w:bidi="de-DE"/>
        </w:rPr>
        <w:t>Erläuterungen zu den im wesentlichen abgeleiteten Sorten nach der Akte von 1991 des UPOV-Übereinkommens (Überarbeitung)</w:t>
      </w:r>
    </w:p>
    <w:p w:rsidR="0070116C" w:rsidRPr="0070116C" w:rsidRDefault="0070116C" w:rsidP="00907AD7">
      <w:pPr>
        <w:keepNext/>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prüfte die Dokumente CAJ-AG/14/9/2 und UPOV/EXN/EDV/2 Draft 5 und die Darlegung von Ansichten durch AIPH, APBREBES, CIOPORA, ESA und ISF.</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lastRenderedPageBreak/>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w:t>
      </w:r>
      <w:r w:rsidRPr="0070116C">
        <w:rPr>
          <w:lang w:val="de-DE" w:eastAsia="de-DE" w:bidi="de-DE"/>
        </w:rPr>
        <w:softHyphen/>
      </w:r>
      <w:r w:rsidR="00790760">
        <w:rPr>
          <w:lang w:val="de-DE" w:eastAsia="de-DE" w:bidi="de-DE"/>
        </w:rPr>
        <w:t>-</w:t>
      </w:r>
      <w:r w:rsidRPr="0070116C">
        <w:rPr>
          <w:lang w:val="de-DE" w:eastAsia="de-DE" w:bidi="de-DE"/>
        </w:rPr>
        <w:t xml:space="preserve">AG begrüßte das von Australien auf elektronischem Wege gehaltene Referat, das die Zusatzinformation zum Kontext der </w:t>
      </w:r>
      <w:r w:rsidR="00790760">
        <w:rPr>
          <w:lang w:val="de-DE" w:eastAsia="de-DE" w:bidi="de-DE"/>
        </w:rPr>
        <w:t xml:space="preserve">Beispiele, die </w:t>
      </w:r>
      <w:r w:rsidRPr="0070116C">
        <w:rPr>
          <w:lang w:val="de-DE" w:eastAsia="de-DE" w:bidi="de-DE"/>
        </w:rPr>
        <w:t>von Australien beim Seminar über im wesentlichen abgeleitete</w:t>
      </w:r>
      <w:r w:rsidR="00790760">
        <w:rPr>
          <w:lang w:val="de-DE" w:eastAsia="de-DE" w:bidi="de-DE"/>
        </w:rPr>
        <w:t xml:space="preserve"> Sorten vorgelegten worden waren, lieferte</w:t>
      </w:r>
      <w:r w:rsidRPr="0070116C">
        <w:rPr>
          <w:lang w:val="de-DE" w:eastAsia="de-DE" w:bidi="de-DE"/>
        </w:rPr>
        <w:t>.</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merkte an, daß die CAJ-AG auf ihrer achten Tagung vereinbarte hatte, die Ausarbeitung einer Anleitung zu den in den Absätzen 15 bis 18 von Dokument CAJ-AG/13/8/2 „Erläuterungen zu den im wesentlichen abgeleiteten Sorten nach der Akte von 1991 des UPOV-Übereinkommens“ aufgeworfenen Angelegenheiten betreffend den Status von im wesentlichen abgeleiteten Sorten, für die selber kein Schutz erteilt wurde, nach Annahme des überarbeiteten Dokuments UPOV/EXN/EDV/2 zu prüfen.</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merkte an, daß die Entschließung der CAJ-AG auf ihrer achten Tagung, daß auf einer geeigneten künftigen Tagung der CAJ-AG die Delegationen Australiens, Brasiliens und der Europäischen Union sowie anderer Verbandsmitglieder ersucht würden, Vorträge über ihre Systeme betreffend im wesentlichen abgeleitete Sorten zu halten, vom CAJ geprüft würde.</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w:t>
      </w:r>
      <w:r w:rsidRPr="0070116C">
        <w:rPr>
          <w:lang w:val="de-DE" w:eastAsia="de-DE" w:bidi="de-DE"/>
        </w:rPr>
        <w:softHyphen/>
        <w:t xml:space="preserve">AG nahm zur Kenntnis, daß Angelegenheiten betreffend die mögliche Rolle der UPOV bei alternativen Streitbeilegungsmechanismen und der Vorschlag in Dokument CAJ-AG/14/9/3 „Etwaige andere Streitbeilegungsmechanismen für im wesentlichen abgeleitete Sorten“ an den CAJ zur Prüfung auf seiner einundsiebzigsten Tagung im März 2015 weitergeleitet würden. </w:t>
      </w:r>
    </w:p>
    <w:p w:rsidR="0070116C" w:rsidRPr="0070116C" w:rsidRDefault="0070116C" w:rsidP="00907AD7">
      <w:pPr>
        <w:rPr>
          <w:lang w:val="de-DE" w:eastAsia="de-DE" w:bidi="de-DE"/>
        </w:rPr>
      </w:pPr>
    </w:p>
    <w:p w:rsidR="0070116C" w:rsidRPr="0070116C" w:rsidRDefault="0070116C" w:rsidP="00907AD7">
      <w:pPr>
        <w:keepNext/>
        <w:rPr>
          <w:rFonts w:cs="Arial"/>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w:t>
      </w:r>
      <w:r w:rsidR="00790760">
        <w:rPr>
          <w:lang w:val="de-DE" w:eastAsia="de-DE" w:bidi="de-DE"/>
        </w:rPr>
        <w:t>-</w:t>
      </w:r>
      <w:r w:rsidRPr="0070116C">
        <w:rPr>
          <w:lang w:val="de-DE" w:eastAsia="de-DE" w:bidi="de-DE"/>
        </w:rPr>
        <w:softHyphen/>
        <w:t>AG vereinbarte, Dokument UPOV/EXN/EDV/2 Draft 5 wie folgt zu ändern:</w:t>
      </w:r>
    </w:p>
    <w:p w:rsidR="0070116C" w:rsidRPr="0070116C" w:rsidRDefault="0070116C" w:rsidP="00907AD7">
      <w:pPr>
        <w:keepNext/>
        <w:rPr>
          <w:rFonts w:cs="Arial"/>
          <w:lang w:val="de-DE" w:eastAsia="de-DE" w:bidi="de-DE"/>
        </w:rPr>
      </w:pPr>
    </w:p>
    <w:tbl>
      <w:tblPr>
        <w:tblW w:w="9180" w:type="dxa"/>
        <w:tblInd w:w="567"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3" w:type="dxa"/>
        </w:tblCellMar>
        <w:tblLook w:val="0000" w:firstRow="0" w:lastRow="0" w:firstColumn="0" w:lastColumn="0" w:noHBand="0" w:noVBand="0"/>
      </w:tblPr>
      <w:tblGrid>
        <w:gridCol w:w="1694"/>
        <w:gridCol w:w="7486"/>
      </w:tblGrid>
      <w:tr w:rsidR="0070116C" w:rsidRPr="0070116C" w:rsidTr="00ED16BB">
        <w:trPr>
          <w:cantSplit/>
        </w:trPr>
        <w:tc>
          <w:tcPr>
            <w:tcW w:w="1391" w:type="dxa"/>
          </w:tcPr>
          <w:p w:rsidR="0070116C" w:rsidRPr="0070116C" w:rsidRDefault="0070116C" w:rsidP="00907AD7">
            <w:pPr>
              <w:jc w:val="left"/>
              <w:rPr>
                <w:rFonts w:cs="Arial"/>
                <w:lang w:val="de-DE" w:eastAsia="de-DE" w:bidi="de-DE"/>
              </w:rPr>
            </w:pPr>
            <w:r w:rsidRPr="0070116C">
              <w:rPr>
                <w:lang w:val="de-DE" w:eastAsia="de-DE" w:bidi="de-DE"/>
              </w:rPr>
              <w:t>Absatz 2</w:t>
            </w:r>
          </w:p>
        </w:tc>
        <w:tc>
          <w:tcPr>
            <w:tcW w:w="7789" w:type="dxa"/>
          </w:tcPr>
          <w:p w:rsidR="0070116C" w:rsidRPr="0070116C" w:rsidRDefault="0070116C" w:rsidP="00907AD7">
            <w:pPr>
              <w:rPr>
                <w:snapToGrid w:val="0"/>
                <w:lang w:val="de-DE" w:eastAsia="de-DE" w:bidi="de-DE"/>
              </w:rPr>
            </w:pPr>
            <w:r w:rsidRPr="0070116C">
              <w:rPr>
                <w:lang w:val="de-DE" w:eastAsia="de-DE" w:bidi="de-DE"/>
              </w:rPr>
              <w:t>Der zweite Satz soll laute:</w:t>
            </w:r>
          </w:p>
          <w:p w:rsidR="0070116C" w:rsidRPr="0070116C" w:rsidRDefault="0070116C" w:rsidP="00907AD7">
            <w:pPr>
              <w:rPr>
                <w:snapToGrid w:val="0"/>
                <w:lang w:val="de-DE" w:eastAsia="de-DE" w:bidi="de-DE"/>
              </w:rPr>
            </w:pPr>
          </w:p>
          <w:p w:rsidR="0070116C" w:rsidRPr="0070116C" w:rsidRDefault="0070116C" w:rsidP="00907AD7">
            <w:pPr>
              <w:rPr>
                <w:snapToGrid w:val="0"/>
                <w:lang w:val="de-DE" w:eastAsia="de-DE" w:bidi="de-DE"/>
              </w:rPr>
            </w:pPr>
            <w:r w:rsidRPr="0070116C">
              <w:rPr>
                <w:lang w:val="de-DE" w:eastAsia="de-DE" w:bidi="de-DE"/>
              </w:rPr>
              <w:t xml:space="preserve">„Zweck </w:t>
            </w:r>
            <w:r w:rsidRPr="0070116C">
              <w:rPr>
                <w:strike/>
                <w:snapToGrid w:val="0"/>
                <w:lang w:val="de-DE" w:eastAsia="de-DE" w:bidi="de-DE"/>
              </w:rPr>
              <w:t xml:space="preserve">der </w:t>
            </w:r>
            <w:r w:rsidRPr="0070116C">
              <w:rPr>
                <w:snapToGrid w:val="0"/>
                <w:u w:val="single"/>
                <w:lang w:val="de-DE" w:eastAsia="de-DE" w:bidi="de-DE"/>
              </w:rPr>
              <w:t>dieser</w:t>
            </w:r>
            <w:r w:rsidRPr="0070116C">
              <w:rPr>
                <w:lang w:val="de-DE" w:eastAsia="de-DE" w:bidi="de-DE"/>
              </w:rPr>
              <w:t xml:space="preserve"> Anleitung […]”</w:t>
            </w:r>
          </w:p>
          <w:p w:rsidR="0070116C" w:rsidRPr="0070116C" w:rsidRDefault="0070116C" w:rsidP="00907AD7">
            <w:pPr>
              <w:rPr>
                <w:snapToGrid w:val="0"/>
                <w:lang w:val="de-DE" w:eastAsia="de-DE" w:bidi="de-DE"/>
              </w:rPr>
            </w:pPr>
          </w:p>
          <w:p w:rsidR="0070116C" w:rsidRPr="0070116C" w:rsidRDefault="0070116C" w:rsidP="00907AD7">
            <w:pPr>
              <w:rPr>
                <w:snapToGrid w:val="0"/>
                <w:lang w:val="de-DE" w:eastAsia="de-DE" w:bidi="de-DE"/>
              </w:rPr>
            </w:pPr>
            <w:r w:rsidRPr="0070116C">
              <w:rPr>
                <w:lang w:val="de-DE" w:eastAsia="de-DE" w:bidi="de-DE"/>
              </w:rPr>
              <w:t xml:space="preserve">Der dritte Satz ist zu streichen:  </w:t>
            </w:r>
          </w:p>
          <w:p w:rsidR="0070116C" w:rsidRPr="0070116C" w:rsidRDefault="0070116C" w:rsidP="00907AD7">
            <w:pPr>
              <w:rPr>
                <w:strike/>
                <w:snapToGrid w:val="0"/>
                <w:lang w:val="de-DE" w:eastAsia="de-DE" w:bidi="de-DE"/>
              </w:rPr>
            </w:pPr>
            <w:r w:rsidRPr="0070116C">
              <w:rPr>
                <w:strike/>
                <w:snapToGrid w:val="0"/>
                <w:lang w:val="de-DE" w:eastAsia="de-DE" w:bidi="de-DE"/>
              </w:rPr>
              <w:t>„Die Anleitung ist gedacht für:  Züchterrechte erteilende Behörden mit Befugnissen in Angelegenheiten betreffend im wesentlichen abgeleitete Sorten; Züchter, Landwirte, Pflanzer und andere Interessengruppen und einschlägige Gremien, die für die Beilegung von Streitigkeiten in Rechtsstreiten, in Mediations- oder Schlichtungsfällen zuständig sind”</w:t>
            </w:r>
          </w:p>
        </w:tc>
      </w:tr>
      <w:tr w:rsidR="0070116C" w:rsidRPr="0070116C" w:rsidTr="00ED16BB">
        <w:trPr>
          <w:cantSplit/>
        </w:trPr>
        <w:tc>
          <w:tcPr>
            <w:tcW w:w="1391" w:type="dxa"/>
          </w:tcPr>
          <w:p w:rsidR="0070116C" w:rsidRPr="0070116C" w:rsidRDefault="0070116C" w:rsidP="00907AD7">
            <w:pPr>
              <w:jc w:val="left"/>
              <w:rPr>
                <w:rFonts w:cs="Arial"/>
                <w:lang w:val="de-DE" w:eastAsia="de-DE" w:bidi="de-DE"/>
              </w:rPr>
            </w:pPr>
            <w:r w:rsidRPr="0070116C">
              <w:rPr>
                <w:lang w:val="de-DE" w:eastAsia="de-DE" w:bidi="de-DE"/>
              </w:rPr>
              <w:t xml:space="preserve">Absatz 6 </w:t>
            </w:r>
          </w:p>
        </w:tc>
        <w:tc>
          <w:tcPr>
            <w:tcW w:w="7789" w:type="dxa"/>
          </w:tcPr>
          <w:p w:rsidR="0070116C" w:rsidRPr="0070116C" w:rsidRDefault="0070116C" w:rsidP="00907AD7">
            <w:pPr>
              <w:autoSpaceDE w:val="0"/>
              <w:rPr>
                <w:rFonts w:cs="Arial"/>
                <w:lang w:val="de-DE" w:eastAsia="de-DE" w:bidi="de-DE"/>
              </w:rPr>
            </w:pPr>
            <w:r w:rsidRPr="0070116C">
              <w:rPr>
                <w:lang w:val="de-DE" w:eastAsia="de-DE" w:bidi="de-DE"/>
              </w:rPr>
              <w:t>Soll lauten wie folgt:</w:t>
            </w:r>
          </w:p>
          <w:p w:rsidR="0070116C" w:rsidRPr="0070116C" w:rsidRDefault="0070116C" w:rsidP="00907AD7">
            <w:pPr>
              <w:autoSpaceDE w:val="0"/>
              <w:rPr>
                <w:rFonts w:cs="Arial"/>
                <w:lang w:val="de-DE" w:eastAsia="de-DE" w:bidi="de-DE"/>
              </w:rPr>
            </w:pPr>
          </w:p>
          <w:p w:rsidR="0070116C" w:rsidRPr="0070116C" w:rsidRDefault="0070116C" w:rsidP="00907AD7">
            <w:pPr>
              <w:autoSpaceDE w:val="0"/>
              <w:rPr>
                <w:rFonts w:cs="Arial"/>
                <w:lang w:val="de-DE" w:eastAsia="de-DE" w:bidi="de-DE"/>
              </w:rPr>
            </w:pPr>
            <w:r w:rsidRPr="0070116C">
              <w:rPr>
                <w:lang w:val="de-DE" w:eastAsia="de-DE" w:bidi="de-DE"/>
              </w:rPr>
              <w:t>„6.</w:t>
            </w:r>
            <w:r w:rsidRPr="0070116C">
              <w:rPr>
                <w:lang w:val="de-DE" w:eastAsia="de-DE" w:bidi="de-DE"/>
              </w:rPr>
              <w:tab/>
              <w:t>Folgendes könnte in bezug auf den Begriff der „wesentlichen Merkmale“ geprüft werden:</w:t>
            </w:r>
          </w:p>
          <w:p w:rsidR="0070116C" w:rsidRPr="0070116C" w:rsidRDefault="0070116C" w:rsidP="00907AD7">
            <w:pPr>
              <w:rPr>
                <w:rFonts w:cs="Arial"/>
                <w:lang w:val="de-DE" w:eastAsia="de-DE" w:bidi="de-DE"/>
              </w:rPr>
            </w:pPr>
          </w:p>
          <w:p w:rsidR="0070116C" w:rsidRPr="0070116C" w:rsidRDefault="0070116C" w:rsidP="00907AD7">
            <w:pPr>
              <w:ind w:left="567"/>
              <w:rPr>
                <w:rFonts w:cs="Arial"/>
                <w:lang w:val="de-DE" w:eastAsia="de-DE" w:bidi="de-DE"/>
              </w:rPr>
            </w:pPr>
            <w:r w:rsidRPr="0070116C">
              <w:rPr>
                <w:lang w:val="de-DE" w:eastAsia="de-DE" w:bidi="de-DE"/>
              </w:rPr>
              <w:t>i)</w:t>
            </w:r>
            <w:r w:rsidRPr="0070116C">
              <w:rPr>
                <w:lang w:val="de-DE" w:eastAsia="de-DE" w:bidi="de-DE"/>
              </w:rPr>
              <w:tab/>
              <w:t>wesentliche Merkmale bedeuten in bezug auf eine Pflanzensorte vererbbare Merkmale, die durch die Ausprägung eines oder mehrerer Gene bestimmt werden, oder andere vererbbare Determinanten, die zu den hauptsächlichen Merkmalen, zur Leistung oder zum Wert der Sorte beitragen;</w:t>
            </w:r>
          </w:p>
          <w:p w:rsidR="0070116C" w:rsidRPr="0070116C" w:rsidRDefault="0070116C" w:rsidP="00907AD7">
            <w:pPr>
              <w:ind w:left="567"/>
              <w:rPr>
                <w:rFonts w:cs="Arial"/>
                <w:lang w:val="de-DE" w:eastAsia="de-DE" w:bidi="de-DE"/>
              </w:rPr>
            </w:pPr>
          </w:p>
          <w:p w:rsidR="0070116C" w:rsidRPr="0070116C" w:rsidRDefault="0070116C" w:rsidP="00907AD7">
            <w:pPr>
              <w:ind w:left="567"/>
              <w:rPr>
                <w:rFonts w:cs="Arial"/>
                <w:b/>
                <w:lang w:val="de-DE" w:eastAsia="de-DE" w:bidi="de-DE"/>
              </w:rPr>
            </w:pPr>
            <w:r w:rsidRPr="0070116C">
              <w:rPr>
                <w:lang w:val="de-DE" w:eastAsia="de-DE" w:bidi="de-DE"/>
              </w:rPr>
              <w:t>ii)</w:t>
            </w:r>
            <w:r w:rsidRPr="0070116C">
              <w:rPr>
                <w:lang w:val="de-DE" w:eastAsia="de-DE" w:bidi="de-DE"/>
              </w:rPr>
              <w:tab/>
              <w:t>Merkmale, die aus Sicht der Erzeuger, Verkäufer, Lieferanten, Käufer, Empfänger oder Nutzer wichtig sind;</w:t>
            </w:r>
          </w:p>
          <w:p w:rsidR="0070116C" w:rsidRPr="0070116C" w:rsidRDefault="0070116C" w:rsidP="00907AD7">
            <w:pPr>
              <w:ind w:left="567"/>
              <w:rPr>
                <w:rFonts w:cs="Arial"/>
                <w:lang w:val="de-DE" w:eastAsia="de-DE" w:bidi="de-DE"/>
              </w:rPr>
            </w:pPr>
          </w:p>
          <w:p w:rsidR="0070116C" w:rsidRPr="0070116C" w:rsidRDefault="0070116C" w:rsidP="00907AD7">
            <w:pPr>
              <w:ind w:left="567"/>
              <w:rPr>
                <w:rFonts w:cs="Arial"/>
                <w:lang w:val="de-DE" w:eastAsia="de-DE" w:bidi="de-DE"/>
              </w:rPr>
            </w:pPr>
            <w:r w:rsidRPr="0070116C">
              <w:rPr>
                <w:lang w:val="de-DE" w:eastAsia="de-DE" w:bidi="de-DE"/>
              </w:rPr>
              <w:t>iii)</w:t>
            </w:r>
            <w:r w:rsidRPr="0070116C">
              <w:rPr>
                <w:b/>
                <w:lang w:val="de-DE" w:eastAsia="de-DE" w:bidi="de-DE"/>
              </w:rPr>
              <w:t xml:space="preserve"> </w:t>
            </w:r>
            <w:r w:rsidRPr="0070116C">
              <w:rPr>
                <w:lang w:val="de-DE" w:eastAsia="de-DE" w:bidi="de-DE"/>
              </w:rPr>
              <w:tab/>
              <w:t>Merkmale, die für die Sorte als Ganzes wesentlich sind, darunter beispielsweise morphologische, physiologische, agronomische, industrielle und biochemische Merkmale;</w:t>
            </w:r>
          </w:p>
          <w:p w:rsidR="0070116C" w:rsidRPr="0070116C" w:rsidRDefault="0070116C" w:rsidP="00907AD7">
            <w:pPr>
              <w:ind w:left="567"/>
              <w:rPr>
                <w:rFonts w:cs="Arial"/>
                <w:lang w:val="de-DE" w:eastAsia="de-DE" w:bidi="de-DE"/>
              </w:rPr>
            </w:pPr>
          </w:p>
          <w:p w:rsidR="0070116C" w:rsidRPr="0070116C" w:rsidRDefault="0070116C" w:rsidP="00907AD7">
            <w:pPr>
              <w:ind w:left="567"/>
              <w:rPr>
                <w:rFonts w:cs="Arial"/>
                <w:b/>
                <w:lang w:val="de-DE" w:eastAsia="de-DE" w:bidi="de-DE"/>
              </w:rPr>
            </w:pPr>
            <w:r w:rsidRPr="0070116C">
              <w:rPr>
                <w:lang w:val="de-DE" w:eastAsia="de-DE" w:bidi="de-DE"/>
              </w:rPr>
              <w:t>iv)</w:t>
            </w:r>
            <w:r w:rsidRPr="0070116C">
              <w:rPr>
                <w:lang w:val="de-DE" w:eastAsia="de-DE" w:bidi="de-DE"/>
              </w:rPr>
              <w:tab/>
              <w:t>wesentliche Merkmale können oder können auch nicht phänotypische Merkmale sein, die für die Prüfung der Unterscheidbarkeit, Homogenität und Beständigkeit (DUS) verwendet werden;</w:t>
            </w:r>
          </w:p>
          <w:p w:rsidR="0070116C" w:rsidRPr="0070116C" w:rsidRDefault="0070116C" w:rsidP="00907AD7">
            <w:pPr>
              <w:ind w:left="567"/>
              <w:rPr>
                <w:rFonts w:cs="Arial"/>
                <w:b/>
                <w:lang w:val="de-DE" w:eastAsia="de-DE" w:bidi="de-DE"/>
              </w:rPr>
            </w:pPr>
          </w:p>
          <w:p w:rsidR="0070116C" w:rsidRPr="0070116C" w:rsidRDefault="0070116C" w:rsidP="00907AD7">
            <w:pPr>
              <w:ind w:left="567"/>
              <w:rPr>
                <w:rFonts w:cs="Arial"/>
                <w:lang w:val="de-DE" w:eastAsia="de-DE" w:bidi="de-DE"/>
              </w:rPr>
            </w:pPr>
            <w:r w:rsidRPr="0070116C">
              <w:rPr>
                <w:lang w:val="de-DE" w:eastAsia="de-DE" w:bidi="de-DE"/>
              </w:rPr>
              <w:t>v)</w:t>
            </w:r>
            <w:r w:rsidRPr="0070116C">
              <w:rPr>
                <w:lang w:val="de-DE" w:eastAsia="de-DE" w:bidi="de-DE"/>
              </w:rPr>
              <w:tab/>
              <w:t>wesentliche Merkmale sind nicht auf jene Merkmale beschränkt, die sich ausschließlich auf Leistungsstärke oder Wert beziehen (zum Beispiel könnte Krankheitsresistenz als wesentliches Merkmal betrachtet werden, wenn die Sorte krankheitsanfällig ist);</w:t>
            </w:r>
          </w:p>
          <w:p w:rsidR="0070116C" w:rsidRPr="0070116C" w:rsidRDefault="0070116C" w:rsidP="00907AD7">
            <w:pPr>
              <w:ind w:left="567"/>
              <w:rPr>
                <w:rFonts w:cs="Arial"/>
                <w:lang w:val="de-DE" w:eastAsia="de-DE" w:bidi="de-DE"/>
              </w:rPr>
            </w:pPr>
          </w:p>
          <w:p w:rsidR="0070116C" w:rsidRPr="0070116C" w:rsidRDefault="0070116C" w:rsidP="00907AD7">
            <w:pPr>
              <w:ind w:left="567"/>
              <w:rPr>
                <w:lang w:val="de-DE" w:eastAsia="de-DE" w:bidi="de-DE"/>
              </w:rPr>
            </w:pPr>
            <w:r w:rsidRPr="0070116C">
              <w:rPr>
                <w:lang w:val="de-DE" w:eastAsia="de-DE" w:bidi="de-DE"/>
              </w:rPr>
              <w:t>vi)</w:t>
            </w:r>
            <w:r w:rsidRPr="0070116C">
              <w:rPr>
                <w:lang w:val="de-DE" w:eastAsia="de-DE" w:bidi="de-DE"/>
              </w:rPr>
              <w:tab/>
              <w:t>wesentliche Merkmale können bei Pflanzen/Arten verschieden sein.”</w:t>
            </w:r>
          </w:p>
        </w:tc>
      </w:tr>
      <w:tr w:rsidR="0070116C" w:rsidRPr="0070116C" w:rsidTr="00ED16BB">
        <w:trPr>
          <w:cantSplit/>
        </w:trPr>
        <w:tc>
          <w:tcPr>
            <w:tcW w:w="1391" w:type="dxa"/>
          </w:tcPr>
          <w:p w:rsidR="0070116C" w:rsidRPr="0070116C" w:rsidRDefault="0070116C" w:rsidP="00907AD7">
            <w:pPr>
              <w:jc w:val="left"/>
              <w:rPr>
                <w:rFonts w:cs="Arial"/>
                <w:lang w:val="de-DE" w:eastAsia="de-DE" w:bidi="de-DE"/>
              </w:rPr>
            </w:pPr>
            <w:r w:rsidRPr="0070116C">
              <w:rPr>
                <w:lang w:val="de-DE" w:eastAsia="de-DE" w:bidi="de-DE"/>
              </w:rPr>
              <w:t>Absatz 7</w:t>
            </w:r>
          </w:p>
        </w:tc>
        <w:tc>
          <w:tcPr>
            <w:tcW w:w="7789" w:type="dxa"/>
          </w:tcPr>
          <w:p w:rsidR="0070116C" w:rsidRPr="0070116C" w:rsidRDefault="0070116C" w:rsidP="00907AD7">
            <w:pPr>
              <w:rPr>
                <w:rFonts w:cs="Arial"/>
                <w:lang w:val="de-DE" w:eastAsia="de-DE" w:bidi="de-DE"/>
              </w:rPr>
            </w:pPr>
            <w:r w:rsidRPr="0070116C">
              <w:rPr>
                <w:lang w:val="de-DE" w:eastAsia="de-DE" w:bidi="de-DE"/>
              </w:rPr>
              <w:t>Ist zu streichen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lastRenderedPageBreak/>
              <w:t>Absatz 8</w:t>
            </w:r>
          </w:p>
          <w:p w:rsidR="0070116C" w:rsidRPr="0070116C" w:rsidRDefault="0070116C" w:rsidP="00907AD7">
            <w:pPr>
              <w:jc w:val="left"/>
              <w:rPr>
                <w:lang w:val="de-DE" w:eastAsia="de-DE" w:bidi="de-DE"/>
              </w:rPr>
            </w:pPr>
          </w:p>
        </w:tc>
        <w:tc>
          <w:tcPr>
            <w:tcW w:w="7789" w:type="dxa"/>
          </w:tcPr>
          <w:p w:rsidR="0070116C" w:rsidRPr="0070116C" w:rsidRDefault="0070116C" w:rsidP="00907AD7">
            <w:pPr>
              <w:rPr>
                <w:lang w:val="de-DE" w:eastAsia="de-DE" w:bidi="de-DE"/>
              </w:rPr>
            </w:pPr>
            <w:r w:rsidRPr="0070116C">
              <w:rPr>
                <w:lang w:val="de-DE" w:eastAsia="de-DE" w:bidi="de-DE"/>
              </w:rPr>
              <w:t>Soll lauten wie folgt:</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t>„8.</w:t>
            </w:r>
            <w:r w:rsidRPr="0070116C">
              <w:rPr>
                <w:lang w:val="de-DE" w:eastAsia="de-DE" w:bidi="de-DE"/>
              </w:rPr>
              <w:tab/>
              <w:t xml:space="preserve">Der Satz „sie läßt sich deutlich von der Ursprungssorte unterscheiden“ legt fest, daß sich die wesentliche Ableitung nur auf Sorten bezieht, die gemäß Artikel 7 deutlich von der Ursprungssorte unterschieden werden können und entsprechend schutzfähig sind. Artikel 14 Absatz 5 Buchstabe a) Ziffer ii) würde gelten, wenn sich die Sorte „nach Artikel 7 nicht deutlich von </w:t>
            </w:r>
            <w:r w:rsidR="005C110C">
              <w:rPr>
                <w:lang w:val="de-DE" w:eastAsia="de-DE" w:bidi="de-DE"/>
              </w:rPr>
              <w:t>der geschützten Sorte unterschei</w:t>
            </w:r>
            <w:r w:rsidRPr="0070116C">
              <w:rPr>
                <w:lang w:val="de-DE" w:eastAsia="de-DE" w:bidi="de-DE"/>
              </w:rPr>
              <w:t>den läßt.“</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 xml:space="preserve">Absatz 10 </w:t>
            </w:r>
          </w:p>
        </w:tc>
        <w:tc>
          <w:tcPr>
            <w:tcW w:w="7789" w:type="dxa"/>
          </w:tcPr>
          <w:p w:rsidR="0070116C" w:rsidRPr="0070116C" w:rsidRDefault="0070116C" w:rsidP="00907AD7">
            <w:pPr>
              <w:rPr>
                <w:snapToGrid w:val="0"/>
                <w:lang w:val="de-DE" w:eastAsia="de-DE" w:bidi="de-DE"/>
              </w:rPr>
            </w:pPr>
            <w:r w:rsidRPr="0070116C">
              <w:rPr>
                <w:lang w:val="de-DE" w:eastAsia="de-DE" w:bidi="de-DE"/>
              </w:rPr>
              <w:t>Soll lauten wie folgt:</w:t>
            </w:r>
          </w:p>
          <w:p w:rsidR="0070116C" w:rsidRPr="0070116C" w:rsidRDefault="0070116C" w:rsidP="00907AD7">
            <w:pPr>
              <w:rPr>
                <w:snapToGrid w:val="0"/>
                <w:lang w:val="de-DE" w:eastAsia="de-DE" w:bidi="de-DE"/>
              </w:rPr>
            </w:pPr>
          </w:p>
          <w:p w:rsidR="0070116C" w:rsidRPr="0070116C" w:rsidRDefault="0070116C" w:rsidP="00907AD7">
            <w:pPr>
              <w:rPr>
                <w:snapToGrid w:val="0"/>
                <w:lang w:val="de-DE" w:eastAsia="de-DE" w:bidi="de-DE"/>
              </w:rPr>
            </w:pPr>
            <w:r w:rsidRPr="0070116C">
              <w:rPr>
                <w:lang w:val="de-DE" w:eastAsia="de-DE" w:bidi="de-DE"/>
              </w:rPr>
              <w:t>„10.</w:t>
            </w:r>
            <w:r w:rsidRPr="0070116C">
              <w:rPr>
                <w:lang w:val="de-DE" w:eastAsia="de-DE" w:bidi="de-DE"/>
              </w:rPr>
              <w:tab/>
              <w:t>Die Worte „mit Ausnahme der sich aus der Ableitung ergebenden</w:t>
            </w:r>
            <w:r w:rsidR="005C110C">
              <w:rPr>
                <w:lang w:val="de-DE" w:eastAsia="de-DE" w:bidi="de-DE"/>
              </w:rPr>
              <w:t xml:space="preserve"> Unterschiede“ setzen keinen Grenzwert</w:t>
            </w:r>
            <w:r w:rsidRPr="0070116C">
              <w:rPr>
                <w:lang w:val="de-DE" w:eastAsia="de-DE" w:bidi="de-DE"/>
              </w:rPr>
              <w:t xml:space="preserve"> für den Umfang an Unterschieden, die bestehen können, wenn eine Sorte als im wesentlichen abgeleitete Sorte betrachtet wird:  Allerdings wird in den Nummern i und iii von Artikel 14 Absatz 5 Buchstabe b </w:t>
            </w:r>
            <w:r w:rsidR="005C110C">
              <w:rPr>
                <w:lang w:val="de-DE" w:eastAsia="de-DE" w:bidi="de-DE"/>
              </w:rPr>
              <w:t>ein Grenzwert</w:t>
            </w:r>
            <w:r w:rsidRPr="0070116C">
              <w:rPr>
                <w:lang w:val="de-DE" w:eastAsia="de-DE" w:bidi="de-DE"/>
              </w:rPr>
              <w:t xml:space="preserve"> vorgegeben. Die Unterschiede dürfen nicht dergestalt sein, daß die Sorte nicht mehr „die Ausprägung der wesentlichen Merkmale, die sich aus dem Genotyp oder der Kombination von Genotypen der Ursprungssorte ergeben, aufweist“.“</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 xml:space="preserve">Absatz 11 </w:t>
            </w:r>
          </w:p>
          <w:p w:rsidR="0070116C" w:rsidRPr="0070116C" w:rsidRDefault="0070116C" w:rsidP="00907AD7">
            <w:pPr>
              <w:jc w:val="left"/>
              <w:rPr>
                <w:lang w:val="de-DE" w:eastAsia="de-DE" w:bidi="de-DE"/>
              </w:rPr>
            </w:pPr>
          </w:p>
        </w:tc>
        <w:tc>
          <w:tcPr>
            <w:tcW w:w="7789" w:type="dxa"/>
          </w:tcPr>
          <w:p w:rsidR="0070116C" w:rsidRPr="0070116C" w:rsidRDefault="0070116C" w:rsidP="00907AD7">
            <w:pPr>
              <w:rPr>
                <w:rFonts w:cs="Arial"/>
                <w:lang w:val="de-DE" w:eastAsia="de-DE" w:bidi="de-DE"/>
              </w:rPr>
            </w:pPr>
            <w:r w:rsidRPr="0070116C">
              <w:rPr>
                <w:lang w:val="de-DE" w:eastAsia="de-DE" w:bidi="de-DE"/>
              </w:rPr>
              <w:t>Soll lauten wie folgt:</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r w:rsidRPr="0070116C">
              <w:rPr>
                <w:lang w:val="de-DE" w:eastAsia="de-DE" w:bidi="de-DE"/>
              </w:rPr>
              <w:t>„11.</w:t>
            </w:r>
            <w:r w:rsidRPr="0070116C">
              <w:rPr>
                <w:lang w:val="de-DE" w:eastAsia="de-DE" w:bidi="de-DE"/>
              </w:rPr>
              <w:tab/>
              <w:t xml:space="preserve">Die in Artikel 14 Absatz 5 Buchstabe c angeführten Beispiele verdeutlichen, daß die Unterschiede, die sich aus dem Ableitungsvorgang ergeben, nur einer oder sehr wenige sein sollten. Gibt es allerdings nur einen oder sehr wenige Unterschiede, so heißt das nicht zwingend, daß eine Sorte im wesentlichen abgeleitet ist. Die Sorte müßte auch der in Artikel 14 Absatz 5 Buchstabe b festgelegten Definition entsprechen.“ </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Neuer Absatz nach Absatz 11</w:t>
            </w:r>
          </w:p>
        </w:tc>
        <w:tc>
          <w:tcPr>
            <w:tcW w:w="7789" w:type="dxa"/>
          </w:tcPr>
          <w:p w:rsidR="0070116C" w:rsidRPr="0070116C" w:rsidRDefault="0070116C" w:rsidP="00907AD7">
            <w:pPr>
              <w:rPr>
                <w:rFonts w:cs="Arial"/>
                <w:lang w:val="de-DE" w:eastAsia="de-DE" w:bidi="de-DE"/>
              </w:rPr>
            </w:pPr>
            <w:r w:rsidRPr="0070116C">
              <w:rPr>
                <w:lang w:val="de-DE" w:eastAsia="de-DE" w:bidi="de-DE"/>
              </w:rPr>
              <w:t>Einfügung folgenden Zitats in Absatz 11 in einen neuen Absatz wie folgt:</w:t>
            </w:r>
          </w:p>
          <w:p w:rsidR="0070116C" w:rsidRPr="0070116C" w:rsidRDefault="0070116C" w:rsidP="00907AD7">
            <w:pPr>
              <w:rPr>
                <w:rFonts w:cs="Arial"/>
                <w:lang w:val="de-DE" w:eastAsia="de-DE" w:bidi="de-DE"/>
              </w:rPr>
            </w:pPr>
          </w:p>
          <w:p w:rsidR="0070116C" w:rsidRPr="0070116C" w:rsidRDefault="0070116C" w:rsidP="00907AD7">
            <w:pPr>
              <w:rPr>
                <w:rFonts w:cs="Arial"/>
                <w:lang w:val="de-DE" w:eastAsia="de-DE" w:bidi="de-DE"/>
              </w:rPr>
            </w:pPr>
            <w:r w:rsidRPr="0070116C">
              <w:rPr>
                <w:lang w:val="de-DE" w:eastAsia="de-DE" w:bidi="de-DE"/>
              </w:rPr>
              <w:t>„12.</w:t>
            </w:r>
            <w:r w:rsidRPr="0070116C">
              <w:rPr>
                <w:lang w:val="de-DE" w:eastAsia="de-DE" w:bidi="de-DE"/>
              </w:rPr>
              <w:tab/>
              <w:t>Die abgeleitete Sorte muß im wesentlichen den Genotyp der Muttersorte aufweisen und sich nur durch eine sehr kleine Anzahl von Merkmalen (typischerweise durch ein Merkmal) unterscheiden.“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 xml:space="preserve">Wiederaufnahme des Titels </w:t>
            </w:r>
          </w:p>
        </w:tc>
        <w:tc>
          <w:tcPr>
            <w:tcW w:w="7789" w:type="dxa"/>
          </w:tcPr>
          <w:p w:rsidR="0070116C" w:rsidRPr="0070116C" w:rsidRDefault="0070116C" w:rsidP="00907AD7">
            <w:pPr>
              <w:rPr>
                <w:rFonts w:cs="Arial"/>
                <w:lang w:val="de-DE" w:eastAsia="de-DE" w:bidi="de-DE"/>
              </w:rPr>
            </w:pPr>
            <w:r w:rsidRPr="0070116C">
              <w:rPr>
                <w:lang w:val="de-DE" w:eastAsia="de-DE" w:bidi="de-DE"/>
              </w:rPr>
              <w:t>Züchtungsverfahren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Absatz 14</w:t>
            </w:r>
          </w:p>
        </w:tc>
        <w:tc>
          <w:tcPr>
            <w:tcW w:w="7789" w:type="dxa"/>
          </w:tcPr>
          <w:p w:rsidR="0070116C" w:rsidRPr="0070116C" w:rsidRDefault="0070116C" w:rsidP="00907AD7">
            <w:pPr>
              <w:rPr>
                <w:lang w:val="de-DE" w:eastAsia="de-DE" w:bidi="de-DE"/>
              </w:rPr>
            </w:pPr>
            <w:r w:rsidRPr="0070116C">
              <w:rPr>
                <w:lang w:val="de-DE" w:eastAsia="de-DE" w:bidi="de-DE"/>
              </w:rPr>
              <w:t>Absatz 14 soll folgendermaßen lauten:</w:t>
            </w:r>
          </w:p>
          <w:p w:rsidR="0070116C" w:rsidRPr="0070116C" w:rsidRDefault="0070116C" w:rsidP="00907AD7">
            <w:pPr>
              <w:rPr>
                <w:lang w:val="de-DE" w:eastAsia="de-DE" w:bidi="de-DE"/>
              </w:rPr>
            </w:pPr>
          </w:p>
          <w:p w:rsidR="0070116C" w:rsidRPr="0070116C" w:rsidRDefault="0070116C" w:rsidP="00907AD7">
            <w:pPr>
              <w:rPr>
                <w:lang w:val="de-DE" w:eastAsia="de-DE" w:bidi="de-DE"/>
              </w:rPr>
            </w:pPr>
            <w:r w:rsidRPr="0070116C">
              <w:rPr>
                <w:lang w:val="de-DE" w:eastAsia="de-DE" w:bidi="de-DE"/>
              </w:rPr>
              <w:t>„Bei der Bestimmung von im wesentlichen abgeleiteten Sorten müssen die Lage bei verschiedenen Pflanzen und Arten und das Züchtungsverfahren berücksichtigt werden.“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Absatz 20</w:t>
            </w:r>
          </w:p>
        </w:tc>
        <w:tc>
          <w:tcPr>
            <w:tcW w:w="7789" w:type="dxa"/>
          </w:tcPr>
          <w:p w:rsidR="0070116C" w:rsidRPr="0070116C" w:rsidRDefault="0070116C" w:rsidP="00907AD7">
            <w:pPr>
              <w:rPr>
                <w:lang w:val="de-DE" w:eastAsia="de-DE" w:bidi="de-DE"/>
              </w:rPr>
            </w:pPr>
            <w:r w:rsidRPr="0070116C">
              <w:rPr>
                <w:lang w:val="de-DE" w:eastAsia="de-DE" w:bidi="de-DE"/>
              </w:rPr>
              <w:t>Der von ESA und ISF vorzulegende gemeinsame Vorschlag ist abzuwarten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Absatz 21</w:t>
            </w:r>
          </w:p>
        </w:tc>
        <w:tc>
          <w:tcPr>
            <w:tcW w:w="7789" w:type="dxa"/>
          </w:tcPr>
          <w:p w:rsidR="0070116C" w:rsidRPr="0070116C" w:rsidRDefault="0070116C" w:rsidP="00907AD7">
            <w:pPr>
              <w:rPr>
                <w:lang w:val="de-DE" w:eastAsia="de-DE" w:bidi="de-DE"/>
              </w:rPr>
            </w:pPr>
            <w:r w:rsidRPr="0070116C">
              <w:rPr>
                <w:lang w:val="de-DE" w:eastAsia="de-DE" w:bidi="de-DE"/>
              </w:rPr>
              <w:t>Es ist eine Anmerkung hinzuzufügen, daß der gegenwärtige Text nicht annehmbar war und neue Vorschläge geprüft werden sollten. Der gegenwärtige Text ist durchgestrichen darzustellen.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 xml:space="preserve">Absatz 29 </w:t>
            </w:r>
          </w:p>
        </w:tc>
        <w:tc>
          <w:tcPr>
            <w:tcW w:w="7789" w:type="dxa"/>
          </w:tcPr>
          <w:p w:rsidR="0070116C" w:rsidRPr="0070116C" w:rsidRDefault="0070116C" w:rsidP="00907AD7">
            <w:pPr>
              <w:rPr>
                <w:snapToGrid w:val="0"/>
                <w:lang w:val="de-DE" w:eastAsia="de-DE" w:bidi="de-DE"/>
              </w:rPr>
            </w:pPr>
            <w:r w:rsidRPr="0070116C">
              <w:rPr>
                <w:lang w:val="de-DE" w:eastAsia="de-DE" w:bidi="de-DE"/>
              </w:rPr>
              <w:t>Soll lauten wie folgt:</w:t>
            </w:r>
          </w:p>
          <w:p w:rsidR="0070116C" w:rsidRPr="0070116C" w:rsidRDefault="0070116C" w:rsidP="00907AD7">
            <w:pPr>
              <w:rPr>
                <w:snapToGrid w:val="0"/>
                <w:lang w:val="de-DE" w:eastAsia="de-DE" w:bidi="de-DE"/>
              </w:rPr>
            </w:pPr>
          </w:p>
          <w:p w:rsidR="0070116C" w:rsidRPr="0070116C" w:rsidRDefault="0070116C" w:rsidP="00907AD7">
            <w:pPr>
              <w:rPr>
                <w:snapToGrid w:val="0"/>
                <w:lang w:val="de-DE" w:eastAsia="de-DE" w:bidi="de-DE"/>
              </w:rPr>
            </w:pPr>
            <w:r w:rsidRPr="0070116C">
              <w:rPr>
                <w:lang w:val="de-DE" w:eastAsia="de-DE" w:bidi="de-DE"/>
              </w:rPr>
              <w:t>„29.</w:t>
            </w:r>
            <w:r w:rsidRPr="0070116C">
              <w:rPr>
                <w:lang w:val="de-DE" w:eastAsia="de-DE" w:bidi="de-DE"/>
              </w:rPr>
              <w:tab/>
              <w:t>Sowohl die vorwiegende Ableitung (z.B. Nachweis genetischer Übereinstimmung mit der Ursprungssorte) als auch die Übereinstimmung in den wesentlichen Merkmalen (z.B. nachweisliche Übereinstimmung in der Ausprägung der wesentlichen Merkmale der Ursprungssorte) sind mögliche Ausgangspunkte für einen Anhaltspunkt dafür, daß eine Sorte eine im wesentlichen von der Ursprungssorte abgeleitete Sorte ist.“</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lastRenderedPageBreak/>
              <w:t xml:space="preserve">Absatz 30 </w:t>
            </w:r>
          </w:p>
          <w:p w:rsidR="0070116C" w:rsidRPr="0070116C" w:rsidRDefault="0070116C" w:rsidP="00907AD7">
            <w:pPr>
              <w:jc w:val="left"/>
              <w:rPr>
                <w:lang w:val="de-DE" w:eastAsia="de-DE" w:bidi="de-DE"/>
              </w:rPr>
            </w:pPr>
          </w:p>
        </w:tc>
        <w:tc>
          <w:tcPr>
            <w:tcW w:w="7789" w:type="dxa"/>
          </w:tcPr>
          <w:p w:rsidR="0070116C" w:rsidRPr="0070116C" w:rsidRDefault="0070116C" w:rsidP="00907AD7">
            <w:pPr>
              <w:rPr>
                <w:snapToGrid w:val="0"/>
                <w:lang w:val="de-DE" w:eastAsia="de-DE" w:bidi="de-DE"/>
              </w:rPr>
            </w:pPr>
            <w:r w:rsidRPr="0070116C">
              <w:rPr>
                <w:lang w:val="de-DE" w:eastAsia="de-DE" w:bidi="de-DE"/>
              </w:rPr>
              <w:t>Soll lauten wie folgt:</w:t>
            </w:r>
          </w:p>
          <w:p w:rsidR="0070116C" w:rsidRPr="0070116C" w:rsidRDefault="0070116C" w:rsidP="00907AD7">
            <w:pPr>
              <w:rPr>
                <w:snapToGrid w:val="0"/>
                <w:lang w:val="de-DE" w:eastAsia="de-DE" w:bidi="de-DE"/>
              </w:rPr>
            </w:pPr>
          </w:p>
          <w:p w:rsidR="0070116C" w:rsidRPr="0070116C" w:rsidRDefault="0070116C" w:rsidP="00907AD7">
            <w:pPr>
              <w:rPr>
                <w:snapToGrid w:val="0"/>
                <w:lang w:val="de-DE" w:eastAsia="de-DE" w:bidi="de-DE"/>
              </w:rPr>
            </w:pPr>
            <w:r w:rsidRPr="0070116C">
              <w:rPr>
                <w:lang w:val="de-DE" w:eastAsia="de-DE" w:bidi="de-DE"/>
              </w:rPr>
              <w:t>„30.</w:t>
            </w:r>
            <w:r w:rsidRPr="0070116C">
              <w:rPr>
                <w:lang w:val="de-DE" w:eastAsia="de-DE" w:bidi="de-DE"/>
              </w:rPr>
              <w:tab/>
              <w:t>In einigen Fällen kann gegebenenfalls vom Züchter der Ursprungssorte vorgelegte einschlägige Information über vorwiegende Ableitung und/oder über Übereinstimmung mit den wesentlichen Merkmalen als Grundlage für die Umkehr der Beweislast verwendet werden. In solchen Fällen wird der andere Züchter beweisen müssen, daß die andere Sorte nicht im wesentlichen von der Ursprungssorte abgeleitet ist. So müßte der andere Züchter beispielsweise Informationen über den Züchtungsverlauf der zweiten Sorte beibringen, um zu beweisen, daß die Sorte nicht von der Ursprungssorte abgeleitet wurde.“</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Abschnitt II</w:t>
            </w:r>
          </w:p>
        </w:tc>
        <w:tc>
          <w:tcPr>
            <w:tcW w:w="7789" w:type="dxa"/>
          </w:tcPr>
          <w:p w:rsidR="0070116C" w:rsidRPr="0070116C" w:rsidRDefault="0070116C" w:rsidP="00907AD7">
            <w:pPr>
              <w:rPr>
                <w:snapToGrid w:val="0"/>
                <w:lang w:val="de-DE" w:eastAsia="de-DE" w:bidi="de-DE"/>
              </w:rPr>
            </w:pPr>
            <w:r w:rsidRPr="0070116C">
              <w:rPr>
                <w:lang w:val="de-DE" w:eastAsia="de-DE" w:bidi="de-DE"/>
              </w:rPr>
              <w:t>Der Zweck von Abschnitt II in den einschlägigen Teilen des Dokuments und insbesondere dass er sich auf die Beurteilung, ob eine Sorte eine im wesentlichen abgeleitete Sorte und ob sie schutzfähig ist, bezieht, ist zu klären.</w:t>
            </w:r>
          </w:p>
        </w:tc>
      </w:tr>
      <w:tr w:rsidR="0070116C" w:rsidRPr="0070116C" w:rsidTr="00ED16BB">
        <w:trPr>
          <w:cantSplit/>
        </w:trPr>
        <w:tc>
          <w:tcPr>
            <w:tcW w:w="1391" w:type="dxa"/>
          </w:tcPr>
          <w:p w:rsidR="0070116C" w:rsidRPr="0070116C" w:rsidRDefault="0070116C" w:rsidP="00907AD7">
            <w:pPr>
              <w:jc w:val="left"/>
              <w:rPr>
                <w:lang w:val="de-DE" w:eastAsia="de-DE" w:bidi="de-DE"/>
              </w:rPr>
            </w:pPr>
            <w:r w:rsidRPr="0070116C">
              <w:rPr>
                <w:lang w:val="de-DE" w:eastAsia="de-DE" w:bidi="de-DE"/>
              </w:rPr>
              <w:t xml:space="preserve">Neuer Vorschlag </w:t>
            </w:r>
          </w:p>
        </w:tc>
        <w:tc>
          <w:tcPr>
            <w:tcW w:w="7789" w:type="dxa"/>
          </w:tcPr>
          <w:p w:rsidR="0070116C" w:rsidRPr="0070116C" w:rsidRDefault="0070116C" w:rsidP="00907AD7">
            <w:pPr>
              <w:rPr>
                <w:snapToGrid w:val="0"/>
                <w:lang w:val="de-DE" w:eastAsia="de-DE" w:bidi="de-DE"/>
              </w:rPr>
            </w:pPr>
            <w:r w:rsidRPr="0070116C">
              <w:rPr>
                <w:lang w:val="de-DE" w:eastAsia="de-DE" w:bidi="de-DE"/>
              </w:rPr>
              <w:t>Beim nächsten Entwurf ist eine Anleitung auszuarbeiten, um die Situation, ob die Ursprungssorte oder die im wesentlichen abgeleitete Sorten in einem anderen Hoheitsgebiet geschützt oder nicht geschützt ist</w:t>
            </w:r>
            <w:r w:rsidR="005C110C">
              <w:rPr>
                <w:lang w:val="de-DE" w:eastAsia="de-DE" w:bidi="de-DE"/>
              </w:rPr>
              <w:t>, zu klären</w:t>
            </w:r>
            <w:r w:rsidRPr="0070116C">
              <w:rPr>
                <w:lang w:val="de-DE" w:eastAsia="de-DE" w:bidi="de-DE"/>
              </w:rPr>
              <w:t>.</w:t>
            </w:r>
          </w:p>
        </w:tc>
      </w:tr>
    </w:tbl>
    <w:p w:rsidR="0070116C" w:rsidRPr="0070116C" w:rsidRDefault="0070116C" w:rsidP="00907AD7">
      <w:pPr>
        <w:rPr>
          <w:lang w:val="de-DE" w:eastAsia="de-DE" w:bidi="de-DE"/>
        </w:rPr>
      </w:pPr>
    </w:p>
    <w:p w:rsidR="0070116C" w:rsidRPr="0070116C" w:rsidRDefault="0070116C"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Angelegenheiten betreffend Beobachter bei der CAJ-AG</w:t>
      </w:r>
    </w:p>
    <w:p w:rsidR="0070116C" w:rsidRPr="0070116C" w:rsidRDefault="0070116C" w:rsidP="00907AD7">
      <w:pPr>
        <w:keepNext/>
        <w:rPr>
          <w:lang w:val="de-DE" w:eastAsia="de-DE" w:bidi="de-DE"/>
        </w:rPr>
      </w:pPr>
    </w:p>
    <w:p w:rsidR="0070116C" w:rsidRPr="0070116C" w:rsidRDefault="0070116C" w:rsidP="00907AD7">
      <w:pPr>
        <w:rPr>
          <w:rFonts w:cs="Arial"/>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Die CAJ-AG prüfte Dokument CAJ-AG/14/9/5  und vereinbarte, daß die Angelegenheit zu gegebener Zeit vom CAJ geprüft werden sollte. </w:t>
      </w:r>
    </w:p>
    <w:p w:rsidR="0070116C" w:rsidRPr="0070116C" w:rsidRDefault="0070116C" w:rsidP="00907AD7">
      <w:pPr>
        <w:rPr>
          <w:rFonts w:cs="Arial"/>
          <w:lang w:val="de-DE" w:eastAsia="de-DE" w:bidi="de-DE"/>
        </w:rPr>
      </w:pPr>
    </w:p>
    <w:p w:rsidR="0070116C" w:rsidRPr="0070116C" w:rsidRDefault="0070116C" w:rsidP="00907AD7">
      <w:pPr>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Die CAJ-AG schlug dem CAJ vor, abzuwägen, ob es zweckmäßig wäre, Mitglieder und Beobachter vor den CAJ-Tagungen dazu aufzufordern, schriftliche Bemerkungen zu CAJ-Dokumenten einzureichen.</w:t>
      </w:r>
    </w:p>
    <w:p w:rsidR="0070116C" w:rsidRDefault="0070116C" w:rsidP="00907AD7">
      <w:pPr>
        <w:rPr>
          <w:lang w:val="de-DE" w:eastAsia="de-DE" w:bidi="de-DE"/>
        </w:rPr>
      </w:pPr>
    </w:p>
    <w:p w:rsidR="00ED16BB" w:rsidRPr="0070116C" w:rsidRDefault="00ED16BB" w:rsidP="00907AD7">
      <w:pPr>
        <w:rPr>
          <w:lang w:val="de-DE" w:eastAsia="de-DE" w:bidi="de-DE"/>
        </w:rPr>
      </w:pPr>
    </w:p>
    <w:p w:rsidR="0070116C" w:rsidRPr="0070116C" w:rsidRDefault="0070116C" w:rsidP="00907AD7">
      <w:pPr>
        <w:keepNext/>
        <w:outlineLvl w:val="1"/>
        <w:rPr>
          <w:u w:val="single"/>
          <w:lang w:val="de-DE" w:eastAsia="de-DE" w:bidi="de-DE"/>
        </w:rPr>
      </w:pPr>
      <w:r w:rsidRPr="0070116C">
        <w:rPr>
          <w:u w:val="single"/>
          <w:lang w:val="de-DE" w:eastAsia="de-DE" w:bidi="de-DE"/>
        </w:rPr>
        <w:t>Vom CAJ seit der achten Tagung der CAJ-AG an die CAJ-AG verwiesene Fragen</w:t>
      </w:r>
    </w:p>
    <w:p w:rsidR="0070116C" w:rsidRPr="0070116C" w:rsidRDefault="0070116C" w:rsidP="00907AD7">
      <w:pPr>
        <w:keepNext/>
        <w:rPr>
          <w:lang w:val="de-DE" w:eastAsia="de-DE" w:bidi="de-DE"/>
        </w:rPr>
      </w:pPr>
    </w:p>
    <w:p w:rsidR="0070116C" w:rsidRPr="0070116C" w:rsidRDefault="0070116C" w:rsidP="00907AD7">
      <w:pPr>
        <w:tabs>
          <w:tab w:val="left" w:pos="567"/>
        </w:tabs>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Der CAJ auf seiner siebzigsten Tagung am 13. Oktober 2014 in Genf ersuchte die CAJ</w:t>
      </w:r>
      <w:r w:rsidRPr="0070116C">
        <w:rPr>
          <w:lang w:val="de-DE" w:eastAsia="de-DE" w:bidi="de-DE"/>
        </w:rPr>
        <w:noBreakHyphen/>
        <w:t xml:space="preserve">AG auf ihrer neunten Tagung, den CAJ im Hinblick auf Dokumente zu beraten, die auf der einundsiebzigsten Tagung des CAJ im März 2015 zu prüfen sind.  </w:t>
      </w:r>
    </w:p>
    <w:p w:rsidR="0070116C" w:rsidRPr="0070116C" w:rsidRDefault="0070116C" w:rsidP="00907AD7">
      <w:pPr>
        <w:tabs>
          <w:tab w:val="left" w:pos="567"/>
        </w:tabs>
        <w:rPr>
          <w:lang w:val="de-DE" w:eastAsia="de-DE" w:bidi="de-DE"/>
        </w:rPr>
      </w:pPr>
    </w:p>
    <w:p w:rsidR="0070116C" w:rsidRPr="0070116C" w:rsidRDefault="0070116C" w:rsidP="00907AD7">
      <w:pPr>
        <w:tabs>
          <w:tab w:val="left" w:pos="567"/>
        </w:tabs>
        <w:rPr>
          <w:lang w:val="de-DE" w:eastAsia="de-DE" w:bidi="de-DE"/>
        </w:rPr>
      </w:pPr>
      <w:r w:rsidRPr="0070116C">
        <w:rPr>
          <w:lang w:val="de-DE" w:eastAsia="de-DE" w:bidi="de-DE"/>
        </w:rPr>
        <w:fldChar w:fldCharType="begin"/>
      </w:r>
      <w:r w:rsidRPr="0070116C">
        <w:rPr>
          <w:lang w:val="de-DE" w:eastAsia="de-DE" w:bidi="de-DE"/>
        </w:rPr>
        <w:instrText xml:space="preserve"> AUTONUM  </w:instrText>
      </w:r>
      <w:r w:rsidRPr="0070116C">
        <w:rPr>
          <w:lang w:val="de-DE" w:eastAsia="de-DE" w:bidi="de-DE"/>
        </w:rPr>
        <w:fldChar w:fldCharType="end"/>
      </w:r>
      <w:r w:rsidRPr="0070116C">
        <w:rPr>
          <w:lang w:val="de-DE" w:eastAsia="de-DE" w:bidi="de-DE"/>
        </w:rPr>
        <w:tab/>
        <w:t xml:space="preserve"> In Anbetracht dessen erteilte die CAJ</w:t>
      </w:r>
      <w:r w:rsidRPr="0070116C">
        <w:rPr>
          <w:lang w:val="de-DE" w:eastAsia="de-DE" w:bidi="de-DE"/>
        </w:rPr>
        <w:noBreakHyphen/>
        <w:t xml:space="preserve">AG in Bezug auf die Punkte 4 „Ausarbeitung von Informationsmaterial betreffend das UPOV-Übereinkommen“ und 7 „Sortenbezeichnungen“ der einundsiebzigsten Tagung des CAJ folgenden Rat: </w:t>
      </w:r>
    </w:p>
    <w:p w:rsidR="0070116C" w:rsidRPr="0070116C" w:rsidRDefault="0070116C" w:rsidP="00907AD7">
      <w:pPr>
        <w:tabs>
          <w:tab w:val="left" w:pos="567"/>
        </w:tabs>
        <w:rPr>
          <w:lang w:val="de-DE" w:eastAsia="de-DE" w:bidi="de-DE"/>
        </w:rPr>
      </w:pPr>
    </w:p>
    <w:p w:rsidR="0070116C" w:rsidRPr="0070116C" w:rsidRDefault="0070116C" w:rsidP="00907AD7">
      <w:pPr>
        <w:tabs>
          <w:tab w:val="left" w:pos="567"/>
        </w:tabs>
        <w:ind w:left="1134" w:right="567" w:hanging="567"/>
        <w:rPr>
          <w:kern w:val="28"/>
          <w:lang w:val="de-DE" w:eastAsia="de-DE" w:bidi="de-DE"/>
        </w:rPr>
      </w:pPr>
      <w:r w:rsidRPr="0070116C">
        <w:rPr>
          <w:lang w:val="de-DE" w:eastAsia="de-DE" w:bidi="de-DE"/>
        </w:rPr>
        <w:t>4.</w:t>
      </w:r>
      <w:r w:rsidRPr="0070116C">
        <w:rPr>
          <w:lang w:val="de-DE" w:eastAsia="de-DE" w:bidi="de-DE"/>
        </w:rPr>
        <w:tab/>
        <w:t>Ausarbeitung von Informationsmaterial zum UPOV-Übereinkommen (Dokumente CAJ/71/2 und CAJ</w:t>
      </w:r>
      <w:r w:rsidRPr="0070116C">
        <w:rPr>
          <w:lang w:val="de-DE" w:eastAsia="de-DE" w:bidi="de-DE"/>
        </w:rPr>
        <w:noBreakHyphen/>
        <w:t>AG/14/9/7 „Bericht”)</w:t>
      </w:r>
    </w:p>
    <w:p w:rsidR="0070116C" w:rsidRPr="0070116C" w:rsidRDefault="0070116C" w:rsidP="00907AD7">
      <w:pPr>
        <w:ind w:left="1134" w:right="567" w:hanging="567"/>
        <w:rPr>
          <w:lang w:val="de-DE" w:eastAsia="de-DE" w:bidi="de-DE"/>
        </w:rPr>
      </w:pPr>
    </w:p>
    <w:p w:rsidR="0070116C" w:rsidRPr="0070116C" w:rsidRDefault="0070116C" w:rsidP="00907AD7">
      <w:pPr>
        <w:ind w:left="1701" w:right="567" w:hanging="567"/>
        <w:rPr>
          <w:strike/>
          <w:lang w:val="de-DE" w:eastAsia="de-DE" w:bidi="de-DE"/>
        </w:rPr>
      </w:pPr>
      <w:r w:rsidRPr="0070116C">
        <w:rPr>
          <w:lang w:val="de-DE" w:eastAsia="de-DE" w:bidi="de-DE"/>
        </w:rPr>
        <w:t>a)</w:t>
      </w:r>
      <w:r w:rsidRPr="0070116C">
        <w:rPr>
          <w:lang w:val="de-DE" w:eastAsia="de-DE" w:bidi="de-DE"/>
        </w:rPr>
        <w:tab/>
        <w:t>Erläuterungen zu den im wesentlichen abgeleiteten Sorten nach der Akte von 1991 des UPOV-Übereinkommens (Überarbeitung) (Dokument CAJ/71/2:  vorgeschlagener künftiger Weg im Hinblick auf die Erörterung eines neuen Entwurfs von Dokument UPOV/EXN/EDV/2 im CAJ im Oktober 2015)</w:t>
      </w:r>
    </w:p>
    <w:p w:rsidR="0070116C" w:rsidRPr="0070116C" w:rsidRDefault="0070116C" w:rsidP="00907AD7">
      <w:pPr>
        <w:ind w:left="1134" w:right="567" w:hanging="567"/>
        <w:rPr>
          <w:strike/>
          <w:lang w:val="de-DE" w:eastAsia="de-DE" w:bidi="de-DE"/>
        </w:rPr>
      </w:pPr>
    </w:p>
    <w:p w:rsidR="0070116C" w:rsidRPr="0070116C" w:rsidRDefault="0070116C" w:rsidP="00907AD7">
      <w:pPr>
        <w:ind w:left="1701" w:right="567" w:hanging="567"/>
        <w:rPr>
          <w:lang w:val="de-DE" w:eastAsia="de-DE" w:bidi="de-DE"/>
        </w:rPr>
      </w:pPr>
      <w:r w:rsidRPr="0070116C">
        <w:rPr>
          <w:lang w:val="de-DE" w:eastAsia="de-DE" w:bidi="de-DE"/>
        </w:rPr>
        <w:t>b)</w:t>
      </w:r>
      <w:r w:rsidRPr="0070116C">
        <w:rPr>
          <w:lang w:val="de-DE" w:eastAsia="de-DE" w:bidi="de-DE"/>
        </w:rPr>
        <w:tab/>
        <w:t>Erläuterungen zu Vermehrungsmaterial nach dem UPOV-Übereinkommen (Dokument UPOV/EXN/PPM/1 Draft 4)</w:t>
      </w:r>
    </w:p>
    <w:p w:rsidR="0070116C" w:rsidRPr="00ED16BB" w:rsidRDefault="0070116C" w:rsidP="00907AD7">
      <w:pPr>
        <w:ind w:left="1701" w:right="567" w:hanging="567"/>
        <w:rPr>
          <w:spacing w:val="-2"/>
          <w:lang w:val="de-DE" w:eastAsia="de-DE" w:bidi="de-DE"/>
        </w:rPr>
      </w:pPr>
    </w:p>
    <w:p w:rsidR="0070116C" w:rsidRPr="0070116C" w:rsidRDefault="0070116C" w:rsidP="00907AD7">
      <w:pPr>
        <w:ind w:left="1701" w:right="567" w:hanging="567"/>
        <w:rPr>
          <w:kern w:val="28"/>
          <w:lang w:val="de-DE" w:eastAsia="de-DE" w:bidi="de-DE"/>
        </w:rPr>
      </w:pPr>
      <w:r w:rsidRPr="00ED16BB">
        <w:rPr>
          <w:spacing w:val="-2"/>
          <w:lang w:val="de-DE" w:eastAsia="de-DE" w:bidi="de-DE"/>
        </w:rPr>
        <w:t>c)</w:t>
      </w:r>
      <w:r w:rsidRPr="00ED16BB">
        <w:rPr>
          <w:spacing w:val="-2"/>
          <w:lang w:val="de-DE" w:eastAsia="de-DE" w:bidi="de-DE"/>
        </w:rPr>
        <w:tab/>
        <w:t>Erläuterungen zu Handlungen in bezug auf Erntegut nach der Akte von 1991 des UPOV-Übereinkommens (Überarbeitung) (Dokument CAJ/71/2:  Vorschlag der CAJ-AG die Ausarbeitung einer Überarbeitung von UPOV/EXN/HRV/1 einzustellen)</w:t>
      </w:r>
    </w:p>
    <w:p w:rsidR="0070116C" w:rsidRPr="0070116C" w:rsidRDefault="0070116C" w:rsidP="00907AD7">
      <w:pPr>
        <w:ind w:left="1701" w:right="567" w:hanging="567"/>
        <w:rPr>
          <w:kern w:val="28"/>
          <w:lang w:val="de-DE" w:eastAsia="de-DE" w:bidi="de-DE"/>
        </w:rPr>
      </w:pPr>
    </w:p>
    <w:p w:rsidR="0070116C" w:rsidRPr="0070116C" w:rsidRDefault="0070116C" w:rsidP="00907AD7">
      <w:pPr>
        <w:ind w:left="1701" w:right="567" w:hanging="567"/>
        <w:rPr>
          <w:lang w:val="de-DE" w:eastAsia="de-DE" w:bidi="de-DE"/>
        </w:rPr>
      </w:pPr>
      <w:r w:rsidRPr="0070116C">
        <w:rPr>
          <w:lang w:val="de-DE" w:eastAsia="de-DE" w:bidi="de-DE"/>
        </w:rPr>
        <w:t>d)</w:t>
      </w:r>
      <w:r w:rsidRPr="0070116C">
        <w:rPr>
          <w:lang w:val="de-DE" w:eastAsia="de-DE" w:bidi="de-DE"/>
        </w:rPr>
        <w:tab/>
        <w:t>Erläuterungen zur Aufhebung des Züchterrechts nach dem UPOV-Übereinkommen (Überarbeitung) (Dokument UPOV/EXN/CAN/2 Draft 3)</w:t>
      </w:r>
    </w:p>
    <w:p w:rsidR="0070116C" w:rsidRPr="0070116C" w:rsidRDefault="0070116C" w:rsidP="00907AD7">
      <w:pPr>
        <w:ind w:left="1701" w:right="567" w:hanging="567"/>
        <w:rPr>
          <w:lang w:val="de-DE" w:eastAsia="de-DE" w:bidi="de-DE"/>
        </w:rPr>
      </w:pPr>
    </w:p>
    <w:p w:rsidR="0070116C" w:rsidRPr="0070116C" w:rsidRDefault="0070116C" w:rsidP="00907AD7">
      <w:pPr>
        <w:ind w:left="1701" w:right="567" w:hanging="567"/>
        <w:rPr>
          <w:lang w:val="de-DE" w:eastAsia="de-DE" w:bidi="de-DE"/>
        </w:rPr>
      </w:pPr>
      <w:r w:rsidRPr="0070116C">
        <w:rPr>
          <w:lang w:val="de-DE" w:eastAsia="de-DE" w:bidi="de-DE"/>
        </w:rPr>
        <w:t>e)</w:t>
      </w:r>
      <w:r w:rsidRPr="0070116C">
        <w:rPr>
          <w:lang w:val="de-DE" w:eastAsia="de-DE" w:bidi="de-DE"/>
        </w:rPr>
        <w:tab/>
        <w:t>Erläuterungen zur Nichtigkeit des Züchterrechts nach dem UPOV-Übereinkommen (Überarbeitung) (Dokument UPOV/EXN/NUL/2 Draft 3)</w:t>
      </w:r>
    </w:p>
    <w:p w:rsidR="0070116C" w:rsidRPr="0070116C" w:rsidRDefault="0070116C" w:rsidP="00907AD7">
      <w:pPr>
        <w:ind w:left="1701" w:right="567" w:hanging="567"/>
        <w:rPr>
          <w:lang w:val="de-DE" w:eastAsia="de-DE" w:bidi="de-DE"/>
        </w:rPr>
      </w:pPr>
    </w:p>
    <w:p w:rsidR="0070116C" w:rsidRPr="0070116C" w:rsidRDefault="0070116C" w:rsidP="00907AD7">
      <w:pPr>
        <w:ind w:left="1701" w:right="567" w:hanging="567"/>
        <w:rPr>
          <w:kern w:val="28"/>
          <w:lang w:val="de-DE" w:eastAsia="de-DE" w:bidi="de-DE"/>
        </w:rPr>
      </w:pPr>
      <w:r w:rsidRPr="0070116C">
        <w:rPr>
          <w:lang w:val="de-DE" w:eastAsia="de-DE" w:bidi="de-DE"/>
        </w:rPr>
        <w:t>f)</w:t>
      </w:r>
      <w:r w:rsidRPr="0070116C">
        <w:rPr>
          <w:lang w:val="de-DE" w:eastAsia="de-DE" w:bidi="de-DE"/>
        </w:rPr>
        <w:tab/>
        <w:t>Angelegenheiten betreffend Sortenbeschreibungen (Dokument CAJ/71/2:  Entschließungen der CAJ-AG ist darzulegen)</w:t>
      </w:r>
    </w:p>
    <w:p w:rsidR="0070116C" w:rsidRPr="0070116C" w:rsidRDefault="0070116C" w:rsidP="00907AD7">
      <w:pPr>
        <w:ind w:left="1701" w:right="567" w:hanging="567"/>
        <w:rPr>
          <w:kern w:val="28"/>
          <w:lang w:val="de-DE" w:eastAsia="de-DE" w:bidi="de-DE"/>
        </w:rPr>
      </w:pPr>
    </w:p>
    <w:p w:rsidR="0070116C" w:rsidRPr="0070116C" w:rsidRDefault="0070116C" w:rsidP="00907AD7">
      <w:pPr>
        <w:ind w:left="1701" w:right="567" w:hanging="567"/>
        <w:rPr>
          <w:lang w:val="de-DE" w:eastAsia="de-DE" w:bidi="de-DE"/>
        </w:rPr>
      </w:pPr>
      <w:r w:rsidRPr="0070116C">
        <w:rPr>
          <w:lang w:val="de-DE" w:eastAsia="de-DE" w:bidi="de-DE"/>
        </w:rPr>
        <w:lastRenderedPageBreak/>
        <w:t>g)</w:t>
      </w:r>
      <w:r w:rsidRPr="0070116C">
        <w:rPr>
          <w:lang w:val="de-DE" w:eastAsia="de-DE" w:bidi="de-DE"/>
        </w:rPr>
        <w:tab/>
        <w:t>Erläuterungen zu vorläufigem Schutz nach dem UPOV-Übereinkommen (Überarbeitung) (Dokument UPOV/EXN/PRP/2 Draft 3)</w:t>
      </w:r>
    </w:p>
    <w:p w:rsidR="0070116C" w:rsidRPr="0070116C" w:rsidRDefault="0070116C" w:rsidP="00907AD7">
      <w:pPr>
        <w:ind w:left="1134" w:right="567" w:hanging="567"/>
        <w:rPr>
          <w:kern w:val="28"/>
          <w:lang w:val="de-DE" w:eastAsia="de-DE" w:bidi="de-DE"/>
        </w:rPr>
      </w:pPr>
    </w:p>
    <w:p w:rsidR="0070116C" w:rsidRPr="0070116C" w:rsidRDefault="0070116C" w:rsidP="00907AD7">
      <w:pPr>
        <w:ind w:left="1134" w:right="567" w:hanging="567"/>
        <w:rPr>
          <w:kern w:val="28"/>
          <w:lang w:val="de-DE" w:eastAsia="de-DE" w:bidi="de-DE"/>
        </w:rPr>
      </w:pPr>
      <w:r w:rsidRPr="0070116C">
        <w:rPr>
          <w:lang w:val="de-DE" w:eastAsia="de-DE" w:bidi="de-DE"/>
        </w:rPr>
        <w:t>7.</w:t>
      </w:r>
      <w:r w:rsidRPr="0070116C">
        <w:rPr>
          <w:lang w:val="de-DE" w:eastAsia="de-DE" w:bidi="de-DE"/>
        </w:rPr>
        <w:tab/>
        <w:t>Sortenbezeichnungen (Dokument CAJ/71/3)</w:t>
      </w:r>
    </w:p>
    <w:p w:rsidR="0070116C" w:rsidRPr="0070116C" w:rsidRDefault="0070116C" w:rsidP="00907AD7">
      <w:pPr>
        <w:ind w:left="1701" w:right="567" w:hanging="567"/>
        <w:rPr>
          <w:kern w:val="28"/>
          <w:lang w:val="de-DE" w:eastAsia="de-DE" w:bidi="de-DE"/>
        </w:rPr>
      </w:pPr>
    </w:p>
    <w:p w:rsidR="0070116C" w:rsidRPr="0070116C" w:rsidRDefault="0070116C" w:rsidP="00907AD7">
      <w:pPr>
        <w:ind w:left="1134" w:right="567"/>
        <w:rPr>
          <w:strike/>
          <w:lang w:val="de-DE" w:eastAsia="de-DE" w:bidi="de-DE"/>
        </w:rPr>
      </w:pPr>
      <w:r w:rsidRPr="0070116C">
        <w:rPr>
          <w:lang w:val="de-DE" w:eastAsia="de-DE" w:bidi="de-DE"/>
        </w:rPr>
        <w:t>Erläuterungen zu Sortenbezeichnungen nach dem UPOV-Übereinkommen (Überarbeitung) (der CAJ ist darum zu ersuchen, einen Plan für die Überarbeitung von Dokument UPOV/INF/12/5 zu prüfen)</w:t>
      </w:r>
    </w:p>
    <w:p w:rsidR="0070116C" w:rsidRPr="0070116C" w:rsidRDefault="0070116C" w:rsidP="00907AD7">
      <w:pPr>
        <w:ind w:left="567" w:hanging="567"/>
        <w:rPr>
          <w:lang w:val="de-DE" w:eastAsia="de-DE" w:bidi="de-DE"/>
        </w:rPr>
      </w:pPr>
    </w:p>
    <w:p w:rsidR="0070116C" w:rsidRPr="0070116C" w:rsidRDefault="0070116C" w:rsidP="00907AD7">
      <w:pPr>
        <w:tabs>
          <w:tab w:val="left" w:pos="5387"/>
        </w:tabs>
        <w:ind w:left="4820"/>
        <w:rPr>
          <w:i/>
          <w:lang w:val="de-DE" w:eastAsia="de-DE" w:bidi="de-DE"/>
        </w:rPr>
      </w:pPr>
      <w:r w:rsidRPr="0070116C">
        <w:rPr>
          <w:i/>
          <w:lang w:val="de-DE" w:eastAsia="de-DE" w:bidi="de-DE"/>
        </w:rPr>
        <w:fldChar w:fldCharType="begin"/>
      </w:r>
      <w:r w:rsidRPr="0070116C">
        <w:rPr>
          <w:i/>
          <w:lang w:val="de-DE" w:eastAsia="de-DE" w:bidi="de-DE"/>
        </w:rPr>
        <w:instrText xml:space="preserve"> AUTONUM  </w:instrText>
      </w:r>
      <w:r w:rsidRPr="0070116C">
        <w:rPr>
          <w:i/>
          <w:lang w:val="de-DE" w:eastAsia="de-DE" w:bidi="de-DE"/>
        </w:rPr>
        <w:fldChar w:fldCharType="end"/>
      </w:r>
      <w:r w:rsidRPr="0070116C">
        <w:rPr>
          <w:i/>
          <w:lang w:val="de-DE" w:eastAsia="de-DE" w:bidi="de-DE"/>
        </w:rPr>
        <w:tab/>
        <w:t>Die CAJ-AG nahm diesen Bericht am Schluß ihrer Tagung am 17. Oktober 2014 an.</w:t>
      </w:r>
    </w:p>
    <w:p w:rsidR="0070116C" w:rsidRPr="0070116C" w:rsidRDefault="0070116C" w:rsidP="00907AD7">
      <w:pPr>
        <w:jc w:val="left"/>
        <w:rPr>
          <w:lang w:val="de-DE" w:eastAsia="de-DE" w:bidi="de-DE"/>
        </w:rPr>
      </w:pPr>
    </w:p>
    <w:p w:rsidR="0070116C" w:rsidRPr="0070116C" w:rsidRDefault="0070116C" w:rsidP="00907AD7">
      <w:pPr>
        <w:jc w:val="left"/>
        <w:rPr>
          <w:lang w:val="de-DE" w:eastAsia="de-DE" w:bidi="de-DE"/>
        </w:rPr>
      </w:pPr>
    </w:p>
    <w:p w:rsidR="0070116C" w:rsidRPr="0070116C" w:rsidRDefault="0070116C" w:rsidP="00907AD7">
      <w:pPr>
        <w:jc w:val="left"/>
        <w:rPr>
          <w:lang w:val="de-DE" w:eastAsia="de-DE" w:bidi="de-DE"/>
        </w:rPr>
      </w:pPr>
    </w:p>
    <w:p w:rsidR="0070116C" w:rsidRPr="0070116C" w:rsidRDefault="0070116C" w:rsidP="00907AD7">
      <w:pPr>
        <w:ind w:left="567" w:hanging="567"/>
        <w:jc w:val="right"/>
        <w:rPr>
          <w:lang w:val="de-DE" w:eastAsia="de-DE" w:bidi="de-DE"/>
        </w:rPr>
      </w:pPr>
      <w:r w:rsidRPr="0070116C">
        <w:rPr>
          <w:lang w:val="de-DE" w:eastAsia="de-DE" w:bidi="de-DE"/>
        </w:rPr>
        <w:t>[Anlage folgt]</w:t>
      </w:r>
    </w:p>
    <w:p w:rsidR="00D539E8" w:rsidRDefault="00D539E8" w:rsidP="00907AD7">
      <w:pPr>
        <w:sectPr w:rsidR="00D539E8" w:rsidSect="00906DDC">
          <w:headerReference w:type="default" r:id="rId11"/>
          <w:pgSz w:w="11907" w:h="16840" w:code="9"/>
          <w:pgMar w:top="510" w:right="1134" w:bottom="1134" w:left="1134" w:header="510" w:footer="680" w:gutter="0"/>
          <w:cols w:space="720"/>
          <w:titlePg/>
        </w:sectPr>
      </w:pPr>
    </w:p>
    <w:p w:rsidR="00D539E8" w:rsidRPr="0052102F" w:rsidRDefault="00D539E8" w:rsidP="00907AD7">
      <w:pPr>
        <w:jc w:val="center"/>
        <w:rPr>
          <w:rFonts w:cs="Arial"/>
          <w:lang w:val="fr-FR"/>
        </w:rPr>
      </w:pPr>
      <w:r w:rsidRPr="0052102F">
        <w:rPr>
          <w:rFonts w:cs="Arial"/>
          <w:lang w:val="fr-FR"/>
        </w:rPr>
        <w:lastRenderedPageBreak/>
        <w:t>CAJ-AG/1</w:t>
      </w:r>
      <w:r>
        <w:rPr>
          <w:rFonts w:cs="Arial"/>
          <w:lang w:val="fr-FR"/>
        </w:rPr>
        <w:t>4</w:t>
      </w:r>
      <w:r w:rsidRPr="0052102F">
        <w:rPr>
          <w:rFonts w:cs="Arial"/>
          <w:lang w:val="fr-FR"/>
        </w:rPr>
        <w:t>/</w:t>
      </w:r>
      <w:r>
        <w:rPr>
          <w:rFonts w:cs="Arial"/>
          <w:lang w:val="fr-FR"/>
        </w:rPr>
        <w:t>9</w:t>
      </w:r>
      <w:r w:rsidRPr="0052102F">
        <w:rPr>
          <w:rFonts w:cs="Arial"/>
          <w:lang w:val="fr-FR"/>
        </w:rPr>
        <w:t>/</w:t>
      </w:r>
      <w:r>
        <w:rPr>
          <w:rFonts w:cs="Arial"/>
          <w:lang w:val="fr-FR"/>
        </w:rPr>
        <w:t>6</w:t>
      </w:r>
    </w:p>
    <w:p w:rsidR="00D539E8" w:rsidRPr="0052102F" w:rsidRDefault="00D539E8" w:rsidP="00907AD7">
      <w:pPr>
        <w:jc w:val="center"/>
        <w:rPr>
          <w:rFonts w:cs="Arial"/>
          <w:lang w:val="fr-FR"/>
        </w:rPr>
      </w:pPr>
    </w:p>
    <w:p w:rsidR="00D539E8" w:rsidRPr="0052102F" w:rsidRDefault="00D539E8" w:rsidP="00907AD7">
      <w:pPr>
        <w:jc w:val="center"/>
        <w:rPr>
          <w:rFonts w:cs="Arial"/>
          <w:lang w:val="fr-FR"/>
        </w:rPr>
      </w:pPr>
      <w:r w:rsidRPr="0052102F">
        <w:rPr>
          <w:rFonts w:cs="Arial"/>
          <w:lang w:val="fr-FR"/>
        </w:rPr>
        <w:t>ANNEXE / ANNEX / ANLAGE / ANEXO</w:t>
      </w:r>
    </w:p>
    <w:p w:rsidR="00D539E8" w:rsidRDefault="00D539E8" w:rsidP="00907AD7">
      <w:pPr>
        <w:jc w:val="center"/>
        <w:rPr>
          <w:rFonts w:cs="Arial"/>
          <w:lang w:val="fr-FR"/>
        </w:rPr>
      </w:pPr>
    </w:p>
    <w:p w:rsidR="00D539E8" w:rsidRPr="0052102F" w:rsidRDefault="00D539E8" w:rsidP="00907AD7">
      <w:pPr>
        <w:jc w:val="center"/>
        <w:rPr>
          <w:rFonts w:cs="Arial"/>
          <w:lang w:val="fr-FR"/>
        </w:rPr>
      </w:pPr>
    </w:p>
    <w:p w:rsidR="00D539E8" w:rsidRPr="00722730" w:rsidRDefault="00D539E8" w:rsidP="00907AD7">
      <w:pPr>
        <w:jc w:val="center"/>
        <w:rPr>
          <w:rFonts w:cs="Arial"/>
          <w:lang w:val="fr-FR"/>
        </w:rPr>
      </w:pPr>
      <w:r w:rsidRPr="00722730">
        <w:rPr>
          <w:rFonts w:cs="Arial"/>
          <w:lang w:val="fr-FR"/>
        </w:rPr>
        <w:t>LISTE DES PARTICIPANTS / LIST OF PARTICIPANTS /</w:t>
      </w:r>
    </w:p>
    <w:p w:rsidR="00D539E8" w:rsidRDefault="00D539E8" w:rsidP="00907AD7">
      <w:pPr>
        <w:jc w:val="center"/>
        <w:rPr>
          <w:rFonts w:cs="Arial"/>
          <w:lang w:val="fr-FR"/>
        </w:rPr>
      </w:pPr>
      <w:r w:rsidRPr="00722730">
        <w:rPr>
          <w:rFonts w:cs="Arial"/>
          <w:lang w:val="fr-FR"/>
        </w:rPr>
        <w:t>TEILNEHMERLISTE / LISTA DE PARTICIPANTES</w:t>
      </w:r>
    </w:p>
    <w:p w:rsidR="00D539E8" w:rsidRPr="0052102F" w:rsidRDefault="00D539E8" w:rsidP="00907AD7">
      <w:pPr>
        <w:jc w:val="center"/>
        <w:rPr>
          <w:rFonts w:cs="Arial"/>
          <w:lang w:val="fr-FR"/>
        </w:rPr>
      </w:pPr>
    </w:p>
    <w:p w:rsidR="00D539E8" w:rsidRPr="0052102F" w:rsidRDefault="00D539E8" w:rsidP="00907AD7">
      <w:pPr>
        <w:jc w:val="center"/>
        <w:rPr>
          <w:rFonts w:cs="Arial"/>
          <w:lang w:val="fr-FR"/>
        </w:rPr>
      </w:pPr>
      <w:r w:rsidRPr="0052102F">
        <w:rPr>
          <w:rFonts w:cs="Arial"/>
          <w:lang w:val="fr-FR"/>
        </w:rPr>
        <w:t>(dans l’ordre alphabétique des noms français des membres/</w:t>
      </w:r>
    </w:p>
    <w:p w:rsidR="00D539E8" w:rsidRPr="0052102F" w:rsidRDefault="00D539E8" w:rsidP="00907AD7">
      <w:pPr>
        <w:jc w:val="center"/>
        <w:rPr>
          <w:rFonts w:cs="Arial"/>
        </w:rPr>
      </w:pPr>
      <w:r w:rsidRPr="0052102F">
        <w:rPr>
          <w:rFonts w:cs="Arial"/>
        </w:rPr>
        <w:t>in the alphabetical order of the names in French of the members/</w:t>
      </w:r>
    </w:p>
    <w:p w:rsidR="00D539E8" w:rsidRPr="0052102F" w:rsidRDefault="00D539E8" w:rsidP="00907AD7">
      <w:pPr>
        <w:jc w:val="center"/>
        <w:rPr>
          <w:rFonts w:cs="Arial"/>
          <w:lang w:val="de-CH"/>
        </w:rPr>
      </w:pPr>
      <w:r w:rsidRPr="0052102F">
        <w:rPr>
          <w:rFonts w:cs="Arial"/>
          <w:lang w:val="de-CH"/>
        </w:rPr>
        <w:t>in alphabetischer Reihenfolge der französischen Namen der Mitglieder/</w:t>
      </w:r>
    </w:p>
    <w:p w:rsidR="00D539E8" w:rsidRPr="0052102F" w:rsidRDefault="00D539E8" w:rsidP="00907AD7">
      <w:pPr>
        <w:jc w:val="center"/>
        <w:rPr>
          <w:rFonts w:cs="Arial"/>
          <w:lang w:val="es-ES"/>
        </w:rPr>
      </w:pPr>
      <w:r w:rsidRPr="0052102F">
        <w:rPr>
          <w:rFonts w:cs="Arial"/>
          <w:lang w:val="es-ES"/>
        </w:rPr>
        <w:t>por orden alfabético de los nombres en francés de los miembros)</w:t>
      </w:r>
    </w:p>
    <w:p w:rsidR="00D539E8" w:rsidRPr="0052102F" w:rsidRDefault="00D539E8" w:rsidP="00907AD7">
      <w:pPr>
        <w:jc w:val="center"/>
        <w:rPr>
          <w:rFonts w:cs="Arial"/>
          <w:lang w:val="es-ES"/>
        </w:rPr>
      </w:pPr>
    </w:p>
    <w:p w:rsidR="00D539E8" w:rsidRDefault="00D539E8" w:rsidP="00907AD7">
      <w:pPr>
        <w:jc w:val="center"/>
        <w:rPr>
          <w:rFonts w:cs="Arial"/>
          <w:lang w:val="de-CH"/>
        </w:rPr>
      </w:pPr>
    </w:p>
    <w:p w:rsidR="00D539E8" w:rsidRPr="0052102F" w:rsidRDefault="00D539E8" w:rsidP="00907AD7">
      <w:pPr>
        <w:jc w:val="center"/>
        <w:rPr>
          <w:rFonts w:cs="Arial"/>
          <w:lang w:val="de-CH"/>
        </w:rPr>
      </w:pPr>
    </w:p>
    <w:p w:rsidR="00D539E8" w:rsidRPr="00AC0DE9" w:rsidRDefault="00D539E8" w:rsidP="00907AD7">
      <w:pPr>
        <w:jc w:val="center"/>
        <w:rPr>
          <w:rFonts w:cs="Arial"/>
          <w:u w:val="single"/>
          <w:lang w:val="de-CH"/>
        </w:rPr>
      </w:pPr>
      <w:r w:rsidRPr="00AC0DE9">
        <w:rPr>
          <w:rFonts w:cs="Arial"/>
          <w:lang w:val="de-CH"/>
        </w:rPr>
        <w:t>I.</w:t>
      </w:r>
      <w:r w:rsidRPr="00AC0DE9">
        <w:rPr>
          <w:rFonts w:cs="Arial"/>
          <w:lang w:val="de-CH"/>
        </w:rPr>
        <w:tab/>
      </w:r>
      <w:r w:rsidRPr="00AC0DE9">
        <w:rPr>
          <w:rFonts w:cs="Arial"/>
          <w:u w:val="single"/>
          <w:lang w:val="de-CH"/>
        </w:rPr>
        <w:t>MEMBRES / MEMBERS / VERBANDSMITGLIEDER / MIEMBROS</w:t>
      </w:r>
    </w:p>
    <w:p w:rsidR="00D539E8" w:rsidRPr="00E73C16" w:rsidRDefault="00D539E8" w:rsidP="00907AD7">
      <w:pPr>
        <w:jc w:val="center"/>
        <w:rPr>
          <w:rFonts w:cs="Arial"/>
          <w:lang w:val="de-CH"/>
        </w:rPr>
      </w:pPr>
    </w:p>
    <w:p w:rsidR="00D539E8" w:rsidRPr="00E73C16" w:rsidRDefault="00D539E8" w:rsidP="00907AD7">
      <w:pPr>
        <w:tabs>
          <w:tab w:val="left" w:pos="90"/>
        </w:tabs>
        <w:autoSpaceDE w:val="0"/>
        <w:autoSpaceDN w:val="0"/>
        <w:rPr>
          <w:rFonts w:cs="Arial"/>
          <w:color w:val="000000"/>
          <w:u w:val="single"/>
          <w:lang w:val="de-CH"/>
        </w:rPr>
      </w:pPr>
      <w:r w:rsidRPr="00E73C16">
        <w:rPr>
          <w:rFonts w:cs="Arial"/>
          <w:color w:val="000000"/>
          <w:u w:val="single"/>
          <w:lang w:val="de-CH"/>
        </w:rPr>
        <w:t>AFRIQUE DU SUD / SOUTH AFRICA / SÜDAFRIKA / SUDÁFRICA</w:t>
      </w:r>
    </w:p>
    <w:p w:rsidR="00D539E8" w:rsidRPr="00E73C16" w:rsidRDefault="00D539E8" w:rsidP="00907AD7">
      <w:pPr>
        <w:tabs>
          <w:tab w:val="left" w:pos="90"/>
        </w:tabs>
        <w:autoSpaceDE w:val="0"/>
        <w:autoSpaceDN w:val="0"/>
        <w:rPr>
          <w:rFonts w:cs="Arial"/>
          <w:color w:val="000000"/>
          <w:u w:val="single"/>
          <w:lang w:val="de-CH"/>
        </w:rPr>
      </w:pPr>
    </w:p>
    <w:p w:rsidR="00D539E8" w:rsidRPr="00E73C16" w:rsidRDefault="00D539E8" w:rsidP="00907AD7">
      <w:pPr>
        <w:tabs>
          <w:tab w:val="left" w:pos="90"/>
        </w:tabs>
        <w:autoSpaceDE w:val="0"/>
        <w:autoSpaceDN w:val="0"/>
        <w:rPr>
          <w:rFonts w:cs="Arial"/>
          <w:color w:val="000000"/>
          <w:lang w:val="de-CH"/>
        </w:rPr>
      </w:pPr>
      <w:r w:rsidRPr="00E73C16">
        <w:rPr>
          <w:rFonts w:cs="Arial"/>
          <w:color w:val="000000"/>
          <w:lang w:val="de-CH"/>
        </w:rPr>
        <w:t xml:space="preserve">Noluthando NETNOU-NKOANA (Mrs.), Director of Genetic Resources, Directorate: Genetic </w:t>
      </w:r>
    </w:p>
    <w:p w:rsidR="00D539E8" w:rsidRDefault="00D539E8" w:rsidP="00907AD7">
      <w:pPr>
        <w:tabs>
          <w:tab w:val="left" w:pos="90"/>
        </w:tabs>
        <w:autoSpaceDE w:val="0"/>
        <w:autoSpaceDN w:val="0"/>
        <w:rPr>
          <w:rFonts w:cs="Arial"/>
          <w:color w:val="000000"/>
        </w:rPr>
      </w:pPr>
      <w:r w:rsidRPr="00AC0DE9">
        <w:rPr>
          <w:rFonts w:cs="Arial"/>
          <w:color w:val="000000"/>
        </w:rPr>
        <w:t xml:space="preserve">Resources, Department of Agriculture, Forestry and Fisheries, Pretoria (e-mail: noluthandon@daff.gov.za)  </w:t>
      </w:r>
    </w:p>
    <w:p w:rsidR="00D539E8" w:rsidRDefault="00D539E8" w:rsidP="00907AD7">
      <w:pPr>
        <w:tabs>
          <w:tab w:val="left" w:pos="90"/>
        </w:tabs>
        <w:autoSpaceDE w:val="0"/>
        <w:autoSpaceDN w:val="0"/>
        <w:rPr>
          <w:rFonts w:cs="Arial"/>
          <w:color w:val="000000"/>
        </w:rPr>
      </w:pPr>
    </w:p>
    <w:p w:rsidR="00D539E8" w:rsidRPr="00171A61" w:rsidRDefault="00171A61" w:rsidP="00907AD7">
      <w:pPr>
        <w:tabs>
          <w:tab w:val="left" w:pos="90"/>
        </w:tabs>
        <w:autoSpaceDE w:val="0"/>
        <w:autoSpaceDN w:val="0"/>
        <w:rPr>
          <w:rFonts w:cs="Arial"/>
          <w:color w:val="000000"/>
        </w:rPr>
      </w:pPr>
      <w:r w:rsidRPr="00171A61">
        <w:rPr>
          <w:rFonts w:cs="Arial"/>
          <w:color w:val="000000"/>
        </w:rPr>
        <w:t xml:space="preserve">Lentheng TSWAI, Minister, </w:t>
      </w:r>
      <w:r w:rsidR="00D539E8" w:rsidRPr="00171A61">
        <w:rPr>
          <w:rFonts w:cs="Arial"/>
          <w:color w:val="000000"/>
        </w:rPr>
        <w:t>Permanent Mission of South Africa, Geneva, Switzerland</w:t>
      </w:r>
    </w:p>
    <w:p w:rsidR="00171A61" w:rsidRDefault="00171A61" w:rsidP="00907AD7">
      <w:pPr>
        <w:tabs>
          <w:tab w:val="left" w:pos="90"/>
        </w:tabs>
        <w:autoSpaceDE w:val="0"/>
        <w:autoSpaceDN w:val="0"/>
        <w:rPr>
          <w:rFonts w:cs="Arial"/>
          <w:color w:val="000000"/>
        </w:rPr>
      </w:pPr>
      <w:r w:rsidRPr="00171A61">
        <w:rPr>
          <w:rFonts w:cs="Arial"/>
          <w:color w:val="000000"/>
        </w:rPr>
        <w:t>(e-mail: tsweni.agriculture@gmail.com)</w:t>
      </w:r>
    </w:p>
    <w:p w:rsidR="00171A61" w:rsidRDefault="00171A61"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ALLEMAGNE / GERMANY / DEUTSCHLAND / ALEMANIA</w:t>
      </w:r>
    </w:p>
    <w:p w:rsidR="00D539E8" w:rsidRPr="00AC0DE9" w:rsidRDefault="00D539E8" w:rsidP="00907AD7">
      <w:pPr>
        <w:tabs>
          <w:tab w:val="left" w:pos="90"/>
        </w:tabs>
        <w:autoSpaceDE w:val="0"/>
        <w:autoSpaceDN w:val="0"/>
        <w:rPr>
          <w:rFonts w:cs="Arial"/>
          <w:color w:val="000000"/>
          <w:u w:val="single"/>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Barbara SOHNEMANN (Frau), Justiziarin, Leiterin, Rechtsangelegenheiten, Sortenverwaltung, </w:t>
      </w: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Gebühren, Bundessortenamt, Hannover (e-mail: barbara.sohnemann@bundessortenamt.de) </w:t>
      </w: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 </w:t>
      </w:r>
    </w:p>
    <w:p w:rsidR="00D539E8" w:rsidRPr="00E73C16" w:rsidRDefault="00D539E8" w:rsidP="00907AD7">
      <w:pPr>
        <w:tabs>
          <w:tab w:val="left" w:pos="90"/>
        </w:tabs>
        <w:autoSpaceDE w:val="0"/>
        <w:autoSpaceDN w:val="0"/>
        <w:rPr>
          <w:rFonts w:cs="Arial"/>
          <w:color w:val="000000"/>
          <w:u w:val="single"/>
          <w:lang w:val="es-ES"/>
        </w:rPr>
      </w:pPr>
      <w:r w:rsidRPr="00E73C16">
        <w:rPr>
          <w:rFonts w:cs="Arial"/>
          <w:color w:val="000000"/>
          <w:u w:val="single"/>
          <w:lang w:val="es-ES"/>
        </w:rPr>
        <w:t>ARGENTINE / ARGENTINA / ARGENTINIEN / ARGENTINA</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tabs>
          <w:tab w:val="left" w:pos="90"/>
        </w:tabs>
        <w:autoSpaceDE w:val="0"/>
        <w:autoSpaceDN w:val="0"/>
        <w:rPr>
          <w:rFonts w:cs="Arial"/>
          <w:color w:val="000000"/>
          <w:lang w:val="es-ES"/>
        </w:rPr>
      </w:pPr>
      <w:r w:rsidRPr="00E73C16">
        <w:rPr>
          <w:rFonts w:cs="Arial"/>
          <w:color w:val="000000"/>
          <w:lang w:val="es-ES"/>
        </w:rPr>
        <w:t xml:space="preserve">Raimundo LAVIGNOLLE, Presidente del directorio, Instituto Nacional de Semillas (INASE), Buenos Aires </w:t>
      </w:r>
    </w:p>
    <w:p w:rsidR="00D539E8" w:rsidRPr="00E73C16" w:rsidRDefault="00D539E8" w:rsidP="00907AD7">
      <w:pPr>
        <w:tabs>
          <w:tab w:val="left" w:pos="90"/>
        </w:tabs>
        <w:autoSpaceDE w:val="0"/>
        <w:autoSpaceDN w:val="0"/>
        <w:rPr>
          <w:rFonts w:cs="Arial"/>
          <w:color w:val="000000"/>
          <w:lang w:val="es-ES"/>
        </w:rPr>
      </w:pPr>
      <w:r w:rsidRPr="00E73C16">
        <w:rPr>
          <w:rFonts w:cs="Arial"/>
          <w:color w:val="000000"/>
          <w:lang w:val="es-ES"/>
        </w:rPr>
        <w:t xml:space="preserve">(e-mail: rlavignolle@inase.gov.ar)  </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tabs>
          <w:tab w:val="left" w:pos="90"/>
        </w:tabs>
        <w:autoSpaceDE w:val="0"/>
        <w:autoSpaceDN w:val="0"/>
        <w:rPr>
          <w:rFonts w:cs="Arial"/>
          <w:color w:val="000000"/>
          <w:lang w:val="es-ES"/>
        </w:rPr>
      </w:pPr>
      <w:r w:rsidRPr="00E73C16">
        <w:rPr>
          <w:rFonts w:cs="Arial"/>
          <w:color w:val="000000"/>
          <w:lang w:val="es-ES"/>
        </w:rPr>
        <w:t xml:space="preserve">María Laura VILLAMAYOR (Ms.), Abogada, </w:t>
      </w:r>
      <w:r>
        <w:rPr>
          <w:rFonts w:cs="Arial"/>
          <w:color w:val="000000"/>
          <w:lang w:val="es-ES"/>
        </w:rPr>
        <w:t>Unidad Presidencia</w:t>
      </w:r>
      <w:r w:rsidRPr="00E73C16">
        <w:rPr>
          <w:rFonts w:cs="Arial"/>
          <w:color w:val="000000"/>
          <w:lang w:val="es-ES"/>
        </w:rPr>
        <w:t xml:space="preserve">, Instituto Nacional de Semillas (INASE), Buenos Aires (e-mail: mlvillamayor@inase.gov.ar)  </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t xml:space="preserve">BOLIVIE (ÉTAT PLURINATIONAL DE) / BOLIVIA (PLURINATIONAL STATE OF) / </w:t>
      </w: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t>BOLIVIEN (PLURINATIONALER STAAT) / BOLIVIA (ESTADO PLURINACIONAL DE)</w:t>
      </w:r>
    </w:p>
    <w:p w:rsidR="00D539E8" w:rsidRPr="00E73C16" w:rsidRDefault="00D539E8" w:rsidP="00907AD7">
      <w:pPr>
        <w:keepNext/>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Sergio Rider ANDRADE CÁCERES, Director Nacional de Semillas del INIAF, Instituto Nacional de Innovación Agropecuaria y Forestal (INIAF), La Paz (e-mail: rideran@yahoo.es)  </w:t>
      </w:r>
    </w:p>
    <w:p w:rsidR="00D539E8" w:rsidRPr="00E73C16" w:rsidRDefault="00D539E8" w:rsidP="00907AD7">
      <w:pPr>
        <w:keepNext/>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Freddy CABALLERO LEDEZMA, Ingeniero Agrónomo, Instituto Nacional de Innovación Agropecuaria y Forestal (INIAF), La Paz (e-mail: calefred@yahoo.es)  </w:t>
      </w:r>
    </w:p>
    <w:p w:rsidR="00D539E8" w:rsidRPr="00E73C16" w:rsidRDefault="00D539E8" w:rsidP="00907AD7">
      <w:pPr>
        <w:keepNext/>
        <w:tabs>
          <w:tab w:val="left" w:pos="90"/>
        </w:tabs>
        <w:autoSpaceDE w:val="0"/>
        <w:autoSpaceDN w:val="0"/>
        <w:rPr>
          <w:rFonts w:cs="Arial"/>
          <w:color w:val="000000"/>
          <w:lang w:val="es-ES"/>
        </w:rPr>
      </w:pPr>
    </w:p>
    <w:p w:rsidR="00D539E8" w:rsidRPr="00E73C16" w:rsidRDefault="00D539E8" w:rsidP="00907AD7">
      <w:pPr>
        <w:tabs>
          <w:tab w:val="left" w:pos="90"/>
        </w:tabs>
        <w:autoSpaceDE w:val="0"/>
        <w:autoSpaceDN w:val="0"/>
        <w:adjustRightInd w:val="0"/>
        <w:rPr>
          <w:rFonts w:cs="Arial"/>
          <w:color w:val="000000"/>
          <w:lang w:val="es-ES"/>
        </w:rPr>
      </w:pPr>
      <w:r w:rsidRPr="00E73C16">
        <w:rPr>
          <w:rFonts w:cs="Arial"/>
          <w:color w:val="000000"/>
          <w:lang w:val="es-ES"/>
        </w:rPr>
        <w:t>Martin Nelson CAZON ORTEGA, Ingeniero Agrónomo, Instituto Nacional de Innovación Agropecuaria y Forestal (INIAF)</w:t>
      </w:r>
    </w:p>
    <w:p w:rsidR="00D539E8" w:rsidRPr="00E73C16" w:rsidRDefault="00D539E8" w:rsidP="00907AD7">
      <w:pPr>
        <w:keepNext/>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Luis Fernando ROSALES LOZADA, Primer Secretario, Misión Permanente de Bolivia ante la Oficina de las Naciones Unidas en Ginebra, Ginebra (e-mail: fernando.rosales@bluewin.ch) </w:t>
      </w:r>
    </w:p>
    <w:p w:rsidR="00D539E8" w:rsidRPr="00E73C16" w:rsidRDefault="00D539E8" w:rsidP="00907AD7">
      <w:pPr>
        <w:keepNext/>
        <w:tabs>
          <w:tab w:val="left" w:pos="90"/>
        </w:tabs>
        <w:autoSpaceDE w:val="0"/>
        <w:autoSpaceDN w:val="0"/>
        <w:rPr>
          <w:rFonts w:cs="Arial"/>
          <w:color w:val="000000"/>
          <w:lang w:val="es-ES"/>
        </w:rPr>
      </w:pPr>
    </w:p>
    <w:p w:rsidR="00D539E8" w:rsidRPr="00AC0DE9" w:rsidRDefault="00D539E8" w:rsidP="00907AD7">
      <w:pPr>
        <w:keepNext/>
        <w:tabs>
          <w:tab w:val="left" w:pos="90"/>
        </w:tabs>
        <w:autoSpaceDE w:val="0"/>
        <w:autoSpaceDN w:val="0"/>
        <w:rPr>
          <w:rFonts w:cs="Arial"/>
          <w:color w:val="000000"/>
          <w:u w:val="single"/>
        </w:rPr>
      </w:pPr>
      <w:r w:rsidRPr="00AC0DE9">
        <w:rPr>
          <w:rFonts w:cs="Arial"/>
          <w:color w:val="000000"/>
          <w:u w:val="single"/>
        </w:rPr>
        <w:t>BRÉSIL / BRAZIL / BRASILIEN / BRASIL</w:t>
      </w:r>
    </w:p>
    <w:p w:rsidR="00D539E8"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Fabrício SANTANA SANTOS, Coordinator, National Plant Variety Protection Office (SNPC), Ministry of Agriculture, Livestock and Food Supply, Brasilia (e-mail: fabricio.santos@agricultura.gov.br)  </w:t>
      </w:r>
    </w:p>
    <w:p w:rsidR="00D539E8" w:rsidRDefault="00D539E8" w:rsidP="00907AD7">
      <w:pPr>
        <w:tabs>
          <w:tab w:val="left" w:pos="90"/>
        </w:tabs>
        <w:autoSpaceDE w:val="0"/>
        <w:autoSpaceDN w:val="0"/>
        <w:rPr>
          <w:rFonts w:cs="Arial"/>
          <w:color w:val="000000"/>
        </w:rPr>
      </w:pPr>
    </w:p>
    <w:p w:rsidR="00D539E8" w:rsidRPr="00030AE8" w:rsidRDefault="00D539E8" w:rsidP="00907AD7">
      <w:pPr>
        <w:tabs>
          <w:tab w:val="left" w:pos="90"/>
        </w:tabs>
        <w:autoSpaceDE w:val="0"/>
        <w:autoSpaceDN w:val="0"/>
        <w:adjustRightInd w:val="0"/>
        <w:rPr>
          <w:rFonts w:cs="Arial"/>
          <w:color w:val="000000"/>
        </w:rPr>
      </w:pPr>
      <w:r w:rsidRPr="00030AE8">
        <w:rPr>
          <w:rFonts w:cs="Arial"/>
          <w:color w:val="000000"/>
        </w:rPr>
        <w:t>Cleiton SCHENKEL, First Secretary, Permanent Mission of Brazil to the World Trade Organization (WTO), Cointrin, Switzerland (e-mail: cleiton.schenkel@itamaraty.gov.br)</w:t>
      </w:r>
    </w:p>
    <w:p w:rsidR="00D539E8" w:rsidRPr="00AC0DE9" w:rsidRDefault="00D539E8" w:rsidP="00907AD7">
      <w:pPr>
        <w:tabs>
          <w:tab w:val="left" w:pos="90"/>
        </w:tabs>
        <w:autoSpaceDE w:val="0"/>
        <w:autoSpaceDN w:val="0"/>
        <w:rPr>
          <w:rFonts w:cs="Arial"/>
          <w:color w:val="000000"/>
        </w:rPr>
      </w:pPr>
    </w:p>
    <w:p w:rsidR="00D539E8" w:rsidRPr="00AC0DE9" w:rsidRDefault="00D539E8" w:rsidP="00907AD7">
      <w:pPr>
        <w:keepNext/>
        <w:keepLines/>
        <w:tabs>
          <w:tab w:val="left" w:pos="90"/>
        </w:tabs>
        <w:autoSpaceDE w:val="0"/>
        <w:autoSpaceDN w:val="0"/>
        <w:rPr>
          <w:rFonts w:cs="Arial"/>
          <w:color w:val="000000"/>
          <w:u w:val="single"/>
        </w:rPr>
      </w:pPr>
      <w:r w:rsidRPr="00AC0DE9">
        <w:rPr>
          <w:rFonts w:cs="Arial"/>
          <w:color w:val="000000"/>
          <w:u w:val="single"/>
        </w:rPr>
        <w:t>CANADA / KANADA / CANADÁ</w:t>
      </w:r>
    </w:p>
    <w:p w:rsidR="00D539E8" w:rsidRDefault="00D539E8" w:rsidP="00907AD7">
      <w:pPr>
        <w:keepNext/>
        <w:keepLines/>
        <w:tabs>
          <w:tab w:val="left" w:pos="90"/>
        </w:tabs>
        <w:autoSpaceDE w:val="0"/>
        <w:autoSpaceDN w:val="0"/>
        <w:rPr>
          <w:rFonts w:cs="Arial"/>
          <w:color w:val="000000"/>
        </w:rPr>
      </w:pPr>
    </w:p>
    <w:p w:rsidR="00D539E8" w:rsidRPr="00AC0DE9" w:rsidRDefault="00D539E8" w:rsidP="00907AD7">
      <w:pPr>
        <w:keepLines/>
        <w:tabs>
          <w:tab w:val="left" w:pos="90"/>
        </w:tabs>
        <w:autoSpaceDE w:val="0"/>
        <w:autoSpaceDN w:val="0"/>
        <w:spacing w:after="240"/>
        <w:rPr>
          <w:rFonts w:cs="Arial"/>
          <w:color w:val="000000"/>
        </w:rPr>
      </w:pPr>
      <w:r w:rsidRPr="00AC0DE9">
        <w:rPr>
          <w:rFonts w:cs="Arial"/>
          <w:color w:val="000000"/>
        </w:rPr>
        <w:t xml:space="preserve">Anthony PARKER, Commissioner, Plant Breeders' Rights Office, Canadian Food Inspection Agency (CFIA), Ottawa (e-mail: anthony.parker@inspection.gc.ca)  </w:t>
      </w: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lastRenderedPageBreak/>
        <w:t>CHILI / CHILE / CHILE / CHILE</w:t>
      </w:r>
    </w:p>
    <w:p w:rsidR="00D539E8" w:rsidRPr="00E73C16" w:rsidRDefault="00D539E8" w:rsidP="00907AD7">
      <w:pPr>
        <w:keepNext/>
        <w:tabs>
          <w:tab w:val="left" w:pos="90"/>
        </w:tabs>
        <w:autoSpaceDE w:val="0"/>
        <w:autoSpaceDN w:val="0"/>
        <w:rPr>
          <w:rFonts w:cs="Arial"/>
          <w:color w:val="000000"/>
          <w:u w:val="single"/>
          <w:lang w:val="es-ES"/>
        </w:rPr>
      </w:pP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Hugo MARTÍNEZ, Asesor Ministro de Agricultura, Santiago de Chile (e-mail: hugo.martinez@minagri.gob.cl)</w:t>
      </w:r>
    </w:p>
    <w:p w:rsidR="00D539E8" w:rsidRPr="00E73C16" w:rsidRDefault="00D539E8" w:rsidP="00907AD7">
      <w:pPr>
        <w:keepNext/>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Manuel TORO UGALDE, Jefe Subdepartamento, Registro de Variedades Protegidas, División Semillas, </w:t>
      </w: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Servicio Agrícola y Ganadero (SAG), Santiago de Chile (e-mail: manuel.toro@sag.gob.cl) </w:t>
      </w: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 </w:t>
      </w:r>
    </w:p>
    <w:p w:rsidR="00D539E8" w:rsidRPr="00AC0DE9" w:rsidRDefault="00D539E8" w:rsidP="00907AD7">
      <w:pPr>
        <w:tabs>
          <w:tab w:val="left" w:pos="90"/>
        </w:tabs>
        <w:autoSpaceDE w:val="0"/>
        <w:autoSpaceDN w:val="0"/>
        <w:rPr>
          <w:rFonts w:cs="Arial"/>
          <w:color w:val="000000"/>
          <w:u w:val="single"/>
        </w:rPr>
      </w:pPr>
      <w:r w:rsidRPr="00AC0DE9">
        <w:rPr>
          <w:rFonts w:cs="Arial"/>
          <w:color w:val="000000"/>
          <w:u w:val="single"/>
        </w:rPr>
        <w:t>CHINE / CHINA / CHINA / CHINA</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LV Bo, Division Director, Division of Variety Management, Bureau of Seed Management, Ministry of Agriculture, Beijing (e-mail: lvbo@agri.gov.cn)  </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HUANG Faji, Deputy Division Director, Office for the Protection of New Plant Varieties, State Forestry Administration, Beijing (e-mail: huangfaji@cnpvp.net)  </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Xue JIANG, Project Administrator, Beijing (e-mail: jiangxue@sipo.gov.cn)  </w:t>
      </w:r>
    </w:p>
    <w:p w:rsidR="00D539E8" w:rsidRDefault="00D539E8" w:rsidP="00907AD7">
      <w:pPr>
        <w:tabs>
          <w:tab w:val="left" w:pos="90"/>
        </w:tabs>
        <w:autoSpaceDE w:val="0"/>
        <w:autoSpaceDN w:val="0"/>
        <w:rPr>
          <w:rFonts w:cs="Arial"/>
          <w:color w:val="000000"/>
          <w:u w:val="single"/>
        </w:rPr>
      </w:pPr>
    </w:p>
    <w:p w:rsidR="00D539E8" w:rsidRPr="00E73C16" w:rsidRDefault="00D539E8" w:rsidP="00907AD7">
      <w:pPr>
        <w:tabs>
          <w:tab w:val="left" w:pos="90"/>
        </w:tabs>
        <w:autoSpaceDE w:val="0"/>
        <w:autoSpaceDN w:val="0"/>
        <w:rPr>
          <w:rFonts w:cs="Arial"/>
          <w:color w:val="000000"/>
          <w:u w:val="single"/>
          <w:lang w:val="es-ES"/>
        </w:rPr>
      </w:pPr>
      <w:r w:rsidRPr="00E73C16">
        <w:rPr>
          <w:rFonts w:cs="Arial"/>
          <w:color w:val="000000"/>
          <w:u w:val="single"/>
          <w:lang w:val="es-ES"/>
        </w:rPr>
        <w:t>COLOMBIE / COLOMBIA / KOLUMBIEN / COLOMBIA</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tabs>
          <w:tab w:val="left" w:pos="90"/>
        </w:tabs>
        <w:autoSpaceDE w:val="0"/>
        <w:autoSpaceDN w:val="0"/>
        <w:rPr>
          <w:rFonts w:cs="Arial"/>
          <w:color w:val="000000"/>
          <w:lang w:val="es-ES"/>
        </w:rPr>
      </w:pPr>
      <w:r w:rsidRPr="00E73C16">
        <w:rPr>
          <w:rFonts w:cs="Arial"/>
          <w:color w:val="000000"/>
          <w:lang w:val="es-ES"/>
        </w:rPr>
        <w:t xml:space="preserve">Ana Luisa DÍAZ JIMÉNEZ (Sra.), Directora Técnica de Semillas, Dirección Técnica de Semillas, Instituto Colombiano Agropecuario (ICA), Bogotá (e-mail: ana.diaz@ica.gov.co)  </w:t>
      </w:r>
    </w:p>
    <w:p w:rsidR="00D539E8" w:rsidRPr="00E73C16" w:rsidRDefault="00D539E8" w:rsidP="00907AD7">
      <w:pPr>
        <w:tabs>
          <w:tab w:val="left" w:pos="90"/>
        </w:tabs>
        <w:autoSpaceDE w:val="0"/>
        <w:autoSpaceDN w:val="0"/>
        <w:rPr>
          <w:rFonts w:cs="Arial"/>
          <w:color w:val="000000"/>
          <w:lang w:val="es-ES"/>
        </w:rPr>
      </w:pPr>
    </w:p>
    <w:p w:rsidR="00D539E8" w:rsidRPr="00A643CA" w:rsidRDefault="00D539E8" w:rsidP="00907AD7">
      <w:pPr>
        <w:tabs>
          <w:tab w:val="left" w:pos="90"/>
        </w:tabs>
        <w:autoSpaceDE w:val="0"/>
        <w:autoSpaceDN w:val="0"/>
        <w:rPr>
          <w:rFonts w:cs="Arial"/>
          <w:color w:val="000000"/>
          <w:u w:val="single"/>
        </w:rPr>
      </w:pPr>
      <w:r w:rsidRPr="00A643CA">
        <w:rPr>
          <w:rFonts w:cs="Arial"/>
          <w:color w:val="000000"/>
          <w:u w:val="single"/>
        </w:rPr>
        <w:t>CROATIE / CROATIA / KROATIEN / CROACIA</w:t>
      </w:r>
    </w:p>
    <w:p w:rsidR="00D539E8" w:rsidRPr="00A643CA"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643CA">
        <w:rPr>
          <w:rFonts w:cs="Arial"/>
          <w:color w:val="000000"/>
        </w:rPr>
        <w:t>Ivana BULAJIĆ (Ms.), Head of Plant Health Service, Directorate for Food Quality and Fitosanitary Policy, Ministry of Agriculture, Zagreb (e-mail: ivana.bulajic@mps.hr)</w:t>
      </w:r>
      <w:r w:rsidRPr="00AC0DE9">
        <w:rPr>
          <w:rFonts w:cs="Arial"/>
          <w:color w:val="000000"/>
        </w:rPr>
        <w:t xml:space="preserve">  </w:t>
      </w:r>
    </w:p>
    <w:p w:rsidR="00D539E8" w:rsidRPr="00AC0DE9"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u w:val="single"/>
        </w:rPr>
      </w:pPr>
      <w:r w:rsidRPr="00AC0DE9">
        <w:rPr>
          <w:rFonts w:cs="Arial"/>
          <w:color w:val="000000"/>
          <w:u w:val="single"/>
        </w:rPr>
        <w:t>DANEMARK / DENMARK / DÄNEMARK / DINAMARCA</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Gerhard DENEKEN, Department of Variety Testing, The Danish AgriFish Agency (NaturErhvervestyrelsen), Skaelskoer (e-mail: gde@naturerhverv.dk)  </w:t>
      </w:r>
    </w:p>
    <w:p w:rsidR="00D539E8" w:rsidRPr="00AC0DE9" w:rsidRDefault="00D539E8" w:rsidP="00907AD7">
      <w:pPr>
        <w:tabs>
          <w:tab w:val="left" w:pos="90"/>
        </w:tabs>
        <w:autoSpaceDE w:val="0"/>
        <w:autoSpaceDN w:val="0"/>
        <w:rPr>
          <w:rFonts w:cs="Arial"/>
          <w:color w:val="000000"/>
        </w:rPr>
      </w:pPr>
    </w:p>
    <w:p w:rsidR="00D539E8" w:rsidRPr="00E73C16" w:rsidRDefault="00D539E8" w:rsidP="00907AD7">
      <w:pPr>
        <w:tabs>
          <w:tab w:val="left" w:pos="90"/>
        </w:tabs>
        <w:autoSpaceDE w:val="0"/>
        <w:autoSpaceDN w:val="0"/>
        <w:rPr>
          <w:rFonts w:cs="Arial"/>
          <w:color w:val="000000"/>
          <w:u w:val="single"/>
          <w:lang w:val="es-ES"/>
        </w:rPr>
      </w:pPr>
      <w:r w:rsidRPr="00E73C16">
        <w:rPr>
          <w:rFonts w:cs="Arial"/>
          <w:color w:val="000000"/>
          <w:u w:val="single"/>
          <w:lang w:val="es-ES"/>
        </w:rPr>
        <w:t>ÉQUATEUR / ECUADOR / ECUADOR / ECUADOR</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tabs>
          <w:tab w:val="left" w:pos="90"/>
        </w:tabs>
        <w:autoSpaceDE w:val="0"/>
        <w:autoSpaceDN w:val="0"/>
        <w:rPr>
          <w:rFonts w:cs="Arial"/>
          <w:color w:val="000000"/>
          <w:lang w:val="es-ES"/>
        </w:rPr>
      </w:pPr>
      <w:r w:rsidRPr="00E73C16">
        <w:rPr>
          <w:rFonts w:cs="Arial"/>
          <w:color w:val="000000"/>
          <w:lang w:val="es-ES"/>
        </w:rPr>
        <w:t xml:space="preserve">Lilián CARRERA GONZÁLEZ (Sra.), Directora Nacional de Obtenciones Vegetales, Instituto Ecuatoriano de la Propiedad Intelectual (IEPI), Quito (e-mail: lmcarrera@iepi.gob.ec)  </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t>ESPAGNE / SPAIN / SPANIEN / ESPAÑA</w:t>
      </w:r>
    </w:p>
    <w:p w:rsidR="00D539E8" w:rsidRPr="00E73C16" w:rsidRDefault="00D539E8" w:rsidP="00907AD7">
      <w:pPr>
        <w:keepNext/>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Luis SALAICES, Jefe del Área del Registro de Variedades, Subdirección general de Medios de </w:t>
      </w: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Producción Agrícolas y Oficina Española de Variedades Vegetales (MPA y OEVV), Ministerio de </w:t>
      </w:r>
    </w:p>
    <w:p w:rsidR="00D539E8" w:rsidRPr="00E73C16" w:rsidRDefault="00D539E8" w:rsidP="00907AD7">
      <w:pPr>
        <w:keepNext/>
        <w:tabs>
          <w:tab w:val="left" w:pos="90"/>
        </w:tabs>
        <w:autoSpaceDE w:val="0"/>
        <w:autoSpaceDN w:val="0"/>
        <w:rPr>
          <w:rFonts w:cs="Arial"/>
          <w:color w:val="000000"/>
          <w:lang w:val="es-ES"/>
        </w:rPr>
      </w:pPr>
      <w:r w:rsidRPr="00E73C16">
        <w:rPr>
          <w:rFonts w:cs="Arial"/>
          <w:color w:val="000000"/>
          <w:lang w:val="es-ES"/>
        </w:rPr>
        <w:t xml:space="preserve">Agricultura, Alimentación y Medio Ambiente (MAGRAMA), Madrid (e-mail: luis.salaices@magrama.es)  </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tabs>
          <w:tab w:val="left" w:pos="90"/>
        </w:tabs>
        <w:autoSpaceDE w:val="0"/>
        <w:autoSpaceDN w:val="0"/>
        <w:rPr>
          <w:rFonts w:cs="Arial"/>
          <w:color w:val="000000"/>
          <w:lang w:val="es-ES"/>
        </w:rPr>
      </w:pPr>
      <w:r w:rsidRPr="00E73C16">
        <w:rPr>
          <w:rFonts w:cs="Arial"/>
          <w:color w:val="000000"/>
          <w:lang w:val="es-ES"/>
        </w:rPr>
        <w:t xml:space="preserve">José Antonio SOBRINO, Jefe del servicio de registro de variedades, Oficina Española de Variedades Vegetales, Ministerio de Agricultura, Alimentación y Medio Ambiente, Madrid (e-mail: jasobrino@magrama.es)  </w:t>
      </w:r>
    </w:p>
    <w:p w:rsidR="00D539E8" w:rsidRPr="00E73C16" w:rsidRDefault="00D539E8" w:rsidP="00907AD7">
      <w:pPr>
        <w:tabs>
          <w:tab w:val="left" w:pos="90"/>
        </w:tabs>
        <w:autoSpaceDE w:val="0"/>
        <w:autoSpaceDN w:val="0"/>
        <w:rPr>
          <w:rFonts w:cs="Arial"/>
          <w:color w:val="000000"/>
          <w:u w:val="single"/>
          <w:lang w:val="es-ES"/>
        </w:rPr>
      </w:pPr>
    </w:p>
    <w:p w:rsidR="00D539E8" w:rsidRPr="00AC0DE9" w:rsidRDefault="00D539E8" w:rsidP="00907AD7">
      <w:pPr>
        <w:tabs>
          <w:tab w:val="left" w:pos="90"/>
        </w:tabs>
        <w:autoSpaceDE w:val="0"/>
        <w:autoSpaceDN w:val="0"/>
        <w:rPr>
          <w:rFonts w:cs="Arial"/>
          <w:color w:val="000000"/>
          <w:u w:val="single"/>
        </w:rPr>
      </w:pPr>
      <w:r w:rsidRPr="00AC0DE9">
        <w:rPr>
          <w:rFonts w:cs="Arial"/>
          <w:color w:val="000000"/>
          <w:u w:val="single"/>
        </w:rPr>
        <w:t>ESTONIE / ESTONIA / ESTLAND / ESTONIA</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Renata TSATURJAN (Ms.), Chief Specialist, Plant Production Bureau, Ministry of Agriculture, </w:t>
      </w: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Tallinn (e-mail: renata.tsaturjan@agri.ee)  </w:t>
      </w:r>
    </w:p>
    <w:p w:rsidR="00D539E8" w:rsidRPr="00E73C16" w:rsidRDefault="00D539E8" w:rsidP="00907AD7">
      <w:pPr>
        <w:tabs>
          <w:tab w:val="left" w:pos="90"/>
        </w:tabs>
        <w:autoSpaceDE w:val="0"/>
        <w:autoSpaceDN w:val="0"/>
        <w:rPr>
          <w:rFonts w:cs="Arial"/>
          <w:color w:val="000000"/>
          <w:u w:val="single"/>
          <w:lang w:val="fr-CH"/>
        </w:rPr>
      </w:pPr>
    </w:p>
    <w:p w:rsidR="00D539E8" w:rsidRPr="00E73C16" w:rsidRDefault="00D539E8" w:rsidP="00907AD7">
      <w:pPr>
        <w:keepNext/>
        <w:tabs>
          <w:tab w:val="left" w:pos="90"/>
        </w:tabs>
        <w:autoSpaceDE w:val="0"/>
        <w:autoSpaceDN w:val="0"/>
        <w:rPr>
          <w:rFonts w:cs="Arial"/>
          <w:color w:val="000000"/>
          <w:u w:val="single"/>
          <w:lang w:val="fr-CH"/>
        </w:rPr>
      </w:pPr>
      <w:r w:rsidRPr="00E73C16">
        <w:rPr>
          <w:rFonts w:cs="Arial"/>
          <w:color w:val="000000"/>
          <w:u w:val="single"/>
          <w:lang w:val="fr-CH"/>
        </w:rPr>
        <w:t xml:space="preserve">ÉTATS-UNIS D'AMÉRIQUE / UNITED STATES OF AMERICA / VEREINIGTE STAATEN </w:t>
      </w: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t>VON AMERIKA / ESTADOS UNIDOS DE AMÉRICA</w:t>
      </w:r>
    </w:p>
    <w:p w:rsidR="00D539E8" w:rsidRPr="00E73C16" w:rsidRDefault="00D539E8" w:rsidP="00907AD7">
      <w:pPr>
        <w:keepNext/>
        <w:tabs>
          <w:tab w:val="left" w:pos="90"/>
        </w:tabs>
        <w:autoSpaceDE w:val="0"/>
        <w:autoSpaceDN w:val="0"/>
        <w:rPr>
          <w:rFonts w:cs="Arial"/>
          <w:color w:val="000000"/>
          <w:lang w:val="es-ES"/>
        </w:rPr>
      </w:pPr>
    </w:p>
    <w:p w:rsidR="00D539E8" w:rsidRPr="001D4989" w:rsidRDefault="00D539E8" w:rsidP="00907AD7">
      <w:pPr>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D539E8" w:rsidRDefault="00D539E8" w:rsidP="00907AD7">
      <w:pPr>
        <w:tabs>
          <w:tab w:val="left" w:pos="90"/>
        </w:tabs>
        <w:autoSpaceDE w:val="0"/>
        <w:autoSpaceDN w:val="0"/>
        <w:adjustRightInd w:val="0"/>
        <w:rPr>
          <w:rFonts w:cs="Arial"/>
          <w:color w:val="000000"/>
        </w:rPr>
      </w:pPr>
    </w:p>
    <w:p w:rsidR="00D539E8" w:rsidRPr="001D4989" w:rsidRDefault="00D539E8" w:rsidP="00907AD7">
      <w:pPr>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D539E8" w:rsidRDefault="00D539E8" w:rsidP="00907AD7">
      <w:pPr>
        <w:tabs>
          <w:tab w:val="left" w:pos="90"/>
        </w:tabs>
        <w:autoSpaceDE w:val="0"/>
        <w:autoSpaceDN w:val="0"/>
        <w:adjustRightInd w:val="0"/>
        <w:rPr>
          <w:rFonts w:cs="Arial"/>
          <w:color w:val="000000"/>
        </w:rPr>
      </w:pPr>
    </w:p>
    <w:p w:rsidR="00D539E8" w:rsidRPr="00E73C16" w:rsidRDefault="00D539E8" w:rsidP="00907AD7">
      <w:pPr>
        <w:tabs>
          <w:tab w:val="left" w:pos="90"/>
        </w:tabs>
        <w:autoSpaceDE w:val="0"/>
        <w:autoSpaceDN w:val="0"/>
        <w:adjustRightInd w:val="0"/>
        <w:rPr>
          <w:rFonts w:cs="Arial"/>
          <w:color w:val="000000"/>
          <w:lang w:val="fr-CH"/>
        </w:rPr>
      </w:pPr>
      <w:r w:rsidRPr="001D4989">
        <w:rPr>
          <w:rFonts w:cs="Arial"/>
          <w:color w:val="000000"/>
        </w:rPr>
        <w:lastRenderedPageBreak/>
        <w:t xml:space="preserve">Karin L. FERRITER (Ms.), Intellectual Property Attaché, United States Mission to the WTO, Chambesy </w:t>
      </w:r>
      <w:r w:rsidRPr="00E73C16">
        <w:rPr>
          <w:rFonts w:cs="Arial"/>
          <w:color w:val="000000"/>
          <w:lang w:val="fr-CH"/>
        </w:rPr>
        <w:t xml:space="preserve">(e-mail: karin_ferriter@ustr.eop.gov)  </w:t>
      </w: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 </w:t>
      </w:r>
    </w:p>
    <w:p w:rsidR="00D539E8" w:rsidRPr="00E73C16" w:rsidRDefault="00D539E8" w:rsidP="00907AD7">
      <w:pPr>
        <w:tabs>
          <w:tab w:val="left" w:pos="90"/>
        </w:tabs>
        <w:autoSpaceDE w:val="0"/>
        <w:autoSpaceDN w:val="0"/>
        <w:rPr>
          <w:rFonts w:cs="Arial"/>
          <w:color w:val="000000"/>
          <w:u w:val="single"/>
          <w:lang w:val="fr-CH"/>
        </w:rPr>
      </w:pPr>
      <w:r w:rsidRPr="00E73C16">
        <w:rPr>
          <w:rFonts w:cs="Arial"/>
          <w:color w:val="000000"/>
          <w:u w:val="single"/>
          <w:lang w:val="fr-CH"/>
        </w:rPr>
        <w:t xml:space="preserve">FÉDÉRATION DE RUSSIE / RUSSIAN FEDERATION / RUSSISCHE FÖDERATION / </w:t>
      </w:r>
    </w:p>
    <w:p w:rsidR="00D539E8" w:rsidRPr="00AC0DE9" w:rsidRDefault="00D539E8" w:rsidP="00907AD7">
      <w:pPr>
        <w:tabs>
          <w:tab w:val="left" w:pos="90"/>
        </w:tabs>
        <w:autoSpaceDE w:val="0"/>
        <w:autoSpaceDN w:val="0"/>
        <w:rPr>
          <w:rFonts w:cs="Arial"/>
          <w:color w:val="000000"/>
          <w:u w:val="single"/>
        </w:rPr>
      </w:pPr>
      <w:r w:rsidRPr="00AC0DE9">
        <w:rPr>
          <w:rFonts w:cs="Arial"/>
          <w:color w:val="000000"/>
          <w:u w:val="single"/>
        </w:rPr>
        <w:t>FEDERACIÓN DE RUSIA</w:t>
      </w:r>
    </w:p>
    <w:p w:rsidR="00D539E8"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Yuri A. ROGOVSKIY, Deputy Chairman, Head of Methodology and International Cooperation, State Commission of the Russian Federation for Selection Achievements Test and Protection, Moscow </w:t>
      </w: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(e-mail: yrogovskij@yandex.ru)  </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Viktor I. STARTCEV, Deputy Chairman, State Commission of the Russian Federation for Selection Achievements Test and Protection, Moscow (e-mail: gossort@gossort.com)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Antonina TRETINNIKOVA (Ms.), Deputy Head, Methodology and International Cooperation Department, State Commission of the Russian Federation for Selection Achievements Test and Protection, Moscow </w:t>
      </w: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(e-mail: tretinnikova@mail.ru)  </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Vitaly S. VOLOSHCHENKO, Chairman, State Commission of the Russian Federation for Selection Achievements Test and Protection, Moscow (e-mail: gossort@gossort.com)  </w:t>
      </w:r>
    </w:p>
    <w:p w:rsidR="00D539E8" w:rsidRPr="00AC0DE9" w:rsidRDefault="00D539E8" w:rsidP="00907AD7">
      <w:pPr>
        <w:tabs>
          <w:tab w:val="left" w:pos="90"/>
        </w:tabs>
        <w:autoSpaceDE w:val="0"/>
        <w:autoSpaceDN w:val="0"/>
        <w:rPr>
          <w:rFonts w:cs="Arial"/>
          <w:color w:val="000000"/>
        </w:rPr>
      </w:pPr>
    </w:p>
    <w:p w:rsidR="00D539E8" w:rsidRPr="00E73C16" w:rsidRDefault="00D539E8" w:rsidP="00907AD7">
      <w:pPr>
        <w:tabs>
          <w:tab w:val="left" w:pos="90"/>
        </w:tabs>
        <w:autoSpaceDE w:val="0"/>
        <w:autoSpaceDN w:val="0"/>
        <w:rPr>
          <w:rFonts w:cs="Arial"/>
          <w:color w:val="000000"/>
          <w:u w:val="single"/>
          <w:lang w:val="fr-CH"/>
        </w:rPr>
      </w:pPr>
      <w:r w:rsidRPr="00E73C16">
        <w:rPr>
          <w:rFonts w:cs="Arial"/>
          <w:color w:val="000000"/>
          <w:u w:val="single"/>
          <w:lang w:val="fr-CH"/>
        </w:rPr>
        <w:t>FRANCE / FRANKREICH / FRANCIA</w:t>
      </w:r>
    </w:p>
    <w:p w:rsidR="00D539E8" w:rsidRPr="00E73C16" w:rsidRDefault="00D539E8" w:rsidP="00907AD7">
      <w:pPr>
        <w:tabs>
          <w:tab w:val="left" w:pos="90"/>
        </w:tabs>
        <w:autoSpaceDE w:val="0"/>
        <w:autoSpaceDN w:val="0"/>
        <w:rPr>
          <w:rFonts w:cs="Arial"/>
          <w:color w:val="000000"/>
          <w:u w:val="single"/>
          <w:lang w:val="fr-CH"/>
        </w:rPr>
      </w:pP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Virginie BERTOUX (Mme), Responsable, Instance nationale des obtentions végétales (INOV), INOV-GEVES, Beaucouzé (e-mail: virginie.bertoux@geves.fr)  </w:t>
      </w:r>
    </w:p>
    <w:p w:rsidR="00D539E8" w:rsidRPr="00E73C16" w:rsidRDefault="00D539E8" w:rsidP="00907AD7">
      <w:pPr>
        <w:tabs>
          <w:tab w:val="left" w:pos="90"/>
        </w:tabs>
        <w:autoSpaceDE w:val="0"/>
        <w:autoSpaceDN w:val="0"/>
        <w:rPr>
          <w:rFonts w:cs="Arial"/>
          <w:color w:val="000000"/>
          <w:lang w:val="fr-CH"/>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GÉORGIE / GEORGIA / GEORGIEN / GEORGIA</w:t>
      </w:r>
    </w:p>
    <w:p w:rsidR="00D539E8" w:rsidRPr="00AC0DE9" w:rsidRDefault="00D539E8" w:rsidP="00907AD7">
      <w:pPr>
        <w:tabs>
          <w:tab w:val="left" w:pos="90"/>
        </w:tabs>
        <w:autoSpaceDE w:val="0"/>
        <w:autoSpaceDN w:val="0"/>
        <w:rPr>
          <w:rFonts w:cs="Arial"/>
          <w:color w:val="000000"/>
          <w:u w:val="single"/>
        </w:rPr>
      </w:pPr>
    </w:p>
    <w:p w:rsidR="00D539E8" w:rsidRDefault="00D539E8" w:rsidP="00907AD7">
      <w:pPr>
        <w:tabs>
          <w:tab w:val="left" w:pos="90"/>
        </w:tabs>
        <w:autoSpaceDE w:val="0"/>
        <w:autoSpaceDN w:val="0"/>
        <w:rPr>
          <w:rFonts w:cs="Arial"/>
          <w:color w:val="000000"/>
        </w:rPr>
      </w:pPr>
      <w:r w:rsidRPr="00AC0DE9">
        <w:rPr>
          <w:rFonts w:cs="Arial"/>
          <w:color w:val="000000"/>
        </w:rPr>
        <w:t xml:space="preserve">Nana PANTSKHAVA (Ms.), Chief Examiner, Department of Invention, Design and New Varieties and Breeds, National Intellectual Property Centre (SAKPATENTI), Mtskheta (e-mail: npantskhava@sakpatenti.org.ge)  </w:t>
      </w:r>
    </w:p>
    <w:p w:rsidR="00D539E8" w:rsidRPr="00AC0DE9" w:rsidRDefault="00D539E8" w:rsidP="00907AD7">
      <w:pPr>
        <w:tabs>
          <w:tab w:val="left" w:pos="90"/>
        </w:tabs>
        <w:autoSpaceDE w:val="0"/>
        <w:autoSpaceDN w:val="0"/>
        <w:ind w:right="900"/>
        <w:rPr>
          <w:rFonts w:cs="Arial"/>
          <w:color w:val="000000"/>
        </w:rPr>
      </w:pPr>
    </w:p>
    <w:p w:rsidR="00D539E8" w:rsidRPr="00AC0DE9" w:rsidRDefault="00D539E8" w:rsidP="00907AD7">
      <w:pPr>
        <w:tabs>
          <w:tab w:val="left" w:pos="90"/>
        </w:tabs>
        <w:autoSpaceDE w:val="0"/>
        <w:autoSpaceDN w:val="0"/>
        <w:rPr>
          <w:rFonts w:cs="Arial"/>
          <w:color w:val="000000"/>
          <w:u w:val="single"/>
        </w:rPr>
      </w:pPr>
      <w:r w:rsidRPr="00AC0DE9">
        <w:rPr>
          <w:rFonts w:cs="Arial"/>
          <w:color w:val="000000"/>
          <w:u w:val="single"/>
        </w:rPr>
        <w:t>HONGRIE / HUNGARY / UNGARN / HUNGRÍA</w:t>
      </w:r>
    </w:p>
    <w:p w:rsidR="00D539E8"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Szabolcs FARKAS, Head, Patent Department, Hungarian Intellectual Property Office (HIPO), Budapest </w:t>
      </w: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(e-mail: szabolcs.farkas@hipo.gov.hu)  </w:t>
      </w:r>
    </w:p>
    <w:p w:rsidR="00D539E8"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Katalin MIKLÓ (Ms.), Head of Chemical and Agricultural Division, Agriculture and Plant Variety Protection Section, Hungarian Intellectual Property Office, Budapest (e-mail: katalin.miklo@hipo.gov.hu)  </w:t>
      </w:r>
    </w:p>
    <w:p w:rsidR="00D539E8" w:rsidRDefault="00D539E8" w:rsidP="00907AD7">
      <w:pPr>
        <w:tabs>
          <w:tab w:val="left" w:pos="90"/>
        </w:tabs>
        <w:autoSpaceDE w:val="0"/>
        <w:autoSpaceDN w:val="0"/>
        <w:rPr>
          <w:rFonts w:cs="Arial"/>
          <w:color w:val="000000"/>
          <w:u w:val="single"/>
        </w:rPr>
      </w:pPr>
    </w:p>
    <w:p w:rsidR="00D539E8" w:rsidRPr="00AC0DE9" w:rsidRDefault="00D539E8" w:rsidP="00907AD7">
      <w:pPr>
        <w:keepNext/>
        <w:tabs>
          <w:tab w:val="left" w:pos="90"/>
        </w:tabs>
        <w:autoSpaceDE w:val="0"/>
        <w:autoSpaceDN w:val="0"/>
        <w:rPr>
          <w:rFonts w:cs="Arial"/>
          <w:color w:val="000000"/>
          <w:u w:val="single"/>
        </w:rPr>
      </w:pPr>
      <w:r w:rsidRPr="00AC0DE9">
        <w:rPr>
          <w:rFonts w:cs="Arial"/>
          <w:color w:val="000000"/>
          <w:u w:val="single"/>
        </w:rPr>
        <w:t>IRLANDE / IRELAND / IRLAND / IRLANDA</w:t>
      </w:r>
    </w:p>
    <w:p w:rsidR="00D539E8" w:rsidRDefault="00D539E8" w:rsidP="00907AD7">
      <w:pPr>
        <w:keepNext/>
        <w:tabs>
          <w:tab w:val="left" w:pos="90"/>
        </w:tabs>
        <w:autoSpaceDE w:val="0"/>
        <w:autoSpaceDN w:val="0"/>
        <w:rPr>
          <w:rFonts w:cs="Arial"/>
          <w:color w:val="000000"/>
        </w:rPr>
      </w:pPr>
    </w:p>
    <w:p w:rsidR="00D539E8" w:rsidRPr="00AC0DE9" w:rsidRDefault="00D539E8" w:rsidP="00907AD7">
      <w:pPr>
        <w:keepNext/>
        <w:tabs>
          <w:tab w:val="left" w:pos="90"/>
        </w:tabs>
        <w:autoSpaceDE w:val="0"/>
        <w:autoSpaceDN w:val="0"/>
        <w:rPr>
          <w:rFonts w:cs="Arial"/>
          <w:color w:val="000000"/>
        </w:rPr>
      </w:pPr>
      <w:r w:rsidRPr="00AC0DE9">
        <w:rPr>
          <w:rFonts w:cs="Arial"/>
          <w:color w:val="000000"/>
        </w:rPr>
        <w:t xml:space="preserve">Donal COLEMAN, Controller of Plant Breeders' Rights, National Crop Evaluation Centre, Department of Agriculture, National Crop Evaluation Centre, Leixlip (e-mail: donal.coleman@agriculture.gov.ie)  </w:t>
      </w:r>
    </w:p>
    <w:p w:rsidR="00D539E8" w:rsidRDefault="00D539E8" w:rsidP="00907AD7">
      <w:pPr>
        <w:keepNext/>
        <w:tabs>
          <w:tab w:val="left" w:pos="90"/>
        </w:tabs>
        <w:autoSpaceDE w:val="0"/>
        <w:autoSpaceDN w:val="0"/>
        <w:rPr>
          <w:rFonts w:cs="Arial"/>
          <w:color w:val="000000"/>
          <w:u w:val="single"/>
        </w:rPr>
      </w:pPr>
    </w:p>
    <w:p w:rsidR="00D539E8" w:rsidRDefault="00D539E8" w:rsidP="00907AD7">
      <w:pPr>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D539E8" w:rsidRPr="00DA2C8C" w:rsidRDefault="00D539E8" w:rsidP="00907AD7">
      <w:pPr>
        <w:tabs>
          <w:tab w:val="left" w:pos="90"/>
        </w:tabs>
        <w:autoSpaceDE w:val="0"/>
        <w:autoSpaceDN w:val="0"/>
        <w:adjustRightInd w:val="0"/>
        <w:rPr>
          <w:rFonts w:cs="Arial"/>
          <w:color w:val="000000"/>
          <w:u w:val="single"/>
        </w:rPr>
      </w:pPr>
    </w:p>
    <w:p w:rsidR="00D539E8" w:rsidRDefault="00D539E8" w:rsidP="00907AD7">
      <w:pPr>
        <w:tabs>
          <w:tab w:val="left" w:pos="90"/>
        </w:tabs>
        <w:autoSpaceDE w:val="0"/>
        <w:autoSpaceDN w:val="0"/>
        <w:adjustRightInd w:val="0"/>
        <w:rPr>
          <w:rFonts w:cs="Arial"/>
          <w:color w:val="000000"/>
          <w:u w:val="single"/>
        </w:rPr>
      </w:pPr>
      <w:r w:rsidRPr="00DA2C8C">
        <w:rPr>
          <w:rFonts w:cs="Arial"/>
          <w:color w:val="000000"/>
        </w:rPr>
        <w:t>Antonio ATAZ, Official of the General Secretariat of the Council of the EU, Council of the European Union, Brussels (e-mail: antonio.ataz@consilium.europa.eu)</w:t>
      </w:r>
    </w:p>
    <w:p w:rsidR="00D539E8" w:rsidRDefault="00D539E8" w:rsidP="00907AD7">
      <w:pPr>
        <w:tabs>
          <w:tab w:val="left" w:pos="90"/>
        </w:tabs>
        <w:autoSpaceDE w:val="0"/>
        <w:autoSpaceDN w:val="0"/>
        <w:rPr>
          <w:rFonts w:cs="Arial"/>
          <w:color w:val="000000"/>
          <w:u w:val="single"/>
        </w:rPr>
      </w:pPr>
    </w:p>
    <w:p w:rsidR="00D539E8" w:rsidRPr="00EC749E" w:rsidRDefault="00D539E8" w:rsidP="00907AD7">
      <w:pPr>
        <w:tabs>
          <w:tab w:val="left" w:pos="90"/>
        </w:tabs>
        <w:autoSpaceDE w:val="0"/>
        <w:autoSpaceDN w:val="0"/>
        <w:rPr>
          <w:rFonts w:cs="Arial"/>
          <w:color w:val="000000"/>
        </w:rPr>
      </w:pPr>
      <w:r w:rsidRPr="00EC749E">
        <w:rPr>
          <w:rFonts w:cs="Arial"/>
          <w:color w:val="000000"/>
        </w:rPr>
        <w:t xml:space="preserve">Loredana GUGLIELMETTI (Mrs.), Dirigente, Divisione XI - Invenzioni e modelli di utilità, Direzione generale per la lotta alla contraffazione, </w:t>
      </w:r>
      <w:r>
        <w:rPr>
          <w:rFonts w:cs="Arial"/>
          <w:color w:val="000000"/>
        </w:rPr>
        <w:t xml:space="preserve">Italian Patent and Trademark Office, </w:t>
      </w:r>
      <w:r w:rsidRPr="00FE42DF">
        <w:rPr>
          <w:rFonts w:cs="Arial"/>
          <w:color w:val="000000"/>
        </w:rPr>
        <w:t xml:space="preserve">Ministry of Economic Development, </w:t>
      </w:r>
      <w:r w:rsidRPr="00EC749E">
        <w:rPr>
          <w:rFonts w:cs="Arial"/>
          <w:color w:val="000000"/>
        </w:rPr>
        <w:t>Rom</w:t>
      </w:r>
      <w:r>
        <w:rPr>
          <w:rFonts w:cs="Arial"/>
          <w:color w:val="000000"/>
        </w:rPr>
        <w:t>e</w:t>
      </w:r>
      <w:r w:rsidRPr="00EC749E">
        <w:rPr>
          <w:rFonts w:cs="Arial"/>
          <w:color w:val="000000"/>
        </w:rPr>
        <w:t xml:space="preserve"> (e-mail: loredana.guglielmetti@sviluppoeconomico.gov.it) </w:t>
      </w:r>
    </w:p>
    <w:p w:rsidR="00D539E8" w:rsidRPr="00EC749E"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FE42DF">
        <w:rPr>
          <w:rFonts w:cs="Arial"/>
          <w:color w:val="000000"/>
        </w:rPr>
        <w:t xml:space="preserve">Ivana PUGLIESE (Mrs.), Chief Patent Examiner, Patent and Plant Variety Division, </w:t>
      </w:r>
      <w:r>
        <w:rPr>
          <w:rFonts w:cs="Arial"/>
          <w:color w:val="000000"/>
        </w:rPr>
        <w:t xml:space="preserve">Italian Patent and Trademark Office, </w:t>
      </w:r>
      <w:r w:rsidRPr="00FE42DF">
        <w:rPr>
          <w:rFonts w:cs="Arial"/>
          <w:color w:val="000000"/>
        </w:rPr>
        <w:t xml:space="preserve">Ministry of Economic Development, Rome (e-mail : </w:t>
      </w:r>
      <w:r w:rsidRPr="00EC749E">
        <w:rPr>
          <w:rFonts w:cs="Arial"/>
          <w:color w:val="000000"/>
        </w:rPr>
        <w:t>ivana.pugliese@mise.gov.it</w:t>
      </w:r>
      <w:r>
        <w:rPr>
          <w:rFonts w:cs="Arial"/>
          <w:color w:val="000000"/>
        </w:rPr>
        <w:t>)</w:t>
      </w:r>
    </w:p>
    <w:p w:rsidR="00D539E8" w:rsidRDefault="00D539E8" w:rsidP="00907AD7">
      <w:pPr>
        <w:tabs>
          <w:tab w:val="left" w:pos="90"/>
        </w:tabs>
        <w:autoSpaceDE w:val="0"/>
        <w:autoSpaceDN w:val="0"/>
        <w:rPr>
          <w:rFonts w:cs="Arial"/>
          <w:color w:val="000000"/>
        </w:rPr>
      </w:pPr>
    </w:p>
    <w:p w:rsidR="00D539E8" w:rsidRPr="00FE42DF" w:rsidRDefault="00D539E8" w:rsidP="00907AD7">
      <w:pPr>
        <w:keepNext/>
        <w:keepLines/>
        <w:tabs>
          <w:tab w:val="left" w:pos="90"/>
        </w:tabs>
        <w:autoSpaceDE w:val="0"/>
        <w:autoSpaceDN w:val="0"/>
        <w:rPr>
          <w:rFonts w:cs="Arial"/>
          <w:color w:val="000000"/>
          <w:u w:val="single"/>
        </w:rPr>
      </w:pPr>
      <w:r w:rsidRPr="00FE42DF">
        <w:rPr>
          <w:rFonts w:cs="Arial"/>
          <w:color w:val="000000"/>
          <w:u w:val="single"/>
        </w:rPr>
        <w:t>JAPON / JAPAN / JAPAN / JAPÓN</w:t>
      </w:r>
    </w:p>
    <w:p w:rsidR="00D539E8" w:rsidRPr="00FE42DF" w:rsidRDefault="00D539E8" w:rsidP="00907AD7">
      <w:pPr>
        <w:keepNext/>
        <w:keepLines/>
        <w:tabs>
          <w:tab w:val="left" w:pos="90"/>
        </w:tabs>
        <w:autoSpaceDE w:val="0"/>
        <w:autoSpaceDN w:val="0"/>
        <w:rPr>
          <w:rFonts w:cs="Arial"/>
          <w:color w:val="000000"/>
          <w:u w:val="single"/>
        </w:rPr>
      </w:pPr>
    </w:p>
    <w:p w:rsidR="00D539E8" w:rsidRPr="00AC0DE9" w:rsidRDefault="00D539E8" w:rsidP="00907AD7">
      <w:pPr>
        <w:keepNext/>
        <w:keepLines/>
        <w:tabs>
          <w:tab w:val="left" w:pos="90"/>
        </w:tabs>
        <w:autoSpaceDE w:val="0"/>
        <w:autoSpaceDN w:val="0"/>
        <w:rPr>
          <w:rFonts w:cs="Arial"/>
          <w:color w:val="000000"/>
        </w:rPr>
      </w:pPr>
      <w:r w:rsidRPr="00AC0DE9">
        <w:rPr>
          <w:rFonts w:cs="Arial"/>
          <w:color w:val="000000"/>
        </w:rPr>
        <w:t xml:space="preserve">Katsuhiro SAKA, Director, New Business and Intellectual Property Division, Ministry of Agriculture, Forestry and Fisheries (MAFF), Tokyo (e-mail: katsuhiro_saka@nm.maff.go.jp) </w:t>
      </w:r>
    </w:p>
    <w:p w:rsidR="00D539E8" w:rsidRPr="00AC0DE9" w:rsidRDefault="00D539E8" w:rsidP="00907AD7"/>
    <w:p w:rsidR="00D539E8" w:rsidRDefault="00D539E8" w:rsidP="00907AD7">
      <w:r w:rsidRPr="00AC0DE9">
        <w:lastRenderedPageBreak/>
        <w:t xml:space="preserve">Akira MIYAKE, Senior Policy Advisor, New Business and Intellectual Property Division, Food Industry Affairs Bureau, Ministry of Agriculture, Forestry and Fisheries (MAFF), Tokyo (e-mail: akira_miyake@nm.maff.go.jp)  </w:t>
      </w:r>
    </w:p>
    <w:p w:rsidR="00D539E8" w:rsidRPr="00AC0DE9" w:rsidRDefault="00D539E8" w:rsidP="00907AD7"/>
    <w:p w:rsidR="00D539E8" w:rsidRDefault="00D539E8" w:rsidP="00907AD7">
      <w:pPr>
        <w:tabs>
          <w:tab w:val="left" w:pos="90"/>
        </w:tabs>
        <w:autoSpaceDE w:val="0"/>
        <w:autoSpaceDN w:val="0"/>
        <w:rPr>
          <w:rFonts w:cs="Arial"/>
          <w:color w:val="000000"/>
          <w:u w:val="single"/>
        </w:rPr>
      </w:pPr>
      <w:r w:rsidRPr="00AC0DE9">
        <w:rPr>
          <w:rFonts w:cs="Arial"/>
          <w:color w:val="000000"/>
          <w:u w:val="single"/>
        </w:rPr>
        <w:t>LETTONIE / LATVIA / LETTLAND / LETONIA</w:t>
      </w:r>
    </w:p>
    <w:p w:rsidR="00D539E8" w:rsidRPr="00AC0DE9" w:rsidRDefault="00D539E8" w:rsidP="00907AD7">
      <w:pPr>
        <w:tabs>
          <w:tab w:val="left" w:pos="90"/>
        </w:tabs>
        <w:autoSpaceDE w:val="0"/>
        <w:autoSpaceDN w:val="0"/>
        <w:rPr>
          <w:rFonts w:cs="Arial"/>
          <w:color w:val="000000"/>
          <w:u w:val="single"/>
        </w:rPr>
      </w:pPr>
    </w:p>
    <w:p w:rsidR="00D539E8" w:rsidRPr="00AC0DE9" w:rsidRDefault="00D539E8" w:rsidP="00907AD7">
      <w:pPr>
        <w:tabs>
          <w:tab w:val="left" w:pos="90"/>
        </w:tabs>
        <w:autoSpaceDE w:val="0"/>
        <w:autoSpaceDN w:val="0"/>
        <w:rPr>
          <w:rFonts w:cs="Arial"/>
          <w:color w:val="000000"/>
        </w:rPr>
      </w:pPr>
      <w:r w:rsidRPr="00AC0DE9">
        <w:rPr>
          <w:rFonts w:cs="Arial"/>
          <w:color w:val="000000"/>
        </w:rPr>
        <w:t>Daiga BAJALE (Miss), Senior Officer, Seed Control Department, Division of Seed Certification and Plant Variety Protection, State Plant Protection Service, Riga (e-mail: daiga.bajale@vaad.gov.lv)</w:t>
      </w: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  </w:t>
      </w:r>
    </w:p>
    <w:p w:rsidR="00D539E8" w:rsidRDefault="00D539E8" w:rsidP="00907AD7">
      <w:pPr>
        <w:tabs>
          <w:tab w:val="left" w:pos="90"/>
        </w:tabs>
        <w:autoSpaceDE w:val="0"/>
        <w:autoSpaceDN w:val="0"/>
        <w:rPr>
          <w:rFonts w:cs="Arial"/>
          <w:color w:val="000000"/>
        </w:rPr>
      </w:pPr>
      <w:r w:rsidRPr="00AC0DE9">
        <w:rPr>
          <w:rFonts w:cs="Arial"/>
          <w:color w:val="000000"/>
        </w:rPr>
        <w:t>Iveta OZOLINA (Mrs.), Deputy Director, Department of Agriculture, Ministry of Agriculture, Riga</w:t>
      </w: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(e-mail: iveta.ozolina@zm.gov.lv)  </w:t>
      </w:r>
    </w:p>
    <w:p w:rsidR="00D539E8" w:rsidRPr="00E73C16" w:rsidRDefault="00D539E8" w:rsidP="00907AD7">
      <w:pPr>
        <w:tabs>
          <w:tab w:val="left" w:pos="90"/>
        </w:tabs>
        <w:autoSpaceDE w:val="0"/>
        <w:autoSpaceDN w:val="0"/>
        <w:rPr>
          <w:rFonts w:cs="Arial"/>
          <w:color w:val="000000"/>
          <w:u w:val="single"/>
          <w:lang w:val="fr-CH"/>
        </w:rPr>
      </w:pPr>
    </w:p>
    <w:p w:rsidR="00D539E8" w:rsidRPr="00E73C16" w:rsidRDefault="00D539E8" w:rsidP="00907AD7">
      <w:pPr>
        <w:tabs>
          <w:tab w:val="left" w:pos="90"/>
        </w:tabs>
        <w:autoSpaceDE w:val="0"/>
        <w:autoSpaceDN w:val="0"/>
        <w:rPr>
          <w:rFonts w:cs="Arial"/>
          <w:color w:val="000000"/>
          <w:u w:val="single"/>
          <w:lang w:val="fr-CH"/>
        </w:rPr>
      </w:pPr>
      <w:r w:rsidRPr="00E73C16">
        <w:rPr>
          <w:rFonts w:cs="Arial"/>
          <w:color w:val="000000"/>
          <w:u w:val="single"/>
          <w:lang w:val="fr-CH"/>
        </w:rPr>
        <w:t>LITUANIE / LITHUANIA / LITAUEN / LITUANIA</w:t>
      </w:r>
    </w:p>
    <w:p w:rsidR="00D539E8" w:rsidRPr="00E73C16" w:rsidRDefault="00D539E8" w:rsidP="00907AD7">
      <w:pPr>
        <w:tabs>
          <w:tab w:val="left" w:pos="90"/>
        </w:tabs>
        <w:autoSpaceDE w:val="0"/>
        <w:autoSpaceDN w:val="0"/>
        <w:rPr>
          <w:rFonts w:cs="Arial"/>
          <w:color w:val="000000"/>
          <w:u w:val="single"/>
          <w:lang w:val="fr-CH"/>
        </w:rPr>
      </w:pPr>
    </w:p>
    <w:p w:rsidR="00D539E8" w:rsidRDefault="00D539E8" w:rsidP="00907AD7">
      <w:pPr>
        <w:tabs>
          <w:tab w:val="left" w:pos="90"/>
        </w:tabs>
        <w:autoSpaceDE w:val="0"/>
        <w:autoSpaceDN w:val="0"/>
        <w:rPr>
          <w:rFonts w:cs="Arial"/>
          <w:color w:val="000000"/>
        </w:rPr>
      </w:pPr>
      <w:r w:rsidRPr="00A643CA">
        <w:rPr>
          <w:rFonts w:cs="Arial"/>
          <w:color w:val="000000"/>
        </w:rPr>
        <w:t>Rasa ZUIKIENÉ (Mrs.), Deputy Head of the plant variety division, State Plant Service under the Ministry of Agriculture, Vilnius (e-mail: rasa.zuikiene@vatzum.lt)</w:t>
      </w:r>
      <w:r w:rsidRPr="00AC0DE9">
        <w:rPr>
          <w:rFonts w:cs="Arial"/>
          <w:color w:val="000000"/>
        </w:rPr>
        <w:t xml:space="preserve">  </w:t>
      </w:r>
    </w:p>
    <w:p w:rsidR="00D539E8" w:rsidRPr="00AC0DE9" w:rsidRDefault="00D539E8" w:rsidP="00907AD7">
      <w:pPr>
        <w:tabs>
          <w:tab w:val="left" w:pos="90"/>
        </w:tabs>
        <w:autoSpaceDE w:val="0"/>
        <w:autoSpaceDN w:val="0"/>
        <w:rPr>
          <w:rFonts w:cs="Arial"/>
          <w:color w:val="000000"/>
        </w:rPr>
      </w:pPr>
    </w:p>
    <w:p w:rsidR="00D539E8" w:rsidRDefault="00D539E8" w:rsidP="00907AD7">
      <w:pPr>
        <w:keepNext/>
        <w:keepLines/>
        <w:tabs>
          <w:tab w:val="left" w:pos="90"/>
        </w:tabs>
        <w:autoSpaceDE w:val="0"/>
        <w:autoSpaceDN w:val="0"/>
        <w:rPr>
          <w:rFonts w:cs="Arial"/>
          <w:color w:val="000000"/>
          <w:u w:val="single"/>
        </w:rPr>
      </w:pPr>
      <w:r w:rsidRPr="00AC0DE9">
        <w:rPr>
          <w:rFonts w:cs="Arial"/>
          <w:color w:val="000000"/>
          <w:u w:val="single"/>
        </w:rPr>
        <w:t>MAROC / MOROCCO / MAROKKO / MARRUECOS</w:t>
      </w:r>
    </w:p>
    <w:p w:rsidR="00D539E8" w:rsidRPr="00AC0DE9" w:rsidRDefault="00D539E8" w:rsidP="00907AD7">
      <w:pPr>
        <w:keepNext/>
        <w:keepLines/>
        <w:tabs>
          <w:tab w:val="left" w:pos="90"/>
        </w:tabs>
        <w:autoSpaceDE w:val="0"/>
        <w:autoSpaceDN w:val="0"/>
        <w:rPr>
          <w:rFonts w:cs="Arial"/>
          <w:color w:val="000000"/>
          <w:u w:val="single"/>
        </w:rPr>
      </w:pPr>
    </w:p>
    <w:p w:rsidR="00D539E8" w:rsidRPr="00AC0DE9" w:rsidRDefault="00D539E8" w:rsidP="00907AD7">
      <w:pPr>
        <w:keepNext/>
        <w:keepLines/>
        <w:tabs>
          <w:tab w:val="left" w:pos="90"/>
        </w:tabs>
        <w:autoSpaceDE w:val="0"/>
        <w:autoSpaceDN w:val="0"/>
        <w:rPr>
          <w:rFonts w:cs="Arial"/>
          <w:color w:val="000000"/>
        </w:rPr>
      </w:pPr>
      <w:r w:rsidRPr="00AC0DE9">
        <w:rPr>
          <w:rFonts w:cs="Arial"/>
          <w:color w:val="000000"/>
        </w:rPr>
        <w:t xml:space="preserve">Zoubida TAOUSSI (Mrs.), Responsible of Plant Variety Protection, Division of Seed and Plant Control, The National Office for Food Safety, Rabat (e-mail: ztaoussi67@gmail.com)  </w:t>
      </w:r>
    </w:p>
    <w:p w:rsidR="00D539E8" w:rsidRPr="00AC0DE9" w:rsidRDefault="00D539E8" w:rsidP="00907AD7">
      <w:pPr>
        <w:tabs>
          <w:tab w:val="left" w:pos="90"/>
        </w:tabs>
        <w:autoSpaceDE w:val="0"/>
        <w:autoSpaceDN w:val="0"/>
        <w:rPr>
          <w:rFonts w:cs="Arial"/>
          <w:color w:val="000000"/>
        </w:rPr>
      </w:pPr>
    </w:p>
    <w:p w:rsidR="00D539E8" w:rsidRPr="00E73C16" w:rsidRDefault="00D539E8" w:rsidP="00907AD7">
      <w:pPr>
        <w:tabs>
          <w:tab w:val="left" w:pos="90"/>
        </w:tabs>
        <w:autoSpaceDE w:val="0"/>
        <w:autoSpaceDN w:val="0"/>
        <w:rPr>
          <w:rFonts w:cs="Arial"/>
          <w:color w:val="000000"/>
          <w:u w:val="single"/>
          <w:lang w:val="es-ES"/>
        </w:rPr>
      </w:pPr>
      <w:r w:rsidRPr="00E73C16">
        <w:rPr>
          <w:rFonts w:cs="Arial"/>
          <w:color w:val="000000"/>
          <w:u w:val="single"/>
          <w:lang w:val="es-ES"/>
        </w:rPr>
        <w:t>MEXIQUE / MEXICO / MEXIKO / MÉXICO</w:t>
      </w:r>
    </w:p>
    <w:p w:rsidR="00D539E8" w:rsidRPr="00E73C16" w:rsidRDefault="00D539E8" w:rsidP="00907AD7">
      <w:pPr>
        <w:tabs>
          <w:tab w:val="left" w:pos="90"/>
        </w:tabs>
        <w:autoSpaceDE w:val="0"/>
        <w:autoSpaceDN w:val="0"/>
        <w:rPr>
          <w:rFonts w:cs="Arial"/>
          <w:color w:val="000000"/>
          <w:u w:val="single"/>
          <w:lang w:val="es-ES"/>
        </w:rPr>
      </w:pPr>
    </w:p>
    <w:p w:rsidR="00D539E8" w:rsidRPr="00E73C16" w:rsidRDefault="00D539E8" w:rsidP="00907AD7">
      <w:pPr>
        <w:tabs>
          <w:tab w:val="left" w:pos="90"/>
        </w:tabs>
        <w:autoSpaceDE w:val="0"/>
        <w:autoSpaceDN w:val="0"/>
        <w:adjustRightInd w:val="0"/>
        <w:rPr>
          <w:rFonts w:cs="Arial"/>
          <w:color w:val="000000"/>
          <w:lang w:val="es-ES"/>
        </w:rPr>
      </w:pPr>
      <w:r w:rsidRPr="00E73C16">
        <w:rPr>
          <w:rFonts w:cs="Arial"/>
          <w:color w:val="000000"/>
          <w:lang w:val="es-ES"/>
        </w:rPr>
        <w:t>Eduardo PADILLA VACA, Director de Registro de Variedades Vegetales, Servicio Nacional de Inspección y Certificación de Semillas (SNICS), México (e-mail: eduardo.padilla@</w:t>
      </w:r>
      <w:r>
        <w:rPr>
          <w:rFonts w:cs="Arial"/>
          <w:color w:val="000000"/>
          <w:lang w:val="es-ES"/>
        </w:rPr>
        <w:t>sagarpa</w:t>
      </w:r>
      <w:r w:rsidRPr="00E73C16">
        <w:rPr>
          <w:rFonts w:cs="Arial"/>
          <w:color w:val="000000"/>
          <w:lang w:val="es-ES"/>
        </w:rPr>
        <w:t xml:space="preserve">.gob.mx) </w:t>
      </w:r>
    </w:p>
    <w:p w:rsidR="00D539E8" w:rsidRPr="00E73C16" w:rsidRDefault="00D539E8" w:rsidP="00907AD7">
      <w:pPr>
        <w:tabs>
          <w:tab w:val="left" w:pos="90"/>
        </w:tabs>
        <w:autoSpaceDE w:val="0"/>
        <w:autoSpaceDN w:val="0"/>
        <w:rPr>
          <w:rFonts w:cs="Arial"/>
          <w:color w:val="000000"/>
          <w:lang w:val="es-ES"/>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NORVÈGE / NORWAY / NORWEGEN / NORUEGA</w:t>
      </w:r>
    </w:p>
    <w:p w:rsidR="00D539E8" w:rsidRPr="00AC0DE9" w:rsidRDefault="00D539E8" w:rsidP="00907AD7">
      <w:pPr>
        <w:tabs>
          <w:tab w:val="left" w:pos="90"/>
        </w:tabs>
        <w:autoSpaceDE w:val="0"/>
        <w:autoSpaceDN w:val="0"/>
        <w:rPr>
          <w:rFonts w:cs="Arial"/>
          <w:color w:val="000000"/>
          <w:u w:val="single"/>
        </w:rPr>
      </w:pPr>
    </w:p>
    <w:p w:rsidR="00D539E8" w:rsidRPr="00AC0DE9" w:rsidRDefault="00D539E8" w:rsidP="00907AD7">
      <w:pPr>
        <w:tabs>
          <w:tab w:val="left" w:pos="90"/>
        </w:tabs>
        <w:autoSpaceDE w:val="0"/>
        <w:autoSpaceDN w:val="0"/>
        <w:rPr>
          <w:rFonts w:cs="Arial"/>
          <w:color w:val="000000"/>
        </w:rPr>
      </w:pPr>
      <w:r w:rsidRPr="00AC0DE9">
        <w:rPr>
          <w:rFonts w:cs="Arial"/>
          <w:color w:val="000000"/>
        </w:rPr>
        <w:t xml:space="preserve">Tor Erik JØRGENSEN, Head of Department for National Approvals, Norwegian Food Safety Authority, Brumunddal (e-mail: tor.erik.jorgensen@mattilsynet.no)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Marianne SMITH (Ms.), Senior Advisor, Norwegian Ministry of Agriculture and Food, Oslo </w:t>
      </w: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(e-mail: marianne.smith@lmd.dep.no)  </w:t>
      </w:r>
    </w:p>
    <w:p w:rsidR="00D539E8" w:rsidRPr="00E73C16" w:rsidRDefault="00D539E8" w:rsidP="00907AD7">
      <w:pPr>
        <w:tabs>
          <w:tab w:val="left" w:pos="90"/>
        </w:tabs>
        <w:autoSpaceDE w:val="0"/>
        <w:autoSpaceDN w:val="0"/>
        <w:rPr>
          <w:rFonts w:cs="Arial"/>
          <w:color w:val="000000"/>
          <w:lang w:val="fr-CH"/>
        </w:rPr>
      </w:pPr>
    </w:p>
    <w:p w:rsidR="00D539E8" w:rsidRPr="00E73C16" w:rsidRDefault="00D539E8" w:rsidP="00907AD7">
      <w:pPr>
        <w:keepNext/>
        <w:tabs>
          <w:tab w:val="left" w:pos="90"/>
        </w:tabs>
        <w:autoSpaceDE w:val="0"/>
        <w:autoSpaceDN w:val="0"/>
        <w:rPr>
          <w:rFonts w:cs="Arial"/>
          <w:color w:val="000000"/>
          <w:u w:val="single"/>
          <w:lang w:val="fr-CH"/>
        </w:rPr>
      </w:pPr>
      <w:r w:rsidRPr="00E73C16">
        <w:rPr>
          <w:rFonts w:cs="Arial"/>
          <w:color w:val="000000"/>
          <w:u w:val="single"/>
          <w:lang w:val="fr-CH"/>
        </w:rPr>
        <w:t xml:space="preserve">ORGANISATION AFRICAINE DE LA PROPRIÉTÉ INTELLECTUELLE / OAPI - AFRICAN </w:t>
      </w:r>
      <w:r w:rsidRPr="00AC0DE9">
        <w:rPr>
          <w:rFonts w:cs="Arial"/>
          <w:color w:val="000000"/>
          <w:u w:val="single"/>
        </w:rPr>
        <w:t xml:space="preserve">INTELLECTUAL PROPERTY ORGANIZATION / AFRIKANISCHE ORGANISATION FÜR </w:t>
      </w:r>
      <w:r w:rsidRPr="00E73C16">
        <w:rPr>
          <w:rFonts w:cs="Arial"/>
          <w:color w:val="000000"/>
          <w:u w:val="single"/>
          <w:lang w:val="es-ES"/>
        </w:rPr>
        <w:t xml:space="preserve">GEISTIGES EIGENTUM / ORGANIZACIÓN AFRICANA DE LA PROPIEDAD </w:t>
      </w:r>
      <w:r w:rsidRPr="00E73C16">
        <w:rPr>
          <w:rFonts w:cs="Arial"/>
          <w:color w:val="000000"/>
          <w:u w:val="single"/>
          <w:lang w:val="fr-CH"/>
        </w:rPr>
        <w:t>INTELECTUAL</w:t>
      </w:r>
    </w:p>
    <w:p w:rsidR="00D539E8" w:rsidRPr="00E73C16" w:rsidRDefault="00D539E8" w:rsidP="00907AD7">
      <w:pPr>
        <w:keepNext/>
        <w:tabs>
          <w:tab w:val="left" w:pos="90"/>
        </w:tabs>
        <w:autoSpaceDE w:val="0"/>
        <w:autoSpaceDN w:val="0"/>
        <w:rPr>
          <w:rFonts w:cs="Arial"/>
          <w:color w:val="000000"/>
          <w:u w:val="single"/>
          <w:lang w:val="fr-CH"/>
        </w:rPr>
      </w:pPr>
    </w:p>
    <w:p w:rsidR="00D539E8" w:rsidRPr="00E73C16" w:rsidRDefault="00D539E8" w:rsidP="00907AD7">
      <w:pPr>
        <w:keepNext/>
        <w:tabs>
          <w:tab w:val="left" w:pos="90"/>
        </w:tabs>
        <w:autoSpaceDE w:val="0"/>
        <w:autoSpaceDN w:val="0"/>
        <w:rPr>
          <w:rFonts w:cs="Arial"/>
          <w:color w:val="000000"/>
          <w:lang w:val="fr-CH"/>
        </w:rPr>
      </w:pPr>
      <w:r w:rsidRPr="00E73C16">
        <w:rPr>
          <w:rFonts w:cs="Arial"/>
          <w:color w:val="000000"/>
          <w:lang w:val="fr-CH"/>
        </w:rPr>
        <w:t xml:space="preserve">Juliette DOUMATEY AYITE (Mme), Directeur Général Adjoint, Organisation africaine de la </w:t>
      </w:r>
    </w:p>
    <w:p w:rsidR="00D539E8" w:rsidRPr="00E73C16" w:rsidRDefault="00D539E8" w:rsidP="00907AD7">
      <w:pPr>
        <w:keepNext/>
        <w:tabs>
          <w:tab w:val="left" w:pos="90"/>
        </w:tabs>
        <w:autoSpaceDE w:val="0"/>
        <w:autoSpaceDN w:val="0"/>
        <w:rPr>
          <w:rFonts w:cs="Arial"/>
          <w:color w:val="000000"/>
          <w:lang w:val="fr-CH"/>
        </w:rPr>
      </w:pPr>
      <w:r w:rsidRPr="00E73C16">
        <w:rPr>
          <w:rFonts w:cs="Arial"/>
          <w:color w:val="000000"/>
          <w:lang w:val="fr-CH"/>
        </w:rPr>
        <w:t xml:space="preserve">propriété intellectuelle (OAPI), Yaoundé (e-mail: ayijuliette@yahoo.fr)  </w:t>
      </w:r>
    </w:p>
    <w:p w:rsidR="00D539E8" w:rsidRPr="00E73C16" w:rsidRDefault="00D539E8" w:rsidP="00907AD7">
      <w:pPr>
        <w:keepNext/>
        <w:tabs>
          <w:tab w:val="left" w:pos="90"/>
        </w:tabs>
        <w:autoSpaceDE w:val="0"/>
        <w:autoSpaceDN w:val="0"/>
        <w:rPr>
          <w:rFonts w:cs="Arial"/>
          <w:color w:val="000000"/>
          <w:lang w:val="fr-CH"/>
        </w:rPr>
      </w:pPr>
    </w:p>
    <w:p w:rsidR="00D539E8" w:rsidRPr="00E73C16" w:rsidRDefault="00D539E8" w:rsidP="00907AD7">
      <w:pPr>
        <w:keepNext/>
        <w:tabs>
          <w:tab w:val="left" w:pos="90"/>
        </w:tabs>
        <w:autoSpaceDE w:val="0"/>
        <w:autoSpaceDN w:val="0"/>
        <w:rPr>
          <w:rFonts w:cs="Arial"/>
          <w:color w:val="000000"/>
          <w:lang w:val="fr-CH"/>
        </w:rPr>
      </w:pPr>
      <w:r w:rsidRPr="00E73C16">
        <w:rPr>
          <w:rFonts w:cs="Arial"/>
          <w:color w:val="000000"/>
          <w:lang w:val="fr-CH"/>
        </w:rPr>
        <w:t xml:space="preserve">Wéré Régine GAZARO (Madame), Directeur, Protection de la propriété industrielle, Organisation </w:t>
      </w:r>
    </w:p>
    <w:p w:rsidR="00D539E8" w:rsidRPr="00E73C16" w:rsidRDefault="00D539E8" w:rsidP="00907AD7">
      <w:pPr>
        <w:keepNext/>
        <w:tabs>
          <w:tab w:val="left" w:pos="90"/>
        </w:tabs>
        <w:autoSpaceDE w:val="0"/>
        <w:autoSpaceDN w:val="0"/>
        <w:rPr>
          <w:rFonts w:cs="Arial"/>
          <w:color w:val="000000"/>
          <w:lang w:val="fr-CH"/>
        </w:rPr>
      </w:pPr>
      <w:r w:rsidRPr="00E73C16">
        <w:rPr>
          <w:rFonts w:cs="Arial"/>
          <w:color w:val="000000"/>
          <w:lang w:val="fr-CH"/>
        </w:rPr>
        <w:t xml:space="preserve">africaine de la propriété intellectuelle (OAPI), Yaoundé (e-mail: </w:t>
      </w:r>
      <w:r w:rsidRPr="00D539E8">
        <w:rPr>
          <w:rFonts w:cs="Arial"/>
          <w:lang w:val="fr-CH"/>
        </w:rPr>
        <w:t>were_regine@yahoo.fr</w:t>
      </w:r>
      <w:r w:rsidRPr="00E73C16">
        <w:rPr>
          <w:rFonts w:cs="Arial"/>
          <w:lang w:val="fr-CH"/>
        </w:rPr>
        <w:t>)</w:t>
      </w:r>
    </w:p>
    <w:p w:rsidR="00D539E8" w:rsidRPr="00E73C16" w:rsidRDefault="00D539E8" w:rsidP="00907AD7">
      <w:pPr>
        <w:keepNext/>
        <w:tabs>
          <w:tab w:val="left" w:pos="90"/>
        </w:tabs>
        <w:autoSpaceDE w:val="0"/>
        <w:autoSpaceDN w:val="0"/>
        <w:rPr>
          <w:rFonts w:cs="Arial"/>
          <w:color w:val="000000"/>
          <w:lang w:val="fr-CH"/>
        </w:rPr>
      </w:pPr>
    </w:p>
    <w:p w:rsidR="00D539E8" w:rsidRPr="00E73C16" w:rsidRDefault="00D539E8" w:rsidP="00907AD7">
      <w:pPr>
        <w:tabs>
          <w:tab w:val="left" w:pos="90"/>
        </w:tabs>
        <w:autoSpaceDE w:val="0"/>
        <w:autoSpaceDN w:val="0"/>
        <w:rPr>
          <w:rFonts w:cs="Arial"/>
          <w:color w:val="000000"/>
          <w:u w:val="single"/>
          <w:lang w:val="es-ES"/>
        </w:rPr>
      </w:pPr>
      <w:r w:rsidRPr="00E73C16">
        <w:rPr>
          <w:rFonts w:cs="Arial"/>
          <w:color w:val="000000"/>
          <w:u w:val="single"/>
          <w:lang w:val="es-ES"/>
        </w:rPr>
        <w:t>PARAGUAY / PARAGUAY / PARAGUAY / PARAGUAY</w:t>
      </w:r>
    </w:p>
    <w:p w:rsidR="00D539E8" w:rsidRPr="00E73C16" w:rsidRDefault="00D539E8" w:rsidP="00907AD7">
      <w:pPr>
        <w:tabs>
          <w:tab w:val="left" w:pos="90"/>
        </w:tabs>
        <w:autoSpaceDE w:val="0"/>
        <w:autoSpaceDN w:val="0"/>
        <w:rPr>
          <w:rFonts w:cs="Arial"/>
          <w:color w:val="000000"/>
          <w:u w:val="single"/>
          <w:lang w:val="es-ES"/>
        </w:rPr>
      </w:pPr>
    </w:p>
    <w:p w:rsidR="00D539E8" w:rsidRPr="00E73C16" w:rsidRDefault="00D539E8" w:rsidP="00907AD7">
      <w:pPr>
        <w:tabs>
          <w:tab w:val="left" w:pos="90"/>
        </w:tabs>
        <w:autoSpaceDE w:val="0"/>
        <w:autoSpaceDN w:val="0"/>
        <w:rPr>
          <w:rFonts w:cs="Arial"/>
          <w:color w:val="000000"/>
          <w:u w:val="single"/>
          <w:lang w:val="es-ES"/>
        </w:rPr>
      </w:pPr>
      <w:r w:rsidRPr="00E73C16">
        <w:rPr>
          <w:rFonts w:cs="Arial"/>
          <w:color w:val="000000"/>
          <w:lang w:val="es-ES"/>
        </w:rPr>
        <w:t>Regis MERELES MACIEL, Presidente, Servicio Nacional de Calidad y Sanidad Vegetal y de Semillas (SENAVE) (e-mail: regis.mereles@senave.gov.py)</w:t>
      </w:r>
    </w:p>
    <w:p w:rsidR="00D539E8" w:rsidRPr="00E73C16" w:rsidRDefault="00D539E8" w:rsidP="00907AD7">
      <w:pPr>
        <w:tabs>
          <w:tab w:val="left" w:pos="90"/>
        </w:tabs>
        <w:autoSpaceDE w:val="0"/>
        <w:autoSpaceDN w:val="0"/>
        <w:rPr>
          <w:rFonts w:cs="Arial"/>
          <w:color w:val="000000"/>
          <w:u w:val="single"/>
          <w:lang w:val="es-ES"/>
        </w:rPr>
      </w:pPr>
    </w:p>
    <w:p w:rsidR="00D539E8" w:rsidRPr="00E73C16" w:rsidRDefault="00D539E8" w:rsidP="00907AD7">
      <w:pPr>
        <w:keepLines/>
        <w:tabs>
          <w:tab w:val="left" w:pos="90"/>
        </w:tabs>
        <w:autoSpaceDE w:val="0"/>
        <w:autoSpaceDN w:val="0"/>
        <w:rPr>
          <w:rFonts w:cs="Arial"/>
          <w:color w:val="000000"/>
          <w:lang w:val="es-ES"/>
        </w:rPr>
      </w:pPr>
      <w:r w:rsidRPr="00E73C16">
        <w:rPr>
          <w:rFonts w:cs="Arial"/>
          <w:color w:val="000000"/>
          <w:lang w:val="es-ES"/>
        </w:rPr>
        <w:t>Sr. Enrique ROJAS MACEDO, Director General, Dirección General de Asuntos Jurídicos Servicio Nacional de Calidad y Sanidad Vegetal y de Semillas (SENAVE), (e-mail: enrique.macedo@senave.gov.py</w:t>
      </w:r>
      <w:r>
        <w:rPr>
          <w:rFonts w:cs="Arial"/>
          <w:color w:val="000000"/>
          <w:lang w:val="es-ES"/>
        </w:rPr>
        <w:t>)</w:t>
      </w:r>
    </w:p>
    <w:p w:rsidR="00D539E8" w:rsidRPr="00E73C16" w:rsidRDefault="00D539E8" w:rsidP="00907AD7">
      <w:pPr>
        <w:tabs>
          <w:tab w:val="left" w:pos="90"/>
        </w:tabs>
        <w:autoSpaceDE w:val="0"/>
        <w:autoSpaceDN w:val="0"/>
        <w:rPr>
          <w:rFonts w:cs="Arial"/>
          <w:color w:val="000000"/>
          <w:lang w:val="es-ES"/>
        </w:rPr>
      </w:pPr>
    </w:p>
    <w:p w:rsidR="00D539E8" w:rsidRPr="00E73C16" w:rsidRDefault="00D539E8" w:rsidP="00907AD7">
      <w:pPr>
        <w:keepNext/>
        <w:tabs>
          <w:tab w:val="left" w:pos="90"/>
        </w:tabs>
        <w:autoSpaceDE w:val="0"/>
        <w:autoSpaceDN w:val="0"/>
        <w:rPr>
          <w:rFonts w:cs="Arial"/>
          <w:color w:val="000000"/>
          <w:u w:val="single"/>
          <w:lang w:val="fr-CH"/>
        </w:rPr>
      </w:pPr>
      <w:r w:rsidRPr="00E73C16">
        <w:rPr>
          <w:rFonts w:cs="Arial"/>
          <w:color w:val="000000"/>
          <w:u w:val="single"/>
          <w:lang w:val="fr-CH"/>
        </w:rPr>
        <w:t>PAYS-BAS / NETHERLANDS / NIEDERLANDE / PAÍSES BAJOS</w:t>
      </w:r>
    </w:p>
    <w:p w:rsidR="00D539E8" w:rsidRPr="00E73C16" w:rsidRDefault="00D539E8" w:rsidP="00907AD7">
      <w:pPr>
        <w:keepNext/>
        <w:tabs>
          <w:tab w:val="left" w:pos="90"/>
        </w:tabs>
        <w:autoSpaceDE w:val="0"/>
        <w:autoSpaceDN w:val="0"/>
        <w:rPr>
          <w:rFonts w:cs="Arial"/>
          <w:color w:val="000000"/>
          <w:u w:val="single"/>
          <w:lang w:val="fr-CH"/>
        </w:rPr>
      </w:pPr>
    </w:p>
    <w:p w:rsidR="00D539E8" w:rsidRPr="00AC0DE9" w:rsidRDefault="00D539E8" w:rsidP="00907AD7">
      <w:pPr>
        <w:keepNext/>
        <w:tabs>
          <w:tab w:val="left" w:pos="90"/>
        </w:tabs>
        <w:autoSpaceDE w:val="0"/>
        <w:autoSpaceDN w:val="0"/>
        <w:rPr>
          <w:rFonts w:cs="Arial"/>
          <w:color w:val="000000"/>
        </w:rPr>
      </w:pPr>
      <w:r w:rsidRPr="00AC0DE9">
        <w:rPr>
          <w:rFonts w:cs="Arial"/>
          <w:color w:val="000000"/>
        </w:rPr>
        <w:t xml:space="preserve">Kees Jan GROENEWOUD, Secretary, Plant Variety Board (Raad voor Plantenrassen), Naktuinbouw, Roelofarendsveen (e-mail: c.j.a.groenewoud@naktuinbouw.nl)  </w:t>
      </w:r>
    </w:p>
    <w:p w:rsidR="00D539E8" w:rsidRDefault="00D539E8" w:rsidP="00907AD7">
      <w:pPr>
        <w:tabs>
          <w:tab w:val="left" w:pos="90"/>
        </w:tabs>
        <w:autoSpaceDE w:val="0"/>
        <w:autoSpaceDN w:val="0"/>
        <w:adjustRightInd w:val="0"/>
        <w:rPr>
          <w:rFonts w:cs="Arial"/>
          <w:color w:val="000000"/>
        </w:rPr>
      </w:pPr>
    </w:p>
    <w:p w:rsidR="00D539E8" w:rsidRDefault="00D539E8" w:rsidP="00907AD7">
      <w:pPr>
        <w:tabs>
          <w:tab w:val="left" w:pos="90"/>
        </w:tabs>
        <w:autoSpaceDE w:val="0"/>
        <w:autoSpaceDN w:val="0"/>
        <w:adjustRightInd w:val="0"/>
        <w:rPr>
          <w:rFonts w:cs="Arial"/>
          <w:color w:val="000000"/>
        </w:rPr>
      </w:pPr>
      <w:r>
        <w:rPr>
          <w:rFonts w:cs="Arial"/>
          <w:color w:val="000000"/>
        </w:rPr>
        <w:t>Jacob SATTER, Senior Policy Officer, Seeds and Propagation Materials, Ministry of Economic Affairs, The Hague (e-mail: j.h.satter@minez.nl)</w:t>
      </w:r>
    </w:p>
    <w:p w:rsidR="00D539E8" w:rsidRPr="00AC0DE9" w:rsidRDefault="00D539E8" w:rsidP="00907AD7">
      <w:pPr>
        <w:tabs>
          <w:tab w:val="left" w:pos="90"/>
        </w:tabs>
        <w:autoSpaceDE w:val="0"/>
        <w:autoSpaceDN w:val="0"/>
        <w:rPr>
          <w:rFonts w:cs="Arial"/>
          <w:color w:val="000000"/>
        </w:rPr>
      </w:pPr>
    </w:p>
    <w:p w:rsidR="00D539E8" w:rsidRDefault="00D539E8" w:rsidP="00907AD7">
      <w:pPr>
        <w:keepNext/>
        <w:keepLines/>
        <w:tabs>
          <w:tab w:val="left" w:pos="90"/>
        </w:tabs>
        <w:autoSpaceDE w:val="0"/>
        <w:autoSpaceDN w:val="0"/>
        <w:rPr>
          <w:rFonts w:cs="Arial"/>
          <w:color w:val="000000"/>
        </w:rPr>
      </w:pPr>
      <w:r w:rsidRPr="00AC0DE9">
        <w:rPr>
          <w:rFonts w:cs="Arial"/>
          <w:color w:val="000000"/>
        </w:rPr>
        <w:t xml:space="preserve">Kees VAN ETTEKOVEN, Head of Variety Testing Department, Naktuinbouw NL, Roelofarendsveen </w:t>
      </w:r>
    </w:p>
    <w:p w:rsidR="00D539E8" w:rsidRPr="00E73C16" w:rsidRDefault="00D539E8" w:rsidP="00907AD7">
      <w:pPr>
        <w:tabs>
          <w:tab w:val="left" w:pos="90"/>
        </w:tabs>
        <w:autoSpaceDE w:val="0"/>
        <w:autoSpaceDN w:val="0"/>
        <w:spacing w:after="240"/>
        <w:rPr>
          <w:rFonts w:cs="Arial"/>
          <w:color w:val="000000"/>
          <w:lang w:val="fr-CH"/>
        </w:rPr>
      </w:pPr>
      <w:r w:rsidRPr="00E73C16">
        <w:rPr>
          <w:rFonts w:cs="Arial"/>
          <w:color w:val="000000"/>
          <w:lang w:val="fr-CH"/>
        </w:rPr>
        <w:t xml:space="preserve">(e-mail: c.v.ettekoven@naktuinbouw.nl)  </w:t>
      </w:r>
    </w:p>
    <w:p w:rsidR="00D539E8" w:rsidRPr="00E73C16" w:rsidRDefault="00D539E8" w:rsidP="00907AD7">
      <w:pPr>
        <w:tabs>
          <w:tab w:val="left" w:pos="90"/>
        </w:tabs>
        <w:autoSpaceDE w:val="0"/>
        <w:autoSpaceDN w:val="0"/>
        <w:rPr>
          <w:rFonts w:cs="Arial"/>
          <w:color w:val="000000"/>
          <w:u w:val="single"/>
          <w:lang w:val="fr-CH"/>
        </w:rPr>
      </w:pPr>
      <w:r w:rsidRPr="00E73C16">
        <w:rPr>
          <w:rFonts w:cs="Arial"/>
          <w:color w:val="000000"/>
          <w:u w:val="single"/>
          <w:lang w:val="fr-CH"/>
        </w:rPr>
        <w:lastRenderedPageBreak/>
        <w:t>POLOGNE / POLAND / POLEN / POLONIA</w:t>
      </w:r>
    </w:p>
    <w:p w:rsidR="00D539E8" w:rsidRPr="00E73C16" w:rsidRDefault="00D539E8" w:rsidP="00907AD7">
      <w:pPr>
        <w:tabs>
          <w:tab w:val="left" w:pos="90"/>
        </w:tabs>
        <w:autoSpaceDE w:val="0"/>
        <w:autoSpaceDN w:val="0"/>
        <w:rPr>
          <w:rFonts w:cs="Arial"/>
          <w:color w:val="000000"/>
          <w:u w:val="single"/>
          <w:lang w:val="fr-CH"/>
        </w:rPr>
      </w:pPr>
    </w:p>
    <w:p w:rsidR="00D539E8" w:rsidRDefault="00D539E8" w:rsidP="00907AD7">
      <w:pPr>
        <w:tabs>
          <w:tab w:val="left" w:pos="90"/>
        </w:tabs>
        <w:autoSpaceDE w:val="0"/>
        <w:autoSpaceDN w:val="0"/>
        <w:rPr>
          <w:rFonts w:cs="Arial"/>
          <w:color w:val="000000"/>
        </w:rPr>
      </w:pPr>
      <w:r w:rsidRPr="00AC0DE9">
        <w:rPr>
          <w:rFonts w:cs="Arial"/>
          <w:color w:val="000000"/>
        </w:rPr>
        <w:t xml:space="preserve">Marcin BEHNKE, Deputy Director General for Experimental Affairs, Research Centre for Cultivar Testing (COBORU), Slupia Wielka (e-mail: m.behnke@coboru.pl)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Alicja RUTKOWSKA (Mrs.), Head, National Listing and Plant Breeders' Rights Protection Office, The Research Centre for Cultivar Testing (COBORU), Slupia Wielka (e-mail: a.rutkowska@coboru.pl)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RÉPUBLIQUE DE CORÉE / REPUBLIC OF KOREA / REPUBLIK KOREA / REPÚBLICA DE COREA</w:t>
      </w:r>
    </w:p>
    <w:p w:rsidR="00D539E8" w:rsidRPr="00AC0DE9" w:rsidRDefault="00D539E8" w:rsidP="00907AD7">
      <w:pPr>
        <w:tabs>
          <w:tab w:val="left" w:pos="90"/>
        </w:tabs>
        <w:autoSpaceDE w:val="0"/>
        <w:autoSpaceDN w:val="0"/>
        <w:rPr>
          <w:rFonts w:cs="Arial"/>
          <w:color w:val="000000"/>
          <w:u w:val="single"/>
        </w:rPr>
      </w:pPr>
    </w:p>
    <w:p w:rsidR="00D539E8" w:rsidRDefault="00D539E8" w:rsidP="00907AD7">
      <w:pPr>
        <w:tabs>
          <w:tab w:val="left" w:pos="90"/>
        </w:tabs>
        <w:autoSpaceDE w:val="0"/>
        <w:autoSpaceDN w:val="0"/>
        <w:rPr>
          <w:rFonts w:cs="Arial"/>
          <w:color w:val="000000"/>
        </w:rPr>
      </w:pPr>
      <w:r w:rsidRPr="00AC0DE9">
        <w:rPr>
          <w:rFonts w:cs="Arial"/>
          <w:color w:val="000000"/>
        </w:rPr>
        <w:t>Seung-In YI, Deputy Head, Plant Variety Protection Division, Korea Seed &amp; Variety Service (KSVS), Gyeongsangbuk-Do (e-mail: seedin@korea.kr)</w:t>
      </w:r>
    </w:p>
    <w:p w:rsidR="00D539E8"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Kwang-Hong LEE, Agricultural Researcher, Korea Seed and Variety Service (KSVS), Gyeongsangnam-Do (e-mail: grin@korea.kr)  </w:t>
      </w:r>
    </w:p>
    <w:p w:rsidR="00D539E8" w:rsidRPr="00AC0DE9" w:rsidRDefault="00D539E8" w:rsidP="00907AD7">
      <w:pPr>
        <w:tabs>
          <w:tab w:val="left" w:pos="90"/>
        </w:tabs>
        <w:autoSpaceDE w:val="0"/>
        <w:autoSpaceDN w:val="0"/>
        <w:rPr>
          <w:rFonts w:cs="Arial"/>
          <w:color w:val="000000"/>
        </w:rPr>
      </w:pP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t xml:space="preserve">RÉPUBLIQUE DE MOLDOVA / REPUBLIC OF MOLDOVA / REPUBLIK MOLDAU / </w:t>
      </w:r>
    </w:p>
    <w:p w:rsidR="00D539E8" w:rsidRPr="00E73C16" w:rsidRDefault="00D539E8" w:rsidP="00907AD7">
      <w:pPr>
        <w:keepNext/>
        <w:tabs>
          <w:tab w:val="left" w:pos="90"/>
        </w:tabs>
        <w:autoSpaceDE w:val="0"/>
        <w:autoSpaceDN w:val="0"/>
        <w:rPr>
          <w:rFonts w:cs="Arial"/>
          <w:color w:val="000000"/>
          <w:u w:val="single"/>
          <w:lang w:val="es-ES"/>
        </w:rPr>
      </w:pPr>
      <w:r w:rsidRPr="00E73C16">
        <w:rPr>
          <w:rFonts w:cs="Arial"/>
          <w:color w:val="000000"/>
          <w:u w:val="single"/>
          <w:lang w:val="es-ES"/>
        </w:rPr>
        <w:t>REPÚBLICA DE MOLDOVA</w:t>
      </w:r>
    </w:p>
    <w:p w:rsidR="00D539E8" w:rsidRPr="00E73C16" w:rsidRDefault="00D539E8" w:rsidP="00907AD7">
      <w:pPr>
        <w:keepNext/>
        <w:tabs>
          <w:tab w:val="left" w:pos="90"/>
        </w:tabs>
        <w:autoSpaceDE w:val="0"/>
        <w:autoSpaceDN w:val="0"/>
        <w:rPr>
          <w:rFonts w:cs="Arial"/>
          <w:color w:val="000000"/>
          <w:u w:val="single"/>
          <w:lang w:val="es-ES"/>
        </w:rPr>
      </w:pPr>
    </w:p>
    <w:p w:rsidR="00D539E8" w:rsidRDefault="00D539E8" w:rsidP="00907AD7">
      <w:pPr>
        <w:keepNext/>
        <w:tabs>
          <w:tab w:val="left" w:pos="90"/>
        </w:tabs>
        <w:autoSpaceDE w:val="0"/>
        <w:autoSpaceDN w:val="0"/>
        <w:rPr>
          <w:rFonts w:cs="Arial"/>
          <w:color w:val="000000"/>
        </w:rPr>
      </w:pPr>
      <w:r w:rsidRPr="00AC0DE9">
        <w:rPr>
          <w:rFonts w:cs="Arial"/>
          <w:color w:val="000000"/>
        </w:rPr>
        <w:t xml:space="preserve">Mihail MACHIDON, Chairman, State Commission for Crops Variety Testing and Registration (SCCVTR), Chisinau (e-mail: info@cstsp.md)  </w:t>
      </w:r>
    </w:p>
    <w:p w:rsidR="00D539E8" w:rsidRPr="00AC0DE9" w:rsidRDefault="00D539E8" w:rsidP="00907AD7">
      <w:pPr>
        <w:tabs>
          <w:tab w:val="left" w:pos="90"/>
        </w:tabs>
        <w:autoSpaceDE w:val="0"/>
        <w:autoSpaceDN w:val="0"/>
        <w:rPr>
          <w:rFonts w:cs="Arial"/>
          <w:color w:val="000000"/>
        </w:rPr>
      </w:pPr>
    </w:p>
    <w:p w:rsidR="00D539E8" w:rsidRDefault="00D539E8" w:rsidP="00907AD7">
      <w:pPr>
        <w:keepNext/>
        <w:tabs>
          <w:tab w:val="left" w:pos="90"/>
        </w:tabs>
        <w:autoSpaceDE w:val="0"/>
        <w:autoSpaceDN w:val="0"/>
        <w:rPr>
          <w:rFonts w:cs="Arial"/>
          <w:color w:val="000000"/>
          <w:u w:val="single"/>
        </w:rPr>
      </w:pPr>
      <w:r w:rsidRPr="00AC0DE9">
        <w:rPr>
          <w:rFonts w:cs="Arial"/>
          <w:color w:val="000000"/>
          <w:u w:val="single"/>
        </w:rPr>
        <w:t>ROUMANIE / ROMANIA / RUMÄNIEN / RUMANIA</w:t>
      </w:r>
    </w:p>
    <w:p w:rsidR="00D539E8" w:rsidRPr="00AC0DE9" w:rsidRDefault="00D539E8" w:rsidP="00907AD7">
      <w:pPr>
        <w:keepNext/>
        <w:tabs>
          <w:tab w:val="left" w:pos="90"/>
        </w:tabs>
        <w:autoSpaceDE w:val="0"/>
        <w:autoSpaceDN w:val="0"/>
        <w:rPr>
          <w:rFonts w:cs="Arial"/>
          <w:color w:val="000000"/>
          <w:u w:val="single"/>
        </w:rPr>
      </w:pPr>
    </w:p>
    <w:p w:rsidR="00D539E8" w:rsidRDefault="00D539E8" w:rsidP="00907AD7">
      <w:pPr>
        <w:keepNext/>
        <w:tabs>
          <w:tab w:val="left" w:pos="90"/>
        </w:tabs>
        <w:autoSpaceDE w:val="0"/>
        <w:autoSpaceDN w:val="0"/>
        <w:rPr>
          <w:rFonts w:cs="Arial"/>
          <w:color w:val="000000"/>
        </w:rPr>
      </w:pPr>
      <w:r w:rsidRPr="00AC0DE9">
        <w:rPr>
          <w:rFonts w:cs="Arial"/>
          <w:color w:val="000000"/>
        </w:rPr>
        <w:t xml:space="preserve">Mihaela-Rodica CIORA (Mrs.), Senior Expert, State Institute for Variety Testing and Registration (ISTIS), Bucarest (e-mail: mihaela_ciora@yahoo.com)  </w:t>
      </w:r>
    </w:p>
    <w:p w:rsidR="00D539E8" w:rsidRPr="00AC0DE9" w:rsidRDefault="00D539E8" w:rsidP="00907AD7">
      <w:pPr>
        <w:keepNext/>
        <w:tabs>
          <w:tab w:val="left" w:pos="90"/>
        </w:tabs>
        <w:autoSpaceDE w:val="0"/>
        <w:autoSpaceDN w:val="0"/>
        <w:rPr>
          <w:rFonts w:cs="Arial"/>
          <w:color w:val="000000"/>
        </w:rPr>
      </w:pPr>
    </w:p>
    <w:p w:rsidR="00D539E8" w:rsidRPr="00AC0DE9" w:rsidRDefault="00D539E8" w:rsidP="00907AD7">
      <w:pPr>
        <w:keepNext/>
        <w:tabs>
          <w:tab w:val="left" w:pos="90"/>
        </w:tabs>
        <w:autoSpaceDE w:val="0"/>
        <w:autoSpaceDN w:val="0"/>
        <w:rPr>
          <w:rFonts w:cs="Arial"/>
          <w:color w:val="000000"/>
        </w:rPr>
      </w:pPr>
      <w:r w:rsidRPr="00AC0DE9">
        <w:rPr>
          <w:rFonts w:cs="Arial"/>
          <w:color w:val="000000"/>
        </w:rPr>
        <w:t xml:space="preserve">Cristian Irinel MOCANU, Head of Legal and Administrative Department, State Institute for Variety Testing and Registration, Bucharest (e-mail: irinel_mocanu@istis.ro)  </w:t>
      </w:r>
    </w:p>
    <w:p w:rsidR="00D539E8" w:rsidRPr="00AC0DE9" w:rsidRDefault="00D539E8" w:rsidP="00907AD7">
      <w:pPr>
        <w:keepNext/>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ROYAUME-UNI / UNITED KINGDOM / VEREINIGTES KÖNIGREICH / REINO UNIDO</w:t>
      </w:r>
    </w:p>
    <w:p w:rsidR="00D539E8" w:rsidRPr="00AC0DE9" w:rsidRDefault="00D539E8" w:rsidP="00907AD7">
      <w:pPr>
        <w:tabs>
          <w:tab w:val="left" w:pos="90"/>
        </w:tabs>
        <w:autoSpaceDE w:val="0"/>
        <w:autoSpaceDN w:val="0"/>
        <w:rPr>
          <w:rFonts w:cs="Arial"/>
          <w:color w:val="000000"/>
          <w:u w:val="single"/>
        </w:rPr>
      </w:pPr>
    </w:p>
    <w:p w:rsidR="00D539E8" w:rsidRDefault="00D539E8" w:rsidP="00907AD7">
      <w:pPr>
        <w:tabs>
          <w:tab w:val="left" w:pos="90"/>
        </w:tabs>
        <w:autoSpaceDE w:val="0"/>
        <w:autoSpaceDN w:val="0"/>
        <w:rPr>
          <w:rFonts w:cs="Arial"/>
          <w:color w:val="000000"/>
        </w:rPr>
      </w:pPr>
      <w:r w:rsidRPr="00AC0DE9">
        <w:rPr>
          <w:rFonts w:cs="Arial"/>
          <w:color w:val="000000"/>
        </w:rPr>
        <w:t xml:space="preserve">Andrew MITCHELL, Policy Team Leader, Department for Environment, Food and Rural Affairs (DEFRA), Cambridge (e-mail: andrew.mitchell@defra.gsi.gov.uk)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SLOVAQUIE / SLOVAKIA / SLOWAKEI / ESLOVAQUIA</w:t>
      </w:r>
    </w:p>
    <w:p w:rsidR="00D539E8" w:rsidRPr="00AC0DE9" w:rsidRDefault="00D539E8" w:rsidP="00907AD7">
      <w:pPr>
        <w:tabs>
          <w:tab w:val="left" w:pos="90"/>
        </w:tabs>
        <w:autoSpaceDE w:val="0"/>
        <w:autoSpaceDN w:val="0"/>
        <w:rPr>
          <w:rFonts w:cs="Arial"/>
          <w:color w:val="000000"/>
          <w:u w:val="single"/>
        </w:rPr>
      </w:pPr>
    </w:p>
    <w:p w:rsidR="00D539E8" w:rsidRDefault="00D539E8" w:rsidP="00907AD7">
      <w:pPr>
        <w:tabs>
          <w:tab w:val="left" w:pos="90"/>
        </w:tabs>
        <w:autoSpaceDE w:val="0"/>
        <w:autoSpaceDN w:val="0"/>
        <w:rPr>
          <w:rFonts w:cs="Arial"/>
          <w:color w:val="000000"/>
        </w:rPr>
      </w:pPr>
      <w:r w:rsidRPr="00AC0DE9">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u w:val="single"/>
        </w:rPr>
      </w:pPr>
      <w:r w:rsidRPr="00AC0DE9">
        <w:rPr>
          <w:rFonts w:cs="Arial"/>
          <w:color w:val="000000"/>
          <w:u w:val="single"/>
        </w:rPr>
        <w:t>SUÈDE / SWEDEN / SCHWEDEN / SUECIA</w:t>
      </w:r>
    </w:p>
    <w:p w:rsidR="00D539E8" w:rsidRPr="00AC0DE9" w:rsidRDefault="00D539E8" w:rsidP="00907AD7">
      <w:pPr>
        <w:tabs>
          <w:tab w:val="left" w:pos="90"/>
        </w:tabs>
        <w:autoSpaceDE w:val="0"/>
        <w:autoSpaceDN w:val="0"/>
        <w:rPr>
          <w:rFonts w:cs="Arial"/>
          <w:color w:val="000000"/>
          <w:u w:val="single"/>
        </w:rPr>
      </w:pPr>
    </w:p>
    <w:p w:rsidR="00D539E8" w:rsidRPr="001331C4" w:rsidRDefault="00D539E8" w:rsidP="00907AD7">
      <w:pPr>
        <w:tabs>
          <w:tab w:val="left" w:pos="90"/>
        </w:tabs>
        <w:autoSpaceDE w:val="0"/>
        <w:autoSpaceDN w:val="0"/>
        <w:rPr>
          <w:rFonts w:cs="Arial"/>
          <w:color w:val="000000"/>
        </w:rPr>
      </w:pPr>
      <w:r w:rsidRPr="001331C4">
        <w:rPr>
          <w:rFonts w:cs="Arial"/>
          <w:color w:val="000000"/>
        </w:rPr>
        <w:t>Olof JOHANSSON, Head, Plant and Environment Department, Swedish Board of Agriculture, Jönköping</w:t>
      </w:r>
    </w:p>
    <w:p w:rsidR="00D539E8" w:rsidRPr="00E73C16" w:rsidRDefault="00D539E8" w:rsidP="00907AD7">
      <w:pPr>
        <w:tabs>
          <w:tab w:val="left" w:pos="90"/>
        </w:tabs>
        <w:autoSpaceDE w:val="0"/>
        <w:autoSpaceDN w:val="0"/>
        <w:rPr>
          <w:rFonts w:cs="Arial"/>
          <w:color w:val="000000"/>
          <w:lang w:val="fr-CH"/>
        </w:rPr>
      </w:pPr>
      <w:r w:rsidRPr="001331C4">
        <w:rPr>
          <w:rFonts w:cs="Arial"/>
          <w:color w:val="000000"/>
        </w:rPr>
        <w:t xml:space="preserve"> </w:t>
      </w:r>
      <w:r w:rsidRPr="00E73C16">
        <w:rPr>
          <w:rFonts w:cs="Arial"/>
          <w:color w:val="000000"/>
          <w:lang w:val="fr-CH"/>
        </w:rPr>
        <w:t xml:space="preserve">(e-mail: olof.johansson@jordbruksverket.se)  </w:t>
      </w:r>
    </w:p>
    <w:p w:rsidR="00D539E8" w:rsidRPr="00E73C16" w:rsidRDefault="00D539E8" w:rsidP="00907AD7">
      <w:pPr>
        <w:tabs>
          <w:tab w:val="left" w:pos="90"/>
        </w:tabs>
        <w:autoSpaceDE w:val="0"/>
        <w:autoSpaceDN w:val="0"/>
        <w:rPr>
          <w:rFonts w:cs="Arial"/>
          <w:color w:val="000000"/>
          <w:lang w:val="fr-CH"/>
        </w:rPr>
      </w:pPr>
    </w:p>
    <w:p w:rsidR="00D539E8" w:rsidRPr="00E73C16" w:rsidRDefault="00D539E8" w:rsidP="00907AD7">
      <w:pPr>
        <w:keepNext/>
        <w:keepLines/>
        <w:tabs>
          <w:tab w:val="left" w:pos="90"/>
        </w:tabs>
        <w:autoSpaceDE w:val="0"/>
        <w:autoSpaceDN w:val="0"/>
        <w:rPr>
          <w:rFonts w:cs="Arial"/>
          <w:color w:val="000000"/>
          <w:u w:val="single"/>
          <w:lang w:val="fr-CH"/>
        </w:rPr>
      </w:pPr>
      <w:r w:rsidRPr="00E73C16">
        <w:rPr>
          <w:rFonts w:cs="Arial"/>
          <w:color w:val="000000"/>
          <w:u w:val="single"/>
          <w:lang w:val="fr-CH"/>
        </w:rPr>
        <w:t>SUISSE / SWITZERLAND / SCHWEIZ / SUIZA</w:t>
      </w:r>
    </w:p>
    <w:p w:rsidR="00D539E8" w:rsidRPr="00E73C16" w:rsidRDefault="00D539E8" w:rsidP="00907AD7">
      <w:pPr>
        <w:keepNext/>
        <w:keepLines/>
        <w:tabs>
          <w:tab w:val="left" w:pos="90"/>
        </w:tabs>
        <w:autoSpaceDE w:val="0"/>
        <w:autoSpaceDN w:val="0"/>
        <w:rPr>
          <w:rFonts w:cs="Arial"/>
          <w:color w:val="000000"/>
          <w:u w:val="single"/>
          <w:lang w:val="fr-CH"/>
        </w:rPr>
      </w:pPr>
    </w:p>
    <w:p w:rsidR="00D539E8" w:rsidRPr="00E73C16" w:rsidRDefault="00D539E8" w:rsidP="00907AD7">
      <w:pPr>
        <w:keepNext/>
        <w:keepLines/>
        <w:tabs>
          <w:tab w:val="left" w:pos="90"/>
        </w:tabs>
        <w:autoSpaceDE w:val="0"/>
        <w:autoSpaceDN w:val="0"/>
        <w:rPr>
          <w:rFonts w:cs="Arial"/>
          <w:color w:val="000000"/>
          <w:lang w:val="fr-CH"/>
        </w:rPr>
      </w:pPr>
      <w:r w:rsidRPr="00E73C16">
        <w:rPr>
          <w:rFonts w:cs="Arial"/>
          <w:color w:val="000000"/>
          <w:lang w:val="fr-CH"/>
        </w:rPr>
        <w:t xml:space="preserve">Eva TSCHARLAND (Frau), Juristin, Direktionsbereich Landwirtschaftliche Produktionsmittel, Bundesamt für Landwirtschaft, Bern (e-mail: eva.tscharland@blw.admin.ch)  </w:t>
      </w:r>
    </w:p>
    <w:p w:rsidR="00D539E8" w:rsidRPr="00E73C16" w:rsidRDefault="00D539E8" w:rsidP="00907AD7">
      <w:pPr>
        <w:tabs>
          <w:tab w:val="left" w:pos="90"/>
        </w:tabs>
        <w:autoSpaceDE w:val="0"/>
        <w:autoSpaceDN w:val="0"/>
        <w:rPr>
          <w:rFonts w:cs="Arial"/>
          <w:color w:val="000000"/>
          <w:lang w:val="fr-CH"/>
        </w:rPr>
      </w:pPr>
    </w:p>
    <w:p w:rsidR="00D539E8" w:rsidRDefault="00D539E8" w:rsidP="00907AD7">
      <w:pPr>
        <w:tabs>
          <w:tab w:val="left" w:pos="90"/>
        </w:tabs>
        <w:autoSpaceDE w:val="0"/>
        <w:autoSpaceDN w:val="0"/>
        <w:rPr>
          <w:rFonts w:cs="Arial"/>
          <w:color w:val="000000"/>
        </w:rPr>
      </w:pPr>
      <w:r w:rsidRPr="00AC0DE9">
        <w:rPr>
          <w:rFonts w:cs="Arial"/>
          <w:color w:val="000000"/>
        </w:rPr>
        <w:t>Manuela BRAND (Ms.), Plant Variety Rights Office, Federal Department of Economic Affairs</w:t>
      </w:r>
      <w:r>
        <w:rPr>
          <w:rFonts w:cs="Arial"/>
          <w:color w:val="000000"/>
        </w:rPr>
        <w:t xml:space="preserve"> </w:t>
      </w:r>
      <w:r w:rsidRPr="00AC0DE9">
        <w:rPr>
          <w:rFonts w:cs="Arial"/>
          <w:color w:val="000000"/>
        </w:rPr>
        <w:t>Education and Research EAER</w:t>
      </w:r>
      <w:r>
        <w:rPr>
          <w:rFonts w:cs="Arial"/>
          <w:color w:val="000000"/>
        </w:rPr>
        <w:t xml:space="preserve"> </w:t>
      </w:r>
      <w:r w:rsidRPr="00AC0DE9">
        <w:rPr>
          <w:rFonts w:cs="Arial"/>
          <w:color w:val="000000"/>
        </w:rPr>
        <w:t>Plant Health and Varieties, Federal Office for Agricu</w:t>
      </w:r>
      <w:r>
        <w:rPr>
          <w:rFonts w:cs="Arial"/>
          <w:color w:val="000000"/>
        </w:rPr>
        <w:t>l</w:t>
      </w:r>
      <w:r w:rsidRPr="00AC0DE9">
        <w:rPr>
          <w:rFonts w:cs="Arial"/>
          <w:color w:val="000000"/>
        </w:rPr>
        <w:t xml:space="preserve">ture FOAG, Bern </w:t>
      </w: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(e-mail: manuela.brand@blw.admin.ch)  </w:t>
      </w:r>
    </w:p>
    <w:p w:rsidR="00D539E8" w:rsidRPr="00E73C16" w:rsidRDefault="00D539E8" w:rsidP="00907AD7">
      <w:pPr>
        <w:tabs>
          <w:tab w:val="left" w:pos="90"/>
        </w:tabs>
        <w:autoSpaceDE w:val="0"/>
        <w:autoSpaceDN w:val="0"/>
        <w:rPr>
          <w:rFonts w:cs="Arial"/>
          <w:color w:val="000000"/>
          <w:lang w:val="fr-CH"/>
        </w:rPr>
      </w:pPr>
    </w:p>
    <w:p w:rsidR="00D539E8" w:rsidRPr="00E73C16" w:rsidRDefault="00D539E8" w:rsidP="00907AD7">
      <w:pPr>
        <w:keepNext/>
        <w:keepLines/>
        <w:tabs>
          <w:tab w:val="left" w:pos="90"/>
        </w:tabs>
        <w:autoSpaceDE w:val="0"/>
        <w:autoSpaceDN w:val="0"/>
        <w:rPr>
          <w:rFonts w:cs="Arial"/>
          <w:color w:val="000000"/>
          <w:u w:val="single"/>
          <w:lang w:val="fr-CH"/>
        </w:rPr>
      </w:pPr>
      <w:r w:rsidRPr="00E73C16">
        <w:rPr>
          <w:rFonts w:cs="Arial"/>
          <w:color w:val="000000"/>
          <w:u w:val="single"/>
          <w:lang w:val="fr-CH"/>
        </w:rPr>
        <w:t>TUNISIE / TUNISIA / TUNESIEN / TÚNEZ</w:t>
      </w:r>
    </w:p>
    <w:p w:rsidR="00D539E8" w:rsidRPr="00E73C16" w:rsidRDefault="00D539E8" w:rsidP="00907AD7">
      <w:pPr>
        <w:keepNext/>
        <w:keepLines/>
        <w:tabs>
          <w:tab w:val="left" w:pos="90"/>
        </w:tabs>
        <w:autoSpaceDE w:val="0"/>
        <w:autoSpaceDN w:val="0"/>
        <w:rPr>
          <w:rFonts w:cs="Arial"/>
          <w:color w:val="000000"/>
          <w:u w:val="single"/>
          <w:lang w:val="fr-CH"/>
        </w:rPr>
      </w:pPr>
    </w:p>
    <w:p w:rsidR="00D539E8" w:rsidRPr="00584F70" w:rsidRDefault="00D539E8" w:rsidP="00907AD7">
      <w:pPr>
        <w:keepLines/>
        <w:tabs>
          <w:tab w:val="left" w:pos="90"/>
        </w:tabs>
        <w:autoSpaceDE w:val="0"/>
        <w:autoSpaceDN w:val="0"/>
        <w:rPr>
          <w:rFonts w:cs="Arial"/>
          <w:color w:val="000000"/>
          <w:lang w:val="fr-CH"/>
        </w:rPr>
      </w:pPr>
      <w:r w:rsidRPr="00584F70">
        <w:rPr>
          <w:rFonts w:cs="Arial"/>
          <w:color w:val="000000"/>
          <w:lang w:val="fr-CH"/>
        </w:rPr>
        <w:t xml:space="preserve">Tarek CHIBOUB, Directeur général de la protection et du contrôle de la qualité des produits agricoles, Direction générale de la protection et du contrôle de la qualité des produits agricoles, </w:t>
      </w:r>
      <w:r w:rsidRPr="00584F70">
        <w:rPr>
          <w:rFonts w:cs="Arial"/>
          <w:color w:val="000000"/>
          <w:lang w:val="fr-CH"/>
        </w:rPr>
        <w:br/>
        <w:t xml:space="preserve">Ministère de l’agriculture, Tunis (e-mail: tarechib@yahoo.fr) </w:t>
      </w:r>
    </w:p>
    <w:p w:rsidR="00D539E8" w:rsidRPr="00E73C16" w:rsidRDefault="00D539E8" w:rsidP="00907AD7">
      <w:pPr>
        <w:tabs>
          <w:tab w:val="left" w:pos="90"/>
        </w:tabs>
        <w:autoSpaceDE w:val="0"/>
        <w:autoSpaceDN w:val="0"/>
        <w:rPr>
          <w:rFonts w:cs="Arial"/>
          <w:color w:val="000000"/>
          <w:lang w:val="fr-CH"/>
        </w:rPr>
      </w:pPr>
    </w:p>
    <w:p w:rsidR="00D539E8" w:rsidRPr="00E73C16" w:rsidRDefault="00D539E8" w:rsidP="00907AD7">
      <w:pPr>
        <w:keepNext/>
        <w:tabs>
          <w:tab w:val="left" w:pos="90"/>
        </w:tabs>
        <w:autoSpaceDE w:val="0"/>
        <w:autoSpaceDN w:val="0"/>
        <w:rPr>
          <w:rFonts w:cs="Arial"/>
          <w:color w:val="000000"/>
          <w:u w:val="single"/>
          <w:lang w:val="fr-CH"/>
        </w:rPr>
      </w:pPr>
      <w:r w:rsidRPr="00E73C16">
        <w:rPr>
          <w:rFonts w:cs="Arial"/>
          <w:color w:val="000000"/>
          <w:u w:val="single"/>
          <w:lang w:val="fr-CH"/>
        </w:rPr>
        <w:lastRenderedPageBreak/>
        <w:t>UNION EUROPÉENNE / EUROPEAN UNION / EUROPÄISCHE UNION / UNIÓN EUROPEA</w:t>
      </w:r>
    </w:p>
    <w:p w:rsidR="00D539E8" w:rsidRPr="00E73C16" w:rsidRDefault="00D539E8" w:rsidP="00907AD7">
      <w:pPr>
        <w:tabs>
          <w:tab w:val="left" w:pos="90"/>
        </w:tabs>
        <w:autoSpaceDE w:val="0"/>
        <w:autoSpaceDN w:val="0"/>
        <w:rPr>
          <w:rFonts w:cs="Arial"/>
          <w:color w:val="000000"/>
          <w:u w:val="single"/>
          <w:lang w:val="fr-CH"/>
        </w:rPr>
      </w:pP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Thomas Peter WEBER, Policy Officer, DG Sanco, European Commission, Bruxelles </w:t>
      </w: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(e-mail: thomas.weber@ec.europa.eu)  </w:t>
      </w:r>
    </w:p>
    <w:p w:rsidR="00D539E8" w:rsidRPr="00E73C16" w:rsidRDefault="00D539E8" w:rsidP="00907AD7">
      <w:pPr>
        <w:tabs>
          <w:tab w:val="left" w:pos="90"/>
        </w:tabs>
        <w:autoSpaceDE w:val="0"/>
        <w:autoSpaceDN w:val="0"/>
        <w:rPr>
          <w:rFonts w:cs="Arial"/>
          <w:color w:val="000000"/>
          <w:u w:val="single"/>
          <w:lang w:val="fr-CH"/>
        </w:rPr>
      </w:pPr>
    </w:p>
    <w:p w:rsidR="00D539E8" w:rsidRPr="00E73C16" w:rsidRDefault="00D539E8" w:rsidP="00907AD7">
      <w:pPr>
        <w:tabs>
          <w:tab w:val="left" w:pos="90"/>
        </w:tabs>
        <w:autoSpaceDE w:val="0"/>
        <w:autoSpaceDN w:val="0"/>
        <w:rPr>
          <w:rFonts w:cs="Arial"/>
          <w:color w:val="000000"/>
          <w:lang w:val="fr-CH"/>
        </w:rPr>
      </w:pPr>
      <w:r w:rsidRPr="00E73C16">
        <w:rPr>
          <w:rFonts w:cs="Arial"/>
          <w:color w:val="000000"/>
          <w:lang w:val="fr-CH"/>
        </w:rPr>
        <w:t xml:space="preserve">Isabelle CLEMENT-NISSOU (Mrs.), Policy Officer - Unité E2, Plant Reproductive Material Sector, Direction Générale Santé et Protection des Consommateurs,, Commission européenne (DG SANCO), Bruxelles </w:t>
      </w:r>
    </w:p>
    <w:p w:rsidR="00D539E8" w:rsidRDefault="00D539E8" w:rsidP="00907AD7">
      <w:pPr>
        <w:tabs>
          <w:tab w:val="left" w:pos="90"/>
        </w:tabs>
        <w:autoSpaceDE w:val="0"/>
        <w:autoSpaceDN w:val="0"/>
        <w:rPr>
          <w:rFonts w:cs="Arial"/>
          <w:color w:val="000000"/>
        </w:rPr>
      </w:pPr>
      <w:r w:rsidRPr="00AC0DE9">
        <w:rPr>
          <w:rFonts w:cs="Arial"/>
          <w:color w:val="000000"/>
        </w:rPr>
        <w:t xml:space="preserve">(e-mail: isabelle.clement-nissou@ec.europa.eu)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Martin EKVAD, President, Community Plant Variety Office (CPVO), European Union, Angers </w:t>
      </w:r>
    </w:p>
    <w:p w:rsidR="00D539E8" w:rsidRDefault="00D539E8" w:rsidP="00907AD7">
      <w:pPr>
        <w:tabs>
          <w:tab w:val="left" w:pos="90"/>
        </w:tabs>
        <w:autoSpaceDE w:val="0"/>
        <w:autoSpaceDN w:val="0"/>
        <w:rPr>
          <w:rFonts w:cs="Arial"/>
          <w:color w:val="000000"/>
        </w:rPr>
      </w:pPr>
      <w:r w:rsidRPr="00AC0DE9">
        <w:rPr>
          <w:rFonts w:cs="Arial"/>
          <w:color w:val="000000"/>
        </w:rPr>
        <w:t xml:space="preserve">(e-mail: ekvad@cpvo.europa.eu)  </w:t>
      </w:r>
    </w:p>
    <w:p w:rsidR="00D539E8" w:rsidRPr="00AC0DE9" w:rsidRDefault="00D539E8" w:rsidP="00907AD7">
      <w:pPr>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r w:rsidRPr="00AC0DE9">
        <w:rPr>
          <w:rFonts w:cs="Arial"/>
          <w:color w:val="000000"/>
        </w:rPr>
        <w:t xml:space="preserve">Muriel LIGHTBOURNE (Mme), Legal Adviser, Community Plant Variety Office (CPVO), Angers </w:t>
      </w:r>
    </w:p>
    <w:p w:rsidR="00D539E8" w:rsidRDefault="00D539E8" w:rsidP="00907AD7">
      <w:pPr>
        <w:tabs>
          <w:tab w:val="left" w:pos="90"/>
        </w:tabs>
        <w:autoSpaceDE w:val="0"/>
        <w:autoSpaceDN w:val="0"/>
        <w:rPr>
          <w:rFonts w:cs="Arial"/>
          <w:color w:val="000000"/>
        </w:rPr>
      </w:pPr>
      <w:r w:rsidRPr="00AC0DE9">
        <w:rPr>
          <w:rFonts w:cs="Arial"/>
          <w:color w:val="000000"/>
        </w:rPr>
        <w:t xml:space="preserve">(e-mail: lightbourne@cpvo.europa.eu)  </w:t>
      </w:r>
    </w:p>
    <w:p w:rsidR="00D539E8" w:rsidRPr="00AC0DE9" w:rsidRDefault="00D539E8" w:rsidP="00907AD7">
      <w:pPr>
        <w:tabs>
          <w:tab w:val="left" w:pos="90"/>
        </w:tabs>
        <w:autoSpaceDE w:val="0"/>
        <w:autoSpaceDN w:val="0"/>
        <w:rPr>
          <w:rFonts w:cs="Arial"/>
          <w:color w:val="000000"/>
        </w:rPr>
      </w:pPr>
    </w:p>
    <w:p w:rsidR="00D539E8" w:rsidRPr="00AC0DE9" w:rsidRDefault="00D539E8" w:rsidP="00907AD7">
      <w:pPr>
        <w:tabs>
          <w:tab w:val="left" w:pos="90"/>
        </w:tabs>
        <w:autoSpaceDE w:val="0"/>
        <w:autoSpaceDN w:val="0"/>
        <w:rPr>
          <w:rFonts w:cs="Arial"/>
          <w:color w:val="000000"/>
        </w:rPr>
      </w:pPr>
    </w:p>
    <w:p w:rsidR="00D539E8" w:rsidRDefault="00D539E8" w:rsidP="00907AD7">
      <w:pPr>
        <w:keepNext/>
        <w:tabs>
          <w:tab w:val="left" w:pos="567"/>
          <w:tab w:val="center" w:pos="4792"/>
        </w:tabs>
        <w:autoSpaceDE w:val="0"/>
        <w:autoSpaceDN w:val="0"/>
        <w:adjustRightInd w:val="0"/>
        <w:jc w:val="center"/>
        <w:rPr>
          <w:rFonts w:cs="Arial"/>
          <w:color w:val="000000"/>
          <w:u w:val="single"/>
        </w:rPr>
      </w:pPr>
      <w:r w:rsidRPr="00AC0DE9">
        <w:rPr>
          <w:rFonts w:cs="Arial"/>
          <w:color w:val="000000"/>
        </w:rPr>
        <w:t>II.</w:t>
      </w:r>
      <w:r w:rsidRPr="00AC0DE9">
        <w:rPr>
          <w:rFonts w:cs="Arial"/>
          <w:color w:val="000000"/>
        </w:rPr>
        <w:tab/>
      </w:r>
      <w:r w:rsidRPr="00AC0DE9">
        <w:rPr>
          <w:rFonts w:cs="Arial"/>
          <w:color w:val="000000"/>
          <w:u w:val="single"/>
        </w:rPr>
        <w:t>ORGANISATIONS / ORGANIZATIONS / ORGANISATIONEN / ORGANIZACIONES</w:t>
      </w:r>
    </w:p>
    <w:p w:rsidR="00D539E8" w:rsidRPr="00AC0DE9" w:rsidRDefault="00D539E8" w:rsidP="00907AD7">
      <w:pPr>
        <w:keepNext/>
        <w:tabs>
          <w:tab w:val="left" w:pos="567"/>
          <w:tab w:val="center" w:pos="4792"/>
        </w:tabs>
        <w:autoSpaceDE w:val="0"/>
        <w:autoSpaceDN w:val="0"/>
        <w:adjustRightInd w:val="0"/>
        <w:jc w:val="center"/>
        <w:rPr>
          <w:rFonts w:cs="Arial"/>
          <w:color w:val="000000"/>
          <w:u w:val="single"/>
        </w:rPr>
      </w:pPr>
    </w:p>
    <w:p w:rsidR="00D539E8" w:rsidRPr="00722730" w:rsidRDefault="00D539E8" w:rsidP="00907AD7">
      <w:pPr>
        <w:tabs>
          <w:tab w:val="left" w:pos="90"/>
        </w:tabs>
        <w:autoSpaceDE w:val="0"/>
        <w:autoSpaceDN w:val="0"/>
        <w:rPr>
          <w:rFonts w:cs="Arial"/>
          <w:u w:val="single"/>
        </w:rPr>
      </w:pPr>
      <w:r w:rsidRPr="00722730">
        <w:rPr>
          <w:rFonts w:cs="Arial"/>
          <w:u w:val="single"/>
        </w:rPr>
        <w:t>ASSOCIATION FOR PLANT BREEDING FOR THE BENEFIT OF SOCIETY</w:t>
      </w:r>
    </w:p>
    <w:p w:rsidR="00D539E8" w:rsidRDefault="00D539E8" w:rsidP="00907AD7">
      <w:pPr>
        <w:tabs>
          <w:tab w:val="left" w:pos="90"/>
        </w:tabs>
        <w:autoSpaceDE w:val="0"/>
        <w:autoSpaceDN w:val="0"/>
        <w:rPr>
          <w:rFonts w:cs="Arial"/>
          <w:color w:val="000000"/>
          <w:highlight w:val="yellow"/>
        </w:rPr>
      </w:pPr>
    </w:p>
    <w:p w:rsidR="00D539E8" w:rsidRPr="00AF3E0A" w:rsidRDefault="00D539E8" w:rsidP="00907AD7">
      <w:pPr>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p>
    <w:p w:rsidR="00D539E8" w:rsidRPr="00E73C16" w:rsidRDefault="00D539E8" w:rsidP="00907AD7">
      <w:pPr>
        <w:tabs>
          <w:tab w:val="left" w:pos="90"/>
        </w:tabs>
        <w:autoSpaceDE w:val="0"/>
        <w:autoSpaceDN w:val="0"/>
        <w:adjustRightInd w:val="0"/>
        <w:rPr>
          <w:rFonts w:cs="Arial"/>
          <w:color w:val="000000"/>
          <w:lang w:val="fr-CH"/>
        </w:rPr>
      </w:pPr>
      <w:r w:rsidRPr="00E73C16">
        <w:rPr>
          <w:rFonts w:cs="Arial"/>
          <w:color w:val="000000"/>
          <w:lang w:val="fr-CH"/>
        </w:rPr>
        <w:t>(email: contact@apbrebes.org)</w:t>
      </w:r>
    </w:p>
    <w:p w:rsidR="00D539E8" w:rsidRPr="00E73C16" w:rsidRDefault="00D539E8" w:rsidP="00907AD7">
      <w:pPr>
        <w:tabs>
          <w:tab w:val="left" w:pos="90"/>
        </w:tabs>
        <w:autoSpaceDE w:val="0"/>
        <w:autoSpaceDN w:val="0"/>
        <w:rPr>
          <w:rFonts w:cs="Arial"/>
          <w:color w:val="000000"/>
          <w:highlight w:val="yellow"/>
          <w:lang w:val="fr-CH"/>
        </w:rPr>
      </w:pPr>
    </w:p>
    <w:p w:rsidR="00D539E8" w:rsidRPr="00E73C16" w:rsidRDefault="00D539E8" w:rsidP="00907AD7">
      <w:pPr>
        <w:tabs>
          <w:tab w:val="left" w:pos="90"/>
        </w:tabs>
        <w:autoSpaceDE w:val="0"/>
        <w:autoSpaceDN w:val="0"/>
        <w:adjustRightInd w:val="0"/>
        <w:rPr>
          <w:rFonts w:cs="Arial"/>
          <w:color w:val="000000"/>
          <w:u w:val="single"/>
          <w:lang w:val="fr-CH"/>
        </w:rPr>
      </w:pPr>
      <w:r w:rsidRPr="00E73C16">
        <w:rPr>
          <w:rFonts w:cs="Arial"/>
          <w:color w:val="000000"/>
          <w:u w:val="single"/>
          <w:lang w:val="fr-CH"/>
        </w:rPr>
        <w:t xml:space="preserve">ASSOCIATION INTERNATIONALE DES PRODUCTEURS HORTICOLES (AIPH) / </w:t>
      </w:r>
    </w:p>
    <w:p w:rsidR="00D539E8" w:rsidRPr="001D4989" w:rsidRDefault="00D539E8" w:rsidP="00907AD7">
      <w:pPr>
        <w:tabs>
          <w:tab w:val="left" w:pos="90"/>
        </w:tabs>
        <w:autoSpaceDE w:val="0"/>
        <w:autoSpaceDN w:val="0"/>
        <w:adjustRightInd w:val="0"/>
        <w:rPr>
          <w:rFonts w:cs="Arial"/>
          <w:color w:val="000000"/>
          <w:u w:val="single"/>
        </w:rPr>
      </w:pPr>
      <w:r w:rsidRPr="001D4989">
        <w:rPr>
          <w:rFonts w:cs="Arial"/>
          <w:color w:val="000000"/>
          <w:u w:val="single"/>
        </w:rPr>
        <w:t xml:space="preserve">INTERNATIONAL ASSOCIATION OF HORTICULTURAL PRODUCERS (AIPH) / </w:t>
      </w:r>
    </w:p>
    <w:p w:rsidR="00D539E8" w:rsidRPr="00E73C16" w:rsidRDefault="00D539E8" w:rsidP="00907AD7">
      <w:pPr>
        <w:tabs>
          <w:tab w:val="left" w:pos="90"/>
        </w:tabs>
        <w:autoSpaceDE w:val="0"/>
        <w:autoSpaceDN w:val="0"/>
        <w:adjustRightInd w:val="0"/>
        <w:rPr>
          <w:rFonts w:cs="Arial"/>
          <w:color w:val="000000"/>
          <w:u w:val="single"/>
          <w:lang w:val="es-ES"/>
        </w:rPr>
      </w:pPr>
      <w:r w:rsidRPr="00E73C16">
        <w:rPr>
          <w:rFonts w:cs="Arial"/>
          <w:color w:val="000000"/>
          <w:u w:val="single"/>
          <w:lang w:val="es-ES"/>
        </w:rPr>
        <w:t xml:space="preserve">INTERNATIONALER VERBAND DES ERWERBSGARTENBAUES (AIPH) / ASOCIACIÓN </w:t>
      </w:r>
    </w:p>
    <w:p w:rsidR="00D539E8" w:rsidRPr="00E73C16" w:rsidRDefault="00D539E8" w:rsidP="00907AD7">
      <w:pPr>
        <w:tabs>
          <w:tab w:val="left" w:pos="90"/>
        </w:tabs>
        <w:autoSpaceDE w:val="0"/>
        <w:autoSpaceDN w:val="0"/>
        <w:adjustRightInd w:val="0"/>
        <w:rPr>
          <w:rFonts w:cs="Arial"/>
          <w:color w:val="000000"/>
          <w:u w:val="single"/>
          <w:lang w:val="es-ES"/>
        </w:rPr>
      </w:pPr>
      <w:r w:rsidRPr="00E73C16">
        <w:rPr>
          <w:rFonts w:cs="Arial"/>
          <w:color w:val="000000"/>
          <w:u w:val="single"/>
          <w:lang w:val="es-ES"/>
        </w:rPr>
        <w:t>INTERNACIONAL DE PRODUCTORES HORTÍCOLAS (AIPH)</w:t>
      </w:r>
    </w:p>
    <w:p w:rsidR="00D539E8" w:rsidRPr="00E73C16" w:rsidRDefault="00D539E8" w:rsidP="00907AD7">
      <w:pPr>
        <w:tabs>
          <w:tab w:val="left" w:pos="90"/>
        </w:tabs>
        <w:autoSpaceDE w:val="0"/>
        <w:autoSpaceDN w:val="0"/>
        <w:adjustRightInd w:val="0"/>
        <w:rPr>
          <w:rFonts w:cs="Arial"/>
          <w:color w:val="000000"/>
          <w:lang w:val="es-ES"/>
        </w:rPr>
      </w:pPr>
    </w:p>
    <w:p w:rsidR="00D539E8" w:rsidRPr="001D4989" w:rsidRDefault="00D539E8" w:rsidP="00907AD7">
      <w:pPr>
        <w:tabs>
          <w:tab w:val="left" w:pos="90"/>
        </w:tabs>
        <w:autoSpaceDE w:val="0"/>
        <w:autoSpaceDN w:val="0"/>
        <w:adjustRightInd w:val="0"/>
        <w:rPr>
          <w:rFonts w:cs="Arial"/>
          <w:color w:val="000000"/>
        </w:rPr>
      </w:pPr>
      <w:r w:rsidRPr="001D4989">
        <w:rPr>
          <w:rFonts w:cs="Arial"/>
          <w:color w:val="000000"/>
        </w:rPr>
        <w:t>Mia BUMA (Mrs</w:t>
      </w:r>
      <w:r>
        <w:rPr>
          <w:rFonts w:cs="Arial"/>
          <w:color w:val="000000"/>
        </w:rPr>
        <w:t>.</w:t>
      </w:r>
      <w:r w:rsidRPr="001D4989">
        <w:rPr>
          <w:rFonts w:cs="Arial"/>
          <w:color w:val="000000"/>
        </w:rPr>
        <w:t xml:space="preserve">), Secretary, Committee for Novelty Protection, International Association of Horticultural Producers (AIPH), Reading, United Kingdom (e-mail: info@miabuma.nl)  </w:t>
      </w:r>
    </w:p>
    <w:p w:rsidR="00D539E8" w:rsidRPr="00722730" w:rsidRDefault="00D539E8" w:rsidP="00907AD7">
      <w:pPr>
        <w:tabs>
          <w:tab w:val="left" w:pos="90"/>
        </w:tabs>
        <w:autoSpaceDE w:val="0"/>
        <w:autoSpaceDN w:val="0"/>
        <w:rPr>
          <w:rFonts w:cs="Arial"/>
          <w:color w:val="000000"/>
          <w:highlight w:val="yellow"/>
        </w:rPr>
      </w:pPr>
    </w:p>
    <w:p w:rsidR="00D539E8" w:rsidRPr="00E73C16" w:rsidRDefault="00D539E8" w:rsidP="00907AD7">
      <w:pPr>
        <w:tabs>
          <w:tab w:val="left" w:pos="90"/>
        </w:tabs>
        <w:autoSpaceDE w:val="0"/>
        <w:autoSpaceDN w:val="0"/>
        <w:rPr>
          <w:rFonts w:cs="Arial"/>
          <w:color w:val="000000"/>
          <w:u w:val="single"/>
          <w:lang w:val="fr-CH"/>
        </w:rPr>
      </w:pPr>
      <w:r w:rsidRPr="00E73C16">
        <w:rPr>
          <w:rFonts w:cs="Arial"/>
          <w:color w:val="000000"/>
          <w:u w:val="single"/>
          <w:lang w:val="fr-CH"/>
        </w:rPr>
        <w:t xml:space="preserve">COMMUNAUTÉ INTERNATIONALE DES OBTENTEURS DE PLANTES </w:t>
      </w:r>
    </w:p>
    <w:p w:rsidR="00D539E8" w:rsidRPr="00E73C16" w:rsidRDefault="00D539E8" w:rsidP="00907AD7">
      <w:pPr>
        <w:tabs>
          <w:tab w:val="left" w:pos="90"/>
        </w:tabs>
        <w:autoSpaceDE w:val="0"/>
        <w:autoSpaceDN w:val="0"/>
        <w:rPr>
          <w:rFonts w:cs="Arial"/>
          <w:color w:val="000000"/>
          <w:u w:val="single"/>
          <w:lang w:val="fr-CH"/>
        </w:rPr>
      </w:pPr>
      <w:r w:rsidRPr="00E73C16">
        <w:rPr>
          <w:rFonts w:cs="Arial"/>
          <w:color w:val="000000"/>
          <w:u w:val="single"/>
          <w:lang w:val="fr-CH"/>
        </w:rPr>
        <w:t xml:space="preserve">ORNEMENTALES ET FRUITIÈRES À REPRODUCTION ASEXUÉE (CIOPORA) / </w:t>
      </w:r>
    </w:p>
    <w:p w:rsidR="00D539E8" w:rsidRPr="00476BBA" w:rsidRDefault="00D539E8" w:rsidP="00907AD7">
      <w:pPr>
        <w:tabs>
          <w:tab w:val="left" w:pos="90"/>
        </w:tabs>
        <w:autoSpaceDE w:val="0"/>
        <w:autoSpaceDN w:val="0"/>
        <w:rPr>
          <w:rFonts w:cs="Arial"/>
          <w:color w:val="000000"/>
          <w:u w:val="single"/>
        </w:rPr>
      </w:pPr>
      <w:r w:rsidRPr="00476BBA">
        <w:rPr>
          <w:rFonts w:cs="Arial"/>
          <w:color w:val="000000"/>
          <w:u w:val="single"/>
        </w:rPr>
        <w:t xml:space="preserve">INTERNATIONAL COMMUNITY OF BREEDERS OF ASEXUALLY REPRODUCED </w:t>
      </w:r>
    </w:p>
    <w:p w:rsidR="00D539E8" w:rsidRPr="00476BBA" w:rsidRDefault="00D539E8" w:rsidP="00907AD7">
      <w:pPr>
        <w:tabs>
          <w:tab w:val="left" w:pos="90"/>
        </w:tabs>
        <w:autoSpaceDE w:val="0"/>
        <w:autoSpaceDN w:val="0"/>
        <w:rPr>
          <w:rFonts w:cs="Arial"/>
          <w:color w:val="000000"/>
          <w:u w:val="single"/>
        </w:rPr>
      </w:pPr>
      <w:r w:rsidRPr="00476BBA">
        <w:rPr>
          <w:rFonts w:cs="Arial"/>
          <w:color w:val="000000"/>
          <w:u w:val="single"/>
        </w:rPr>
        <w:t xml:space="preserve">ORNAMENTAL AND FRUIT PLANTS (CIOPORA) / INTERNATIONALE </w:t>
      </w:r>
    </w:p>
    <w:p w:rsidR="00D539E8" w:rsidRPr="00476BBA" w:rsidRDefault="00D539E8" w:rsidP="00907AD7">
      <w:pPr>
        <w:tabs>
          <w:tab w:val="left" w:pos="90"/>
        </w:tabs>
        <w:autoSpaceDE w:val="0"/>
        <w:autoSpaceDN w:val="0"/>
        <w:rPr>
          <w:rFonts w:cs="Arial"/>
          <w:color w:val="000000"/>
          <w:u w:val="single"/>
        </w:rPr>
      </w:pPr>
      <w:r w:rsidRPr="00476BBA">
        <w:rPr>
          <w:rFonts w:cs="Arial"/>
          <w:color w:val="000000"/>
          <w:u w:val="single"/>
        </w:rPr>
        <w:t>GEMEINSCHAFT DER ZÜCHTER V</w:t>
      </w:r>
    </w:p>
    <w:p w:rsidR="00D539E8" w:rsidRPr="00476BBA" w:rsidRDefault="00D539E8" w:rsidP="00907AD7">
      <w:pPr>
        <w:tabs>
          <w:tab w:val="left" w:pos="90"/>
        </w:tabs>
        <w:autoSpaceDE w:val="0"/>
        <w:autoSpaceDN w:val="0"/>
        <w:rPr>
          <w:rFonts w:cs="Arial"/>
          <w:color w:val="000000"/>
          <w:u w:val="single"/>
        </w:rPr>
      </w:pPr>
    </w:p>
    <w:p w:rsidR="00D539E8" w:rsidRPr="00476BBA" w:rsidRDefault="00D539E8" w:rsidP="00907AD7">
      <w:pPr>
        <w:tabs>
          <w:tab w:val="left" w:pos="90"/>
        </w:tabs>
        <w:autoSpaceDE w:val="0"/>
        <w:autoSpaceDN w:val="0"/>
        <w:rPr>
          <w:rFonts w:cs="Arial"/>
          <w:color w:val="000000"/>
        </w:rPr>
      </w:pPr>
      <w:r w:rsidRPr="00476BBA">
        <w:rPr>
          <w:rFonts w:cs="Arial"/>
          <w:color w:val="000000"/>
        </w:rPr>
        <w:t>Andrea MANSUINO, President</w:t>
      </w:r>
      <w:r>
        <w:rPr>
          <w:rFonts w:cs="Arial"/>
          <w:color w:val="000000"/>
        </w:rPr>
        <w:t>,</w:t>
      </w:r>
      <w:r w:rsidRPr="00476BBA">
        <w:rPr>
          <w:rFonts w:cs="Arial"/>
          <w:color w:val="000000"/>
        </w:rPr>
        <w:t xml:space="preserve"> International Community of Breeders of Asexually Reproduced Ornamental and Fruit Plants (CIOPORA), Hamburg, Germany (e-mail: a.mansuino@yahoo.it)  </w:t>
      </w:r>
    </w:p>
    <w:p w:rsidR="00D539E8" w:rsidRPr="00476BBA" w:rsidRDefault="00D539E8" w:rsidP="00907AD7">
      <w:pPr>
        <w:tabs>
          <w:tab w:val="left" w:pos="90"/>
        </w:tabs>
        <w:autoSpaceDE w:val="0"/>
        <w:autoSpaceDN w:val="0"/>
        <w:rPr>
          <w:rFonts w:cs="Arial"/>
          <w:color w:val="000000"/>
        </w:rPr>
      </w:pPr>
    </w:p>
    <w:p w:rsidR="00D539E8" w:rsidRPr="00476BBA" w:rsidRDefault="00D539E8" w:rsidP="00907AD7">
      <w:pPr>
        <w:tabs>
          <w:tab w:val="left" w:pos="90"/>
        </w:tabs>
        <w:autoSpaceDE w:val="0"/>
        <w:autoSpaceDN w:val="0"/>
        <w:rPr>
          <w:rFonts w:cs="Arial"/>
          <w:color w:val="000000"/>
        </w:rPr>
      </w:pPr>
      <w:r w:rsidRPr="00476BBA">
        <w:rPr>
          <w:rFonts w:cs="Arial"/>
          <w:color w:val="000000"/>
        </w:rPr>
        <w:t xml:space="preserve">Edgar KRIEGER, Secretary General, International Community of Breeders of Asexually Reproduced Ornamental and Fruit Plants (CIOPORA), Hamburg, Germany (e-mail: edgar.krieger@ciopora.org)  </w:t>
      </w:r>
    </w:p>
    <w:p w:rsidR="00D539E8" w:rsidRPr="00476BBA" w:rsidRDefault="00D539E8" w:rsidP="00907AD7">
      <w:pPr>
        <w:tabs>
          <w:tab w:val="left" w:pos="90"/>
        </w:tabs>
        <w:autoSpaceDE w:val="0"/>
        <w:autoSpaceDN w:val="0"/>
        <w:rPr>
          <w:rFonts w:cs="Arial"/>
          <w:color w:val="000000"/>
        </w:rPr>
      </w:pPr>
    </w:p>
    <w:p w:rsidR="00D539E8" w:rsidRPr="00476BBA" w:rsidRDefault="00D539E8" w:rsidP="00907AD7">
      <w:pPr>
        <w:keepNext/>
        <w:keepLines/>
        <w:tabs>
          <w:tab w:val="left" w:pos="90"/>
        </w:tabs>
        <w:autoSpaceDE w:val="0"/>
        <w:autoSpaceDN w:val="0"/>
        <w:rPr>
          <w:rFonts w:cs="Arial"/>
          <w:color w:val="000000"/>
        </w:rPr>
      </w:pPr>
      <w:r w:rsidRPr="00476BBA">
        <w:rPr>
          <w:rFonts w:cs="Arial"/>
          <w:color w:val="000000"/>
        </w:rPr>
        <w:t>Dominique THÉVENON</w:t>
      </w:r>
      <w:r>
        <w:rPr>
          <w:rFonts w:cs="Arial"/>
          <w:color w:val="000000"/>
        </w:rPr>
        <w:t xml:space="preserve"> (M</w:t>
      </w:r>
      <w:r w:rsidRPr="00476BBA">
        <w:rPr>
          <w:rFonts w:cs="Arial"/>
          <w:color w:val="000000"/>
        </w:rPr>
        <w:t xml:space="preserve">me), Board member, Treasurer - AIGN, International Community of Breeders of Asexually Reproduced Ornamental and Fruit Plants  (CIOPORA), Hamburg, Germany </w:t>
      </w:r>
    </w:p>
    <w:p w:rsidR="00D539E8" w:rsidRPr="00476BBA" w:rsidRDefault="00D539E8" w:rsidP="00907AD7">
      <w:pPr>
        <w:tabs>
          <w:tab w:val="left" w:pos="90"/>
        </w:tabs>
        <w:autoSpaceDE w:val="0"/>
        <w:autoSpaceDN w:val="0"/>
        <w:rPr>
          <w:rFonts w:cs="Arial"/>
          <w:color w:val="000000"/>
        </w:rPr>
      </w:pPr>
      <w:r w:rsidRPr="00476BBA">
        <w:rPr>
          <w:rFonts w:cs="Arial"/>
          <w:color w:val="000000"/>
        </w:rPr>
        <w:t xml:space="preserve">(e-mail: t.dominique4@aliceadsl.fr)  </w:t>
      </w:r>
    </w:p>
    <w:p w:rsidR="00D539E8" w:rsidRDefault="00D539E8" w:rsidP="00907AD7">
      <w:pPr>
        <w:tabs>
          <w:tab w:val="left" w:pos="90"/>
        </w:tabs>
        <w:autoSpaceDE w:val="0"/>
        <w:autoSpaceDN w:val="0"/>
        <w:rPr>
          <w:rFonts w:cs="Arial"/>
          <w:color w:val="000000"/>
        </w:rPr>
      </w:pPr>
    </w:p>
    <w:p w:rsidR="00D539E8" w:rsidRPr="00476BBA" w:rsidRDefault="00D539E8" w:rsidP="00907AD7">
      <w:pPr>
        <w:keepNext/>
        <w:tabs>
          <w:tab w:val="left" w:pos="90"/>
        </w:tabs>
        <w:autoSpaceDE w:val="0"/>
        <w:autoSpaceDN w:val="0"/>
        <w:rPr>
          <w:rFonts w:cs="Arial"/>
          <w:color w:val="000000"/>
          <w:u w:val="single"/>
        </w:rPr>
      </w:pPr>
      <w:r w:rsidRPr="00476BBA">
        <w:rPr>
          <w:rFonts w:cs="Arial"/>
          <w:color w:val="000000"/>
          <w:u w:val="single"/>
        </w:rPr>
        <w:t>INTERNATIONAL SEED FEDERATION (ISF)</w:t>
      </w:r>
    </w:p>
    <w:p w:rsidR="00D539E8" w:rsidRPr="00476BBA" w:rsidRDefault="00D539E8" w:rsidP="00907AD7">
      <w:pPr>
        <w:keepNext/>
        <w:tabs>
          <w:tab w:val="left" w:pos="90"/>
        </w:tabs>
        <w:autoSpaceDE w:val="0"/>
        <w:autoSpaceDN w:val="0"/>
        <w:rPr>
          <w:rFonts w:cs="Arial"/>
          <w:color w:val="000000"/>
          <w:u w:val="single"/>
        </w:rPr>
      </w:pPr>
    </w:p>
    <w:p w:rsidR="00D539E8" w:rsidRPr="00476BBA" w:rsidRDefault="00D539E8" w:rsidP="00907AD7">
      <w:pPr>
        <w:tabs>
          <w:tab w:val="left" w:pos="90"/>
        </w:tabs>
        <w:autoSpaceDE w:val="0"/>
        <w:autoSpaceDN w:val="0"/>
        <w:rPr>
          <w:rFonts w:cs="Arial"/>
          <w:color w:val="000000"/>
        </w:rPr>
      </w:pPr>
      <w:r w:rsidRPr="001331C4">
        <w:rPr>
          <w:rFonts w:cs="Arial"/>
          <w:color w:val="000000"/>
        </w:rPr>
        <w:t>Michael KELLER, Secretary General, Nyon, Switzerland (e-mail: m.keller@worldseed.org)</w:t>
      </w:r>
      <w:r w:rsidRPr="00476BBA">
        <w:rPr>
          <w:rFonts w:cs="Arial"/>
          <w:color w:val="000000"/>
        </w:rPr>
        <w:t xml:space="preserve"> </w:t>
      </w:r>
    </w:p>
    <w:p w:rsidR="00D539E8" w:rsidRPr="00476BBA" w:rsidRDefault="00D539E8" w:rsidP="00907AD7">
      <w:pPr>
        <w:tabs>
          <w:tab w:val="left" w:pos="90"/>
        </w:tabs>
        <w:autoSpaceDE w:val="0"/>
        <w:autoSpaceDN w:val="0"/>
        <w:rPr>
          <w:rFonts w:cs="Arial"/>
          <w:color w:val="000000"/>
        </w:rPr>
      </w:pPr>
      <w:r w:rsidRPr="00476BBA">
        <w:rPr>
          <w:rFonts w:cs="Arial"/>
          <w:color w:val="000000"/>
        </w:rPr>
        <w:t xml:space="preserve"> </w:t>
      </w:r>
    </w:p>
    <w:p w:rsidR="00D539E8" w:rsidRPr="00476BBA" w:rsidRDefault="00D539E8" w:rsidP="00907AD7">
      <w:pPr>
        <w:tabs>
          <w:tab w:val="left" w:pos="90"/>
        </w:tabs>
        <w:autoSpaceDE w:val="0"/>
        <w:autoSpaceDN w:val="0"/>
        <w:rPr>
          <w:rFonts w:cs="Arial"/>
          <w:color w:val="000000"/>
        </w:rPr>
      </w:pPr>
      <w:r w:rsidRPr="00476BBA">
        <w:rPr>
          <w:rFonts w:cs="Arial"/>
          <w:color w:val="000000"/>
        </w:rPr>
        <w:t xml:space="preserve">Stevan MADJARAC, Representative, American Seed Trade Association (ASTA), Alexandria, </w:t>
      </w:r>
    </w:p>
    <w:p w:rsidR="00D539E8" w:rsidRPr="00476BBA" w:rsidRDefault="00D539E8" w:rsidP="00907AD7">
      <w:pPr>
        <w:tabs>
          <w:tab w:val="left" w:pos="90"/>
        </w:tabs>
        <w:autoSpaceDE w:val="0"/>
        <w:autoSpaceDN w:val="0"/>
        <w:rPr>
          <w:rFonts w:cs="Arial"/>
          <w:color w:val="000000"/>
        </w:rPr>
      </w:pPr>
      <w:r w:rsidRPr="00476BBA">
        <w:rPr>
          <w:rFonts w:cs="Arial"/>
          <w:color w:val="000000"/>
        </w:rPr>
        <w:t xml:space="preserve">United States of America (e-mail: smadjarac@gmail.com)  </w:t>
      </w:r>
    </w:p>
    <w:p w:rsidR="00D539E8" w:rsidRDefault="00D539E8" w:rsidP="00907AD7">
      <w:pPr>
        <w:tabs>
          <w:tab w:val="left" w:pos="90"/>
        </w:tabs>
        <w:autoSpaceDE w:val="0"/>
        <w:autoSpaceDN w:val="0"/>
        <w:rPr>
          <w:rFonts w:cs="Arial"/>
          <w:color w:val="000000"/>
        </w:rPr>
      </w:pPr>
    </w:p>
    <w:p w:rsidR="00D539E8" w:rsidRPr="007D1918" w:rsidRDefault="00D539E8" w:rsidP="00907AD7">
      <w:pPr>
        <w:tabs>
          <w:tab w:val="left" w:pos="90"/>
        </w:tabs>
        <w:autoSpaceDE w:val="0"/>
        <w:autoSpaceDN w:val="0"/>
        <w:rPr>
          <w:rFonts w:cs="Arial"/>
          <w:color w:val="000000"/>
        </w:rPr>
      </w:pPr>
      <w:r w:rsidRPr="007D1918">
        <w:rPr>
          <w:rFonts w:cs="Arial"/>
          <w:color w:val="000000"/>
        </w:rPr>
        <w:t>Diego A. RISSO, Secretary General of URUPOV (e-mail: drisso@saaseed.org)</w:t>
      </w:r>
    </w:p>
    <w:p w:rsidR="00D539E8" w:rsidRPr="007D1918" w:rsidRDefault="00D539E8" w:rsidP="00907AD7">
      <w:pPr>
        <w:tabs>
          <w:tab w:val="left" w:pos="90"/>
        </w:tabs>
        <w:autoSpaceDE w:val="0"/>
        <w:autoSpaceDN w:val="0"/>
        <w:rPr>
          <w:rFonts w:cs="Arial"/>
          <w:color w:val="000000"/>
        </w:rPr>
      </w:pPr>
    </w:p>
    <w:p w:rsidR="00D539E8" w:rsidRPr="007D1918" w:rsidRDefault="00D539E8" w:rsidP="00907AD7">
      <w:pPr>
        <w:tabs>
          <w:tab w:val="left" w:pos="90"/>
        </w:tabs>
        <w:autoSpaceDE w:val="0"/>
        <w:autoSpaceDN w:val="0"/>
        <w:rPr>
          <w:rFonts w:cs="Arial"/>
          <w:color w:val="000000"/>
        </w:rPr>
      </w:pPr>
      <w:r w:rsidRPr="007D1918">
        <w:rPr>
          <w:rFonts w:cs="Arial"/>
          <w:color w:val="000000"/>
        </w:rPr>
        <w:t xml:space="preserve">Stephen SMITH, Germplasm Security Coordinator, DuPont Pioneer, Johnston, États-Unis d'Amérique </w:t>
      </w:r>
    </w:p>
    <w:p w:rsidR="00D539E8" w:rsidRPr="00476BBA" w:rsidRDefault="00D539E8" w:rsidP="00907AD7">
      <w:pPr>
        <w:tabs>
          <w:tab w:val="left" w:pos="90"/>
        </w:tabs>
        <w:autoSpaceDE w:val="0"/>
        <w:autoSpaceDN w:val="0"/>
        <w:rPr>
          <w:rFonts w:cs="Arial"/>
          <w:color w:val="000000"/>
        </w:rPr>
      </w:pPr>
      <w:r w:rsidRPr="007D1918">
        <w:rPr>
          <w:rFonts w:cs="Arial"/>
          <w:color w:val="000000"/>
        </w:rPr>
        <w:t>(e-mail: stephen.smith@pioneer.com)</w:t>
      </w:r>
    </w:p>
    <w:p w:rsidR="00D539E8" w:rsidRDefault="00D539E8" w:rsidP="00907AD7">
      <w:pPr>
        <w:tabs>
          <w:tab w:val="left" w:pos="90"/>
        </w:tabs>
        <w:autoSpaceDE w:val="0"/>
        <w:autoSpaceDN w:val="0"/>
        <w:rPr>
          <w:rFonts w:cs="Arial"/>
          <w:color w:val="000000"/>
        </w:rPr>
      </w:pPr>
    </w:p>
    <w:p w:rsidR="00D539E8" w:rsidRPr="001D4989" w:rsidRDefault="00D539E8" w:rsidP="00907AD7">
      <w:pPr>
        <w:keepNext/>
        <w:tabs>
          <w:tab w:val="left" w:pos="90"/>
        </w:tabs>
        <w:autoSpaceDE w:val="0"/>
        <w:autoSpaceDN w:val="0"/>
        <w:adjustRightInd w:val="0"/>
        <w:rPr>
          <w:rFonts w:cs="Arial"/>
          <w:color w:val="000000"/>
          <w:u w:val="single"/>
        </w:rPr>
      </w:pPr>
      <w:r w:rsidRPr="001D4989">
        <w:rPr>
          <w:rFonts w:cs="Arial"/>
          <w:color w:val="000000"/>
          <w:u w:val="single"/>
        </w:rPr>
        <w:lastRenderedPageBreak/>
        <w:t>EUROPEAN SEED ASSOCIATION (ESA)</w:t>
      </w:r>
    </w:p>
    <w:p w:rsidR="00D539E8" w:rsidRDefault="00D539E8" w:rsidP="00907AD7">
      <w:pPr>
        <w:keepNext/>
        <w:tabs>
          <w:tab w:val="left" w:pos="90"/>
        </w:tabs>
        <w:autoSpaceDE w:val="0"/>
        <w:autoSpaceDN w:val="0"/>
        <w:adjustRightInd w:val="0"/>
        <w:rPr>
          <w:rFonts w:cs="Arial"/>
          <w:color w:val="000000"/>
        </w:rPr>
      </w:pPr>
    </w:p>
    <w:p w:rsidR="00D539E8" w:rsidRPr="00E73C16" w:rsidRDefault="00D539E8" w:rsidP="00907AD7">
      <w:pPr>
        <w:keepNext/>
        <w:tabs>
          <w:tab w:val="left" w:pos="90"/>
        </w:tabs>
        <w:autoSpaceDE w:val="0"/>
        <w:autoSpaceDN w:val="0"/>
        <w:adjustRightInd w:val="0"/>
        <w:rPr>
          <w:rFonts w:cs="Arial"/>
          <w:color w:val="000000"/>
          <w:lang w:val="fr-CH"/>
        </w:rPr>
      </w:pPr>
      <w:r w:rsidRPr="00E73C16">
        <w:rPr>
          <w:rFonts w:cs="Arial"/>
          <w:color w:val="000000"/>
          <w:lang w:val="fr-CH"/>
        </w:rPr>
        <w:t xml:space="preserve">Hélène GUILLOT (Mlle), Lawyer, Union Française des Semenciers (UFS), Paris, France </w:t>
      </w:r>
      <w:r w:rsidRPr="00E73C16">
        <w:rPr>
          <w:rFonts w:cs="Arial"/>
          <w:color w:val="000000"/>
          <w:lang w:val="fr-CH"/>
        </w:rPr>
        <w:br/>
        <w:t xml:space="preserve">(e-mail: helene.guillot@ufs-asso.com)  </w:t>
      </w:r>
    </w:p>
    <w:p w:rsidR="00D539E8" w:rsidRPr="00E73C16" w:rsidRDefault="00D539E8" w:rsidP="00907AD7">
      <w:pPr>
        <w:keepNext/>
        <w:tabs>
          <w:tab w:val="left" w:pos="90"/>
        </w:tabs>
        <w:autoSpaceDE w:val="0"/>
        <w:autoSpaceDN w:val="0"/>
        <w:rPr>
          <w:rFonts w:cs="Arial"/>
          <w:color w:val="000000"/>
          <w:lang w:val="fr-CH"/>
        </w:rPr>
      </w:pPr>
    </w:p>
    <w:p w:rsidR="00D539E8" w:rsidRPr="001D4989" w:rsidRDefault="00D539E8" w:rsidP="00907AD7">
      <w:pPr>
        <w:keepNext/>
        <w:tabs>
          <w:tab w:val="left" w:pos="90"/>
        </w:tabs>
        <w:autoSpaceDE w:val="0"/>
        <w:autoSpaceDN w:val="0"/>
        <w:adjustRightInd w:val="0"/>
        <w:rPr>
          <w:rFonts w:cs="Arial"/>
          <w:color w:val="000000"/>
        </w:rPr>
      </w:pPr>
      <w:r w:rsidRPr="00FA1497">
        <w:rPr>
          <w:rFonts w:cs="Arial"/>
          <w:color w:val="000000"/>
        </w:rPr>
        <w:t>Judith DE ROOS - BLOKLAND (Mrs.), Lawyer, Regulatory and Legal Affairs, Plantum NL, Gouda, Pays-Bas (e-mail: j.blokland@plantum.nl)</w:t>
      </w:r>
      <w:r w:rsidRPr="001D4989">
        <w:rPr>
          <w:rFonts w:cs="Arial"/>
          <w:color w:val="000000"/>
        </w:rPr>
        <w:t xml:space="preserve">  </w:t>
      </w:r>
    </w:p>
    <w:p w:rsidR="00D539E8" w:rsidRDefault="00D539E8" w:rsidP="00907AD7">
      <w:pPr>
        <w:keepNext/>
        <w:tabs>
          <w:tab w:val="left" w:pos="90"/>
        </w:tabs>
        <w:autoSpaceDE w:val="0"/>
        <w:autoSpaceDN w:val="0"/>
        <w:rPr>
          <w:rFonts w:cs="Arial"/>
          <w:color w:val="000000"/>
        </w:rPr>
      </w:pPr>
    </w:p>
    <w:p w:rsidR="00D539E8" w:rsidRDefault="00D539E8" w:rsidP="00907AD7">
      <w:pPr>
        <w:tabs>
          <w:tab w:val="left" w:pos="90"/>
        </w:tabs>
        <w:autoSpaceDE w:val="0"/>
        <w:autoSpaceDN w:val="0"/>
        <w:rPr>
          <w:rFonts w:cs="Arial"/>
          <w:color w:val="000000"/>
        </w:rPr>
      </w:pPr>
    </w:p>
    <w:p w:rsidR="00D539E8" w:rsidRPr="00476BBA" w:rsidRDefault="00D539E8" w:rsidP="00907AD7">
      <w:pPr>
        <w:tabs>
          <w:tab w:val="left" w:pos="90"/>
        </w:tabs>
        <w:autoSpaceDE w:val="0"/>
        <w:autoSpaceDN w:val="0"/>
        <w:rPr>
          <w:rFonts w:cs="Arial"/>
          <w:color w:val="000000"/>
        </w:rPr>
      </w:pPr>
    </w:p>
    <w:p w:rsidR="00D539E8" w:rsidRPr="00AC0DE9" w:rsidRDefault="00D539E8" w:rsidP="00907AD7">
      <w:pPr>
        <w:keepNext/>
        <w:jc w:val="center"/>
        <w:rPr>
          <w:rFonts w:cs="Arial"/>
          <w:u w:val="single"/>
        </w:rPr>
      </w:pPr>
      <w:r w:rsidRPr="00E73C16">
        <w:rPr>
          <w:rFonts w:cs="Arial"/>
        </w:rPr>
        <w:t>I</w:t>
      </w:r>
      <w:r>
        <w:rPr>
          <w:rFonts w:cs="Arial"/>
        </w:rPr>
        <w:t>II</w:t>
      </w:r>
      <w:r w:rsidRPr="00AC0DE9">
        <w:rPr>
          <w:rFonts w:cs="Arial"/>
        </w:rPr>
        <w:t>.</w:t>
      </w:r>
      <w:r w:rsidRPr="00AC0DE9">
        <w:rPr>
          <w:rFonts w:cs="Arial"/>
        </w:rPr>
        <w:tab/>
      </w:r>
      <w:r w:rsidRPr="00AC0DE9">
        <w:rPr>
          <w:rFonts w:cs="Arial"/>
          <w:u w:val="single"/>
        </w:rPr>
        <w:t>BUREAU / OFFICER / VORSITZ / OFICINA</w:t>
      </w:r>
    </w:p>
    <w:p w:rsidR="00D539E8" w:rsidRPr="00AC0DE9" w:rsidRDefault="00D539E8" w:rsidP="00907AD7">
      <w:pPr>
        <w:keepNext/>
        <w:jc w:val="center"/>
        <w:rPr>
          <w:rFonts w:cs="Arial"/>
          <w:highlight w:val="yellow"/>
        </w:rPr>
      </w:pPr>
    </w:p>
    <w:p w:rsidR="00D539E8" w:rsidRPr="00E73C16" w:rsidRDefault="00D539E8" w:rsidP="00907AD7">
      <w:pPr>
        <w:keepNext/>
        <w:rPr>
          <w:rFonts w:cs="Arial"/>
          <w:highlight w:val="yellow"/>
        </w:rPr>
      </w:pPr>
      <w:r w:rsidRPr="00044149">
        <w:rPr>
          <w:rFonts w:cs="Arial"/>
        </w:rPr>
        <w:t>Peter BUTTON, Chair</w:t>
      </w:r>
    </w:p>
    <w:p w:rsidR="00D539E8" w:rsidRPr="00E73C16" w:rsidRDefault="00D539E8" w:rsidP="00907AD7">
      <w:pPr>
        <w:jc w:val="center"/>
        <w:rPr>
          <w:rFonts w:cs="Arial"/>
        </w:rPr>
      </w:pPr>
    </w:p>
    <w:p w:rsidR="00D539E8" w:rsidRPr="00E73C16" w:rsidRDefault="00D539E8" w:rsidP="00907AD7">
      <w:pPr>
        <w:jc w:val="center"/>
        <w:rPr>
          <w:rFonts w:cs="Arial"/>
        </w:rPr>
      </w:pPr>
    </w:p>
    <w:p w:rsidR="00D539E8" w:rsidRPr="00E73C16" w:rsidRDefault="00D539E8" w:rsidP="00907AD7">
      <w:pPr>
        <w:jc w:val="center"/>
        <w:rPr>
          <w:rFonts w:cs="Arial"/>
        </w:rPr>
      </w:pPr>
    </w:p>
    <w:p w:rsidR="00D539E8" w:rsidRPr="00E73C16" w:rsidRDefault="00D539E8" w:rsidP="00907AD7">
      <w:pPr>
        <w:keepNext/>
        <w:jc w:val="center"/>
        <w:rPr>
          <w:rFonts w:cs="Arial"/>
          <w:u w:val="single"/>
        </w:rPr>
      </w:pPr>
      <w:r>
        <w:rPr>
          <w:rFonts w:cs="Arial"/>
          <w:lang w:val="pt-BR"/>
        </w:rPr>
        <w:t>IV</w:t>
      </w:r>
      <w:r w:rsidRPr="00AC0DE9">
        <w:rPr>
          <w:rFonts w:cs="Arial"/>
          <w:lang w:val="pt-BR"/>
        </w:rPr>
        <w:t>.</w:t>
      </w:r>
      <w:r w:rsidRPr="00AC0DE9">
        <w:rPr>
          <w:rFonts w:cs="Arial"/>
          <w:lang w:val="pt-BR"/>
        </w:rPr>
        <w:tab/>
      </w:r>
      <w:r w:rsidRPr="00AC0DE9">
        <w:rPr>
          <w:rFonts w:cs="Arial"/>
          <w:u w:val="single"/>
          <w:lang w:val="pt-BR"/>
        </w:rPr>
        <w:t>BUREAU DE L’UPOV / OFFICE OF UPOV / BÜRO DER UPOV / OFICINA DE LA UPOV</w:t>
      </w:r>
    </w:p>
    <w:p w:rsidR="00D539E8" w:rsidRPr="00E73C16" w:rsidRDefault="00D539E8" w:rsidP="00907AD7">
      <w:pPr>
        <w:keepNext/>
        <w:jc w:val="center"/>
        <w:rPr>
          <w:rFonts w:cs="Arial"/>
        </w:rPr>
      </w:pPr>
    </w:p>
    <w:p w:rsidR="00D539E8" w:rsidRPr="00AC0DE9" w:rsidRDefault="00D539E8" w:rsidP="00907AD7">
      <w:pPr>
        <w:keepNext/>
        <w:rPr>
          <w:rFonts w:cs="Arial"/>
          <w:noProof/>
          <w:snapToGrid w:val="0"/>
        </w:rPr>
      </w:pPr>
      <w:r w:rsidRPr="00AC0DE9">
        <w:rPr>
          <w:rFonts w:cs="Arial"/>
          <w:noProof/>
          <w:snapToGrid w:val="0"/>
        </w:rPr>
        <w:t>Peter BUTTON, Vice Secretary-General</w:t>
      </w:r>
    </w:p>
    <w:p w:rsidR="00D539E8" w:rsidRPr="00AC0DE9" w:rsidRDefault="00D539E8" w:rsidP="00907AD7">
      <w:pPr>
        <w:keepNext/>
        <w:rPr>
          <w:rFonts w:cs="Arial"/>
          <w:noProof/>
          <w:snapToGrid w:val="0"/>
        </w:rPr>
      </w:pPr>
    </w:p>
    <w:p w:rsidR="00D539E8" w:rsidRPr="00AC0DE9" w:rsidRDefault="00D539E8" w:rsidP="00907AD7">
      <w:pPr>
        <w:keepNext/>
        <w:rPr>
          <w:rFonts w:cs="Arial"/>
          <w:noProof/>
          <w:snapToGrid w:val="0"/>
        </w:rPr>
      </w:pPr>
      <w:r w:rsidRPr="00AC0DE9">
        <w:rPr>
          <w:rFonts w:cs="Arial"/>
          <w:noProof/>
          <w:snapToGrid w:val="0"/>
        </w:rPr>
        <w:t>Yolanda HUERTA (Mrs.), Legal Counsel</w:t>
      </w:r>
    </w:p>
    <w:p w:rsidR="00D539E8" w:rsidRPr="00AC0DE9" w:rsidRDefault="00D539E8" w:rsidP="00907AD7">
      <w:pPr>
        <w:keepNext/>
        <w:rPr>
          <w:rFonts w:cs="Arial"/>
          <w:noProof/>
          <w:snapToGrid w:val="0"/>
        </w:rPr>
      </w:pPr>
    </w:p>
    <w:p w:rsidR="00D539E8" w:rsidRPr="00E73C16" w:rsidRDefault="00D539E8" w:rsidP="00907AD7">
      <w:pPr>
        <w:keepNext/>
        <w:rPr>
          <w:rFonts w:cs="Arial"/>
          <w:noProof/>
          <w:snapToGrid w:val="0"/>
        </w:rPr>
      </w:pPr>
      <w:r w:rsidRPr="00E73C16">
        <w:rPr>
          <w:rFonts w:cs="Arial"/>
          <w:noProof/>
          <w:snapToGrid w:val="0"/>
        </w:rPr>
        <w:t>Jun KOIDE, Technical/Regional Officer (Asia)</w:t>
      </w:r>
    </w:p>
    <w:p w:rsidR="00D539E8" w:rsidRPr="00AC0DE9" w:rsidRDefault="00D539E8" w:rsidP="00907AD7">
      <w:pPr>
        <w:keepNext/>
        <w:rPr>
          <w:rFonts w:cs="Arial"/>
          <w:noProof/>
          <w:snapToGrid w:val="0"/>
        </w:rPr>
      </w:pPr>
    </w:p>
    <w:p w:rsidR="00D539E8" w:rsidRPr="00E73C16" w:rsidRDefault="00D539E8" w:rsidP="00907AD7">
      <w:pPr>
        <w:keepNext/>
        <w:rPr>
          <w:rFonts w:cs="Arial"/>
          <w:noProof/>
          <w:snapToGrid w:val="0"/>
        </w:rPr>
      </w:pPr>
      <w:r w:rsidRPr="00E73C16">
        <w:rPr>
          <w:rFonts w:cs="Arial"/>
          <w:noProof/>
          <w:snapToGrid w:val="0"/>
        </w:rPr>
        <w:t>Ben RIVOIRE, Technical/Regional Officer (Africa, Arab countries)</w:t>
      </w:r>
    </w:p>
    <w:p w:rsidR="00D539E8" w:rsidRPr="00E73C16" w:rsidRDefault="00D539E8" w:rsidP="00907AD7">
      <w:pPr>
        <w:keepNext/>
        <w:rPr>
          <w:rFonts w:cs="Arial"/>
          <w:noProof/>
          <w:snapToGrid w:val="0"/>
        </w:rPr>
      </w:pPr>
    </w:p>
    <w:p w:rsidR="00D539E8" w:rsidRPr="00E73C16" w:rsidRDefault="00D539E8" w:rsidP="00907AD7">
      <w:pPr>
        <w:keepNext/>
        <w:rPr>
          <w:rFonts w:cs="Arial"/>
        </w:rPr>
      </w:pPr>
      <w:r w:rsidRPr="00E73C16">
        <w:rPr>
          <w:rFonts w:cs="Arial"/>
        </w:rPr>
        <w:t>Leontino TAVEIRA, Technical/Regional Officer (Latin America, Caribbean countries)</w:t>
      </w:r>
    </w:p>
    <w:p w:rsidR="00D539E8" w:rsidRPr="00E73C16" w:rsidRDefault="00D539E8" w:rsidP="00907AD7">
      <w:pPr>
        <w:tabs>
          <w:tab w:val="left" w:pos="90"/>
          <w:tab w:val="left" w:pos="3782"/>
        </w:tabs>
        <w:autoSpaceDE w:val="0"/>
        <w:autoSpaceDN w:val="0"/>
        <w:rPr>
          <w:rFonts w:cs="Arial"/>
          <w:color w:val="000000"/>
        </w:rPr>
      </w:pPr>
    </w:p>
    <w:p w:rsidR="00D539E8" w:rsidRPr="00E73C16" w:rsidRDefault="00D539E8" w:rsidP="00907AD7">
      <w:pPr>
        <w:jc w:val="right"/>
        <w:rPr>
          <w:rFonts w:cs="Arial"/>
          <w:color w:val="000000"/>
        </w:rPr>
      </w:pPr>
    </w:p>
    <w:p w:rsidR="00D539E8" w:rsidRPr="00E73C16" w:rsidRDefault="00D539E8" w:rsidP="00907AD7">
      <w:pPr>
        <w:jc w:val="right"/>
        <w:rPr>
          <w:rFonts w:cs="Arial"/>
          <w:color w:val="000000"/>
        </w:rPr>
      </w:pPr>
    </w:p>
    <w:p w:rsidR="00D539E8" w:rsidRPr="00E73C16" w:rsidRDefault="00D539E8" w:rsidP="00907AD7">
      <w:pPr>
        <w:jc w:val="right"/>
        <w:rPr>
          <w:rFonts w:cs="Arial"/>
          <w:color w:val="000000"/>
        </w:rPr>
      </w:pPr>
    </w:p>
    <w:p w:rsidR="00D539E8" w:rsidRPr="0052102F" w:rsidRDefault="00D539E8" w:rsidP="00907AD7">
      <w:pPr>
        <w:jc w:val="right"/>
        <w:rPr>
          <w:rFonts w:cs="Arial"/>
          <w:lang w:val="fr-FR"/>
        </w:rPr>
      </w:pPr>
      <w:r w:rsidRPr="0052102F">
        <w:rPr>
          <w:rFonts w:cs="Arial"/>
          <w:lang w:val="fr-FR"/>
        </w:rPr>
        <w:t xml:space="preserve">[Fin de l’annexe et du document / </w:t>
      </w:r>
    </w:p>
    <w:p w:rsidR="00D539E8" w:rsidRPr="0052102F" w:rsidRDefault="00D539E8" w:rsidP="00907AD7">
      <w:pPr>
        <w:jc w:val="right"/>
        <w:rPr>
          <w:rFonts w:cs="Arial"/>
        </w:rPr>
      </w:pPr>
      <w:r w:rsidRPr="0052102F">
        <w:rPr>
          <w:rFonts w:cs="Arial"/>
        </w:rPr>
        <w:t xml:space="preserve">End of Annex and of document / </w:t>
      </w:r>
    </w:p>
    <w:p w:rsidR="00D539E8" w:rsidRPr="0052102F" w:rsidRDefault="00D539E8" w:rsidP="00907AD7">
      <w:pPr>
        <w:jc w:val="right"/>
        <w:rPr>
          <w:rFonts w:cs="Arial"/>
          <w:lang w:val="de-DE"/>
        </w:rPr>
      </w:pPr>
      <w:r w:rsidRPr="0052102F">
        <w:rPr>
          <w:rFonts w:cs="Arial"/>
          <w:lang w:val="de-DE"/>
        </w:rPr>
        <w:t xml:space="preserve">Ende der Anlage und des Dokuments / </w:t>
      </w:r>
    </w:p>
    <w:p w:rsidR="00D539E8" w:rsidRPr="0052102F" w:rsidRDefault="00D539E8" w:rsidP="00907AD7">
      <w:pPr>
        <w:jc w:val="right"/>
        <w:rPr>
          <w:rFonts w:cs="Arial"/>
          <w:lang w:val="es-ES"/>
        </w:rPr>
      </w:pPr>
      <w:r w:rsidRPr="0052102F">
        <w:rPr>
          <w:rFonts w:cs="Arial"/>
          <w:lang w:val="es-ES"/>
        </w:rPr>
        <w:t>Fin del Anexo y del documento]</w:t>
      </w:r>
    </w:p>
    <w:p w:rsidR="00D539E8" w:rsidRPr="0052102F" w:rsidRDefault="00D539E8" w:rsidP="00907AD7">
      <w:pPr>
        <w:tabs>
          <w:tab w:val="left" w:pos="90"/>
        </w:tabs>
        <w:autoSpaceDE w:val="0"/>
        <w:autoSpaceDN w:val="0"/>
        <w:rPr>
          <w:rFonts w:cs="Arial"/>
          <w:color w:val="000000"/>
          <w:lang w:val="es-ES"/>
        </w:rPr>
      </w:pPr>
    </w:p>
    <w:p w:rsidR="008C6E4E" w:rsidRPr="007429B5" w:rsidRDefault="008C6E4E" w:rsidP="00907AD7"/>
    <w:sectPr w:rsidR="008C6E4E" w:rsidRPr="007429B5" w:rsidSect="00D539E8">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66A" w:rsidRDefault="0097366A">
      <w:r>
        <w:separator/>
      </w:r>
    </w:p>
    <w:p w:rsidR="0097366A" w:rsidRDefault="0097366A"/>
    <w:p w:rsidR="0097366A" w:rsidRDefault="0097366A"/>
  </w:endnote>
  <w:endnote w:type="continuationSeparator" w:id="0">
    <w:p w:rsidR="0097366A" w:rsidRDefault="0097366A">
      <w:r>
        <w:separator/>
      </w:r>
    </w:p>
    <w:p w:rsidR="0097366A" w:rsidRPr="00A60312" w:rsidRDefault="0097366A">
      <w:pPr>
        <w:pStyle w:val="Footer"/>
        <w:spacing w:after="60"/>
        <w:rPr>
          <w:sz w:val="18"/>
          <w:lang w:val="fr-FR"/>
        </w:rPr>
      </w:pPr>
      <w:r w:rsidRPr="00A60312">
        <w:rPr>
          <w:sz w:val="18"/>
          <w:lang w:val="fr-FR"/>
        </w:rPr>
        <w:t>[Suite de la note de la page précédente]</w:t>
      </w:r>
    </w:p>
    <w:p w:rsidR="0097366A" w:rsidRPr="00A60312" w:rsidRDefault="0097366A">
      <w:pPr>
        <w:rPr>
          <w:lang w:val="fr-FR"/>
        </w:rPr>
      </w:pPr>
    </w:p>
    <w:p w:rsidR="0097366A" w:rsidRPr="00A60312" w:rsidRDefault="0097366A">
      <w:pPr>
        <w:rPr>
          <w:lang w:val="fr-FR"/>
        </w:rPr>
      </w:pPr>
    </w:p>
  </w:endnote>
  <w:endnote w:type="continuationNotice" w:id="1">
    <w:p w:rsidR="0097366A" w:rsidRPr="00A60312" w:rsidRDefault="0097366A">
      <w:pPr>
        <w:spacing w:before="60"/>
        <w:jc w:val="right"/>
        <w:rPr>
          <w:sz w:val="18"/>
          <w:lang w:val="fr-FR"/>
        </w:rPr>
      </w:pPr>
      <w:r w:rsidRPr="00A60312">
        <w:rPr>
          <w:sz w:val="18"/>
          <w:lang w:val="fr-FR"/>
        </w:rPr>
        <w:t>[Suite de la note page suivante]</w:t>
      </w:r>
    </w:p>
    <w:p w:rsidR="0097366A" w:rsidRPr="00A60312" w:rsidRDefault="0097366A">
      <w:pPr>
        <w:rPr>
          <w:lang w:val="fr-FR"/>
        </w:rPr>
      </w:pPr>
    </w:p>
    <w:p w:rsidR="0097366A" w:rsidRPr="00A60312" w:rsidRDefault="0097366A">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66A" w:rsidRDefault="0097366A" w:rsidP="009D690D">
      <w:pPr>
        <w:spacing w:before="120"/>
      </w:pPr>
      <w:r>
        <w:separator/>
      </w:r>
    </w:p>
  </w:footnote>
  <w:footnote w:type="continuationSeparator" w:id="0">
    <w:p w:rsidR="0097366A" w:rsidRDefault="0097366A" w:rsidP="00520297">
      <w:pPr>
        <w:spacing w:before="120"/>
        <w:jc w:val="left"/>
      </w:pPr>
      <w:r>
        <w:separator/>
      </w:r>
    </w:p>
  </w:footnote>
  <w:footnote w:type="continuationNotice" w:id="1">
    <w:p w:rsidR="0097366A" w:rsidRDefault="0097366A"/>
  </w:footnote>
  <w:footnote w:id="2">
    <w:p w:rsidR="0097366A" w:rsidRPr="0097065B" w:rsidRDefault="0097366A" w:rsidP="0070116C">
      <w:pPr>
        <w:pStyle w:val="FootnoteText"/>
      </w:pPr>
      <w:r>
        <w:rPr>
          <w:rStyle w:val="FootnoteReference"/>
        </w:rPr>
        <w:footnoteRef/>
      </w:r>
      <w:r>
        <w:tab/>
        <w:t>„[I]st das Merkmal für die internationale Harmonisierung von Sortenbeschreibungen wichtig (Merkmale mit Sternchen) und wird von der Umwelt beeinflußt (die meisten qualitativen und pseudo</w:t>
      </w:r>
      <w:r>
        <w:noBreakHyphen/>
        <w:t>qualitativen Merkmale) […..], müssen Beispielssorten in den Prüfungsrichtlinien bereitgestellt werden” (vergleiche Dokument TGP/7, Anlage 3, Anmerkung GN 28 „Beispielssorten”, Abschnitt 3.3 iii)).</w:t>
      </w:r>
    </w:p>
    <w:p w:rsidR="0097366A" w:rsidRPr="0097065B" w:rsidRDefault="0097366A" w:rsidP="0070116C">
      <w:pPr>
        <w:pStyle w:val="FootnoteText"/>
      </w:pPr>
      <w:r>
        <w:tab/>
        <w:t>„1.2.3</w:t>
      </w:r>
      <w:r>
        <w:tab/>
        <w:t>Beispielssorten sind wichtig zur möglichst genauen Adjustierung der Beschreibung der Merkmale aufgrund der Jahres- und Standorteinflüsse.  […] ” (vergleiche Dokument TGP/7, Anlage 3, Anmerkung GN 28 „Beispielssorten”, Abschnitt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6A" w:rsidRPr="00997029" w:rsidRDefault="0097366A" w:rsidP="00EB048E">
    <w:pPr>
      <w:pStyle w:val="Header"/>
      <w:rPr>
        <w:rStyle w:val="PageNumber"/>
      </w:rPr>
    </w:pPr>
    <w:r>
      <w:rPr>
        <w:rStyle w:val="PageNumber"/>
      </w:rPr>
      <w:t>CAJ-AG/14/9/6</w:t>
    </w:r>
  </w:p>
  <w:p w:rsidR="0097366A" w:rsidRPr="00997029" w:rsidRDefault="0097366A" w:rsidP="00EB048E">
    <w:pPr>
      <w:pStyle w:val="Header"/>
    </w:pPr>
    <w:r>
      <w:t>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7F574E">
      <w:rPr>
        <w:rStyle w:val="PageNumber"/>
        <w:noProof/>
      </w:rPr>
      <w:t>11</w:t>
    </w:r>
    <w:r w:rsidRPr="00997029">
      <w:rPr>
        <w:rStyle w:val="PageNumber"/>
      </w:rPr>
      <w:fldChar w:fldCharType="end"/>
    </w:r>
  </w:p>
  <w:p w:rsidR="0097366A" w:rsidRPr="00997029" w:rsidRDefault="0097366A"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366A" w:rsidRPr="0052102F" w:rsidRDefault="0097366A" w:rsidP="008E31A0">
    <w:pPr>
      <w:pStyle w:val="Header"/>
      <w:rPr>
        <w:rFonts w:cs="Arial"/>
      </w:rPr>
    </w:pPr>
    <w:r w:rsidRPr="0052102F">
      <w:rPr>
        <w:rFonts w:cs="Arial"/>
      </w:rPr>
      <w:t>CAJ-AG/1</w:t>
    </w:r>
    <w:r>
      <w:rPr>
        <w:rFonts w:cs="Arial"/>
      </w:rPr>
      <w:t>4/9</w:t>
    </w:r>
    <w:r w:rsidRPr="0052102F">
      <w:rPr>
        <w:rFonts w:cs="Arial"/>
      </w:rPr>
      <w:t>/</w:t>
    </w:r>
    <w:r>
      <w:rPr>
        <w:rFonts w:cs="Arial"/>
      </w:rPr>
      <w:t>6</w:t>
    </w:r>
  </w:p>
  <w:p w:rsidR="0097366A" w:rsidRPr="0052102F" w:rsidRDefault="0097366A" w:rsidP="008E31A0">
    <w:pPr>
      <w:pStyle w:val="Header"/>
      <w:rPr>
        <w:rFonts w:cs="Arial"/>
      </w:rPr>
    </w:pPr>
    <w:r w:rsidRPr="0052102F">
      <w:rPr>
        <w:rFonts w:cs="Arial"/>
      </w:rPr>
      <w:t>Annexe / Annex / Anlage / Anexo</w:t>
    </w:r>
  </w:p>
  <w:p w:rsidR="0097366A" w:rsidRPr="0052102F" w:rsidRDefault="0097366A" w:rsidP="008E31A0">
    <w:pPr>
      <w:pStyle w:val="Header"/>
      <w:rPr>
        <w:rStyle w:val="PageNumber"/>
        <w:rFonts w:cs="Arial"/>
      </w:rPr>
    </w:pPr>
    <w:r w:rsidRPr="0052102F">
      <w:rPr>
        <w:rFonts w:cs="Arial"/>
      </w:rPr>
      <w:t xml:space="preserve">page </w:t>
    </w:r>
    <w:r w:rsidRPr="0052102F">
      <w:rPr>
        <w:rStyle w:val="PageNumber"/>
        <w:rFonts w:cs="Arial"/>
      </w:rPr>
      <w:fldChar w:fldCharType="begin"/>
    </w:r>
    <w:r w:rsidRPr="0052102F">
      <w:rPr>
        <w:rStyle w:val="PageNumber"/>
        <w:rFonts w:cs="Arial"/>
      </w:rPr>
      <w:instrText xml:space="preserve"> PAGE </w:instrText>
    </w:r>
    <w:r w:rsidRPr="0052102F">
      <w:rPr>
        <w:rStyle w:val="PageNumber"/>
        <w:rFonts w:cs="Arial"/>
      </w:rPr>
      <w:fldChar w:fldCharType="separate"/>
    </w:r>
    <w:r w:rsidR="007F574E">
      <w:rPr>
        <w:rStyle w:val="PageNumber"/>
        <w:rFonts w:cs="Arial"/>
        <w:noProof/>
      </w:rPr>
      <w:t>7</w:t>
    </w:r>
    <w:r w:rsidRPr="0052102F">
      <w:rPr>
        <w:rStyle w:val="PageNumber"/>
        <w:rFonts w:cs="Arial"/>
      </w:rPr>
      <w:fldChar w:fldCharType="end"/>
    </w:r>
    <w:r w:rsidRPr="0052102F">
      <w:rPr>
        <w:rStyle w:val="PageNumber"/>
        <w:rFonts w:cs="Arial"/>
      </w:rPr>
      <w:t xml:space="preserve"> / Seite </w:t>
    </w:r>
    <w:r w:rsidRPr="0052102F">
      <w:rPr>
        <w:rStyle w:val="PageNumber"/>
        <w:rFonts w:cs="Arial"/>
      </w:rPr>
      <w:fldChar w:fldCharType="begin"/>
    </w:r>
    <w:r w:rsidRPr="0052102F">
      <w:rPr>
        <w:rStyle w:val="PageNumber"/>
        <w:rFonts w:cs="Arial"/>
      </w:rPr>
      <w:instrText xml:space="preserve"> PAGE </w:instrText>
    </w:r>
    <w:r w:rsidRPr="0052102F">
      <w:rPr>
        <w:rStyle w:val="PageNumber"/>
        <w:rFonts w:cs="Arial"/>
      </w:rPr>
      <w:fldChar w:fldCharType="separate"/>
    </w:r>
    <w:r w:rsidR="007F574E">
      <w:rPr>
        <w:rStyle w:val="PageNumber"/>
        <w:rFonts w:cs="Arial"/>
        <w:noProof/>
      </w:rPr>
      <w:t>7</w:t>
    </w:r>
    <w:r w:rsidRPr="0052102F">
      <w:rPr>
        <w:rStyle w:val="PageNumber"/>
        <w:rFonts w:cs="Arial"/>
      </w:rPr>
      <w:fldChar w:fldCharType="end"/>
    </w:r>
    <w:r w:rsidRPr="0052102F">
      <w:rPr>
        <w:rStyle w:val="PageNumber"/>
        <w:rFonts w:cs="Arial"/>
      </w:rPr>
      <w:t xml:space="preserve"> / página </w:t>
    </w:r>
    <w:r w:rsidRPr="0052102F">
      <w:rPr>
        <w:rStyle w:val="PageNumber"/>
        <w:rFonts w:cs="Arial"/>
      </w:rPr>
      <w:fldChar w:fldCharType="begin"/>
    </w:r>
    <w:r w:rsidRPr="0052102F">
      <w:rPr>
        <w:rStyle w:val="PageNumber"/>
        <w:rFonts w:cs="Arial"/>
      </w:rPr>
      <w:instrText xml:space="preserve"> PAGE </w:instrText>
    </w:r>
    <w:r w:rsidRPr="0052102F">
      <w:rPr>
        <w:rStyle w:val="PageNumber"/>
        <w:rFonts w:cs="Arial"/>
      </w:rPr>
      <w:fldChar w:fldCharType="separate"/>
    </w:r>
    <w:r w:rsidR="007F574E">
      <w:rPr>
        <w:rStyle w:val="PageNumber"/>
        <w:rFonts w:cs="Arial"/>
        <w:noProof/>
      </w:rPr>
      <w:t>7</w:t>
    </w:r>
    <w:r w:rsidRPr="0052102F">
      <w:rPr>
        <w:rStyle w:val="PageNumber"/>
        <w:rFonts w:cs="Arial"/>
      </w:rPr>
      <w:fldChar w:fldCharType="end"/>
    </w:r>
  </w:p>
  <w:p w:rsidR="0097366A" w:rsidRDefault="0097366A" w:rsidP="008E31A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3268D"/>
    <w:multiLevelType w:val="hybridMultilevel"/>
    <w:tmpl w:val="D26E4CD6"/>
    <w:lvl w:ilvl="0" w:tplc="0407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153"/>
    <w:rsid w:val="00001D48"/>
    <w:rsid w:val="00010CF3"/>
    <w:rsid w:val="00011CD0"/>
    <w:rsid w:val="00011E27"/>
    <w:rsid w:val="00014850"/>
    <w:rsid w:val="000148BC"/>
    <w:rsid w:val="000174D2"/>
    <w:rsid w:val="00024AB8"/>
    <w:rsid w:val="00030239"/>
    <w:rsid w:val="00036028"/>
    <w:rsid w:val="000446B9"/>
    <w:rsid w:val="00047E21"/>
    <w:rsid w:val="00050139"/>
    <w:rsid w:val="00062F44"/>
    <w:rsid w:val="00066229"/>
    <w:rsid w:val="00083A71"/>
    <w:rsid w:val="00085505"/>
    <w:rsid w:val="000B3D5C"/>
    <w:rsid w:val="000C7021"/>
    <w:rsid w:val="000D6BBC"/>
    <w:rsid w:val="000D7780"/>
    <w:rsid w:val="000E2821"/>
    <w:rsid w:val="0010416A"/>
    <w:rsid w:val="00105929"/>
    <w:rsid w:val="001131D5"/>
    <w:rsid w:val="0011576C"/>
    <w:rsid w:val="00117858"/>
    <w:rsid w:val="00125C9F"/>
    <w:rsid w:val="00141DB8"/>
    <w:rsid w:val="00171A61"/>
    <w:rsid w:val="0017288F"/>
    <w:rsid w:val="0017474A"/>
    <w:rsid w:val="001758C6"/>
    <w:rsid w:val="0018265F"/>
    <w:rsid w:val="0018422F"/>
    <w:rsid w:val="001A4C96"/>
    <w:rsid w:val="001A7E38"/>
    <w:rsid w:val="001C3DF3"/>
    <w:rsid w:val="00207CF6"/>
    <w:rsid w:val="0021332C"/>
    <w:rsid w:val="00213982"/>
    <w:rsid w:val="0022331F"/>
    <w:rsid w:val="002311E5"/>
    <w:rsid w:val="0024312B"/>
    <w:rsid w:val="0024416D"/>
    <w:rsid w:val="0027309C"/>
    <w:rsid w:val="0027761D"/>
    <w:rsid w:val="002800A0"/>
    <w:rsid w:val="00281060"/>
    <w:rsid w:val="00293035"/>
    <w:rsid w:val="00293337"/>
    <w:rsid w:val="0029439F"/>
    <w:rsid w:val="002A6E50"/>
    <w:rsid w:val="002C1C84"/>
    <w:rsid w:val="002C256A"/>
    <w:rsid w:val="002E240B"/>
    <w:rsid w:val="002E7BA1"/>
    <w:rsid w:val="002F32A9"/>
    <w:rsid w:val="00305A7F"/>
    <w:rsid w:val="003152FE"/>
    <w:rsid w:val="00327436"/>
    <w:rsid w:val="00344BD6"/>
    <w:rsid w:val="0035528D"/>
    <w:rsid w:val="00361821"/>
    <w:rsid w:val="00382ED1"/>
    <w:rsid w:val="00383B8D"/>
    <w:rsid w:val="00390790"/>
    <w:rsid w:val="003912FE"/>
    <w:rsid w:val="003B0880"/>
    <w:rsid w:val="003C563E"/>
    <w:rsid w:val="003D01A5"/>
    <w:rsid w:val="003D1CB5"/>
    <w:rsid w:val="003D227C"/>
    <w:rsid w:val="003D2B4D"/>
    <w:rsid w:val="003F6136"/>
    <w:rsid w:val="0040286B"/>
    <w:rsid w:val="00427139"/>
    <w:rsid w:val="00431FB9"/>
    <w:rsid w:val="00444A88"/>
    <w:rsid w:val="00452713"/>
    <w:rsid w:val="00463009"/>
    <w:rsid w:val="00474DA4"/>
    <w:rsid w:val="004766D4"/>
    <w:rsid w:val="0048034A"/>
    <w:rsid w:val="00485444"/>
    <w:rsid w:val="00493A2E"/>
    <w:rsid w:val="004D047D"/>
    <w:rsid w:val="004E579A"/>
    <w:rsid w:val="004F305A"/>
    <w:rsid w:val="00512164"/>
    <w:rsid w:val="00520297"/>
    <w:rsid w:val="00522A13"/>
    <w:rsid w:val="005338F9"/>
    <w:rsid w:val="0054281C"/>
    <w:rsid w:val="00546532"/>
    <w:rsid w:val="0055268D"/>
    <w:rsid w:val="00572E44"/>
    <w:rsid w:val="005750EA"/>
    <w:rsid w:val="00576BE4"/>
    <w:rsid w:val="005A400A"/>
    <w:rsid w:val="005C110C"/>
    <w:rsid w:val="005C4522"/>
    <w:rsid w:val="005E3982"/>
    <w:rsid w:val="00611CE6"/>
    <w:rsid w:val="00612379"/>
    <w:rsid w:val="0061555F"/>
    <w:rsid w:val="00641200"/>
    <w:rsid w:val="00663ED8"/>
    <w:rsid w:val="00687EB4"/>
    <w:rsid w:val="006A4BD1"/>
    <w:rsid w:val="006A7061"/>
    <w:rsid w:val="006B17D2"/>
    <w:rsid w:val="006B394D"/>
    <w:rsid w:val="006B45FA"/>
    <w:rsid w:val="006C224E"/>
    <w:rsid w:val="006E59EC"/>
    <w:rsid w:val="0070116C"/>
    <w:rsid w:val="00707153"/>
    <w:rsid w:val="00723448"/>
    <w:rsid w:val="00723BB3"/>
    <w:rsid w:val="007254DF"/>
    <w:rsid w:val="00732DEC"/>
    <w:rsid w:val="00734F5D"/>
    <w:rsid w:val="00735BD5"/>
    <w:rsid w:val="007429B5"/>
    <w:rsid w:val="0075117E"/>
    <w:rsid w:val="007556F6"/>
    <w:rsid w:val="00760EEF"/>
    <w:rsid w:val="00772D2F"/>
    <w:rsid w:val="00777EE5"/>
    <w:rsid w:val="00784836"/>
    <w:rsid w:val="0079023E"/>
    <w:rsid w:val="00790760"/>
    <w:rsid w:val="00792AB4"/>
    <w:rsid w:val="007B1E25"/>
    <w:rsid w:val="007B1E3F"/>
    <w:rsid w:val="007D0B9D"/>
    <w:rsid w:val="007D19B0"/>
    <w:rsid w:val="007E6029"/>
    <w:rsid w:val="007E6A08"/>
    <w:rsid w:val="007E7DB5"/>
    <w:rsid w:val="007F2867"/>
    <w:rsid w:val="007F498F"/>
    <w:rsid w:val="007F574E"/>
    <w:rsid w:val="008030AC"/>
    <w:rsid w:val="0080679D"/>
    <w:rsid w:val="00806BFD"/>
    <w:rsid w:val="008108B0"/>
    <w:rsid w:val="00811B20"/>
    <w:rsid w:val="00821501"/>
    <w:rsid w:val="0082296E"/>
    <w:rsid w:val="00824099"/>
    <w:rsid w:val="00827401"/>
    <w:rsid w:val="00846F2F"/>
    <w:rsid w:val="0084788F"/>
    <w:rsid w:val="00855DBD"/>
    <w:rsid w:val="00862468"/>
    <w:rsid w:val="00863CBE"/>
    <w:rsid w:val="00867AC1"/>
    <w:rsid w:val="00871895"/>
    <w:rsid w:val="008A13EF"/>
    <w:rsid w:val="008A395B"/>
    <w:rsid w:val="008A743F"/>
    <w:rsid w:val="008B51D0"/>
    <w:rsid w:val="008C0970"/>
    <w:rsid w:val="008C6E4E"/>
    <w:rsid w:val="008D2CF7"/>
    <w:rsid w:val="008E1FF1"/>
    <w:rsid w:val="008E31A0"/>
    <w:rsid w:val="008E793E"/>
    <w:rsid w:val="00900C26"/>
    <w:rsid w:val="0090197F"/>
    <w:rsid w:val="0090684B"/>
    <w:rsid w:val="00906DDC"/>
    <w:rsid w:val="00907AD7"/>
    <w:rsid w:val="0091605D"/>
    <w:rsid w:val="009221E8"/>
    <w:rsid w:val="00934E09"/>
    <w:rsid w:val="00936253"/>
    <w:rsid w:val="00970FED"/>
    <w:rsid w:val="0097366A"/>
    <w:rsid w:val="00973AF6"/>
    <w:rsid w:val="00975941"/>
    <w:rsid w:val="0099109F"/>
    <w:rsid w:val="00997029"/>
    <w:rsid w:val="009A40AE"/>
    <w:rsid w:val="009D0DE5"/>
    <w:rsid w:val="009D193B"/>
    <w:rsid w:val="009D2324"/>
    <w:rsid w:val="009D690D"/>
    <w:rsid w:val="009E3396"/>
    <w:rsid w:val="009E5023"/>
    <w:rsid w:val="009E65B6"/>
    <w:rsid w:val="009F339C"/>
    <w:rsid w:val="00A02000"/>
    <w:rsid w:val="00A0552A"/>
    <w:rsid w:val="00A42AC3"/>
    <w:rsid w:val="00A430CF"/>
    <w:rsid w:val="00A54309"/>
    <w:rsid w:val="00A60312"/>
    <w:rsid w:val="00A60E16"/>
    <w:rsid w:val="00A80CDE"/>
    <w:rsid w:val="00AA0250"/>
    <w:rsid w:val="00AB2B93"/>
    <w:rsid w:val="00AC2152"/>
    <w:rsid w:val="00AE0EF1"/>
    <w:rsid w:val="00AF3EBC"/>
    <w:rsid w:val="00B03CCB"/>
    <w:rsid w:val="00B07301"/>
    <w:rsid w:val="00B224DE"/>
    <w:rsid w:val="00B54223"/>
    <w:rsid w:val="00B74071"/>
    <w:rsid w:val="00B84BBD"/>
    <w:rsid w:val="00B9780F"/>
    <w:rsid w:val="00BA1D46"/>
    <w:rsid w:val="00BA43FB"/>
    <w:rsid w:val="00BA7B47"/>
    <w:rsid w:val="00BB0894"/>
    <w:rsid w:val="00BC127D"/>
    <w:rsid w:val="00BC1FE6"/>
    <w:rsid w:val="00BD4C24"/>
    <w:rsid w:val="00BE0DF1"/>
    <w:rsid w:val="00BE1F8B"/>
    <w:rsid w:val="00BE36D8"/>
    <w:rsid w:val="00BF03CF"/>
    <w:rsid w:val="00C061B6"/>
    <w:rsid w:val="00C2446C"/>
    <w:rsid w:val="00C36AE5"/>
    <w:rsid w:val="00C41F17"/>
    <w:rsid w:val="00C5791C"/>
    <w:rsid w:val="00C66290"/>
    <w:rsid w:val="00C72B7A"/>
    <w:rsid w:val="00C841DF"/>
    <w:rsid w:val="00C86AE3"/>
    <w:rsid w:val="00C973F2"/>
    <w:rsid w:val="00CA774A"/>
    <w:rsid w:val="00CC11B0"/>
    <w:rsid w:val="00CF5840"/>
    <w:rsid w:val="00CF7E36"/>
    <w:rsid w:val="00D03DFE"/>
    <w:rsid w:val="00D24210"/>
    <w:rsid w:val="00D26FB6"/>
    <w:rsid w:val="00D334D0"/>
    <w:rsid w:val="00D3708D"/>
    <w:rsid w:val="00D40426"/>
    <w:rsid w:val="00D535EF"/>
    <w:rsid w:val="00D539E8"/>
    <w:rsid w:val="00D57C96"/>
    <w:rsid w:val="00D61468"/>
    <w:rsid w:val="00D62F5A"/>
    <w:rsid w:val="00D74146"/>
    <w:rsid w:val="00D81A88"/>
    <w:rsid w:val="00D82279"/>
    <w:rsid w:val="00D91203"/>
    <w:rsid w:val="00D92EFF"/>
    <w:rsid w:val="00D95174"/>
    <w:rsid w:val="00DA6F36"/>
    <w:rsid w:val="00DC00EA"/>
    <w:rsid w:val="00DD19CF"/>
    <w:rsid w:val="00DF7677"/>
    <w:rsid w:val="00E64EEC"/>
    <w:rsid w:val="00E72D49"/>
    <w:rsid w:val="00E7593C"/>
    <w:rsid w:val="00E7678A"/>
    <w:rsid w:val="00E93435"/>
    <w:rsid w:val="00E935F1"/>
    <w:rsid w:val="00E94A81"/>
    <w:rsid w:val="00EA1FFB"/>
    <w:rsid w:val="00EB048E"/>
    <w:rsid w:val="00EB3EFA"/>
    <w:rsid w:val="00EB5A79"/>
    <w:rsid w:val="00ED16BB"/>
    <w:rsid w:val="00EE2480"/>
    <w:rsid w:val="00EF2F89"/>
    <w:rsid w:val="00F04CF6"/>
    <w:rsid w:val="00F04DEB"/>
    <w:rsid w:val="00F07A7C"/>
    <w:rsid w:val="00F1237A"/>
    <w:rsid w:val="00F22CBD"/>
    <w:rsid w:val="00F258D2"/>
    <w:rsid w:val="00F3072C"/>
    <w:rsid w:val="00F6334D"/>
    <w:rsid w:val="00F808C3"/>
    <w:rsid w:val="00F919CF"/>
    <w:rsid w:val="00FA49AB"/>
    <w:rsid w:val="00FA7DC7"/>
    <w:rsid w:val="00FB0D37"/>
    <w:rsid w:val="00FD21DE"/>
    <w:rsid w:val="00FE39C7"/>
    <w:rsid w:val="00FE4AF3"/>
    <w:rsid w:val="00FF32EB"/>
    <w:rsid w:val="00FF43E2"/>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link w:val="Heading1Char"/>
    <w:autoRedefine/>
    <w:qFormat/>
    <w:rsid w:val="00BE0DF1"/>
    <w:pPr>
      <w:keepNext/>
      <w:jc w:val="both"/>
      <w:outlineLvl w:val="0"/>
    </w:pPr>
    <w:rPr>
      <w:rFonts w:ascii="Arial" w:hAnsi="Arial"/>
      <w:caps/>
    </w:rPr>
  </w:style>
  <w:style w:type="paragraph" w:styleId="Heading2">
    <w:name w:val="heading 2"/>
    <w:next w:val="Normal"/>
    <w:link w:val="Heading2Char"/>
    <w:autoRedefine/>
    <w:qFormat/>
    <w:rsid w:val="007429B5"/>
    <w:pPr>
      <w:keepNext/>
      <w:jc w:val="both"/>
      <w:outlineLvl w:val="1"/>
    </w:pPr>
    <w:rPr>
      <w:rFonts w:ascii="Arial" w:hAnsi="Arial"/>
      <w:u w:val="single"/>
    </w:rPr>
  </w:style>
  <w:style w:type="paragraph" w:styleId="Heading3">
    <w:name w:val="heading 3"/>
    <w:next w:val="Normal"/>
    <w:autoRedefine/>
    <w:qFormat/>
    <w:rsid w:val="00D61468"/>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qFormat/>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link w:val="EndnoteTextChar"/>
    <w:rsid w:val="00BE0DF1"/>
  </w:style>
  <w:style w:type="character" w:styleId="EndnoteReference">
    <w:name w:val="endnote reference"/>
    <w:basedOn w:val="DefaultParagraphFont"/>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2Char">
    <w:name w:val="Heading 2 Char"/>
    <w:link w:val="Heading2"/>
    <w:rsid w:val="007429B5"/>
    <w:rPr>
      <w:rFonts w:ascii="Arial" w:hAnsi="Arial"/>
      <w:u w:val="single"/>
    </w:rPr>
  </w:style>
  <w:style w:type="character" w:customStyle="1" w:styleId="Heading1Char">
    <w:name w:val="Heading 1 Char"/>
    <w:link w:val="Heading1"/>
    <w:rsid w:val="0018265F"/>
    <w:rPr>
      <w:rFonts w:ascii="Arial" w:hAnsi="Arial"/>
      <w:caps/>
    </w:rPr>
  </w:style>
  <w:style w:type="paragraph" w:styleId="ListParagraph">
    <w:name w:val="List Paragraph"/>
    <w:basedOn w:val="Normal"/>
    <w:uiPriority w:val="34"/>
    <w:qFormat/>
    <w:rsid w:val="004E579A"/>
    <w:pPr>
      <w:ind w:left="720"/>
      <w:contextualSpacing/>
    </w:pPr>
  </w:style>
  <w:style w:type="paragraph" w:customStyle="1" w:styleId="Style1">
    <w:name w:val="Style1"/>
    <w:basedOn w:val="Normal"/>
    <w:rsid w:val="00485444"/>
    <w:pPr>
      <w:tabs>
        <w:tab w:val="decimal" w:pos="907"/>
        <w:tab w:val="left" w:pos="1077"/>
      </w:tabs>
    </w:pPr>
    <w:rPr>
      <w:szCs w:val="24"/>
      <w:lang w:eastAsia="ja-JP"/>
    </w:rPr>
  </w:style>
  <w:style w:type="character" w:customStyle="1" w:styleId="EndnoteTextChar">
    <w:name w:val="Endnote Text Char"/>
    <w:basedOn w:val="DefaultParagraphFont"/>
    <w:link w:val="EndnoteText"/>
    <w:rsid w:val="00D81A88"/>
    <w:rPr>
      <w:rFonts w:ascii="Arial" w:hAnsi="Arial"/>
    </w:rPr>
  </w:style>
  <w:style w:type="character" w:customStyle="1" w:styleId="FootnoteTextChar">
    <w:name w:val="Footnote Text Char"/>
    <w:link w:val="FootnoteText"/>
    <w:rsid w:val="00A60E16"/>
    <w:rPr>
      <w:rFonts w:ascii="Arial" w:hAnsi="Arial"/>
      <w:sz w:val="16"/>
    </w:rPr>
  </w:style>
  <w:style w:type="character" w:customStyle="1" w:styleId="DecisionParagraphsChar">
    <w:name w:val="DecisionParagraphs Char"/>
    <w:link w:val="DecisionParagraphs"/>
    <w:rsid w:val="00C86AE3"/>
    <w:rPr>
      <w:rFonts w:ascii="Arial" w:hAnsi="Arial"/>
      <w:i/>
    </w:rPr>
  </w:style>
  <w:style w:type="character" w:customStyle="1" w:styleId="HeaderChar">
    <w:name w:val="Header Char"/>
    <w:basedOn w:val="DefaultParagraphFont"/>
    <w:link w:val="Header"/>
    <w:rsid w:val="00D539E8"/>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0DF1"/>
    <w:pPr>
      <w:jc w:val="both"/>
    </w:pPr>
    <w:rPr>
      <w:rFonts w:ascii="Arial" w:hAnsi="Arial"/>
    </w:rPr>
  </w:style>
  <w:style w:type="paragraph" w:styleId="Heading1">
    <w:name w:val="heading 1"/>
    <w:next w:val="Normal"/>
    <w:link w:val="Heading1Char"/>
    <w:autoRedefine/>
    <w:qFormat/>
    <w:rsid w:val="00BE0DF1"/>
    <w:pPr>
      <w:keepNext/>
      <w:jc w:val="both"/>
      <w:outlineLvl w:val="0"/>
    </w:pPr>
    <w:rPr>
      <w:rFonts w:ascii="Arial" w:hAnsi="Arial"/>
      <w:caps/>
    </w:rPr>
  </w:style>
  <w:style w:type="paragraph" w:styleId="Heading2">
    <w:name w:val="heading 2"/>
    <w:next w:val="Normal"/>
    <w:link w:val="Heading2Char"/>
    <w:autoRedefine/>
    <w:qFormat/>
    <w:rsid w:val="007429B5"/>
    <w:pPr>
      <w:keepNext/>
      <w:jc w:val="both"/>
      <w:outlineLvl w:val="1"/>
    </w:pPr>
    <w:rPr>
      <w:rFonts w:ascii="Arial" w:hAnsi="Arial"/>
      <w:u w:val="single"/>
    </w:rPr>
  </w:style>
  <w:style w:type="paragraph" w:styleId="Heading3">
    <w:name w:val="heading 3"/>
    <w:next w:val="Normal"/>
    <w:autoRedefine/>
    <w:qFormat/>
    <w:rsid w:val="00D61468"/>
    <w:pPr>
      <w:keepNext/>
      <w:jc w:val="both"/>
      <w:outlineLvl w:val="2"/>
    </w:pPr>
    <w:rPr>
      <w:rFonts w:ascii="Arial" w:hAnsi="Arial"/>
      <w:i/>
    </w:rPr>
  </w:style>
  <w:style w:type="paragraph" w:styleId="Heading4">
    <w:name w:val="heading 4"/>
    <w:next w:val="Normal"/>
    <w:autoRedefine/>
    <w:qFormat/>
    <w:rsid w:val="00BE0DF1"/>
    <w:pPr>
      <w:keepNext/>
      <w:ind w:left="567"/>
      <w:jc w:val="both"/>
      <w:outlineLvl w:val="3"/>
    </w:pPr>
    <w:rPr>
      <w:rFonts w:ascii="Arial" w:hAnsi="Arial"/>
      <w:i/>
      <w:lang w:val="fr-FR"/>
    </w:rPr>
  </w:style>
  <w:style w:type="paragraph" w:styleId="Heading5">
    <w:name w:val="heading 5"/>
    <w:next w:val="Normal"/>
    <w:autoRedefine/>
    <w:qFormat/>
    <w:rsid w:val="00BE0DF1"/>
    <w:pPr>
      <w:keepNext/>
      <w:ind w:left="1134" w:hanging="567"/>
      <w:jc w:val="both"/>
      <w:outlineLvl w:val="4"/>
    </w:pPr>
    <w:rPr>
      <w:rFonts w:ascii="Arial" w:hAnsi="Arial"/>
      <w:sz w:val="18"/>
      <w:szCs w:val="18"/>
    </w:rPr>
  </w:style>
  <w:style w:type="paragraph" w:styleId="Heading9">
    <w:name w:val="heading 9"/>
    <w:basedOn w:val="Normal"/>
    <w:next w:val="Normal"/>
    <w:qFormat/>
    <w:rsid w:val="00BE0DF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BE0DF1"/>
    <w:pPr>
      <w:tabs>
        <w:tab w:val="center" w:pos="4536"/>
        <w:tab w:val="right" w:pos="9072"/>
      </w:tabs>
      <w:jc w:val="center"/>
    </w:pPr>
    <w:rPr>
      <w:rFonts w:ascii="Arial" w:hAnsi="Arial"/>
      <w:lang w:val="fr-FR"/>
    </w:rPr>
  </w:style>
  <w:style w:type="paragraph" w:styleId="Footer">
    <w:name w:val="footer"/>
    <w:aliases w:val="doc_path_name"/>
    <w:autoRedefine/>
    <w:rsid w:val="00BE0DF1"/>
    <w:pPr>
      <w:jc w:val="both"/>
    </w:pPr>
    <w:rPr>
      <w:rFonts w:ascii="Arial" w:hAnsi="Arial"/>
      <w:sz w:val="14"/>
    </w:rPr>
  </w:style>
  <w:style w:type="character" w:styleId="PageNumber">
    <w:name w:val="page number"/>
    <w:basedOn w:val="DefaultParagraphFont"/>
    <w:rsid w:val="00BE0DF1"/>
    <w:rPr>
      <w:rFonts w:ascii="Arial" w:hAnsi="Arial"/>
      <w:sz w:val="20"/>
    </w:rPr>
  </w:style>
  <w:style w:type="paragraph" w:styleId="Title">
    <w:name w:val="Title"/>
    <w:basedOn w:val="Normal"/>
    <w:qFormat/>
    <w:rsid w:val="00BE0DF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qFormat/>
    <w:rsid w:val="00BE0DF1"/>
    <w:pPr>
      <w:tabs>
        <w:tab w:val="left" w:pos="5387"/>
      </w:tabs>
      <w:ind w:left="4820"/>
    </w:pPr>
    <w:rPr>
      <w:i/>
    </w:rPr>
  </w:style>
  <w:style w:type="paragraph" w:styleId="FootnoteText">
    <w:name w:val="footnote text"/>
    <w:link w:val="FootnoteTextChar"/>
    <w:autoRedefine/>
    <w:rsid w:val="00BE0DF1"/>
    <w:pPr>
      <w:spacing w:before="60"/>
      <w:ind w:left="567" w:hanging="567"/>
      <w:jc w:val="both"/>
    </w:pPr>
    <w:rPr>
      <w:rFonts w:ascii="Arial" w:hAnsi="Arial"/>
      <w:sz w:val="16"/>
    </w:rPr>
  </w:style>
  <w:style w:type="character" w:styleId="FootnoteReference">
    <w:name w:val="footnote reference"/>
    <w:basedOn w:val="DefaultParagraphFont"/>
    <w:semiHidden/>
    <w:rsid w:val="00BE0DF1"/>
    <w:rPr>
      <w:vertAlign w:val="superscript"/>
    </w:rPr>
  </w:style>
  <w:style w:type="paragraph" w:styleId="Closing">
    <w:name w:val="Closing"/>
    <w:basedOn w:val="Normal"/>
    <w:rsid w:val="00BE0DF1"/>
    <w:pPr>
      <w:ind w:left="4536"/>
      <w:jc w:val="center"/>
    </w:pPr>
  </w:style>
  <w:style w:type="paragraph" w:styleId="Index1">
    <w:name w:val="index 1"/>
    <w:basedOn w:val="Normal"/>
    <w:next w:val="Normal"/>
    <w:semiHidden/>
    <w:rsid w:val="00BE0DF1"/>
    <w:pPr>
      <w:tabs>
        <w:tab w:val="right" w:leader="dot" w:pos="9071"/>
      </w:tabs>
      <w:ind w:left="284" w:hanging="284"/>
    </w:pPr>
    <w:rPr>
      <w:sz w:val="24"/>
    </w:rPr>
  </w:style>
  <w:style w:type="paragraph" w:styleId="Index2">
    <w:name w:val="index 2"/>
    <w:basedOn w:val="Normal"/>
    <w:next w:val="Normal"/>
    <w:semiHidden/>
    <w:rsid w:val="00BE0DF1"/>
    <w:pPr>
      <w:tabs>
        <w:tab w:val="right" w:leader="dot" w:pos="9071"/>
      </w:tabs>
      <w:ind w:left="568" w:hanging="284"/>
    </w:pPr>
    <w:rPr>
      <w:sz w:val="24"/>
    </w:rPr>
  </w:style>
  <w:style w:type="paragraph" w:styleId="Index3">
    <w:name w:val="index 3"/>
    <w:basedOn w:val="Normal"/>
    <w:next w:val="Normal"/>
    <w:semiHidden/>
    <w:rsid w:val="00BE0DF1"/>
    <w:pPr>
      <w:tabs>
        <w:tab w:val="right" w:leader="dot" w:pos="9071"/>
      </w:tabs>
      <w:ind w:left="851" w:hanging="284"/>
    </w:pPr>
    <w:rPr>
      <w:sz w:val="24"/>
    </w:rPr>
  </w:style>
  <w:style w:type="paragraph" w:styleId="MacroText">
    <w:name w:val="macro"/>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E0DF1"/>
    <w:pPr>
      <w:ind w:left="4536"/>
      <w:jc w:val="center"/>
    </w:pPr>
  </w:style>
  <w:style w:type="character" w:customStyle="1" w:styleId="Doclang">
    <w:name w:val="Doc_lang"/>
    <w:basedOn w:val="DefaultParagraphFont"/>
    <w:rsid w:val="00BE0DF1"/>
    <w:rPr>
      <w:rFonts w:ascii="Arial" w:hAnsi="Arial"/>
      <w:sz w:val="20"/>
      <w:lang w:val="en-US"/>
    </w:rPr>
  </w:style>
  <w:style w:type="paragraph" w:customStyle="1" w:styleId="Session">
    <w:name w:val="Session"/>
    <w:basedOn w:val="Normal"/>
    <w:semiHidden/>
    <w:rsid w:val="00BE0DF1"/>
    <w:pPr>
      <w:spacing w:before="60"/>
      <w:jc w:val="center"/>
    </w:pPr>
    <w:rPr>
      <w:b/>
    </w:rPr>
  </w:style>
  <w:style w:type="paragraph" w:customStyle="1" w:styleId="Organizer">
    <w:name w:val="Organizer"/>
    <w:basedOn w:val="Normal"/>
    <w:semiHidden/>
    <w:rsid w:val="00BE0DF1"/>
    <w:pPr>
      <w:spacing w:after="600"/>
      <w:ind w:left="-993" w:right="-994"/>
      <w:jc w:val="center"/>
    </w:pPr>
    <w:rPr>
      <w:b/>
      <w:caps/>
      <w:kern w:val="26"/>
      <w:sz w:val="26"/>
    </w:rPr>
  </w:style>
  <w:style w:type="paragraph" w:styleId="BodyText">
    <w:name w:val="Body Text"/>
    <w:basedOn w:val="Normal"/>
    <w:rsid w:val="00BE0DF1"/>
  </w:style>
  <w:style w:type="paragraph" w:customStyle="1" w:styleId="StyleDocoriginalNotBold">
    <w:name w:val="Style Doc_original + Not Bold"/>
    <w:basedOn w:val="Docoriginal"/>
    <w:link w:val="StyleDocoriginalNotBoldChar"/>
    <w:autoRedefine/>
    <w:rsid w:val="00BE0DF1"/>
    <w:pPr>
      <w:ind w:left="1589"/>
      <w:jc w:val="left"/>
    </w:pPr>
  </w:style>
  <w:style w:type="paragraph" w:customStyle="1" w:styleId="upove">
    <w:name w:val="upov_e"/>
    <w:basedOn w:val="Normal"/>
    <w:rsid w:val="00BE0DF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BE0DF1"/>
  </w:style>
  <w:style w:type="paragraph" w:styleId="EndnoteText">
    <w:name w:val="endnote text"/>
    <w:basedOn w:val="Normal"/>
    <w:link w:val="EndnoteTextChar"/>
    <w:rsid w:val="00BE0DF1"/>
  </w:style>
  <w:style w:type="character" w:styleId="EndnoteReference">
    <w:name w:val="endnote reference"/>
    <w:basedOn w:val="DefaultParagraphFont"/>
    <w:rsid w:val="00BE0DF1"/>
    <w:rPr>
      <w:vertAlign w:val="superscript"/>
    </w:rPr>
  </w:style>
  <w:style w:type="paragraph" w:customStyle="1" w:styleId="SessionMeetingPlace">
    <w:name w:val="Session_MeetingPlace"/>
    <w:basedOn w:val="Normal"/>
    <w:semiHidden/>
    <w:rsid w:val="00BE0DF1"/>
    <w:pPr>
      <w:spacing w:before="480"/>
      <w:jc w:val="center"/>
    </w:pPr>
    <w:rPr>
      <w:b/>
      <w:bCs/>
      <w:kern w:val="28"/>
      <w:sz w:val="24"/>
    </w:rPr>
  </w:style>
  <w:style w:type="paragraph" w:customStyle="1" w:styleId="Original">
    <w:name w:val="Original"/>
    <w:basedOn w:val="Normal"/>
    <w:semiHidden/>
    <w:rsid w:val="00BE0DF1"/>
    <w:pPr>
      <w:spacing w:before="60"/>
      <w:ind w:left="1276"/>
    </w:pPr>
    <w:rPr>
      <w:b/>
      <w:sz w:val="22"/>
    </w:rPr>
  </w:style>
  <w:style w:type="paragraph" w:styleId="Date">
    <w:name w:val="Date"/>
    <w:basedOn w:val="Normal"/>
    <w:semiHidden/>
    <w:rsid w:val="00BE0DF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rsid w:val="00BE0DF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BE0DF1"/>
    <w:pPr>
      <w:spacing w:before="480"/>
    </w:pPr>
    <w:rPr>
      <w:bCs/>
      <w:caps/>
      <w:kern w:val="28"/>
      <w:sz w:val="24"/>
    </w:rPr>
  </w:style>
  <w:style w:type="paragraph" w:customStyle="1" w:styleId="plcountry">
    <w:name w:val="plcountry"/>
    <w:basedOn w:val="Normal"/>
    <w:rsid w:val="00BE0DF1"/>
    <w:pPr>
      <w:keepNext/>
      <w:keepLines/>
      <w:spacing w:before="180" w:after="120"/>
      <w:jc w:val="left"/>
    </w:pPr>
    <w:rPr>
      <w:caps/>
      <w:noProof/>
      <w:snapToGrid w:val="0"/>
      <w:u w:val="single"/>
    </w:rPr>
  </w:style>
  <w:style w:type="paragraph" w:customStyle="1" w:styleId="pldetails">
    <w:name w:val="pldetails"/>
    <w:basedOn w:val="Normal"/>
    <w:rsid w:val="00BE0DF1"/>
    <w:pPr>
      <w:keepLines/>
      <w:spacing w:before="60" w:after="60"/>
      <w:jc w:val="left"/>
    </w:pPr>
    <w:rPr>
      <w:noProof/>
      <w:snapToGrid w:val="0"/>
    </w:rPr>
  </w:style>
  <w:style w:type="paragraph" w:customStyle="1" w:styleId="plheading">
    <w:name w:val="plheading"/>
    <w:basedOn w:val="Normal"/>
    <w:rsid w:val="00BE0DF1"/>
    <w:pPr>
      <w:keepNext/>
      <w:spacing w:before="480" w:after="120"/>
      <w:jc w:val="center"/>
    </w:pPr>
    <w:rPr>
      <w:caps/>
      <w:snapToGrid w:val="0"/>
      <w:u w:val="single"/>
    </w:rPr>
  </w:style>
  <w:style w:type="paragraph" w:customStyle="1" w:styleId="Sessiontcplacedate">
    <w:name w:val="Session_tc_place_date"/>
    <w:basedOn w:val="SessionMeetingPlace"/>
    <w:rsid w:val="00BE0DF1"/>
    <w:pPr>
      <w:spacing w:before="240"/>
    </w:pPr>
  </w:style>
  <w:style w:type="paragraph" w:customStyle="1" w:styleId="Titleofdoc0">
    <w:name w:val="Title_of_doc"/>
    <w:basedOn w:val="Normal"/>
    <w:rsid w:val="00BE0DF1"/>
    <w:pPr>
      <w:spacing w:before="600"/>
      <w:jc w:val="center"/>
    </w:pPr>
    <w:rPr>
      <w:caps/>
    </w:rPr>
  </w:style>
  <w:style w:type="paragraph" w:customStyle="1" w:styleId="preparedby1">
    <w:name w:val="prepared_by"/>
    <w:basedOn w:val="Normal"/>
    <w:semiHidden/>
    <w:rsid w:val="00BE0DF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BE0DF1"/>
    <w:pPr>
      <w:spacing w:before="480"/>
      <w:ind w:left="567" w:hanging="567"/>
      <w:jc w:val="right"/>
    </w:pPr>
    <w:rPr>
      <w:rFonts w:ascii="Arial" w:hAnsi="Arial"/>
    </w:rPr>
  </w:style>
  <w:style w:type="character" w:customStyle="1" w:styleId="DocoriginalChar">
    <w:name w:val="Doc_original Char"/>
    <w:basedOn w:val="DefaultParagraphFont"/>
    <w:link w:val="Docoriginal"/>
    <w:rsid w:val="00BE0DF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BE0DF1"/>
    <w:rPr>
      <w:rFonts w:ascii="Arial" w:hAnsi="Arial"/>
      <w:b/>
      <w:bCs/>
      <w:spacing w:val="10"/>
      <w:lang w:val="en-US" w:eastAsia="en-US" w:bidi="ar-SA"/>
    </w:rPr>
  </w:style>
  <w:style w:type="paragraph" w:customStyle="1" w:styleId="StyleDocnumber">
    <w:name w:val="Style Doc_number"/>
    <w:basedOn w:val="Docoriginal"/>
    <w:rsid w:val="00BE0DF1"/>
    <w:pPr>
      <w:ind w:left="1589"/>
    </w:pPr>
  </w:style>
  <w:style w:type="paragraph" w:customStyle="1" w:styleId="StyleDocoriginal">
    <w:name w:val="Style Doc_original"/>
    <w:basedOn w:val="Docoriginal"/>
    <w:link w:val="StyleDocoriginalChar"/>
    <w:rsid w:val="00BE0DF1"/>
  </w:style>
  <w:style w:type="character" w:customStyle="1" w:styleId="StyleDocoriginalChar">
    <w:name w:val="Style Doc_original Char"/>
    <w:basedOn w:val="DocoriginalChar"/>
    <w:link w:val="StyleDocoriginal"/>
    <w:rsid w:val="00BE0DF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BE0DF1"/>
    <w:rPr>
      <w:rFonts w:ascii="Arial" w:hAnsi="Arial"/>
      <w:b/>
      <w:bCs/>
      <w:spacing w:val="10"/>
      <w:lang w:val="en-US" w:eastAsia="en-US" w:bidi="ar-SA"/>
    </w:rPr>
  </w:style>
  <w:style w:type="character" w:customStyle="1" w:styleId="StyleDoclangBold">
    <w:name w:val="Style Doc_lang + Bold"/>
    <w:basedOn w:val="Doclang"/>
    <w:rsid w:val="00BE0DF1"/>
    <w:rPr>
      <w:rFonts w:ascii="Arial" w:hAnsi="Arial"/>
      <w:b/>
      <w:bCs/>
      <w:sz w:val="20"/>
      <w:lang w:val="en-US"/>
    </w:rPr>
  </w:style>
  <w:style w:type="paragraph" w:styleId="TOC2">
    <w:name w:val="toc 2"/>
    <w:next w:val="Normal"/>
    <w:autoRedefine/>
    <w:semiHidden/>
    <w:rsid w:val="00BE0DF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BE0DF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BE0DF1"/>
    <w:rPr>
      <w:rFonts w:ascii="Arial" w:hAnsi="Arial"/>
      <w:color w:val="0000FF"/>
      <w:u w:val="single"/>
    </w:rPr>
  </w:style>
  <w:style w:type="paragraph" w:styleId="TOC4">
    <w:name w:val="toc 4"/>
    <w:next w:val="Normal"/>
    <w:autoRedefine/>
    <w:semiHidden/>
    <w:rsid w:val="00BE0DF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BE0DF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BE0DF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AF3EBC"/>
    <w:rPr>
      <w:rFonts w:ascii="Tahoma" w:hAnsi="Tahoma" w:cs="Tahoma"/>
      <w:sz w:val="16"/>
      <w:szCs w:val="16"/>
    </w:rPr>
  </w:style>
  <w:style w:type="character" w:customStyle="1" w:styleId="BalloonTextChar">
    <w:name w:val="Balloon Text Char"/>
    <w:basedOn w:val="DefaultParagraphFont"/>
    <w:link w:val="BalloonText"/>
    <w:rsid w:val="00AF3EBC"/>
    <w:rPr>
      <w:rFonts w:ascii="Tahoma" w:hAnsi="Tahoma" w:cs="Tahoma"/>
      <w:sz w:val="16"/>
      <w:szCs w:val="16"/>
    </w:rPr>
  </w:style>
  <w:style w:type="character" w:customStyle="1" w:styleId="Heading2Char">
    <w:name w:val="Heading 2 Char"/>
    <w:link w:val="Heading2"/>
    <w:rsid w:val="007429B5"/>
    <w:rPr>
      <w:rFonts w:ascii="Arial" w:hAnsi="Arial"/>
      <w:u w:val="single"/>
    </w:rPr>
  </w:style>
  <w:style w:type="character" w:customStyle="1" w:styleId="Heading1Char">
    <w:name w:val="Heading 1 Char"/>
    <w:link w:val="Heading1"/>
    <w:rsid w:val="0018265F"/>
    <w:rPr>
      <w:rFonts w:ascii="Arial" w:hAnsi="Arial"/>
      <w:caps/>
    </w:rPr>
  </w:style>
  <w:style w:type="paragraph" w:styleId="ListParagraph">
    <w:name w:val="List Paragraph"/>
    <w:basedOn w:val="Normal"/>
    <w:uiPriority w:val="34"/>
    <w:qFormat/>
    <w:rsid w:val="004E579A"/>
    <w:pPr>
      <w:ind w:left="720"/>
      <w:contextualSpacing/>
    </w:pPr>
  </w:style>
  <w:style w:type="paragraph" w:customStyle="1" w:styleId="Style1">
    <w:name w:val="Style1"/>
    <w:basedOn w:val="Normal"/>
    <w:rsid w:val="00485444"/>
    <w:pPr>
      <w:tabs>
        <w:tab w:val="decimal" w:pos="907"/>
        <w:tab w:val="left" w:pos="1077"/>
      </w:tabs>
    </w:pPr>
    <w:rPr>
      <w:szCs w:val="24"/>
      <w:lang w:eastAsia="ja-JP"/>
    </w:rPr>
  </w:style>
  <w:style w:type="character" w:customStyle="1" w:styleId="EndnoteTextChar">
    <w:name w:val="Endnote Text Char"/>
    <w:basedOn w:val="DefaultParagraphFont"/>
    <w:link w:val="EndnoteText"/>
    <w:rsid w:val="00D81A88"/>
    <w:rPr>
      <w:rFonts w:ascii="Arial" w:hAnsi="Arial"/>
    </w:rPr>
  </w:style>
  <w:style w:type="character" w:customStyle="1" w:styleId="FootnoteTextChar">
    <w:name w:val="Footnote Text Char"/>
    <w:link w:val="FootnoteText"/>
    <w:rsid w:val="00A60E16"/>
    <w:rPr>
      <w:rFonts w:ascii="Arial" w:hAnsi="Arial"/>
      <w:sz w:val="16"/>
    </w:rPr>
  </w:style>
  <w:style w:type="character" w:customStyle="1" w:styleId="DecisionParagraphsChar">
    <w:name w:val="DecisionParagraphs Char"/>
    <w:link w:val="DecisionParagraphs"/>
    <w:rsid w:val="00C86AE3"/>
    <w:rPr>
      <w:rFonts w:ascii="Arial" w:hAnsi="Arial"/>
      <w:i/>
    </w:rPr>
  </w:style>
  <w:style w:type="character" w:customStyle="1" w:styleId="HeaderChar">
    <w:name w:val="Header Char"/>
    <w:basedOn w:val="DefaultParagraphFont"/>
    <w:link w:val="Header"/>
    <w:rsid w:val="00D539E8"/>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AG\caj_ag_14\Templates\CAJ_AG_14_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BC9FE-0462-43E0-BBD7-947DB904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CAJ_AG_14_9_EN.dotx</Template>
  <TotalTime>49</TotalTime>
  <Pages>18</Pages>
  <Words>5968</Words>
  <Characters>41133</Characters>
  <Application>Microsoft Office Word</Application>
  <DocSecurity>0</DocSecurity>
  <Lines>342</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CAJ-AG/14/9/</vt:lpstr>
      <vt:lpstr>CAJ-AG/14/9/</vt:lpstr>
    </vt:vector>
  </TitlesOfParts>
  <Company>UPOV</Company>
  <LinksUpToDate>false</LinksUpToDate>
  <CharactersWithSpaces>47007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BESSE Ariane</cp:lastModifiedBy>
  <cp:revision>13</cp:revision>
  <cp:lastPrinted>2014-11-21T08:33:00Z</cp:lastPrinted>
  <dcterms:created xsi:type="dcterms:W3CDTF">2014-10-28T09:34:00Z</dcterms:created>
  <dcterms:modified xsi:type="dcterms:W3CDTF">2014-11-21T08:33:00Z</dcterms:modified>
</cp:coreProperties>
</file>