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F29F0" w14:paraId="041FB0D1" w14:textId="77777777" w:rsidTr="00EB4E9C">
        <w:tc>
          <w:tcPr>
            <w:tcW w:w="6522" w:type="dxa"/>
          </w:tcPr>
          <w:p w14:paraId="37B03019" w14:textId="77777777" w:rsidR="00DC3802" w:rsidRPr="00DF29F0" w:rsidRDefault="00DC3802" w:rsidP="00AC2883">
            <w:r w:rsidRPr="00DF29F0">
              <w:drawing>
                <wp:inline distT="0" distB="0" distL="0" distR="0" wp14:anchorId="1ABFFE38" wp14:editId="528872E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D320CBD" w14:textId="3AC6EA75" w:rsidR="008B5290" w:rsidRPr="00DF29F0" w:rsidRDefault="00724959">
            <w:pPr>
              <w:pStyle w:val="Lettrine"/>
            </w:pPr>
            <w:r w:rsidRPr="00DF29F0">
              <w:t>G</w:t>
            </w:r>
          </w:p>
        </w:tc>
      </w:tr>
      <w:tr w:rsidR="00DC3802" w:rsidRPr="00DF29F0" w14:paraId="6B95DD14" w14:textId="77777777" w:rsidTr="00645CA8">
        <w:trPr>
          <w:trHeight w:val="219"/>
        </w:trPr>
        <w:tc>
          <w:tcPr>
            <w:tcW w:w="6522" w:type="dxa"/>
          </w:tcPr>
          <w:p w14:paraId="4ECEE2AB" w14:textId="77777777" w:rsidR="008B5290" w:rsidRPr="00DF29F0" w:rsidRDefault="006F3299">
            <w:pPr>
              <w:pStyle w:val="upove"/>
            </w:pPr>
            <w:r w:rsidRPr="00DF29F0">
              <w:t>Internationaler Verband zum Schutz von Pflanzenzüchtungen</w:t>
            </w:r>
          </w:p>
        </w:tc>
        <w:tc>
          <w:tcPr>
            <w:tcW w:w="3117" w:type="dxa"/>
          </w:tcPr>
          <w:p w14:paraId="71DAA26B" w14:textId="77777777" w:rsidR="00DC3802" w:rsidRPr="00DF29F0" w:rsidRDefault="00DC3802" w:rsidP="00DA4973"/>
        </w:tc>
      </w:tr>
    </w:tbl>
    <w:p w14:paraId="6F4F2BFE" w14:textId="77777777" w:rsidR="00DC3802" w:rsidRPr="00DF29F0" w:rsidRDefault="00DC3802" w:rsidP="00DC3802"/>
    <w:p w14:paraId="4B57A67C" w14:textId="77777777" w:rsidR="00B22ED6" w:rsidRPr="00DF29F0" w:rsidRDefault="00B22ED6" w:rsidP="00B22ED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DF29F0" w14:paraId="2186A72A" w14:textId="77777777" w:rsidTr="00D7425C">
        <w:tc>
          <w:tcPr>
            <w:tcW w:w="6512" w:type="dxa"/>
          </w:tcPr>
          <w:p w14:paraId="7C9ABC95" w14:textId="77777777" w:rsidR="008B5290" w:rsidRPr="00DF29F0" w:rsidRDefault="006F3299">
            <w:pPr>
              <w:pStyle w:val="Sessiontwp"/>
            </w:pPr>
            <w:r w:rsidRPr="00DF29F0">
              <w:t>Technischer Ausschuss</w:t>
            </w:r>
          </w:p>
          <w:p w14:paraId="5741A2A7" w14:textId="77777777" w:rsidR="008B5290" w:rsidRPr="00DF29F0" w:rsidRDefault="006F3299">
            <w:pPr>
              <w:pStyle w:val="Sessiontwpplacedate"/>
            </w:pPr>
            <w:r w:rsidRPr="00DF29F0">
              <w:t>Sechzigste Tagung</w:t>
            </w:r>
          </w:p>
          <w:p w14:paraId="0C09CAB2" w14:textId="77777777" w:rsidR="008B5290" w:rsidRPr="00DF29F0" w:rsidRDefault="006F3299">
            <w:r w:rsidRPr="00DF29F0">
              <w:t>Genf, 21. und 22. Oktober 2024</w:t>
            </w:r>
          </w:p>
          <w:p w14:paraId="6EB1C2F6" w14:textId="77777777" w:rsidR="00B22ED6" w:rsidRPr="00DF29F0" w:rsidRDefault="00B22ED6" w:rsidP="00D7425C"/>
          <w:p w14:paraId="34914F54" w14:textId="77777777" w:rsidR="008B5290" w:rsidRPr="00DF29F0" w:rsidRDefault="006F3299">
            <w:pPr>
              <w:pStyle w:val="Sessiontwp"/>
            </w:pPr>
            <w:r w:rsidRPr="00DF29F0">
              <w:t>Verwaltungs- und Rechtsausschuss</w:t>
            </w:r>
          </w:p>
          <w:p w14:paraId="459D1C03" w14:textId="77777777" w:rsidR="008B5290" w:rsidRPr="00DF29F0" w:rsidRDefault="006F3299">
            <w:pPr>
              <w:pStyle w:val="Sessiontwp"/>
              <w:rPr>
                <w:b w:val="0"/>
              </w:rPr>
            </w:pPr>
            <w:r w:rsidRPr="00DF29F0">
              <w:rPr>
                <w:b w:val="0"/>
              </w:rPr>
              <w:t>Einundachtzigste Sitzung</w:t>
            </w:r>
          </w:p>
          <w:p w14:paraId="37487868" w14:textId="77777777" w:rsidR="008B5290" w:rsidRPr="00DF29F0" w:rsidRDefault="006F3299">
            <w:pPr>
              <w:pStyle w:val="Sessiontwpplacedate"/>
            </w:pPr>
            <w:r w:rsidRPr="00DF29F0">
              <w:t>Genf, 23. Oktober 2024</w:t>
            </w:r>
          </w:p>
        </w:tc>
        <w:tc>
          <w:tcPr>
            <w:tcW w:w="3127" w:type="dxa"/>
          </w:tcPr>
          <w:p w14:paraId="723FF509" w14:textId="0EBC145A" w:rsidR="008B5290" w:rsidRPr="00DF29F0" w:rsidRDefault="00724959">
            <w:pPr>
              <w:pStyle w:val="Doccode"/>
              <w:rPr>
                <w:lang w:val="de-DE"/>
              </w:rPr>
            </w:pPr>
            <w:r w:rsidRPr="00DF29F0">
              <w:rPr>
                <w:lang w:val="de-DE"/>
              </w:rPr>
              <w:t>SESSIONS/2024</w:t>
            </w:r>
            <w:r w:rsidR="002A12E1" w:rsidRPr="00DF29F0">
              <w:rPr>
                <w:lang w:val="de-DE"/>
              </w:rPr>
              <w:t>/6</w:t>
            </w:r>
          </w:p>
          <w:p w14:paraId="1AA85082" w14:textId="77777777" w:rsidR="008B5290" w:rsidRPr="00DF29F0" w:rsidRDefault="006F3299">
            <w:pPr>
              <w:pStyle w:val="Docoriginal"/>
            </w:pPr>
            <w:r w:rsidRPr="00DF29F0">
              <w:t>Original:</w:t>
            </w:r>
            <w:r w:rsidRPr="00DF29F0">
              <w:rPr>
                <w:b w:val="0"/>
                <w:spacing w:val="0"/>
              </w:rPr>
              <w:t xml:space="preserve">  Englisch</w:t>
            </w:r>
          </w:p>
          <w:p w14:paraId="462556FB" w14:textId="77777777" w:rsidR="008B5290" w:rsidRPr="00DF29F0" w:rsidRDefault="006F3299">
            <w:pPr>
              <w:pStyle w:val="Docoriginal"/>
            </w:pPr>
            <w:r w:rsidRPr="00DF29F0">
              <w:t xml:space="preserve">Datum:  </w:t>
            </w:r>
            <w:r w:rsidR="00C14398" w:rsidRPr="00DF29F0">
              <w:rPr>
                <w:b w:val="0"/>
                <w:spacing w:val="0"/>
              </w:rPr>
              <w:t>25.</w:t>
            </w:r>
            <w:r w:rsidR="00F5305E" w:rsidRPr="00DF29F0">
              <w:rPr>
                <w:b w:val="0"/>
                <w:spacing w:val="0"/>
              </w:rPr>
              <w:t xml:space="preserve"> September </w:t>
            </w:r>
            <w:r w:rsidRPr="00DF29F0">
              <w:rPr>
                <w:b w:val="0"/>
                <w:spacing w:val="0"/>
              </w:rPr>
              <w:t>2024</w:t>
            </w:r>
          </w:p>
        </w:tc>
      </w:tr>
    </w:tbl>
    <w:p w14:paraId="45C7B0C7" w14:textId="77777777" w:rsidR="008B5290" w:rsidRPr="00DF29F0" w:rsidRDefault="006F3299">
      <w:pPr>
        <w:pStyle w:val="Titleofdoc0"/>
      </w:pPr>
      <w:r w:rsidRPr="00DF29F0">
        <w:t>Molekulare Techniken</w:t>
      </w:r>
    </w:p>
    <w:p w14:paraId="18D596D1" w14:textId="77777777" w:rsidR="008B5290" w:rsidRPr="00DF29F0" w:rsidRDefault="006F3299">
      <w:pPr>
        <w:pStyle w:val="preparedby1"/>
        <w:jc w:val="left"/>
      </w:pPr>
      <w:r w:rsidRPr="00DF29F0">
        <w:t>Vom Verbandsbüro erstelltes Dokument</w:t>
      </w:r>
    </w:p>
    <w:p w14:paraId="40807811" w14:textId="77777777" w:rsidR="00DF29F0" w:rsidRPr="00DF29F0" w:rsidRDefault="00DF29F0" w:rsidP="00DF29F0">
      <w:pPr>
        <w:pStyle w:val="Disclaimer"/>
        <w:rPr>
          <w:lang w:val="de-DE"/>
        </w:rPr>
      </w:pPr>
      <w:bookmarkStart w:id="0" w:name="_Toc177773938"/>
      <w:bookmarkStart w:id="1" w:name="_Toc84413225"/>
      <w:bookmarkStart w:id="2" w:name="_Toc97892774"/>
      <w:r w:rsidRPr="00DF29F0">
        <w:rPr>
          <w:lang w:val="de-DE"/>
        </w:rPr>
        <w:t>Haftungsausschluss: Dieses Dokument gibt nicht die Grundsätze oder eine Anleitung der UPOV wieder.</w:t>
      </w:r>
      <w:r w:rsidRPr="00DF29F0">
        <w:rPr>
          <w:lang w:val="de-DE"/>
        </w:rPr>
        <w:br/>
      </w:r>
      <w:r w:rsidRPr="00DF29F0">
        <w:rPr>
          <w:lang w:val="de-DE"/>
        </w:rPr>
        <w:br/>
        <w:t>Dieses Dokument wurde mit Hilfe einer maschinellen Übersetzung erstellt, und die Genauigkeit kann nicht garantiert werden. Daher ist der Text in der Originalsprache die einzige authentische Version.</w:t>
      </w:r>
    </w:p>
    <w:p w14:paraId="1BA7DF56" w14:textId="77777777" w:rsidR="008B5290" w:rsidRPr="00DF29F0" w:rsidRDefault="006F3299">
      <w:pPr>
        <w:keepNext/>
        <w:outlineLvl w:val="0"/>
        <w:rPr>
          <w:caps/>
          <w:snapToGrid w:val="0"/>
          <w:lang w:eastAsia="ja-JP"/>
        </w:rPr>
      </w:pPr>
      <w:r w:rsidRPr="00DF29F0">
        <w:rPr>
          <w:caps/>
          <w:snapToGrid w:val="0"/>
          <w:lang w:eastAsia="ja-JP"/>
        </w:rPr>
        <w:t>Kurzfassung</w:t>
      </w:r>
      <w:bookmarkEnd w:id="0"/>
    </w:p>
    <w:p w14:paraId="122F99DF" w14:textId="77777777" w:rsidR="00EF4B00" w:rsidRPr="00DF29F0" w:rsidRDefault="00EF4B00" w:rsidP="00EF4B00">
      <w:pPr>
        <w:rPr>
          <w:lang w:eastAsia="ja-JP"/>
        </w:rPr>
      </w:pPr>
    </w:p>
    <w:p w14:paraId="472EB942" w14:textId="32748DBF" w:rsidR="008B5290" w:rsidRPr="00DF29F0" w:rsidRDefault="006F3299">
      <w:r w:rsidRPr="00DF29F0">
        <w:fldChar w:fldCharType="begin"/>
      </w:r>
      <w:r w:rsidRPr="00DF29F0">
        <w:instrText xml:space="preserve"> AUTONUM  </w:instrText>
      </w:r>
      <w:r w:rsidRPr="00DF29F0">
        <w:fldChar w:fldCharType="end"/>
      </w:r>
      <w:r w:rsidRPr="00DF29F0">
        <w:tab/>
        <w:t xml:space="preserve">Zweck dieses Dokuments ist es, dem </w:t>
      </w:r>
      <w:r w:rsidR="00752F0F" w:rsidRPr="00DF29F0">
        <w:t>Technischen Ausschu</w:t>
      </w:r>
      <w:r w:rsidR="00DF29F0" w:rsidRPr="00DF29F0">
        <w:t>ss</w:t>
      </w:r>
      <w:r w:rsidR="00752F0F" w:rsidRPr="00DF29F0">
        <w:t xml:space="preserve"> (</w:t>
      </w:r>
      <w:r w:rsidRPr="00DF29F0">
        <w:t>TC</w:t>
      </w:r>
      <w:r w:rsidR="00752F0F" w:rsidRPr="00DF29F0">
        <w:t xml:space="preserve">) </w:t>
      </w:r>
      <w:r w:rsidRPr="00DF29F0">
        <w:t xml:space="preserve">und dem </w:t>
      </w:r>
      <w:r w:rsidR="00752F0F" w:rsidRPr="00DF29F0">
        <w:t>Verwaltungs- und Rechtsaussch</w:t>
      </w:r>
      <w:r w:rsidR="00DF29F0" w:rsidRPr="00DF29F0">
        <w:t>uss</w:t>
      </w:r>
      <w:r w:rsidR="00752F0F" w:rsidRPr="00DF29F0">
        <w:t xml:space="preserve"> (</w:t>
      </w:r>
      <w:r w:rsidRPr="00DF29F0">
        <w:t>CAJ</w:t>
      </w:r>
      <w:r w:rsidR="00752F0F" w:rsidRPr="00DF29F0">
        <w:t xml:space="preserve">) über die </w:t>
      </w:r>
      <w:r w:rsidRPr="00DF29F0">
        <w:t>Entwicklungen im Bereich der molekularen Verfahren zu berichten</w:t>
      </w:r>
      <w:r w:rsidRPr="00DF29F0">
        <w:rPr>
          <w:iCs/>
          <w:snapToGrid w:val="0"/>
          <w:lang w:eastAsia="ja-JP"/>
        </w:rPr>
        <w:t>.</w:t>
      </w:r>
    </w:p>
    <w:p w14:paraId="6685EA1F" w14:textId="77777777" w:rsidR="00EF4B00" w:rsidRPr="00DF29F0" w:rsidRDefault="00EF4B00" w:rsidP="00EF4B00"/>
    <w:p w14:paraId="3A739C9A" w14:textId="77777777" w:rsidR="008B5290" w:rsidRPr="00DF29F0" w:rsidRDefault="006F3299">
      <w:pPr>
        <w:tabs>
          <w:tab w:val="left" w:pos="567"/>
          <w:tab w:val="left" w:pos="1134"/>
          <w:tab w:val="left" w:pos="5387"/>
          <w:tab w:val="left" w:pos="5954"/>
        </w:tabs>
      </w:pPr>
      <w:r w:rsidRPr="00DF29F0">
        <w:fldChar w:fldCharType="begin"/>
      </w:r>
      <w:r w:rsidRPr="00DF29F0">
        <w:instrText xml:space="preserve"> AUTONUM  </w:instrText>
      </w:r>
      <w:r w:rsidRPr="00DF29F0">
        <w:fldChar w:fldCharType="end"/>
      </w:r>
      <w:r w:rsidRPr="00DF29F0">
        <w:tab/>
        <w:t>Der TC wird dazu eingeladen:</w:t>
      </w:r>
    </w:p>
    <w:p w14:paraId="004B84A9" w14:textId="77777777" w:rsidR="00EF4B00" w:rsidRPr="00DF29F0" w:rsidRDefault="00EF4B00" w:rsidP="00EF4B00">
      <w:pPr>
        <w:keepNext/>
        <w:keepLines/>
        <w:tabs>
          <w:tab w:val="left" w:pos="567"/>
          <w:tab w:val="left" w:pos="1134"/>
          <w:tab w:val="left" w:pos="5387"/>
          <w:tab w:val="left" w:pos="5954"/>
        </w:tabs>
      </w:pPr>
    </w:p>
    <w:p w14:paraId="6C2CEA29" w14:textId="77777777" w:rsidR="008B5290" w:rsidRPr="00DF29F0" w:rsidRDefault="006F3299">
      <w:pPr>
        <w:tabs>
          <w:tab w:val="left" w:pos="567"/>
          <w:tab w:val="left" w:pos="1134"/>
          <w:tab w:val="left" w:pos="5387"/>
          <w:tab w:val="left" w:pos="5954"/>
        </w:tabs>
        <w:rPr>
          <w:iCs/>
          <w:snapToGrid w:val="0"/>
          <w:lang w:eastAsia="ja-JP"/>
        </w:rPr>
      </w:pPr>
      <w:r w:rsidRPr="00DF29F0">
        <w:rPr>
          <w:iCs/>
          <w:snapToGrid w:val="0"/>
          <w:lang w:eastAsia="ja-JP"/>
        </w:rPr>
        <w:tab/>
        <w:t>(a)</w:t>
      </w:r>
      <w:r w:rsidRPr="00DF29F0">
        <w:rPr>
          <w:iCs/>
          <w:snapToGrid w:val="0"/>
          <w:lang w:eastAsia="ja-JP"/>
        </w:rPr>
        <w:tab/>
      </w:r>
      <w:r w:rsidR="00F509D3" w:rsidRPr="00DF29F0">
        <w:rPr>
          <w:iCs/>
          <w:snapToGrid w:val="0"/>
          <w:lang w:eastAsia="ja-JP"/>
        </w:rPr>
        <w:t xml:space="preserve">die </w:t>
      </w:r>
      <w:r w:rsidR="00752F0F" w:rsidRPr="00DF29F0">
        <w:rPr>
          <w:iCs/>
          <w:snapToGrid w:val="0"/>
          <w:lang w:eastAsia="ja-JP"/>
        </w:rPr>
        <w:t>Technischen Arbeitsgruppen (</w:t>
      </w:r>
      <w:r w:rsidR="00F509D3" w:rsidRPr="00DF29F0">
        <w:rPr>
          <w:iCs/>
          <w:snapToGrid w:val="0"/>
          <w:lang w:eastAsia="ja-JP"/>
        </w:rPr>
        <w:t>TWP</w:t>
      </w:r>
      <w:r w:rsidR="00752F0F" w:rsidRPr="00DF29F0">
        <w:rPr>
          <w:iCs/>
          <w:snapToGrid w:val="0"/>
          <w:lang w:eastAsia="ja-JP"/>
        </w:rPr>
        <w:t xml:space="preserve">) </w:t>
      </w:r>
      <w:r w:rsidR="00110AC8" w:rsidRPr="00DF29F0">
        <w:rPr>
          <w:iCs/>
          <w:snapToGrid w:val="0"/>
          <w:lang w:eastAsia="ja-JP"/>
        </w:rPr>
        <w:t>zu ersuchen</w:t>
      </w:r>
      <w:r w:rsidR="00F509D3" w:rsidRPr="00DF29F0">
        <w:rPr>
          <w:iCs/>
          <w:snapToGrid w:val="0"/>
          <w:lang w:eastAsia="ja-JP"/>
        </w:rPr>
        <w:t>, auf ihren Tagungen im Jahre 2025 den Vorschlag für Richtlinien für die Validierung neuer merkmalspezifischer molekularer Markerprotokolle für die DUS-Prüfung, wie in der Anlage dieses Dokuments enthalten, zu prüfen</w:t>
      </w:r>
      <w:r w:rsidRPr="00DF29F0">
        <w:rPr>
          <w:iCs/>
          <w:snapToGrid w:val="0"/>
          <w:lang w:eastAsia="ja-JP"/>
        </w:rPr>
        <w:t xml:space="preserve">; </w:t>
      </w:r>
    </w:p>
    <w:p w14:paraId="12200B87" w14:textId="77777777" w:rsidR="00D447A6" w:rsidRPr="00DF29F0" w:rsidRDefault="00D447A6" w:rsidP="00F509D3">
      <w:pPr>
        <w:tabs>
          <w:tab w:val="left" w:pos="567"/>
          <w:tab w:val="left" w:pos="1134"/>
          <w:tab w:val="left" w:pos="5387"/>
          <w:tab w:val="left" w:pos="5954"/>
        </w:tabs>
        <w:rPr>
          <w:iCs/>
          <w:snapToGrid w:val="0"/>
          <w:lang w:eastAsia="ja-JP"/>
        </w:rPr>
      </w:pPr>
    </w:p>
    <w:p w14:paraId="7266F9CE" w14:textId="1270AB86" w:rsidR="008B5290" w:rsidRPr="00DF29F0" w:rsidRDefault="006F3299">
      <w:pPr>
        <w:tabs>
          <w:tab w:val="left" w:pos="567"/>
          <w:tab w:val="left" w:pos="1134"/>
          <w:tab w:val="left" w:pos="5387"/>
          <w:tab w:val="left" w:pos="5954"/>
        </w:tabs>
        <w:rPr>
          <w:iCs/>
          <w:snapToGrid w:val="0"/>
          <w:lang w:eastAsia="ja-JP"/>
        </w:rPr>
      </w:pPr>
      <w:r w:rsidRPr="00DF29F0">
        <w:rPr>
          <w:iCs/>
          <w:snapToGrid w:val="0"/>
          <w:lang w:eastAsia="ja-JP"/>
        </w:rPr>
        <w:tab/>
        <w:t xml:space="preserve">(b) </w:t>
      </w:r>
      <w:r w:rsidRPr="00DF29F0">
        <w:rPr>
          <w:iCs/>
          <w:snapToGrid w:val="0"/>
          <w:lang w:eastAsia="ja-JP"/>
        </w:rPr>
        <w:tab/>
        <w:t xml:space="preserve">das Ersuchen der Züchterorganisationen um Ausarbeitung einer Anleitung in der UPOV zur Vertraulichkeit molekularer Daten und das Angebot, einen Entwurf einer Mustervorlage für eine Vereinbarung vorzuschlagen, die auf der dritten Tagung der </w:t>
      </w:r>
      <w:r w:rsidR="00752F0F" w:rsidRPr="00DF29F0">
        <w:rPr>
          <w:iCs/>
          <w:snapToGrid w:val="0"/>
          <w:lang w:eastAsia="ja-JP"/>
        </w:rPr>
        <w:t xml:space="preserve">Technischen Arbeitsgruppe für Prüfungsmethoden und </w:t>
      </w:r>
      <w:r w:rsidR="000F1E25">
        <w:rPr>
          <w:iCs/>
          <w:snapToGrid w:val="0"/>
          <w:lang w:eastAsia="ja-JP"/>
        </w:rPr>
        <w:noBreakHyphen/>
        <w:t>techniken</w:t>
      </w:r>
      <w:r w:rsidR="00752F0F" w:rsidRPr="00DF29F0">
        <w:rPr>
          <w:iCs/>
          <w:snapToGrid w:val="0"/>
          <w:lang w:eastAsia="ja-JP"/>
        </w:rPr>
        <w:t xml:space="preserve"> (</w:t>
      </w:r>
      <w:r w:rsidRPr="00DF29F0">
        <w:rPr>
          <w:iCs/>
          <w:snapToGrid w:val="0"/>
          <w:lang w:eastAsia="ja-JP"/>
        </w:rPr>
        <w:t>TWM</w:t>
      </w:r>
      <w:r w:rsidR="00752F0F" w:rsidRPr="00DF29F0">
        <w:rPr>
          <w:iCs/>
          <w:snapToGrid w:val="0"/>
          <w:lang w:eastAsia="ja-JP"/>
        </w:rPr>
        <w:t xml:space="preserve">) </w:t>
      </w:r>
      <w:r w:rsidRPr="00DF29F0">
        <w:rPr>
          <w:iCs/>
          <w:snapToGrid w:val="0"/>
          <w:lang w:eastAsia="ja-JP"/>
        </w:rPr>
        <w:t>vorgelegt werden soll, zur Kenntnis zu nehmen</w:t>
      </w:r>
      <w:r w:rsidR="000F1E25">
        <w:rPr>
          <w:iCs/>
          <w:snapToGrid w:val="0"/>
          <w:lang w:eastAsia="ja-JP"/>
        </w:rPr>
        <w:t>;</w:t>
      </w:r>
      <w:r w:rsidRPr="00DF29F0">
        <w:rPr>
          <w:iCs/>
          <w:snapToGrid w:val="0"/>
          <w:lang w:eastAsia="ja-JP"/>
        </w:rPr>
        <w:t xml:space="preserve"> </w:t>
      </w:r>
      <w:r w:rsidR="00EF4B00" w:rsidRPr="00DF29F0">
        <w:rPr>
          <w:iCs/>
          <w:snapToGrid w:val="0"/>
          <w:lang w:eastAsia="ja-JP"/>
        </w:rPr>
        <w:t>und</w:t>
      </w:r>
    </w:p>
    <w:p w14:paraId="738A43C7" w14:textId="77777777" w:rsidR="00EF4B00" w:rsidRPr="00DF29F0" w:rsidRDefault="00EF4B00" w:rsidP="00EF4B00">
      <w:pPr>
        <w:tabs>
          <w:tab w:val="left" w:pos="567"/>
          <w:tab w:val="left" w:pos="1134"/>
          <w:tab w:val="left" w:pos="5387"/>
          <w:tab w:val="left" w:pos="5954"/>
        </w:tabs>
        <w:rPr>
          <w:iCs/>
          <w:snapToGrid w:val="0"/>
          <w:lang w:eastAsia="ja-JP"/>
        </w:rPr>
      </w:pPr>
    </w:p>
    <w:p w14:paraId="1A571185" w14:textId="77777777" w:rsidR="008B5290" w:rsidRPr="00DF29F0" w:rsidRDefault="006F3299">
      <w:pPr>
        <w:tabs>
          <w:tab w:val="left" w:pos="567"/>
          <w:tab w:val="left" w:pos="1134"/>
          <w:tab w:val="left" w:pos="5387"/>
          <w:tab w:val="left" w:pos="5954"/>
        </w:tabs>
        <w:rPr>
          <w:iCs/>
          <w:snapToGrid w:val="0"/>
          <w:lang w:eastAsia="ja-JP"/>
        </w:rPr>
      </w:pPr>
      <w:r w:rsidRPr="00DF29F0">
        <w:rPr>
          <w:iCs/>
          <w:snapToGrid w:val="0"/>
          <w:lang w:eastAsia="ja-JP"/>
        </w:rPr>
        <w:tab/>
        <w:t>(</w:t>
      </w:r>
      <w:r w:rsidR="00D447A6" w:rsidRPr="00DF29F0">
        <w:rPr>
          <w:iCs/>
          <w:snapToGrid w:val="0"/>
          <w:lang w:eastAsia="ja-JP"/>
        </w:rPr>
        <w:t>c</w:t>
      </w:r>
      <w:r w:rsidRPr="00DF29F0">
        <w:rPr>
          <w:iCs/>
          <w:snapToGrid w:val="0"/>
          <w:lang w:eastAsia="ja-JP"/>
        </w:rPr>
        <w:t>)</w:t>
      </w:r>
      <w:r w:rsidRPr="00DF29F0">
        <w:rPr>
          <w:iCs/>
          <w:snapToGrid w:val="0"/>
          <w:lang w:eastAsia="ja-JP"/>
        </w:rPr>
        <w:tab/>
      </w:r>
      <w:r w:rsidRPr="00DF29F0">
        <w:rPr>
          <w:lang w:eastAsia="ja-JP"/>
        </w:rPr>
        <w:t>die in diesem Dokument enthaltenen Informationen zur Kenntnis zu nehmen.</w:t>
      </w:r>
    </w:p>
    <w:p w14:paraId="1947E845" w14:textId="77777777" w:rsidR="00EF4B00" w:rsidRPr="00DF29F0" w:rsidRDefault="00EF4B00" w:rsidP="00EF4B00">
      <w:pPr>
        <w:tabs>
          <w:tab w:val="left" w:pos="567"/>
          <w:tab w:val="left" w:pos="1134"/>
          <w:tab w:val="left" w:pos="5387"/>
          <w:tab w:val="left" w:pos="5954"/>
        </w:tabs>
      </w:pPr>
    </w:p>
    <w:p w14:paraId="76A66772" w14:textId="77777777" w:rsidR="008B5290" w:rsidRPr="00DF29F0" w:rsidRDefault="006F3299">
      <w:r w:rsidRPr="00DF29F0">
        <w:fldChar w:fldCharType="begin"/>
      </w:r>
      <w:r w:rsidRPr="00DF29F0">
        <w:instrText xml:space="preserve"> AUTONUM  </w:instrText>
      </w:r>
      <w:r w:rsidRPr="00DF29F0">
        <w:fldChar w:fldCharType="end"/>
      </w:r>
      <w:r w:rsidRPr="00DF29F0">
        <w:tab/>
        <w:t>In diesem Dokument werden die folgenden Abkürzungen verwendet:</w:t>
      </w:r>
    </w:p>
    <w:p w14:paraId="68DB6C15" w14:textId="77777777" w:rsidR="00EF4B00" w:rsidRPr="00DF29F0" w:rsidRDefault="00EF4B00" w:rsidP="00EF4B00"/>
    <w:p w14:paraId="44CE6295" w14:textId="77777777" w:rsidR="008B5290" w:rsidRPr="00DF29F0" w:rsidRDefault="006F3299">
      <w:pPr>
        <w:keepNext/>
        <w:tabs>
          <w:tab w:val="left" w:pos="567"/>
        </w:tabs>
        <w:ind w:left="1701" w:hanging="1134"/>
        <w:rPr>
          <w:sz w:val="18"/>
        </w:rPr>
      </w:pPr>
      <w:r w:rsidRPr="00DF29F0">
        <w:rPr>
          <w:sz w:val="18"/>
        </w:rPr>
        <w:t xml:space="preserve">CAJ: </w:t>
      </w:r>
      <w:r w:rsidRPr="00DF29F0">
        <w:rPr>
          <w:sz w:val="18"/>
        </w:rPr>
        <w:tab/>
        <w:t xml:space="preserve">Verwaltungs- und Rechtsausschuss  </w:t>
      </w:r>
    </w:p>
    <w:p w14:paraId="3CA8B8C2" w14:textId="66DB5744" w:rsidR="008B5290" w:rsidRPr="00DF29F0" w:rsidRDefault="006F3299">
      <w:pPr>
        <w:ind w:left="1701" w:hanging="1134"/>
        <w:rPr>
          <w:rFonts w:cs="Arial"/>
          <w:snapToGrid w:val="0"/>
          <w:sz w:val="18"/>
          <w:szCs w:val="24"/>
          <w:lang w:eastAsia="ja-JP"/>
        </w:rPr>
      </w:pPr>
      <w:r w:rsidRPr="00DF29F0">
        <w:rPr>
          <w:rFonts w:eastAsia="PMingLiU" w:cs="Arial"/>
          <w:snapToGrid w:val="0"/>
          <w:sz w:val="18"/>
          <w:szCs w:val="24"/>
          <w:lang w:eastAsia="fr-FR"/>
        </w:rPr>
        <w:t xml:space="preserve">ISTA: </w:t>
      </w:r>
      <w:r w:rsidRPr="00DF29F0">
        <w:rPr>
          <w:rFonts w:eastAsia="PMingLiU" w:cs="Arial"/>
          <w:snapToGrid w:val="0"/>
          <w:sz w:val="18"/>
          <w:szCs w:val="24"/>
          <w:lang w:eastAsia="fr-FR"/>
        </w:rPr>
        <w:tab/>
      </w:r>
      <w:r w:rsidR="000F1E25" w:rsidRPr="00F07B06">
        <w:rPr>
          <w:rFonts w:eastAsia="PMingLiU" w:cs="Arial"/>
          <w:snapToGrid w:val="0"/>
          <w:sz w:val="18"/>
          <w:szCs w:val="24"/>
          <w:lang w:eastAsia="fr-FR"/>
        </w:rPr>
        <w:t>International Seed Testing Association</w:t>
      </w:r>
    </w:p>
    <w:p w14:paraId="2FC4C105" w14:textId="77777777" w:rsidR="008B5290" w:rsidRPr="00DF29F0" w:rsidRDefault="006F3299">
      <w:pPr>
        <w:ind w:left="1701" w:hanging="1134"/>
        <w:rPr>
          <w:rFonts w:eastAsia="PMingLiU" w:cs="Arial"/>
          <w:snapToGrid w:val="0"/>
          <w:sz w:val="18"/>
          <w:szCs w:val="24"/>
        </w:rPr>
      </w:pPr>
      <w:r w:rsidRPr="00DF29F0">
        <w:rPr>
          <w:rFonts w:eastAsia="PMingLiU" w:cs="Arial"/>
          <w:sz w:val="18"/>
          <w:szCs w:val="24"/>
        </w:rPr>
        <w:t>OECD:</w:t>
      </w:r>
      <w:r w:rsidRPr="00DF29F0">
        <w:rPr>
          <w:rFonts w:eastAsia="PMingLiU" w:cs="Arial"/>
          <w:sz w:val="18"/>
          <w:szCs w:val="24"/>
        </w:rPr>
        <w:tab/>
      </w:r>
      <w:r w:rsidRPr="00DF29F0">
        <w:rPr>
          <w:rFonts w:eastAsia="PMingLiU" w:cs="Arial"/>
          <w:snapToGrid w:val="0"/>
          <w:sz w:val="18"/>
          <w:szCs w:val="24"/>
        </w:rPr>
        <w:t>Organisation für wirtschaftliche Zusammenarbeit und Entwicklung</w:t>
      </w:r>
    </w:p>
    <w:p w14:paraId="2A2DAECA" w14:textId="77777777" w:rsidR="008B5290" w:rsidRPr="00DF29F0" w:rsidRDefault="006F3299">
      <w:pPr>
        <w:keepNext/>
        <w:tabs>
          <w:tab w:val="left" w:pos="567"/>
        </w:tabs>
        <w:ind w:left="1701" w:hanging="1134"/>
        <w:rPr>
          <w:sz w:val="18"/>
        </w:rPr>
      </w:pPr>
      <w:r w:rsidRPr="00DF29F0">
        <w:rPr>
          <w:sz w:val="18"/>
        </w:rPr>
        <w:t>TC:</w:t>
      </w:r>
      <w:r w:rsidRPr="00DF29F0">
        <w:rPr>
          <w:sz w:val="18"/>
        </w:rPr>
        <w:tab/>
        <w:t>Technischer Ausschuss</w:t>
      </w:r>
    </w:p>
    <w:p w14:paraId="35974A49" w14:textId="25083C75" w:rsidR="008B5290" w:rsidRPr="00DF29F0" w:rsidRDefault="006F3299">
      <w:pPr>
        <w:ind w:left="1701" w:hanging="1134"/>
        <w:rPr>
          <w:rFonts w:eastAsia="PMingLiU" w:cs="Arial"/>
          <w:sz w:val="18"/>
          <w:szCs w:val="24"/>
        </w:rPr>
      </w:pPr>
      <w:r w:rsidRPr="00DF29F0">
        <w:rPr>
          <w:rFonts w:eastAsia="PMingLiU" w:cs="Arial"/>
          <w:sz w:val="18"/>
          <w:szCs w:val="24"/>
        </w:rPr>
        <w:t>TWA:</w:t>
      </w:r>
      <w:r w:rsidRPr="00DF29F0">
        <w:rPr>
          <w:rFonts w:eastAsia="PMingLiU" w:cs="Arial"/>
          <w:sz w:val="18"/>
          <w:szCs w:val="24"/>
        </w:rPr>
        <w:tab/>
        <w:t xml:space="preserve">Technische Arbeitsgruppe für landwirtschaftliche </w:t>
      </w:r>
      <w:r w:rsidR="007D7392">
        <w:rPr>
          <w:rFonts w:eastAsia="PMingLiU" w:cs="Arial"/>
          <w:sz w:val="18"/>
          <w:szCs w:val="24"/>
        </w:rPr>
        <w:t>Arten</w:t>
      </w:r>
    </w:p>
    <w:p w14:paraId="08099044" w14:textId="77777777" w:rsidR="008B5290" w:rsidRPr="00DF29F0" w:rsidRDefault="006F3299">
      <w:pPr>
        <w:ind w:left="1701" w:hanging="1134"/>
        <w:rPr>
          <w:rFonts w:eastAsia="PMingLiU" w:cs="Arial"/>
          <w:sz w:val="18"/>
          <w:szCs w:val="24"/>
        </w:rPr>
      </w:pPr>
      <w:r w:rsidRPr="00DF29F0">
        <w:rPr>
          <w:rFonts w:eastAsia="PMingLiU" w:cs="Arial"/>
          <w:sz w:val="18"/>
          <w:szCs w:val="24"/>
        </w:rPr>
        <w:t>TWF:</w:t>
      </w:r>
      <w:r w:rsidRPr="00DF29F0">
        <w:rPr>
          <w:rFonts w:eastAsia="PMingLiU" w:cs="Arial"/>
          <w:sz w:val="18"/>
          <w:szCs w:val="24"/>
        </w:rPr>
        <w:tab/>
        <w:t>Technische Arbeitsgruppe für Obstarten</w:t>
      </w:r>
    </w:p>
    <w:p w14:paraId="71F02797" w14:textId="518FCD4B" w:rsidR="008B5290" w:rsidRPr="00DF29F0" w:rsidRDefault="006F3299">
      <w:pPr>
        <w:ind w:left="1701" w:hanging="1134"/>
        <w:rPr>
          <w:rFonts w:eastAsia="PMingLiU" w:cs="Arial"/>
          <w:sz w:val="18"/>
          <w:szCs w:val="24"/>
        </w:rPr>
      </w:pPr>
      <w:r w:rsidRPr="00DF29F0">
        <w:rPr>
          <w:rFonts w:eastAsia="PMingLiU" w:cs="Arial"/>
          <w:sz w:val="18"/>
          <w:szCs w:val="24"/>
        </w:rPr>
        <w:t>TWM:</w:t>
      </w:r>
      <w:r w:rsidRPr="00DF29F0">
        <w:rPr>
          <w:rFonts w:eastAsia="PMingLiU" w:cs="Arial"/>
          <w:sz w:val="18"/>
          <w:szCs w:val="24"/>
        </w:rPr>
        <w:tab/>
        <w:t>Technische Arbeitsgruppe für Prüf</w:t>
      </w:r>
      <w:r w:rsidR="007D7392">
        <w:rPr>
          <w:rFonts w:eastAsia="PMingLiU" w:cs="Arial"/>
          <w:sz w:val="18"/>
          <w:szCs w:val="24"/>
        </w:rPr>
        <w:t>methoden</w:t>
      </w:r>
      <w:r w:rsidRPr="00DF29F0">
        <w:rPr>
          <w:rFonts w:eastAsia="PMingLiU" w:cs="Arial"/>
          <w:sz w:val="18"/>
          <w:szCs w:val="24"/>
        </w:rPr>
        <w:t xml:space="preserve"> und -techniken</w:t>
      </w:r>
    </w:p>
    <w:p w14:paraId="252BB01D" w14:textId="77777777" w:rsidR="008B5290" w:rsidRPr="00DF29F0" w:rsidRDefault="006F3299">
      <w:pPr>
        <w:ind w:left="1701" w:hanging="1134"/>
        <w:rPr>
          <w:rFonts w:eastAsia="PMingLiU" w:cs="Arial"/>
          <w:sz w:val="18"/>
          <w:szCs w:val="24"/>
        </w:rPr>
      </w:pPr>
      <w:r w:rsidRPr="00DF29F0">
        <w:rPr>
          <w:rFonts w:eastAsia="PMingLiU" w:cs="Arial"/>
          <w:sz w:val="18"/>
          <w:szCs w:val="24"/>
        </w:rPr>
        <w:t>TWO:</w:t>
      </w:r>
      <w:r w:rsidRPr="00DF29F0">
        <w:rPr>
          <w:rFonts w:eastAsia="PMingLiU" w:cs="Arial"/>
          <w:sz w:val="18"/>
          <w:szCs w:val="24"/>
        </w:rPr>
        <w:tab/>
        <w:t>Technische Arbeitsgruppe für Zierpflanzen und forstliche Baumarten</w:t>
      </w:r>
    </w:p>
    <w:p w14:paraId="180FFD83" w14:textId="3104E4ED" w:rsidR="008B5290" w:rsidRPr="00DF29F0" w:rsidRDefault="006F3299">
      <w:pPr>
        <w:ind w:left="1701" w:hanging="1134"/>
        <w:rPr>
          <w:rFonts w:eastAsia="PMingLiU" w:cs="Arial"/>
          <w:sz w:val="18"/>
          <w:szCs w:val="24"/>
        </w:rPr>
      </w:pPr>
      <w:r w:rsidRPr="00DF29F0">
        <w:rPr>
          <w:rFonts w:eastAsia="PMingLiU" w:cs="Arial"/>
          <w:sz w:val="18"/>
          <w:szCs w:val="24"/>
        </w:rPr>
        <w:t>TWP:</w:t>
      </w:r>
      <w:r w:rsidRPr="00DF29F0">
        <w:rPr>
          <w:rFonts w:eastAsia="PMingLiU" w:cs="Arial"/>
          <w:sz w:val="18"/>
          <w:szCs w:val="24"/>
        </w:rPr>
        <w:tab/>
        <w:t>Technische Arbeitsgruppe</w:t>
      </w:r>
      <w:r w:rsidR="007D7392">
        <w:rPr>
          <w:rFonts w:eastAsia="PMingLiU" w:cs="Arial"/>
          <w:sz w:val="18"/>
          <w:szCs w:val="24"/>
        </w:rPr>
        <w:t>(</w:t>
      </w:r>
      <w:r w:rsidRPr="00DF29F0">
        <w:rPr>
          <w:rFonts w:eastAsia="PMingLiU" w:cs="Arial"/>
          <w:sz w:val="18"/>
          <w:szCs w:val="24"/>
        </w:rPr>
        <w:t>n</w:t>
      </w:r>
      <w:r w:rsidR="007D7392">
        <w:rPr>
          <w:rFonts w:eastAsia="PMingLiU" w:cs="Arial"/>
          <w:sz w:val="18"/>
          <w:szCs w:val="24"/>
        </w:rPr>
        <w:t>)</w:t>
      </w:r>
    </w:p>
    <w:p w14:paraId="387D4E2D" w14:textId="6DF46B0C" w:rsidR="008B5290" w:rsidRPr="00DF29F0" w:rsidRDefault="006F3299">
      <w:pPr>
        <w:ind w:left="1701" w:hanging="1134"/>
        <w:rPr>
          <w:rFonts w:eastAsia="PMingLiU" w:cs="Arial"/>
          <w:sz w:val="18"/>
          <w:szCs w:val="24"/>
        </w:rPr>
      </w:pPr>
      <w:r w:rsidRPr="00DF29F0">
        <w:rPr>
          <w:rFonts w:eastAsia="PMingLiU" w:cs="Arial"/>
          <w:sz w:val="18"/>
          <w:szCs w:val="24"/>
        </w:rPr>
        <w:t>TWV:</w:t>
      </w:r>
      <w:r w:rsidRPr="00DF29F0">
        <w:rPr>
          <w:rFonts w:eastAsia="PMingLiU" w:cs="Arial"/>
          <w:sz w:val="18"/>
          <w:szCs w:val="24"/>
        </w:rPr>
        <w:tab/>
        <w:t>Technische Arbeitsgruppe für Gemüse</w:t>
      </w:r>
      <w:r w:rsidR="007D7392">
        <w:rPr>
          <w:rFonts w:eastAsia="PMingLiU" w:cs="Arial"/>
          <w:sz w:val="18"/>
          <w:szCs w:val="24"/>
        </w:rPr>
        <w:t>arten</w:t>
      </w:r>
    </w:p>
    <w:p w14:paraId="3A2CE80B" w14:textId="77777777" w:rsidR="00EF4B00" w:rsidRPr="00DF29F0" w:rsidRDefault="00EF4B00" w:rsidP="00EF4B00">
      <w:pPr>
        <w:jc w:val="left"/>
        <w:rPr>
          <w:rFonts w:cs="Arial"/>
          <w:snapToGrid w:val="0"/>
          <w:sz w:val="18"/>
          <w:szCs w:val="24"/>
          <w:lang w:eastAsia="ja-JP"/>
        </w:rPr>
      </w:pPr>
    </w:p>
    <w:p w14:paraId="67CEC3B6" w14:textId="77777777" w:rsidR="0068528F" w:rsidRPr="00DF29F0" w:rsidRDefault="0068528F">
      <w:pPr>
        <w:jc w:val="left"/>
      </w:pPr>
      <w:r w:rsidRPr="00DF29F0">
        <w:br w:type="page"/>
      </w:r>
    </w:p>
    <w:p w14:paraId="02371588" w14:textId="77777777" w:rsidR="008B5290" w:rsidRPr="00DF29F0" w:rsidRDefault="006F3299">
      <w:r w:rsidRPr="00DF29F0">
        <w:lastRenderedPageBreak/>
        <w:fldChar w:fldCharType="begin"/>
      </w:r>
      <w:r w:rsidRPr="00DF29F0">
        <w:instrText xml:space="preserve"> AUTONUM  </w:instrText>
      </w:r>
      <w:r w:rsidRPr="00DF29F0">
        <w:fldChar w:fldCharType="end"/>
      </w:r>
      <w:r w:rsidRPr="00DF29F0">
        <w:tab/>
        <w:t>Der Aufbau dieses Dokuments ist wie folgt:</w:t>
      </w:r>
    </w:p>
    <w:p w14:paraId="1641B1EA" w14:textId="77777777" w:rsidR="00EF4B00" w:rsidRPr="00DF29F0" w:rsidRDefault="00EF4B00" w:rsidP="00C3093B">
      <w:pPr>
        <w:rPr>
          <w:rFonts w:cs="Arial"/>
          <w:caps/>
          <w:szCs w:val="18"/>
        </w:rPr>
      </w:pPr>
    </w:p>
    <w:p w14:paraId="2532003A" w14:textId="45766CB5" w:rsidR="00ED7630" w:rsidRDefault="006F3299" w:rsidP="00BC0598">
      <w:pPr>
        <w:pStyle w:val="TOC1"/>
        <w:rPr>
          <w:rFonts w:asciiTheme="minorHAnsi" w:eastAsiaTheme="minorEastAsia" w:hAnsiTheme="minorHAnsi" w:cstheme="minorBidi"/>
          <w:noProof/>
          <w:kern w:val="2"/>
          <w:sz w:val="24"/>
          <w:szCs w:val="24"/>
          <w:lang w:val="en-GB" w:eastAsia="en-GB"/>
          <w14:ligatures w14:val="standardContextual"/>
        </w:rPr>
      </w:pPr>
      <w:r w:rsidRPr="00DF29F0">
        <w:rPr>
          <w:rFonts w:cs="Arial"/>
          <w:bCs/>
          <w:szCs w:val="18"/>
        </w:rPr>
        <w:fldChar w:fldCharType="begin"/>
      </w:r>
      <w:r w:rsidRPr="00DF29F0">
        <w:rPr>
          <w:rFonts w:cs="Arial"/>
          <w:bCs/>
          <w:szCs w:val="18"/>
        </w:rPr>
        <w:instrText xml:space="preserve"> TOC \t "Heading 1,1,Heading 2,2,Heading 3,3" </w:instrText>
      </w:r>
      <w:r w:rsidRPr="00DF29F0">
        <w:rPr>
          <w:rFonts w:cs="Arial"/>
          <w:bCs/>
          <w:szCs w:val="18"/>
        </w:rPr>
        <w:fldChar w:fldCharType="separate"/>
      </w:r>
      <w:r w:rsidR="00ED7630" w:rsidRPr="00900296">
        <w:rPr>
          <w:noProof/>
        </w:rPr>
        <w:t>Richtlinien für die Validierung eines neuen merkmalspezifischen molekularen Markerprotokolls als alternative Methode zur Beobachtung</w:t>
      </w:r>
      <w:r w:rsidR="00ED7630">
        <w:rPr>
          <w:noProof/>
        </w:rPr>
        <w:tab/>
      </w:r>
      <w:r w:rsidR="00ED7630">
        <w:rPr>
          <w:noProof/>
        </w:rPr>
        <w:fldChar w:fldCharType="begin"/>
      </w:r>
      <w:r w:rsidR="00ED7630">
        <w:rPr>
          <w:noProof/>
        </w:rPr>
        <w:instrText xml:space="preserve"> PAGEREF _Toc178245126 \h </w:instrText>
      </w:r>
      <w:r w:rsidR="00ED7630">
        <w:rPr>
          <w:noProof/>
        </w:rPr>
      </w:r>
      <w:r w:rsidR="00ED7630">
        <w:rPr>
          <w:noProof/>
        </w:rPr>
        <w:fldChar w:fldCharType="separate"/>
      </w:r>
      <w:r w:rsidR="00ED7630">
        <w:rPr>
          <w:noProof/>
        </w:rPr>
        <w:t>2</w:t>
      </w:r>
      <w:r w:rsidR="00ED7630">
        <w:rPr>
          <w:noProof/>
        </w:rPr>
        <w:fldChar w:fldCharType="end"/>
      </w:r>
    </w:p>
    <w:p w14:paraId="0A3F6D04" w14:textId="1A3AC8F0" w:rsidR="00ED7630" w:rsidRDefault="00ED7630">
      <w:pPr>
        <w:pStyle w:val="TOC2"/>
        <w:rPr>
          <w:rFonts w:asciiTheme="minorHAnsi" w:eastAsiaTheme="minorEastAsia" w:hAnsiTheme="minorHAnsi" w:cstheme="minorBidi"/>
          <w:noProof/>
          <w:kern w:val="2"/>
          <w:sz w:val="24"/>
          <w:szCs w:val="24"/>
          <w:lang w:val="en-GB" w:eastAsia="en-GB"/>
          <w14:ligatures w14:val="standardContextual"/>
        </w:rPr>
      </w:pPr>
      <w:r w:rsidRPr="00900296">
        <w:rPr>
          <w:noProof/>
        </w:rPr>
        <w:t>Hintergrund</w:t>
      </w:r>
      <w:r>
        <w:rPr>
          <w:noProof/>
        </w:rPr>
        <w:tab/>
      </w:r>
      <w:r>
        <w:rPr>
          <w:noProof/>
        </w:rPr>
        <w:fldChar w:fldCharType="begin"/>
      </w:r>
      <w:r>
        <w:rPr>
          <w:noProof/>
        </w:rPr>
        <w:instrText xml:space="preserve"> PAGEREF _Toc178245127 \h </w:instrText>
      </w:r>
      <w:r>
        <w:rPr>
          <w:noProof/>
        </w:rPr>
      </w:r>
      <w:r>
        <w:rPr>
          <w:noProof/>
        </w:rPr>
        <w:fldChar w:fldCharType="separate"/>
      </w:r>
      <w:r>
        <w:rPr>
          <w:noProof/>
        </w:rPr>
        <w:t>3</w:t>
      </w:r>
      <w:r>
        <w:rPr>
          <w:noProof/>
        </w:rPr>
        <w:fldChar w:fldCharType="end"/>
      </w:r>
    </w:p>
    <w:p w14:paraId="3E45F1EB" w14:textId="06FBB9CD" w:rsidR="00ED7630" w:rsidRDefault="00ED7630">
      <w:pPr>
        <w:pStyle w:val="TOC2"/>
        <w:rPr>
          <w:rFonts w:asciiTheme="minorHAnsi" w:eastAsiaTheme="minorEastAsia" w:hAnsiTheme="minorHAnsi" w:cstheme="minorBidi"/>
          <w:noProof/>
          <w:kern w:val="2"/>
          <w:sz w:val="24"/>
          <w:szCs w:val="24"/>
          <w:lang w:val="en-GB" w:eastAsia="en-GB"/>
          <w14:ligatures w14:val="standardContextual"/>
        </w:rPr>
      </w:pPr>
      <w:r w:rsidRPr="00900296">
        <w:rPr>
          <w:noProof/>
          <w:lang w:eastAsia="ja-JP"/>
        </w:rPr>
        <w:t>Entwicklungen in den Technischen Arbeitsgruppen auf ihren Tagungen in 202 4</w:t>
      </w:r>
      <w:r>
        <w:rPr>
          <w:noProof/>
        </w:rPr>
        <w:tab/>
      </w:r>
      <w:r>
        <w:rPr>
          <w:noProof/>
        </w:rPr>
        <w:fldChar w:fldCharType="begin"/>
      </w:r>
      <w:r>
        <w:rPr>
          <w:noProof/>
        </w:rPr>
        <w:instrText xml:space="preserve"> PAGEREF _Toc178245128 \h </w:instrText>
      </w:r>
      <w:r>
        <w:rPr>
          <w:noProof/>
        </w:rPr>
      </w:r>
      <w:r>
        <w:rPr>
          <w:noProof/>
        </w:rPr>
        <w:fldChar w:fldCharType="separate"/>
      </w:r>
      <w:r>
        <w:rPr>
          <w:noProof/>
        </w:rPr>
        <w:t>3</w:t>
      </w:r>
      <w:r>
        <w:rPr>
          <w:noProof/>
        </w:rPr>
        <w:fldChar w:fldCharType="end"/>
      </w:r>
    </w:p>
    <w:p w14:paraId="1C5E9871" w14:textId="43E7E0B1" w:rsidR="00ED7630" w:rsidRDefault="00ED7630">
      <w:pPr>
        <w:pStyle w:val="TOC3"/>
        <w:rPr>
          <w:rFonts w:asciiTheme="minorHAnsi" w:eastAsiaTheme="minorEastAsia" w:hAnsiTheme="minorHAnsi" w:cstheme="minorBidi"/>
          <w:i w:val="0"/>
          <w:noProof/>
          <w:kern w:val="2"/>
          <w:sz w:val="24"/>
          <w:szCs w:val="24"/>
          <w:lang w:val="en-GB" w:eastAsia="en-GB"/>
          <w14:ligatures w14:val="standardContextual"/>
        </w:rPr>
      </w:pPr>
      <w:r w:rsidRPr="00900296">
        <w:rPr>
          <w:noProof/>
          <w:lang w:val="de-DE"/>
        </w:rPr>
        <w:t>Technische Arbeitsgruppe für Prüfmethoden und -techniken (TWM)</w:t>
      </w:r>
      <w:r>
        <w:rPr>
          <w:noProof/>
        </w:rPr>
        <w:tab/>
      </w:r>
      <w:r>
        <w:rPr>
          <w:noProof/>
        </w:rPr>
        <w:fldChar w:fldCharType="begin"/>
      </w:r>
      <w:r>
        <w:rPr>
          <w:noProof/>
        </w:rPr>
        <w:instrText xml:space="preserve"> PAGEREF _Toc178245129 \h </w:instrText>
      </w:r>
      <w:r>
        <w:rPr>
          <w:noProof/>
        </w:rPr>
      </w:r>
      <w:r>
        <w:rPr>
          <w:noProof/>
        </w:rPr>
        <w:fldChar w:fldCharType="separate"/>
      </w:r>
      <w:r>
        <w:rPr>
          <w:noProof/>
        </w:rPr>
        <w:t>3</w:t>
      </w:r>
      <w:r>
        <w:rPr>
          <w:noProof/>
        </w:rPr>
        <w:fldChar w:fldCharType="end"/>
      </w:r>
    </w:p>
    <w:p w14:paraId="740AF93F" w14:textId="3B4332AC" w:rsidR="00ED7630" w:rsidRDefault="00ED7630" w:rsidP="00BC0598">
      <w:pPr>
        <w:pStyle w:val="TOC1"/>
        <w:rPr>
          <w:rFonts w:asciiTheme="minorHAnsi" w:eastAsiaTheme="minorEastAsia" w:hAnsiTheme="minorHAnsi" w:cstheme="minorBidi"/>
          <w:noProof/>
          <w:kern w:val="2"/>
          <w:sz w:val="24"/>
          <w:szCs w:val="24"/>
          <w:lang w:val="en-GB" w:eastAsia="en-GB"/>
          <w14:ligatures w14:val="standardContextual"/>
        </w:rPr>
      </w:pPr>
      <w:r w:rsidRPr="00900296">
        <w:rPr>
          <w:noProof/>
          <w:snapToGrid w:val="0"/>
          <w:lang w:eastAsia="ja-JP"/>
        </w:rPr>
        <w:t>Fragen zur Information</w:t>
      </w:r>
      <w:r>
        <w:rPr>
          <w:noProof/>
        </w:rPr>
        <w:tab/>
      </w:r>
      <w:r>
        <w:rPr>
          <w:noProof/>
        </w:rPr>
        <w:fldChar w:fldCharType="begin"/>
      </w:r>
      <w:r>
        <w:rPr>
          <w:noProof/>
        </w:rPr>
        <w:instrText xml:space="preserve"> PAGEREF _Toc178245130 \h </w:instrText>
      </w:r>
      <w:r>
        <w:rPr>
          <w:noProof/>
        </w:rPr>
      </w:r>
      <w:r>
        <w:rPr>
          <w:noProof/>
        </w:rPr>
        <w:fldChar w:fldCharType="separate"/>
      </w:r>
      <w:r>
        <w:rPr>
          <w:noProof/>
        </w:rPr>
        <w:t>4</w:t>
      </w:r>
      <w:r>
        <w:rPr>
          <w:noProof/>
        </w:rPr>
        <w:fldChar w:fldCharType="end"/>
      </w:r>
    </w:p>
    <w:p w14:paraId="6408C9B0" w14:textId="48360788" w:rsidR="00ED7630" w:rsidRDefault="00ED7630">
      <w:pPr>
        <w:pStyle w:val="TOC2"/>
        <w:rPr>
          <w:rFonts w:asciiTheme="minorHAnsi" w:eastAsiaTheme="minorEastAsia" w:hAnsiTheme="minorHAnsi" w:cstheme="minorBidi"/>
          <w:noProof/>
          <w:kern w:val="2"/>
          <w:sz w:val="24"/>
          <w:szCs w:val="24"/>
          <w:lang w:val="en-GB" w:eastAsia="en-GB"/>
          <w14:ligatures w14:val="standardContextual"/>
        </w:rPr>
      </w:pPr>
      <w:r w:rsidRPr="00900296">
        <w:rPr>
          <w:noProof/>
        </w:rPr>
        <w:t>Entwicklungen auf der zweiten Tagung der Technischen Arbeitsgruppe für Prüfvmethoden und -techniken (TWM)</w:t>
      </w:r>
      <w:r>
        <w:rPr>
          <w:noProof/>
        </w:rPr>
        <w:tab/>
      </w:r>
      <w:r>
        <w:rPr>
          <w:noProof/>
        </w:rPr>
        <w:fldChar w:fldCharType="begin"/>
      </w:r>
      <w:r>
        <w:rPr>
          <w:noProof/>
        </w:rPr>
        <w:instrText xml:space="preserve"> PAGEREF _Toc178245131 \h </w:instrText>
      </w:r>
      <w:r>
        <w:rPr>
          <w:noProof/>
        </w:rPr>
      </w:r>
      <w:r>
        <w:rPr>
          <w:noProof/>
        </w:rPr>
        <w:fldChar w:fldCharType="separate"/>
      </w:r>
      <w:r>
        <w:rPr>
          <w:noProof/>
        </w:rPr>
        <w:t>4</w:t>
      </w:r>
      <w:r>
        <w:rPr>
          <w:noProof/>
        </w:rPr>
        <w:fldChar w:fldCharType="end"/>
      </w:r>
    </w:p>
    <w:p w14:paraId="402E630B" w14:textId="6BFAACCD" w:rsidR="00ED7630" w:rsidRDefault="00ED7630">
      <w:pPr>
        <w:pStyle w:val="TOC2"/>
        <w:rPr>
          <w:rFonts w:asciiTheme="minorHAnsi" w:eastAsiaTheme="minorEastAsia" w:hAnsiTheme="minorHAnsi" w:cstheme="minorBidi"/>
          <w:noProof/>
          <w:kern w:val="2"/>
          <w:sz w:val="24"/>
          <w:szCs w:val="24"/>
          <w:lang w:val="en-GB" w:eastAsia="en-GB"/>
          <w14:ligatures w14:val="standardContextual"/>
        </w:rPr>
      </w:pPr>
      <w:r w:rsidRPr="00900296">
        <w:rPr>
          <w:noProof/>
        </w:rPr>
        <w:t>Entwicklungen in der Molekulartechnik und Bioinformatik</w:t>
      </w:r>
      <w:r>
        <w:rPr>
          <w:noProof/>
        </w:rPr>
        <w:tab/>
      </w:r>
      <w:r>
        <w:rPr>
          <w:noProof/>
        </w:rPr>
        <w:fldChar w:fldCharType="begin"/>
      </w:r>
      <w:r>
        <w:rPr>
          <w:noProof/>
        </w:rPr>
        <w:instrText xml:space="preserve"> PAGEREF _Toc178245132 \h </w:instrText>
      </w:r>
      <w:r>
        <w:rPr>
          <w:noProof/>
        </w:rPr>
      </w:r>
      <w:r>
        <w:rPr>
          <w:noProof/>
        </w:rPr>
        <w:fldChar w:fldCharType="separate"/>
      </w:r>
      <w:r>
        <w:rPr>
          <w:noProof/>
        </w:rPr>
        <w:t>4</w:t>
      </w:r>
      <w:r>
        <w:rPr>
          <w:noProof/>
        </w:rPr>
        <w:fldChar w:fldCharType="end"/>
      </w:r>
    </w:p>
    <w:p w14:paraId="4E9A6B5F" w14:textId="0CAFD7C9" w:rsidR="00ED7630" w:rsidRDefault="00ED7630">
      <w:pPr>
        <w:pStyle w:val="TOC3"/>
        <w:rPr>
          <w:rFonts w:asciiTheme="minorHAnsi" w:eastAsiaTheme="minorEastAsia" w:hAnsiTheme="minorHAnsi" w:cstheme="minorBidi"/>
          <w:i w:val="0"/>
          <w:noProof/>
          <w:kern w:val="2"/>
          <w:sz w:val="24"/>
          <w:szCs w:val="24"/>
          <w:lang w:val="en-GB" w:eastAsia="en-GB"/>
          <w14:ligatures w14:val="standardContextual"/>
        </w:rPr>
      </w:pPr>
      <w:r w:rsidRPr="00900296">
        <w:rPr>
          <w:noProof/>
          <w:lang w:val="de-DE"/>
        </w:rPr>
        <w:t>Neueste Entwicklungen in der Molekulartechnik und Bioinformatik</w:t>
      </w:r>
      <w:r>
        <w:rPr>
          <w:noProof/>
        </w:rPr>
        <w:tab/>
      </w:r>
      <w:r>
        <w:rPr>
          <w:noProof/>
        </w:rPr>
        <w:fldChar w:fldCharType="begin"/>
      </w:r>
      <w:r>
        <w:rPr>
          <w:noProof/>
        </w:rPr>
        <w:instrText xml:space="preserve"> PAGEREF _Toc178245133 \h </w:instrText>
      </w:r>
      <w:r>
        <w:rPr>
          <w:noProof/>
        </w:rPr>
      </w:r>
      <w:r>
        <w:rPr>
          <w:noProof/>
        </w:rPr>
        <w:fldChar w:fldCharType="separate"/>
      </w:r>
      <w:r>
        <w:rPr>
          <w:noProof/>
        </w:rPr>
        <w:t>4</w:t>
      </w:r>
      <w:r>
        <w:rPr>
          <w:noProof/>
        </w:rPr>
        <w:fldChar w:fldCharType="end"/>
      </w:r>
    </w:p>
    <w:p w14:paraId="1515F534" w14:textId="02B5BAA7" w:rsidR="00ED7630" w:rsidRDefault="00ED7630">
      <w:pPr>
        <w:pStyle w:val="TOC3"/>
        <w:rPr>
          <w:rFonts w:asciiTheme="minorHAnsi" w:eastAsiaTheme="minorEastAsia" w:hAnsiTheme="minorHAnsi" w:cstheme="minorBidi"/>
          <w:i w:val="0"/>
          <w:noProof/>
          <w:kern w:val="2"/>
          <w:sz w:val="24"/>
          <w:szCs w:val="24"/>
          <w:lang w:val="en-GB" w:eastAsia="en-GB"/>
          <w14:ligatures w14:val="standardContextual"/>
        </w:rPr>
      </w:pPr>
      <w:r w:rsidRPr="00900296">
        <w:rPr>
          <w:noProof/>
          <w:lang w:val="de-DE"/>
        </w:rPr>
        <w:t>Zusammenarbeit zwischen internationalen Organisationen</w:t>
      </w:r>
      <w:r>
        <w:rPr>
          <w:noProof/>
        </w:rPr>
        <w:tab/>
      </w:r>
      <w:r>
        <w:rPr>
          <w:noProof/>
        </w:rPr>
        <w:fldChar w:fldCharType="begin"/>
      </w:r>
      <w:r>
        <w:rPr>
          <w:noProof/>
        </w:rPr>
        <w:instrText xml:space="preserve"> PAGEREF _Toc178245134 \h </w:instrText>
      </w:r>
      <w:r>
        <w:rPr>
          <w:noProof/>
        </w:rPr>
      </w:r>
      <w:r>
        <w:rPr>
          <w:noProof/>
        </w:rPr>
        <w:fldChar w:fldCharType="separate"/>
      </w:r>
      <w:r>
        <w:rPr>
          <w:noProof/>
        </w:rPr>
        <w:t>4</w:t>
      </w:r>
      <w:r>
        <w:rPr>
          <w:noProof/>
        </w:rPr>
        <w:fldChar w:fldCharType="end"/>
      </w:r>
    </w:p>
    <w:p w14:paraId="066C8FA1" w14:textId="12042331" w:rsidR="00ED7630" w:rsidRDefault="00ED7630">
      <w:pPr>
        <w:pStyle w:val="TOC3"/>
        <w:rPr>
          <w:rFonts w:asciiTheme="minorHAnsi" w:eastAsiaTheme="minorEastAsia" w:hAnsiTheme="minorHAnsi" w:cstheme="minorBidi"/>
          <w:i w:val="0"/>
          <w:noProof/>
          <w:kern w:val="2"/>
          <w:sz w:val="24"/>
          <w:szCs w:val="24"/>
          <w:lang w:val="en-GB" w:eastAsia="en-GB"/>
          <w14:ligatures w14:val="standardContextual"/>
        </w:rPr>
      </w:pPr>
      <w:r w:rsidRPr="00900296">
        <w:rPr>
          <w:noProof/>
          <w:lang w:val="de-DE"/>
        </w:rPr>
        <w:t>Bericht über die Arbeit an molekularen Verfahren im Zusammenhang mit der DUS-Prüfung</w:t>
      </w:r>
      <w:r>
        <w:rPr>
          <w:noProof/>
        </w:rPr>
        <w:tab/>
      </w:r>
      <w:r>
        <w:rPr>
          <w:noProof/>
        </w:rPr>
        <w:fldChar w:fldCharType="begin"/>
      </w:r>
      <w:r>
        <w:rPr>
          <w:noProof/>
        </w:rPr>
        <w:instrText xml:space="preserve"> PAGEREF _Toc178245135 \h </w:instrText>
      </w:r>
      <w:r>
        <w:rPr>
          <w:noProof/>
        </w:rPr>
      </w:r>
      <w:r>
        <w:rPr>
          <w:noProof/>
        </w:rPr>
        <w:fldChar w:fldCharType="separate"/>
      </w:r>
      <w:r>
        <w:rPr>
          <w:noProof/>
        </w:rPr>
        <w:t>4</w:t>
      </w:r>
      <w:r>
        <w:rPr>
          <w:noProof/>
        </w:rPr>
        <w:fldChar w:fldCharType="end"/>
      </w:r>
    </w:p>
    <w:p w14:paraId="0DCECEC3" w14:textId="7E60E224" w:rsidR="00ED7630" w:rsidRDefault="00ED7630">
      <w:pPr>
        <w:pStyle w:val="TOC3"/>
        <w:rPr>
          <w:rFonts w:asciiTheme="minorHAnsi" w:eastAsiaTheme="minorEastAsia" w:hAnsiTheme="minorHAnsi" w:cstheme="minorBidi"/>
          <w:i w:val="0"/>
          <w:noProof/>
          <w:kern w:val="2"/>
          <w:sz w:val="24"/>
          <w:szCs w:val="24"/>
          <w:lang w:val="en-GB" w:eastAsia="en-GB"/>
          <w14:ligatures w14:val="standardContextual"/>
        </w:rPr>
      </w:pPr>
      <w:r w:rsidRPr="00900296">
        <w:rPr>
          <w:noProof/>
          <w:lang w:val="de-DE"/>
        </w:rPr>
        <w:t>Die Anwendung molekularer Verfahren bei der Sortenidentifikation</w:t>
      </w:r>
      <w:r>
        <w:rPr>
          <w:noProof/>
        </w:rPr>
        <w:tab/>
      </w:r>
      <w:r>
        <w:rPr>
          <w:noProof/>
        </w:rPr>
        <w:fldChar w:fldCharType="begin"/>
      </w:r>
      <w:r>
        <w:rPr>
          <w:noProof/>
        </w:rPr>
        <w:instrText xml:space="preserve"> PAGEREF _Toc178245136 \h </w:instrText>
      </w:r>
      <w:r>
        <w:rPr>
          <w:noProof/>
        </w:rPr>
      </w:r>
      <w:r>
        <w:rPr>
          <w:noProof/>
        </w:rPr>
        <w:fldChar w:fldCharType="separate"/>
      </w:r>
      <w:r>
        <w:rPr>
          <w:noProof/>
        </w:rPr>
        <w:t>6</w:t>
      </w:r>
      <w:r>
        <w:rPr>
          <w:noProof/>
        </w:rPr>
        <w:fldChar w:fldCharType="end"/>
      </w:r>
    </w:p>
    <w:p w14:paraId="6084FDA6" w14:textId="51DEB5F4" w:rsidR="008B5290" w:rsidRPr="00DF29F0" w:rsidRDefault="006F3299">
      <w:pPr>
        <w:keepNext/>
        <w:tabs>
          <w:tab w:val="center" w:pos="4479"/>
        </w:tabs>
        <w:spacing w:before="120"/>
        <w:ind w:left="851" w:right="851" w:hanging="851"/>
        <w:contextualSpacing/>
        <w:rPr>
          <w:sz w:val="18"/>
          <w:szCs w:val="18"/>
        </w:rPr>
      </w:pPr>
      <w:r w:rsidRPr="00DF29F0">
        <w:rPr>
          <w:rFonts w:cs="Arial"/>
          <w:bCs/>
          <w:sz w:val="18"/>
          <w:szCs w:val="18"/>
        </w:rPr>
        <w:fldChar w:fldCharType="end"/>
      </w:r>
      <w:r w:rsidR="00F509D3" w:rsidRPr="00DF29F0">
        <w:rPr>
          <w:rFonts w:cs="Arial"/>
          <w:bCs/>
          <w:caps/>
          <w:sz w:val="18"/>
          <w:szCs w:val="18"/>
        </w:rPr>
        <w:t>Anhang:</w:t>
      </w:r>
      <w:r w:rsidR="008A52E0" w:rsidRPr="00DF29F0">
        <w:rPr>
          <w:rFonts w:cs="Arial"/>
          <w:bCs/>
          <w:caps/>
          <w:sz w:val="18"/>
          <w:szCs w:val="18"/>
        </w:rPr>
        <w:tab/>
      </w:r>
      <w:r w:rsidR="00F509D3" w:rsidRPr="00DF29F0">
        <w:rPr>
          <w:sz w:val="18"/>
          <w:szCs w:val="18"/>
        </w:rPr>
        <w:t>Richtlinien für die Validierung eines neuen merkmalspezifischen molekularen Markerprotokolls für DUS-Studien als alternatives Verfahren für die Beobachtung"</w:t>
      </w:r>
    </w:p>
    <w:p w14:paraId="6903B3B3" w14:textId="77777777" w:rsidR="00342001" w:rsidRPr="00DF29F0" w:rsidRDefault="00342001" w:rsidP="00342001">
      <w:pPr>
        <w:jc w:val="left"/>
      </w:pPr>
    </w:p>
    <w:p w14:paraId="4E11D788" w14:textId="77777777" w:rsidR="008A52E0" w:rsidRPr="00DF29F0" w:rsidRDefault="008A52E0" w:rsidP="00342001">
      <w:pPr>
        <w:jc w:val="left"/>
      </w:pPr>
    </w:p>
    <w:p w14:paraId="1D865FC3" w14:textId="77777777" w:rsidR="00047CF1" w:rsidRPr="00DF29F0" w:rsidRDefault="00047CF1" w:rsidP="00342001">
      <w:pPr>
        <w:jc w:val="left"/>
      </w:pPr>
    </w:p>
    <w:p w14:paraId="47149022" w14:textId="3D8096C2" w:rsidR="008B5290" w:rsidRPr="00DF29F0" w:rsidRDefault="00355901">
      <w:pPr>
        <w:pStyle w:val="Heading1"/>
        <w:rPr>
          <w:lang w:val="de-DE"/>
        </w:rPr>
      </w:pPr>
      <w:bookmarkStart w:id="3" w:name="_Toc177773940"/>
      <w:bookmarkStart w:id="4" w:name="_Toc178245126"/>
      <w:r>
        <w:rPr>
          <w:lang w:val="de-DE"/>
        </w:rPr>
        <w:t>Richt</w:t>
      </w:r>
      <w:r w:rsidR="006F3299" w:rsidRPr="00DF29F0">
        <w:rPr>
          <w:lang w:val="de-DE"/>
        </w:rPr>
        <w:t>linien für die Validierung eines neuen merkmalspezifischen molekularen Markerprotokolls als alternative Methode zur Beobachtung</w:t>
      </w:r>
      <w:bookmarkEnd w:id="3"/>
      <w:bookmarkEnd w:id="4"/>
    </w:p>
    <w:p w14:paraId="7AEA4F73" w14:textId="77777777" w:rsidR="00342001" w:rsidRPr="00DF29F0" w:rsidRDefault="00342001" w:rsidP="00342001"/>
    <w:p w14:paraId="09F6EC96" w14:textId="77777777" w:rsidR="008B5290" w:rsidRPr="00DF29F0" w:rsidRDefault="006F3299">
      <w:r w:rsidRPr="00DF29F0">
        <w:fldChar w:fldCharType="begin"/>
      </w:r>
      <w:r w:rsidRPr="00DF29F0">
        <w:instrText xml:space="preserve"> AUTONUM  </w:instrText>
      </w:r>
      <w:r w:rsidRPr="00DF29F0">
        <w:fldChar w:fldCharType="end"/>
      </w:r>
      <w:r w:rsidRPr="00DF29F0">
        <w:tab/>
        <w:t>Die TWM</w:t>
      </w:r>
      <w:r w:rsidRPr="00DF29F0">
        <w:rPr>
          <w:rStyle w:val="FootnoteReference"/>
          <w:lang w:eastAsia="ja-JP"/>
        </w:rPr>
        <w:footnoteReference w:id="2"/>
      </w:r>
      <w:r w:rsidRPr="00DF29F0">
        <w:t xml:space="preserve"> hörte auf ihrer zweiten Tagung ein Referat von Frau Amandine LeVan (Frankreich) über "Richtlinien für die Validierung eines neuen merkmalspezifischen molekularen Markerprotokolls für DUS-Studien als alternatives Verfahren für die Erfassung", </w:t>
      </w:r>
      <w:r w:rsidR="00825360" w:rsidRPr="00DF29F0">
        <w:t xml:space="preserve">das </w:t>
      </w:r>
      <w:r w:rsidRPr="00DF29F0">
        <w:t xml:space="preserve">in Dokument TWM/2/17 wiedergegeben ist.  Die TWM nahm zur Kenntnis, daß die </w:t>
      </w:r>
      <w:r w:rsidR="004D217B" w:rsidRPr="00DF29F0">
        <w:t xml:space="preserve">während des Referats gemachten Vorschläge </w:t>
      </w:r>
      <w:r w:rsidRPr="00DF29F0">
        <w:t>von der TWV geprüft und dem TC auf seinen Tagungen im Jahr 2024 berichtet werden würden.</w:t>
      </w:r>
    </w:p>
    <w:p w14:paraId="60DEE911" w14:textId="77777777" w:rsidR="00A655A8" w:rsidRPr="00DF29F0" w:rsidRDefault="00A655A8" w:rsidP="00342001"/>
    <w:p w14:paraId="62A02251" w14:textId="77777777" w:rsidR="008B5290" w:rsidRPr="00DF29F0" w:rsidRDefault="006F3299">
      <w:r w:rsidRPr="00DF29F0">
        <w:fldChar w:fldCharType="begin"/>
      </w:r>
      <w:r w:rsidRPr="00DF29F0">
        <w:instrText xml:space="preserve"> AUTONUM  </w:instrText>
      </w:r>
      <w:r w:rsidRPr="00DF29F0">
        <w:fldChar w:fldCharType="end"/>
      </w:r>
      <w:r w:rsidRPr="00DF29F0">
        <w:tab/>
        <w:t>Die TWV</w:t>
      </w:r>
      <w:r w:rsidR="00A655A8" w:rsidRPr="00DF29F0">
        <w:rPr>
          <w:rStyle w:val="FootnoteReference"/>
        </w:rPr>
        <w:footnoteReference w:id="3"/>
      </w:r>
      <w:r w:rsidRPr="00DF29F0">
        <w:t xml:space="preserve"> prüfte </w:t>
      </w:r>
      <w:r w:rsidR="00A655A8" w:rsidRPr="00DF29F0">
        <w:t xml:space="preserve">auf ihrer achtundfünfzigsten Tagung </w:t>
      </w:r>
      <w:r w:rsidRPr="00DF29F0">
        <w:t xml:space="preserve">das Dokument TWV/58/9, das von einem Sachverständigen aus den Niederlanden (Königreich) vorgelegt wurde.  </w:t>
      </w:r>
      <w:r w:rsidR="00383D5A" w:rsidRPr="00DF29F0">
        <w:t xml:space="preserve">Das Dokument TWV/58/9 ist </w:t>
      </w:r>
      <w:r w:rsidR="00825360" w:rsidRPr="00DF29F0">
        <w:t xml:space="preserve">in der </w:t>
      </w:r>
      <w:r w:rsidR="00383D5A" w:rsidRPr="00DF29F0">
        <w:t>Anlage zu diesem Dokument wiedergegeben.</w:t>
      </w:r>
    </w:p>
    <w:p w14:paraId="345161E8" w14:textId="77777777" w:rsidR="00342001" w:rsidRPr="00DF29F0" w:rsidRDefault="00342001" w:rsidP="00342001"/>
    <w:p w14:paraId="3125CB03" w14:textId="7A76FC7C" w:rsidR="008B5290" w:rsidRPr="00DF29F0" w:rsidRDefault="006F3299">
      <w:r w:rsidRPr="00DF29F0">
        <w:fldChar w:fldCharType="begin"/>
      </w:r>
      <w:r w:rsidRPr="00DF29F0">
        <w:instrText xml:space="preserve"> AUTONUM  </w:instrText>
      </w:r>
      <w:r w:rsidRPr="00DF29F0">
        <w:fldChar w:fldCharType="end"/>
      </w:r>
      <w:r w:rsidRPr="00DF29F0">
        <w:tab/>
        <w:t xml:space="preserve">Die TWV vereinbarte, daß </w:t>
      </w:r>
      <w:r w:rsidR="00825360" w:rsidRPr="00DF29F0">
        <w:t xml:space="preserve">eine </w:t>
      </w:r>
      <w:r w:rsidRPr="00DF29F0">
        <w:t xml:space="preserve">Anleitung zur Prüfung von Merkmalen unter Verwendung der in den Prüfungsrichtlinien dargelegten molekularen Marker von </w:t>
      </w:r>
      <w:r w:rsidR="00825360" w:rsidRPr="00DF29F0">
        <w:t xml:space="preserve">einer </w:t>
      </w:r>
      <w:r w:rsidRPr="00DF29F0">
        <w:t>internationalen Harmonisierung profitieren würde.</w:t>
      </w:r>
    </w:p>
    <w:p w14:paraId="11EA01BE" w14:textId="77777777" w:rsidR="00342001" w:rsidRPr="00DF29F0" w:rsidRDefault="00342001" w:rsidP="00342001"/>
    <w:p w14:paraId="59518CB8" w14:textId="77777777" w:rsidR="008B5290" w:rsidRPr="00DF29F0" w:rsidRDefault="006F3299">
      <w:pPr>
        <w:pStyle w:val="pldetails"/>
        <w:keepLines w:val="0"/>
        <w:spacing w:before="0" w:after="0"/>
        <w:jc w:val="both"/>
        <w:rPr>
          <w:noProof w:val="0"/>
          <w:snapToGrid/>
        </w:rPr>
      </w:pPr>
      <w:r w:rsidRPr="00DF29F0">
        <w:rPr>
          <w:noProof w:val="0"/>
          <w:snapToGrid/>
        </w:rPr>
        <w:fldChar w:fldCharType="begin"/>
      </w:r>
      <w:r w:rsidRPr="00DF29F0">
        <w:rPr>
          <w:noProof w:val="0"/>
          <w:snapToGrid/>
        </w:rPr>
        <w:instrText xml:space="preserve"> AUTONUM  </w:instrText>
      </w:r>
      <w:r w:rsidRPr="00DF29F0">
        <w:rPr>
          <w:noProof w:val="0"/>
          <w:snapToGrid/>
        </w:rPr>
        <w:fldChar w:fldCharType="end"/>
      </w:r>
      <w:r w:rsidRPr="00DF29F0">
        <w:rPr>
          <w:noProof w:val="0"/>
          <w:snapToGrid/>
        </w:rPr>
        <w:tab/>
        <w:t>Die TWV vereinbarte, die Streichung des letzten Satzes in Absatz 5 und die Aufnahme eines Verweises auf die jeweilige UPOV-Anleitung, die für die erwähnten ISO-Normen gilt, vorzuschlagen.</w:t>
      </w:r>
    </w:p>
    <w:p w14:paraId="28905F9D" w14:textId="77777777" w:rsidR="00342001" w:rsidRPr="00DF29F0" w:rsidRDefault="00342001" w:rsidP="00342001"/>
    <w:p w14:paraId="45B0CBAC" w14:textId="77777777" w:rsidR="008B5290" w:rsidRPr="00DF29F0" w:rsidRDefault="006F3299">
      <w:pPr>
        <w:pStyle w:val="pldetails"/>
        <w:spacing w:before="0" w:after="0"/>
        <w:jc w:val="both"/>
        <w:rPr>
          <w:noProof w:val="0"/>
          <w:snapToGrid/>
        </w:rPr>
      </w:pPr>
      <w:r w:rsidRPr="00DF29F0">
        <w:rPr>
          <w:noProof w:val="0"/>
          <w:snapToGrid/>
        </w:rPr>
        <w:fldChar w:fldCharType="begin"/>
      </w:r>
      <w:r w:rsidRPr="00DF29F0">
        <w:rPr>
          <w:noProof w:val="0"/>
          <w:snapToGrid/>
        </w:rPr>
        <w:instrText xml:space="preserve"> AUTONUM  </w:instrText>
      </w:r>
      <w:r w:rsidRPr="00DF29F0">
        <w:rPr>
          <w:noProof w:val="0"/>
          <w:snapToGrid/>
        </w:rPr>
        <w:fldChar w:fldCharType="end"/>
      </w:r>
      <w:r w:rsidRPr="00DF29F0">
        <w:rPr>
          <w:noProof w:val="0"/>
          <w:snapToGrid/>
        </w:rPr>
        <w:tab/>
        <w:t>Die TWV vereinbarte, eine Änderung der Informationen in der Protokolltabelle, Punkt 8, vorzuschlagen, um klarzustellen, daß "für den Fall, daß das Ergebnis des DNA-Marker-Tests die Erklärung im Technischen Fragebogen nicht bestätigt, ein Feldversuch oder ein Bioassay durchgeführt werden sollte, um die Richtigkeit der Erklärung im Technischen Fragebogen zu beurteilen".</w:t>
      </w:r>
    </w:p>
    <w:p w14:paraId="2A8263D2" w14:textId="77777777" w:rsidR="00342001" w:rsidRPr="00DF29F0" w:rsidRDefault="00342001" w:rsidP="00342001"/>
    <w:p w14:paraId="673C3D10" w14:textId="77777777" w:rsidR="008B5290" w:rsidRPr="00DF29F0" w:rsidRDefault="006F3299">
      <w:r w:rsidRPr="00DF29F0">
        <w:fldChar w:fldCharType="begin"/>
      </w:r>
      <w:r w:rsidRPr="00DF29F0">
        <w:instrText xml:space="preserve"> AUTONUM  </w:instrText>
      </w:r>
      <w:r w:rsidRPr="00DF29F0">
        <w:fldChar w:fldCharType="end"/>
      </w:r>
      <w:r w:rsidRPr="00DF29F0">
        <w:tab/>
        <w:t xml:space="preserve">Die TWV nahm zur Kenntnis, daß merkmalspezifische molekulare Marker von den Züchtern verwendet werden könnten, und vereinbarte, daß sie berechtigt seien, den Prüfer über das zur Bewertung der Merkmale im Technischen Fragebogen verwendete Verfahren zu informieren, wenn ein molekularer Marker als Alternative zu dem im Technischen Fragebogen angegebenen verfügbar sei. </w:t>
      </w:r>
    </w:p>
    <w:p w14:paraId="0CFF7D7C" w14:textId="77777777" w:rsidR="00342001" w:rsidRPr="00DF29F0" w:rsidRDefault="00342001" w:rsidP="00EF4B00"/>
    <w:p w14:paraId="407DBC63" w14:textId="77777777" w:rsidR="008B5290" w:rsidRPr="00DF29F0" w:rsidRDefault="006F3299">
      <w:pPr>
        <w:tabs>
          <w:tab w:val="left" w:pos="5387"/>
        </w:tabs>
        <w:ind w:left="4820"/>
        <w:rPr>
          <w:i/>
          <w:iCs/>
        </w:rPr>
      </w:pPr>
      <w:r w:rsidRPr="00DF29F0">
        <w:rPr>
          <w:i/>
          <w:iCs/>
        </w:rPr>
        <w:fldChar w:fldCharType="begin"/>
      </w:r>
      <w:r w:rsidRPr="00DF29F0">
        <w:rPr>
          <w:i/>
          <w:iCs/>
        </w:rPr>
        <w:instrText xml:space="preserve"> AUTONUM  </w:instrText>
      </w:r>
      <w:r w:rsidRPr="00DF29F0">
        <w:rPr>
          <w:i/>
          <w:iCs/>
        </w:rPr>
        <w:fldChar w:fldCharType="end"/>
      </w:r>
      <w:r w:rsidRPr="00DF29F0">
        <w:rPr>
          <w:i/>
          <w:iCs/>
        </w:rPr>
        <w:tab/>
      </w:r>
      <w:bookmarkStart w:id="5" w:name="_Hlk177776751"/>
      <w:r w:rsidRPr="00DF29F0">
        <w:rPr>
          <w:i/>
          <w:iCs/>
        </w:rPr>
        <w:t xml:space="preserve">Der TC wird ersucht, die TWP </w:t>
      </w:r>
      <w:r w:rsidR="00825360" w:rsidRPr="00DF29F0">
        <w:rPr>
          <w:i/>
          <w:iCs/>
        </w:rPr>
        <w:t xml:space="preserve">zu ersuchen, </w:t>
      </w:r>
      <w:r w:rsidRPr="00DF29F0">
        <w:rPr>
          <w:i/>
          <w:iCs/>
        </w:rPr>
        <w:t xml:space="preserve">auf ihren Tagungen im Jahre 2025 den Vorschlag für </w:t>
      </w:r>
      <w:r w:rsidR="00B43A2A" w:rsidRPr="00DF29F0">
        <w:rPr>
          <w:i/>
          <w:iCs/>
        </w:rPr>
        <w:t xml:space="preserve">Richtlinien für die Validierung neuer merkmalspezifischer molekularer Markerprotokolle für die DUS-Prüfung, wie in der Anlage dieses Dokuments enthalten, </w:t>
      </w:r>
      <w:r w:rsidRPr="00DF29F0">
        <w:rPr>
          <w:i/>
          <w:iCs/>
        </w:rPr>
        <w:t>zu prüfen</w:t>
      </w:r>
      <w:r w:rsidR="00B43A2A" w:rsidRPr="00DF29F0">
        <w:rPr>
          <w:i/>
          <w:iCs/>
        </w:rPr>
        <w:t xml:space="preserve">. </w:t>
      </w:r>
    </w:p>
    <w:bookmarkEnd w:id="5"/>
    <w:p w14:paraId="32B1009A" w14:textId="77777777" w:rsidR="00550FF9" w:rsidRPr="00DF29F0" w:rsidRDefault="00550FF9" w:rsidP="00EF4B00"/>
    <w:p w14:paraId="4B70D73B" w14:textId="77777777" w:rsidR="00550FF9" w:rsidRPr="00DF29F0" w:rsidRDefault="00550FF9" w:rsidP="00EF4B00"/>
    <w:p w14:paraId="42FDD09E" w14:textId="77777777" w:rsidR="008B5290" w:rsidRPr="00DF29F0" w:rsidRDefault="006F3299">
      <w:pPr>
        <w:keepNext/>
        <w:outlineLvl w:val="0"/>
        <w:rPr>
          <w:caps/>
        </w:rPr>
      </w:pPr>
      <w:bookmarkStart w:id="6" w:name="_Toc177773941"/>
      <w:r w:rsidRPr="00DF29F0">
        <w:rPr>
          <w:caps/>
        </w:rPr>
        <w:lastRenderedPageBreak/>
        <w:t xml:space="preserve">Vertraulichkeit </w:t>
      </w:r>
      <w:r w:rsidR="00825360" w:rsidRPr="00DF29F0">
        <w:rPr>
          <w:caps/>
        </w:rPr>
        <w:t xml:space="preserve">und </w:t>
      </w:r>
      <w:r w:rsidRPr="00DF29F0">
        <w:rPr>
          <w:caps/>
        </w:rPr>
        <w:t>Eigentum an molekularen Informationen</w:t>
      </w:r>
      <w:bookmarkEnd w:id="1"/>
      <w:bookmarkEnd w:id="2"/>
      <w:bookmarkEnd w:id="6"/>
    </w:p>
    <w:p w14:paraId="1E39239A" w14:textId="77777777" w:rsidR="00EF4B00" w:rsidRPr="00DF29F0" w:rsidRDefault="00EF4B00" w:rsidP="00975B88">
      <w:pPr>
        <w:keepNext/>
      </w:pPr>
    </w:p>
    <w:p w14:paraId="11179B7F" w14:textId="77777777" w:rsidR="008B5290" w:rsidRPr="00DF29F0" w:rsidRDefault="006F3299">
      <w:pPr>
        <w:pStyle w:val="Heading2"/>
        <w:rPr>
          <w:lang w:val="de-DE"/>
        </w:rPr>
      </w:pPr>
      <w:bookmarkStart w:id="7" w:name="_Toc177773942"/>
      <w:bookmarkStart w:id="8" w:name="_Toc178245127"/>
      <w:r w:rsidRPr="00DF29F0">
        <w:rPr>
          <w:lang w:val="de-DE"/>
        </w:rPr>
        <w:t>Hintergrund</w:t>
      </w:r>
      <w:bookmarkEnd w:id="7"/>
      <w:bookmarkEnd w:id="8"/>
    </w:p>
    <w:p w14:paraId="51B514BA" w14:textId="77777777" w:rsidR="00EF4B00" w:rsidRPr="00DF29F0" w:rsidRDefault="00EF4B00" w:rsidP="00975B88">
      <w:pPr>
        <w:keepNext/>
        <w:keepLines/>
      </w:pPr>
    </w:p>
    <w:p w14:paraId="2AE90940" w14:textId="2E0087CD" w:rsidR="008B5290" w:rsidRPr="00DF29F0" w:rsidRDefault="006F3299">
      <w:r w:rsidRPr="00DF29F0">
        <w:fldChar w:fldCharType="begin"/>
      </w:r>
      <w:r w:rsidRPr="00DF29F0">
        <w:instrText xml:space="preserve"> AUTONUM  </w:instrText>
      </w:r>
      <w:r w:rsidRPr="00DF29F0">
        <w:fldChar w:fldCharType="end"/>
      </w:r>
      <w:r w:rsidRPr="00DF29F0">
        <w:tab/>
        <w:t>Der TC nahm auf seiner achtundfünfzigsten Tagung</w:t>
      </w:r>
      <w:r w:rsidRPr="00DF29F0">
        <w:rPr>
          <w:vertAlign w:val="superscript"/>
        </w:rPr>
        <w:footnoteReference w:id="4"/>
      </w:r>
      <w:r w:rsidRPr="00DF29F0">
        <w:t xml:space="preserve"> die Erörterungen der TWP auf ihren Tagungen im Jahre 2022 über "Vertraulichkeit </w:t>
      </w:r>
      <w:r w:rsidR="00825360" w:rsidRPr="00DF29F0">
        <w:t xml:space="preserve">und </w:t>
      </w:r>
      <w:r w:rsidRPr="00DF29F0">
        <w:t xml:space="preserve">Eigentum an molekularen Informationen" </w:t>
      </w:r>
      <w:r w:rsidR="006A263B" w:rsidRPr="00DF29F0">
        <w:t xml:space="preserve">zur </w:t>
      </w:r>
      <w:r w:rsidRPr="00DF29F0">
        <w:t>Kenntnis</w:t>
      </w:r>
      <w:r w:rsidR="006A263B" w:rsidRPr="00DF29F0">
        <w:t xml:space="preserve">.  </w:t>
      </w:r>
      <w:r w:rsidRPr="00DF29F0">
        <w:t>Der TC nahm die von den Züchterorganisationen auf der TWM geäußerte Besorgnis zur Kenntnis, daß molekulare Informationen</w:t>
      </w:r>
      <w:r w:rsidR="00A02C6D" w:rsidRPr="00DF29F0">
        <w:t xml:space="preserve">, die bei der Prüfung </w:t>
      </w:r>
      <w:r w:rsidRPr="00DF29F0">
        <w:t xml:space="preserve">einer Sorte </w:t>
      </w:r>
      <w:r w:rsidR="00A02C6D" w:rsidRPr="00DF29F0">
        <w:t xml:space="preserve">verwendet werden, </w:t>
      </w:r>
      <w:r w:rsidR="00986E0C" w:rsidRPr="00DF29F0">
        <w:t xml:space="preserve">von der </w:t>
      </w:r>
      <w:r w:rsidRPr="00DF29F0">
        <w:t xml:space="preserve">Behörde, die den Antrag erhalten hat, nicht ohne die Zustimmung des Züchters </w:t>
      </w:r>
      <w:r w:rsidR="00986E0C" w:rsidRPr="00DF29F0">
        <w:t xml:space="preserve">weitergegeben </w:t>
      </w:r>
      <w:r w:rsidRPr="00DF29F0">
        <w:t xml:space="preserve">werden sollten.  Der TC vereinbarte, die Mitglieder und Beobachter aufzufordern, auf ihren Tagungen im Jahr 2023 </w:t>
      </w:r>
      <w:r w:rsidR="00986E0C" w:rsidRPr="00DF29F0">
        <w:t xml:space="preserve">über die </w:t>
      </w:r>
      <w:r w:rsidRPr="00DF29F0">
        <w:t xml:space="preserve">bestehende Politik bezüglich der Vertraulichkeit molekularer Informationen bei den TWP zu berichten </w:t>
      </w:r>
      <w:r w:rsidR="006A263B" w:rsidRPr="00DF29F0">
        <w:t>(vergleiche Dokument TC/58/31 "Bericht", Absätze 48 bis 50)</w:t>
      </w:r>
      <w:r w:rsidR="00986E0C" w:rsidRPr="00DF29F0">
        <w:t xml:space="preserve">. </w:t>
      </w:r>
    </w:p>
    <w:p w14:paraId="4914A262" w14:textId="77777777" w:rsidR="00EF4B00" w:rsidRPr="00DF29F0" w:rsidRDefault="00EF4B00" w:rsidP="00EF4B00"/>
    <w:p w14:paraId="37A6640A"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6A263B" w:rsidRPr="00DF29F0">
        <w:t xml:space="preserve">Der TC </w:t>
      </w:r>
      <w:r w:rsidRPr="00DF29F0">
        <w:t xml:space="preserve">nahm </w:t>
      </w:r>
      <w:r w:rsidR="006A263B" w:rsidRPr="00DF29F0">
        <w:t>auf seiner neunundfünfzigsten Tagung</w:t>
      </w:r>
      <w:r w:rsidR="006A263B" w:rsidRPr="00DF29F0">
        <w:rPr>
          <w:vertAlign w:val="superscript"/>
        </w:rPr>
        <w:footnoteReference w:id="5"/>
      </w:r>
      <w:r w:rsidRPr="00DF29F0">
        <w:t xml:space="preserve"> die Grundsätze, </w:t>
      </w:r>
      <w:r w:rsidR="00986E0C" w:rsidRPr="00DF29F0">
        <w:t xml:space="preserve">über die </w:t>
      </w:r>
      <w:r w:rsidRPr="00DF29F0">
        <w:t>berichtet wurde</w:t>
      </w:r>
      <w:r w:rsidR="00986E0C" w:rsidRPr="00DF29F0">
        <w:t xml:space="preserve">, </w:t>
      </w:r>
      <w:r w:rsidRPr="00DF29F0">
        <w:t xml:space="preserve">und die Erörterungen über die Vertraulichkeit molekularer Informationen auf den Tagungen der TWP im Jahr 2023 zur Kenntnis. Der TC vereinbarte, die Aufforderung an Mitglieder und Beobachter zu wiederholen, </w:t>
      </w:r>
      <w:r w:rsidR="00825360" w:rsidRPr="00DF29F0">
        <w:t xml:space="preserve">auf </w:t>
      </w:r>
      <w:r w:rsidRPr="00DF29F0">
        <w:t xml:space="preserve">den Tagungen der TWP im Jahr 2024 </w:t>
      </w:r>
      <w:r w:rsidR="00825360" w:rsidRPr="00DF29F0">
        <w:t xml:space="preserve">über </w:t>
      </w:r>
      <w:r w:rsidRPr="00DF29F0">
        <w:t>bestehende Grundsätze zur Vertraulichkeit molekularer Informationen zu berichten.</w:t>
      </w:r>
    </w:p>
    <w:p w14:paraId="0558B6B1" w14:textId="77777777" w:rsidR="0010001A" w:rsidRPr="00DF29F0" w:rsidRDefault="0010001A" w:rsidP="00EF4B00"/>
    <w:p w14:paraId="37655CB9" w14:textId="65669046" w:rsidR="008B5290" w:rsidRPr="00DF29F0" w:rsidRDefault="006F3299">
      <w:r w:rsidRPr="00DF29F0">
        <w:fldChar w:fldCharType="begin"/>
      </w:r>
      <w:r w:rsidRPr="00DF29F0">
        <w:instrText xml:space="preserve"> AUTONUM  </w:instrText>
      </w:r>
      <w:r w:rsidRPr="00DF29F0">
        <w:fldChar w:fldCharType="end"/>
      </w:r>
      <w:r w:rsidRPr="00DF29F0">
        <w:tab/>
        <w:t xml:space="preserve">Weitere Hintergrundinformationen zu diesem Thema sind in Dokument </w:t>
      </w:r>
      <w:r w:rsidR="001A0DD8" w:rsidRPr="00DF29F0">
        <w:t xml:space="preserve">SESSIONS/2023/5 </w:t>
      </w:r>
      <w:r w:rsidRPr="00DF29F0">
        <w:t>"Molekulare Techniken" enthalten.</w:t>
      </w:r>
    </w:p>
    <w:p w14:paraId="46A2F66E" w14:textId="77777777" w:rsidR="007C0689" w:rsidRPr="00DF29F0" w:rsidRDefault="007C0689" w:rsidP="00EF4B00">
      <w:pPr>
        <w:rPr>
          <w:lang w:eastAsia="ja-JP"/>
        </w:rPr>
      </w:pPr>
    </w:p>
    <w:p w14:paraId="74D4AFE7" w14:textId="77777777" w:rsidR="008B5290" w:rsidRPr="00DF29F0" w:rsidRDefault="006F3299">
      <w:pPr>
        <w:pStyle w:val="Heading2"/>
        <w:rPr>
          <w:lang w:val="de-DE" w:eastAsia="ja-JP"/>
        </w:rPr>
      </w:pPr>
      <w:bookmarkStart w:id="9" w:name="_Toc177773944"/>
      <w:bookmarkStart w:id="10" w:name="_Toc178245128"/>
      <w:r w:rsidRPr="00DF29F0">
        <w:rPr>
          <w:lang w:val="de-DE" w:eastAsia="ja-JP"/>
        </w:rPr>
        <w:t>Entwicklungen in den Technischen Arbeitsgruppen auf ihren Tagungen in 202 4</w:t>
      </w:r>
      <w:bookmarkEnd w:id="9"/>
      <w:bookmarkEnd w:id="10"/>
    </w:p>
    <w:p w14:paraId="1E6D17DF" w14:textId="77777777" w:rsidR="00EF4B00" w:rsidRPr="00DF29F0" w:rsidRDefault="00EF4B00" w:rsidP="00EF4B00">
      <w:pPr>
        <w:jc w:val="left"/>
      </w:pPr>
    </w:p>
    <w:p w14:paraId="5A398FAA" w14:textId="305E27B6" w:rsidR="008B5290" w:rsidRPr="00DF29F0" w:rsidRDefault="006F3299">
      <w:r w:rsidRPr="00DF29F0">
        <w:fldChar w:fldCharType="begin"/>
      </w:r>
      <w:r w:rsidRPr="00DF29F0">
        <w:instrText xml:space="preserve"> AUTONUM  </w:instrText>
      </w:r>
      <w:r w:rsidRPr="00DF29F0">
        <w:fldChar w:fldCharType="end"/>
      </w:r>
      <w:r w:rsidR="00CA39F2">
        <w:tab/>
      </w:r>
      <w:r w:rsidRPr="00DF29F0">
        <w:rPr>
          <w:rFonts w:eastAsia="PMingLiU"/>
          <w:szCs w:val="24"/>
        </w:rPr>
        <w:t xml:space="preserve">Die </w:t>
      </w:r>
      <w:r w:rsidR="0010001A" w:rsidRPr="00DF29F0">
        <w:rPr>
          <w:rFonts w:eastAsia="PMingLiU"/>
          <w:szCs w:val="24"/>
        </w:rPr>
        <w:t xml:space="preserve">TWP wurden ersucht, </w:t>
      </w:r>
      <w:r w:rsidRPr="00DF29F0">
        <w:t xml:space="preserve">auf ihren Tagungen im Jahr </w:t>
      </w:r>
      <w:r w:rsidR="0010001A" w:rsidRPr="00DF29F0">
        <w:t xml:space="preserve">2024 </w:t>
      </w:r>
      <w:r w:rsidR="0010001A" w:rsidRPr="00DF29F0">
        <w:rPr>
          <w:rFonts w:eastAsia="PMingLiU"/>
          <w:szCs w:val="24"/>
        </w:rPr>
        <w:t xml:space="preserve">Referate zu halten und </w:t>
      </w:r>
      <w:r w:rsidR="00825360" w:rsidRPr="00DF29F0">
        <w:rPr>
          <w:rFonts w:eastAsia="PMingLiU"/>
          <w:szCs w:val="24"/>
        </w:rPr>
        <w:t xml:space="preserve">über </w:t>
      </w:r>
      <w:r w:rsidR="0010001A" w:rsidRPr="00DF29F0">
        <w:rPr>
          <w:rFonts w:eastAsia="PMingLiU"/>
          <w:szCs w:val="24"/>
        </w:rPr>
        <w:t xml:space="preserve">Beispiele von Strategien für die Vertraulichkeit und den Zugang zu molekularen Daten zu berichten. </w:t>
      </w:r>
      <w:r w:rsidR="00D632F1" w:rsidRPr="00DF29F0">
        <w:rPr>
          <w:rFonts w:eastAsia="PMingLiU"/>
          <w:szCs w:val="24"/>
        </w:rPr>
        <w:t xml:space="preserve">In der TWA, der TWF, der TWO und der TWV wurden </w:t>
      </w:r>
      <w:r w:rsidR="0014482F" w:rsidRPr="00DF29F0">
        <w:rPr>
          <w:rFonts w:eastAsia="PMingLiU"/>
          <w:szCs w:val="24"/>
        </w:rPr>
        <w:t xml:space="preserve">keine Berichte über bestehende Politiken zur Vertraulichkeit </w:t>
      </w:r>
      <w:r w:rsidR="00D632F1" w:rsidRPr="00DF29F0">
        <w:rPr>
          <w:rFonts w:eastAsia="PMingLiU"/>
          <w:szCs w:val="24"/>
        </w:rPr>
        <w:t>vorgelegt</w:t>
      </w:r>
      <w:r w:rsidR="0014482F" w:rsidRPr="00DF29F0">
        <w:rPr>
          <w:rFonts w:eastAsia="PMingLiU"/>
          <w:szCs w:val="24"/>
        </w:rPr>
        <w:t>.</w:t>
      </w:r>
    </w:p>
    <w:p w14:paraId="6D495BCD" w14:textId="77777777" w:rsidR="005B6C70" w:rsidRPr="00DF29F0" w:rsidRDefault="005B6C70" w:rsidP="00EF4B00">
      <w:pPr>
        <w:rPr>
          <w:i/>
        </w:rPr>
      </w:pPr>
    </w:p>
    <w:p w14:paraId="3253A8A8" w14:textId="711100FD" w:rsidR="008B5290" w:rsidRPr="00DF29F0" w:rsidRDefault="006F3299">
      <w:pPr>
        <w:pStyle w:val="Heading3"/>
        <w:rPr>
          <w:lang w:val="de-DE"/>
        </w:rPr>
      </w:pPr>
      <w:bookmarkStart w:id="11" w:name="_Toc178245129"/>
      <w:r w:rsidRPr="00DF29F0">
        <w:rPr>
          <w:lang w:val="de-DE"/>
        </w:rPr>
        <w:t>Technische Arbeitsgruppe für Prüf</w:t>
      </w:r>
      <w:r w:rsidR="00CA39F2">
        <w:rPr>
          <w:lang w:val="de-DE"/>
        </w:rPr>
        <w:t>methoden</w:t>
      </w:r>
      <w:r w:rsidRPr="00DF29F0">
        <w:rPr>
          <w:lang w:val="de-DE"/>
        </w:rPr>
        <w:t xml:space="preserve"> und -techniken (TWM)</w:t>
      </w:r>
      <w:bookmarkEnd w:id="11"/>
    </w:p>
    <w:p w14:paraId="4E79FF23" w14:textId="77777777" w:rsidR="005B6C70" w:rsidRPr="00DF29F0" w:rsidRDefault="005B6C70" w:rsidP="00EF4B00">
      <w:pPr>
        <w:rPr>
          <w:iCs/>
        </w:rPr>
      </w:pPr>
    </w:p>
    <w:p w14:paraId="393DADD8" w14:textId="3F0A11C7" w:rsidR="008B5290" w:rsidRPr="00DF29F0" w:rsidRDefault="006F3299">
      <w:pPr>
        <w:rPr>
          <w:lang w:eastAsia="ja-JP"/>
        </w:rPr>
      </w:pPr>
      <w:r w:rsidRPr="00DF29F0">
        <w:fldChar w:fldCharType="begin"/>
      </w:r>
      <w:r w:rsidRPr="00DF29F0">
        <w:instrText xml:space="preserve"> AUTONUM  </w:instrText>
      </w:r>
      <w:r w:rsidRPr="00DF29F0">
        <w:fldChar w:fldCharType="end"/>
      </w:r>
      <w:r w:rsidRPr="00DF29F0">
        <w:tab/>
      </w:r>
      <w:r w:rsidR="005B6C70" w:rsidRPr="00DF29F0">
        <w:rPr>
          <w:lang w:eastAsia="ja-JP"/>
        </w:rPr>
        <w:t>Die TWM</w:t>
      </w:r>
      <w:r w:rsidR="00A655A8" w:rsidRPr="00DF29F0">
        <w:rPr>
          <w:rStyle w:val="FootnoteReference"/>
          <w:lang w:eastAsia="ja-JP"/>
        </w:rPr>
        <w:footnoteReference w:id="6"/>
      </w:r>
      <w:r w:rsidR="005B6C70" w:rsidRPr="00DF29F0">
        <w:rPr>
          <w:lang w:eastAsia="ja-JP"/>
        </w:rPr>
        <w:t xml:space="preserve"> hörte ein Referat über "Vertraulichkeit molekularer Informationen" von Herrn Marcel Bruins, CropLife International, im Namen des Afrikanischen Saatguthandelsverbandes (AFSTA), der Saatgutvereinigung für Asien und den Pazifik (APSA), der Internationalen Gemeinschaft der Züchter vegetativ vermehrbarer Gartenbaupflanzen (CIOPORA), CropLife International, Euroseeds, des </w:t>
      </w:r>
      <w:r w:rsidR="00CA39F2">
        <w:rPr>
          <w:lang w:eastAsia="ja-JP"/>
        </w:rPr>
        <w:t xml:space="preserve">International Seed Federation </w:t>
      </w:r>
      <w:r w:rsidR="005B6C70" w:rsidRPr="00DF29F0">
        <w:rPr>
          <w:lang w:eastAsia="ja-JP"/>
        </w:rPr>
        <w:t>(ISF) und der Seed Association of the Americas (SAA) ("Züchterorganisationen"). Ein</w:t>
      </w:r>
      <w:r w:rsidR="00CA39F2">
        <w:rPr>
          <w:lang w:eastAsia="ja-JP"/>
        </w:rPr>
        <w:t>e</w:t>
      </w:r>
      <w:r w:rsidR="005B6C70" w:rsidRPr="00DF29F0">
        <w:rPr>
          <w:lang w:eastAsia="ja-JP"/>
        </w:rPr>
        <w:t xml:space="preserve"> </w:t>
      </w:r>
      <w:r w:rsidR="00CA39F2">
        <w:rPr>
          <w:lang w:eastAsia="ja-JP"/>
        </w:rPr>
        <w:t xml:space="preserve">Kopie </w:t>
      </w:r>
      <w:r w:rsidR="005B6C70" w:rsidRPr="00DF29F0">
        <w:rPr>
          <w:lang w:eastAsia="ja-JP"/>
        </w:rPr>
        <w:t xml:space="preserve">der Präsentation ist in Dokument TWM/2/7 enthalten. </w:t>
      </w:r>
    </w:p>
    <w:p w14:paraId="0E42FFEE" w14:textId="77777777" w:rsidR="005B6C70" w:rsidRPr="00DF29F0" w:rsidRDefault="005B6C70" w:rsidP="00EF4B00">
      <w:pPr>
        <w:rPr>
          <w:lang w:eastAsia="ja-JP"/>
        </w:rPr>
      </w:pPr>
    </w:p>
    <w:p w14:paraId="3B60F360" w14:textId="77777777" w:rsidR="008B5290" w:rsidRPr="00DF29F0" w:rsidRDefault="006F3299">
      <w:pPr>
        <w:rPr>
          <w:lang w:eastAsia="ja-JP"/>
        </w:rPr>
      </w:pPr>
      <w:r w:rsidRPr="00DF29F0">
        <w:fldChar w:fldCharType="begin"/>
      </w:r>
      <w:r w:rsidRPr="00DF29F0">
        <w:instrText xml:space="preserve"> AUTONUM  </w:instrText>
      </w:r>
      <w:r w:rsidRPr="00DF29F0">
        <w:fldChar w:fldCharType="end"/>
      </w:r>
      <w:r w:rsidRPr="00DF29F0">
        <w:tab/>
      </w:r>
      <w:r w:rsidR="005B6C70" w:rsidRPr="00DF29F0">
        <w:rPr>
          <w:lang w:eastAsia="ja-JP"/>
        </w:rPr>
        <w:t xml:space="preserve">Die TWM nahm das Ersuchen von Züchterorganisationen um Ausarbeitung einer Anleitung in der UPOV zur Vertraulichkeit molekularer Daten und das Angebot, einen Entwurf einer Mustervorlage für eine Vereinbarung vorzuschlagen, zur Kenntnis, der auf ihrer dritten Tagung vorgelegt werden soll. </w:t>
      </w:r>
    </w:p>
    <w:p w14:paraId="11658045" w14:textId="77777777" w:rsidR="005B6C70" w:rsidRPr="00DF29F0" w:rsidRDefault="005B6C70" w:rsidP="00EF4B00">
      <w:pPr>
        <w:rPr>
          <w:lang w:eastAsia="ja-JP"/>
        </w:rPr>
      </w:pPr>
    </w:p>
    <w:p w14:paraId="7DF69B19" w14:textId="77777777" w:rsidR="008B5290" w:rsidRPr="00DF29F0" w:rsidRDefault="006F3299">
      <w:pPr>
        <w:pStyle w:val="Heading4"/>
        <w:rPr>
          <w:lang w:val="de-DE" w:eastAsia="ja-JP"/>
        </w:rPr>
      </w:pPr>
      <w:r w:rsidRPr="00DF29F0">
        <w:rPr>
          <w:lang w:val="de-DE" w:eastAsia="ja-JP"/>
        </w:rPr>
        <w:t xml:space="preserve">Beispiele für Strategien zur Vertraulichkeit und zum Zugang zu molekularen Informationsdaten </w:t>
      </w:r>
    </w:p>
    <w:p w14:paraId="78A90B95" w14:textId="77777777" w:rsidR="005B6C70" w:rsidRPr="00DF29F0" w:rsidRDefault="005B6C70" w:rsidP="008A52E0">
      <w:pPr>
        <w:keepNext/>
        <w:rPr>
          <w:lang w:eastAsia="ja-JP"/>
        </w:rPr>
      </w:pPr>
    </w:p>
    <w:p w14:paraId="082E5CED" w14:textId="77777777" w:rsidR="008B5290" w:rsidRPr="00DF29F0" w:rsidRDefault="006F3299">
      <w:pPr>
        <w:rPr>
          <w:lang w:eastAsia="ja-JP"/>
        </w:rPr>
      </w:pPr>
      <w:r w:rsidRPr="00DF29F0">
        <w:fldChar w:fldCharType="begin"/>
      </w:r>
      <w:r w:rsidRPr="00DF29F0">
        <w:instrText xml:space="preserve"> AUTONUM  </w:instrText>
      </w:r>
      <w:r w:rsidRPr="00DF29F0">
        <w:fldChar w:fldCharType="end"/>
      </w:r>
      <w:r w:rsidRPr="00DF29F0">
        <w:tab/>
      </w:r>
      <w:r w:rsidR="005B6C70" w:rsidRPr="00DF29F0">
        <w:rPr>
          <w:lang w:eastAsia="ja-JP"/>
        </w:rPr>
        <w:t xml:space="preserve">Die TWM nahm zur Kenntnis, dass die Europäische Union voraussichtlich eine Politik für den Zugang zu Sortenproben, einschließlich DNA-Proben, annehmen werde, über die auf den TWP im Jahr 2024 berichtet werden soll. </w:t>
      </w:r>
    </w:p>
    <w:p w14:paraId="75AFA512" w14:textId="77777777" w:rsidR="005B6C70" w:rsidRPr="00DF29F0" w:rsidRDefault="005B6C70" w:rsidP="00EF4B00">
      <w:pPr>
        <w:rPr>
          <w:lang w:eastAsia="ja-JP"/>
        </w:rPr>
      </w:pPr>
    </w:p>
    <w:p w14:paraId="6E5C8D7C" w14:textId="77777777" w:rsidR="008B5290" w:rsidRPr="00DF29F0" w:rsidRDefault="006F3299">
      <w:pPr>
        <w:rPr>
          <w:lang w:eastAsia="ja-JP"/>
        </w:rPr>
      </w:pPr>
      <w:r w:rsidRPr="00DF29F0">
        <w:fldChar w:fldCharType="begin"/>
      </w:r>
      <w:r w:rsidRPr="00DF29F0">
        <w:instrText xml:space="preserve"> AUTONUM  </w:instrText>
      </w:r>
      <w:r w:rsidRPr="00DF29F0">
        <w:fldChar w:fldCharType="end"/>
      </w:r>
      <w:r w:rsidRPr="00DF29F0">
        <w:tab/>
      </w:r>
      <w:r w:rsidR="005B6C70" w:rsidRPr="00DF29F0">
        <w:rPr>
          <w:lang w:eastAsia="ja-JP"/>
        </w:rPr>
        <w:t>Die TWM vereinbarte, die UPOV-Mitglieder zu ersuchen, auf ihrer dritten Tagung über die bestehende Politik bezüglich der Vertraulichkeit molekularer Informationen zu berichten.</w:t>
      </w:r>
    </w:p>
    <w:p w14:paraId="6FACC841" w14:textId="77777777" w:rsidR="0010001A" w:rsidRPr="00DF29F0" w:rsidRDefault="0010001A" w:rsidP="00EF4B00">
      <w:pPr>
        <w:rPr>
          <w:lang w:eastAsia="ja-JP"/>
        </w:rPr>
      </w:pPr>
    </w:p>
    <w:bookmarkStart w:id="12" w:name="_Toc460313637"/>
    <w:p w14:paraId="528B4958" w14:textId="77777777" w:rsidR="008B5290" w:rsidRPr="00DF29F0" w:rsidRDefault="006F3299">
      <w:pPr>
        <w:tabs>
          <w:tab w:val="left" w:pos="5387"/>
        </w:tabs>
        <w:ind w:left="4820"/>
        <w:rPr>
          <w:i/>
          <w:snapToGrid w:val="0"/>
          <w:lang w:eastAsia="ja-JP"/>
        </w:rPr>
      </w:pPr>
      <w:r w:rsidRPr="00DF29F0">
        <w:rPr>
          <w:i/>
          <w:snapToGrid w:val="0"/>
          <w:lang w:eastAsia="ja-JP"/>
        </w:rPr>
        <w:fldChar w:fldCharType="begin"/>
      </w:r>
      <w:r w:rsidRPr="00DF29F0">
        <w:rPr>
          <w:i/>
          <w:snapToGrid w:val="0"/>
          <w:lang w:eastAsia="ja-JP"/>
        </w:rPr>
        <w:instrText xml:space="preserve"> AUTONUM  </w:instrText>
      </w:r>
      <w:r w:rsidRPr="00DF29F0">
        <w:rPr>
          <w:i/>
          <w:snapToGrid w:val="0"/>
          <w:lang w:eastAsia="ja-JP"/>
        </w:rPr>
        <w:fldChar w:fldCharType="end"/>
      </w:r>
      <w:r w:rsidRPr="00DF29F0">
        <w:rPr>
          <w:i/>
          <w:snapToGrid w:val="0"/>
          <w:lang w:eastAsia="ja-JP"/>
        </w:rPr>
        <w:tab/>
        <w:t xml:space="preserve">Der TC wird ersucht, </w:t>
      </w:r>
      <w:r w:rsidR="00E33B89" w:rsidRPr="00DF29F0">
        <w:rPr>
          <w:i/>
          <w:snapToGrid w:val="0"/>
          <w:lang w:eastAsia="ja-JP"/>
        </w:rPr>
        <w:t>das Ersuchen der Züchterorganisationen um Ausarbeitung einer Anleitung in der UPOV zur Vertraulichkeit molekularer Daten und das Angebot, einen Entwurf einer Mustervorlage für eine Vereinbarung vorzuschlagen, der auf der dritten Tagung der TWM vorgelegt werden soll, zur Kenntnis zu nehmen.</w:t>
      </w:r>
    </w:p>
    <w:p w14:paraId="448985D1" w14:textId="77777777" w:rsidR="003012FA" w:rsidRPr="00DF29F0" w:rsidRDefault="003012FA" w:rsidP="00EF4B00">
      <w:pPr>
        <w:rPr>
          <w:snapToGrid w:val="0"/>
          <w:lang w:eastAsia="ja-JP"/>
        </w:rPr>
      </w:pPr>
    </w:p>
    <w:p w14:paraId="6ADF7C63" w14:textId="77777777" w:rsidR="00825360" w:rsidRPr="00DF29F0" w:rsidRDefault="00825360" w:rsidP="00EF4B00">
      <w:pPr>
        <w:rPr>
          <w:snapToGrid w:val="0"/>
          <w:lang w:eastAsia="ja-JP"/>
        </w:rPr>
      </w:pPr>
    </w:p>
    <w:p w14:paraId="1AB3DD86" w14:textId="77777777" w:rsidR="008B5290" w:rsidRPr="00DF29F0" w:rsidRDefault="006F3299">
      <w:pPr>
        <w:pStyle w:val="Heading1"/>
        <w:rPr>
          <w:snapToGrid w:val="0"/>
          <w:lang w:val="de-DE" w:eastAsia="ja-JP"/>
        </w:rPr>
      </w:pPr>
      <w:bookmarkStart w:id="13" w:name="_Toc177773948"/>
      <w:bookmarkStart w:id="14" w:name="_Toc178245130"/>
      <w:r w:rsidRPr="00DF29F0">
        <w:rPr>
          <w:snapToGrid w:val="0"/>
          <w:lang w:val="de-DE" w:eastAsia="ja-JP"/>
        </w:rPr>
        <w:t>Fragen zur Information</w:t>
      </w:r>
      <w:bookmarkEnd w:id="13"/>
      <w:bookmarkEnd w:id="14"/>
    </w:p>
    <w:bookmarkEnd w:id="12"/>
    <w:p w14:paraId="01462564" w14:textId="77777777" w:rsidR="00EF4B00" w:rsidRPr="00DF29F0" w:rsidRDefault="00EF4B00" w:rsidP="00975B88">
      <w:pPr>
        <w:keepNext/>
        <w:jc w:val="left"/>
      </w:pPr>
    </w:p>
    <w:p w14:paraId="7B151A48" w14:textId="7AE8C7B5" w:rsidR="008B5290" w:rsidRPr="00DF29F0" w:rsidRDefault="006F3299">
      <w:pPr>
        <w:pStyle w:val="Heading2"/>
        <w:rPr>
          <w:lang w:val="de-DE"/>
        </w:rPr>
      </w:pPr>
      <w:bookmarkStart w:id="15" w:name="_Toc178245131"/>
      <w:r w:rsidRPr="00DF29F0">
        <w:rPr>
          <w:lang w:val="de-DE"/>
        </w:rPr>
        <w:t xml:space="preserve">Entwicklungen auf der zweiten Tagung der Technischen </w:t>
      </w:r>
      <w:r w:rsidR="00E44C4F" w:rsidRPr="00DF29F0">
        <w:rPr>
          <w:lang w:val="de-DE"/>
        </w:rPr>
        <w:t xml:space="preserve">Arbeitsgruppe </w:t>
      </w:r>
      <w:r w:rsidRPr="00DF29F0">
        <w:rPr>
          <w:lang w:val="de-DE"/>
        </w:rPr>
        <w:t>für Prüfv</w:t>
      </w:r>
      <w:r w:rsidR="00CA39F2">
        <w:rPr>
          <w:lang w:val="de-DE"/>
        </w:rPr>
        <w:t>methoden</w:t>
      </w:r>
      <w:r w:rsidRPr="00DF29F0">
        <w:rPr>
          <w:lang w:val="de-DE"/>
        </w:rPr>
        <w:t xml:space="preserve"> und -techniken (</w:t>
      </w:r>
      <w:r w:rsidR="00E44C4F" w:rsidRPr="00DF29F0">
        <w:rPr>
          <w:lang w:val="de-DE"/>
        </w:rPr>
        <w:t>TWM)</w:t>
      </w:r>
      <w:bookmarkEnd w:id="15"/>
    </w:p>
    <w:p w14:paraId="739E3BC2" w14:textId="77777777" w:rsidR="00EF4B00" w:rsidRPr="00DF29F0" w:rsidRDefault="00EF4B00" w:rsidP="00975B88">
      <w:pPr>
        <w:keepNext/>
        <w:jc w:val="left"/>
      </w:pPr>
    </w:p>
    <w:p w14:paraId="186773BF" w14:textId="0C452DF0" w:rsidR="008B5290" w:rsidRPr="00DF29F0" w:rsidRDefault="006F3299">
      <w:r w:rsidRPr="00DF29F0">
        <w:fldChar w:fldCharType="begin"/>
      </w:r>
      <w:r w:rsidRPr="00DF29F0">
        <w:instrText xml:space="preserve"> AUTONUM  </w:instrText>
      </w:r>
      <w:r w:rsidRPr="00DF29F0">
        <w:fldChar w:fldCharType="end"/>
      </w:r>
      <w:r w:rsidRPr="00DF29F0">
        <w:tab/>
        <w:t xml:space="preserve">Die TWM hielt ihre zweite Tagung vom 8. bis 11. April 2024 auf </w:t>
      </w:r>
      <w:r w:rsidR="00CA39F2">
        <w:t>elektronisch</w:t>
      </w:r>
      <w:r w:rsidRPr="00DF29F0">
        <w:t>em Wege ab.  In den folgenden Abschnitten wird über die Entwicklungen bei den molekularen Verfahren berichtet.</w:t>
      </w:r>
    </w:p>
    <w:p w14:paraId="53D01A03" w14:textId="77777777" w:rsidR="00A33FD0" w:rsidRPr="00DF29F0" w:rsidRDefault="00A33FD0" w:rsidP="00EF4B00"/>
    <w:p w14:paraId="7182C4B2" w14:textId="77777777" w:rsidR="008B5290" w:rsidRPr="00DF29F0" w:rsidRDefault="006F3299">
      <w:pPr>
        <w:pStyle w:val="Heading2"/>
        <w:rPr>
          <w:lang w:val="de-DE"/>
        </w:rPr>
      </w:pPr>
      <w:bookmarkStart w:id="16" w:name="_Toc177773954"/>
      <w:bookmarkStart w:id="17" w:name="_Toc178245132"/>
      <w:r w:rsidRPr="00DF29F0">
        <w:rPr>
          <w:lang w:val="de-DE"/>
        </w:rPr>
        <w:t>Entwicklungen in der Molekulartechnik und Bioinformatik</w:t>
      </w:r>
      <w:bookmarkEnd w:id="16"/>
      <w:bookmarkEnd w:id="17"/>
    </w:p>
    <w:p w14:paraId="40C0D82D" w14:textId="77777777" w:rsidR="00EF4B00" w:rsidRPr="00DF29F0" w:rsidRDefault="00EF4B00" w:rsidP="00EF4B00">
      <w:pPr>
        <w:pStyle w:val="Heading3"/>
        <w:rPr>
          <w:lang w:val="de-DE"/>
        </w:rPr>
      </w:pPr>
    </w:p>
    <w:p w14:paraId="41320566" w14:textId="77777777" w:rsidR="008B5290" w:rsidRPr="00DF29F0" w:rsidRDefault="006F3299">
      <w:pPr>
        <w:pStyle w:val="Heading3"/>
        <w:rPr>
          <w:lang w:val="de-DE"/>
        </w:rPr>
      </w:pPr>
      <w:bookmarkStart w:id="18" w:name="_Toc177773955"/>
      <w:bookmarkStart w:id="19" w:name="_Toc178245133"/>
      <w:r w:rsidRPr="00DF29F0">
        <w:rPr>
          <w:lang w:val="de-DE"/>
        </w:rPr>
        <w:t>Neueste Entwicklungen in der Molekulartechnik und Bioinformatik</w:t>
      </w:r>
      <w:bookmarkEnd w:id="19"/>
      <w:r w:rsidRPr="00DF29F0">
        <w:rPr>
          <w:lang w:val="de-DE"/>
        </w:rPr>
        <w:t xml:space="preserve"> </w:t>
      </w:r>
      <w:bookmarkEnd w:id="18"/>
    </w:p>
    <w:p w14:paraId="3705E5BC" w14:textId="77777777" w:rsidR="00EF4B00" w:rsidRPr="00DF29F0" w:rsidRDefault="00EF4B00" w:rsidP="00EF4B00">
      <w:pPr>
        <w:keepNext/>
      </w:pPr>
    </w:p>
    <w:p w14:paraId="784B224D" w14:textId="77777777" w:rsidR="008B5290" w:rsidRPr="00DF29F0" w:rsidRDefault="006F3299">
      <w:pPr>
        <w:pStyle w:val="Heading4"/>
        <w:rPr>
          <w:lang w:val="de-DE"/>
        </w:rPr>
      </w:pPr>
      <w:r w:rsidRPr="00DF29F0">
        <w:rPr>
          <w:lang w:val="de-DE"/>
        </w:rPr>
        <w:t>WIPO-Norm ST.26 - WIPO-Reihenfolge</w:t>
      </w:r>
    </w:p>
    <w:p w14:paraId="756FEF56" w14:textId="77777777" w:rsidR="00EF4B00" w:rsidRPr="00DF29F0" w:rsidRDefault="00EF4B00" w:rsidP="00EF4B00">
      <w:pPr>
        <w:keepNext/>
      </w:pPr>
    </w:p>
    <w:p w14:paraId="623DB0C0"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 xml:space="preserve">Die TWM hörte ein Referat von Frau Emma Francis, Weltorganisation für geistiges Eigentum (WIPO), über den "WIPO-Standard ST.26 - WIPO-Sequenz", von </w:t>
      </w:r>
      <w:r w:rsidR="00825360" w:rsidRPr="00DF29F0">
        <w:t>dem</w:t>
      </w:r>
      <w:r w:rsidR="00EF4B00" w:rsidRPr="00DF29F0">
        <w:t xml:space="preserve"> eine Kopie in Dokument TWM/2/15 enthalten ist.  </w:t>
      </w:r>
    </w:p>
    <w:p w14:paraId="73B28EFD" w14:textId="77777777" w:rsidR="00EF4B00" w:rsidRPr="00DF29F0" w:rsidRDefault="00EF4B00" w:rsidP="00EF4B00">
      <w:pPr>
        <w:pStyle w:val="ListParagraph"/>
        <w:ind w:left="0"/>
        <w:jc w:val="both"/>
      </w:pPr>
    </w:p>
    <w:p w14:paraId="24246690"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Die TWM nahm zur Kenntnis, daß Suchalgorithmen für Datenbanken entwickelt werden könnten, die Nucleotid- oder Aminosäureinformationen unter Verwendung des WIPO-Standarddatenformats ST.26, einschließlich Pflanzensortendaten, enthalten.</w:t>
      </w:r>
    </w:p>
    <w:p w14:paraId="237F7676" w14:textId="77777777" w:rsidR="0028168A" w:rsidRPr="00DF29F0" w:rsidRDefault="0028168A" w:rsidP="00EF4B00"/>
    <w:p w14:paraId="6BF03FAB" w14:textId="77777777" w:rsidR="008B5290" w:rsidRPr="00DF29F0" w:rsidRDefault="006F3299">
      <w:pPr>
        <w:pStyle w:val="Heading3"/>
        <w:rPr>
          <w:lang w:val="de-DE"/>
        </w:rPr>
      </w:pPr>
      <w:bookmarkStart w:id="20" w:name="_Toc177773956"/>
      <w:bookmarkStart w:id="21" w:name="_Toc178245134"/>
      <w:r w:rsidRPr="00DF29F0">
        <w:rPr>
          <w:lang w:val="de-DE"/>
        </w:rPr>
        <w:t>Zusammenarbeit zwischen internationalen Organisationen</w:t>
      </w:r>
      <w:bookmarkEnd w:id="20"/>
      <w:bookmarkEnd w:id="21"/>
    </w:p>
    <w:p w14:paraId="7AC762CD" w14:textId="77777777" w:rsidR="00EF4B00" w:rsidRPr="00DF29F0" w:rsidRDefault="00EF4B00" w:rsidP="00EF4B00">
      <w:pPr>
        <w:keepNext/>
      </w:pPr>
    </w:p>
    <w:p w14:paraId="4E265107" w14:textId="77777777" w:rsidR="008B5290" w:rsidRPr="00DF29F0" w:rsidRDefault="006F3299">
      <w:pPr>
        <w:pStyle w:val="Heading4"/>
        <w:rPr>
          <w:lang w:val="de-DE"/>
        </w:rPr>
      </w:pPr>
      <w:r w:rsidRPr="00DF29F0">
        <w:rPr>
          <w:lang w:val="de-DE"/>
        </w:rPr>
        <w:t>OECD</w:t>
      </w:r>
    </w:p>
    <w:p w14:paraId="2EFF4B71" w14:textId="77777777" w:rsidR="00EF4B00" w:rsidRPr="00DF29F0" w:rsidRDefault="00EF4B00" w:rsidP="00EF4B00">
      <w:pPr>
        <w:keepNext/>
      </w:pPr>
    </w:p>
    <w:p w14:paraId="12FDF5FC" w14:textId="77777777" w:rsidR="008B5290" w:rsidRPr="00DF29F0" w:rsidRDefault="006F3299">
      <w:pPr>
        <w:keepNext/>
      </w:pPr>
      <w:r w:rsidRPr="00DF29F0">
        <w:fldChar w:fldCharType="begin"/>
      </w:r>
      <w:r w:rsidRPr="00DF29F0">
        <w:instrText xml:space="preserve"> AUTONUM  </w:instrText>
      </w:r>
      <w:r w:rsidRPr="00DF29F0">
        <w:fldChar w:fldCharType="end"/>
      </w:r>
      <w:r w:rsidRPr="00DF29F0">
        <w:tab/>
      </w:r>
      <w:r w:rsidR="00EF4B00" w:rsidRPr="00DF29F0">
        <w:t xml:space="preserve">Die TWM hörte ein Referat von Herrn Csaba Gaspar, Organisation für wirtschaftliche Zusammenarbeit und Entwicklung (OECD), über "Neueste Entwicklungen bei der Anwendung der BMT im Rahmen der OECD-Saatgutsysteme", </w:t>
      </w:r>
      <w:r w:rsidR="00F07B06" w:rsidRPr="00DF29F0">
        <w:t xml:space="preserve">das </w:t>
      </w:r>
      <w:r w:rsidR="00EF4B00" w:rsidRPr="00DF29F0">
        <w:t xml:space="preserve">in Dokument TWM/2/19 wiedergegeben ist. </w:t>
      </w:r>
    </w:p>
    <w:p w14:paraId="33D28669" w14:textId="77777777" w:rsidR="00EF4B00" w:rsidRPr="00DF29F0" w:rsidRDefault="00EF4B00" w:rsidP="00EF4B00">
      <w:pPr>
        <w:pStyle w:val="ListParagraph"/>
        <w:ind w:left="0"/>
        <w:jc w:val="both"/>
      </w:pPr>
    </w:p>
    <w:p w14:paraId="2E7B3706"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Die TWM nahm die Verwendung molekularer Verfahren in den OECD-Saatgutsystemen als zusätzliches Verfahren für die Sortenidentifikation in Feldversuchen zur Kenntnis.</w:t>
      </w:r>
    </w:p>
    <w:p w14:paraId="47FAA298" w14:textId="77777777" w:rsidR="00EF4B00" w:rsidRPr="00DF29F0" w:rsidRDefault="00EF4B00" w:rsidP="00EF4B00">
      <w:pPr>
        <w:pStyle w:val="ListParagraph"/>
        <w:ind w:left="0"/>
        <w:jc w:val="both"/>
      </w:pPr>
    </w:p>
    <w:p w14:paraId="753C6AA5"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 xml:space="preserve">Die TWM nahm zur Kenntnis, daß die OECD die Bewertung von Merkmalen unter Verwendung der Bildanalyse prüfe und daß die Verwendung von Algorithmen der künstlichen Intelligenz in Zukunft in Betracht gezogen werden dürfte. </w:t>
      </w:r>
    </w:p>
    <w:p w14:paraId="29D43C72" w14:textId="77777777" w:rsidR="00EF4B00" w:rsidRPr="00DF29F0" w:rsidRDefault="00EF4B00" w:rsidP="00EF4B00"/>
    <w:p w14:paraId="4E1FA8AC" w14:textId="77777777" w:rsidR="008B5290" w:rsidRPr="00DF29F0" w:rsidRDefault="006F3299">
      <w:pPr>
        <w:pStyle w:val="Heading4"/>
        <w:rPr>
          <w:lang w:val="de-DE"/>
        </w:rPr>
      </w:pPr>
      <w:r w:rsidRPr="00DF29F0">
        <w:rPr>
          <w:lang w:val="de-DE"/>
        </w:rPr>
        <w:t>ISTA</w:t>
      </w:r>
    </w:p>
    <w:p w14:paraId="2F969E5C" w14:textId="77777777" w:rsidR="00EF4B00" w:rsidRPr="00DF29F0" w:rsidRDefault="00EF4B00" w:rsidP="00EF4B00"/>
    <w:p w14:paraId="4045FB06"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 xml:space="preserve">Die TWM hörte ein Referat von Frau Ana Laura Vicario, Internationale Vereinigung für Saatgutprüfung (ISTA), über den "ISTA-Bericht über die Anwendung molekularer Verfahren", von </w:t>
      </w:r>
      <w:r w:rsidR="00F07B06" w:rsidRPr="00DF29F0">
        <w:t>dem</w:t>
      </w:r>
      <w:r w:rsidR="00EF4B00" w:rsidRPr="00DF29F0">
        <w:t xml:space="preserve"> eine Kopie in Dokument TWM/2/18 enthalten ist. </w:t>
      </w:r>
    </w:p>
    <w:p w14:paraId="57BBF995" w14:textId="77777777" w:rsidR="00EF4B00" w:rsidRPr="00DF29F0" w:rsidRDefault="00EF4B00" w:rsidP="00EF4B00">
      <w:pPr>
        <w:pStyle w:val="ListParagraph"/>
        <w:ind w:left="0"/>
        <w:jc w:val="both"/>
      </w:pPr>
    </w:p>
    <w:p w14:paraId="6162B240"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Die TWM nahm die Einladung an interessierte Sachverständige zur Teilnahme an den Tätigkeiten des ISTA-Sortenausschusses zur Kenntnis.</w:t>
      </w:r>
    </w:p>
    <w:p w14:paraId="225D3B63" w14:textId="77777777" w:rsidR="00EF4B00" w:rsidRPr="00DF29F0" w:rsidRDefault="00EF4B00" w:rsidP="00EF4B00">
      <w:pPr>
        <w:pStyle w:val="ListParagraph"/>
        <w:ind w:left="0"/>
        <w:jc w:val="both"/>
      </w:pPr>
    </w:p>
    <w:p w14:paraId="6DBBFB49"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 xml:space="preserve">Die TWM dankte der OECD und der ISTA für die Berichterstattung </w:t>
      </w:r>
      <w:r w:rsidR="00F07B06" w:rsidRPr="00DF29F0">
        <w:t xml:space="preserve">über die </w:t>
      </w:r>
      <w:r w:rsidR="00EF4B00" w:rsidRPr="00DF29F0">
        <w:t>Entwicklungen bei der Anwendung molekularer Verfahren in ihren jeweiligen Organisationen.</w:t>
      </w:r>
    </w:p>
    <w:p w14:paraId="5FA413CE" w14:textId="77777777" w:rsidR="00EF4B00" w:rsidRPr="00DF29F0" w:rsidRDefault="00EF4B00" w:rsidP="00EF4B00">
      <w:pPr>
        <w:pStyle w:val="ListParagraph"/>
        <w:ind w:left="0"/>
        <w:jc w:val="both"/>
      </w:pPr>
    </w:p>
    <w:p w14:paraId="3498C271"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Die TWM nahm die Einladung der UPOV zur Kenntnis, künftig eine gemeinsame Arbeitstagung der OECD, der ISTA und der UPOV zu veranstalten, um die Anwendung molekularer Verfahren in jeder Organisation zu erörtern und eine weitere Zusammenarbeit in diesem Bereich zu untersuchen.</w:t>
      </w:r>
    </w:p>
    <w:p w14:paraId="63684583" w14:textId="77777777" w:rsidR="007C0689" w:rsidRPr="00DF29F0" w:rsidRDefault="007C0689" w:rsidP="00EF4B00">
      <w:pPr>
        <w:pStyle w:val="ListParagraph"/>
        <w:ind w:left="0"/>
        <w:jc w:val="both"/>
      </w:pPr>
    </w:p>
    <w:p w14:paraId="323F91FA" w14:textId="77777777" w:rsidR="008B5290" w:rsidRPr="00DF29F0" w:rsidRDefault="006F3299">
      <w:pPr>
        <w:pStyle w:val="Heading3"/>
        <w:rPr>
          <w:lang w:val="de-DE"/>
        </w:rPr>
      </w:pPr>
      <w:bookmarkStart w:id="22" w:name="_Toc177773957"/>
      <w:bookmarkStart w:id="23" w:name="_Toc178245135"/>
      <w:r w:rsidRPr="00DF29F0">
        <w:rPr>
          <w:lang w:val="de-DE"/>
        </w:rPr>
        <w:t xml:space="preserve">Bericht </w:t>
      </w:r>
      <w:r w:rsidR="00F07B06" w:rsidRPr="00DF29F0">
        <w:rPr>
          <w:lang w:val="de-DE"/>
        </w:rPr>
        <w:t xml:space="preserve">über </w:t>
      </w:r>
      <w:r w:rsidR="00263789" w:rsidRPr="00DF29F0">
        <w:rPr>
          <w:lang w:val="de-DE"/>
        </w:rPr>
        <w:t xml:space="preserve">die </w:t>
      </w:r>
      <w:r w:rsidRPr="00DF29F0">
        <w:rPr>
          <w:lang w:val="de-DE"/>
        </w:rPr>
        <w:t>Arbeit an molekularen Verfahren im Zusammenhang mit der DUS-Prüfung</w:t>
      </w:r>
      <w:bookmarkEnd w:id="22"/>
      <w:bookmarkEnd w:id="23"/>
    </w:p>
    <w:p w14:paraId="4BCFE010" w14:textId="77777777" w:rsidR="00EF4B00" w:rsidRPr="00DF29F0" w:rsidRDefault="00EF4B00" w:rsidP="00EF4B00"/>
    <w:p w14:paraId="00D3A127" w14:textId="77777777" w:rsidR="008B5290" w:rsidRPr="00DF29F0" w:rsidRDefault="006F3299">
      <w:pPr>
        <w:pStyle w:val="Heading4"/>
        <w:rPr>
          <w:lang w:val="de-DE"/>
        </w:rPr>
      </w:pPr>
      <w:r w:rsidRPr="00DF29F0">
        <w:rPr>
          <w:lang w:val="de-DE"/>
        </w:rPr>
        <w:t>Verwaltung von Referenzsammlungen mit Hilfe molekularer Marker: ein neuer Ansatz auf der Grundlage genomischer Vorhersagen</w:t>
      </w:r>
    </w:p>
    <w:p w14:paraId="51DA18C1" w14:textId="77777777" w:rsidR="00EF4B00" w:rsidRPr="00DF29F0" w:rsidRDefault="00EF4B00" w:rsidP="00EF4B00"/>
    <w:p w14:paraId="36F477CF" w14:textId="6989564D"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Die TWM prüfte das Dokument TWM/2/4 und hörte ein Referat von Herrn Adrian Roberts (Vereinigtes</w:t>
      </w:r>
      <w:r w:rsidR="00CA39F2">
        <w:t> </w:t>
      </w:r>
      <w:r w:rsidR="00EF4B00" w:rsidRPr="00DF29F0">
        <w:t xml:space="preserve">Königreich) über "Genomische Vorhersage für die Verwaltung von Vergleichssammlungen", </w:t>
      </w:r>
      <w:r w:rsidR="00EF4B00" w:rsidRPr="00DF29F0">
        <w:rPr>
          <w:rFonts w:cs="Arial"/>
          <w:iCs/>
        </w:rPr>
        <w:t xml:space="preserve">dessen Abschrift in Dokument </w:t>
      </w:r>
      <w:r w:rsidR="00EF4B00" w:rsidRPr="00DF29F0">
        <w:t xml:space="preserve">TWM/2/4 Add. </w:t>
      </w:r>
      <w:r w:rsidR="00EF4B00" w:rsidRPr="00DF29F0">
        <w:rPr>
          <w:rFonts w:cs="Arial"/>
          <w:iCs/>
        </w:rPr>
        <w:t>wiedergegeben ist</w:t>
      </w:r>
      <w:r w:rsidR="00EF4B00" w:rsidRPr="00DF29F0">
        <w:t>.</w:t>
      </w:r>
    </w:p>
    <w:p w14:paraId="5BA52161" w14:textId="77777777" w:rsidR="00EF4B00" w:rsidRPr="00DF29F0" w:rsidRDefault="00EF4B00" w:rsidP="00EF4B00">
      <w:pPr>
        <w:pStyle w:val="ListParagraph"/>
        <w:ind w:left="0"/>
        <w:jc w:val="both"/>
      </w:pPr>
    </w:p>
    <w:p w14:paraId="68FE76A1" w14:textId="77777777" w:rsidR="008B5290" w:rsidRPr="00DF29F0" w:rsidRDefault="006F3299">
      <w:r w:rsidRPr="00DF29F0">
        <w:lastRenderedPageBreak/>
        <w:fldChar w:fldCharType="begin"/>
      </w:r>
      <w:r w:rsidRPr="00DF29F0">
        <w:instrText xml:space="preserve"> AUTONUM  </w:instrText>
      </w:r>
      <w:r w:rsidRPr="00DF29F0">
        <w:fldChar w:fldCharType="end"/>
      </w:r>
      <w:r w:rsidRPr="00DF29F0">
        <w:tab/>
      </w:r>
      <w:r w:rsidR="00EF4B00" w:rsidRPr="00DF29F0">
        <w:t>Die TWM nahm zur Kenntnis, daß das genomische Vorhersageverfahren darauf abziele, Verbindungen zwischen molekularen Markern und der phänotypischen Ausprägung von Merkmalen bei Weidelgrassorten herzustellen, und daß es möglicherweise bei der Verwaltung von Sortensammlungen behilflich sein könnte.</w:t>
      </w:r>
    </w:p>
    <w:p w14:paraId="0519EA04" w14:textId="77777777" w:rsidR="00EF4B00" w:rsidRPr="00DF29F0" w:rsidRDefault="00EF4B00" w:rsidP="00EF4B00">
      <w:pPr>
        <w:pStyle w:val="ListParagraph"/>
        <w:ind w:left="0"/>
        <w:jc w:val="both"/>
      </w:pPr>
    </w:p>
    <w:p w14:paraId="4E3341AB"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 xml:space="preserve">Die TWM nahm zur Kenntnis, daß das genomische Vorhersageverfahren unter Verwendung von Daten aus einem einzigen Prüfungsstandort entwickelt worden sei und bei anderen Pflanzen, für die Daten aus verschiedenen Standorten verfügbar seien, weiter bewertet werden werde. </w:t>
      </w:r>
    </w:p>
    <w:p w14:paraId="1F6B0907" w14:textId="77777777" w:rsidR="00EF4B00" w:rsidRPr="00DF29F0" w:rsidRDefault="00EF4B00" w:rsidP="00EF4B00"/>
    <w:p w14:paraId="68460517" w14:textId="77777777" w:rsidR="008B5290" w:rsidRPr="00DF29F0" w:rsidRDefault="006F3299">
      <w:pPr>
        <w:pStyle w:val="Heading4"/>
        <w:rPr>
          <w:lang w:val="de-DE"/>
        </w:rPr>
      </w:pPr>
      <w:r w:rsidRPr="00DF29F0">
        <w:rPr>
          <w:lang w:val="de-DE"/>
        </w:rPr>
        <w:t>Prüfung der Homogenität anhand molekularer Marker</w:t>
      </w:r>
    </w:p>
    <w:p w14:paraId="613E425B" w14:textId="77777777" w:rsidR="00EF4B00" w:rsidRPr="00DF29F0" w:rsidRDefault="00EF4B00" w:rsidP="00EF4B00"/>
    <w:p w14:paraId="2C8498B1"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 xml:space="preserve">Die TWM prüfte das Dokument TWM/2/5 und hörte ein Referat von Herrn Adrian Roberts (Vereinigtes Königreich) über die "Prüfung der Homogenität anhand molekularer Marker", </w:t>
      </w:r>
      <w:r w:rsidR="00EF4B00" w:rsidRPr="00DF29F0">
        <w:rPr>
          <w:rFonts w:cs="Arial"/>
          <w:iCs/>
        </w:rPr>
        <w:t xml:space="preserve">dessen Abschrift in Dokument </w:t>
      </w:r>
      <w:r w:rsidR="00EF4B00" w:rsidRPr="00DF29F0">
        <w:t xml:space="preserve">TWM/2/5 Add. </w:t>
      </w:r>
      <w:r w:rsidR="00EF4B00" w:rsidRPr="00DF29F0">
        <w:rPr>
          <w:rFonts w:cs="Arial"/>
          <w:iCs/>
        </w:rPr>
        <w:t>wiedergegeben ist</w:t>
      </w:r>
      <w:r w:rsidR="00EF4B00" w:rsidRPr="00DF29F0">
        <w:t>.</w:t>
      </w:r>
    </w:p>
    <w:p w14:paraId="75E28CE6" w14:textId="77777777" w:rsidR="00EF4B00" w:rsidRPr="00DF29F0" w:rsidRDefault="00EF4B00" w:rsidP="00EF4B00">
      <w:pPr>
        <w:pStyle w:val="ListParagraph"/>
        <w:ind w:left="0"/>
        <w:jc w:val="both"/>
      </w:pPr>
    </w:p>
    <w:p w14:paraId="0F444227"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 xml:space="preserve">Die TWM merkte an, daß die Forschung zur Bewertung der genetischen Variabilität einer </w:t>
      </w:r>
      <w:r w:rsidR="00F07B06" w:rsidRPr="00DF29F0">
        <w:t xml:space="preserve">fremdbefruchtenden </w:t>
      </w:r>
      <w:r w:rsidR="00EF4B00" w:rsidRPr="00DF29F0">
        <w:t>Pflanze (Weidelgras) mit gemessenen Merkmalen durchgeführt und nicht auf pseudoqualitative Merkmale geprüft worden sei.</w:t>
      </w:r>
    </w:p>
    <w:p w14:paraId="48AA898A" w14:textId="77777777" w:rsidR="00EF4B00" w:rsidRPr="00DF29F0" w:rsidRDefault="00EF4B00" w:rsidP="00EF4B00">
      <w:pPr>
        <w:pStyle w:val="ListParagraph"/>
        <w:ind w:left="0"/>
        <w:jc w:val="both"/>
      </w:pPr>
    </w:p>
    <w:p w14:paraId="516B55E3"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Die TWM merkte an, daß die nächsten Schritte der Forschung den mit der Sequenzierungsmethodik verbundenen Meßfehler durch unabhängige Läufe mit derselben gepoolten Stichprobe untersuchen könnten.</w:t>
      </w:r>
    </w:p>
    <w:p w14:paraId="1DCACEBE" w14:textId="77777777" w:rsidR="00EF4B00" w:rsidRPr="00DF29F0" w:rsidRDefault="00EF4B00" w:rsidP="00EF4B00"/>
    <w:p w14:paraId="086A0A5F" w14:textId="77777777" w:rsidR="008B5290" w:rsidRPr="00DF29F0" w:rsidRDefault="006F3299">
      <w:pPr>
        <w:pStyle w:val="Heading4"/>
        <w:rPr>
          <w:lang w:val="de-DE"/>
        </w:rPr>
      </w:pPr>
      <w:r w:rsidRPr="00DF29F0">
        <w:rPr>
          <w:lang w:val="de-DE"/>
        </w:rPr>
        <w:t>Molekulare Ansätze zur Unterstützung der DUS-Prüfung</w:t>
      </w:r>
    </w:p>
    <w:p w14:paraId="671C8C97" w14:textId="77777777" w:rsidR="00EF4B00" w:rsidRPr="00DF29F0" w:rsidRDefault="00EF4B00" w:rsidP="00EF4B00"/>
    <w:p w14:paraId="4D4A71E5" w14:textId="1C0B5EF8"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Die TWM prüfte das Dokument TWM/2/6 und hörte ein Referat von Frau Vanessa McMillan (Vereinigtes</w:t>
      </w:r>
      <w:r w:rsidR="001C66A3">
        <w:t> </w:t>
      </w:r>
      <w:r w:rsidR="00EF4B00" w:rsidRPr="00DF29F0">
        <w:t xml:space="preserve">Königreich) über "Molekulare Ansätze zur Unterstützung der DUS-Prüfung", </w:t>
      </w:r>
      <w:r w:rsidR="00EF4B00" w:rsidRPr="00DF29F0">
        <w:rPr>
          <w:rFonts w:cs="Arial"/>
          <w:iCs/>
        </w:rPr>
        <w:t xml:space="preserve">von dem eine Kopie in Dokument </w:t>
      </w:r>
      <w:r w:rsidR="00EF4B00" w:rsidRPr="00DF29F0">
        <w:t xml:space="preserve">TWM/2/6 Add. </w:t>
      </w:r>
      <w:r w:rsidR="00EF4B00" w:rsidRPr="00DF29F0">
        <w:rPr>
          <w:rFonts w:cs="Arial"/>
          <w:iCs/>
        </w:rPr>
        <w:t>wiedergegeben ist</w:t>
      </w:r>
      <w:r w:rsidR="00EF4B00" w:rsidRPr="00DF29F0">
        <w:t>.</w:t>
      </w:r>
    </w:p>
    <w:p w14:paraId="3C002D64" w14:textId="77777777" w:rsidR="00EF4B00" w:rsidRPr="00DF29F0" w:rsidRDefault="00EF4B00" w:rsidP="00EF4B00">
      <w:pPr>
        <w:pStyle w:val="ListParagraph"/>
        <w:ind w:left="0"/>
        <w:jc w:val="both"/>
      </w:pPr>
    </w:p>
    <w:p w14:paraId="6DDA2EF1" w14:textId="10A074F4"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Die TWM nahm zur Kenntnis, daß bei Gerstensorten eine Korrelation zwischen Markern und Merkmalen von bis zu 75</w:t>
      </w:r>
      <w:r w:rsidR="00D804E1">
        <w:t>%</w:t>
      </w:r>
      <w:r w:rsidR="00EF4B00" w:rsidRPr="00DF29F0">
        <w:t xml:space="preserve"> erzielt worden sei, allerdings nicht in bezug auf DUS-Merkmale.  Die TWM nahm die Absicht zur Kenntnis, die im Rahmen des Projekts ermittelten molekularen Marker zu veröffentlichen, die auch für die Authentifizierung von neuem Saatgut von Sorten verwendet werden könnten.  Die TWM vereinbarte, den Sachverständigen aus dem Vereinigten Königreich einzuladen, auf ihrer dritten Tagung über den Fortschritt zu berichten.</w:t>
      </w:r>
    </w:p>
    <w:p w14:paraId="6647B6AE" w14:textId="77777777" w:rsidR="00EF4B00" w:rsidRPr="00DF29F0" w:rsidRDefault="00EF4B00" w:rsidP="00EF4B00"/>
    <w:p w14:paraId="68381709" w14:textId="77777777" w:rsidR="008B5290" w:rsidRPr="00DF29F0" w:rsidRDefault="006F3299">
      <w:pPr>
        <w:pStyle w:val="Heading4"/>
        <w:rPr>
          <w:lang w:val="de-DE"/>
        </w:rPr>
      </w:pPr>
      <w:r w:rsidRPr="00DF29F0">
        <w:rPr>
          <w:lang w:val="de-DE"/>
        </w:rPr>
        <w:t>F&amp;E-Aktivitäten des CPVO</w:t>
      </w:r>
    </w:p>
    <w:p w14:paraId="4AD8AEB4" w14:textId="77777777" w:rsidR="00EF4B00" w:rsidRPr="00DF29F0" w:rsidRDefault="00EF4B00" w:rsidP="00EF4B00">
      <w:pPr>
        <w:keepNext/>
      </w:pPr>
    </w:p>
    <w:p w14:paraId="75B30196" w14:textId="77777777" w:rsidR="008B5290" w:rsidRPr="00DF29F0" w:rsidRDefault="006F3299">
      <w:pPr>
        <w:keepNext/>
      </w:pPr>
      <w:r w:rsidRPr="00DF29F0">
        <w:fldChar w:fldCharType="begin"/>
      </w:r>
      <w:r w:rsidRPr="00DF29F0">
        <w:instrText xml:space="preserve"> AUTONUM  </w:instrText>
      </w:r>
      <w:r w:rsidRPr="00DF29F0">
        <w:fldChar w:fldCharType="end"/>
      </w:r>
      <w:r w:rsidRPr="00DF29F0">
        <w:tab/>
      </w:r>
      <w:r w:rsidR="00EF4B00" w:rsidRPr="00DF29F0">
        <w:t xml:space="preserve">Die TWM hörte ein Referat von Frau Cécile Collonnier (Europäische Union) über "CPVO-F&amp;E-Tätigkeiten", </w:t>
      </w:r>
      <w:r w:rsidRPr="00DF29F0">
        <w:t xml:space="preserve">das </w:t>
      </w:r>
      <w:r w:rsidR="00EF4B00" w:rsidRPr="00DF29F0">
        <w:t xml:space="preserve">in Dokument TWM/2/12 wiedergegeben ist. </w:t>
      </w:r>
    </w:p>
    <w:p w14:paraId="6F50BB4B" w14:textId="77777777" w:rsidR="00EF4B00" w:rsidRPr="00DF29F0" w:rsidRDefault="00EF4B00" w:rsidP="00EF4B00">
      <w:pPr>
        <w:pStyle w:val="ListParagraph"/>
        <w:ind w:left="0"/>
        <w:jc w:val="both"/>
      </w:pPr>
    </w:p>
    <w:p w14:paraId="072E2A5B"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 xml:space="preserve">Die TWM nahm die Beiträge der verschiedenen vorgestellten Projekte zur Kenntnis, insbesondere das Projekt INVITE, das im Jahr 2024 auslaufen wird. </w:t>
      </w:r>
    </w:p>
    <w:p w14:paraId="111B8D26" w14:textId="77777777" w:rsidR="00EF4B00" w:rsidRPr="00DF29F0" w:rsidRDefault="00EF4B00" w:rsidP="00EF4B00"/>
    <w:p w14:paraId="6902A519" w14:textId="77777777" w:rsidR="008B5290" w:rsidRPr="00DF29F0" w:rsidRDefault="006F3299">
      <w:pPr>
        <w:pStyle w:val="Heading4"/>
        <w:rPr>
          <w:lang w:val="de-DE"/>
        </w:rPr>
      </w:pPr>
      <w:r w:rsidRPr="00DF29F0">
        <w:rPr>
          <w:lang w:val="de-DE"/>
        </w:rPr>
        <w:t>Mais6H-60K: Ein genomweiter Einzelnukleotid-Polymorphismus-Array und seine Anwendung</w:t>
      </w:r>
    </w:p>
    <w:p w14:paraId="25849610" w14:textId="77777777" w:rsidR="00EF4B00" w:rsidRPr="00DF29F0" w:rsidRDefault="00EF4B00" w:rsidP="00EF4B00"/>
    <w:p w14:paraId="6A7D9F74"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 xml:space="preserve">Die TWM hörte ein Referat von Frau Hongli Tian (China) über "Maize6H-60K: Ein genomweiter Einzelnukleotid-Polymorphismus-Array und seine Anwendung", </w:t>
      </w:r>
      <w:r w:rsidRPr="00DF29F0">
        <w:t xml:space="preserve">das </w:t>
      </w:r>
      <w:r w:rsidR="00EF4B00" w:rsidRPr="00DF29F0">
        <w:t xml:space="preserve">in Dokument TWM/2/16 wiedergegeben ist. </w:t>
      </w:r>
    </w:p>
    <w:p w14:paraId="705B1575" w14:textId="77777777" w:rsidR="00EF4B00" w:rsidRPr="00DF29F0" w:rsidRDefault="00EF4B00" w:rsidP="00EF4B00">
      <w:pPr>
        <w:pStyle w:val="ListParagraph"/>
        <w:ind w:left="0"/>
        <w:contextualSpacing w:val="0"/>
        <w:jc w:val="both"/>
      </w:pPr>
    </w:p>
    <w:p w14:paraId="71530E0E" w14:textId="5DF59E51" w:rsidR="008B5290" w:rsidRPr="00DF29F0" w:rsidRDefault="006F3299">
      <w:pPr>
        <w:spacing w:before="60" w:after="60"/>
      </w:pPr>
      <w:r w:rsidRPr="00DF29F0">
        <w:fldChar w:fldCharType="begin"/>
      </w:r>
      <w:r w:rsidRPr="00DF29F0">
        <w:instrText xml:space="preserve"> AUTONUM  </w:instrText>
      </w:r>
      <w:r w:rsidRPr="00DF29F0">
        <w:fldChar w:fldCharType="end"/>
      </w:r>
      <w:r w:rsidRPr="00DF29F0">
        <w:tab/>
      </w:r>
      <w:r w:rsidR="00EF4B00" w:rsidRPr="00DF29F0">
        <w:t>Die TWM stellte fest, dass sich 21</w:t>
      </w:r>
      <w:r w:rsidR="00D804E1">
        <w:t>%</w:t>
      </w:r>
      <w:r w:rsidR="00EF4B00" w:rsidRPr="00DF29F0">
        <w:t xml:space="preserve"> der SNPs in dem Array in kodierenden Regionen des Genoms befinden, obwohl ihr Zusammenhang mit der Ausprägung von Merkmalen noch nicht identifiziert worden ist. </w:t>
      </w:r>
    </w:p>
    <w:p w14:paraId="1A4F264D" w14:textId="77777777" w:rsidR="00EF4B00" w:rsidRPr="00DF29F0" w:rsidRDefault="00EF4B00" w:rsidP="00EF4B00"/>
    <w:p w14:paraId="697D0B25" w14:textId="6AE78435" w:rsidR="008B5290" w:rsidRPr="00DF29F0" w:rsidRDefault="006F3299">
      <w:pPr>
        <w:pStyle w:val="Heading4"/>
        <w:rPr>
          <w:lang w:val="de-DE"/>
        </w:rPr>
      </w:pPr>
      <w:r w:rsidRPr="00DF29F0">
        <w:rPr>
          <w:lang w:val="de-DE"/>
        </w:rPr>
        <w:t xml:space="preserve">Richtlinien für die Validierung eines neuen merkmalsspezifischen molekularen Markerprotokolls für DUS-Studien als alternatives Verfahren für die </w:t>
      </w:r>
      <w:r w:rsidR="001C66A3">
        <w:rPr>
          <w:lang w:val="de-DE"/>
        </w:rPr>
        <w:t>Erfassung</w:t>
      </w:r>
    </w:p>
    <w:p w14:paraId="7D218CF7" w14:textId="77777777" w:rsidR="00EF4B00" w:rsidRPr="00DF29F0" w:rsidRDefault="00EF4B00" w:rsidP="00F07B06">
      <w:pPr>
        <w:keepNext/>
      </w:pPr>
    </w:p>
    <w:p w14:paraId="0B29C99C"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 xml:space="preserve">Die TWM hörte ein Referat von Frau Amandine LeVan (Frankreich) über "Richtlinien für die Validierung eines neuen merkmalspezifischen molekularen Markerprotokolls für DUS-Studien als alternatives Verfahren für die Erfassung", </w:t>
      </w:r>
      <w:r w:rsidR="00143B09" w:rsidRPr="00DF29F0">
        <w:t xml:space="preserve">das </w:t>
      </w:r>
      <w:r w:rsidR="00EF4B00" w:rsidRPr="00DF29F0">
        <w:t xml:space="preserve">in Dokument TWM/2/17 wiedergegeben ist. </w:t>
      </w:r>
    </w:p>
    <w:p w14:paraId="5D280C1C" w14:textId="77777777" w:rsidR="00EF4B00" w:rsidRPr="00DF29F0" w:rsidRDefault="00EF4B00" w:rsidP="00EF4B00">
      <w:pPr>
        <w:pStyle w:val="ListParagraph"/>
        <w:ind w:left="0"/>
        <w:jc w:val="both"/>
      </w:pPr>
    </w:p>
    <w:p w14:paraId="64656EFA"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Die TWM nahm zur Kenntnis, daß der Vorschlag von der TWV geprüft und dem TC auf seinen Tagungen im Jahr 2024 berichtet werden würde.</w:t>
      </w:r>
    </w:p>
    <w:p w14:paraId="225F60BD" w14:textId="77777777" w:rsidR="00795BFF" w:rsidRPr="00DF29F0" w:rsidRDefault="00795BFF" w:rsidP="00EF4B00">
      <w:pPr>
        <w:pStyle w:val="ListParagraph"/>
        <w:ind w:left="0"/>
        <w:jc w:val="both"/>
      </w:pPr>
    </w:p>
    <w:p w14:paraId="400EE610" w14:textId="77777777" w:rsidR="008B5290" w:rsidRPr="00DF29F0" w:rsidRDefault="006F3299">
      <w:pPr>
        <w:pStyle w:val="Heading3"/>
        <w:rPr>
          <w:lang w:val="de-DE"/>
        </w:rPr>
      </w:pPr>
      <w:bookmarkStart w:id="24" w:name="_Toc177773958"/>
      <w:bookmarkStart w:id="25" w:name="_Toc178245136"/>
      <w:r w:rsidRPr="00DF29F0">
        <w:rPr>
          <w:lang w:val="de-DE"/>
        </w:rPr>
        <w:lastRenderedPageBreak/>
        <w:t>Die Anwendung molekularer Verfahren bei der Sortenidentifikation</w:t>
      </w:r>
      <w:bookmarkEnd w:id="24"/>
      <w:bookmarkEnd w:id="25"/>
    </w:p>
    <w:p w14:paraId="169CBE85" w14:textId="77777777" w:rsidR="00EF4B00" w:rsidRPr="00DF29F0" w:rsidRDefault="00EF4B00" w:rsidP="00EF4B00">
      <w:pPr>
        <w:keepNext/>
      </w:pPr>
    </w:p>
    <w:p w14:paraId="1645AB77" w14:textId="77777777" w:rsidR="008B5290" w:rsidRPr="00DF29F0" w:rsidRDefault="006F3299">
      <w:pPr>
        <w:pStyle w:val="Heading4"/>
        <w:rPr>
          <w:lang w:val="de-DE"/>
        </w:rPr>
      </w:pPr>
      <w:r w:rsidRPr="00DF29F0">
        <w:rPr>
          <w:lang w:val="de-DE"/>
        </w:rPr>
        <w:t>Verwendung von auf künstlicher Intelligenz basierenden Markern für die Rückverfolgbarkeit von Sorten</w:t>
      </w:r>
    </w:p>
    <w:p w14:paraId="09CFC216" w14:textId="77777777" w:rsidR="00EF4B00" w:rsidRPr="00DF29F0" w:rsidRDefault="00EF4B00" w:rsidP="00EF4B00">
      <w:pPr>
        <w:keepNext/>
      </w:pPr>
    </w:p>
    <w:p w14:paraId="02556EE8" w14:textId="77777777" w:rsidR="008B5290" w:rsidRPr="00DF29F0" w:rsidRDefault="006F3299">
      <w:pPr>
        <w:keepNext/>
      </w:pPr>
      <w:r w:rsidRPr="00DF29F0">
        <w:fldChar w:fldCharType="begin"/>
      </w:r>
      <w:r w:rsidRPr="00DF29F0">
        <w:instrText xml:space="preserve"> AUTONUM  </w:instrText>
      </w:r>
      <w:r w:rsidRPr="00DF29F0">
        <w:fldChar w:fldCharType="end"/>
      </w:r>
      <w:r w:rsidRPr="00DF29F0">
        <w:tab/>
      </w:r>
      <w:r w:rsidR="00EF4B00" w:rsidRPr="00DF29F0">
        <w:t xml:space="preserve">Die TWM hörte ein Referat von Frau Ana Laura Vicario (Argentinien) über die "Verwendung von auf künstlicher Intelligenz beruhenden Markern für die Rückverfolgbarkeit von Sorten", </w:t>
      </w:r>
      <w:r w:rsidR="00143B09" w:rsidRPr="00DF29F0">
        <w:t xml:space="preserve">das </w:t>
      </w:r>
      <w:r w:rsidR="00EF4B00" w:rsidRPr="00DF29F0">
        <w:t xml:space="preserve">in Dokument TWM/2/9 wiedergegeben ist. </w:t>
      </w:r>
    </w:p>
    <w:p w14:paraId="228C7481" w14:textId="77777777" w:rsidR="00EF4B00" w:rsidRPr="00DF29F0" w:rsidRDefault="00EF4B00" w:rsidP="00EF4B00">
      <w:pPr>
        <w:pStyle w:val="ListParagraph"/>
        <w:ind w:left="0"/>
        <w:jc w:val="both"/>
      </w:pPr>
    </w:p>
    <w:p w14:paraId="015E3184"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Die TWM nahm zur Kenntnis, daß die Technologie bei Routineverfahren für die Marktkontrolle und die Rückverfolgbarkeit von Gersten- und Weizensorten in Argentinien eingesetzt werde.  Die TWM nahm zur Kenntnis, daß die Technologie für Sojabohnensorten entwickelt werde.</w:t>
      </w:r>
    </w:p>
    <w:p w14:paraId="159E455C" w14:textId="77777777" w:rsidR="00EF4B00" w:rsidRPr="00DF29F0" w:rsidRDefault="00EF4B00" w:rsidP="00EF4B00">
      <w:pPr>
        <w:pStyle w:val="ListParagraph"/>
        <w:ind w:left="0"/>
        <w:jc w:val="both"/>
      </w:pPr>
    </w:p>
    <w:p w14:paraId="73D79AEF"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Die TWM merkte an, daß der verwendete Algorithmus eindeutige Muster für jede Sorte aufgrund der Samenmorphologie erstellt.  Die TWM merkte an, daß die Schwellenwerte für die Entscheidungsfindung und den akzeptierten Fehler angepaßt werden könnten, um die Analyse der Sortenreinheit zu ermöglichen.</w:t>
      </w:r>
    </w:p>
    <w:p w14:paraId="315FB73A" w14:textId="77777777" w:rsidR="00EF4B00" w:rsidRPr="00DF29F0" w:rsidRDefault="00EF4B00" w:rsidP="00EF4B00"/>
    <w:p w14:paraId="4004F99F" w14:textId="77777777" w:rsidR="008B5290" w:rsidRPr="00DF29F0" w:rsidRDefault="006F3299">
      <w:pPr>
        <w:pStyle w:val="Heading4"/>
        <w:rPr>
          <w:lang w:val="de-DE"/>
        </w:rPr>
      </w:pPr>
      <w:r w:rsidRPr="00DF29F0">
        <w:rPr>
          <w:lang w:val="de-DE"/>
        </w:rPr>
        <w:t>LociScan, ein Tool für das Screening genetischer Markerkombinationen zur Unterscheidung von Pflanzensorten</w:t>
      </w:r>
    </w:p>
    <w:p w14:paraId="19E92287" w14:textId="77777777" w:rsidR="00EF4B00" w:rsidRPr="00DF29F0" w:rsidRDefault="00EF4B00" w:rsidP="00EF4B00"/>
    <w:p w14:paraId="1FDE5FC0"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 xml:space="preserve">Die TWM hörte ein Referat von Herrn Yang Yang (China) über "LociScan, ein Instrument für das Screening genetischer Markerkombinationen für die Unterscheidung von Pflanzensorten", </w:t>
      </w:r>
      <w:r w:rsidR="00DB0627" w:rsidRPr="00DF29F0">
        <w:t xml:space="preserve">das </w:t>
      </w:r>
      <w:r w:rsidR="00EF4B00" w:rsidRPr="00DF29F0">
        <w:t xml:space="preserve">in Dokument TWM/2/14 wiedergegeben ist. </w:t>
      </w:r>
    </w:p>
    <w:p w14:paraId="310BFFE6" w14:textId="77777777" w:rsidR="00EF4B00" w:rsidRPr="00DF29F0" w:rsidRDefault="00EF4B00" w:rsidP="00EF4B00"/>
    <w:p w14:paraId="3464E868"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Die TWM nahm zur Kenntnis, daß das Software-Tool LociScan Kombinationen von Markersätzen identifiziere, um die Anzahl der für die Unterscheidung von Sorten erforderlichen Marker zu optimieren.  Die TWM merkte an, daß die vom Tool benötigte Analysezeit von der Anzahl der verarbeiteten Proben und nicht von der Anzahl der verwendeten Marker beeinflußt werde.</w:t>
      </w:r>
    </w:p>
    <w:p w14:paraId="1E34AD0F" w14:textId="77777777" w:rsidR="00EF4B00" w:rsidRPr="00DF29F0" w:rsidRDefault="00EF4B00" w:rsidP="00EF4B00"/>
    <w:p w14:paraId="65DFD2AB" w14:textId="77777777" w:rsidR="008B5290" w:rsidRPr="00DF29F0" w:rsidRDefault="006F3299">
      <w:r w:rsidRPr="00DF29F0">
        <w:fldChar w:fldCharType="begin"/>
      </w:r>
      <w:r w:rsidRPr="00DF29F0">
        <w:instrText xml:space="preserve"> AUTONUM  </w:instrText>
      </w:r>
      <w:r w:rsidRPr="00DF29F0">
        <w:fldChar w:fldCharType="end"/>
      </w:r>
      <w:r w:rsidRPr="00DF29F0">
        <w:tab/>
      </w:r>
      <w:r w:rsidR="00EF4B00" w:rsidRPr="00DF29F0">
        <w:t>Die TWM nahm zur Kenntnis, daß das Software-Tool LociScan zum Testen zur Verfügung stehe, und vereinbarte, interessierte Sachverständige einzuladen, das Tool zu testen und dem Sachverständigen aus China über die Ergebnisse zu berichten.</w:t>
      </w:r>
    </w:p>
    <w:p w14:paraId="56A1C921" w14:textId="77777777" w:rsidR="00EF4B00" w:rsidRPr="00DF29F0" w:rsidRDefault="00EF4B00" w:rsidP="00EF4B00">
      <w:pPr>
        <w:rPr>
          <w:u w:val="single"/>
        </w:rPr>
      </w:pPr>
    </w:p>
    <w:p w14:paraId="17ADDD1E" w14:textId="77777777" w:rsidR="008B5290" w:rsidRPr="00DF29F0" w:rsidRDefault="006F3299">
      <w:pPr>
        <w:tabs>
          <w:tab w:val="left" w:pos="5387"/>
        </w:tabs>
        <w:ind w:left="4820"/>
        <w:rPr>
          <w:i/>
          <w:iCs/>
          <w:lang w:eastAsia="ja-JP"/>
        </w:rPr>
      </w:pPr>
      <w:r w:rsidRPr="00DF29F0">
        <w:rPr>
          <w:i/>
          <w:iCs/>
          <w:lang w:eastAsia="ja-JP"/>
        </w:rPr>
        <w:fldChar w:fldCharType="begin"/>
      </w:r>
      <w:r w:rsidRPr="00DF29F0">
        <w:rPr>
          <w:i/>
          <w:iCs/>
          <w:lang w:eastAsia="ja-JP"/>
        </w:rPr>
        <w:instrText xml:space="preserve"> AUTONUM  </w:instrText>
      </w:r>
      <w:r w:rsidRPr="00DF29F0">
        <w:rPr>
          <w:i/>
          <w:iCs/>
          <w:lang w:eastAsia="ja-JP"/>
        </w:rPr>
        <w:fldChar w:fldCharType="end"/>
      </w:r>
      <w:r w:rsidRPr="00DF29F0">
        <w:rPr>
          <w:i/>
          <w:iCs/>
          <w:lang w:eastAsia="ja-JP"/>
        </w:rPr>
        <w:tab/>
        <w:t>Der TC und der CAJ werden ersucht, die in diesem Dokument enthaltenen Punkte zur Information zur Kenntnis zu nehmen.</w:t>
      </w:r>
    </w:p>
    <w:p w14:paraId="0408917B" w14:textId="77777777" w:rsidR="00E37133" w:rsidRPr="00DF29F0" w:rsidRDefault="00E37133" w:rsidP="00E37133"/>
    <w:p w14:paraId="57C1DD65" w14:textId="77777777" w:rsidR="00BA1D85" w:rsidRPr="00DF29F0" w:rsidRDefault="00BA1D85" w:rsidP="00EF4B00">
      <w:pPr>
        <w:rPr>
          <w:u w:val="single"/>
        </w:rPr>
      </w:pPr>
    </w:p>
    <w:p w14:paraId="435750FF" w14:textId="77777777" w:rsidR="00795BFF" w:rsidRPr="00DF29F0" w:rsidRDefault="00795BFF" w:rsidP="00EF4B00"/>
    <w:p w14:paraId="07CB104C" w14:textId="77777777" w:rsidR="008B5290" w:rsidRPr="00DF29F0" w:rsidRDefault="006F3299">
      <w:pPr>
        <w:jc w:val="right"/>
      </w:pPr>
      <w:r w:rsidRPr="00DF29F0">
        <w:t>[Anhang folgt]</w:t>
      </w:r>
    </w:p>
    <w:p w14:paraId="143CD5EE" w14:textId="77777777" w:rsidR="00EF4B00" w:rsidRPr="00DF29F0" w:rsidRDefault="00EF4B00" w:rsidP="00F16D33">
      <w:pPr>
        <w:pStyle w:val="ListParagraph"/>
        <w:ind w:left="360"/>
        <w:jc w:val="right"/>
      </w:pPr>
    </w:p>
    <w:p w14:paraId="7CE7C647" w14:textId="77777777" w:rsidR="00EF4B00" w:rsidRPr="00DF29F0" w:rsidRDefault="00EF4B00" w:rsidP="00EF4B00">
      <w:pPr>
        <w:pStyle w:val="ListParagraph"/>
        <w:ind w:left="360"/>
        <w:jc w:val="both"/>
      </w:pPr>
    </w:p>
    <w:p w14:paraId="62AE822F" w14:textId="77777777" w:rsidR="00550FF9" w:rsidRPr="00DF29F0" w:rsidRDefault="00550FF9" w:rsidP="00EF4B00">
      <w:pPr>
        <w:sectPr w:rsidR="00550FF9" w:rsidRPr="00DF29F0" w:rsidSect="0004198B">
          <w:headerReference w:type="default" r:id="rId9"/>
          <w:pgSz w:w="11907" w:h="16840" w:code="9"/>
          <w:pgMar w:top="510" w:right="1134" w:bottom="1134" w:left="1134" w:header="510" w:footer="680" w:gutter="0"/>
          <w:pgNumType w:start="1"/>
          <w:cols w:space="720"/>
          <w:titlePg/>
        </w:sectPr>
      </w:pPr>
    </w:p>
    <w:p w14:paraId="5BC53098" w14:textId="77777777" w:rsidR="008B5290" w:rsidRPr="00DF29F0" w:rsidRDefault="006F3299">
      <w:pPr>
        <w:jc w:val="center"/>
      </w:pPr>
      <w:r w:rsidRPr="00DF29F0">
        <w:lastRenderedPageBreak/>
        <w:t>AUSZUG AUS DOKUMENT TWV/58/9</w:t>
      </w:r>
    </w:p>
    <w:p w14:paraId="36E62A29" w14:textId="77777777" w:rsidR="005C3343" w:rsidRPr="00DF29F0" w:rsidRDefault="005C3343" w:rsidP="005C3343">
      <w:pPr>
        <w:jc w:val="center"/>
      </w:pPr>
    </w:p>
    <w:p w14:paraId="36EC32CC" w14:textId="3D366C5C" w:rsidR="008B5290" w:rsidRPr="00DF29F0" w:rsidRDefault="00ED7630">
      <w:pPr>
        <w:jc w:val="center"/>
      </w:pPr>
      <w:r>
        <w:t>RICHT</w:t>
      </w:r>
      <w:r w:rsidR="006F3299" w:rsidRPr="00DF29F0">
        <w:t xml:space="preserve">LINIEN FÜR DIE VALIDIERUNG EINES NEUEN MERKMALSSPEZIFISCHEN MOLEKULAREN MARKERPROTOKOLLS ALS ALTERNATIVE METHODE </w:t>
      </w:r>
      <w:r w:rsidR="00BC0598">
        <w:t>FÜR DIE</w:t>
      </w:r>
      <w:r w:rsidR="006F3299" w:rsidRPr="00DF29F0">
        <w:t xml:space="preserve"> </w:t>
      </w:r>
      <w:r>
        <w:t>ERFASSUNG</w:t>
      </w:r>
    </w:p>
    <w:p w14:paraId="1E659607" w14:textId="77777777" w:rsidR="005C3343" w:rsidRPr="00DF29F0" w:rsidRDefault="005C3343" w:rsidP="005C3343">
      <w:pPr>
        <w:jc w:val="center"/>
      </w:pPr>
      <w:bookmarkStart w:id="26" w:name="Prepared"/>
      <w:bookmarkEnd w:id="26"/>
    </w:p>
    <w:p w14:paraId="3A393CD2" w14:textId="77777777" w:rsidR="008B5290" w:rsidRPr="00DF29F0" w:rsidRDefault="006F3299">
      <w:pPr>
        <w:jc w:val="center"/>
        <w:rPr>
          <w:i/>
          <w:iCs/>
        </w:rPr>
      </w:pPr>
      <w:r w:rsidRPr="00DF29F0">
        <w:rPr>
          <w:i/>
          <w:iCs/>
        </w:rPr>
        <w:t>Von Experten aus Frankreich, Italien und dem Königreich der Niederlande erstelltes Dokument</w:t>
      </w:r>
    </w:p>
    <w:p w14:paraId="40DF198F" w14:textId="77777777" w:rsidR="005C3343" w:rsidRPr="00DF29F0" w:rsidRDefault="005C3343" w:rsidP="005C3343">
      <w:pPr>
        <w:jc w:val="center"/>
      </w:pPr>
    </w:p>
    <w:p w14:paraId="49E4518C" w14:textId="77777777" w:rsidR="008B5290" w:rsidRPr="00DF29F0" w:rsidRDefault="006F3299">
      <w:pPr>
        <w:jc w:val="center"/>
        <w:rPr>
          <w:i/>
          <w:iCs/>
          <w:color w:val="A6A6A6" w:themeColor="background1" w:themeShade="A6"/>
        </w:rPr>
      </w:pPr>
      <w:r w:rsidRPr="00DF29F0">
        <w:rPr>
          <w:i/>
          <w:iCs/>
          <w:color w:val="A6A6A6" w:themeColor="background1" w:themeShade="A6"/>
        </w:rPr>
        <w:t>Haftungsausschluss: Dieses Dokument stellt keine Politik oder Anleitung der UPOV dar.</w:t>
      </w:r>
    </w:p>
    <w:p w14:paraId="57195674" w14:textId="77777777" w:rsidR="005C3343" w:rsidRPr="00DF29F0" w:rsidRDefault="005C3343" w:rsidP="005C3343"/>
    <w:p w14:paraId="02167DE1" w14:textId="77777777" w:rsidR="005C3343" w:rsidRPr="00DF29F0" w:rsidRDefault="005C3343" w:rsidP="005C3343"/>
    <w:p w14:paraId="0FB71EF0" w14:textId="1BF68DCA" w:rsidR="007A71E8" w:rsidRDefault="00263789">
      <w:pPr>
        <w:pStyle w:val="TOC1"/>
        <w:rPr>
          <w:rFonts w:asciiTheme="minorHAnsi" w:eastAsiaTheme="minorEastAsia" w:hAnsiTheme="minorHAnsi" w:cstheme="minorBidi"/>
          <w:caps w:val="0"/>
          <w:noProof/>
          <w:kern w:val="2"/>
          <w:sz w:val="24"/>
          <w:szCs w:val="24"/>
          <w:lang w:val="en-GB" w:eastAsia="en-GB"/>
          <w14:ligatures w14:val="standardContextual"/>
        </w:rPr>
      </w:pPr>
      <w:r w:rsidRPr="00DF29F0">
        <w:fldChar w:fldCharType="begin"/>
      </w:r>
      <w:r w:rsidR="006F3299" w:rsidRPr="00DF29F0">
        <w:instrText xml:space="preserve"> TOC \u \t "Heading 1 Annex,1,Heading 2 Annex,2,Heading 3 Annex,3" </w:instrText>
      </w:r>
      <w:r w:rsidRPr="00DF29F0">
        <w:fldChar w:fldCharType="separate"/>
      </w:r>
      <w:r w:rsidR="007A71E8">
        <w:rPr>
          <w:noProof/>
        </w:rPr>
        <w:t>Zugehörige Dokumente</w:t>
      </w:r>
      <w:r w:rsidR="007A71E8">
        <w:rPr>
          <w:noProof/>
        </w:rPr>
        <w:tab/>
      </w:r>
      <w:r w:rsidR="007A71E8">
        <w:rPr>
          <w:noProof/>
        </w:rPr>
        <w:fldChar w:fldCharType="begin"/>
      </w:r>
      <w:r w:rsidR="007A71E8">
        <w:rPr>
          <w:noProof/>
        </w:rPr>
        <w:instrText xml:space="preserve"> PAGEREF _Toc178245679 \h </w:instrText>
      </w:r>
      <w:r w:rsidR="007A71E8">
        <w:rPr>
          <w:noProof/>
        </w:rPr>
      </w:r>
      <w:r w:rsidR="007A71E8">
        <w:rPr>
          <w:noProof/>
        </w:rPr>
        <w:fldChar w:fldCharType="separate"/>
      </w:r>
      <w:r w:rsidR="007A71E8">
        <w:rPr>
          <w:noProof/>
        </w:rPr>
        <w:t>1</w:t>
      </w:r>
      <w:r w:rsidR="007A71E8">
        <w:rPr>
          <w:noProof/>
        </w:rPr>
        <w:fldChar w:fldCharType="end"/>
      </w:r>
    </w:p>
    <w:p w14:paraId="7F2A95AE" w14:textId="7257A6B8" w:rsidR="007A71E8" w:rsidRDefault="007A71E8">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 xml:space="preserve">I. </w:t>
      </w:r>
      <w:r>
        <w:rPr>
          <w:rFonts w:asciiTheme="minorHAnsi" w:eastAsiaTheme="minorEastAsia" w:hAnsiTheme="minorHAnsi" w:cstheme="minorBidi"/>
          <w:caps w:val="0"/>
          <w:noProof/>
          <w:kern w:val="2"/>
          <w:sz w:val="24"/>
          <w:szCs w:val="24"/>
          <w:lang w:val="en-GB" w:eastAsia="en-GB"/>
          <w14:ligatures w14:val="standardContextual"/>
        </w:rPr>
        <w:tab/>
      </w:r>
      <w:r>
        <w:rPr>
          <w:noProof/>
        </w:rPr>
        <w:t>Zielsetzung dieser Richtlinien</w:t>
      </w:r>
      <w:r>
        <w:rPr>
          <w:noProof/>
        </w:rPr>
        <w:tab/>
      </w:r>
      <w:r>
        <w:rPr>
          <w:noProof/>
        </w:rPr>
        <w:fldChar w:fldCharType="begin"/>
      </w:r>
      <w:r>
        <w:rPr>
          <w:noProof/>
        </w:rPr>
        <w:instrText xml:space="preserve"> PAGEREF _Toc178245680 \h </w:instrText>
      </w:r>
      <w:r>
        <w:rPr>
          <w:noProof/>
        </w:rPr>
      </w:r>
      <w:r>
        <w:rPr>
          <w:noProof/>
        </w:rPr>
        <w:fldChar w:fldCharType="separate"/>
      </w:r>
      <w:r>
        <w:rPr>
          <w:noProof/>
        </w:rPr>
        <w:t>2</w:t>
      </w:r>
      <w:r>
        <w:rPr>
          <w:noProof/>
        </w:rPr>
        <w:fldChar w:fldCharType="end"/>
      </w:r>
    </w:p>
    <w:p w14:paraId="1FBD32C4" w14:textId="4DCFBEAA" w:rsidR="007A71E8" w:rsidRDefault="007A71E8">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 xml:space="preserve">II. </w:t>
      </w:r>
      <w:r>
        <w:rPr>
          <w:rFonts w:asciiTheme="minorHAnsi" w:eastAsiaTheme="minorEastAsia" w:hAnsiTheme="minorHAnsi" w:cstheme="minorBidi"/>
          <w:caps w:val="0"/>
          <w:noProof/>
          <w:kern w:val="2"/>
          <w:sz w:val="24"/>
          <w:szCs w:val="24"/>
          <w:lang w:val="en-GB" w:eastAsia="en-GB"/>
          <w14:ligatures w14:val="standardContextual"/>
        </w:rPr>
        <w:tab/>
      </w:r>
      <w:r>
        <w:rPr>
          <w:noProof/>
        </w:rPr>
        <w:t>Geltungsbereich dieser Richtlinien</w:t>
      </w:r>
      <w:r>
        <w:rPr>
          <w:noProof/>
        </w:rPr>
        <w:tab/>
      </w:r>
      <w:r>
        <w:rPr>
          <w:noProof/>
        </w:rPr>
        <w:fldChar w:fldCharType="begin"/>
      </w:r>
      <w:r>
        <w:rPr>
          <w:noProof/>
        </w:rPr>
        <w:instrText xml:space="preserve"> PAGEREF _Toc178245681 \h </w:instrText>
      </w:r>
      <w:r>
        <w:rPr>
          <w:noProof/>
        </w:rPr>
      </w:r>
      <w:r>
        <w:rPr>
          <w:noProof/>
        </w:rPr>
        <w:fldChar w:fldCharType="separate"/>
      </w:r>
      <w:r>
        <w:rPr>
          <w:noProof/>
        </w:rPr>
        <w:t>2</w:t>
      </w:r>
      <w:r>
        <w:rPr>
          <w:noProof/>
        </w:rPr>
        <w:fldChar w:fldCharType="end"/>
      </w:r>
    </w:p>
    <w:p w14:paraId="38515B1A" w14:textId="6558977A" w:rsidR="007A71E8" w:rsidRDefault="007A71E8">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 xml:space="preserve">III. </w:t>
      </w:r>
      <w:r>
        <w:rPr>
          <w:rFonts w:asciiTheme="minorHAnsi" w:eastAsiaTheme="minorEastAsia" w:hAnsiTheme="minorHAnsi" w:cstheme="minorBidi"/>
          <w:caps w:val="0"/>
          <w:noProof/>
          <w:kern w:val="2"/>
          <w:sz w:val="24"/>
          <w:szCs w:val="24"/>
          <w:lang w:val="en-GB" w:eastAsia="en-GB"/>
          <w14:ligatures w14:val="standardContextual"/>
        </w:rPr>
        <w:tab/>
      </w:r>
      <w:r>
        <w:rPr>
          <w:noProof/>
        </w:rPr>
        <w:t>Leistungskriterien für ein neues, auf molekularen Markern basierendes Protokoll</w:t>
      </w:r>
      <w:r>
        <w:rPr>
          <w:noProof/>
        </w:rPr>
        <w:tab/>
      </w:r>
      <w:r>
        <w:rPr>
          <w:noProof/>
        </w:rPr>
        <w:fldChar w:fldCharType="begin"/>
      </w:r>
      <w:r>
        <w:rPr>
          <w:noProof/>
        </w:rPr>
        <w:instrText xml:space="preserve"> PAGEREF _Toc178245682 \h </w:instrText>
      </w:r>
      <w:r>
        <w:rPr>
          <w:noProof/>
        </w:rPr>
      </w:r>
      <w:r>
        <w:rPr>
          <w:noProof/>
        </w:rPr>
        <w:fldChar w:fldCharType="separate"/>
      </w:r>
      <w:r>
        <w:rPr>
          <w:noProof/>
        </w:rPr>
        <w:t>2</w:t>
      </w:r>
      <w:r>
        <w:rPr>
          <w:noProof/>
        </w:rPr>
        <w:fldChar w:fldCharType="end"/>
      </w:r>
    </w:p>
    <w:p w14:paraId="2420BC61" w14:textId="129C605E" w:rsidR="007A71E8" w:rsidRDefault="007A71E8">
      <w:pPr>
        <w:pStyle w:val="TOC2"/>
        <w:rPr>
          <w:rFonts w:asciiTheme="minorHAnsi" w:eastAsiaTheme="minorEastAsia" w:hAnsiTheme="minorHAnsi" w:cstheme="minorBidi"/>
          <w:noProof/>
          <w:kern w:val="2"/>
          <w:sz w:val="24"/>
          <w:szCs w:val="24"/>
          <w:lang w:val="en-GB" w:eastAsia="en-GB"/>
          <w14:ligatures w14:val="standardContextual"/>
        </w:rPr>
      </w:pPr>
      <w:r w:rsidRPr="00545B1D">
        <w:rPr>
          <w:noProof/>
        </w:rPr>
        <w:t>Spezifität</w:t>
      </w:r>
      <w:r>
        <w:rPr>
          <w:noProof/>
        </w:rPr>
        <w:tab/>
      </w:r>
      <w:r>
        <w:rPr>
          <w:noProof/>
        </w:rPr>
        <w:fldChar w:fldCharType="begin"/>
      </w:r>
      <w:r>
        <w:rPr>
          <w:noProof/>
        </w:rPr>
        <w:instrText xml:space="preserve"> PAGEREF _Toc178245683 \h </w:instrText>
      </w:r>
      <w:r>
        <w:rPr>
          <w:noProof/>
        </w:rPr>
      </w:r>
      <w:r>
        <w:rPr>
          <w:noProof/>
        </w:rPr>
        <w:fldChar w:fldCharType="separate"/>
      </w:r>
      <w:r>
        <w:rPr>
          <w:noProof/>
        </w:rPr>
        <w:t>2</w:t>
      </w:r>
      <w:r>
        <w:rPr>
          <w:noProof/>
        </w:rPr>
        <w:fldChar w:fldCharType="end"/>
      </w:r>
    </w:p>
    <w:p w14:paraId="16E7971A" w14:textId="73A6ACF0" w:rsidR="007A71E8" w:rsidRDefault="007A71E8">
      <w:pPr>
        <w:pStyle w:val="TOC3"/>
        <w:rPr>
          <w:rFonts w:asciiTheme="minorHAnsi" w:eastAsiaTheme="minorEastAsia" w:hAnsiTheme="minorHAnsi" w:cstheme="minorBidi"/>
          <w:i w:val="0"/>
          <w:noProof/>
          <w:kern w:val="2"/>
          <w:sz w:val="24"/>
          <w:szCs w:val="24"/>
          <w:lang w:val="en-GB" w:eastAsia="en-GB"/>
          <w14:ligatures w14:val="standardContextual"/>
        </w:rPr>
      </w:pPr>
      <w:r w:rsidRPr="00545B1D">
        <w:rPr>
          <w:noProof/>
          <w:lang w:val="de-DE"/>
        </w:rPr>
        <w:t>Definition</w:t>
      </w:r>
      <w:r>
        <w:rPr>
          <w:noProof/>
        </w:rPr>
        <w:tab/>
      </w:r>
      <w:r>
        <w:rPr>
          <w:noProof/>
        </w:rPr>
        <w:fldChar w:fldCharType="begin"/>
      </w:r>
      <w:r>
        <w:rPr>
          <w:noProof/>
        </w:rPr>
        <w:instrText xml:space="preserve"> PAGEREF _Toc178245684 \h </w:instrText>
      </w:r>
      <w:r>
        <w:rPr>
          <w:noProof/>
        </w:rPr>
      </w:r>
      <w:r>
        <w:rPr>
          <w:noProof/>
        </w:rPr>
        <w:fldChar w:fldCharType="separate"/>
      </w:r>
      <w:r>
        <w:rPr>
          <w:noProof/>
        </w:rPr>
        <w:t>2</w:t>
      </w:r>
      <w:r>
        <w:rPr>
          <w:noProof/>
        </w:rPr>
        <w:fldChar w:fldCharType="end"/>
      </w:r>
    </w:p>
    <w:p w14:paraId="4D9C8D52" w14:textId="03372C85" w:rsidR="007A71E8" w:rsidRDefault="007A71E8">
      <w:pPr>
        <w:pStyle w:val="TOC3"/>
        <w:rPr>
          <w:rFonts w:asciiTheme="minorHAnsi" w:eastAsiaTheme="minorEastAsia" w:hAnsiTheme="minorHAnsi" w:cstheme="minorBidi"/>
          <w:i w:val="0"/>
          <w:noProof/>
          <w:kern w:val="2"/>
          <w:sz w:val="24"/>
          <w:szCs w:val="24"/>
          <w:lang w:val="en-GB" w:eastAsia="en-GB"/>
          <w14:ligatures w14:val="standardContextual"/>
        </w:rPr>
      </w:pPr>
      <w:r w:rsidRPr="00545B1D">
        <w:rPr>
          <w:noProof/>
          <w:lang w:val="de-DE"/>
        </w:rPr>
        <w:t>Anforderung</w:t>
      </w:r>
      <w:r>
        <w:rPr>
          <w:noProof/>
        </w:rPr>
        <w:tab/>
      </w:r>
      <w:r>
        <w:rPr>
          <w:noProof/>
        </w:rPr>
        <w:fldChar w:fldCharType="begin"/>
      </w:r>
      <w:r>
        <w:rPr>
          <w:noProof/>
        </w:rPr>
        <w:instrText xml:space="preserve"> PAGEREF _Toc178245685 \h </w:instrText>
      </w:r>
      <w:r>
        <w:rPr>
          <w:noProof/>
        </w:rPr>
      </w:r>
      <w:r>
        <w:rPr>
          <w:noProof/>
        </w:rPr>
        <w:fldChar w:fldCharType="separate"/>
      </w:r>
      <w:r>
        <w:rPr>
          <w:noProof/>
        </w:rPr>
        <w:t>2</w:t>
      </w:r>
      <w:r>
        <w:rPr>
          <w:noProof/>
        </w:rPr>
        <w:fldChar w:fldCharType="end"/>
      </w:r>
    </w:p>
    <w:p w14:paraId="09E66A92" w14:textId="2E5038C8" w:rsidR="007A71E8" w:rsidRDefault="007A71E8">
      <w:pPr>
        <w:pStyle w:val="TOC2"/>
        <w:rPr>
          <w:rFonts w:asciiTheme="minorHAnsi" w:eastAsiaTheme="minorEastAsia" w:hAnsiTheme="minorHAnsi" w:cstheme="minorBidi"/>
          <w:noProof/>
          <w:kern w:val="2"/>
          <w:sz w:val="24"/>
          <w:szCs w:val="24"/>
          <w:lang w:val="en-GB" w:eastAsia="en-GB"/>
          <w14:ligatures w14:val="standardContextual"/>
        </w:rPr>
      </w:pPr>
      <w:r w:rsidRPr="00545B1D">
        <w:rPr>
          <w:noProof/>
        </w:rPr>
        <w:t>Wie man sie bewertet</w:t>
      </w:r>
      <w:r>
        <w:rPr>
          <w:noProof/>
        </w:rPr>
        <w:tab/>
      </w:r>
      <w:r>
        <w:rPr>
          <w:noProof/>
        </w:rPr>
        <w:fldChar w:fldCharType="begin"/>
      </w:r>
      <w:r>
        <w:rPr>
          <w:noProof/>
        </w:rPr>
        <w:instrText xml:space="preserve"> PAGEREF _Toc178245686 \h </w:instrText>
      </w:r>
      <w:r>
        <w:rPr>
          <w:noProof/>
        </w:rPr>
      </w:r>
      <w:r>
        <w:rPr>
          <w:noProof/>
        </w:rPr>
        <w:fldChar w:fldCharType="separate"/>
      </w:r>
      <w:r>
        <w:rPr>
          <w:noProof/>
        </w:rPr>
        <w:t>2</w:t>
      </w:r>
      <w:r>
        <w:rPr>
          <w:noProof/>
        </w:rPr>
        <w:fldChar w:fldCharType="end"/>
      </w:r>
    </w:p>
    <w:p w14:paraId="6793061A" w14:textId="64484AC6" w:rsidR="007A71E8" w:rsidRDefault="007A71E8">
      <w:pPr>
        <w:pStyle w:val="TOC2"/>
        <w:rPr>
          <w:rFonts w:asciiTheme="minorHAnsi" w:eastAsiaTheme="minorEastAsia" w:hAnsiTheme="minorHAnsi" w:cstheme="minorBidi"/>
          <w:noProof/>
          <w:kern w:val="2"/>
          <w:sz w:val="24"/>
          <w:szCs w:val="24"/>
          <w:lang w:val="en-GB" w:eastAsia="en-GB"/>
          <w14:ligatures w14:val="standardContextual"/>
        </w:rPr>
      </w:pPr>
      <w:r w:rsidRPr="00545B1D">
        <w:rPr>
          <w:noProof/>
        </w:rPr>
        <w:t>Empfindlichkeit und Nachweisgrenze</w:t>
      </w:r>
      <w:r>
        <w:rPr>
          <w:noProof/>
        </w:rPr>
        <w:tab/>
      </w:r>
      <w:r>
        <w:rPr>
          <w:noProof/>
        </w:rPr>
        <w:fldChar w:fldCharType="begin"/>
      </w:r>
      <w:r>
        <w:rPr>
          <w:noProof/>
        </w:rPr>
        <w:instrText xml:space="preserve"> PAGEREF _Toc178245687 \h </w:instrText>
      </w:r>
      <w:r>
        <w:rPr>
          <w:noProof/>
        </w:rPr>
      </w:r>
      <w:r>
        <w:rPr>
          <w:noProof/>
        </w:rPr>
        <w:fldChar w:fldCharType="separate"/>
      </w:r>
      <w:r>
        <w:rPr>
          <w:noProof/>
        </w:rPr>
        <w:t>2</w:t>
      </w:r>
      <w:r>
        <w:rPr>
          <w:noProof/>
        </w:rPr>
        <w:fldChar w:fldCharType="end"/>
      </w:r>
    </w:p>
    <w:p w14:paraId="0E5E13F3" w14:textId="5D745489" w:rsidR="007A71E8" w:rsidRDefault="007A71E8">
      <w:pPr>
        <w:pStyle w:val="TOC3"/>
        <w:rPr>
          <w:rFonts w:asciiTheme="minorHAnsi" w:eastAsiaTheme="minorEastAsia" w:hAnsiTheme="minorHAnsi" w:cstheme="minorBidi"/>
          <w:i w:val="0"/>
          <w:noProof/>
          <w:kern w:val="2"/>
          <w:sz w:val="24"/>
          <w:szCs w:val="24"/>
          <w:lang w:val="en-GB" w:eastAsia="en-GB"/>
          <w14:ligatures w14:val="standardContextual"/>
        </w:rPr>
      </w:pPr>
      <w:r w:rsidRPr="00545B1D">
        <w:rPr>
          <w:noProof/>
          <w:lang w:val="de-DE"/>
        </w:rPr>
        <w:t>Definition</w:t>
      </w:r>
      <w:r>
        <w:rPr>
          <w:noProof/>
        </w:rPr>
        <w:tab/>
      </w:r>
      <w:r>
        <w:rPr>
          <w:noProof/>
        </w:rPr>
        <w:fldChar w:fldCharType="begin"/>
      </w:r>
      <w:r>
        <w:rPr>
          <w:noProof/>
        </w:rPr>
        <w:instrText xml:space="preserve"> PAGEREF _Toc178245688 \h </w:instrText>
      </w:r>
      <w:r>
        <w:rPr>
          <w:noProof/>
        </w:rPr>
      </w:r>
      <w:r>
        <w:rPr>
          <w:noProof/>
        </w:rPr>
        <w:fldChar w:fldCharType="separate"/>
      </w:r>
      <w:r>
        <w:rPr>
          <w:noProof/>
        </w:rPr>
        <w:t>2</w:t>
      </w:r>
      <w:r>
        <w:rPr>
          <w:noProof/>
        </w:rPr>
        <w:fldChar w:fldCharType="end"/>
      </w:r>
    </w:p>
    <w:p w14:paraId="4A301875" w14:textId="43D01427" w:rsidR="007A71E8" w:rsidRDefault="007A71E8">
      <w:pPr>
        <w:pStyle w:val="TOC3"/>
        <w:rPr>
          <w:rFonts w:asciiTheme="minorHAnsi" w:eastAsiaTheme="minorEastAsia" w:hAnsiTheme="minorHAnsi" w:cstheme="minorBidi"/>
          <w:i w:val="0"/>
          <w:noProof/>
          <w:kern w:val="2"/>
          <w:sz w:val="24"/>
          <w:szCs w:val="24"/>
          <w:lang w:val="en-GB" w:eastAsia="en-GB"/>
          <w14:ligatures w14:val="standardContextual"/>
        </w:rPr>
      </w:pPr>
      <w:r w:rsidRPr="00545B1D">
        <w:rPr>
          <w:noProof/>
          <w:lang w:val="de-DE"/>
        </w:rPr>
        <w:t>Anforderung</w:t>
      </w:r>
      <w:r>
        <w:rPr>
          <w:noProof/>
        </w:rPr>
        <w:tab/>
      </w:r>
      <w:r>
        <w:rPr>
          <w:noProof/>
        </w:rPr>
        <w:fldChar w:fldCharType="begin"/>
      </w:r>
      <w:r>
        <w:rPr>
          <w:noProof/>
        </w:rPr>
        <w:instrText xml:space="preserve"> PAGEREF _Toc178245689 \h </w:instrText>
      </w:r>
      <w:r>
        <w:rPr>
          <w:noProof/>
        </w:rPr>
      </w:r>
      <w:r>
        <w:rPr>
          <w:noProof/>
        </w:rPr>
        <w:fldChar w:fldCharType="separate"/>
      </w:r>
      <w:r>
        <w:rPr>
          <w:noProof/>
        </w:rPr>
        <w:t>3</w:t>
      </w:r>
      <w:r>
        <w:rPr>
          <w:noProof/>
        </w:rPr>
        <w:fldChar w:fldCharType="end"/>
      </w:r>
    </w:p>
    <w:p w14:paraId="32272FC6" w14:textId="3E6A3C63" w:rsidR="007A71E8" w:rsidRDefault="007A71E8">
      <w:pPr>
        <w:pStyle w:val="TOC2"/>
        <w:rPr>
          <w:rFonts w:asciiTheme="minorHAnsi" w:eastAsiaTheme="minorEastAsia" w:hAnsiTheme="minorHAnsi" w:cstheme="minorBidi"/>
          <w:noProof/>
          <w:kern w:val="2"/>
          <w:sz w:val="24"/>
          <w:szCs w:val="24"/>
          <w:lang w:val="en-GB" w:eastAsia="en-GB"/>
          <w14:ligatures w14:val="standardContextual"/>
        </w:rPr>
      </w:pPr>
      <w:r w:rsidRPr="00545B1D">
        <w:rPr>
          <w:noProof/>
        </w:rPr>
        <w:t>Reproduzierbarkeit</w:t>
      </w:r>
      <w:r>
        <w:rPr>
          <w:noProof/>
        </w:rPr>
        <w:tab/>
      </w:r>
      <w:r>
        <w:rPr>
          <w:noProof/>
        </w:rPr>
        <w:fldChar w:fldCharType="begin"/>
      </w:r>
      <w:r>
        <w:rPr>
          <w:noProof/>
        </w:rPr>
        <w:instrText xml:space="preserve"> PAGEREF _Toc178245690 \h </w:instrText>
      </w:r>
      <w:r>
        <w:rPr>
          <w:noProof/>
        </w:rPr>
      </w:r>
      <w:r>
        <w:rPr>
          <w:noProof/>
        </w:rPr>
        <w:fldChar w:fldCharType="separate"/>
      </w:r>
      <w:r>
        <w:rPr>
          <w:noProof/>
        </w:rPr>
        <w:t>3</w:t>
      </w:r>
      <w:r>
        <w:rPr>
          <w:noProof/>
        </w:rPr>
        <w:fldChar w:fldCharType="end"/>
      </w:r>
    </w:p>
    <w:p w14:paraId="24608EA8" w14:textId="41CA0476" w:rsidR="007A71E8" w:rsidRDefault="007A71E8">
      <w:pPr>
        <w:pStyle w:val="TOC3"/>
        <w:rPr>
          <w:rFonts w:asciiTheme="minorHAnsi" w:eastAsiaTheme="minorEastAsia" w:hAnsiTheme="minorHAnsi" w:cstheme="minorBidi"/>
          <w:i w:val="0"/>
          <w:noProof/>
          <w:kern w:val="2"/>
          <w:sz w:val="24"/>
          <w:szCs w:val="24"/>
          <w:lang w:val="en-GB" w:eastAsia="en-GB"/>
          <w14:ligatures w14:val="standardContextual"/>
        </w:rPr>
      </w:pPr>
      <w:r w:rsidRPr="00545B1D">
        <w:rPr>
          <w:noProof/>
          <w:lang w:val="de-DE"/>
        </w:rPr>
        <w:t xml:space="preserve">Definition </w:t>
      </w:r>
      <w:r w:rsidRPr="00545B1D">
        <w:rPr>
          <w:noProof/>
          <w:highlight w:val="yellow"/>
          <w:lang w:val="de-DE"/>
        </w:rPr>
        <w:t>(basierend auf ISO 16 577:2016)</w:t>
      </w:r>
      <w:r>
        <w:rPr>
          <w:noProof/>
        </w:rPr>
        <w:tab/>
      </w:r>
      <w:r>
        <w:rPr>
          <w:noProof/>
        </w:rPr>
        <w:fldChar w:fldCharType="begin"/>
      </w:r>
      <w:r>
        <w:rPr>
          <w:noProof/>
        </w:rPr>
        <w:instrText xml:space="preserve"> PAGEREF _Toc178245691 \h </w:instrText>
      </w:r>
      <w:r>
        <w:rPr>
          <w:noProof/>
        </w:rPr>
      </w:r>
      <w:r>
        <w:rPr>
          <w:noProof/>
        </w:rPr>
        <w:fldChar w:fldCharType="separate"/>
      </w:r>
      <w:r>
        <w:rPr>
          <w:noProof/>
        </w:rPr>
        <w:t>3</w:t>
      </w:r>
      <w:r>
        <w:rPr>
          <w:noProof/>
        </w:rPr>
        <w:fldChar w:fldCharType="end"/>
      </w:r>
    </w:p>
    <w:p w14:paraId="274D80B3" w14:textId="17AD789E" w:rsidR="007A71E8" w:rsidRDefault="007A71E8">
      <w:pPr>
        <w:pStyle w:val="TOC3"/>
        <w:rPr>
          <w:rFonts w:asciiTheme="minorHAnsi" w:eastAsiaTheme="minorEastAsia" w:hAnsiTheme="minorHAnsi" w:cstheme="minorBidi"/>
          <w:i w:val="0"/>
          <w:noProof/>
          <w:kern w:val="2"/>
          <w:sz w:val="24"/>
          <w:szCs w:val="24"/>
          <w:lang w:val="en-GB" w:eastAsia="en-GB"/>
          <w14:ligatures w14:val="standardContextual"/>
        </w:rPr>
      </w:pPr>
      <w:r w:rsidRPr="00545B1D">
        <w:rPr>
          <w:noProof/>
          <w:lang w:val="de-DE"/>
        </w:rPr>
        <w:t>Anforderung</w:t>
      </w:r>
      <w:r>
        <w:rPr>
          <w:noProof/>
        </w:rPr>
        <w:tab/>
      </w:r>
      <w:r>
        <w:rPr>
          <w:noProof/>
        </w:rPr>
        <w:fldChar w:fldCharType="begin"/>
      </w:r>
      <w:r>
        <w:rPr>
          <w:noProof/>
        </w:rPr>
        <w:instrText xml:space="preserve"> PAGEREF _Toc178245692 \h </w:instrText>
      </w:r>
      <w:r>
        <w:rPr>
          <w:noProof/>
        </w:rPr>
      </w:r>
      <w:r>
        <w:rPr>
          <w:noProof/>
        </w:rPr>
        <w:fldChar w:fldCharType="separate"/>
      </w:r>
      <w:r>
        <w:rPr>
          <w:noProof/>
        </w:rPr>
        <w:t>3</w:t>
      </w:r>
      <w:r>
        <w:rPr>
          <w:noProof/>
        </w:rPr>
        <w:fldChar w:fldCharType="end"/>
      </w:r>
    </w:p>
    <w:p w14:paraId="634F194F" w14:textId="35744A58" w:rsidR="007A71E8" w:rsidRDefault="007A71E8">
      <w:pPr>
        <w:pStyle w:val="TOC3"/>
        <w:rPr>
          <w:rFonts w:asciiTheme="minorHAnsi" w:eastAsiaTheme="minorEastAsia" w:hAnsiTheme="minorHAnsi" w:cstheme="minorBidi"/>
          <w:i w:val="0"/>
          <w:noProof/>
          <w:kern w:val="2"/>
          <w:sz w:val="24"/>
          <w:szCs w:val="24"/>
          <w:lang w:val="en-GB" w:eastAsia="en-GB"/>
          <w14:ligatures w14:val="standardContextual"/>
        </w:rPr>
      </w:pPr>
      <w:r w:rsidRPr="00545B1D">
        <w:rPr>
          <w:noProof/>
          <w:lang w:val="de-DE"/>
        </w:rPr>
        <w:t>Wie ist sie zu bewerten?</w:t>
      </w:r>
      <w:r>
        <w:rPr>
          <w:noProof/>
        </w:rPr>
        <w:tab/>
      </w:r>
      <w:r>
        <w:rPr>
          <w:noProof/>
        </w:rPr>
        <w:fldChar w:fldCharType="begin"/>
      </w:r>
      <w:r>
        <w:rPr>
          <w:noProof/>
        </w:rPr>
        <w:instrText xml:space="preserve"> PAGEREF _Toc178245693 \h </w:instrText>
      </w:r>
      <w:r>
        <w:rPr>
          <w:noProof/>
        </w:rPr>
      </w:r>
      <w:r>
        <w:rPr>
          <w:noProof/>
        </w:rPr>
        <w:fldChar w:fldCharType="separate"/>
      </w:r>
      <w:r>
        <w:rPr>
          <w:noProof/>
        </w:rPr>
        <w:t>3</w:t>
      </w:r>
      <w:r>
        <w:rPr>
          <w:noProof/>
        </w:rPr>
        <w:fldChar w:fldCharType="end"/>
      </w:r>
    </w:p>
    <w:p w14:paraId="6C8AD412" w14:textId="228BE3C0" w:rsidR="007A71E8" w:rsidRDefault="007A71E8">
      <w:pPr>
        <w:pStyle w:val="TOC2"/>
        <w:rPr>
          <w:rFonts w:asciiTheme="minorHAnsi" w:eastAsiaTheme="minorEastAsia" w:hAnsiTheme="minorHAnsi" w:cstheme="minorBidi"/>
          <w:noProof/>
          <w:kern w:val="2"/>
          <w:sz w:val="24"/>
          <w:szCs w:val="24"/>
          <w:lang w:val="en-GB" w:eastAsia="en-GB"/>
          <w14:ligatures w14:val="standardContextual"/>
        </w:rPr>
      </w:pPr>
      <w:r w:rsidRPr="00545B1D">
        <w:rPr>
          <w:noProof/>
        </w:rPr>
        <w:t>Reproduzierbarkeit</w:t>
      </w:r>
      <w:r>
        <w:rPr>
          <w:noProof/>
        </w:rPr>
        <w:tab/>
      </w:r>
      <w:r>
        <w:rPr>
          <w:noProof/>
        </w:rPr>
        <w:fldChar w:fldCharType="begin"/>
      </w:r>
      <w:r>
        <w:rPr>
          <w:noProof/>
        </w:rPr>
        <w:instrText xml:space="preserve"> PAGEREF _Toc178245694 \h </w:instrText>
      </w:r>
      <w:r>
        <w:rPr>
          <w:noProof/>
        </w:rPr>
      </w:r>
      <w:r>
        <w:rPr>
          <w:noProof/>
        </w:rPr>
        <w:fldChar w:fldCharType="separate"/>
      </w:r>
      <w:r>
        <w:rPr>
          <w:noProof/>
        </w:rPr>
        <w:t>3</w:t>
      </w:r>
      <w:r>
        <w:rPr>
          <w:noProof/>
        </w:rPr>
        <w:fldChar w:fldCharType="end"/>
      </w:r>
    </w:p>
    <w:p w14:paraId="24F6B7B8" w14:textId="1871D751" w:rsidR="007A71E8" w:rsidRDefault="007A71E8">
      <w:pPr>
        <w:pStyle w:val="TOC3"/>
        <w:rPr>
          <w:rFonts w:asciiTheme="minorHAnsi" w:eastAsiaTheme="minorEastAsia" w:hAnsiTheme="minorHAnsi" w:cstheme="minorBidi"/>
          <w:i w:val="0"/>
          <w:noProof/>
          <w:kern w:val="2"/>
          <w:sz w:val="24"/>
          <w:szCs w:val="24"/>
          <w:lang w:val="en-GB" w:eastAsia="en-GB"/>
          <w14:ligatures w14:val="standardContextual"/>
        </w:rPr>
      </w:pPr>
      <w:r w:rsidRPr="00545B1D">
        <w:rPr>
          <w:noProof/>
          <w:lang w:val="de-DE"/>
        </w:rPr>
        <w:t xml:space="preserve">Definition </w:t>
      </w:r>
      <w:r w:rsidRPr="00545B1D">
        <w:rPr>
          <w:noProof/>
          <w:highlight w:val="yellow"/>
          <w:lang w:val="de-DE"/>
        </w:rPr>
        <w:t>(basierend auf ISO 16 577:2016)</w:t>
      </w:r>
      <w:r>
        <w:rPr>
          <w:noProof/>
        </w:rPr>
        <w:tab/>
      </w:r>
      <w:r>
        <w:rPr>
          <w:noProof/>
        </w:rPr>
        <w:fldChar w:fldCharType="begin"/>
      </w:r>
      <w:r>
        <w:rPr>
          <w:noProof/>
        </w:rPr>
        <w:instrText xml:space="preserve"> PAGEREF _Toc178245695 \h </w:instrText>
      </w:r>
      <w:r>
        <w:rPr>
          <w:noProof/>
        </w:rPr>
      </w:r>
      <w:r>
        <w:rPr>
          <w:noProof/>
        </w:rPr>
        <w:fldChar w:fldCharType="separate"/>
      </w:r>
      <w:r>
        <w:rPr>
          <w:noProof/>
        </w:rPr>
        <w:t>3</w:t>
      </w:r>
      <w:r>
        <w:rPr>
          <w:noProof/>
        </w:rPr>
        <w:fldChar w:fldCharType="end"/>
      </w:r>
    </w:p>
    <w:p w14:paraId="27F2C704" w14:textId="28121E9E" w:rsidR="007A71E8" w:rsidRDefault="007A71E8">
      <w:pPr>
        <w:pStyle w:val="TOC3"/>
        <w:rPr>
          <w:rFonts w:asciiTheme="minorHAnsi" w:eastAsiaTheme="minorEastAsia" w:hAnsiTheme="minorHAnsi" w:cstheme="minorBidi"/>
          <w:i w:val="0"/>
          <w:noProof/>
          <w:kern w:val="2"/>
          <w:sz w:val="24"/>
          <w:szCs w:val="24"/>
          <w:lang w:val="en-GB" w:eastAsia="en-GB"/>
          <w14:ligatures w14:val="standardContextual"/>
        </w:rPr>
      </w:pPr>
      <w:r w:rsidRPr="00545B1D">
        <w:rPr>
          <w:noProof/>
          <w:lang w:val="de-DE"/>
        </w:rPr>
        <w:t>Anforderung</w:t>
      </w:r>
      <w:r>
        <w:rPr>
          <w:noProof/>
        </w:rPr>
        <w:tab/>
      </w:r>
      <w:r>
        <w:rPr>
          <w:noProof/>
        </w:rPr>
        <w:fldChar w:fldCharType="begin"/>
      </w:r>
      <w:r>
        <w:rPr>
          <w:noProof/>
        </w:rPr>
        <w:instrText xml:space="preserve"> PAGEREF _Toc178245696 \h </w:instrText>
      </w:r>
      <w:r>
        <w:rPr>
          <w:noProof/>
        </w:rPr>
      </w:r>
      <w:r>
        <w:rPr>
          <w:noProof/>
        </w:rPr>
        <w:fldChar w:fldCharType="separate"/>
      </w:r>
      <w:r>
        <w:rPr>
          <w:noProof/>
        </w:rPr>
        <w:t>3</w:t>
      </w:r>
      <w:r>
        <w:rPr>
          <w:noProof/>
        </w:rPr>
        <w:fldChar w:fldCharType="end"/>
      </w:r>
    </w:p>
    <w:p w14:paraId="27C9AEA2" w14:textId="223D5F82" w:rsidR="007A71E8" w:rsidRDefault="007A71E8">
      <w:pPr>
        <w:pStyle w:val="TOC3"/>
        <w:rPr>
          <w:rFonts w:asciiTheme="minorHAnsi" w:eastAsiaTheme="minorEastAsia" w:hAnsiTheme="minorHAnsi" w:cstheme="minorBidi"/>
          <w:i w:val="0"/>
          <w:noProof/>
          <w:kern w:val="2"/>
          <w:sz w:val="24"/>
          <w:szCs w:val="24"/>
          <w:lang w:val="en-GB" w:eastAsia="en-GB"/>
          <w14:ligatures w14:val="standardContextual"/>
        </w:rPr>
      </w:pPr>
      <w:r w:rsidRPr="00545B1D">
        <w:rPr>
          <w:noProof/>
          <w:lang w:val="de-DE"/>
        </w:rPr>
        <w:t>Wie ist sie zu bewerten?</w:t>
      </w:r>
      <w:r>
        <w:rPr>
          <w:noProof/>
        </w:rPr>
        <w:tab/>
      </w:r>
      <w:r>
        <w:rPr>
          <w:noProof/>
        </w:rPr>
        <w:fldChar w:fldCharType="begin"/>
      </w:r>
      <w:r>
        <w:rPr>
          <w:noProof/>
        </w:rPr>
        <w:instrText xml:space="preserve"> PAGEREF _Toc178245697 \h </w:instrText>
      </w:r>
      <w:r>
        <w:rPr>
          <w:noProof/>
        </w:rPr>
      </w:r>
      <w:r>
        <w:rPr>
          <w:noProof/>
        </w:rPr>
        <w:fldChar w:fldCharType="separate"/>
      </w:r>
      <w:r>
        <w:rPr>
          <w:noProof/>
        </w:rPr>
        <w:t>3</w:t>
      </w:r>
      <w:r>
        <w:rPr>
          <w:noProof/>
        </w:rPr>
        <w:fldChar w:fldCharType="end"/>
      </w:r>
    </w:p>
    <w:p w14:paraId="7F3D4FF2" w14:textId="6BE111E9" w:rsidR="007A71E8" w:rsidRDefault="007A71E8">
      <w:pPr>
        <w:pStyle w:val="TOC2"/>
        <w:rPr>
          <w:rFonts w:asciiTheme="minorHAnsi" w:eastAsiaTheme="minorEastAsia" w:hAnsiTheme="minorHAnsi" w:cstheme="minorBidi"/>
          <w:noProof/>
          <w:kern w:val="2"/>
          <w:sz w:val="24"/>
          <w:szCs w:val="24"/>
          <w:lang w:val="en-GB" w:eastAsia="en-GB"/>
          <w14:ligatures w14:val="standardContextual"/>
        </w:rPr>
      </w:pPr>
      <w:r w:rsidRPr="00545B1D">
        <w:rPr>
          <w:noProof/>
        </w:rPr>
        <w:t>Robustheit</w:t>
      </w:r>
      <w:r>
        <w:rPr>
          <w:noProof/>
        </w:rPr>
        <w:tab/>
      </w:r>
      <w:r>
        <w:rPr>
          <w:noProof/>
        </w:rPr>
        <w:fldChar w:fldCharType="begin"/>
      </w:r>
      <w:r>
        <w:rPr>
          <w:noProof/>
        </w:rPr>
        <w:instrText xml:space="preserve"> PAGEREF _Toc178245698 \h </w:instrText>
      </w:r>
      <w:r>
        <w:rPr>
          <w:noProof/>
        </w:rPr>
      </w:r>
      <w:r>
        <w:rPr>
          <w:noProof/>
        </w:rPr>
        <w:fldChar w:fldCharType="separate"/>
      </w:r>
      <w:r>
        <w:rPr>
          <w:noProof/>
        </w:rPr>
        <w:t>4</w:t>
      </w:r>
      <w:r>
        <w:rPr>
          <w:noProof/>
        </w:rPr>
        <w:fldChar w:fldCharType="end"/>
      </w:r>
    </w:p>
    <w:p w14:paraId="6E30E19C" w14:textId="5C123396" w:rsidR="007A71E8" w:rsidRDefault="007A71E8">
      <w:pPr>
        <w:pStyle w:val="TOC3"/>
        <w:rPr>
          <w:rFonts w:asciiTheme="minorHAnsi" w:eastAsiaTheme="minorEastAsia" w:hAnsiTheme="minorHAnsi" w:cstheme="minorBidi"/>
          <w:i w:val="0"/>
          <w:noProof/>
          <w:kern w:val="2"/>
          <w:sz w:val="24"/>
          <w:szCs w:val="24"/>
          <w:lang w:val="en-GB" w:eastAsia="en-GB"/>
          <w14:ligatures w14:val="standardContextual"/>
        </w:rPr>
      </w:pPr>
      <w:r w:rsidRPr="00545B1D">
        <w:rPr>
          <w:noProof/>
          <w:lang w:val="de-DE"/>
        </w:rPr>
        <w:t>Definition</w:t>
      </w:r>
      <w:r>
        <w:rPr>
          <w:noProof/>
        </w:rPr>
        <w:tab/>
      </w:r>
      <w:r>
        <w:rPr>
          <w:noProof/>
        </w:rPr>
        <w:fldChar w:fldCharType="begin"/>
      </w:r>
      <w:r>
        <w:rPr>
          <w:noProof/>
        </w:rPr>
        <w:instrText xml:space="preserve"> PAGEREF _Toc178245699 \h </w:instrText>
      </w:r>
      <w:r>
        <w:rPr>
          <w:noProof/>
        </w:rPr>
      </w:r>
      <w:r>
        <w:rPr>
          <w:noProof/>
        </w:rPr>
        <w:fldChar w:fldCharType="separate"/>
      </w:r>
      <w:r>
        <w:rPr>
          <w:noProof/>
        </w:rPr>
        <w:t>4</w:t>
      </w:r>
      <w:r>
        <w:rPr>
          <w:noProof/>
        </w:rPr>
        <w:fldChar w:fldCharType="end"/>
      </w:r>
    </w:p>
    <w:p w14:paraId="644C10AF" w14:textId="768F70EE" w:rsidR="007A71E8" w:rsidRDefault="007A71E8">
      <w:pPr>
        <w:pStyle w:val="TOC3"/>
        <w:rPr>
          <w:rFonts w:asciiTheme="minorHAnsi" w:eastAsiaTheme="minorEastAsia" w:hAnsiTheme="minorHAnsi" w:cstheme="minorBidi"/>
          <w:i w:val="0"/>
          <w:noProof/>
          <w:kern w:val="2"/>
          <w:sz w:val="24"/>
          <w:szCs w:val="24"/>
          <w:lang w:val="en-GB" w:eastAsia="en-GB"/>
          <w14:ligatures w14:val="standardContextual"/>
        </w:rPr>
      </w:pPr>
      <w:r w:rsidRPr="00545B1D">
        <w:rPr>
          <w:noProof/>
          <w:lang w:val="de-DE"/>
        </w:rPr>
        <w:t>Anforderung</w:t>
      </w:r>
      <w:r>
        <w:rPr>
          <w:noProof/>
        </w:rPr>
        <w:tab/>
      </w:r>
      <w:r>
        <w:rPr>
          <w:noProof/>
        </w:rPr>
        <w:fldChar w:fldCharType="begin"/>
      </w:r>
      <w:r>
        <w:rPr>
          <w:noProof/>
        </w:rPr>
        <w:instrText xml:space="preserve"> PAGEREF _Toc178245700 \h </w:instrText>
      </w:r>
      <w:r>
        <w:rPr>
          <w:noProof/>
        </w:rPr>
      </w:r>
      <w:r>
        <w:rPr>
          <w:noProof/>
        </w:rPr>
        <w:fldChar w:fldCharType="separate"/>
      </w:r>
      <w:r>
        <w:rPr>
          <w:noProof/>
        </w:rPr>
        <w:t>4</w:t>
      </w:r>
      <w:r>
        <w:rPr>
          <w:noProof/>
        </w:rPr>
        <w:fldChar w:fldCharType="end"/>
      </w:r>
    </w:p>
    <w:p w14:paraId="552902E2" w14:textId="0BBD7DB5" w:rsidR="007A71E8" w:rsidRDefault="007A71E8">
      <w:pPr>
        <w:pStyle w:val="TOC3"/>
        <w:rPr>
          <w:rFonts w:asciiTheme="minorHAnsi" w:eastAsiaTheme="minorEastAsia" w:hAnsiTheme="minorHAnsi" w:cstheme="minorBidi"/>
          <w:i w:val="0"/>
          <w:noProof/>
          <w:kern w:val="2"/>
          <w:sz w:val="24"/>
          <w:szCs w:val="24"/>
          <w:lang w:val="en-GB" w:eastAsia="en-GB"/>
          <w14:ligatures w14:val="standardContextual"/>
        </w:rPr>
      </w:pPr>
      <w:r w:rsidRPr="00545B1D">
        <w:rPr>
          <w:noProof/>
          <w:lang w:val="de-DE"/>
        </w:rPr>
        <w:t>Wie ist sie zu bewerten?</w:t>
      </w:r>
      <w:r>
        <w:rPr>
          <w:noProof/>
        </w:rPr>
        <w:tab/>
      </w:r>
      <w:r>
        <w:rPr>
          <w:noProof/>
        </w:rPr>
        <w:fldChar w:fldCharType="begin"/>
      </w:r>
      <w:r>
        <w:rPr>
          <w:noProof/>
        </w:rPr>
        <w:instrText xml:space="preserve"> PAGEREF _Toc178245701 \h </w:instrText>
      </w:r>
      <w:r>
        <w:rPr>
          <w:noProof/>
        </w:rPr>
      </w:r>
      <w:r>
        <w:rPr>
          <w:noProof/>
        </w:rPr>
        <w:fldChar w:fldCharType="separate"/>
      </w:r>
      <w:r>
        <w:rPr>
          <w:noProof/>
        </w:rPr>
        <w:t>4</w:t>
      </w:r>
      <w:r>
        <w:rPr>
          <w:noProof/>
        </w:rPr>
        <w:fldChar w:fldCharType="end"/>
      </w:r>
    </w:p>
    <w:p w14:paraId="216074DD" w14:textId="2A00DE1B" w:rsidR="007A71E8" w:rsidRDefault="007A71E8">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IV.</w:t>
      </w:r>
      <w:r>
        <w:rPr>
          <w:rFonts w:asciiTheme="minorHAnsi" w:eastAsiaTheme="minorEastAsia" w:hAnsiTheme="minorHAnsi" w:cstheme="minorBidi"/>
          <w:caps w:val="0"/>
          <w:noProof/>
          <w:kern w:val="2"/>
          <w:sz w:val="24"/>
          <w:szCs w:val="24"/>
          <w:lang w:val="en-GB" w:eastAsia="en-GB"/>
          <w14:ligatures w14:val="standardContextual"/>
        </w:rPr>
        <w:tab/>
      </w:r>
      <w:r>
        <w:rPr>
          <w:noProof/>
        </w:rPr>
        <w:t>Validierungsbericht</w:t>
      </w:r>
      <w:r>
        <w:rPr>
          <w:noProof/>
        </w:rPr>
        <w:tab/>
      </w:r>
      <w:r>
        <w:rPr>
          <w:noProof/>
        </w:rPr>
        <w:fldChar w:fldCharType="begin"/>
      </w:r>
      <w:r>
        <w:rPr>
          <w:noProof/>
        </w:rPr>
        <w:instrText xml:space="preserve"> PAGEREF _Toc178245702 \h </w:instrText>
      </w:r>
      <w:r>
        <w:rPr>
          <w:noProof/>
        </w:rPr>
      </w:r>
      <w:r>
        <w:rPr>
          <w:noProof/>
        </w:rPr>
        <w:fldChar w:fldCharType="separate"/>
      </w:r>
      <w:r>
        <w:rPr>
          <w:noProof/>
        </w:rPr>
        <w:t>4</w:t>
      </w:r>
      <w:r>
        <w:rPr>
          <w:noProof/>
        </w:rPr>
        <w:fldChar w:fldCharType="end"/>
      </w:r>
    </w:p>
    <w:p w14:paraId="0C70172F" w14:textId="29F7AA34" w:rsidR="007A71E8" w:rsidRDefault="007A71E8">
      <w:pPr>
        <w:pStyle w:val="TOC2"/>
        <w:rPr>
          <w:rFonts w:asciiTheme="minorHAnsi" w:eastAsiaTheme="minorEastAsia" w:hAnsiTheme="minorHAnsi" w:cstheme="minorBidi"/>
          <w:noProof/>
          <w:kern w:val="2"/>
          <w:sz w:val="24"/>
          <w:szCs w:val="24"/>
          <w:lang w:val="en-GB" w:eastAsia="en-GB"/>
          <w14:ligatures w14:val="standardContextual"/>
        </w:rPr>
      </w:pPr>
      <w:r w:rsidRPr="00545B1D">
        <w:rPr>
          <w:noProof/>
        </w:rPr>
        <w:t>Inhalt des Validierungsberichts</w:t>
      </w:r>
      <w:r>
        <w:rPr>
          <w:noProof/>
        </w:rPr>
        <w:tab/>
      </w:r>
      <w:r>
        <w:rPr>
          <w:noProof/>
        </w:rPr>
        <w:fldChar w:fldCharType="begin"/>
      </w:r>
      <w:r>
        <w:rPr>
          <w:noProof/>
        </w:rPr>
        <w:instrText xml:space="preserve"> PAGEREF _Toc178245703 \h </w:instrText>
      </w:r>
      <w:r>
        <w:rPr>
          <w:noProof/>
        </w:rPr>
      </w:r>
      <w:r>
        <w:rPr>
          <w:noProof/>
        </w:rPr>
        <w:fldChar w:fldCharType="separate"/>
      </w:r>
      <w:r>
        <w:rPr>
          <w:noProof/>
        </w:rPr>
        <w:t>4</w:t>
      </w:r>
      <w:r>
        <w:rPr>
          <w:noProof/>
        </w:rPr>
        <w:fldChar w:fldCharType="end"/>
      </w:r>
    </w:p>
    <w:p w14:paraId="433611D5" w14:textId="65B1F915" w:rsidR="007A71E8" w:rsidRDefault="007A71E8">
      <w:pPr>
        <w:pStyle w:val="TOC2"/>
        <w:rPr>
          <w:rFonts w:asciiTheme="minorHAnsi" w:eastAsiaTheme="minorEastAsia" w:hAnsiTheme="minorHAnsi" w:cstheme="minorBidi"/>
          <w:noProof/>
          <w:kern w:val="2"/>
          <w:sz w:val="24"/>
          <w:szCs w:val="24"/>
          <w:lang w:val="en-GB" w:eastAsia="en-GB"/>
          <w14:ligatures w14:val="standardContextual"/>
        </w:rPr>
      </w:pPr>
      <w:r w:rsidRPr="00545B1D">
        <w:rPr>
          <w:noProof/>
        </w:rPr>
        <w:t>Öffentlichkeitsarbeit</w:t>
      </w:r>
      <w:r>
        <w:rPr>
          <w:noProof/>
        </w:rPr>
        <w:tab/>
      </w:r>
      <w:r>
        <w:rPr>
          <w:noProof/>
        </w:rPr>
        <w:fldChar w:fldCharType="begin"/>
      </w:r>
      <w:r>
        <w:rPr>
          <w:noProof/>
        </w:rPr>
        <w:instrText xml:space="preserve"> PAGEREF _Toc178245704 \h </w:instrText>
      </w:r>
      <w:r>
        <w:rPr>
          <w:noProof/>
        </w:rPr>
      </w:r>
      <w:r>
        <w:rPr>
          <w:noProof/>
        </w:rPr>
        <w:fldChar w:fldCharType="separate"/>
      </w:r>
      <w:r>
        <w:rPr>
          <w:noProof/>
        </w:rPr>
        <w:t>4</w:t>
      </w:r>
      <w:r>
        <w:rPr>
          <w:noProof/>
        </w:rPr>
        <w:fldChar w:fldCharType="end"/>
      </w:r>
    </w:p>
    <w:p w14:paraId="0C56F538" w14:textId="51E89003" w:rsidR="007A71E8" w:rsidRDefault="007A71E8">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 xml:space="preserve">V. </w:t>
      </w:r>
      <w:r>
        <w:rPr>
          <w:rFonts w:asciiTheme="minorHAnsi" w:eastAsiaTheme="minorEastAsia" w:hAnsiTheme="minorHAnsi" w:cstheme="minorBidi"/>
          <w:caps w:val="0"/>
          <w:noProof/>
          <w:kern w:val="2"/>
          <w:sz w:val="24"/>
          <w:szCs w:val="24"/>
          <w:lang w:val="en-GB" w:eastAsia="en-GB"/>
          <w14:ligatures w14:val="standardContextual"/>
        </w:rPr>
        <w:tab/>
      </w:r>
      <w:r>
        <w:rPr>
          <w:noProof/>
        </w:rPr>
        <w:t>Standardprotokoll für das Protokoll der merkmalspezifischen molekularen Marker</w:t>
      </w:r>
      <w:r>
        <w:rPr>
          <w:noProof/>
        </w:rPr>
        <w:tab/>
      </w:r>
      <w:r>
        <w:rPr>
          <w:noProof/>
        </w:rPr>
        <w:fldChar w:fldCharType="begin"/>
      </w:r>
      <w:r>
        <w:rPr>
          <w:noProof/>
        </w:rPr>
        <w:instrText xml:space="preserve"> PAGEREF _Toc178245705 \h </w:instrText>
      </w:r>
      <w:r>
        <w:rPr>
          <w:noProof/>
        </w:rPr>
      </w:r>
      <w:r>
        <w:rPr>
          <w:noProof/>
        </w:rPr>
        <w:fldChar w:fldCharType="separate"/>
      </w:r>
      <w:r>
        <w:rPr>
          <w:noProof/>
        </w:rPr>
        <w:t>5</w:t>
      </w:r>
      <w:r>
        <w:rPr>
          <w:noProof/>
        </w:rPr>
        <w:fldChar w:fldCharType="end"/>
      </w:r>
    </w:p>
    <w:p w14:paraId="7F0A1AD7" w14:textId="196BE13D" w:rsidR="007A71E8" w:rsidRDefault="007A71E8">
      <w:pPr>
        <w:pStyle w:val="TOC1"/>
        <w:rPr>
          <w:rFonts w:asciiTheme="minorHAnsi" w:eastAsiaTheme="minorEastAsia" w:hAnsiTheme="minorHAnsi" w:cstheme="minorBidi"/>
          <w:caps w:val="0"/>
          <w:noProof/>
          <w:kern w:val="2"/>
          <w:sz w:val="24"/>
          <w:szCs w:val="24"/>
          <w:lang w:val="en-GB" w:eastAsia="en-GB"/>
          <w14:ligatures w14:val="standardContextual"/>
        </w:rPr>
      </w:pPr>
      <w:r>
        <w:rPr>
          <w:noProof/>
        </w:rPr>
        <w:t xml:space="preserve">VI. </w:t>
      </w:r>
      <w:r>
        <w:rPr>
          <w:rFonts w:asciiTheme="minorHAnsi" w:eastAsiaTheme="minorEastAsia" w:hAnsiTheme="minorHAnsi" w:cstheme="minorBidi"/>
          <w:caps w:val="0"/>
          <w:noProof/>
          <w:kern w:val="2"/>
          <w:sz w:val="24"/>
          <w:szCs w:val="24"/>
          <w:lang w:val="en-GB" w:eastAsia="en-GB"/>
          <w14:ligatures w14:val="standardContextual"/>
        </w:rPr>
        <w:tab/>
      </w:r>
      <w:r>
        <w:rPr>
          <w:noProof/>
        </w:rPr>
        <w:t>Folgeerhebung nach der Genehmigung</w:t>
      </w:r>
      <w:r>
        <w:rPr>
          <w:noProof/>
        </w:rPr>
        <w:tab/>
      </w:r>
      <w:r>
        <w:rPr>
          <w:noProof/>
        </w:rPr>
        <w:fldChar w:fldCharType="begin"/>
      </w:r>
      <w:r>
        <w:rPr>
          <w:noProof/>
        </w:rPr>
        <w:instrText xml:space="preserve"> PAGEREF _Toc178245706 \h </w:instrText>
      </w:r>
      <w:r>
        <w:rPr>
          <w:noProof/>
        </w:rPr>
      </w:r>
      <w:r>
        <w:rPr>
          <w:noProof/>
        </w:rPr>
        <w:fldChar w:fldCharType="separate"/>
      </w:r>
      <w:r>
        <w:rPr>
          <w:noProof/>
        </w:rPr>
        <w:t>7</w:t>
      </w:r>
      <w:r>
        <w:rPr>
          <w:noProof/>
        </w:rPr>
        <w:fldChar w:fldCharType="end"/>
      </w:r>
    </w:p>
    <w:p w14:paraId="350AC457" w14:textId="41B49E78" w:rsidR="00550FF9" w:rsidRPr="00DF29F0" w:rsidRDefault="00263789" w:rsidP="00550FF9">
      <w:r w:rsidRPr="00DF29F0">
        <w:fldChar w:fldCharType="end"/>
      </w:r>
    </w:p>
    <w:p w14:paraId="791B1245" w14:textId="77777777" w:rsidR="00550FF9" w:rsidRPr="00DF29F0" w:rsidRDefault="00550FF9" w:rsidP="00550FF9"/>
    <w:p w14:paraId="1E98EB03" w14:textId="77777777" w:rsidR="008B5290" w:rsidRPr="00DF29F0" w:rsidRDefault="006F3299" w:rsidP="001A2183">
      <w:pPr>
        <w:pStyle w:val="Heading1Annex"/>
      </w:pPr>
      <w:bookmarkStart w:id="27" w:name="_Toc178245679"/>
      <w:r w:rsidRPr="00DF29F0">
        <w:t>Zugehörige Dokumente</w:t>
      </w:r>
      <w:bookmarkEnd w:id="27"/>
    </w:p>
    <w:p w14:paraId="6B7C9500" w14:textId="77777777" w:rsidR="00550FF9" w:rsidRPr="00DF29F0" w:rsidRDefault="00550FF9" w:rsidP="00550FF9">
      <w:pPr>
        <w:rPr>
          <w:lang w:eastAsia="fr-FR"/>
        </w:rPr>
      </w:pPr>
    </w:p>
    <w:p w14:paraId="256D02B5" w14:textId="77777777" w:rsidR="008B5290" w:rsidRPr="00DF29F0" w:rsidRDefault="006F3299">
      <w:pPr>
        <w:rPr>
          <w:rFonts w:cs="Arial"/>
        </w:rPr>
      </w:pPr>
      <w:r w:rsidRPr="00DF29F0">
        <w:fldChar w:fldCharType="begin"/>
      </w:r>
      <w:r w:rsidRPr="00DF29F0">
        <w:instrText xml:space="preserve"> LISTNUM  LegalDefault \l 1 \s 1 </w:instrText>
      </w:r>
      <w:r w:rsidRPr="00DF29F0">
        <w:fldChar w:fldCharType="end">
          <w:numberingChange w:id="28" w:author="SANCHEZ VIZCAINO GOMEZ Rosa Maria" w:date="2024-09-23T14:37:00Z" w16du:dateUtc="2024-09-23T12:37:00Z" w:original="1."/>
        </w:fldChar>
      </w:r>
      <w:r w:rsidR="00550FF9" w:rsidRPr="00DF29F0">
        <w:rPr>
          <w:rFonts w:cs="Arial"/>
        </w:rPr>
        <w:tab/>
        <w:t>Bitte beachten Sie, dass die hervorgehobenen Textstellen Zitate aus den nachstehenden Dokumenten darstellen:</w:t>
      </w:r>
    </w:p>
    <w:p w14:paraId="620DAE32" w14:textId="77777777" w:rsidR="00550FF9" w:rsidRPr="00DF29F0" w:rsidRDefault="00550FF9" w:rsidP="00550FF9">
      <w:pPr>
        <w:rPr>
          <w:rFonts w:cs="Arial"/>
          <w:lang w:eastAsia="fr-FR"/>
        </w:rPr>
      </w:pPr>
    </w:p>
    <w:p w14:paraId="41E0A934" w14:textId="2C99158A" w:rsidR="008B5290" w:rsidRPr="00DF29F0" w:rsidRDefault="006F3299">
      <w:pPr>
        <w:numPr>
          <w:ilvl w:val="0"/>
          <w:numId w:val="16"/>
        </w:numPr>
        <w:tabs>
          <w:tab w:val="left" w:pos="567"/>
        </w:tabs>
        <w:spacing w:after="60"/>
        <w:ind w:left="2127" w:hanging="1770"/>
        <w:rPr>
          <w:rFonts w:eastAsia="Calibri" w:cs="Arial"/>
        </w:rPr>
      </w:pPr>
      <w:r w:rsidRPr="00DF29F0">
        <w:rPr>
          <w:rFonts w:eastAsia="Calibri" w:cs="Arial"/>
        </w:rPr>
        <w:t xml:space="preserve">TG/1/3: </w:t>
      </w:r>
      <w:r w:rsidRPr="00DF29F0">
        <w:rPr>
          <w:rFonts w:eastAsia="Calibri" w:cs="Arial"/>
        </w:rPr>
        <w:tab/>
        <w:t xml:space="preserve">Allgemeine Einführung </w:t>
      </w:r>
      <w:r w:rsidR="006328DB">
        <w:rPr>
          <w:rFonts w:eastAsia="Calibri" w:cs="Arial"/>
        </w:rPr>
        <w:t xml:space="preserve">zur </w:t>
      </w:r>
      <w:r w:rsidRPr="00DF29F0">
        <w:rPr>
          <w:rFonts w:eastAsia="Calibri" w:cs="Arial"/>
        </w:rPr>
        <w:t xml:space="preserve">Prüfung </w:t>
      </w:r>
      <w:r w:rsidR="006328DB">
        <w:rPr>
          <w:rFonts w:eastAsia="Calibri" w:cs="Arial"/>
        </w:rPr>
        <w:t xml:space="preserve">auf </w:t>
      </w:r>
      <w:r w:rsidRPr="00DF29F0">
        <w:rPr>
          <w:rFonts w:eastAsia="Calibri" w:cs="Arial"/>
        </w:rPr>
        <w:t xml:space="preserve">Unterscheidbarkeit, Homogenität und Beständigkeit und Erarbeitung harmonisierter Beschreibungen </w:t>
      </w:r>
      <w:r w:rsidR="006328DB">
        <w:rPr>
          <w:rFonts w:eastAsia="Calibri" w:cs="Arial"/>
        </w:rPr>
        <w:t xml:space="preserve">von neuen </w:t>
      </w:r>
      <w:r w:rsidRPr="00DF29F0">
        <w:rPr>
          <w:rFonts w:eastAsia="Calibri" w:cs="Arial"/>
        </w:rPr>
        <w:t>Pflanzensorten</w:t>
      </w:r>
    </w:p>
    <w:p w14:paraId="62C7FF17" w14:textId="77777777" w:rsidR="008B5290" w:rsidRPr="00DF29F0" w:rsidRDefault="006F3299">
      <w:pPr>
        <w:numPr>
          <w:ilvl w:val="0"/>
          <w:numId w:val="16"/>
        </w:numPr>
        <w:tabs>
          <w:tab w:val="left" w:pos="567"/>
        </w:tabs>
        <w:spacing w:after="60"/>
        <w:ind w:left="2127" w:hanging="1770"/>
        <w:rPr>
          <w:rFonts w:eastAsia="Calibri" w:cs="Arial"/>
        </w:rPr>
      </w:pPr>
      <w:r w:rsidRPr="00DF29F0">
        <w:rPr>
          <w:rFonts w:eastAsia="Calibri" w:cs="Arial"/>
        </w:rPr>
        <w:t xml:space="preserve">TG/44: </w:t>
      </w:r>
      <w:r w:rsidRPr="00DF29F0">
        <w:rPr>
          <w:rFonts w:eastAsia="Calibri" w:cs="Arial"/>
        </w:rPr>
        <w:tab/>
        <w:t>Richtlinien für die Durchführung der Prüfungen auf Unterscheidbarkeit, Homogenität und Beständigkeit für Tomate</w:t>
      </w:r>
    </w:p>
    <w:p w14:paraId="2D91EEF9" w14:textId="77777777" w:rsidR="008B5290" w:rsidRPr="00DF29F0" w:rsidRDefault="006F3299">
      <w:pPr>
        <w:numPr>
          <w:ilvl w:val="0"/>
          <w:numId w:val="16"/>
        </w:numPr>
        <w:tabs>
          <w:tab w:val="left" w:pos="567"/>
        </w:tabs>
        <w:spacing w:after="60"/>
        <w:ind w:left="2127" w:hanging="1770"/>
        <w:rPr>
          <w:rFonts w:eastAsia="Calibri" w:cs="Arial"/>
        </w:rPr>
      </w:pPr>
      <w:r w:rsidRPr="00DF29F0">
        <w:rPr>
          <w:rFonts w:eastAsia="Calibri" w:cs="Arial"/>
        </w:rPr>
        <w:t>TGP/12:</w:t>
      </w:r>
      <w:r w:rsidRPr="00DF29F0">
        <w:rPr>
          <w:rFonts w:eastAsia="Calibri" w:cs="Arial"/>
        </w:rPr>
        <w:tab/>
        <w:t>Anleitung zu bestimmten physiologischen Merkmalen</w:t>
      </w:r>
    </w:p>
    <w:p w14:paraId="52898339" w14:textId="29974C86" w:rsidR="008B5290" w:rsidRPr="00DF29F0" w:rsidRDefault="006F3299">
      <w:pPr>
        <w:numPr>
          <w:ilvl w:val="0"/>
          <w:numId w:val="16"/>
        </w:numPr>
        <w:tabs>
          <w:tab w:val="left" w:pos="567"/>
        </w:tabs>
        <w:spacing w:after="60"/>
        <w:ind w:left="2127" w:hanging="1770"/>
        <w:rPr>
          <w:rFonts w:eastAsia="Calibri" w:cs="Arial"/>
          <w:b/>
          <w:bCs/>
        </w:rPr>
      </w:pPr>
      <w:r w:rsidRPr="00DF29F0">
        <w:rPr>
          <w:rFonts w:eastAsia="Calibri" w:cs="Arial"/>
        </w:rPr>
        <w:t>TGP/15:</w:t>
      </w:r>
      <w:r w:rsidRPr="00DF29F0">
        <w:rPr>
          <w:rFonts w:eastAsia="Calibri" w:cs="Arial"/>
        </w:rPr>
        <w:tab/>
        <w:t>Anleitung zur Verwendung biochemische</w:t>
      </w:r>
      <w:r w:rsidR="006328DB">
        <w:rPr>
          <w:rFonts w:eastAsia="Calibri" w:cs="Arial"/>
        </w:rPr>
        <w:t>r</w:t>
      </w:r>
      <w:r w:rsidRPr="00DF29F0">
        <w:rPr>
          <w:rFonts w:eastAsia="Calibri" w:cs="Arial"/>
        </w:rPr>
        <w:t xml:space="preserve"> und molekulare</w:t>
      </w:r>
      <w:r w:rsidR="006328DB">
        <w:rPr>
          <w:rFonts w:eastAsia="Calibri" w:cs="Arial"/>
        </w:rPr>
        <w:t>r</w:t>
      </w:r>
      <w:r w:rsidRPr="00DF29F0">
        <w:rPr>
          <w:rFonts w:eastAsia="Calibri" w:cs="Arial"/>
        </w:rPr>
        <w:t xml:space="preserve"> Marker bei der Prüfung der Unterscheidbarkeit, Homogenität und Beständigkeit (DUS)</w:t>
      </w:r>
    </w:p>
    <w:p w14:paraId="007C0777" w14:textId="3182955B" w:rsidR="008B5290" w:rsidRPr="00DF29F0" w:rsidRDefault="006F3299">
      <w:pPr>
        <w:numPr>
          <w:ilvl w:val="0"/>
          <w:numId w:val="16"/>
        </w:numPr>
        <w:tabs>
          <w:tab w:val="left" w:pos="567"/>
        </w:tabs>
        <w:spacing w:after="60"/>
        <w:ind w:left="2127" w:hanging="1770"/>
        <w:rPr>
          <w:rFonts w:eastAsia="Calibri" w:cs="Arial"/>
          <w:highlight w:val="yellow"/>
        </w:rPr>
      </w:pPr>
      <w:r w:rsidRPr="00DF29F0">
        <w:rPr>
          <w:rFonts w:eastAsia="Calibri" w:cs="Arial"/>
          <w:highlight w:val="yellow"/>
        </w:rPr>
        <w:t>UPOV/INF/17</w:t>
      </w:r>
      <w:r w:rsidR="006328DB">
        <w:rPr>
          <w:rFonts w:eastAsia="Calibri" w:cs="Arial"/>
          <w:highlight w:val="yellow"/>
        </w:rPr>
        <w:tab/>
      </w:r>
      <w:r w:rsidRPr="00DF29F0">
        <w:rPr>
          <w:rFonts w:eastAsia="Calibri" w:cs="Arial"/>
          <w:highlight w:val="yellow"/>
        </w:rPr>
        <w:t xml:space="preserve">Richtlinien für </w:t>
      </w:r>
      <w:r w:rsidR="006328DB">
        <w:rPr>
          <w:rFonts w:eastAsia="Calibri" w:cs="Arial"/>
          <w:highlight w:val="yellow"/>
        </w:rPr>
        <w:t>die DNS-</w:t>
      </w:r>
      <w:r w:rsidRPr="00DF29F0">
        <w:rPr>
          <w:rFonts w:eastAsia="Calibri" w:cs="Arial"/>
          <w:highlight w:val="yellow"/>
        </w:rPr>
        <w:t xml:space="preserve">Profilierung: Auswahl molekularer Marker und Aufbau von Datenbanken </w:t>
      </w:r>
    </w:p>
    <w:p w14:paraId="313706F8" w14:textId="216E0E4F" w:rsidR="008B5290" w:rsidRPr="00DF29F0" w:rsidRDefault="006F3299">
      <w:pPr>
        <w:numPr>
          <w:ilvl w:val="0"/>
          <w:numId w:val="16"/>
        </w:numPr>
        <w:tabs>
          <w:tab w:val="left" w:pos="567"/>
        </w:tabs>
        <w:spacing w:after="60"/>
        <w:ind w:left="2127" w:hanging="1770"/>
        <w:rPr>
          <w:rFonts w:eastAsia="Calibri" w:cs="Arial"/>
          <w:b/>
          <w:bCs/>
        </w:rPr>
      </w:pPr>
      <w:r w:rsidRPr="00DF29F0">
        <w:rPr>
          <w:rFonts w:eastAsia="Calibri" w:cs="Arial"/>
        </w:rPr>
        <w:t>UPOV/INF/18</w:t>
      </w:r>
      <w:r w:rsidR="006328DB">
        <w:rPr>
          <w:rFonts w:eastAsia="Calibri" w:cs="Arial"/>
        </w:rPr>
        <w:tab/>
      </w:r>
      <w:r w:rsidRPr="00DF29F0">
        <w:rPr>
          <w:rFonts w:eastAsia="Calibri" w:cs="Arial"/>
        </w:rPr>
        <w:t>Mögliche Verwendung molekulare</w:t>
      </w:r>
      <w:r w:rsidR="006328DB">
        <w:rPr>
          <w:rFonts w:eastAsia="Calibri" w:cs="Arial"/>
        </w:rPr>
        <w:t>r</w:t>
      </w:r>
      <w:r w:rsidRPr="00DF29F0">
        <w:rPr>
          <w:rFonts w:eastAsia="Calibri" w:cs="Arial"/>
        </w:rPr>
        <w:t xml:space="preserve"> Marker bei der Prüfung der Unterscheidbarkeit, der Homogenität und der Beständigkeit (DUS)</w:t>
      </w:r>
    </w:p>
    <w:p w14:paraId="27132E6A" w14:textId="69D7E45D" w:rsidR="008B5290" w:rsidRPr="00DF29F0" w:rsidRDefault="006F3299">
      <w:pPr>
        <w:numPr>
          <w:ilvl w:val="0"/>
          <w:numId w:val="16"/>
        </w:numPr>
        <w:tabs>
          <w:tab w:val="left" w:pos="567"/>
        </w:tabs>
        <w:spacing w:after="200" w:line="276" w:lineRule="auto"/>
        <w:ind w:left="2127" w:hanging="1770"/>
        <w:contextualSpacing/>
        <w:rPr>
          <w:rFonts w:eastAsia="Calibri" w:cs="Arial"/>
        </w:rPr>
      </w:pPr>
      <w:r w:rsidRPr="00DF29F0">
        <w:rPr>
          <w:rFonts w:eastAsia="Calibri" w:cs="Arial"/>
        </w:rPr>
        <w:t>TWV/54/7 + Add</w:t>
      </w:r>
      <w:r w:rsidR="006328DB">
        <w:rPr>
          <w:rFonts w:eastAsia="Calibri" w:cs="Arial"/>
        </w:rPr>
        <w:tab/>
      </w:r>
      <w:r w:rsidRPr="00DF29F0">
        <w:rPr>
          <w:rFonts w:eastAsia="Calibri" w:cs="Arial"/>
        </w:rPr>
        <w:t>Verwendung von molekularen Verfahren bei der DUS-Prüfung</w:t>
      </w:r>
    </w:p>
    <w:p w14:paraId="78C2B1F4" w14:textId="348DA9A9" w:rsidR="008B5290" w:rsidRPr="00DF29F0" w:rsidRDefault="006F3299" w:rsidP="001A2183">
      <w:pPr>
        <w:pStyle w:val="Heading1Annex"/>
      </w:pPr>
      <w:bookmarkStart w:id="29" w:name="_Toc178245680"/>
      <w:r w:rsidRPr="00DF29F0">
        <w:lastRenderedPageBreak/>
        <w:t xml:space="preserve">I. </w:t>
      </w:r>
      <w:r w:rsidRPr="00DF29F0">
        <w:tab/>
        <w:t xml:space="preserve">Zielsetzung dieser </w:t>
      </w:r>
      <w:r w:rsidR="0079420E">
        <w:t>Richt</w:t>
      </w:r>
      <w:r w:rsidRPr="00DF29F0">
        <w:t>linien</w:t>
      </w:r>
      <w:bookmarkEnd w:id="29"/>
    </w:p>
    <w:p w14:paraId="6031C8A3" w14:textId="77777777" w:rsidR="00550FF9" w:rsidRPr="00DF29F0" w:rsidRDefault="00550FF9" w:rsidP="00550FF9">
      <w:pPr>
        <w:keepNext/>
        <w:rPr>
          <w:lang w:eastAsia="fr-FR"/>
        </w:rPr>
      </w:pPr>
    </w:p>
    <w:p w14:paraId="70EAFDBD"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30" w:author="SANCHEZ VIZCAINO GOMEZ Rosa Maria" w:date="2024-09-23T14:37:00Z" w16du:dateUtc="2024-09-23T12:37:00Z" w:original="2."/>
        </w:fldChar>
      </w:r>
      <w:r w:rsidR="00550FF9" w:rsidRPr="00DF29F0">
        <w:rPr>
          <w:lang w:eastAsia="fr-FR"/>
        </w:rPr>
        <w:tab/>
        <w:t>Zweck dieser Richtlinien ist es, die in der Allgemeinen Einführung (Dokument TG/1/3) und den damit verbundenen TGP-Dokumenten enthaltenen Grundsätze zu einer detaillierten praktischen Anleitung für die harmonisierte Validierung einer neuen Methode auf der Grundlage molekularer Marker vor ihrer Verwendung als alternativer Test auszuarbeiten.  Die für die Validierung erforderlichen Leistungskriterien werden beschrieben und es wird Anleitung zu ihrer Bewertung gegeben. Diese Leitlinien beschreiben auch ein Standardprotokoll mit obligatorischen und fakultativen Kapiteln. Auch die Erhebung nach der Annahme wird beschrieben.</w:t>
      </w:r>
    </w:p>
    <w:p w14:paraId="0215246A" w14:textId="77777777" w:rsidR="00550FF9" w:rsidRPr="00DF29F0" w:rsidRDefault="00550FF9" w:rsidP="00550FF9">
      <w:pPr>
        <w:rPr>
          <w:lang w:eastAsia="fr-FR"/>
        </w:rPr>
      </w:pPr>
    </w:p>
    <w:p w14:paraId="0022A797"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31" w:author="SANCHEZ VIZCAINO GOMEZ Rosa Maria" w:date="2024-09-23T14:37:00Z" w16du:dateUtc="2024-09-23T12:37:00Z" w:original="3."/>
        </w:fldChar>
      </w:r>
      <w:r w:rsidR="00550FF9" w:rsidRPr="00DF29F0">
        <w:rPr>
          <w:lang w:eastAsia="fr-FR"/>
        </w:rPr>
        <w:tab/>
        <w:t>Wenn eine andere Technik verwendet wird, muss das Labor seine Methode im Vergleich zur Referenzmethode validieren (um zu zeigen, dass die alternative Technik die gleichen Ergebnisse liefert).</w:t>
      </w:r>
    </w:p>
    <w:p w14:paraId="4C83FE5C" w14:textId="77777777" w:rsidR="00550FF9" w:rsidRPr="00DF29F0" w:rsidRDefault="00550FF9" w:rsidP="00550FF9">
      <w:pPr>
        <w:rPr>
          <w:lang w:eastAsia="fr-FR"/>
        </w:rPr>
      </w:pPr>
    </w:p>
    <w:p w14:paraId="7EC1EA3A" w14:textId="77777777" w:rsidR="00550FF9" w:rsidRPr="00DF29F0" w:rsidRDefault="00550FF9" w:rsidP="00550FF9">
      <w:pPr>
        <w:rPr>
          <w:lang w:eastAsia="fr-FR"/>
        </w:rPr>
      </w:pPr>
    </w:p>
    <w:p w14:paraId="7043A8B5" w14:textId="32000F93" w:rsidR="008B5290" w:rsidRPr="00DF29F0" w:rsidRDefault="006F3299" w:rsidP="001A2183">
      <w:pPr>
        <w:pStyle w:val="Heading1Annex"/>
      </w:pPr>
      <w:bookmarkStart w:id="32" w:name="_Toc178245681"/>
      <w:r w:rsidRPr="00DF29F0">
        <w:t xml:space="preserve">II. </w:t>
      </w:r>
      <w:r w:rsidRPr="00DF29F0">
        <w:tab/>
        <w:t xml:space="preserve">Geltungsbereich dieser </w:t>
      </w:r>
      <w:r w:rsidR="0079420E">
        <w:t>Richt</w:t>
      </w:r>
      <w:r w:rsidRPr="00DF29F0">
        <w:t>linien</w:t>
      </w:r>
      <w:bookmarkEnd w:id="32"/>
    </w:p>
    <w:p w14:paraId="6EAC087C" w14:textId="77777777" w:rsidR="00550FF9" w:rsidRPr="00DF29F0" w:rsidRDefault="00550FF9" w:rsidP="00550FF9">
      <w:pPr>
        <w:rPr>
          <w:lang w:eastAsia="fr-FR"/>
        </w:rPr>
      </w:pPr>
    </w:p>
    <w:p w14:paraId="58CE6A11" w14:textId="4C0C37C7" w:rsidR="008B5290" w:rsidRPr="00DF29F0" w:rsidRDefault="006F3299">
      <w:pPr>
        <w:rPr>
          <w:lang w:eastAsia="fr-FR"/>
        </w:rPr>
      </w:pPr>
      <w:r w:rsidRPr="00DF29F0">
        <w:rPr>
          <w:lang w:eastAsia="fr-FR"/>
        </w:rPr>
        <w:t xml:space="preserve">Alle </w:t>
      </w:r>
      <w:r w:rsidR="0079420E">
        <w:rPr>
          <w:lang w:eastAsia="fr-FR"/>
        </w:rPr>
        <w:t>Pflanzen</w:t>
      </w:r>
    </w:p>
    <w:p w14:paraId="01C7F31C" w14:textId="77777777" w:rsidR="008B5290" w:rsidRPr="00DF29F0" w:rsidRDefault="006F3299">
      <w:pPr>
        <w:rPr>
          <w:lang w:eastAsia="fr-FR"/>
        </w:rPr>
      </w:pPr>
      <w:r w:rsidRPr="00DF29F0">
        <w:rPr>
          <w:lang w:eastAsia="fr-FR"/>
        </w:rPr>
        <w:t>Merkmalsspezifische molekulare Marker</w:t>
      </w:r>
    </w:p>
    <w:p w14:paraId="6EC61FFB" w14:textId="77777777" w:rsidR="008B5290" w:rsidRPr="00DF29F0" w:rsidRDefault="006F3299">
      <w:pPr>
        <w:rPr>
          <w:lang w:eastAsia="fr-FR"/>
        </w:rPr>
      </w:pPr>
      <w:r w:rsidRPr="00DF29F0">
        <w:rPr>
          <w:lang w:eastAsia="fr-FR"/>
        </w:rPr>
        <w:t>Für die Prüfung der Unterscheidbarkeit, der Homogenität und der Beständigkeit (DUS).</w:t>
      </w:r>
    </w:p>
    <w:p w14:paraId="41C5E3D6" w14:textId="77777777" w:rsidR="00550FF9" w:rsidRPr="00DF29F0" w:rsidRDefault="00550FF9" w:rsidP="00550FF9">
      <w:pPr>
        <w:rPr>
          <w:lang w:eastAsia="fr-FR"/>
        </w:rPr>
      </w:pPr>
    </w:p>
    <w:p w14:paraId="5FC258B0" w14:textId="77777777" w:rsidR="00550FF9" w:rsidRPr="00DF29F0" w:rsidRDefault="00550FF9" w:rsidP="00550FF9">
      <w:pPr>
        <w:rPr>
          <w:lang w:eastAsia="fr-FR"/>
        </w:rPr>
      </w:pPr>
    </w:p>
    <w:p w14:paraId="3DD150DF" w14:textId="77777777" w:rsidR="008B5290" w:rsidRPr="00DF29F0" w:rsidRDefault="006F3299" w:rsidP="001A2183">
      <w:pPr>
        <w:pStyle w:val="Heading1Annex"/>
      </w:pPr>
      <w:bookmarkStart w:id="33" w:name="_Toc178245682"/>
      <w:r w:rsidRPr="00DF29F0">
        <w:t xml:space="preserve">III. </w:t>
      </w:r>
      <w:r w:rsidRPr="00DF29F0">
        <w:tab/>
        <w:t>Leistungskriterien für ein neues, auf molekularen Markern basierendes Protokoll</w:t>
      </w:r>
      <w:bookmarkEnd w:id="33"/>
    </w:p>
    <w:p w14:paraId="22185B4C" w14:textId="77777777" w:rsidR="00550FF9" w:rsidRPr="00DF29F0" w:rsidRDefault="00550FF9" w:rsidP="00550FF9">
      <w:pPr>
        <w:rPr>
          <w:lang w:eastAsia="fr-FR"/>
        </w:rPr>
      </w:pPr>
    </w:p>
    <w:p w14:paraId="1B7335BF" w14:textId="77777777" w:rsidR="008B5290" w:rsidRPr="00DF29F0" w:rsidRDefault="006F3299">
      <w:pPr>
        <w:pStyle w:val="Heading2Annex"/>
        <w:rPr>
          <w:lang w:val="de-DE"/>
        </w:rPr>
      </w:pPr>
      <w:bookmarkStart w:id="34" w:name="_Toc178245683"/>
      <w:r w:rsidRPr="00DF29F0">
        <w:rPr>
          <w:lang w:val="de-DE"/>
        </w:rPr>
        <w:t>Spezifität</w:t>
      </w:r>
      <w:bookmarkEnd w:id="34"/>
    </w:p>
    <w:p w14:paraId="2DE1B0A3" w14:textId="77777777" w:rsidR="00550FF9" w:rsidRPr="00DF29F0" w:rsidRDefault="00550FF9" w:rsidP="00550FF9">
      <w:pPr>
        <w:rPr>
          <w:lang w:eastAsia="fr-FR"/>
        </w:rPr>
      </w:pPr>
    </w:p>
    <w:p w14:paraId="4642254C" w14:textId="77777777" w:rsidR="008B5290" w:rsidRPr="00DF29F0" w:rsidRDefault="006F3299">
      <w:pPr>
        <w:pStyle w:val="Heading3Annex"/>
        <w:rPr>
          <w:lang w:val="de-DE"/>
        </w:rPr>
      </w:pPr>
      <w:bookmarkStart w:id="35" w:name="_Toc178245684"/>
      <w:r w:rsidRPr="00DF29F0">
        <w:rPr>
          <w:lang w:val="de-DE"/>
        </w:rPr>
        <w:t>Definition</w:t>
      </w:r>
      <w:bookmarkEnd w:id="35"/>
    </w:p>
    <w:p w14:paraId="729DA468" w14:textId="77777777" w:rsidR="00550FF9" w:rsidRPr="00DF29F0" w:rsidRDefault="00550FF9" w:rsidP="00550FF9">
      <w:pPr>
        <w:rPr>
          <w:u w:val="single"/>
          <w:lang w:eastAsia="fr-FR"/>
        </w:rPr>
      </w:pPr>
    </w:p>
    <w:p w14:paraId="24B914C8"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36" w:author="SANCHEZ VIZCAINO GOMEZ Rosa Maria" w:date="2024-09-23T14:37:00Z" w16du:dateUtc="2024-09-23T12:37:00Z" w:original="4."/>
        </w:fldChar>
      </w:r>
      <w:r w:rsidR="00550FF9" w:rsidRPr="00DF29F0">
        <w:rPr>
          <w:lang w:eastAsia="fr-FR"/>
        </w:rPr>
        <w:tab/>
        <w:t xml:space="preserve">Korrelation zwischen dem Genotyp und dem Phänotyp, </w:t>
      </w:r>
      <w:r w:rsidR="00550FF9" w:rsidRPr="00DF29F0">
        <w:rPr>
          <w:i/>
          <w:iCs/>
          <w:lang w:eastAsia="fr-FR"/>
        </w:rPr>
        <w:t xml:space="preserve">d. h. die </w:t>
      </w:r>
      <w:r w:rsidR="00550FF9" w:rsidRPr="00DF29F0">
        <w:rPr>
          <w:lang w:eastAsia="fr-FR"/>
        </w:rPr>
        <w:t>Zuverlässigkeit der Verbindung zwischen dem Marker und dem Merkmal.</w:t>
      </w:r>
    </w:p>
    <w:p w14:paraId="6B5EFED1" w14:textId="77777777" w:rsidR="00550FF9" w:rsidRPr="00DF29F0" w:rsidRDefault="00550FF9" w:rsidP="00550FF9">
      <w:pPr>
        <w:rPr>
          <w:lang w:eastAsia="fr-FR"/>
        </w:rPr>
      </w:pPr>
    </w:p>
    <w:p w14:paraId="366280AD" w14:textId="77777777" w:rsidR="008B5290" w:rsidRPr="00DF29F0" w:rsidRDefault="006F3299">
      <w:pPr>
        <w:pStyle w:val="Heading3Annex"/>
        <w:rPr>
          <w:lang w:val="de-DE"/>
        </w:rPr>
      </w:pPr>
      <w:bookmarkStart w:id="37" w:name="_Toc178245685"/>
      <w:r w:rsidRPr="00DF29F0">
        <w:rPr>
          <w:lang w:val="de-DE"/>
        </w:rPr>
        <w:t>Anforderung</w:t>
      </w:r>
      <w:bookmarkEnd w:id="37"/>
    </w:p>
    <w:p w14:paraId="7BEF4449" w14:textId="77777777" w:rsidR="00550FF9" w:rsidRPr="00DF29F0" w:rsidRDefault="00550FF9" w:rsidP="00550FF9">
      <w:pPr>
        <w:rPr>
          <w:u w:val="single"/>
          <w:lang w:eastAsia="fr-FR"/>
        </w:rPr>
      </w:pPr>
    </w:p>
    <w:p w14:paraId="251BA3C0" w14:textId="59A4F8DA"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38" w:author="SANCHEZ VIZCAINO GOMEZ Rosa Maria" w:date="2024-09-23T14:37:00Z" w16du:dateUtc="2024-09-23T12:37:00Z" w:original="5."/>
        </w:fldChar>
      </w:r>
      <w:r w:rsidR="00550FF9" w:rsidRPr="00DF29F0">
        <w:rPr>
          <w:lang w:eastAsia="fr-FR"/>
        </w:rPr>
        <w:tab/>
        <w:t>Im Prinzip 100%ige Korrelation zwischen Genotyp und Phänotyp. Wenn die Korrelation weniger als 100% beträgt, sollte(n) ein oder mehrere Folgetests durchgeführt werden, um die Zuverlässigkeit der Ergebnisse zu gewährleisten. In diesem Fall kann eine Entscheidungsregel verwendet werden. Eine Korrelation von weniger als 100% kann durch andere genetische Faktoren bedingt sein. Sie kann auch darauf hindeuten, dass die Nichtkorrelation nicht durch den Marker, sondern durch externe Faktoren in den phänotypischen Beobachtungen (</w:t>
      </w:r>
      <w:r w:rsidR="00550FF9" w:rsidRPr="00DF29F0">
        <w:rPr>
          <w:i/>
          <w:lang w:eastAsia="fr-FR"/>
        </w:rPr>
        <w:t xml:space="preserve">z. B. </w:t>
      </w:r>
      <w:r w:rsidR="00550FF9" w:rsidRPr="00DF29F0">
        <w:rPr>
          <w:lang w:eastAsia="fr-FR"/>
        </w:rPr>
        <w:t xml:space="preserve">Biotest für eine Krankheitsresistenz) </w:t>
      </w:r>
      <w:r w:rsidR="00550FF9" w:rsidRPr="00DF29F0">
        <w:rPr>
          <w:lang w:eastAsia="fr-FR"/>
        </w:rPr>
        <w:tab/>
        <w:t xml:space="preserve">verursacht wird.  </w:t>
      </w:r>
    </w:p>
    <w:p w14:paraId="3065C0B6" w14:textId="77777777" w:rsidR="00550FF9" w:rsidRPr="00DF29F0" w:rsidRDefault="00550FF9" w:rsidP="00550FF9">
      <w:pPr>
        <w:rPr>
          <w:lang w:eastAsia="fr-FR"/>
        </w:rPr>
      </w:pPr>
    </w:p>
    <w:p w14:paraId="4A9ED64A" w14:textId="77777777" w:rsidR="008B5290" w:rsidRPr="00DF29F0" w:rsidRDefault="006F3299">
      <w:pPr>
        <w:pStyle w:val="Heading2Annex"/>
        <w:rPr>
          <w:lang w:val="de-DE"/>
        </w:rPr>
      </w:pPr>
      <w:bookmarkStart w:id="39" w:name="_Toc178245686"/>
      <w:r w:rsidRPr="00DF29F0">
        <w:rPr>
          <w:lang w:val="de-DE"/>
        </w:rPr>
        <w:t>Wie man sie bewertet</w:t>
      </w:r>
      <w:bookmarkEnd w:id="39"/>
    </w:p>
    <w:p w14:paraId="4A8FBC5C" w14:textId="77777777" w:rsidR="00550FF9" w:rsidRPr="00DF29F0" w:rsidRDefault="00550FF9" w:rsidP="00550FF9">
      <w:pPr>
        <w:rPr>
          <w:u w:val="single"/>
          <w:lang w:eastAsia="fr-FR"/>
        </w:rPr>
      </w:pPr>
    </w:p>
    <w:p w14:paraId="0739E958"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40" w:author="SANCHEZ VIZCAINO GOMEZ Rosa Maria" w:date="2024-09-23T14:37:00Z" w16du:dateUtc="2024-09-23T12:37:00Z" w:original="6."/>
        </w:fldChar>
      </w:r>
      <w:r w:rsidR="00550FF9" w:rsidRPr="00DF29F0">
        <w:rPr>
          <w:lang w:eastAsia="fr-FR"/>
        </w:rPr>
        <w:tab/>
        <w:t>Anzahl der Sorten: "</w:t>
      </w:r>
      <w:r w:rsidR="00550FF9" w:rsidRPr="00DF29F0">
        <w:rPr>
          <w:i/>
          <w:iCs/>
          <w:highlight w:val="yellow"/>
          <w:lang w:eastAsia="fr-FR"/>
        </w:rPr>
        <w:t>Zu Beginn des Markerauswahlprozesses ist eine angemessene Anzahl von Sorten (Entwicklungsreihe) erforderlich, die höchstens die innerhalb der Gruppe/Kulturpflanze/Art/Typ, für die die Marker unterscheidend sein sollen, beobachtete Vielfalt widerspiegelt</w:t>
      </w:r>
      <w:r w:rsidR="00550FF9" w:rsidRPr="00DF29F0">
        <w:rPr>
          <w:highlight w:val="yellow"/>
          <w:lang w:eastAsia="fr-FR"/>
        </w:rPr>
        <w:t>.</w:t>
      </w:r>
      <w:r w:rsidR="00550FF9" w:rsidRPr="00DF29F0">
        <w:rPr>
          <w:lang w:eastAsia="fr-FR"/>
        </w:rPr>
        <w:t xml:space="preserve">" </w:t>
      </w:r>
    </w:p>
    <w:p w14:paraId="53B9993A" w14:textId="77777777" w:rsidR="00550FF9" w:rsidRPr="00DF29F0" w:rsidRDefault="00550FF9" w:rsidP="00550FF9">
      <w:pPr>
        <w:rPr>
          <w:lang w:eastAsia="fr-FR"/>
        </w:rPr>
      </w:pPr>
    </w:p>
    <w:p w14:paraId="1238321F" w14:textId="77777777" w:rsidR="008B5290" w:rsidRPr="00DF29F0" w:rsidRDefault="006F3299">
      <w:pPr>
        <w:keepLines/>
        <w:rPr>
          <w:lang w:eastAsia="fr-FR"/>
        </w:rPr>
      </w:pPr>
      <w:r w:rsidRPr="00DF29F0">
        <w:fldChar w:fldCharType="begin"/>
      </w:r>
      <w:r w:rsidRPr="00DF29F0">
        <w:instrText xml:space="preserve"> LISTNUM  LegalDefault \l 1 </w:instrText>
      </w:r>
      <w:r w:rsidRPr="00DF29F0">
        <w:fldChar w:fldCharType="end">
          <w:numberingChange w:id="41" w:author="SANCHEZ VIZCAINO GOMEZ Rosa Maria" w:date="2024-09-23T14:37:00Z" w16du:dateUtc="2024-09-23T12:37:00Z" w:original="7."/>
        </w:fldChar>
      </w:r>
      <w:r w:rsidR="00550FF9" w:rsidRPr="00DF29F0">
        <w:rPr>
          <w:lang w:eastAsia="fr-FR"/>
        </w:rPr>
        <w:tab/>
        <w:t>Die Sorten sollten die verschiedenen Ausprägungsstufen repräsentieren (falls Sorten mit heterozygoter und homozygoter Ausprägung bekannt sind), von verschiedenen Saatgutunternehmen stammen und einen unterschiedlichen genetischen Hintergrund für das Merkmal und verschiedene Typen aufweisen. Wenn verfügbar, sollten gut phänotypisch charakterisierte Sorten für das Merkmal von Interesse verwendet werden.</w:t>
      </w:r>
    </w:p>
    <w:p w14:paraId="10E77FE5" w14:textId="77777777" w:rsidR="00550FF9" w:rsidRPr="00DF29F0" w:rsidRDefault="00550FF9" w:rsidP="00550FF9">
      <w:pPr>
        <w:rPr>
          <w:lang w:eastAsia="fr-FR"/>
        </w:rPr>
      </w:pPr>
    </w:p>
    <w:p w14:paraId="1C222340"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42" w:author="SANCHEZ VIZCAINO GOMEZ Rosa Maria" w:date="2024-09-23T14:37:00Z" w16du:dateUtc="2024-09-23T12:37:00Z" w:original="8."/>
        </w:fldChar>
      </w:r>
      <w:r w:rsidR="00550FF9" w:rsidRPr="00DF29F0">
        <w:rPr>
          <w:lang w:eastAsia="fr-FR"/>
        </w:rPr>
        <w:tab/>
        <w:t>Anzahl der Pflanzen pro Sorte: Mindestens eine Pflanze je Sorte, wenn phänotypisch gut charakterisierte Sorten vorhanden sind. Ist dies nicht der Fall, muß die Anzahl der Pflanzen dieselbe sein wie bei der in der UPOV-Richtlinie beschriebenen morphologischen Erfassung.</w:t>
      </w:r>
    </w:p>
    <w:p w14:paraId="64AF046C" w14:textId="77777777" w:rsidR="00550FF9" w:rsidRPr="00DF29F0" w:rsidRDefault="00550FF9" w:rsidP="00550FF9">
      <w:pPr>
        <w:rPr>
          <w:lang w:eastAsia="fr-FR"/>
        </w:rPr>
      </w:pPr>
    </w:p>
    <w:p w14:paraId="29498997"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43" w:author="SANCHEZ VIZCAINO GOMEZ Rosa Maria" w:date="2024-09-23T14:37:00Z" w16du:dateUtc="2024-09-23T12:37:00Z" w:original="9."/>
        </w:fldChar>
      </w:r>
      <w:r w:rsidR="00550FF9" w:rsidRPr="00DF29F0">
        <w:rPr>
          <w:lang w:eastAsia="fr-FR"/>
        </w:rPr>
        <w:tab/>
        <w:t>Die Spezifität kann innerhalb eines Labors beurteilt werden.</w:t>
      </w:r>
    </w:p>
    <w:p w14:paraId="05301DFB" w14:textId="77777777" w:rsidR="00550FF9" w:rsidRPr="00DF29F0" w:rsidRDefault="00550FF9" w:rsidP="00550FF9">
      <w:pPr>
        <w:rPr>
          <w:lang w:eastAsia="fr-FR"/>
        </w:rPr>
      </w:pPr>
    </w:p>
    <w:p w14:paraId="21FADB89" w14:textId="77777777" w:rsidR="008B5290" w:rsidRPr="00DF29F0" w:rsidRDefault="006F3299">
      <w:pPr>
        <w:pStyle w:val="Heading2Annex"/>
        <w:rPr>
          <w:lang w:val="de-DE"/>
        </w:rPr>
      </w:pPr>
      <w:bookmarkStart w:id="44" w:name="_Toc178245687"/>
      <w:r w:rsidRPr="00DF29F0">
        <w:rPr>
          <w:lang w:val="de-DE"/>
        </w:rPr>
        <w:t>Empfindlichkeit und Nachweisgrenze</w:t>
      </w:r>
      <w:bookmarkEnd w:id="44"/>
    </w:p>
    <w:p w14:paraId="2FC4D6D6" w14:textId="77777777" w:rsidR="00550FF9" w:rsidRPr="00DF29F0" w:rsidRDefault="00550FF9" w:rsidP="00550FF9">
      <w:pPr>
        <w:rPr>
          <w:lang w:eastAsia="fr-FR"/>
        </w:rPr>
      </w:pPr>
    </w:p>
    <w:p w14:paraId="2D728ED5" w14:textId="77777777" w:rsidR="008B5290" w:rsidRPr="00DF29F0" w:rsidRDefault="006F3299">
      <w:pPr>
        <w:pStyle w:val="Heading3Annex"/>
        <w:rPr>
          <w:lang w:val="de-DE"/>
        </w:rPr>
      </w:pPr>
      <w:bookmarkStart w:id="45" w:name="_Toc178245688"/>
      <w:r w:rsidRPr="00DF29F0">
        <w:rPr>
          <w:lang w:val="de-DE"/>
        </w:rPr>
        <w:t>Definition</w:t>
      </w:r>
      <w:bookmarkEnd w:id="45"/>
    </w:p>
    <w:p w14:paraId="1EDE58F9" w14:textId="77777777" w:rsidR="00550FF9" w:rsidRPr="00DF29F0" w:rsidRDefault="00550FF9" w:rsidP="00550FF9">
      <w:pPr>
        <w:rPr>
          <w:u w:val="single"/>
          <w:lang w:eastAsia="fr-FR"/>
        </w:rPr>
      </w:pPr>
    </w:p>
    <w:p w14:paraId="530808E5"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46" w:author="SANCHEZ VIZCAINO GOMEZ Rosa Maria" w:date="2024-09-23T14:37:00Z" w16du:dateUtc="2024-09-23T12:37:00Z" w:original="10."/>
        </w:fldChar>
      </w:r>
      <w:r w:rsidR="00550FF9" w:rsidRPr="00DF29F0">
        <w:rPr>
          <w:lang w:eastAsia="fr-FR"/>
        </w:rPr>
        <w:tab/>
        <w:t>Die Nachweisgrenze ist definiert als die minimale Menge des Ziels, die zuverlässig nachgewiesen werden kann.</w:t>
      </w:r>
    </w:p>
    <w:p w14:paraId="764A1B1F" w14:textId="77777777" w:rsidR="00550FF9" w:rsidRPr="00DF29F0" w:rsidRDefault="00550FF9" w:rsidP="00550FF9">
      <w:pPr>
        <w:rPr>
          <w:lang w:eastAsia="fr-FR"/>
        </w:rPr>
      </w:pPr>
    </w:p>
    <w:p w14:paraId="13FF5D9D" w14:textId="77777777" w:rsidR="008B5290" w:rsidRPr="00DF29F0" w:rsidRDefault="006F3299">
      <w:pPr>
        <w:rPr>
          <w:lang w:eastAsia="fr-FR"/>
        </w:rPr>
      </w:pPr>
      <w:r w:rsidRPr="00DF29F0">
        <w:lastRenderedPageBreak/>
        <w:fldChar w:fldCharType="begin"/>
      </w:r>
      <w:r w:rsidRPr="00DF29F0">
        <w:instrText xml:space="preserve"> LISTNUM  LegalDefault \l 1 </w:instrText>
      </w:r>
      <w:r w:rsidRPr="00DF29F0">
        <w:fldChar w:fldCharType="end">
          <w:numberingChange w:id="47" w:author="SANCHEZ VIZCAINO GOMEZ Rosa Maria" w:date="2024-09-23T14:37:00Z" w16du:dateUtc="2024-09-23T12:37:00Z" w:original="11."/>
        </w:fldChar>
      </w:r>
      <w:r w:rsidR="00550FF9" w:rsidRPr="00DF29F0">
        <w:rPr>
          <w:lang w:eastAsia="fr-FR"/>
        </w:rPr>
        <w:tab/>
        <w:t>Bei Analysen von Sammelproben (</w:t>
      </w:r>
      <w:r w:rsidR="00550FF9" w:rsidRPr="00DF29F0">
        <w:rPr>
          <w:i/>
          <w:iCs/>
          <w:lang w:eastAsia="fr-FR"/>
        </w:rPr>
        <w:t xml:space="preserve">z. B. </w:t>
      </w:r>
      <w:r w:rsidR="00550FF9" w:rsidRPr="00DF29F0">
        <w:rPr>
          <w:lang w:eastAsia="fr-FR"/>
        </w:rPr>
        <w:t>Pool von verschiedenen Pflanzen derselben Sorte) ist die Empfindlichkeit entscheidend und muss bewertet werden. Bei der Verwendung an einzelnen Pflanzen ist die Menge des Ziels nicht entscheidend und dieses Leistungskriterium ist fakultativ.</w:t>
      </w:r>
    </w:p>
    <w:p w14:paraId="46B7127F" w14:textId="77777777" w:rsidR="00550FF9" w:rsidRPr="00DF29F0" w:rsidRDefault="00550FF9" w:rsidP="00550FF9">
      <w:pPr>
        <w:rPr>
          <w:lang w:eastAsia="fr-FR"/>
        </w:rPr>
      </w:pPr>
    </w:p>
    <w:p w14:paraId="784D7065" w14:textId="77777777" w:rsidR="008B5290" w:rsidRPr="00DF29F0" w:rsidRDefault="006F3299">
      <w:pPr>
        <w:pStyle w:val="Heading3Annex"/>
        <w:rPr>
          <w:lang w:val="de-DE"/>
        </w:rPr>
      </w:pPr>
      <w:bookmarkStart w:id="48" w:name="_Toc178245689"/>
      <w:r w:rsidRPr="00DF29F0">
        <w:rPr>
          <w:lang w:val="de-DE"/>
        </w:rPr>
        <w:t>Anforderung</w:t>
      </w:r>
      <w:bookmarkEnd w:id="48"/>
    </w:p>
    <w:p w14:paraId="4DDDBFDD" w14:textId="77777777" w:rsidR="00550FF9" w:rsidRPr="00DF29F0" w:rsidRDefault="00550FF9" w:rsidP="00550FF9">
      <w:pPr>
        <w:rPr>
          <w:lang w:eastAsia="fr-FR"/>
        </w:rPr>
      </w:pPr>
    </w:p>
    <w:p w14:paraId="4F164DC9"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49" w:author="SANCHEZ VIZCAINO GOMEZ Rosa Maria" w:date="2024-09-23T14:37:00Z" w16du:dateUtc="2024-09-23T12:37:00Z" w:original="12."/>
        </w:fldChar>
      </w:r>
      <w:r w:rsidR="00550FF9" w:rsidRPr="00DF29F0">
        <w:rPr>
          <w:lang w:eastAsia="fr-FR"/>
        </w:rPr>
        <w:tab/>
        <w:t>Im Falle des Pools wäre die Anforderung, mindestens einen Abweicher im Pool zu entdecken.</w:t>
      </w:r>
    </w:p>
    <w:p w14:paraId="25B30352" w14:textId="77777777" w:rsidR="00550FF9" w:rsidRPr="00DF29F0" w:rsidRDefault="00550FF9" w:rsidP="00550FF9">
      <w:pPr>
        <w:rPr>
          <w:lang w:eastAsia="fr-FR"/>
        </w:rPr>
      </w:pPr>
    </w:p>
    <w:p w14:paraId="5F931876" w14:textId="77777777" w:rsidR="008B5290" w:rsidRPr="00DF29F0" w:rsidRDefault="006F3299">
      <w:pPr>
        <w:keepNext/>
        <w:outlineLvl w:val="2"/>
        <w:rPr>
          <w:i/>
          <w:lang w:eastAsia="fr-FR"/>
        </w:rPr>
      </w:pPr>
      <w:r w:rsidRPr="00DF29F0">
        <w:rPr>
          <w:i/>
          <w:lang w:eastAsia="fr-FR"/>
        </w:rPr>
        <w:t>Wie ist sie zu bewerten?</w:t>
      </w:r>
    </w:p>
    <w:p w14:paraId="291E3F22" w14:textId="77777777" w:rsidR="00550FF9" w:rsidRPr="00DF29F0" w:rsidRDefault="00550FF9" w:rsidP="00550FF9">
      <w:pPr>
        <w:rPr>
          <w:lang w:eastAsia="fr-FR"/>
        </w:rPr>
      </w:pPr>
    </w:p>
    <w:p w14:paraId="0868D425"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50" w:author="SANCHEZ VIZCAINO GOMEZ Rosa Maria" w:date="2024-09-23T14:37:00Z" w16du:dateUtc="2024-09-23T12:37:00Z" w:original="13."/>
        </w:fldChar>
      </w:r>
      <w:r w:rsidR="00550FF9" w:rsidRPr="00DF29F0">
        <w:rPr>
          <w:lang w:eastAsia="fr-FR"/>
        </w:rPr>
        <w:tab/>
        <w:t xml:space="preserve">Verwendung künstlicher Proben, indem ein Abweicher in einen Pool gemischt wird, um die Empfindlichkeit des Nachweises zu überprüfen. </w:t>
      </w:r>
    </w:p>
    <w:p w14:paraId="389F4C49" w14:textId="77777777" w:rsidR="00550FF9" w:rsidRPr="00DF29F0" w:rsidRDefault="00550FF9" w:rsidP="00550FF9">
      <w:pPr>
        <w:rPr>
          <w:lang w:eastAsia="fr-FR"/>
        </w:rPr>
      </w:pPr>
    </w:p>
    <w:p w14:paraId="523E52E0" w14:textId="77777777" w:rsidR="008B5290" w:rsidRPr="00DF29F0" w:rsidRDefault="006F3299">
      <w:pPr>
        <w:pStyle w:val="Heading2Annex"/>
        <w:rPr>
          <w:lang w:val="de-DE"/>
        </w:rPr>
      </w:pPr>
      <w:bookmarkStart w:id="51" w:name="_Toc178245690"/>
      <w:r w:rsidRPr="00DF29F0">
        <w:rPr>
          <w:lang w:val="de-DE"/>
        </w:rPr>
        <w:t>Reproduzierbarkeit</w:t>
      </w:r>
      <w:bookmarkEnd w:id="51"/>
    </w:p>
    <w:p w14:paraId="3BFE4AB8" w14:textId="77777777" w:rsidR="00550FF9" w:rsidRPr="00DF29F0" w:rsidRDefault="00550FF9" w:rsidP="00550FF9">
      <w:pPr>
        <w:keepNext/>
        <w:rPr>
          <w:lang w:eastAsia="fr-FR"/>
        </w:rPr>
      </w:pPr>
    </w:p>
    <w:p w14:paraId="25854B8A" w14:textId="77777777" w:rsidR="008B5290" w:rsidRPr="00DF29F0" w:rsidRDefault="006F3299">
      <w:pPr>
        <w:pStyle w:val="Heading3Annex"/>
        <w:rPr>
          <w:lang w:val="de-DE"/>
        </w:rPr>
      </w:pPr>
      <w:bookmarkStart w:id="52" w:name="_Toc178245691"/>
      <w:r w:rsidRPr="00DF29F0">
        <w:rPr>
          <w:lang w:val="de-DE"/>
        </w:rPr>
        <w:t xml:space="preserve">Definition </w:t>
      </w:r>
      <w:r w:rsidRPr="00DF29F0">
        <w:rPr>
          <w:highlight w:val="yellow"/>
          <w:lang w:val="de-DE"/>
        </w:rPr>
        <w:t>(basierend auf ISO 16 577:2016)</w:t>
      </w:r>
      <w:bookmarkEnd w:id="52"/>
    </w:p>
    <w:p w14:paraId="05AFA6AE" w14:textId="77777777" w:rsidR="00550FF9" w:rsidRPr="00DF29F0" w:rsidRDefault="00550FF9" w:rsidP="00550FF9">
      <w:pPr>
        <w:rPr>
          <w:highlight w:val="yellow"/>
          <w:lang w:eastAsia="fr-FR"/>
        </w:rPr>
      </w:pPr>
    </w:p>
    <w:p w14:paraId="3E9A27DE" w14:textId="64DF3C4D"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53" w:author="SANCHEZ VIZCAINO GOMEZ Rosa Maria" w:date="2024-09-23T14:37:00Z" w16du:dateUtc="2024-09-23T12:37:00Z" w:original="14."/>
        </w:fldChar>
      </w:r>
      <w:r w:rsidR="00D804E1">
        <w:tab/>
      </w:r>
      <w:r w:rsidR="00550FF9" w:rsidRPr="00D804E1">
        <w:rPr>
          <w:i/>
          <w:iCs/>
          <w:lang w:eastAsia="fr-FR"/>
        </w:rPr>
        <w:t>"</w:t>
      </w:r>
      <w:r w:rsidR="00550FF9" w:rsidRPr="00DF29F0">
        <w:rPr>
          <w:i/>
          <w:iCs/>
          <w:highlight w:val="yellow"/>
          <w:lang w:eastAsia="fr-FR"/>
        </w:rPr>
        <w:t>Wiederholbarkeit; wenn identische Prüfergebnisse mit der gleichen Methode, an identischen Prüfgegenständen, im gleichen Labor, durch den gleichen Bediener, unter Verwendung der gleichen Ausrüstung innerhalb kurzer Zeitabstände erzielt werden</w:t>
      </w:r>
      <w:r w:rsidR="00D804E1">
        <w:rPr>
          <w:i/>
          <w:iCs/>
          <w:lang w:eastAsia="fr-FR"/>
        </w:rPr>
        <w:t>.</w:t>
      </w:r>
      <w:r w:rsidR="00550FF9" w:rsidRPr="00DF29F0">
        <w:rPr>
          <w:i/>
          <w:iCs/>
          <w:lang w:eastAsia="fr-FR"/>
        </w:rPr>
        <w:t>"</w:t>
      </w:r>
    </w:p>
    <w:p w14:paraId="3AF85481" w14:textId="77777777" w:rsidR="00550FF9" w:rsidRPr="00DF29F0" w:rsidRDefault="00550FF9" w:rsidP="00550FF9">
      <w:pPr>
        <w:rPr>
          <w:lang w:eastAsia="fr-FR"/>
        </w:rPr>
      </w:pPr>
    </w:p>
    <w:p w14:paraId="63CE9F12"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54" w:author="SANCHEZ VIZCAINO GOMEZ Rosa Maria" w:date="2024-09-23T14:37:00Z" w16du:dateUtc="2024-09-23T12:37:00Z" w:original="15."/>
        </w:fldChar>
      </w:r>
      <w:r w:rsidR="00550FF9" w:rsidRPr="00DF29F0">
        <w:rPr>
          <w:lang w:eastAsia="fr-FR"/>
        </w:rPr>
        <w:tab/>
        <w:t xml:space="preserve">Bei qualitativen Methoden entspricht die Übereinstimmung der Wiederholbarkeit von quantitativen Methoden (Langton </w:t>
      </w:r>
      <w:r w:rsidR="00550FF9" w:rsidRPr="00DF29F0">
        <w:rPr>
          <w:i/>
          <w:iCs/>
          <w:lang w:eastAsia="fr-FR"/>
        </w:rPr>
        <w:t>et al</w:t>
      </w:r>
      <w:r w:rsidR="00550FF9" w:rsidRPr="00DF29F0">
        <w:rPr>
          <w:lang w:eastAsia="fr-FR"/>
        </w:rPr>
        <w:t>., 2002).</w:t>
      </w:r>
    </w:p>
    <w:p w14:paraId="08B956F3" w14:textId="77777777" w:rsidR="00550FF9" w:rsidRPr="00DF29F0" w:rsidRDefault="00550FF9" w:rsidP="00550FF9">
      <w:pPr>
        <w:rPr>
          <w:u w:val="single"/>
          <w:lang w:eastAsia="fr-FR"/>
        </w:rPr>
      </w:pPr>
    </w:p>
    <w:p w14:paraId="494960D9" w14:textId="77777777" w:rsidR="008B5290" w:rsidRPr="00DF29F0" w:rsidRDefault="006F3299">
      <w:pPr>
        <w:pStyle w:val="Heading3Annex"/>
        <w:rPr>
          <w:lang w:val="de-DE"/>
        </w:rPr>
      </w:pPr>
      <w:bookmarkStart w:id="55" w:name="_Toc178245692"/>
      <w:r w:rsidRPr="00DF29F0">
        <w:rPr>
          <w:lang w:val="de-DE"/>
        </w:rPr>
        <w:t>Anforderung</w:t>
      </w:r>
      <w:bookmarkEnd w:id="55"/>
    </w:p>
    <w:p w14:paraId="1F1543FE" w14:textId="77777777" w:rsidR="00550FF9" w:rsidRPr="00DF29F0" w:rsidRDefault="00550FF9" w:rsidP="00550FF9">
      <w:pPr>
        <w:rPr>
          <w:lang w:eastAsia="fr-FR"/>
        </w:rPr>
      </w:pPr>
    </w:p>
    <w:p w14:paraId="0DDE34FA" w14:textId="178F2C69"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56" w:author="SANCHEZ VIZCAINO GOMEZ Rosa Maria" w:date="2024-09-23T14:37:00Z" w16du:dateUtc="2024-09-23T12:37:00Z" w:original="16."/>
        </w:fldChar>
      </w:r>
      <w:r w:rsidR="00550FF9" w:rsidRPr="00DF29F0">
        <w:rPr>
          <w:lang w:eastAsia="fr-FR"/>
        </w:rPr>
        <w:tab/>
        <w:t>Idealerweise 100</w:t>
      </w:r>
      <w:r w:rsidR="00D804E1">
        <w:rPr>
          <w:lang w:eastAsia="fr-FR"/>
        </w:rPr>
        <w:t>%</w:t>
      </w:r>
      <w:r w:rsidR="00550FF9" w:rsidRPr="00DF29F0">
        <w:rPr>
          <w:lang w:eastAsia="fr-FR"/>
        </w:rPr>
        <w:t>, eine Leistung ≥90</w:t>
      </w:r>
      <w:r w:rsidR="00D804E1">
        <w:rPr>
          <w:lang w:eastAsia="fr-FR"/>
        </w:rPr>
        <w:t>%</w:t>
      </w:r>
      <w:r w:rsidR="00550FF9" w:rsidRPr="00DF29F0">
        <w:rPr>
          <w:lang w:eastAsia="fr-FR"/>
        </w:rPr>
        <w:t xml:space="preserve"> wird allgemein akzeptiert. Wenn die Wiederholbarkeit der Referenzmethode veröffentlicht wird, sollte die Wiederholbarkeit der Alternativmethode mindestens gleichwertig sein. </w:t>
      </w:r>
    </w:p>
    <w:p w14:paraId="20A31C29" w14:textId="77777777" w:rsidR="00550FF9" w:rsidRPr="00DF29F0" w:rsidRDefault="00550FF9" w:rsidP="00550FF9">
      <w:pPr>
        <w:rPr>
          <w:lang w:eastAsia="fr-FR"/>
        </w:rPr>
      </w:pPr>
    </w:p>
    <w:p w14:paraId="2C7C135C" w14:textId="77777777" w:rsidR="008B5290" w:rsidRPr="00DF29F0" w:rsidRDefault="006F3299">
      <w:pPr>
        <w:pStyle w:val="Heading3Annex"/>
        <w:rPr>
          <w:lang w:val="de-DE"/>
        </w:rPr>
      </w:pPr>
      <w:bookmarkStart w:id="57" w:name="_Toc178245693"/>
      <w:r w:rsidRPr="00DF29F0">
        <w:rPr>
          <w:lang w:val="de-DE"/>
        </w:rPr>
        <w:t>Wie ist sie zu bewerten?</w:t>
      </w:r>
      <w:bookmarkEnd w:id="57"/>
    </w:p>
    <w:p w14:paraId="2EFF6852" w14:textId="77777777" w:rsidR="00550FF9" w:rsidRPr="00DF29F0" w:rsidRDefault="00550FF9" w:rsidP="00550FF9">
      <w:pPr>
        <w:rPr>
          <w:lang w:eastAsia="fr-FR"/>
        </w:rPr>
      </w:pPr>
    </w:p>
    <w:p w14:paraId="1751D899"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58" w:author="SANCHEZ VIZCAINO GOMEZ Rosa Maria" w:date="2024-09-23T14:37:00Z" w16du:dateUtc="2024-09-23T12:37:00Z" w:original="17."/>
        </w:fldChar>
      </w:r>
      <w:r w:rsidR="00550FF9" w:rsidRPr="00DF29F0">
        <w:rPr>
          <w:lang w:eastAsia="fr-FR"/>
        </w:rPr>
        <w:tab/>
        <w:t>Die Wiederholbarkeit kann innerhalb eines Labors bewertet werden.</w:t>
      </w:r>
    </w:p>
    <w:p w14:paraId="39EF3202" w14:textId="77777777" w:rsidR="00550FF9" w:rsidRPr="00DF29F0" w:rsidRDefault="00550FF9" w:rsidP="00550FF9">
      <w:pPr>
        <w:rPr>
          <w:lang w:eastAsia="fr-FR"/>
        </w:rPr>
      </w:pPr>
    </w:p>
    <w:p w14:paraId="285E5B0F" w14:textId="63195400"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59" w:author="SANCHEZ VIZCAINO GOMEZ Rosa Maria" w:date="2024-09-23T14:37:00Z" w16du:dateUtc="2024-09-23T12:37:00Z" w:original="18."/>
        </w:fldChar>
      </w:r>
      <w:r w:rsidR="00550FF9" w:rsidRPr="00DF29F0">
        <w:rPr>
          <w:lang w:eastAsia="fr-FR"/>
        </w:rPr>
        <w:tab/>
        <w:t>Mindestens drei technische Wiederholungen von ein und derselben Pflanze (drei unabhängige DNA-Extraktionen). Mindestens alle erwarteten Genotyp-Typen müssen enthalten sein.</w:t>
      </w:r>
    </w:p>
    <w:p w14:paraId="46D80A3E" w14:textId="77777777" w:rsidR="00550FF9" w:rsidRPr="00DF29F0" w:rsidRDefault="00550FF9" w:rsidP="00550FF9">
      <w:pPr>
        <w:rPr>
          <w:lang w:eastAsia="fr-FR"/>
        </w:rPr>
      </w:pPr>
    </w:p>
    <w:p w14:paraId="690DC46A" w14:textId="77777777" w:rsidR="008B5290" w:rsidRPr="00DF29F0" w:rsidRDefault="006F3299">
      <w:pPr>
        <w:pStyle w:val="Heading2Annex"/>
        <w:rPr>
          <w:lang w:val="de-DE"/>
        </w:rPr>
      </w:pPr>
      <w:bookmarkStart w:id="60" w:name="_Toc178245694"/>
      <w:r w:rsidRPr="00DF29F0">
        <w:rPr>
          <w:lang w:val="de-DE"/>
        </w:rPr>
        <w:t>Reproduzierbarkeit</w:t>
      </w:r>
      <w:bookmarkEnd w:id="60"/>
    </w:p>
    <w:p w14:paraId="5034F2D2" w14:textId="77777777" w:rsidR="00550FF9" w:rsidRPr="00DF29F0" w:rsidRDefault="00550FF9" w:rsidP="00550FF9">
      <w:pPr>
        <w:rPr>
          <w:lang w:eastAsia="fr-FR"/>
        </w:rPr>
      </w:pPr>
    </w:p>
    <w:p w14:paraId="1A5433BD" w14:textId="77777777" w:rsidR="008B5290" w:rsidRPr="00DF29F0" w:rsidRDefault="006F3299">
      <w:pPr>
        <w:pStyle w:val="Heading3Annex"/>
        <w:rPr>
          <w:lang w:val="de-DE"/>
        </w:rPr>
      </w:pPr>
      <w:bookmarkStart w:id="61" w:name="_Toc178245695"/>
      <w:r w:rsidRPr="00DF29F0">
        <w:rPr>
          <w:lang w:val="de-DE"/>
        </w:rPr>
        <w:t xml:space="preserve">Definition </w:t>
      </w:r>
      <w:r w:rsidRPr="00DF29F0">
        <w:rPr>
          <w:highlight w:val="yellow"/>
          <w:lang w:val="de-DE"/>
        </w:rPr>
        <w:t>(basierend auf ISO 16 577:2016)</w:t>
      </w:r>
      <w:bookmarkEnd w:id="61"/>
    </w:p>
    <w:p w14:paraId="2B519E25" w14:textId="77777777" w:rsidR="00550FF9" w:rsidRPr="00DF29F0" w:rsidRDefault="00550FF9" w:rsidP="00550FF9">
      <w:pPr>
        <w:rPr>
          <w:highlight w:val="yellow"/>
          <w:lang w:eastAsia="fr-FR"/>
        </w:rPr>
      </w:pPr>
    </w:p>
    <w:p w14:paraId="752CCC07" w14:textId="5DB871C5" w:rsidR="008B5290" w:rsidRPr="00DF29F0" w:rsidRDefault="006F3299">
      <w:pPr>
        <w:rPr>
          <w:lang w:eastAsia="fr-FR"/>
        </w:rPr>
      </w:pPr>
      <w:r w:rsidRPr="00DF29F0">
        <w:rPr>
          <w:highlight w:val="yellow"/>
        </w:rPr>
        <w:fldChar w:fldCharType="begin"/>
      </w:r>
      <w:r w:rsidRPr="00DF29F0">
        <w:rPr>
          <w:highlight w:val="yellow"/>
        </w:rPr>
        <w:instrText xml:space="preserve"> LISTNUM  LegalDefault \l 1 </w:instrText>
      </w:r>
      <w:r w:rsidRPr="00DF29F0">
        <w:rPr>
          <w:highlight w:val="yellow"/>
        </w:rPr>
        <w:fldChar w:fldCharType="end">
          <w:numberingChange w:id="62" w:author="SANCHEZ VIZCAINO GOMEZ Rosa Maria" w:date="2024-09-23T14:37:00Z" w16du:dateUtc="2024-09-23T12:37:00Z" w:original="19."/>
        </w:fldChar>
      </w:r>
      <w:r w:rsidR="00D804E1">
        <w:rPr>
          <w:highlight w:val="yellow"/>
        </w:rPr>
        <w:tab/>
      </w:r>
      <w:r w:rsidR="00550FF9" w:rsidRPr="00DF29F0">
        <w:rPr>
          <w:i/>
          <w:iCs/>
          <w:highlight w:val="yellow"/>
          <w:lang w:eastAsia="fr-FR"/>
        </w:rPr>
        <w:t>"Reproduzierbarkeit; wenn die Prüfergebnisse mit derselben Methode, an identischen Prüfgegenständen, innerhalb desselben Labors oder zwischen verschiedenen Labors, mit verschiedenen Bedienern, unter Verwendung verschiedener Geräte</w:t>
      </w:r>
      <w:r w:rsidR="00550FF9" w:rsidRPr="00DF29F0">
        <w:rPr>
          <w:highlight w:val="yellow"/>
          <w:lang w:eastAsia="fr-FR"/>
        </w:rPr>
        <w:t xml:space="preserve">" </w:t>
      </w:r>
      <w:r w:rsidR="00550FF9" w:rsidRPr="00DF29F0">
        <w:rPr>
          <w:lang w:eastAsia="fr-FR"/>
        </w:rPr>
        <w:t xml:space="preserve">zu verschiedenen Zeiten </w:t>
      </w:r>
      <w:r w:rsidR="00550FF9" w:rsidRPr="00DF29F0">
        <w:rPr>
          <w:i/>
          <w:iCs/>
          <w:highlight w:val="yellow"/>
          <w:lang w:eastAsia="fr-FR"/>
        </w:rPr>
        <w:t>erzielt werden</w:t>
      </w:r>
      <w:r w:rsidR="00550FF9" w:rsidRPr="00DF29F0">
        <w:rPr>
          <w:lang w:eastAsia="fr-FR"/>
        </w:rPr>
        <w:t>.</w:t>
      </w:r>
    </w:p>
    <w:p w14:paraId="529C1989" w14:textId="77777777" w:rsidR="00550FF9" w:rsidRPr="00DF29F0" w:rsidRDefault="00550FF9" w:rsidP="00550FF9">
      <w:pPr>
        <w:rPr>
          <w:lang w:eastAsia="fr-FR"/>
        </w:rPr>
      </w:pPr>
    </w:p>
    <w:p w14:paraId="498C7350"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63" w:author="SANCHEZ VIZCAINO GOMEZ Rosa Maria" w:date="2024-09-23T14:37:00Z" w16du:dateUtc="2024-09-23T12:37:00Z" w:original="20."/>
        </w:fldChar>
      </w:r>
      <w:r w:rsidR="00550FF9" w:rsidRPr="00DF29F0">
        <w:rPr>
          <w:lang w:eastAsia="fr-FR"/>
        </w:rPr>
        <w:tab/>
        <w:t xml:space="preserve">Bei qualitativen Methoden ist die Konkordanz gleichbedeutend mit der Reproduzierbarkeit quantitativer Methoden (Langton </w:t>
      </w:r>
      <w:r w:rsidR="00550FF9" w:rsidRPr="00DF29F0">
        <w:rPr>
          <w:i/>
          <w:iCs/>
          <w:lang w:eastAsia="fr-FR"/>
        </w:rPr>
        <w:t>et al</w:t>
      </w:r>
      <w:r w:rsidR="00550FF9" w:rsidRPr="00DF29F0">
        <w:rPr>
          <w:lang w:eastAsia="fr-FR"/>
        </w:rPr>
        <w:t>., 2002).</w:t>
      </w:r>
    </w:p>
    <w:p w14:paraId="2C309609" w14:textId="77777777" w:rsidR="00550FF9" w:rsidRPr="00DF29F0" w:rsidRDefault="00550FF9" w:rsidP="00550FF9">
      <w:pPr>
        <w:rPr>
          <w:u w:val="single"/>
          <w:lang w:eastAsia="fr-FR"/>
        </w:rPr>
      </w:pPr>
    </w:p>
    <w:p w14:paraId="5EF8A62B" w14:textId="77777777" w:rsidR="008B5290" w:rsidRPr="00DF29F0" w:rsidRDefault="006F3299">
      <w:pPr>
        <w:pStyle w:val="Heading3Annex"/>
        <w:rPr>
          <w:lang w:val="de-DE"/>
        </w:rPr>
      </w:pPr>
      <w:bookmarkStart w:id="64" w:name="_Toc178245696"/>
      <w:r w:rsidRPr="00DF29F0">
        <w:rPr>
          <w:lang w:val="de-DE"/>
        </w:rPr>
        <w:t>Anforderung</w:t>
      </w:r>
      <w:bookmarkEnd w:id="64"/>
    </w:p>
    <w:p w14:paraId="040BA3BB" w14:textId="77777777" w:rsidR="00550FF9" w:rsidRPr="00DF29F0" w:rsidRDefault="00550FF9" w:rsidP="00550FF9">
      <w:pPr>
        <w:keepNext/>
        <w:rPr>
          <w:lang w:eastAsia="fr-FR"/>
        </w:rPr>
      </w:pPr>
    </w:p>
    <w:p w14:paraId="4D94E3D2" w14:textId="3DA1C272" w:rsidR="008B5290" w:rsidRPr="00DF29F0" w:rsidRDefault="006F3299">
      <w:pPr>
        <w:keepNext/>
        <w:rPr>
          <w:lang w:eastAsia="fr-FR"/>
        </w:rPr>
      </w:pPr>
      <w:r w:rsidRPr="00DF29F0">
        <w:fldChar w:fldCharType="begin"/>
      </w:r>
      <w:r w:rsidRPr="00DF29F0">
        <w:instrText xml:space="preserve"> LISTNUM  LegalDefault \l 1 </w:instrText>
      </w:r>
      <w:r w:rsidRPr="00DF29F0">
        <w:fldChar w:fldCharType="end">
          <w:numberingChange w:id="65" w:author="SANCHEZ VIZCAINO GOMEZ Rosa Maria" w:date="2024-09-23T14:37:00Z" w16du:dateUtc="2024-09-23T12:37:00Z" w:original="21."/>
        </w:fldChar>
      </w:r>
      <w:r w:rsidR="00550FF9" w:rsidRPr="00DF29F0">
        <w:rPr>
          <w:lang w:eastAsia="fr-FR"/>
        </w:rPr>
        <w:tab/>
        <w:t>Idealerweise 100</w:t>
      </w:r>
      <w:r w:rsidR="00D804E1">
        <w:rPr>
          <w:lang w:eastAsia="fr-FR"/>
        </w:rPr>
        <w:t>%</w:t>
      </w:r>
      <w:r w:rsidR="00550FF9" w:rsidRPr="00DF29F0">
        <w:rPr>
          <w:lang w:eastAsia="fr-FR"/>
        </w:rPr>
        <w:t>, eine Leistung ≥90</w:t>
      </w:r>
      <w:r w:rsidR="00D804E1">
        <w:rPr>
          <w:lang w:eastAsia="fr-FR"/>
        </w:rPr>
        <w:t>%</w:t>
      </w:r>
      <w:r w:rsidR="00550FF9" w:rsidRPr="00DF29F0">
        <w:rPr>
          <w:lang w:eastAsia="fr-FR"/>
        </w:rPr>
        <w:t xml:space="preserve"> wird allgemein akzeptiert. Wenn die Reproduzierbarkeit der Referenzmethode veröffentlicht wird, sollte die Reproduzierbarkeit der Alternativmethode mindestens gleichwertig sein. </w:t>
      </w:r>
    </w:p>
    <w:p w14:paraId="63F4D38B" w14:textId="77777777" w:rsidR="00550FF9" w:rsidRPr="00DF29F0" w:rsidRDefault="00550FF9" w:rsidP="00550FF9">
      <w:pPr>
        <w:rPr>
          <w:lang w:eastAsia="fr-FR"/>
        </w:rPr>
      </w:pPr>
    </w:p>
    <w:p w14:paraId="426456AF" w14:textId="77777777" w:rsidR="008B5290" w:rsidRPr="00DF29F0" w:rsidRDefault="006F3299">
      <w:pPr>
        <w:pStyle w:val="Heading3Annex"/>
        <w:rPr>
          <w:lang w:val="de-DE"/>
        </w:rPr>
      </w:pPr>
      <w:bookmarkStart w:id="66" w:name="_Toc178245697"/>
      <w:r w:rsidRPr="00DF29F0">
        <w:rPr>
          <w:lang w:val="de-DE"/>
        </w:rPr>
        <w:t>Wie ist sie zu bewerten?</w:t>
      </w:r>
      <w:bookmarkEnd w:id="66"/>
    </w:p>
    <w:p w14:paraId="1E5E5397" w14:textId="77777777" w:rsidR="00550FF9" w:rsidRPr="00DF29F0" w:rsidRDefault="00550FF9" w:rsidP="00550FF9">
      <w:pPr>
        <w:rPr>
          <w:lang w:eastAsia="fr-FR"/>
        </w:rPr>
      </w:pPr>
    </w:p>
    <w:p w14:paraId="23B97D6E" w14:textId="07F17061"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67" w:author="SANCHEZ VIZCAINO GOMEZ Rosa Maria" w:date="2024-09-23T14:37:00Z" w16du:dateUtc="2024-09-23T12:37:00Z" w:original="22."/>
        </w:fldChar>
      </w:r>
      <w:r w:rsidR="00550FF9" w:rsidRPr="00DF29F0">
        <w:rPr>
          <w:lang w:eastAsia="fr-FR"/>
        </w:rPr>
        <w:tab/>
        <w:t>Die Reproduzierbarkeit zwischen verschiedenen Laboratorien sollte durch eine laborübergreifende Validierungsstudie (Ringtest) mit kodierten Proben bekannter Genotypen bewertet werden. Dabei sollten alle zu erwartenden Genotypen einbezogen werden.</w:t>
      </w:r>
    </w:p>
    <w:p w14:paraId="1E0DB9EF" w14:textId="77777777" w:rsidR="00550FF9" w:rsidRPr="00DF29F0" w:rsidRDefault="00550FF9" w:rsidP="00550FF9">
      <w:pPr>
        <w:rPr>
          <w:lang w:eastAsia="fr-FR"/>
        </w:rPr>
      </w:pPr>
    </w:p>
    <w:p w14:paraId="0FA2B88E" w14:textId="5470FC99"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68" w:author="SANCHEZ VIZCAINO GOMEZ Rosa Maria" w:date="2024-09-23T14:37:00Z" w16du:dateUtc="2024-09-23T12:37:00Z" w:original="23."/>
        </w:fldChar>
      </w:r>
      <w:r w:rsidR="00550FF9" w:rsidRPr="00DF29F0">
        <w:rPr>
          <w:lang w:eastAsia="fr-FR"/>
        </w:rPr>
        <w:tab/>
        <w:t>An dem Ringtest sollten mindestens drei verschiedene Laboratorien, darunter mindestens zwei verschiedene Untersuchungsämter, beteiligt sein (</w:t>
      </w:r>
      <w:r w:rsidR="00550FF9" w:rsidRPr="00DF29F0">
        <w:rPr>
          <w:i/>
          <w:iCs/>
          <w:lang w:eastAsia="fr-FR"/>
        </w:rPr>
        <w:t xml:space="preserve">z. B. </w:t>
      </w:r>
      <w:r w:rsidR="00550FF9" w:rsidRPr="00DF29F0">
        <w:rPr>
          <w:lang w:eastAsia="fr-FR"/>
        </w:rPr>
        <w:t xml:space="preserve">waren im INVITE-Projekt drei Untersuchungsämter an der Validierungsprüfung beteiligt). Wenn möglich, sollten erfahrene Laboratorien, die mit der Tierart und der Technik vertraut sind, beteiligt sein. Falls nicht, kann vor dem Ringtest eine Schulung mit nicht codierten </w:t>
      </w:r>
      <w:r w:rsidR="00550FF9" w:rsidRPr="00DF29F0">
        <w:rPr>
          <w:lang w:eastAsia="fr-FR"/>
        </w:rPr>
        <w:lastRenderedPageBreak/>
        <w:t>Proben organisiert werden. Laboratorien können auf freiwilliger Basis an einem Ringversuch teilnehmen</w:t>
      </w:r>
      <w:r w:rsidR="00550FF9" w:rsidRPr="00DF29F0">
        <w:rPr>
          <w:lang w:eastAsia="fr-FR"/>
        </w:rPr>
        <w:noBreakHyphen/>
        <w:t>. Falls es keine Freiwilligen gibt, kann die Reproduzierbarkeit innerhalb eines Labors bestimmt werden.</w:t>
      </w:r>
    </w:p>
    <w:p w14:paraId="708ED1EF" w14:textId="77777777" w:rsidR="00550FF9" w:rsidRPr="00DF29F0" w:rsidRDefault="00550FF9" w:rsidP="00550FF9">
      <w:pPr>
        <w:rPr>
          <w:lang w:eastAsia="fr-FR"/>
        </w:rPr>
      </w:pPr>
    </w:p>
    <w:p w14:paraId="3218C06D"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69" w:author="SANCHEZ VIZCAINO GOMEZ Rosa Maria" w:date="2024-09-23T14:37:00Z" w16du:dateUtc="2024-09-23T12:37:00Z" w:original="24."/>
        </w:fldChar>
      </w:r>
      <w:r w:rsidR="00550FF9" w:rsidRPr="00DF29F0">
        <w:rPr>
          <w:lang w:eastAsia="fr-FR"/>
        </w:rPr>
        <w:tab/>
        <w:t>Alle Laboratorien müssen das zu validierende Protokoll befolgen. Im Protokoll können obligatorische und optionale Teile vom Validierungsteam festgelegt werden. Siehe z. B. das Protokoll CPVO/TP-044/4-Rev., in dem obligatorische und optionale Schritte festgelegt wurden.</w:t>
      </w:r>
    </w:p>
    <w:p w14:paraId="7A9AE026" w14:textId="77777777" w:rsidR="00550FF9" w:rsidRPr="00DF29F0" w:rsidRDefault="00550FF9" w:rsidP="00550FF9">
      <w:pPr>
        <w:rPr>
          <w:lang w:eastAsia="fr-FR"/>
        </w:rPr>
      </w:pPr>
    </w:p>
    <w:p w14:paraId="229607BE" w14:textId="0D975EBD"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70" w:author="SANCHEZ VIZCAINO GOMEZ Rosa Maria" w:date="2024-09-23T14:37:00Z" w16du:dateUtc="2024-09-23T12:37:00Z" w:original="25."/>
        </w:fldChar>
      </w:r>
      <w:r w:rsidR="00550FF9" w:rsidRPr="00DF29F0">
        <w:rPr>
          <w:lang w:eastAsia="fr-FR"/>
        </w:rPr>
        <w:tab/>
        <w:t>Anzahl der Sorten: Mindestens alle zu erwartenden Genotypentypen müssen enthalten sein.</w:t>
      </w:r>
    </w:p>
    <w:p w14:paraId="70B3DA43" w14:textId="77777777" w:rsidR="00550FF9" w:rsidRPr="00DF29F0" w:rsidRDefault="00550FF9" w:rsidP="00550FF9">
      <w:pPr>
        <w:rPr>
          <w:rFonts w:cs="Arial"/>
          <w:lang w:eastAsia="fr-FR"/>
        </w:rPr>
      </w:pPr>
    </w:p>
    <w:p w14:paraId="3EC93F2A" w14:textId="77777777" w:rsidR="008B5290" w:rsidRPr="00DF29F0" w:rsidRDefault="006F3299">
      <w:pPr>
        <w:rPr>
          <w:rFonts w:cs="Arial"/>
          <w:lang w:eastAsia="fr-FR"/>
        </w:rPr>
      </w:pPr>
      <w:r w:rsidRPr="00DF29F0">
        <w:fldChar w:fldCharType="begin"/>
      </w:r>
      <w:r w:rsidRPr="00DF29F0">
        <w:instrText xml:space="preserve"> LISTNUM  LegalDefault \l 1 </w:instrText>
      </w:r>
      <w:r w:rsidRPr="00DF29F0">
        <w:fldChar w:fldCharType="end">
          <w:numberingChange w:id="71" w:author="SANCHEZ VIZCAINO GOMEZ Rosa Maria" w:date="2024-09-23T14:37:00Z" w16du:dateUtc="2024-09-23T12:37:00Z" w:original="26."/>
        </w:fldChar>
      </w:r>
      <w:r w:rsidR="00550FF9" w:rsidRPr="00DF29F0">
        <w:rPr>
          <w:rFonts w:cs="Arial"/>
          <w:lang w:eastAsia="fr-FR"/>
        </w:rPr>
        <w:tab/>
        <w:t xml:space="preserve">Leitlinien/Normen für Ringversuche können befolgt werden: ISO 13495 </w:t>
      </w:r>
      <w:r w:rsidR="00550FF9" w:rsidRPr="00DF29F0">
        <w:rPr>
          <w:rFonts w:cs="Arial"/>
          <w:i/>
          <w:iCs/>
          <w:lang w:eastAsia="fr-FR"/>
        </w:rPr>
        <w:t>Foodstuffs - Principles of selection and criteria of validation for varietal identification methods using specific nucleic acid</w:t>
      </w:r>
      <w:r w:rsidR="00550FF9" w:rsidRPr="00DF29F0">
        <w:rPr>
          <w:rFonts w:cs="Arial"/>
          <w:lang w:eastAsia="fr-FR"/>
        </w:rPr>
        <w:t xml:space="preserve">, ISO 17043 </w:t>
      </w:r>
      <w:r w:rsidR="00550FF9" w:rsidRPr="00DF29F0">
        <w:rPr>
          <w:rFonts w:cs="Arial"/>
          <w:i/>
          <w:iCs/>
          <w:lang w:eastAsia="fr-FR"/>
        </w:rPr>
        <w:t>Conformity assessment - General requirements for proficiency testing</w:t>
      </w:r>
      <w:r w:rsidR="00550FF9" w:rsidRPr="00DF29F0">
        <w:rPr>
          <w:rFonts w:cs="Arial"/>
          <w:lang w:eastAsia="fr-FR"/>
        </w:rPr>
        <w:t xml:space="preserve">, EPPO pm7-122-2 </w:t>
      </w:r>
      <w:r w:rsidR="00550FF9" w:rsidRPr="00DF29F0">
        <w:rPr>
          <w:rFonts w:cs="Arial"/>
          <w:i/>
          <w:iCs/>
          <w:lang w:eastAsia="fr-FR"/>
        </w:rPr>
        <w:t>Guidelines for the organization of interlaboratory comparisons by plant pest diagnostic laboratories</w:t>
      </w:r>
      <w:r w:rsidR="00550FF9" w:rsidRPr="00DF29F0">
        <w:rPr>
          <w:rFonts w:cs="Arial"/>
          <w:lang w:eastAsia="fr-FR"/>
        </w:rPr>
        <w:t xml:space="preserve">, ISTA TCOM-P-10-Validation </w:t>
      </w:r>
      <w:r w:rsidR="00550FF9" w:rsidRPr="00DF29F0">
        <w:rPr>
          <w:rFonts w:cs="Arial"/>
          <w:i/>
          <w:iCs/>
          <w:lang w:eastAsia="fr-FR"/>
        </w:rPr>
        <w:t>of seed health methods and organization and analysis of interlaboratory comparative tests (CT)</w:t>
      </w:r>
      <w:r w:rsidR="00550FF9" w:rsidRPr="00DF29F0">
        <w:rPr>
          <w:rFonts w:cs="Arial"/>
          <w:lang w:eastAsia="fr-FR"/>
        </w:rPr>
        <w:t>... Das Validierungsteam kann die befolgten Richtlinien in seinem Bericht anführen.</w:t>
      </w:r>
    </w:p>
    <w:p w14:paraId="49890DCB" w14:textId="77777777" w:rsidR="00550FF9" w:rsidRPr="00DF29F0" w:rsidRDefault="00550FF9" w:rsidP="00550FF9">
      <w:pPr>
        <w:rPr>
          <w:lang w:eastAsia="fr-FR"/>
        </w:rPr>
      </w:pPr>
    </w:p>
    <w:p w14:paraId="29E2EEED" w14:textId="77777777" w:rsidR="008B5290" w:rsidRPr="00DF29F0" w:rsidRDefault="006F3299">
      <w:pPr>
        <w:pStyle w:val="Heading2Annex"/>
        <w:rPr>
          <w:lang w:val="de-DE"/>
        </w:rPr>
      </w:pPr>
      <w:bookmarkStart w:id="72" w:name="_Toc178245698"/>
      <w:r w:rsidRPr="00DF29F0">
        <w:rPr>
          <w:lang w:val="de-DE"/>
        </w:rPr>
        <w:t>Robustheit</w:t>
      </w:r>
      <w:bookmarkEnd w:id="72"/>
    </w:p>
    <w:p w14:paraId="01F4CD32" w14:textId="77777777" w:rsidR="00550FF9" w:rsidRPr="00DF29F0" w:rsidRDefault="00550FF9" w:rsidP="00550FF9">
      <w:pPr>
        <w:rPr>
          <w:lang w:eastAsia="fr-FR"/>
        </w:rPr>
      </w:pPr>
    </w:p>
    <w:p w14:paraId="2770BB80" w14:textId="77777777" w:rsidR="008B5290" w:rsidRPr="00DF29F0" w:rsidRDefault="006F3299">
      <w:pPr>
        <w:pStyle w:val="Heading3Annex"/>
        <w:rPr>
          <w:lang w:val="de-DE"/>
        </w:rPr>
      </w:pPr>
      <w:bookmarkStart w:id="73" w:name="_Toc178245699"/>
      <w:r w:rsidRPr="00DF29F0">
        <w:rPr>
          <w:lang w:val="de-DE"/>
        </w:rPr>
        <w:t>Definition</w:t>
      </w:r>
      <w:bookmarkEnd w:id="73"/>
    </w:p>
    <w:p w14:paraId="2AD5EA28" w14:textId="77777777" w:rsidR="00550FF9" w:rsidRPr="00DF29F0" w:rsidRDefault="00550FF9" w:rsidP="00550FF9">
      <w:pPr>
        <w:rPr>
          <w:highlight w:val="yellow"/>
          <w:lang w:eastAsia="fr-FR"/>
        </w:rPr>
      </w:pPr>
    </w:p>
    <w:p w14:paraId="6B84C40A" w14:textId="66DB86FA" w:rsidR="008B5290" w:rsidRPr="00DF29F0" w:rsidRDefault="006F3299">
      <w:pPr>
        <w:rPr>
          <w:lang w:eastAsia="fr-FR"/>
        </w:rPr>
      </w:pPr>
      <w:r w:rsidRPr="00DF29F0">
        <w:rPr>
          <w:highlight w:val="yellow"/>
        </w:rPr>
        <w:fldChar w:fldCharType="begin"/>
      </w:r>
      <w:r w:rsidRPr="00DF29F0">
        <w:rPr>
          <w:highlight w:val="yellow"/>
        </w:rPr>
        <w:instrText xml:space="preserve"> LISTNUM  LegalDefault \l 1 </w:instrText>
      </w:r>
      <w:r w:rsidRPr="00DF29F0">
        <w:rPr>
          <w:highlight w:val="yellow"/>
        </w:rPr>
        <w:fldChar w:fldCharType="end">
          <w:numberingChange w:id="74" w:author="SANCHEZ VIZCAINO GOMEZ Rosa Maria" w:date="2024-09-23T14:37:00Z" w16du:dateUtc="2024-09-23T12:37:00Z" w:original="27."/>
        </w:fldChar>
      </w:r>
      <w:r w:rsidR="00D804E1">
        <w:rPr>
          <w:highlight w:val="yellow"/>
        </w:rPr>
        <w:tab/>
      </w:r>
      <w:r w:rsidR="00550FF9" w:rsidRPr="00DF29F0">
        <w:rPr>
          <w:i/>
          <w:iCs/>
          <w:highlight w:val="yellow"/>
          <w:lang w:eastAsia="fr-FR"/>
        </w:rPr>
        <w:t xml:space="preserve">"Robustheit; ein Maß für die Fähigkeit, von kleinen, aber absichtlichen Abweichungen von den in den Verfahrensparametern beschriebenen Versuchsbedingungen unbeeinflusst zu bleiben, und gibt einen Hinweis auf die Zuverlässigkeit bei normalem Gebrauch" </w:t>
      </w:r>
      <w:r w:rsidR="00550FF9" w:rsidRPr="00DF29F0">
        <w:rPr>
          <w:lang w:eastAsia="fr-FR"/>
        </w:rPr>
        <w:t>(</w:t>
      </w:r>
      <w:r w:rsidR="00550FF9" w:rsidRPr="00DF29F0">
        <w:rPr>
          <w:i/>
          <w:iCs/>
          <w:lang w:eastAsia="fr-FR"/>
        </w:rPr>
        <w:t xml:space="preserve">z. B. </w:t>
      </w:r>
      <w:r w:rsidR="00550FF9" w:rsidRPr="00DF29F0">
        <w:rPr>
          <w:lang w:eastAsia="fr-FR"/>
        </w:rPr>
        <w:t>Wechsel der DNA-Extraktionsmethode oder Wechsel der Echtzeitmaschine).</w:t>
      </w:r>
    </w:p>
    <w:p w14:paraId="5F61A6B9" w14:textId="77777777" w:rsidR="00550FF9" w:rsidRPr="00DF29F0" w:rsidRDefault="00550FF9" w:rsidP="00550FF9">
      <w:pPr>
        <w:rPr>
          <w:lang w:eastAsia="fr-FR"/>
        </w:rPr>
      </w:pPr>
    </w:p>
    <w:p w14:paraId="4045E10C" w14:textId="77777777" w:rsidR="008B5290" w:rsidRPr="00DF29F0" w:rsidRDefault="006F3299">
      <w:pPr>
        <w:pStyle w:val="Heading3Annex"/>
        <w:rPr>
          <w:lang w:val="de-DE"/>
        </w:rPr>
      </w:pPr>
      <w:bookmarkStart w:id="75" w:name="_Toc178245700"/>
      <w:r w:rsidRPr="00DF29F0">
        <w:rPr>
          <w:lang w:val="de-DE"/>
        </w:rPr>
        <w:t>Anforderung</w:t>
      </w:r>
      <w:bookmarkEnd w:id="75"/>
    </w:p>
    <w:p w14:paraId="53D75B08" w14:textId="77777777" w:rsidR="00550FF9" w:rsidRPr="00DF29F0" w:rsidRDefault="00550FF9" w:rsidP="00550FF9">
      <w:pPr>
        <w:rPr>
          <w:lang w:eastAsia="fr-FR"/>
        </w:rPr>
      </w:pPr>
    </w:p>
    <w:p w14:paraId="07CC1B4D" w14:textId="0ED60CF9"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76" w:author="SANCHEZ VIZCAINO GOMEZ Rosa Maria" w:date="2024-09-23T14:37:00Z" w16du:dateUtc="2024-09-23T12:37:00Z" w:original="28."/>
        </w:fldChar>
      </w:r>
      <w:r w:rsidR="00550FF9" w:rsidRPr="00DF29F0">
        <w:rPr>
          <w:lang w:eastAsia="fr-FR"/>
        </w:rPr>
        <w:tab/>
        <w:t>Im Idealfall 100</w:t>
      </w:r>
      <w:r w:rsidR="00D804E1">
        <w:rPr>
          <w:lang w:eastAsia="fr-FR"/>
        </w:rPr>
        <w:t>%</w:t>
      </w:r>
      <w:r w:rsidR="00550FF9" w:rsidRPr="00DF29F0">
        <w:rPr>
          <w:lang w:eastAsia="fr-FR"/>
        </w:rPr>
        <w:t>, andernfalls bedeutet dies, dass die Methode gegenüber der Änderung eines Parameters nicht robust ist, und dies sollte im Protokoll als obligatorischer Schritt angegeben werden (</w:t>
      </w:r>
      <w:r w:rsidR="00550FF9" w:rsidRPr="00DF29F0">
        <w:rPr>
          <w:i/>
          <w:iCs/>
          <w:lang w:eastAsia="fr-FR"/>
        </w:rPr>
        <w:t xml:space="preserve">z. B. </w:t>
      </w:r>
      <w:r w:rsidR="00550FF9" w:rsidRPr="00DF29F0">
        <w:rPr>
          <w:lang w:eastAsia="fr-FR"/>
        </w:rPr>
        <w:t>eine Änderung einer Mastermischung, die kritisch wäre).</w:t>
      </w:r>
    </w:p>
    <w:p w14:paraId="3C4000D6" w14:textId="77777777" w:rsidR="00550FF9" w:rsidRPr="00DF29F0" w:rsidRDefault="00550FF9" w:rsidP="00550FF9">
      <w:pPr>
        <w:rPr>
          <w:lang w:eastAsia="fr-FR"/>
        </w:rPr>
      </w:pPr>
    </w:p>
    <w:p w14:paraId="7E6CDD7E" w14:textId="77777777" w:rsidR="008B5290" w:rsidRPr="00DF29F0" w:rsidRDefault="006F3299">
      <w:pPr>
        <w:pStyle w:val="Heading3Annex"/>
        <w:rPr>
          <w:lang w:val="de-DE"/>
        </w:rPr>
      </w:pPr>
      <w:bookmarkStart w:id="77" w:name="_Toc178245701"/>
      <w:r w:rsidRPr="00DF29F0">
        <w:rPr>
          <w:lang w:val="de-DE"/>
        </w:rPr>
        <w:t>Wie ist sie zu bewerten?</w:t>
      </w:r>
      <w:bookmarkEnd w:id="77"/>
    </w:p>
    <w:p w14:paraId="317A1D1E" w14:textId="77777777" w:rsidR="00550FF9" w:rsidRPr="00DF29F0" w:rsidRDefault="00550FF9" w:rsidP="00550FF9">
      <w:pPr>
        <w:rPr>
          <w:lang w:eastAsia="fr-FR"/>
        </w:rPr>
      </w:pPr>
    </w:p>
    <w:p w14:paraId="34BBC291"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78" w:author="SANCHEZ VIZCAINO GOMEZ Rosa Maria" w:date="2024-09-23T14:37:00Z" w16du:dateUtc="2024-09-23T12:37:00Z" w:original="29."/>
        </w:fldChar>
      </w:r>
      <w:r w:rsidR="00550FF9" w:rsidRPr="00DF29F0">
        <w:rPr>
          <w:lang w:eastAsia="fr-FR"/>
        </w:rPr>
        <w:tab/>
        <w:t>Die Bewertung der Robustheit ist fakultativ und wird teilweise während der Ringprüfung (Reproduzierbarkeit) vorgenommen (verschiedene Labors, Geräte, Maschinen, Personen usw.).</w:t>
      </w:r>
    </w:p>
    <w:p w14:paraId="22241722" w14:textId="77777777" w:rsidR="00550FF9" w:rsidRPr="00DF29F0" w:rsidRDefault="00550FF9" w:rsidP="00550FF9">
      <w:pPr>
        <w:rPr>
          <w:lang w:eastAsia="fr-FR"/>
        </w:rPr>
      </w:pPr>
    </w:p>
    <w:p w14:paraId="5D9840C0" w14:textId="77777777" w:rsidR="00550FF9" w:rsidRPr="00DF29F0" w:rsidRDefault="00550FF9" w:rsidP="00550FF9">
      <w:pPr>
        <w:rPr>
          <w:lang w:eastAsia="fr-FR"/>
        </w:rPr>
      </w:pPr>
    </w:p>
    <w:p w14:paraId="34F8F7F1" w14:textId="77777777" w:rsidR="008B5290" w:rsidRPr="00DF29F0" w:rsidRDefault="006F3299" w:rsidP="001A2183">
      <w:pPr>
        <w:pStyle w:val="Heading1Annex"/>
      </w:pPr>
      <w:bookmarkStart w:id="79" w:name="_Toc178245702"/>
      <w:r w:rsidRPr="00DF29F0">
        <w:t>IV.</w:t>
      </w:r>
      <w:r w:rsidRPr="00DF29F0">
        <w:tab/>
        <w:t>Validierungsbericht</w:t>
      </w:r>
      <w:bookmarkEnd w:id="79"/>
    </w:p>
    <w:p w14:paraId="4E4CAB7F" w14:textId="77777777" w:rsidR="00550FF9" w:rsidRPr="00DF29F0" w:rsidRDefault="00550FF9" w:rsidP="00550FF9">
      <w:pPr>
        <w:rPr>
          <w:lang w:eastAsia="fr-FR"/>
        </w:rPr>
      </w:pPr>
    </w:p>
    <w:p w14:paraId="6E5C03E5" w14:textId="77777777" w:rsidR="008B5290" w:rsidRPr="00DF29F0" w:rsidRDefault="006F3299">
      <w:pPr>
        <w:rPr>
          <w:rFonts w:eastAsia="Arial"/>
        </w:rPr>
      </w:pPr>
      <w:r w:rsidRPr="00DF29F0">
        <w:fldChar w:fldCharType="begin"/>
      </w:r>
      <w:r w:rsidRPr="00DF29F0">
        <w:instrText xml:space="preserve"> LISTNUM  LegalDefault \l 1 </w:instrText>
      </w:r>
      <w:r w:rsidRPr="00DF29F0">
        <w:fldChar w:fldCharType="end">
          <w:numberingChange w:id="80" w:author="SANCHEZ VIZCAINO GOMEZ Rosa Maria" w:date="2024-09-23T14:37:00Z" w16du:dateUtc="2024-09-23T12:37:00Z" w:original="30."/>
        </w:fldChar>
      </w:r>
      <w:r w:rsidR="00550FF9" w:rsidRPr="00DF29F0">
        <w:rPr>
          <w:szCs w:val="24"/>
          <w:lang w:eastAsia="fr-FR"/>
        </w:rPr>
        <w:tab/>
        <w:t xml:space="preserve">Der Validierungsbericht </w:t>
      </w:r>
      <w:r w:rsidR="00550FF9" w:rsidRPr="00DF29F0">
        <w:rPr>
          <w:rFonts w:eastAsia="Arial"/>
        </w:rPr>
        <w:t>und die Ergebnisse müssen von zwei (vorzugsweise drei, wenn die Reproduzierbarkeit innerhalb eines Labors durchgeführt wurde) der Prüfstellen begutachtet werden. Die Überprüfung erfolgt auf freiwilliger Basis, sollte jedoch vorzugsweise von einem Labor durchgeführt werden, das mit der betreffenden Tierart und der Methode vertraut ist.</w:t>
      </w:r>
    </w:p>
    <w:p w14:paraId="5B0E6372" w14:textId="77777777" w:rsidR="00550FF9" w:rsidRPr="00DF29F0" w:rsidRDefault="00550FF9" w:rsidP="00550FF9">
      <w:pPr>
        <w:rPr>
          <w:rFonts w:eastAsia="Arial"/>
        </w:rPr>
      </w:pPr>
    </w:p>
    <w:p w14:paraId="520A04F9" w14:textId="77777777" w:rsidR="008B5290" w:rsidRPr="00DF29F0" w:rsidRDefault="006F3299">
      <w:pPr>
        <w:rPr>
          <w:rFonts w:eastAsia="Arial"/>
        </w:rPr>
      </w:pPr>
      <w:r w:rsidRPr="00DF29F0">
        <w:fldChar w:fldCharType="begin"/>
      </w:r>
      <w:r w:rsidRPr="00DF29F0">
        <w:instrText xml:space="preserve"> LISTNUM  LegalDefault \l 1 </w:instrText>
      </w:r>
      <w:r w:rsidRPr="00DF29F0">
        <w:fldChar w:fldCharType="end">
          <w:numberingChange w:id="81" w:author="SANCHEZ VIZCAINO GOMEZ Rosa Maria" w:date="2024-09-23T14:37:00Z" w16du:dateUtc="2024-09-23T12:37:00Z" w:original="31."/>
        </w:fldChar>
      </w:r>
      <w:r w:rsidR="00550FF9" w:rsidRPr="00DF29F0">
        <w:rPr>
          <w:rFonts w:eastAsia="Arial"/>
        </w:rPr>
        <w:tab/>
        <w:t>Während des Überprüfungsprozesses können die Prüfer in Absprache mit dem Validierungsteam zusätzliche Validierungsdaten anfordern.</w:t>
      </w:r>
    </w:p>
    <w:p w14:paraId="656DA842" w14:textId="77777777" w:rsidR="00550FF9" w:rsidRPr="00DF29F0" w:rsidRDefault="00550FF9" w:rsidP="00550FF9">
      <w:pPr>
        <w:rPr>
          <w:szCs w:val="24"/>
          <w:u w:val="single"/>
          <w:lang w:eastAsia="fr-FR"/>
        </w:rPr>
      </w:pPr>
    </w:p>
    <w:p w14:paraId="3ADCEA15" w14:textId="77777777" w:rsidR="008B5290" w:rsidRPr="00DF29F0" w:rsidRDefault="006F3299">
      <w:pPr>
        <w:pStyle w:val="Heading2Annex"/>
        <w:rPr>
          <w:lang w:val="de-DE"/>
        </w:rPr>
      </w:pPr>
      <w:bookmarkStart w:id="82" w:name="_Toc178245703"/>
      <w:r w:rsidRPr="00DF29F0">
        <w:rPr>
          <w:lang w:val="de-DE"/>
        </w:rPr>
        <w:t>Inhalt des Validierungsberichts</w:t>
      </w:r>
      <w:bookmarkEnd w:id="82"/>
    </w:p>
    <w:p w14:paraId="480CF601" w14:textId="77777777" w:rsidR="00550FF9" w:rsidRPr="00DF29F0" w:rsidRDefault="00550FF9" w:rsidP="00550FF9">
      <w:pPr>
        <w:keepNext/>
        <w:rPr>
          <w:u w:val="single"/>
          <w:lang w:eastAsia="fr-FR"/>
        </w:rPr>
      </w:pPr>
    </w:p>
    <w:p w14:paraId="34465E0E" w14:textId="77777777" w:rsidR="008B5290" w:rsidRPr="00DF29F0" w:rsidRDefault="006F3299">
      <w:pPr>
        <w:keepNext/>
        <w:numPr>
          <w:ilvl w:val="0"/>
          <w:numId w:val="15"/>
        </w:numPr>
        <w:spacing w:after="200" w:line="276" w:lineRule="auto"/>
        <w:contextualSpacing/>
        <w:rPr>
          <w:rFonts w:eastAsia="Calibri" w:cs="Arial"/>
        </w:rPr>
      </w:pPr>
      <w:r w:rsidRPr="00DF29F0">
        <w:rPr>
          <w:rFonts w:eastAsia="Calibri" w:cs="Arial"/>
        </w:rPr>
        <w:t>Rohdaten, die während der verschiedenen Schritte des Validierungsprozesses erzeugt werden</w:t>
      </w:r>
    </w:p>
    <w:p w14:paraId="0A9302D3" w14:textId="77777777" w:rsidR="008B5290" w:rsidRPr="00DF29F0" w:rsidRDefault="006F3299">
      <w:pPr>
        <w:keepNext/>
        <w:numPr>
          <w:ilvl w:val="0"/>
          <w:numId w:val="15"/>
        </w:numPr>
        <w:spacing w:after="200" w:line="276" w:lineRule="auto"/>
        <w:contextualSpacing/>
        <w:rPr>
          <w:rFonts w:eastAsia="Calibri" w:cs="Arial"/>
        </w:rPr>
      </w:pPr>
      <w:r w:rsidRPr="00DF29F0">
        <w:rPr>
          <w:rFonts w:eastAsia="Calibri" w:cs="Arial"/>
        </w:rPr>
        <w:t>Detailprotokoll mit fakultativen und obligatorischen Schritten definiert</w:t>
      </w:r>
    </w:p>
    <w:p w14:paraId="44E013EC" w14:textId="77777777" w:rsidR="008B5290" w:rsidRPr="00DF29F0" w:rsidRDefault="006F3299">
      <w:pPr>
        <w:numPr>
          <w:ilvl w:val="0"/>
          <w:numId w:val="15"/>
        </w:numPr>
        <w:spacing w:after="200" w:line="276" w:lineRule="auto"/>
        <w:contextualSpacing/>
        <w:rPr>
          <w:rFonts w:eastAsia="Calibri" w:cs="Arial"/>
        </w:rPr>
      </w:pPr>
      <w:r w:rsidRPr="00DF29F0">
        <w:rPr>
          <w:rFonts w:eastAsia="Calibri" w:cs="Arial"/>
        </w:rPr>
        <w:t>Bewertung der Leistungskriterien</w:t>
      </w:r>
    </w:p>
    <w:p w14:paraId="63691235" w14:textId="77777777" w:rsidR="008B5290" w:rsidRPr="00DF29F0" w:rsidRDefault="006F3299">
      <w:pPr>
        <w:numPr>
          <w:ilvl w:val="0"/>
          <w:numId w:val="15"/>
        </w:numPr>
        <w:spacing w:after="200" w:line="276" w:lineRule="auto"/>
        <w:contextualSpacing/>
        <w:rPr>
          <w:rFonts w:eastAsia="Calibri" w:cs="Arial"/>
        </w:rPr>
      </w:pPr>
      <w:r w:rsidRPr="00DF29F0">
        <w:rPr>
          <w:rFonts w:eastAsia="Calibri" w:cs="Arial"/>
        </w:rPr>
        <w:t>Schlussfolgerung</w:t>
      </w:r>
    </w:p>
    <w:p w14:paraId="50EC746A" w14:textId="77777777" w:rsidR="00550FF9" w:rsidRPr="00DF29F0" w:rsidRDefault="00550FF9" w:rsidP="00550FF9">
      <w:pPr>
        <w:rPr>
          <w:rFonts w:eastAsia="Calibri"/>
        </w:rPr>
      </w:pPr>
    </w:p>
    <w:p w14:paraId="1A3AD556" w14:textId="77777777" w:rsidR="008B5290" w:rsidRPr="00DF29F0" w:rsidRDefault="006F3299">
      <w:pPr>
        <w:pStyle w:val="Heading2Annex"/>
        <w:rPr>
          <w:lang w:val="de-DE"/>
        </w:rPr>
      </w:pPr>
      <w:bookmarkStart w:id="83" w:name="_Toc178245704"/>
      <w:r w:rsidRPr="00DF29F0">
        <w:rPr>
          <w:lang w:val="de-DE"/>
        </w:rPr>
        <w:t>Öffentlichkeitsarbeit</w:t>
      </w:r>
      <w:bookmarkEnd w:id="83"/>
    </w:p>
    <w:p w14:paraId="5E16FB03" w14:textId="77777777" w:rsidR="00550FF9" w:rsidRPr="00DF29F0" w:rsidRDefault="00550FF9" w:rsidP="00550FF9">
      <w:pPr>
        <w:keepNext/>
        <w:rPr>
          <w:lang w:eastAsia="fr-FR"/>
        </w:rPr>
      </w:pPr>
    </w:p>
    <w:p w14:paraId="32A899D4"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84" w:author="SANCHEZ VIZCAINO GOMEZ Rosa Maria" w:date="2024-09-23T14:37:00Z" w16du:dateUtc="2024-09-23T12:37:00Z" w:original="32."/>
        </w:fldChar>
      </w:r>
      <w:r w:rsidR="00550FF9" w:rsidRPr="00DF29F0">
        <w:rPr>
          <w:lang w:eastAsia="fr-FR"/>
        </w:rPr>
        <w:tab/>
        <w:t xml:space="preserve">Der Validierungsbericht sollte auf Anfrage erhältlich sein. In dem neuen Protokoll sollte der Validierungsprozess mit dem Kontaktprüfungsamt erwähnt werden. In einigen besonderen Fällen, </w:t>
      </w:r>
      <w:r w:rsidR="00550FF9" w:rsidRPr="00DF29F0">
        <w:rPr>
          <w:i/>
          <w:lang w:eastAsia="fr-FR"/>
        </w:rPr>
        <w:t xml:space="preserve">z. B. bei </w:t>
      </w:r>
      <w:r w:rsidR="00550FF9" w:rsidRPr="00DF29F0">
        <w:rPr>
          <w:lang w:eastAsia="fr-FR"/>
        </w:rPr>
        <w:t>einem "Geschäftsgeheimnisprotokoll" (cytoplasmatische männliche Sterilität bei Kohl), können das Protokoll und der Validierungsbericht nicht außerhalb der Prüfungsämter weitergegeben werden.</w:t>
      </w:r>
    </w:p>
    <w:p w14:paraId="09221789" w14:textId="77777777" w:rsidR="00550FF9" w:rsidRPr="00DF29F0" w:rsidRDefault="00550FF9" w:rsidP="00550FF9">
      <w:pPr>
        <w:rPr>
          <w:lang w:eastAsia="fr-FR"/>
        </w:rPr>
      </w:pPr>
    </w:p>
    <w:p w14:paraId="7BED9B1D" w14:textId="77777777" w:rsidR="00550FF9" w:rsidRPr="00DF29F0" w:rsidRDefault="00550FF9" w:rsidP="00550FF9">
      <w:pPr>
        <w:rPr>
          <w:lang w:eastAsia="fr-FR"/>
        </w:rPr>
      </w:pPr>
    </w:p>
    <w:p w14:paraId="65649827" w14:textId="77777777" w:rsidR="008B5290" w:rsidRPr="00DF29F0" w:rsidRDefault="006F3299" w:rsidP="001A2183">
      <w:pPr>
        <w:pStyle w:val="Heading1Annex"/>
      </w:pPr>
      <w:bookmarkStart w:id="85" w:name="_Toc178245705"/>
      <w:r w:rsidRPr="00DF29F0">
        <w:lastRenderedPageBreak/>
        <w:t xml:space="preserve">V. </w:t>
      </w:r>
      <w:r w:rsidRPr="00DF29F0">
        <w:tab/>
        <w:t>Standardprotokoll für das Protokoll der merkmalspezifischen molekularen Marker</w:t>
      </w:r>
      <w:bookmarkEnd w:id="85"/>
    </w:p>
    <w:p w14:paraId="5F2DEA4E" w14:textId="77777777" w:rsidR="00550FF9" w:rsidRPr="00DF29F0" w:rsidRDefault="00550FF9" w:rsidP="00550FF9">
      <w:pPr>
        <w:rPr>
          <w:lang w:eastAsia="fr-FR"/>
        </w:rPr>
      </w:pPr>
    </w:p>
    <w:p w14:paraId="7F829FE1" w14:textId="4BEA9440"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86" w:author="SANCHEZ VIZCAINO GOMEZ Rosa Maria" w:date="2024-09-23T14:37:00Z" w16du:dateUtc="2024-09-23T12:37:00Z" w:original="33."/>
        </w:fldChar>
      </w:r>
      <w:r w:rsidR="00550FF9" w:rsidRPr="00DF29F0">
        <w:rPr>
          <w:lang w:eastAsia="fr-FR"/>
        </w:rPr>
        <w:tab/>
        <w:t>Obligatorische Elemente sind in der Spalte "Wesentliche Informationen" angegeben, die anderen Elemente können je nach dem charakteristischen Prüfprotokoll verwendet werden. Wenn ein Laboratorium ein obligatorisches Kapitel oder ein Element eines obligatorischen Kapitels anpassen/ändern möchte, muss es seine Methode im Vergleich zur Referenzmethode validieren (um zu zeigen, dass es die gleichen Ergebnisse wie die veröffentlichte Methode erhält).</w:t>
      </w:r>
    </w:p>
    <w:p w14:paraId="513C6A02" w14:textId="77777777" w:rsidR="00550FF9" w:rsidRPr="00DF29F0" w:rsidRDefault="00550FF9" w:rsidP="00550FF9">
      <w:pPr>
        <w:rPr>
          <w:lang w:eastAsia="fr-FR"/>
        </w:rPr>
      </w:pPr>
    </w:p>
    <w:p w14:paraId="15BB9E87" w14:textId="77777777" w:rsidR="008B5290" w:rsidRPr="00DF29F0" w:rsidRDefault="006F3299">
      <w:pPr>
        <w:keepNext/>
        <w:jc w:val="center"/>
        <w:rPr>
          <w:lang w:eastAsia="fr-FR"/>
        </w:rPr>
      </w:pPr>
      <w:r w:rsidRPr="00DF29F0">
        <w:rPr>
          <w:rFonts w:eastAsia="Calibri" w:cs="Arial"/>
        </w:rPr>
        <w:t>Tabelle 1</w:t>
      </w:r>
      <w:r w:rsidRPr="00DF29F0">
        <w:rPr>
          <w:lang w:eastAsia="fr-FR"/>
        </w:rPr>
        <w:t xml:space="preserve">: Standardmerkmal-spezifisches Protokoll für molekulare Marker (vergleiche Dokument TWV/54/7 "Verwendung molekularer Verfahren bei der DUS-Prüfung"). Änderungen sind </w:t>
      </w:r>
      <w:r w:rsidRPr="00DF29F0">
        <w:rPr>
          <w:highlight w:val="lightGray"/>
          <w:lang w:eastAsia="fr-FR"/>
        </w:rPr>
        <w:t>grau hervorgehoben</w:t>
      </w:r>
      <w:r w:rsidRPr="00DF29F0">
        <w:rPr>
          <w:lang w:eastAsia="fr-FR"/>
        </w:rPr>
        <w:t>)</w:t>
      </w:r>
    </w:p>
    <w:p w14:paraId="59BD65AD" w14:textId="77777777" w:rsidR="00550FF9" w:rsidRPr="00DF29F0" w:rsidRDefault="00550FF9" w:rsidP="00550FF9">
      <w:pPr>
        <w:keepNext/>
        <w:rPr>
          <w:lang w:eastAsia="fr-FR"/>
        </w:rPr>
      </w:pPr>
    </w:p>
    <w:tbl>
      <w:tblPr>
        <w:tblW w:w="5078" w:type="pct"/>
        <w:tblLayout w:type="fixed"/>
        <w:tblCellMar>
          <w:top w:w="15" w:type="dxa"/>
          <w:left w:w="28" w:type="dxa"/>
          <w:right w:w="28" w:type="dxa"/>
        </w:tblCellMar>
        <w:tblLook w:val="04A0" w:firstRow="1" w:lastRow="0" w:firstColumn="1" w:lastColumn="0" w:noHBand="0" w:noVBand="1"/>
      </w:tblPr>
      <w:tblGrid>
        <w:gridCol w:w="699"/>
        <w:gridCol w:w="1563"/>
        <w:gridCol w:w="2413"/>
        <w:gridCol w:w="1411"/>
        <w:gridCol w:w="3525"/>
        <w:gridCol w:w="158"/>
      </w:tblGrid>
      <w:tr w:rsidR="00550FF9" w:rsidRPr="00DF29F0" w14:paraId="42A53C9B" w14:textId="77777777" w:rsidTr="001F44A6">
        <w:trPr>
          <w:gridAfter w:val="1"/>
          <w:wAfter w:w="81" w:type="pct"/>
          <w:trHeight w:val="810"/>
          <w:tblHeader/>
        </w:trPr>
        <w:tc>
          <w:tcPr>
            <w:tcW w:w="358"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51F2865F"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Kapitel</w:t>
            </w:r>
          </w:p>
        </w:tc>
        <w:tc>
          <w:tcPr>
            <w:tcW w:w="800" w:type="pct"/>
            <w:tcBorders>
              <w:top w:val="single" w:sz="8" w:space="0" w:color="auto"/>
              <w:left w:val="nil"/>
              <w:bottom w:val="single" w:sz="8" w:space="0" w:color="auto"/>
              <w:right w:val="single" w:sz="8" w:space="0" w:color="auto"/>
            </w:tcBorders>
            <w:shd w:val="clear" w:color="000000" w:fill="BFBFBF"/>
            <w:vAlign w:val="center"/>
            <w:hideMark/>
          </w:tcPr>
          <w:p w14:paraId="6019D343"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Elemente in einem Standardmerkmal-spezifischen molekularen Markerprotokoll</w:t>
            </w:r>
          </w:p>
        </w:tc>
        <w:tc>
          <w:tcPr>
            <w:tcW w:w="1235" w:type="pct"/>
            <w:tcBorders>
              <w:top w:val="single" w:sz="8" w:space="0" w:color="auto"/>
              <w:left w:val="nil"/>
              <w:bottom w:val="single" w:sz="8" w:space="0" w:color="auto"/>
              <w:right w:val="single" w:sz="8" w:space="0" w:color="auto"/>
            </w:tcBorders>
            <w:shd w:val="clear" w:color="000000" w:fill="BFBFBF"/>
            <w:vAlign w:val="center"/>
            <w:hideMark/>
          </w:tcPr>
          <w:p w14:paraId="59CA88A1"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Beispiel</w:t>
            </w:r>
          </w:p>
        </w:tc>
        <w:tc>
          <w:tcPr>
            <w:tcW w:w="722" w:type="pct"/>
            <w:tcBorders>
              <w:top w:val="single" w:sz="8" w:space="0" w:color="auto"/>
              <w:left w:val="nil"/>
              <w:bottom w:val="single" w:sz="8" w:space="0" w:color="auto"/>
              <w:right w:val="single" w:sz="8" w:space="0" w:color="auto"/>
            </w:tcBorders>
            <w:shd w:val="clear" w:color="000000" w:fill="BFBFBF"/>
            <w:vAlign w:val="center"/>
            <w:hideMark/>
          </w:tcPr>
          <w:p w14:paraId="49E879C8"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Wichtige Informationen für die Harmonisierung</w:t>
            </w:r>
          </w:p>
        </w:tc>
        <w:tc>
          <w:tcPr>
            <w:tcW w:w="1804" w:type="pct"/>
            <w:tcBorders>
              <w:top w:val="single" w:sz="8" w:space="0" w:color="auto"/>
              <w:left w:val="nil"/>
              <w:bottom w:val="single" w:sz="8" w:space="0" w:color="auto"/>
              <w:right w:val="single" w:sz="8" w:space="0" w:color="auto"/>
            </w:tcBorders>
            <w:shd w:val="clear" w:color="000000" w:fill="BFBFBF"/>
            <w:vAlign w:val="center"/>
            <w:hideMark/>
          </w:tcPr>
          <w:p w14:paraId="7694B9B5"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Bemerkung</w:t>
            </w:r>
          </w:p>
        </w:tc>
      </w:tr>
      <w:tr w:rsidR="00550FF9" w:rsidRPr="00DF29F0" w14:paraId="31BCF7C9" w14:textId="77777777" w:rsidTr="001F44A6">
        <w:trPr>
          <w:gridAfter w:val="1"/>
          <w:wAfter w:w="81" w:type="pct"/>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5812D6DB"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65C97383"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Merkmal</w:t>
            </w:r>
          </w:p>
        </w:tc>
        <w:tc>
          <w:tcPr>
            <w:tcW w:w="1235" w:type="pct"/>
            <w:tcBorders>
              <w:top w:val="nil"/>
              <w:left w:val="nil"/>
              <w:bottom w:val="nil"/>
              <w:right w:val="single" w:sz="8" w:space="0" w:color="auto"/>
            </w:tcBorders>
            <w:shd w:val="clear" w:color="auto" w:fill="auto"/>
            <w:vAlign w:val="center"/>
            <w:hideMark/>
          </w:tcPr>
          <w:p w14:paraId="7C614E44"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Resistenz gegen das Tomatenmosaikvirus (ToMV)</w:t>
            </w:r>
          </w:p>
        </w:tc>
        <w:tc>
          <w:tcPr>
            <w:tcW w:w="722" w:type="pct"/>
            <w:vMerge w:val="restart"/>
            <w:tcBorders>
              <w:top w:val="nil"/>
              <w:left w:val="single" w:sz="8" w:space="0" w:color="auto"/>
              <w:bottom w:val="single" w:sz="8" w:space="0" w:color="000000"/>
              <w:right w:val="single" w:sz="8" w:space="0" w:color="auto"/>
            </w:tcBorders>
            <w:shd w:val="clear" w:color="auto" w:fill="auto"/>
            <w:vAlign w:val="center"/>
            <w:hideMark/>
          </w:tcPr>
          <w:p w14:paraId="3C047333"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YES</w:t>
            </w:r>
          </w:p>
        </w:tc>
        <w:tc>
          <w:tcPr>
            <w:tcW w:w="1804" w:type="pct"/>
            <w:vMerge w:val="restart"/>
            <w:tcBorders>
              <w:top w:val="nil"/>
              <w:left w:val="single" w:sz="8" w:space="0" w:color="auto"/>
              <w:bottom w:val="single" w:sz="8" w:space="0" w:color="000000"/>
              <w:right w:val="single" w:sz="8" w:space="0" w:color="auto"/>
            </w:tcBorders>
            <w:shd w:val="clear" w:color="auto" w:fill="auto"/>
            <w:vAlign w:val="center"/>
            <w:hideMark/>
          </w:tcPr>
          <w:p w14:paraId="11C445F8" w14:textId="77777777" w:rsidR="00550FF9" w:rsidRPr="00DF29F0" w:rsidRDefault="00550FF9" w:rsidP="00550FF9">
            <w:pPr>
              <w:jc w:val="left"/>
              <w:rPr>
                <w:rFonts w:cs="Arial"/>
                <w:color w:val="000000"/>
                <w:sz w:val="18"/>
                <w:szCs w:val="18"/>
                <w:lang w:eastAsia="fr-FR"/>
              </w:rPr>
            </w:pPr>
            <w:r w:rsidRPr="00DF29F0">
              <w:rPr>
                <w:rFonts w:cs="Arial"/>
                <w:color w:val="000000"/>
                <w:sz w:val="18"/>
                <w:szCs w:val="18"/>
                <w:lang w:eastAsia="nl-NL"/>
              </w:rPr>
              <w:t> </w:t>
            </w:r>
          </w:p>
        </w:tc>
      </w:tr>
      <w:tr w:rsidR="00550FF9" w:rsidRPr="00DF29F0" w14:paraId="75F5073D" w14:textId="77777777" w:rsidTr="001F44A6">
        <w:trPr>
          <w:gridAfter w:val="1"/>
          <w:wAfter w:w="81" w:type="pct"/>
          <w:cantSplit/>
          <w:trHeight w:val="315"/>
        </w:trPr>
        <w:tc>
          <w:tcPr>
            <w:tcW w:w="358" w:type="pct"/>
            <w:vMerge/>
            <w:tcBorders>
              <w:top w:val="nil"/>
              <w:left w:val="single" w:sz="8" w:space="0" w:color="auto"/>
              <w:bottom w:val="single" w:sz="8" w:space="0" w:color="000000"/>
              <w:right w:val="single" w:sz="8" w:space="0" w:color="auto"/>
            </w:tcBorders>
            <w:vAlign w:val="center"/>
            <w:hideMark/>
          </w:tcPr>
          <w:p w14:paraId="397AB8CE" w14:textId="77777777" w:rsidR="00550FF9" w:rsidRPr="00DF29F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3410880F" w14:textId="77777777" w:rsidR="00550FF9" w:rsidRPr="00DF29F0" w:rsidRDefault="00550FF9" w:rsidP="00550FF9">
            <w:pPr>
              <w:jc w:val="left"/>
              <w:rPr>
                <w:rFonts w:cs="Arial"/>
                <w:color w:val="000000"/>
                <w:sz w:val="18"/>
                <w:szCs w:val="18"/>
                <w:lang w:eastAsia="fr-FR"/>
              </w:rPr>
            </w:pPr>
          </w:p>
        </w:tc>
        <w:tc>
          <w:tcPr>
            <w:tcW w:w="1235" w:type="pct"/>
            <w:tcBorders>
              <w:top w:val="nil"/>
              <w:left w:val="nil"/>
              <w:bottom w:val="single" w:sz="8" w:space="0" w:color="auto"/>
              <w:right w:val="single" w:sz="8" w:space="0" w:color="auto"/>
            </w:tcBorders>
            <w:shd w:val="clear" w:color="auto" w:fill="auto"/>
            <w:vAlign w:val="center"/>
            <w:hideMark/>
          </w:tcPr>
          <w:p w14:paraId="79407D64" w14:textId="77777777" w:rsidR="008B5290" w:rsidRPr="00DF29F0" w:rsidRDefault="006F3299">
            <w:pPr>
              <w:jc w:val="left"/>
              <w:rPr>
                <w:rFonts w:cs="Arial"/>
                <w:i/>
                <w:iCs/>
                <w:color w:val="000000"/>
                <w:sz w:val="18"/>
                <w:szCs w:val="18"/>
                <w:lang w:eastAsia="fr-FR"/>
              </w:rPr>
            </w:pPr>
            <w:r w:rsidRPr="00DF29F0">
              <w:rPr>
                <w:rFonts w:cs="Arial"/>
                <w:i/>
                <w:iCs/>
                <w:color w:val="000000"/>
                <w:sz w:val="18"/>
                <w:szCs w:val="18"/>
                <w:lang w:eastAsia="fr-FR"/>
              </w:rPr>
              <w:t xml:space="preserve">Siehe TG/44/11/rev3 - Zu 51: ii DNA-Marker-Test </w:t>
            </w:r>
          </w:p>
        </w:tc>
        <w:tc>
          <w:tcPr>
            <w:tcW w:w="722" w:type="pct"/>
            <w:vMerge/>
            <w:tcBorders>
              <w:top w:val="nil"/>
              <w:left w:val="single" w:sz="8" w:space="0" w:color="auto"/>
              <w:bottom w:val="single" w:sz="8" w:space="0" w:color="000000"/>
              <w:right w:val="single" w:sz="8" w:space="0" w:color="auto"/>
            </w:tcBorders>
            <w:vAlign w:val="center"/>
            <w:hideMark/>
          </w:tcPr>
          <w:p w14:paraId="3A174C48" w14:textId="77777777" w:rsidR="00550FF9" w:rsidRPr="00DF29F0" w:rsidRDefault="00550FF9" w:rsidP="00550FF9">
            <w:pPr>
              <w:jc w:val="left"/>
              <w:rPr>
                <w:rFonts w:cs="Arial"/>
                <w:color w:val="000000"/>
                <w:sz w:val="18"/>
                <w:szCs w:val="18"/>
                <w:lang w:eastAsia="fr-FR"/>
              </w:rPr>
            </w:pPr>
          </w:p>
        </w:tc>
        <w:tc>
          <w:tcPr>
            <w:tcW w:w="1804" w:type="pct"/>
            <w:vMerge/>
            <w:tcBorders>
              <w:top w:val="nil"/>
              <w:left w:val="single" w:sz="8" w:space="0" w:color="auto"/>
              <w:bottom w:val="single" w:sz="8" w:space="0" w:color="000000"/>
              <w:right w:val="single" w:sz="8" w:space="0" w:color="auto"/>
            </w:tcBorders>
            <w:vAlign w:val="center"/>
            <w:hideMark/>
          </w:tcPr>
          <w:p w14:paraId="2AD62FD0" w14:textId="77777777" w:rsidR="00550FF9" w:rsidRPr="00DF29F0" w:rsidRDefault="00550FF9" w:rsidP="00550FF9">
            <w:pPr>
              <w:jc w:val="left"/>
              <w:rPr>
                <w:rFonts w:cs="Arial"/>
                <w:color w:val="000000"/>
                <w:sz w:val="18"/>
                <w:szCs w:val="18"/>
                <w:lang w:eastAsia="fr-FR"/>
              </w:rPr>
            </w:pPr>
          </w:p>
        </w:tc>
      </w:tr>
      <w:tr w:rsidR="00550FF9" w:rsidRPr="00DF29F0" w14:paraId="032A0E75" w14:textId="77777777" w:rsidTr="001F44A6">
        <w:trPr>
          <w:gridAfter w:val="1"/>
          <w:wAfter w:w="81"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5423B6B4"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2</w:t>
            </w:r>
          </w:p>
        </w:tc>
        <w:tc>
          <w:tcPr>
            <w:tcW w:w="800" w:type="pct"/>
            <w:tcBorders>
              <w:top w:val="nil"/>
              <w:left w:val="nil"/>
              <w:bottom w:val="single" w:sz="8" w:space="0" w:color="auto"/>
              <w:right w:val="single" w:sz="8" w:space="0" w:color="auto"/>
            </w:tcBorders>
            <w:shd w:val="clear" w:color="auto" w:fill="auto"/>
            <w:vAlign w:val="center"/>
            <w:hideMark/>
          </w:tcPr>
          <w:p w14:paraId="792507DB"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Gene und Allele</w:t>
            </w:r>
          </w:p>
        </w:tc>
        <w:tc>
          <w:tcPr>
            <w:tcW w:w="1235" w:type="pct"/>
            <w:tcBorders>
              <w:top w:val="nil"/>
              <w:left w:val="nil"/>
              <w:bottom w:val="single" w:sz="8" w:space="0" w:color="auto"/>
              <w:right w:val="single" w:sz="8" w:space="0" w:color="auto"/>
            </w:tcBorders>
            <w:shd w:val="clear" w:color="auto" w:fill="auto"/>
            <w:vAlign w:val="center"/>
            <w:hideMark/>
          </w:tcPr>
          <w:p w14:paraId="1CAB4F0D" w14:textId="77777777" w:rsidR="008B5290" w:rsidRPr="00DF29F0" w:rsidRDefault="006F3299">
            <w:pPr>
              <w:jc w:val="left"/>
              <w:rPr>
                <w:rFonts w:cs="Arial"/>
                <w:i/>
                <w:iCs/>
                <w:color w:val="000000"/>
                <w:sz w:val="18"/>
                <w:szCs w:val="18"/>
                <w:lang w:eastAsia="fr-FR"/>
              </w:rPr>
            </w:pPr>
            <w:r w:rsidRPr="00DF29F0">
              <w:rPr>
                <w:rFonts w:cs="Arial"/>
                <w:i/>
                <w:iCs/>
                <w:color w:val="000000"/>
                <w:sz w:val="18"/>
                <w:szCs w:val="18"/>
                <w:lang w:eastAsia="fr-FR"/>
              </w:rPr>
              <w:t>Siehe TG/44/11/rev3 - Zu 51: ii DNA-Marker-Test hinzufügen 2</w:t>
            </w:r>
          </w:p>
        </w:tc>
        <w:tc>
          <w:tcPr>
            <w:tcW w:w="722" w:type="pct"/>
            <w:tcBorders>
              <w:top w:val="nil"/>
              <w:left w:val="nil"/>
              <w:bottom w:val="single" w:sz="8" w:space="0" w:color="auto"/>
              <w:right w:val="single" w:sz="8" w:space="0" w:color="auto"/>
            </w:tcBorders>
            <w:shd w:val="clear" w:color="auto" w:fill="auto"/>
            <w:vAlign w:val="center"/>
            <w:hideMark/>
          </w:tcPr>
          <w:p w14:paraId="73046E2D"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YES</w:t>
            </w:r>
          </w:p>
        </w:tc>
        <w:tc>
          <w:tcPr>
            <w:tcW w:w="1804" w:type="pct"/>
            <w:tcBorders>
              <w:top w:val="nil"/>
              <w:left w:val="nil"/>
              <w:bottom w:val="single" w:sz="8" w:space="0" w:color="auto"/>
              <w:right w:val="single" w:sz="8" w:space="0" w:color="auto"/>
            </w:tcBorders>
            <w:shd w:val="clear" w:color="auto" w:fill="auto"/>
            <w:vAlign w:val="center"/>
            <w:hideMark/>
          </w:tcPr>
          <w:p w14:paraId="0C03A6FE"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Dominante Marker oder Anwesenheits-/Abwesenheitsmarker müssen vermieden werden, ansonsten sollte die Robustheit bewertet werden.</w:t>
            </w:r>
          </w:p>
        </w:tc>
      </w:tr>
      <w:tr w:rsidR="00550FF9" w:rsidRPr="00DF29F0" w14:paraId="1D545558" w14:textId="77777777" w:rsidTr="001F44A6">
        <w:trPr>
          <w:gridAfter w:val="1"/>
          <w:wAfter w:w="81"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7F794A1C"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2.1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6B1D096F"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Gezielte(s) Gen(e)</w:t>
            </w:r>
          </w:p>
        </w:tc>
        <w:tc>
          <w:tcPr>
            <w:tcW w:w="1235" w:type="pct"/>
            <w:tcBorders>
              <w:top w:val="nil"/>
              <w:left w:val="nil"/>
              <w:bottom w:val="nil"/>
              <w:right w:val="single" w:sz="8" w:space="0" w:color="auto"/>
            </w:tcBorders>
            <w:shd w:val="clear" w:color="auto" w:fill="auto"/>
            <w:vAlign w:val="center"/>
            <w:hideMark/>
          </w:tcPr>
          <w:p w14:paraId="53FFE26E"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Resistenz Gen Tm2</w:t>
            </w:r>
          </w:p>
        </w:tc>
        <w:tc>
          <w:tcPr>
            <w:tcW w:w="722" w:type="pct"/>
            <w:vMerge w:val="restart"/>
            <w:tcBorders>
              <w:top w:val="nil"/>
              <w:left w:val="single" w:sz="8" w:space="0" w:color="auto"/>
              <w:bottom w:val="single" w:sz="8" w:space="0" w:color="000000"/>
              <w:right w:val="single" w:sz="8" w:space="0" w:color="auto"/>
            </w:tcBorders>
            <w:shd w:val="clear" w:color="auto" w:fill="auto"/>
            <w:vAlign w:val="center"/>
            <w:hideMark/>
          </w:tcPr>
          <w:p w14:paraId="1A9E8096"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YES</w:t>
            </w:r>
          </w:p>
        </w:tc>
        <w:tc>
          <w:tcPr>
            <w:tcW w:w="1804" w:type="pct"/>
            <w:tcBorders>
              <w:top w:val="nil"/>
              <w:left w:val="nil"/>
              <w:bottom w:val="nil"/>
              <w:right w:val="single" w:sz="8" w:space="0" w:color="auto"/>
            </w:tcBorders>
            <w:shd w:val="clear" w:color="auto" w:fill="auto"/>
            <w:vAlign w:val="center"/>
            <w:hideMark/>
          </w:tcPr>
          <w:p w14:paraId="4DB7C02D"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 xml:space="preserve">a) Datei(en) mit den DNA-Sequenzinformationen (Reihenfolge der Nukleotide) </w:t>
            </w:r>
          </w:p>
        </w:tc>
      </w:tr>
      <w:tr w:rsidR="00550FF9" w:rsidRPr="00DF29F0" w14:paraId="391EF2D9" w14:textId="77777777" w:rsidTr="001F44A6">
        <w:trPr>
          <w:gridAfter w:val="1"/>
          <w:wAfter w:w="81" w:type="pct"/>
          <w:cantSplit/>
          <w:trHeight w:val="510"/>
        </w:trPr>
        <w:tc>
          <w:tcPr>
            <w:tcW w:w="358" w:type="pct"/>
            <w:vMerge/>
            <w:tcBorders>
              <w:top w:val="nil"/>
              <w:left w:val="single" w:sz="8" w:space="0" w:color="auto"/>
              <w:bottom w:val="single" w:sz="8" w:space="0" w:color="000000"/>
              <w:right w:val="single" w:sz="8" w:space="0" w:color="auto"/>
            </w:tcBorders>
            <w:vAlign w:val="center"/>
            <w:hideMark/>
          </w:tcPr>
          <w:p w14:paraId="475AC006" w14:textId="77777777" w:rsidR="00550FF9" w:rsidRPr="00DF29F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F8582B6" w14:textId="77777777" w:rsidR="00550FF9" w:rsidRPr="00DF29F0" w:rsidRDefault="00550FF9" w:rsidP="00550FF9">
            <w:pPr>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3FF48CD5"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fr-FR"/>
              </w:rPr>
              <w:t>Arens, P. et al (2010)</w:t>
            </w:r>
          </w:p>
        </w:tc>
        <w:tc>
          <w:tcPr>
            <w:tcW w:w="722" w:type="pct"/>
            <w:vMerge/>
            <w:tcBorders>
              <w:top w:val="nil"/>
              <w:left w:val="single" w:sz="8" w:space="0" w:color="auto"/>
              <w:bottom w:val="single" w:sz="8" w:space="0" w:color="000000"/>
              <w:right w:val="single" w:sz="8" w:space="0" w:color="auto"/>
            </w:tcBorders>
            <w:vAlign w:val="center"/>
            <w:hideMark/>
          </w:tcPr>
          <w:p w14:paraId="23CBA604" w14:textId="77777777" w:rsidR="00550FF9" w:rsidRPr="00DF29F0" w:rsidRDefault="00550FF9" w:rsidP="00550FF9">
            <w:pPr>
              <w:jc w:val="left"/>
              <w:rPr>
                <w:rFonts w:cs="Arial"/>
                <w:color w:val="000000"/>
                <w:sz w:val="18"/>
                <w:szCs w:val="18"/>
                <w:lang w:eastAsia="fr-FR"/>
              </w:rPr>
            </w:pPr>
          </w:p>
        </w:tc>
        <w:tc>
          <w:tcPr>
            <w:tcW w:w="1804" w:type="pct"/>
            <w:tcBorders>
              <w:top w:val="nil"/>
              <w:left w:val="nil"/>
              <w:bottom w:val="nil"/>
              <w:right w:val="single" w:sz="8" w:space="0" w:color="auto"/>
            </w:tcBorders>
            <w:shd w:val="clear" w:color="auto" w:fill="auto"/>
            <w:vAlign w:val="center"/>
            <w:hideMark/>
          </w:tcPr>
          <w:p w14:paraId="56ACAABD"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b) Verweis auf DNA-Informationen in öffentlichen Datenbanken (wie GeneBank)</w:t>
            </w:r>
          </w:p>
        </w:tc>
      </w:tr>
      <w:tr w:rsidR="00550FF9" w:rsidRPr="00DF29F0" w14:paraId="1E6975AC" w14:textId="77777777" w:rsidTr="001F44A6">
        <w:trPr>
          <w:gridAfter w:val="1"/>
          <w:wAfter w:w="81" w:type="pct"/>
          <w:cantSplit/>
          <w:trHeight w:val="765"/>
        </w:trPr>
        <w:tc>
          <w:tcPr>
            <w:tcW w:w="358" w:type="pct"/>
            <w:vMerge/>
            <w:tcBorders>
              <w:top w:val="nil"/>
              <w:left w:val="single" w:sz="8" w:space="0" w:color="auto"/>
              <w:bottom w:val="single" w:sz="8" w:space="0" w:color="000000"/>
              <w:right w:val="single" w:sz="8" w:space="0" w:color="auto"/>
            </w:tcBorders>
            <w:vAlign w:val="center"/>
            <w:hideMark/>
          </w:tcPr>
          <w:p w14:paraId="73572EAB" w14:textId="77777777" w:rsidR="00550FF9" w:rsidRPr="00DF29F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2A64D08" w14:textId="77777777" w:rsidR="00550FF9" w:rsidRPr="00DF29F0" w:rsidRDefault="00550FF9" w:rsidP="00550FF9">
            <w:pPr>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70E60FEF" w14:textId="77777777" w:rsidR="00550FF9" w:rsidRPr="00DF29F0" w:rsidRDefault="00550FF9" w:rsidP="00550FF9">
            <w:pPr>
              <w:jc w:val="left"/>
              <w:rPr>
                <w:rFonts w:cs="Arial"/>
                <w:i/>
                <w:iCs/>
                <w:color w:val="000000"/>
                <w:sz w:val="18"/>
                <w:szCs w:val="18"/>
                <w:lang w:eastAsia="fr-FR"/>
              </w:rPr>
            </w:pPr>
            <w:r w:rsidRPr="00DF29F0">
              <w:rPr>
                <w:rFonts w:cs="Arial"/>
                <w:i/>
                <w:iCs/>
                <w:color w:val="000000"/>
                <w:sz w:val="18"/>
                <w:szCs w:val="18"/>
                <w:lang w:eastAsia="nl-NL"/>
              </w:rPr>
              <w:t> </w:t>
            </w:r>
          </w:p>
        </w:tc>
        <w:tc>
          <w:tcPr>
            <w:tcW w:w="722" w:type="pct"/>
            <w:vMerge/>
            <w:tcBorders>
              <w:top w:val="nil"/>
              <w:left w:val="single" w:sz="8" w:space="0" w:color="auto"/>
              <w:bottom w:val="single" w:sz="8" w:space="0" w:color="000000"/>
              <w:right w:val="single" w:sz="8" w:space="0" w:color="auto"/>
            </w:tcBorders>
            <w:vAlign w:val="center"/>
            <w:hideMark/>
          </w:tcPr>
          <w:p w14:paraId="44FE308C" w14:textId="77777777" w:rsidR="00550FF9" w:rsidRPr="00DF29F0" w:rsidRDefault="00550FF9" w:rsidP="00550FF9">
            <w:pPr>
              <w:jc w:val="left"/>
              <w:rPr>
                <w:rFonts w:cs="Arial"/>
                <w:color w:val="000000"/>
                <w:sz w:val="18"/>
                <w:szCs w:val="18"/>
                <w:lang w:eastAsia="fr-FR"/>
              </w:rPr>
            </w:pPr>
          </w:p>
        </w:tc>
        <w:tc>
          <w:tcPr>
            <w:tcW w:w="1804" w:type="pct"/>
            <w:tcBorders>
              <w:top w:val="nil"/>
              <w:left w:val="nil"/>
              <w:bottom w:val="nil"/>
              <w:right w:val="single" w:sz="8" w:space="0" w:color="auto"/>
            </w:tcBorders>
            <w:shd w:val="clear" w:color="auto" w:fill="auto"/>
            <w:vAlign w:val="center"/>
            <w:hideMark/>
          </w:tcPr>
          <w:p w14:paraId="669933EA"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c) Verweis auf (wissenschaftliche) Veröffentlichungen, in denen die DNA-Sequenzinformationen der Ausprägungsstufen des Merkmals offengelegt werden.</w:t>
            </w:r>
          </w:p>
        </w:tc>
      </w:tr>
      <w:tr w:rsidR="00550FF9" w:rsidRPr="00DF29F0" w14:paraId="67847E0E" w14:textId="77777777" w:rsidTr="001F44A6">
        <w:trPr>
          <w:gridAfter w:val="1"/>
          <w:wAfter w:w="81" w:type="pct"/>
          <w:cantSplit/>
          <w:trHeight w:val="525"/>
        </w:trPr>
        <w:tc>
          <w:tcPr>
            <w:tcW w:w="358" w:type="pct"/>
            <w:vMerge/>
            <w:tcBorders>
              <w:top w:val="nil"/>
              <w:left w:val="single" w:sz="8" w:space="0" w:color="auto"/>
              <w:bottom w:val="single" w:sz="8" w:space="0" w:color="000000"/>
              <w:right w:val="single" w:sz="8" w:space="0" w:color="auto"/>
            </w:tcBorders>
            <w:vAlign w:val="center"/>
            <w:hideMark/>
          </w:tcPr>
          <w:p w14:paraId="4ED3FCE8" w14:textId="77777777" w:rsidR="00550FF9" w:rsidRPr="00DF29F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359A3DAD" w14:textId="77777777" w:rsidR="00550FF9" w:rsidRPr="00DF29F0" w:rsidRDefault="00550FF9" w:rsidP="00550FF9">
            <w:pPr>
              <w:jc w:val="left"/>
              <w:rPr>
                <w:rFonts w:cs="Arial"/>
                <w:color w:val="000000"/>
                <w:sz w:val="18"/>
                <w:szCs w:val="18"/>
                <w:lang w:eastAsia="fr-FR"/>
              </w:rPr>
            </w:pPr>
          </w:p>
        </w:tc>
        <w:tc>
          <w:tcPr>
            <w:tcW w:w="1235" w:type="pct"/>
            <w:tcBorders>
              <w:top w:val="nil"/>
              <w:left w:val="nil"/>
              <w:bottom w:val="single" w:sz="8" w:space="0" w:color="auto"/>
              <w:right w:val="single" w:sz="8" w:space="0" w:color="auto"/>
            </w:tcBorders>
            <w:shd w:val="clear" w:color="auto" w:fill="auto"/>
            <w:hideMark/>
          </w:tcPr>
          <w:p w14:paraId="793CF72D" w14:textId="77777777" w:rsidR="00550FF9" w:rsidRPr="00DF29F0" w:rsidRDefault="00550FF9" w:rsidP="00550FF9">
            <w:pPr>
              <w:jc w:val="left"/>
              <w:rPr>
                <w:rFonts w:cs="Arial"/>
                <w:color w:val="000000"/>
                <w:sz w:val="18"/>
                <w:szCs w:val="18"/>
                <w:lang w:eastAsia="fr-FR"/>
              </w:rPr>
            </w:pPr>
            <w:r w:rsidRPr="00DF29F0">
              <w:rPr>
                <w:rFonts w:cs="Arial"/>
                <w:color w:val="000000"/>
                <w:sz w:val="18"/>
                <w:szCs w:val="18"/>
                <w:lang w:eastAsia="fr-FR"/>
              </w:rPr>
              <w:t> </w:t>
            </w:r>
          </w:p>
        </w:tc>
        <w:tc>
          <w:tcPr>
            <w:tcW w:w="722" w:type="pct"/>
            <w:vMerge/>
            <w:tcBorders>
              <w:top w:val="nil"/>
              <w:left w:val="single" w:sz="8" w:space="0" w:color="auto"/>
              <w:bottom w:val="single" w:sz="8" w:space="0" w:color="000000"/>
              <w:right w:val="single" w:sz="8" w:space="0" w:color="auto"/>
            </w:tcBorders>
            <w:vAlign w:val="center"/>
            <w:hideMark/>
          </w:tcPr>
          <w:p w14:paraId="32E377AE" w14:textId="77777777" w:rsidR="00550FF9" w:rsidRPr="00DF29F0" w:rsidRDefault="00550FF9" w:rsidP="00550FF9">
            <w:pPr>
              <w:jc w:val="left"/>
              <w:rPr>
                <w:rFonts w:cs="Arial"/>
                <w:color w:val="000000"/>
                <w:sz w:val="18"/>
                <w:szCs w:val="18"/>
                <w:lang w:eastAsia="fr-FR"/>
              </w:rPr>
            </w:pPr>
          </w:p>
        </w:tc>
        <w:tc>
          <w:tcPr>
            <w:tcW w:w="1804" w:type="pct"/>
            <w:tcBorders>
              <w:top w:val="nil"/>
              <w:left w:val="nil"/>
              <w:bottom w:val="single" w:sz="8" w:space="0" w:color="auto"/>
              <w:right w:val="single" w:sz="8" w:space="0" w:color="auto"/>
            </w:tcBorders>
            <w:shd w:val="clear" w:color="auto" w:fill="auto"/>
            <w:vAlign w:val="center"/>
            <w:hideMark/>
          </w:tcPr>
          <w:p w14:paraId="5B730B47"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d) Verweis auf eine bestimmte Position in der veröffentlichten Version des Referenzgenoms.</w:t>
            </w:r>
          </w:p>
        </w:tc>
      </w:tr>
      <w:tr w:rsidR="00550FF9" w:rsidRPr="00DF29F0" w14:paraId="67C0D6BD" w14:textId="77777777" w:rsidTr="001F44A6">
        <w:trPr>
          <w:gridAfter w:val="1"/>
          <w:wAfter w:w="81"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60E4C211"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2.2</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42F5DDFE"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 xml:space="preserve">Allel, das dem Zustand 1 entspricht </w:t>
            </w:r>
          </w:p>
        </w:tc>
        <w:tc>
          <w:tcPr>
            <w:tcW w:w="1235" w:type="pct"/>
            <w:tcBorders>
              <w:top w:val="nil"/>
              <w:left w:val="nil"/>
              <w:bottom w:val="nil"/>
              <w:right w:val="single" w:sz="8" w:space="0" w:color="auto"/>
            </w:tcBorders>
            <w:shd w:val="clear" w:color="auto" w:fill="auto"/>
            <w:vAlign w:val="center"/>
            <w:hideMark/>
          </w:tcPr>
          <w:p w14:paraId="6D522E9D"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Tm2 und Tm2</w:t>
            </w:r>
            <w:r w:rsidRPr="00DF29F0">
              <w:rPr>
                <w:rFonts w:cs="Arial"/>
                <w:color w:val="000000"/>
                <w:sz w:val="18"/>
                <w:szCs w:val="18"/>
                <w:vertAlign w:val="superscript"/>
                <w:lang w:eastAsia="nl-NL"/>
              </w:rPr>
              <w:t>2</w:t>
            </w:r>
          </w:p>
        </w:tc>
        <w:tc>
          <w:tcPr>
            <w:tcW w:w="722" w:type="pct"/>
            <w:vMerge w:val="restart"/>
            <w:tcBorders>
              <w:top w:val="nil"/>
              <w:left w:val="single" w:sz="8" w:space="0" w:color="auto"/>
              <w:bottom w:val="single" w:sz="8" w:space="0" w:color="000000"/>
              <w:right w:val="single" w:sz="8" w:space="0" w:color="auto"/>
            </w:tcBorders>
            <w:shd w:val="clear" w:color="auto" w:fill="auto"/>
            <w:vAlign w:val="center"/>
            <w:hideMark/>
          </w:tcPr>
          <w:p w14:paraId="04D338F8"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YES</w:t>
            </w:r>
          </w:p>
        </w:tc>
        <w:tc>
          <w:tcPr>
            <w:tcW w:w="1804" w:type="pct"/>
            <w:tcBorders>
              <w:top w:val="nil"/>
              <w:left w:val="nil"/>
              <w:bottom w:val="nil"/>
              <w:right w:val="single" w:sz="8" w:space="0" w:color="auto"/>
            </w:tcBorders>
            <w:shd w:val="clear" w:color="auto" w:fill="auto"/>
            <w:vAlign w:val="center"/>
            <w:hideMark/>
          </w:tcPr>
          <w:p w14:paraId="363D465B"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 xml:space="preserve">a) Datei(en) mit den DNA-Sequenzinformationen (Reihenfolge der Nukleotide) </w:t>
            </w:r>
          </w:p>
        </w:tc>
      </w:tr>
      <w:tr w:rsidR="00550FF9" w:rsidRPr="00DF29F0" w14:paraId="0934FAA0" w14:textId="77777777" w:rsidTr="001F44A6">
        <w:trPr>
          <w:gridAfter w:val="1"/>
          <w:wAfter w:w="81" w:type="pct"/>
          <w:cantSplit/>
          <w:trHeight w:val="510"/>
        </w:trPr>
        <w:tc>
          <w:tcPr>
            <w:tcW w:w="358" w:type="pct"/>
            <w:vMerge/>
            <w:tcBorders>
              <w:top w:val="nil"/>
              <w:left w:val="single" w:sz="8" w:space="0" w:color="auto"/>
              <w:bottom w:val="single" w:sz="8" w:space="0" w:color="000000"/>
              <w:right w:val="single" w:sz="8" w:space="0" w:color="auto"/>
            </w:tcBorders>
            <w:vAlign w:val="center"/>
            <w:hideMark/>
          </w:tcPr>
          <w:p w14:paraId="6BFB0E03" w14:textId="77777777" w:rsidR="00550FF9" w:rsidRPr="00DF29F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195584E0" w14:textId="77777777" w:rsidR="00550FF9" w:rsidRPr="00DF29F0" w:rsidRDefault="00550FF9" w:rsidP="00550FF9">
            <w:pPr>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00D73B8D"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fr-FR"/>
              </w:rPr>
              <w:t>Arens, P. et al (2010)</w:t>
            </w:r>
          </w:p>
        </w:tc>
        <w:tc>
          <w:tcPr>
            <w:tcW w:w="722" w:type="pct"/>
            <w:vMerge/>
            <w:tcBorders>
              <w:top w:val="nil"/>
              <w:left w:val="single" w:sz="8" w:space="0" w:color="auto"/>
              <w:bottom w:val="single" w:sz="8" w:space="0" w:color="000000"/>
              <w:right w:val="single" w:sz="8" w:space="0" w:color="auto"/>
            </w:tcBorders>
            <w:vAlign w:val="center"/>
            <w:hideMark/>
          </w:tcPr>
          <w:p w14:paraId="5C145036" w14:textId="77777777" w:rsidR="00550FF9" w:rsidRPr="00DF29F0" w:rsidRDefault="00550FF9" w:rsidP="00550FF9">
            <w:pPr>
              <w:jc w:val="left"/>
              <w:rPr>
                <w:rFonts w:cs="Arial"/>
                <w:color w:val="000000"/>
                <w:sz w:val="18"/>
                <w:szCs w:val="18"/>
                <w:lang w:eastAsia="fr-FR"/>
              </w:rPr>
            </w:pPr>
          </w:p>
        </w:tc>
        <w:tc>
          <w:tcPr>
            <w:tcW w:w="1804" w:type="pct"/>
            <w:tcBorders>
              <w:top w:val="nil"/>
              <w:left w:val="nil"/>
              <w:bottom w:val="nil"/>
              <w:right w:val="single" w:sz="8" w:space="0" w:color="auto"/>
            </w:tcBorders>
            <w:shd w:val="clear" w:color="auto" w:fill="auto"/>
            <w:vAlign w:val="center"/>
            <w:hideMark/>
          </w:tcPr>
          <w:p w14:paraId="1256061B"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b) Verweis auf DNA-Informationen in öffentlichen Datenbanken (wie GeneBank)</w:t>
            </w:r>
          </w:p>
        </w:tc>
      </w:tr>
      <w:tr w:rsidR="00550FF9" w:rsidRPr="00DF29F0" w14:paraId="1A241FDF" w14:textId="77777777" w:rsidTr="001F44A6">
        <w:trPr>
          <w:gridAfter w:val="1"/>
          <w:wAfter w:w="81" w:type="pct"/>
          <w:cantSplit/>
          <w:trHeight w:val="765"/>
        </w:trPr>
        <w:tc>
          <w:tcPr>
            <w:tcW w:w="358" w:type="pct"/>
            <w:vMerge/>
            <w:tcBorders>
              <w:top w:val="nil"/>
              <w:left w:val="single" w:sz="8" w:space="0" w:color="auto"/>
              <w:bottom w:val="single" w:sz="8" w:space="0" w:color="000000"/>
              <w:right w:val="single" w:sz="8" w:space="0" w:color="auto"/>
            </w:tcBorders>
            <w:vAlign w:val="center"/>
            <w:hideMark/>
          </w:tcPr>
          <w:p w14:paraId="507F842C" w14:textId="77777777" w:rsidR="00550FF9" w:rsidRPr="00DF29F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46FE60BA" w14:textId="77777777" w:rsidR="00550FF9" w:rsidRPr="00DF29F0" w:rsidRDefault="00550FF9" w:rsidP="00550FF9">
            <w:pPr>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27D1AA1F" w14:textId="77777777" w:rsidR="00550FF9" w:rsidRPr="00DF29F0" w:rsidRDefault="00550FF9" w:rsidP="00550FF9">
            <w:pPr>
              <w:jc w:val="left"/>
              <w:rPr>
                <w:rFonts w:cs="Arial"/>
                <w:color w:val="000000"/>
                <w:sz w:val="18"/>
                <w:szCs w:val="18"/>
                <w:lang w:eastAsia="fr-FR"/>
              </w:rPr>
            </w:pPr>
            <w:r w:rsidRPr="00DF29F0">
              <w:rPr>
                <w:rFonts w:cs="Arial"/>
                <w:color w:val="000000"/>
                <w:sz w:val="18"/>
                <w:szCs w:val="18"/>
                <w:lang w:eastAsia="nl-NL"/>
              </w:rPr>
              <w:t> </w:t>
            </w:r>
          </w:p>
        </w:tc>
        <w:tc>
          <w:tcPr>
            <w:tcW w:w="722" w:type="pct"/>
            <w:vMerge/>
            <w:tcBorders>
              <w:top w:val="nil"/>
              <w:left w:val="single" w:sz="8" w:space="0" w:color="auto"/>
              <w:bottom w:val="single" w:sz="8" w:space="0" w:color="000000"/>
              <w:right w:val="single" w:sz="8" w:space="0" w:color="auto"/>
            </w:tcBorders>
            <w:vAlign w:val="center"/>
            <w:hideMark/>
          </w:tcPr>
          <w:p w14:paraId="317825FA" w14:textId="77777777" w:rsidR="00550FF9" w:rsidRPr="00DF29F0" w:rsidRDefault="00550FF9" w:rsidP="00550FF9">
            <w:pPr>
              <w:jc w:val="left"/>
              <w:rPr>
                <w:rFonts w:cs="Arial"/>
                <w:color w:val="000000"/>
                <w:sz w:val="18"/>
                <w:szCs w:val="18"/>
                <w:lang w:eastAsia="fr-FR"/>
              </w:rPr>
            </w:pPr>
          </w:p>
        </w:tc>
        <w:tc>
          <w:tcPr>
            <w:tcW w:w="1804" w:type="pct"/>
            <w:tcBorders>
              <w:top w:val="nil"/>
              <w:left w:val="nil"/>
              <w:bottom w:val="nil"/>
              <w:right w:val="single" w:sz="8" w:space="0" w:color="auto"/>
            </w:tcBorders>
            <w:shd w:val="clear" w:color="auto" w:fill="auto"/>
            <w:vAlign w:val="center"/>
            <w:hideMark/>
          </w:tcPr>
          <w:p w14:paraId="6955C2EE"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c) Verweis auf (wissenschaftliche) Veröffentlichungen, in denen die DNA-Sequenzinformationen der Ausprägungsstufen des Merkmals offengelegt werden.</w:t>
            </w:r>
          </w:p>
        </w:tc>
      </w:tr>
      <w:tr w:rsidR="00550FF9" w:rsidRPr="00DF29F0" w14:paraId="5993032A" w14:textId="77777777" w:rsidTr="001F44A6">
        <w:trPr>
          <w:gridAfter w:val="1"/>
          <w:wAfter w:w="81" w:type="pct"/>
          <w:cantSplit/>
          <w:trHeight w:val="1035"/>
        </w:trPr>
        <w:tc>
          <w:tcPr>
            <w:tcW w:w="358" w:type="pct"/>
            <w:vMerge/>
            <w:tcBorders>
              <w:top w:val="nil"/>
              <w:left w:val="single" w:sz="8" w:space="0" w:color="auto"/>
              <w:bottom w:val="single" w:sz="8" w:space="0" w:color="000000"/>
              <w:right w:val="single" w:sz="8" w:space="0" w:color="auto"/>
            </w:tcBorders>
            <w:vAlign w:val="center"/>
            <w:hideMark/>
          </w:tcPr>
          <w:p w14:paraId="76E767B4" w14:textId="77777777" w:rsidR="00550FF9" w:rsidRPr="00DF29F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26825F5A" w14:textId="77777777" w:rsidR="00550FF9" w:rsidRPr="00DF29F0" w:rsidRDefault="00550FF9" w:rsidP="00550FF9">
            <w:pPr>
              <w:jc w:val="left"/>
              <w:rPr>
                <w:rFonts w:cs="Arial"/>
                <w:color w:val="000000"/>
                <w:sz w:val="18"/>
                <w:szCs w:val="18"/>
                <w:lang w:eastAsia="fr-FR"/>
              </w:rPr>
            </w:pPr>
          </w:p>
        </w:tc>
        <w:tc>
          <w:tcPr>
            <w:tcW w:w="1235" w:type="pct"/>
            <w:tcBorders>
              <w:top w:val="nil"/>
              <w:left w:val="nil"/>
              <w:bottom w:val="single" w:sz="8" w:space="0" w:color="auto"/>
              <w:right w:val="single" w:sz="8" w:space="0" w:color="auto"/>
            </w:tcBorders>
            <w:shd w:val="clear" w:color="auto" w:fill="auto"/>
            <w:hideMark/>
          </w:tcPr>
          <w:p w14:paraId="7290B604" w14:textId="77777777" w:rsidR="00550FF9" w:rsidRPr="00DF29F0" w:rsidRDefault="00550FF9" w:rsidP="00550FF9">
            <w:pPr>
              <w:jc w:val="left"/>
              <w:rPr>
                <w:rFonts w:cs="Arial"/>
                <w:color w:val="000000"/>
                <w:sz w:val="18"/>
                <w:szCs w:val="18"/>
                <w:lang w:eastAsia="fr-FR"/>
              </w:rPr>
            </w:pPr>
            <w:r w:rsidRPr="00DF29F0">
              <w:rPr>
                <w:rFonts w:cs="Arial"/>
                <w:color w:val="000000"/>
                <w:sz w:val="18"/>
                <w:szCs w:val="18"/>
                <w:lang w:eastAsia="fr-FR"/>
              </w:rPr>
              <w:t> </w:t>
            </w:r>
          </w:p>
        </w:tc>
        <w:tc>
          <w:tcPr>
            <w:tcW w:w="722" w:type="pct"/>
            <w:vMerge/>
            <w:tcBorders>
              <w:top w:val="nil"/>
              <w:left w:val="single" w:sz="8" w:space="0" w:color="auto"/>
              <w:bottom w:val="single" w:sz="8" w:space="0" w:color="000000"/>
              <w:right w:val="single" w:sz="8" w:space="0" w:color="auto"/>
            </w:tcBorders>
            <w:vAlign w:val="center"/>
            <w:hideMark/>
          </w:tcPr>
          <w:p w14:paraId="34A3ABBE" w14:textId="77777777" w:rsidR="00550FF9" w:rsidRPr="00DF29F0" w:rsidRDefault="00550FF9" w:rsidP="00550FF9">
            <w:pPr>
              <w:jc w:val="left"/>
              <w:rPr>
                <w:rFonts w:cs="Arial"/>
                <w:color w:val="000000"/>
                <w:sz w:val="18"/>
                <w:szCs w:val="18"/>
                <w:lang w:eastAsia="fr-FR"/>
              </w:rPr>
            </w:pPr>
          </w:p>
        </w:tc>
        <w:tc>
          <w:tcPr>
            <w:tcW w:w="1804" w:type="pct"/>
            <w:tcBorders>
              <w:top w:val="nil"/>
              <w:left w:val="nil"/>
              <w:bottom w:val="single" w:sz="8" w:space="0" w:color="auto"/>
              <w:right w:val="single" w:sz="8" w:space="0" w:color="auto"/>
            </w:tcBorders>
            <w:shd w:val="clear" w:color="auto" w:fill="auto"/>
            <w:vAlign w:val="center"/>
            <w:hideMark/>
          </w:tcPr>
          <w:p w14:paraId="06006E45"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d) Verweis auf eine bestimmte Position in der veröffentlichten Referenzgenomversion in Kombination mit dem SNP oder INDEL, der für den Ausprägungszustand verantwortlich ist.</w:t>
            </w:r>
          </w:p>
        </w:tc>
      </w:tr>
      <w:tr w:rsidR="00550FF9" w:rsidRPr="00DF29F0" w14:paraId="3BAC4B3A" w14:textId="77777777" w:rsidTr="001F44A6">
        <w:trPr>
          <w:gridAfter w:val="1"/>
          <w:wAfter w:w="81"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77ED41A3" w14:textId="77777777" w:rsidR="008B5290" w:rsidRPr="00DF29F0" w:rsidRDefault="006F3299">
            <w:pPr>
              <w:keepNext/>
              <w:jc w:val="left"/>
              <w:rPr>
                <w:rFonts w:cs="Arial"/>
                <w:color w:val="000000"/>
                <w:sz w:val="18"/>
                <w:szCs w:val="18"/>
                <w:lang w:eastAsia="fr-FR"/>
              </w:rPr>
            </w:pPr>
            <w:r w:rsidRPr="00DF29F0">
              <w:rPr>
                <w:rFonts w:cs="Arial"/>
                <w:color w:val="000000"/>
                <w:sz w:val="18"/>
                <w:szCs w:val="18"/>
                <w:lang w:eastAsia="nl-NL"/>
              </w:rPr>
              <w:lastRenderedPageBreak/>
              <w:t>2.3</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63FC132F" w14:textId="77777777" w:rsidR="008B5290" w:rsidRPr="00DF29F0" w:rsidRDefault="006F3299">
            <w:pPr>
              <w:keepNext/>
              <w:jc w:val="left"/>
              <w:rPr>
                <w:rFonts w:cs="Arial"/>
                <w:color w:val="000000"/>
                <w:sz w:val="18"/>
                <w:szCs w:val="18"/>
                <w:lang w:eastAsia="fr-FR"/>
              </w:rPr>
            </w:pPr>
            <w:r w:rsidRPr="00DF29F0">
              <w:rPr>
                <w:rFonts w:cs="Arial"/>
                <w:color w:val="000000"/>
                <w:sz w:val="18"/>
                <w:szCs w:val="18"/>
                <w:lang w:eastAsia="nl-NL"/>
              </w:rPr>
              <w:t xml:space="preserve">Allel, das dem Ausprägungszustand n entspricht </w:t>
            </w:r>
          </w:p>
        </w:tc>
        <w:tc>
          <w:tcPr>
            <w:tcW w:w="1235" w:type="pct"/>
            <w:tcBorders>
              <w:top w:val="nil"/>
              <w:left w:val="nil"/>
              <w:bottom w:val="nil"/>
              <w:right w:val="single" w:sz="8" w:space="0" w:color="auto"/>
            </w:tcBorders>
            <w:shd w:val="clear" w:color="auto" w:fill="auto"/>
            <w:vAlign w:val="center"/>
            <w:hideMark/>
          </w:tcPr>
          <w:p w14:paraId="5878CD69" w14:textId="77777777" w:rsidR="008B5290" w:rsidRPr="00DF29F0" w:rsidRDefault="006F3299">
            <w:pPr>
              <w:keepNext/>
              <w:jc w:val="left"/>
              <w:rPr>
                <w:rFonts w:cs="Arial"/>
                <w:color w:val="000000"/>
                <w:sz w:val="18"/>
                <w:szCs w:val="18"/>
                <w:lang w:eastAsia="fr-FR"/>
              </w:rPr>
            </w:pPr>
            <w:r w:rsidRPr="00DF29F0">
              <w:rPr>
                <w:rFonts w:cs="Arial"/>
                <w:color w:val="000000"/>
                <w:sz w:val="18"/>
                <w:szCs w:val="18"/>
                <w:lang w:eastAsia="nl-NL"/>
              </w:rPr>
              <w:t>tm2</w:t>
            </w:r>
          </w:p>
        </w:tc>
        <w:tc>
          <w:tcPr>
            <w:tcW w:w="722" w:type="pct"/>
            <w:vMerge w:val="restart"/>
            <w:tcBorders>
              <w:top w:val="nil"/>
              <w:left w:val="single" w:sz="8" w:space="0" w:color="auto"/>
              <w:bottom w:val="single" w:sz="8" w:space="0" w:color="000000"/>
              <w:right w:val="single" w:sz="8" w:space="0" w:color="auto"/>
            </w:tcBorders>
            <w:shd w:val="clear" w:color="auto" w:fill="auto"/>
            <w:vAlign w:val="center"/>
            <w:hideMark/>
          </w:tcPr>
          <w:p w14:paraId="2D6D1F18" w14:textId="77777777" w:rsidR="008B5290" w:rsidRPr="00DF29F0" w:rsidRDefault="006F3299">
            <w:pPr>
              <w:keepNext/>
              <w:jc w:val="left"/>
              <w:rPr>
                <w:rFonts w:cs="Arial"/>
                <w:color w:val="000000"/>
                <w:sz w:val="18"/>
                <w:szCs w:val="18"/>
                <w:lang w:eastAsia="fr-FR"/>
              </w:rPr>
            </w:pPr>
            <w:r w:rsidRPr="00DF29F0">
              <w:rPr>
                <w:rFonts w:cs="Arial"/>
                <w:color w:val="000000"/>
                <w:sz w:val="18"/>
                <w:szCs w:val="18"/>
                <w:lang w:eastAsia="nl-NL"/>
              </w:rPr>
              <w:t>YES</w:t>
            </w:r>
          </w:p>
        </w:tc>
        <w:tc>
          <w:tcPr>
            <w:tcW w:w="1804" w:type="pct"/>
            <w:tcBorders>
              <w:top w:val="nil"/>
              <w:left w:val="nil"/>
              <w:bottom w:val="nil"/>
              <w:right w:val="single" w:sz="8" w:space="0" w:color="auto"/>
            </w:tcBorders>
            <w:shd w:val="clear" w:color="auto" w:fill="auto"/>
            <w:vAlign w:val="center"/>
            <w:hideMark/>
          </w:tcPr>
          <w:p w14:paraId="4E4EAF6A" w14:textId="77777777" w:rsidR="008B5290" w:rsidRPr="00DF29F0" w:rsidRDefault="006F3299">
            <w:pPr>
              <w:keepNext/>
              <w:jc w:val="left"/>
              <w:rPr>
                <w:rFonts w:cs="Arial"/>
                <w:color w:val="000000"/>
                <w:sz w:val="18"/>
                <w:szCs w:val="18"/>
                <w:lang w:eastAsia="fr-FR"/>
              </w:rPr>
            </w:pPr>
            <w:r w:rsidRPr="00DF29F0">
              <w:rPr>
                <w:rFonts w:cs="Arial"/>
                <w:color w:val="000000"/>
                <w:sz w:val="18"/>
                <w:szCs w:val="18"/>
                <w:lang w:eastAsia="nl-NL"/>
              </w:rPr>
              <w:t xml:space="preserve">a) Datei(en) mit den DNA-Sequenzinformationen (Reihenfolge der Nukleotide) </w:t>
            </w:r>
          </w:p>
        </w:tc>
      </w:tr>
      <w:tr w:rsidR="00550FF9" w:rsidRPr="00DF29F0" w14:paraId="33E6CF71" w14:textId="77777777" w:rsidTr="001F44A6">
        <w:trPr>
          <w:gridAfter w:val="1"/>
          <w:wAfter w:w="81" w:type="pct"/>
          <w:cantSplit/>
          <w:trHeight w:val="510"/>
        </w:trPr>
        <w:tc>
          <w:tcPr>
            <w:tcW w:w="358" w:type="pct"/>
            <w:vMerge/>
            <w:tcBorders>
              <w:top w:val="nil"/>
              <w:left w:val="single" w:sz="8" w:space="0" w:color="auto"/>
              <w:bottom w:val="single" w:sz="8" w:space="0" w:color="000000"/>
              <w:right w:val="single" w:sz="8" w:space="0" w:color="auto"/>
            </w:tcBorders>
            <w:vAlign w:val="center"/>
            <w:hideMark/>
          </w:tcPr>
          <w:p w14:paraId="5BCEC21E" w14:textId="77777777" w:rsidR="00550FF9" w:rsidRPr="00DF29F0" w:rsidRDefault="00550FF9" w:rsidP="00550FF9">
            <w:pPr>
              <w:keepNext/>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25F9CEC5" w14:textId="77777777" w:rsidR="00550FF9" w:rsidRPr="00DF29F0" w:rsidRDefault="00550FF9" w:rsidP="00550FF9">
            <w:pPr>
              <w:keepNext/>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7B7E152F" w14:textId="77777777" w:rsidR="008B5290" w:rsidRPr="00DF29F0" w:rsidRDefault="006F3299">
            <w:pPr>
              <w:keepNext/>
              <w:jc w:val="left"/>
              <w:rPr>
                <w:rFonts w:cs="Arial"/>
                <w:color w:val="000000"/>
                <w:sz w:val="18"/>
                <w:szCs w:val="18"/>
                <w:lang w:eastAsia="fr-FR"/>
              </w:rPr>
            </w:pPr>
            <w:r w:rsidRPr="00DF29F0">
              <w:rPr>
                <w:rFonts w:cs="Arial"/>
                <w:color w:val="000000"/>
                <w:sz w:val="18"/>
                <w:szCs w:val="18"/>
                <w:lang w:eastAsia="fr-FR"/>
              </w:rPr>
              <w:t>Arens, P. et al (2010)</w:t>
            </w:r>
          </w:p>
        </w:tc>
        <w:tc>
          <w:tcPr>
            <w:tcW w:w="722" w:type="pct"/>
            <w:vMerge/>
            <w:tcBorders>
              <w:top w:val="nil"/>
              <w:left w:val="single" w:sz="8" w:space="0" w:color="auto"/>
              <w:bottom w:val="single" w:sz="8" w:space="0" w:color="000000"/>
              <w:right w:val="single" w:sz="8" w:space="0" w:color="auto"/>
            </w:tcBorders>
            <w:vAlign w:val="center"/>
            <w:hideMark/>
          </w:tcPr>
          <w:p w14:paraId="2EFFA011" w14:textId="77777777" w:rsidR="00550FF9" w:rsidRPr="00DF29F0" w:rsidRDefault="00550FF9" w:rsidP="00550FF9">
            <w:pPr>
              <w:keepNext/>
              <w:jc w:val="left"/>
              <w:rPr>
                <w:rFonts w:cs="Arial"/>
                <w:color w:val="000000"/>
                <w:sz w:val="18"/>
                <w:szCs w:val="18"/>
                <w:lang w:eastAsia="fr-FR"/>
              </w:rPr>
            </w:pPr>
          </w:p>
        </w:tc>
        <w:tc>
          <w:tcPr>
            <w:tcW w:w="1804" w:type="pct"/>
            <w:tcBorders>
              <w:top w:val="nil"/>
              <w:left w:val="nil"/>
              <w:bottom w:val="nil"/>
              <w:right w:val="single" w:sz="8" w:space="0" w:color="auto"/>
            </w:tcBorders>
            <w:shd w:val="clear" w:color="auto" w:fill="auto"/>
            <w:vAlign w:val="center"/>
            <w:hideMark/>
          </w:tcPr>
          <w:p w14:paraId="1FAC668C" w14:textId="77777777" w:rsidR="008B5290" w:rsidRPr="00DF29F0" w:rsidRDefault="006F3299">
            <w:pPr>
              <w:keepNext/>
              <w:jc w:val="left"/>
              <w:rPr>
                <w:rFonts w:cs="Arial"/>
                <w:color w:val="000000"/>
                <w:sz w:val="18"/>
                <w:szCs w:val="18"/>
                <w:lang w:eastAsia="fr-FR"/>
              </w:rPr>
            </w:pPr>
            <w:r w:rsidRPr="00DF29F0">
              <w:rPr>
                <w:rFonts w:cs="Arial"/>
                <w:color w:val="000000"/>
                <w:sz w:val="18"/>
                <w:szCs w:val="18"/>
                <w:lang w:eastAsia="nl-NL"/>
              </w:rPr>
              <w:t>b) Verweis auf DNA-Informationen in öffentlichen Datenbanken (wie GeneBank)</w:t>
            </w:r>
          </w:p>
        </w:tc>
      </w:tr>
      <w:tr w:rsidR="00550FF9" w:rsidRPr="00DF29F0" w14:paraId="1F011DEC" w14:textId="77777777" w:rsidTr="001F44A6">
        <w:trPr>
          <w:gridAfter w:val="1"/>
          <w:wAfter w:w="81" w:type="pct"/>
          <w:cantSplit/>
          <w:trHeight w:val="765"/>
        </w:trPr>
        <w:tc>
          <w:tcPr>
            <w:tcW w:w="358" w:type="pct"/>
            <w:vMerge/>
            <w:tcBorders>
              <w:top w:val="nil"/>
              <w:left w:val="single" w:sz="8" w:space="0" w:color="auto"/>
              <w:bottom w:val="single" w:sz="8" w:space="0" w:color="000000"/>
              <w:right w:val="single" w:sz="8" w:space="0" w:color="auto"/>
            </w:tcBorders>
            <w:vAlign w:val="center"/>
            <w:hideMark/>
          </w:tcPr>
          <w:p w14:paraId="38B0FFF0" w14:textId="77777777" w:rsidR="00550FF9" w:rsidRPr="00DF29F0" w:rsidRDefault="00550FF9" w:rsidP="00550FF9">
            <w:pPr>
              <w:keepNext/>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9576483" w14:textId="77777777" w:rsidR="00550FF9" w:rsidRPr="00DF29F0" w:rsidRDefault="00550FF9" w:rsidP="00550FF9">
            <w:pPr>
              <w:keepNext/>
              <w:jc w:val="left"/>
              <w:rPr>
                <w:rFonts w:cs="Arial"/>
                <w:color w:val="000000"/>
                <w:sz w:val="18"/>
                <w:szCs w:val="18"/>
                <w:lang w:eastAsia="fr-FR"/>
              </w:rPr>
            </w:pPr>
          </w:p>
        </w:tc>
        <w:tc>
          <w:tcPr>
            <w:tcW w:w="1235" w:type="pct"/>
            <w:tcBorders>
              <w:top w:val="nil"/>
              <w:left w:val="nil"/>
              <w:bottom w:val="nil"/>
              <w:right w:val="single" w:sz="8" w:space="0" w:color="auto"/>
            </w:tcBorders>
            <w:shd w:val="clear" w:color="auto" w:fill="auto"/>
            <w:vAlign w:val="center"/>
            <w:hideMark/>
          </w:tcPr>
          <w:p w14:paraId="28B7FCFD" w14:textId="77777777" w:rsidR="00550FF9" w:rsidRPr="00DF29F0" w:rsidRDefault="00550FF9" w:rsidP="00550FF9">
            <w:pPr>
              <w:keepNext/>
              <w:jc w:val="left"/>
              <w:rPr>
                <w:rFonts w:cs="Arial"/>
                <w:color w:val="000000"/>
                <w:sz w:val="18"/>
                <w:szCs w:val="18"/>
                <w:lang w:eastAsia="fr-FR"/>
              </w:rPr>
            </w:pPr>
            <w:r w:rsidRPr="00DF29F0">
              <w:rPr>
                <w:rFonts w:cs="Arial"/>
                <w:color w:val="000000"/>
                <w:sz w:val="18"/>
                <w:szCs w:val="18"/>
                <w:lang w:eastAsia="nl-NL"/>
              </w:rPr>
              <w:t> </w:t>
            </w:r>
          </w:p>
        </w:tc>
        <w:tc>
          <w:tcPr>
            <w:tcW w:w="722" w:type="pct"/>
            <w:vMerge/>
            <w:tcBorders>
              <w:top w:val="nil"/>
              <w:left w:val="single" w:sz="8" w:space="0" w:color="auto"/>
              <w:bottom w:val="single" w:sz="8" w:space="0" w:color="000000"/>
              <w:right w:val="single" w:sz="8" w:space="0" w:color="auto"/>
            </w:tcBorders>
            <w:vAlign w:val="center"/>
            <w:hideMark/>
          </w:tcPr>
          <w:p w14:paraId="35713214" w14:textId="77777777" w:rsidR="00550FF9" w:rsidRPr="00DF29F0" w:rsidRDefault="00550FF9" w:rsidP="00550FF9">
            <w:pPr>
              <w:keepNext/>
              <w:jc w:val="left"/>
              <w:rPr>
                <w:rFonts w:cs="Arial"/>
                <w:color w:val="000000"/>
                <w:sz w:val="18"/>
                <w:szCs w:val="18"/>
                <w:lang w:eastAsia="fr-FR"/>
              </w:rPr>
            </w:pPr>
          </w:p>
        </w:tc>
        <w:tc>
          <w:tcPr>
            <w:tcW w:w="1804" w:type="pct"/>
            <w:tcBorders>
              <w:top w:val="nil"/>
              <w:left w:val="nil"/>
              <w:bottom w:val="nil"/>
              <w:right w:val="single" w:sz="8" w:space="0" w:color="auto"/>
            </w:tcBorders>
            <w:shd w:val="clear" w:color="auto" w:fill="auto"/>
            <w:vAlign w:val="center"/>
            <w:hideMark/>
          </w:tcPr>
          <w:p w14:paraId="529AFDA2" w14:textId="77777777" w:rsidR="008B5290" w:rsidRPr="00DF29F0" w:rsidRDefault="006F3299">
            <w:pPr>
              <w:keepNext/>
              <w:jc w:val="left"/>
              <w:rPr>
                <w:rFonts w:cs="Arial"/>
                <w:color w:val="000000"/>
                <w:sz w:val="18"/>
                <w:szCs w:val="18"/>
                <w:lang w:eastAsia="fr-FR"/>
              </w:rPr>
            </w:pPr>
            <w:r w:rsidRPr="00DF29F0">
              <w:rPr>
                <w:rFonts w:cs="Arial"/>
                <w:color w:val="000000"/>
                <w:sz w:val="18"/>
                <w:szCs w:val="18"/>
                <w:lang w:eastAsia="nl-NL"/>
              </w:rPr>
              <w:t>c) Verweis auf (wissenschaftliche) Veröffentlichungen, in denen die DNA-Sequenzinformationen der Ausprägungsstufen des Merkmals offengelegt werden.</w:t>
            </w:r>
          </w:p>
        </w:tc>
      </w:tr>
      <w:tr w:rsidR="00550FF9" w:rsidRPr="00DF29F0" w14:paraId="4C31482A" w14:textId="77777777" w:rsidTr="001F44A6">
        <w:trPr>
          <w:gridAfter w:val="1"/>
          <w:wAfter w:w="81" w:type="pct"/>
          <w:cantSplit/>
          <w:trHeight w:val="1035"/>
        </w:trPr>
        <w:tc>
          <w:tcPr>
            <w:tcW w:w="358" w:type="pct"/>
            <w:vMerge/>
            <w:tcBorders>
              <w:top w:val="nil"/>
              <w:left w:val="single" w:sz="8" w:space="0" w:color="auto"/>
              <w:bottom w:val="single" w:sz="8" w:space="0" w:color="000000"/>
              <w:right w:val="single" w:sz="8" w:space="0" w:color="auto"/>
            </w:tcBorders>
            <w:vAlign w:val="center"/>
            <w:hideMark/>
          </w:tcPr>
          <w:p w14:paraId="08E5BA0F" w14:textId="77777777" w:rsidR="00550FF9" w:rsidRPr="00DF29F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01F8453" w14:textId="77777777" w:rsidR="00550FF9" w:rsidRPr="00DF29F0" w:rsidRDefault="00550FF9" w:rsidP="00550FF9">
            <w:pPr>
              <w:jc w:val="left"/>
              <w:rPr>
                <w:rFonts w:cs="Arial"/>
                <w:color w:val="000000"/>
                <w:sz w:val="18"/>
                <w:szCs w:val="18"/>
                <w:lang w:eastAsia="fr-FR"/>
              </w:rPr>
            </w:pPr>
          </w:p>
        </w:tc>
        <w:tc>
          <w:tcPr>
            <w:tcW w:w="1235" w:type="pct"/>
            <w:tcBorders>
              <w:top w:val="nil"/>
              <w:left w:val="nil"/>
              <w:bottom w:val="single" w:sz="8" w:space="0" w:color="auto"/>
              <w:right w:val="single" w:sz="8" w:space="0" w:color="auto"/>
            </w:tcBorders>
            <w:shd w:val="clear" w:color="auto" w:fill="auto"/>
            <w:hideMark/>
          </w:tcPr>
          <w:p w14:paraId="04244ACF" w14:textId="77777777" w:rsidR="00550FF9" w:rsidRPr="00DF29F0" w:rsidRDefault="00550FF9" w:rsidP="00550FF9">
            <w:pPr>
              <w:jc w:val="left"/>
              <w:rPr>
                <w:rFonts w:cs="Arial"/>
                <w:color w:val="000000"/>
                <w:sz w:val="18"/>
                <w:szCs w:val="18"/>
                <w:lang w:eastAsia="fr-FR"/>
              </w:rPr>
            </w:pPr>
            <w:r w:rsidRPr="00DF29F0">
              <w:rPr>
                <w:rFonts w:cs="Arial"/>
                <w:color w:val="000000"/>
                <w:sz w:val="18"/>
                <w:szCs w:val="18"/>
                <w:lang w:eastAsia="fr-FR"/>
              </w:rPr>
              <w:t> </w:t>
            </w:r>
          </w:p>
        </w:tc>
        <w:tc>
          <w:tcPr>
            <w:tcW w:w="722" w:type="pct"/>
            <w:vMerge/>
            <w:tcBorders>
              <w:top w:val="nil"/>
              <w:left w:val="single" w:sz="8" w:space="0" w:color="auto"/>
              <w:bottom w:val="single" w:sz="8" w:space="0" w:color="000000"/>
              <w:right w:val="single" w:sz="8" w:space="0" w:color="auto"/>
            </w:tcBorders>
            <w:vAlign w:val="center"/>
            <w:hideMark/>
          </w:tcPr>
          <w:p w14:paraId="7F5694FA" w14:textId="77777777" w:rsidR="00550FF9" w:rsidRPr="00DF29F0" w:rsidRDefault="00550FF9" w:rsidP="00550FF9">
            <w:pPr>
              <w:jc w:val="left"/>
              <w:rPr>
                <w:rFonts w:cs="Arial"/>
                <w:color w:val="000000"/>
                <w:sz w:val="18"/>
                <w:szCs w:val="18"/>
                <w:lang w:eastAsia="fr-FR"/>
              </w:rPr>
            </w:pPr>
          </w:p>
        </w:tc>
        <w:tc>
          <w:tcPr>
            <w:tcW w:w="1804" w:type="pct"/>
            <w:tcBorders>
              <w:top w:val="nil"/>
              <w:left w:val="nil"/>
              <w:bottom w:val="single" w:sz="8" w:space="0" w:color="auto"/>
              <w:right w:val="single" w:sz="8" w:space="0" w:color="auto"/>
            </w:tcBorders>
            <w:shd w:val="clear" w:color="auto" w:fill="auto"/>
            <w:vAlign w:val="center"/>
            <w:hideMark/>
          </w:tcPr>
          <w:p w14:paraId="379E3A59"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d) Verweis auf eine bestimmte Position in der veröffentlichten Referenzgenomversion in Kombination mit dem SNP oder INDEL, der für den Ausprägungszustand verantwortlich ist.</w:t>
            </w:r>
          </w:p>
        </w:tc>
      </w:tr>
      <w:tr w:rsidR="00550FF9" w:rsidRPr="00DF29F0" w14:paraId="09C12AC6" w14:textId="77777777" w:rsidTr="001F44A6">
        <w:trPr>
          <w:gridAfter w:val="1"/>
          <w:wAfter w:w="81" w:type="pct"/>
          <w:cantSplit/>
          <w:trHeight w:val="780"/>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19AA5950"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3</w:t>
            </w:r>
          </w:p>
        </w:tc>
        <w:tc>
          <w:tcPr>
            <w:tcW w:w="800" w:type="pct"/>
            <w:tcBorders>
              <w:top w:val="nil"/>
              <w:left w:val="nil"/>
              <w:bottom w:val="single" w:sz="8" w:space="0" w:color="auto"/>
              <w:right w:val="single" w:sz="8" w:space="0" w:color="auto"/>
            </w:tcBorders>
            <w:shd w:val="clear" w:color="auto" w:fill="auto"/>
            <w:vAlign w:val="center"/>
            <w:hideMark/>
          </w:tcPr>
          <w:p w14:paraId="373114AD"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Primer (und Sonden)</w:t>
            </w:r>
          </w:p>
        </w:tc>
        <w:tc>
          <w:tcPr>
            <w:tcW w:w="1235" w:type="pct"/>
            <w:tcBorders>
              <w:top w:val="nil"/>
              <w:left w:val="nil"/>
              <w:bottom w:val="single" w:sz="8" w:space="0" w:color="auto"/>
              <w:right w:val="single" w:sz="8" w:space="0" w:color="auto"/>
            </w:tcBorders>
            <w:shd w:val="clear" w:color="auto" w:fill="auto"/>
            <w:vAlign w:val="center"/>
            <w:hideMark/>
          </w:tcPr>
          <w:p w14:paraId="70F2F6AE" w14:textId="77777777" w:rsidR="008B5290" w:rsidRPr="00DF29F0" w:rsidRDefault="006F3299">
            <w:pPr>
              <w:jc w:val="left"/>
              <w:rPr>
                <w:rFonts w:cs="Arial"/>
                <w:i/>
                <w:iCs/>
                <w:color w:val="000000"/>
                <w:sz w:val="18"/>
                <w:szCs w:val="18"/>
                <w:lang w:eastAsia="fr-FR"/>
              </w:rPr>
            </w:pPr>
            <w:r w:rsidRPr="00DF29F0">
              <w:rPr>
                <w:rFonts w:cs="Arial"/>
                <w:i/>
                <w:iCs/>
                <w:color w:val="000000"/>
                <w:sz w:val="18"/>
                <w:szCs w:val="18"/>
                <w:lang w:eastAsia="fr-FR"/>
              </w:rPr>
              <w:t>Siehe TG/44/11/rev3 - Zu 51: ii DNS-Marker-Test 3, 3.1 und 3.2 hinzufügen</w:t>
            </w:r>
          </w:p>
        </w:tc>
        <w:tc>
          <w:tcPr>
            <w:tcW w:w="722" w:type="pct"/>
            <w:tcBorders>
              <w:top w:val="nil"/>
              <w:left w:val="nil"/>
              <w:bottom w:val="single" w:sz="8" w:space="0" w:color="auto"/>
              <w:right w:val="single" w:sz="8" w:space="0" w:color="auto"/>
            </w:tcBorders>
            <w:shd w:val="clear" w:color="auto" w:fill="auto"/>
            <w:vAlign w:val="center"/>
            <w:hideMark/>
          </w:tcPr>
          <w:p w14:paraId="33EE5624"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YES</w:t>
            </w:r>
          </w:p>
        </w:tc>
        <w:tc>
          <w:tcPr>
            <w:tcW w:w="1804" w:type="pct"/>
            <w:tcBorders>
              <w:top w:val="nil"/>
              <w:left w:val="nil"/>
              <w:bottom w:val="single" w:sz="8" w:space="0" w:color="auto"/>
              <w:right w:val="single" w:sz="8" w:space="0" w:color="auto"/>
            </w:tcBorders>
            <w:shd w:val="clear" w:color="auto" w:fill="auto"/>
            <w:vAlign w:val="center"/>
            <w:hideMark/>
          </w:tcPr>
          <w:p w14:paraId="596B7054"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Primer- und Sondensequenzen, Verweis auf Akzessionen und Sequenzen in öffentlichen Datenbanken (Genebank-Nummern), Literatur</w:t>
            </w:r>
          </w:p>
        </w:tc>
      </w:tr>
      <w:tr w:rsidR="00550FF9" w:rsidRPr="00DF29F0" w14:paraId="3184769A" w14:textId="77777777" w:rsidTr="001F44A6">
        <w:trPr>
          <w:gridAfter w:val="1"/>
          <w:wAfter w:w="81"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5292A2C1"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3.1</w:t>
            </w:r>
          </w:p>
        </w:tc>
        <w:tc>
          <w:tcPr>
            <w:tcW w:w="800" w:type="pct"/>
            <w:tcBorders>
              <w:top w:val="nil"/>
              <w:left w:val="nil"/>
              <w:bottom w:val="single" w:sz="8" w:space="0" w:color="auto"/>
              <w:right w:val="single" w:sz="8" w:space="0" w:color="auto"/>
            </w:tcBorders>
            <w:shd w:val="clear" w:color="auto" w:fill="auto"/>
            <w:vAlign w:val="center"/>
            <w:hideMark/>
          </w:tcPr>
          <w:p w14:paraId="5E7AA220"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 xml:space="preserve">Primer </w:t>
            </w:r>
            <w:r w:rsidRPr="00DF29F0">
              <w:rPr>
                <w:rFonts w:cs="Arial"/>
                <w:color w:val="000000"/>
                <w:sz w:val="18"/>
                <w:szCs w:val="18"/>
                <w:highlight w:val="lightGray"/>
                <w:lang w:eastAsia="nl-NL"/>
              </w:rPr>
              <w:t xml:space="preserve">(und Sonden) </w:t>
            </w:r>
            <w:r w:rsidRPr="00DF29F0">
              <w:rPr>
                <w:rFonts w:cs="Arial"/>
                <w:color w:val="000000"/>
                <w:sz w:val="18"/>
                <w:szCs w:val="18"/>
                <w:lang w:eastAsia="nl-NL"/>
              </w:rPr>
              <w:t>zum Nachweis des Allels '9'</w:t>
            </w:r>
          </w:p>
        </w:tc>
        <w:tc>
          <w:tcPr>
            <w:tcW w:w="1235" w:type="pct"/>
            <w:tcBorders>
              <w:top w:val="nil"/>
              <w:left w:val="nil"/>
              <w:bottom w:val="single" w:sz="8" w:space="0" w:color="auto"/>
              <w:right w:val="single" w:sz="8" w:space="0" w:color="auto"/>
            </w:tcBorders>
            <w:shd w:val="clear" w:color="auto" w:fill="auto"/>
            <w:vAlign w:val="center"/>
            <w:hideMark/>
          </w:tcPr>
          <w:p w14:paraId="21AA8190" w14:textId="77777777" w:rsidR="00550FF9" w:rsidRPr="00DF29F0" w:rsidRDefault="00550FF9" w:rsidP="00550FF9">
            <w:pPr>
              <w:jc w:val="left"/>
              <w:rPr>
                <w:rFonts w:cs="Arial"/>
                <w:color w:val="000000"/>
                <w:sz w:val="18"/>
                <w:szCs w:val="18"/>
                <w:lang w:eastAsia="fr-FR"/>
              </w:rPr>
            </w:pPr>
            <w:r w:rsidRPr="00DF29F0">
              <w:rPr>
                <w:rFonts w:cs="Arial"/>
                <w:color w:val="000000"/>
                <w:sz w:val="18"/>
                <w:szCs w:val="18"/>
                <w:lang w:eastAsia="nl-NL"/>
              </w:rPr>
              <w:t> </w:t>
            </w:r>
          </w:p>
        </w:tc>
        <w:tc>
          <w:tcPr>
            <w:tcW w:w="722" w:type="pct"/>
            <w:tcBorders>
              <w:top w:val="nil"/>
              <w:left w:val="nil"/>
              <w:bottom w:val="single" w:sz="8" w:space="0" w:color="auto"/>
              <w:right w:val="single" w:sz="8" w:space="0" w:color="auto"/>
            </w:tcBorders>
            <w:shd w:val="clear" w:color="auto" w:fill="auto"/>
            <w:vAlign w:val="center"/>
            <w:hideMark/>
          </w:tcPr>
          <w:p w14:paraId="25394648"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YES</w:t>
            </w:r>
          </w:p>
        </w:tc>
        <w:tc>
          <w:tcPr>
            <w:tcW w:w="1804" w:type="pct"/>
            <w:tcBorders>
              <w:top w:val="nil"/>
              <w:left w:val="nil"/>
              <w:bottom w:val="single" w:sz="8" w:space="0" w:color="auto"/>
              <w:right w:val="single" w:sz="8" w:space="0" w:color="auto"/>
            </w:tcBorders>
            <w:shd w:val="clear" w:color="auto" w:fill="auto"/>
            <w:vAlign w:val="center"/>
            <w:hideMark/>
          </w:tcPr>
          <w:p w14:paraId="214A1140"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Primer Sequenzen, die dem/den Allel(en) für die Ausprägung "9" (Resistenz) entsprechen</w:t>
            </w:r>
          </w:p>
        </w:tc>
      </w:tr>
      <w:tr w:rsidR="00550FF9" w:rsidRPr="00DF29F0" w14:paraId="5BE6D8C4" w14:textId="77777777" w:rsidTr="001F44A6">
        <w:trPr>
          <w:gridAfter w:val="1"/>
          <w:wAfter w:w="81"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41C6CE2F"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3.2</w:t>
            </w:r>
          </w:p>
        </w:tc>
        <w:tc>
          <w:tcPr>
            <w:tcW w:w="800" w:type="pct"/>
            <w:tcBorders>
              <w:top w:val="nil"/>
              <w:left w:val="nil"/>
              <w:bottom w:val="single" w:sz="8" w:space="0" w:color="auto"/>
              <w:right w:val="single" w:sz="8" w:space="0" w:color="auto"/>
            </w:tcBorders>
            <w:shd w:val="clear" w:color="auto" w:fill="auto"/>
            <w:vAlign w:val="center"/>
            <w:hideMark/>
          </w:tcPr>
          <w:p w14:paraId="02E0AB8F"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 xml:space="preserve">Primer </w:t>
            </w:r>
            <w:r w:rsidRPr="00DF29F0">
              <w:rPr>
                <w:rFonts w:cs="Arial"/>
                <w:color w:val="000000"/>
                <w:sz w:val="18"/>
                <w:szCs w:val="18"/>
                <w:highlight w:val="lightGray"/>
                <w:lang w:eastAsia="nl-NL"/>
              </w:rPr>
              <w:t xml:space="preserve">(und Sonden) </w:t>
            </w:r>
            <w:r w:rsidRPr="00DF29F0">
              <w:rPr>
                <w:rFonts w:cs="Arial"/>
                <w:color w:val="000000"/>
                <w:sz w:val="18"/>
                <w:szCs w:val="18"/>
                <w:lang w:eastAsia="nl-NL"/>
              </w:rPr>
              <w:t>zum Nachweis des Allels '1'</w:t>
            </w:r>
          </w:p>
        </w:tc>
        <w:tc>
          <w:tcPr>
            <w:tcW w:w="1235" w:type="pct"/>
            <w:tcBorders>
              <w:top w:val="nil"/>
              <w:left w:val="nil"/>
              <w:bottom w:val="single" w:sz="8" w:space="0" w:color="auto"/>
              <w:right w:val="single" w:sz="8" w:space="0" w:color="auto"/>
            </w:tcBorders>
            <w:shd w:val="clear" w:color="auto" w:fill="auto"/>
            <w:vAlign w:val="center"/>
            <w:hideMark/>
          </w:tcPr>
          <w:p w14:paraId="00222F32" w14:textId="77777777" w:rsidR="00550FF9" w:rsidRPr="00DF29F0" w:rsidRDefault="00550FF9" w:rsidP="00550FF9">
            <w:pPr>
              <w:jc w:val="left"/>
              <w:rPr>
                <w:rFonts w:cs="Arial"/>
                <w:color w:val="000000"/>
                <w:sz w:val="18"/>
                <w:szCs w:val="18"/>
                <w:lang w:eastAsia="fr-FR"/>
              </w:rPr>
            </w:pPr>
            <w:r w:rsidRPr="00DF29F0">
              <w:rPr>
                <w:rFonts w:cs="Arial"/>
                <w:color w:val="000000"/>
                <w:sz w:val="18"/>
                <w:szCs w:val="18"/>
                <w:lang w:eastAsia="nl-NL"/>
              </w:rPr>
              <w:t> </w:t>
            </w:r>
          </w:p>
        </w:tc>
        <w:tc>
          <w:tcPr>
            <w:tcW w:w="722" w:type="pct"/>
            <w:tcBorders>
              <w:top w:val="nil"/>
              <w:left w:val="nil"/>
              <w:bottom w:val="single" w:sz="8" w:space="0" w:color="auto"/>
              <w:right w:val="single" w:sz="8" w:space="0" w:color="auto"/>
            </w:tcBorders>
            <w:shd w:val="clear" w:color="auto" w:fill="auto"/>
            <w:vAlign w:val="center"/>
            <w:hideMark/>
          </w:tcPr>
          <w:p w14:paraId="3A794504"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YES</w:t>
            </w:r>
          </w:p>
        </w:tc>
        <w:tc>
          <w:tcPr>
            <w:tcW w:w="1804" w:type="pct"/>
            <w:tcBorders>
              <w:top w:val="nil"/>
              <w:left w:val="nil"/>
              <w:bottom w:val="single" w:sz="8" w:space="0" w:color="auto"/>
              <w:right w:val="single" w:sz="8" w:space="0" w:color="auto"/>
            </w:tcBorders>
            <w:shd w:val="clear" w:color="auto" w:fill="auto"/>
            <w:vAlign w:val="center"/>
            <w:hideMark/>
          </w:tcPr>
          <w:p w14:paraId="59598F99"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Primer Sequenzen, die dem/den Allel(en) für die Ausprägung "1" (Anfälligkeit) entsprechen</w:t>
            </w:r>
          </w:p>
        </w:tc>
      </w:tr>
      <w:tr w:rsidR="00550FF9" w:rsidRPr="00DF29F0" w14:paraId="2D09653D" w14:textId="77777777" w:rsidTr="001F44A6">
        <w:trPr>
          <w:gridAfter w:val="1"/>
          <w:wAfter w:w="81" w:type="pct"/>
          <w:cantSplit/>
          <w:trHeight w:val="5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4216BE88"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3.3</w:t>
            </w:r>
          </w:p>
        </w:tc>
        <w:tc>
          <w:tcPr>
            <w:tcW w:w="800" w:type="pct"/>
            <w:tcBorders>
              <w:top w:val="nil"/>
              <w:left w:val="nil"/>
              <w:bottom w:val="single" w:sz="8" w:space="0" w:color="auto"/>
              <w:right w:val="single" w:sz="8" w:space="0" w:color="auto"/>
            </w:tcBorders>
            <w:shd w:val="clear" w:color="auto" w:fill="auto"/>
            <w:vAlign w:val="center"/>
            <w:hideMark/>
          </w:tcPr>
          <w:p w14:paraId="7D982D63"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Primer (</w:t>
            </w:r>
            <w:r w:rsidRPr="00DF29F0">
              <w:rPr>
                <w:rFonts w:cs="Arial"/>
                <w:color w:val="000000"/>
                <w:sz w:val="18"/>
                <w:szCs w:val="18"/>
                <w:highlight w:val="lightGray"/>
                <w:lang w:eastAsia="nl-NL"/>
              </w:rPr>
              <w:t>und Sonden</w:t>
            </w:r>
            <w:r w:rsidRPr="00DF29F0">
              <w:rPr>
                <w:rFonts w:cs="Arial"/>
                <w:color w:val="000000"/>
                <w:sz w:val="18"/>
                <w:szCs w:val="18"/>
                <w:lang w:eastAsia="nl-NL"/>
              </w:rPr>
              <w:t>) zum Nachweis des Allels 'x'</w:t>
            </w:r>
          </w:p>
        </w:tc>
        <w:tc>
          <w:tcPr>
            <w:tcW w:w="1235" w:type="pct"/>
            <w:tcBorders>
              <w:top w:val="nil"/>
              <w:left w:val="nil"/>
              <w:bottom w:val="single" w:sz="8" w:space="0" w:color="auto"/>
              <w:right w:val="single" w:sz="8" w:space="0" w:color="auto"/>
            </w:tcBorders>
            <w:shd w:val="clear" w:color="auto" w:fill="auto"/>
            <w:vAlign w:val="center"/>
            <w:hideMark/>
          </w:tcPr>
          <w:p w14:paraId="521221D4" w14:textId="77777777" w:rsidR="00550FF9" w:rsidRPr="00DF29F0" w:rsidRDefault="00550FF9" w:rsidP="00550FF9">
            <w:pPr>
              <w:jc w:val="left"/>
              <w:rPr>
                <w:rFonts w:cs="Arial"/>
                <w:color w:val="000000"/>
                <w:sz w:val="18"/>
                <w:szCs w:val="18"/>
                <w:lang w:eastAsia="fr-FR"/>
              </w:rPr>
            </w:pPr>
            <w:r w:rsidRPr="00DF29F0">
              <w:rPr>
                <w:rFonts w:cs="Arial"/>
                <w:color w:val="000000"/>
                <w:sz w:val="18"/>
                <w:szCs w:val="18"/>
                <w:lang w:eastAsia="nl-NL"/>
              </w:rPr>
              <w:t> </w:t>
            </w:r>
          </w:p>
        </w:tc>
        <w:tc>
          <w:tcPr>
            <w:tcW w:w="722" w:type="pct"/>
            <w:tcBorders>
              <w:top w:val="nil"/>
              <w:left w:val="nil"/>
              <w:bottom w:val="single" w:sz="8" w:space="0" w:color="auto"/>
              <w:right w:val="single" w:sz="8" w:space="0" w:color="auto"/>
            </w:tcBorders>
            <w:shd w:val="clear" w:color="auto" w:fill="auto"/>
            <w:vAlign w:val="center"/>
            <w:hideMark/>
          </w:tcPr>
          <w:p w14:paraId="1CA8AD64"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YES</w:t>
            </w:r>
          </w:p>
        </w:tc>
        <w:tc>
          <w:tcPr>
            <w:tcW w:w="1804" w:type="pct"/>
            <w:tcBorders>
              <w:top w:val="nil"/>
              <w:left w:val="nil"/>
              <w:bottom w:val="single" w:sz="8" w:space="0" w:color="auto"/>
              <w:right w:val="single" w:sz="8" w:space="0" w:color="auto"/>
            </w:tcBorders>
            <w:shd w:val="clear" w:color="auto" w:fill="auto"/>
            <w:vAlign w:val="center"/>
            <w:hideMark/>
          </w:tcPr>
          <w:p w14:paraId="0E1093F9"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 xml:space="preserve">Primer Sequenzen, die dem/den Allel(en) für die Ausprägung "x" entsprechen </w:t>
            </w:r>
          </w:p>
        </w:tc>
      </w:tr>
      <w:tr w:rsidR="00550FF9" w:rsidRPr="00DF29F0" w14:paraId="30A57DCB" w14:textId="77777777" w:rsidTr="001F44A6">
        <w:trPr>
          <w:gridAfter w:val="1"/>
          <w:wAfter w:w="81" w:type="pct"/>
          <w:cantSplit/>
          <w:trHeight w:val="31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5C7DAE53"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4</w:t>
            </w:r>
          </w:p>
        </w:tc>
        <w:tc>
          <w:tcPr>
            <w:tcW w:w="800" w:type="pct"/>
            <w:tcBorders>
              <w:top w:val="nil"/>
              <w:left w:val="nil"/>
              <w:bottom w:val="single" w:sz="8" w:space="0" w:color="auto"/>
              <w:right w:val="single" w:sz="8" w:space="0" w:color="auto"/>
            </w:tcBorders>
            <w:shd w:val="clear" w:color="auto" w:fill="auto"/>
            <w:vAlign w:val="center"/>
            <w:hideMark/>
          </w:tcPr>
          <w:p w14:paraId="5C9585D6"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Format der Prüfung</w:t>
            </w:r>
          </w:p>
        </w:tc>
        <w:tc>
          <w:tcPr>
            <w:tcW w:w="1235" w:type="pct"/>
            <w:tcBorders>
              <w:top w:val="nil"/>
              <w:left w:val="nil"/>
              <w:bottom w:val="single" w:sz="8" w:space="0" w:color="auto"/>
              <w:right w:val="single" w:sz="8" w:space="0" w:color="auto"/>
            </w:tcBorders>
            <w:shd w:val="clear" w:color="auto" w:fill="auto"/>
            <w:vAlign w:val="center"/>
            <w:hideMark/>
          </w:tcPr>
          <w:p w14:paraId="6F3C3ADB" w14:textId="77777777" w:rsidR="00550FF9" w:rsidRPr="00DF29F0" w:rsidRDefault="00550FF9" w:rsidP="00550FF9">
            <w:pPr>
              <w:jc w:val="left"/>
              <w:rPr>
                <w:rFonts w:cs="Arial"/>
                <w:color w:val="000000"/>
                <w:sz w:val="18"/>
                <w:szCs w:val="18"/>
                <w:lang w:eastAsia="fr-FR"/>
              </w:rPr>
            </w:pPr>
            <w:r w:rsidRPr="00DF29F0">
              <w:rPr>
                <w:rFonts w:cs="Arial"/>
                <w:color w:val="000000"/>
                <w:sz w:val="18"/>
                <w:szCs w:val="18"/>
                <w:lang w:eastAsia="nl-NL"/>
              </w:rPr>
              <w:t> </w:t>
            </w:r>
          </w:p>
        </w:tc>
        <w:tc>
          <w:tcPr>
            <w:tcW w:w="722" w:type="pct"/>
            <w:tcBorders>
              <w:top w:val="nil"/>
              <w:left w:val="nil"/>
              <w:bottom w:val="single" w:sz="8" w:space="0" w:color="auto"/>
              <w:right w:val="single" w:sz="8" w:space="0" w:color="auto"/>
            </w:tcBorders>
            <w:shd w:val="clear" w:color="auto" w:fill="auto"/>
            <w:vAlign w:val="center"/>
            <w:hideMark/>
          </w:tcPr>
          <w:p w14:paraId="74AAD4C6" w14:textId="77777777" w:rsidR="00550FF9" w:rsidRPr="00DF29F0" w:rsidRDefault="00550FF9" w:rsidP="00550FF9">
            <w:pPr>
              <w:jc w:val="left"/>
              <w:rPr>
                <w:rFonts w:cs="Arial"/>
                <w:color w:val="000000"/>
                <w:sz w:val="18"/>
                <w:szCs w:val="18"/>
                <w:lang w:eastAsia="fr-FR"/>
              </w:rPr>
            </w:pPr>
            <w:r w:rsidRPr="00DF29F0">
              <w:rPr>
                <w:rFonts w:cs="Arial"/>
                <w:color w:val="000000"/>
                <w:sz w:val="18"/>
                <w:szCs w:val="18"/>
                <w:lang w:eastAsia="nl-NL"/>
              </w:rPr>
              <w:t> </w:t>
            </w:r>
          </w:p>
        </w:tc>
        <w:tc>
          <w:tcPr>
            <w:tcW w:w="1804" w:type="pct"/>
            <w:tcBorders>
              <w:top w:val="nil"/>
              <w:left w:val="nil"/>
              <w:bottom w:val="single" w:sz="8" w:space="0" w:color="auto"/>
              <w:right w:val="single" w:sz="8" w:space="0" w:color="auto"/>
            </w:tcBorders>
            <w:shd w:val="clear" w:color="auto" w:fill="auto"/>
            <w:vAlign w:val="center"/>
            <w:hideMark/>
          </w:tcPr>
          <w:p w14:paraId="58B19B73" w14:textId="77777777" w:rsidR="00550FF9" w:rsidRPr="00DF29F0" w:rsidRDefault="00550FF9" w:rsidP="00550FF9">
            <w:pPr>
              <w:jc w:val="left"/>
              <w:rPr>
                <w:rFonts w:cs="Arial"/>
                <w:color w:val="000000"/>
                <w:sz w:val="18"/>
                <w:szCs w:val="18"/>
                <w:lang w:eastAsia="fr-FR"/>
              </w:rPr>
            </w:pPr>
            <w:r w:rsidRPr="00DF29F0">
              <w:rPr>
                <w:rFonts w:cs="Arial"/>
                <w:color w:val="000000"/>
                <w:sz w:val="18"/>
                <w:szCs w:val="18"/>
                <w:lang w:eastAsia="nl-NL"/>
              </w:rPr>
              <w:t> </w:t>
            </w:r>
          </w:p>
        </w:tc>
      </w:tr>
      <w:tr w:rsidR="00550FF9" w:rsidRPr="00DF29F0" w14:paraId="070C6F94" w14:textId="77777777" w:rsidTr="001F44A6">
        <w:trPr>
          <w:gridAfter w:val="1"/>
          <w:wAfter w:w="81" w:type="pct"/>
          <w:cantSplit/>
          <w:trHeight w:val="1725"/>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57D7A79E"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4.1</w:t>
            </w:r>
          </w:p>
        </w:tc>
        <w:tc>
          <w:tcPr>
            <w:tcW w:w="800" w:type="pct"/>
            <w:tcBorders>
              <w:top w:val="nil"/>
              <w:left w:val="nil"/>
              <w:bottom w:val="single" w:sz="8" w:space="0" w:color="auto"/>
              <w:right w:val="single" w:sz="8" w:space="0" w:color="auto"/>
            </w:tcBorders>
            <w:shd w:val="clear" w:color="auto" w:fill="auto"/>
            <w:vAlign w:val="center"/>
            <w:hideMark/>
          </w:tcPr>
          <w:p w14:paraId="07462E32"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 xml:space="preserve">Anzahl der Pflanzen </w:t>
            </w:r>
            <w:r w:rsidRPr="00DF29F0">
              <w:rPr>
                <w:rFonts w:cs="Arial"/>
                <w:color w:val="000000"/>
                <w:sz w:val="18"/>
                <w:szCs w:val="18"/>
                <w:highlight w:val="lightGray"/>
                <w:lang w:eastAsia="nl-NL"/>
              </w:rPr>
              <w:t>pro Genotyp</w:t>
            </w:r>
          </w:p>
        </w:tc>
        <w:tc>
          <w:tcPr>
            <w:tcW w:w="1235" w:type="pct"/>
            <w:tcBorders>
              <w:top w:val="nil"/>
              <w:left w:val="nil"/>
              <w:bottom w:val="single" w:sz="8" w:space="0" w:color="auto"/>
              <w:right w:val="single" w:sz="8" w:space="0" w:color="auto"/>
            </w:tcBorders>
            <w:shd w:val="clear" w:color="auto" w:fill="auto"/>
            <w:vAlign w:val="center"/>
            <w:hideMark/>
          </w:tcPr>
          <w:p w14:paraId="2A66E6D1"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&gt;=20</w:t>
            </w:r>
          </w:p>
        </w:tc>
        <w:tc>
          <w:tcPr>
            <w:tcW w:w="722" w:type="pct"/>
            <w:tcBorders>
              <w:top w:val="nil"/>
              <w:left w:val="nil"/>
              <w:bottom w:val="single" w:sz="8" w:space="0" w:color="auto"/>
              <w:right w:val="single" w:sz="8" w:space="0" w:color="auto"/>
            </w:tcBorders>
            <w:shd w:val="clear" w:color="auto" w:fill="auto"/>
            <w:vAlign w:val="center"/>
            <w:hideMark/>
          </w:tcPr>
          <w:p w14:paraId="48B1B1AC"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YES</w:t>
            </w:r>
          </w:p>
        </w:tc>
        <w:tc>
          <w:tcPr>
            <w:tcW w:w="1804" w:type="pct"/>
            <w:tcBorders>
              <w:top w:val="nil"/>
              <w:left w:val="nil"/>
              <w:bottom w:val="single" w:sz="8" w:space="0" w:color="auto"/>
              <w:right w:val="single" w:sz="8" w:space="0" w:color="auto"/>
            </w:tcBorders>
            <w:shd w:val="clear" w:color="auto" w:fill="auto"/>
            <w:vAlign w:val="center"/>
            <w:hideMark/>
          </w:tcPr>
          <w:p w14:paraId="63F9F3D7"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Eine Mindestzahl von Einzelpflanzen ist erforderlich (vgl. 5.2.1a). Die Prüfung des Markers wird an derselben Anzahl Einzelpflanzen mit denselben Kriterien für Unterscheidbarkeit, Homogenität und Beständigkeit wie bei der Prüfung des Merkmals durch einen Beobachtungstest durchgeführt (TGP 15).</w:t>
            </w:r>
          </w:p>
        </w:tc>
      </w:tr>
      <w:tr w:rsidR="00550FF9" w:rsidRPr="00DF29F0" w14:paraId="62F20308" w14:textId="77777777" w:rsidTr="001F44A6">
        <w:trPr>
          <w:gridAfter w:val="1"/>
          <w:wAfter w:w="81" w:type="pct"/>
          <w:cantSplit/>
          <w:trHeight w:val="3000"/>
        </w:trPr>
        <w:tc>
          <w:tcPr>
            <w:tcW w:w="358" w:type="pct"/>
            <w:tcBorders>
              <w:top w:val="nil"/>
              <w:left w:val="single" w:sz="8" w:space="0" w:color="auto"/>
              <w:bottom w:val="single" w:sz="8" w:space="0" w:color="auto"/>
              <w:right w:val="single" w:sz="8" w:space="0" w:color="auto"/>
            </w:tcBorders>
            <w:shd w:val="clear" w:color="auto" w:fill="auto"/>
            <w:vAlign w:val="center"/>
            <w:hideMark/>
          </w:tcPr>
          <w:p w14:paraId="03212689"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4.2</w:t>
            </w:r>
          </w:p>
        </w:tc>
        <w:tc>
          <w:tcPr>
            <w:tcW w:w="800" w:type="pct"/>
            <w:tcBorders>
              <w:top w:val="nil"/>
              <w:left w:val="nil"/>
              <w:bottom w:val="single" w:sz="8" w:space="0" w:color="auto"/>
              <w:right w:val="single" w:sz="8" w:space="0" w:color="auto"/>
            </w:tcBorders>
            <w:shd w:val="clear" w:color="auto" w:fill="auto"/>
            <w:vAlign w:val="center"/>
            <w:hideMark/>
          </w:tcPr>
          <w:p w14:paraId="29CFF7DD"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Kontrollsorten</w:t>
            </w:r>
          </w:p>
        </w:tc>
        <w:tc>
          <w:tcPr>
            <w:tcW w:w="1235" w:type="pct"/>
            <w:tcBorders>
              <w:top w:val="nil"/>
              <w:left w:val="nil"/>
              <w:bottom w:val="single" w:sz="8" w:space="0" w:color="auto"/>
              <w:right w:val="single" w:sz="8" w:space="0" w:color="auto"/>
            </w:tcBorders>
            <w:shd w:val="clear" w:color="auto" w:fill="auto"/>
            <w:vAlign w:val="center"/>
            <w:hideMark/>
          </w:tcPr>
          <w:p w14:paraId="2A64A591" w14:textId="77777777" w:rsidR="008B5290" w:rsidRPr="00DF29F0" w:rsidRDefault="006F3299">
            <w:pPr>
              <w:jc w:val="left"/>
              <w:rPr>
                <w:rFonts w:cs="Arial"/>
                <w:i/>
                <w:iCs/>
                <w:color w:val="000000"/>
                <w:sz w:val="18"/>
                <w:szCs w:val="18"/>
                <w:lang w:eastAsia="fr-FR"/>
              </w:rPr>
            </w:pPr>
            <w:r w:rsidRPr="00DF29F0">
              <w:rPr>
                <w:rFonts w:cs="Arial"/>
                <w:i/>
                <w:iCs/>
                <w:color w:val="000000"/>
                <w:sz w:val="18"/>
                <w:szCs w:val="18"/>
                <w:lang w:eastAsia="fr-FR"/>
              </w:rPr>
              <w:t>Siehe TG/44/11/rev3 - Zu 51: ii DNS-Marker-Test hinzufügen 4.2</w:t>
            </w:r>
          </w:p>
        </w:tc>
        <w:tc>
          <w:tcPr>
            <w:tcW w:w="722" w:type="pct"/>
            <w:tcBorders>
              <w:top w:val="nil"/>
              <w:left w:val="nil"/>
              <w:bottom w:val="single" w:sz="8" w:space="0" w:color="auto"/>
              <w:right w:val="single" w:sz="8" w:space="0" w:color="auto"/>
            </w:tcBorders>
            <w:shd w:val="clear" w:color="auto" w:fill="auto"/>
            <w:vAlign w:val="center"/>
            <w:hideMark/>
          </w:tcPr>
          <w:p w14:paraId="723072B4"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YES</w:t>
            </w:r>
          </w:p>
        </w:tc>
        <w:tc>
          <w:tcPr>
            <w:tcW w:w="1804" w:type="pct"/>
            <w:tcBorders>
              <w:top w:val="nil"/>
              <w:left w:val="nil"/>
              <w:bottom w:val="single" w:sz="8" w:space="0" w:color="auto"/>
              <w:right w:val="single" w:sz="8" w:space="0" w:color="auto"/>
            </w:tcBorders>
            <w:shd w:val="clear" w:color="auto" w:fill="auto"/>
            <w:vAlign w:val="center"/>
            <w:hideMark/>
          </w:tcPr>
          <w:p w14:paraId="47AD6B16"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 xml:space="preserve">Kontrollsorten (wie im Beobachtungstest) als Standards, die alle relevanten Allelkombinationen repräsentieren. Zum Beispiel homozygot für das Allel, das der Ausprägungsstufe 9 (vorhanden) entspricht, homozygot für das Allel, das der Ausprägungsstufe 1 (anfällig) entspricht, und heterozygot (beide Allele sind in einem Diploid vorhanden), das entweder der resistenten, anfälligen oder intermediären Ausprägungsstufe entspricht (je nach Genfunktion; dominant - rezessiv). </w:t>
            </w:r>
            <w:r w:rsidRPr="00DF29F0">
              <w:rPr>
                <w:rFonts w:cs="Arial"/>
                <w:color w:val="000000"/>
                <w:sz w:val="18"/>
                <w:szCs w:val="18"/>
                <w:highlight w:val="lightGray"/>
                <w:lang w:eastAsia="nl-NL"/>
              </w:rPr>
              <w:t>DNA-Kontrollen können direkt verwendet werden</w:t>
            </w:r>
            <w:r w:rsidRPr="00DF29F0">
              <w:rPr>
                <w:rFonts w:cs="Arial"/>
                <w:color w:val="000000"/>
                <w:sz w:val="18"/>
                <w:szCs w:val="18"/>
                <w:lang w:eastAsia="nl-NL"/>
              </w:rPr>
              <w:t>.</w:t>
            </w:r>
          </w:p>
        </w:tc>
      </w:tr>
      <w:tr w:rsidR="00550FF9" w:rsidRPr="00DF29F0" w14:paraId="74484C6B" w14:textId="77777777" w:rsidTr="001F44A6">
        <w:trPr>
          <w:gridAfter w:val="1"/>
          <w:wAfter w:w="81" w:type="pct"/>
          <w:cantSplit/>
          <w:trHeight w:val="1770"/>
        </w:trPr>
        <w:tc>
          <w:tcPr>
            <w:tcW w:w="358" w:type="pct"/>
            <w:tcBorders>
              <w:top w:val="nil"/>
              <w:left w:val="single" w:sz="8" w:space="0" w:color="auto"/>
              <w:bottom w:val="single" w:sz="8" w:space="0" w:color="auto"/>
              <w:right w:val="single" w:sz="8" w:space="0" w:color="auto"/>
            </w:tcBorders>
            <w:shd w:val="clear" w:color="auto" w:fill="auto"/>
          </w:tcPr>
          <w:p w14:paraId="796B3427" w14:textId="77777777" w:rsidR="008B5290" w:rsidRPr="00DF29F0" w:rsidRDefault="006F3299">
            <w:pPr>
              <w:jc w:val="left"/>
              <w:rPr>
                <w:rFonts w:cs="Arial"/>
                <w:color w:val="000000"/>
                <w:sz w:val="18"/>
                <w:szCs w:val="18"/>
                <w:lang w:eastAsia="nl-NL"/>
              </w:rPr>
            </w:pPr>
            <w:r w:rsidRPr="00DF29F0">
              <w:rPr>
                <w:rFonts w:cs="Arial"/>
                <w:color w:val="000000"/>
                <w:sz w:val="18"/>
                <w:szCs w:val="18"/>
                <w:highlight w:val="lightGray"/>
                <w:lang w:eastAsia="nl-NL"/>
              </w:rPr>
              <w:t>4.3</w:t>
            </w:r>
          </w:p>
        </w:tc>
        <w:tc>
          <w:tcPr>
            <w:tcW w:w="800" w:type="pct"/>
            <w:tcBorders>
              <w:top w:val="nil"/>
              <w:left w:val="nil"/>
              <w:bottom w:val="single" w:sz="8" w:space="0" w:color="auto"/>
              <w:right w:val="single" w:sz="8" w:space="0" w:color="auto"/>
            </w:tcBorders>
            <w:shd w:val="clear" w:color="auto" w:fill="auto"/>
          </w:tcPr>
          <w:p w14:paraId="20BCABBD" w14:textId="77777777" w:rsidR="008B5290" w:rsidRPr="00DF29F0" w:rsidRDefault="006F3299">
            <w:pPr>
              <w:jc w:val="left"/>
              <w:rPr>
                <w:rFonts w:cs="Arial"/>
                <w:color w:val="000000"/>
                <w:sz w:val="18"/>
                <w:szCs w:val="18"/>
                <w:lang w:eastAsia="nl-NL"/>
              </w:rPr>
            </w:pPr>
            <w:r w:rsidRPr="00DF29F0">
              <w:rPr>
                <w:rFonts w:cs="Arial"/>
                <w:color w:val="000000"/>
                <w:sz w:val="18"/>
                <w:szCs w:val="18"/>
                <w:highlight w:val="lightGray"/>
                <w:lang w:eastAsia="nl-NL"/>
              </w:rPr>
              <w:t>Prozesskontrollen</w:t>
            </w:r>
          </w:p>
        </w:tc>
        <w:tc>
          <w:tcPr>
            <w:tcW w:w="1235" w:type="pct"/>
            <w:tcBorders>
              <w:top w:val="nil"/>
              <w:left w:val="nil"/>
              <w:bottom w:val="single" w:sz="8" w:space="0" w:color="auto"/>
              <w:right w:val="single" w:sz="8" w:space="0" w:color="auto"/>
            </w:tcBorders>
            <w:shd w:val="clear" w:color="auto" w:fill="auto"/>
          </w:tcPr>
          <w:p w14:paraId="011536F9" w14:textId="77777777" w:rsidR="008B5290" w:rsidRPr="00DF29F0" w:rsidRDefault="006F3299">
            <w:pPr>
              <w:jc w:val="left"/>
              <w:rPr>
                <w:rFonts w:cs="Arial"/>
                <w:i/>
                <w:iCs/>
                <w:color w:val="000000"/>
                <w:sz w:val="18"/>
                <w:szCs w:val="18"/>
                <w:lang w:eastAsia="fr-FR"/>
              </w:rPr>
            </w:pPr>
            <w:r w:rsidRPr="00DF29F0">
              <w:rPr>
                <w:rFonts w:cs="Arial"/>
                <w:i/>
                <w:iCs/>
                <w:sz w:val="18"/>
                <w:szCs w:val="18"/>
                <w:highlight w:val="lightGray"/>
              </w:rPr>
              <w:t>z. B. Puffer für die Extraktion; ein Marker für das Cytochromoxidase-Gen als interner Amplifikationsmarker</w:t>
            </w:r>
          </w:p>
        </w:tc>
        <w:tc>
          <w:tcPr>
            <w:tcW w:w="722" w:type="pct"/>
            <w:tcBorders>
              <w:top w:val="nil"/>
              <w:left w:val="nil"/>
              <w:bottom w:val="single" w:sz="8" w:space="0" w:color="auto"/>
              <w:right w:val="single" w:sz="8" w:space="0" w:color="auto"/>
            </w:tcBorders>
            <w:shd w:val="clear" w:color="auto" w:fill="auto"/>
          </w:tcPr>
          <w:p w14:paraId="25EAA29C" w14:textId="77777777" w:rsidR="008B5290" w:rsidRPr="00DF29F0" w:rsidRDefault="006F3299">
            <w:pPr>
              <w:jc w:val="left"/>
              <w:rPr>
                <w:rFonts w:cs="Arial"/>
                <w:color w:val="000000"/>
                <w:sz w:val="18"/>
                <w:szCs w:val="18"/>
                <w:highlight w:val="lightGray"/>
                <w:lang w:eastAsia="nl-NL"/>
              </w:rPr>
            </w:pPr>
            <w:r w:rsidRPr="00DF29F0">
              <w:rPr>
                <w:rFonts w:cs="Arial"/>
                <w:color w:val="000000"/>
                <w:sz w:val="18"/>
                <w:szCs w:val="18"/>
                <w:highlight w:val="lightGray"/>
                <w:lang w:eastAsia="nl-NL"/>
              </w:rPr>
              <w:t>YES</w:t>
            </w:r>
          </w:p>
        </w:tc>
        <w:tc>
          <w:tcPr>
            <w:tcW w:w="1804" w:type="pct"/>
            <w:tcBorders>
              <w:top w:val="nil"/>
              <w:left w:val="nil"/>
              <w:bottom w:val="single" w:sz="8" w:space="0" w:color="auto"/>
              <w:right w:val="single" w:sz="8" w:space="0" w:color="auto"/>
            </w:tcBorders>
            <w:shd w:val="clear" w:color="auto" w:fill="auto"/>
          </w:tcPr>
          <w:p w14:paraId="356CFE56" w14:textId="77777777" w:rsidR="008B5290" w:rsidRPr="00DF29F0" w:rsidRDefault="006F3299">
            <w:pPr>
              <w:numPr>
                <w:ilvl w:val="0"/>
                <w:numId w:val="17"/>
              </w:numPr>
              <w:spacing w:after="200" w:line="276" w:lineRule="auto"/>
              <w:contextualSpacing/>
              <w:jc w:val="left"/>
              <w:rPr>
                <w:rFonts w:eastAsia="Calibri" w:cs="Arial"/>
                <w:color w:val="000000"/>
                <w:sz w:val="18"/>
                <w:szCs w:val="18"/>
                <w:highlight w:val="lightGray"/>
                <w:lang w:eastAsia="nl-NL"/>
              </w:rPr>
            </w:pPr>
            <w:r w:rsidRPr="00DF29F0">
              <w:rPr>
                <w:rFonts w:eastAsia="Calibri" w:cs="Arial"/>
                <w:color w:val="000000"/>
                <w:sz w:val="18"/>
                <w:szCs w:val="18"/>
                <w:highlight w:val="lightGray"/>
                <w:lang w:eastAsia="nl-NL"/>
              </w:rPr>
              <w:t>Negative Prozesskontrolle(n)</w:t>
            </w:r>
          </w:p>
          <w:p w14:paraId="3165E90B" w14:textId="77777777" w:rsidR="008B5290" w:rsidRPr="00DF29F0" w:rsidRDefault="006F3299">
            <w:pPr>
              <w:numPr>
                <w:ilvl w:val="0"/>
                <w:numId w:val="17"/>
              </w:numPr>
              <w:spacing w:after="200" w:line="276" w:lineRule="auto"/>
              <w:contextualSpacing/>
              <w:jc w:val="left"/>
              <w:rPr>
                <w:rFonts w:eastAsia="Calibri" w:cs="Arial"/>
                <w:color w:val="000000"/>
                <w:sz w:val="18"/>
                <w:szCs w:val="18"/>
                <w:highlight w:val="lightGray"/>
                <w:lang w:eastAsia="nl-NL"/>
              </w:rPr>
            </w:pPr>
            <w:r w:rsidRPr="00DF29F0">
              <w:rPr>
                <w:rFonts w:eastAsia="Calibri" w:cs="Arial"/>
                <w:color w:val="000000"/>
                <w:sz w:val="18"/>
                <w:szCs w:val="18"/>
                <w:highlight w:val="lightGray"/>
                <w:lang w:eastAsia="nl-NL"/>
              </w:rPr>
              <w:t>Positive DNA-Kontrolle(n), die die Kontrollsorten sein können</w:t>
            </w:r>
          </w:p>
          <w:p w14:paraId="2DAA2B35" w14:textId="77777777" w:rsidR="008B5290" w:rsidRPr="00DF29F0" w:rsidRDefault="006F3299">
            <w:pPr>
              <w:numPr>
                <w:ilvl w:val="0"/>
                <w:numId w:val="17"/>
              </w:numPr>
              <w:spacing w:after="200" w:line="276" w:lineRule="auto"/>
              <w:contextualSpacing/>
              <w:jc w:val="left"/>
              <w:rPr>
                <w:rFonts w:eastAsia="Calibri" w:cs="Arial"/>
                <w:color w:val="000000"/>
                <w:sz w:val="18"/>
                <w:szCs w:val="18"/>
                <w:highlight w:val="lightGray"/>
                <w:lang w:eastAsia="nl-NL"/>
              </w:rPr>
            </w:pPr>
            <w:r w:rsidRPr="00DF29F0">
              <w:rPr>
                <w:rFonts w:eastAsia="Calibri" w:cs="Arial"/>
                <w:color w:val="000000"/>
                <w:sz w:val="18"/>
                <w:szCs w:val="18"/>
                <w:highlight w:val="lightGray"/>
                <w:lang w:eastAsia="nl-NL"/>
              </w:rPr>
              <w:t xml:space="preserve"> Interne Amplifikationskontrolle im Falle eines Anwesenheits-/Abwesenheitsmarkers</w:t>
            </w:r>
          </w:p>
        </w:tc>
      </w:tr>
      <w:tr w:rsidR="00550FF9" w:rsidRPr="00DF29F0" w14:paraId="44B9562A" w14:textId="77777777" w:rsidTr="001F44A6">
        <w:trPr>
          <w:gridAfter w:val="1"/>
          <w:wAfter w:w="81"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14A89F9B"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lastRenderedPageBreak/>
              <w:t>5</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23FFC52B"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Vorbereitungen</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263BBD84" w14:textId="77777777" w:rsidR="008B5290" w:rsidRPr="00DF29F0" w:rsidRDefault="006F3299">
            <w:pPr>
              <w:jc w:val="left"/>
              <w:rPr>
                <w:rFonts w:cs="Arial"/>
                <w:color w:val="000000"/>
                <w:sz w:val="18"/>
                <w:szCs w:val="18"/>
                <w:lang w:eastAsia="fr-FR"/>
              </w:rPr>
            </w:pPr>
            <w:r w:rsidRPr="00DF29F0">
              <w:rPr>
                <w:rFonts w:cs="Arial"/>
                <w:i/>
                <w:color w:val="000000"/>
                <w:sz w:val="18"/>
                <w:szCs w:val="18"/>
                <w:lang w:eastAsia="nl-NL"/>
              </w:rPr>
              <w:t xml:space="preserve"> z. B. </w:t>
            </w:r>
            <w:r w:rsidRPr="00DF29F0">
              <w:rPr>
                <w:rFonts w:cs="Arial"/>
                <w:color w:val="000000"/>
                <w:sz w:val="18"/>
                <w:szCs w:val="18"/>
                <w:lang w:eastAsia="nl-NL"/>
              </w:rPr>
              <w:t>Probenahme von 4 Tage alten Sämlingen, gefolgt von einer DNA-Extraktion mit der CTAB-Methode</w:t>
            </w:r>
          </w:p>
        </w:tc>
        <w:tc>
          <w:tcPr>
            <w:tcW w:w="722" w:type="pct"/>
            <w:vMerge w:val="restart"/>
            <w:tcBorders>
              <w:top w:val="nil"/>
              <w:left w:val="single" w:sz="8" w:space="0" w:color="auto"/>
              <w:bottom w:val="single" w:sz="8" w:space="0" w:color="000000"/>
              <w:right w:val="single" w:sz="8" w:space="0" w:color="auto"/>
            </w:tcBorders>
            <w:shd w:val="clear" w:color="auto" w:fill="auto"/>
            <w:vAlign w:val="center"/>
            <w:hideMark/>
          </w:tcPr>
          <w:p w14:paraId="5CE241F3"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NO</w:t>
            </w:r>
          </w:p>
        </w:tc>
        <w:tc>
          <w:tcPr>
            <w:tcW w:w="1804" w:type="pct"/>
            <w:tcBorders>
              <w:top w:val="nil"/>
              <w:left w:val="nil"/>
              <w:bottom w:val="nil"/>
              <w:right w:val="single" w:sz="8" w:space="0" w:color="auto"/>
            </w:tcBorders>
            <w:shd w:val="clear" w:color="auto" w:fill="auto"/>
            <w:vAlign w:val="center"/>
            <w:hideMark/>
          </w:tcPr>
          <w:p w14:paraId="6F08EEAD"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Abhängig von der verwendeten Methode. Nicht in der Prüfrichtlinie enthalten. Detaillierte(s) Protokoll(e) kann/können als Beispiel im Anhang zur Verfügung gestellt werden oder auf Anfrage bei dem Institut erhältlich sein, das den Marker entwickelt hat</w:t>
            </w:r>
          </w:p>
        </w:tc>
      </w:tr>
      <w:tr w:rsidR="00550FF9" w:rsidRPr="00DF29F0" w14:paraId="6A9E6CDB" w14:textId="77777777" w:rsidTr="001F44A6">
        <w:trPr>
          <w:gridAfter w:val="1"/>
          <w:wAfter w:w="81" w:type="pct"/>
          <w:cantSplit/>
          <w:trHeight w:val="50"/>
        </w:trPr>
        <w:tc>
          <w:tcPr>
            <w:tcW w:w="358" w:type="pct"/>
            <w:vMerge/>
            <w:tcBorders>
              <w:top w:val="nil"/>
              <w:left w:val="single" w:sz="8" w:space="0" w:color="auto"/>
              <w:bottom w:val="single" w:sz="8" w:space="0" w:color="000000"/>
              <w:right w:val="single" w:sz="8" w:space="0" w:color="auto"/>
            </w:tcBorders>
            <w:vAlign w:val="center"/>
            <w:hideMark/>
          </w:tcPr>
          <w:p w14:paraId="152B51B7" w14:textId="77777777" w:rsidR="00550FF9" w:rsidRPr="00DF29F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39EAA5C2" w14:textId="77777777" w:rsidR="00550FF9" w:rsidRPr="00DF29F0" w:rsidRDefault="00550FF9" w:rsidP="00550FF9">
            <w:pPr>
              <w:jc w:val="left"/>
              <w:rPr>
                <w:rFonts w:cs="Arial"/>
                <w:color w:val="000000"/>
                <w:sz w:val="18"/>
                <w:szCs w:val="18"/>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79E5D9DE" w14:textId="77777777" w:rsidR="00550FF9" w:rsidRPr="00DF29F0" w:rsidRDefault="00550FF9" w:rsidP="00550FF9">
            <w:pPr>
              <w:jc w:val="left"/>
              <w:rPr>
                <w:rFonts w:cs="Arial"/>
                <w:color w:val="000000"/>
                <w:sz w:val="18"/>
                <w:szCs w:val="18"/>
                <w:lang w:eastAsia="fr-FR"/>
              </w:rPr>
            </w:pPr>
          </w:p>
        </w:tc>
        <w:tc>
          <w:tcPr>
            <w:tcW w:w="722" w:type="pct"/>
            <w:vMerge/>
            <w:tcBorders>
              <w:top w:val="nil"/>
              <w:left w:val="single" w:sz="8" w:space="0" w:color="auto"/>
              <w:bottom w:val="single" w:sz="8" w:space="0" w:color="000000"/>
              <w:right w:val="single" w:sz="8" w:space="0" w:color="auto"/>
            </w:tcBorders>
            <w:vAlign w:val="center"/>
            <w:hideMark/>
          </w:tcPr>
          <w:p w14:paraId="01E4040D" w14:textId="77777777" w:rsidR="00550FF9" w:rsidRPr="00DF29F0" w:rsidRDefault="00550FF9" w:rsidP="00550FF9">
            <w:pPr>
              <w:jc w:val="left"/>
              <w:rPr>
                <w:rFonts w:cs="Arial"/>
                <w:color w:val="000000"/>
                <w:sz w:val="18"/>
                <w:szCs w:val="18"/>
                <w:lang w:eastAsia="fr-FR"/>
              </w:rPr>
            </w:pPr>
          </w:p>
        </w:tc>
        <w:tc>
          <w:tcPr>
            <w:tcW w:w="1804" w:type="pct"/>
            <w:tcBorders>
              <w:top w:val="nil"/>
              <w:left w:val="nil"/>
              <w:bottom w:val="single" w:sz="8" w:space="0" w:color="auto"/>
              <w:right w:val="single" w:sz="8" w:space="0" w:color="auto"/>
            </w:tcBorders>
            <w:shd w:val="clear" w:color="auto" w:fill="auto"/>
            <w:vAlign w:val="center"/>
            <w:hideMark/>
          </w:tcPr>
          <w:p w14:paraId="237C1781" w14:textId="77777777" w:rsidR="00550FF9" w:rsidRPr="00DF29F0" w:rsidRDefault="00550FF9" w:rsidP="00550FF9">
            <w:pPr>
              <w:jc w:val="left"/>
              <w:rPr>
                <w:rFonts w:cs="Arial"/>
                <w:color w:val="000000"/>
                <w:sz w:val="18"/>
                <w:szCs w:val="18"/>
                <w:lang w:eastAsia="fr-FR"/>
              </w:rPr>
            </w:pPr>
          </w:p>
        </w:tc>
      </w:tr>
      <w:tr w:rsidR="00550FF9" w:rsidRPr="00DF29F0" w14:paraId="1824DB82" w14:textId="77777777" w:rsidTr="001F44A6">
        <w:trPr>
          <w:gridAfter w:val="1"/>
          <w:wAfter w:w="81" w:type="pct"/>
          <w:cantSplit/>
          <w:trHeight w:val="51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5AC2F8DB"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6</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04D1C799" w14:textId="77777777" w:rsidR="008B5290" w:rsidRPr="00DF29F0" w:rsidRDefault="006F3299">
            <w:pPr>
              <w:jc w:val="left"/>
              <w:rPr>
                <w:rFonts w:cs="Arial"/>
                <w:color w:val="000000"/>
                <w:sz w:val="18"/>
                <w:szCs w:val="18"/>
                <w:lang w:eastAsia="fr-FR"/>
              </w:rPr>
            </w:pPr>
            <w:r w:rsidRPr="00DF29F0">
              <w:rPr>
                <w:rFonts w:cs="Arial"/>
                <w:strike/>
                <w:color w:val="000000"/>
                <w:sz w:val="18"/>
                <w:szCs w:val="18"/>
                <w:highlight w:val="lightGray"/>
                <w:lang w:eastAsia="nl-NL"/>
              </w:rPr>
              <w:t xml:space="preserve">Leistung oder </w:t>
            </w:r>
            <w:r w:rsidRPr="00DF29F0">
              <w:rPr>
                <w:rFonts w:cs="Arial"/>
                <w:color w:val="000000"/>
                <w:sz w:val="18"/>
                <w:szCs w:val="18"/>
                <w:lang w:eastAsia="nl-NL"/>
              </w:rPr>
              <w:t>Technik der Methode</w:t>
            </w:r>
          </w:p>
        </w:tc>
        <w:tc>
          <w:tcPr>
            <w:tcW w:w="1235" w:type="pct"/>
            <w:tcBorders>
              <w:top w:val="nil"/>
              <w:left w:val="nil"/>
              <w:bottom w:val="nil"/>
              <w:right w:val="single" w:sz="8" w:space="0" w:color="auto"/>
            </w:tcBorders>
            <w:shd w:val="clear" w:color="auto" w:fill="auto"/>
            <w:vAlign w:val="center"/>
            <w:hideMark/>
          </w:tcPr>
          <w:p w14:paraId="7EE2EA7B" w14:textId="77777777" w:rsidR="008B5290" w:rsidRPr="00DF29F0" w:rsidRDefault="006F3299">
            <w:pPr>
              <w:jc w:val="left"/>
              <w:rPr>
                <w:rFonts w:cs="Arial"/>
                <w:color w:val="000000"/>
                <w:sz w:val="18"/>
                <w:szCs w:val="18"/>
                <w:lang w:eastAsia="fr-FR"/>
              </w:rPr>
            </w:pPr>
            <w:r w:rsidRPr="00DF29F0">
              <w:rPr>
                <w:rFonts w:cs="Arial"/>
                <w:i/>
                <w:color w:val="000000"/>
                <w:sz w:val="18"/>
                <w:szCs w:val="18"/>
                <w:lang w:eastAsia="nl-NL"/>
              </w:rPr>
              <w:t xml:space="preserve">z. B. </w:t>
            </w:r>
            <w:r w:rsidRPr="00DF29F0">
              <w:rPr>
                <w:rFonts w:cs="Arial"/>
                <w:color w:val="000000"/>
                <w:sz w:val="18"/>
                <w:szCs w:val="18"/>
                <w:lang w:eastAsia="nl-NL"/>
              </w:rPr>
              <w:t xml:space="preserve">konventionelle PCR, TETRA-ARMS, qPCR, KASP, Amplikon-Sequenzierung </w:t>
            </w:r>
          </w:p>
        </w:tc>
        <w:tc>
          <w:tcPr>
            <w:tcW w:w="722" w:type="pct"/>
            <w:vMerge w:val="restart"/>
            <w:tcBorders>
              <w:top w:val="nil"/>
              <w:left w:val="single" w:sz="8" w:space="0" w:color="auto"/>
              <w:bottom w:val="single" w:sz="8" w:space="0" w:color="000000"/>
              <w:right w:val="single" w:sz="8" w:space="0" w:color="auto"/>
            </w:tcBorders>
            <w:shd w:val="clear" w:color="auto" w:fill="auto"/>
            <w:vAlign w:val="center"/>
            <w:hideMark/>
          </w:tcPr>
          <w:p w14:paraId="624A6FD6" w14:textId="77777777" w:rsidR="008B5290" w:rsidRPr="00DF29F0" w:rsidRDefault="006F3299">
            <w:pPr>
              <w:jc w:val="left"/>
              <w:rPr>
                <w:rFonts w:cs="Arial"/>
                <w:color w:val="000000"/>
                <w:sz w:val="18"/>
                <w:szCs w:val="18"/>
                <w:lang w:eastAsia="fr-FR"/>
              </w:rPr>
            </w:pPr>
            <w:r w:rsidRPr="00DF29F0">
              <w:rPr>
                <w:rFonts w:cs="Arial"/>
                <w:color w:val="000000"/>
                <w:sz w:val="18"/>
                <w:szCs w:val="18"/>
                <w:highlight w:val="lightGray"/>
                <w:lang w:eastAsia="nl-NL"/>
              </w:rPr>
              <w:t>YES</w:t>
            </w:r>
          </w:p>
        </w:tc>
        <w:tc>
          <w:tcPr>
            <w:tcW w:w="1804" w:type="pct"/>
            <w:vMerge w:val="restart"/>
            <w:tcBorders>
              <w:top w:val="nil"/>
              <w:left w:val="single" w:sz="8" w:space="0" w:color="auto"/>
              <w:bottom w:val="single" w:sz="8" w:space="0" w:color="000000"/>
              <w:right w:val="single" w:sz="8" w:space="0" w:color="auto"/>
            </w:tcBorders>
            <w:shd w:val="clear" w:color="auto" w:fill="auto"/>
            <w:vAlign w:val="center"/>
            <w:hideMark/>
          </w:tcPr>
          <w:p w14:paraId="5CB14805"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 xml:space="preserve">. </w:t>
            </w:r>
          </w:p>
        </w:tc>
      </w:tr>
      <w:tr w:rsidR="00550FF9" w:rsidRPr="00DF29F0" w14:paraId="400166F1" w14:textId="77777777" w:rsidTr="001F44A6">
        <w:trPr>
          <w:gridAfter w:val="1"/>
          <w:wAfter w:w="81" w:type="pct"/>
          <w:cantSplit/>
          <w:trHeight w:val="525"/>
        </w:trPr>
        <w:tc>
          <w:tcPr>
            <w:tcW w:w="358" w:type="pct"/>
            <w:vMerge/>
            <w:tcBorders>
              <w:top w:val="nil"/>
              <w:left w:val="single" w:sz="8" w:space="0" w:color="auto"/>
              <w:bottom w:val="single" w:sz="8" w:space="0" w:color="000000"/>
              <w:right w:val="single" w:sz="8" w:space="0" w:color="auto"/>
            </w:tcBorders>
            <w:vAlign w:val="center"/>
            <w:hideMark/>
          </w:tcPr>
          <w:p w14:paraId="5905CF16" w14:textId="77777777" w:rsidR="00550FF9" w:rsidRPr="00DF29F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4EE6560F" w14:textId="77777777" w:rsidR="00550FF9" w:rsidRPr="00DF29F0" w:rsidRDefault="00550FF9" w:rsidP="00550FF9">
            <w:pPr>
              <w:jc w:val="left"/>
              <w:rPr>
                <w:rFonts w:cs="Arial"/>
                <w:color w:val="000000"/>
                <w:sz w:val="18"/>
                <w:szCs w:val="18"/>
                <w:lang w:eastAsia="fr-FR"/>
              </w:rPr>
            </w:pPr>
          </w:p>
        </w:tc>
        <w:tc>
          <w:tcPr>
            <w:tcW w:w="1235" w:type="pct"/>
            <w:tcBorders>
              <w:top w:val="nil"/>
              <w:left w:val="nil"/>
              <w:bottom w:val="single" w:sz="8" w:space="0" w:color="auto"/>
              <w:right w:val="single" w:sz="8" w:space="0" w:color="auto"/>
            </w:tcBorders>
            <w:shd w:val="clear" w:color="auto" w:fill="auto"/>
            <w:vAlign w:val="center"/>
            <w:hideMark/>
          </w:tcPr>
          <w:p w14:paraId="758059D5" w14:textId="77777777" w:rsidR="008B5290" w:rsidRPr="00DF29F0" w:rsidRDefault="006F3299">
            <w:pPr>
              <w:jc w:val="left"/>
              <w:rPr>
                <w:rFonts w:cs="Arial"/>
                <w:i/>
                <w:iCs/>
                <w:color w:val="000000"/>
                <w:sz w:val="18"/>
                <w:szCs w:val="18"/>
                <w:lang w:eastAsia="fr-FR"/>
              </w:rPr>
            </w:pPr>
            <w:r w:rsidRPr="00DF29F0">
              <w:rPr>
                <w:rFonts w:cs="Arial"/>
                <w:i/>
                <w:iCs/>
                <w:color w:val="000000"/>
                <w:sz w:val="18"/>
                <w:szCs w:val="18"/>
                <w:lang w:eastAsia="fr-FR"/>
              </w:rPr>
              <w:t>Siehe TG/44/11/rev3 - Zu 51: ii DNA-Marker-Test hinzufügen 6</w:t>
            </w:r>
          </w:p>
        </w:tc>
        <w:tc>
          <w:tcPr>
            <w:tcW w:w="722" w:type="pct"/>
            <w:vMerge/>
            <w:tcBorders>
              <w:top w:val="nil"/>
              <w:left w:val="single" w:sz="8" w:space="0" w:color="auto"/>
              <w:bottom w:val="single" w:sz="8" w:space="0" w:color="000000"/>
              <w:right w:val="single" w:sz="8" w:space="0" w:color="auto"/>
            </w:tcBorders>
            <w:vAlign w:val="center"/>
            <w:hideMark/>
          </w:tcPr>
          <w:p w14:paraId="58033F28" w14:textId="77777777" w:rsidR="00550FF9" w:rsidRPr="00DF29F0" w:rsidRDefault="00550FF9" w:rsidP="00550FF9">
            <w:pPr>
              <w:jc w:val="left"/>
              <w:rPr>
                <w:rFonts w:cs="Arial"/>
                <w:color w:val="000000"/>
                <w:sz w:val="18"/>
                <w:szCs w:val="18"/>
                <w:lang w:eastAsia="fr-FR"/>
              </w:rPr>
            </w:pPr>
          </w:p>
        </w:tc>
        <w:tc>
          <w:tcPr>
            <w:tcW w:w="1804" w:type="pct"/>
            <w:vMerge/>
            <w:tcBorders>
              <w:top w:val="nil"/>
              <w:left w:val="single" w:sz="8" w:space="0" w:color="auto"/>
              <w:bottom w:val="single" w:sz="8" w:space="0" w:color="000000"/>
              <w:right w:val="single" w:sz="8" w:space="0" w:color="auto"/>
            </w:tcBorders>
            <w:vAlign w:val="center"/>
            <w:hideMark/>
          </w:tcPr>
          <w:p w14:paraId="0F9AC843" w14:textId="77777777" w:rsidR="00550FF9" w:rsidRPr="00DF29F0" w:rsidRDefault="00550FF9" w:rsidP="00550FF9">
            <w:pPr>
              <w:jc w:val="left"/>
              <w:rPr>
                <w:rFonts w:cs="Arial"/>
                <w:color w:val="000000"/>
                <w:sz w:val="18"/>
                <w:szCs w:val="18"/>
                <w:lang w:eastAsia="fr-FR"/>
              </w:rPr>
            </w:pPr>
          </w:p>
        </w:tc>
      </w:tr>
      <w:tr w:rsidR="00550FF9" w:rsidRPr="00DF29F0" w14:paraId="367C0BF9" w14:textId="77777777" w:rsidTr="001F44A6">
        <w:trPr>
          <w:gridAfter w:val="1"/>
          <w:wAfter w:w="81" w:type="pct"/>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10D6F2A9"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6.1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2127FF55"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Besondere Bedingungen</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167B33BA" w14:textId="77777777" w:rsidR="008B5290" w:rsidRPr="00DF29F0" w:rsidRDefault="006F3299">
            <w:pPr>
              <w:jc w:val="left"/>
              <w:rPr>
                <w:rFonts w:cs="Arial"/>
                <w:color w:val="000000"/>
                <w:sz w:val="18"/>
                <w:szCs w:val="18"/>
                <w:lang w:eastAsia="fr-FR"/>
              </w:rPr>
            </w:pPr>
            <w:r w:rsidRPr="00DF29F0">
              <w:rPr>
                <w:rFonts w:cs="Arial"/>
                <w:i/>
                <w:color w:val="000000"/>
                <w:sz w:val="18"/>
                <w:szCs w:val="18"/>
                <w:lang w:eastAsia="nl-NL"/>
              </w:rPr>
              <w:t xml:space="preserve">z. B. </w:t>
            </w:r>
            <w:r w:rsidRPr="00DF29F0">
              <w:rPr>
                <w:rFonts w:cs="Arial"/>
                <w:color w:val="000000"/>
                <w:sz w:val="18"/>
                <w:szCs w:val="18"/>
                <w:lang w:eastAsia="nl-NL"/>
              </w:rPr>
              <w:t xml:space="preserve">PCR-Protokoll mit Angabe von Primer-, Enzym- und dNTP-Konzentrationen, PCR-Zyklusschema </w:t>
            </w:r>
          </w:p>
        </w:tc>
        <w:tc>
          <w:tcPr>
            <w:tcW w:w="722" w:type="pct"/>
            <w:vMerge w:val="restart"/>
            <w:tcBorders>
              <w:top w:val="nil"/>
              <w:left w:val="single" w:sz="8" w:space="0" w:color="auto"/>
              <w:bottom w:val="single" w:sz="8" w:space="0" w:color="000000"/>
              <w:right w:val="single" w:sz="8" w:space="0" w:color="auto"/>
            </w:tcBorders>
            <w:shd w:val="clear" w:color="auto" w:fill="auto"/>
            <w:vAlign w:val="center"/>
            <w:hideMark/>
          </w:tcPr>
          <w:p w14:paraId="0F7C23DD"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NO</w:t>
            </w:r>
          </w:p>
        </w:tc>
        <w:tc>
          <w:tcPr>
            <w:tcW w:w="1804" w:type="pct"/>
            <w:vMerge w:val="restart"/>
            <w:tcBorders>
              <w:top w:val="nil"/>
              <w:left w:val="single" w:sz="8" w:space="0" w:color="auto"/>
              <w:bottom w:val="single" w:sz="8" w:space="0" w:color="000000"/>
              <w:right w:val="single" w:sz="8" w:space="0" w:color="auto"/>
            </w:tcBorders>
            <w:shd w:val="clear" w:color="auto" w:fill="auto"/>
            <w:vAlign w:val="center"/>
            <w:hideMark/>
          </w:tcPr>
          <w:p w14:paraId="28789F17"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Abhängig von der verwendeten Methode. Nicht in der Prüfrichtlinie enthalten. Detaillierte(s) Protokoll(e) kann/können als Beispiel im Anhang zur Verfügung gestellt werden oder auf Anfrage bei dem Institut erhältlich sein, das den Marker entwickelt hat</w:t>
            </w:r>
          </w:p>
        </w:tc>
      </w:tr>
      <w:tr w:rsidR="00550FF9" w:rsidRPr="00DF29F0" w14:paraId="1D781F05" w14:textId="77777777" w:rsidTr="001F44A6">
        <w:trPr>
          <w:cantSplit/>
          <w:trHeight w:val="1005"/>
        </w:trPr>
        <w:tc>
          <w:tcPr>
            <w:tcW w:w="358" w:type="pct"/>
            <w:vMerge/>
            <w:tcBorders>
              <w:top w:val="nil"/>
              <w:left w:val="single" w:sz="8" w:space="0" w:color="auto"/>
              <w:bottom w:val="single" w:sz="8" w:space="0" w:color="000000"/>
              <w:right w:val="single" w:sz="8" w:space="0" w:color="auto"/>
            </w:tcBorders>
            <w:vAlign w:val="center"/>
            <w:hideMark/>
          </w:tcPr>
          <w:p w14:paraId="4FE42865" w14:textId="77777777" w:rsidR="00550FF9" w:rsidRPr="00DF29F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EEE9BD4" w14:textId="77777777" w:rsidR="00550FF9" w:rsidRPr="00DF29F0" w:rsidRDefault="00550FF9" w:rsidP="00550FF9">
            <w:pPr>
              <w:jc w:val="left"/>
              <w:rPr>
                <w:rFonts w:cs="Arial"/>
                <w:color w:val="000000"/>
                <w:sz w:val="18"/>
                <w:szCs w:val="18"/>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22DD1EDC" w14:textId="77777777" w:rsidR="00550FF9" w:rsidRPr="00DF29F0" w:rsidRDefault="00550FF9" w:rsidP="00550FF9">
            <w:pPr>
              <w:jc w:val="left"/>
              <w:rPr>
                <w:rFonts w:cs="Arial"/>
                <w:color w:val="000000"/>
                <w:sz w:val="18"/>
                <w:szCs w:val="18"/>
                <w:lang w:eastAsia="fr-FR"/>
              </w:rPr>
            </w:pPr>
          </w:p>
        </w:tc>
        <w:tc>
          <w:tcPr>
            <w:tcW w:w="722" w:type="pct"/>
            <w:vMerge/>
            <w:tcBorders>
              <w:top w:val="nil"/>
              <w:left w:val="single" w:sz="8" w:space="0" w:color="auto"/>
              <w:bottom w:val="single" w:sz="8" w:space="0" w:color="000000"/>
              <w:right w:val="single" w:sz="8" w:space="0" w:color="auto"/>
            </w:tcBorders>
            <w:vAlign w:val="center"/>
            <w:hideMark/>
          </w:tcPr>
          <w:p w14:paraId="17F5A7BB" w14:textId="77777777" w:rsidR="00550FF9" w:rsidRPr="00DF29F0" w:rsidRDefault="00550FF9" w:rsidP="00550FF9">
            <w:pPr>
              <w:jc w:val="left"/>
              <w:rPr>
                <w:rFonts w:cs="Arial"/>
                <w:color w:val="000000"/>
                <w:sz w:val="18"/>
                <w:szCs w:val="18"/>
                <w:lang w:eastAsia="fr-FR"/>
              </w:rPr>
            </w:pPr>
          </w:p>
        </w:tc>
        <w:tc>
          <w:tcPr>
            <w:tcW w:w="1804" w:type="pct"/>
            <w:vMerge/>
            <w:tcBorders>
              <w:top w:val="nil"/>
              <w:left w:val="single" w:sz="8" w:space="0" w:color="auto"/>
              <w:bottom w:val="single" w:sz="8" w:space="0" w:color="000000"/>
              <w:right w:val="single" w:sz="8" w:space="0" w:color="auto"/>
            </w:tcBorders>
            <w:vAlign w:val="center"/>
            <w:hideMark/>
          </w:tcPr>
          <w:p w14:paraId="46306130" w14:textId="77777777" w:rsidR="00550FF9" w:rsidRPr="00DF29F0" w:rsidRDefault="00550FF9" w:rsidP="00550FF9">
            <w:pPr>
              <w:jc w:val="left"/>
              <w:rPr>
                <w:rFonts w:cs="Arial"/>
                <w:color w:val="000000"/>
                <w:sz w:val="18"/>
                <w:szCs w:val="18"/>
                <w:lang w:eastAsia="fr-FR"/>
              </w:rPr>
            </w:pPr>
          </w:p>
        </w:tc>
        <w:tc>
          <w:tcPr>
            <w:tcW w:w="81" w:type="pct"/>
            <w:tcBorders>
              <w:top w:val="nil"/>
              <w:left w:val="nil"/>
              <w:bottom w:val="nil"/>
              <w:right w:val="nil"/>
            </w:tcBorders>
            <w:shd w:val="clear" w:color="auto" w:fill="auto"/>
            <w:noWrap/>
            <w:vAlign w:val="bottom"/>
            <w:hideMark/>
          </w:tcPr>
          <w:p w14:paraId="490D4761" w14:textId="77777777" w:rsidR="00550FF9" w:rsidRPr="00DF29F0" w:rsidRDefault="00550FF9" w:rsidP="00550FF9">
            <w:pPr>
              <w:rPr>
                <w:rFonts w:cs="Arial"/>
                <w:color w:val="000000"/>
                <w:lang w:eastAsia="fr-FR"/>
              </w:rPr>
            </w:pPr>
          </w:p>
        </w:tc>
      </w:tr>
      <w:tr w:rsidR="00550FF9" w:rsidRPr="00DF29F0" w14:paraId="29B57295" w14:textId="77777777" w:rsidTr="001F44A6">
        <w:trPr>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244AC0EF"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6.2</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62D85A8D"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Besondere Hardware oder Infrastruktur</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2116C93D" w14:textId="77777777" w:rsidR="008B5290" w:rsidRPr="00DF29F0" w:rsidRDefault="006F3299">
            <w:pPr>
              <w:jc w:val="left"/>
              <w:rPr>
                <w:rFonts w:cs="Arial"/>
                <w:color w:val="000000"/>
                <w:sz w:val="18"/>
                <w:szCs w:val="18"/>
                <w:lang w:eastAsia="fr-FR"/>
              </w:rPr>
            </w:pPr>
            <w:r w:rsidRPr="00DF29F0">
              <w:rPr>
                <w:rFonts w:cs="Arial"/>
                <w:i/>
                <w:color w:val="000000"/>
                <w:sz w:val="18"/>
                <w:szCs w:val="18"/>
                <w:lang w:eastAsia="nl-NL"/>
              </w:rPr>
              <w:t xml:space="preserve">z. B. </w:t>
            </w:r>
            <w:r w:rsidRPr="00DF29F0">
              <w:rPr>
                <w:rFonts w:cs="Arial"/>
                <w:color w:val="000000"/>
                <w:sz w:val="18"/>
                <w:szCs w:val="18"/>
                <w:lang w:eastAsia="nl-NL"/>
              </w:rPr>
              <w:t xml:space="preserve">Maschinen, kommerzielle Bausätze, Hersteller von Komponenten, Chargennummern von Chemikalien </w:t>
            </w:r>
          </w:p>
        </w:tc>
        <w:tc>
          <w:tcPr>
            <w:tcW w:w="722" w:type="pct"/>
            <w:vMerge w:val="restart"/>
            <w:tcBorders>
              <w:top w:val="nil"/>
              <w:left w:val="single" w:sz="8" w:space="0" w:color="auto"/>
              <w:bottom w:val="single" w:sz="8" w:space="0" w:color="000000"/>
              <w:right w:val="single" w:sz="8" w:space="0" w:color="auto"/>
            </w:tcBorders>
            <w:shd w:val="clear" w:color="auto" w:fill="auto"/>
            <w:vAlign w:val="center"/>
            <w:hideMark/>
          </w:tcPr>
          <w:p w14:paraId="0232DFDD"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NO</w:t>
            </w:r>
          </w:p>
        </w:tc>
        <w:tc>
          <w:tcPr>
            <w:tcW w:w="1804" w:type="pct"/>
            <w:vMerge w:val="restart"/>
            <w:tcBorders>
              <w:top w:val="nil"/>
              <w:left w:val="single" w:sz="8" w:space="0" w:color="auto"/>
              <w:bottom w:val="single" w:sz="8" w:space="0" w:color="000000"/>
              <w:right w:val="single" w:sz="8" w:space="0" w:color="auto"/>
            </w:tcBorders>
            <w:shd w:val="clear" w:color="auto" w:fill="auto"/>
            <w:vAlign w:val="center"/>
            <w:hideMark/>
          </w:tcPr>
          <w:p w14:paraId="74C2C553"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Abhängig von der verwendeten Methode. Nicht in der Prüfrichtlinie enthalten. Detaillierte(s) Protokoll(e) kann/können als Beispiel im Anhang zur Verfügung gestellt werden oder auf Anfrage bei dem Institut erhältlich sein, das den Marker entwickelt hat</w:t>
            </w:r>
          </w:p>
        </w:tc>
        <w:tc>
          <w:tcPr>
            <w:tcW w:w="81" w:type="pct"/>
            <w:vAlign w:val="center"/>
            <w:hideMark/>
          </w:tcPr>
          <w:p w14:paraId="6F18E927" w14:textId="77777777" w:rsidR="00550FF9" w:rsidRPr="00DF29F0" w:rsidRDefault="00550FF9" w:rsidP="00550FF9">
            <w:pPr>
              <w:rPr>
                <w:rFonts w:ascii="Times New Roman" w:hAnsi="Times New Roman"/>
                <w:lang w:eastAsia="fr-FR"/>
              </w:rPr>
            </w:pPr>
          </w:p>
        </w:tc>
      </w:tr>
      <w:tr w:rsidR="00550FF9" w:rsidRPr="00DF29F0" w14:paraId="739392A0" w14:textId="77777777" w:rsidTr="001F44A6">
        <w:trPr>
          <w:cantSplit/>
          <w:trHeight w:val="1005"/>
        </w:trPr>
        <w:tc>
          <w:tcPr>
            <w:tcW w:w="358" w:type="pct"/>
            <w:vMerge/>
            <w:tcBorders>
              <w:top w:val="nil"/>
              <w:left w:val="single" w:sz="8" w:space="0" w:color="auto"/>
              <w:bottom w:val="single" w:sz="8" w:space="0" w:color="000000"/>
              <w:right w:val="single" w:sz="8" w:space="0" w:color="auto"/>
            </w:tcBorders>
            <w:vAlign w:val="center"/>
            <w:hideMark/>
          </w:tcPr>
          <w:p w14:paraId="30F989E2" w14:textId="77777777" w:rsidR="00550FF9" w:rsidRPr="00DF29F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702B6F14" w14:textId="77777777" w:rsidR="00550FF9" w:rsidRPr="00DF29F0" w:rsidRDefault="00550FF9" w:rsidP="00550FF9">
            <w:pPr>
              <w:jc w:val="left"/>
              <w:rPr>
                <w:rFonts w:cs="Arial"/>
                <w:color w:val="000000"/>
                <w:sz w:val="18"/>
                <w:szCs w:val="18"/>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4D513326" w14:textId="77777777" w:rsidR="00550FF9" w:rsidRPr="00DF29F0" w:rsidRDefault="00550FF9" w:rsidP="00550FF9">
            <w:pPr>
              <w:jc w:val="left"/>
              <w:rPr>
                <w:rFonts w:cs="Arial"/>
                <w:color w:val="000000"/>
                <w:sz w:val="18"/>
                <w:szCs w:val="18"/>
                <w:lang w:eastAsia="fr-FR"/>
              </w:rPr>
            </w:pPr>
          </w:p>
        </w:tc>
        <w:tc>
          <w:tcPr>
            <w:tcW w:w="722" w:type="pct"/>
            <w:vMerge/>
            <w:tcBorders>
              <w:top w:val="nil"/>
              <w:left w:val="single" w:sz="8" w:space="0" w:color="auto"/>
              <w:bottom w:val="single" w:sz="8" w:space="0" w:color="000000"/>
              <w:right w:val="single" w:sz="8" w:space="0" w:color="auto"/>
            </w:tcBorders>
            <w:vAlign w:val="center"/>
            <w:hideMark/>
          </w:tcPr>
          <w:p w14:paraId="3F240D66" w14:textId="77777777" w:rsidR="00550FF9" w:rsidRPr="00DF29F0" w:rsidRDefault="00550FF9" w:rsidP="00550FF9">
            <w:pPr>
              <w:jc w:val="left"/>
              <w:rPr>
                <w:rFonts w:cs="Arial"/>
                <w:color w:val="000000"/>
                <w:sz w:val="18"/>
                <w:szCs w:val="18"/>
                <w:lang w:eastAsia="fr-FR"/>
              </w:rPr>
            </w:pPr>
          </w:p>
        </w:tc>
        <w:tc>
          <w:tcPr>
            <w:tcW w:w="1804" w:type="pct"/>
            <w:vMerge/>
            <w:tcBorders>
              <w:top w:val="nil"/>
              <w:left w:val="single" w:sz="8" w:space="0" w:color="auto"/>
              <w:bottom w:val="single" w:sz="8" w:space="0" w:color="000000"/>
              <w:right w:val="single" w:sz="8" w:space="0" w:color="auto"/>
            </w:tcBorders>
            <w:vAlign w:val="center"/>
            <w:hideMark/>
          </w:tcPr>
          <w:p w14:paraId="6522DEAA" w14:textId="77777777" w:rsidR="00550FF9" w:rsidRPr="00DF29F0" w:rsidRDefault="00550FF9" w:rsidP="00550FF9">
            <w:pPr>
              <w:jc w:val="left"/>
              <w:rPr>
                <w:rFonts w:cs="Arial"/>
                <w:color w:val="000000"/>
                <w:sz w:val="18"/>
                <w:szCs w:val="18"/>
                <w:lang w:eastAsia="fr-FR"/>
              </w:rPr>
            </w:pPr>
          </w:p>
        </w:tc>
        <w:tc>
          <w:tcPr>
            <w:tcW w:w="81" w:type="pct"/>
            <w:tcBorders>
              <w:top w:val="nil"/>
              <w:left w:val="nil"/>
              <w:bottom w:val="nil"/>
              <w:right w:val="nil"/>
            </w:tcBorders>
            <w:shd w:val="clear" w:color="auto" w:fill="auto"/>
            <w:noWrap/>
            <w:vAlign w:val="bottom"/>
            <w:hideMark/>
          </w:tcPr>
          <w:p w14:paraId="05C50D15" w14:textId="77777777" w:rsidR="00550FF9" w:rsidRPr="00DF29F0" w:rsidRDefault="00550FF9" w:rsidP="00550FF9">
            <w:pPr>
              <w:rPr>
                <w:rFonts w:cs="Arial"/>
                <w:color w:val="000000"/>
                <w:lang w:eastAsia="fr-FR"/>
              </w:rPr>
            </w:pPr>
          </w:p>
        </w:tc>
      </w:tr>
      <w:tr w:rsidR="00550FF9" w:rsidRPr="00DF29F0" w14:paraId="1C16535C" w14:textId="77777777" w:rsidTr="001F44A6">
        <w:trPr>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hideMark/>
          </w:tcPr>
          <w:p w14:paraId="7F6D0692"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7</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hideMark/>
          </w:tcPr>
          <w:p w14:paraId="14A21863"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Beobachtungen</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hideMark/>
          </w:tcPr>
          <w:p w14:paraId="298E3F7F" w14:textId="77777777" w:rsidR="008B5290" w:rsidRPr="00DF29F0" w:rsidRDefault="006F3299">
            <w:pPr>
              <w:jc w:val="left"/>
              <w:rPr>
                <w:rFonts w:cs="Arial"/>
                <w:color w:val="000000"/>
                <w:sz w:val="18"/>
                <w:szCs w:val="18"/>
                <w:lang w:eastAsia="fr-FR"/>
              </w:rPr>
            </w:pPr>
            <w:r w:rsidRPr="00DF29F0">
              <w:rPr>
                <w:rFonts w:cs="Arial"/>
                <w:i/>
                <w:color w:val="000000"/>
                <w:sz w:val="18"/>
                <w:szCs w:val="18"/>
                <w:lang w:eastAsia="nl-NL"/>
              </w:rPr>
              <w:t xml:space="preserve">z. B. </w:t>
            </w:r>
            <w:r w:rsidRPr="00DF29F0">
              <w:rPr>
                <w:rFonts w:cs="Arial"/>
                <w:color w:val="000000"/>
                <w:sz w:val="18"/>
                <w:szCs w:val="18"/>
                <w:lang w:eastAsia="nl-NL"/>
              </w:rPr>
              <w:t xml:space="preserve">Banden auf Agarosegel (konventionelle PCR), Ct-Werte (qPCR) Variantenaufruf auf der Grundlage von Sequenzierungslesungen </w:t>
            </w:r>
          </w:p>
        </w:tc>
        <w:tc>
          <w:tcPr>
            <w:tcW w:w="722" w:type="pct"/>
            <w:vMerge w:val="restart"/>
            <w:tcBorders>
              <w:top w:val="nil"/>
              <w:left w:val="single" w:sz="8" w:space="0" w:color="auto"/>
              <w:bottom w:val="single" w:sz="8" w:space="0" w:color="000000"/>
              <w:right w:val="single" w:sz="8" w:space="0" w:color="auto"/>
            </w:tcBorders>
            <w:shd w:val="clear" w:color="auto" w:fill="auto"/>
            <w:vAlign w:val="center"/>
            <w:hideMark/>
          </w:tcPr>
          <w:p w14:paraId="5126A116"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NO</w:t>
            </w:r>
          </w:p>
        </w:tc>
        <w:tc>
          <w:tcPr>
            <w:tcW w:w="1804" w:type="pct"/>
            <w:vMerge w:val="restart"/>
            <w:tcBorders>
              <w:top w:val="nil"/>
              <w:left w:val="single" w:sz="8" w:space="0" w:color="auto"/>
              <w:bottom w:val="single" w:sz="8" w:space="0" w:color="000000"/>
              <w:right w:val="single" w:sz="8" w:space="0" w:color="auto"/>
            </w:tcBorders>
            <w:shd w:val="clear" w:color="auto" w:fill="auto"/>
            <w:vAlign w:val="center"/>
            <w:hideMark/>
          </w:tcPr>
          <w:p w14:paraId="51FE9A70" w14:textId="77777777" w:rsidR="008B5290" w:rsidRPr="00DF29F0" w:rsidRDefault="006F3299">
            <w:pPr>
              <w:jc w:val="left"/>
              <w:rPr>
                <w:rFonts w:cs="Arial"/>
                <w:color w:val="000000"/>
                <w:sz w:val="18"/>
                <w:szCs w:val="18"/>
                <w:lang w:eastAsia="fr-FR"/>
              </w:rPr>
            </w:pPr>
            <w:r w:rsidRPr="00DF29F0">
              <w:rPr>
                <w:rFonts w:cs="Arial"/>
                <w:color w:val="000000"/>
                <w:sz w:val="18"/>
                <w:szCs w:val="18"/>
                <w:lang w:eastAsia="nl-NL"/>
              </w:rPr>
              <w:t>Abhängig von der verwendeten Methode. Nicht in der Prüfrichtlinie enthalten. Detaillierte(s) Protokoll(e) kann/können als Beispiel im Anhang zur Verfügung gestellt werden oder auf Anfrage bei dem Institut erhältlich sein, das den Marker entwickelt hat</w:t>
            </w:r>
          </w:p>
        </w:tc>
        <w:tc>
          <w:tcPr>
            <w:tcW w:w="81" w:type="pct"/>
            <w:vAlign w:val="center"/>
            <w:hideMark/>
          </w:tcPr>
          <w:p w14:paraId="2F77A589" w14:textId="77777777" w:rsidR="00550FF9" w:rsidRPr="00DF29F0" w:rsidRDefault="00550FF9" w:rsidP="00550FF9">
            <w:pPr>
              <w:rPr>
                <w:rFonts w:ascii="Times New Roman" w:hAnsi="Times New Roman"/>
                <w:lang w:eastAsia="fr-FR"/>
              </w:rPr>
            </w:pPr>
          </w:p>
        </w:tc>
      </w:tr>
      <w:tr w:rsidR="00550FF9" w:rsidRPr="00DF29F0" w14:paraId="43DFD96F" w14:textId="77777777" w:rsidTr="001F44A6">
        <w:trPr>
          <w:cantSplit/>
          <w:trHeight w:val="945"/>
        </w:trPr>
        <w:tc>
          <w:tcPr>
            <w:tcW w:w="358" w:type="pct"/>
            <w:vMerge/>
            <w:tcBorders>
              <w:top w:val="nil"/>
              <w:left w:val="single" w:sz="8" w:space="0" w:color="auto"/>
              <w:bottom w:val="single" w:sz="8" w:space="0" w:color="000000"/>
              <w:right w:val="single" w:sz="8" w:space="0" w:color="auto"/>
            </w:tcBorders>
            <w:vAlign w:val="center"/>
            <w:hideMark/>
          </w:tcPr>
          <w:p w14:paraId="1F88BB0E" w14:textId="77777777" w:rsidR="00550FF9" w:rsidRPr="00DF29F0" w:rsidRDefault="00550FF9" w:rsidP="00550FF9">
            <w:pPr>
              <w:jc w:val="left"/>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hideMark/>
          </w:tcPr>
          <w:p w14:paraId="5B7CB843" w14:textId="77777777" w:rsidR="00550FF9" w:rsidRPr="00DF29F0" w:rsidRDefault="00550FF9" w:rsidP="00550FF9">
            <w:pPr>
              <w:jc w:val="left"/>
              <w:rPr>
                <w:rFonts w:cs="Arial"/>
                <w:color w:val="000000"/>
                <w:sz w:val="18"/>
                <w:szCs w:val="18"/>
                <w:lang w:eastAsia="fr-FR"/>
              </w:rPr>
            </w:pPr>
          </w:p>
        </w:tc>
        <w:tc>
          <w:tcPr>
            <w:tcW w:w="1235" w:type="pct"/>
            <w:vMerge/>
            <w:tcBorders>
              <w:top w:val="nil"/>
              <w:left w:val="single" w:sz="8" w:space="0" w:color="auto"/>
              <w:bottom w:val="single" w:sz="8" w:space="0" w:color="000000"/>
              <w:right w:val="single" w:sz="8" w:space="0" w:color="auto"/>
            </w:tcBorders>
            <w:vAlign w:val="center"/>
            <w:hideMark/>
          </w:tcPr>
          <w:p w14:paraId="5AB5DAAC" w14:textId="77777777" w:rsidR="00550FF9" w:rsidRPr="00DF29F0" w:rsidRDefault="00550FF9" w:rsidP="00550FF9">
            <w:pPr>
              <w:jc w:val="left"/>
              <w:rPr>
                <w:rFonts w:cs="Arial"/>
                <w:color w:val="000000"/>
                <w:sz w:val="18"/>
                <w:szCs w:val="18"/>
                <w:lang w:eastAsia="fr-FR"/>
              </w:rPr>
            </w:pPr>
          </w:p>
        </w:tc>
        <w:tc>
          <w:tcPr>
            <w:tcW w:w="722" w:type="pct"/>
            <w:vMerge/>
            <w:tcBorders>
              <w:top w:val="nil"/>
              <w:left w:val="single" w:sz="8" w:space="0" w:color="auto"/>
              <w:bottom w:val="single" w:sz="8" w:space="0" w:color="000000"/>
              <w:right w:val="single" w:sz="8" w:space="0" w:color="auto"/>
            </w:tcBorders>
            <w:vAlign w:val="center"/>
            <w:hideMark/>
          </w:tcPr>
          <w:p w14:paraId="0D92EDC0" w14:textId="77777777" w:rsidR="00550FF9" w:rsidRPr="00DF29F0" w:rsidRDefault="00550FF9" w:rsidP="00550FF9">
            <w:pPr>
              <w:jc w:val="left"/>
              <w:rPr>
                <w:rFonts w:cs="Arial"/>
                <w:color w:val="000000"/>
                <w:sz w:val="18"/>
                <w:szCs w:val="18"/>
                <w:lang w:eastAsia="fr-FR"/>
              </w:rPr>
            </w:pPr>
          </w:p>
        </w:tc>
        <w:tc>
          <w:tcPr>
            <w:tcW w:w="1804" w:type="pct"/>
            <w:vMerge/>
            <w:tcBorders>
              <w:top w:val="nil"/>
              <w:left w:val="single" w:sz="8" w:space="0" w:color="auto"/>
              <w:bottom w:val="single" w:sz="8" w:space="0" w:color="000000"/>
              <w:right w:val="single" w:sz="8" w:space="0" w:color="auto"/>
            </w:tcBorders>
            <w:vAlign w:val="center"/>
            <w:hideMark/>
          </w:tcPr>
          <w:p w14:paraId="58B79C7D" w14:textId="77777777" w:rsidR="00550FF9" w:rsidRPr="00DF29F0" w:rsidRDefault="00550FF9" w:rsidP="00550FF9">
            <w:pPr>
              <w:jc w:val="left"/>
              <w:rPr>
                <w:rFonts w:cs="Arial"/>
                <w:color w:val="000000"/>
                <w:sz w:val="18"/>
                <w:szCs w:val="18"/>
                <w:lang w:eastAsia="fr-FR"/>
              </w:rPr>
            </w:pPr>
          </w:p>
        </w:tc>
        <w:tc>
          <w:tcPr>
            <w:tcW w:w="81" w:type="pct"/>
            <w:tcBorders>
              <w:top w:val="nil"/>
              <w:left w:val="nil"/>
              <w:bottom w:val="nil"/>
              <w:right w:val="nil"/>
            </w:tcBorders>
            <w:shd w:val="clear" w:color="auto" w:fill="auto"/>
            <w:noWrap/>
            <w:vAlign w:val="bottom"/>
            <w:hideMark/>
          </w:tcPr>
          <w:p w14:paraId="16FB5B07" w14:textId="77777777" w:rsidR="00550FF9" w:rsidRPr="00DF29F0" w:rsidRDefault="00550FF9" w:rsidP="00550FF9">
            <w:pPr>
              <w:rPr>
                <w:rFonts w:cs="Arial"/>
                <w:color w:val="000000"/>
                <w:lang w:eastAsia="fr-FR"/>
              </w:rPr>
            </w:pPr>
          </w:p>
        </w:tc>
      </w:tr>
      <w:tr w:rsidR="00550FF9" w:rsidRPr="00DF29F0" w14:paraId="0D319821" w14:textId="77777777" w:rsidTr="001F44A6">
        <w:trPr>
          <w:cantSplit/>
          <w:trHeight w:val="300"/>
        </w:trPr>
        <w:tc>
          <w:tcPr>
            <w:tcW w:w="358" w:type="pct"/>
            <w:tcBorders>
              <w:top w:val="nil"/>
              <w:left w:val="single" w:sz="8" w:space="0" w:color="auto"/>
              <w:bottom w:val="single" w:sz="8" w:space="0" w:color="000000"/>
              <w:right w:val="single" w:sz="8" w:space="0" w:color="auto"/>
            </w:tcBorders>
            <w:shd w:val="clear" w:color="auto" w:fill="auto"/>
            <w:vAlign w:val="center"/>
          </w:tcPr>
          <w:p w14:paraId="7DA55282" w14:textId="77777777" w:rsidR="008B5290" w:rsidRPr="00DF29F0" w:rsidRDefault="006F3299">
            <w:pPr>
              <w:jc w:val="left"/>
              <w:rPr>
                <w:rFonts w:cs="Arial"/>
                <w:color w:val="000000"/>
                <w:sz w:val="18"/>
                <w:szCs w:val="18"/>
                <w:lang w:eastAsia="nl-NL"/>
              </w:rPr>
            </w:pPr>
            <w:r w:rsidRPr="00DF29F0">
              <w:rPr>
                <w:rFonts w:cs="Arial"/>
                <w:color w:val="000000"/>
                <w:sz w:val="18"/>
                <w:szCs w:val="18"/>
                <w:highlight w:val="lightGray"/>
                <w:lang w:eastAsia="nl-NL"/>
              </w:rPr>
              <w:t>7.1</w:t>
            </w:r>
          </w:p>
        </w:tc>
        <w:tc>
          <w:tcPr>
            <w:tcW w:w="800" w:type="pct"/>
            <w:tcBorders>
              <w:top w:val="nil"/>
              <w:left w:val="single" w:sz="8" w:space="0" w:color="auto"/>
              <w:bottom w:val="single" w:sz="8" w:space="0" w:color="000000"/>
              <w:right w:val="single" w:sz="8" w:space="0" w:color="auto"/>
            </w:tcBorders>
            <w:shd w:val="clear" w:color="auto" w:fill="auto"/>
            <w:vAlign w:val="center"/>
          </w:tcPr>
          <w:p w14:paraId="4A5B479A" w14:textId="77777777" w:rsidR="008B5290" w:rsidRPr="00DF29F0" w:rsidRDefault="006F3299">
            <w:pPr>
              <w:jc w:val="left"/>
              <w:rPr>
                <w:rFonts w:cs="Arial"/>
                <w:color w:val="000000"/>
                <w:sz w:val="18"/>
                <w:szCs w:val="18"/>
                <w:lang w:eastAsia="nl-NL"/>
              </w:rPr>
            </w:pPr>
            <w:r w:rsidRPr="00DF29F0">
              <w:rPr>
                <w:rFonts w:cs="Arial"/>
                <w:color w:val="000000"/>
                <w:sz w:val="18"/>
                <w:szCs w:val="18"/>
                <w:highlight w:val="lightGray"/>
                <w:lang w:eastAsia="nl-NL"/>
              </w:rPr>
              <w:t>Gültigkeit der Ergebnisse</w:t>
            </w:r>
          </w:p>
        </w:tc>
        <w:tc>
          <w:tcPr>
            <w:tcW w:w="1235" w:type="pct"/>
            <w:tcBorders>
              <w:top w:val="nil"/>
              <w:left w:val="single" w:sz="8" w:space="0" w:color="auto"/>
              <w:bottom w:val="single" w:sz="8" w:space="0" w:color="000000"/>
              <w:right w:val="single" w:sz="8" w:space="0" w:color="auto"/>
            </w:tcBorders>
            <w:shd w:val="clear" w:color="auto" w:fill="auto"/>
            <w:vAlign w:val="center"/>
          </w:tcPr>
          <w:p w14:paraId="2AD6BAE2" w14:textId="77777777" w:rsidR="008B5290" w:rsidRPr="00DF29F0" w:rsidRDefault="006F3299">
            <w:pPr>
              <w:jc w:val="left"/>
              <w:rPr>
                <w:rFonts w:cs="Arial"/>
                <w:color w:val="000000"/>
                <w:sz w:val="18"/>
                <w:szCs w:val="18"/>
                <w:highlight w:val="lightGray"/>
                <w:lang w:eastAsia="fr-FR"/>
              </w:rPr>
            </w:pPr>
            <w:r w:rsidRPr="00DF29F0">
              <w:rPr>
                <w:rFonts w:cs="Arial"/>
                <w:i/>
                <w:color w:val="000000"/>
                <w:sz w:val="18"/>
                <w:szCs w:val="18"/>
                <w:highlight w:val="lightGray"/>
                <w:lang w:eastAsia="fr-FR"/>
              </w:rPr>
              <w:t xml:space="preserve">z. B. </w:t>
            </w:r>
            <w:r w:rsidRPr="00DF29F0">
              <w:rPr>
                <w:rFonts w:cs="Arial"/>
                <w:color w:val="000000"/>
                <w:sz w:val="18"/>
                <w:szCs w:val="18"/>
                <w:highlight w:val="lightGray"/>
                <w:lang w:eastAsia="fr-FR"/>
              </w:rPr>
              <w:t>für qPCR: Prüfen Sie auf typische exponentielle Amplifikationskurven. Prüfen Sie, ob die Kontrollen den Erwartungen entsprechen (Negativkontrollen = kein Signal; Positivkontrollen = zeigen erwartete Signale für alle Fluorophore).</w:t>
            </w:r>
          </w:p>
        </w:tc>
        <w:tc>
          <w:tcPr>
            <w:tcW w:w="722" w:type="pct"/>
            <w:tcBorders>
              <w:top w:val="nil"/>
              <w:left w:val="single" w:sz="8" w:space="0" w:color="auto"/>
              <w:bottom w:val="single" w:sz="8" w:space="0" w:color="000000"/>
              <w:right w:val="single" w:sz="8" w:space="0" w:color="auto"/>
            </w:tcBorders>
            <w:shd w:val="clear" w:color="auto" w:fill="auto"/>
            <w:vAlign w:val="center"/>
          </w:tcPr>
          <w:p w14:paraId="0ACC4513" w14:textId="77777777" w:rsidR="008B5290" w:rsidRPr="00DF29F0" w:rsidRDefault="006F3299">
            <w:pPr>
              <w:jc w:val="left"/>
              <w:rPr>
                <w:rFonts w:cs="Arial"/>
                <w:color w:val="000000"/>
                <w:sz w:val="18"/>
                <w:szCs w:val="18"/>
                <w:highlight w:val="lightGray"/>
                <w:lang w:eastAsia="nl-NL"/>
              </w:rPr>
            </w:pPr>
            <w:r w:rsidRPr="00DF29F0">
              <w:rPr>
                <w:rFonts w:cs="Arial"/>
                <w:color w:val="000000"/>
                <w:sz w:val="18"/>
                <w:szCs w:val="18"/>
                <w:highlight w:val="lightGray"/>
                <w:lang w:eastAsia="nl-NL"/>
              </w:rPr>
              <w:t>YES</w:t>
            </w:r>
          </w:p>
        </w:tc>
        <w:tc>
          <w:tcPr>
            <w:tcW w:w="1804" w:type="pct"/>
            <w:tcBorders>
              <w:top w:val="nil"/>
              <w:left w:val="single" w:sz="8" w:space="0" w:color="auto"/>
              <w:bottom w:val="single" w:sz="8" w:space="0" w:color="000000"/>
              <w:right w:val="single" w:sz="8" w:space="0" w:color="auto"/>
            </w:tcBorders>
            <w:shd w:val="clear" w:color="auto" w:fill="auto"/>
            <w:vAlign w:val="center"/>
          </w:tcPr>
          <w:p w14:paraId="59829CA1" w14:textId="77777777" w:rsidR="008B5290" w:rsidRPr="00DF29F0" w:rsidRDefault="006F3299">
            <w:pPr>
              <w:jc w:val="left"/>
              <w:rPr>
                <w:rFonts w:cs="Arial"/>
                <w:color w:val="000000"/>
                <w:sz w:val="18"/>
                <w:szCs w:val="18"/>
                <w:highlight w:val="lightGray"/>
                <w:lang w:eastAsia="nl-NL"/>
              </w:rPr>
            </w:pPr>
            <w:r w:rsidRPr="00DF29F0">
              <w:rPr>
                <w:rFonts w:cs="Arial"/>
                <w:color w:val="000000"/>
                <w:sz w:val="18"/>
                <w:szCs w:val="18"/>
                <w:highlight w:val="lightGray"/>
                <w:lang w:eastAsia="nl-NL"/>
              </w:rPr>
              <w:t xml:space="preserve">Je nach der verwendeten Methode. </w:t>
            </w:r>
          </w:p>
        </w:tc>
        <w:tc>
          <w:tcPr>
            <w:tcW w:w="81" w:type="pct"/>
            <w:vAlign w:val="center"/>
          </w:tcPr>
          <w:p w14:paraId="02BFA535" w14:textId="77777777" w:rsidR="00550FF9" w:rsidRPr="00DF29F0" w:rsidRDefault="00550FF9" w:rsidP="00550FF9">
            <w:pPr>
              <w:rPr>
                <w:rFonts w:ascii="Times New Roman" w:hAnsi="Times New Roman"/>
                <w:lang w:eastAsia="fr-FR"/>
              </w:rPr>
            </w:pPr>
          </w:p>
        </w:tc>
      </w:tr>
      <w:tr w:rsidR="00550FF9" w:rsidRPr="00DF29F0" w14:paraId="675A8566" w14:textId="77777777" w:rsidTr="001F44A6">
        <w:trPr>
          <w:cantSplit/>
          <w:trHeight w:val="300"/>
        </w:trPr>
        <w:tc>
          <w:tcPr>
            <w:tcW w:w="358" w:type="pct"/>
            <w:tcBorders>
              <w:top w:val="nil"/>
              <w:left w:val="single" w:sz="8" w:space="0" w:color="auto"/>
              <w:bottom w:val="single" w:sz="8" w:space="0" w:color="000000"/>
              <w:right w:val="single" w:sz="8" w:space="0" w:color="auto"/>
            </w:tcBorders>
            <w:shd w:val="clear" w:color="auto" w:fill="auto"/>
            <w:vAlign w:val="center"/>
          </w:tcPr>
          <w:p w14:paraId="42A5F478" w14:textId="77777777" w:rsidR="008B5290" w:rsidRPr="00DF29F0" w:rsidRDefault="006F3299">
            <w:pPr>
              <w:jc w:val="left"/>
              <w:rPr>
                <w:rFonts w:cs="Arial"/>
                <w:color w:val="000000"/>
                <w:sz w:val="18"/>
                <w:szCs w:val="18"/>
                <w:highlight w:val="lightGray"/>
                <w:lang w:eastAsia="nl-NL"/>
              </w:rPr>
            </w:pPr>
            <w:r w:rsidRPr="00DF29F0">
              <w:rPr>
                <w:rFonts w:cs="Arial"/>
                <w:color w:val="000000"/>
                <w:sz w:val="18"/>
                <w:szCs w:val="18"/>
                <w:lang w:eastAsia="nl-NL"/>
              </w:rPr>
              <w:t>8</w:t>
            </w:r>
          </w:p>
        </w:tc>
        <w:tc>
          <w:tcPr>
            <w:tcW w:w="800" w:type="pct"/>
            <w:tcBorders>
              <w:top w:val="nil"/>
              <w:left w:val="single" w:sz="8" w:space="0" w:color="auto"/>
              <w:bottom w:val="single" w:sz="8" w:space="0" w:color="000000"/>
              <w:right w:val="single" w:sz="8" w:space="0" w:color="auto"/>
            </w:tcBorders>
            <w:shd w:val="clear" w:color="auto" w:fill="auto"/>
            <w:vAlign w:val="center"/>
          </w:tcPr>
          <w:p w14:paraId="73A07F31" w14:textId="77777777" w:rsidR="008B5290" w:rsidRPr="00DF29F0" w:rsidRDefault="006F3299">
            <w:pPr>
              <w:jc w:val="left"/>
              <w:rPr>
                <w:rFonts w:cs="Arial"/>
                <w:color w:val="000000"/>
                <w:sz w:val="18"/>
                <w:szCs w:val="18"/>
                <w:highlight w:val="lightGray"/>
                <w:lang w:eastAsia="nl-NL"/>
              </w:rPr>
            </w:pPr>
            <w:r w:rsidRPr="00DF29F0">
              <w:rPr>
                <w:rFonts w:cs="Arial"/>
                <w:color w:val="000000"/>
                <w:sz w:val="18"/>
                <w:szCs w:val="18"/>
                <w:lang w:eastAsia="nl-NL"/>
              </w:rPr>
              <w:t>Auswertung der Testergebnisse</w:t>
            </w:r>
          </w:p>
        </w:tc>
        <w:tc>
          <w:tcPr>
            <w:tcW w:w="1235" w:type="pct"/>
            <w:tcBorders>
              <w:top w:val="nil"/>
              <w:left w:val="single" w:sz="8" w:space="0" w:color="auto"/>
              <w:bottom w:val="single" w:sz="8" w:space="0" w:color="000000"/>
              <w:right w:val="single" w:sz="8" w:space="0" w:color="auto"/>
            </w:tcBorders>
            <w:shd w:val="clear" w:color="auto" w:fill="auto"/>
            <w:vAlign w:val="center"/>
          </w:tcPr>
          <w:p w14:paraId="6F3C6306" w14:textId="77777777" w:rsidR="008B5290" w:rsidRPr="00DF29F0" w:rsidRDefault="006F3299">
            <w:pPr>
              <w:jc w:val="left"/>
              <w:rPr>
                <w:rFonts w:cs="Arial"/>
                <w:color w:val="000000"/>
                <w:sz w:val="18"/>
                <w:szCs w:val="18"/>
                <w:highlight w:val="lightGray"/>
                <w:lang w:eastAsia="fr-FR"/>
              </w:rPr>
            </w:pPr>
            <w:r w:rsidRPr="00DF29F0">
              <w:rPr>
                <w:rFonts w:cs="Arial"/>
                <w:i/>
                <w:iCs/>
                <w:color w:val="000000"/>
                <w:sz w:val="18"/>
                <w:szCs w:val="18"/>
                <w:lang w:eastAsia="fr-FR"/>
              </w:rPr>
              <w:t>Siehe TG/44/11/rev3 - Zu 51: ii DNS-Marker-Test hinzufügen 8</w:t>
            </w:r>
          </w:p>
        </w:tc>
        <w:tc>
          <w:tcPr>
            <w:tcW w:w="722" w:type="pct"/>
            <w:tcBorders>
              <w:top w:val="nil"/>
              <w:left w:val="single" w:sz="8" w:space="0" w:color="auto"/>
              <w:bottom w:val="single" w:sz="8" w:space="0" w:color="000000"/>
              <w:right w:val="single" w:sz="8" w:space="0" w:color="auto"/>
            </w:tcBorders>
            <w:shd w:val="clear" w:color="auto" w:fill="auto"/>
            <w:vAlign w:val="center"/>
          </w:tcPr>
          <w:p w14:paraId="7AAFD07E" w14:textId="77777777" w:rsidR="008B5290" w:rsidRPr="00DF29F0" w:rsidRDefault="006F3299">
            <w:pPr>
              <w:jc w:val="left"/>
              <w:rPr>
                <w:rFonts w:cs="Arial"/>
                <w:color w:val="000000"/>
                <w:sz w:val="18"/>
                <w:szCs w:val="18"/>
                <w:highlight w:val="lightGray"/>
                <w:lang w:eastAsia="nl-NL"/>
              </w:rPr>
            </w:pPr>
            <w:r w:rsidRPr="00DF29F0">
              <w:rPr>
                <w:rFonts w:cs="Arial"/>
                <w:color w:val="000000"/>
                <w:sz w:val="18"/>
                <w:szCs w:val="18"/>
                <w:lang w:eastAsia="nl-NL"/>
              </w:rPr>
              <w:t>YES</w:t>
            </w:r>
          </w:p>
        </w:tc>
        <w:tc>
          <w:tcPr>
            <w:tcW w:w="1804" w:type="pct"/>
            <w:tcBorders>
              <w:top w:val="nil"/>
              <w:left w:val="single" w:sz="8" w:space="0" w:color="auto"/>
              <w:bottom w:val="single" w:sz="8" w:space="0" w:color="000000"/>
              <w:right w:val="single" w:sz="8" w:space="0" w:color="auto"/>
            </w:tcBorders>
            <w:shd w:val="clear" w:color="auto" w:fill="auto"/>
            <w:vAlign w:val="center"/>
          </w:tcPr>
          <w:p w14:paraId="45DE6098" w14:textId="77777777" w:rsidR="008B5290" w:rsidRPr="00DF29F0" w:rsidRDefault="006F3299">
            <w:pPr>
              <w:jc w:val="left"/>
              <w:rPr>
                <w:rFonts w:cs="Arial"/>
                <w:color w:val="000000"/>
                <w:sz w:val="18"/>
                <w:szCs w:val="18"/>
                <w:highlight w:val="lightGray"/>
                <w:lang w:eastAsia="nl-NL"/>
              </w:rPr>
            </w:pPr>
            <w:r w:rsidRPr="00DF29F0">
              <w:rPr>
                <w:rFonts w:cs="Arial"/>
                <w:color w:val="000000"/>
                <w:sz w:val="18"/>
                <w:szCs w:val="18"/>
                <w:lang w:eastAsia="nl-NL"/>
              </w:rPr>
              <w:t>Beziehung zwischen Allelen und Ausprägungen (mit Anmerkungen)</w:t>
            </w:r>
          </w:p>
        </w:tc>
        <w:tc>
          <w:tcPr>
            <w:tcW w:w="81" w:type="pct"/>
            <w:vAlign w:val="center"/>
          </w:tcPr>
          <w:p w14:paraId="7F2C7391" w14:textId="77777777" w:rsidR="00550FF9" w:rsidRPr="00DF29F0" w:rsidRDefault="00550FF9" w:rsidP="00550FF9">
            <w:pPr>
              <w:rPr>
                <w:rFonts w:ascii="Times New Roman" w:hAnsi="Times New Roman"/>
                <w:lang w:eastAsia="fr-FR"/>
              </w:rPr>
            </w:pPr>
          </w:p>
        </w:tc>
      </w:tr>
      <w:tr w:rsidR="00550FF9" w:rsidRPr="00DF29F0" w14:paraId="79FE636D" w14:textId="77777777" w:rsidTr="001F44A6">
        <w:trPr>
          <w:cantSplit/>
          <w:trHeight w:val="300"/>
        </w:trPr>
        <w:tc>
          <w:tcPr>
            <w:tcW w:w="358" w:type="pct"/>
            <w:tcBorders>
              <w:top w:val="nil"/>
              <w:left w:val="single" w:sz="8" w:space="0" w:color="auto"/>
              <w:bottom w:val="single" w:sz="8" w:space="0" w:color="000000"/>
              <w:right w:val="single" w:sz="8" w:space="0" w:color="auto"/>
            </w:tcBorders>
            <w:shd w:val="clear" w:color="auto" w:fill="auto"/>
            <w:vAlign w:val="center"/>
          </w:tcPr>
          <w:p w14:paraId="16BC807C" w14:textId="77777777" w:rsidR="008B5290" w:rsidRPr="00DF29F0" w:rsidRDefault="006F3299">
            <w:pPr>
              <w:jc w:val="left"/>
              <w:rPr>
                <w:rFonts w:cs="Arial"/>
                <w:color w:val="000000"/>
                <w:sz w:val="18"/>
                <w:szCs w:val="18"/>
                <w:highlight w:val="lightGray"/>
                <w:lang w:eastAsia="nl-NL"/>
              </w:rPr>
            </w:pPr>
            <w:r w:rsidRPr="00DF29F0">
              <w:rPr>
                <w:rFonts w:cs="Arial"/>
                <w:color w:val="000000"/>
                <w:sz w:val="18"/>
                <w:szCs w:val="18"/>
                <w:highlight w:val="lightGray"/>
                <w:lang w:eastAsia="fr-FR"/>
              </w:rPr>
              <w:t>9</w:t>
            </w:r>
          </w:p>
        </w:tc>
        <w:tc>
          <w:tcPr>
            <w:tcW w:w="800" w:type="pct"/>
            <w:tcBorders>
              <w:top w:val="nil"/>
              <w:left w:val="single" w:sz="8" w:space="0" w:color="auto"/>
              <w:bottom w:val="single" w:sz="8" w:space="0" w:color="000000"/>
              <w:right w:val="single" w:sz="8" w:space="0" w:color="auto"/>
            </w:tcBorders>
            <w:shd w:val="clear" w:color="auto" w:fill="auto"/>
            <w:vAlign w:val="center"/>
          </w:tcPr>
          <w:p w14:paraId="5899D423" w14:textId="77777777" w:rsidR="008B5290" w:rsidRPr="00DF29F0" w:rsidRDefault="006F3299">
            <w:pPr>
              <w:jc w:val="left"/>
              <w:rPr>
                <w:rFonts w:cs="Arial"/>
                <w:color w:val="000000"/>
                <w:sz w:val="18"/>
                <w:szCs w:val="18"/>
                <w:highlight w:val="lightGray"/>
                <w:lang w:eastAsia="nl-NL"/>
              </w:rPr>
            </w:pPr>
            <w:r w:rsidRPr="00DF29F0">
              <w:rPr>
                <w:rFonts w:cs="Arial"/>
                <w:color w:val="000000"/>
                <w:sz w:val="18"/>
                <w:szCs w:val="18"/>
                <w:highlight w:val="lightGray"/>
                <w:lang w:eastAsia="fr-FR"/>
              </w:rPr>
              <w:t xml:space="preserve">Validierung der Methode, </w:t>
            </w:r>
          </w:p>
        </w:tc>
        <w:tc>
          <w:tcPr>
            <w:tcW w:w="1235" w:type="pct"/>
            <w:tcBorders>
              <w:top w:val="nil"/>
              <w:left w:val="single" w:sz="8" w:space="0" w:color="auto"/>
              <w:bottom w:val="single" w:sz="8" w:space="0" w:color="000000"/>
              <w:right w:val="single" w:sz="8" w:space="0" w:color="auto"/>
            </w:tcBorders>
            <w:shd w:val="clear" w:color="auto" w:fill="auto"/>
            <w:vAlign w:val="center"/>
          </w:tcPr>
          <w:p w14:paraId="206C1A4F" w14:textId="77777777" w:rsidR="008B5290" w:rsidRPr="00DF29F0" w:rsidRDefault="006F3299">
            <w:pPr>
              <w:jc w:val="left"/>
              <w:rPr>
                <w:rFonts w:cs="Arial"/>
                <w:color w:val="000000"/>
                <w:sz w:val="18"/>
                <w:szCs w:val="18"/>
                <w:highlight w:val="lightGray"/>
                <w:lang w:eastAsia="fr-FR"/>
              </w:rPr>
            </w:pPr>
            <w:r w:rsidRPr="00DF29F0">
              <w:rPr>
                <w:rFonts w:cs="Arial"/>
                <w:color w:val="000000"/>
                <w:sz w:val="18"/>
                <w:szCs w:val="18"/>
                <w:highlight w:val="lightGray"/>
                <w:lang w:eastAsia="fr-FR"/>
              </w:rPr>
              <w:t>Dieses Protokoll wurde durch einen Ringversuch mit verschiedenen Labors validiert (</w:t>
            </w:r>
            <w:r w:rsidRPr="00DF29F0">
              <w:rPr>
                <w:rFonts w:cs="Arial"/>
                <w:i/>
                <w:color w:val="000000"/>
                <w:sz w:val="18"/>
                <w:szCs w:val="18"/>
                <w:highlight w:val="lightGray"/>
                <w:lang w:eastAsia="fr-FR"/>
              </w:rPr>
              <w:t xml:space="preserve">z.B. </w:t>
            </w:r>
            <w:r w:rsidRPr="00DF29F0">
              <w:rPr>
                <w:rFonts w:cs="Arial"/>
                <w:color w:val="000000"/>
                <w:sz w:val="18"/>
                <w:szCs w:val="18"/>
                <w:highlight w:val="lightGray"/>
                <w:lang w:eastAsia="fr-FR"/>
              </w:rPr>
              <w:t>Interlaboratory Comparative Test Report, INVITE 2024).</w:t>
            </w:r>
          </w:p>
        </w:tc>
        <w:tc>
          <w:tcPr>
            <w:tcW w:w="722" w:type="pct"/>
            <w:tcBorders>
              <w:top w:val="nil"/>
              <w:left w:val="single" w:sz="8" w:space="0" w:color="auto"/>
              <w:bottom w:val="single" w:sz="8" w:space="0" w:color="000000"/>
              <w:right w:val="single" w:sz="8" w:space="0" w:color="auto"/>
            </w:tcBorders>
            <w:shd w:val="clear" w:color="auto" w:fill="auto"/>
            <w:vAlign w:val="center"/>
          </w:tcPr>
          <w:p w14:paraId="6E3A0923" w14:textId="77777777" w:rsidR="008B5290" w:rsidRPr="00DF29F0" w:rsidRDefault="006F3299">
            <w:pPr>
              <w:jc w:val="left"/>
              <w:rPr>
                <w:rFonts w:cs="Arial"/>
                <w:color w:val="000000"/>
                <w:sz w:val="18"/>
                <w:szCs w:val="18"/>
                <w:highlight w:val="lightGray"/>
                <w:lang w:eastAsia="nl-NL"/>
              </w:rPr>
            </w:pPr>
            <w:r w:rsidRPr="00DF29F0">
              <w:rPr>
                <w:rFonts w:cs="Arial"/>
                <w:color w:val="000000"/>
                <w:sz w:val="18"/>
                <w:szCs w:val="18"/>
                <w:highlight w:val="lightGray"/>
                <w:lang w:eastAsia="nl-NL"/>
              </w:rPr>
              <w:t>YES</w:t>
            </w:r>
          </w:p>
        </w:tc>
        <w:tc>
          <w:tcPr>
            <w:tcW w:w="1804" w:type="pct"/>
            <w:tcBorders>
              <w:top w:val="nil"/>
              <w:left w:val="single" w:sz="8" w:space="0" w:color="auto"/>
              <w:bottom w:val="single" w:sz="8" w:space="0" w:color="000000"/>
              <w:right w:val="single" w:sz="8" w:space="0" w:color="auto"/>
            </w:tcBorders>
            <w:shd w:val="clear" w:color="auto" w:fill="auto"/>
            <w:vAlign w:val="center"/>
          </w:tcPr>
          <w:p w14:paraId="437D65A5" w14:textId="77777777" w:rsidR="00550FF9" w:rsidRPr="00DF29F0" w:rsidRDefault="00550FF9" w:rsidP="00550FF9">
            <w:pPr>
              <w:jc w:val="left"/>
              <w:rPr>
                <w:rFonts w:cs="Arial"/>
                <w:color w:val="000000"/>
                <w:sz w:val="18"/>
                <w:szCs w:val="18"/>
                <w:highlight w:val="lightGray"/>
                <w:lang w:eastAsia="nl-NL"/>
              </w:rPr>
            </w:pPr>
          </w:p>
        </w:tc>
        <w:tc>
          <w:tcPr>
            <w:tcW w:w="81" w:type="pct"/>
            <w:vAlign w:val="center"/>
          </w:tcPr>
          <w:p w14:paraId="3CB1545E" w14:textId="77777777" w:rsidR="00550FF9" w:rsidRPr="00DF29F0" w:rsidRDefault="00550FF9" w:rsidP="00550FF9">
            <w:pPr>
              <w:rPr>
                <w:rFonts w:ascii="Times New Roman" w:hAnsi="Times New Roman"/>
                <w:lang w:eastAsia="fr-FR"/>
              </w:rPr>
            </w:pPr>
          </w:p>
        </w:tc>
      </w:tr>
      <w:tr w:rsidR="00550FF9" w:rsidRPr="00DF29F0" w14:paraId="60F8BF0F" w14:textId="77777777" w:rsidTr="001F44A6">
        <w:trPr>
          <w:cantSplit/>
          <w:trHeight w:val="300"/>
        </w:trPr>
        <w:tc>
          <w:tcPr>
            <w:tcW w:w="358" w:type="pct"/>
            <w:vMerge w:val="restart"/>
            <w:tcBorders>
              <w:top w:val="nil"/>
              <w:left w:val="single" w:sz="8" w:space="0" w:color="auto"/>
              <w:bottom w:val="single" w:sz="8" w:space="0" w:color="000000"/>
              <w:right w:val="single" w:sz="8" w:space="0" w:color="auto"/>
            </w:tcBorders>
            <w:shd w:val="clear" w:color="auto" w:fill="auto"/>
            <w:vAlign w:val="center"/>
          </w:tcPr>
          <w:p w14:paraId="2F393F2A" w14:textId="77777777" w:rsidR="008B5290" w:rsidRPr="00DF29F0" w:rsidRDefault="006F3299">
            <w:pPr>
              <w:jc w:val="left"/>
              <w:rPr>
                <w:rFonts w:cs="Arial"/>
                <w:color w:val="000000"/>
                <w:sz w:val="18"/>
                <w:szCs w:val="18"/>
                <w:highlight w:val="lightGray"/>
                <w:lang w:eastAsia="fr-FR"/>
              </w:rPr>
            </w:pPr>
            <w:r w:rsidRPr="00DF29F0">
              <w:rPr>
                <w:rFonts w:cs="Arial"/>
                <w:color w:val="000000"/>
                <w:sz w:val="18"/>
                <w:szCs w:val="18"/>
                <w:highlight w:val="lightGray"/>
                <w:lang w:eastAsia="fr-FR"/>
              </w:rPr>
              <w:t>9.1</w:t>
            </w:r>
          </w:p>
        </w:tc>
        <w:tc>
          <w:tcPr>
            <w:tcW w:w="800" w:type="pct"/>
            <w:vMerge w:val="restart"/>
            <w:tcBorders>
              <w:top w:val="nil"/>
              <w:left w:val="single" w:sz="8" w:space="0" w:color="auto"/>
              <w:bottom w:val="single" w:sz="8" w:space="0" w:color="000000"/>
              <w:right w:val="single" w:sz="8" w:space="0" w:color="auto"/>
            </w:tcBorders>
            <w:shd w:val="clear" w:color="auto" w:fill="auto"/>
            <w:vAlign w:val="center"/>
          </w:tcPr>
          <w:p w14:paraId="4238FDC2" w14:textId="77777777" w:rsidR="008B5290" w:rsidRPr="00DF29F0" w:rsidRDefault="006F3299">
            <w:pPr>
              <w:jc w:val="left"/>
              <w:rPr>
                <w:rFonts w:cs="Arial"/>
                <w:color w:val="000000"/>
                <w:sz w:val="18"/>
                <w:szCs w:val="18"/>
                <w:highlight w:val="lightGray"/>
                <w:lang w:eastAsia="fr-FR"/>
              </w:rPr>
            </w:pPr>
            <w:r w:rsidRPr="00DF29F0">
              <w:rPr>
                <w:rFonts w:cs="Arial"/>
                <w:color w:val="000000"/>
                <w:sz w:val="18"/>
                <w:szCs w:val="18"/>
                <w:highlight w:val="lightGray"/>
                <w:lang w:eastAsia="fr-FR"/>
              </w:rPr>
              <w:t>Kontakt Prüfungsamt</w:t>
            </w:r>
          </w:p>
        </w:tc>
        <w:tc>
          <w:tcPr>
            <w:tcW w:w="1235" w:type="pct"/>
            <w:vMerge w:val="restart"/>
            <w:tcBorders>
              <w:top w:val="nil"/>
              <w:left w:val="single" w:sz="8" w:space="0" w:color="auto"/>
              <w:bottom w:val="single" w:sz="8" w:space="0" w:color="000000"/>
              <w:right w:val="single" w:sz="8" w:space="0" w:color="auto"/>
            </w:tcBorders>
            <w:shd w:val="clear" w:color="auto" w:fill="auto"/>
            <w:vAlign w:val="center"/>
          </w:tcPr>
          <w:p w14:paraId="1F6BCA9A" w14:textId="77777777" w:rsidR="008B5290" w:rsidRPr="00DF29F0" w:rsidRDefault="006F3299">
            <w:pPr>
              <w:jc w:val="left"/>
              <w:rPr>
                <w:rFonts w:cs="Arial"/>
                <w:color w:val="000000"/>
                <w:sz w:val="18"/>
                <w:szCs w:val="18"/>
                <w:highlight w:val="lightGray"/>
                <w:lang w:eastAsia="fr-FR"/>
              </w:rPr>
            </w:pPr>
            <w:r w:rsidRPr="00DF29F0">
              <w:rPr>
                <w:rFonts w:cs="Arial"/>
                <w:i/>
                <w:color w:val="000000"/>
                <w:sz w:val="18"/>
                <w:szCs w:val="18"/>
                <w:highlight w:val="lightGray"/>
                <w:lang w:eastAsia="fr-FR"/>
              </w:rPr>
              <w:t xml:space="preserve">z.B. </w:t>
            </w:r>
            <w:r w:rsidRPr="00DF29F0">
              <w:rPr>
                <w:rFonts w:cs="Arial"/>
                <w:color w:val="000000"/>
                <w:sz w:val="18"/>
                <w:szCs w:val="18"/>
                <w:highlight w:val="lightGray"/>
                <w:lang w:eastAsia="fr-FR"/>
              </w:rPr>
              <w:t>Naktuinbouw</w:t>
            </w:r>
          </w:p>
        </w:tc>
        <w:tc>
          <w:tcPr>
            <w:tcW w:w="722" w:type="pct"/>
            <w:vMerge w:val="restart"/>
            <w:tcBorders>
              <w:top w:val="nil"/>
              <w:left w:val="single" w:sz="8" w:space="0" w:color="auto"/>
              <w:bottom w:val="single" w:sz="8" w:space="0" w:color="000000"/>
              <w:right w:val="single" w:sz="8" w:space="0" w:color="auto"/>
            </w:tcBorders>
            <w:shd w:val="clear" w:color="auto" w:fill="auto"/>
            <w:vAlign w:val="center"/>
          </w:tcPr>
          <w:p w14:paraId="05484898" w14:textId="77777777" w:rsidR="008B5290" w:rsidRPr="00DF29F0" w:rsidRDefault="006F3299">
            <w:pPr>
              <w:jc w:val="left"/>
              <w:rPr>
                <w:rFonts w:cs="Arial"/>
                <w:color w:val="000000"/>
                <w:sz w:val="18"/>
                <w:szCs w:val="18"/>
                <w:highlight w:val="lightGray"/>
                <w:lang w:eastAsia="fr-FR"/>
              </w:rPr>
            </w:pPr>
            <w:r w:rsidRPr="00DF29F0">
              <w:rPr>
                <w:rFonts w:cs="Arial"/>
                <w:color w:val="000000"/>
                <w:sz w:val="18"/>
                <w:szCs w:val="18"/>
                <w:highlight w:val="lightGray"/>
                <w:lang w:eastAsia="fr-FR"/>
              </w:rPr>
              <w:t>YES</w:t>
            </w:r>
          </w:p>
        </w:tc>
        <w:tc>
          <w:tcPr>
            <w:tcW w:w="1804" w:type="pct"/>
            <w:vMerge w:val="restart"/>
            <w:tcBorders>
              <w:top w:val="nil"/>
              <w:left w:val="single" w:sz="8" w:space="0" w:color="auto"/>
              <w:bottom w:val="single" w:sz="8" w:space="0" w:color="000000"/>
              <w:right w:val="single" w:sz="8" w:space="0" w:color="auto"/>
            </w:tcBorders>
            <w:shd w:val="clear" w:color="auto" w:fill="auto"/>
            <w:vAlign w:val="center"/>
          </w:tcPr>
          <w:p w14:paraId="4115B01B" w14:textId="77777777" w:rsidR="008B5290" w:rsidRPr="00DF29F0" w:rsidRDefault="006F3299">
            <w:pPr>
              <w:jc w:val="left"/>
              <w:rPr>
                <w:rFonts w:cs="Arial"/>
                <w:color w:val="000000"/>
                <w:sz w:val="18"/>
                <w:szCs w:val="18"/>
                <w:highlight w:val="lightGray"/>
                <w:lang w:eastAsia="fr-FR"/>
              </w:rPr>
            </w:pPr>
            <w:r w:rsidRPr="00DF29F0">
              <w:rPr>
                <w:rFonts w:cs="Arial"/>
                <w:color w:val="000000"/>
                <w:sz w:val="18"/>
                <w:szCs w:val="18"/>
                <w:highlight w:val="lightGray"/>
                <w:lang w:eastAsia="fr-FR"/>
              </w:rPr>
              <w:t>Kontakt des Instituts, das dieses Protokoll entwickelt hat, Name des Dienstes.</w:t>
            </w:r>
          </w:p>
        </w:tc>
        <w:tc>
          <w:tcPr>
            <w:tcW w:w="81" w:type="pct"/>
            <w:vAlign w:val="center"/>
            <w:hideMark/>
          </w:tcPr>
          <w:p w14:paraId="7811E12F" w14:textId="77777777" w:rsidR="00550FF9" w:rsidRPr="00DF29F0" w:rsidRDefault="00550FF9" w:rsidP="00550FF9">
            <w:pPr>
              <w:rPr>
                <w:rFonts w:ascii="Times New Roman" w:hAnsi="Times New Roman"/>
                <w:lang w:eastAsia="fr-FR"/>
              </w:rPr>
            </w:pPr>
          </w:p>
        </w:tc>
      </w:tr>
      <w:tr w:rsidR="00550FF9" w:rsidRPr="00DF29F0" w14:paraId="096ABEE5" w14:textId="77777777" w:rsidTr="001F44A6">
        <w:trPr>
          <w:trHeight w:val="300"/>
        </w:trPr>
        <w:tc>
          <w:tcPr>
            <w:tcW w:w="358" w:type="pct"/>
            <w:vMerge/>
            <w:tcBorders>
              <w:top w:val="nil"/>
              <w:left w:val="single" w:sz="8" w:space="0" w:color="auto"/>
              <w:bottom w:val="single" w:sz="8" w:space="0" w:color="000000"/>
              <w:right w:val="single" w:sz="8" w:space="0" w:color="auto"/>
            </w:tcBorders>
            <w:shd w:val="clear" w:color="auto" w:fill="auto"/>
            <w:vAlign w:val="center"/>
          </w:tcPr>
          <w:p w14:paraId="41C68D5F" w14:textId="77777777" w:rsidR="00550FF9" w:rsidRPr="00DF29F0" w:rsidRDefault="00550FF9" w:rsidP="00550FF9">
            <w:pPr>
              <w:rPr>
                <w:rFonts w:cs="Arial"/>
                <w:color w:val="000000"/>
                <w:sz w:val="18"/>
                <w:szCs w:val="18"/>
                <w:lang w:eastAsia="nl-NL"/>
              </w:rPr>
            </w:pPr>
          </w:p>
        </w:tc>
        <w:tc>
          <w:tcPr>
            <w:tcW w:w="800" w:type="pct"/>
            <w:vMerge/>
            <w:tcBorders>
              <w:top w:val="nil"/>
              <w:left w:val="single" w:sz="8" w:space="0" w:color="auto"/>
              <w:bottom w:val="single" w:sz="8" w:space="0" w:color="000000"/>
              <w:right w:val="single" w:sz="8" w:space="0" w:color="auto"/>
            </w:tcBorders>
            <w:shd w:val="clear" w:color="auto" w:fill="auto"/>
            <w:vAlign w:val="center"/>
          </w:tcPr>
          <w:p w14:paraId="792A5711" w14:textId="77777777" w:rsidR="00550FF9" w:rsidRPr="00DF29F0" w:rsidRDefault="00550FF9" w:rsidP="00550FF9">
            <w:pPr>
              <w:rPr>
                <w:rFonts w:cs="Arial"/>
                <w:color w:val="000000"/>
                <w:sz w:val="18"/>
                <w:szCs w:val="18"/>
                <w:lang w:eastAsia="nl-NL"/>
              </w:rPr>
            </w:pPr>
          </w:p>
        </w:tc>
        <w:tc>
          <w:tcPr>
            <w:tcW w:w="1235" w:type="pct"/>
            <w:vMerge/>
            <w:tcBorders>
              <w:top w:val="nil"/>
              <w:left w:val="single" w:sz="8" w:space="0" w:color="auto"/>
              <w:bottom w:val="single" w:sz="8" w:space="0" w:color="000000"/>
              <w:right w:val="single" w:sz="8" w:space="0" w:color="auto"/>
            </w:tcBorders>
            <w:shd w:val="clear" w:color="auto" w:fill="auto"/>
            <w:vAlign w:val="center"/>
          </w:tcPr>
          <w:p w14:paraId="685B140B" w14:textId="77777777" w:rsidR="00550FF9" w:rsidRPr="00DF29F0" w:rsidRDefault="00550FF9" w:rsidP="00550FF9">
            <w:pPr>
              <w:rPr>
                <w:rFonts w:cs="Arial"/>
                <w:i/>
                <w:iCs/>
                <w:color w:val="000000"/>
                <w:sz w:val="18"/>
                <w:szCs w:val="18"/>
                <w:lang w:eastAsia="fr-FR"/>
              </w:rPr>
            </w:pPr>
          </w:p>
        </w:tc>
        <w:tc>
          <w:tcPr>
            <w:tcW w:w="722" w:type="pct"/>
            <w:vMerge/>
            <w:tcBorders>
              <w:top w:val="nil"/>
              <w:left w:val="single" w:sz="8" w:space="0" w:color="auto"/>
              <w:bottom w:val="single" w:sz="8" w:space="0" w:color="000000"/>
              <w:right w:val="single" w:sz="8" w:space="0" w:color="auto"/>
            </w:tcBorders>
            <w:shd w:val="clear" w:color="auto" w:fill="auto"/>
            <w:vAlign w:val="center"/>
          </w:tcPr>
          <w:p w14:paraId="091CE75B" w14:textId="77777777" w:rsidR="00550FF9" w:rsidRPr="00DF29F0" w:rsidRDefault="00550FF9" w:rsidP="00550FF9">
            <w:pPr>
              <w:rPr>
                <w:rFonts w:cs="Arial"/>
                <w:color w:val="000000"/>
                <w:sz w:val="18"/>
                <w:szCs w:val="18"/>
                <w:lang w:eastAsia="nl-NL"/>
              </w:rPr>
            </w:pPr>
          </w:p>
        </w:tc>
        <w:tc>
          <w:tcPr>
            <w:tcW w:w="1804" w:type="pct"/>
            <w:vMerge/>
            <w:tcBorders>
              <w:top w:val="nil"/>
              <w:left w:val="single" w:sz="8" w:space="0" w:color="auto"/>
              <w:bottom w:val="single" w:sz="8" w:space="0" w:color="000000"/>
              <w:right w:val="single" w:sz="8" w:space="0" w:color="auto"/>
            </w:tcBorders>
            <w:shd w:val="clear" w:color="auto" w:fill="auto"/>
            <w:vAlign w:val="center"/>
          </w:tcPr>
          <w:p w14:paraId="34E43D1D" w14:textId="77777777" w:rsidR="00550FF9" w:rsidRPr="00DF29F0" w:rsidRDefault="00550FF9" w:rsidP="00550FF9">
            <w:pPr>
              <w:rPr>
                <w:rFonts w:cs="Arial"/>
                <w:color w:val="000000"/>
                <w:sz w:val="18"/>
                <w:szCs w:val="18"/>
                <w:lang w:eastAsia="nl-NL"/>
              </w:rPr>
            </w:pPr>
          </w:p>
        </w:tc>
        <w:tc>
          <w:tcPr>
            <w:tcW w:w="81" w:type="pct"/>
            <w:vAlign w:val="center"/>
          </w:tcPr>
          <w:p w14:paraId="33095E13" w14:textId="77777777" w:rsidR="00550FF9" w:rsidRPr="00DF29F0" w:rsidRDefault="00550FF9" w:rsidP="00550FF9">
            <w:pPr>
              <w:rPr>
                <w:rFonts w:ascii="Times New Roman" w:hAnsi="Times New Roman"/>
                <w:lang w:eastAsia="fr-FR"/>
              </w:rPr>
            </w:pPr>
          </w:p>
        </w:tc>
      </w:tr>
      <w:tr w:rsidR="00550FF9" w:rsidRPr="00DF29F0" w14:paraId="40C2DCB9" w14:textId="77777777" w:rsidTr="001F44A6">
        <w:trPr>
          <w:trHeight w:val="315"/>
        </w:trPr>
        <w:tc>
          <w:tcPr>
            <w:tcW w:w="358" w:type="pct"/>
            <w:vMerge/>
            <w:tcBorders>
              <w:top w:val="nil"/>
              <w:left w:val="single" w:sz="8" w:space="0" w:color="auto"/>
              <w:bottom w:val="single" w:sz="8" w:space="0" w:color="000000"/>
              <w:right w:val="single" w:sz="8" w:space="0" w:color="auto"/>
            </w:tcBorders>
            <w:vAlign w:val="center"/>
          </w:tcPr>
          <w:p w14:paraId="5F2A0F50" w14:textId="77777777" w:rsidR="00550FF9" w:rsidRPr="00DF29F0" w:rsidRDefault="00550FF9" w:rsidP="00550FF9">
            <w:pPr>
              <w:rPr>
                <w:rFonts w:cs="Arial"/>
                <w:color w:val="000000"/>
                <w:sz w:val="18"/>
                <w:szCs w:val="18"/>
                <w:lang w:eastAsia="fr-FR"/>
              </w:rPr>
            </w:pPr>
          </w:p>
        </w:tc>
        <w:tc>
          <w:tcPr>
            <w:tcW w:w="800" w:type="pct"/>
            <w:vMerge/>
            <w:tcBorders>
              <w:top w:val="nil"/>
              <w:left w:val="single" w:sz="8" w:space="0" w:color="auto"/>
              <w:bottom w:val="single" w:sz="8" w:space="0" w:color="000000"/>
              <w:right w:val="single" w:sz="8" w:space="0" w:color="auto"/>
            </w:tcBorders>
            <w:vAlign w:val="center"/>
          </w:tcPr>
          <w:p w14:paraId="6B9A4BC6" w14:textId="77777777" w:rsidR="00550FF9" w:rsidRPr="00DF29F0" w:rsidRDefault="00550FF9" w:rsidP="00550FF9">
            <w:pPr>
              <w:rPr>
                <w:rFonts w:cs="Arial"/>
                <w:color w:val="000000"/>
                <w:sz w:val="18"/>
                <w:szCs w:val="18"/>
                <w:lang w:eastAsia="fr-FR"/>
              </w:rPr>
            </w:pPr>
          </w:p>
        </w:tc>
        <w:tc>
          <w:tcPr>
            <w:tcW w:w="1235" w:type="pct"/>
            <w:vMerge/>
            <w:tcBorders>
              <w:top w:val="nil"/>
              <w:left w:val="single" w:sz="8" w:space="0" w:color="auto"/>
              <w:bottom w:val="single" w:sz="8" w:space="0" w:color="000000"/>
              <w:right w:val="single" w:sz="8" w:space="0" w:color="auto"/>
            </w:tcBorders>
            <w:vAlign w:val="center"/>
          </w:tcPr>
          <w:p w14:paraId="1959D15C" w14:textId="77777777" w:rsidR="00550FF9" w:rsidRPr="00DF29F0" w:rsidRDefault="00550FF9" w:rsidP="00550FF9">
            <w:pPr>
              <w:rPr>
                <w:rFonts w:cs="Arial"/>
                <w:i/>
                <w:iCs/>
                <w:color w:val="000000"/>
                <w:sz w:val="18"/>
                <w:szCs w:val="18"/>
                <w:lang w:eastAsia="fr-FR"/>
              </w:rPr>
            </w:pPr>
          </w:p>
        </w:tc>
        <w:tc>
          <w:tcPr>
            <w:tcW w:w="722" w:type="pct"/>
            <w:vMerge/>
            <w:tcBorders>
              <w:top w:val="nil"/>
              <w:left w:val="single" w:sz="8" w:space="0" w:color="auto"/>
              <w:bottom w:val="single" w:sz="8" w:space="0" w:color="000000"/>
              <w:right w:val="single" w:sz="8" w:space="0" w:color="auto"/>
            </w:tcBorders>
            <w:vAlign w:val="center"/>
          </w:tcPr>
          <w:p w14:paraId="25C17597" w14:textId="77777777" w:rsidR="00550FF9" w:rsidRPr="00DF29F0" w:rsidRDefault="00550FF9" w:rsidP="00550FF9">
            <w:pPr>
              <w:rPr>
                <w:rFonts w:cs="Arial"/>
                <w:color w:val="000000"/>
                <w:sz w:val="18"/>
                <w:szCs w:val="18"/>
                <w:lang w:eastAsia="fr-FR"/>
              </w:rPr>
            </w:pPr>
          </w:p>
        </w:tc>
        <w:tc>
          <w:tcPr>
            <w:tcW w:w="1804" w:type="pct"/>
            <w:vMerge/>
            <w:tcBorders>
              <w:top w:val="nil"/>
              <w:left w:val="single" w:sz="8" w:space="0" w:color="auto"/>
              <w:bottom w:val="single" w:sz="8" w:space="0" w:color="000000"/>
              <w:right w:val="single" w:sz="8" w:space="0" w:color="auto"/>
            </w:tcBorders>
            <w:vAlign w:val="center"/>
          </w:tcPr>
          <w:p w14:paraId="09C8DA0E" w14:textId="77777777" w:rsidR="00550FF9" w:rsidRPr="00DF29F0" w:rsidRDefault="00550FF9" w:rsidP="00550FF9">
            <w:pPr>
              <w:rPr>
                <w:rFonts w:cs="Arial"/>
                <w:color w:val="000000"/>
                <w:sz w:val="18"/>
                <w:szCs w:val="18"/>
                <w:lang w:eastAsia="fr-FR"/>
              </w:rPr>
            </w:pPr>
          </w:p>
        </w:tc>
        <w:tc>
          <w:tcPr>
            <w:tcW w:w="81" w:type="pct"/>
            <w:tcBorders>
              <w:top w:val="nil"/>
              <w:left w:val="nil"/>
              <w:bottom w:val="nil"/>
              <w:right w:val="nil"/>
            </w:tcBorders>
            <w:shd w:val="clear" w:color="auto" w:fill="auto"/>
            <w:noWrap/>
            <w:vAlign w:val="bottom"/>
            <w:hideMark/>
          </w:tcPr>
          <w:p w14:paraId="79620766" w14:textId="77777777" w:rsidR="00550FF9" w:rsidRPr="00DF29F0" w:rsidRDefault="00550FF9" w:rsidP="00550FF9">
            <w:pPr>
              <w:rPr>
                <w:rFonts w:cs="Arial"/>
                <w:color w:val="000000"/>
                <w:lang w:eastAsia="fr-FR"/>
              </w:rPr>
            </w:pPr>
          </w:p>
        </w:tc>
      </w:tr>
    </w:tbl>
    <w:p w14:paraId="0E9A8B0A" w14:textId="77777777" w:rsidR="00550FF9" w:rsidRPr="00DF29F0" w:rsidRDefault="00550FF9" w:rsidP="00550FF9">
      <w:pPr>
        <w:rPr>
          <w:lang w:eastAsia="fr-FR"/>
        </w:rPr>
      </w:pPr>
    </w:p>
    <w:p w14:paraId="59D4AC56" w14:textId="77777777" w:rsidR="00550FF9" w:rsidRPr="00DF29F0" w:rsidRDefault="00550FF9" w:rsidP="00550FF9">
      <w:pPr>
        <w:rPr>
          <w:lang w:eastAsia="fr-FR"/>
        </w:rPr>
      </w:pPr>
    </w:p>
    <w:p w14:paraId="4EE457CD" w14:textId="77777777" w:rsidR="008B5290" w:rsidRPr="00DF29F0" w:rsidRDefault="006F3299" w:rsidP="001A2183">
      <w:pPr>
        <w:pStyle w:val="Heading1Annex"/>
      </w:pPr>
      <w:bookmarkStart w:id="87" w:name="_Toc178245706"/>
      <w:r w:rsidRPr="00DF29F0">
        <w:lastRenderedPageBreak/>
        <w:t xml:space="preserve">VI. </w:t>
      </w:r>
      <w:r w:rsidRPr="00DF29F0">
        <w:tab/>
        <w:t>Folgeerhebung nach der Genehmigung</w:t>
      </w:r>
      <w:bookmarkEnd w:id="87"/>
    </w:p>
    <w:p w14:paraId="29093747" w14:textId="77777777" w:rsidR="00550FF9" w:rsidRPr="00DF29F0" w:rsidRDefault="00550FF9" w:rsidP="00550FF9">
      <w:pPr>
        <w:keepNext/>
        <w:rPr>
          <w:lang w:eastAsia="fr-FR"/>
        </w:rPr>
      </w:pPr>
    </w:p>
    <w:p w14:paraId="619A7688" w14:textId="77777777"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88" w:author="SANCHEZ VIZCAINO GOMEZ Rosa Maria" w:date="2024-09-23T14:37:00Z" w16du:dateUtc="2024-09-23T12:37:00Z" w:original="34."/>
        </w:fldChar>
      </w:r>
      <w:r w:rsidR="00550FF9" w:rsidRPr="00DF29F0">
        <w:rPr>
          <w:lang w:eastAsia="fr-FR"/>
        </w:rPr>
        <w:tab/>
        <w:t xml:space="preserve">Die Validierung des Markers ist nicht festgelegt, da neue Genetik auf dem Markt auftauchen kann. Dies ist ein kontinuierlicher Bewertungsprozess. Die Spezifität sollte nach der Akzeptanz der Validierung durch Doppeltests zumindest im ersten Jahr mit der Beobachtungsmethode neu bewertet werden. </w:t>
      </w:r>
    </w:p>
    <w:p w14:paraId="7DC23424" w14:textId="77777777" w:rsidR="00550FF9" w:rsidRPr="00DF29F0" w:rsidRDefault="00550FF9" w:rsidP="00550FF9">
      <w:pPr>
        <w:rPr>
          <w:lang w:eastAsia="fr-FR"/>
        </w:rPr>
      </w:pPr>
    </w:p>
    <w:p w14:paraId="1E574922" w14:textId="70242675" w:rsidR="008B5290" w:rsidRPr="00DF29F0" w:rsidRDefault="006F3299">
      <w:pPr>
        <w:rPr>
          <w:lang w:eastAsia="fr-FR"/>
        </w:rPr>
      </w:pPr>
      <w:r w:rsidRPr="00DF29F0">
        <w:fldChar w:fldCharType="begin"/>
      </w:r>
      <w:r w:rsidRPr="00DF29F0">
        <w:instrText xml:space="preserve"> LISTNUM  LegalDefault \l 1 </w:instrText>
      </w:r>
      <w:r w:rsidRPr="00DF29F0">
        <w:fldChar w:fldCharType="end">
          <w:numberingChange w:id="89" w:author="SANCHEZ VIZCAINO GOMEZ Rosa Maria" w:date="2024-09-23T14:37:00Z" w16du:dateUtc="2024-09-23T12:37:00Z" w:original="35."/>
        </w:fldChar>
      </w:r>
      <w:r w:rsidR="00550FF9" w:rsidRPr="00DF29F0">
        <w:rPr>
          <w:lang w:eastAsia="fr-FR"/>
        </w:rPr>
        <w:tab/>
        <w:t>Nach dem ersten Jahr der Annahme des Protokolls müssen bei etwa 10</w:t>
      </w:r>
      <w:r w:rsidR="00D804E1">
        <w:rPr>
          <w:lang w:eastAsia="fr-FR"/>
        </w:rPr>
        <w:t>%</w:t>
      </w:r>
      <w:r w:rsidR="00550FF9" w:rsidRPr="00DF29F0">
        <w:rPr>
          <w:lang w:eastAsia="fr-FR"/>
        </w:rPr>
        <w:t xml:space="preserve"> der neuen Sorten morphologische Kontrollen durchgeführt werden.</w:t>
      </w:r>
    </w:p>
    <w:p w14:paraId="159D612A" w14:textId="77777777" w:rsidR="00550FF9" w:rsidRPr="00DF29F0" w:rsidRDefault="00550FF9" w:rsidP="00550FF9">
      <w:pPr>
        <w:jc w:val="left"/>
      </w:pPr>
    </w:p>
    <w:p w14:paraId="51A54A7E" w14:textId="77777777" w:rsidR="00EF4B00" w:rsidRPr="00DF29F0" w:rsidRDefault="00EF4B00" w:rsidP="00EF4B00"/>
    <w:p w14:paraId="4D27B37E" w14:textId="77777777" w:rsidR="003D7A73" w:rsidRPr="00DF29F0" w:rsidRDefault="003D7A73" w:rsidP="00EF4B00"/>
    <w:p w14:paraId="071DBBF3" w14:textId="77777777" w:rsidR="008B5290" w:rsidRPr="00DF29F0" w:rsidRDefault="006F3299">
      <w:pPr>
        <w:jc w:val="right"/>
      </w:pPr>
      <w:r w:rsidRPr="00DF29F0">
        <w:t>[Ende des Anhangs und des Dokuments]</w:t>
      </w:r>
    </w:p>
    <w:sectPr w:rsidR="008B5290" w:rsidRPr="00DF29F0" w:rsidSect="00D804E1">
      <w:headerReference w:type="default" r:id="rId10"/>
      <w:headerReference w:type="first" r:id="rId11"/>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4E9ED" w14:textId="77777777" w:rsidR="00DC51CA" w:rsidRDefault="00DC51CA" w:rsidP="006655D3">
      <w:r>
        <w:separator/>
      </w:r>
    </w:p>
    <w:p w14:paraId="2CDEF29B" w14:textId="77777777" w:rsidR="00DC51CA" w:rsidRDefault="00DC51CA" w:rsidP="006655D3"/>
    <w:p w14:paraId="000DDF0E" w14:textId="77777777" w:rsidR="00DC51CA" w:rsidRDefault="00DC51CA" w:rsidP="006655D3"/>
  </w:endnote>
  <w:endnote w:type="continuationSeparator" w:id="0">
    <w:p w14:paraId="4DA77E16" w14:textId="77777777" w:rsidR="00DC51CA" w:rsidRDefault="00DC51CA" w:rsidP="006655D3">
      <w:r>
        <w:separator/>
      </w:r>
    </w:p>
    <w:p w14:paraId="2D9CEBD5" w14:textId="77777777" w:rsidR="008B5290" w:rsidRDefault="006F3299">
      <w:pPr>
        <w:pStyle w:val="Footer"/>
        <w:spacing w:after="60"/>
        <w:rPr>
          <w:sz w:val="18"/>
          <w:lang w:val="fr-FR"/>
        </w:rPr>
      </w:pPr>
      <w:r w:rsidRPr="00294751">
        <w:rPr>
          <w:sz w:val="18"/>
          <w:lang w:val="fr-FR"/>
        </w:rPr>
        <w:t>(Suite de la note de la page précédente)</w:t>
      </w:r>
    </w:p>
    <w:p w14:paraId="78101C0C" w14:textId="77777777" w:rsidR="00DC51CA" w:rsidRPr="00294751" w:rsidRDefault="00DC51CA" w:rsidP="006655D3">
      <w:pPr>
        <w:rPr>
          <w:lang w:val="fr-FR"/>
        </w:rPr>
      </w:pPr>
    </w:p>
    <w:p w14:paraId="1D10F81D" w14:textId="77777777" w:rsidR="00DC51CA" w:rsidRPr="00294751" w:rsidRDefault="00DC51CA" w:rsidP="006655D3">
      <w:pPr>
        <w:rPr>
          <w:lang w:val="fr-FR"/>
        </w:rPr>
      </w:pPr>
    </w:p>
  </w:endnote>
  <w:endnote w:type="continuationNotice" w:id="1">
    <w:p w14:paraId="5D766A76" w14:textId="77777777" w:rsidR="008B5290" w:rsidRDefault="006F3299">
      <w:pPr>
        <w:rPr>
          <w:lang w:val="fr-FR"/>
        </w:rPr>
      </w:pPr>
      <w:r w:rsidRPr="00294751">
        <w:rPr>
          <w:lang w:val="fr-FR"/>
        </w:rPr>
        <w:t>(Suite de la note page suivante)</w:t>
      </w:r>
    </w:p>
    <w:p w14:paraId="22DF1F17" w14:textId="77777777" w:rsidR="00DC51CA" w:rsidRPr="00294751" w:rsidRDefault="00DC51CA" w:rsidP="006655D3">
      <w:pPr>
        <w:rPr>
          <w:lang w:val="fr-FR"/>
        </w:rPr>
      </w:pPr>
    </w:p>
    <w:p w14:paraId="64B8703F" w14:textId="77777777" w:rsidR="00DC51CA" w:rsidRPr="00294751" w:rsidRDefault="00DC51C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27C08" w14:textId="77777777" w:rsidR="00DC51CA" w:rsidRDefault="00DC51CA" w:rsidP="006655D3">
      <w:r>
        <w:separator/>
      </w:r>
    </w:p>
  </w:footnote>
  <w:footnote w:type="continuationSeparator" w:id="0">
    <w:p w14:paraId="7934CBE7" w14:textId="77777777" w:rsidR="00DC51CA" w:rsidRDefault="00DC51CA" w:rsidP="006655D3">
      <w:r>
        <w:separator/>
      </w:r>
    </w:p>
  </w:footnote>
  <w:footnote w:type="continuationNotice" w:id="1">
    <w:p w14:paraId="2586270C" w14:textId="77777777" w:rsidR="00DC51CA" w:rsidRPr="00AB530F" w:rsidRDefault="00DC51CA" w:rsidP="00AB530F">
      <w:pPr>
        <w:pStyle w:val="Footer"/>
      </w:pPr>
    </w:p>
  </w:footnote>
  <w:footnote w:id="2">
    <w:p w14:paraId="4997EAB1" w14:textId="09125B8C" w:rsidR="008B5290" w:rsidRPr="00156975" w:rsidRDefault="006F3299">
      <w:pPr>
        <w:pStyle w:val="FootnoteText"/>
        <w:rPr>
          <w:lang w:val="de-DE"/>
        </w:rPr>
      </w:pPr>
      <w:r w:rsidRPr="00156975">
        <w:rPr>
          <w:rStyle w:val="FootnoteReference"/>
          <w:lang w:val="de-DE"/>
        </w:rPr>
        <w:footnoteRef/>
      </w:r>
      <w:r w:rsidRPr="00156975">
        <w:rPr>
          <w:lang w:val="de-DE"/>
        </w:rPr>
        <w:t xml:space="preserve"> TWM, zweite Tagung, </w:t>
      </w:r>
      <w:r w:rsidR="00156975" w:rsidRPr="00156975">
        <w:rPr>
          <w:lang w:val="de-DE"/>
        </w:rPr>
        <w:t>vom 8. bis 11. April 2024</w:t>
      </w:r>
      <w:r w:rsidR="00156975">
        <w:rPr>
          <w:lang w:val="de-DE"/>
        </w:rPr>
        <w:t xml:space="preserve"> </w:t>
      </w:r>
      <w:r w:rsidR="00156975" w:rsidRPr="00156975">
        <w:rPr>
          <w:spacing w:val="-2"/>
          <w:lang w:val="de-DE"/>
        </w:rPr>
        <w:t xml:space="preserve">auf elektronischem Wege </w:t>
      </w:r>
      <w:r w:rsidRPr="00156975">
        <w:rPr>
          <w:lang w:val="de-DE"/>
        </w:rPr>
        <w:t>abgehalten. Siehe Dokument TWM/2/21 "Bericht", Absätze 57 bis 61</w:t>
      </w:r>
      <w:r w:rsidR="008A52E0" w:rsidRPr="00156975">
        <w:rPr>
          <w:lang w:val="de-DE"/>
        </w:rPr>
        <w:t>.</w:t>
      </w:r>
    </w:p>
  </w:footnote>
  <w:footnote w:id="3">
    <w:p w14:paraId="641374B8" w14:textId="2A813646" w:rsidR="008B5290" w:rsidRPr="00156975" w:rsidRDefault="006F3299">
      <w:pPr>
        <w:pStyle w:val="FootnoteText"/>
        <w:rPr>
          <w:lang w:val="de-DE"/>
        </w:rPr>
      </w:pPr>
      <w:r w:rsidRPr="00156975">
        <w:rPr>
          <w:rStyle w:val="FootnoteReference"/>
          <w:lang w:val="de-DE"/>
        </w:rPr>
        <w:footnoteRef/>
      </w:r>
      <w:r w:rsidRPr="00156975">
        <w:rPr>
          <w:spacing w:val="-2"/>
          <w:lang w:val="de-DE"/>
        </w:rPr>
        <w:t xml:space="preserve"> </w:t>
      </w:r>
      <w:r w:rsidRPr="00156975">
        <w:rPr>
          <w:spacing w:val="-2"/>
          <w:lang w:val="de-DE"/>
        </w:rPr>
        <w:t xml:space="preserve">TWV, achtundfünfzigste Tagung, vom 22. bis 25. April 2024 auf elektronischem Wege abgehalten. Siehe Dokument TWV//58/11 "Bericht", </w:t>
      </w:r>
      <w:r w:rsidR="008A52E0" w:rsidRPr="00156975">
        <w:rPr>
          <w:spacing w:val="-2"/>
          <w:lang w:val="de-DE"/>
        </w:rPr>
        <w:t xml:space="preserve">Absätze </w:t>
      </w:r>
      <w:r w:rsidRPr="00156975">
        <w:rPr>
          <w:spacing w:val="-2"/>
          <w:lang w:val="de-DE"/>
        </w:rPr>
        <w:t>54 bis 58</w:t>
      </w:r>
      <w:r w:rsidR="008A52E0" w:rsidRPr="00156975">
        <w:rPr>
          <w:spacing w:val="-2"/>
          <w:lang w:val="de-DE"/>
        </w:rPr>
        <w:t>.</w:t>
      </w:r>
    </w:p>
  </w:footnote>
  <w:footnote w:id="4">
    <w:p w14:paraId="5971B0AD" w14:textId="77777777" w:rsidR="008B5290" w:rsidRPr="00156975" w:rsidRDefault="006F3299">
      <w:pPr>
        <w:pStyle w:val="FootnoteText"/>
        <w:rPr>
          <w:lang w:val="de-DE"/>
        </w:rPr>
      </w:pPr>
      <w:r w:rsidRPr="00156975">
        <w:rPr>
          <w:rStyle w:val="FootnoteReference"/>
          <w:lang w:val="de-DE"/>
        </w:rPr>
        <w:footnoteRef/>
      </w:r>
      <w:r w:rsidRPr="00156975">
        <w:rPr>
          <w:lang w:val="de-DE"/>
        </w:rPr>
        <w:t xml:space="preserve"> </w:t>
      </w:r>
      <w:r w:rsidRPr="00156975">
        <w:rPr>
          <w:lang w:val="de-DE"/>
        </w:rPr>
        <w:t>TC, achtundfünfzigste Tagung, die am 24. und 25. Oktober 2022 in Genf stattfand</w:t>
      </w:r>
      <w:r w:rsidR="00825360" w:rsidRPr="00156975">
        <w:rPr>
          <w:lang w:val="de-DE"/>
        </w:rPr>
        <w:t>.</w:t>
      </w:r>
    </w:p>
  </w:footnote>
  <w:footnote w:id="5">
    <w:p w14:paraId="7993C405" w14:textId="77777777" w:rsidR="008B5290" w:rsidRPr="00156975" w:rsidRDefault="006F3299">
      <w:pPr>
        <w:pStyle w:val="FootnoteText"/>
        <w:rPr>
          <w:lang w:val="de-DE"/>
        </w:rPr>
      </w:pPr>
      <w:r w:rsidRPr="00156975">
        <w:rPr>
          <w:rStyle w:val="FootnoteReference"/>
          <w:lang w:val="de-DE"/>
        </w:rPr>
        <w:footnoteRef/>
      </w:r>
      <w:r w:rsidRPr="00156975">
        <w:rPr>
          <w:lang w:val="de-DE"/>
        </w:rPr>
        <w:t xml:space="preserve"> </w:t>
      </w:r>
      <w:r w:rsidRPr="00156975">
        <w:rPr>
          <w:lang w:val="de-DE"/>
        </w:rPr>
        <w:t xml:space="preserve">TC, neunundfünfzigste Tagung, am </w:t>
      </w:r>
      <w:r w:rsidR="0010001A" w:rsidRPr="00156975">
        <w:rPr>
          <w:lang w:val="de-DE"/>
        </w:rPr>
        <w:t xml:space="preserve">23. </w:t>
      </w:r>
      <w:r w:rsidRPr="00156975">
        <w:rPr>
          <w:lang w:val="de-DE"/>
        </w:rPr>
        <w:t xml:space="preserve">und </w:t>
      </w:r>
      <w:r w:rsidR="0010001A" w:rsidRPr="00156975">
        <w:rPr>
          <w:lang w:val="de-DE"/>
        </w:rPr>
        <w:t>24</w:t>
      </w:r>
      <w:r w:rsidRPr="00156975">
        <w:rPr>
          <w:lang w:val="de-DE"/>
        </w:rPr>
        <w:t xml:space="preserve">. Oktober </w:t>
      </w:r>
      <w:r w:rsidR="0010001A" w:rsidRPr="00156975">
        <w:rPr>
          <w:lang w:val="de-DE"/>
        </w:rPr>
        <w:t xml:space="preserve">2023 </w:t>
      </w:r>
      <w:r w:rsidRPr="00156975">
        <w:rPr>
          <w:lang w:val="de-DE"/>
        </w:rPr>
        <w:t>in Genf</w:t>
      </w:r>
      <w:r w:rsidR="00825360" w:rsidRPr="00156975">
        <w:rPr>
          <w:lang w:val="de-DE"/>
        </w:rPr>
        <w:t>.</w:t>
      </w:r>
    </w:p>
  </w:footnote>
  <w:footnote w:id="6">
    <w:p w14:paraId="34D3F897" w14:textId="77777777" w:rsidR="008B5290" w:rsidRPr="00156975" w:rsidRDefault="006F3299">
      <w:pPr>
        <w:pStyle w:val="FootnoteText"/>
        <w:rPr>
          <w:lang w:val="de-DE"/>
        </w:rPr>
      </w:pPr>
      <w:r w:rsidRPr="00156975">
        <w:rPr>
          <w:rStyle w:val="FootnoteReference"/>
          <w:lang w:val="de-DE"/>
        </w:rPr>
        <w:footnoteRef/>
      </w:r>
      <w:r w:rsidRPr="00156975">
        <w:rPr>
          <w:lang w:val="de-DE"/>
        </w:rPr>
        <w:t xml:space="preserve"> </w:t>
      </w:r>
      <w:r w:rsidRPr="00156975">
        <w:rPr>
          <w:lang w:val="de-DE"/>
        </w:rPr>
        <w:t>TWM, zweite Tagung, elektronisch abgehalten, vom 8. bis 11. April 2024. Siehe Dokument TWM/2/21 "Bericht", Absätze 57 bis 61</w:t>
      </w:r>
      <w:r w:rsidR="00825360" w:rsidRPr="00156975">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A104A" w14:textId="2EA81359" w:rsidR="008B5290" w:rsidRDefault="00724959">
    <w:pPr>
      <w:pStyle w:val="Header"/>
      <w:rPr>
        <w:rStyle w:val="PageNumber"/>
        <w:lang w:val="en-US"/>
      </w:rPr>
    </w:pPr>
    <w:r>
      <w:rPr>
        <w:rStyle w:val="PageNumber"/>
        <w:lang w:val="en-US"/>
      </w:rPr>
      <w:t>SESSIONS/2024</w:t>
    </w:r>
    <w:r w:rsidR="002A12E1">
      <w:rPr>
        <w:rStyle w:val="PageNumber"/>
        <w:lang w:val="en-US"/>
      </w:rPr>
      <w:t>/6</w:t>
    </w:r>
  </w:p>
  <w:p w14:paraId="09BFB3D6" w14:textId="77777777" w:rsidR="008B5290" w:rsidRDefault="006F3299">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49B5">
      <w:rPr>
        <w:rStyle w:val="PageNumber"/>
        <w:noProof/>
        <w:lang w:val="en-US"/>
      </w:rPr>
      <w:t>2</w:t>
    </w:r>
    <w:r w:rsidRPr="00C5280D">
      <w:rPr>
        <w:rStyle w:val="PageNumber"/>
        <w:lang w:val="en-US"/>
      </w:rPr>
      <w:fldChar w:fldCharType="end"/>
    </w:r>
  </w:p>
  <w:p w14:paraId="1A62E120"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A457" w14:textId="3A11178A" w:rsidR="008B5290" w:rsidRDefault="00724959">
    <w:pPr>
      <w:pStyle w:val="Header"/>
      <w:rPr>
        <w:rStyle w:val="PageNumber"/>
        <w:lang w:val="en-US"/>
      </w:rPr>
    </w:pPr>
    <w:r>
      <w:rPr>
        <w:rStyle w:val="PageNumber"/>
        <w:lang w:val="en-US"/>
      </w:rPr>
      <w:t>SESSIONS/2024</w:t>
    </w:r>
    <w:r w:rsidR="006F3299">
      <w:rPr>
        <w:rStyle w:val="PageNumber"/>
        <w:lang w:val="en-US"/>
      </w:rPr>
      <w:t>/6</w:t>
    </w:r>
  </w:p>
  <w:p w14:paraId="13FA6145" w14:textId="77777777" w:rsidR="008B5290" w:rsidRDefault="006F3299">
    <w:pPr>
      <w:pStyle w:val="Header"/>
      <w:rPr>
        <w:lang w:val="en-US"/>
      </w:rPr>
    </w:pPr>
    <w:r>
      <w:rPr>
        <w:lang w:val="en-US"/>
      </w:rPr>
      <w:t xml:space="preserve">Anhang,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772485F" w14:textId="77777777" w:rsidR="00550FF9" w:rsidRPr="00C5280D" w:rsidRDefault="00550FF9"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BE4CE" w14:textId="4CED5D52" w:rsidR="008B5290" w:rsidRDefault="00724959">
    <w:pPr>
      <w:pStyle w:val="Header"/>
      <w:rPr>
        <w:rStyle w:val="PageNumber"/>
        <w:lang w:val="en-US"/>
      </w:rPr>
    </w:pPr>
    <w:r>
      <w:rPr>
        <w:rStyle w:val="PageNumber"/>
        <w:lang w:val="en-US"/>
      </w:rPr>
      <w:t>SESSIONS/2024</w:t>
    </w:r>
    <w:r w:rsidR="006F3299">
      <w:rPr>
        <w:rStyle w:val="PageNumber"/>
        <w:lang w:val="en-US"/>
      </w:rPr>
      <w:t>/6</w:t>
    </w:r>
  </w:p>
  <w:p w14:paraId="6325AB8B" w14:textId="77777777" w:rsidR="00550FF9" w:rsidRDefault="00550FF9" w:rsidP="00550FF9">
    <w:pPr>
      <w:pStyle w:val="Header"/>
      <w:rPr>
        <w:lang w:val="en-US"/>
      </w:rPr>
    </w:pPr>
  </w:p>
  <w:p w14:paraId="3732E53D" w14:textId="77777777" w:rsidR="008B5290" w:rsidRDefault="006F3299">
    <w:pPr>
      <w:pStyle w:val="Header"/>
      <w:rPr>
        <w:lang w:val="en-US"/>
      </w:rPr>
    </w:pPr>
    <w:r>
      <w:rPr>
        <w:lang w:val="en-US"/>
      </w:rPr>
      <w:t>ANHANG</w:t>
    </w:r>
  </w:p>
  <w:p w14:paraId="369124A9" w14:textId="77777777" w:rsidR="00550FF9" w:rsidRPr="0004198B" w:rsidRDefault="00550FF9"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763"/>
    <w:multiLevelType w:val="hybridMultilevel"/>
    <w:tmpl w:val="C1B26032"/>
    <w:lvl w:ilvl="0" w:tplc="F3860B7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690737"/>
    <w:multiLevelType w:val="hybridMultilevel"/>
    <w:tmpl w:val="23722A68"/>
    <w:lvl w:ilvl="0" w:tplc="619C1EB4">
      <w:start w:val="1"/>
      <w:numFmt w:val="lowerRoman"/>
      <w:lvlText w:val="(%1)"/>
      <w:lvlJc w:val="left"/>
      <w:pPr>
        <w:ind w:left="3617" w:hanging="360"/>
      </w:pPr>
      <w:rPr>
        <w:rFonts w:hint="default"/>
      </w:rPr>
    </w:lvl>
    <w:lvl w:ilvl="1" w:tplc="04090019">
      <w:start w:val="1"/>
      <w:numFmt w:val="lowerLetter"/>
      <w:lvlText w:val="%2."/>
      <w:lvlJc w:val="left"/>
      <w:pPr>
        <w:ind w:left="3704" w:hanging="360"/>
      </w:pPr>
    </w:lvl>
    <w:lvl w:ilvl="2" w:tplc="0409001B" w:tentative="1">
      <w:start w:val="1"/>
      <w:numFmt w:val="lowerRoman"/>
      <w:lvlText w:val="%3."/>
      <w:lvlJc w:val="right"/>
      <w:pPr>
        <w:ind w:left="4424" w:hanging="180"/>
      </w:pPr>
    </w:lvl>
    <w:lvl w:ilvl="3" w:tplc="0409000F" w:tentative="1">
      <w:start w:val="1"/>
      <w:numFmt w:val="decimal"/>
      <w:lvlText w:val="%4."/>
      <w:lvlJc w:val="left"/>
      <w:pPr>
        <w:ind w:left="5144" w:hanging="360"/>
      </w:pPr>
    </w:lvl>
    <w:lvl w:ilvl="4" w:tplc="04090019" w:tentative="1">
      <w:start w:val="1"/>
      <w:numFmt w:val="lowerLetter"/>
      <w:lvlText w:val="%5."/>
      <w:lvlJc w:val="left"/>
      <w:pPr>
        <w:ind w:left="5864" w:hanging="360"/>
      </w:pPr>
    </w:lvl>
    <w:lvl w:ilvl="5" w:tplc="0409001B" w:tentative="1">
      <w:start w:val="1"/>
      <w:numFmt w:val="lowerRoman"/>
      <w:lvlText w:val="%6."/>
      <w:lvlJc w:val="right"/>
      <w:pPr>
        <w:ind w:left="6584" w:hanging="180"/>
      </w:pPr>
    </w:lvl>
    <w:lvl w:ilvl="6" w:tplc="0409000F" w:tentative="1">
      <w:start w:val="1"/>
      <w:numFmt w:val="decimal"/>
      <w:lvlText w:val="%7."/>
      <w:lvlJc w:val="left"/>
      <w:pPr>
        <w:ind w:left="7304" w:hanging="360"/>
      </w:pPr>
    </w:lvl>
    <w:lvl w:ilvl="7" w:tplc="04090019" w:tentative="1">
      <w:start w:val="1"/>
      <w:numFmt w:val="lowerLetter"/>
      <w:lvlText w:val="%8."/>
      <w:lvlJc w:val="left"/>
      <w:pPr>
        <w:ind w:left="8024" w:hanging="360"/>
      </w:pPr>
    </w:lvl>
    <w:lvl w:ilvl="8" w:tplc="0409001B" w:tentative="1">
      <w:start w:val="1"/>
      <w:numFmt w:val="lowerRoman"/>
      <w:lvlText w:val="%9."/>
      <w:lvlJc w:val="right"/>
      <w:pPr>
        <w:ind w:left="8744" w:hanging="180"/>
      </w:pPr>
    </w:lvl>
  </w:abstractNum>
  <w:abstractNum w:abstractNumId="2" w15:restartNumberingAfterBreak="0">
    <w:nsid w:val="12F31C84"/>
    <w:multiLevelType w:val="hybridMultilevel"/>
    <w:tmpl w:val="A306CB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B10F0F"/>
    <w:multiLevelType w:val="hybridMultilevel"/>
    <w:tmpl w:val="B10EEDB6"/>
    <w:lvl w:ilvl="0" w:tplc="B59C8E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DA1B03"/>
    <w:multiLevelType w:val="multilevel"/>
    <w:tmpl w:val="FD9E35BC"/>
    <w:lvl w:ilvl="0">
      <w:start w:val="76"/>
      <w:numFmt w:val="decimal"/>
      <w:lvlText w:val="%1."/>
      <w:lvlJc w:val="left"/>
      <w:pPr>
        <w:ind w:left="643"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2704" w:hanging="720"/>
      </w:pPr>
      <w:rPr>
        <w:rFonts w:hint="default"/>
      </w:rPr>
    </w:lvl>
    <w:lvl w:ilvl="4">
      <w:start w:val="1"/>
      <w:numFmt w:val="decimal"/>
      <w:lvlText w:val="%1.%2.%3.%4.%5"/>
      <w:lvlJc w:val="left"/>
      <w:pPr>
        <w:ind w:left="3631" w:hanging="1080"/>
      </w:pPr>
      <w:rPr>
        <w:rFonts w:hint="default"/>
      </w:rPr>
    </w:lvl>
    <w:lvl w:ilvl="5">
      <w:start w:val="1"/>
      <w:numFmt w:val="decimal"/>
      <w:lvlText w:val="%1.%2.%3.%4.%5.%6"/>
      <w:lvlJc w:val="left"/>
      <w:pPr>
        <w:ind w:left="4198" w:hanging="1080"/>
      </w:pPr>
      <w:rPr>
        <w:rFonts w:hint="default"/>
      </w:rPr>
    </w:lvl>
    <w:lvl w:ilvl="6">
      <w:start w:val="1"/>
      <w:numFmt w:val="decimal"/>
      <w:lvlText w:val="%1.%2.%3.%4.%5.%6.%7"/>
      <w:lvlJc w:val="left"/>
      <w:pPr>
        <w:ind w:left="5125" w:hanging="1440"/>
      </w:pPr>
      <w:rPr>
        <w:rFonts w:hint="default"/>
      </w:rPr>
    </w:lvl>
    <w:lvl w:ilvl="7">
      <w:start w:val="1"/>
      <w:numFmt w:val="decimal"/>
      <w:lvlText w:val="%1.%2.%3.%4.%5.%6.%7.%8"/>
      <w:lvlJc w:val="left"/>
      <w:pPr>
        <w:ind w:left="5692" w:hanging="1440"/>
      </w:pPr>
      <w:rPr>
        <w:rFonts w:hint="default"/>
      </w:rPr>
    </w:lvl>
    <w:lvl w:ilvl="8">
      <w:start w:val="1"/>
      <w:numFmt w:val="decimal"/>
      <w:lvlText w:val="%1.%2.%3.%4.%5.%6.%7.%8.%9"/>
      <w:lvlJc w:val="left"/>
      <w:pPr>
        <w:ind w:left="6619" w:hanging="1800"/>
      </w:pPr>
      <w:rPr>
        <w:rFonts w:hint="default"/>
      </w:rPr>
    </w:lvl>
  </w:abstractNum>
  <w:abstractNum w:abstractNumId="5" w15:restartNumberingAfterBreak="0">
    <w:nsid w:val="1BDD2F17"/>
    <w:multiLevelType w:val="hybridMultilevel"/>
    <w:tmpl w:val="F9EA1182"/>
    <w:lvl w:ilvl="0" w:tplc="132CD72A">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527944BA"/>
    <w:multiLevelType w:val="multilevel"/>
    <w:tmpl w:val="C67E5D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61E264F1"/>
    <w:multiLevelType w:val="hybridMultilevel"/>
    <w:tmpl w:val="EC368690"/>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677810">
    <w:abstractNumId w:val="8"/>
  </w:num>
  <w:num w:numId="2" w16cid:durableId="400761307">
    <w:abstractNumId w:val="7"/>
  </w:num>
  <w:num w:numId="3" w16cid:durableId="2101874822">
    <w:abstractNumId w:val="6"/>
  </w:num>
  <w:num w:numId="4" w16cid:durableId="408501716">
    <w:abstractNumId w:val="1"/>
  </w:num>
  <w:num w:numId="5" w16cid:durableId="937522431">
    <w:abstractNumId w:val="4"/>
  </w:num>
  <w:num w:numId="6" w16cid:durableId="484014185">
    <w:abstractNumId w:val="5"/>
  </w:num>
  <w:num w:numId="7" w16cid:durableId="1027028850">
    <w:abstractNumId w:val="5"/>
    <w:lvlOverride w:ilvl="0">
      <w:startOverride w:val="1"/>
    </w:lvlOverride>
  </w:num>
  <w:num w:numId="8" w16cid:durableId="748161896">
    <w:abstractNumId w:val="5"/>
    <w:lvlOverride w:ilvl="0">
      <w:startOverride w:val="1"/>
    </w:lvlOverride>
  </w:num>
  <w:num w:numId="9" w16cid:durableId="1246569638">
    <w:abstractNumId w:val="5"/>
    <w:lvlOverride w:ilvl="0">
      <w:startOverride w:val="1"/>
    </w:lvlOverride>
  </w:num>
  <w:num w:numId="10" w16cid:durableId="730927524">
    <w:abstractNumId w:val="5"/>
    <w:lvlOverride w:ilvl="0">
      <w:startOverride w:val="1"/>
    </w:lvlOverride>
  </w:num>
  <w:num w:numId="11" w16cid:durableId="1772823668">
    <w:abstractNumId w:val="1"/>
    <w:lvlOverride w:ilvl="0">
      <w:startOverride w:val="1"/>
    </w:lvlOverride>
  </w:num>
  <w:num w:numId="12" w16cid:durableId="1272204577">
    <w:abstractNumId w:val="5"/>
    <w:lvlOverride w:ilvl="0">
      <w:startOverride w:val="1"/>
    </w:lvlOverride>
  </w:num>
  <w:num w:numId="13" w16cid:durableId="1515454636">
    <w:abstractNumId w:val="5"/>
    <w:lvlOverride w:ilvl="0">
      <w:startOverride w:val="1"/>
    </w:lvlOverride>
  </w:num>
  <w:num w:numId="14" w16cid:durableId="465464437">
    <w:abstractNumId w:val="5"/>
    <w:lvlOverride w:ilvl="0">
      <w:startOverride w:val="1"/>
    </w:lvlOverride>
  </w:num>
  <w:num w:numId="15" w16cid:durableId="1802335823">
    <w:abstractNumId w:val="0"/>
  </w:num>
  <w:num w:numId="16" w16cid:durableId="14625678">
    <w:abstractNumId w:val="3"/>
  </w:num>
  <w:num w:numId="17" w16cid:durableId="5327700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CHEZ VIZCAINO GOMEZ Rosa Maria">
    <w15:presenceInfo w15:providerId="AD" w15:userId="S::rosa.sanchezvizcaino@upov.int::c0efc056-3f4f-4141-aa30-a8a02c04e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10CF3"/>
    <w:rsid w:val="00011E27"/>
    <w:rsid w:val="000148BC"/>
    <w:rsid w:val="00024AB8"/>
    <w:rsid w:val="00030854"/>
    <w:rsid w:val="00035884"/>
    <w:rsid w:val="00036028"/>
    <w:rsid w:val="0004198B"/>
    <w:rsid w:val="00044642"/>
    <w:rsid w:val="000446B9"/>
    <w:rsid w:val="00047CF1"/>
    <w:rsid w:val="00047E21"/>
    <w:rsid w:val="00050E16"/>
    <w:rsid w:val="00051ADC"/>
    <w:rsid w:val="00085505"/>
    <w:rsid w:val="000C4E25"/>
    <w:rsid w:val="000C7021"/>
    <w:rsid w:val="000D6BBC"/>
    <w:rsid w:val="000D7780"/>
    <w:rsid w:val="000E636A"/>
    <w:rsid w:val="000F1E25"/>
    <w:rsid w:val="000F2F11"/>
    <w:rsid w:val="0010001A"/>
    <w:rsid w:val="00100A5F"/>
    <w:rsid w:val="00105929"/>
    <w:rsid w:val="00110AC8"/>
    <w:rsid w:val="00110BED"/>
    <w:rsid w:val="00110C36"/>
    <w:rsid w:val="001131D5"/>
    <w:rsid w:val="00114547"/>
    <w:rsid w:val="00122C95"/>
    <w:rsid w:val="00124B80"/>
    <w:rsid w:val="00141DB8"/>
    <w:rsid w:val="00143B09"/>
    <w:rsid w:val="0014482F"/>
    <w:rsid w:val="00156975"/>
    <w:rsid w:val="00172084"/>
    <w:rsid w:val="0017474A"/>
    <w:rsid w:val="001758C6"/>
    <w:rsid w:val="00182B99"/>
    <w:rsid w:val="001A0DD8"/>
    <w:rsid w:val="001A2183"/>
    <w:rsid w:val="001A621F"/>
    <w:rsid w:val="001B2365"/>
    <w:rsid w:val="001C1525"/>
    <w:rsid w:val="001C3B54"/>
    <w:rsid w:val="001C66A3"/>
    <w:rsid w:val="001D736D"/>
    <w:rsid w:val="001E26DD"/>
    <w:rsid w:val="001F44A6"/>
    <w:rsid w:val="0021332C"/>
    <w:rsid w:val="00213982"/>
    <w:rsid w:val="002205A8"/>
    <w:rsid w:val="0023327C"/>
    <w:rsid w:val="0024416D"/>
    <w:rsid w:val="00263789"/>
    <w:rsid w:val="00271911"/>
    <w:rsid w:val="00273187"/>
    <w:rsid w:val="002800A0"/>
    <w:rsid w:val="002801B3"/>
    <w:rsid w:val="00281060"/>
    <w:rsid w:val="0028168A"/>
    <w:rsid w:val="00285BD0"/>
    <w:rsid w:val="002940E8"/>
    <w:rsid w:val="00294751"/>
    <w:rsid w:val="002A12E1"/>
    <w:rsid w:val="002A6E50"/>
    <w:rsid w:val="002B4298"/>
    <w:rsid w:val="002B7A36"/>
    <w:rsid w:val="002C256A"/>
    <w:rsid w:val="002C5E60"/>
    <w:rsid w:val="002D5226"/>
    <w:rsid w:val="002F3B82"/>
    <w:rsid w:val="003012FA"/>
    <w:rsid w:val="00305A7F"/>
    <w:rsid w:val="003152FE"/>
    <w:rsid w:val="00327436"/>
    <w:rsid w:val="00342001"/>
    <w:rsid w:val="00344BD6"/>
    <w:rsid w:val="0035528D"/>
    <w:rsid w:val="00355901"/>
    <w:rsid w:val="00361821"/>
    <w:rsid w:val="00361E9E"/>
    <w:rsid w:val="003753EE"/>
    <w:rsid w:val="00383D5A"/>
    <w:rsid w:val="003A0835"/>
    <w:rsid w:val="003A2DA4"/>
    <w:rsid w:val="003A5AAF"/>
    <w:rsid w:val="003B700A"/>
    <w:rsid w:val="003C7FBE"/>
    <w:rsid w:val="003D227C"/>
    <w:rsid w:val="003D2B4D"/>
    <w:rsid w:val="003D7A73"/>
    <w:rsid w:val="003F37F5"/>
    <w:rsid w:val="00444A88"/>
    <w:rsid w:val="0046537A"/>
    <w:rsid w:val="00474DA4"/>
    <w:rsid w:val="00476B4D"/>
    <w:rsid w:val="004805FA"/>
    <w:rsid w:val="00487C4A"/>
    <w:rsid w:val="004935D2"/>
    <w:rsid w:val="004B1215"/>
    <w:rsid w:val="004D047D"/>
    <w:rsid w:val="004D217B"/>
    <w:rsid w:val="004D46E0"/>
    <w:rsid w:val="004F1E9E"/>
    <w:rsid w:val="004F305A"/>
    <w:rsid w:val="00512164"/>
    <w:rsid w:val="00520297"/>
    <w:rsid w:val="00522B64"/>
    <w:rsid w:val="005338F9"/>
    <w:rsid w:val="0054281C"/>
    <w:rsid w:val="00544581"/>
    <w:rsid w:val="00550FF9"/>
    <w:rsid w:val="0055268D"/>
    <w:rsid w:val="00575DE2"/>
    <w:rsid w:val="00576BE4"/>
    <w:rsid w:val="005779DB"/>
    <w:rsid w:val="005A400A"/>
    <w:rsid w:val="005B269D"/>
    <w:rsid w:val="005B6C70"/>
    <w:rsid w:val="005C3343"/>
    <w:rsid w:val="005F7B92"/>
    <w:rsid w:val="00612379"/>
    <w:rsid w:val="006153B6"/>
    <w:rsid w:val="0061555F"/>
    <w:rsid w:val="006245ED"/>
    <w:rsid w:val="006328DB"/>
    <w:rsid w:val="00636CA6"/>
    <w:rsid w:val="00641200"/>
    <w:rsid w:val="00645CA8"/>
    <w:rsid w:val="0064783F"/>
    <w:rsid w:val="006655D3"/>
    <w:rsid w:val="00667404"/>
    <w:rsid w:val="00676EFE"/>
    <w:rsid w:val="0068528F"/>
    <w:rsid w:val="006868F8"/>
    <w:rsid w:val="00687EB4"/>
    <w:rsid w:val="00695C56"/>
    <w:rsid w:val="006A263B"/>
    <w:rsid w:val="006A5CDE"/>
    <w:rsid w:val="006A644A"/>
    <w:rsid w:val="006B17D2"/>
    <w:rsid w:val="006C224E"/>
    <w:rsid w:val="006D3882"/>
    <w:rsid w:val="006D780A"/>
    <w:rsid w:val="006D7B49"/>
    <w:rsid w:val="006E4B7F"/>
    <w:rsid w:val="006F3299"/>
    <w:rsid w:val="0071271E"/>
    <w:rsid w:val="007154FD"/>
    <w:rsid w:val="00724959"/>
    <w:rsid w:val="00732DEC"/>
    <w:rsid w:val="00735BD5"/>
    <w:rsid w:val="007451EC"/>
    <w:rsid w:val="00751613"/>
    <w:rsid w:val="00752F0F"/>
    <w:rsid w:val="00753EE9"/>
    <w:rsid w:val="007546B2"/>
    <w:rsid w:val="007556F6"/>
    <w:rsid w:val="00760EEF"/>
    <w:rsid w:val="00777EE5"/>
    <w:rsid w:val="00784836"/>
    <w:rsid w:val="0079023E"/>
    <w:rsid w:val="0079420E"/>
    <w:rsid w:val="00795BFF"/>
    <w:rsid w:val="007A2854"/>
    <w:rsid w:val="007A71E8"/>
    <w:rsid w:val="007B73A9"/>
    <w:rsid w:val="007C01EB"/>
    <w:rsid w:val="007C0689"/>
    <w:rsid w:val="007C1D92"/>
    <w:rsid w:val="007C4CB9"/>
    <w:rsid w:val="007D0B9D"/>
    <w:rsid w:val="007D19B0"/>
    <w:rsid w:val="007D7392"/>
    <w:rsid w:val="007F498F"/>
    <w:rsid w:val="0080679D"/>
    <w:rsid w:val="008108B0"/>
    <w:rsid w:val="00811B20"/>
    <w:rsid w:val="00812609"/>
    <w:rsid w:val="008211B5"/>
    <w:rsid w:val="0082296E"/>
    <w:rsid w:val="00824099"/>
    <w:rsid w:val="00825360"/>
    <w:rsid w:val="00831868"/>
    <w:rsid w:val="00843455"/>
    <w:rsid w:val="00846D7C"/>
    <w:rsid w:val="00867AC1"/>
    <w:rsid w:val="008751DE"/>
    <w:rsid w:val="00882BE8"/>
    <w:rsid w:val="00890DF8"/>
    <w:rsid w:val="008A0ADE"/>
    <w:rsid w:val="008A52E0"/>
    <w:rsid w:val="008A743F"/>
    <w:rsid w:val="008B5290"/>
    <w:rsid w:val="008C0970"/>
    <w:rsid w:val="008D0BC5"/>
    <w:rsid w:val="008D2CF7"/>
    <w:rsid w:val="008F32FF"/>
    <w:rsid w:val="00900C26"/>
    <w:rsid w:val="0090197F"/>
    <w:rsid w:val="00903264"/>
    <w:rsid w:val="00906DDC"/>
    <w:rsid w:val="00934E09"/>
    <w:rsid w:val="00936253"/>
    <w:rsid w:val="00940D46"/>
    <w:rsid w:val="009413F1"/>
    <w:rsid w:val="00946401"/>
    <w:rsid w:val="00952DD4"/>
    <w:rsid w:val="009561F4"/>
    <w:rsid w:val="00965AE7"/>
    <w:rsid w:val="00970FED"/>
    <w:rsid w:val="009729ED"/>
    <w:rsid w:val="00975B88"/>
    <w:rsid w:val="00986E0C"/>
    <w:rsid w:val="00992D82"/>
    <w:rsid w:val="00997029"/>
    <w:rsid w:val="009A7339"/>
    <w:rsid w:val="009B440E"/>
    <w:rsid w:val="009C1313"/>
    <w:rsid w:val="009C7353"/>
    <w:rsid w:val="009D690D"/>
    <w:rsid w:val="009E65B6"/>
    <w:rsid w:val="009F0A51"/>
    <w:rsid w:val="009F4D18"/>
    <w:rsid w:val="009F77CF"/>
    <w:rsid w:val="00A02C6D"/>
    <w:rsid w:val="00A21829"/>
    <w:rsid w:val="00A24C10"/>
    <w:rsid w:val="00A32BD8"/>
    <w:rsid w:val="00A33FD0"/>
    <w:rsid w:val="00A42AC3"/>
    <w:rsid w:val="00A430CF"/>
    <w:rsid w:val="00A54309"/>
    <w:rsid w:val="00A610A9"/>
    <w:rsid w:val="00A655A8"/>
    <w:rsid w:val="00A80F2A"/>
    <w:rsid w:val="00A83A48"/>
    <w:rsid w:val="00A96C33"/>
    <w:rsid w:val="00AA13A2"/>
    <w:rsid w:val="00AB2B93"/>
    <w:rsid w:val="00AB530F"/>
    <w:rsid w:val="00AB7E5B"/>
    <w:rsid w:val="00AC2883"/>
    <w:rsid w:val="00AE0EF1"/>
    <w:rsid w:val="00AE2937"/>
    <w:rsid w:val="00B047D9"/>
    <w:rsid w:val="00B07301"/>
    <w:rsid w:val="00B11F3E"/>
    <w:rsid w:val="00B224DE"/>
    <w:rsid w:val="00B22ED6"/>
    <w:rsid w:val="00B324D4"/>
    <w:rsid w:val="00B42CC2"/>
    <w:rsid w:val="00B43A2A"/>
    <w:rsid w:val="00B46575"/>
    <w:rsid w:val="00B61777"/>
    <w:rsid w:val="00B622E6"/>
    <w:rsid w:val="00B74B71"/>
    <w:rsid w:val="00B83E82"/>
    <w:rsid w:val="00B84BBD"/>
    <w:rsid w:val="00B91BD8"/>
    <w:rsid w:val="00BA1D85"/>
    <w:rsid w:val="00BA43FB"/>
    <w:rsid w:val="00BC0598"/>
    <w:rsid w:val="00BC127D"/>
    <w:rsid w:val="00BC1FE6"/>
    <w:rsid w:val="00BD5CF7"/>
    <w:rsid w:val="00BE6A55"/>
    <w:rsid w:val="00C047FC"/>
    <w:rsid w:val="00C061B6"/>
    <w:rsid w:val="00C14398"/>
    <w:rsid w:val="00C2446C"/>
    <w:rsid w:val="00C264ED"/>
    <w:rsid w:val="00C3093B"/>
    <w:rsid w:val="00C36AE5"/>
    <w:rsid w:val="00C41F17"/>
    <w:rsid w:val="00C527FA"/>
    <w:rsid w:val="00C5280D"/>
    <w:rsid w:val="00C53EB3"/>
    <w:rsid w:val="00C5791C"/>
    <w:rsid w:val="00C66290"/>
    <w:rsid w:val="00C72B7A"/>
    <w:rsid w:val="00C924B0"/>
    <w:rsid w:val="00C973F2"/>
    <w:rsid w:val="00CA304C"/>
    <w:rsid w:val="00CA39F2"/>
    <w:rsid w:val="00CA774A"/>
    <w:rsid w:val="00CB4921"/>
    <w:rsid w:val="00CC11B0"/>
    <w:rsid w:val="00CC1E29"/>
    <w:rsid w:val="00CC2841"/>
    <w:rsid w:val="00CF1330"/>
    <w:rsid w:val="00CF7E36"/>
    <w:rsid w:val="00D173BC"/>
    <w:rsid w:val="00D26B67"/>
    <w:rsid w:val="00D3708D"/>
    <w:rsid w:val="00D40426"/>
    <w:rsid w:val="00D447A6"/>
    <w:rsid w:val="00D52F5C"/>
    <w:rsid w:val="00D57C96"/>
    <w:rsid w:val="00D57D18"/>
    <w:rsid w:val="00D632F1"/>
    <w:rsid w:val="00D65B8E"/>
    <w:rsid w:val="00D70E65"/>
    <w:rsid w:val="00D804E1"/>
    <w:rsid w:val="00D91203"/>
    <w:rsid w:val="00D95174"/>
    <w:rsid w:val="00DA4973"/>
    <w:rsid w:val="00DA6F36"/>
    <w:rsid w:val="00DB0627"/>
    <w:rsid w:val="00DB596E"/>
    <w:rsid w:val="00DB7773"/>
    <w:rsid w:val="00DC00EA"/>
    <w:rsid w:val="00DC3802"/>
    <w:rsid w:val="00DC51CA"/>
    <w:rsid w:val="00DD6208"/>
    <w:rsid w:val="00DF29F0"/>
    <w:rsid w:val="00DF7E99"/>
    <w:rsid w:val="00E00944"/>
    <w:rsid w:val="00E027D2"/>
    <w:rsid w:val="00E07D87"/>
    <w:rsid w:val="00E20F65"/>
    <w:rsid w:val="00E249C8"/>
    <w:rsid w:val="00E32F7E"/>
    <w:rsid w:val="00E33B89"/>
    <w:rsid w:val="00E37133"/>
    <w:rsid w:val="00E43C04"/>
    <w:rsid w:val="00E44C4F"/>
    <w:rsid w:val="00E5267B"/>
    <w:rsid w:val="00E559F0"/>
    <w:rsid w:val="00E63C0E"/>
    <w:rsid w:val="00E72D49"/>
    <w:rsid w:val="00E7593C"/>
    <w:rsid w:val="00E75B60"/>
    <w:rsid w:val="00E7678A"/>
    <w:rsid w:val="00E935F1"/>
    <w:rsid w:val="00E94A81"/>
    <w:rsid w:val="00EA1FFB"/>
    <w:rsid w:val="00EB048E"/>
    <w:rsid w:val="00EB445E"/>
    <w:rsid w:val="00EB4E9C"/>
    <w:rsid w:val="00ED7072"/>
    <w:rsid w:val="00ED7630"/>
    <w:rsid w:val="00EE34DF"/>
    <w:rsid w:val="00EF2F89"/>
    <w:rsid w:val="00EF49B5"/>
    <w:rsid w:val="00EF4B00"/>
    <w:rsid w:val="00EF6D30"/>
    <w:rsid w:val="00F033F7"/>
    <w:rsid w:val="00F03E98"/>
    <w:rsid w:val="00F07B06"/>
    <w:rsid w:val="00F1019D"/>
    <w:rsid w:val="00F1237A"/>
    <w:rsid w:val="00F16D33"/>
    <w:rsid w:val="00F22CBD"/>
    <w:rsid w:val="00F272F1"/>
    <w:rsid w:val="00F31412"/>
    <w:rsid w:val="00F45372"/>
    <w:rsid w:val="00F509D3"/>
    <w:rsid w:val="00F5305E"/>
    <w:rsid w:val="00F560F7"/>
    <w:rsid w:val="00F6334D"/>
    <w:rsid w:val="00F63599"/>
    <w:rsid w:val="00F71781"/>
    <w:rsid w:val="00F74CC2"/>
    <w:rsid w:val="00FA49AB"/>
    <w:rsid w:val="00FC5FD0"/>
    <w:rsid w:val="00FE39C7"/>
    <w:rsid w:val="00FE6528"/>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30412"/>
  <w15:docId w15:val="{676C6B3B-3DB6-40A1-B520-2A363D88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9F0"/>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F07B06"/>
    <w:pPr>
      <w:keepNext/>
      <w:ind w:left="567"/>
      <w:jc w:val="both"/>
      <w:outlineLvl w:val="3"/>
    </w:pPr>
    <w:rPr>
      <w:rFonts w:ascii="Arial" w:hAnsi="Arial"/>
      <w:spacing w:val="-2"/>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8A52E0"/>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3093B"/>
    <w:pPr>
      <w:tabs>
        <w:tab w:val="right" w:leader="dot" w:pos="9639"/>
      </w:tabs>
      <w:spacing w:after="60"/>
      <w:ind w:left="568" w:right="284" w:hanging="284"/>
      <w:contextualSpacing/>
      <w:jc w:val="left"/>
    </w:pPr>
    <w:rPr>
      <w:sz w:val="18"/>
    </w:rPr>
  </w:style>
  <w:style w:type="paragraph" w:styleId="TOC3">
    <w:name w:val="toc 3"/>
    <w:next w:val="Normal"/>
    <w:autoRedefine/>
    <w:uiPriority w:val="39"/>
    <w:rsid w:val="00EF4B00"/>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BC0598"/>
    <w:pPr>
      <w:tabs>
        <w:tab w:val="left" w:pos="567"/>
        <w:tab w:val="right" w:leader="dot" w:pos="9639"/>
      </w:tabs>
      <w:spacing w:before="60" w:after="60"/>
      <w:ind w:left="567" w:right="1418" w:hanging="567"/>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FootnoteTextChar">
    <w:name w:val="Footnote Text Char"/>
    <w:basedOn w:val="DefaultParagraphFont"/>
    <w:link w:val="FootnoteText"/>
    <w:rsid w:val="008A52E0"/>
    <w:rPr>
      <w:rFonts w:ascii="Arial" w:hAnsi="Arial"/>
      <w:sz w:val="16"/>
    </w:rPr>
  </w:style>
  <w:style w:type="character" w:customStyle="1" w:styleId="Heading3Char">
    <w:name w:val="Heading 3 Char"/>
    <w:basedOn w:val="DefaultParagraphFont"/>
    <w:link w:val="Heading3"/>
    <w:rsid w:val="00EF4B00"/>
    <w:rPr>
      <w:rFonts w:ascii="Arial" w:hAnsi="Arial"/>
      <w:i/>
    </w:rPr>
  </w:style>
  <w:style w:type="paragraph" w:styleId="BodyTextIndent">
    <w:name w:val="Body Text Indent"/>
    <w:basedOn w:val="Normal"/>
    <w:link w:val="BodyTextIndentChar"/>
    <w:rsid w:val="00EF4B00"/>
    <w:pPr>
      <w:ind w:left="567"/>
      <w:jc w:val="left"/>
    </w:pPr>
    <w:rPr>
      <w:rFonts w:eastAsiaTheme="minorHAnsi" w:cs="Calibri"/>
      <w:szCs w:val="22"/>
      <w:lang w:val="es-ES_tradnl"/>
      <w14:ligatures w14:val="standardContextual"/>
    </w:rPr>
  </w:style>
  <w:style w:type="character" w:customStyle="1" w:styleId="BodyTextIndentChar">
    <w:name w:val="Body Text Indent Char"/>
    <w:basedOn w:val="DefaultParagraphFont"/>
    <w:link w:val="BodyTextIndent"/>
    <w:rsid w:val="00EF4B00"/>
    <w:rPr>
      <w:rFonts w:ascii="Arial" w:eastAsiaTheme="minorHAnsi" w:hAnsi="Arial" w:cs="Calibri"/>
      <w:szCs w:val="22"/>
      <w:lang w:val="es-ES_tradnl"/>
      <w14:ligatures w14:val="standardContextual"/>
    </w:rPr>
  </w:style>
  <w:style w:type="paragraph" w:styleId="ListParagraph">
    <w:name w:val="List Paragraph"/>
    <w:aliases w:val="auto_list_(i),List Paragraph1"/>
    <w:basedOn w:val="Normal"/>
    <w:link w:val="ListParagraphChar"/>
    <w:uiPriority w:val="34"/>
    <w:qFormat/>
    <w:rsid w:val="00EF4B00"/>
    <w:pPr>
      <w:ind w:left="720"/>
      <w:contextualSpacing/>
      <w:jc w:val="left"/>
    </w:pPr>
    <w:rPr>
      <w:rFonts w:eastAsiaTheme="minorHAnsi" w:cs="Calibri"/>
      <w:szCs w:val="22"/>
      <w14:ligatures w14:val="standardContextual"/>
    </w:rPr>
  </w:style>
  <w:style w:type="character" w:customStyle="1" w:styleId="ListParagraphChar">
    <w:name w:val="List Paragraph Char"/>
    <w:aliases w:val="auto_list_(i) Char,List Paragraph1 Char"/>
    <w:basedOn w:val="DefaultParagraphFont"/>
    <w:link w:val="ListParagraph"/>
    <w:uiPriority w:val="34"/>
    <w:rsid w:val="00EF4B00"/>
    <w:rPr>
      <w:rFonts w:ascii="Arial" w:eastAsiaTheme="minorHAnsi" w:hAnsi="Arial" w:cs="Calibri"/>
      <w:szCs w:val="22"/>
      <w14:ligatures w14:val="standardContextual"/>
    </w:rPr>
  </w:style>
  <w:style w:type="character" w:customStyle="1" w:styleId="pldetailsChar">
    <w:name w:val="pldetails Char"/>
    <w:link w:val="pldetails"/>
    <w:locked/>
    <w:rsid w:val="009C1313"/>
    <w:rPr>
      <w:rFonts w:ascii="Arial" w:hAnsi="Arial"/>
      <w:noProof/>
      <w:snapToGrid w:val="0"/>
    </w:rPr>
  </w:style>
  <w:style w:type="paragraph" w:styleId="Revision">
    <w:name w:val="Revision"/>
    <w:hidden/>
    <w:uiPriority w:val="99"/>
    <w:semiHidden/>
    <w:rsid w:val="00110AC8"/>
    <w:rPr>
      <w:rFonts w:ascii="Arial" w:hAnsi="Arial"/>
    </w:rPr>
  </w:style>
  <w:style w:type="paragraph" w:customStyle="1" w:styleId="Heading1Annex">
    <w:name w:val="Heading 1 Annex"/>
    <w:basedOn w:val="Heading1"/>
    <w:next w:val="Normal"/>
    <w:qFormat/>
    <w:rsid w:val="001A2183"/>
    <w:pPr>
      <w:ind w:left="567" w:hanging="567"/>
    </w:pPr>
    <w:rPr>
      <w:lang w:val="de-DE" w:eastAsia="fr-FR"/>
    </w:rPr>
  </w:style>
  <w:style w:type="paragraph" w:customStyle="1" w:styleId="Heading2Annex">
    <w:name w:val="Heading 2 Annex"/>
    <w:basedOn w:val="Heading2"/>
    <w:qFormat/>
    <w:rsid w:val="00FE6528"/>
    <w:rPr>
      <w:lang w:eastAsia="fr-FR"/>
    </w:rPr>
  </w:style>
  <w:style w:type="paragraph" w:customStyle="1" w:styleId="Heading3Annex">
    <w:name w:val="Heading 3 Annex"/>
    <w:basedOn w:val="Heading3"/>
    <w:qFormat/>
    <w:rsid w:val="00FE6528"/>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4\templates\routing_slip_with_doc_SESSION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routing_slip_with_doc_SESSIONS_2024.dotm</Template>
  <TotalTime>43</TotalTime>
  <Pages>14</Pages>
  <Words>4711</Words>
  <Characters>34555</Characters>
  <Application>Microsoft Office Word</Application>
  <DocSecurity>0</DocSecurity>
  <Lines>1151</Lines>
  <Paragraphs>456</Paragraphs>
  <ScaleCrop>false</ScaleCrop>
  <HeadingPairs>
    <vt:vector size="2" baseType="variant">
      <vt:variant>
        <vt:lpstr>Title</vt:lpstr>
      </vt:variant>
      <vt:variant>
        <vt:i4>1</vt:i4>
      </vt:variant>
    </vt:vector>
  </HeadingPairs>
  <TitlesOfParts>
    <vt:vector size="1" baseType="lpstr">
      <vt:lpstr>SESSIONS/2024/6</vt:lpstr>
    </vt:vector>
  </TitlesOfParts>
  <Company>UPOV</Company>
  <LinksUpToDate>false</LinksUpToDate>
  <CharactersWithSpaces>38810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SESSIONS/2024/6</dc:title>
  <dc:creator>SANCHEZ VIZCAINO GOMEZ Rosa Maria</dc:creator>
  <cp:keywords/>
  <cp:lastModifiedBy>SANCHEZ VIZCAINO GOMEZ Rosa Maria</cp:lastModifiedBy>
  <cp:revision>23</cp:revision>
  <cp:lastPrinted>2024-09-23T12:57:00Z</cp:lastPrinted>
  <dcterms:created xsi:type="dcterms:W3CDTF">2024-09-25T17:57:00Z</dcterms:created>
  <dcterms:modified xsi:type="dcterms:W3CDTF">2024-09-26T10:21:00Z</dcterms:modified>
</cp:coreProperties>
</file>