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C51B2" w14:paraId="7271774C" w14:textId="77777777" w:rsidTr="00EB4E9C">
        <w:tc>
          <w:tcPr>
            <w:tcW w:w="6522" w:type="dxa"/>
          </w:tcPr>
          <w:p w14:paraId="5DAE55DB" w14:textId="77777777" w:rsidR="00DC3802" w:rsidRPr="00EC51B2" w:rsidRDefault="00DC3802" w:rsidP="00AC2883">
            <w:pPr>
              <w:rPr>
                <w:lang w:val="de-DE"/>
              </w:rPr>
            </w:pPr>
            <w:r w:rsidRPr="00EC51B2">
              <w:rPr>
                <w:noProof/>
                <w:lang w:val="de-DE" w:eastAsia="de-DE"/>
              </w:rPr>
              <w:drawing>
                <wp:inline distT="0" distB="0" distL="0" distR="0" wp14:anchorId="4861B4E6" wp14:editId="6765BEC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209E9C" w14:textId="7141DB81" w:rsidR="00096F5E" w:rsidRPr="00EC51B2" w:rsidRDefault="0038153A">
            <w:pPr>
              <w:pStyle w:val="Lettrine"/>
              <w:rPr>
                <w:lang w:val="de-DE"/>
              </w:rPr>
            </w:pPr>
            <w:r>
              <w:rPr>
                <w:lang w:val="de-DE"/>
              </w:rPr>
              <w:t>G</w:t>
            </w:r>
          </w:p>
        </w:tc>
      </w:tr>
      <w:tr w:rsidR="00DC3802" w:rsidRPr="00EC51B2" w14:paraId="31D066A3" w14:textId="77777777" w:rsidTr="00645CA8">
        <w:trPr>
          <w:trHeight w:val="219"/>
        </w:trPr>
        <w:tc>
          <w:tcPr>
            <w:tcW w:w="6522" w:type="dxa"/>
          </w:tcPr>
          <w:p w14:paraId="05FA9A65" w14:textId="77777777" w:rsidR="00096F5E" w:rsidRPr="00EC51B2" w:rsidRDefault="00DE0D3B">
            <w:pPr>
              <w:pStyle w:val="upove"/>
              <w:rPr>
                <w:lang w:val="de-DE"/>
              </w:rPr>
            </w:pPr>
            <w:r w:rsidRPr="00EC51B2">
              <w:rPr>
                <w:lang w:val="de-DE"/>
              </w:rPr>
              <w:t>Internationaler Verband zum Schutz von Pflanzenzüchtungen</w:t>
            </w:r>
          </w:p>
        </w:tc>
        <w:tc>
          <w:tcPr>
            <w:tcW w:w="3117" w:type="dxa"/>
          </w:tcPr>
          <w:p w14:paraId="7A01CADD" w14:textId="77777777" w:rsidR="00DC3802" w:rsidRPr="00EC51B2" w:rsidRDefault="00DC3802" w:rsidP="00DA4973">
            <w:pPr>
              <w:rPr>
                <w:lang w:val="de-DE"/>
              </w:rPr>
            </w:pPr>
          </w:p>
        </w:tc>
      </w:tr>
    </w:tbl>
    <w:p w14:paraId="22FE59DA" w14:textId="77777777" w:rsidR="00DC3802" w:rsidRPr="00EC51B2" w:rsidRDefault="00DC3802" w:rsidP="00DC3802">
      <w:pPr>
        <w:rPr>
          <w:lang w:val="de-DE"/>
        </w:rPr>
      </w:pPr>
    </w:p>
    <w:p w14:paraId="12C9C37C" w14:textId="77777777" w:rsidR="007B73A9" w:rsidRPr="00EC51B2" w:rsidRDefault="007B73A9" w:rsidP="007B73A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EC51B2" w14:paraId="0C951C01" w14:textId="77777777" w:rsidTr="001B2C38">
        <w:tc>
          <w:tcPr>
            <w:tcW w:w="6512" w:type="dxa"/>
          </w:tcPr>
          <w:p w14:paraId="615D23DE" w14:textId="77777777" w:rsidR="00096F5E" w:rsidRPr="00EC51B2" w:rsidRDefault="00DE0D3B">
            <w:pPr>
              <w:pStyle w:val="Sessiontwp"/>
              <w:rPr>
                <w:lang w:val="de-DE"/>
              </w:rPr>
            </w:pPr>
            <w:r w:rsidRPr="00EC51B2">
              <w:rPr>
                <w:lang w:val="de-DE"/>
              </w:rPr>
              <w:t>Technischer Ausschuss</w:t>
            </w:r>
          </w:p>
          <w:p w14:paraId="4D35E1DA" w14:textId="77777777" w:rsidR="00096F5E" w:rsidRPr="00EC51B2" w:rsidRDefault="00DE0D3B">
            <w:pPr>
              <w:pStyle w:val="Sessiontwpplacedate"/>
              <w:rPr>
                <w:lang w:val="de-DE"/>
              </w:rPr>
            </w:pPr>
            <w:r w:rsidRPr="00EC51B2">
              <w:rPr>
                <w:lang w:val="de-DE"/>
              </w:rPr>
              <w:t>Neunundfünfzigste Tagung</w:t>
            </w:r>
          </w:p>
          <w:p w14:paraId="272638BF" w14:textId="77777777" w:rsidR="00096F5E" w:rsidRPr="00EC51B2" w:rsidRDefault="00DE0D3B">
            <w:pPr>
              <w:rPr>
                <w:lang w:val="de-DE"/>
              </w:rPr>
            </w:pPr>
            <w:r w:rsidRPr="00EC51B2">
              <w:rPr>
                <w:lang w:val="de-DE"/>
              </w:rPr>
              <w:t>Genf, 23. und 24. Oktober 2023</w:t>
            </w:r>
          </w:p>
          <w:p w14:paraId="005BB4FB" w14:textId="77777777" w:rsidR="007B73A9" w:rsidRPr="00EC51B2" w:rsidRDefault="007B73A9" w:rsidP="001B2C38">
            <w:pPr>
              <w:rPr>
                <w:lang w:val="de-DE"/>
              </w:rPr>
            </w:pPr>
          </w:p>
          <w:p w14:paraId="593AC07F" w14:textId="77777777" w:rsidR="00096F5E" w:rsidRPr="00EC51B2" w:rsidRDefault="00DE0D3B">
            <w:pPr>
              <w:pStyle w:val="Sessiontwp"/>
              <w:rPr>
                <w:lang w:val="de-DE"/>
              </w:rPr>
            </w:pPr>
            <w:r w:rsidRPr="00EC51B2">
              <w:rPr>
                <w:lang w:val="de-DE"/>
              </w:rPr>
              <w:t>Verwaltungs- und Rechtsausschuss</w:t>
            </w:r>
          </w:p>
          <w:p w14:paraId="3DF7B4A3" w14:textId="77777777" w:rsidR="00096F5E" w:rsidRPr="00EC51B2" w:rsidRDefault="00DE0D3B">
            <w:pPr>
              <w:pStyle w:val="Sessiontwp"/>
              <w:rPr>
                <w:b w:val="0"/>
                <w:lang w:val="de-DE"/>
              </w:rPr>
            </w:pPr>
            <w:r w:rsidRPr="00EC51B2">
              <w:rPr>
                <w:b w:val="0"/>
                <w:lang w:val="de-DE"/>
              </w:rPr>
              <w:t>Achtzigste Sitzung</w:t>
            </w:r>
          </w:p>
          <w:p w14:paraId="62D993AD" w14:textId="77777777" w:rsidR="00096F5E" w:rsidRPr="00EC51B2" w:rsidRDefault="00DE0D3B">
            <w:pPr>
              <w:pStyle w:val="Sessiontwpplacedate"/>
              <w:rPr>
                <w:lang w:val="de-DE"/>
              </w:rPr>
            </w:pPr>
            <w:r w:rsidRPr="00EC51B2">
              <w:rPr>
                <w:lang w:val="de-DE"/>
              </w:rPr>
              <w:t>Genf, 25. Oktober 2023</w:t>
            </w:r>
          </w:p>
        </w:tc>
        <w:tc>
          <w:tcPr>
            <w:tcW w:w="3127" w:type="dxa"/>
          </w:tcPr>
          <w:p w14:paraId="5003321B" w14:textId="77777777" w:rsidR="00096F5E" w:rsidRPr="00EC51B2" w:rsidRDefault="008C04DF">
            <w:pPr>
              <w:pStyle w:val="Doccode"/>
              <w:rPr>
                <w:lang w:val="de-DE"/>
              </w:rPr>
            </w:pPr>
            <w:r w:rsidRPr="00EC51B2">
              <w:rPr>
                <w:lang w:val="de-DE"/>
              </w:rPr>
              <w:t>SESSIONS</w:t>
            </w:r>
            <w:r w:rsidR="00F531DD" w:rsidRPr="00EC51B2">
              <w:rPr>
                <w:lang w:val="de-DE"/>
              </w:rPr>
              <w:t>/2023/5</w:t>
            </w:r>
          </w:p>
          <w:p w14:paraId="25A622FB" w14:textId="77777777" w:rsidR="00096F5E" w:rsidRPr="00EC51B2" w:rsidRDefault="00DE0D3B">
            <w:pPr>
              <w:pStyle w:val="Docoriginal"/>
              <w:rPr>
                <w:lang w:val="de-DE"/>
              </w:rPr>
            </w:pPr>
            <w:r w:rsidRPr="00EC51B2">
              <w:rPr>
                <w:lang w:val="de-DE"/>
              </w:rPr>
              <w:t>Original:</w:t>
            </w:r>
            <w:r w:rsidRPr="00EC51B2">
              <w:rPr>
                <w:b w:val="0"/>
                <w:spacing w:val="0"/>
                <w:lang w:val="de-DE"/>
              </w:rPr>
              <w:t xml:space="preserve">  Englisch</w:t>
            </w:r>
          </w:p>
          <w:p w14:paraId="7198C39C" w14:textId="77777777" w:rsidR="00096F5E" w:rsidRPr="00EC51B2" w:rsidRDefault="00DE0D3B">
            <w:pPr>
              <w:pStyle w:val="Docoriginal"/>
              <w:rPr>
                <w:lang w:val="de-DE"/>
              </w:rPr>
            </w:pPr>
            <w:r w:rsidRPr="00EC51B2">
              <w:rPr>
                <w:lang w:val="de-DE"/>
              </w:rPr>
              <w:t>Datum:</w:t>
            </w:r>
            <w:r w:rsidRPr="00EC51B2">
              <w:rPr>
                <w:b w:val="0"/>
                <w:bCs w:val="0"/>
                <w:lang w:val="de-DE"/>
              </w:rPr>
              <w:t xml:space="preserve">  </w:t>
            </w:r>
            <w:r w:rsidR="008C04DF" w:rsidRPr="00EC51B2">
              <w:rPr>
                <w:b w:val="0"/>
                <w:spacing w:val="0"/>
                <w:lang w:val="de-DE"/>
              </w:rPr>
              <w:t xml:space="preserve">6. </w:t>
            </w:r>
            <w:r w:rsidR="00B50C2C" w:rsidRPr="00EC51B2">
              <w:rPr>
                <w:b w:val="0"/>
                <w:spacing w:val="0"/>
                <w:lang w:val="de-DE"/>
              </w:rPr>
              <w:t xml:space="preserve">Oktober </w:t>
            </w:r>
            <w:r w:rsidRPr="00EC51B2">
              <w:rPr>
                <w:b w:val="0"/>
                <w:spacing w:val="0"/>
                <w:lang w:val="de-DE"/>
              </w:rPr>
              <w:t>2023</w:t>
            </w:r>
          </w:p>
        </w:tc>
      </w:tr>
    </w:tbl>
    <w:p w14:paraId="4F600E3B" w14:textId="77777777" w:rsidR="00096F5E" w:rsidRPr="00EC51B2" w:rsidRDefault="00DE0D3B">
      <w:pPr>
        <w:pStyle w:val="Titleofdoc0"/>
        <w:rPr>
          <w:lang w:val="de-DE"/>
        </w:rPr>
      </w:pPr>
      <w:r w:rsidRPr="00EC51B2">
        <w:rPr>
          <w:lang w:val="de-DE"/>
        </w:rPr>
        <w:t>Molekulare Techniken</w:t>
      </w:r>
    </w:p>
    <w:p w14:paraId="330ECC4B" w14:textId="77777777" w:rsidR="00096F5E" w:rsidRPr="00EC51B2" w:rsidRDefault="00DE0D3B">
      <w:pPr>
        <w:pStyle w:val="preparedby1"/>
        <w:jc w:val="left"/>
        <w:rPr>
          <w:lang w:val="de-DE"/>
        </w:rPr>
      </w:pPr>
      <w:r w:rsidRPr="00EC51B2">
        <w:rPr>
          <w:lang w:val="de-DE"/>
        </w:rPr>
        <w:t>Vom Verbandsbüro erstelltes Dokument</w:t>
      </w:r>
    </w:p>
    <w:p w14:paraId="59C0316F" w14:textId="77777777" w:rsidR="00EC51B2" w:rsidRPr="00EC51B2" w:rsidRDefault="00EC51B2" w:rsidP="00EC51B2">
      <w:pPr>
        <w:pStyle w:val="Disclaimer"/>
        <w:rPr>
          <w:lang w:val="de-DE"/>
        </w:rPr>
      </w:pPr>
      <w:bookmarkStart w:id="0" w:name="_Toc84413225"/>
      <w:bookmarkStart w:id="1" w:name="_Toc97892774"/>
      <w:r w:rsidRPr="00EC51B2">
        <w:rPr>
          <w:lang w:val="de-DE"/>
        </w:rPr>
        <w:t>Haftungsausschluss: Dieses Dokument gibt nicht die Grundsätze oder eine Anleitung der UPOV wieder.</w:t>
      </w:r>
      <w:r w:rsidRPr="00EC51B2">
        <w:rPr>
          <w:lang w:val="de-DE"/>
        </w:rPr>
        <w:br/>
      </w:r>
      <w:r w:rsidRPr="00EC51B2">
        <w:rPr>
          <w:lang w:val="de-DE"/>
        </w:rPr>
        <w:br/>
        <w:t>Dieses Dokument wurde mit Hilfe einer maschinellen Übersetzung erstellt, und die Genauigkeit kann nicht garantiert werden. Daher ist der Text in der Originalsprache die einzige authentische Version.</w:t>
      </w:r>
    </w:p>
    <w:p w14:paraId="3D356782" w14:textId="77777777" w:rsidR="00096F5E" w:rsidRPr="00EC51B2" w:rsidRDefault="00DE0D3B">
      <w:pPr>
        <w:keepNext/>
        <w:outlineLvl w:val="0"/>
        <w:rPr>
          <w:caps/>
          <w:snapToGrid w:val="0"/>
          <w:lang w:val="de-DE" w:eastAsia="ja-JP"/>
        </w:rPr>
      </w:pPr>
      <w:bookmarkStart w:id="2" w:name="_Toc148113965"/>
      <w:r w:rsidRPr="00EC51B2">
        <w:rPr>
          <w:caps/>
          <w:snapToGrid w:val="0"/>
          <w:lang w:val="de-DE" w:eastAsia="ja-JP"/>
        </w:rPr>
        <w:t>Kurzfassung</w:t>
      </w:r>
      <w:bookmarkEnd w:id="2"/>
    </w:p>
    <w:p w14:paraId="44D0CD8D" w14:textId="77777777" w:rsidR="005054F9" w:rsidRPr="00EC51B2" w:rsidRDefault="005054F9" w:rsidP="00E209FA">
      <w:pPr>
        <w:rPr>
          <w:lang w:val="de-DE" w:eastAsia="ja-JP"/>
        </w:rPr>
      </w:pPr>
    </w:p>
    <w:p w14:paraId="196A8692"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Zweck dieses Dokuments ist es, </w:t>
      </w:r>
      <w:r w:rsidR="002F1698" w:rsidRPr="00EC51B2">
        <w:rPr>
          <w:lang w:val="de-DE"/>
        </w:rPr>
        <w:t xml:space="preserve">dem TC und dem CAJ </w:t>
      </w:r>
      <w:r w:rsidRPr="00EC51B2">
        <w:rPr>
          <w:lang w:val="de-DE"/>
        </w:rPr>
        <w:t xml:space="preserve">über die Entwicklungen bezüglich molekularer Verfahren zu berichten und </w:t>
      </w:r>
      <w:r w:rsidRPr="00EC51B2">
        <w:rPr>
          <w:rFonts w:cs="Arial"/>
          <w:lang w:val="de-DE"/>
        </w:rPr>
        <w:t xml:space="preserve">den </w:t>
      </w:r>
      <w:r w:rsidR="00F33641" w:rsidRPr="00EC51B2">
        <w:rPr>
          <w:rFonts w:cs="Arial"/>
          <w:lang w:val="de-DE"/>
        </w:rPr>
        <w:t xml:space="preserve">TC </w:t>
      </w:r>
      <w:r w:rsidRPr="00EC51B2">
        <w:rPr>
          <w:rFonts w:cs="Arial"/>
          <w:lang w:val="de-DE"/>
        </w:rPr>
        <w:t xml:space="preserve">zu </w:t>
      </w:r>
      <w:r w:rsidRPr="00EC51B2">
        <w:rPr>
          <w:lang w:val="de-DE"/>
        </w:rPr>
        <w:t>ersuchen</w:t>
      </w:r>
      <w:r w:rsidRPr="00EC51B2">
        <w:rPr>
          <w:rFonts w:cs="Arial"/>
          <w:lang w:val="de-DE"/>
        </w:rPr>
        <w:t xml:space="preserve">, </w:t>
      </w:r>
      <w:r w:rsidR="00F33641" w:rsidRPr="00EC51B2">
        <w:rPr>
          <w:rFonts w:cs="Arial"/>
          <w:lang w:val="de-DE"/>
        </w:rPr>
        <w:t xml:space="preserve">Vorschläge bezüglich der </w:t>
      </w:r>
      <w:r w:rsidRPr="00EC51B2">
        <w:rPr>
          <w:lang w:val="de-DE"/>
        </w:rPr>
        <w:t xml:space="preserve">Vertraulichkeit molekularer Informationen zu </w:t>
      </w:r>
      <w:r w:rsidR="00F33641" w:rsidRPr="00EC51B2">
        <w:rPr>
          <w:rFonts w:cs="Arial"/>
          <w:lang w:val="de-DE"/>
        </w:rPr>
        <w:t>prüfen</w:t>
      </w:r>
      <w:r w:rsidR="00F33641" w:rsidRPr="00EC51B2">
        <w:rPr>
          <w:lang w:val="de-DE"/>
        </w:rPr>
        <w:t>, und zur Kenntnis zu nehmen</w:t>
      </w:r>
      <w:r w:rsidR="00F33641" w:rsidRPr="00EC51B2">
        <w:rPr>
          <w:iCs/>
          <w:snapToGrid w:val="0"/>
          <w:lang w:val="de-DE" w:eastAsia="ja-JP"/>
        </w:rPr>
        <w:t xml:space="preserve">, daß auf der neunundfünfzigsten Tagung des TC eine Erörterungstagung über molekulare Verfahren bei der DUS-Prüfung stattfinden wird.  </w:t>
      </w:r>
    </w:p>
    <w:p w14:paraId="26B95B8B" w14:textId="77777777" w:rsidR="00E209FA" w:rsidRPr="00EC51B2" w:rsidRDefault="00E209FA" w:rsidP="00E209FA">
      <w:pPr>
        <w:rPr>
          <w:lang w:val="de-DE"/>
        </w:rPr>
      </w:pPr>
    </w:p>
    <w:p w14:paraId="2FF9A86E" w14:textId="77777777" w:rsidR="00096F5E" w:rsidRPr="00EC51B2" w:rsidRDefault="00DE0D3B">
      <w:pPr>
        <w:tabs>
          <w:tab w:val="left" w:pos="567"/>
          <w:tab w:val="left" w:pos="1134"/>
          <w:tab w:val="left" w:pos="5387"/>
          <w:tab w:val="left" w:pos="5954"/>
        </w:tabs>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Der </w:t>
      </w:r>
      <w:r w:rsidR="00F626D8" w:rsidRPr="00EC51B2">
        <w:rPr>
          <w:lang w:val="de-DE"/>
        </w:rPr>
        <w:t xml:space="preserve">TC </w:t>
      </w:r>
      <w:r w:rsidRPr="00EC51B2">
        <w:rPr>
          <w:lang w:val="de-DE"/>
        </w:rPr>
        <w:t>wird dazu eingeladen:</w:t>
      </w:r>
    </w:p>
    <w:p w14:paraId="17BF6200" w14:textId="77777777" w:rsidR="00E209FA" w:rsidRPr="00EC51B2" w:rsidRDefault="00E209FA" w:rsidP="00E209FA">
      <w:pPr>
        <w:keepNext/>
        <w:keepLines/>
        <w:tabs>
          <w:tab w:val="left" w:pos="567"/>
          <w:tab w:val="left" w:pos="1134"/>
          <w:tab w:val="left" w:pos="5387"/>
          <w:tab w:val="left" w:pos="5954"/>
        </w:tabs>
        <w:rPr>
          <w:lang w:val="de-DE"/>
        </w:rPr>
      </w:pPr>
    </w:p>
    <w:p w14:paraId="241F4BE7" w14:textId="77777777" w:rsidR="00096F5E" w:rsidRPr="00EC51B2" w:rsidRDefault="00DE0D3B">
      <w:pPr>
        <w:tabs>
          <w:tab w:val="left" w:pos="567"/>
          <w:tab w:val="left" w:pos="1134"/>
          <w:tab w:val="left" w:pos="5387"/>
          <w:tab w:val="left" w:pos="5954"/>
        </w:tabs>
        <w:rPr>
          <w:iCs/>
          <w:snapToGrid w:val="0"/>
          <w:lang w:val="de-DE" w:eastAsia="ja-JP"/>
        </w:rPr>
      </w:pPr>
      <w:r w:rsidRPr="00EC51B2">
        <w:rPr>
          <w:iCs/>
          <w:snapToGrid w:val="0"/>
          <w:lang w:val="de-DE" w:eastAsia="ja-JP"/>
        </w:rPr>
        <w:tab/>
        <w:t xml:space="preserve">(a) </w:t>
      </w:r>
      <w:r w:rsidRPr="00EC51B2">
        <w:rPr>
          <w:iCs/>
          <w:snapToGrid w:val="0"/>
          <w:lang w:val="de-DE" w:eastAsia="ja-JP"/>
        </w:rPr>
        <w:tab/>
        <w:t xml:space="preserve">die berichteten Strategien und die Erörterungen über die Vertraulichkeit molekularer Informationen auf den Tagungen der TWP im Jahr 2023 zur Kenntnis zu nehmen; </w:t>
      </w:r>
    </w:p>
    <w:p w14:paraId="5FAFB5B5" w14:textId="77777777" w:rsidR="00F33641" w:rsidRPr="00EC51B2" w:rsidRDefault="00F33641" w:rsidP="00F33641">
      <w:pPr>
        <w:tabs>
          <w:tab w:val="left" w:pos="567"/>
          <w:tab w:val="left" w:pos="1134"/>
          <w:tab w:val="left" w:pos="5387"/>
        </w:tabs>
        <w:rPr>
          <w:iCs/>
          <w:snapToGrid w:val="0"/>
          <w:lang w:val="de-DE" w:eastAsia="ja-JP"/>
        </w:rPr>
      </w:pPr>
    </w:p>
    <w:p w14:paraId="72DAC3F5" w14:textId="77777777" w:rsidR="00096F5E" w:rsidRPr="00EC51B2" w:rsidRDefault="00DE0D3B">
      <w:pPr>
        <w:tabs>
          <w:tab w:val="left" w:pos="567"/>
          <w:tab w:val="left" w:pos="1134"/>
          <w:tab w:val="left" w:pos="5387"/>
          <w:tab w:val="left" w:pos="5954"/>
        </w:tabs>
        <w:rPr>
          <w:iCs/>
          <w:snapToGrid w:val="0"/>
          <w:lang w:val="de-DE" w:eastAsia="ja-JP"/>
        </w:rPr>
      </w:pPr>
      <w:r w:rsidRPr="00EC51B2">
        <w:rPr>
          <w:iCs/>
          <w:snapToGrid w:val="0"/>
          <w:lang w:val="de-DE" w:eastAsia="ja-JP"/>
        </w:rPr>
        <w:tab/>
        <w:t xml:space="preserve">(b) </w:t>
      </w:r>
      <w:r w:rsidRPr="00EC51B2">
        <w:rPr>
          <w:iCs/>
          <w:snapToGrid w:val="0"/>
          <w:lang w:val="de-DE" w:eastAsia="ja-JP"/>
        </w:rPr>
        <w:tab/>
        <w:t xml:space="preserve">zu prüfen, ob die Aufforderung an die Mitglieder und Beobachter, auf den Tagungen der TWP im Jahr 2024 über die bestehenden Strategien zur Vertraulichkeit molekularer Informationen zu berichten, beibehalten werden soll; </w:t>
      </w:r>
    </w:p>
    <w:p w14:paraId="4D9C7AB9" w14:textId="77777777" w:rsidR="00F33641" w:rsidRPr="00EC51B2" w:rsidRDefault="00F33641" w:rsidP="00F33641">
      <w:pPr>
        <w:tabs>
          <w:tab w:val="left" w:pos="567"/>
          <w:tab w:val="left" w:pos="1134"/>
          <w:tab w:val="left" w:pos="5387"/>
          <w:tab w:val="left" w:pos="5954"/>
        </w:tabs>
        <w:rPr>
          <w:iCs/>
          <w:snapToGrid w:val="0"/>
          <w:lang w:val="de-DE" w:eastAsia="ja-JP"/>
        </w:rPr>
      </w:pPr>
    </w:p>
    <w:p w14:paraId="071CFAA1" w14:textId="77777777" w:rsidR="00096F5E" w:rsidRPr="00EC51B2" w:rsidRDefault="00DE0D3B">
      <w:pPr>
        <w:tabs>
          <w:tab w:val="left" w:pos="567"/>
          <w:tab w:val="left" w:pos="1134"/>
          <w:tab w:val="left" w:pos="5387"/>
          <w:tab w:val="left" w:pos="5954"/>
        </w:tabs>
        <w:rPr>
          <w:iCs/>
          <w:snapToGrid w:val="0"/>
          <w:lang w:val="de-DE" w:eastAsia="ja-JP"/>
        </w:rPr>
      </w:pPr>
      <w:r w:rsidRPr="00EC51B2">
        <w:rPr>
          <w:iCs/>
          <w:snapToGrid w:val="0"/>
          <w:lang w:val="de-DE" w:eastAsia="ja-JP"/>
        </w:rPr>
        <w:tab/>
        <w:t>(c)</w:t>
      </w:r>
      <w:r w:rsidRPr="00EC51B2">
        <w:rPr>
          <w:iCs/>
          <w:snapToGrid w:val="0"/>
          <w:lang w:val="de-DE" w:eastAsia="ja-JP"/>
        </w:rPr>
        <w:tab/>
        <w:t xml:space="preserve">zur Kenntnis zu nehmen, daß auf </w:t>
      </w:r>
      <w:r w:rsidR="00674731" w:rsidRPr="00EC51B2">
        <w:rPr>
          <w:iCs/>
          <w:snapToGrid w:val="0"/>
          <w:lang w:val="de-DE" w:eastAsia="ja-JP"/>
        </w:rPr>
        <w:t xml:space="preserve">seiner </w:t>
      </w:r>
      <w:r w:rsidRPr="00EC51B2">
        <w:rPr>
          <w:iCs/>
          <w:snapToGrid w:val="0"/>
          <w:lang w:val="de-DE" w:eastAsia="ja-JP"/>
        </w:rPr>
        <w:t>neunundfünfzigsten Tagung eine Erörterungstagung über molekulare Verfahren bei der DUS-Prüfung stattfinden wird</w:t>
      </w:r>
      <w:r w:rsidR="00F94922" w:rsidRPr="00EC51B2">
        <w:rPr>
          <w:iCs/>
          <w:snapToGrid w:val="0"/>
          <w:lang w:val="de-DE" w:eastAsia="ja-JP"/>
        </w:rPr>
        <w:t>; und</w:t>
      </w:r>
    </w:p>
    <w:p w14:paraId="7DC7A9C8" w14:textId="77777777" w:rsidR="00F94922" w:rsidRPr="00EC51B2" w:rsidRDefault="00F94922" w:rsidP="00F33641">
      <w:pPr>
        <w:tabs>
          <w:tab w:val="left" w:pos="567"/>
          <w:tab w:val="left" w:pos="1134"/>
          <w:tab w:val="left" w:pos="5387"/>
          <w:tab w:val="left" w:pos="5954"/>
        </w:tabs>
        <w:rPr>
          <w:iCs/>
          <w:snapToGrid w:val="0"/>
          <w:lang w:val="de-DE" w:eastAsia="ja-JP"/>
        </w:rPr>
      </w:pPr>
    </w:p>
    <w:p w14:paraId="6FC95FCE" w14:textId="77777777" w:rsidR="00096F5E" w:rsidRPr="00EC51B2" w:rsidRDefault="00DE0D3B">
      <w:pPr>
        <w:tabs>
          <w:tab w:val="left" w:pos="567"/>
          <w:tab w:val="left" w:pos="1134"/>
          <w:tab w:val="left" w:pos="5387"/>
          <w:tab w:val="left" w:pos="5954"/>
        </w:tabs>
        <w:rPr>
          <w:iCs/>
          <w:snapToGrid w:val="0"/>
          <w:lang w:val="de-DE" w:eastAsia="ja-JP"/>
        </w:rPr>
      </w:pPr>
      <w:r w:rsidRPr="00EC51B2">
        <w:rPr>
          <w:iCs/>
          <w:snapToGrid w:val="0"/>
          <w:lang w:val="de-DE" w:eastAsia="ja-JP"/>
        </w:rPr>
        <w:tab/>
        <w:t>(d)</w:t>
      </w:r>
      <w:r w:rsidRPr="00EC51B2">
        <w:rPr>
          <w:iCs/>
          <w:snapToGrid w:val="0"/>
          <w:lang w:val="de-DE" w:eastAsia="ja-JP"/>
        </w:rPr>
        <w:tab/>
      </w:r>
      <w:r w:rsidRPr="00EC51B2">
        <w:rPr>
          <w:lang w:val="de-DE" w:eastAsia="ja-JP"/>
        </w:rPr>
        <w:t>die in diesem Dokument enthaltenen Informationen zur Kenntnis zu nehmen.</w:t>
      </w:r>
    </w:p>
    <w:p w14:paraId="1B6D4F4F" w14:textId="77777777" w:rsidR="004611F7" w:rsidRPr="00EC51B2" w:rsidRDefault="004611F7" w:rsidP="00E209FA">
      <w:pPr>
        <w:tabs>
          <w:tab w:val="left" w:pos="567"/>
          <w:tab w:val="left" w:pos="1134"/>
          <w:tab w:val="left" w:pos="5387"/>
          <w:tab w:val="left" w:pos="5954"/>
        </w:tabs>
        <w:rPr>
          <w:lang w:val="de-DE"/>
        </w:rPr>
      </w:pPr>
    </w:p>
    <w:p w14:paraId="4B884BB6"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In diesem Dokument werden die folgenden Abkürzungen verwendet:</w:t>
      </w:r>
    </w:p>
    <w:p w14:paraId="46CD5FEE" w14:textId="77777777" w:rsidR="00E209FA" w:rsidRPr="00EC51B2" w:rsidRDefault="00E209FA" w:rsidP="00E209FA">
      <w:pPr>
        <w:rPr>
          <w:lang w:val="de-DE"/>
        </w:rPr>
      </w:pPr>
    </w:p>
    <w:p w14:paraId="4FE60CFE" w14:textId="77777777" w:rsidR="00096F5E" w:rsidRPr="00EC51B2" w:rsidRDefault="00DE0D3B">
      <w:pPr>
        <w:keepNext/>
        <w:tabs>
          <w:tab w:val="left" w:pos="567"/>
        </w:tabs>
        <w:ind w:left="1701" w:hanging="1134"/>
        <w:rPr>
          <w:sz w:val="18"/>
          <w:lang w:val="de-DE"/>
        </w:rPr>
      </w:pPr>
      <w:r w:rsidRPr="00EC51B2">
        <w:rPr>
          <w:sz w:val="18"/>
          <w:lang w:val="de-DE"/>
        </w:rPr>
        <w:t>BMT:</w:t>
      </w:r>
      <w:r w:rsidRPr="00EC51B2">
        <w:rPr>
          <w:sz w:val="18"/>
          <w:lang w:val="de-DE"/>
        </w:rPr>
        <w:tab/>
        <w:t>Arbeitsgruppe für biochemische und molekulare Verfahren und insbesondere für DNS-Profilierungsverfahren</w:t>
      </w:r>
    </w:p>
    <w:p w14:paraId="478D5CD1" w14:textId="77777777" w:rsidR="00096F5E" w:rsidRPr="00EC51B2" w:rsidRDefault="00DE0D3B">
      <w:pPr>
        <w:keepNext/>
        <w:tabs>
          <w:tab w:val="left" w:pos="567"/>
        </w:tabs>
        <w:ind w:left="1701" w:hanging="1134"/>
        <w:rPr>
          <w:sz w:val="18"/>
          <w:lang w:val="de-DE"/>
        </w:rPr>
      </w:pPr>
      <w:r w:rsidRPr="00EC51B2">
        <w:rPr>
          <w:sz w:val="18"/>
          <w:lang w:val="de-DE"/>
        </w:rPr>
        <w:t xml:space="preserve">CAJ: </w:t>
      </w:r>
      <w:r w:rsidRPr="00EC51B2">
        <w:rPr>
          <w:sz w:val="18"/>
          <w:lang w:val="de-DE"/>
        </w:rPr>
        <w:tab/>
        <w:t xml:space="preserve">Verwaltungs- und </w:t>
      </w:r>
      <w:r w:rsidR="00E209FA" w:rsidRPr="00EC51B2">
        <w:rPr>
          <w:sz w:val="18"/>
          <w:lang w:val="de-DE"/>
        </w:rPr>
        <w:t xml:space="preserve">Rechtsausschuss  </w:t>
      </w:r>
    </w:p>
    <w:p w14:paraId="152E9106" w14:textId="77777777" w:rsidR="00096F5E" w:rsidRPr="00EC51B2" w:rsidRDefault="00DE0D3B">
      <w:pPr>
        <w:ind w:left="1701" w:hanging="1134"/>
        <w:rPr>
          <w:rFonts w:cs="Arial"/>
          <w:snapToGrid w:val="0"/>
          <w:sz w:val="18"/>
          <w:szCs w:val="24"/>
          <w:lang w:val="de-DE" w:eastAsia="ja-JP"/>
        </w:rPr>
      </w:pPr>
      <w:r w:rsidRPr="00EC51B2">
        <w:rPr>
          <w:rFonts w:eastAsia="PMingLiU" w:cs="Arial"/>
          <w:snapToGrid w:val="0"/>
          <w:sz w:val="18"/>
          <w:szCs w:val="24"/>
          <w:lang w:val="de-DE" w:eastAsia="fr-FR"/>
        </w:rPr>
        <w:t xml:space="preserve">ISTA: </w:t>
      </w:r>
      <w:r w:rsidRPr="00EC51B2">
        <w:rPr>
          <w:rFonts w:eastAsia="PMingLiU" w:cs="Arial"/>
          <w:snapToGrid w:val="0"/>
          <w:sz w:val="18"/>
          <w:szCs w:val="24"/>
          <w:lang w:val="de-DE" w:eastAsia="fr-FR"/>
        </w:rPr>
        <w:tab/>
        <w:t>Internationale Vereinigung für Saatgutprüfung</w:t>
      </w:r>
    </w:p>
    <w:p w14:paraId="367E5784" w14:textId="77777777" w:rsidR="00096F5E" w:rsidRPr="00EC51B2" w:rsidRDefault="00DE0D3B">
      <w:pPr>
        <w:ind w:left="1701" w:hanging="1134"/>
        <w:rPr>
          <w:rFonts w:eastAsia="PMingLiU" w:cs="Arial"/>
          <w:snapToGrid w:val="0"/>
          <w:sz w:val="18"/>
          <w:szCs w:val="24"/>
          <w:lang w:val="de-DE"/>
        </w:rPr>
      </w:pPr>
      <w:r w:rsidRPr="00EC51B2">
        <w:rPr>
          <w:rFonts w:eastAsia="PMingLiU" w:cs="Arial"/>
          <w:sz w:val="18"/>
          <w:szCs w:val="24"/>
          <w:lang w:val="de-DE"/>
        </w:rPr>
        <w:t>OECD:</w:t>
      </w:r>
      <w:r w:rsidRPr="00EC51B2">
        <w:rPr>
          <w:rFonts w:eastAsia="PMingLiU" w:cs="Arial"/>
          <w:sz w:val="18"/>
          <w:szCs w:val="24"/>
          <w:lang w:val="de-DE"/>
        </w:rPr>
        <w:tab/>
      </w:r>
      <w:r w:rsidRPr="00EC51B2">
        <w:rPr>
          <w:rFonts w:eastAsia="PMingLiU" w:cs="Arial"/>
          <w:snapToGrid w:val="0"/>
          <w:sz w:val="18"/>
          <w:szCs w:val="24"/>
          <w:lang w:val="de-DE"/>
        </w:rPr>
        <w:t>Organisation für wirtschaftliche Zusammenarbeit und Entwicklung</w:t>
      </w:r>
    </w:p>
    <w:p w14:paraId="27F02F9B" w14:textId="77777777" w:rsidR="00096F5E" w:rsidRPr="00EC51B2" w:rsidRDefault="00DE0D3B">
      <w:pPr>
        <w:keepNext/>
        <w:tabs>
          <w:tab w:val="left" w:pos="567"/>
        </w:tabs>
        <w:ind w:left="1701" w:hanging="1134"/>
        <w:rPr>
          <w:sz w:val="18"/>
          <w:lang w:val="de-DE"/>
        </w:rPr>
      </w:pPr>
      <w:r w:rsidRPr="00EC51B2">
        <w:rPr>
          <w:sz w:val="18"/>
          <w:lang w:val="de-DE"/>
        </w:rPr>
        <w:t>TC:</w:t>
      </w:r>
      <w:r w:rsidRPr="00EC51B2">
        <w:rPr>
          <w:sz w:val="18"/>
          <w:lang w:val="de-DE"/>
        </w:rPr>
        <w:tab/>
        <w:t>Technischer Ausschuss</w:t>
      </w:r>
    </w:p>
    <w:p w14:paraId="445F202E" w14:textId="77777777" w:rsidR="00096F5E" w:rsidRPr="00EC51B2" w:rsidRDefault="00DE0D3B">
      <w:pPr>
        <w:ind w:left="1701" w:hanging="1134"/>
        <w:rPr>
          <w:rFonts w:eastAsia="PMingLiU" w:cs="Arial"/>
          <w:sz w:val="18"/>
          <w:szCs w:val="24"/>
          <w:lang w:val="de-DE"/>
        </w:rPr>
      </w:pPr>
      <w:r w:rsidRPr="00EC51B2">
        <w:rPr>
          <w:rFonts w:eastAsia="PMingLiU" w:cs="Arial"/>
          <w:sz w:val="18"/>
          <w:szCs w:val="24"/>
          <w:lang w:val="de-DE"/>
        </w:rPr>
        <w:t>TWA:</w:t>
      </w:r>
      <w:r w:rsidRPr="00EC51B2">
        <w:rPr>
          <w:rFonts w:eastAsia="PMingLiU" w:cs="Arial"/>
          <w:sz w:val="18"/>
          <w:szCs w:val="24"/>
          <w:lang w:val="de-DE"/>
        </w:rPr>
        <w:tab/>
        <w:t>Technische Arbeitsgruppe für landwirtschaftliche Kulturpflanzen</w:t>
      </w:r>
    </w:p>
    <w:p w14:paraId="10625A82" w14:textId="77777777" w:rsidR="00096F5E" w:rsidRPr="00EC51B2" w:rsidRDefault="00DE0D3B">
      <w:pPr>
        <w:ind w:left="1701" w:hanging="1134"/>
        <w:rPr>
          <w:rFonts w:eastAsia="PMingLiU" w:cs="Arial"/>
          <w:sz w:val="18"/>
          <w:szCs w:val="24"/>
          <w:lang w:val="de-DE"/>
        </w:rPr>
      </w:pPr>
      <w:r w:rsidRPr="00EC51B2">
        <w:rPr>
          <w:rFonts w:eastAsia="PMingLiU" w:cs="Arial"/>
          <w:sz w:val="18"/>
          <w:szCs w:val="24"/>
          <w:lang w:val="de-DE"/>
        </w:rPr>
        <w:t>TWF:</w:t>
      </w:r>
      <w:r w:rsidRPr="00EC51B2">
        <w:rPr>
          <w:rFonts w:eastAsia="PMingLiU" w:cs="Arial"/>
          <w:sz w:val="18"/>
          <w:szCs w:val="24"/>
          <w:lang w:val="de-DE"/>
        </w:rPr>
        <w:tab/>
        <w:t>Technische Arbeitsgruppe für Obstarten</w:t>
      </w:r>
    </w:p>
    <w:p w14:paraId="2836DFE1" w14:textId="77777777" w:rsidR="00096F5E" w:rsidRPr="00EC51B2" w:rsidRDefault="00DE0D3B">
      <w:pPr>
        <w:ind w:left="1701" w:hanging="1134"/>
        <w:rPr>
          <w:rFonts w:eastAsia="PMingLiU" w:cs="Arial"/>
          <w:sz w:val="18"/>
          <w:szCs w:val="24"/>
          <w:lang w:val="de-DE"/>
        </w:rPr>
      </w:pPr>
      <w:r w:rsidRPr="00EC51B2">
        <w:rPr>
          <w:rFonts w:eastAsia="PMingLiU" w:cs="Arial"/>
          <w:sz w:val="18"/>
          <w:szCs w:val="24"/>
          <w:lang w:val="de-DE"/>
        </w:rPr>
        <w:t>TWM:</w:t>
      </w:r>
      <w:r w:rsidRPr="00EC51B2">
        <w:rPr>
          <w:rFonts w:eastAsia="PMingLiU" w:cs="Arial"/>
          <w:sz w:val="18"/>
          <w:szCs w:val="24"/>
          <w:lang w:val="de-DE"/>
        </w:rPr>
        <w:tab/>
        <w:t>Technische Arbeitsgruppe für Prüfverfahren und -techniken</w:t>
      </w:r>
    </w:p>
    <w:p w14:paraId="5C378C7C" w14:textId="77777777" w:rsidR="00096F5E" w:rsidRPr="00EC51B2" w:rsidRDefault="00DE0D3B">
      <w:pPr>
        <w:ind w:left="1701" w:hanging="1134"/>
        <w:rPr>
          <w:rFonts w:eastAsia="PMingLiU" w:cs="Arial"/>
          <w:sz w:val="18"/>
          <w:szCs w:val="24"/>
          <w:lang w:val="de-DE"/>
        </w:rPr>
      </w:pPr>
      <w:r w:rsidRPr="00EC51B2">
        <w:rPr>
          <w:rFonts w:eastAsia="PMingLiU" w:cs="Arial"/>
          <w:sz w:val="18"/>
          <w:szCs w:val="24"/>
          <w:lang w:val="de-DE"/>
        </w:rPr>
        <w:t>TWO:</w:t>
      </w:r>
      <w:r w:rsidRPr="00EC51B2">
        <w:rPr>
          <w:rFonts w:eastAsia="PMingLiU" w:cs="Arial"/>
          <w:sz w:val="18"/>
          <w:szCs w:val="24"/>
          <w:lang w:val="de-DE"/>
        </w:rPr>
        <w:tab/>
        <w:t>Technische Arbeitsgruppe für Zierpflanzen und forstliche Baumarten</w:t>
      </w:r>
    </w:p>
    <w:p w14:paraId="5A155167" w14:textId="77777777" w:rsidR="00096F5E" w:rsidRPr="00EC51B2" w:rsidRDefault="00DE0D3B">
      <w:pPr>
        <w:ind w:left="1701" w:hanging="1134"/>
        <w:rPr>
          <w:rFonts w:eastAsia="PMingLiU" w:cs="Arial"/>
          <w:sz w:val="18"/>
          <w:szCs w:val="24"/>
          <w:lang w:val="de-DE"/>
        </w:rPr>
      </w:pPr>
      <w:r w:rsidRPr="00EC51B2">
        <w:rPr>
          <w:rFonts w:eastAsia="PMingLiU" w:cs="Arial"/>
          <w:sz w:val="18"/>
          <w:szCs w:val="24"/>
          <w:lang w:val="de-DE"/>
        </w:rPr>
        <w:t>TWP:</w:t>
      </w:r>
      <w:r w:rsidRPr="00EC51B2">
        <w:rPr>
          <w:rFonts w:eastAsia="PMingLiU" w:cs="Arial"/>
          <w:sz w:val="18"/>
          <w:szCs w:val="24"/>
          <w:lang w:val="de-DE"/>
        </w:rPr>
        <w:tab/>
        <w:t>Technische Arbeitsgruppen</w:t>
      </w:r>
    </w:p>
    <w:p w14:paraId="7EE0CCE2" w14:textId="77777777" w:rsidR="00096F5E" w:rsidRPr="00EC51B2" w:rsidRDefault="00DE0D3B">
      <w:pPr>
        <w:ind w:left="1701" w:hanging="1134"/>
        <w:rPr>
          <w:rFonts w:eastAsia="PMingLiU" w:cs="Arial"/>
          <w:sz w:val="18"/>
          <w:szCs w:val="24"/>
          <w:lang w:val="de-DE"/>
        </w:rPr>
      </w:pPr>
      <w:r w:rsidRPr="00EC51B2">
        <w:rPr>
          <w:rFonts w:eastAsia="PMingLiU" w:cs="Arial"/>
          <w:sz w:val="18"/>
          <w:szCs w:val="24"/>
          <w:lang w:val="de-DE"/>
        </w:rPr>
        <w:t>TWV:</w:t>
      </w:r>
      <w:r w:rsidRPr="00EC51B2">
        <w:rPr>
          <w:rFonts w:eastAsia="PMingLiU" w:cs="Arial"/>
          <w:sz w:val="18"/>
          <w:szCs w:val="24"/>
          <w:lang w:val="de-DE"/>
        </w:rPr>
        <w:tab/>
        <w:t>Technische Arbeitsgruppe für Gemüse</w:t>
      </w:r>
    </w:p>
    <w:p w14:paraId="1120EC98" w14:textId="77777777" w:rsidR="00E209FA" w:rsidRPr="00EC51B2" w:rsidRDefault="00E209FA" w:rsidP="00E209FA">
      <w:pPr>
        <w:jc w:val="left"/>
        <w:rPr>
          <w:rFonts w:cs="Arial"/>
          <w:snapToGrid w:val="0"/>
          <w:sz w:val="18"/>
          <w:szCs w:val="24"/>
          <w:lang w:val="de-DE" w:eastAsia="ja-JP"/>
        </w:rPr>
      </w:pPr>
    </w:p>
    <w:p w14:paraId="37214BAD" w14:textId="77777777" w:rsidR="00DE0D3B" w:rsidRDefault="00DE0D3B">
      <w:pPr>
        <w:jc w:val="left"/>
        <w:rPr>
          <w:lang w:val="de-DE"/>
        </w:rPr>
      </w:pPr>
      <w:r>
        <w:rPr>
          <w:lang w:val="de-DE"/>
        </w:rPr>
        <w:br w:type="page"/>
      </w:r>
    </w:p>
    <w:p w14:paraId="1360F821" w14:textId="77777777" w:rsidR="00096F5E" w:rsidRPr="00EC51B2" w:rsidRDefault="00DE0D3B">
      <w:pPr>
        <w:keepNext/>
        <w:rPr>
          <w:lang w:val="de-DE"/>
        </w:rPr>
      </w:pPr>
      <w:r w:rsidRPr="00EC51B2">
        <w:rPr>
          <w:lang w:val="de-DE"/>
        </w:rPr>
        <w:lastRenderedPageBreak/>
        <w:fldChar w:fldCharType="begin"/>
      </w:r>
      <w:r w:rsidRPr="00EC51B2">
        <w:rPr>
          <w:lang w:val="de-DE"/>
        </w:rPr>
        <w:instrText xml:space="preserve"> AUTONUM  </w:instrText>
      </w:r>
      <w:r w:rsidRPr="00EC51B2">
        <w:rPr>
          <w:lang w:val="de-DE"/>
        </w:rPr>
        <w:fldChar w:fldCharType="end"/>
      </w:r>
      <w:r w:rsidRPr="00EC51B2">
        <w:rPr>
          <w:lang w:val="de-DE"/>
        </w:rPr>
        <w:tab/>
        <w:t>Der Aufbau dieses Dokuments ist wie folgt:</w:t>
      </w:r>
    </w:p>
    <w:p w14:paraId="0A1BBA05" w14:textId="77777777" w:rsidR="00E209FA" w:rsidRPr="00EC51B2" w:rsidRDefault="00E209FA" w:rsidP="00E209FA">
      <w:pPr>
        <w:keepNext/>
        <w:tabs>
          <w:tab w:val="right" w:leader="dot" w:pos="9639"/>
        </w:tabs>
        <w:spacing w:before="60"/>
        <w:ind w:right="1418"/>
        <w:jc w:val="left"/>
        <w:rPr>
          <w:rFonts w:cs="Arial"/>
          <w:caps/>
          <w:szCs w:val="18"/>
          <w:lang w:val="de-DE"/>
        </w:rPr>
      </w:pPr>
    </w:p>
    <w:p w14:paraId="64BC15D9" w14:textId="77777777" w:rsidR="00DE0D3B" w:rsidRDefault="005820D2">
      <w:pPr>
        <w:pStyle w:val="TOC1"/>
        <w:rPr>
          <w:rFonts w:asciiTheme="minorHAnsi" w:eastAsiaTheme="minorEastAsia" w:hAnsiTheme="minorHAnsi" w:cstheme="minorBidi"/>
          <w:caps w:val="0"/>
          <w:noProof/>
          <w:sz w:val="22"/>
          <w:szCs w:val="22"/>
          <w:lang w:val="en-GB" w:eastAsia="en-GB"/>
        </w:rPr>
      </w:pPr>
      <w:r w:rsidRPr="00EC51B2">
        <w:rPr>
          <w:rFonts w:cs="Arial"/>
          <w:bCs/>
          <w:caps w:val="0"/>
          <w:sz w:val="18"/>
          <w:szCs w:val="18"/>
          <w:lang w:val="de-DE"/>
        </w:rPr>
        <w:fldChar w:fldCharType="begin"/>
      </w:r>
      <w:r w:rsidR="00DE0D3B" w:rsidRPr="00EC51B2">
        <w:rPr>
          <w:rFonts w:cs="Arial"/>
          <w:bCs/>
          <w:caps w:val="0"/>
          <w:sz w:val="18"/>
          <w:szCs w:val="18"/>
          <w:lang w:val="de-DE"/>
        </w:rPr>
        <w:instrText xml:space="preserve"> TOC \o "1-3" \u </w:instrText>
      </w:r>
      <w:r w:rsidRPr="00EC51B2">
        <w:rPr>
          <w:rFonts w:cs="Arial"/>
          <w:bCs/>
          <w:caps w:val="0"/>
          <w:sz w:val="18"/>
          <w:szCs w:val="18"/>
          <w:lang w:val="de-DE"/>
        </w:rPr>
        <w:fldChar w:fldCharType="separate"/>
      </w:r>
      <w:r w:rsidR="00DE0D3B" w:rsidRPr="008F2970">
        <w:rPr>
          <w:noProof/>
          <w:snapToGrid w:val="0"/>
          <w:lang w:val="de-DE" w:eastAsia="ja-JP"/>
        </w:rPr>
        <w:t>Kurzfassung</w:t>
      </w:r>
      <w:r w:rsidR="00DE0D3B">
        <w:rPr>
          <w:noProof/>
        </w:rPr>
        <w:tab/>
      </w:r>
      <w:r w:rsidR="00DE0D3B">
        <w:rPr>
          <w:noProof/>
        </w:rPr>
        <w:fldChar w:fldCharType="begin"/>
      </w:r>
      <w:r w:rsidR="00DE0D3B">
        <w:rPr>
          <w:noProof/>
        </w:rPr>
        <w:instrText xml:space="preserve"> PAGEREF _Toc148113965 \h </w:instrText>
      </w:r>
      <w:r w:rsidR="00DE0D3B">
        <w:rPr>
          <w:noProof/>
        </w:rPr>
      </w:r>
      <w:r w:rsidR="00DE0D3B">
        <w:rPr>
          <w:noProof/>
        </w:rPr>
        <w:fldChar w:fldCharType="separate"/>
      </w:r>
      <w:r w:rsidR="00DE0D3B">
        <w:rPr>
          <w:noProof/>
        </w:rPr>
        <w:t>1</w:t>
      </w:r>
      <w:r w:rsidR="00DE0D3B">
        <w:rPr>
          <w:noProof/>
        </w:rPr>
        <w:fldChar w:fldCharType="end"/>
      </w:r>
    </w:p>
    <w:p w14:paraId="1E9F2357" w14:textId="77777777" w:rsidR="00DE0D3B" w:rsidRDefault="00DE0D3B">
      <w:pPr>
        <w:pStyle w:val="TOC1"/>
        <w:rPr>
          <w:rFonts w:asciiTheme="minorHAnsi" w:eastAsiaTheme="minorEastAsia" w:hAnsiTheme="minorHAnsi" w:cstheme="minorBidi"/>
          <w:caps w:val="0"/>
          <w:noProof/>
          <w:sz w:val="22"/>
          <w:szCs w:val="22"/>
          <w:lang w:val="en-GB" w:eastAsia="en-GB"/>
        </w:rPr>
      </w:pPr>
      <w:r w:rsidRPr="008F2970">
        <w:rPr>
          <w:noProof/>
          <w:lang w:val="de-DE"/>
        </w:rPr>
        <w:t>Vertraulichkeit und Eigentum an molekularen Informationen</w:t>
      </w:r>
      <w:r>
        <w:rPr>
          <w:noProof/>
        </w:rPr>
        <w:tab/>
      </w:r>
      <w:r>
        <w:rPr>
          <w:noProof/>
        </w:rPr>
        <w:fldChar w:fldCharType="begin"/>
      </w:r>
      <w:r>
        <w:rPr>
          <w:noProof/>
        </w:rPr>
        <w:instrText xml:space="preserve"> PAGEREF _Toc148113966 \h </w:instrText>
      </w:r>
      <w:r>
        <w:rPr>
          <w:noProof/>
        </w:rPr>
      </w:r>
      <w:r>
        <w:rPr>
          <w:noProof/>
        </w:rPr>
        <w:fldChar w:fldCharType="separate"/>
      </w:r>
      <w:r>
        <w:rPr>
          <w:noProof/>
        </w:rPr>
        <w:t>2</w:t>
      </w:r>
      <w:r>
        <w:rPr>
          <w:noProof/>
        </w:rPr>
        <w:fldChar w:fldCharType="end"/>
      </w:r>
    </w:p>
    <w:p w14:paraId="5A1B7D99" w14:textId="77777777" w:rsidR="00DE0D3B" w:rsidRDefault="00DE0D3B">
      <w:pPr>
        <w:pStyle w:val="TOC2"/>
        <w:rPr>
          <w:rFonts w:asciiTheme="minorHAnsi" w:eastAsiaTheme="minorEastAsia" w:hAnsiTheme="minorHAnsi" w:cstheme="minorBidi"/>
          <w:noProof/>
          <w:sz w:val="22"/>
          <w:szCs w:val="22"/>
          <w:lang w:val="en-GB" w:eastAsia="en-GB"/>
        </w:rPr>
      </w:pPr>
      <w:r w:rsidRPr="008F2970">
        <w:rPr>
          <w:noProof/>
          <w:lang w:val="de-DE"/>
        </w:rPr>
        <w:t>Hintergrund</w:t>
      </w:r>
      <w:r>
        <w:rPr>
          <w:noProof/>
        </w:rPr>
        <w:tab/>
      </w:r>
      <w:r>
        <w:rPr>
          <w:noProof/>
        </w:rPr>
        <w:fldChar w:fldCharType="begin"/>
      </w:r>
      <w:r>
        <w:rPr>
          <w:noProof/>
        </w:rPr>
        <w:instrText xml:space="preserve"> PAGEREF _Toc148113967 \h </w:instrText>
      </w:r>
      <w:r>
        <w:rPr>
          <w:noProof/>
        </w:rPr>
      </w:r>
      <w:r>
        <w:rPr>
          <w:noProof/>
        </w:rPr>
        <w:fldChar w:fldCharType="separate"/>
      </w:r>
      <w:r>
        <w:rPr>
          <w:noProof/>
        </w:rPr>
        <w:t>2</w:t>
      </w:r>
      <w:r>
        <w:rPr>
          <w:noProof/>
        </w:rPr>
        <w:fldChar w:fldCharType="end"/>
      </w:r>
    </w:p>
    <w:p w14:paraId="6BAE2AE0" w14:textId="77777777" w:rsidR="00DE0D3B" w:rsidRDefault="00DE0D3B">
      <w:pPr>
        <w:pStyle w:val="TOC2"/>
        <w:rPr>
          <w:rFonts w:asciiTheme="minorHAnsi" w:eastAsiaTheme="minorEastAsia" w:hAnsiTheme="minorHAnsi" w:cstheme="minorBidi"/>
          <w:noProof/>
          <w:sz w:val="22"/>
          <w:szCs w:val="22"/>
          <w:lang w:val="en-GB" w:eastAsia="en-GB"/>
        </w:rPr>
      </w:pPr>
      <w:r w:rsidRPr="008F2970">
        <w:rPr>
          <w:noProof/>
          <w:lang w:val="de-DE" w:eastAsia="ja-JP"/>
        </w:rPr>
        <w:t>Entwicklungen in den Technischen Arbeitsgruppen auf ihren Tagungen im Jahr 2023</w:t>
      </w:r>
      <w:r>
        <w:rPr>
          <w:noProof/>
        </w:rPr>
        <w:tab/>
      </w:r>
      <w:r>
        <w:rPr>
          <w:noProof/>
        </w:rPr>
        <w:fldChar w:fldCharType="begin"/>
      </w:r>
      <w:r>
        <w:rPr>
          <w:noProof/>
        </w:rPr>
        <w:instrText xml:space="preserve"> PAGEREF _Toc148113968 \h </w:instrText>
      </w:r>
      <w:r>
        <w:rPr>
          <w:noProof/>
        </w:rPr>
      </w:r>
      <w:r>
        <w:rPr>
          <w:noProof/>
        </w:rPr>
        <w:fldChar w:fldCharType="separate"/>
      </w:r>
      <w:r>
        <w:rPr>
          <w:noProof/>
        </w:rPr>
        <w:t>2</w:t>
      </w:r>
      <w:r>
        <w:rPr>
          <w:noProof/>
        </w:rPr>
        <w:fldChar w:fldCharType="end"/>
      </w:r>
    </w:p>
    <w:p w14:paraId="13AFBA7B" w14:textId="77777777" w:rsidR="00DE0D3B" w:rsidRDefault="00DE0D3B">
      <w:pPr>
        <w:pStyle w:val="TOC3"/>
        <w:rPr>
          <w:rFonts w:asciiTheme="minorHAnsi" w:eastAsiaTheme="minorEastAsia" w:hAnsiTheme="minorHAnsi" w:cstheme="minorBidi"/>
          <w:i w:val="0"/>
          <w:noProof/>
          <w:sz w:val="22"/>
          <w:szCs w:val="22"/>
          <w:lang w:val="en-GB" w:eastAsia="en-GB"/>
        </w:rPr>
      </w:pPr>
      <w:r w:rsidRPr="008F2970">
        <w:rPr>
          <w:noProof/>
          <w:lang w:val="de-DE"/>
        </w:rPr>
        <w:t>Bestehende Richtlinien zur Vertraulichkeit molekularer Informationen</w:t>
      </w:r>
      <w:r>
        <w:rPr>
          <w:noProof/>
        </w:rPr>
        <w:tab/>
      </w:r>
      <w:r>
        <w:rPr>
          <w:noProof/>
        </w:rPr>
        <w:fldChar w:fldCharType="begin"/>
      </w:r>
      <w:r>
        <w:rPr>
          <w:noProof/>
        </w:rPr>
        <w:instrText xml:space="preserve"> PAGEREF _Toc148113969 \h </w:instrText>
      </w:r>
      <w:r>
        <w:rPr>
          <w:noProof/>
        </w:rPr>
      </w:r>
      <w:r>
        <w:rPr>
          <w:noProof/>
        </w:rPr>
        <w:fldChar w:fldCharType="separate"/>
      </w:r>
      <w:r>
        <w:rPr>
          <w:noProof/>
        </w:rPr>
        <w:t>2</w:t>
      </w:r>
      <w:r>
        <w:rPr>
          <w:noProof/>
        </w:rPr>
        <w:fldChar w:fldCharType="end"/>
      </w:r>
    </w:p>
    <w:p w14:paraId="5791B1C3" w14:textId="77777777" w:rsidR="00DE0D3B" w:rsidRDefault="00DE0D3B">
      <w:pPr>
        <w:pStyle w:val="TOC3"/>
        <w:rPr>
          <w:rFonts w:asciiTheme="minorHAnsi" w:eastAsiaTheme="minorEastAsia" w:hAnsiTheme="minorHAnsi" w:cstheme="minorBidi"/>
          <w:i w:val="0"/>
          <w:noProof/>
          <w:sz w:val="22"/>
          <w:szCs w:val="22"/>
          <w:lang w:val="en-GB" w:eastAsia="en-GB"/>
        </w:rPr>
      </w:pPr>
      <w:r w:rsidRPr="008F2970">
        <w:rPr>
          <w:noProof/>
          <w:lang w:val="de-DE"/>
        </w:rPr>
        <w:t>Vortrag zum Thema "Vertraulichkeit molekularer Informationen"</w:t>
      </w:r>
      <w:r>
        <w:rPr>
          <w:noProof/>
        </w:rPr>
        <w:tab/>
      </w:r>
      <w:r>
        <w:rPr>
          <w:noProof/>
        </w:rPr>
        <w:fldChar w:fldCharType="begin"/>
      </w:r>
      <w:r>
        <w:rPr>
          <w:noProof/>
        </w:rPr>
        <w:instrText xml:space="preserve"> PAGEREF _Toc148113970 \h </w:instrText>
      </w:r>
      <w:r>
        <w:rPr>
          <w:noProof/>
        </w:rPr>
      </w:r>
      <w:r>
        <w:rPr>
          <w:noProof/>
        </w:rPr>
        <w:fldChar w:fldCharType="separate"/>
      </w:r>
      <w:r>
        <w:rPr>
          <w:noProof/>
        </w:rPr>
        <w:t>3</w:t>
      </w:r>
      <w:r>
        <w:rPr>
          <w:noProof/>
        </w:rPr>
        <w:fldChar w:fldCharType="end"/>
      </w:r>
    </w:p>
    <w:p w14:paraId="0B5D5EB5" w14:textId="77777777" w:rsidR="00DE0D3B" w:rsidRDefault="00DE0D3B">
      <w:pPr>
        <w:pStyle w:val="TOC1"/>
        <w:rPr>
          <w:rFonts w:asciiTheme="minorHAnsi" w:eastAsiaTheme="minorEastAsia" w:hAnsiTheme="minorHAnsi" w:cstheme="minorBidi"/>
          <w:caps w:val="0"/>
          <w:noProof/>
          <w:sz w:val="22"/>
          <w:szCs w:val="22"/>
          <w:lang w:val="en-GB" w:eastAsia="en-GB"/>
        </w:rPr>
      </w:pPr>
      <w:r w:rsidRPr="008F2970">
        <w:rPr>
          <w:noProof/>
          <w:snapToGrid w:val="0"/>
          <w:lang w:val="de-DE" w:eastAsia="ja-JP"/>
        </w:rPr>
        <w:t>Diskussion über molekulare Verfahren bei der DUS-Prüfung</w:t>
      </w:r>
      <w:r>
        <w:rPr>
          <w:noProof/>
        </w:rPr>
        <w:tab/>
      </w:r>
      <w:r>
        <w:rPr>
          <w:noProof/>
        </w:rPr>
        <w:fldChar w:fldCharType="begin"/>
      </w:r>
      <w:r>
        <w:rPr>
          <w:noProof/>
        </w:rPr>
        <w:instrText xml:space="preserve"> PAGEREF _Toc148113971 \h </w:instrText>
      </w:r>
      <w:r>
        <w:rPr>
          <w:noProof/>
        </w:rPr>
      </w:r>
      <w:r>
        <w:rPr>
          <w:noProof/>
        </w:rPr>
        <w:fldChar w:fldCharType="separate"/>
      </w:r>
      <w:r>
        <w:rPr>
          <w:noProof/>
        </w:rPr>
        <w:t>3</w:t>
      </w:r>
      <w:r>
        <w:rPr>
          <w:noProof/>
        </w:rPr>
        <w:fldChar w:fldCharType="end"/>
      </w:r>
    </w:p>
    <w:p w14:paraId="18070991" w14:textId="77777777" w:rsidR="00DE0D3B" w:rsidRDefault="00DE0D3B">
      <w:pPr>
        <w:pStyle w:val="TOC1"/>
        <w:rPr>
          <w:rFonts w:asciiTheme="minorHAnsi" w:eastAsiaTheme="minorEastAsia" w:hAnsiTheme="minorHAnsi" w:cstheme="minorBidi"/>
          <w:caps w:val="0"/>
          <w:noProof/>
          <w:sz w:val="22"/>
          <w:szCs w:val="22"/>
          <w:lang w:val="en-GB" w:eastAsia="en-GB"/>
        </w:rPr>
      </w:pPr>
      <w:r w:rsidRPr="008F2970">
        <w:rPr>
          <w:noProof/>
          <w:snapToGrid w:val="0"/>
          <w:lang w:val="de-DE" w:eastAsia="ja-JP"/>
        </w:rPr>
        <w:t>Fragen zur Information</w:t>
      </w:r>
      <w:r>
        <w:rPr>
          <w:noProof/>
        </w:rPr>
        <w:tab/>
      </w:r>
      <w:r>
        <w:rPr>
          <w:noProof/>
        </w:rPr>
        <w:fldChar w:fldCharType="begin"/>
      </w:r>
      <w:r>
        <w:rPr>
          <w:noProof/>
        </w:rPr>
        <w:instrText xml:space="preserve"> PAGEREF _Toc148113972 \h </w:instrText>
      </w:r>
      <w:r>
        <w:rPr>
          <w:noProof/>
        </w:rPr>
      </w:r>
      <w:r>
        <w:rPr>
          <w:noProof/>
        </w:rPr>
        <w:fldChar w:fldCharType="separate"/>
      </w:r>
      <w:r>
        <w:rPr>
          <w:noProof/>
        </w:rPr>
        <w:t>4</w:t>
      </w:r>
      <w:r>
        <w:rPr>
          <w:noProof/>
        </w:rPr>
        <w:fldChar w:fldCharType="end"/>
      </w:r>
    </w:p>
    <w:p w14:paraId="6106C1E9" w14:textId="77777777" w:rsidR="00DE0D3B" w:rsidRDefault="00DE0D3B">
      <w:pPr>
        <w:pStyle w:val="TOC2"/>
        <w:rPr>
          <w:rFonts w:asciiTheme="minorHAnsi" w:eastAsiaTheme="minorEastAsia" w:hAnsiTheme="minorHAnsi" w:cstheme="minorBidi"/>
          <w:noProof/>
          <w:sz w:val="22"/>
          <w:szCs w:val="22"/>
          <w:lang w:val="en-GB" w:eastAsia="en-GB"/>
        </w:rPr>
      </w:pPr>
      <w:r w:rsidRPr="008F2970">
        <w:rPr>
          <w:noProof/>
          <w:lang w:val="de-DE"/>
        </w:rPr>
        <w:t>Zweite Tagung der Technischen Arbeitsgruppe für Prüfungsverfahren und -techniken (TWM)</w:t>
      </w:r>
      <w:r>
        <w:rPr>
          <w:noProof/>
        </w:rPr>
        <w:tab/>
      </w:r>
      <w:r>
        <w:rPr>
          <w:noProof/>
        </w:rPr>
        <w:fldChar w:fldCharType="begin"/>
      </w:r>
      <w:r>
        <w:rPr>
          <w:noProof/>
        </w:rPr>
        <w:instrText xml:space="preserve"> PAGEREF _Toc148113973 \h </w:instrText>
      </w:r>
      <w:r>
        <w:rPr>
          <w:noProof/>
        </w:rPr>
      </w:r>
      <w:r>
        <w:rPr>
          <w:noProof/>
        </w:rPr>
        <w:fldChar w:fldCharType="separate"/>
      </w:r>
      <w:r>
        <w:rPr>
          <w:noProof/>
        </w:rPr>
        <w:t>4</w:t>
      </w:r>
      <w:r>
        <w:rPr>
          <w:noProof/>
        </w:rPr>
        <w:fldChar w:fldCharType="end"/>
      </w:r>
    </w:p>
    <w:p w14:paraId="5B49F75C" w14:textId="77777777" w:rsidR="00DE0D3B" w:rsidRDefault="00DE0D3B">
      <w:pPr>
        <w:pStyle w:val="TOC2"/>
        <w:rPr>
          <w:rFonts w:asciiTheme="minorHAnsi" w:eastAsiaTheme="minorEastAsia" w:hAnsiTheme="minorHAnsi" w:cstheme="minorBidi"/>
          <w:noProof/>
          <w:sz w:val="22"/>
          <w:szCs w:val="22"/>
          <w:lang w:val="en-GB" w:eastAsia="en-GB"/>
        </w:rPr>
      </w:pPr>
      <w:r w:rsidRPr="008F2970">
        <w:rPr>
          <w:rFonts w:eastAsia="MS Mincho"/>
          <w:noProof/>
          <w:lang w:val="de-DE"/>
        </w:rPr>
        <w:t>Referate über die Anwendung molekularer Verfahren bei der DUS-Prüfung</w:t>
      </w:r>
      <w:r>
        <w:rPr>
          <w:noProof/>
        </w:rPr>
        <w:tab/>
      </w:r>
      <w:r>
        <w:rPr>
          <w:noProof/>
        </w:rPr>
        <w:fldChar w:fldCharType="begin"/>
      </w:r>
      <w:r>
        <w:rPr>
          <w:noProof/>
        </w:rPr>
        <w:instrText xml:space="preserve"> PAGEREF _Toc148113974 \h </w:instrText>
      </w:r>
      <w:r>
        <w:rPr>
          <w:noProof/>
        </w:rPr>
      </w:r>
      <w:r>
        <w:rPr>
          <w:noProof/>
        </w:rPr>
        <w:fldChar w:fldCharType="separate"/>
      </w:r>
      <w:r>
        <w:rPr>
          <w:noProof/>
        </w:rPr>
        <w:t>5</w:t>
      </w:r>
      <w:r>
        <w:rPr>
          <w:noProof/>
        </w:rPr>
        <w:fldChar w:fldCharType="end"/>
      </w:r>
    </w:p>
    <w:p w14:paraId="3FA37DF5" w14:textId="77777777" w:rsidR="00DE0D3B" w:rsidRDefault="00DE0D3B">
      <w:pPr>
        <w:pStyle w:val="TOC2"/>
        <w:rPr>
          <w:rFonts w:asciiTheme="minorHAnsi" w:eastAsiaTheme="minorEastAsia" w:hAnsiTheme="minorHAnsi" w:cstheme="minorBidi"/>
          <w:noProof/>
          <w:sz w:val="22"/>
          <w:szCs w:val="22"/>
          <w:lang w:val="en-GB" w:eastAsia="en-GB"/>
        </w:rPr>
      </w:pPr>
      <w:r w:rsidRPr="008F2970">
        <w:rPr>
          <w:noProof/>
          <w:lang w:val="de-DE" w:eastAsia="ja-JP"/>
        </w:rPr>
        <w:t>Zusammenarbeit zwischen internationalen Organisationen</w:t>
      </w:r>
      <w:r>
        <w:rPr>
          <w:noProof/>
        </w:rPr>
        <w:tab/>
      </w:r>
      <w:r>
        <w:rPr>
          <w:noProof/>
        </w:rPr>
        <w:fldChar w:fldCharType="begin"/>
      </w:r>
      <w:r>
        <w:rPr>
          <w:noProof/>
        </w:rPr>
        <w:instrText xml:space="preserve"> PAGEREF _Toc148113975 \h </w:instrText>
      </w:r>
      <w:r>
        <w:rPr>
          <w:noProof/>
        </w:rPr>
      </w:r>
      <w:r>
        <w:rPr>
          <w:noProof/>
        </w:rPr>
        <w:fldChar w:fldCharType="separate"/>
      </w:r>
      <w:r>
        <w:rPr>
          <w:noProof/>
        </w:rPr>
        <w:t>5</w:t>
      </w:r>
      <w:r>
        <w:rPr>
          <w:noProof/>
        </w:rPr>
        <w:fldChar w:fldCharType="end"/>
      </w:r>
    </w:p>
    <w:p w14:paraId="7E23EB4E" w14:textId="77777777" w:rsidR="00DE0D3B" w:rsidRDefault="00DE0D3B">
      <w:pPr>
        <w:pStyle w:val="TOC3"/>
        <w:rPr>
          <w:rFonts w:asciiTheme="minorHAnsi" w:eastAsiaTheme="minorEastAsia" w:hAnsiTheme="minorHAnsi" w:cstheme="minorBidi"/>
          <w:i w:val="0"/>
          <w:noProof/>
          <w:sz w:val="22"/>
          <w:szCs w:val="22"/>
          <w:lang w:val="en-GB" w:eastAsia="en-GB"/>
        </w:rPr>
      </w:pPr>
      <w:r w:rsidRPr="008F2970">
        <w:rPr>
          <w:rFonts w:eastAsiaTheme="minorEastAsia"/>
          <w:noProof/>
          <w:lang w:val="de-DE"/>
        </w:rPr>
        <w:t>Inventar über die Verwendung molekularer Markertechniken nach Kulturpflanzen</w:t>
      </w:r>
      <w:r>
        <w:rPr>
          <w:noProof/>
        </w:rPr>
        <w:tab/>
      </w:r>
      <w:r>
        <w:rPr>
          <w:noProof/>
        </w:rPr>
        <w:fldChar w:fldCharType="begin"/>
      </w:r>
      <w:r>
        <w:rPr>
          <w:noProof/>
        </w:rPr>
        <w:instrText xml:space="preserve"> PAGEREF _Toc148113976 \h </w:instrText>
      </w:r>
      <w:r>
        <w:rPr>
          <w:noProof/>
        </w:rPr>
      </w:r>
      <w:r>
        <w:rPr>
          <w:noProof/>
        </w:rPr>
        <w:fldChar w:fldCharType="separate"/>
      </w:r>
      <w:r>
        <w:rPr>
          <w:noProof/>
        </w:rPr>
        <w:t>6</w:t>
      </w:r>
      <w:r>
        <w:rPr>
          <w:noProof/>
        </w:rPr>
        <w:fldChar w:fldCharType="end"/>
      </w:r>
    </w:p>
    <w:p w14:paraId="4306FE3B" w14:textId="77777777" w:rsidR="00DE0D3B" w:rsidRDefault="00DE0D3B">
      <w:pPr>
        <w:pStyle w:val="TOC3"/>
        <w:rPr>
          <w:rFonts w:asciiTheme="minorHAnsi" w:eastAsiaTheme="minorEastAsia" w:hAnsiTheme="minorHAnsi" w:cstheme="minorBidi"/>
          <w:i w:val="0"/>
          <w:noProof/>
          <w:sz w:val="22"/>
          <w:szCs w:val="22"/>
          <w:lang w:val="en-GB" w:eastAsia="en-GB"/>
        </w:rPr>
      </w:pPr>
      <w:r w:rsidRPr="008F2970">
        <w:rPr>
          <w:rFonts w:eastAsiaTheme="minorEastAsia"/>
          <w:noProof/>
          <w:lang w:val="de-DE"/>
        </w:rPr>
        <w:t>Gemeinsames Dokument zur Erläuterung der wichtigsten Merkmale der Systeme von OECD, UPOV und ISTA</w:t>
      </w:r>
      <w:r>
        <w:rPr>
          <w:noProof/>
        </w:rPr>
        <w:tab/>
      </w:r>
      <w:r>
        <w:rPr>
          <w:noProof/>
        </w:rPr>
        <w:fldChar w:fldCharType="begin"/>
      </w:r>
      <w:r>
        <w:rPr>
          <w:noProof/>
        </w:rPr>
        <w:instrText xml:space="preserve"> PAGEREF _Toc148113977 \h </w:instrText>
      </w:r>
      <w:r>
        <w:rPr>
          <w:noProof/>
        </w:rPr>
      </w:r>
      <w:r>
        <w:rPr>
          <w:noProof/>
        </w:rPr>
        <w:fldChar w:fldCharType="separate"/>
      </w:r>
      <w:r>
        <w:rPr>
          <w:noProof/>
        </w:rPr>
        <w:t>6</w:t>
      </w:r>
      <w:r>
        <w:rPr>
          <w:noProof/>
        </w:rPr>
        <w:fldChar w:fldCharType="end"/>
      </w:r>
    </w:p>
    <w:p w14:paraId="7E53F0AD" w14:textId="77777777" w:rsidR="00DE0D3B" w:rsidRDefault="00DE0D3B">
      <w:pPr>
        <w:pStyle w:val="TOC3"/>
        <w:rPr>
          <w:rFonts w:asciiTheme="minorHAnsi" w:eastAsiaTheme="minorEastAsia" w:hAnsiTheme="minorHAnsi" w:cstheme="minorBidi"/>
          <w:i w:val="0"/>
          <w:noProof/>
          <w:sz w:val="22"/>
          <w:szCs w:val="22"/>
          <w:lang w:val="en-GB" w:eastAsia="en-GB"/>
        </w:rPr>
      </w:pPr>
      <w:r w:rsidRPr="008F2970">
        <w:rPr>
          <w:noProof/>
          <w:lang w:val="de-DE"/>
        </w:rPr>
        <w:t>Listen möglicher gemeinsamer Initiativen mit OECD und ISTA in Bezug auf molekulare Techniken</w:t>
      </w:r>
      <w:r>
        <w:rPr>
          <w:noProof/>
        </w:rPr>
        <w:tab/>
      </w:r>
      <w:r>
        <w:rPr>
          <w:noProof/>
        </w:rPr>
        <w:fldChar w:fldCharType="begin"/>
      </w:r>
      <w:r>
        <w:rPr>
          <w:noProof/>
        </w:rPr>
        <w:instrText xml:space="preserve"> PAGEREF _Toc148113978 \h </w:instrText>
      </w:r>
      <w:r>
        <w:rPr>
          <w:noProof/>
        </w:rPr>
      </w:r>
      <w:r>
        <w:rPr>
          <w:noProof/>
        </w:rPr>
        <w:fldChar w:fldCharType="separate"/>
      </w:r>
      <w:r>
        <w:rPr>
          <w:noProof/>
        </w:rPr>
        <w:t>6</w:t>
      </w:r>
      <w:r>
        <w:rPr>
          <w:noProof/>
        </w:rPr>
        <w:fldChar w:fldCharType="end"/>
      </w:r>
    </w:p>
    <w:p w14:paraId="7545157B" w14:textId="77777777" w:rsidR="00DE0D3B" w:rsidRDefault="00DE0D3B">
      <w:pPr>
        <w:pStyle w:val="TOC2"/>
        <w:rPr>
          <w:rFonts w:asciiTheme="minorHAnsi" w:eastAsiaTheme="minorEastAsia" w:hAnsiTheme="minorHAnsi" w:cstheme="minorBidi"/>
          <w:noProof/>
          <w:sz w:val="22"/>
          <w:szCs w:val="22"/>
          <w:lang w:val="en-GB" w:eastAsia="en-GB"/>
        </w:rPr>
      </w:pPr>
      <w:r w:rsidRPr="008F2970">
        <w:rPr>
          <w:noProof/>
          <w:snapToGrid w:val="0"/>
          <w:lang w:val="de-DE"/>
        </w:rPr>
        <w:t>Sitzung zur Erleichterung der Zusammenarbeit bei der Anwendung molekularer Techniken</w:t>
      </w:r>
      <w:r>
        <w:rPr>
          <w:noProof/>
        </w:rPr>
        <w:tab/>
      </w:r>
      <w:r>
        <w:rPr>
          <w:noProof/>
        </w:rPr>
        <w:fldChar w:fldCharType="begin"/>
      </w:r>
      <w:r>
        <w:rPr>
          <w:noProof/>
        </w:rPr>
        <w:instrText xml:space="preserve"> PAGEREF _Toc148113979 \h </w:instrText>
      </w:r>
      <w:r>
        <w:rPr>
          <w:noProof/>
        </w:rPr>
      </w:r>
      <w:r>
        <w:rPr>
          <w:noProof/>
        </w:rPr>
        <w:fldChar w:fldCharType="separate"/>
      </w:r>
      <w:r>
        <w:rPr>
          <w:noProof/>
        </w:rPr>
        <w:t>7</w:t>
      </w:r>
      <w:r>
        <w:rPr>
          <w:noProof/>
        </w:rPr>
        <w:fldChar w:fldCharType="end"/>
      </w:r>
    </w:p>
    <w:p w14:paraId="7655FA9A" w14:textId="77777777" w:rsidR="00E209FA" w:rsidRPr="00EC51B2" w:rsidRDefault="005820D2" w:rsidP="005820D2">
      <w:pPr>
        <w:keepNext/>
        <w:tabs>
          <w:tab w:val="center" w:pos="4479"/>
        </w:tabs>
        <w:spacing w:before="120"/>
        <w:ind w:right="851"/>
        <w:contextualSpacing/>
        <w:jc w:val="left"/>
        <w:rPr>
          <w:snapToGrid w:val="0"/>
          <w:sz w:val="18"/>
          <w:szCs w:val="18"/>
          <w:lang w:val="de-DE" w:eastAsia="ja-JP"/>
        </w:rPr>
      </w:pPr>
      <w:r w:rsidRPr="00EC51B2">
        <w:rPr>
          <w:rFonts w:cs="Arial"/>
          <w:bCs/>
          <w:caps/>
          <w:sz w:val="18"/>
          <w:szCs w:val="18"/>
          <w:lang w:val="de-DE"/>
        </w:rPr>
        <w:fldChar w:fldCharType="end"/>
      </w:r>
    </w:p>
    <w:p w14:paraId="5B7BEDF0" w14:textId="77777777" w:rsidR="00E209FA" w:rsidRPr="00EC51B2" w:rsidRDefault="00E209FA" w:rsidP="00E209FA">
      <w:pPr>
        <w:rPr>
          <w:lang w:val="de-DE"/>
        </w:rPr>
      </w:pPr>
    </w:p>
    <w:p w14:paraId="3C64041A" w14:textId="77777777" w:rsidR="00096F5E" w:rsidRPr="00EC51B2" w:rsidRDefault="00DE0D3B">
      <w:pPr>
        <w:keepNext/>
        <w:outlineLvl w:val="0"/>
        <w:rPr>
          <w:caps/>
          <w:lang w:val="de-DE"/>
        </w:rPr>
      </w:pPr>
      <w:bookmarkStart w:id="3" w:name="_Toc148113966"/>
      <w:r w:rsidRPr="00EC51B2">
        <w:rPr>
          <w:caps/>
          <w:lang w:val="de-DE"/>
        </w:rPr>
        <w:t>Vertraulichkeit und Eigentum an molekularen Informationen</w:t>
      </w:r>
      <w:bookmarkEnd w:id="0"/>
      <w:bookmarkEnd w:id="1"/>
      <w:bookmarkEnd w:id="3"/>
    </w:p>
    <w:p w14:paraId="63FE3335" w14:textId="77777777" w:rsidR="00E209FA" w:rsidRPr="00EC51B2" w:rsidRDefault="00E209FA" w:rsidP="00E209FA">
      <w:pPr>
        <w:rPr>
          <w:lang w:val="de-DE"/>
        </w:rPr>
      </w:pPr>
    </w:p>
    <w:p w14:paraId="29FF6953" w14:textId="77777777" w:rsidR="00096F5E" w:rsidRPr="00EC51B2" w:rsidRDefault="00DE0D3B">
      <w:pPr>
        <w:pStyle w:val="Heading2"/>
        <w:rPr>
          <w:lang w:val="de-DE"/>
        </w:rPr>
      </w:pPr>
      <w:bookmarkStart w:id="4" w:name="_Toc148113967"/>
      <w:r w:rsidRPr="00EC51B2">
        <w:rPr>
          <w:lang w:val="de-DE"/>
        </w:rPr>
        <w:t>Hintergrund</w:t>
      </w:r>
      <w:bookmarkEnd w:id="4"/>
    </w:p>
    <w:p w14:paraId="46784C4D" w14:textId="77777777" w:rsidR="00E209FA" w:rsidRPr="00EC51B2" w:rsidRDefault="00E209FA" w:rsidP="00E209FA">
      <w:pPr>
        <w:keepNext/>
        <w:keepLines/>
        <w:rPr>
          <w:lang w:val="de-DE"/>
        </w:rPr>
      </w:pPr>
    </w:p>
    <w:p w14:paraId="1013F3D4" w14:textId="77777777" w:rsidR="00096F5E" w:rsidRPr="00EC51B2" w:rsidRDefault="00DE0D3B">
      <w:pPr>
        <w:keepNext/>
        <w:keepLines/>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Der TC nahm auf seiner </w:t>
      </w:r>
      <w:r w:rsidR="00DC3BDA" w:rsidRPr="00EC51B2">
        <w:rPr>
          <w:lang w:val="de-DE"/>
        </w:rPr>
        <w:t xml:space="preserve">achtundfünfzigsten </w:t>
      </w:r>
      <w:r w:rsidRPr="00EC51B2">
        <w:rPr>
          <w:lang w:val="de-DE"/>
        </w:rPr>
        <w:t>Tagung</w:t>
      </w:r>
      <w:r w:rsidRPr="00EC51B2">
        <w:rPr>
          <w:vertAlign w:val="superscript"/>
          <w:lang w:val="de-DE"/>
        </w:rPr>
        <w:footnoteReference w:id="2"/>
      </w:r>
      <w:r w:rsidRPr="00EC51B2">
        <w:rPr>
          <w:lang w:val="de-DE"/>
        </w:rPr>
        <w:t xml:space="preserve"> die Erörterungen der TWP auf ihren Tagungen im Jahr 2022 über "Vertraulichkeit und Eigentum an molekularen Informationen" zur Kenntnis (vergleiche Dokument TC/58/31 "Bericht", Absätze 48 bis 50). </w:t>
      </w:r>
    </w:p>
    <w:p w14:paraId="687DB4ED" w14:textId="77777777" w:rsidR="00E209FA" w:rsidRPr="00EC51B2" w:rsidRDefault="00E209FA" w:rsidP="00E209FA">
      <w:pPr>
        <w:rPr>
          <w:lang w:val="de-DE"/>
        </w:rPr>
      </w:pPr>
    </w:p>
    <w:p w14:paraId="3992C8AE"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Der TC nahm die von den Züchterorganisationen auf der TWM geäußerte Besorgnis zur Kenntnis, daß die für die Prüfung einer Sorte erteilten molekularen Informationen nicht ohne die Zustimmung des Züchters an andere außerhalb der Behörde, bei der der Antrag eingegangen ist, weitergegeben werden sollten.</w:t>
      </w:r>
    </w:p>
    <w:p w14:paraId="4F299A38" w14:textId="77777777" w:rsidR="00E209FA" w:rsidRPr="00EC51B2" w:rsidRDefault="00E209FA" w:rsidP="00E209FA">
      <w:pPr>
        <w:rPr>
          <w:lang w:val="de-DE"/>
        </w:rPr>
      </w:pPr>
    </w:p>
    <w:p w14:paraId="0A0E3C7A"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Der TC vereinbarte, die Mitglieder und Beobachter aufzufordern, auf den Tagungen der TWP im Jahr 2023 über die bestehenden Grundsätze zur Vertraulichkeit molekularer Informationen zu berichten.</w:t>
      </w:r>
    </w:p>
    <w:p w14:paraId="5F32B789" w14:textId="77777777" w:rsidR="00E074B7" w:rsidRPr="00EC51B2" w:rsidRDefault="00E074B7" w:rsidP="00E074B7">
      <w:pPr>
        <w:rPr>
          <w:lang w:val="de-DE"/>
        </w:rPr>
      </w:pPr>
    </w:p>
    <w:p w14:paraId="37B7EAD9"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Weitere Hintergrundinformationen zu diesem Thema sind in Dokument </w:t>
      </w:r>
      <w:r w:rsidR="000D771D" w:rsidRPr="00EC51B2">
        <w:rPr>
          <w:lang w:val="de-DE"/>
        </w:rPr>
        <w:t xml:space="preserve">TC/58/7 </w:t>
      </w:r>
      <w:r w:rsidRPr="00EC51B2">
        <w:rPr>
          <w:lang w:val="de-DE"/>
        </w:rPr>
        <w:t>"Molekulare Verfahren" enthalten.</w:t>
      </w:r>
    </w:p>
    <w:p w14:paraId="25B945C6" w14:textId="77777777" w:rsidR="00323E4E" w:rsidRPr="00EC51B2" w:rsidRDefault="00323E4E" w:rsidP="00E209FA">
      <w:pPr>
        <w:rPr>
          <w:lang w:val="de-DE" w:eastAsia="ja-JP"/>
        </w:rPr>
      </w:pPr>
    </w:p>
    <w:p w14:paraId="4FB68695" w14:textId="77777777" w:rsidR="00096F5E" w:rsidRPr="00EC51B2" w:rsidRDefault="00DE0D3B">
      <w:pPr>
        <w:pStyle w:val="Heading2"/>
        <w:rPr>
          <w:lang w:val="de-DE" w:eastAsia="ja-JP"/>
        </w:rPr>
      </w:pPr>
      <w:bookmarkStart w:id="5" w:name="_Toc148113968"/>
      <w:r w:rsidRPr="00EC51B2">
        <w:rPr>
          <w:lang w:val="de-DE" w:eastAsia="ja-JP"/>
        </w:rPr>
        <w:t xml:space="preserve">Entwicklungen in den </w:t>
      </w:r>
      <w:r w:rsidR="00544EA5" w:rsidRPr="00EC51B2">
        <w:rPr>
          <w:lang w:val="de-DE" w:eastAsia="ja-JP"/>
        </w:rPr>
        <w:t>Technischen Arbeitsgruppen auf ihren Tagungen im Jahr 2023</w:t>
      </w:r>
      <w:bookmarkEnd w:id="5"/>
    </w:p>
    <w:p w14:paraId="2855F12D" w14:textId="77777777" w:rsidR="00323E4E" w:rsidRPr="00EC51B2" w:rsidRDefault="00323E4E" w:rsidP="00323E4E">
      <w:pPr>
        <w:jc w:val="left"/>
        <w:rPr>
          <w:lang w:val="de-DE"/>
        </w:rPr>
      </w:pPr>
    </w:p>
    <w:p w14:paraId="0412062C"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r>
      <w:r w:rsidRPr="00EC51B2">
        <w:rPr>
          <w:rFonts w:eastAsia="PMingLiU"/>
          <w:szCs w:val="24"/>
          <w:lang w:val="de-DE"/>
        </w:rPr>
        <w:t>Die TWV</w:t>
      </w:r>
      <w:r w:rsidRPr="00EC51B2">
        <w:rPr>
          <w:rFonts w:eastAsia="PMingLiU"/>
          <w:szCs w:val="24"/>
          <w:vertAlign w:val="superscript"/>
          <w:lang w:val="de-DE"/>
        </w:rPr>
        <w:footnoteReference w:id="3"/>
      </w:r>
      <w:r w:rsidRPr="00EC51B2">
        <w:rPr>
          <w:rFonts w:eastAsia="PMingLiU"/>
          <w:szCs w:val="24"/>
          <w:lang w:val="de-DE"/>
        </w:rPr>
        <w:t xml:space="preserve"> , die TWA</w:t>
      </w:r>
      <w:r w:rsidRPr="00EC51B2">
        <w:rPr>
          <w:rFonts w:eastAsia="PMingLiU"/>
          <w:szCs w:val="24"/>
          <w:vertAlign w:val="superscript"/>
          <w:lang w:val="de-DE"/>
        </w:rPr>
        <w:footnoteReference w:id="4"/>
      </w:r>
      <w:r w:rsidRPr="00EC51B2">
        <w:rPr>
          <w:rFonts w:eastAsia="PMingLiU"/>
          <w:szCs w:val="24"/>
          <w:lang w:val="de-DE"/>
        </w:rPr>
        <w:t xml:space="preserve"> , die TWO</w:t>
      </w:r>
      <w:r w:rsidRPr="00EC51B2">
        <w:rPr>
          <w:rFonts w:eastAsia="PMingLiU"/>
          <w:szCs w:val="24"/>
          <w:vertAlign w:val="superscript"/>
          <w:lang w:val="de-DE"/>
        </w:rPr>
        <w:footnoteReference w:id="5"/>
      </w:r>
      <w:r w:rsidRPr="00EC51B2">
        <w:rPr>
          <w:rFonts w:eastAsia="PMingLiU"/>
          <w:szCs w:val="24"/>
          <w:lang w:val="de-DE"/>
        </w:rPr>
        <w:t xml:space="preserve"> und die </w:t>
      </w:r>
      <w:r w:rsidRPr="00EC51B2">
        <w:rPr>
          <w:color w:val="000000"/>
          <w:lang w:val="de-DE"/>
        </w:rPr>
        <w:t>TWF</w:t>
      </w:r>
      <w:r w:rsidRPr="00EC51B2">
        <w:rPr>
          <w:color w:val="000000"/>
          <w:vertAlign w:val="superscript"/>
          <w:lang w:val="de-DE"/>
        </w:rPr>
        <w:footnoteReference w:id="6"/>
      </w:r>
      <w:r w:rsidRPr="00EC51B2">
        <w:rPr>
          <w:lang w:val="de-DE"/>
        </w:rPr>
        <w:t xml:space="preserve"> prüften auf ihren Tagungen im Jahre 2023 das Dokument TWP/7/3 "Molekulare Verfahren"</w:t>
      </w:r>
      <w:r w:rsidR="00F418A0" w:rsidRPr="00EC51B2">
        <w:rPr>
          <w:rStyle w:val="FootnoteReference"/>
          <w:lang w:val="de-DE"/>
        </w:rPr>
        <w:footnoteReference w:id="7"/>
      </w:r>
      <w:r w:rsidRPr="00EC51B2">
        <w:rPr>
          <w:lang w:val="de-DE"/>
        </w:rPr>
        <w:t xml:space="preserve"> .</w:t>
      </w:r>
    </w:p>
    <w:p w14:paraId="428369A7" w14:textId="77777777" w:rsidR="004E38BD" w:rsidRPr="00EC51B2" w:rsidRDefault="004E38BD" w:rsidP="004E38BD">
      <w:pPr>
        <w:rPr>
          <w:i/>
          <w:lang w:val="de-DE"/>
        </w:rPr>
      </w:pPr>
    </w:p>
    <w:p w14:paraId="4678F0D4" w14:textId="77777777" w:rsidR="00096F5E" w:rsidRPr="00EC51B2" w:rsidRDefault="00DE0D3B">
      <w:pPr>
        <w:pStyle w:val="Heading3"/>
        <w:rPr>
          <w:lang w:val="de-DE"/>
        </w:rPr>
      </w:pPr>
      <w:bookmarkStart w:id="6" w:name="_Toc148113969"/>
      <w:r w:rsidRPr="00EC51B2">
        <w:rPr>
          <w:lang w:val="de-DE"/>
        </w:rPr>
        <w:t>Bestehende Richtlinien zur Vertraulichkeit molekularer Informationen</w:t>
      </w:r>
      <w:bookmarkEnd w:id="6"/>
    </w:p>
    <w:p w14:paraId="28BBC198" w14:textId="77777777" w:rsidR="004B3AFD" w:rsidRPr="00EC51B2" w:rsidRDefault="004B3AFD" w:rsidP="004E38BD">
      <w:pPr>
        <w:rPr>
          <w:lang w:val="de-DE"/>
        </w:rPr>
      </w:pPr>
    </w:p>
    <w:p w14:paraId="45FEB01F"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Die TWV, die TWA, die TWO und die TWF nahmen zur Kenntnis, daß Sachverständige von Mitgliedern und Beobachtern in den TWP ersucht worden seien, über bestehende Grundsätze für die Vertraulichkeit molekularer Informationen zu berichten</w:t>
      </w:r>
      <w:r w:rsidR="00BA37F9" w:rsidRPr="00EC51B2">
        <w:rPr>
          <w:rStyle w:val="FootnoteReference"/>
          <w:lang w:val="de-DE"/>
        </w:rPr>
        <w:footnoteReference w:id="8"/>
      </w:r>
      <w:r w:rsidRPr="00EC51B2">
        <w:rPr>
          <w:lang w:val="de-DE"/>
        </w:rPr>
        <w:t xml:space="preserve"> .</w:t>
      </w:r>
    </w:p>
    <w:p w14:paraId="56B76F2D" w14:textId="77777777" w:rsidR="004E38BD" w:rsidRPr="00EC51B2" w:rsidRDefault="004E38BD" w:rsidP="004E38BD">
      <w:pPr>
        <w:rPr>
          <w:lang w:val="de-DE"/>
        </w:rPr>
      </w:pPr>
    </w:p>
    <w:p w14:paraId="5630E9FD"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Die TWV nahm zur Kenntnis, daß das Gemeinschaftliche Sortenamt der Europäischen Union (CPVO) eine Arbeitsgruppe zur Überarbeitung der CPVO-Politik bezüglich des Status von Pflanzenmaterial, das für DUS-Prüfungszwecke verwendet wird, eingesetzt habe. Die TWV nahm zur Kenntnis, daß Südafrika und Türkiye über eine Politik zur Vertraulichkeit molekularer Informationen verfügten und Informationen nur mit Zustimmung der Züchter weitergäben. </w:t>
      </w:r>
    </w:p>
    <w:p w14:paraId="2D8D642E" w14:textId="77777777" w:rsidR="00317807" w:rsidRPr="00EC51B2" w:rsidRDefault="00317807" w:rsidP="00317807">
      <w:pPr>
        <w:rPr>
          <w:lang w:val="de-DE"/>
        </w:rPr>
      </w:pPr>
    </w:p>
    <w:p w14:paraId="24490750"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Die TWA nahm den Bericht der Europäischen Union zur Kenntnis, daß eine Arbeitsgruppe zur Erörterung von Angelegenheiten im Zusammenhang mit der Vertraulichkeit molekularer Informationen eingesetzt worden sei.  </w:t>
      </w:r>
    </w:p>
    <w:p w14:paraId="20AA504C" w14:textId="77777777" w:rsidR="00317807" w:rsidRPr="00EC51B2" w:rsidRDefault="00317807" w:rsidP="00317807">
      <w:pPr>
        <w:rPr>
          <w:lang w:val="de-DE"/>
        </w:rPr>
      </w:pPr>
    </w:p>
    <w:p w14:paraId="40D72AFB"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Die TWF nahm den Bericht Frankreichs zur Kenntnis, daß im Rahmen eines regionalen Projekts (INVITE-Projekt) eine Politik bezüglich der Vertraulichkeit und des Eigentums an molekularen Informationen erörtert werde.</w:t>
      </w:r>
    </w:p>
    <w:p w14:paraId="1998C1F1" w14:textId="77777777" w:rsidR="004E38BD" w:rsidRPr="00EC51B2" w:rsidRDefault="004E38BD" w:rsidP="00323E4E">
      <w:pPr>
        <w:jc w:val="left"/>
        <w:rPr>
          <w:lang w:val="de-DE"/>
        </w:rPr>
      </w:pPr>
    </w:p>
    <w:p w14:paraId="1454FD77" w14:textId="77777777" w:rsidR="00096F5E" w:rsidRPr="00EC51B2" w:rsidRDefault="00DE0D3B">
      <w:pPr>
        <w:pStyle w:val="Heading3"/>
        <w:rPr>
          <w:lang w:val="de-DE"/>
        </w:rPr>
      </w:pPr>
      <w:bookmarkStart w:id="7" w:name="_Toc148113970"/>
      <w:r w:rsidRPr="00EC51B2">
        <w:rPr>
          <w:lang w:val="de-DE"/>
        </w:rPr>
        <w:t>Vortrag zum Thema "Vertraulichkeit molekularer Informationen"</w:t>
      </w:r>
      <w:bookmarkEnd w:id="7"/>
    </w:p>
    <w:p w14:paraId="1B8C7994" w14:textId="77777777" w:rsidR="009F4F6F" w:rsidRPr="00EC51B2" w:rsidRDefault="009F4F6F" w:rsidP="004718D1">
      <w:pPr>
        <w:keepNext/>
        <w:jc w:val="left"/>
        <w:rPr>
          <w:lang w:val="de-DE"/>
        </w:rPr>
      </w:pPr>
    </w:p>
    <w:p w14:paraId="7720D0D8" w14:textId="77777777" w:rsidR="00096F5E" w:rsidRPr="00EC51B2" w:rsidRDefault="00DE0D3B">
      <w:pPr>
        <w:keepNext/>
        <w:autoSpaceDE w:val="0"/>
        <w:autoSpaceDN w:val="0"/>
        <w:adjustRightInd w:val="0"/>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Die </w:t>
      </w:r>
      <w:r w:rsidR="00ED449E" w:rsidRPr="00EC51B2">
        <w:rPr>
          <w:lang w:val="de-DE"/>
        </w:rPr>
        <w:t xml:space="preserve">TWV, die TWA, die TWO und die TWF </w:t>
      </w:r>
      <w:r w:rsidRPr="00EC51B2">
        <w:rPr>
          <w:lang w:val="de-DE"/>
        </w:rPr>
        <w:t xml:space="preserve">hörten ein Referat über "Vertraulichkeit molekularer Informationen" von einem Sachverständigen von CropLife International im Namen des Afrikanischen Saatguthandelsverbandes (AFSTA), des Saatgutverbandes für Asien und den Pazifik (APSA), der Internationalen Gemeinschaft der Züchter vegetativ vermehrbarer Gartenbaupflanzen (CIOPORA), von CropLife International, Euroseeds, des Internationalen Saatgutverbandes (ISF) und des Saatgutverbandes für Amerika (SAA). Eine Kopie der Präsentation ist in den </w:t>
      </w:r>
      <w:r w:rsidR="00ED449E" w:rsidRPr="00EC51B2">
        <w:rPr>
          <w:lang w:val="de-DE"/>
        </w:rPr>
        <w:t xml:space="preserve">Dokumenten </w:t>
      </w:r>
      <w:r w:rsidRPr="00EC51B2">
        <w:rPr>
          <w:rFonts w:eastAsia="MS Mincho"/>
          <w:lang w:val="de-DE"/>
        </w:rPr>
        <w:t>TWV/57/25</w:t>
      </w:r>
      <w:r w:rsidR="00ED449E" w:rsidRPr="00EC51B2">
        <w:rPr>
          <w:rFonts w:eastAsia="MS Mincho"/>
          <w:lang w:val="de-DE"/>
        </w:rPr>
        <w:t xml:space="preserve">, </w:t>
      </w:r>
      <w:r w:rsidR="00ED449E" w:rsidRPr="00EC51B2">
        <w:rPr>
          <w:rFonts w:eastAsia="MS Mincho" w:cs="Arial"/>
          <w:lang w:val="de-DE"/>
        </w:rPr>
        <w:t xml:space="preserve">TWA/52/8, </w:t>
      </w:r>
      <w:r w:rsidR="00ED449E" w:rsidRPr="00EC51B2">
        <w:rPr>
          <w:lang w:val="de-DE"/>
        </w:rPr>
        <w:t>TWO/55/4 und TWF/54/4</w:t>
      </w:r>
      <w:r w:rsidR="00F418A0" w:rsidRPr="00EC51B2">
        <w:rPr>
          <w:rStyle w:val="FootnoteReference"/>
          <w:lang w:val="de-DE"/>
        </w:rPr>
        <w:footnoteReference w:id="9"/>
      </w:r>
      <w:r w:rsidRPr="00EC51B2">
        <w:rPr>
          <w:lang w:val="de-DE"/>
        </w:rPr>
        <w:t xml:space="preserve"> enthalten</w:t>
      </w:r>
      <w:r w:rsidRPr="00EC51B2">
        <w:rPr>
          <w:rFonts w:eastAsia="MS Mincho"/>
          <w:lang w:val="de-DE"/>
        </w:rPr>
        <w:t>.</w:t>
      </w:r>
    </w:p>
    <w:p w14:paraId="40F8E382" w14:textId="77777777" w:rsidR="00323E4E" w:rsidRPr="00EC51B2" w:rsidRDefault="00323E4E" w:rsidP="00323E4E">
      <w:pPr>
        <w:rPr>
          <w:lang w:val="de-DE"/>
        </w:rPr>
      </w:pPr>
    </w:p>
    <w:p w14:paraId="273CC194" w14:textId="77777777" w:rsidR="00096F5E" w:rsidRPr="00EC51B2" w:rsidRDefault="00DE0D3B">
      <w:pPr>
        <w:keepLines/>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Die TWV nahm die Vorschläge der Züchterorganisationen zu den Situationen zur Kenntnis, in denen sie wünschen, daß vor der Weitergabe molekularer Informationen an Dritte die Zustimmung des Züchters erforderlich ist oder nicht.  Die TWV-Teilnehmer ersuchten um Klärung der in den Vorschlägen beschriebenen besonderen Situationen, einschließlich der Frage, wie die Genehmigung für die Einrichtung gemeinsamer Datenbanken, die molekulare Informationen enthalten, eingeholt werden soll. </w:t>
      </w:r>
    </w:p>
    <w:p w14:paraId="60DB0BF4" w14:textId="77777777" w:rsidR="00317807" w:rsidRPr="00EC51B2" w:rsidRDefault="00317807" w:rsidP="00317807">
      <w:pPr>
        <w:rPr>
          <w:lang w:val="de-DE"/>
        </w:rPr>
      </w:pPr>
    </w:p>
    <w:p w14:paraId="4E666A87"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Die TWO prüfte die vorgeschlagenen Situationen, in denen die Zustimmung des Züchters in bezug auf molekulare Informationen erforderlich wäre bzw. nicht erforderlich wäre.  Die TWO vereinbarte, die Züchterorganisationen zu ersuchen, eine Vereinfachung der Vorschläge zu prüfen und die Situationen zu klären, in denen es für den Züchter schädlich wäre, molekulare Informationen einer geschützten Sorte offenzulegen.</w:t>
      </w:r>
    </w:p>
    <w:p w14:paraId="4A11A38B" w14:textId="77777777" w:rsidR="00317807" w:rsidRPr="00EC51B2" w:rsidRDefault="00317807" w:rsidP="00317807">
      <w:pPr>
        <w:rPr>
          <w:lang w:val="de-DE"/>
        </w:rPr>
      </w:pPr>
    </w:p>
    <w:p w14:paraId="21BBF7EB"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Die TWF ersuchte um Klarstellungen zu den in dem Referat beschriebenen Situationen und nahm die besondere Besorgnis der Züchterorganisationen in bezug auf die Offenlegung molekularer Informationen über Elternlinien von Hybridsorten zur Kenntnis.  Die TWF nahm die Aufforderung der Züchterorganisationen an die Mitglieder zur Kenntnis, Informationen über ihre Politik bezüglich der Vertraulichkeit molekularer Informationen zu erteilen.</w:t>
      </w:r>
    </w:p>
    <w:p w14:paraId="4322C5D7" w14:textId="77777777" w:rsidR="009F4F6F" w:rsidRPr="00EC51B2" w:rsidRDefault="009F4F6F" w:rsidP="00E209FA">
      <w:pPr>
        <w:rPr>
          <w:lang w:val="de-DE" w:eastAsia="ja-JP"/>
        </w:rPr>
      </w:pPr>
    </w:p>
    <w:bookmarkStart w:id="8" w:name="_Toc460313637"/>
    <w:p w14:paraId="280CB049" w14:textId="77777777" w:rsidR="00096F5E" w:rsidRPr="00EC51B2" w:rsidRDefault="00DE0D3B">
      <w:pPr>
        <w:tabs>
          <w:tab w:val="left" w:pos="5387"/>
        </w:tabs>
        <w:ind w:left="4820"/>
        <w:rPr>
          <w:i/>
          <w:snapToGrid w:val="0"/>
          <w:lang w:val="de-DE" w:eastAsia="ja-JP"/>
        </w:rPr>
      </w:pPr>
      <w:r w:rsidRPr="00EC51B2">
        <w:rPr>
          <w:i/>
          <w:snapToGrid w:val="0"/>
          <w:lang w:val="de-DE" w:eastAsia="ja-JP"/>
        </w:rPr>
        <w:fldChar w:fldCharType="begin"/>
      </w:r>
      <w:r w:rsidRPr="00EC51B2">
        <w:rPr>
          <w:i/>
          <w:snapToGrid w:val="0"/>
          <w:lang w:val="de-DE" w:eastAsia="ja-JP"/>
        </w:rPr>
        <w:instrText xml:space="preserve"> AUTONUM  </w:instrText>
      </w:r>
      <w:r w:rsidRPr="00EC51B2">
        <w:rPr>
          <w:i/>
          <w:snapToGrid w:val="0"/>
          <w:lang w:val="de-DE" w:eastAsia="ja-JP"/>
        </w:rPr>
        <w:fldChar w:fldCharType="end"/>
      </w:r>
      <w:r w:rsidRPr="00EC51B2">
        <w:rPr>
          <w:i/>
          <w:snapToGrid w:val="0"/>
          <w:lang w:val="de-DE" w:eastAsia="ja-JP"/>
        </w:rPr>
        <w:tab/>
      </w:r>
      <w:r w:rsidR="00D60967" w:rsidRPr="00EC51B2">
        <w:rPr>
          <w:i/>
          <w:snapToGrid w:val="0"/>
          <w:lang w:val="de-DE" w:eastAsia="ja-JP"/>
        </w:rPr>
        <w:t>Der TC wird dazu eingeladen</w:t>
      </w:r>
      <w:r w:rsidR="00A830D8" w:rsidRPr="00EC51B2">
        <w:rPr>
          <w:i/>
          <w:snapToGrid w:val="0"/>
          <w:lang w:val="de-DE" w:eastAsia="ja-JP"/>
        </w:rPr>
        <w:t>:</w:t>
      </w:r>
    </w:p>
    <w:p w14:paraId="09D39892" w14:textId="77777777" w:rsidR="00AD28D1" w:rsidRPr="00EC51B2" w:rsidRDefault="00AD28D1" w:rsidP="00E209FA">
      <w:pPr>
        <w:tabs>
          <w:tab w:val="left" w:pos="5387"/>
        </w:tabs>
        <w:ind w:left="4820"/>
        <w:rPr>
          <w:i/>
          <w:snapToGrid w:val="0"/>
          <w:lang w:val="de-DE" w:eastAsia="ja-JP"/>
        </w:rPr>
      </w:pPr>
    </w:p>
    <w:p w14:paraId="1590C76C" w14:textId="77777777" w:rsidR="00096F5E" w:rsidRPr="00EC51B2" w:rsidRDefault="00DE0D3B">
      <w:pPr>
        <w:tabs>
          <w:tab w:val="left" w:pos="5387"/>
          <w:tab w:val="left" w:pos="5954"/>
        </w:tabs>
        <w:ind w:left="4820"/>
        <w:rPr>
          <w:i/>
          <w:snapToGrid w:val="0"/>
          <w:lang w:val="de-DE" w:eastAsia="ja-JP"/>
        </w:rPr>
      </w:pPr>
      <w:r w:rsidRPr="00EC51B2">
        <w:rPr>
          <w:i/>
          <w:snapToGrid w:val="0"/>
          <w:lang w:val="de-DE" w:eastAsia="ja-JP"/>
        </w:rPr>
        <w:tab/>
        <w:t>(a)</w:t>
      </w:r>
      <w:r w:rsidRPr="00EC51B2">
        <w:rPr>
          <w:i/>
          <w:snapToGrid w:val="0"/>
          <w:lang w:val="de-DE" w:eastAsia="ja-JP"/>
        </w:rPr>
        <w:tab/>
      </w:r>
      <w:r w:rsidR="00AC5F03" w:rsidRPr="00EC51B2">
        <w:rPr>
          <w:i/>
          <w:snapToGrid w:val="0"/>
          <w:lang w:val="de-DE" w:eastAsia="ja-JP"/>
        </w:rPr>
        <w:t xml:space="preserve">die berichteten </w:t>
      </w:r>
      <w:r w:rsidRPr="00EC51B2">
        <w:rPr>
          <w:i/>
          <w:snapToGrid w:val="0"/>
          <w:lang w:val="de-DE" w:eastAsia="ja-JP"/>
        </w:rPr>
        <w:t xml:space="preserve">Strategien </w:t>
      </w:r>
      <w:r w:rsidR="00AC5F03" w:rsidRPr="00EC51B2">
        <w:rPr>
          <w:i/>
          <w:snapToGrid w:val="0"/>
          <w:lang w:val="de-DE" w:eastAsia="ja-JP"/>
        </w:rPr>
        <w:t xml:space="preserve">und Erörterungen </w:t>
      </w:r>
      <w:r w:rsidRPr="00EC51B2">
        <w:rPr>
          <w:i/>
          <w:snapToGrid w:val="0"/>
          <w:lang w:val="de-DE" w:eastAsia="ja-JP"/>
        </w:rPr>
        <w:t xml:space="preserve">über die Vertraulichkeit molekularer Informationen auf den TWP-Tagungen im Jahr 2023 zur Kenntnis zu nehmen; </w:t>
      </w:r>
      <w:r w:rsidR="00AC5F03" w:rsidRPr="00EC51B2">
        <w:rPr>
          <w:i/>
          <w:snapToGrid w:val="0"/>
          <w:lang w:val="de-DE" w:eastAsia="ja-JP"/>
        </w:rPr>
        <w:t>und</w:t>
      </w:r>
    </w:p>
    <w:p w14:paraId="6E3F3E6B" w14:textId="77777777" w:rsidR="00AD28D1" w:rsidRPr="00EC51B2" w:rsidRDefault="00AD28D1" w:rsidP="00E209FA">
      <w:pPr>
        <w:tabs>
          <w:tab w:val="left" w:pos="5387"/>
        </w:tabs>
        <w:ind w:left="4820"/>
        <w:rPr>
          <w:i/>
          <w:snapToGrid w:val="0"/>
          <w:lang w:val="de-DE" w:eastAsia="ja-JP"/>
        </w:rPr>
      </w:pPr>
    </w:p>
    <w:p w14:paraId="0B4A73F4" w14:textId="77777777" w:rsidR="00096F5E" w:rsidRPr="00EC51B2" w:rsidRDefault="00DE0D3B">
      <w:pPr>
        <w:tabs>
          <w:tab w:val="left" w:pos="5387"/>
          <w:tab w:val="left" w:pos="5954"/>
        </w:tabs>
        <w:ind w:left="4820"/>
        <w:rPr>
          <w:i/>
          <w:lang w:val="de-DE" w:eastAsia="ja-JP"/>
        </w:rPr>
      </w:pPr>
      <w:r w:rsidRPr="00EC51B2">
        <w:rPr>
          <w:i/>
          <w:snapToGrid w:val="0"/>
          <w:lang w:val="de-DE" w:eastAsia="ja-JP"/>
        </w:rPr>
        <w:tab/>
        <w:t>(b)</w:t>
      </w:r>
      <w:r w:rsidRPr="00EC51B2">
        <w:rPr>
          <w:i/>
          <w:snapToGrid w:val="0"/>
          <w:lang w:val="de-DE" w:eastAsia="ja-JP"/>
        </w:rPr>
        <w:tab/>
      </w:r>
      <w:r w:rsidR="00D60967" w:rsidRPr="00EC51B2">
        <w:rPr>
          <w:i/>
          <w:snapToGrid w:val="0"/>
          <w:lang w:val="de-DE" w:eastAsia="ja-JP"/>
        </w:rPr>
        <w:t xml:space="preserve">zu prüfen, ob die </w:t>
      </w:r>
      <w:r w:rsidR="00425B3B" w:rsidRPr="00EC51B2">
        <w:rPr>
          <w:i/>
          <w:snapToGrid w:val="0"/>
          <w:lang w:val="de-DE" w:eastAsia="ja-JP"/>
        </w:rPr>
        <w:t xml:space="preserve">Aufforderung an Mitglieder und Beobachter, bestehende Strategien zur Vertraulichkeit molekularer Informationen auf den </w:t>
      </w:r>
      <w:r w:rsidRPr="00EC51B2">
        <w:rPr>
          <w:i/>
          <w:snapToGrid w:val="0"/>
          <w:lang w:val="de-DE" w:eastAsia="ja-JP"/>
        </w:rPr>
        <w:t>Tagungen</w:t>
      </w:r>
      <w:r w:rsidR="00425B3B" w:rsidRPr="00EC51B2">
        <w:rPr>
          <w:i/>
          <w:snapToGrid w:val="0"/>
          <w:lang w:val="de-DE" w:eastAsia="ja-JP"/>
        </w:rPr>
        <w:t xml:space="preserve"> der TWP </w:t>
      </w:r>
      <w:r w:rsidRPr="00EC51B2">
        <w:rPr>
          <w:i/>
          <w:snapToGrid w:val="0"/>
          <w:lang w:val="de-DE" w:eastAsia="ja-JP"/>
        </w:rPr>
        <w:t xml:space="preserve">im Jahr 2024 zu </w:t>
      </w:r>
      <w:r w:rsidR="00425B3B" w:rsidRPr="00EC51B2">
        <w:rPr>
          <w:i/>
          <w:snapToGrid w:val="0"/>
          <w:lang w:val="de-DE" w:eastAsia="ja-JP"/>
        </w:rPr>
        <w:t>melden, beibehalten werden soll.</w:t>
      </w:r>
    </w:p>
    <w:p w14:paraId="424F0C77" w14:textId="77777777" w:rsidR="00E209FA" w:rsidRPr="00EC51B2" w:rsidRDefault="00E209FA" w:rsidP="00E209FA">
      <w:pPr>
        <w:rPr>
          <w:snapToGrid w:val="0"/>
          <w:lang w:val="de-DE" w:eastAsia="ja-JP"/>
        </w:rPr>
      </w:pPr>
    </w:p>
    <w:p w14:paraId="6D9E0D3D" w14:textId="77777777" w:rsidR="00A075C2" w:rsidRPr="00EC51B2" w:rsidRDefault="00A075C2" w:rsidP="00E209FA">
      <w:pPr>
        <w:rPr>
          <w:snapToGrid w:val="0"/>
          <w:lang w:val="de-DE" w:eastAsia="ja-JP"/>
        </w:rPr>
      </w:pPr>
    </w:p>
    <w:p w14:paraId="636EDF75" w14:textId="77777777" w:rsidR="00096F5E" w:rsidRPr="00EC51B2" w:rsidRDefault="00DE0D3B" w:rsidP="00DE0D3B">
      <w:pPr>
        <w:pStyle w:val="Heading1"/>
        <w:rPr>
          <w:snapToGrid w:val="0"/>
          <w:lang w:val="de-DE" w:eastAsia="ja-JP"/>
        </w:rPr>
      </w:pPr>
      <w:bookmarkStart w:id="9" w:name="_Toc148113971"/>
      <w:r w:rsidRPr="00EC51B2">
        <w:rPr>
          <w:snapToGrid w:val="0"/>
          <w:lang w:val="de-DE" w:eastAsia="ja-JP"/>
        </w:rPr>
        <w:lastRenderedPageBreak/>
        <w:t>Diskussion über molekulare Verfahren bei der DUS-Prüfung</w:t>
      </w:r>
      <w:bookmarkEnd w:id="9"/>
    </w:p>
    <w:p w14:paraId="2F7F86EA" w14:textId="77777777" w:rsidR="00A075C2" w:rsidRPr="00EC51B2" w:rsidRDefault="00A075C2" w:rsidP="00DE0D3B">
      <w:pPr>
        <w:keepNext/>
        <w:rPr>
          <w:snapToGrid w:val="0"/>
          <w:lang w:val="de-DE" w:eastAsia="ja-JP"/>
        </w:rPr>
      </w:pPr>
    </w:p>
    <w:p w14:paraId="4A6778B4"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Der TC vereinbarte auf seiner achtundfünfzigsten Tagung</w:t>
      </w:r>
      <w:r w:rsidRPr="00EC51B2">
        <w:rPr>
          <w:rStyle w:val="FootnoteReference"/>
          <w:lang w:val="de-DE"/>
        </w:rPr>
        <w:footnoteReference w:id="10"/>
      </w:r>
      <w:r w:rsidRPr="00EC51B2">
        <w:rPr>
          <w:lang w:val="de-DE"/>
        </w:rPr>
        <w:t xml:space="preserve"> , auf seiner neunundfünfzigsten Tagung um Referate für eine Diskussionstagung über molekulare Verfahren bei der DUS-Prüfung</w:t>
      </w:r>
      <w:r w:rsidR="001612B5" w:rsidRPr="00EC51B2">
        <w:rPr>
          <w:rStyle w:val="FootnoteReference"/>
          <w:lang w:val="de-DE"/>
        </w:rPr>
        <w:footnoteReference w:id="11"/>
      </w:r>
      <w:r w:rsidRPr="00EC51B2">
        <w:rPr>
          <w:lang w:val="de-DE"/>
        </w:rPr>
        <w:t xml:space="preserve"> zu ersuchen.  </w:t>
      </w:r>
    </w:p>
    <w:p w14:paraId="7E8E65FB" w14:textId="77777777" w:rsidR="00953A45" w:rsidRPr="00EC51B2" w:rsidRDefault="00953A45" w:rsidP="00A075C2">
      <w:pPr>
        <w:rPr>
          <w:lang w:val="de-DE"/>
        </w:rPr>
      </w:pPr>
    </w:p>
    <w:p w14:paraId="37EB5129" w14:textId="77777777" w:rsidR="00096F5E" w:rsidRPr="00EC51B2" w:rsidRDefault="00DE0D3B">
      <w:pPr>
        <w:rPr>
          <w:rFonts w:ascii="Calibri" w:hAnsi="Calibri"/>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r>
      <w:r w:rsidR="00A075C2" w:rsidRPr="00EC51B2">
        <w:rPr>
          <w:lang w:val="de-DE"/>
        </w:rPr>
        <w:t xml:space="preserve">Am 22. August 2023 gab das Verbandsbüro das Rundschreiben E-23/130 heraus, in dem die </w:t>
      </w:r>
      <w:r w:rsidR="00A075C2" w:rsidRPr="00EC51B2">
        <w:rPr>
          <w:rFonts w:cs="Arial"/>
          <w:lang w:val="de-DE"/>
        </w:rPr>
        <w:t xml:space="preserve">Verbandsmitglieder </w:t>
      </w:r>
      <w:r w:rsidR="00A075C2" w:rsidRPr="00EC51B2">
        <w:rPr>
          <w:lang w:val="de-DE"/>
        </w:rPr>
        <w:t>aufgefordert werden</w:t>
      </w:r>
      <w:r w:rsidR="00A075C2" w:rsidRPr="00EC51B2">
        <w:rPr>
          <w:rFonts w:cs="Arial"/>
          <w:lang w:val="de-DE"/>
        </w:rPr>
        <w:t>, auf der neunundfünfzigsten Tagung des Technischen Ausschusses (TC) am 24. Oktober 2023 ein Referat über die Verwendung molekularer Verfahren bei der DUS-Prüfung zu halten.</w:t>
      </w:r>
      <w:r w:rsidRPr="00EC51B2">
        <w:rPr>
          <w:rFonts w:cs="Arial"/>
          <w:lang w:val="de-DE"/>
        </w:rPr>
        <w:t xml:space="preserve">  Ziel ist es, dem TC Informationen über die Politik, die derzeitigen Verfahren und die künftigen Pläne bezüglich der Verwendung molekularer Marker bei der DUS-Prüfung zu erteilen.</w:t>
      </w:r>
    </w:p>
    <w:p w14:paraId="599558DA" w14:textId="77777777" w:rsidR="00A075C2" w:rsidRPr="00EC51B2" w:rsidRDefault="00A075C2" w:rsidP="00E209FA">
      <w:pPr>
        <w:rPr>
          <w:snapToGrid w:val="0"/>
          <w:lang w:val="de-DE" w:eastAsia="ja-JP"/>
        </w:rPr>
      </w:pPr>
    </w:p>
    <w:p w14:paraId="517E7D8F" w14:textId="77777777" w:rsidR="00096F5E" w:rsidRPr="00EC51B2" w:rsidRDefault="00DE0D3B">
      <w:pPr>
        <w:tabs>
          <w:tab w:val="left" w:pos="5387"/>
        </w:tabs>
        <w:ind w:left="4820"/>
        <w:rPr>
          <w:i/>
          <w:iCs/>
          <w:lang w:val="de-DE"/>
        </w:rPr>
      </w:pPr>
      <w:r w:rsidRPr="00EC51B2">
        <w:rPr>
          <w:i/>
          <w:iCs/>
          <w:snapToGrid w:val="0"/>
          <w:lang w:val="de-DE" w:eastAsia="ja-JP"/>
        </w:rPr>
        <w:fldChar w:fldCharType="begin"/>
      </w:r>
      <w:r w:rsidRPr="00EC51B2">
        <w:rPr>
          <w:i/>
          <w:iCs/>
          <w:snapToGrid w:val="0"/>
          <w:lang w:val="de-DE" w:eastAsia="ja-JP"/>
        </w:rPr>
        <w:instrText xml:space="preserve"> AUTONUM  </w:instrText>
      </w:r>
      <w:r w:rsidRPr="00EC51B2">
        <w:rPr>
          <w:i/>
          <w:iCs/>
          <w:snapToGrid w:val="0"/>
          <w:lang w:val="de-DE" w:eastAsia="ja-JP"/>
        </w:rPr>
        <w:fldChar w:fldCharType="end"/>
      </w:r>
      <w:r w:rsidRPr="00EC51B2">
        <w:rPr>
          <w:i/>
          <w:iCs/>
          <w:snapToGrid w:val="0"/>
          <w:lang w:val="de-DE" w:eastAsia="ja-JP"/>
        </w:rPr>
        <w:tab/>
        <w:t xml:space="preserve">Der TC wird ersucht, zur Kenntnis zu nehmen, daß </w:t>
      </w:r>
      <w:r w:rsidRPr="00EC51B2">
        <w:rPr>
          <w:i/>
          <w:iCs/>
          <w:lang w:val="de-DE"/>
        </w:rPr>
        <w:t xml:space="preserve">auf </w:t>
      </w:r>
      <w:r w:rsidR="00674731" w:rsidRPr="00EC51B2">
        <w:rPr>
          <w:i/>
          <w:iCs/>
          <w:lang w:val="de-DE"/>
        </w:rPr>
        <w:t xml:space="preserve">seiner </w:t>
      </w:r>
      <w:r w:rsidRPr="00EC51B2">
        <w:rPr>
          <w:i/>
          <w:iCs/>
          <w:lang w:val="de-DE"/>
        </w:rPr>
        <w:t xml:space="preserve">neunundfünfzigsten Tagung </w:t>
      </w:r>
      <w:r w:rsidRPr="00EC51B2">
        <w:rPr>
          <w:i/>
          <w:iCs/>
          <w:snapToGrid w:val="0"/>
          <w:lang w:val="de-DE" w:eastAsia="ja-JP"/>
        </w:rPr>
        <w:t xml:space="preserve">eine </w:t>
      </w:r>
      <w:r w:rsidRPr="00EC51B2">
        <w:rPr>
          <w:i/>
          <w:iCs/>
          <w:lang w:val="de-DE"/>
        </w:rPr>
        <w:t>Erörterungstagung über molekulare Verfahren bei der DUS-Prüfung stattfinden wird.</w:t>
      </w:r>
    </w:p>
    <w:p w14:paraId="7CA3B308" w14:textId="77777777" w:rsidR="000458A4" w:rsidRPr="00EC51B2" w:rsidRDefault="000458A4" w:rsidP="00E209FA">
      <w:pPr>
        <w:rPr>
          <w:snapToGrid w:val="0"/>
          <w:lang w:val="de-DE" w:eastAsia="ja-JP"/>
        </w:rPr>
      </w:pPr>
    </w:p>
    <w:p w14:paraId="2F18432D" w14:textId="77777777" w:rsidR="000458A4" w:rsidRPr="00EC51B2" w:rsidRDefault="000458A4" w:rsidP="00E209FA">
      <w:pPr>
        <w:rPr>
          <w:snapToGrid w:val="0"/>
          <w:lang w:val="de-DE" w:eastAsia="ja-JP"/>
        </w:rPr>
      </w:pPr>
    </w:p>
    <w:p w14:paraId="50D5E632" w14:textId="77777777" w:rsidR="00096F5E" w:rsidRPr="00EC51B2" w:rsidRDefault="00DE0D3B">
      <w:pPr>
        <w:pStyle w:val="Heading1"/>
        <w:rPr>
          <w:snapToGrid w:val="0"/>
          <w:lang w:val="de-DE" w:eastAsia="ja-JP"/>
        </w:rPr>
      </w:pPr>
      <w:bookmarkStart w:id="10" w:name="_Toc148113972"/>
      <w:r w:rsidRPr="00EC51B2">
        <w:rPr>
          <w:snapToGrid w:val="0"/>
          <w:lang w:val="de-DE" w:eastAsia="ja-JP"/>
        </w:rPr>
        <w:t>Fragen zur Information</w:t>
      </w:r>
      <w:bookmarkEnd w:id="10"/>
    </w:p>
    <w:p w14:paraId="38ECE5A1" w14:textId="77777777" w:rsidR="002C721C" w:rsidRPr="00EC51B2" w:rsidRDefault="002C721C" w:rsidP="002C721C">
      <w:pPr>
        <w:rPr>
          <w:lang w:val="de-DE"/>
        </w:rPr>
      </w:pPr>
    </w:p>
    <w:p w14:paraId="733226AE" w14:textId="77777777" w:rsidR="00096F5E" w:rsidRPr="00EC51B2" w:rsidRDefault="00DE0D3B">
      <w:pPr>
        <w:pStyle w:val="Heading2"/>
        <w:rPr>
          <w:lang w:val="de-DE"/>
        </w:rPr>
      </w:pPr>
      <w:bookmarkStart w:id="11" w:name="_Toc148113973"/>
      <w:r w:rsidRPr="00EC51B2">
        <w:rPr>
          <w:lang w:val="de-DE"/>
        </w:rPr>
        <w:t>Zweite Tagung der Technischen Arbeitsgruppe für Prüfungsverfahren und -techniken (TWM)</w:t>
      </w:r>
      <w:bookmarkEnd w:id="11"/>
    </w:p>
    <w:p w14:paraId="6602CF34" w14:textId="77777777" w:rsidR="00D75187" w:rsidRPr="00EC51B2" w:rsidRDefault="00D75187" w:rsidP="002C721C">
      <w:pPr>
        <w:rPr>
          <w:lang w:val="de-DE"/>
        </w:rPr>
      </w:pPr>
    </w:p>
    <w:p w14:paraId="14D3F09C"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Die zweite Tagung der Technischen Arbeitsgruppe für Prüfungsmethoden und -techniken (TWM) wird </w:t>
      </w:r>
      <w:r w:rsidRPr="00EC51B2">
        <w:rPr>
          <w:rFonts w:cs="Arial"/>
          <w:lang w:val="de-DE"/>
        </w:rPr>
        <w:t xml:space="preserve">vom 8. bis 12. April 2024 </w:t>
      </w:r>
      <w:r w:rsidRPr="00EC51B2">
        <w:rPr>
          <w:lang w:val="de-DE"/>
        </w:rPr>
        <w:t>als virtuelle Tagung abgehalten</w:t>
      </w:r>
      <w:r w:rsidRPr="00EC51B2">
        <w:rPr>
          <w:rFonts w:cs="Arial"/>
          <w:lang w:val="de-DE"/>
        </w:rPr>
        <w:t xml:space="preserve">.  Die </w:t>
      </w:r>
      <w:r w:rsidRPr="00EC51B2">
        <w:rPr>
          <w:lang w:val="de-DE"/>
        </w:rPr>
        <w:t>Dokumente für ihre zweite Tagung sollten dem Verbandsbüro bis zum 23. Februar 2024 vorgelegt werden.</w:t>
      </w:r>
    </w:p>
    <w:p w14:paraId="21C247AC" w14:textId="77777777" w:rsidR="00D75187" w:rsidRPr="00EC51B2" w:rsidRDefault="00D75187" w:rsidP="00D75187">
      <w:pPr>
        <w:rPr>
          <w:lang w:val="de-DE"/>
        </w:rPr>
      </w:pPr>
    </w:p>
    <w:p w14:paraId="35445166" w14:textId="77777777" w:rsidR="00096F5E" w:rsidRPr="00EC51B2" w:rsidRDefault="00DE0D3B">
      <w:pPr>
        <w:keepNext/>
        <w:rPr>
          <w:snapToGrid w:val="0"/>
          <w:lang w:val="de-DE"/>
        </w:rPr>
      </w:pPr>
      <w:r w:rsidRPr="00EC51B2">
        <w:rPr>
          <w:snapToGrid w:val="0"/>
          <w:lang w:val="de-DE"/>
        </w:rPr>
        <w:fldChar w:fldCharType="begin"/>
      </w:r>
      <w:r w:rsidRPr="00EC51B2">
        <w:rPr>
          <w:snapToGrid w:val="0"/>
          <w:lang w:val="de-DE"/>
        </w:rPr>
        <w:instrText xml:space="preserve"> AUTONUM  </w:instrText>
      </w:r>
      <w:r w:rsidRPr="00EC51B2">
        <w:rPr>
          <w:snapToGrid w:val="0"/>
          <w:lang w:val="de-DE"/>
        </w:rPr>
        <w:fldChar w:fldCharType="end"/>
      </w:r>
      <w:r w:rsidRPr="00EC51B2">
        <w:rPr>
          <w:snapToGrid w:val="0"/>
          <w:lang w:val="de-DE"/>
        </w:rPr>
        <w:tab/>
        <w:t xml:space="preserve">Die TWM </w:t>
      </w:r>
      <w:r w:rsidR="00754855" w:rsidRPr="00EC51B2">
        <w:rPr>
          <w:snapToGrid w:val="0"/>
          <w:lang w:val="de-DE"/>
        </w:rPr>
        <w:t xml:space="preserve">wird auf der </w:t>
      </w:r>
      <w:r w:rsidRPr="00EC51B2">
        <w:rPr>
          <w:lang w:val="de-DE"/>
        </w:rPr>
        <w:t xml:space="preserve">zweiten Tagung </w:t>
      </w:r>
      <w:r w:rsidRPr="00EC51B2">
        <w:rPr>
          <w:snapToGrid w:val="0"/>
          <w:lang w:val="de-DE"/>
        </w:rPr>
        <w:t>die folgenden Punkte erörtern:</w:t>
      </w:r>
    </w:p>
    <w:p w14:paraId="18F38D93" w14:textId="77777777" w:rsidR="00D75187" w:rsidRPr="00EC51B2" w:rsidRDefault="00D75187" w:rsidP="00754855">
      <w:pPr>
        <w:keepNext/>
        <w:rPr>
          <w:snapToGrid w:val="0"/>
          <w:lang w:val="de-DE"/>
        </w:rPr>
      </w:pPr>
    </w:p>
    <w:p w14:paraId="528AF9DF" w14:textId="77777777" w:rsidR="00096F5E" w:rsidRPr="00EC51B2" w:rsidRDefault="00DE0D3B">
      <w:pPr>
        <w:spacing w:line="276" w:lineRule="auto"/>
        <w:ind w:left="567"/>
        <w:rPr>
          <w:lang w:val="de-DE"/>
        </w:rPr>
      </w:pPr>
      <w:r w:rsidRPr="00EC51B2">
        <w:rPr>
          <w:lang w:val="de-DE"/>
        </w:rPr>
        <w:t>1. die Eröffnung der Sitzung</w:t>
      </w:r>
    </w:p>
    <w:p w14:paraId="38A0C611" w14:textId="77777777" w:rsidR="00096F5E" w:rsidRPr="00EC51B2" w:rsidRDefault="00DE0D3B">
      <w:pPr>
        <w:spacing w:line="276" w:lineRule="auto"/>
        <w:ind w:left="567"/>
        <w:rPr>
          <w:lang w:val="de-DE"/>
        </w:rPr>
      </w:pPr>
      <w:r w:rsidRPr="00EC51B2">
        <w:rPr>
          <w:lang w:val="de-DE"/>
        </w:rPr>
        <w:t>2. die Annahme der Tagesordnung</w:t>
      </w:r>
    </w:p>
    <w:p w14:paraId="0ADB3CCA" w14:textId="77777777" w:rsidR="00096F5E" w:rsidRPr="00EC51B2" w:rsidRDefault="00DE0D3B">
      <w:pPr>
        <w:spacing w:line="276" w:lineRule="auto"/>
        <w:ind w:left="567"/>
        <w:rPr>
          <w:lang w:val="de-DE"/>
        </w:rPr>
      </w:pPr>
      <w:r w:rsidRPr="00EC51B2">
        <w:rPr>
          <w:lang w:val="de-DE"/>
        </w:rPr>
        <w:t>3. die Entwicklungen im Sortenschutz:</w:t>
      </w:r>
    </w:p>
    <w:p w14:paraId="17B7D738" w14:textId="77777777" w:rsidR="00096F5E" w:rsidRPr="00EC51B2" w:rsidRDefault="00DE0D3B">
      <w:pPr>
        <w:tabs>
          <w:tab w:val="left" w:pos="1701"/>
        </w:tabs>
        <w:spacing w:line="276" w:lineRule="auto"/>
        <w:ind w:left="1701" w:hanging="567"/>
        <w:rPr>
          <w:lang w:val="de-DE"/>
        </w:rPr>
      </w:pPr>
      <w:r w:rsidRPr="00EC51B2">
        <w:rPr>
          <w:lang w:val="de-DE"/>
        </w:rPr>
        <w:t xml:space="preserve">(a) </w:t>
      </w:r>
      <w:r w:rsidRPr="00EC51B2">
        <w:rPr>
          <w:lang w:val="de-DE"/>
        </w:rPr>
        <w:tab/>
        <w:t>Berichte von Mitgliedern und Beobachtern (von den Mitgliedern und Beobachtern zu erstellende schriftliche Berichte)</w:t>
      </w:r>
    </w:p>
    <w:p w14:paraId="02C83DEA" w14:textId="77777777" w:rsidR="00096F5E" w:rsidRPr="00EC51B2" w:rsidRDefault="00DE0D3B">
      <w:pPr>
        <w:tabs>
          <w:tab w:val="left" w:pos="1701"/>
        </w:tabs>
        <w:spacing w:line="276" w:lineRule="auto"/>
        <w:ind w:left="1701" w:hanging="567"/>
        <w:rPr>
          <w:lang w:val="de-DE"/>
        </w:rPr>
      </w:pPr>
      <w:r w:rsidRPr="00EC51B2">
        <w:rPr>
          <w:lang w:val="de-DE"/>
        </w:rPr>
        <w:t xml:space="preserve">(b) </w:t>
      </w:r>
      <w:r w:rsidRPr="00EC51B2">
        <w:rPr>
          <w:lang w:val="de-DE"/>
        </w:rPr>
        <w:tab/>
        <w:t xml:space="preserve">Bericht über die Entwicklungen in der UPOV (Bericht des Verbandsbüros) </w:t>
      </w:r>
    </w:p>
    <w:p w14:paraId="56FBE0D2" w14:textId="77777777" w:rsidR="00096F5E" w:rsidRPr="00EC51B2" w:rsidRDefault="00DE0D3B">
      <w:pPr>
        <w:tabs>
          <w:tab w:val="left" w:pos="1134"/>
        </w:tabs>
        <w:spacing w:line="276" w:lineRule="auto"/>
        <w:ind w:left="1134" w:hanging="567"/>
        <w:rPr>
          <w:i/>
          <w:lang w:val="de-DE"/>
        </w:rPr>
      </w:pPr>
      <w:r w:rsidRPr="00EC51B2">
        <w:rPr>
          <w:lang w:val="de-DE"/>
        </w:rPr>
        <w:t xml:space="preserve">4. </w:t>
      </w:r>
      <w:r w:rsidRPr="00EC51B2">
        <w:rPr>
          <w:lang w:val="de-DE"/>
        </w:rPr>
        <w:tab/>
        <w:t xml:space="preserve">beratung und </w:t>
      </w:r>
      <w:r w:rsidRPr="00EC51B2">
        <w:rPr>
          <w:i/>
          <w:lang w:val="de-DE"/>
        </w:rPr>
        <w:t xml:space="preserve">zusammenarbeit </w:t>
      </w:r>
    </w:p>
    <w:p w14:paraId="17ECB594" w14:textId="77777777" w:rsidR="00096F5E" w:rsidRPr="00EC51B2" w:rsidRDefault="00DE0D3B">
      <w:pPr>
        <w:spacing w:line="276" w:lineRule="auto"/>
        <w:ind w:left="1710" w:hanging="630"/>
        <w:rPr>
          <w:lang w:val="de-DE"/>
        </w:rPr>
      </w:pPr>
      <w:r w:rsidRPr="00EC51B2">
        <w:rPr>
          <w:lang w:val="de-DE"/>
        </w:rPr>
        <w:t xml:space="preserve">(a) </w:t>
      </w:r>
      <w:r w:rsidRPr="00EC51B2">
        <w:rPr>
          <w:lang w:val="de-DE"/>
        </w:rPr>
        <w:tab/>
        <w:t>Ausarbeitung von Anleitung und Informationsmaterial (vom Verbandsbüro zu erstellendes Dokument)</w:t>
      </w:r>
    </w:p>
    <w:p w14:paraId="6EFEBEB6" w14:textId="77777777" w:rsidR="00096F5E" w:rsidRPr="00EC51B2" w:rsidRDefault="00DE0D3B">
      <w:pPr>
        <w:spacing w:line="276" w:lineRule="auto"/>
        <w:ind w:left="1710" w:hanging="630"/>
        <w:rPr>
          <w:lang w:val="de-DE"/>
        </w:rPr>
      </w:pPr>
      <w:r w:rsidRPr="00EC51B2">
        <w:rPr>
          <w:lang w:val="de-DE"/>
        </w:rPr>
        <w:t xml:space="preserve">(b) </w:t>
      </w:r>
      <w:r w:rsidRPr="00EC51B2">
        <w:rPr>
          <w:lang w:val="de-DE"/>
        </w:rPr>
        <w:tab/>
        <w:t>Verstärkte Beteiligung an der Arbeit des TC und der TWP (vom Verbandsbüro zu erstellendes Dokument)</w:t>
      </w:r>
    </w:p>
    <w:p w14:paraId="3DE7450D" w14:textId="77777777" w:rsidR="00096F5E" w:rsidRPr="00EC51B2" w:rsidRDefault="00DE0D3B">
      <w:pPr>
        <w:spacing w:line="276" w:lineRule="auto"/>
        <w:ind w:left="1710" w:hanging="630"/>
        <w:rPr>
          <w:lang w:val="de-DE"/>
        </w:rPr>
      </w:pPr>
      <w:r w:rsidRPr="00EC51B2">
        <w:rPr>
          <w:lang w:val="de-DE"/>
        </w:rPr>
        <w:t xml:space="preserve">(c) </w:t>
      </w:r>
      <w:r w:rsidRPr="00EC51B2">
        <w:rPr>
          <w:lang w:val="de-DE"/>
        </w:rPr>
        <w:tab/>
        <w:t>Zusammenarbeit bei der Prüfung (vom Verbandsbüro zu erstellendes Dokument)</w:t>
      </w:r>
    </w:p>
    <w:p w14:paraId="6C50E427" w14:textId="77777777" w:rsidR="00096F5E" w:rsidRPr="00EC51B2" w:rsidRDefault="00DE0D3B">
      <w:pPr>
        <w:keepNext/>
        <w:spacing w:line="276" w:lineRule="auto"/>
        <w:ind w:left="1710" w:hanging="630"/>
        <w:rPr>
          <w:lang w:val="de-DE"/>
        </w:rPr>
      </w:pPr>
      <w:r w:rsidRPr="00EC51B2">
        <w:rPr>
          <w:lang w:val="de-DE"/>
        </w:rPr>
        <w:t>(d)</w:t>
      </w:r>
      <w:r w:rsidRPr="00EC51B2">
        <w:rPr>
          <w:lang w:val="de-DE"/>
        </w:rPr>
        <w:tab/>
        <w:t>Informationen und Datenbanken</w:t>
      </w:r>
    </w:p>
    <w:p w14:paraId="764DA39A" w14:textId="77777777" w:rsidR="00096F5E" w:rsidRPr="00EC51B2" w:rsidRDefault="00DE0D3B" w:rsidP="00D616AB">
      <w:pPr>
        <w:keepNext/>
        <w:spacing w:line="276" w:lineRule="auto"/>
        <w:ind w:left="1985" w:hanging="275"/>
        <w:rPr>
          <w:lang w:val="de-DE"/>
        </w:rPr>
      </w:pPr>
      <w:r w:rsidRPr="00EC51B2">
        <w:rPr>
          <w:lang w:val="de-DE"/>
        </w:rPr>
        <w:t>-</w:t>
      </w:r>
      <w:r w:rsidR="00D616AB">
        <w:rPr>
          <w:lang w:val="de-DE"/>
        </w:rPr>
        <w:tab/>
      </w:r>
      <w:r w:rsidRPr="00EC51B2">
        <w:rPr>
          <w:lang w:val="de-DE"/>
        </w:rPr>
        <w:t xml:space="preserve">UPOV PRISMA (vom Verbandsbüro zu erstellendes Dokument) </w:t>
      </w:r>
    </w:p>
    <w:p w14:paraId="1B8A3978" w14:textId="77777777" w:rsidR="00096F5E" w:rsidRPr="00EC51B2" w:rsidRDefault="00D616AB" w:rsidP="00D616AB">
      <w:pPr>
        <w:spacing w:line="276" w:lineRule="auto"/>
        <w:ind w:left="1985" w:hanging="275"/>
        <w:rPr>
          <w:lang w:val="de-DE"/>
        </w:rPr>
      </w:pPr>
      <w:r>
        <w:rPr>
          <w:lang w:val="de-DE"/>
        </w:rPr>
        <w:t>-</w:t>
      </w:r>
      <w:r w:rsidR="00DE0D3B" w:rsidRPr="00EC51B2">
        <w:rPr>
          <w:lang w:val="de-DE"/>
        </w:rPr>
        <w:tab/>
        <w:t>UPOV-Informationsdatenbanken (vom Verbandsbüro zu erstellendes Dokument)</w:t>
      </w:r>
    </w:p>
    <w:p w14:paraId="20CB6113" w14:textId="77777777" w:rsidR="00096F5E" w:rsidRPr="00EC51B2" w:rsidRDefault="00DE0D3B" w:rsidP="00D616AB">
      <w:pPr>
        <w:spacing w:line="276" w:lineRule="auto"/>
        <w:ind w:left="1985" w:hanging="275"/>
        <w:rPr>
          <w:lang w:val="de-DE"/>
        </w:rPr>
      </w:pPr>
      <w:r w:rsidRPr="00EC51B2">
        <w:rPr>
          <w:lang w:val="de-DE"/>
        </w:rPr>
        <w:t>-</w:t>
      </w:r>
      <w:r w:rsidR="00D616AB">
        <w:rPr>
          <w:lang w:val="de-DE"/>
        </w:rPr>
        <w:tab/>
      </w:r>
      <w:r w:rsidRPr="00EC51B2">
        <w:rPr>
          <w:lang w:val="de-DE"/>
        </w:rPr>
        <w:t xml:space="preserve">Vielfältige Beschreibungsdatenbanken, einschließlich Datenbanken mit molekularen Daten (das Verbandsbüro wird ein Dokument ausarbeiten und um Beiträge bitten) </w:t>
      </w:r>
    </w:p>
    <w:p w14:paraId="3557DD63" w14:textId="77777777" w:rsidR="00096F5E" w:rsidRPr="00EC51B2" w:rsidRDefault="00DE0D3B" w:rsidP="00D616AB">
      <w:pPr>
        <w:spacing w:line="276" w:lineRule="auto"/>
        <w:ind w:left="1985" w:hanging="275"/>
        <w:rPr>
          <w:lang w:val="de-DE"/>
        </w:rPr>
      </w:pPr>
      <w:r w:rsidRPr="00EC51B2">
        <w:rPr>
          <w:lang w:val="de-DE"/>
        </w:rPr>
        <w:t>-</w:t>
      </w:r>
      <w:r w:rsidR="00D616AB">
        <w:rPr>
          <w:lang w:val="de-DE"/>
        </w:rPr>
        <w:tab/>
      </w:r>
      <w:r w:rsidRPr="00EC51B2">
        <w:rPr>
          <w:lang w:val="de-DE"/>
        </w:rPr>
        <w:t>Vielfältige Bezeichnungen (vom Verbandsbüro zu erstellendes Dokument)</w:t>
      </w:r>
    </w:p>
    <w:p w14:paraId="06D4DD62" w14:textId="77777777" w:rsidR="00096F5E" w:rsidRPr="00EC51B2" w:rsidRDefault="00DE0D3B">
      <w:pPr>
        <w:spacing w:line="276" w:lineRule="auto"/>
        <w:ind w:left="1134" w:hanging="567"/>
        <w:rPr>
          <w:i/>
          <w:lang w:val="de-DE"/>
        </w:rPr>
      </w:pPr>
      <w:r w:rsidRPr="00EC51B2">
        <w:rPr>
          <w:lang w:val="de-DE"/>
        </w:rPr>
        <w:t xml:space="preserve">5 </w:t>
      </w:r>
      <w:r w:rsidRPr="00EC51B2">
        <w:rPr>
          <w:lang w:val="de-DE"/>
        </w:rPr>
        <w:tab/>
        <w:t>Software und statistische Analyseverfahren für die DUS-Prüfung</w:t>
      </w:r>
    </w:p>
    <w:p w14:paraId="2F3DB7D8" w14:textId="77777777" w:rsidR="00096F5E" w:rsidRPr="00EC51B2" w:rsidRDefault="00DE0D3B" w:rsidP="00D616AB">
      <w:pPr>
        <w:spacing w:line="276" w:lineRule="auto"/>
        <w:ind w:left="1710" w:hanging="630"/>
        <w:rPr>
          <w:lang w:val="de-DE"/>
        </w:rPr>
      </w:pPr>
      <w:r w:rsidRPr="00EC51B2">
        <w:rPr>
          <w:lang w:val="de-DE"/>
        </w:rPr>
        <w:t xml:space="preserve">(a) </w:t>
      </w:r>
      <w:r w:rsidRPr="00EC51B2">
        <w:rPr>
          <w:lang w:val="de-DE"/>
        </w:rPr>
        <w:tab/>
        <w:t>Statistische Hilfsmittel und Verfahren für die DUS-Prüfung (Beiträge erbeten)</w:t>
      </w:r>
    </w:p>
    <w:p w14:paraId="6DC298A1" w14:textId="77777777" w:rsidR="00096F5E" w:rsidRPr="00EC51B2" w:rsidRDefault="00DE0D3B" w:rsidP="00DE0D3B">
      <w:pPr>
        <w:spacing w:line="276" w:lineRule="auto"/>
        <w:ind w:left="1985" w:hanging="275"/>
        <w:rPr>
          <w:lang w:val="de-DE"/>
        </w:rPr>
      </w:pPr>
      <w:r w:rsidRPr="00EC51B2">
        <w:rPr>
          <w:lang w:val="de-DE"/>
        </w:rPr>
        <w:t>-</w:t>
      </w:r>
      <w:r w:rsidR="00D616AB">
        <w:rPr>
          <w:lang w:val="de-DE"/>
        </w:rPr>
        <w:tab/>
      </w:r>
      <w:r w:rsidRPr="00EC51B2">
        <w:rPr>
          <w:lang w:val="de-DE"/>
        </w:rPr>
        <w:t>Das kombinierte Homogenitätskriterium über mehrere Jahre (COYU) (vom Verbandsbüro zu erstellendes Dokument)</w:t>
      </w:r>
    </w:p>
    <w:p w14:paraId="5D665D69" w14:textId="77777777" w:rsidR="00096F5E" w:rsidRPr="00EC51B2" w:rsidRDefault="00D616AB" w:rsidP="00DE0D3B">
      <w:pPr>
        <w:spacing w:line="276" w:lineRule="auto"/>
        <w:ind w:left="1985" w:hanging="275"/>
        <w:rPr>
          <w:lang w:val="de-DE"/>
        </w:rPr>
      </w:pPr>
      <w:r>
        <w:rPr>
          <w:lang w:val="de-DE"/>
        </w:rPr>
        <w:t>-</w:t>
      </w:r>
      <w:r>
        <w:rPr>
          <w:lang w:val="de-DE"/>
        </w:rPr>
        <w:tab/>
      </w:r>
      <w:r w:rsidR="00DE0D3B" w:rsidRPr="00EC51B2">
        <w:rPr>
          <w:lang w:val="de-DE"/>
        </w:rPr>
        <w:t>Entwicklung von Software für die verbesserte COYU-Methode (Splines) (vom Vereinigten Königreich zu erstellendes Dokument)</w:t>
      </w:r>
    </w:p>
    <w:p w14:paraId="3B1A67FA" w14:textId="77777777" w:rsidR="00096F5E" w:rsidRPr="00EC51B2" w:rsidRDefault="00DE0D3B" w:rsidP="00DE0D3B">
      <w:pPr>
        <w:spacing w:line="276" w:lineRule="auto"/>
        <w:ind w:left="1985" w:hanging="275"/>
        <w:rPr>
          <w:lang w:val="de-DE"/>
        </w:rPr>
      </w:pPr>
      <w:r w:rsidRPr="00EC51B2">
        <w:rPr>
          <w:lang w:val="de-DE"/>
        </w:rPr>
        <w:t>-</w:t>
      </w:r>
      <w:r w:rsidR="00D616AB">
        <w:rPr>
          <w:lang w:val="de-DE"/>
        </w:rPr>
        <w:tab/>
      </w:r>
      <w:r w:rsidRPr="00EC51B2">
        <w:rPr>
          <w:lang w:val="de-DE"/>
        </w:rPr>
        <w:t xml:space="preserve">Extrapolation in Bezug auf COYU (vom Vereinigten Königreich zu erstellendes Dokument und Aufforderung zur Einreichung von Beiträgen) </w:t>
      </w:r>
    </w:p>
    <w:p w14:paraId="7F13ABB2" w14:textId="77777777" w:rsidR="00096F5E" w:rsidRPr="00EC51B2" w:rsidRDefault="00DE0D3B" w:rsidP="00DE0D3B">
      <w:pPr>
        <w:spacing w:line="276" w:lineRule="auto"/>
        <w:ind w:left="1985" w:hanging="275"/>
        <w:rPr>
          <w:lang w:val="de-DE"/>
        </w:rPr>
      </w:pPr>
      <w:r w:rsidRPr="00EC51B2">
        <w:rPr>
          <w:lang w:val="de-DE"/>
        </w:rPr>
        <w:t>-</w:t>
      </w:r>
      <w:r w:rsidR="00D616AB">
        <w:rPr>
          <w:lang w:val="de-DE"/>
        </w:rPr>
        <w:tab/>
      </w:r>
      <w:r w:rsidRPr="00EC51B2">
        <w:rPr>
          <w:lang w:val="de-DE"/>
        </w:rPr>
        <w:t>Vergleich der Ergebnisse der Verfahren COYD und COYU unter Verwendung unterschiedlicher Software (Dokument wird von Frankreich erstellt)</w:t>
      </w:r>
    </w:p>
    <w:p w14:paraId="30AECF9D" w14:textId="77777777" w:rsidR="00096F5E" w:rsidRPr="00EC51B2" w:rsidRDefault="00DE0D3B" w:rsidP="00DE0D3B">
      <w:pPr>
        <w:spacing w:line="276" w:lineRule="auto"/>
        <w:ind w:left="1985" w:hanging="275"/>
        <w:rPr>
          <w:lang w:val="de-DE"/>
        </w:rPr>
      </w:pPr>
      <w:r w:rsidRPr="00EC51B2">
        <w:rPr>
          <w:lang w:val="de-DE"/>
        </w:rPr>
        <w:lastRenderedPageBreak/>
        <w:t>-</w:t>
      </w:r>
      <w:r w:rsidR="00D616AB">
        <w:rPr>
          <w:lang w:val="de-DE"/>
        </w:rPr>
        <w:tab/>
      </w:r>
      <w:r w:rsidRPr="00EC51B2">
        <w:rPr>
          <w:lang w:val="de-DE"/>
        </w:rPr>
        <w:t>Entwicklung einer Big-Data-Plattform für die DUS-Prüfung (von China zu erstellendes Dokument)</w:t>
      </w:r>
    </w:p>
    <w:p w14:paraId="3D5F8EEE" w14:textId="77777777" w:rsidR="00096F5E" w:rsidRPr="00EC51B2" w:rsidRDefault="00DE0D3B" w:rsidP="00D616AB">
      <w:pPr>
        <w:spacing w:line="276" w:lineRule="auto"/>
        <w:ind w:left="1710" w:hanging="630"/>
        <w:rPr>
          <w:lang w:val="de-DE"/>
        </w:rPr>
      </w:pPr>
      <w:r w:rsidRPr="00EC51B2">
        <w:rPr>
          <w:lang w:val="de-DE"/>
        </w:rPr>
        <w:t xml:space="preserve">(b) </w:t>
      </w:r>
      <w:r w:rsidRPr="00EC51B2">
        <w:rPr>
          <w:lang w:val="de-DE"/>
        </w:rPr>
        <w:tab/>
        <w:t>Austausch und Verwendung von Software und Ausrüstung (vom Verbandsbüro zu erstellendes Dokument und Aufforderung zur Einreichung von Unterlagen)</w:t>
      </w:r>
    </w:p>
    <w:p w14:paraId="15FB1296" w14:textId="77777777" w:rsidR="00096F5E" w:rsidRPr="00EC51B2" w:rsidRDefault="00DE0D3B" w:rsidP="00D616AB">
      <w:pPr>
        <w:spacing w:line="276" w:lineRule="auto"/>
        <w:ind w:left="1985" w:hanging="275"/>
        <w:rPr>
          <w:lang w:val="de-DE"/>
        </w:rPr>
      </w:pPr>
      <w:r w:rsidRPr="00EC51B2">
        <w:rPr>
          <w:lang w:val="de-DE"/>
        </w:rPr>
        <w:t>-</w:t>
      </w:r>
      <w:r w:rsidR="00D616AB">
        <w:rPr>
          <w:lang w:val="de-DE"/>
        </w:rPr>
        <w:tab/>
      </w:r>
      <w:r w:rsidRPr="00EC51B2">
        <w:rPr>
          <w:lang w:val="de-DE"/>
        </w:rPr>
        <w:t>Entwicklung von Software für statistische Analysen: DUSCEL (von China zu erstellendes Dokument)</w:t>
      </w:r>
    </w:p>
    <w:p w14:paraId="5C04BAF7" w14:textId="77777777" w:rsidR="00096F5E" w:rsidRPr="00EC51B2" w:rsidRDefault="00DE0D3B" w:rsidP="00D616AB">
      <w:pPr>
        <w:keepNext/>
        <w:spacing w:line="276" w:lineRule="auto"/>
        <w:ind w:left="1134" w:hanging="567"/>
        <w:rPr>
          <w:lang w:val="de-DE"/>
        </w:rPr>
      </w:pPr>
      <w:r w:rsidRPr="00EC51B2">
        <w:rPr>
          <w:lang w:val="de-DE"/>
        </w:rPr>
        <w:t xml:space="preserve">6. </w:t>
      </w:r>
      <w:r w:rsidR="00D616AB">
        <w:rPr>
          <w:lang w:val="de-DE"/>
        </w:rPr>
        <w:tab/>
      </w:r>
      <w:r w:rsidRPr="00EC51B2">
        <w:rPr>
          <w:lang w:val="de-DE"/>
        </w:rPr>
        <w:t>die Phänotypisierung und Bildanalyse (Beiträge erwünscht)</w:t>
      </w:r>
    </w:p>
    <w:p w14:paraId="3C857198" w14:textId="77777777" w:rsidR="00096F5E" w:rsidRPr="00EC51B2" w:rsidRDefault="00DE0D3B" w:rsidP="00D616AB">
      <w:pPr>
        <w:spacing w:line="276" w:lineRule="auto"/>
        <w:ind w:left="1985" w:hanging="275"/>
        <w:rPr>
          <w:lang w:val="de-DE"/>
        </w:rPr>
      </w:pPr>
      <w:r w:rsidRPr="00EC51B2">
        <w:rPr>
          <w:lang w:val="de-DE"/>
        </w:rPr>
        <w:t>-</w:t>
      </w:r>
      <w:r w:rsidR="00865D23">
        <w:rPr>
          <w:lang w:val="de-DE"/>
        </w:rPr>
        <w:tab/>
      </w:r>
      <w:r w:rsidRPr="00EC51B2">
        <w:rPr>
          <w:lang w:val="de-DE"/>
        </w:rPr>
        <w:t>Bewertung von Farbmerkmalen mit Hilfe der Bildanalyse (Beiträge erwünscht)</w:t>
      </w:r>
    </w:p>
    <w:p w14:paraId="6663A238" w14:textId="77777777" w:rsidR="00096F5E" w:rsidRPr="00EC51B2" w:rsidRDefault="00DE0D3B">
      <w:pPr>
        <w:spacing w:line="276" w:lineRule="auto"/>
        <w:ind w:left="1134" w:hanging="567"/>
        <w:rPr>
          <w:lang w:val="de-DE"/>
        </w:rPr>
      </w:pPr>
      <w:r w:rsidRPr="00EC51B2">
        <w:rPr>
          <w:lang w:val="de-DE"/>
        </w:rPr>
        <w:t xml:space="preserve">7. </w:t>
      </w:r>
      <w:r w:rsidR="00D616AB">
        <w:rPr>
          <w:lang w:val="de-DE"/>
        </w:rPr>
        <w:tab/>
      </w:r>
      <w:r w:rsidRPr="00EC51B2">
        <w:rPr>
          <w:lang w:val="de-DE"/>
        </w:rPr>
        <w:t>die Entwicklung der Molekulartechniken und der Bioinformatik</w:t>
      </w:r>
    </w:p>
    <w:p w14:paraId="17531B8F" w14:textId="77777777" w:rsidR="00096F5E" w:rsidRPr="00EC51B2" w:rsidRDefault="00DE0D3B" w:rsidP="00D616AB">
      <w:pPr>
        <w:spacing w:line="276" w:lineRule="auto"/>
        <w:ind w:left="1710" w:hanging="630"/>
        <w:rPr>
          <w:lang w:val="de-DE"/>
        </w:rPr>
      </w:pPr>
      <w:r w:rsidRPr="00EC51B2">
        <w:rPr>
          <w:lang w:val="de-DE"/>
        </w:rPr>
        <w:t xml:space="preserve">(a) </w:t>
      </w:r>
      <w:r w:rsidRPr="00EC51B2">
        <w:rPr>
          <w:lang w:val="de-DE"/>
        </w:rPr>
        <w:tab/>
        <w:t>Neueste Entwicklungen in der Molekulartechnik und Bioinformatik (Beiträge erwünscht)</w:t>
      </w:r>
    </w:p>
    <w:p w14:paraId="6A54EEED" w14:textId="77777777" w:rsidR="00096F5E" w:rsidRPr="00EC51B2" w:rsidRDefault="00DE0D3B" w:rsidP="00D616AB">
      <w:pPr>
        <w:spacing w:line="276" w:lineRule="auto"/>
        <w:ind w:left="1710" w:hanging="630"/>
        <w:rPr>
          <w:lang w:val="de-DE"/>
        </w:rPr>
      </w:pPr>
      <w:r w:rsidRPr="00EC51B2">
        <w:rPr>
          <w:lang w:val="de-DE"/>
        </w:rPr>
        <w:t xml:space="preserve">(b) </w:t>
      </w:r>
      <w:r w:rsidRPr="00EC51B2">
        <w:rPr>
          <w:lang w:val="de-DE"/>
        </w:rPr>
        <w:tab/>
        <w:t>Zusammenarbeit zwischen internationalen Organisationen (vom Verbandsbüro auszuarbeitendes Dokument, zu dem um Beiträge gebeten wird)</w:t>
      </w:r>
    </w:p>
    <w:p w14:paraId="575ED9DB" w14:textId="77777777" w:rsidR="00096F5E" w:rsidRPr="00EC51B2" w:rsidRDefault="00DE0D3B" w:rsidP="00D616AB">
      <w:pPr>
        <w:spacing w:line="276" w:lineRule="auto"/>
        <w:ind w:left="1710" w:hanging="630"/>
        <w:rPr>
          <w:lang w:val="de-DE"/>
        </w:rPr>
      </w:pPr>
      <w:r w:rsidRPr="00EC51B2">
        <w:rPr>
          <w:lang w:val="de-DE"/>
        </w:rPr>
        <w:t xml:space="preserve">(c) </w:t>
      </w:r>
      <w:r w:rsidRPr="00EC51B2">
        <w:rPr>
          <w:lang w:val="de-DE"/>
        </w:rPr>
        <w:tab/>
        <w:t>Bericht über die Arbeit an molekularen Verfahren im Zusammenhang mit der DUS-Prüfung (Unterlagen erbeten)</w:t>
      </w:r>
    </w:p>
    <w:p w14:paraId="6CD885A4" w14:textId="77777777" w:rsidR="00096F5E" w:rsidRPr="00EC51B2" w:rsidRDefault="00DE0D3B" w:rsidP="00D616AB">
      <w:pPr>
        <w:spacing w:line="276" w:lineRule="auto"/>
        <w:ind w:left="1710" w:hanging="630"/>
        <w:rPr>
          <w:lang w:val="de-DE"/>
        </w:rPr>
      </w:pPr>
      <w:r w:rsidRPr="00EC51B2">
        <w:rPr>
          <w:lang w:val="de-DE"/>
        </w:rPr>
        <w:t xml:space="preserve">(d) </w:t>
      </w:r>
      <w:r w:rsidRPr="00EC51B2">
        <w:rPr>
          <w:lang w:val="de-DE"/>
        </w:rPr>
        <w:tab/>
        <w:t xml:space="preserve">Methoden für die Analyse molekularer Daten, die Verwaltung von Datenbanken und den Austausch von Daten und Material (Beiträge erwünscht) </w:t>
      </w:r>
    </w:p>
    <w:p w14:paraId="498BD1AC" w14:textId="77777777" w:rsidR="00096F5E" w:rsidRPr="00EC51B2" w:rsidRDefault="00DE0D3B" w:rsidP="00D616AB">
      <w:pPr>
        <w:spacing w:line="276" w:lineRule="auto"/>
        <w:ind w:left="1710" w:hanging="630"/>
        <w:rPr>
          <w:lang w:val="de-DE"/>
        </w:rPr>
      </w:pPr>
      <w:r w:rsidRPr="00EC51B2">
        <w:rPr>
          <w:lang w:val="de-DE"/>
        </w:rPr>
        <w:t>(e)</w:t>
      </w:r>
      <w:r w:rsidRPr="00EC51B2">
        <w:rPr>
          <w:lang w:val="de-DE"/>
        </w:rPr>
        <w:tab/>
        <w:t>Vertraulichkeit, Eigentum und Zugang zu molekularen Daten, einschließlich Mustervertragsvorlage</w:t>
      </w:r>
      <w:r w:rsidRPr="00EC51B2">
        <w:rPr>
          <w:vertAlign w:val="superscript"/>
          <w:lang w:val="de-DE"/>
        </w:rPr>
        <w:t xml:space="preserve">1 </w:t>
      </w:r>
      <w:r w:rsidRPr="00EC51B2">
        <w:rPr>
          <w:lang w:val="de-DE"/>
        </w:rPr>
        <w:t xml:space="preserve"> (Beiträge erbeten)</w:t>
      </w:r>
    </w:p>
    <w:p w14:paraId="13F79F4F" w14:textId="77777777" w:rsidR="00096F5E" w:rsidRPr="00EC51B2" w:rsidRDefault="00DE0D3B" w:rsidP="00D616AB">
      <w:pPr>
        <w:spacing w:line="276" w:lineRule="auto"/>
        <w:ind w:left="1985" w:hanging="275"/>
        <w:rPr>
          <w:vertAlign w:val="superscript"/>
          <w:lang w:val="de-DE"/>
        </w:rPr>
      </w:pPr>
      <w:r w:rsidRPr="00EC51B2">
        <w:rPr>
          <w:lang w:val="de-DE"/>
        </w:rPr>
        <w:t>-</w:t>
      </w:r>
      <w:r w:rsidRPr="00EC51B2">
        <w:rPr>
          <w:lang w:val="de-DE"/>
        </w:rPr>
        <w:tab/>
      </w:r>
      <w:r w:rsidRPr="00EC51B2">
        <w:rPr>
          <w:rFonts w:cs="Arial"/>
          <w:iCs/>
          <w:lang w:val="de-DE"/>
        </w:rPr>
        <w:t xml:space="preserve">Beispiele für Strategien zur Vertraulichkeit und zum Zugang zu molekularen Informationsdaten </w:t>
      </w:r>
      <w:r w:rsidRPr="00EC51B2">
        <w:rPr>
          <w:lang w:val="de-DE"/>
        </w:rPr>
        <w:t>(Beiträge erwünscht)</w:t>
      </w:r>
    </w:p>
    <w:p w14:paraId="1DA75BCA" w14:textId="77777777" w:rsidR="00096F5E" w:rsidRPr="00EC51B2" w:rsidRDefault="00DE0D3B" w:rsidP="00D616AB">
      <w:pPr>
        <w:spacing w:line="276" w:lineRule="auto"/>
        <w:ind w:left="1710" w:hanging="630"/>
        <w:rPr>
          <w:lang w:val="de-DE"/>
        </w:rPr>
      </w:pPr>
      <w:r w:rsidRPr="00EC51B2">
        <w:rPr>
          <w:lang w:val="de-DE"/>
        </w:rPr>
        <w:t xml:space="preserve">(f) </w:t>
      </w:r>
      <w:r w:rsidRPr="00EC51B2">
        <w:rPr>
          <w:lang w:val="de-DE"/>
        </w:rPr>
        <w:tab/>
        <w:t>Einsatz von Molekulartechniken bei der Untersuchung der wesentlichen Ableitungen</w:t>
      </w:r>
      <w:r w:rsidRPr="00D616AB">
        <w:rPr>
          <w:lang w:val="de-DE"/>
        </w:rPr>
        <w:footnoteReference w:id="12"/>
      </w:r>
      <w:r w:rsidRPr="00EC51B2">
        <w:rPr>
          <w:lang w:val="de-DE"/>
        </w:rPr>
        <w:t xml:space="preserve"> (Beiträge erwünscht)</w:t>
      </w:r>
    </w:p>
    <w:p w14:paraId="38790FCD" w14:textId="77777777" w:rsidR="00096F5E" w:rsidRPr="00EC51B2" w:rsidRDefault="00DE0D3B" w:rsidP="00D616AB">
      <w:pPr>
        <w:spacing w:line="276" w:lineRule="auto"/>
        <w:ind w:left="1710" w:hanging="630"/>
        <w:rPr>
          <w:lang w:val="de-DE"/>
        </w:rPr>
      </w:pPr>
      <w:r w:rsidRPr="00EC51B2">
        <w:rPr>
          <w:lang w:val="de-DE"/>
        </w:rPr>
        <w:t xml:space="preserve">(g) </w:t>
      </w:r>
      <w:r w:rsidRPr="00EC51B2">
        <w:rPr>
          <w:lang w:val="de-DE"/>
        </w:rPr>
        <w:tab/>
        <w:t>Anwendung molekularer Verfahren bei der Sortenidentifikation</w:t>
      </w:r>
      <w:r w:rsidRPr="00D616AB">
        <w:rPr>
          <w:lang w:val="de-DE"/>
        </w:rPr>
        <w:t>1</w:t>
      </w:r>
      <w:r w:rsidRPr="00EC51B2">
        <w:rPr>
          <w:lang w:val="de-DE"/>
        </w:rPr>
        <w:t xml:space="preserve"> (Beiträge erbeten)</w:t>
      </w:r>
    </w:p>
    <w:p w14:paraId="176006E3" w14:textId="77777777" w:rsidR="00096F5E" w:rsidRPr="00EC51B2" w:rsidRDefault="00DE0D3B" w:rsidP="00D616AB">
      <w:pPr>
        <w:spacing w:line="276" w:lineRule="auto"/>
        <w:ind w:left="1710" w:hanging="630"/>
        <w:rPr>
          <w:lang w:val="de-DE"/>
        </w:rPr>
      </w:pPr>
      <w:r w:rsidRPr="00EC51B2">
        <w:rPr>
          <w:lang w:val="de-DE"/>
        </w:rPr>
        <w:t xml:space="preserve">(h) </w:t>
      </w:r>
      <w:r w:rsidRPr="00EC51B2">
        <w:rPr>
          <w:lang w:val="de-DE"/>
        </w:rPr>
        <w:tab/>
        <w:t>Einsatz molekularer Techniken zur Durchsetzung der Rechtsvorschriften</w:t>
      </w:r>
      <w:r w:rsidRPr="00EC51B2">
        <w:rPr>
          <w:vertAlign w:val="superscript"/>
          <w:lang w:val="de-DE"/>
        </w:rPr>
        <w:t>1</w:t>
      </w:r>
      <w:r w:rsidRPr="00EC51B2">
        <w:rPr>
          <w:lang w:val="de-DE"/>
        </w:rPr>
        <w:t xml:space="preserve"> (Beiträge erwünscht)</w:t>
      </w:r>
    </w:p>
    <w:p w14:paraId="59F4FD04" w14:textId="77777777" w:rsidR="00096F5E" w:rsidRPr="00EC51B2" w:rsidRDefault="00DE0D3B">
      <w:pPr>
        <w:spacing w:line="276" w:lineRule="auto"/>
        <w:ind w:left="1134" w:hanging="567"/>
        <w:rPr>
          <w:lang w:val="de-DE"/>
        </w:rPr>
      </w:pPr>
      <w:r w:rsidRPr="00EC51B2">
        <w:rPr>
          <w:lang w:val="de-DE"/>
        </w:rPr>
        <w:t xml:space="preserve">8. </w:t>
      </w:r>
      <w:r w:rsidR="00D616AB">
        <w:rPr>
          <w:lang w:val="de-DE"/>
        </w:rPr>
        <w:tab/>
      </w:r>
      <w:r w:rsidRPr="00EC51B2">
        <w:rPr>
          <w:lang w:val="de-DE"/>
        </w:rPr>
        <w:t>Datum und Ort der nächsten Sitzung</w:t>
      </w:r>
    </w:p>
    <w:p w14:paraId="269B7864" w14:textId="77777777" w:rsidR="00096F5E" w:rsidRPr="00EC51B2" w:rsidRDefault="00DE0D3B">
      <w:pPr>
        <w:spacing w:line="276" w:lineRule="auto"/>
        <w:ind w:left="1134" w:hanging="567"/>
        <w:rPr>
          <w:lang w:val="de-DE"/>
        </w:rPr>
      </w:pPr>
      <w:r w:rsidRPr="00EC51B2">
        <w:rPr>
          <w:lang w:val="de-DE"/>
        </w:rPr>
        <w:t>9.</w:t>
      </w:r>
      <w:r w:rsidRPr="00EC51B2">
        <w:rPr>
          <w:lang w:val="de-DE"/>
        </w:rPr>
        <w:tab/>
        <w:t>zukünftiges Programm</w:t>
      </w:r>
    </w:p>
    <w:p w14:paraId="35666A6C" w14:textId="77777777" w:rsidR="00096F5E" w:rsidRPr="00EC51B2" w:rsidRDefault="00DE0D3B">
      <w:pPr>
        <w:spacing w:line="276" w:lineRule="auto"/>
        <w:ind w:left="1134" w:hanging="567"/>
        <w:rPr>
          <w:lang w:val="de-DE"/>
        </w:rPr>
      </w:pPr>
      <w:r w:rsidRPr="00EC51B2">
        <w:rPr>
          <w:lang w:val="de-DE"/>
        </w:rPr>
        <w:t>10.</w:t>
      </w:r>
      <w:r w:rsidRPr="00EC51B2">
        <w:rPr>
          <w:lang w:val="de-DE"/>
        </w:rPr>
        <w:tab/>
        <w:t>Verabschiedung des Sitzungsberichts (wenn es die Zeit erlaubt)</w:t>
      </w:r>
    </w:p>
    <w:p w14:paraId="350D7FC3" w14:textId="77777777" w:rsidR="00096F5E" w:rsidRPr="00EC51B2" w:rsidRDefault="00DE0D3B">
      <w:pPr>
        <w:spacing w:line="276" w:lineRule="auto"/>
        <w:ind w:left="1134" w:hanging="567"/>
        <w:rPr>
          <w:lang w:val="de-DE"/>
        </w:rPr>
      </w:pPr>
      <w:r w:rsidRPr="00EC51B2">
        <w:rPr>
          <w:lang w:val="de-DE"/>
        </w:rPr>
        <w:t xml:space="preserve">11. </w:t>
      </w:r>
      <w:r w:rsidRPr="00EC51B2">
        <w:rPr>
          <w:lang w:val="de-DE"/>
        </w:rPr>
        <w:tab/>
        <w:t>Abschluss der Sitzung</w:t>
      </w:r>
    </w:p>
    <w:p w14:paraId="61EB1D1A" w14:textId="77777777" w:rsidR="00D75187" w:rsidRPr="00EC51B2" w:rsidRDefault="00D75187" w:rsidP="002C721C">
      <w:pPr>
        <w:rPr>
          <w:lang w:val="de-DE"/>
        </w:rPr>
      </w:pPr>
    </w:p>
    <w:p w14:paraId="13C8504E" w14:textId="77777777" w:rsidR="00D75187" w:rsidRPr="00EC51B2" w:rsidRDefault="00D75187" w:rsidP="002C721C">
      <w:pPr>
        <w:rPr>
          <w:lang w:val="de-DE"/>
        </w:rPr>
      </w:pPr>
    </w:p>
    <w:p w14:paraId="06BD7C5B" w14:textId="77777777" w:rsidR="00096F5E" w:rsidRPr="00EC51B2" w:rsidRDefault="00DE0D3B">
      <w:pPr>
        <w:pStyle w:val="Heading2"/>
        <w:rPr>
          <w:rFonts w:eastAsia="MS Mincho"/>
          <w:lang w:val="de-DE"/>
        </w:rPr>
      </w:pPr>
      <w:bookmarkStart w:id="12" w:name="_Toc148113974"/>
      <w:r w:rsidRPr="00EC51B2">
        <w:rPr>
          <w:rFonts w:eastAsia="MS Mincho"/>
          <w:lang w:val="de-DE"/>
        </w:rPr>
        <w:t>Referate über die Anwendung molekularer Verfahren bei der DUS-Prüfung</w:t>
      </w:r>
      <w:bookmarkEnd w:id="12"/>
    </w:p>
    <w:p w14:paraId="2E58757E" w14:textId="77777777" w:rsidR="002C721C" w:rsidRPr="00EC51B2" w:rsidRDefault="002C721C" w:rsidP="002C721C">
      <w:pPr>
        <w:keepNext/>
        <w:rPr>
          <w:lang w:val="de-DE"/>
        </w:rPr>
      </w:pPr>
    </w:p>
    <w:p w14:paraId="12A032BA"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Die TWA</w:t>
      </w:r>
      <w:r w:rsidRPr="00EC51B2">
        <w:rPr>
          <w:rStyle w:val="FootnoteReference"/>
          <w:lang w:val="de-DE"/>
        </w:rPr>
        <w:footnoteReference w:id="13"/>
      </w:r>
      <w:r w:rsidRPr="00EC51B2">
        <w:rPr>
          <w:lang w:val="de-DE"/>
        </w:rPr>
        <w:t xml:space="preserve"> hörte ein Referat eines Sachverständigen aus Argentinien über die "Erfahrung Argentiniens mit der Genotypisierung von Reis".  Eine Kopie des Referats ist in Anlage I </w:t>
      </w:r>
      <w:r w:rsidR="006A1465" w:rsidRPr="00EC51B2">
        <w:rPr>
          <w:lang w:val="de-DE"/>
        </w:rPr>
        <w:t xml:space="preserve">des </w:t>
      </w:r>
      <w:r w:rsidRPr="00EC51B2">
        <w:rPr>
          <w:lang w:val="de-DE"/>
        </w:rPr>
        <w:t xml:space="preserve">Dokuments </w:t>
      </w:r>
      <w:r w:rsidRPr="00EC51B2">
        <w:rPr>
          <w:rFonts w:eastAsia="MS Mincho"/>
          <w:lang w:val="de-DE"/>
        </w:rPr>
        <w:t>TWA/52/6</w:t>
      </w:r>
      <w:r w:rsidRPr="00EC51B2">
        <w:rPr>
          <w:rStyle w:val="FootnoteReference"/>
          <w:rFonts w:eastAsia="MS Mincho"/>
          <w:lang w:val="de-DE"/>
        </w:rPr>
        <w:footnoteReference w:id="14"/>
      </w:r>
      <w:r w:rsidRPr="00EC51B2">
        <w:rPr>
          <w:lang w:val="de-DE"/>
        </w:rPr>
        <w:t xml:space="preserve"> enthalten</w:t>
      </w:r>
      <w:r w:rsidRPr="00EC51B2">
        <w:rPr>
          <w:rFonts w:eastAsia="MS Mincho"/>
          <w:lang w:val="de-DE"/>
        </w:rPr>
        <w:t>.</w:t>
      </w:r>
    </w:p>
    <w:p w14:paraId="26C6B5C8" w14:textId="77777777" w:rsidR="002C721C" w:rsidRPr="00EC51B2" w:rsidRDefault="002C721C" w:rsidP="002C721C">
      <w:pPr>
        <w:rPr>
          <w:lang w:val="de-DE"/>
        </w:rPr>
      </w:pPr>
    </w:p>
    <w:p w14:paraId="30387394"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Die TWA hörte ein Referat über die "Verwendung molekularer Verfahren bei der DUS-Prüfung: Feldversuche - Einzelheiten der argentinischen Erfahrung mit Sojabohne" von einem Sachverständigen aus Argentinien.  Eine Kopie des Referats ist in Anlage II </w:t>
      </w:r>
      <w:r w:rsidR="006A1465" w:rsidRPr="00EC51B2">
        <w:rPr>
          <w:lang w:val="de-DE"/>
        </w:rPr>
        <w:t xml:space="preserve">des </w:t>
      </w:r>
      <w:r w:rsidRPr="00EC51B2">
        <w:rPr>
          <w:lang w:val="de-DE"/>
        </w:rPr>
        <w:t xml:space="preserve">Dokuments </w:t>
      </w:r>
      <w:r w:rsidRPr="00EC51B2">
        <w:rPr>
          <w:rFonts w:eastAsia="MS Mincho"/>
          <w:lang w:val="de-DE"/>
        </w:rPr>
        <w:t xml:space="preserve">TWA/52/6 </w:t>
      </w:r>
      <w:r w:rsidRPr="00EC51B2">
        <w:rPr>
          <w:lang w:val="de-DE"/>
        </w:rPr>
        <w:t>enthalten</w:t>
      </w:r>
      <w:r w:rsidRPr="00EC51B2">
        <w:rPr>
          <w:rFonts w:eastAsia="MS Mincho"/>
          <w:lang w:val="de-DE"/>
        </w:rPr>
        <w:t>.</w:t>
      </w:r>
    </w:p>
    <w:p w14:paraId="00B6B7E8" w14:textId="77777777" w:rsidR="002C721C" w:rsidRPr="00EC51B2" w:rsidRDefault="002C721C" w:rsidP="002C721C">
      <w:pPr>
        <w:keepNext/>
        <w:rPr>
          <w:lang w:val="de-DE"/>
        </w:rPr>
      </w:pPr>
    </w:p>
    <w:p w14:paraId="7CB9E92A" w14:textId="77777777" w:rsidR="00096F5E" w:rsidRPr="00EC51B2" w:rsidRDefault="00DE0D3B">
      <w:pPr>
        <w:keepNext/>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Die TWF</w:t>
      </w:r>
      <w:r w:rsidRPr="00EC51B2">
        <w:rPr>
          <w:rStyle w:val="FootnoteReference"/>
          <w:lang w:val="de-DE"/>
        </w:rPr>
        <w:footnoteReference w:id="15"/>
      </w:r>
      <w:r w:rsidRPr="00EC51B2">
        <w:rPr>
          <w:lang w:val="de-DE"/>
        </w:rPr>
        <w:t xml:space="preserve"> hörte ein Referat über die Verwendung molekularer Marker zur Unterstützung der DUS-Prüfung in Frankreich, von dem ein Exemplar in Dokument TWF/54/3</w:t>
      </w:r>
      <w:r w:rsidRPr="00EC51B2">
        <w:rPr>
          <w:rStyle w:val="FootnoteReference"/>
          <w:lang w:val="de-DE"/>
        </w:rPr>
        <w:footnoteReference w:id="16"/>
      </w:r>
      <w:r w:rsidRPr="00EC51B2">
        <w:rPr>
          <w:lang w:val="de-DE"/>
        </w:rPr>
        <w:t xml:space="preserve"> enthalten sein wird.  </w:t>
      </w:r>
    </w:p>
    <w:p w14:paraId="0332DEB5" w14:textId="77777777" w:rsidR="002C721C" w:rsidRPr="00EC51B2" w:rsidRDefault="002C721C" w:rsidP="00E209FA">
      <w:pPr>
        <w:rPr>
          <w:snapToGrid w:val="0"/>
          <w:lang w:val="de-DE" w:eastAsia="ja-JP"/>
        </w:rPr>
      </w:pPr>
    </w:p>
    <w:p w14:paraId="51967ABA" w14:textId="77777777" w:rsidR="002C721C" w:rsidRPr="00EC51B2" w:rsidRDefault="002C721C" w:rsidP="00E209FA">
      <w:pPr>
        <w:rPr>
          <w:snapToGrid w:val="0"/>
          <w:lang w:val="de-DE" w:eastAsia="ja-JP"/>
        </w:rPr>
      </w:pPr>
    </w:p>
    <w:p w14:paraId="14EF1B86" w14:textId="77777777" w:rsidR="00096F5E" w:rsidRPr="00EC51B2" w:rsidRDefault="00DE0D3B">
      <w:pPr>
        <w:pStyle w:val="Heading2"/>
        <w:rPr>
          <w:lang w:val="de-DE" w:eastAsia="ja-JP"/>
        </w:rPr>
      </w:pPr>
      <w:bookmarkStart w:id="13" w:name="_Toc525647214"/>
      <w:bookmarkStart w:id="14" w:name="_Toc526175654"/>
      <w:bookmarkStart w:id="15" w:name="_Toc148113975"/>
      <w:r w:rsidRPr="00EC51B2">
        <w:rPr>
          <w:lang w:val="de-DE" w:eastAsia="ja-JP"/>
        </w:rPr>
        <w:t>Zusammenarbeit zwischen internationalen Organisationen</w:t>
      </w:r>
      <w:bookmarkEnd w:id="13"/>
      <w:bookmarkEnd w:id="14"/>
      <w:bookmarkEnd w:id="15"/>
    </w:p>
    <w:p w14:paraId="33FFA804" w14:textId="77777777" w:rsidR="00E209FA" w:rsidRPr="00EC51B2" w:rsidRDefault="00E209FA" w:rsidP="00E209FA">
      <w:pPr>
        <w:keepNext/>
        <w:rPr>
          <w:rFonts w:cs="Arial"/>
          <w:iCs/>
          <w:lang w:val="de-DE"/>
        </w:rPr>
      </w:pPr>
    </w:p>
    <w:p w14:paraId="71DD6E1A" w14:textId="77777777" w:rsidR="00096F5E" w:rsidRPr="00EC51B2" w:rsidRDefault="00DE0D3B">
      <w:pPr>
        <w:rPr>
          <w:rFonts w:eastAsiaTheme="minorEastAsia"/>
          <w:lang w:val="de-DE" w:eastAsia="ja-JP"/>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r>
      <w:r w:rsidRPr="00EC51B2">
        <w:rPr>
          <w:rFonts w:eastAsiaTheme="minorEastAsia"/>
          <w:lang w:val="de-DE" w:eastAsia="ja-JP"/>
        </w:rPr>
        <w:t xml:space="preserve">Der Hintergrund dieser Angelegenheit ist in Dokument TC/58/7 </w:t>
      </w:r>
      <w:r w:rsidRPr="00EC51B2">
        <w:rPr>
          <w:lang w:val="de-DE" w:eastAsia="ja-JP"/>
        </w:rPr>
        <w:t xml:space="preserve">"Molecular Techniques" </w:t>
      </w:r>
      <w:r w:rsidRPr="00EC51B2">
        <w:rPr>
          <w:rFonts w:eastAsiaTheme="minorEastAsia"/>
          <w:lang w:val="de-DE" w:eastAsia="ja-JP"/>
        </w:rPr>
        <w:t>dargelegt.</w:t>
      </w:r>
    </w:p>
    <w:p w14:paraId="56D5D4AE" w14:textId="77777777" w:rsidR="00E209FA" w:rsidRPr="00EC51B2" w:rsidRDefault="00E209FA" w:rsidP="00E209FA">
      <w:pPr>
        <w:rPr>
          <w:rFonts w:eastAsiaTheme="minorEastAsia"/>
          <w:lang w:val="de-DE" w:eastAsia="ja-JP"/>
        </w:rPr>
      </w:pPr>
    </w:p>
    <w:p w14:paraId="644CED27" w14:textId="77777777" w:rsidR="00096F5E" w:rsidRPr="00EC51B2" w:rsidRDefault="00DE0D3B">
      <w:pPr>
        <w:rPr>
          <w:rFonts w:eastAsiaTheme="minorEastAsia"/>
          <w:lang w:val="de-DE" w:eastAsia="ja-JP"/>
        </w:rPr>
      </w:pPr>
      <w:r w:rsidRPr="00EC51B2">
        <w:rPr>
          <w:rFonts w:eastAsiaTheme="minorEastAsia"/>
          <w:lang w:val="de-DE" w:eastAsia="ja-JP"/>
        </w:rPr>
        <w:lastRenderedPageBreak/>
        <w:fldChar w:fldCharType="begin"/>
      </w:r>
      <w:r w:rsidRPr="00EC51B2">
        <w:rPr>
          <w:rFonts w:eastAsiaTheme="minorEastAsia"/>
          <w:lang w:val="de-DE" w:eastAsia="ja-JP"/>
        </w:rPr>
        <w:instrText xml:space="preserve"> AUTONUM  </w:instrText>
      </w:r>
      <w:r w:rsidRPr="00EC51B2">
        <w:rPr>
          <w:rFonts w:eastAsiaTheme="minorEastAsia"/>
          <w:lang w:val="de-DE" w:eastAsia="ja-JP"/>
        </w:rPr>
        <w:fldChar w:fldCharType="end"/>
      </w:r>
      <w:r w:rsidRPr="00EC51B2">
        <w:rPr>
          <w:rFonts w:eastAsiaTheme="minorEastAsia"/>
          <w:lang w:val="de-DE" w:eastAsia="ja-JP"/>
        </w:rPr>
        <w:tab/>
        <w:t>Der TC vereinbarte auf seiner vierundfünfzigsten Tagung</w:t>
      </w:r>
      <w:r w:rsidRPr="00EC51B2">
        <w:rPr>
          <w:rFonts w:eastAsiaTheme="minorEastAsia"/>
          <w:vertAlign w:val="superscript"/>
          <w:lang w:val="de-DE" w:eastAsia="ja-JP"/>
        </w:rPr>
        <w:footnoteReference w:id="17"/>
      </w:r>
      <w:r w:rsidRPr="00EC51B2">
        <w:rPr>
          <w:rFonts w:eastAsiaTheme="minorEastAsia"/>
          <w:lang w:val="de-DE" w:eastAsia="ja-JP"/>
        </w:rPr>
        <w:t xml:space="preserve"> , daß die UPOV und die OECD Fortschritte in den zuvor vom TC vereinbarten Angelegenheiten erzielen sollten, nämlich (vergleiche Dokument TC/54/31 "Report", Absatz 268</w:t>
      </w:r>
      <w:r w:rsidR="00794A18" w:rsidRPr="00EC51B2">
        <w:rPr>
          <w:rFonts w:eastAsiaTheme="minorEastAsia"/>
          <w:lang w:val="de-DE" w:eastAsia="ja-JP"/>
        </w:rPr>
        <w:t>)</w:t>
      </w:r>
      <w:r w:rsidRPr="00EC51B2">
        <w:rPr>
          <w:rFonts w:eastAsiaTheme="minorEastAsia"/>
          <w:lang w:val="de-DE" w:eastAsia="ja-JP"/>
        </w:rPr>
        <w:t xml:space="preserve">: </w:t>
      </w:r>
    </w:p>
    <w:p w14:paraId="7632D81E" w14:textId="77777777" w:rsidR="00E209FA" w:rsidRPr="00EC51B2" w:rsidRDefault="00E209FA" w:rsidP="00E209FA">
      <w:pPr>
        <w:rPr>
          <w:rFonts w:eastAsiaTheme="minorEastAsia"/>
          <w:lang w:val="de-DE" w:eastAsia="ja-JP"/>
        </w:rPr>
      </w:pPr>
    </w:p>
    <w:p w14:paraId="1799E6C5" w14:textId="77777777" w:rsidR="00096F5E" w:rsidRPr="00EC51B2" w:rsidRDefault="00DE0D3B">
      <w:pPr>
        <w:ind w:firstLine="567"/>
        <w:rPr>
          <w:rFonts w:eastAsiaTheme="minorEastAsia"/>
          <w:lang w:val="de-DE" w:eastAsia="ja-JP"/>
        </w:rPr>
      </w:pPr>
      <w:r w:rsidRPr="00EC51B2">
        <w:rPr>
          <w:rFonts w:eastAsiaTheme="minorEastAsia"/>
          <w:lang w:val="de-DE" w:eastAsia="ja-JP"/>
        </w:rPr>
        <w:t xml:space="preserve">(a) </w:t>
      </w:r>
      <w:r w:rsidRPr="00EC51B2">
        <w:rPr>
          <w:rFonts w:eastAsiaTheme="minorEastAsia"/>
          <w:lang w:val="de-DE" w:eastAsia="ja-JP"/>
        </w:rPr>
        <w:tab/>
        <w:t xml:space="preserve">Ausarbeitung eines gemeinsamen Dokuments, in dem die wichtigsten Merkmale der Systeme von OECD, UPOV und ISTA erläutert werden; </w:t>
      </w:r>
    </w:p>
    <w:p w14:paraId="0636CE64" w14:textId="77777777" w:rsidR="00E209FA" w:rsidRPr="00EC51B2" w:rsidRDefault="00E209FA" w:rsidP="00E209FA">
      <w:pPr>
        <w:ind w:firstLine="567"/>
        <w:rPr>
          <w:rFonts w:eastAsiaTheme="minorEastAsia"/>
          <w:lang w:val="de-DE" w:eastAsia="ja-JP"/>
        </w:rPr>
      </w:pPr>
    </w:p>
    <w:p w14:paraId="7F9875FE" w14:textId="77777777" w:rsidR="00096F5E" w:rsidRPr="00EC51B2" w:rsidRDefault="00DE0D3B">
      <w:pPr>
        <w:ind w:firstLine="567"/>
        <w:rPr>
          <w:rFonts w:eastAsiaTheme="minorEastAsia"/>
          <w:lang w:val="de-DE" w:eastAsia="ja-JP"/>
        </w:rPr>
      </w:pPr>
      <w:r w:rsidRPr="00EC51B2">
        <w:rPr>
          <w:rFonts w:eastAsiaTheme="minorEastAsia"/>
          <w:lang w:val="de-DE" w:eastAsia="ja-JP"/>
        </w:rPr>
        <w:t xml:space="preserve">(b) vorbehaltlich der Zustimmung des Rates und in Abstimmung mit OECD und ISTA ein Verzeichnis über die Verwendung molekularer Markerverfahren nach Pflanzenarten im Hinblick auf die Ausarbeitung eines gemeinsamen OECD/UPOV/ISTA-Dokuments mit diesen Informationen in einem ähnlichen Format wie das UPOV-Dokument UPOV/INF/16 "Austauschbare Software" zu erstellen; und </w:t>
      </w:r>
    </w:p>
    <w:p w14:paraId="16F37CCC" w14:textId="77777777" w:rsidR="00E209FA" w:rsidRPr="00EC51B2" w:rsidRDefault="00E209FA" w:rsidP="00E209FA">
      <w:pPr>
        <w:ind w:firstLine="567"/>
        <w:rPr>
          <w:rFonts w:eastAsiaTheme="minorEastAsia"/>
          <w:lang w:val="de-DE" w:eastAsia="ja-JP"/>
        </w:rPr>
      </w:pPr>
    </w:p>
    <w:p w14:paraId="16076AC4" w14:textId="77777777" w:rsidR="00096F5E" w:rsidRPr="00EC51B2" w:rsidRDefault="00DE0D3B">
      <w:pPr>
        <w:ind w:firstLine="567"/>
        <w:rPr>
          <w:rFonts w:eastAsiaTheme="minorEastAsia"/>
          <w:lang w:val="de-DE" w:eastAsia="ja-JP"/>
        </w:rPr>
      </w:pPr>
      <w:r w:rsidRPr="00EC51B2">
        <w:rPr>
          <w:rFonts w:eastAsiaTheme="minorEastAsia"/>
          <w:lang w:val="de-DE" w:eastAsia="ja-JP"/>
        </w:rPr>
        <w:t xml:space="preserve">(c) </w:t>
      </w:r>
      <w:r w:rsidRPr="00EC51B2">
        <w:rPr>
          <w:rFonts w:eastAsiaTheme="minorEastAsia"/>
          <w:lang w:val="de-DE" w:eastAsia="ja-JP"/>
        </w:rPr>
        <w:tab/>
        <w:t xml:space="preserve">die BMT soll Listen möglicher gemeinsamer Initiativen mit OECD und ISTA in bezug auf molekulare Verfahren zur Prüfung durch den TC erstellen. </w:t>
      </w:r>
    </w:p>
    <w:p w14:paraId="35978DB6" w14:textId="77777777" w:rsidR="00A96C63" w:rsidRDefault="00A96C63" w:rsidP="00E209FA">
      <w:pPr>
        <w:rPr>
          <w:rFonts w:eastAsiaTheme="minorEastAsia"/>
          <w:lang w:val="de-DE"/>
        </w:rPr>
      </w:pPr>
    </w:p>
    <w:p w14:paraId="122454EA" w14:textId="77777777" w:rsidR="00DE0D3B" w:rsidRPr="00EC51B2" w:rsidRDefault="00DE0D3B" w:rsidP="00E209FA">
      <w:pPr>
        <w:rPr>
          <w:rFonts w:eastAsiaTheme="minorEastAsia"/>
          <w:lang w:val="de-DE"/>
        </w:rPr>
      </w:pPr>
    </w:p>
    <w:p w14:paraId="16DA47AA" w14:textId="77777777" w:rsidR="00096F5E" w:rsidRPr="00EC51B2" w:rsidRDefault="00DE0D3B">
      <w:pPr>
        <w:pStyle w:val="Heading3"/>
        <w:rPr>
          <w:rFonts w:eastAsiaTheme="minorEastAsia"/>
          <w:lang w:val="de-DE"/>
        </w:rPr>
      </w:pPr>
      <w:bookmarkStart w:id="16" w:name="_Toc14980928"/>
      <w:bookmarkStart w:id="17" w:name="_Toc15059498"/>
      <w:bookmarkStart w:id="18" w:name="_Toc15295343"/>
      <w:bookmarkStart w:id="19" w:name="_Toc22564623"/>
      <w:bookmarkStart w:id="20" w:name="_Toc27663377"/>
      <w:bookmarkStart w:id="21" w:name="_Toc148113976"/>
      <w:r w:rsidRPr="00EC51B2">
        <w:rPr>
          <w:rFonts w:eastAsiaTheme="minorEastAsia"/>
          <w:lang w:val="de-DE"/>
        </w:rPr>
        <w:t>Inventar über die Verwendung molekularer Markertechniken nach Kulturpflanzen</w:t>
      </w:r>
      <w:bookmarkEnd w:id="16"/>
      <w:bookmarkEnd w:id="17"/>
      <w:bookmarkEnd w:id="18"/>
      <w:bookmarkEnd w:id="19"/>
      <w:bookmarkEnd w:id="20"/>
      <w:bookmarkEnd w:id="21"/>
    </w:p>
    <w:p w14:paraId="4EFBF024" w14:textId="77777777" w:rsidR="00A96C63" w:rsidRPr="00EC51B2" w:rsidRDefault="00A96C63" w:rsidP="003308D5">
      <w:pPr>
        <w:keepNext/>
        <w:keepLines/>
        <w:rPr>
          <w:rFonts w:eastAsiaTheme="minorEastAsia"/>
          <w:lang w:val="de-DE"/>
        </w:rPr>
      </w:pPr>
      <w:bookmarkStart w:id="22" w:name="_Toc14980927"/>
      <w:bookmarkStart w:id="23" w:name="_Toc15059497"/>
      <w:bookmarkStart w:id="24" w:name="_Toc15295342"/>
      <w:bookmarkStart w:id="25" w:name="_Toc22564625"/>
      <w:bookmarkStart w:id="26" w:name="_Toc27663379"/>
    </w:p>
    <w:p w14:paraId="32387570" w14:textId="77777777" w:rsidR="00096F5E" w:rsidRPr="00EC51B2" w:rsidRDefault="00DE0D3B">
      <w:pPr>
        <w:keepNext/>
        <w:keepLines/>
        <w:rPr>
          <w:rFonts w:eastAsiaTheme="minorEastAsia"/>
          <w:lang w:val="de-DE"/>
        </w:rPr>
      </w:pPr>
      <w:r w:rsidRPr="00EC51B2">
        <w:rPr>
          <w:rFonts w:eastAsiaTheme="minorEastAsia"/>
          <w:lang w:val="de-DE"/>
        </w:rPr>
        <w:fldChar w:fldCharType="begin"/>
      </w:r>
      <w:r w:rsidRPr="00EC51B2">
        <w:rPr>
          <w:rFonts w:eastAsiaTheme="minorEastAsia"/>
          <w:lang w:val="de-DE"/>
        </w:rPr>
        <w:instrText xml:space="preserve"> AUTONUM  </w:instrText>
      </w:r>
      <w:r w:rsidRPr="00EC51B2">
        <w:rPr>
          <w:rFonts w:eastAsiaTheme="minorEastAsia"/>
          <w:lang w:val="de-DE"/>
        </w:rPr>
        <w:fldChar w:fldCharType="end"/>
      </w:r>
      <w:r w:rsidRPr="00EC51B2">
        <w:rPr>
          <w:rFonts w:eastAsiaTheme="minorEastAsia"/>
          <w:lang w:val="de-DE"/>
        </w:rPr>
        <w:tab/>
        <w:t xml:space="preserve">Der Hintergrund dieser Angelegenheit ist in Dokument TC/58/7 "Molecular Techniques" dargelegt. </w:t>
      </w:r>
    </w:p>
    <w:p w14:paraId="3AFE13CB" w14:textId="77777777" w:rsidR="00A96C63" w:rsidRPr="00EC51B2" w:rsidRDefault="00A96C63" w:rsidP="00A96C63">
      <w:pPr>
        <w:rPr>
          <w:rFonts w:eastAsiaTheme="minorEastAsia"/>
          <w:lang w:val="de-DE"/>
        </w:rPr>
      </w:pPr>
    </w:p>
    <w:p w14:paraId="404A1EE0" w14:textId="77777777" w:rsidR="00865D23" w:rsidRDefault="00DE0D3B">
      <w:pPr>
        <w:keepNext/>
        <w:keepLines/>
        <w:rPr>
          <w:lang w:val="de-DE"/>
        </w:rPr>
      </w:pPr>
      <w:r w:rsidRPr="00EC51B2">
        <w:rPr>
          <w:rFonts w:eastAsiaTheme="minorEastAsia"/>
          <w:lang w:val="de-DE"/>
        </w:rPr>
        <w:fldChar w:fldCharType="begin"/>
      </w:r>
      <w:r w:rsidRPr="00EC51B2">
        <w:rPr>
          <w:rFonts w:eastAsiaTheme="minorEastAsia"/>
          <w:lang w:val="de-DE"/>
        </w:rPr>
        <w:instrText xml:space="preserve"> AUTONUM  </w:instrText>
      </w:r>
      <w:r w:rsidRPr="00EC51B2">
        <w:rPr>
          <w:rFonts w:eastAsiaTheme="minorEastAsia"/>
          <w:lang w:val="de-DE"/>
        </w:rPr>
        <w:fldChar w:fldCharType="end"/>
      </w:r>
      <w:r w:rsidRPr="00EC51B2">
        <w:rPr>
          <w:rFonts w:eastAsiaTheme="minorEastAsia"/>
          <w:lang w:val="de-DE"/>
        </w:rPr>
        <w:tab/>
        <w:t>Der TC nahm auf seiner achtundfünfzigsten Tagung</w:t>
      </w:r>
      <w:r w:rsidRPr="00EC51B2">
        <w:rPr>
          <w:rStyle w:val="FootnoteReference"/>
          <w:rFonts w:eastAsiaTheme="minorEastAsia"/>
          <w:lang w:val="de-DE"/>
        </w:rPr>
        <w:footnoteReference w:id="18"/>
      </w:r>
      <w:r w:rsidR="00A96C63" w:rsidRPr="00EC51B2">
        <w:rPr>
          <w:lang w:val="de-DE"/>
        </w:rPr>
        <w:t xml:space="preserve"> die Ergebnisse der Erhebungen über die Verwendung molekularer Markerverfahren durch die Mitglieder je Pflanze zur Kenntnis, wie in der Anlage von Dokument TC/58/7</w:t>
      </w:r>
      <w:r w:rsidR="00A96C63" w:rsidRPr="00EC51B2">
        <w:rPr>
          <w:rStyle w:val="FootnoteReference"/>
          <w:lang w:val="de-DE"/>
        </w:rPr>
        <w:footnoteReference w:id="19"/>
      </w:r>
      <w:r w:rsidR="00A96C63" w:rsidRPr="00EC51B2">
        <w:rPr>
          <w:lang w:val="de-DE"/>
        </w:rPr>
        <w:t xml:space="preserve"> dargelegt.  Die Ergebnisse der Umfrage sind als </w:t>
      </w:r>
      <w:r w:rsidR="002965B9" w:rsidRPr="00EC51B2">
        <w:rPr>
          <w:lang w:val="de-DE"/>
        </w:rPr>
        <w:t xml:space="preserve">Excel-Datei auf der TC/58-Seite der UPOV-Website </w:t>
      </w:r>
      <w:r w:rsidR="00A96C63" w:rsidRPr="00EC51B2">
        <w:rPr>
          <w:lang w:val="de-DE"/>
        </w:rPr>
        <w:t>verfügbar</w:t>
      </w:r>
      <w:r w:rsidR="00865D23">
        <w:rPr>
          <w:lang w:val="de-DE"/>
        </w:rPr>
        <w:t>:</w:t>
      </w:r>
    </w:p>
    <w:p w14:paraId="768F3FD4" w14:textId="77777777" w:rsidR="00096F5E" w:rsidRPr="00EC51B2" w:rsidRDefault="002965B9" w:rsidP="00865D23">
      <w:pPr>
        <w:rPr>
          <w:lang w:val="de-DE"/>
        </w:rPr>
      </w:pPr>
      <w:r w:rsidRPr="00EC51B2">
        <w:rPr>
          <w:lang w:val="de-DE"/>
        </w:rPr>
        <w:t>(</w:t>
      </w:r>
      <w:hyperlink r:id="rId9" w:history="1">
        <w:r w:rsidR="00865D23">
          <w:rPr>
            <w:rStyle w:val="Hyperlink"/>
            <w:lang w:val="de-DE"/>
          </w:rPr>
          <w:t>https://www.upov.int/meetings/de/doc_details.jsp?meeting_id=67786&amp;doc_id=586962</w:t>
        </w:r>
      </w:hyperlink>
      <w:r w:rsidRPr="00EC51B2">
        <w:rPr>
          <w:lang w:val="de-DE"/>
        </w:rPr>
        <w:t>)</w:t>
      </w:r>
      <w:r w:rsidR="00C955FB" w:rsidRPr="00EC51B2">
        <w:rPr>
          <w:lang w:val="de-DE"/>
        </w:rPr>
        <w:t>.</w:t>
      </w:r>
      <w:r w:rsidR="00865D23">
        <w:rPr>
          <w:lang w:val="de-DE"/>
        </w:rPr>
        <w:t xml:space="preserve"> </w:t>
      </w:r>
    </w:p>
    <w:p w14:paraId="70909AA7" w14:textId="77777777" w:rsidR="008B2E00" w:rsidRPr="00EC51B2" w:rsidRDefault="008B2E00" w:rsidP="008B2E00">
      <w:pPr>
        <w:rPr>
          <w:lang w:val="de-DE"/>
        </w:rPr>
      </w:pPr>
    </w:p>
    <w:p w14:paraId="7689F592" w14:textId="77777777" w:rsidR="00096F5E" w:rsidRPr="00EC51B2" w:rsidRDefault="00DE0D3B">
      <w:pPr>
        <w:keepNext/>
        <w:keepLines/>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Am 13. Dezember 2021 teilte das Verbandsbüro der OECD die Ergebnisse der Umfrage mit. </w:t>
      </w:r>
    </w:p>
    <w:p w14:paraId="259EDA73" w14:textId="77777777" w:rsidR="00E209FA" w:rsidRPr="00EC51B2" w:rsidRDefault="00E209FA" w:rsidP="00E209FA">
      <w:pPr>
        <w:rPr>
          <w:lang w:val="de-DE"/>
        </w:rPr>
      </w:pPr>
    </w:p>
    <w:p w14:paraId="5A2F43B8" w14:textId="77777777" w:rsidR="00D513EC" w:rsidRPr="00EC51B2" w:rsidRDefault="00D513EC" w:rsidP="00E209FA">
      <w:pPr>
        <w:rPr>
          <w:lang w:val="de-DE"/>
        </w:rPr>
      </w:pPr>
    </w:p>
    <w:p w14:paraId="6245D0CB" w14:textId="77777777" w:rsidR="00096F5E" w:rsidRPr="00EC51B2" w:rsidRDefault="00DE0D3B">
      <w:pPr>
        <w:pStyle w:val="Heading3"/>
        <w:keepLines/>
        <w:rPr>
          <w:rFonts w:eastAsiaTheme="minorEastAsia"/>
          <w:lang w:val="de-DE"/>
        </w:rPr>
      </w:pPr>
      <w:bookmarkStart w:id="27" w:name="_Toc148113977"/>
      <w:r w:rsidRPr="00EC51B2">
        <w:rPr>
          <w:rFonts w:eastAsiaTheme="minorEastAsia"/>
          <w:lang w:val="de-DE"/>
        </w:rPr>
        <w:t>Gemeinsames Dokument zur Erläuterung der wichtigsten Merkmale der Systeme von OECD, UPOV und ISTA</w:t>
      </w:r>
      <w:bookmarkEnd w:id="22"/>
      <w:bookmarkEnd w:id="23"/>
      <w:bookmarkEnd w:id="24"/>
      <w:bookmarkEnd w:id="25"/>
      <w:bookmarkEnd w:id="26"/>
      <w:bookmarkEnd w:id="27"/>
    </w:p>
    <w:p w14:paraId="2B67EB9E" w14:textId="77777777" w:rsidR="00E209FA" w:rsidRPr="00EC51B2" w:rsidRDefault="00E209FA" w:rsidP="005820D2">
      <w:pPr>
        <w:keepNext/>
        <w:keepLines/>
        <w:rPr>
          <w:lang w:val="de-DE"/>
        </w:rPr>
      </w:pPr>
      <w:bookmarkStart w:id="28" w:name="_Toc22569703"/>
    </w:p>
    <w:p w14:paraId="4CC6C724" w14:textId="77777777" w:rsidR="00096F5E" w:rsidRPr="00EC51B2" w:rsidRDefault="00DE0D3B">
      <w:pPr>
        <w:keepNext/>
        <w:keepLines/>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Der TC nahm auf seiner siebenundfünfzigsten Tagung zur Kenntnis, daß er auf dem Schriftweg den Entwurf eines gemeinsamen Dokuments gebilligt habe, in dem die Hauptmerkmale der Systeme der OECD, der UPOV und der ISTA erläutert werden.  Der TC ersuchte das Verbandsbüro, die OECD und ISTA entsprechend zu unterrichten (vergleiche Dokument TC/57/25 "Bericht", Absatz 52).</w:t>
      </w:r>
      <w:r w:rsidR="00891593" w:rsidRPr="00EC51B2">
        <w:rPr>
          <w:lang w:val="de-DE"/>
        </w:rPr>
        <w:t xml:space="preserve">  </w:t>
      </w:r>
    </w:p>
    <w:p w14:paraId="00D29982" w14:textId="77777777" w:rsidR="00E209FA" w:rsidRPr="00EC51B2" w:rsidRDefault="00E209FA" w:rsidP="00E209FA">
      <w:pPr>
        <w:keepNext/>
        <w:keepLines/>
        <w:rPr>
          <w:lang w:val="de-DE"/>
        </w:rPr>
      </w:pPr>
    </w:p>
    <w:p w14:paraId="2A57B325"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Am 13. Dezember 2021 übermittelte das Verbandsbüro den Entwurf des gemeinsamen Dokuments an OECD und ISTA.  </w:t>
      </w:r>
    </w:p>
    <w:bookmarkEnd w:id="28"/>
    <w:p w14:paraId="01805EA6" w14:textId="77777777" w:rsidR="00E209FA" w:rsidRPr="00EC51B2" w:rsidRDefault="00E209FA" w:rsidP="00E209FA">
      <w:pPr>
        <w:rPr>
          <w:rFonts w:eastAsiaTheme="minorEastAsia"/>
          <w:lang w:val="de-DE"/>
        </w:rPr>
      </w:pPr>
    </w:p>
    <w:p w14:paraId="34BBBADE" w14:textId="77777777" w:rsidR="00E209FA" w:rsidRPr="00EC51B2" w:rsidRDefault="00E209FA" w:rsidP="00E209FA">
      <w:pPr>
        <w:rPr>
          <w:rFonts w:eastAsiaTheme="minorEastAsia"/>
          <w:lang w:val="de-DE"/>
        </w:rPr>
      </w:pPr>
    </w:p>
    <w:p w14:paraId="20FCAD75" w14:textId="77777777" w:rsidR="00096F5E" w:rsidRPr="00EC51B2" w:rsidRDefault="00DE0D3B">
      <w:pPr>
        <w:pStyle w:val="Heading3"/>
        <w:rPr>
          <w:lang w:val="de-DE"/>
        </w:rPr>
      </w:pPr>
      <w:bookmarkStart w:id="29" w:name="_Toc14980929"/>
      <w:bookmarkStart w:id="30" w:name="_Toc15059500"/>
      <w:bookmarkStart w:id="31" w:name="_Toc15295345"/>
      <w:bookmarkStart w:id="32" w:name="_Toc22564624"/>
      <w:bookmarkStart w:id="33" w:name="_Toc27663378"/>
      <w:bookmarkStart w:id="34" w:name="_Toc69722878"/>
      <w:bookmarkStart w:id="35" w:name="_Toc84364038"/>
      <w:bookmarkStart w:id="36" w:name="_Toc84415953"/>
      <w:bookmarkStart w:id="37" w:name="_Toc97892770"/>
      <w:bookmarkStart w:id="38" w:name="_Toc148113978"/>
      <w:r w:rsidRPr="00EC51B2">
        <w:rPr>
          <w:lang w:val="de-DE"/>
        </w:rPr>
        <w:t>Listen möglicher gemeinsamer Initiativen mit OECD und ISTA in Bezug auf molekulare Techniken</w:t>
      </w:r>
      <w:bookmarkEnd w:id="29"/>
      <w:bookmarkEnd w:id="30"/>
      <w:bookmarkEnd w:id="31"/>
      <w:bookmarkEnd w:id="32"/>
      <w:bookmarkEnd w:id="33"/>
      <w:bookmarkEnd w:id="34"/>
      <w:bookmarkEnd w:id="35"/>
      <w:bookmarkEnd w:id="36"/>
      <w:bookmarkEnd w:id="37"/>
      <w:bookmarkEnd w:id="38"/>
    </w:p>
    <w:p w14:paraId="18971DD3" w14:textId="77777777" w:rsidR="00E209FA" w:rsidRPr="00EC51B2" w:rsidRDefault="00E209FA" w:rsidP="00E209FA">
      <w:pPr>
        <w:keepNext/>
        <w:jc w:val="left"/>
        <w:rPr>
          <w:lang w:val="de-DE"/>
        </w:rPr>
      </w:pPr>
    </w:p>
    <w:p w14:paraId="785FE398"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Der TC vereinbarte auf seiner siebenundfünfzigsten Tagung, folgende Themen für eine künftige gemeinsame Arbeitstagung von UPOV/OECD/ISTA vorzuschlagen:</w:t>
      </w:r>
    </w:p>
    <w:p w14:paraId="11AB240D" w14:textId="77777777" w:rsidR="00E209FA" w:rsidRPr="00EC51B2" w:rsidRDefault="00E209FA" w:rsidP="00E209FA">
      <w:pPr>
        <w:rPr>
          <w:lang w:val="de-DE"/>
        </w:rPr>
      </w:pPr>
    </w:p>
    <w:p w14:paraId="6D92B480" w14:textId="77777777" w:rsidR="00096F5E" w:rsidRPr="00EC51B2" w:rsidRDefault="00DE0D3B">
      <w:pPr>
        <w:jc w:val="left"/>
        <w:rPr>
          <w:lang w:val="de-DE"/>
        </w:rPr>
      </w:pPr>
      <w:r w:rsidRPr="00EC51B2">
        <w:rPr>
          <w:lang w:val="de-DE"/>
        </w:rPr>
        <w:tab/>
        <w:t xml:space="preserve">(i) </w:t>
      </w:r>
      <w:r w:rsidRPr="00EC51B2">
        <w:rPr>
          <w:lang w:val="de-DE"/>
        </w:rPr>
        <w:tab/>
        <w:t>Bereitstellung von Informationen über den Einsatz molekularer Verfahren in jeder Organisation;</w:t>
      </w:r>
    </w:p>
    <w:p w14:paraId="30239207" w14:textId="77777777" w:rsidR="00096F5E" w:rsidRPr="00EC51B2" w:rsidRDefault="00DE0D3B">
      <w:pPr>
        <w:jc w:val="left"/>
        <w:rPr>
          <w:lang w:val="de-DE"/>
        </w:rPr>
      </w:pPr>
      <w:r w:rsidRPr="00EC51B2">
        <w:rPr>
          <w:lang w:val="de-DE"/>
        </w:rPr>
        <w:tab/>
        <w:t xml:space="preserve">(ii) </w:t>
      </w:r>
      <w:r w:rsidRPr="00EC51B2">
        <w:rPr>
          <w:lang w:val="de-DE"/>
        </w:rPr>
        <w:tab/>
        <w:t>Verfahren für die Zulassung von biochemischen und molekularen Methoden in jeder Organisation; und</w:t>
      </w:r>
    </w:p>
    <w:p w14:paraId="5FA5F660" w14:textId="77777777" w:rsidR="00096F5E" w:rsidRPr="00EC51B2" w:rsidRDefault="00DE0D3B">
      <w:pPr>
        <w:jc w:val="left"/>
        <w:rPr>
          <w:lang w:val="de-DE"/>
        </w:rPr>
      </w:pPr>
      <w:r w:rsidRPr="00EC51B2">
        <w:rPr>
          <w:lang w:val="de-DE"/>
        </w:rPr>
        <w:tab/>
        <w:t xml:space="preserve">(iii) </w:t>
      </w:r>
      <w:r w:rsidRPr="00EC51B2">
        <w:rPr>
          <w:lang w:val="de-DE"/>
        </w:rPr>
        <w:tab/>
        <w:t xml:space="preserve">Möglichkeiten zur Harmonisierung von Begriffen, Definitionen und Verfahren zwischen UPOV, OECD und ISTA. </w:t>
      </w:r>
    </w:p>
    <w:p w14:paraId="7CE9A6ED" w14:textId="77777777" w:rsidR="00E209FA" w:rsidRPr="00EC51B2" w:rsidRDefault="00E209FA" w:rsidP="00E209FA">
      <w:pPr>
        <w:jc w:val="left"/>
        <w:rPr>
          <w:lang w:val="de-DE"/>
        </w:rPr>
      </w:pPr>
    </w:p>
    <w:p w14:paraId="2AB5BB13"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Der TC vereinbarte, das Verbandsbüro zu ersuchen, sich mit der OECD und der ISTA in Verbindung zu setzen, um geeignete Termine für eine künftige gemeinsame Arbeitstagung zu erkunden, beispielsweise in Verbindung mit der ersten Tagung über die TWM, die im September 2022 abgehalten werden soll.</w:t>
      </w:r>
    </w:p>
    <w:p w14:paraId="18D68DD0" w14:textId="77777777" w:rsidR="00E209FA" w:rsidRPr="00EC51B2" w:rsidRDefault="00E209FA" w:rsidP="00E209FA">
      <w:pPr>
        <w:keepNext/>
        <w:keepLines/>
        <w:rPr>
          <w:lang w:val="de-DE"/>
        </w:rPr>
      </w:pPr>
    </w:p>
    <w:p w14:paraId="7A0B2A18"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 xml:space="preserve">Am 13. Dezember 2021 übermittelte das Verbandsbüro der OECD und der ISTA eine Einladung zur Abhaltung einer weiteren gemeinsamen Arbeitstagung über molekulare Verfahren in Verbindung mit der </w:t>
      </w:r>
      <w:r w:rsidRPr="00EC51B2">
        <w:rPr>
          <w:lang w:val="de-DE"/>
        </w:rPr>
        <w:lastRenderedPageBreak/>
        <w:t xml:space="preserve">ersten Tagung der TWM, die am 21. September 2022 auf elektronischem Wege stattfinden soll, um die obigen Themen i) bis iii) zu behandeln.    </w:t>
      </w:r>
    </w:p>
    <w:p w14:paraId="195ACA24" w14:textId="77777777" w:rsidR="00E209FA" w:rsidRPr="00EC51B2" w:rsidRDefault="00E209FA" w:rsidP="00E209FA">
      <w:pPr>
        <w:rPr>
          <w:lang w:val="de-DE"/>
        </w:rPr>
      </w:pPr>
    </w:p>
    <w:p w14:paraId="4B097E73"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Am 15. Mai 2022 kam das Verbandsbüro am Rande des Weltsaatgutkongresses des Internationalen Saatgutverbandes mit der OECD und der ISTA zusammen und erörterte die Zusammenarbeit zwischen OECD, ISTA und UPOV im Zusammenhang mit der BMT. Die UPOV hatte die Idee einer gemeinsamen OECD/ISTA/UPOV-Arbeitstagung in Verbindung mit der TWM, die im September 2022 stattfinden soll, vorgebracht. Es wurde vereinbart, daß es zu diesem Zeitpunkt keine nennenswerten Entwicklungen zu erörtern gebe und daß es besser sei, eine gemeinsame Arbeitstagung frühestens im Jahr 2023 zu planen.</w:t>
      </w:r>
    </w:p>
    <w:p w14:paraId="4644E488" w14:textId="77777777" w:rsidR="00E209FA" w:rsidRPr="00EC51B2" w:rsidRDefault="00E209FA" w:rsidP="00E209FA">
      <w:pPr>
        <w:rPr>
          <w:lang w:val="de-DE"/>
        </w:rPr>
      </w:pPr>
    </w:p>
    <w:p w14:paraId="5C001EAE" w14:textId="77777777" w:rsidR="008A7867" w:rsidRPr="00EC51B2" w:rsidRDefault="008A7867" w:rsidP="00E209FA">
      <w:pPr>
        <w:keepNext/>
        <w:outlineLvl w:val="1"/>
        <w:rPr>
          <w:snapToGrid w:val="0"/>
          <w:u w:val="single"/>
          <w:lang w:val="de-DE"/>
        </w:rPr>
      </w:pPr>
      <w:bookmarkStart w:id="39" w:name="_Toc69722870"/>
      <w:bookmarkStart w:id="40" w:name="_Toc84364034"/>
      <w:bookmarkStart w:id="41" w:name="_Toc84415958"/>
      <w:bookmarkStart w:id="42" w:name="_Toc97892761"/>
    </w:p>
    <w:p w14:paraId="0BA5DAEC" w14:textId="77777777" w:rsidR="00096F5E" w:rsidRPr="00EC51B2" w:rsidRDefault="00DE0D3B">
      <w:pPr>
        <w:pStyle w:val="Heading2"/>
        <w:rPr>
          <w:lang w:val="de-DE"/>
        </w:rPr>
      </w:pPr>
      <w:bookmarkStart w:id="43" w:name="_Toc148113979"/>
      <w:r w:rsidRPr="00EC51B2">
        <w:rPr>
          <w:snapToGrid w:val="0"/>
          <w:lang w:val="de-DE"/>
        </w:rPr>
        <w:t>Sitzung zur Erleichterung der Zusammenarbeit bei der Anwendung molekularer Techniken</w:t>
      </w:r>
      <w:bookmarkEnd w:id="39"/>
      <w:bookmarkEnd w:id="40"/>
      <w:bookmarkEnd w:id="41"/>
      <w:bookmarkEnd w:id="42"/>
      <w:bookmarkEnd w:id="43"/>
    </w:p>
    <w:p w14:paraId="74CC3DD0" w14:textId="77777777" w:rsidR="00E209FA" w:rsidRPr="00EC51B2" w:rsidRDefault="00E209FA" w:rsidP="00E209FA">
      <w:pPr>
        <w:keepNext/>
        <w:rPr>
          <w:lang w:val="de-DE"/>
        </w:rPr>
      </w:pPr>
    </w:p>
    <w:p w14:paraId="5A6C4999" w14:textId="77777777" w:rsidR="00096F5E" w:rsidRPr="00EC51B2" w:rsidRDefault="00DE0D3B">
      <w:pPr>
        <w:keepNext/>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Der TC vereinbarte auf seiner vierundfünfzigsten Tagung</w:t>
      </w:r>
      <w:r w:rsidRPr="00EC51B2">
        <w:rPr>
          <w:vertAlign w:val="superscript"/>
          <w:lang w:val="de-DE"/>
        </w:rPr>
        <w:footnoteReference w:id="20"/>
      </w:r>
      <w:r w:rsidRPr="00EC51B2">
        <w:rPr>
          <w:lang w:val="de-DE"/>
        </w:rPr>
        <w:t xml:space="preserve"> , daß auf jeder TWP Erörterungsgruppen für die wichtigsten Pflanzen gebildet werden sollten, damit die Teilnehmer Informationen über ihre Arbeit austauschen und Bereiche für die Zusammenarbeit erkunden können (vergleiche Dokument TC/54/31 "Report", Absatz 281).</w:t>
      </w:r>
    </w:p>
    <w:p w14:paraId="0750684C" w14:textId="77777777" w:rsidR="00E209FA" w:rsidRPr="00EC51B2" w:rsidRDefault="00E209FA" w:rsidP="00E209FA">
      <w:pPr>
        <w:rPr>
          <w:lang w:val="de-DE"/>
        </w:rPr>
      </w:pPr>
    </w:p>
    <w:p w14:paraId="32BDECCC"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t>Der TC nahm auf seiner achtundfünfzigsten Tagung</w:t>
      </w:r>
      <w:r w:rsidR="001975E1" w:rsidRPr="00EC51B2">
        <w:rPr>
          <w:rStyle w:val="FootnoteReference"/>
          <w:lang w:val="de-DE"/>
        </w:rPr>
        <w:footnoteReference w:id="21"/>
      </w:r>
      <w:r w:rsidRPr="00EC51B2">
        <w:rPr>
          <w:lang w:val="de-DE"/>
        </w:rPr>
        <w:t xml:space="preserve"> die Berichte der TWP über die Veranstaltung von Diskussionsgruppen auf ihren Tagungen im Jahre 2022 zur Kenntnis.  Der TC vereinbarte, daß die Vorsitzenden über Flexibilität verfügen sollten, um zu prüfen, ob Diskussionsgruppen während der TWP-Tagungen organisiert werden sollen, um den Teilnehmern zu ermöglichen, Informationen über ihre Arbeit auszutauschen und Bereiche für die Zusammenarbeit bei der Verwendung biochemischer und molekularer Verfahren bei der DUS-Prüfung zu untersuchen</w:t>
      </w:r>
      <w:r w:rsidR="009421CE" w:rsidRPr="00EC51B2">
        <w:rPr>
          <w:rStyle w:val="FootnoteReference"/>
          <w:lang w:val="de-DE"/>
        </w:rPr>
        <w:footnoteReference w:id="22"/>
      </w:r>
      <w:r w:rsidRPr="00EC51B2">
        <w:rPr>
          <w:lang w:val="de-DE"/>
        </w:rPr>
        <w:t xml:space="preserve"> .  </w:t>
      </w:r>
    </w:p>
    <w:p w14:paraId="3B3228FF" w14:textId="77777777" w:rsidR="00E209FA" w:rsidRPr="00EC51B2" w:rsidRDefault="00E209FA" w:rsidP="00E209FA">
      <w:pPr>
        <w:rPr>
          <w:lang w:val="de-DE"/>
        </w:rPr>
      </w:pPr>
    </w:p>
    <w:bookmarkEnd w:id="8"/>
    <w:p w14:paraId="0E5BA524" w14:textId="77777777" w:rsidR="00096F5E" w:rsidRPr="00EC51B2" w:rsidRDefault="00DE0D3B">
      <w:pPr>
        <w:rPr>
          <w:lang w:val="de-DE"/>
        </w:rPr>
      </w:pPr>
      <w:r w:rsidRPr="00EC51B2">
        <w:rPr>
          <w:lang w:val="de-DE"/>
        </w:rPr>
        <w:fldChar w:fldCharType="begin"/>
      </w:r>
      <w:r w:rsidRPr="00EC51B2">
        <w:rPr>
          <w:lang w:val="de-DE"/>
        </w:rPr>
        <w:instrText xml:space="preserve"> AUTONUM  </w:instrText>
      </w:r>
      <w:r w:rsidRPr="00EC51B2">
        <w:rPr>
          <w:lang w:val="de-DE"/>
        </w:rPr>
        <w:fldChar w:fldCharType="end"/>
      </w:r>
      <w:r w:rsidRPr="00EC51B2">
        <w:rPr>
          <w:lang w:val="de-DE"/>
        </w:rPr>
        <w:tab/>
      </w:r>
      <w:r w:rsidR="00CE16FE" w:rsidRPr="00EC51B2">
        <w:rPr>
          <w:lang w:val="de-DE"/>
        </w:rPr>
        <w:t xml:space="preserve">Auf ihren Tagungen im Jahr </w:t>
      </w:r>
      <w:r w:rsidR="00645DE3" w:rsidRPr="00EC51B2">
        <w:rPr>
          <w:lang w:val="de-DE"/>
        </w:rPr>
        <w:t xml:space="preserve">2023 </w:t>
      </w:r>
      <w:r w:rsidR="00CE16FE" w:rsidRPr="00EC51B2">
        <w:rPr>
          <w:lang w:val="de-DE"/>
        </w:rPr>
        <w:t xml:space="preserve">organisierten die TWP keine </w:t>
      </w:r>
      <w:r w:rsidRPr="00EC51B2">
        <w:rPr>
          <w:lang w:val="de-DE"/>
        </w:rPr>
        <w:t>Diskussionsgruppen zum Informationsaustausch und zur Erkundung von Bereichen für die Zusammenarbeit bei der Verwendung biochemischer und molekularer Verfahren bei der DUS-Prüfung</w:t>
      </w:r>
      <w:r w:rsidR="00645DE3" w:rsidRPr="00EC51B2">
        <w:rPr>
          <w:lang w:val="de-DE"/>
        </w:rPr>
        <w:t xml:space="preserve">. </w:t>
      </w:r>
    </w:p>
    <w:p w14:paraId="6CDB1C22" w14:textId="77777777" w:rsidR="000D771D" w:rsidRPr="00EC51B2" w:rsidRDefault="000D771D" w:rsidP="00FA56F7">
      <w:pPr>
        <w:rPr>
          <w:lang w:val="de-DE" w:eastAsia="ja-JP"/>
        </w:rPr>
      </w:pPr>
    </w:p>
    <w:p w14:paraId="2CD33E30" w14:textId="77777777" w:rsidR="00096F5E" w:rsidRPr="00EC51B2" w:rsidRDefault="00DE0D3B">
      <w:pPr>
        <w:tabs>
          <w:tab w:val="left" w:pos="5387"/>
        </w:tabs>
        <w:ind w:left="4820"/>
        <w:rPr>
          <w:i/>
          <w:iCs/>
          <w:lang w:val="de-DE" w:eastAsia="ja-JP"/>
        </w:rPr>
      </w:pPr>
      <w:r w:rsidRPr="00EC51B2">
        <w:rPr>
          <w:i/>
          <w:iCs/>
          <w:lang w:val="de-DE" w:eastAsia="ja-JP"/>
        </w:rPr>
        <w:fldChar w:fldCharType="begin"/>
      </w:r>
      <w:r w:rsidRPr="00EC51B2">
        <w:rPr>
          <w:i/>
          <w:iCs/>
          <w:lang w:val="de-DE" w:eastAsia="ja-JP"/>
        </w:rPr>
        <w:instrText xml:space="preserve"> AUTONUM  </w:instrText>
      </w:r>
      <w:r w:rsidRPr="00EC51B2">
        <w:rPr>
          <w:i/>
          <w:iCs/>
          <w:lang w:val="de-DE" w:eastAsia="ja-JP"/>
        </w:rPr>
        <w:fldChar w:fldCharType="end"/>
      </w:r>
      <w:r w:rsidRPr="00EC51B2">
        <w:rPr>
          <w:i/>
          <w:iCs/>
          <w:lang w:val="de-DE" w:eastAsia="ja-JP"/>
        </w:rPr>
        <w:tab/>
        <w:t>Der TC wird ersucht, die in diesem Dokument enthaltenen Punkte zur Information zur Kenntnis zu nehmen.</w:t>
      </w:r>
    </w:p>
    <w:p w14:paraId="3F057867" w14:textId="77777777" w:rsidR="00F94922" w:rsidRPr="00EC51B2" w:rsidRDefault="00F94922" w:rsidP="00FA56F7">
      <w:pPr>
        <w:rPr>
          <w:lang w:val="de-DE" w:eastAsia="ja-JP"/>
        </w:rPr>
      </w:pPr>
    </w:p>
    <w:p w14:paraId="4FE8CD66" w14:textId="77777777" w:rsidR="00E7019C" w:rsidRPr="00EC51B2" w:rsidRDefault="00E7019C" w:rsidP="00FA56F7">
      <w:pPr>
        <w:rPr>
          <w:lang w:val="de-DE" w:eastAsia="ja-JP"/>
        </w:rPr>
      </w:pPr>
    </w:p>
    <w:p w14:paraId="311CB4EC" w14:textId="77777777" w:rsidR="00FA56F7" w:rsidRPr="00EC51B2" w:rsidRDefault="00FA56F7" w:rsidP="00050E16">
      <w:pPr>
        <w:rPr>
          <w:lang w:val="de-DE"/>
        </w:rPr>
      </w:pPr>
    </w:p>
    <w:p w14:paraId="355586AB" w14:textId="77777777" w:rsidR="00096F5E" w:rsidRPr="00EC51B2" w:rsidRDefault="00DE0D3B">
      <w:pPr>
        <w:jc w:val="right"/>
        <w:rPr>
          <w:lang w:val="de-DE"/>
        </w:rPr>
      </w:pPr>
      <w:r w:rsidRPr="00EC51B2">
        <w:rPr>
          <w:lang w:val="de-DE"/>
        </w:rPr>
        <w:t>[Ende des Dokuments]</w:t>
      </w:r>
    </w:p>
    <w:p w14:paraId="2D1C2C28" w14:textId="77777777" w:rsidR="00903264" w:rsidRPr="00EC51B2" w:rsidRDefault="00903264">
      <w:pPr>
        <w:jc w:val="left"/>
        <w:rPr>
          <w:lang w:val="de-DE"/>
        </w:rPr>
      </w:pPr>
    </w:p>
    <w:p w14:paraId="2CD6D2CC" w14:textId="77777777" w:rsidR="00050E16" w:rsidRPr="00EC51B2" w:rsidRDefault="00050E16" w:rsidP="009B440E">
      <w:pPr>
        <w:jc w:val="left"/>
        <w:rPr>
          <w:lang w:val="de-DE"/>
        </w:rPr>
      </w:pPr>
    </w:p>
    <w:sectPr w:rsidR="00050E16" w:rsidRPr="00EC51B2"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A914" w14:textId="77777777" w:rsidR="00C67B45" w:rsidRDefault="00C67B45" w:rsidP="006655D3">
      <w:r>
        <w:separator/>
      </w:r>
    </w:p>
    <w:p w14:paraId="768845AB" w14:textId="77777777" w:rsidR="00C67B45" w:rsidRDefault="00C67B45" w:rsidP="006655D3"/>
    <w:p w14:paraId="64E5B66B" w14:textId="77777777" w:rsidR="00C67B45" w:rsidRDefault="00C67B45" w:rsidP="006655D3"/>
  </w:endnote>
  <w:endnote w:type="continuationSeparator" w:id="0">
    <w:p w14:paraId="58BB0E7A" w14:textId="77777777" w:rsidR="00C67B45" w:rsidRDefault="00C67B45" w:rsidP="006655D3">
      <w:r>
        <w:separator/>
      </w:r>
    </w:p>
    <w:p w14:paraId="1B2741E7" w14:textId="77777777" w:rsidR="00096F5E" w:rsidRDefault="00DE0D3B">
      <w:pPr>
        <w:pStyle w:val="Footer"/>
        <w:spacing w:after="60"/>
        <w:rPr>
          <w:sz w:val="18"/>
          <w:lang w:val="fr-FR"/>
        </w:rPr>
      </w:pPr>
      <w:r w:rsidRPr="00294751">
        <w:rPr>
          <w:sz w:val="18"/>
          <w:lang w:val="fr-FR"/>
        </w:rPr>
        <w:t>(Suite de la note de la page précédente)</w:t>
      </w:r>
    </w:p>
    <w:p w14:paraId="4C17FDC1" w14:textId="77777777" w:rsidR="00C67B45" w:rsidRPr="00294751" w:rsidRDefault="00C67B45" w:rsidP="006655D3">
      <w:pPr>
        <w:rPr>
          <w:lang w:val="fr-FR"/>
        </w:rPr>
      </w:pPr>
    </w:p>
    <w:p w14:paraId="4F6EAFDA" w14:textId="77777777" w:rsidR="00C67B45" w:rsidRPr="00294751" w:rsidRDefault="00C67B45" w:rsidP="006655D3">
      <w:pPr>
        <w:rPr>
          <w:lang w:val="fr-FR"/>
        </w:rPr>
      </w:pPr>
    </w:p>
  </w:endnote>
  <w:endnote w:type="continuationNotice" w:id="1">
    <w:p w14:paraId="623F0523" w14:textId="77777777" w:rsidR="00096F5E" w:rsidRDefault="00DE0D3B">
      <w:pPr>
        <w:rPr>
          <w:lang w:val="fr-FR"/>
        </w:rPr>
      </w:pPr>
      <w:r w:rsidRPr="00294751">
        <w:rPr>
          <w:lang w:val="fr-FR"/>
        </w:rPr>
        <w:t>(Suite de la note page suivante)</w:t>
      </w:r>
    </w:p>
    <w:p w14:paraId="26B508CD" w14:textId="77777777" w:rsidR="00C67B45" w:rsidRPr="00294751" w:rsidRDefault="00C67B45" w:rsidP="006655D3">
      <w:pPr>
        <w:rPr>
          <w:lang w:val="fr-FR"/>
        </w:rPr>
      </w:pPr>
    </w:p>
    <w:p w14:paraId="0A1F6855" w14:textId="77777777" w:rsidR="00C67B45" w:rsidRPr="00294751" w:rsidRDefault="00C67B4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0533" w14:textId="77777777" w:rsidR="00C67B45" w:rsidRDefault="00C67B45" w:rsidP="006655D3">
      <w:r>
        <w:separator/>
      </w:r>
    </w:p>
  </w:footnote>
  <w:footnote w:type="continuationSeparator" w:id="0">
    <w:p w14:paraId="2B62D7EC" w14:textId="77777777" w:rsidR="00C67B45" w:rsidRDefault="00C67B45" w:rsidP="006655D3">
      <w:r>
        <w:separator/>
      </w:r>
    </w:p>
  </w:footnote>
  <w:footnote w:type="continuationNotice" w:id="1">
    <w:p w14:paraId="114FBAD1" w14:textId="77777777" w:rsidR="00C67B45" w:rsidRPr="00AB530F" w:rsidRDefault="00C67B45" w:rsidP="00AB530F">
      <w:pPr>
        <w:pStyle w:val="Footer"/>
      </w:pPr>
    </w:p>
  </w:footnote>
  <w:footnote w:id="2">
    <w:p w14:paraId="087EF000" w14:textId="77777777" w:rsidR="00096F5E" w:rsidRPr="00DE0D3B" w:rsidRDefault="00DE0D3B" w:rsidP="00DE0D3B">
      <w:pPr>
        <w:pStyle w:val="FootnoteText"/>
        <w:rPr>
          <w:lang w:val="de-DE"/>
        </w:rPr>
      </w:pPr>
      <w:r w:rsidRPr="00DE0D3B">
        <w:rPr>
          <w:rStyle w:val="FootnoteReference"/>
          <w:lang w:val="de-DE"/>
        </w:rPr>
        <w:footnoteRef/>
      </w:r>
      <w:r w:rsidR="00DC3BDA" w:rsidRPr="00DE0D3B">
        <w:rPr>
          <w:lang w:val="de-DE"/>
        </w:rPr>
        <w:t xml:space="preserve"> TC, achtundfünfzigste Tagung, </w:t>
      </w:r>
      <w:r w:rsidRPr="00DE0D3B">
        <w:rPr>
          <w:lang w:val="de-DE"/>
        </w:rPr>
        <w:t>Genf, 24. und 25. Oktober 2022</w:t>
      </w:r>
    </w:p>
  </w:footnote>
  <w:footnote w:id="3">
    <w:p w14:paraId="08C9DB89" w14:textId="77777777" w:rsidR="00096F5E" w:rsidRPr="00DE0D3B" w:rsidRDefault="00DE0D3B" w:rsidP="00DE0D3B">
      <w:pPr>
        <w:pStyle w:val="FootnoteText"/>
        <w:rPr>
          <w:lang w:val="de-DE"/>
        </w:rPr>
      </w:pPr>
      <w:r w:rsidRPr="00DE0D3B">
        <w:rPr>
          <w:rStyle w:val="FootnoteReference"/>
          <w:lang w:val="de-DE"/>
        </w:rPr>
        <w:footnoteRef/>
      </w:r>
      <w:r w:rsidR="0052589C" w:rsidRPr="00DE0D3B">
        <w:rPr>
          <w:lang w:val="de-DE"/>
        </w:rPr>
        <w:t xml:space="preserve"> TWV, </w:t>
      </w:r>
      <w:r w:rsidRPr="00DE0D3B">
        <w:rPr>
          <w:lang w:val="de-DE"/>
        </w:rPr>
        <w:t xml:space="preserve">siebenundfünfzigste Tagung, die vom 1. bis 5. </w:t>
      </w:r>
      <w:r w:rsidR="0052589C" w:rsidRPr="00DE0D3B">
        <w:rPr>
          <w:lang w:val="de-DE"/>
        </w:rPr>
        <w:t xml:space="preserve">Mai </w:t>
      </w:r>
      <w:r w:rsidRPr="00DE0D3B">
        <w:rPr>
          <w:lang w:val="de-DE"/>
        </w:rPr>
        <w:t>2023 in Antalya, Türkei, stattfindet.</w:t>
      </w:r>
    </w:p>
  </w:footnote>
  <w:footnote w:id="4">
    <w:p w14:paraId="42F7DEB3" w14:textId="77777777" w:rsidR="00096F5E" w:rsidRPr="00DE0D3B" w:rsidRDefault="00DE0D3B" w:rsidP="00DE0D3B">
      <w:pPr>
        <w:pStyle w:val="FootnoteText"/>
        <w:rPr>
          <w:lang w:val="de-DE"/>
        </w:rPr>
      </w:pPr>
      <w:r w:rsidRPr="00DE0D3B">
        <w:rPr>
          <w:rStyle w:val="FootnoteReference"/>
          <w:lang w:val="de-DE"/>
        </w:rPr>
        <w:footnoteRef/>
      </w:r>
      <w:r w:rsidR="0052589C" w:rsidRPr="00DE0D3B">
        <w:rPr>
          <w:lang w:val="de-DE"/>
        </w:rPr>
        <w:t xml:space="preserve"> TWA, </w:t>
      </w:r>
      <w:r w:rsidRPr="00DE0D3B">
        <w:rPr>
          <w:lang w:val="de-DE"/>
        </w:rPr>
        <w:t>zweiundfünfzigste Tagung, elektronisch abgehalten, vom 22. bis 26. Mai 2023.</w:t>
      </w:r>
    </w:p>
  </w:footnote>
  <w:footnote w:id="5">
    <w:p w14:paraId="3A276141" w14:textId="77777777" w:rsidR="00096F5E" w:rsidRPr="00DE0D3B" w:rsidRDefault="00DE0D3B" w:rsidP="00DE0D3B">
      <w:pPr>
        <w:pStyle w:val="FootnoteText"/>
        <w:rPr>
          <w:lang w:val="de-DE"/>
        </w:rPr>
      </w:pPr>
      <w:r w:rsidRPr="00DE0D3B">
        <w:rPr>
          <w:rStyle w:val="FootnoteReference"/>
          <w:lang w:val="de-DE"/>
        </w:rPr>
        <w:footnoteRef/>
      </w:r>
      <w:r w:rsidR="0052589C" w:rsidRPr="00DE0D3B">
        <w:rPr>
          <w:lang w:val="de-DE"/>
        </w:rPr>
        <w:t xml:space="preserve"> TWO, </w:t>
      </w:r>
      <w:r w:rsidRPr="00DE0D3B">
        <w:rPr>
          <w:lang w:val="de-DE"/>
        </w:rPr>
        <w:t>fünfundfünfzigste Tagung, die vom 12. bis 16. Juni 2023 auf elektronischem Wege abgehalten wird.</w:t>
      </w:r>
    </w:p>
  </w:footnote>
  <w:footnote w:id="6">
    <w:p w14:paraId="13CAC77E" w14:textId="77777777" w:rsidR="00096F5E" w:rsidRPr="00DE0D3B" w:rsidRDefault="00DE0D3B" w:rsidP="00DE0D3B">
      <w:pPr>
        <w:pStyle w:val="FootnoteText"/>
        <w:rPr>
          <w:lang w:val="de-DE"/>
        </w:rPr>
      </w:pPr>
      <w:r w:rsidRPr="00DE0D3B">
        <w:rPr>
          <w:rStyle w:val="FootnoteReference"/>
          <w:lang w:val="de-DE"/>
        </w:rPr>
        <w:footnoteRef/>
      </w:r>
      <w:r w:rsidR="0052589C" w:rsidRPr="00DE0D3B">
        <w:rPr>
          <w:lang w:val="de-DE"/>
        </w:rPr>
        <w:t xml:space="preserve"> TWF, </w:t>
      </w:r>
      <w:r w:rsidRPr="00DE0D3B">
        <w:rPr>
          <w:lang w:val="de-DE"/>
        </w:rPr>
        <w:t>vierundfünfzigste Tagung, Nimes, Frankreich, vom 3. bis 7. Juli 2023</w:t>
      </w:r>
    </w:p>
  </w:footnote>
  <w:footnote w:id="7">
    <w:p w14:paraId="6553EE2F" w14:textId="77777777" w:rsidR="00096F5E" w:rsidRPr="00DE0D3B" w:rsidRDefault="00DE0D3B" w:rsidP="00DE0D3B">
      <w:pPr>
        <w:pStyle w:val="FootnoteText"/>
        <w:rPr>
          <w:lang w:val="de-DE"/>
        </w:rPr>
      </w:pPr>
      <w:r w:rsidRPr="00DE0D3B">
        <w:rPr>
          <w:rStyle w:val="FootnoteReference"/>
          <w:lang w:val="de-DE"/>
        </w:rPr>
        <w:footnoteRef/>
      </w:r>
      <w:r w:rsidR="004B3AFD" w:rsidRPr="00DE0D3B">
        <w:rPr>
          <w:lang w:val="de-DE"/>
        </w:rPr>
        <w:t xml:space="preserve"> siehe Dokumente TWV/57/26 "Bericht", Absatz 31; TWA/52/11 "Bericht", Absatz 34; TWO/55/11 "Bericht", Absatz 38; und TWF/54/13 "Bericht", Absatz </w:t>
      </w:r>
      <w:r w:rsidR="00D220BB" w:rsidRPr="00DE0D3B">
        <w:rPr>
          <w:lang w:val="de-DE"/>
        </w:rPr>
        <w:t>33</w:t>
      </w:r>
    </w:p>
  </w:footnote>
  <w:footnote w:id="8">
    <w:p w14:paraId="5FE570DE"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siehe Dokumente TWV/57/26 "Bericht", Absätze 32 und </w:t>
      </w:r>
      <w:r w:rsidR="00E60BFD" w:rsidRPr="00DE0D3B">
        <w:rPr>
          <w:lang w:val="de-DE"/>
        </w:rPr>
        <w:t>35</w:t>
      </w:r>
      <w:r w:rsidRPr="00DE0D3B">
        <w:rPr>
          <w:lang w:val="de-DE"/>
        </w:rPr>
        <w:t xml:space="preserve">; TWA/52/11 "Bericht", </w:t>
      </w:r>
      <w:r w:rsidR="00566F0A" w:rsidRPr="00DE0D3B">
        <w:rPr>
          <w:lang w:val="de-DE"/>
        </w:rPr>
        <w:t>Absätze 36 und 37</w:t>
      </w:r>
      <w:r w:rsidRPr="00DE0D3B">
        <w:rPr>
          <w:lang w:val="de-DE"/>
        </w:rPr>
        <w:t xml:space="preserve">; TWO/55/11 "Bericht", Absatz </w:t>
      </w:r>
      <w:r w:rsidR="00A23CF5" w:rsidRPr="00DE0D3B">
        <w:rPr>
          <w:lang w:val="de-DE"/>
        </w:rPr>
        <w:t>39</w:t>
      </w:r>
      <w:r w:rsidRPr="00DE0D3B">
        <w:rPr>
          <w:lang w:val="de-DE"/>
        </w:rPr>
        <w:t xml:space="preserve">; und TWF/54/13 "Bericht", </w:t>
      </w:r>
      <w:r w:rsidR="00566F0A" w:rsidRPr="00DE0D3B">
        <w:rPr>
          <w:lang w:val="de-DE"/>
        </w:rPr>
        <w:t>Absätze 34 und 37</w:t>
      </w:r>
    </w:p>
  </w:footnote>
  <w:footnote w:id="9">
    <w:p w14:paraId="0027CECB"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siehe Dokumente TWV/57/26 "Bericht", Absätze </w:t>
      </w:r>
      <w:r w:rsidR="00E60BFD" w:rsidRPr="00DE0D3B">
        <w:rPr>
          <w:lang w:val="de-DE"/>
        </w:rPr>
        <w:t>33 und 34</w:t>
      </w:r>
      <w:r w:rsidRPr="00DE0D3B">
        <w:rPr>
          <w:lang w:val="de-DE"/>
        </w:rPr>
        <w:t xml:space="preserve">; TWA/52/11 "Bericht", Absatz </w:t>
      </w:r>
      <w:r w:rsidR="00D220BB" w:rsidRPr="00DE0D3B">
        <w:rPr>
          <w:lang w:val="de-DE"/>
        </w:rPr>
        <w:t>35</w:t>
      </w:r>
      <w:r w:rsidRPr="00DE0D3B">
        <w:rPr>
          <w:lang w:val="de-DE"/>
        </w:rPr>
        <w:t xml:space="preserve">; TWO/55/11 "Bericht", Absätze </w:t>
      </w:r>
      <w:r w:rsidR="00166E2F" w:rsidRPr="00DE0D3B">
        <w:rPr>
          <w:lang w:val="de-DE"/>
        </w:rPr>
        <w:t xml:space="preserve">40 und </w:t>
      </w:r>
      <w:r w:rsidRPr="00DE0D3B">
        <w:rPr>
          <w:lang w:val="de-DE"/>
        </w:rPr>
        <w:t xml:space="preserve">41; und TWF/54/13 "Bericht", Absätze </w:t>
      </w:r>
      <w:r w:rsidR="00166E2F" w:rsidRPr="00DE0D3B">
        <w:rPr>
          <w:lang w:val="de-DE"/>
        </w:rPr>
        <w:t>35 und 36</w:t>
      </w:r>
    </w:p>
  </w:footnote>
  <w:footnote w:id="10">
    <w:p w14:paraId="1234E291"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TC, achtundfünfzigste Tagung, Genf, 25. und 26. Oktober 2022</w:t>
      </w:r>
    </w:p>
  </w:footnote>
  <w:footnote w:id="11">
    <w:p w14:paraId="11E49D96"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siehe Dokument TC/58/31 "Bericht", Absatz 107</w:t>
      </w:r>
    </w:p>
  </w:footnote>
  <w:footnote w:id="12">
    <w:p w14:paraId="0A7E3B39"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"Züchtertag" 11. April 2024</w:t>
      </w:r>
    </w:p>
  </w:footnote>
  <w:footnote w:id="13">
    <w:p w14:paraId="27B2BA6E"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TWA, zweiundfünfzigste Tagung, elektronisch abgehalten, vom 22. bis 26. Mai 2023.</w:t>
      </w:r>
    </w:p>
  </w:footnote>
  <w:footnote w:id="14">
    <w:p w14:paraId="0EA6C6E4"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Siehe Dokument TWA/52/11 "Bericht", Absätze 38 und 39</w:t>
      </w:r>
    </w:p>
  </w:footnote>
  <w:footnote w:id="15">
    <w:p w14:paraId="2F28D5F9"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TWF, vierundfünfzigste Tagung, Nimes, Frankreich, vom 3. bis 7. Juli 2023</w:t>
      </w:r>
    </w:p>
  </w:footnote>
  <w:footnote w:id="16">
    <w:p w14:paraId="4CA56D53"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Siehe Dokument TWF/54/13 "Bericht", Absatz 32</w:t>
      </w:r>
    </w:p>
  </w:footnote>
  <w:footnote w:id="17">
    <w:p w14:paraId="015FE804" w14:textId="77777777" w:rsidR="00096F5E" w:rsidRPr="00DE0D3B" w:rsidRDefault="00DE0D3B" w:rsidP="00DE0D3B">
      <w:pPr>
        <w:pStyle w:val="FootnoteText"/>
        <w:rPr>
          <w:lang w:val="de-DE"/>
        </w:rPr>
      </w:pPr>
      <w:r w:rsidRPr="00DE0D3B">
        <w:rPr>
          <w:rStyle w:val="FootnoteReference"/>
          <w:lang w:val="de-DE"/>
        </w:rPr>
        <w:footnoteRef/>
      </w:r>
      <w:r w:rsidR="00873180" w:rsidRPr="00DE0D3B">
        <w:rPr>
          <w:lang w:val="de-DE"/>
        </w:rPr>
        <w:t xml:space="preserve"> TC, vierundfünfzigste Tagung, </w:t>
      </w:r>
      <w:r w:rsidRPr="00DE0D3B">
        <w:rPr>
          <w:rFonts w:eastAsiaTheme="minorEastAsia"/>
          <w:lang w:val="de-DE" w:eastAsia="ja-JP"/>
        </w:rPr>
        <w:t>abgehalten in Genf am 29. und 30. Oktober 2018</w:t>
      </w:r>
    </w:p>
  </w:footnote>
  <w:footnote w:id="18">
    <w:p w14:paraId="57549348"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TC, achtundfünfzigste Tagung, abgehalten in Genf am 25. und 26. Oktober 2022</w:t>
      </w:r>
    </w:p>
  </w:footnote>
  <w:footnote w:id="19">
    <w:p w14:paraId="62A302FA"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Siehe Dokument TC/58/31 "Bericht", Absatz 42</w:t>
      </w:r>
    </w:p>
  </w:footnote>
  <w:footnote w:id="20">
    <w:p w14:paraId="22B6239D" w14:textId="77777777" w:rsidR="00096F5E" w:rsidRPr="00DE0D3B" w:rsidRDefault="00DE0D3B" w:rsidP="00DE0D3B">
      <w:pPr>
        <w:pStyle w:val="FootnoteText"/>
        <w:rPr>
          <w:lang w:val="de-DE"/>
        </w:rPr>
      </w:pPr>
      <w:r w:rsidRPr="00DE0D3B">
        <w:rPr>
          <w:rStyle w:val="FootnoteReference"/>
          <w:lang w:val="de-DE"/>
        </w:rPr>
        <w:footnoteRef/>
      </w:r>
      <w:r w:rsidR="009421CE" w:rsidRPr="00DE0D3B">
        <w:rPr>
          <w:lang w:val="de-DE"/>
        </w:rPr>
        <w:t xml:space="preserve"> TC, vierundfünfzigste Tagung, </w:t>
      </w:r>
      <w:r w:rsidRPr="00DE0D3B">
        <w:rPr>
          <w:lang w:val="de-DE"/>
        </w:rPr>
        <w:t xml:space="preserve">Genf, 29. und 30. Oktober 2018 </w:t>
      </w:r>
    </w:p>
  </w:footnote>
  <w:footnote w:id="21">
    <w:p w14:paraId="4080FC00"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TC, achtundfünfzigste Tagung, abgehalten in Genf am 25. und 26. Oktober 2022</w:t>
      </w:r>
    </w:p>
  </w:footnote>
  <w:footnote w:id="22">
    <w:p w14:paraId="2F506E28" w14:textId="77777777" w:rsidR="00096F5E" w:rsidRPr="00DE0D3B" w:rsidRDefault="00DE0D3B" w:rsidP="00DE0D3B">
      <w:pPr>
        <w:pStyle w:val="FootnoteText"/>
        <w:rPr>
          <w:lang w:val="de-DE"/>
        </w:rPr>
      </w:pPr>
      <w:r w:rsidRPr="00DE0D3B">
        <w:rPr>
          <w:rStyle w:val="FootnoteReference"/>
          <w:lang w:val="de-DE"/>
        </w:rPr>
        <w:footnoteRef/>
      </w:r>
      <w:r w:rsidRPr="00DE0D3B">
        <w:rPr>
          <w:lang w:val="de-DE"/>
        </w:rPr>
        <w:t xml:space="preserve"> Siehe Dokument TC/58/31 "Bericht", Absatz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5FED" w14:textId="643FEA7A" w:rsidR="00096F5E" w:rsidRDefault="0038153A">
    <w:pPr>
      <w:pStyle w:val="Header"/>
      <w:rPr>
        <w:rStyle w:val="PageNumber"/>
        <w:lang w:val="en-US"/>
      </w:rPr>
    </w:pPr>
    <w:r>
      <w:rPr>
        <w:rStyle w:val="PageNumber"/>
        <w:lang w:val="en-US"/>
      </w:rPr>
      <w:t>SESSIONS</w:t>
    </w:r>
    <w:r w:rsidR="00DE0D3B">
      <w:rPr>
        <w:rStyle w:val="PageNumber"/>
        <w:lang w:val="en-US"/>
      </w:rPr>
      <w:t>/2023/5</w:t>
    </w:r>
  </w:p>
  <w:p w14:paraId="18BDEE94" w14:textId="77777777" w:rsidR="00096F5E" w:rsidRDefault="00DE0D3B">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2FD4">
      <w:rPr>
        <w:rStyle w:val="PageNumber"/>
        <w:noProof/>
        <w:lang w:val="en-US"/>
      </w:rPr>
      <w:t>2</w:t>
    </w:r>
    <w:r w:rsidRPr="00C5280D">
      <w:rPr>
        <w:rStyle w:val="PageNumber"/>
        <w:lang w:val="en-US"/>
      </w:rPr>
      <w:fldChar w:fldCharType="end"/>
    </w:r>
  </w:p>
  <w:p w14:paraId="49765166" w14:textId="77777777" w:rsidR="00FA56F7" w:rsidRPr="00C5280D" w:rsidRDefault="00FA56F7"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C470B"/>
    <w:multiLevelType w:val="hybridMultilevel"/>
    <w:tmpl w:val="B0AC2606"/>
    <w:lvl w:ilvl="0" w:tplc="931AE488">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37E62201"/>
    <w:multiLevelType w:val="hybridMultilevel"/>
    <w:tmpl w:val="BD7E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546BE"/>
    <w:multiLevelType w:val="hybridMultilevel"/>
    <w:tmpl w:val="548A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89591">
    <w:abstractNumId w:val="0"/>
  </w:num>
  <w:num w:numId="2" w16cid:durableId="517548275">
    <w:abstractNumId w:val="2"/>
  </w:num>
  <w:num w:numId="3" w16cid:durableId="1535774018">
    <w:abstractNumId w:val="3"/>
  </w:num>
  <w:num w:numId="4" w16cid:durableId="7008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10CF3"/>
    <w:rsid w:val="00011E27"/>
    <w:rsid w:val="000148BC"/>
    <w:rsid w:val="00024AB8"/>
    <w:rsid w:val="00030854"/>
    <w:rsid w:val="00036028"/>
    <w:rsid w:val="0004198B"/>
    <w:rsid w:val="00044642"/>
    <w:rsid w:val="000446B9"/>
    <w:rsid w:val="000458A4"/>
    <w:rsid w:val="00047E21"/>
    <w:rsid w:val="00050E16"/>
    <w:rsid w:val="00055B19"/>
    <w:rsid w:val="00085505"/>
    <w:rsid w:val="00085D73"/>
    <w:rsid w:val="000912E2"/>
    <w:rsid w:val="00096F5E"/>
    <w:rsid w:val="000C4E25"/>
    <w:rsid w:val="000C7021"/>
    <w:rsid w:val="000D6BBC"/>
    <w:rsid w:val="000D771D"/>
    <w:rsid w:val="000D7780"/>
    <w:rsid w:val="000E636A"/>
    <w:rsid w:val="000F2F11"/>
    <w:rsid w:val="00100A5F"/>
    <w:rsid w:val="00105929"/>
    <w:rsid w:val="0010768B"/>
    <w:rsid w:val="00110BED"/>
    <w:rsid w:val="00110C36"/>
    <w:rsid w:val="001131D5"/>
    <w:rsid w:val="00114547"/>
    <w:rsid w:val="00122C95"/>
    <w:rsid w:val="00141DB8"/>
    <w:rsid w:val="00145CD6"/>
    <w:rsid w:val="0015123B"/>
    <w:rsid w:val="001612B5"/>
    <w:rsid w:val="00166E2F"/>
    <w:rsid w:val="00172084"/>
    <w:rsid w:val="0017474A"/>
    <w:rsid w:val="001758C6"/>
    <w:rsid w:val="00182B99"/>
    <w:rsid w:val="001975E1"/>
    <w:rsid w:val="001C1525"/>
    <w:rsid w:val="001D736D"/>
    <w:rsid w:val="0021332C"/>
    <w:rsid w:val="00213982"/>
    <w:rsid w:val="0024416D"/>
    <w:rsid w:val="00271911"/>
    <w:rsid w:val="00273187"/>
    <w:rsid w:val="00274002"/>
    <w:rsid w:val="002800A0"/>
    <w:rsid w:val="002801B3"/>
    <w:rsid w:val="00280887"/>
    <w:rsid w:val="00281060"/>
    <w:rsid w:val="00285BD0"/>
    <w:rsid w:val="002940E8"/>
    <w:rsid w:val="00294751"/>
    <w:rsid w:val="002965B9"/>
    <w:rsid w:val="002A6E50"/>
    <w:rsid w:val="002B4298"/>
    <w:rsid w:val="002B7A36"/>
    <w:rsid w:val="002C256A"/>
    <w:rsid w:val="002C721C"/>
    <w:rsid w:val="002D5226"/>
    <w:rsid w:val="002E0E2D"/>
    <w:rsid w:val="002F1698"/>
    <w:rsid w:val="00305A7F"/>
    <w:rsid w:val="003152FE"/>
    <w:rsid w:val="00317807"/>
    <w:rsid w:val="00323E4E"/>
    <w:rsid w:val="00327436"/>
    <w:rsid w:val="003308D5"/>
    <w:rsid w:val="00344BD6"/>
    <w:rsid w:val="00351CA1"/>
    <w:rsid w:val="0035528D"/>
    <w:rsid w:val="00361821"/>
    <w:rsid w:val="00361E9E"/>
    <w:rsid w:val="003753EE"/>
    <w:rsid w:val="00377135"/>
    <w:rsid w:val="0038153A"/>
    <w:rsid w:val="00391FB4"/>
    <w:rsid w:val="003A0835"/>
    <w:rsid w:val="003A5AAF"/>
    <w:rsid w:val="003B700A"/>
    <w:rsid w:val="003C03EB"/>
    <w:rsid w:val="003C7FBE"/>
    <w:rsid w:val="003D227C"/>
    <w:rsid w:val="003D2B4D"/>
    <w:rsid w:val="003F37F5"/>
    <w:rsid w:val="00424E38"/>
    <w:rsid w:val="00425B3B"/>
    <w:rsid w:val="00444A88"/>
    <w:rsid w:val="00451D47"/>
    <w:rsid w:val="004611F7"/>
    <w:rsid w:val="004718D1"/>
    <w:rsid w:val="004722D8"/>
    <w:rsid w:val="00474DA4"/>
    <w:rsid w:val="00476B4D"/>
    <w:rsid w:val="004805FA"/>
    <w:rsid w:val="004935D2"/>
    <w:rsid w:val="004B1215"/>
    <w:rsid w:val="004B3AFD"/>
    <w:rsid w:val="004D047D"/>
    <w:rsid w:val="004E38BD"/>
    <w:rsid w:val="004F1E9E"/>
    <w:rsid w:val="004F305A"/>
    <w:rsid w:val="005054F9"/>
    <w:rsid w:val="00512164"/>
    <w:rsid w:val="00520297"/>
    <w:rsid w:val="0052589C"/>
    <w:rsid w:val="005338F9"/>
    <w:rsid w:val="0054281C"/>
    <w:rsid w:val="00544581"/>
    <w:rsid w:val="00544EA5"/>
    <w:rsid w:val="0055268D"/>
    <w:rsid w:val="00566F0A"/>
    <w:rsid w:val="00575DE2"/>
    <w:rsid w:val="00576BE4"/>
    <w:rsid w:val="005779DB"/>
    <w:rsid w:val="005820D2"/>
    <w:rsid w:val="00584B3E"/>
    <w:rsid w:val="005A400A"/>
    <w:rsid w:val="005B269D"/>
    <w:rsid w:val="005C1866"/>
    <w:rsid w:val="005C5244"/>
    <w:rsid w:val="005E68FB"/>
    <w:rsid w:val="005F2F0F"/>
    <w:rsid w:val="005F7B92"/>
    <w:rsid w:val="00612379"/>
    <w:rsid w:val="006153B6"/>
    <w:rsid w:val="0061555F"/>
    <w:rsid w:val="006245ED"/>
    <w:rsid w:val="00636CA6"/>
    <w:rsid w:val="00641200"/>
    <w:rsid w:val="00645CA8"/>
    <w:rsid w:val="00645DE3"/>
    <w:rsid w:val="006652D7"/>
    <w:rsid w:val="006655D3"/>
    <w:rsid w:val="00667404"/>
    <w:rsid w:val="00674731"/>
    <w:rsid w:val="006753D1"/>
    <w:rsid w:val="00676EFE"/>
    <w:rsid w:val="00677DC2"/>
    <w:rsid w:val="006868F8"/>
    <w:rsid w:val="00687EB4"/>
    <w:rsid w:val="00695C56"/>
    <w:rsid w:val="006A1465"/>
    <w:rsid w:val="006A5CDE"/>
    <w:rsid w:val="006A644A"/>
    <w:rsid w:val="006B17D2"/>
    <w:rsid w:val="006C224E"/>
    <w:rsid w:val="006D4C97"/>
    <w:rsid w:val="006D6698"/>
    <w:rsid w:val="006D780A"/>
    <w:rsid w:val="006F358B"/>
    <w:rsid w:val="0071271E"/>
    <w:rsid w:val="007154FD"/>
    <w:rsid w:val="00732DEC"/>
    <w:rsid w:val="00735BD5"/>
    <w:rsid w:val="007451EC"/>
    <w:rsid w:val="00751613"/>
    <w:rsid w:val="00753EE9"/>
    <w:rsid w:val="007546B2"/>
    <w:rsid w:val="00754855"/>
    <w:rsid w:val="007556F6"/>
    <w:rsid w:val="00760EEF"/>
    <w:rsid w:val="00777EE5"/>
    <w:rsid w:val="00784836"/>
    <w:rsid w:val="0079023E"/>
    <w:rsid w:val="00794A18"/>
    <w:rsid w:val="007A2854"/>
    <w:rsid w:val="007B73A9"/>
    <w:rsid w:val="007C01EB"/>
    <w:rsid w:val="007C1D92"/>
    <w:rsid w:val="007C4CB9"/>
    <w:rsid w:val="007D0B9D"/>
    <w:rsid w:val="007D19B0"/>
    <w:rsid w:val="007F498F"/>
    <w:rsid w:val="0080679D"/>
    <w:rsid w:val="008108B0"/>
    <w:rsid w:val="00811B20"/>
    <w:rsid w:val="00812609"/>
    <w:rsid w:val="008211B5"/>
    <w:rsid w:val="0082296E"/>
    <w:rsid w:val="00824099"/>
    <w:rsid w:val="00846D7C"/>
    <w:rsid w:val="008644FE"/>
    <w:rsid w:val="00865D23"/>
    <w:rsid w:val="00867AC1"/>
    <w:rsid w:val="00873180"/>
    <w:rsid w:val="008751DE"/>
    <w:rsid w:val="008772C1"/>
    <w:rsid w:val="00887B91"/>
    <w:rsid w:val="00890DF8"/>
    <w:rsid w:val="00891593"/>
    <w:rsid w:val="008A0ADE"/>
    <w:rsid w:val="008A743F"/>
    <w:rsid w:val="008A7867"/>
    <w:rsid w:val="008B2E00"/>
    <w:rsid w:val="008C04DF"/>
    <w:rsid w:val="008C0970"/>
    <w:rsid w:val="008D0BC5"/>
    <w:rsid w:val="008D1EC9"/>
    <w:rsid w:val="008D2CF7"/>
    <w:rsid w:val="008E22AF"/>
    <w:rsid w:val="00900C26"/>
    <w:rsid w:val="0090197F"/>
    <w:rsid w:val="00903264"/>
    <w:rsid w:val="00906DDC"/>
    <w:rsid w:val="00934D2B"/>
    <w:rsid w:val="00934E09"/>
    <w:rsid w:val="00936253"/>
    <w:rsid w:val="00936AF0"/>
    <w:rsid w:val="00940D46"/>
    <w:rsid w:val="009413F1"/>
    <w:rsid w:val="009421CE"/>
    <w:rsid w:val="00952DD4"/>
    <w:rsid w:val="00953A45"/>
    <w:rsid w:val="009561F4"/>
    <w:rsid w:val="00962FD4"/>
    <w:rsid w:val="009632AF"/>
    <w:rsid w:val="00965AE7"/>
    <w:rsid w:val="00970FED"/>
    <w:rsid w:val="00971744"/>
    <w:rsid w:val="00987464"/>
    <w:rsid w:val="00990E7C"/>
    <w:rsid w:val="009928E5"/>
    <w:rsid w:val="00992D82"/>
    <w:rsid w:val="00997029"/>
    <w:rsid w:val="009A7339"/>
    <w:rsid w:val="009B440E"/>
    <w:rsid w:val="009D05A8"/>
    <w:rsid w:val="009D690D"/>
    <w:rsid w:val="009E2D99"/>
    <w:rsid w:val="009E65B6"/>
    <w:rsid w:val="009F0A51"/>
    <w:rsid w:val="009F4F6F"/>
    <w:rsid w:val="009F77CF"/>
    <w:rsid w:val="00A075C2"/>
    <w:rsid w:val="00A1614C"/>
    <w:rsid w:val="00A23CF5"/>
    <w:rsid w:val="00A24C10"/>
    <w:rsid w:val="00A34633"/>
    <w:rsid w:val="00A42AC3"/>
    <w:rsid w:val="00A430CF"/>
    <w:rsid w:val="00A54309"/>
    <w:rsid w:val="00A610A9"/>
    <w:rsid w:val="00A80F2A"/>
    <w:rsid w:val="00A830D8"/>
    <w:rsid w:val="00A83A48"/>
    <w:rsid w:val="00A96C33"/>
    <w:rsid w:val="00A96C63"/>
    <w:rsid w:val="00AA13A2"/>
    <w:rsid w:val="00AB2B93"/>
    <w:rsid w:val="00AB530F"/>
    <w:rsid w:val="00AB7E5B"/>
    <w:rsid w:val="00AC2883"/>
    <w:rsid w:val="00AC5F03"/>
    <w:rsid w:val="00AD28D1"/>
    <w:rsid w:val="00AD727F"/>
    <w:rsid w:val="00AE0EF1"/>
    <w:rsid w:val="00AE2937"/>
    <w:rsid w:val="00B07301"/>
    <w:rsid w:val="00B11F3E"/>
    <w:rsid w:val="00B224DE"/>
    <w:rsid w:val="00B3111B"/>
    <w:rsid w:val="00B324D4"/>
    <w:rsid w:val="00B42CC2"/>
    <w:rsid w:val="00B46575"/>
    <w:rsid w:val="00B50C2C"/>
    <w:rsid w:val="00B61777"/>
    <w:rsid w:val="00B622E6"/>
    <w:rsid w:val="00B83E82"/>
    <w:rsid w:val="00B84BBD"/>
    <w:rsid w:val="00B91BD8"/>
    <w:rsid w:val="00BA37F9"/>
    <w:rsid w:val="00BA43FB"/>
    <w:rsid w:val="00BC127D"/>
    <w:rsid w:val="00BC1FE6"/>
    <w:rsid w:val="00BC2BF0"/>
    <w:rsid w:val="00BE752F"/>
    <w:rsid w:val="00C061B6"/>
    <w:rsid w:val="00C2446C"/>
    <w:rsid w:val="00C36AE5"/>
    <w:rsid w:val="00C41F17"/>
    <w:rsid w:val="00C527FA"/>
    <w:rsid w:val="00C5280D"/>
    <w:rsid w:val="00C53EB3"/>
    <w:rsid w:val="00C5791C"/>
    <w:rsid w:val="00C66290"/>
    <w:rsid w:val="00C67B45"/>
    <w:rsid w:val="00C72B7A"/>
    <w:rsid w:val="00C955FB"/>
    <w:rsid w:val="00C973F2"/>
    <w:rsid w:val="00CA304C"/>
    <w:rsid w:val="00CA774A"/>
    <w:rsid w:val="00CB4921"/>
    <w:rsid w:val="00CC11B0"/>
    <w:rsid w:val="00CC2841"/>
    <w:rsid w:val="00CE16FE"/>
    <w:rsid w:val="00CF1330"/>
    <w:rsid w:val="00CF7E36"/>
    <w:rsid w:val="00D06A59"/>
    <w:rsid w:val="00D220BB"/>
    <w:rsid w:val="00D3375A"/>
    <w:rsid w:val="00D3708D"/>
    <w:rsid w:val="00D40426"/>
    <w:rsid w:val="00D513EC"/>
    <w:rsid w:val="00D52F5C"/>
    <w:rsid w:val="00D57C96"/>
    <w:rsid w:val="00D57D18"/>
    <w:rsid w:val="00D60967"/>
    <w:rsid w:val="00D616AB"/>
    <w:rsid w:val="00D65B8E"/>
    <w:rsid w:val="00D70E65"/>
    <w:rsid w:val="00D75187"/>
    <w:rsid w:val="00D91203"/>
    <w:rsid w:val="00D95174"/>
    <w:rsid w:val="00DA4973"/>
    <w:rsid w:val="00DA6F36"/>
    <w:rsid w:val="00DB2899"/>
    <w:rsid w:val="00DB596E"/>
    <w:rsid w:val="00DB7773"/>
    <w:rsid w:val="00DC00EA"/>
    <w:rsid w:val="00DC3802"/>
    <w:rsid w:val="00DC3BDA"/>
    <w:rsid w:val="00DD6208"/>
    <w:rsid w:val="00DE0D3B"/>
    <w:rsid w:val="00DF7E99"/>
    <w:rsid w:val="00E074B7"/>
    <w:rsid w:val="00E07D87"/>
    <w:rsid w:val="00E209FA"/>
    <w:rsid w:val="00E249C8"/>
    <w:rsid w:val="00E32F7E"/>
    <w:rsid w:val="00E5267B"/>
    <w:rsid w:val="00E559F0"/>
    <w:rsid w:val="00E60BFD"/>
    <w:rsid w:val="00E63C0E"/>
    <w:rsid w:val="00E7019C"/>
    <w:rsid w:val="00E72D49"/>
    <w:rsid w:val="00E7593C"/>
    <w:rsid w:val="00E7678A"/>
    <w:rsid w:val="00E935F1"/>
    <w:rsid w:val="00E94A81"/>
    <w:rsid w:val="00E97F81"/>
    <w:rsid w:val="00EA1FFB"/>
    <w:rsid w:val="00EB048E"/>
    <w:rsid w:val="00EB4E9C"/>
    <w:rsid w:val="00EB5EB3"/>
    <w:rsid w:val="00EC2F3D"/>
    <w:rsid w:val="00EC51B2"/>
    <w:rsid w:val="00ED449E"/>
    <w:rsid w:val="00EE34DF"/>
    <w:rsid w:val="00EF2F89"/>
    <w:rsid w:val="00EF6D30"/>
    <w:rsid w:val="00F03E98"/>
    <w:rsid w:val="00F1237A"/>
    <w:rsid w:val="00F17DCF"/>
    <w:rsid w:val="00F22CBD"/>
    <w:rsid w:val="00F272F1"/>
    <w:rsid w:val="00F31412"/>
    <w:rsid w:val="00F33641"/>
    <w:rsid w:val="00F418A0"/>
    <w:rsid w:val="00F45372"/>
    <w:rsid w:val="00F531DD"/>
    <w:rsid w:val="00F560F7"/>
    <w:rsid w:val="00F626D8"/>
    <w:rsid w:val="00F6334D"/>
    <w:rsid w:val="00F63599"/>
    <w:rsid w:val="00F71781"/>
    <w:rsid w:val="00F73F7E"/>
    <w:rsid w:val="00F94922"/>
    <w:rsid w:val="00F9565D"/>
    <w:rsid w:val="00F97F47"/>
    <w:rsid w:val="00FA49AB"/>
    <w:rsid w:val="00FA56F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9AF74F"/>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DE0D3B"/>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1614C"/>
    <w:pPr>
      <w:tabs>
        <w:tab w:val="right" w:leader="dot" w:pos="9639"/>
      </w:tabs>
      <w:ind w:left="454" w:right="851" w:hanging="284"/>
      <w:contextualSpacing/>
    </w:pPr>
    <w:rPr>
      <w:rFonts w:ascii="Arial" w:hAnsi="Arial"/>
    </w:rPr>
  </w:style>
  <w:style w:type="paragraph" w:styleId="TOC3">
    <w:name w:val="toc 3"/>
    <w:next w:val="Normal"/>
    <w:autoRedefine/>
    <w:uiPriority w:val="39"/>
    <w:rsid w:val="00971744"/>
    <w:pPr>
      <w:tabs>
        <w:tab w:val="right" w:leader="dot" w:pos="9639"/>
      </w:tabs>
      <w:spacing w:after="120"/>
      <w:ind w:left="568" w:right="851" w:hanging="284"/>
    </w:pPr>
    <w:rPr>
      <w:rFonts w:ascii="Arial" w:hAnsi="Arial"/>
      <w:i/>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71744"/>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DE0D3B"/>
    <w:rPr>
      <w:rFonts w:ascii="Arial" w:hAnsi="Arial"/>
      <w:sz w:val="16"/>
    </w:rPr>
  </w:style>
  <w:style w:type="table" w:styleId="TableGrid">
    <w:name w:val="Table Grid"/>
    <w:basedOn w:val="TableNormal"/>
    <w:uiPriority w:val="39"/>
    <w:rsid w:val="00E209FA"/>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D4C97"/>
    <w:rPr>
      <w:rFonts w:ascii="Arial" w:hAnsi="Arial"/>
      <w:i/>
    </w:rPr>
  </w:style>
  <w:style w:type="character" w:customStyle="1" w:styleId="HeaderChar">
    <w:name w:val="Header Char"/>
    <w:basedOn w:val="DefaultParagraphFont"/>
    <w:link w:val="Header"/>
    <w:uiPriority w:val="99"/>
    <w:rsid w:val="00F626D8"/>
    <w:rPr>
      <w:rFonts w:ascii="Arial" w:hAnsi="Arial"/>
      <w:lang w:val="fr-FR"/>
    </w:rPr>
  </w:style>
  <w:style w:type="character" w:customStyle="1" w:styleId="UnresolvedMention1">
    <w:name w:val="Unresolved Mention1"/>
    <w:basedOn w:val="DefaultParagraphFont"/>
    <w:uiPriority w:val="99"/>
    <w:semiHidden/>
    <w:unhideWhenUsed/>
    <w:rsid w:val="002965B9"/>
    <w:rPr>
      <w:color w:val="605E5C"/>
      <w:shd w:val="clear" w:color="auto" w:fill="E1DFDD"/>
    </w:rPr>
  </w:style>
  <w:style w:type="paragraph" w:styleId="ListParagraph">
    <w:name w:val="List Paragraph"/>
    <w:basedOn w:val="Normal"/>
    <w:uiPriority w:val="34"/>
    <w:qFormat/>
    <w:rsid w:val="00FA56F7"/>
    <w:pPr>
      <w:ind w:left="720"/>
      <w:contextualSpacing/>
    </w:pPr>
  </w:style>
  <w:style w:type="paragraph" w:styleId="Revision">
    <w:name w:val="Revision"/>
    <w:hidden/>
    <w:uiPriority w:val="99"/>
    <w:semiHidden/>
    <w:rsid w:val="002F1698"/>
    <w:rPr>
      <w:rFonts w:ascii="Arial" w:hAnsi="Arial"/>
    </w:rPr>
  </w:style>
  <w:style w:type="character" w:styleId="CommentReference">
    <w:name w:val="annotation reference"/>
    <w:basedOn w:val="DefaultParagraphFont"/>
    <w:semiHidden/>
    <w:unhideWhenUsed/>
    <w:rsid w:val="00962FD4"/>
    <w:rPr>
      <w:sz w:val="16"/>
      <w:szCs w:val="16"/>
    </w:rPr>
  </w:style>
  <w:style w:type="paragraph" w:styleId="CommentText">
    <w:name w:val="annotation text"/>
    <w:basedOn w:val="Normal"/>
    <w:link w:val="CommentTextChar"/>
    <w:semiHidden/>
    <w:unhideWhenUsed/>
    <w:rsid w:val="00962FD4"/>
  </w:style>
  <w:style w:type="character" w:customStyle="1" w:styleId="CommentTextChar">
    <w:name w:val="Comment Text Char"/>
    <w:basedOn w:val="DefaultParagraphFont"/>
    <w:link w:val="CommentText"/>
    <w:semiHidden/>
    <w:rsid w:val="00962FD4"/>
    <w:rPr>
      <w:rFonts w:ascii="Arial" w:hAnsi="Arial"/>
    </w:rPr>
  </w:style>
  <w:style w:type="paragraph" w:styleId="CommentSubject">
    <w:name w:val="annotation subject"/>
    <w:basedOn w:val="CommentText"/>
    <w:next w:val="CommentText"/>
    <w:link w:val="CommentSubjectChar"/>
    <w:semiHidden/>
    <w:unhideWhenUsed/>
    <w:rsid w:val="00962FD4"/>
    <w:rPr>
      <w:b/>
      <w:bCs/>
    </w:rPr>
  </w:style>
  <w:style w:type="character" w:customStyle="1" w:styleId="CommentSubjectChar">
    <w:name w:val="Comment Subject Char"/>
    <w:basedOn w:val="CommentTextChar"/>
    <w:link w:val="CommentSubject"/>
    <w:semiHidden/>
    <w:rsid w:val="00962FD4"/>
    <w:rPr>
      <w:rFonts w:ascii="Arial" w:hAnsi="Arial"/>
      <w:b/>
      <w:bCs/>
    </w:rPr>
  </w:style>
  <w:style w:type="character" w:styleId="UnresolvedMention">
    <w:name w:val="Unresolved Mention"/>
    <w:basedOn w:val="DefaultParagraphFont"/>
    <w:uiPriority w:val="99"/>
    <w:semiHidden/>
    <w:unhideWhenUsed/>
    <w:rsid w:val="00865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1930">
      <w:bodyDiv w:val="1"/>
      <w:marLeft w:val="0"/>
      <w:marRight w:val="0"/>
      <w:marTop w:val="0"/>
      <w:marBottom w:val="0"/>
      <w:divBdr>
        <w:top w:val="none" w:sz="0" w:space="0" w:color="auto"/>
        <w:left w:val="none" w:sz="0" w:space="0" w:color="auto"/>
        <w:bottom w:val="none" w:sz="0" w:space="0" w:color="auto"/>
        <w:right w:val="none" w:sz="0" w:space="0" w:color="auto"/>
      </w:divBdr>
    </w:div>
    <w:div w:id="1023359988">
      <w:bodyDiv w:val="1"/>
      <w:marLeft w:val="0"/>
      <w:marRight w:val="0"/>
      <w:marTop w:val="0"/>
      <w:marBottom w:val="0"/>
      <w:divBdr>
        <w:top w:val="none" w:sz="0" w:space="0" w:color="auto"/>
        <w:left w:val="none" w:sz="0" w:space="0" w:color="auto"/>
        <w:bottom w:val="none" w:sz="0" w:space="0" w:color="auto"/>
        <w:right w:val="none" w:sz="0" w:space="0" w:color="auto"/>
      </w:divBdr>
    </w:div>
    <w:div w:id="1358003307">
      <w:bodyDiv w:val="1"/>
      <w:marLeft w:val="0"/>
      <w:marRight w:val="0"/>
      <w:marTop w:val="0"/>
      <w:marBottom w:val="0"/>
      <w:divBdr>
        <w:top w:val="none" w:sz="0" w:space="0" w:color="auto"/>
        <w:left w:val="none" w:sz="0" w:space="0" w:color="auto"/>
        <w:bottom w:val="none" w:sz="0" w:space="0" w:color="auto"/>
        <w:right w:val="none" w:sz="0" w:space="0" w:color="auto"/>
      </w:divBdr>
    </w:div>
    <w:div w:id="182789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de/doc_details.jsp?meeting_id=67786&amp;doc_id=586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000A-20EB-4EC4-91F5-CD5D2818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2510</Words>
  <Characters>17587</Characters>
  <Application>Microsoft Office Word</Application>
  <DocSecurity>0</DocSecurity>
  <Lines>390</Lines>
  <Paragraphs>181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SESSIONS/2023/5</vt:lpstr>
      <vt:lpstr>SESSIONS/2023/5</vt:lpstr>
    </vt:vector>
  </TitlesOfParts>
  <Company>UPOV</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SESSIONS/2023/5</dc:title>
  <dc:creator>SANCHEZ VIZCAINO GOMEZ Rosa Maria</dc:creator>
  <cp:keywords>, docId:CE8388C085BE5BA88933073AA5E6C123</cp:keywords>
  <cp:lastModifiedBy>SANCHEZ VIZCAINO GOMEZ Rosa Maria</cp:lastModifiedBy>
  <cp:revision>8</cp:revision>
  <cp:lastPrinted>2023-10-06T08:53:00Z</cp:lastPrinted>
  <dcterms:created xsi:type="dcterms:W3CDTF">2023-10-10T17:17:00Z</dcterms:created>
  <dcterms:modified xsi:type="dcterms:W3CDTF">2023-10-13T16:27:00Z</dcterms:modified>
</cp:coreProperties>
</file>