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084E6FA" w14:textId="77777777" w:rsidTr="00EB4E9C">
        <w:tc>
          <w:tcPr>
            <w:tcW w:w="6522" w:type="dxa"/>
          </w:tcPr>
          <w:p w14:paraId="6264759C" w14:textId="77777777" w:rsidR="00DC3802" w:rsidRPr="00AC2883" w:rsidRDefault="00DC3802" w:rsidP="00AC2883">
            <w:r w:rsidRPr="00D250C5">
              <w:rPr>
                <w:noProof/>
              </w:rPr>
              <w:drawing>
                <wp:inline distT="0" distB="0" distL="0" distR="0" wp14:anchorId="2705CC31" wp14:editId="247744B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00CB52" w14:textId="1861360A" w:rsidR="00DC3802" w:rsidRPr="007C1D92" w:rsidRDefault="00933B33" w:rsidP="00AC2883">
            <w:pPr>
              <w:pStyle w:val="Lettrine"/>
            </w:pPr>
            <w:r>
              <w:t>G</w:t>
            </w:r>
          </w:p>
        </w:tc>
      </w:tr>
      <w:tr w:rsidR="00DC3802" w:rsidRPr="00547BC4" w14:paraId="0FD09C82" w14:textId="77777777" w:rsidTr="00645CA8">
        <w:trPr>
          <w:trHeight w:val="219"/>
        </w:trPr>
        <w:tc>
          <w:tcPr>
            <w:tcW w:w="6522" w:type="dxa"/>
          </w:tcPr>
          <w:p w14:paraId="559DC4A9" w14:textId="220568F8" w:rsidR="00DC3802" w:rsidRPr="00B402ED" w:rsidRDefault="00B402ED" w:rsidP="00AC2883">
            <w:pPr>
              <w:pStyle w:val="upove"/>
              <w:rPr>
                <w:lang w:val="de-DE"/>
              </w:rPr>
            </w:pPr>
            <w:r w:rsidRPr="00B402ED">
              <w:rPr>
                <w:rFonts w:cs="Arial"/>
                <w:szCs w:val="16"/>
                <w:lang w:val="de-DE"/>
              </w:rPr>
              <w:t>Internationaler Verband zum Schutz von Pflanzenzüchtungen</w:t>
            </w:r>
          </w:p>
        </w:tc>
        <w:tc>
          <w:tcPr>
            <w:tcW w:w="3117" w:type="dxa"/>
          </w:tcPr>
          <w:p w14:paraId="208E57F2" w14:textId="77777777" w:rsidR="00DC3802" w:rsidRPr="00B402ED" w:rsidRDefault="00DC3802" w:rsidP="00DA4973">
            <w:pPr>
              <w:rPr>
                <w:lang w:val="de-DE"/>
              </w:rPr>
            </w:pPr>
          </w:p>
        </w:tc>
      </w:tr>
    </w:tbl>
    <w:p w14:paraId="5110E68A" w14:textId="77777777" w:rsidR="00DC3802" w:rsidRPr="00B402ED" w:rsidRDefault="00DC3802" w:rsidP="00DC3802">
      <w:pPr>
        <w:rPr>
          <w:lang w:val="de-DE"/>
        </w:rPr>
      </w:pPr>
    </w:p>
    <w:p w14:paraId="106928A2" w14:textId="77777777" w:rsidR="008D0F14" w:rsidRPr="00B402ED" w:rsidRDefault="008D0F14" w:rsidP="008D0F14">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547BC4" w14:paraId="001603B0" w14:textId="77777777" w:rsidTr="00531DCD">
        <w:tc>
          <w:tcPr>
            <w:tcW w:w="6512" w:type="dxa"/>
          </w:tcPr>
          <w:p w14:paraId="295E8C07" w14:textId="77777777" w:rsidR="00D63D03" w:rsidRPr="008D32A4" w:rsidRDefault="00D63D03" w:rsidP="00D63D03">
            <w:pPr>
              <w:pStyle w:val="Sessiontc"/>
              <w:spacing w:line="240" w:lineRule="auto"/>
              <w:rPr>
                <w:lang w:val="de-DE"/>
              </w:rPr>
            </w:pPr>
            <w:r w:rsidRPr="008D32A4">
              <w:rPr>
                <w:lang w:val="de-DE"/>
              </w:rPr>
              <w:t>Verwaltungs- und Rechtsausschuss</w:t>
            </w:r>
          </w:p>
          <w:p w14:paraId="175D6F8C" w14:textId="22332EA3" w:rsidR="008D32A4" w:rsidRPr="005571B2" w:rsidRDefault="008D32A4" w:rsidP="008D32A4">
            <w:pPr>
              <w:pStyle w:val="Sessiontcplacedate"/>
              <w:rPr>
                <w:lang w:val="de-DE"/>
              </w:rPr>
            </w:pPr>
            <w:r w:rsidRPr="005571B2">
              <w:rPr>
                <w:lang w:val="de-DE"/>
              </w:rPr>
              <w:t>Neunundsiebzigste Tagung</w:t>
            </w:r>
          </w:p>
          <w:p w14:paraId="3EDA33F4" w14:textId="73991DCE" w:rsidR="008D0F14" w:rsidRPr="00DC3802" w:rsidRDefault="00341F58" w:rsidP="00531DCD">
            <w:pPr>
              <w:pStyle w:val="Sessiontcplacedate"/>
              <w:rPr>
                <w:sz w:val="22"/>
              </w:rPr>
            </w:pPr>
            <w:r w:rsidRPr="005571B2">
              <w:rPr>
                <w:lang w:val="de-DE"/>
              </w:rPr>
              <w:t>Genf, 26.</w:t>
            </w:r>
            <w:r w:rsidR="00970583">
              <w:rPr>
                <w:lang w:val="de-DE"/>
              </w:rPr>
              <w:t xml:space="preserve"> </w:t>
            </w:r>
            <w:proofErr w:type="spellStart"/>
            <w:r w:rsidRPr="00160FAB">
              <w:t>Oktober</w:t>
            </w:r>
            <w:proofErr w:type="spellEnd"/>
            <w:r w:rsidRPr="00160FAB">
              <w:t xml:space="preserve"> 202</w:t>
            </w:r>
            <w:r>
              <w:t>2</w:t>
            </w:r>
          </w:p>
        </w:tc>
        <w:tc>
          <w:tcPr>
            <w:tcW w:w="3127" w:type="dxa"/>
          </w:tcPr>
          <w:p w14:paraId="5407E8DD" w14:textId="77777777" w:rsidR="008D0F14" w:rsidRPr="00975A3E" w:rsidRDefault="00B748DF" w:rsidP="00531DCD">
            <w:pPr>
              <w:pStyle w:val="Doccode"/>
              <w:rPr>
                <w:lang w:val="de-DE"/>
              </w:rPr>
            </w:pPr>
            <w:r w:rsidRPr="00975A3E">
              <w:rPr>
                <w:lang w:val="de-DE"/>
              </w:rPr>
              <w:t>CAJ/79/</w:t>
            </w:r>
            <w:r w:rsidR="0017765A" w:rsidRPr="00975A3E">
              <w:rPr>
                <w:lang w:val="de-DE"/>
              </w:rPr>
              <w:t>INF/4</w:t>
            </w:r>
          </w:p>
          <w:p w14:paraId="4E7D3C3A" w14:textId="01B3D466" w:rsidR="008D0F14" w:rsidRPr="00975A3E" w:rsidRDefault="008D0F14" w:rsidP="00531DCD">
            <w:pPr>
              <w:pStyle w:val="Docoriginal"/>
              <w:rPr>
                <w:lang w:val="de-DE"/>
              </w:rPr>
            </w:pPr>
            <w:r w:rsidRPr="00975A3E">
              <w:rPr>
                <w:lang w:val="de-DE"/>
              </w:rPr>
              <w:t>Original:</w:t>
            </w:r>
            <w:r w:rsidRPr="00975A3E">
              <w:rPr>
                <w:b w:val="0"/>
                <w:spacing w:val="0"/>
                <w:lang w:val="de-DE"/>
              </w:rPr>
              <w:t xml:space="preserve"> Englis</w:t>
            </w:r>
            <w:r w:rsidR="00A11573" w:rsidRPr="00975A3E">
              <w:rPr>
                <w:b w:val="0"/>
                <w:spacing w:val="0"/>
                <w:lang w:val="de-DE"/>
              </w:rPr>
              <w:t>c</w:t>
            </w:r>
            <w:r w:rsidRPr="00975A3E">
              <w:rPr>
                <w:b w:val="0"/>
                <w:spacing w:val="0"/>
                <w:lang w:val="de-DE"/>
              </w:rPr>
              <w:t>h</w:t>
            </w:r>
          </w:p>
          <w:p w14:paraId="357C6406" w14:textId="4903DC87" w:rsidR="008D0F14" w:rsidRPr="00975A3E" w:rsidRDefault="008D0F14" w:rsidP="00547BC4">
            <w:pPr>
              <w:pStyle w:val="Docoriginal"/>
              <w:rPr>
                <w:lang w:val="de-DE"/>
              </w:rPr>
            </w:pPr>
            <w:r w:rsidRPr="00975A3E">
              <w:rPr>
                <w:lang w:val="de-DE"/>
              </w:rPr>
              <w:t>Date:</w:t>
            </w:r>
            <w:r w:rsidRPr="00975A3E">
              <w:rPr>
                <w:b w:val="0"/>
                <w:spacing w:val="0"/>
                <w:lang w:val="de-DE"/>
              </w:rPr>
              <w:t xml:space="preserve"> </w:t>
            </w:r>
            <w:r w:rsidR="00341F58" w:rsidRPr="00547BC4">
              <w:rPr>
                <w:b w:val="0"/>
                <w:spacing w:val="0"/>
                <w:lang w:val="de-DE"/>
              </w:rPr>
              <w:t>1</w:t>
            </w:r>
            <w:r w:rsidR="00547BC4" w:rsidRPr="00547BC4">
              <w:rPr>
                <w:b w:val="0"/>
                <w:spacing w:val="0"/>
                <w:lang w:val="de-DE"/>
              </w:rPr>
              <w:t>5</w:t>
            </w:r>
            <w:r w:rsidR="00341F58" w:rsidRPr="00547BC4">
              <w:rPr>
                <w:b w:val="0"/>
                <w:spacing w:val="0"/>
                <w:lang w:val="de-DE"/>
              </w:rPr>
              <w:t>.</w:t>
            </w:r>
            <w:r w:rsidR="00970583" w:rsidRPr="00547BC4">
              <w:rPr>
                <w:b w:val="0"/>
                <w:spacing w:val="0"/>
                <w:lang w:val="de-DE"/>
              </w:rPr>
              <w:t xml:space="preserve"> </w:t>
            </w:r>
            <w:r w:rsidR="00341F58" w:rsidRPr="00547BC4">
              <w:rPr>
                <w:b w:val="0"/>
                <w:spacing w:val="0"/>
                <w:lang w:val="de-DE"/>
              </w:rPr>
              <w:t>Oktober</w:t>
            </w:r>
            <w:r w:rsidR="0017765A" w:rsidRPr="00547BC4">
              <w:rPr>
                <w:b w:val="0"/>
                <w:spacing w:val="0"/>
                <w:lang w:val="de-DE"/>
              </w:rPr>
              <w:t xml:space="preserve"> </w:t>
            </w:r>
            <w:r w:rsidRPr="00547BC4">
              <w:rPr>
                <w:b w:val="0"/>
                <w:spacing w:val="0"/>
                <w:lang w:val="de-DE"/>
              </w:rPr>
              <w:t>2022</w:t>
            </w:r>
          </w:p>
        </w:tc>
      </w:tr>
    </w:tbl>
    <w:p w14:paraId="18DEF5C9" w14:textId="77777777" w:rsidR="00975A3E" w:rsidRPr="00975A3E" w:rsidRDefault="00975A3E" w:rsidP="00975A3E">
      <w:pPr>
        <w:spacing w:before="600" w:after="240"/>
        <w:jc w:val="left"/>
        <w:rPr>
          <w:b/>
          <w:caps/>
          <w:noProof/>
          <w:lang w:val="de-DE"/>
        </w:rPr>
      </w:pPr>
      <w:r w:rsidRPr="00975A3E">
        <w:rPr>
          <w:b/>
          <w:caps/>
          <w:noProof/>
          <w:lang w:val="de-DE"/>
        </w:rPr>
        <w:t>MoleKularE VERFAHREN</w:t>
      </w:r>
    </w:p>
    <w:p w14:paraId="3C87EB8C" w14:textId="77777777" w:rsidR="00975A3E" w:rsidRPr="00975A3E" w:rsidRDefault="00975A3E" w:rsidP="00975A3E">
      <w:pPr>
        <w:spacing w:after="240"/>
        <w:jc w:val="left"/>
        <w:rPr>
          <w:i/>
          <w:iCs/>
          <w:noProof/>
          <w:lang w:val="de-DE"/>
        </w:rPr>
      </w:pPr>
      <w:bookmarkStart w:id="0" w:name="Prepared"/>
      <w:bookmarkStart w:id="1" w:name="_Toc527366627"/>
      <w:bookmarkEnd w:id="0"/>
      <w:r w:rsidRPr="00975A3E">
        <w:rPr>
          <w:i/>
          <w:iCs/>
          <w:noProof/>
          <w:lang w:val="de-DE"/>
        </w:rPr>
        <w:t>Vom Verbandsbüro erstelltes Dokument</w:t>
      </w:r>
    </w:p>
    <w:p w14:paraId="4564374C" w14:textId="77777777" w:rsidR="00975A3E" w:rsidRPr="00975A3E" w:rsidRDefault="00975A3E" w:rsidP="00975A3E">
      <w:pPr>
        <w:spacing w:after="600"/>
        <w:jc w:val="left"/>
        <w:rPr>
          <w:i/>
          <w:iCs/>
          <w:noProof/>
          <w:color w:val="A6A6A6" w:themeColor="background1" w:themeShade="A6"/>
          <w:lang w:val="de-DE"/>
        </w:rPr>
      </w:pPr>
      <w:r w:rsidRPr="00975A3E">
        <w:rPr>
          <w:i/>
          <w:iCs/>
          <w:noProof/>
          <w:color w:val="A6A6A6" w:themeColor="background1" w:themeShade="A6"/>
          <w:lang w:val="de-DE"/>
        </w:rPr>
        <w:t>Haftungsausschluss: dieses Dokument gibt nicht die Grundsätze oder eine Anleitung der UPOV wieder</w:t>
      </w:r>
    </w:p>
    <w:p w14:paraId="6C9C6BCD" w14:textId="25DFD4E3" w:rsidR="00C327B6" w:rsidRPr="00332593" w:rsidRDefault="00975A3E" w:rsidP="00C327B6">
      <w:pPr>
        <w:pStyle w:val="Heading1"/>
        <w:rPr>
          <w:snapToGrid w:val="0"/>
          <w:lang w:val="de-DE" w:eastAsia="ja-JP"/>
        </w:rPr>
      </w:pPr>
      <w:bookmarkStart w:id="2" w:name="_Toc117464323"/>
      <w:bookmarkEnd w:id="1"/>
      <w:r w:rsidRPr="00332593">
        <w:rPr>
          <w:snapToGrid w:val="0"/>
          <w:lang w:val="de-DE" w:eastAsia="ja-JP"/>
        </w:rPr>
        <w:t>zusammenfassung</w:t>
      </w:r>
      <w:bookmarkEnd w:id="2"/>
    </w:p>
    <w:p w14:paraId="47E07821" w14:textId="77777777" w:rsidR="00C327B6" w:rsidRPr="00332593" w:rsidRDefault="00C327B6" w:rsidP="00C327B6">
      <w:pPr>
        <w:rPr>
          <w:lang w:val="de-DE" w:eastAsia="ja-JP"/>
        </w:rPr>
      </w:pPr>
    </w:p>
    <w:p w14:paraId="4672F87A" w14:textId="75E32504" w:rsidR="00C327B6" w:rsidRPr="00332593" w:rsidRDefault="00C327B6" w:rsidP="00332593">
      <w:pPr>
        <w:rPr>
          <w:lang w:val="de-DE"/>
        </w:rPr>
      </w:pPr>
      <w:r>
        <w:fldChar w:fldCharType="begin"/>
      </w:r>
      <w:r w:rsidRPr="00332593">
        <w:rPr>
          <w:lang w:val="de-DE"/>
        </w:rPr>
        <w:instrText xml:space="preserve"> AUTONUM  </w:instrText>
      </w:r>
      <w:r>
        <w:fldChar w:fldCharType="end"/>
      </w:r>
      <w:r w:rsidRPr="00332593">
        <w:rPr>
          <w:lang w:val="de-DE"/>
        </w:rPr>
        <w:tab/>
      </w:r>
      <w:r w:rsidR="00332593" w:rsidRPr="00332593">
        <w:rPr>
          <w:lang w:val="de-DE"/>
        </w:rPr>
        <w:t xml:space="preserve">Zweck dieses Dokuments ist es, über die Entwicklungen betreffend molekulare Verfahren seit der </w:t>
      </w:r>
      <w:r w:rsidR="0081419B">
        <w:rPr>
          <w:lang w:val="de-DE"/>
        </w:rPr>
        <w:t>acht</w:t>
      </w:r>
      <w:r w:rsidR="00332593" w:rsidRPr="00332593">
        <w:rPr>
          <w:lang w:val="de-DE"/>
        </w:rPr>
        <w:t>undsiebzigsten Tagung des Verwaltungs- und Rechtsausschusses (CAJ) zu berichten.</w:t>
      </w:r>
    </w:p>
    <w:p w14:paraId="43B34865" w14:textId="77777777" w:rsidR="00C327B6" w:rsidRPr="00332593" w:rsidRDefault="00C327B6" w:rsidP="00C327B6">
      <w:pPr>
        <w:jc w:val="left"/>
        <w:rPr>
          <w:rFonts w:cs="Arial"/>
          <w:snapToGrid w:val="0"/>
          <w:sz w:val="18"/>
          <w:szCs w:val="24"/>
          <w:lang w:val="de-DE" w:eastAsia="ja-JP"/>
        </w:rPr>
      </w:pPr>
    </w:p>
    <w:p w14:paraId="774BBAAE" w14:textId="5082A3D9" w:rsidR="00473809" w:rsidRPr="00473809" w:rsidRDefault="00C327B6" w:rsidP="00C327B6">
      <w:pPr>
        <w:keepNext/>
        <w:rPr>
          <w:lang w:val="de-DE"/>
        </w:rPr>
      </w:pPr>
      <w:r w:rsidRPr="001857B6">
        <w:fldChar w:fldCharType="begin"/>
      </w:r>
      <w:r w:rsidRPr="00473809">
        <w:rPr>
          <w:lang w:val="de-DE"/>
        </w:rPr>
        <w:instrText xml:space="preserve"> AUTONUM  </w:instrText>
      </w:r>
      <w:r w:rsidRPr="001857B6">
        <w:fldChar w:fldCharType="end"/>
      </w:r>
      <w:r w:rsidRPr="00473809">
        <w:rPr>
          <w:lang w:val="de-DE"/>
        </w:rPr>
        <w:tab/>
      </w:r>
      <w:r w:rsidR="00473809" w:rsidRPr="00473809">
        <w:rPr>
          <w:lang w:val="de-DE"/>
        </w:rPr>
        <w:t>Der Aufbau dieses Dokuments ist wie folgt:</w:t>
      </w:r>
    </w:p>
    <w:sdt>
      <w:sdtPr>
        <w:rPr>
          <w:smallCaps/>
        </w:rPr>
        <w:id w:val="-1800911247"/>
        <w:docPartObj>
          <w:docPartGallery w:val="Table of Contents"/>
          <w:docPartUnique/>
        </w:docPartObj>
      </w:sdtPr>
      <w:sdtEndPr>
        <w:rPr>
          <w:b/>
          <w:bCs/>
          <w:noProof/>
          <w:sz w:val="18"/>
          <w:szCs w:val="18"/>
        </w:rPr>
      </w:sdtEndPr>
      <w:sdtContent>
        <w:p w14:paraId="5957134A" w14:textId="1CA16927" w:rsidR="00C327B6" w:rsidRPr="001857B6" w:rsidRDefault="00C327B6" w:rsidP="00C327B6">
          <w:pPr>
            <w:keepNext/>
            <w:rPr>
              <w:rFonts w:cs="Arial"/>
              <w:b/>
            </w:rPr>
          </w:pPr>
        </w:p>
        <w:p w14:paraId="2533B29E" w14:textId="10E2AF27" w:rsidR="00953563" w:rsidRDefault="00C327B6">
          <w:pPr>
            <w:pStyle w:val="TOC1"/>
            <w:rPr>
              <w:rFonts w:asciiTheme="minorHAnsi" w:eastAsiaTheme="minorEastAsia" w:hAnsiTheme="minorHAnsi" w:cstheme="minorBidi"/>
              <w:caps w:val="0"/>
              <w:noProof/>
              <w:sz w:val="22"/>
              <w:szCs w:val="22"/>
              <w:lang w:val="en-CH" w:eastAsia="en-CH"/>
            </w:rPr>
          </w:pPr>
          <w:r w:rsidRPr="001857B6">
            <w:rPr>
              <w:rFonts w:cs="Arial"/>
              <w:szCs w:val="18"/>
            </w:rPr>
            <w:fldChar w:fldCharType="begin"/>
          </w:r>
          <w:r w:rsidRPr="001857B6">
            <w:rPr>
              <w:szCs w:val="18"/>
            </w:rPr>
            <w:instrText xml:space="preserve"> TOC \o "1-3" \h \z \u </w:instrText>
          </w:r>
          <w:r w:rsidRPr="001857B6">
            <w:rPr>
              <w:rFonts w:cs="Arial"/>
              <w:szCs w:val="18"/>
            </w:rPr>
            <w:fldChar w:fldCharType="separate"/>
          </w:r>
          <w:hyperlink w:anchor="_Toc117464323" w:history="1">
            <w:r w:rsidR="00953563" w:rsidRPr="003F53BE">
              <w:rPr>
                <w:rStyle w:val="Hyperlink"/>
                <w:noProof/>
                <w:snapToGrid w:val="0"/>
                <w:lang w:val="de-DE" w:eastAsia="ja-JP"/>
              </w:rPr>
              <w:t>zusammenfassung</w:t>
            </w:r>
            <w:r w:rsidR="00953563">
              <w:rPr>
                <w:noProof/>
                <w:webHidden/>
              </w:rPr>
              <w:tab/>
            </w:r>
            <w:r w:rsidR="00953563">
              <w:rPr>
                <w:noProof/>
                <w:webHidden/>
              </w:rPr>
              <w:fldChar w:fldCharType="begin"/>
            </w:r>
            <w:r w:rsidR="00953563">
              <w:rPr>
                <w:noProof/>
                <w:webHidden/>
              </w:rPr>
              <w:instrText xml:space="preserve"> PAGEREF _Toc117464323 \h </w:instrText>
            </w:r>
            <w:r w:rsidR="00953563">
              <w:rPr>
                <w:noProof/>
                <w:webHidden/>
              </w:rPr>
            </w:r>
            <w:r w:rsidR="00953563">
              <w:rPr>
                <w:noProof/>
                <w:webHidden/>
              </w:rPr>
              <w:fldChar w:fldCharType="separate"/>
            </w:r>
            <w:r w:rsidR="00953563">
              <w:rPr>
                <w:noProof/>
                <w:webHidden/>
              </w:rPr>
              <w:t>1</w:t>
            </w:r>
            <w:r w:rsidR="00953563">
              <w:rPr>
                <w:noProof/>
                <w:webHidden/>
              </w:rPr>
              <w:fldChar w:fldCharType="end"/>
            </w:r>
          </w:hyperlink>
        </w:p>
        <w:p w14:paraId="4B581823" w14:textId="65C460E8" w:rsidR="00953563" w:rsidRDefault="00443D82">
          <w:pPr>
            <w:pStyle w:val="TOC1"/>
            <w:rPr>
              <w:rFonts w:asciiTheme="minorHAnsi" w:eastAsiaTheme="minorEastAsia" w:hAnsiTheme="minorHAnsi" w:cstheme="minorBidi"/>
              <w:caps w:val="0"/>
              <w:noProof/>
              <w:sz w:val="22"/>
              <w:szCs w:val="22"/>
              <w:lang w:val="en-CH" w:eastAsia="en-CH"/>
            </w:rPr>
          </w:pPr>
          <w:hyperlink w:anchor="_Toc117464324" w:history="1">
            <w:r w:rsidR="00953563" w:rsidRPr="003F53BE">
              <w:rPr>
                <w:rStyle w:val="Hyperlink"/>
                <w:noProof/>
                <w:spacing w:val="-4"/>
                <w:lang w:val="de-DE" w:eastAsia="ja-JP"/>
              </w:rPr>
              <w:t>zUsammenarbeit zwischen INTERNATIONALEN ORGANISATIONEN</w:t>
            </w:r>
            <w:r w:rsidR="00953563">
              <w:rPr>
                <w:noProof/>
                <w:webHidden/>
              </w:rPr>
              <w:tab/>
            </w:r>
            <w:r w:rsidR="00953563">
              <w:rPr>
                <w:noProof/>
                <w:webHidden/>
              </w:rPr>
              <w:fldChar w:fldCharType="begin"/>
            </w:r>
            <w:r w:rsidR="00953563">
              <w:rPr>
                <w:noProof/>
                <w:webHidden/>
              </w:rPr>
              <w:instrText xml:space="preserve"> PAGEREF _Toc117464324 \h </w:instrText>
            </w:r>
            <w:r w:rsidR="00953563">
              <w:rPr>
                <w:noProof/>
                <w:webHidden/>
              </w:rPr>
            </w:r>
            <w:r w:rsidR="00953563">
              <w:rPr>
                <w:noProof/>
                <w:webHidden/>
              </w:rPr>
              <w:fldChar w:fldCharType="separate"/>
            </w:r>
            <w:r w:rsidR="00953563">
              <w:rPr>
                <w:noProof/>
                <w:webHidden/>
              </w:rPr>
              <w:t>2</w:t>
            </w:r>
            <w:r w:rsidR="00953563">
              <w:rPr>
                <w:noProof/>
                <w:webHidden/>
              </w:rPr>
              <w:fldChar w:fldCharType="end"/>
            </w:r>
          </w:hyperlink>
        </w:p>
        <w:p w14:paraId="0DA2CE29" w14:textId="7578E585"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25" w:history="1">
            <w:r w:rsidR="00953563" w:rsidRPr="003F53BE">
              <w:rPr>
                <w:rStyle w:val="Hyperlink"/>
                <w:noProof/>
              </w:rPr>
              <w:t>Hintergrund</w:t>
            </w:r>
            <w:r w:rsidR="00953563">
              <w:rPr>
                <w:noProof/>
                <w:webHidden/>
              </w:rPr>
              <w:tab/>
            </w:r>
            <w:r w:rsidR="00953563">
              <w:rPr>
                <w:noProof/>
                <w:webHidden/>
              </w:rPr>
              <w:fldChar w:fldCharType="begin"/>
            </w:r>
            <w:r w:rsidR="00953563">
              <w:rPr>
                <w:noProof/>
                <w:webHidden/>
              </w:rPr>
              <w:instrText xml:space="preserve"> PAGEREF _Toc117464325 \h </w:instrText>
            </w:r>
            <w:r w:rsidR="00953563">
              <w:rPr>
                <w:noProof/>
                <w:webHidden/>
              </w:rPr>
            </w:r>
            <w:r w:rsidR="00953563">
              <w:rPr>
                <w:noProof/>
                <w:webHidden/>
              </w:rPr>
              <w:fldChar w:fldCharType="separate"/>
            </w:r>
            <w:r w:rsidR="00953563">
              <w:rPr>
                <w:noProof/>
                <w:webHidden/>
              </w:rPr>
              <w:t>2</w:t>
            </w:r>
            <w:r w:rsidR="00953563">
              <w:rPr>
                <w:noProof/>
                <w:webHidden/>
              </w:rPr>
              <w:fldChar w:fldCharType="end"/>
            </w:r>
          </w:hyperlink>
        </w:p>
        <w:p w14:paraId="39CBAD66" w14:textId="0F8DB956"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26" w:history="1">
            <w:r w:rsidR="00953563" w:rsidRPr="003F53BE">
              <w:rPr>
                <w:rStyle w:val="Hyperlink"/>
                <w:noProof/>
              </w:rPr>
              <w:t>Bestandsaufnahme der Verwendung molekularer Markerverfahren nach Pflanze</w:t>
            </w:r>
            <w:r w:rsidR="00953563">
              <w:rPr>
                <w:noProof/>
                <w:webHidden/>
              </w:rPr>
              <w:tab/>
            </w:r>
            <w:r w:rsidR="00953563">
              <w:rPr>
                <w:noProof/>
                <w:webHidden/>
              </w:rPr>
              <w:fldChar w:fldCharType="begin"/>
            </w:r>
            <w:r w:rsidR="00953563">
              <w:rPr>
                <w:noProof/>
                <w:webHidden/>
              </w:rPr>
              <w:instrText xml:space="preserve"> PAGEREF _Toc117464326 \h </w:instrText>
            </w:r>
            <w:r w:rsidR="00953563">
              <w:rPr>
                <w:noProof/>
                <w:webHidden/>
              </w:rPr>
            </w:r>
            <w:r w:rsidR="00953563">
              <w:rPr>
                <w:noProof/>
                <w:webHidden/>
              </w:rPr>
              <w:fldChar w:fldCharType="separate"/>
            </w:r>
            <w:r w:rsidR="00953563">
              <w:rPr>
                <w:noProof/>
                <w:webHidden/>
              </w:rPr>
              <w:t>2</w:t>
            </w:r>
            <w:r w:rsidR="00953563">
              <w:rPr>
                <w:noProof/>
                <w:webHidden/>
              </w:rPr>
              <w:fldChar w:fldCharType="end"/>
            </w:r>
          </w:hyperlink>
        </w:p>
        <w:p w14:paraId="55C7E5DD" w14:textId="7BBF6E8F"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27" w:history="1">
            <w:r w:rsidR="00953563" w:rsidRPr="003F53BE">
              <w:rPr>
                <w:rStyle w:val="Hyperlink"/>
                <w:noProof/>
              </w:rPr>
              <w:t>Gemeinsames Dokument zur Erläuterung der wesentlichen Besonderheiten der Systeme von OECD, UPOV und ISTA</w:t>
            </w:r>
            <w:r w:rsidR="00953563">
              <w:rPr>
                <w:noProof/>
                <w:webHidden/>
              </w:rPr>
              <w:tab/>
            </w:r>
            <w:r w:rsidR="00747DF2">
              <w:rPr>
                <w:noProof/>
                <w:webHidden/>
              </w:rPr>
              <w:t>3</w:t>
            </w:r>
          </w:hyperlink>
        </w:p>
        <w:p w14:paraId="70CA37E2" w14:textId="239410AC"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28" w:history="1">
            <w:r w:rsidR="00953563" w:rsidRPr="003F53BE">
              <w:rPr>
                <w:rStyle w:val="Hyperlink"/>
                <w:noProof/>
              </w:rPr>
              <w:t>Listen möglicher gemeinsamer Initiativen mit der OECD und der ISTA hinsichtlich molekularer Verfahren</w:t>
            </w:r>
            <w:r w:rsidR="00953563">
              <w:rPr>
                <w:noProof/>
                <w:webHidden/>
              </w:rPr>
              <w:tab/>
            </w:r>
            <w:r w:rsidR="00747DF2">
              <w:rPr>
                <w:noProof/>
                <w:webHidden/>
              </w:rPr>
              <w:t>3</w:t>
            </w:r>
          </w:hyperlink>
        </w:p>
        <w:p w14:paraId="18CEC8D3" w14:textId="5EDBA0E6"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29" w:history="1">
            <w:r w:rsidR="00953563" w:rsidRPr="003F53BE">
              <w:rPr>
                <w:rStyle w:val="Hyperlink"/>
                <w:noProof/>
                <w:shd w:val="clear" w:color="auto" w:fill="FFFFFF"/>
              </w:rPr>
              <w:t>Internationale Vereinigung für Saatgutprüfung</w:t>
            </w:r>
            <w:r w:rsidR="00953563">
              <w:rPr>
                <w:noProof/>
                <w:webHidden/>
              </w:rPr>
              <w:tab/>
            </w:r>
            <w:r w:rsidR="00747DF2">
              <w:rPr>
                <w:noProof/>
                <w:webHidden/>
              </w:rPr>
              <w:t>3</w:t>
            </w:r>
          </w:hyperlink>
        </w:p>
        <w:p w14:paraId="4FFAF389" w14:textId="0167526C"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30" w:history="1">
            <w:r w:rsidR="00953563" w:rsidRPr="003F53BE">
              <w:rPr>
                <w:rStyle w:val="Hyperlink"/>
                <w:noProof/>
              </w:rPr>
              <w:t>O</w:t>
            </w:r>
            <w:r w:rsidR="00953563" w:rsidRPr="003F53BE">
              <w:rPr>
                <w:rStyle w:val="Hyperlink"/>
                <w:noProof/>
                <w:shd w:val="clear" w:color="auto" w:fill="FFFFFF"/>
              </w:rPr>
              <w:t>rganisation für wirtschaftliche Zusammenarbeit und Entwicklung</w:t>
            </w:r>
            <w:r w:rsidR="00953563">
              <w:rPr>
                <w:noProof/>
                <w:webHidden/>
              </w:rPr>
              <w:tab/>
            </w:r>
            <w:r w:rsidR="00747DF2">
              <w:rPr>
                <w:noProof/>
                <w:webHidden/>
              </w:rPr>
              <w:t>3</w:t>
            </w:r>
          </w:hyperlink>
        </w:p>
        <w:p w14:paraId="695DA10A" w14:textId="4CC4C056" w:rsidR="00953563" w:rsidRDefault="00443D82">
          <w:pPr>
            <w:pStyle w:val="TOC1"/>
            <w:rPr>
              <w:rFonts w:asciiTheme="minorHAnsi" w:eastAsiaTheme="minorEastAsia" w:hAnsiTheme="minorHAnsi" w:cstheme="minorBidi"/>
              <w:caps w:val="0"/>
              <w:noProof/>
              <w:sz w:val="22"/>
              <w:szCs w:val="22"/>
              <w:lang w:val="en-CH" w:eastAsia="en-CH"/>
            </w:rPr>
          </w:pPr>
          <w:hyperlink w:anchor="_Toc117464331" w:history="1">
            <w:r w:rsidR="00953563" w:rsidRPr="003F53BE">
              <w:rPr>
                <w:rStyle w:val="Hyperlink"/>
                <w:noProof/>
                <w:snapToGrid w:val="0"/>
                <w:lang w:val="de-DE"/>
              </w:rPr>
              <w:t>Sitzung zur Erleichterung der Zusammenarbeit im Hinblick auf die Verwendung molekularer Verfahren</w:t>
            </w:r>
            <w:r w:rsidR="00953563">
              <w:rPr>
                <w:noProof/>
                <w:webHidden/>
              </w:rPr>
              <w:tab/>
            </w:r>
            <w:r w:rsidR="00747DF2">
              <w:rPr>
                <w:noProof/>
                <w:webHidden/>
              </w:rPr>
              <w:t>4</w:t>
            </w:r>
          </w:hyperlink>
        </w:p>
        <w:p w14:paraId="47F7E768" w14:textId="0C08F372" w:rsidR="00953563" w:rsidRDefault="00443D82">
          <w:pPr>
            <w:pStyle w:val="TOC2"/>
            <w:rPr>
              <w:rFonts w:asciiTheme="minorHAnsi" w:eastAsiaTheme="minorEastAsia" w:hAnsiTheme="minorHAnsi" w:cstheme="minorBidi"/>
              <w:smallCaps w:val="0"/>
              <w:noProof/>
              <w:sz w:val="22"/>
              <w:szCs w:val="22"/>
              <w:lang w:val="en-CH" w:eastAsia="en-CH"/>
            </w:rPr>
          </w:pPr>
          <w:hyperlink w:anchor="_Toc117464332" w:history="1">
            <w:r w:rsidR="00953563" w:rsidRPr="003F53BE">
              <w:rPr>
                <w:rStyle w:val="Hyperlink"/>
                <w:noProof/>
              </w:rPr>
              <w:t>Technische Arbeitsgruppen (TWP)</w:t>
            </w:r>
            <w:r w:rsidR="00953563">
              <w:rPr>
                <w:noProof/>
                <w:webHidden/>
              </w:rPr>
              <w:tab/>
            </w:r>
            <w:r w:rsidR="00747DF2">
              <w:rPr>
                <w:noProof/>
                <w:webHidden/>
              </w:rPr>
              <w:t>4</w:t>
            </w:r>
          </w:hyperlink>
        </w:p>
        <w:p w14:paraId="0C755468" w14:textId="3B77B700" w:rsidR="00953563" w:rsidRDefault="00443D82">
          <w:pPr>
            <w:pStyle w:val="TOC1"/>
            <w:rPr>
              <w:rFonts w:asciiTheme="minorHAnsi" w:eastAsiaTheme="minorEastAsia" w:hAnsiTheme="minorHAnsi" w:cstheme="minorBidi"/>
              <w:caps w:val="0"/>
              <w:noProof/>
              <w:sz w:val="22"/>
              <w:szCs w:val="22"/>
              <w:lang w:val="en-CH" w:eastAsia="en-CH"/>
            </w:rPr>
          </w:pPr>
          <w:hyperlink w:anchor="_Toc117464333" w:history="1">
            <w:r w:rsidR="00953563" w:rsidRPr="003F53BE">
              <w:rPr>
                <w:rStyle w:val="Hyperlink"/>
                <w:noProof/>
                <w:lang w:val="de-DE"/>
              </w:rPr>
              <w:t>VERTRAULICHKEIT VON UND EIGENTUM AN MOLEKULAREN INFORMATIONEN</w:t>
            </w:r>
            <w:r w:rsidR="00953563">
              <w:rPr>
                <w:noProof/>
                <w:webHidden/>
              </w:rPr>
              <w:tab/>
            </w:r>
            <w:r w:rsidR="00747DF2">
              <w:rPr>
                <w:noProof/>
                <w:webHidden/>
              </w:rPr>
              <w:t>5</w:t>
            </w:r>
          </w:hyperlink>
        </w:p>
        <w:p w14:paraId="0CC21356" w14:textId="0C33C22C" w:rsidR="006936D3" w:rsidRDefault="00C327B6" w:rsidP="006936D3">
          <w:pPr>
            <w:tabs>
              <w:tab w:val="center" w:pos="4479"/>
            </w:tabs>
            <w:spacing w:before="120"/>
            <w:ind w:right="851"/>
            <w:contextualSpacing/>
            <w:jc w:val="left"/>
            <w:rPr>
              <w:b/>
              <w:bCs/>
              <w:smallCaps/>
              <w:noProof/>
              <w:sz w:val="18"/>
              <w:szCs w:val="18"/>
            </w:rPr>
          </w:pPr>
          <w:r w:rsidRPr="001857B6">
            <w:rPr>
              <w:b/>
              <w:bCs/>
              <w:smallCaps/>
              <w:noProof/>
              <w:sz w:val="18"/>
              <w:szCs w:val="18"/>
            </w:rPr>
            <w:fldChar w:fldCharType="end"/>
          </w:r>
        </w:p>
      </w:sdtContent>
    </w:sdt>
    <w:bookmarkStart w:id="3" w:name="_Toc460313637" w:displacedByCustomXml="prev"/>
    <w:bookmarkStart w:id="4" w:name="_Toc410822402" w:displacedByCustomXml="prev"/>
    <w:bookmarkStart w:id="5" w:name="_Toc410822806" w:displacedByCustomXml="prev"/>
    <w:bookmarkStart w:id="6" w:name="_Toc410823313" w:displacedByCustomXml="prev"/>
    <w:bookmarkStart w:id="7" w:name="_Toc410899581" w:displacedByCustomXml="prev"/>
    <w:p w14:paraId="1E98D490" w14:textId="3AAA4ED4" w:rsidR="00BD5379" w:rsidRPr="007E359E" w:rsidRDefault="00BD5379" w:rsidP="00BD5379">
      <w:pPr>
        <w:spacing w:before="120"/>
        <w:ind w:left="1123" w:hanging="1123"/>
        <w:rPr>
          <w:snapToGrid w:val="0"/>
          <w:sz w:val="18"/>
          <w:szCs w:val="18"/>
          <w:lang w:val="de-DE" w:eastAsia="ja-JP"/>
        </w:rPr>
      </w:pPr>
      <w:r w:rsidRPr="007E359E">
        <w:rPr>
          <w:snapToGrid w:val="0"/>
          <w:sz w:val="18"/>
          <w:szCs w:val="18"/>
          <w:lang w:val="de-DE" w:eastAsia="ja-JP"/>
        </w:rPr>
        <w:t>ANLAGE I</w:t>
      </w:r>
      <w:r w:rsidRPr="007E359E">
        <w:rPr>
          <w:snapToGrid w:val="0"/>
          <w:sz w:val="18"/>
          <w:szCs w:val="18"/>
          <w:lang w:val="de-DE" w:eastAsia="ja-JP"/>
        </w:rPr>
        <w:tab/>
        <w:t>BEFRAGUNG ZUR VERWENDUNG MOLEKULARER MARKERVERFAHREN NACH PFLANZE</w:t>
      </w:r>
    </w:p>
    <w:p w14:paraId="37D25C85" w14:textId="18826AA8" w:rsidR="009D1203" w:rsidRPr="007E359E" w:rsidRDefault="00C0568E" w:rsidP="009D1203">
      <w:pPr>
        <w:spacing w:before="60" w:after="120"/>
        <w:ind w:left="1134" w:hanging="1134"/>
        <w:rPr>
          <w:snapToGrid w:val="0"/>
          <w:sz w:val="18"/>
          <w:szCs w:val="18"/>
          <w:lang w:val="de-DE" w:eastAsia="ja-JP"/>
        </w:rPr>
      </w:pPr>
      <w:r w:rsidRPr="007E359E">
        <w:rPr>
          <w:snapToGrid w:val="0"/>
          <w:sz w:val="18"/>
          <w:szCs w:val="18"/>
          <w:lang w:val="de-DE" w:eastAsia="ja-JP"/>
        </w:rPr>
        <w:t>AN</w:t>
      </w:r>
      <w:r w:rsidR="00BC6E32" w:rsidRPr="007E359E">
        <w:rPr>
          <w:snapToGrid w:val="0"/>
          <w:sz w:val="18"/>
          <w:szCs w:val="18"/>
          <w:lang w:val="de-DE" w:eastAsia="ja-JP"/>
        </w:rPr>
        <w:t>LAGE</w:t>
      </w:r>
      <w:r w:rsidRPr="007E359E">
        <w:rPr>
          <w:snapToGrid w:val="0"/>
          <w:sz w:val="18"/>
          <w:szCs w:val="18"/>
          <w:lang w:val="de-DE" w:eastAsia="ja-JP"/>
        </w:rPr>
        <w:t xml:space="preserve"> II</w:t>
      </w:r>
      <w:r w:rsidRPr="007E359E">
        <w:rPr>
          <w:snapToGrid w:val="0"/>
          <w:sz w:val="18"/>
          <w:szCs w:val="18"/>
          <w:lang w:val="de-DE" w:eastAsia="ja-JP"/>
        </w:rPr>
        <w:tab/>
      </w:r>
      <w:r w:rsidR="001A2237" w:rsidRPr="007E359E">
        <w:rPr>
          <w:sz w:val="18"/>
          <w:szCs w:val="18"/>
          <w:lang w:val="de-DE"/>
        </w:rPr>
        <w:t>ELEMENTE FÜR EINEN ENTWURF EINES GEMEINSAMEN DOKUMENTES ZUR ERLÄUTERUNG DER WESENTLICHEN BESONDERHEITEN DER SYSTEME DER OECD, UPOV UND ISTA</w:t>
      </w:r>
    </w:p>
    <w:p w14:paraId="1C341F07" w14:textId="7B4F41E6" w:rsidR="00531DCD" w:rsidRPr="00D81049" w:rsidRDefault="00531DCD" w:rsidP="00AD21AD">
      <w:pPr>
        <w:keepNext/>
        <w:keepLines/>
        <w:rPr>
          <w:noProof/>
          <w:lang w:val="de-DE"/>
        </w:rPr>
      </w:pPr>
      <w:r w:rsidRPr="001857B6">
        <w:fldChar w:fldCharType="begin"/>
      </w:r>
      <w:r w:rsidRPr="00D81049">
        <w:rPr>
          <w:lang w:val="de-DE"/>
        </w:rPr>
        <w:instrText xml:space="preserve"> AUTONUM  </w:instrText>
      </w:r>
      <w:r w:rsidRPr="001857B6">
        <w:fldChar w:fldCharType="end"/>
      </w:r>
      <w:r w:rsidRPr="00D81049">
        <w:rPr>
          <w:lang w:val="de-DE"/>
        </w:rPr>
        <w:tab/>
      </w:r>
      <w:r w:rsidR="00D81049" w:rsidRPr="00D81049">
        <w:rPr>
          <w:noProof/>
          <w:lang w:val="de-DE"/>
        </w:rPr>
        <w:t>In diesem Dokument werden folgende Abkürzungen verwendet:</w:t>
      </w:r>
    </w:p>
    <w:p w14:paraId="169718AD" w14:textId="77777777" w:rsidR="00531DCD" w:rsidRPr="00D81049" w:rsidRDefault="00531DCD" w:rsidP="00531DCD">
      <w:pPr>
        <w:rPr>
          <w:lang w:val="de-DE"/>
        </w:rPr>
      </w:pPr>
    </w:p>
    <w:p w14:paraId="3D9A631D" w14:textId="584B60E2" w:rsidR="00531DCD" w:rsidRPr="00250A97" w:rsidRDefault="00531DCD" w:rsidP="00531DCD">
      <w:pPr>
        <w:keepNext/>
        <w:tabs>
          <w:tab w:val="left" w:pos="567"/>
        </w:tabs>
        <w:ind w:left="1701" w:hanging="1134"/>
        <w:rPr>
          <w:sz w:val="18"/>
          <w:lang w:val="de-DE"/>
        </w:rPr>
      </w:pPr>
      <w:r w:rsidRPr="00250A97">
        <w:rPr>
          <w:sz w:val="18"/>
          <w:lang w:val="de-DE"/>
        </w:rPr>
        <w:t>BMT:</w:t>
      </w:r>
      <w:r w:rsidRPr="00250A97">
        <w:rPr>
          <w:sz w:val="18"/>
          <w:lang w:val="de-DE"/>
        </w:rPr>
        <w:tab/>
      </w:r>
      <w:r w:rsidR="00250A97" w:rsidRPr="00250A97">
        <w:rPr>
          <w:sz w:val="18"/>
          <w:lang w:val="de-DE"/>
        </w:rPr>
        <w:t>Arbeitsgruppe für biochemische und molekulare Verfahren und insbesondere für DNS-Profilierungsverfahren</w:t>
      </w:r>
    </w:p>
    <w:p w14:paraId="66D92733" w14:textId="29CC1308" w:rsidR="00531DCD" w:rsidRPr="00DA719E" w:rsidRDefault="00531DCD" w:rsidP="00531DCD">
      <w:pPr>
        <w:ind w:left="1701" w:hanging="1134"/>
        <w:rPr>
          <w:rFonts w:cs="Arial"/>
          <w:snapToGrid w:val="0"/>
          <w:sz w:val="18"/>
          <w:szCs w:val="24"/>
          <w:lang w:val="de-DE" w:eastAsia="ja-JP"/>
        </w:rPr>
      </w:pPr>
      <w:r w:rsidRPr="00DA719E">
        <w:rPr>
          <w:rFonts w:eastAsia="PMingLiU" w:cs="Arial"/>
          <w:snapToGrid w:val="0"/>
          <w:sz w:val="18"/>
          <w:szCs w:val="24"/>
          <w:lang w:val="de-DE" w:eastAsia="fr-FR"/>
        </w:rPr>
        <w:t xml:space="preserve">ISTA: </w:t>
      </w:r>
      <w:r w:rsidRPr="00DA719E">
        <w:rPr>
          <w:rFonts w:eastAsia="PMingLiU" w:cs="Arial"/>
          <w:snapToGrid w:val="0"/>
          <w:sz w:val="18"/>
          <w:szCs w:val="24"/>
          <w:lang w:val="de-DE" w:eastAsia="fr-FR"/>
        </w:rPr>
        <w:tab/>
      </w:r>
      <w:r w:rsidR="00651325" w:rsidRPr="00DA719E">
        <w:rPr>
          <w:rFonts w:eastAsia="PMingLiU" w:cs="Arial"/>
          <w:snapToGrid w:val="0"/>
          <w:sz w:val="18"/>
          <w:szCs w:val="24"/>
          <w:lang w:val="de-DE" w:eastAsia="fr-FR"/>
        </w:rPr>
        <w:t>Internationale Vereinigung für Saatgutprüfung</w:t>
      </w:r>
    </w:p>
    <w:p w14:paraId="33C1BD4C" w14:textId="4E212CDD" w:rsidR="00531DCD" w:rsidRPr="00DA719E" w:rsidRDefault="00531DCD" w:rsidP="00531DCD">
      <w:pPr>
        <w:ind w:left="1701" w:hanging="1134"/>
        <w:rPr>
          <w:rFonts w:eastAsia="PMingLiU" w:cs="Arial"/>
          <w:snapToGrid w:val="0"/>
          <w:sz w:val="18"/>
          <w:szCs w:val="24"/>
          <w:lang w:val="de-DE"/>
        </w:rPr>
      </w:pPr>
      <w:r w:rsidRPr="00DA719E">
        <w:rPr>
          <w:rFonts w:eastAsia="PMingLiU" w:cs="Arial"/>
          <w:sz w:val="18"/>
          <w:szCs w:val="24"/>
          <w:lang w:val="de-DE"/>
        </w:rPr>
        <w:t>OECD:</w:t>
      </w:r>
      <w:r w:rsidRPr="00DA719E">
        <w:rPr>
          <w:rFonts w:eastAsia="PMingLiU" w:cs="Arial"/>
          <w:sz w:val="18"/>
          <w:szCs w:val="24"/>
          <w:lang w:val="de-DE"/>
        </w:rPr>
        <w:tab/>
      </w:r>
      <w:r w:rsidR="00DA719E" w:rsidRPr="00DA719E">
        <w:rPr>
          <w:rFonts w:eastAsia="PMingLiU" w:cs="Arial"/>
          <w:snapToGrid w:val="0"/>
          <w:sz w:val="18"/>
          <w:szCs w:val="24"/>
          <w:lang w:val="de-DE"/>
        </w:rPr>
        <w:t>Organisation für wirtschaftliche Zusammenarbeit und Entwicklung</w:t>
      </w:r>
    </w:p>
    <w:p w14:paraId="2A87EA6C" w14:textId="21DEEED9" w:rsidR="00531DCD" w:rsidRPr="009830DE" w:rsidRDefault="00531DCD" w:rsidP="00531DCD">
      <w:pPr>
        <w:keepNext/>
        <w:tabs>
          <w:tab w:val="left" w:pos="567"/>
        </w:tabs>
        <w:ind w:left="1701" w:hanging="1134"/>
        <w:rPr>
          <w:sz w:val="18"/>
          <w:lang w:val="de-DE"/>
        </w:rPr>
      </w:pPr>
      <w:r w:rsidRPr="009830DE">
        <w:rPr>
          <w:sz w:val="18"/>
          <w:lang w:val="de-DE"/>
        </w:rPr>
        <w:t>TC:</w:t>
      </w:r>
      <w:r w:rsidRPr="009830DE">
        <w:rPr>
          <w:sz w:val="18"/>
          <w:lang w:val="de-DE"/>
        </w:rPr>
        <w:tab/>
      </w:r>
      <w:r w:rsidR="00014C2E" w:rsidRPr="009830DE">
        <w:rPr>
          <w:sz w:val="18"/>
          <w:lang w:val="de-DE"/>
        </w:rPr>
        <w:t>Technischer Ausschuss</w:t>
      </w:r>
    </w:p>
    <w:p w14:paraId="3B38F498" w14:textId="490E9178" w:rsidR="00531DCD" w:rsidRPr="009830DE" w:rsidRDefault="00531DCD" w:rsidP="00531DCD">
      <w:pPr>
        <w:ind w:left="1701" w:hanging="1134"/>
        <w:rPr>
          <w:rFonts w:eastAsia="PMingLiU" w:cs="Arial"/>
          <w:sz w:val="18"/>
          <w:szCs w:val="24"/>
          <w:lang w:val="de-DE"/>
        </w:rPr>
      </w:pPr>
      <w:r w:rsidRPr="009830DE">
        <w:rPr>
          <w:rFonts w:eastAsia="PMingLiU" w:cs="Arial"/>
          <w:sz w:val="18"/>
          <w:szCs w:val="24"/>
          <w:lang w:val="de-DE"/>
        </w:rPr>
        <w:t>TWA:</w:t>
      </w:r>
      <w:r w:rsidRPr="009830DE">
        <w:rPr>
          <w:rFonts w:eastAsia="PMingLiU" w:cs="Arial"/>
          <w:sz w:val="18"/>
          <w:szCs w:val="24"/>
          <w:lang w:val="de-DE"/>
        </w:rPr>
        <w:tab/>
      </w:r>
      <w:r w:rsidR="009830DE" w:rsidRPr="009830DE">
        <w:rPr>
          <w:rFonts w:eastAsia="PMingLiU" w:cs="Arial"/>
          <w:sz w:val="18"/>
          <w:szCs w:val="24"/>
          <w:lang w:val="de-DE"/>
        </w:rPr>
        <w:t>Technische Arbeitsgruppe für landwirtschaftliche Arten</w:t>
      </w:r>
    </w:p>
    <w:p w14:paraId="130C5060" w14:textId="2D3D586B" w:rsidR="00531DCD" w:rsidRPr="00833EC2" w:rsidRDefault="00531DCD" w:rsidP="00531DCD">
      <w:pPr>
        <w:ind w:left="1701" w:hanging="1134"/>
        <w:rPr>
          <w:rFonts w:eastAsia="PMingLiU" w:cs="Arial"/>
          <w:sz w:val="18"/>
          <w:szCs w:val="24"/>
          <w:lang w:val="de-DE"/>
        </w:rPr>
      </w:pPr>
      <w:r w:rsidRPr="00833EC2">
        <w:rPr>
          <w:rFonts w:eastAsia="PMingLiU" w:cs="Arial"/>
          <w:sz w:val="18"/>
          <w:szCs w:val="24"/>
          <w:lang w:val="de-DE"/>
        </w:rPr>
        <w:t>TWF:</w:t>
      </w:r>
      <w:r w:rsidRPr="00833EC2">
        <w:rPr>
          <w:rFonts w:eastAsia="PMingLiU" w:cs="Arial"/>
          <w:sz w:val="18"/>
          <w:szCs w:val="24"/>
          <w:lang w:val="de-DE"/>
        </w:rPr>
        <w:tab/>
      </w:r>
      <w:r w:rsidR="00BF7ABB" w:rsidRPr="00833EC2">
        <w:rPr>
          <w:rFonts w:eastAsia="PMingLiU" w:cs="Arial"/>
          <w:sz w:val="18"/>
          <w:szCs w:val="24"/>
          <w:lang w:val="de-DE"/>
        </w:rPr>
        <w:t>Technische Arbeitsgruppe für Obstarten</w:t>
      </w:r>
    </w:p>
    <w:p w14:paraId="5A742E97" w14:textId="6DA36DAC" w:rsidR="00531DCD" w:rsidRPr="00833EC2" w:rsidRDefault="00531DCD" w:rsidP="00531DCD">
      <w:pPr>
        <w:ind w:left="1701" w:hanging="1134"/>
        <w:rPr>
          <w:rFonts w:eastAsia="PMingLiU" w:cs="Arial"/>
          <w:sz w:val="18"/>
          <w:szCs w:val="24"/>
          <w:lang w:val="de-DE"/>
        </w:rPr>
      </w:pPr>
      <w:r w:rsidRPr="00833EC2">
        <w:rPr>
          <w:rFonts w:eastAsia="PMingLiU" w:cs="Arial"/>
          <w:sz w:val="18"/>
          <w:szCs w:val="24"/>
          <w:lang w:val="de-DE"/>
        </w:rPr>
        <w:t>TWM:</w:t>
      </w:r>
      <w:r w:rsidRPr="00833EC2">
        <w:rPr>
          <w:rFonts w:eastAsia="PMingLiU" w:cs="Arial"/>
          <w:sz w:val="18"/>
          <w:szCs w:val="24"/>
          <w:lang w:val="de-DE"/>
        </w:rPr>
        <w:tab/>
      </w:r>
      <w:r w:rsidR="00833EC2" w:rsidRPr="00833EC2">
        <w:rPr>
          <w:rFonts w:cs="Arial"/>
          <w:color w:val="000000"/>
          <w:sz w:val="18"/>
          <w:szCs w:val="18"/>
          <w:shd w:val="clear" w:color="auto" w:fill="FFFFFF"/>
          <w:lang w:val="de-DE"/>
        </w:rPr>
        <w:t>Technische Arbeitsgruppe für Prüfmethoden und –techniken</w:t>
      </w:r>
    </w:p>
    <w:p w14:paraId="362C4E24" w14:textId="75AA9753" w:rsidR="00531DCD" w:rsidRPr="00033BE3" w:rsidRDefault="00531DCD" w:rsidP="00531DCD">
      <w:pPr>
        <w:ind w:left="1701" w:hanging="1134"/>
        <w:rPr>
          <w:rFonts w:eastAsia="PMingLiU" w:cs="Arial"/>
          <w:sz w:val="18"/>
          <w:szCs w:val="24"/>
          <w:lang w:val="de-DE"/>
        </w:rPr>
      </w:pPr>
      <w:r w:rsidRPr="00033BE3">
        <w:rPr>
          <w:rFonts w:eastAsia="PMingLiU" w:cs="Arial"/>
          <w:sz w:val="18"/>
          <w:szCs w:val="24"/>
          <w:lang w:val="de-DE"/>
        </w:rPr>
        <w:t>TWO:</w:t>
      </w:r>
      <w:r w:rsidRPr="00033BE3">
        <w:rPr>
          <w:rFonts w:eastAsia="PMingLiU" w:cs="Arial"/>
          <w:sz w:val="18"/>
          <w:szCs w:val="24"/>
          <w:lang w:val="de-DE"/>
        </w:rPr>
        <w:tab/>
      </w:r>
      <w:r w:rsidR="00033BE3" w:rsidRPr="00033BE3">
        <w:rPr>
          <w:rFonts w:eastAsia="PMingLiU" w:cs="Arial"/>
          <w:sz w:val="18"/>
          <w:szCs w:val="24"/>
          <w:lang w:val="de-DE"/>
        </w:rPr>
        <w:t>Technische Arbeitsgruppe für Zierpflanzen und forstliche Baumarten</w:t>
      </w:r>
    </w:p>
    <w:p w14:paraId="5CBE9B82" w14:textId="5B31375F" w:rsidR="00531DCD" w:rsidRPr="005571B2" w:rsidRDefault="00531DCD" w:rsidP="00583595">
      <w:pPr>
        <w:keepNext/>
        <w:keepLines/>
        <w:ind w:left="1701" w:hanging="1134"/>
        <w:jc w:val="left"/>
        <w:rPr>
          <w:rFonts w:eastAsia="PMingLiU" w:cs="Arial"/>
          <w:sz w:val="18"/>
          <w:szCs w:val="24"/>
          <w:lang w:val="de-DE"/>
        </w:rPr>
      </w:pPr>
      <w:r w:rsidRPr="005571B2">
        <w:rPr>
          <w:rFonts w:eastAsia="PMingLiU" w:cs="Arial"/>
          <w:sz w:val="18"/>
          <w:szCs w:val="24"/>
          <w:lang w:val="de-DE"/>
        </w:rPr>
        <w:t>TWPs:</w:t>
      </w:r>
      <w:r w:rsidRPr="005571B2">
        <w:rPr>
          <w:rFonts w:eastAsia="PMingLiU" w:cs="Arial"/>
          <w:sz w:val="18"/>
          <w:szCs w:val="24"/>
          <w:lang w:val="de-DE"/>
        </w:rPr>
        <w:tab/>
      </w:r>
      <w:r w:rsidR="00583595" w:rsidRPr="005571B2">
        <w:rPr>
          <w:rFonts w:eastAsia="PMingLiU" w:cs="Arial"/>
          <w:sz w:val="18"/>
          <w:szCs w:val="24"/>
          <w:lang w:val="de-DE"/>
        </w:rPr>
        <w:t>Technische Arbeitsgruppen</w:t>
      </w:r>
    </w:p>
    <w:p w14:paraId="33A38EF6" w14:textId="77777777" w:rsidR="00F2111D" w:rsidRPr="00F2111D" w:rsidRDefault="00531DCD" w:rsidP="00F2111D">
      <w:pPr>
        <w:keepNext/>
        <w:keepLines/>
        <w:ind w:left="1701" w:hanging="1134"/>
        <w:jc w:val="left"/>
        <w:rPr>
          <w:rFonts w:eastAsia="PMingLiU" w:cs="Arial"/>
          <w:sz w:val="18"/>
          <w:szCs w:val="24"/>
          <w:lang w:val="de-DE"/>
        </w:rPr>
      </w:pPr>
      <w:r w:rsidRPr="00F2111D">
        <w:rPr>
          <w:rFonts w:eastAsia="PMingLiU" w:cs="Arial"/>
          <w:sz w:val="18"/>
          <w:szCs w:val="24"/>
          <w:lang w:val="de-DE"/>
        </w:rPr>
        <w:t>TWV:</w:t>
      </w:r>
      <w:r w:rsidRPr="00F2111D">
        <w:rPr>
          <w:rFonts w:eastAsia="PMingLiU" w:cs="Arial"/>
          <w:sz w:val="18"/>
          <w:szCs w:val="24"/>
          <w:lang w:val="de-DE"/>
        </w:rPr>
        <w:tab/>
      </w:r>
      <w:r w:rsidR="00F2111D" w:rsidRPr="00F2111D">
        <w:rPr>
          <w:rFonts w:eastAsia="PMingLiU" w:cs="Arial"/>
          <w:sz w:val="18"/>
          <w:szCs w:val="24"/>
          <w:lang w:val="de-DE"/>
        </w:rPr>
        <w:t>Technische Arbeitsgruppe für Gemüsearten</w:t>
      </w:r>
    </w:p>
    <w:p w14:paraId="75F25EC3" w14:textId="24B04BDC" w:rsidR="00C327B6" w:rsidRPr="00F2111D" w:rsidRDefault="00C327B6" w:rsidP="00F2111D">
      <w:pPr>
        <w:ind w:left="1701" w:hanging="1134"/>
        <w:rPr>
          <w:snapToGrid w:val="0"/>
          <w:lang w:val="de-DE" w:eastAsia="ja-JP"/>
        </w:rPr>
      </w:pPr>
    </w:p>
    <w:p w14:paraId="3746EA0D" w14:textId="04094DBE" w:rsidR="005F6AB3" w:rsidRDefault="005F6AB3" w:rsidP="00531DCD">
      <w:pPr>
        <w:rPr>
          <w:lang w:val="de-DE"/>
        </w:rPr>
      </w:pPr>
      <w:bookmarkStart w:id="8" w:name="_Toc525647214"/>
      <w:bookmarkStart w:id="9" w:name="_Toc526175654"/>
    </w:p>
    <w:p w14:paraId="73F815D6" w14:textId="77777777" w:rsidR="00443D82" w:rsidRDefault="00443D82" w:rsidP="00531DCD">
      <w:pPr>
        <w:rPr>
          <w:lang w:val="de-DE"/>
        </w:rPr>
      </w:pPr>
    </w:p>
    <w:p w14:paraId="68007806" w14:textId="3C703250" w:rsidR="00531DCD" w:rsidRPr="00F2111D" w:rsidRDefault="00F2111D" w:rsidP="00443D82">
      <w:pPr>
        <w:pStyle w:val="Heading1"/>
        <w:rPr>
          <w:lang w:val="de-DE"/>
        </w:rPr>
      </w:pPr>
      <w:r w:rsidRPr="00F2111D">
        <w:rPr>
          <w:lang w:val="de-DE"/>
        </w:rPr>
        <w:t>HINTER</w:t>
      </w:r>
      <w:r>
        <w:rPr>
          <w:lang w:val="de-DE"/>
        </w:rPr>
        <w:t>GRUND</w:t>
      </w:r>
    </w:p>
    <w:p w14:paraId="75096667" w14:textId="77777777" w:rsidR="00531DCD" w:rsidRPr="00F2111D" w:rsidRDefault="00531DCD" w:rsidP="00531DCD">
      <w:pPr>
        <w:rPr>
          <w:lang w:val="de-DE"/>
        </w:rPr>
      </w:pPr>
    </w:p>
    <w:p w14:paraId="294F1CB7" w14:textId="1F0E4083" w:rsidR="00762E71" w:rsidRDefault="00531DCD" w:rsidP="00262B59">
      <w:pPr>
        <w:jc w:val="left"/>
        <w:rPr>
          <w:rFonts w:cs="Arial"/>
          <w:lang w:val="de-DE"/>
        </w:rPr>
      </w:pPr>
      <w:r w:rsidRPr="002B6E81">
        <w:fldChar w:fldCharType="begin"/>
      </w:r>
      <w:r w:rsidRPr="002B6E81">
        <w:rPr>
          <w:lang w:val="de-DE"/>
        </w:rPr>
        <w:instrText xml:space="preserve"> AUTONUM  </w:instrText>
      </w:r>
      <w:r w:rsidRPr="002B6E81">
        <w:fldChar w:fldCharType="end"/>
      </w:r>
      <w:r w:rsidRPr="002B6E81">
        <w:rPr>
          <w:lang w:val="de-DE"/>
        </w:rPr>
        <w:tab/>
      </w:r>
      <w:r w:rsidR="002F69AD" w:rsidRPr="002B6E81">
        <w:rPr>
          <w:rFonts w:cs="Arial"/>
          <w:lang w:val="de-DE"/>
        </w:rPr>
        <w:t xml:space="preserve">Über die Entwicklungen der in diesem Dokument dargelegten Angelegenheiten auf der </w:t>
      </w:r>
      <w:r w:rsidR="00AE1FBF" w:rsidRPr="002B6E81">
        <w:rPr>
          <w:rFonts w:cs="Arial"/>
          <w:lang w:val="de-DE"/>
        </w:rPr>
        <w:t>acht</w:t>
      </w:r>
      <w:r w:rsidR="002F69AD" w:rsidRPr="002B6E81">
        <w:rPr>
          <w:rFonts w:cs="Arial"/>
          <w:lang w:val="de-DE"/>
        </w:rPr>
        <w:t xml:space="preserve">undfünfzigsten Tagung des TC wird </w:t>
      </w:r>
      <w:r w:rsidR="00E037E9" w:rsidRPr="002B6E81">
        <w:rPr>
          <w:rFonts w:cs="Arial"/>
          <w:lang w:val="de-DE"/>
        </w:rPr>
        <w:t xml:space="preserve">dem CAJ </w:t>
      </w:r>
      <w:r w:rsidR="002F69AD" w:rsidRPr="002B6E81">
        <w:rPr>
          <w:rFonts w:cs="Arial"/>
          <w:lang w:val="de-DE"/>
        </w:rPr>
        <w:t xml:space="preserve">in </w:t>
      </w:r>
      <w:r w:rsidR="002F69AD" w:rsidRPr="000E070A">
        <w:rPr>
          <w:rFonts w:cs="Arial"/>
          <w:lang w:val="de-DE"/>
        </w:rPr>
        <w:t>Dokument CAJ/7</w:t>
      </w:r>
      <w:r w:rsidR="00AE1FBF" w:rsidRPr="000E070A">
        <w:rPr>
          <w:rFonts w:cs="Arial"/>
          <w:lang w:val="de-DE"/>
        </w:rPr>
        <w:t>9</w:t>
      </w:r>
      <w:r w:rsidR="002F69AD" w:rsidRPr="000E070A">
        <w:rPr>
          <w:rFonts w:cs="Arial"/>
          <w:lang w:val="de-DE"/>
        </w:rPr>
        <w:t xml:space="preserve">/2 </w:t>
      </w:r>
      <w:r w:rsidR="000E070A" w:rsidRPr="000E070A">
        <w:rPr>
          <w:rFonts w:cs="Arial"/>
          <w:lang w:val="de-DE"/>
        </w:rPr>
        <w:t>„</w:t>
      </w:r>
      <w:r w:rsidR="002F69AD" w:rsidRPr="000E070A">
        <w:rPr>
          <w:rFonts w:cs="Arial"/>
          <w:lang w:val="de-DE"/>
        </w:rPr>
        <w:t>Bericht über die Entwicklungen im Technischen Ausschuss</w:t>
      </w:r>
      <w:r w:rsidR="00F62BD7">
        <w:rPr>
          <w:rFonts w:cs="Arial"/>
          <w:lang w:val="de-DE"/>
        </w:rPr>
        <w:t>“</w:t>
      </w:r>
      <w:r w:rsidR="002F69AD" w:rsidRPr="000E070A">
        <w:rPr>
          <w:rFonts w:cs="Arial"/>
          <w:lang w:val="de-DE"/>
        </w:rPr>
        <w:t xml:space="preserve"> berichtet</w:t>
      </w:r>
      <w:r w:rsidR="00AE1FBF" w:rsidRPr="000E070A">
        <w:rPr>
          <w:rFonts w:cs="Arial"/>
          <w:lang w:val="de-DE"/>
        </w:rPr>
        <w:t>.</w:t>
      </w:r>
      <w:bookmarkEnd w:id="8"/>
      <w:bookmarkEnd w:id="9"/>
    </w:p>
    <w:p w14:paraId="167BFD30" w14:textId="628BFAA6" w:rsidR="00987587" w:rsidRDefault="00987587" w:rsidP="00762E71">
      <w:pPr>
        <w:keepNext/>
        <w:outlineLvl w:val="0"/>
        <w:rPr>
          <w:rFonts w:cs="Arial"/>
          <w:lang w:val="de-DE"/>
        </w:rPr>
      </w:pPr>
    </w:p>
    <w:p w14:paraId="0D279042" w14:textId="77777777" w:rsidR="001F0CFA" w:rsidRDefault="001F0CFA" w:rsidP="00762E71">
      <w:pPr>
        <w:keepNext/>
        <w:outlineLvl w:val="0"/>
        <w:rPr>
          <w:caps/>
          <w:spacing w:val="-4"/>
          <w:lang w:val="de-DE" w:eastAsia="ja-JP"/>
        </w:rPr>
      </w:pPr>
    </w:p>
    <w:p w14:paraId="780EF7BA" w14:textId="77777777" w:rsidR="001F0CFA" w:rsidRDefault="001F0CFA" w:rsidP="00443D82">
      <w:pPr>
        <w:pStyle w:val="Heading1"/>
        <w:rPr>
          <w:lang w:val="de-DE" w:eastAsia="ja-JP"/>
        </w:rPr>
      </w:pPr>
      <w:bookmarkStart w:id="10" w:name="_Toc117464324"/>
      <w:r>
        <w:rPr>
          <w:lang w:val="de-DE" w:eastAsia="ja-JP"/>
        </w:rPr>
        <w:t>zUsammenarbeit zwischen</w:t>
      </w:r>
      <w:r w:rsidRPr="0074089E">
        <w:rPr>
          <w:lang w:val="de-DE" w:eastAsia="ja-JP"/>
        </w:rPr>
        <w:t xml:space="preserve"> </w:t>
      </w:r>
      <w:r w:rsidRPr="001B176E">
        <w:rPr>
          <w:lang w:val="de-DE" w:eastAsia="ja-JP"/>
        </w:rPr>
        <w:t>INTERNATIONALEN ORGANISATIONEN</w:t>
      </w:r>
      <w:bookmarkEnd w:id="10"/>
    </w:p>
    <w:p w14:paraId="3989631F" w14:textId="77777777" w:rsidR="009C1CFD" w:rsidRPr="00762E71" w:rsidRDefault="009C1CFD" w:rsidP="00762E71">
      <w:pPr>
        <w:keepNext/>
        <w:outlineLvl w:val="0"/>
        <w:rPr>
          <w:caps/>
          <w:spacing w:val="-4"/>
          <w:lang w:val="de-DE" w:eastAsia="ja-JP"/>
        </w:rPr>
      </w:pPr>
    </w:p>
    <w:p w14:paraId="44AB7D21" w14:textId="66786896" w:rsidR="00C327B6" w:rsidRPr="001B176E" w:rsidRDefault="001B176E" w:rsidP="00E97EA0">
      <w:pPr>
        <w:pStyle w:val="Heading2"/>
      </w:pPr>
      <w:bookmarkStart w:id="11" w:name="_Toc117464325"/>
      <w:bookmarkStart w:id="12" w:name="_GoBack"/>
      <w:r w:rsidRPr="001B176E">
        <w:t>Hi</w:t>
      </w:r>
      <w:r>
        <w:t>ntergrund</w:t>
      </w:r>
      <w:bookmarkEnd w:id="11"/>
    </w:p>
    <w:bookmarkEnd w:id="12"/>
    <w:p w14:paraId="01EC27F2" w14:textId="77777777" w:rsidR="00C327B6" w:rsidRPr="001B176E" w:rsidRDefault="00C327B6" w:rsidP="00C327B6">
      <w:pPr>
        <w:rPr>
          <w:lang w:val="de-DE"/>
        </w:rPr>
      </w:pPr>
    </w:p>
    <w:p w14:paraId="5BC510EE" w14:textId="5EFC9FED" w:rsidR="00C327B6" w:rsidRPr="00411E84" w:rsidRDefault="00C327B6" w:rsidP="00C327B6">
      <w:pPr>
        <w:rPr>
          <w:rFonts w:eastAsiaTheme="minorEastAsia"/>
          <w:lang w:val="de-DE" w:eastAsia="ja-JP"/>
        </w:rPr>
      </w:pPr>
      <w:r w:rsidRPr="001857B6">
        <w:fldChar w:fldCharType="begin"/>
      </w:r>
      <w:r w:rsidRPr="00411E84">
        <w:rPr>
          <w:lang w:val="de-DE"/>
        </w:rPr>
        <w:instrText xml:space="preserve"> AUTONUM  </w:instrText>
      </w:r>
      <w:r w:rsidRPr="001857B6">
        <w:fldChar w:fldCharType="end"/>
      </w:r>
      <w:r w:rsidRPr="00411E84">
        <w:rPr>
          <w:lang w:val="de-DE"/>
        </w:rPr>
        <w:tab/>
      </w:r>
      <w:r w:rsidR="00AA3B10" w:rsidRPr="00411E84">
        <w:rPr>
          <w:rFonts w:eastAsiaTheme="minorEastAsia"/>
          <w:lang w:val="de-DE" w:eastAsia="ja-JP"/>
        </w:rPr>
        <w:t xml:space="preserve">Der Hintergrund zu dieser Angelegenheit ist in </w:t>
      </w:r>
      <w:r w:rsidR="00AA3B10" w:rsidRPr="000E070A">
        <w:rPr>
          <w:rFonts w:eastAsiaTheme="minorEastAsia"/>
          <w:lang w:val="de-DE" w:eastAsia="ja-JP"/>
        </w:rPr>
        <w:t xml:space="preserve">Dokument </w:t>
      </w:r>
      <w:r w:rsidR="00D51C0B" w:rsidRPr="000E070A">
        <w:rPr>
          <w:rFonts w:eastAsiaTheme="minorEastAsia"/>
          <w:lang w:val="de-DE" w:eastAsia="ja-JP"/>
        </w:rPr>
        <w:t xml:space="preserve">CAJ/78/INF/5 </w:t>
      </w:r>
      <w:r w:rsidR="00411E84" w:rsidRPr="000E070A">
        <w:rPr>
          <w:lang w:val="de-DE" w:eastAsia="ja-JP"/>
        </w:rPr>
        <w:t>„Molekulare Verfahren“, Abschnitte</w:t>
      </w:r>
      <w:r w:rsidR="00417590" w:rsidRPr="000E070A">
        <w:rPr>
          <w:lang w:val="de-DE" w:eastAsia="ja-JP"/>
        </w:rPr>
        <w:t xml:space="preserve"> 8</w:t>
      </w:r>
      <w:r w:rsidR="00411E84" w:rsidRPr="000E070A">
        <w:rPr>
          <w:lang w:val="de-DE" w:eastAsia="ja-JP"/>
        </w:rPr>
        <w:t> bis 3</w:t>
      </w:r>
      <w:r w:rsidR="00417590" w:rsidRPr="000E070A">
        <w:rPr>
          <w:lang w:val="de-DE" w:eastAsia="ja-JP"/>
        </w:rPr>
        <w:t>1</w:t>
      </w:r>
      <w:r w:rsidR="00411E84" w:rsidRPr="000E070A">
        <w:rPr>
          <w:lang w:val="de-DE" w:eastAsia="ja-JP"/>
        </w:rPr>
        <w:t xml:space="preserve"> dargelegt</w:t>
      </w:r>
      <w:r w:rsidR="00D51C0B" w:rsidRPr="000E070A">
        <w:rPr>
          <w:rFonts w:eastAsiaTheme="minorEastAsia"/>
          <w:lang w:val="de-DE" w:eastAsia="ja-JP"/>
        </w:rPr>
        <w:t>.</w:t>
      </w:r>
    </w:p>
    <w:p w14:paraId="32276623" w14:textId="77777777" w:rsidR="00C327B6" w:rsidRPr="00411E84" w:rsidRDefault="00C327B6" w:rsidP="00C327B6">
      <w:pPr>
        <w:rPr>
          <w:rFonts w:eastAsiaTheme="minorEastAsia"/>
          <w:lang w:val="de-DE" w:eastAsia="ja-JP"/>
        </w:rPr>
      </w:pPr>
    </w:p>
    <w:p w14:paraId="2C8617DF" w14:textId="13462F3A" w:rsidR="00D51C0B" w:rsidRPr="0068684F" w:rsidRDefault="00D51C0B" w:rsidP="001D0DDD">
      <w:pPr>
        <w:rPr>
          <w:lang w:val="de-DE"/>
        </w:rPr>
      </w:pPr>
      <w:r>
        <w:rPr>
          <w:rFonts w:eastAsiaTheme="minorEastAsia"/>
          <w:lang w:eastAsia="ja-JP"/>
        </w:rPr>
        <w:fldChar w:fldCharType="begin"/>
      </w:r>
      <w:r w:rsidRPr="0068684F">
        <w:rPr>
          <w:rFonts w:eastAsiaTheme="minorEastAsia"/>
          <w:lang w:val="de-DE" w:eastAsia="ja-JP"/>
        </w:rPr>
        <w:instrText xml:space="preserve"> AUTONUM  </w:instrText>
      </w:r>
      <w:r>
        <w:rPr>
          <w:rFonts w:eastAsiaTheme="minorEastAsia"/>
          <w:lang w:eastAsia="ja-JP"/>
        </w:rPr>
        <w:fldChar w:fldCharType="end"/>
      </w:r>
      <w:r w:rsidRPr="0068684F">
        <w:rPr>
          <w:rFonts w:eastAsiaTheme="minorEastAsia"/>
          <w:lang w:val="de-DE" w:eastAsia="ja-JP"/>
        </w:rPr>
        <w:tab/>
        <w:t>D</w:t>
      </w:r>
      <w:r w:rsidR="000D1394" w:rsidRPr="0068684F">
        <w:rPr>
          <w:rFonts w:eastAsiaTheme="minorEastAsia"/>
          <w:lang w:val="de-DE" w:eastAsia="ja-JP"/>
        </w:rPr>
        <w:t xml:space="preserve">ie Entwicklungen </w:t>
      </w:r>
      <w:r w:rsidR="00DF022B">
        <w:rPr>
          <w:rFonts w:eastAsiaTheme="minorEastAsia"/>
          <w:lang w:val="de-DE" w:eastAsia="ja-JP"/>
        </w:rPr>
        <w:t>in</w:t>
      </w:r>
      <w:r w:rsidR="000D1394" w:rsidRPr="0068684F">
        <w:rPr>
          <w:rFonts w:eastAsiaTheme="minorEastAsia"/>
          <w:lang w:val="de-DE" w:eastAsia="ja-JP"/>
        </w:rPr>
        <w:t xml:space="preserve"> diese</w:t>
      </w:r>
      <w:r w:rsidR="00DF022B">
        <w:rPr>
          <w:rFonts w:eastAsiaTheme="minorEastAsia"/>
          <w:lang w:val="de-DE" w:eastAsia="ja-JP"/>
        </w:rPr>
        <w:t>r</w:t>
      </w:r>
      <w:r w:rsidR="000D1394" w:rsidRPr="0068684F">
        <w:rPr>
          <w:rFonts w:eastAsiaTheme="minorEastAsia"/>
          <w:lang w:val="de-DE" w:eastAsia="ja-JP"/>
        </w:rPr>
        <w:t xml:space="preserve"> Angele</w:t>
      </w:r>
      <w:r w:rsidR="00D1284B">
        <w:rPr>
          <w:rFonts w:eastAsiaTheme="minorEastAsia"/>
          <w:lang w:val="de-DE" w:eastAsia="ja-JP"/>
        </w:rPr>
        <w:t>ge</w:t>
      </w:r>
      <w:r w:rsidR="0068684F" w:rsidRPr="0068684F">
        <w:rPr>
          <w:rFonts w:eastAsiaTheme="minorEastAsia"/>
          <w:lang w:val="de-DE" w:eastAsia="ja-JP"/>
        </w:rPr>
        <w:t xml:space="preserve">nheit </w:t>
      </w:r>
      <w:r w:rsidR="0068684F">
        <w:rPr>
          <w:rFonts w:eastAsiaTheme="minorEastAsia"/>
          <w:lang w:val="de-DE" w:eastAsia="ja-JP"/>
        </w:rPr>
        <w:t>seit der</w:t>
      </w:r>
      <w:r w:rsidRPr="0068684F">
        <w:rPr>
          <w:rFonts w:eastAsiaTheme="minorEastAsia"/>
          <w:lang w:val="de-DE" w:eastAsia="ja-JP"/>
        </w:rPr>
        <w:t xml:space="preserve"> </w:t>
      </w:r>
      <w:r w:rsidR="0068684F" w:rsidRPr="0068684F">
        <w:rPr>
          <w:lang w:val="de-DE"/>
        </w:rPr>
        <w:t>achtundsiebzigsten Tagung des CAJ sind in den folgenden Absätzen dargestellt</w:t>
      </w:r>
      <w:r w:rsidRPr="0068684F">
        <w:rPr>
          <w:rFonts w:eastAsiaTheme="minorEastAsia"/>
          <w:lang w:val="de-DE" w:eastAsia="ja-JP"/>
        </w:rPr>
        <w:t>.</w:t>
      </w:r>
      <w:r w:rsidRPr="0068684F">
        <w:rPr>
          <w:lang w:val="de-DE"/>
        </w:rPr>
        <w:t xml:space="preserve"> </w:t>
      </w:r>
    </w:p>
    <w:p w14:paraId="2F4E809B" w14:textId="77777777" w:rsidR="00C327B6" w:rsidRPr="0068684F" w:rsidRDefault="00C327B6" w:rsidP="00C327B6">
      <w:pPr>
        <w:rPr>
          <w:rFonts w:eastAsiaTheme="minorEastAsia"/>
          <w:lang w:val="de-DE"/>
        </w:rPr>
      </w:pPr>
    </w:p>
    <w:p w14:paraId="71A895CB" w14:textId="6C66020F" w:rsidR="00C327B6" w:rsidRPr="00B4464D" w:rsidRDefault="00B4464D" w:rsidP="00E97EA0">
      <w:pPr>
        <w:pStyle w:val="Heading2"/>
        <w:rPr>
          <w:rFonts w:eastAsiaTheme="minorEastAsia"/>
          <w:noProof/>
        </w:rPr>
      </w:pPr>
      <w:bookmarkStart w:id="13" w:name="_Toc14980928"/>
      <w:bookmarkStart w:id="14" w:name="_Toc15059498"/>
      <w:bookmarkStart w:id="15" w:name="_Toc15295343"/>
      <w:bookmarkStart w:id="16" w:name="_Toc22564623"/>
      <w:bookmarkStart w:id="17" w:name="_Toc27663377"/>
      <w:bookmarkStart w:id="18" w:name="_Toc53597262"/>
      <w:bookmarkStart w:id="19" w:name="_Toc85924906"/>
      <w:bookmarkStart w:id="20" w:name="_Toc117464326"/>
      <w:r w:rsidRPr="00C81786">
        <w:rPr>
          <w:rFonts w:eastAsiaTheme="minorEastAsia"/>
          <w:noProof/>
        </w:rPr>
        <w:t>Bestandsaufnahme der Verwendung molekularer Markerverfahren nach Pflanze</w:t>
      </w:r>
      <w:bookmarkEnd w:id="13"/>
      <w:bookmarkEnd w:id="14"/>
      <w:bookmarkEnd w:id="15"/>
      <w:bookmarkEnd w:id="16"/>
      <w:bookmarkEnd w:id="17"/>
      <w:bookmarkEnd w:id="18"/>
      <w:bookmarkEnd w:id="19"/>
      <w:bookmarkEnd w:id="20"/>
    </w:p>
    <w:p w14:paraId="6B8784A1" w14:textId="77777777" w:rsidR="00C327B6" w:rsidRPr="005571B2" w:rsidRDefault="00C327B6" w:rsidP="00C327B6">
      <w:pPr>
        <w:rPr>
          <w:rFonts w:eastAsiaTheme="minorEastAsia"/>
          <w:lang w:val="de-DE"/>
        </w:rPr>
      </w:pPr>
      <w:bookmarkStart w:id="21" w:name="_Toc14980927"/>
      <w:bookmarkStart w:id="22" w:name="_Toc15059497"/>
      <w:bookmarkStart w:id="23" w:name="_Toc15295342"/>
      <w:bookmarkStart w:id="24" w:name="_Toc22564625"/>
      <w:bookmarkStart w:id="25" w:name="_Toc27663379"/>
    </w:p>
    <w:p w14:paraId="48F8064E" w14:textId="593B39B1" w:rsidR="00C327B6" w:rsidRPr="004D0965" w:rsidRDefault="00C327B6" w:rsidP="004D0965">
      <w:pPr>
        <w:keepNext/>
        <w:keepLines/>
        <w:rPr>
          <w:lang w:val="de-DE"/>
        </w:rPr>
      </w:pPr>
      <w:r w:rsidRPr="002B69D1">
        <w:fldChar w:fldCharType="begin"/>
      </w:r>
      <w:r w:rsidRPr="004D0965">
        <w:rPr>
          <w:lang w:val="de-DE"/>
        </w:rPr>
        <w:instrText xml:space="preserve"> AUTONUM  </w:instrText>
      </w:r>
      <w:r w:rsidRPr="002B69D1">
        <w:fldChar w:fldCharType="end"/>
      </w:r>
      <w:r w:rsidRPr="004D0965">
        <w:rPr>
          <w:lang w:val="de-DE"/>
        </w:rPr>
        <w:tab/>
      </w:r>
      <w:r w:rsidR="004D0965" w:rsidRPr="004D0965">
        <w:rPr>
          <w:lang w:val="de-DE"/>
        </w:rPr>
        <w:t xml:space="preserve">Der TC ersuchte </w:t>
      </w:r>
      <w:r w:rsidR="00D226D8" w:rsidRPr="004D0965">
        <w:rPr>
          <w:lang w:val="de-DE"/>
        </w:rPr>
        <w:t xml:space="preserve">das Verbandsbüro </w:t>
      </w:r>
      <w:r w:rsidR="004D0965" w:rsidRPr="004D0965">
        <w:rPr>
          <w:lang w:val="de-DE"/>
        </w:rPr>
        <w:t>auf seiner siebenundfünfzigsten Tagung</w:t>
      </w:r>
      <w:r>
        <w:rPr>
          <w:rStyle w:val="FootnoteReference"/>
        </w:rPr>
        <w:footnoteReference w:id="2"/>
      </w:r>
      <w:r w:rsidR="004D0965" w:rsidRPr="004D0965">
        <w:rPr>
          <w:lang w:val="de-DE"/>
        </w:rPr>
        <w:t xml:space="preserve">, die OECD über die Ergebnisse der Erhebung zu unterrichten, die </w:t>
      </w:r>
      <w:r w:rsidR="004D0965" w:rsidRPr="00E17CBF">
        <w:rPr>
          <w:lang w:val="de-DE"/>
        </w:rPr>
        <w:t xml:space="preserve">in Dokument TC/57/8 </w:t>
      </w:r>
      <w:r w:rsidR="00EB5A4E" w:rsidRPr="00E17CBF">
        <w:rPr>
          <w:lang w:val="de-DE"/>
        </w:rPr>
        <w:t>„</w:t>
      </w:r>
      <w:r w:rsidR="004D0965" w:rsidRPr="00E17CBF">
        <w:rPr>
          <w:lang w:val="de-DE"/>
        </w:rPr>
        <w:t>Molekula</w:t>
      </w:r>
      <w:r w:rsidR="00A35A8F" w:rsidRPr="00E17CBF">
        <w:rPr>
          <w:lang w:val="de-DE"/>
        </w:rPr>
        <w:t>rv</w:t>
      </w:r>
      <w:r w:rsidR="004D0965" w:rsidRPr="00E17CBF">
        <w:rPr>
          <w:lang w:val="de-DE"/>
        </w:rPr>
        <w:t>erfahren</w:t>
      </w:r>
      <w:r w:rsidR="00F62BD7">
        <w:rPr>
          <w:lang w:val="de-DE"/>
        </w:rPr>
        <w:t>“</w:t>
      </w:r>
      <w:r w:rsidR="004D0965" w:rsidRPr="004D0965">
        <w:rPr>
          <w:lang w:val="de-DE"/>
        </w:rPr>
        <w:t xml:space="preserve"> dargelegt wurden, und auf seiner achtundfünfzigsten Tagung über die Entwicklungen im TC zu berichten (vergleiche Dokument </w:t>
      </w:r>
      <w:r w:rsidR="004D0965" w:rsidRPr="00443383">
        <w:rPr>
          <w:lang w:val="de-DE"/>
        </w:rPr>
        <w:t xml:space="preserve">TC/57/25 </w:t>
      </w:r>
      <w:r w:rsidR="00F62BD7">
        <w:rPr>
          <w:lang w:val="de-DE"/>
        </w:rPr>
        <w:t>„</w:t>
      </w:r>
      <w:r w:rsidR="004D0965" w:rsidRPr="00443383">
        <w:rPr>
          <w:lang w:val="de-DE"/>
        </w:rPr>
        <w:t>Bericht</w:t>
      </w:r>
      <w:r w:rsidR="00F62BD7">
        <w:rPr>
          <w:lang w:val="de-DE"/>
        </w:rPr>
        <w:t>“</w:t>
      </w:r>
      <w:r w:rsidR="004D0965" w:rsidRPr="00443383">
        <w:rPr>
          <w:lang w:val="de-DE"/>
        </w:rPr>
        <w:t>,</w:t>
      </w:r>
      <w:r w:rsidR="004D0965" w:rsidRPr="004D0965">
        <w:rPr>
          <w:lang w:val="de-DE"/>
        </w:rPr>
        <w:t xml:space="preserve"> Absatz 48). Am 13. Dezember 2021 teilte das Verbandsbüro der OECD die Ergebnisse der Umfrage mit.</w:t>
      </w:r>
    </w:p>
    <w:p w14:paraId="6E16B4E0" w14:textId="77777777" w:rsidR="00C327B6" w:rsidRPr="004D0965" w:rsidRDefault="00C327B6" w:rsidP="00C327B6">
      <w:pPr>
        <w:rPr>
          <w:lang w:val="de-DE"/>
        </w:rPr>
      </w:pPr>
    </w:p>
    <w:p w14:paraId="621D2E2A" w14:textId="6F5F7885" w:rsidR="00C327B6" w:rsidRPr="00D739F8" w:rsidRDefault="00C327B6" w:rsidP="00C327B6">
      <w:pPr>
        <w:rPr>
          <w:lang w:val="de-DE"/>
        </w:rPr>
      </w:pPr>
      <w:r>
        <w:fldChar w:fldCharType="begin"/>
      </w:r>
      <w:r w:rsidRPr="00A44A96">
        <w:rPr>
          <w:lang w:val="de-DE"/>
        </w:rPr>
        <w:instrText xml:space="preserve"> AUTONUM  </w:instrText>
      </w:r>
      <w:r>
        <w:fldChar w:fldCharType="end"/>
      </w:r>
      <w:r w:rsidRPr="00A44A96">
        <w:rPr>
          <w:lang w:val="de-DE"/>
        </w:rPr>
        <w:tab/>
      </w:r>
      <w:r w:rsidR="00266737" w:rsidRPr="00A44A96">
        <w:rPr>
          <w:lang w:val="de-DE"/>
        </w:rPr>
        <w:t xml:space="preserve">Der TC vereinbarte auf seiner siebenundfünfzigsten Tagung, </w:t>
      </w:r>
      <w:r w:rsidR="00266737" w:rsidRPr="000E070A">
        <w:rPr>
          <w:lang w:val="de-DE"/>
        </w:rPr>
        <w:t xml:space="preserve">die Umfrage </w:t>
      </w:r>
      <w:r w:rsidR="004F1FE3" w:rsidRPr="000E070A">
        <w:rPr>
          <w:lang w:val="de-DE"/>
        </w:rPr>
        <w:t>zur</w:t>
      </w:r>
      <w:r w:rsidR="00266737" w:rsidRPr="000E070A">
        <w:rPr>
          <w:lang w:val="de-DE"/>
        </w:rPr>
        <w:t xml:space="preserve"> Verwendung molekularer Marker f</w:t>
      </w:r>
      <w:r w:rsidR="00266737" w:rsidRPr="00A44A96">
        <w:rPr>
          <w:lang w:val="de-DE"/>
        </w:rPr>
        <w:t xml:space="preserve">ortzusetzen, um Informationen von einer größeren Zahl von Mitgliedern zu erhalten und die Gründe </w:t>
      </w:r>
      <w:r w:rsidR="00D739F8" w:rsidRPr="00D739F8">
        <w:rPr>
          <w:lang w:val="de-DE"/>
        </w:rPr>
        <w:t xml:space="preserve">dafür zu untersuchen, warum </w:t>
      </w:r>
      <w:r w:rsidR="000821D5">
        <w:rPr>
          <w:lang w:val="de-DE"/>
        </w:rPr>
        <w:t>M</w:t>
      </w:r>
      <w:r w:rsidR="00D739F8" w:rsidRPr="00D739F8">
        <w:rPr>
          <w:lang w:val="de-DE"/>
        </w:rPr>
        <w:t>itglieder auf die erste Befragung nicht geantwortet haben</w:t>
      </w:r>
      <w:r w:rsidR="00290932">
        <w:rPr>
          <w:lang w:val="de-DE"/>
        </w:rPr>
        <w:t>.</w:t>
      </w:r>
    </w:p>
    <w:p w14:paraId="36C76A20" w14:textId="77777777" w:rsidR="00A44A96" w:rsidRPr="00A44A96" w:rsidRDefault="00A44A96" w:rsidP="00C327B6">
      <w:pPr>
        <w:rPr>
          <w:lang w:val="de-DE"/>
        </w:rPr>
      </w:pPr>
    </w:p>
    <w:p w14:paraId="320575DA" w14:textId="6D44DA7D" w:rsidR="00C327B6" w:rsidRDefault="00C327B6" w:rsidP="00C327B6">
      <w:pPr>
        <w:rPr>
          <w:lang w:val="de-DE"/>
        </w:rPr>
      </w:pPr>
      <w:r>
        <w:fldChar w:fldCharType="begin"/>
      </w:r>
      <w:r w:rsidRPr="00A2260B">
        <w:rPr>
          <w:lang w:val="de-DE"/>
        </w:rPr>
        <w:instrText xml:space="preserve"> AUTONUM  </w:instrText>
      </w:r>
      <w:r>
        <w:fldChar w:fldCharType="end"/>
      </w:r>
      <w:r w:rsidRPr="00A2260B">
        <w:rPr>
          <w:lang w:val="de-DE"/>
        </w:rPr>
        <w:tab/>
      </w:r>
      <w:r w:rsidR="00A2260B" w:rsidRPr="00A2260B">
        <w:rPr>
          <w:lang w:val="de-DE"/>
        </w:rPr>
        <w:t xml:space="preserve">Am 1. Februar 2022 </w:t>
      </w:r>
      <w:r w:rsidR="005C77C5">
        <w:rPr>
          <w:lang w:val="de-DE"/>
        </w:rPr>
        <w:t>veröffentlichte</w:t>
      </w:r>
      <w:r w:rsidR="00A2260B" w:rsidRPr="00A2260B">
        <w:rPr>
          <w:lang w:val="de-DE"/>
        </w:rPr>
        <w:t xml:space="preserve"> das Verbandsbüro das Rundschreiben E-22/009, in dem die Verbandsmitglieder aufgefordert wurden, anzugeben, ob sie molekulare Markerverfahren verwenden, und die Erhebung über deren Verwendung fortzusetzen.</w:t>
      </w:r>
    </w:p>
    <w:p w14:paraId="3056ECBA" w14:textId="77777777" w:rsidR="00A2260B" w:rsidRPr="00A2260B" w:rsidRDefault="00A2260B" w:rsidP="00C327B6">
      <w:pPr>
        <w:rPr>
          <w:rFonts w:cs="Arial"/>
          <w:snapToGrid w:val="0"/>
          <w:lang w:val="de-DE"/>
        </w:rPr>
      </w:pPr>
    </w:p>
    <w:p w14:paraId="16870D15" w14:textId="23BBDB8F" w:rsidR="00C327B6" w:rsidRPr="00FA0EA7" w:rsidRDefault="00C327B6" w:rsidP="00C327B6">
      <w:pPr>
        <w:rPr>
          <w:lang w:val="de-DE"/>
        </w:rPr>
      </w:pPr>
      <w:r w:rsidRPr="0064047F">
        <w:fldChar w:fldCharType="begin"/>
      </w:r>
      <w:r w:rsidRPr="00FA0EA7">
        <w:rPr>
          <w:lang w:val="de-DE"/>
        </w:rPr>
        <w:instrText xml:space="preserve"> AUTONUM  </w:instrText>
      </w:r>
      <w:r w:rsidRPr="0064047F">
        <w:fldChar w:fldCharType="end"/>
      </w:r>
      <w:r w:rsidRPr="00FA0EA7">
        <w:rPr>
          <w:lang w:val="de-DE"/>
        </w:rPr>
        <w:tab/>
      </w:r>
      <w:r w:rsidR="00FA0EA7" w:rsidRPr="00FA0EA7">
        <w:rPr>
          <w:lang w:val="de-DE"/>
        </w:rPr>
        <w:t xml:space="preserve">In Beantwortung des Rundschreibens E-22/009 </w:t>
      </w:r>
      <w:r w:rsidR="002B7F3B">
        <w:rPr>
          <w:lang w:val="de-DE"/>
        </w:rPr>
        <w:t>meldeten sich</w:t>
      </w:r>
      <w:r w:rsidR="00FA0EA7" w:rsidRPr="00FA0EA7">
        <w:rPr>
          <w:lang w:val="de-DE"/>
        </w:rPr>
        <w:t xml:space="preserve"> 28 Verbandsmitglieder, von denen 15 neue Antworten einreichten und 8 weitere Informationen über die Verwendung molekularer Markerverfahren lieferten. Die Zusammenfassung der Antworten auf die Umfragen </w:t>
      </w:r>
      <w:r w:rsidR="00155695">
        <w:rPr>
          <w:lang w:val="de-DE"/>
        </w:rPr>
        <w:t>aus</w:t>
      </w:r>
      <w:r w:rsidR="00FA0EA7" w:rsidRPr="00FA0EA7">
        <w:rPr>
          <w:lang w:val="de-DE"/>
        </w:rPr>
        <w:t xml:space="preserve"> 2020 und 2022 lautet wie folgt:</w:t>
      </w:r>
    </w:p>
    <w:p w14:paraId="560D8CC9" w14:textId="77777777" w:rsidR="00C327B6" w:rsidRPr="00FA0EA7" w:rsidRDefault="00C327B6" w:rsidP="00C327B6">
      <w:pPr>
        <w:rPr>
          <w:lang w:val="de-DE"/>
        </w:rPr>
      </w:pPr>
    </w:p>
    <w:p w14:paraId="60DED0A9" w14:textId="77777777" w:rsidR="00C327B6" w:rsidRPr="00FA0EA7" w:rsidRDefault="00C327B6" w:rsidP="00C327B6">
      <w:pPr>
        <w:jc w:val="center"/>
        <w:rPr>
          <w:rFonts w:cs="Arial"/>
          <w:bCs/>
          <w:color w:val="000000"/>
          <w:lang w:val="de-DE" w:eastAsia="ja-JP"/>
        </w:rPr>
        <w:sectPr w:rsidR="00C327B6" w:rsidRPr="00FA0EA7" w:rsidSect="00531A5F">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docGrid w:linePitch="272"/>
        </w:sectPr>
      </w:pPr>
    </w:p>
    <w:tbl>
      <w:tblPr>
        <w:tblStyle w:val="TableGrid"/>
        <w:tblW w:w="4820" w:type="dxa"/>
        <w:tblInd w:w="-5" w:type="dxa"/>
        <w:tblLook w:val="04A0" w:firstRow="1" w:lastRow="0" w:firstColumn="1" w:lastColumn="0" w:noHBand="0" w:noVBand="1"/>
      </w:tblPr>
      <w:tblGrid>
        <w:gridCol w:w="2102"/>
        <w:gridCol w:w="2718"/>
      </w:tblGrid>
      <w:tr w:rsidR="00C327B6" w:rsidRPr="00547BC4" w14:paraId="5975B88A" w14:textId="77777777" w:rsidTr="00531DCD">
        <w:trPr>
          <w:trHeight w:val="326"/>
        </w:trPr>
        <w:tc>
          <w:tcPr>
            <w:tcW w:w="2102" w:type="dxa"/>
            <w:hideMark/>
          </w:tcPr>
          <w:p w14:paraId="5EF7D4D6" w14:textId="750DD7C7"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M</w:t>
            </w:r>
            <w:r w:rsidR="00654677">
              <w:rPr>
                <w:rFonts w:cs="Arial"/>
                <w:bCs/>
                <w:color w:val="000000"/>
                <w:sz w:val="20"/>
                <w:szCs w:val="20"/>
                <w:lang w:eastAsia="ja-JP"/>
              </w:rPr>
              <w:t>itgl</w:t>
            </w:r>
            <w:r w:rsidR="00871954">
              <w:rPr>
                <w:rFonts w:cs="Arial"/>
                <w:bCs/>
                <w:color w:val="000000"/>
                <w:sz w:val="20"/>
                <w:szCs w:val="20"/>
                <w:lang w:eastAsia="ja-JP"/>
              </w:rPr>
              <w:t>ied</w:t>
            </w:r>
          </w:p>
        </w:tc>
        <w:tc>
          <w:tcPr>
            <w:tcW w:w="2718" w:type="dxa"/>
            <w:hideMark/>
          </w:tcPr>
          <w:p w14:paraId="64ACEFBB" w14:textId="4C3F838A" w:rsidR="00C327B6" w:rsidRPr="008F60AC" w:rsidRDefault="00BF35F9" w:rsidP="00006B11">
            <w:pPr>
              <w:jc w:val="center"/>
              <w:rPr>
                <w:rFonts w:cs="Arial"/>
                <w:bCs/>
                <w:color w:val="000000"/>
                <w:sz w:val="20"/>
                <w:szCs w:val="20"/>
                <w:lang w:val="de-DE" w:eastAsia="ja-JP"/>
              </w:rPr>
            </w:pPr>
            <w:r w:rsidRPr="008F60AC">
              <w:rPr>
                <w:rFonts w:cs="Arial"/>
                <w:bCs/>
                <w:color w:val="000000"/>
                <w:sz w:val="20"/>
                <w:szCs w:val="20"/>
                <w:lang w:val="de-DE" w:eastAsia="ja-JP"/>
              </w:rPr>
              <w:t>Verwendung</w:t>
            </w:r>
            <w:r w:rsidR="00F853C0" w:rsidRPr="008F60AC">
              <w:rPr>
                <w:rFonts w:cs="Arial"/>
                <w:bCs/>
                <w:color w:val="000000"/>
                <w:sz w:val="20"/>
                <w:szCs w:val="20"/>
                <w:lang w:val="de-DE" w:eastAsia="ja-JP"/>
              </w:rPr>
              <w:t xml:space="preserve"> </w:t>
            </w:r>
            <w:r w:rsidR="00853B9B">
              <w:rPr>
                <w:rFonts w:cs="Arial"/>
                <w:bCs/>
                <w:color w:val="000000"/>
                <w:sz w:val="20"/>
                <w:szCs w:val="20"/>
                <w:lang w:val="de-DE" w:eastAsia="ja-JP"/>
              </w:rPr>
              <w:t xml:space="preserve">von </w:t>
            </w:r>
            <w:r w:rsidR="00F853C0" w:rsidRPr="008F60AC">
              <w:rPr>
                <w:rFonts w:cs="Arial"/>
                <w:bCs/>
                <w:color w:val="000000"/>
                <w:sz w:val="20"/>
                <w:szCs w:val="20"/>
                <w:lang w:val="de-DE" w:eastAsia="ja-JP"/>
              </w:rPr>
              <w:t>molekulare</w:t>
            </w:r>
            <w:r w:rsidR="00853B9B">
              <w:rPr>
                <w:rFonts w:cs="Arial"/>
                <w:bCs/>
                <w:color w:val="000000"/>
                <w:sz w:val="20"/>
                <w:szCs w:val="20"/>
                <w:lang w:val="de-DE" w:eastAsia="ja-JP"/>
              </w:rPr>
              <w:t>n</w:t>
            </w:r>
            <w:r w:rsidR="00F853C0" w:rsidRPr="008F60AC">
              <w:rPr>
                <w:rFonts w:cs="Arial"/>
                <w:bCs/>
                <w:color w:val="000000"/>
                <w:sz w:val="20"/>
                <w:szCs w:val="20"/>
                <w:lang w:val="de-DE" w:eastAsia="ja-JP"/>
              </w:rPr>
              <w:t xml:space="preserve"> Markerverfahren</w:t>
            </w:r>
            <w:r w:rsidR="00C327B6" w:rsidRPr="008F60AC">
              <w:rPr>
                <w:rFonts w:cs="Arial"/>
                <w:bCs/>
                <w:color w:val="000000"/>
                <w:sz w:val="20"/>
                <w:szCs w:val="20"/>
                <w:lang w:val="de-DE" w:eastAsia="ja-JP"/>
              </w:rPr>
              <w:t xml:space="preserve"> (</w:t>
            </w:r>
            <w:r w:rsidR="0054764B" w:rsidRPr="008F60AC">
              <w:rPr>
                <w:rFonts w:cs="Arial"/>
                <w:bCs/>
                <w:color w:val="000000"/>
                <w:sz w:val="20"/>
                <w:szCs w:val="20"/>
                <w:lang w:val="de-DE" w:eastAsia="ja-JP"/>
              </w:rPr>
              <w:t>JA</w:t>
            </w:r>
            <w:r w:rsidR="00C327B6" w:rsidRPr="008F60AC">
              <w:rPr>
                <w:rFonts w:cs="Arial"/>
                <w:bCs/>
                <w:color w:val="000000"/>
                <w:sz w:val="20"/>
                <w:szCs w:val="20"/>
                <w:lang w:val="de-DE" w:eastAsia="ja-JP"/>
              </w:rPr>
              <w:t>/</w:t>
            </w:r>
            <w:r w:rsidR="0054764B" w:rsidRPr="008F60AC">
              <w:rPr>
                <w:rFonts w:cs="Arial"/>
                <w:bCs/>
                <w:color w:val="000000"/>
                <w:sz w:val="20"/>
                <w:szCs w:val="20"/>
                <w:lang w:val="de-DE" w:eastAsia="ja-JP"/>
              </w:rPr>
              <w:t>NEIN</w:t>
            </w:r>
            <w:r w:rsidR="00C327B6" w:rsidRPr="008F60AC">
              <w:rPr>
                <w:rFonts w:cs="Arial"/>
                <w:bCs/>
                <w:color w:val="000000"/>
                <w:sz w:val="20"/>
                <w:szCs w:val="20"/>
                <w:lang w:val="de-DE" w:eastAsia="ja-JP"/>
              </w:rPr>
              <w:t>)</w:t>
            </w:r>
          </w:p>
        </w:tc>
      </w:tr>
      <w:tr w:rsidR="00C327B6" w:rsidRPr="00D05189" w14:paraId="284A8915" w14:textId="77777777" w:rsidTr="00531DCD">
        <w:trPr>
          <w:trHeight w:val="276"/>
        </w:trPr>
        <w:tc>
          <w:tcPr>
            <w:tcW w:w="2102" w:type="dxa"/>
            <w:hideMark/>
          </w:tcPr>
          <w:p w14:paraId="14357DA5" w14:textId="06C4562F"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Argenti</w:t>
            </w:r>
            <w:r w:rsidR="00871954">
              <w:rPr>
                <w:rFonts w:cs="Arial"/>
                <w:color w:val="000000"/>
                <w:sz w:val="20"/>
                <w:szCs w:val="20"/>
                <w:lang w:eastAsia="ja-JP"/>
              </w:rPr>
              <w:t>nien</w:t>
            </w:r>
          </w:p>
        </w:tc>
        <w:tc>
          <w:tcPr>
            <w:tcW w:w="2718" w:type="dxa"/>
            <w:hideMark/>
          </w:tcPr>
          <w:p w14:paraId="6321F1EA" w14:textId="4A2075FC"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JA</w:t>
            </w:r>
          </w:p>
        </w:tc>
      </w:tr>
      <w:tr w:rsidR="00C327B6" w:rsidRPr="00D05189" w14:paraId="37AE297A" w14:textId="77777777" w:rsidTr="00531DCD">
        <w:trPr>
          <w:trHeight w:val="276"/>
        </w:trPr>
        <w:tc>
          <w:tcPr>
            <w:tcW w:w="2102" w:type="dxa"/>
            <w:hideMark/>
          </w:tcPr>
          <w:p w14:paraId="4E79B3C2" w14:textId="12BD4DA6"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Australi</w:t>
            </w:r>
            <w:r w:rsidR="00871954">
              <w:rPr>
                <w:rFonts w:cs="Arial"/>
                <w:color w:val="000000"/>
                <w:sz w:val="20"/>
                <w:szCs w:val="20"/>
                <w:lang w:eastAsia="ja-JP"/>
              </w:rPr>
              <w:t>en</w:t>
            </w:r>
          </w:p>
        </w:tc>
        <w:tc>
          <w:tcPr>
            <w:tcW w:w="2718" w:type="dxa"/>
            <w:hideMark/>
          </w:tcPr>
          <w:p w14:paraId="2DF1FE1B" w14:textId="678D2ADA"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NEIN</w:t>
            </w:r>
          </w:p>
        </w:tc>
      </w:tr>
      <w:tr w:rsidR="00C327B6" w:rsidRPr="00D05189" w14:paraId="1176D0DF" w14:textId="77777777" w:rsidTr="00531DCD">
        <w:trPr>
          <w:trHeight w:val="276"/>
        </w:trPr>
        <w:tc>
          <w:tcPr>
            <w:tcW w:w="2102" w:type="dxa"/>
            <w:hideMark/>
          </w:tcPr>
          <w:p w14:paraId="409D5598" w14:textId="3FBD2E70"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Belg</w:t>
            </w:r>
            <w:r w:rsidR="004F4CE3">
              <w:rPr>
                <w:rFonts w:cs="Arial"/>
                <w:color w:val="000000"/>
                <w:sz w:val="20"/>
                <w:szCs w:val="20"/>
                <w:lang w:eastAsia="ja-JP"/>
              </w:rPr>
              <w:t>ien</w:t>
            </w:r>
          </w:p>
        </w:tc>
        <w:tc>
          <w:tcPr>
            <w:tcW w:w="2718" w:type="dxa"/>
            <w:hideMark/>
          </w:tcPr>
          <w:p w14:paraId="6EE99144" w14:textId="1BB6ED35"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NEIN</w:t>
            </w:r>
          </w:p>
        </w:tc>
      </w:tr>
      <w:tr w:rsidR="00C327B6" w:rsidRPr="00D05189" w14:paraId="017CB7BF" w14:textId="77777777" w:rsidTr="00531DCD">
        <w:trPr>
          <w:trHeight w:val="276"/>
        </w:trPr>
        <w:tc>
          <w:tcPr>
            <w:tcW w:w="2102" w:type="dxa"/>
            <w:hideMark/>
          </w:tcPr>
          <w:p w14:paraId="1637B589" w14:textId="31979CA1"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Boliv</w:t>
            </w:r>
            <w:r w:rsidR="004F4CE3">
              <w:rPr>
                <w:rFonts w:cs="Arial"/>
                <w:color w:val="000000"/>
                <w:sz w:val="20"/>
                <w:szCs w:val="20"/>
                <w:lang w:eastAsia="ja-JP"/>
              </w:rPr>
              <w:t>ien</w:t>
            </w:r>
          </w:p>
        </w:tc>
        <w:tc>
          <w:tcPr>
            <w:tcW w:w="2718" w:type="dxa"/>
            <w:hideMark/>
          </w:tcPr>
          <w:p w14:paraId="723BF6EC" w14:textId="2576D6A6"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NEIN</w:t>
            </w:r>
          </w:p>
        </w:tc>
      </w:tr>
      <w:tr w:rsidR="00C327B6" w:rsidRPr="00D05189" w14:paraId="2CD55154" w14:textId="77777777" w:rsidTr="00531DCD">
        <w:trPr>
          <w:trHeight w:val="276"/>
        </w:trPr>
        <w:tc>
          <w:tcPr>
            <w:tcW w:w="2102" w:type="dxa"/>
            <w:hideMark/>
          </w:tcPr>
          <w:p w14:paraId="28A1BF2E" w14:textId="390E9194"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Bra</w:t>
            </w:r>
            <w:r w:rsidR="004F4CE3">
              <w:rPr>
                <w:rFonts w:cs="Arial"/>
                <w:color w:val="000000"/>
                <w:sz w:val="20"/>
                <w:szCs w:val="20"/>
                <w:lang w:eastAsia="ja-JP"/>
              </w:rPr>
              <w:t>silien</w:t>
            </w:r>
          </w:p>
        </w:tc>
        <w:tc>
          <w:tcPr>
            <w:tcW w:w="2718" w:type="dxa"/>
            <w:hideMark/>
          </w:tcPr>
          <w:p w14:paraId="6030024E" w14:textId="21FE23DD"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JA</w:t>
            </w:r>
          </w:p>
        </w:tc>
      </w:tr>
      <w:tr w:rsidR="00C327B6" w:rsidRPr="00D05189" w14:paraId="20591D34" w14:textId="77777777" w:rsidTr="00531DCD">
        <w:trPr>
          <w:trHeight w:val="276"/>
        </w:trPr>
        <w:tc>
          <w:tcPr>
            <w:tcW w:w="2102" w:type="dxa"/>
            <w:hideMark/>
          </w:tcPr>
          <w:p w14:paraId="29E8DFCC" w14:textId="77777777"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China</w:t>
            </w:r>
          </w:p>
        </w:tc>
        <w:tc>
          <w:tcPr>
            <w:tcW w:w="2718" w:type="dxa"/>
            <w:hideMark/>
          </w:tcPr>
          <w:p w14:paraId="65DE686D" w14:textId="26A55889"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JA</w:t>
            </w:r>
          </w:p>
        </w:tc>
      </w:tr>
      <w:tr w:rsidR="004A5A2B" w:rsidRPr="00D05189" w14:paraId="28C776FC" w14:textId="77777777" w:rsidTr="004A5A2B">
        <w:trPr>
          <w:trHeight w:val="276"/>
        </w:trPr>
        <w:tc>
          <w:tcPr>
            <w:tcW w:w="2102" w:type="dxa"/>
          </w:tcPr>
          <w:p w14:paraId="15C2142F" w14:textId="115DDBAF" w:rsidR="004A5A2B" w:rsidRPr="00D05189" w:rsidRDefault="004A5A2B" w:rsidP="004A5A2B">
            <w:pPr>
              <w:jc w:val="center"/>
              <w:rPr>
                <w:rFonts w:cs="Arial"/>
                <w:color w:val="000000"/>
                <w:sz w:val="20"/>
                <w:szCs w:val="20"/>
                <w:lang w:eastAsia="ja-JP"/>
              </w:rPr>
            </w:pPr>
            <w:r w:rsidRPr="004A5A2B">
              <w:rPr>
                <w:rFonts w:cs="Arial"/>
                <w:color w:val="000000"/>
                <w:sz w:val="20"/>
                <w:szCs w:val="20"/>
                <w:lang w:eastAsia="ja-JP"/>
              </w:rPr>
              <w:t>Deutschland</w:t>
            </w:r>
          </w:p>
        </w:tc>
        <w:tc>
          <w:tcPr>
            <w:tcW w:w="2718" w:type="dxa"/>
          </w:tcPr>
          <w:p w14:paraId="518CFCB4" w14:textId="58C17109" w:rsidR="004A5A2B" w:rsidRPr="00D05189" w:rsidRDefault="004A5A2B" w:rsidP="004A5A2B">
            <w:pPr>
              <w:jc w:val="center"/>
              <w:rPr>
                <w:rFonts w:cs="Arial"/>
                <w:bCs/>
                <w:color w:val="000000"/>
                <w:sz w:val="20"/>
                <w:szCs w:val="20"/>
                <w:lang w:eastAsia="ja-JP"/>
              </w:rPr>
            </w:pPr>
            <w:r>
              <w:rPr>
                <w:rFonts w:cs="Arial"/>
                <w:bCs/>
                <w:color w:val="000000"/>
                <w:sz w:val="20"/>
                <w:szCs w:val="20"/>
                <w:lang w:eastAsia="ja-JP"/>
              </w:rPr>
              <w:t>JA</w:t>
            </w:r>
          </w:p>
        </w:tc>
      </w:tr>
      <w:tr w:rsidR="004A5A2B" w:rsidRPr="00D05189" w14:paraId="3B988008" w14:textId="77777777" w:rsidTr="004A5A2B">
        <w:trPr>
          <w:trHeight w:val="276"/>
        </w:trPr>
        <w:tc>
          <w:tcPr>
            <w:tcW w:w="2102" w:type="dxa"/>
          </w:tcPr>
          <w:p w14:paraId="072C631D" w14:textId="3BCF0A98" w:rsidR="004A5A2B" w:rsidRPr="00D05189" w:rsidRDefault="004A5A2B" w:rsidP="004A5A2B">
            <w:pPr>
              <w:jc w:val="center"/>
              <w:rPr>
                <w:rFonts w:cs="Arial"/>
                <w:color w:val="000000"/>
                <w:sz w:val="20"/>
                <w:szCs w:val="20"/>
                <w:lang w:eastAsia="ja-JP"/>
              </w:rPr>
            </w:pPr>
            <w:r w:rsidRPr="00D05189">
              <w:rPr>
                <w:rFonts w:cs="Arial"/>
                <w:color w:val="000000"/>
                <w:sz w:val="20"/>
                <w:szCs w:val="20"/>
                <w:lang w:eastAsia="ja-JP"/>
              </w:rPr>
              <w:t>Est</w:t>
            </w:r>
            <w:r>
              <w:rPr>
                <w:rFonts w:cs="Arial"/>
                <w:color w:val="000000"/>
                <w:sz w:val="20"/>
                <w:szCs w:val="20"/>
                <w:lang w:eastAsia="ja-JP"/>
              </w:rPr>
              <w:t>land</w:t>
            </w:r>
          </w:p>
        </w:tc>
        <w:tc>
          <w:tcPr>
            <w:tcW w:w="2718" w:type="dxa"/>
          </w:tcPr>
          <w:p w14:paraId="4CE3008A" w14:textId="10D62C22" w:rsidR="004A5A2B" w:rsidRPr="00D05189" w:rsidRDefault="004A5A2B" w:rsidP="004A5A2B">
            <w:pPr>
              <w:jc w:val="center"/>
              <w:rPr>
                <w:rFonts w:cs="Arial"/>
                <w:bCs/>
                <w:color w:val="000000"/>
                <w:sz w:val="20"/>
                <w:szCs w:val="20"/>
                <w:lang w:eastAsia="ja-JP"/>
              </w:rPr>
            </w:pPr>
            <w:r>
              <w:rPr>
                <w:rFonts w:cs="Arial"/>
                <w:bCs/>
                <w:color w:val="000000"/>
                <w:sz w:val="20"/>
                <w:szCs w:val="20"/>
                <w:lang w:eastAsia="ja-JP"/>
              </w:rPr>
              <w:t>JA</w:t>
            </w:r>
          </w:p>
        </w:tc>
      </w:tr>
      <w:tr w:rsidR="004A5A2B" w:rsidRPr="00D05189" w14:paraId="0B0435F9" w14:textId="77777777" w:rsidTr="004A5A2B">
        <w:trPr>
          <w:trHeight w:val="276"/>
        </w:trPr>
        <w:tc>
          <w:tcPr>
            <w:tcW w:w="2102" w:type="dxa"/>
          </w:tcPr>
          <w:p w14:paraId="64747AD6" w14:textId="0367CFB3" w:rsidR="004A5A2B" w:rsidRPr="00D05189" w:rsidRDefault="004A5A2B" w:rsidP="004A5A2B">
            <w:pPr>
              <w:jc w:val="center"/>
              <w:rPr>
                <w:rFonts w:cs="Arial"/>
                <w:color w:val="000000"/>
                <w:sz w:val="20"/>
                <w:szCs w:val="20"/>
                <w:lang w:eastAsia="ja-JP"/>
              </w:rPr>
            </w:pPr>
            <w:r w:rsidRPr="00D05189">
              <w:rPr>
                <w:rFonts w:cs="Arial"/>
                <w:color w:val="000000"/>
                <w:sz w:val="20"/>
                <w:szCs w:val="20"/>
                <w:lang w:eastAsia="ja-JP"/>
              </w:rPr>
              <w:t>Europ</w:t>
            </w:r>
            <w:r>
              <w:rPr>
                <w:rFonts w:cs="Arial"/>
                <w:color w:val="000000"/>
                <w:sz w:val="20"/>
                <w:szCs w:val="20"/>
                <w:lang w:eastAsia="ja-JP"/>
              </w:rPr>
              <w:t>äische</w:t>
            </w:r>
            <w:r w:rsidRPr="00D05189">
              <w:rPr>
                <w:rFonts w:cs="Arial"/>
                <w:color w:val="000000"/>
                <w:sz w:val="20"/>
                <w:szCs w:val="20"/>
                <w:lang w:eastAsia="ja-JP"/>
              </w:rPr>
              <w:t xml:space="preserve"> Union</w:t>
            </w:r>
          </w:p>
        </w:tc>
        <w:tc>
          <w:tcPr>
            <w:tcW w:w="2718" w:type="dxa"/>
          </w:tcPr>
          <w:p w14:paraId="63994BF7" w14:textId="4097B41C" w:rsidR="004A5A2B" w:rsidRPr="00D05189" w:rsidRDefault="004A5A2B" w:rsidP="004A5A2B">
            <w:pPr>
              <w:jc w:val="center"/>
              <w:rPr>
                <w:rFonts w:cs="Arial"/>
                <w:bCs/>
                <w:color w:val="000000"/>
                <w:sz w:val="20"/>
                <w:szCs w:val="20"/>
                <w:lang w:eastAsia="ja-JP"/>
              </w:rPr>
            </w:pPr>
            <w:r>
              <w:rPr>
                <w:rFonts w:cs="Arial"/>
                <w:bCs/>
                <w:color w:val="000000"/>
                <w:sz w:val="20"/>
                <w:szCs w:val="20"/>
                <w:lang w:eastAsia="ja-JP"/>
              </w:rPr>
              <w:t>JA</w:t>
            </w:r>
          </w:p>
        </w:tc>
      </w:tr>
      <w:tr w:rsidR="00C327B6" w:rsidRPr="00D05189" w14:paraId="05F80F32" w14:textId="77777777" w:rsidTr="00531DCD">
        <w:trPr>
          <w:trHeight w:val="300"/>
        </w:trPr>
        <w:tc>
          <w:tcPr>
            <w:tcW w:w="2102" w:type="dxa"/>
            <w:hideMark/>
          </w:tcPr>
          <w:p w14:paraId="3B9752DF" w14:textId="6E03C974"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Fran</w:t>
            </w:r>
            <w:r w:rsidR="0054764B">
              <w:rPr>
                <w:rFonts w:cs="Arial"/>
                <w:color w:val="000000"/>
                <w:sz w:val="20"/>
                <w:szCs w:val="20"/>
                <w:lang w:eastAsia="ja-JP"/>
              </w:rPr>
              <w:t>kreich</w:t>
            </w:r>
          </w:p>
        </w:tc>
        <w:tc>
          <w:tcPr>
            <w:tcW w:w="2718" w:type="dxa"/>
            <w:hideMark/>
          </w:tcPr>
          <w:p w14:paraId="3752FE71" w14:textId="5DB84303"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42C4E6DD" w14:textId="77777777" w:rsidTr="004A5A2B">
        <w:trPr>
          <w:trHeight w:val="276"/>
        </w:trPr>
        <w:tc>
          <w:tcPr>
            <w:tcW w:w="2102" w:type="dxa"/>
          </w:tcPr>
          <w:p w14:paraId="186B91FC" w14:textId="1C2ED61B"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Ir</w:t>
            </w:r>
            <w:r>
              <w:rPr>
                <w:rFonts w:cs="Arial"/>
                <w:color w:val="000000"/>
                <w:sz w:val="20"/>
                <w:szCs w:val="20"/>
                <w:lang w:eastAsia="ja-JP"/>
              </w:rPr>
              <w:t>land</w:t>
            </w:r>
          </w:p>
        </w:tc>
        <w:tc>
          <w:tcPr>
            <w:tcW w:w="2718" w:type="dxa"/>
          </w:tcPr>
          <w:p w14:paraId="71CC3973" w14:textId="4BD89736"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25ECBD22" w14:textId="77777777" w:rsidTr="003D029A">
        <w:trPr>
          <w:trHeight w:val="276"/>
        </w:trPr>
        <w:tc>
          <w:tcPr>
            <w:tcW w:w="2102" w:type="dxa"/>
          </w:tcPr>
          <w:p w14:paraId="16D99051" w14:textId="4F2DBE72"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Israel</w:t>
            </w:r>
          </w:p>
        </w:tc>
        <w:tc>
          <w:tcPr>
            <w:tcW w:w="2718" w:type="dxa"/>
          </w:tcPr>
          <w:p w14:paraId="338239B6" w14:textId="28EFEE5D"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03502BE9" w14:textId="77777777" w:rsidTr="00584F0A">
        <w:trPr>
          <w:trHeight w:val="276"/>
        </w:trPr>
        <w:tc>
          <w:tcPr>
            <w:tcW w:w="2102" w:type="dxa"/>
          </w:tcPr>
          <w:p w14:paraId="062075CE" w14:textId="17981C30"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Ital</w:t>
            </w:r>
            <w:r>
              <w:rPr>
                <w:rFonts w:cs="Arial"/>
                <w:color w:val="000000"/>
                <w:sz w:val="20"/>
                <w:szCs w:val="20"/>
                <w:lang w:eastAsia="ja-JP"/>
              </w:rPr>
              <w:t>ien</w:t>
            </w:r>
          </w:p>
        </w:tc>
        <w:tc>
          <w:tcPr>
            <w:tcW w:w="2718" w:type="dxa"/>
          </w:tcPr>
          <w:p w14:paraId="26541902" w14:textId="417E0BF8"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487D4A0F" w14:textId="77777777" w:rsidTr="00584F0A">
        <w:trPr>
          <w:trHeight w:val="276"/>
        </w:trPr>
        <w:tc>
          <w:tcPr>
            <w:tcW w:w="2102" w:type="dxa"/>
          </w:tcPr>
          <w:p w14:paraId="35B13661" w14:textId="1B9DFB38"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Japan</w:t>
            </w:r>
          </w:p>
        </w:tc>
        <w:tc>
          <w:tcPr>
            <w:tcW w:w="2718" w:type="dxa"/>
          </w:tcPr>
          <w:p w14:paraId="6A7FEB93" w14:textId="16BB49D2"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25F6F760" w14:textId="77777777" w:rsidTr="00584F0A">
        <w:trPr>
          <w:trHeight w:val="276"/>
        </w:trPr>
        <w:tc>
          <w:tcPr>
            <w:tcW w:w="2102" w:type="dxa"/>
          </w:tcPr>
          <w:p w14:paraId="098EEB42" w14:textId="43E293B4"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Jordan</w:t>
            </w:r>
            <w:r>
              <w:rPr>
                <w:rFonts w:cs="Arial"/>
                <w:color w:val="000000"/>
                <w:sz w:val="20"/>
                <w:szCs w:val="20"/>
                <w:lang w:eastAsia="ja-JP"/>
              </w:rPr>
              <w:t>ien</w:t>
            </w:r>
          </w:p>
        </w:tc>
        <w:tc>
          <w:tcPr>
            <w:tcW w:w="2718" w:type="dxa"/>
          </w:tcPr>
          <w:p w14:paraId="4AE3F33B" w14:textId="6649416C"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0CF23B21" w14:textId="77777777" w:rsidTr="00531DCD">
        <w:trPr>
          <w:trHeight w:val="276"/>
        </w:trPr>
        <w:tc>
          <w:tcPr>
            <w:tcW w:w="2102" w:type="dxa"/>
          </w:tcPr>
          <w:p w14:paraId="70AAC86C" w14:textId="235FAEB1" w:rsidR="00584F0A" w:rsidRPr="00D05189" w:rsidRDefault="00584F0A" w:rsidP="00584F0A">
            <w:pPr>
              <w:jc w:val="center"/>
              <w:rPr>
                <w:rFonts w:cs="Arial"/>
                <w:color w:val="000000"/>
                <w:lang w:eastAsia="ja-JP"/>
              </w:rPr>
            </w:pPr>
            <w:r w:rsidRPr="00F97685">
              <w:rPr>
                <w:rFonts w:cs="Arial"/>
                <w:color w:val="000000"/>
                <w:sz w:val="20"/>
                <w:szCs w:val="20"/>
                <w:lang w:eastAsia="ja-JP"/>
              </w:rPr>
              <w:t>Kanada</w:t>
            </w:r>
          </w:p>
        </w:tc>
        <w:tc>
          <w:tcPr>
            <w:tcW w:w="2718" w:type="dxa"/>
          </w:tcPr>
          <w:p w14:paraId="62D7D423" w14:textId="28BD89B4" w:rsidR="00584F0A" w:rsidRDefault="00584F0A" w:rsidP="00584F0A">
            <w:pPr>
              <w:jc w:val="center"/>
              <w:rPr>
                <w:rFonts w:cs="Arial"/>
                <w:bCs/>
                <w:color w:val="000000"/>
                <w:lang w:eastAsia="ja-JP"/>
              </w:rPr>
            </w:pPr>
            <w:r>
              <w:rPr>
                <w:rFonts w:cs="Arial"/>
                <w:bCs/>
                <w:color w:val="000000"/>
                <w:sz w:val="20"/>
                <w:szCs w:val="20"/>
                <w:lang w:eastAsia="ja-JP"/>
              </w:rPr>
              <w:t>JA</w:t>
            </w:r>
          </w:p>
        </w:tc>
      </w:tr>
      <w:tr w:rsidR="001B608D" w:rsidRPr="00F9480E" w14:paraId="33D467D4" w14:textId="77777777" w:rsidTr="00531DCD">
        <w:trPr>
          <w:trHeight w:val="276"/>
        </w:trPr>
        <w:tc>
          <w:tcPr>
            <w:tcW w:w="2102" w:type="dxa"/>
          </w:tcPr>
          <w:p w14:paraId="3CC7851B" w14:textId="13593DB0" w:rsidR="001B608D" w:rsidRPr="00AC0A1D" w:rsidRDefault="001B608D" w:rsidP="001B608D">
            <w:pPr>
              <w:jc w:val="center"/>
              <w:rPr>
                <w:rFonts w:cs="Arial"/>
                <w:color w:val="000000"/>
                <w:lang w:eastAsia="ja-JP"/>
              </w:rPr>
            </w:pPr>
            <w:r w:rsidRPr="00D05189">
              <w:rPr>
                <w:rFonts w:cs="Arial"/>
                <w:color w:val="000000"/>
                <w:sz w:val="20"/>
                <w:szCs w:val="20"/>
                <w:lang w:eastAsia="ja-JP"/>
              </w:rPr>
              <w:t>Ken</w:t>
            </w:r>
            <w:r>
              <w:rPr>
                <w:rFonts w:cs="Arial"/>
                <w:color w:val="000000"/>
                <w:sz w:val="20"/>
                <w:szCs w:val="20"/>
                <w:lang w:eastAsia="ja-JP"/>
              </w:rPr>
              <w:t>ia</w:t>
            </w:r>
          </w:p>
        </w:tc>
        <w:tc>
          <w:tcPr>
            <w:tcW w:w="2718" w:type="dxa"/>
          </w:tcPr>
          <w:p w14:paraId="4D4A3B5E" w14:textId="61A04268" w:rsidR="001B608D" w:rsidRPr="00AC0A1D" w:rsidRDefault="001B608D" w:rsidP="001B608D">
            <w:pPr>
              <w:jc w:val="center"/>
              <w:rPr>
                <w:rFonts w:cs="Arial"/>
                <w:bCs/>
                <w:color w:val="000000"/>
                <w:lang w:eastAsia="ja-JP"/>
              </w:rPr>
            </w:pPr>
            <w:r>
              <w:rPr>
                <w:rFonts w:cs="Arial"/>
                <w:bCs/>
                <w:color w:val="000000"/>
                <w:sz w:val="20"/>
                <w:szCs w:val="20"/>
                <w:lang w:eastAsia="ja-JP"/>
              </w:rPr>
              <w:t>NEIN</w:t>
            </w:r>
          </w:p>
        </w:tc>
      </w:tr>
      <w:tr w:rsidR="001B608D" w:rsidRPr="00F9480E" w14:paraId="73DCD858" w14:textId="77777777" w:rsidTr="00531DCD">
        <w:trPr>
          <w:trHeight w:val="276"/>
        </w:trPr>
        <w:tc>
          <w:tcPr>
            <w:tcW w:w="2102" w:type="dxa"/>
          </w:tcPr>
          <w:p w14:paraId="2857C029" w14:textId="6F65BA50" w:rsidR="001B608D" w:rsidRPr="00D05189" w:rsidRDefault="001B608D" w:rsidP="001B608D">
            <w:pPr>
              <w:jc w:val="center"/>
              <w:rPr>
                <w:rFonts w:cs="Arial"/>
                <w:color w:val="000000"/>
                <w:lang w:eastAsia="ja-JP"/>
              </w:rPr>
            </w:pPr>
            <w:r w:rsidRPr="00AA2F04">
              <w:rPr>
                <w:rFonts w:cs="Arial"/>
                <w:color w:val="000000"/>
                <w:sz w:val="20"/>
                <w:szCs w:val="20"/>
                <w:lang w:eastAsia="ja-JP"/>
              </w:rPr>
              <w:t>Lettland</w:t>
            </w:r>
          </w:p>
        </w:tc>
        <w:tc>
          <w:tcPr>
            <w:tcW w:w="2718" w:type="dxa"/>
          </w:tcPr>
          <w:p w14:paraId="4973A063" w14:textId="2CA979B0" w:rsidR="001B608D" w:rsidRDefault="001B608D" w:rsidP="001B608D">
            <w:pPr>
              <w:jc w:val="center"/>
              <w:rPr>
                <w:rFonts w:cs="Arial"/>
                <w:bCs/>
                <w:color w:val="000000"/>
                <w:lang w:eastAsia="ja-JP"/>
              </w:rPr>
            </w:pPr>
            <w:r w:rsidRPr="00AA2F04">
              <w:rPr>
                <w:rFonts w:cs="Arial"/>
                <w:bCs/>
                <w:color w:val="000000"/>
                <w:sz w:val="20"/>
                <w:szCs w:val="20"/>
                <w:lang w:eastAsia="ja-JP"/>
              </w:rPr>
              <w:t>NEIN</w:t>
            </w:r>
          </w:p>
        </w:tc>
      </w:tr>
      <w:tr w:rsidR="001B608D" w:rsidRPr="00547BC4" w14:paraId="4317BBF9" w14:textId="77777777" w:rsidTr="00C625EE">
        <w:trPr>
          <w:trHeight w:val="276"/>
        </w:trPr>
        <w:tc>
          <w:tcPr>
            <w:tcW w:w="2102" w:type="dxa"/>
          </w:tcPr>
          <w:p w14:paraId="10A76034" w14:textId="52EC4786" w:rsidR="001B608D" w:rsidRPr="00D05189" w:rsidRDefault="001B608D" w:rsidP="001B608D">
            <w:pPr>
              <w:jc w:val="center"/>
              <w:rPr>
                <w:rFonts w:cs="Arial"/>
                <w:color w:val="000000"/>
                <w:lang w:eastAsia="ja-JP"/>
              </w:rPr>
            </w:pPr>
            <w:r w:rsidRPr="00AC0A1D">
              <w:rPr>
                <w:rFonts w:cs="Arial"/>
                <w:bCs/>
                <w:color w:val="000000"/>
                <w:sz w:val="20"/>
                <w:szCs w:val="20"/>
                <w:lang w:eastAsia="ja-JP"/>
              </w:rPr>
              <w:t>Mitglied</w:t>
            </w:r>
          </w:p>
        </w:tc>
        <w:tc>
          <w:tcPr>
            <w:tcW w:w="2718" w:type="dxa"/>
          </w:tcPr>
          <w:p w14:paraId="002268B6" w14:textId="52C83AF2" w:rsidR="001B608D" w:rsidRDefault="00C5160F" w:rsidP="001B608D">
            <w:pPr>
              <w:jc w:val="center"/>
              <w:rPr>
                <w:rFonts w:cs="Arial"/>
                <w:bCs/>
                <w:color w:val="000000"/>
                <w:lang w:eastAsia="ja-JP"/>
              </w:rPr>
            </w:pPr>
            <w:r w:rsidRPr="008F60AC">
              <w:rPr>
                <w:rFonts w:cs="Arial"/>
                <w:bCs/>
                <w:color w:val="000000"/>
                <w:sz w:val="20"/>
                <w:szCs w:val="20"/>
                <w:lang w:val="de-DE" w:eastAsia="ja-JP"/>
              </w:rPr>
              <w:t xml:space="preserve">Verwendung </w:t>
            </w:r>
            <w:r>
              <w:rPr>
                <w:rFonts w:cs="Arial"/>
                <w:bCs/>
                <w:color w:val="000000"/>
                <w:sz w:val="20"/>
                <w:szCs w:val="20"/>
                <w:lang w:val="de-DE" w:eastAsia="ja-JP"/>
              </w:rPr>
              <w:t xml:space="preserve">von </w:t>
            </w:r>
            <w:r w:rsidRPr="008F60AC">
              <w:rPr>
                <w:rFonts w:cs="Arial"/>
                <w:bCs/>
                <w:color w:val="000000"/>
                <w:sz w:val="20"/>
                <w:szCs w:val="20"/>
                <w:lang w:val="de-DE" w:eastAsia="ja-JP"/>
              </w:rPr>
              <w:t>molekulare</w:t>
            </w:r>
            <w:r>
              <w:rPr>
                <w:rFonts w:cs="Arial"/>
                <w:bCs/>
                <w:color w:val="000000"/>
                <w:sz w:val="20"/>
                <w:szCs w:val="20"/>
                <w:lang w:val="de-DE" w:eastAsia="ja-JP"/>
              </w:rPr>
              <w:t>n</w:t>
            </w:r>
            <w:r w:rsidRPr="008F60AC">
              <w:rPr>
                <w:rFonts w:cs="Arial"/>
                <w:bCs/>
                <w:color w:val="000000"/>
                <w:sz w:val="20"/>
                <w:szCs w:val="20"/>
                <w:lang w:val="de-DE" w:eastAsia="ja-JP"/>
              </w:rPr>
              <w:t xml:space="preserve"> Markerverfahren (JA/NEIN)</w:t>
            </w:r>
          </w:p>
        </w:tc>
      </w:tr>
      <w:tr w:rsidR="00584F0A" w:rsidRPr="00D05189" w14:paraId="4EE6E4BA" w14:textId="77777777" w:rsidTr="00531DCD">
        <w:trPr>
          <w:trHeight w:val="276"/>
        </w:trPr>
        <w:tc>
          <w:tcPr>
            <w:tcW w:w="2102" w:type="dxa"/>
          </w:tcPr>
          <w:p w14:paraId="38E7AEF2" w14:textId="2CA6C426" w:rsidR="00584F0A" w:rsidRPr="00D05189" w:rsidRDefault="00584F0A" w:rsidP="00584F0A">
            <w:pPr>
              <w:jc w:val="center"/>
              <w:rPr>
                <w:rFonts w:cs="Arial"/>
                <w:color w:val="000000"/>
                <w:lang w:eastAsia="ja-JP"/>
              </w:rPr>
            </w:pPr>
            <w:r w:rsidRPr="00D05189">
              <w:rPr>
                <w:rFonts w:cs="Arial"/>
                <w:color w:val="000000"/>
                <w:sz w:val="20"/>
                <w:szCs w:val="20"/>
                <w:lang w:eastAsia="ja-JP"/>
              </w:rPr>
              <w:t>Lit</w:t>
            </w:r>
            <w:r>
              <w:rPr>
                <w:rFonts w:cs="Arial"/>
                <w:color w:val="000000"/>
                <w:sz w:val="20"/>
                <w:szCs w:val="20"/>
                <w:lang w:eastAsia="ja-JP"/>
              </w:rPr>
              <w:t>auen</w:t>
            </w:r>
          </w:p>
        </w:tc>
        <w:tc>
          <w:tcPr>
            <w:tcW w:w="2718" w:type="dxa"/>
          </w:tcPr>
          <w:p w14:paraId="2B2F413F" w14:textId="14BFA8CB" w:rsidR="00584F0A" w:rsidRDefault="00584F0A" w:rsidP="00584F0A">
            <w:pPr>
              <w:jc w:val="center"/>
              <w:rPr>
                <w:rFonts w:cs="Arial"/>
                <w:bCs/>
                <w:color w:val="000000"/>
                <w:lang w:eastAsia="ja-JP"/>
              </w:rPr>
            </w:pPr>
            <w:r>
              <w:rPr>
                <w:rFonts w:cs="Arial"/>
                <w:bCs/>
                <w:color w:val="000000"/>
                <w:sz w:val="20"/>
                <w:szCs w:val="20"/>
                <w:lang w:eastAsia="ja-JP"/>
              </w:rPr>
              <w:t>NEIN</w:t>
            </w:r>
          </w:p>
        </w:tc>
      </w:tr>
      <w:tr w:rsidR="00584F0A" w:rsidRPr="00D05189" w14:paraId="25C5A578" w14:textId="77777777" w:rsidTr="00C625EE">
        <w:trPr>
          <w:trHeight w:val="276"/>
        </w:trPr>
        <w:tc>
          <w:tcPr>
            <w:tcW w:w="2102" w:type="dxa"/>
          </w:tcPr>
          <w:p w14:paraId="02140A14" w14:textId="17BB360F"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Mexi</w:t>
            </w:r>
            <w:r>
              <w:rPr>
                <w:rFonts w:cs="Arial"/>
                <w:color w:val="000000"/>
                <w:sz w:val="20"/>
                <w:szCs w:val="20"/>
                <w:lang w:eastAsia="ja-JP"/>
              </w:rPr>
              <w:t>k</w:t>
            </w:r>
            <w:r w:rsidRPr="00D05189">
              <w:rPr>
                <w:rFonts w:cs="Arial"/>
                <w:color w:val="000000"/>
                <w:sz w:val="20"/>
                <w:szCs w:val="20"/>
                <w:lang w:eastAsia="ja-JP"/>
              </w:rPr>
              <w:t>o</w:t>
            </w:r>
          </w:p>
        </w:tc>
        <w:tc>
          <w:tcPr>
            <w:tcW w:w="2718" w:type="dxa"/>
          </w:tcPr>
          <w:p w14:paraId="55D349DE" w14:textId="0415ADC7"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6DE14CB5" w14:textId="77777777" w:rsidTr="00531DCD">
        <w:trPr>
          <w:trHeight w:val="276"/>
        </w:trPr>
        <w:tc>
          <w:tcPr>
            <w:tcW w:w="2102" w:type="dxa"/>
          </w:tcPr>
          <w:p w14:paraId="294770AD" w14:textId="4EB853FA" w:rsidR="00584F0A" w:rsidRPr="00D05189" w:rsidRDefault="00584F0A" w:rsidP="00584F0A">
            <w:pPr>
              <w:jc w:val="center"/>
              <w:rPr>
                <w:rFonts w:cs="Arial"/>
                <w:color w:val="000000"/>
                <w:lang w:eastAsia="ja-JP"/>
              </w:rPr>
            </w:pPr>
            <w:r w:rsidRPr="000E79AD">
              <w:rPr>
                <w:rFonts w:cs="Arial"/>
                <w:color w:val="000000"/>
                <w:sz w:val="20"/>
                <w:szCs w:val="20"/>
                <w:lang w:eastAsia="ja-JP"/>
              </w:rPr>
              <w:t>Moldau</w:t>
            </w:r>
          </w:p>
        </w:tc>
        <w:tc>
          <w:tcPr>
            <w:tcW w:w="2718" w:type="dxa"/>
          </w:tcPr>
          <w:p w14:paraId="34BA65D4" w14:textId="107A8FDD" w:rsidR="00584F0A" w:rsidRDefault="00584F0A" w:rsidP="00584F0A">
            <w:pPr>
              <w:jc w:val="center"/>
              <w:rPr>
                <w:rFonts w:cs="Arial"/>
                <w:bCs/>
                <w:color w:val="000000"/>
                <w:lang w:eastAsia="ja-JP"/>
              </w:rPr>
            </w:pPr>
            <w:r>
              <w:rPr>
                <w:rFonts w:cs="Arial"/>
                <w:bCs/>
                <w:color w:val="000000"/>
                <w:sz w:val="20"/>
                <w:szCs w:val="20"/>
                <w:lang w:eastAsia="ja-JP"/>
              </w:rPr>
              <w:t>NEIN</w:t>
            </w:r>
          </w:p>
        </w:tc>
      </w:tr>
      <w:tr w:rsidR="00584F0A" w:rsidRPr="00070D2F" w14:paraId="66D8E051" w14:textId="77777777" w:rsidTr="00531DCD">
        <w:trPr>
          <w:trHeight w:val="276"/>
        </w:trPr>
        <w:tc>
          <w:tcPr>
            <w:tcW w:w="2102" w:type="dxa"/>
          </w:tcPr>
          <w:p w14:paraId="7555FB61" w14:textId="48EDD64B" w:rsidR="00584F0A" w:rsidRPr="00495C2A" w:rsidRDefault="00584F0A" w:rsidP="00584F0A">
            <w:pPr>
              <w:jc w:val="center"/>
              <w:rPr>
                <w:rFonts w:cs="Arial"/>
                <w:color w:val="000000"/>
                <w:highlight w:val="yellow"/>
                <w:lang w:eastAsia="ja-JP"/>
              </w:rPr>
            </w:pPr>
            <w:r w:rsidRPr="00D05189">
              <w:rPr>
                <w:rFonts w:cs="Arial"/>
                <w:color w:val="000000"/>
                <w:sz w:val="20"/>
                <w:szCs w:val="20"/>
                <w:lang w:eastAsia="ja-JP"/>
              </w:rPr>
              <w:t>Ne</w:t>
            </w:r>
            <w:r>
              <w:rPr>
                <w:rFonts w:cs="Arial"/>
                <w:color w:val="000000"/>
                <w:sz w:val="20"/>
                <w:szCs w:val="20"/>
                <w:lang w:eastAsia="ja-JP"/>
              </w:rPr>
              <w:t>useeland</w:t>
            </w:r>
          </w:p>
        </w:tc>
        <w:tc>
          <w:tcPr>
            <w:tcW w:w="2718" w:type="dxa"/>
          </w:tcPr>
          <w:p w14:paraId="7E99A195" w14:textId="6742E03F" w:rsidR="00584F0A" w:rsidRPr="00495C2A" w:rsidRDefault="00584F0A" w:rsidP="00584F0A">
            <w:pPr>
              <w:jc w:val="center"/>
              <w:rPr>
                <w:rFonts w:cs="Arial"/>
                <w:bCs/>
                <w:color w:val="000000"/>
                <w:highlight w:val="yellow"/>
                <w:lang w:val="de-DE" w:eastAsia="ja-JP"/>
              </w:rPr>
            </w:pPr>
            <w:r>
              <w:rPr>
                <w:rFonts w:cs="Arial"/>
                <w:bCs/>
                <w:color w:val="000000"/>
                <w:sz w:val="20"/>
                <w:szCs w:val="20"/>
                <w:lang w:eastAsia="ja-JP"/>
              </w:rPr>
              <w:t>NEIN</w:t>
            </w:r>
          </w:p>
        </w:tc>
      </w:tr>
      <w:tr w:rsidR="00584F0A" w:rsidRPr="00D05189" w14:paraId="42E7CCB4" w14:textId="77777777" w:rsidTr="00C625EE">
        <w:trPr>
          <w:trHeight w:val="276"/>
        </w:trPr>
        <w:tc>
          <w:tcPr>
            <w:tcW w:w="2102" w:type="dxa"/>
          </w:tcPr>
          <w:p w14:paraId="292261C3" w14:textId="0BA1CB66"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N</w:t>
            </w:r>
            <w:r>
              <w:rPr>
                <w:rFonts w:cs="Arial"/>
                <w:color w:val="000000"/>
                <w:sz w:val="20"/>
                <w:szCs w:val="20"/>
                <w:lang w:eastAsia="ja-JP"/>
              </w:rPr>
              <w:t>iederlande</w:t>
            </w:r>
          </w:p>
        </w:tc>
        <w:tc>
          <w:tcPr>
            <w:tcW w:w="2718" w:type="dxa"/>
          </w:tcPr>
          <w:p w14:paraId="270D439E" w14:textId="5904BADB"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4ED9EB58" w14:textId="77777777" w:rsidTr="00C625EE">
        <w:trPr>
          <w:trHeight w:val="276"/>
        </w:trPr>
        <w:tc>
          <w:tcPr>
            <w:tcW w:w="2102" w:type="dxa"/>
          </w:tcPr>
          <w:p w14:paraId="51A4FA18" w14:textId="2581433E"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Nor</w:t>
            </w:r>
            <w:r>
              <w:rPr>
                <w:rFonts w:cs="Arial"/>
                <w:color w:val="000000"/>
                <w:sz w:val="20"/>
                <w:szCs w:val="20"/>
                <w:lang w:eastAsia="ja-JP"/>
              </w:rPr>
              <w:t>wegen</w:t>
            </w:r>
          </w:p>
        </w:tc>
        <w:tc>
          <w:tcPr>
            <w:tcW w:w="2718" w:type="dxa"/>
          </w:tcPr>
          <w:p w14:paraId="411B495A" w14:textId="6AFD79A3"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29C2A810" w14:textId="77777777" w:rsidTr="00C625EE">
        <w:trPr>
          <w:trHeight w:val="276"/>
        </w:trPr>
        <w:tc>
          <w:tcPr>
            <w:tcW w:w="2102" w:type="dxa"/>
          </w:tcPr>
          <w:p w14:paraId="19266D28" w14:textId="1930536F" w:rsidR="00584F0A" w:rsidRPr="00D05189" w:rsidRDefault="00584F0A" w:rsidP="00584F0A">
            <w:pPr>
              <w:jc w:val="center"/>
              <w:rPr>
                <w:rFonts w:cs="Arial"/>
                <w:color w:val="000000"/>
                <w:sz w:val="20"/>
                <w:szCs w:val="20"/>
                <w:lang w:eastAsia="ja-JP"/>
              </w:rPr>
            </w:pPr>
            <w:r w:rsidRPr="00F97685">
              <w:rPr>
                <w:rFonts w:cs="Arial"/>
                <w:color w:val="000000"/>
                <w:sz w:val="20"/>
                <w:szCs w:val="20"/>
                <w:lang w:eastAsia="ja-JP"/>
              </w:rPr>
              <w:t>Österreich</w:t>
            </w:r>
          </w:p>
        </w:tc>
        <w:tc>
          <w:tcPr>
            <w:tcW w:w="2718" w:type="dxa"/>
          </w:tcPr>
          <w:p w14:paraId="7236575E" w14:textId="6DFD8E7B"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7C06931A" w14:textId="77777777" w:rsidTr="00C625EE">
        <w:trPr>
          <w:trHeight w:val="276"/>
        </w:trPr>
        <w:tc>
          <w:tcPr>
            <w:tcW w:w="2102" w:type="dxa"/>
          </w:tcPr>
          <w:p w14:paraId="2BB62B7B" w14:textId="334FF7A0"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Panama</w:t>
            </w:r>
          </w:p>
        </w:tc>
        <w:tc>
          <w:tcPr>
            <w:tcW w:w="2718" w:type="dxa"/>
          </w:tcPr>
          <w:p w14:paraId="06AED3F8" w14:textId="1DDB812E"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760AA9C9" w14:textId="77777777" w:rsidTr="00C625EE">
        <w:trPr>
          <w:trHeight w:val="276"/>
        </w:trPr>
        <w:tc>
          <w:tcPr>
            <w:tcW w:w="2102" w:type="dxa"/>
          </w:tcPr>
          <w:p w14:paraId="23464DA0" w14:textId="08F78334"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Peru</w:t>
            </w:r>
          </w:p>
        </w:tc>
        <w:tc>
          <w:tcPr>
            <w:tcW w:w="2718" w:type="dxa"/>
          </w:tcPr>
          <w:p w14:paraId="5B1CAC4B" w14:textId="1A710BEE"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11C31858" w14:textId="77777777" w:rsidTr="00C625EE">
        <w:trPr>
          <w:trHeight w:val="276"/>
        </w:trPr>
        <w:tc>
          <w:tcPr>
            <w:tcW w:w="2102" w:type="dxa"/>
          </w:tcPr>
          <w:p w14:paraId="12207D7B" w14:textId="7DE3591D"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Pol</w:t>
            </w:r>
            <w:r>
              <w:rPr>
                <w:rFonts w:cs="Arial"/>
                <w:color w:val="000000"/>
                <w:sz w:val="20"/>
                <w:szCs w:val="20"/>
                <w:lang w:eastAsia="ja-JP"/>
              </w:rPr>
              <w:t>en</w:t>
            </w:r>
          </w:p>
        </w:tc>
        <w:tc>
          <w:tcPr>
            <w:tcW w:w="2718" w:type="dxa"/>
          </w:tcPr>
          <w:p w14:paraId="037A9C19" w14:textId="15DE9B75"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3D276E61" w14:textId="77777777" w:rsidTr="00531DCD">
        <w:trPr>
          <w:trHeight w:val="276"/>
        </w:trPr>
        <w:tc>
          <w:tcPr>
            <w:tcW w:w="2102" w:type="dxa"/>
          </w:tcPr>
          <w:p w14:paraId="7AEFA689" w14:textId="17FE9CF7" w:rsidR="00584F0A" w:rsidRPr="00F97685" w:rsidRDefault="00584F0A" w:rsidP="00584F0A">
            <w:pPr>
              <w:jc w:val="center"/>
              <w:rPr>
                <w:rFonts w:cs="Arial"/>
                <w:color w:val="000000"/>
                <w:lang w:eastAsia="ja-JP"/>
              </w:rPr>
            </w:pPr>
            <w:r w:rsidRPr="00D05189">
              <w:rPr>
                <w:rFonts w:cs="Arial"/>
                <w:color w:val="000000"/>
                <w:sz w:val="20"/>
                <w:szCs w:val="20"/>
                <w:lang w:eastAsia="ja-JP"/>
              </w:rPr>
              <w:t>Rum</w:t>
            </w:r>
            <w:r>
              <w:rPr>
                <w:rFonts w:cs="Arial"/>
                <w:color w:val="000000"/>
                <w:lang w:eastAsia="ja-JP"/>
              </w:rPr>
              <w:t>änien</w:t>
            </w:r>
          </w:p>
        </w:tc>
        <w:tc>
          <w:tcPr>
            <w:tcW w:w="2718" w:type="dxa"/>
          </w:tcPr>
          <w:p w14:paraId="56D4CF74" w14:textId="1DD871D2" w:rsidR="00584F0A" w:rsidRDefault="00584F0A" w:rsidP="00584F0A">
            <w:pPr>
              <w:jc w:val="center"/>
              <w:rPr>
                <w:rFonts w:cs="Arial"/>
                <w:bCs/>
                <w:color w:val="000000"/>
                <w:lang w:eastAsia="ja-JP"/>
              </w:rPr>
            </w:pPr>
            <w:r>
              <w:rPr>
                <w:rFonts w:cs="Arial"/>
                <w:bCs/>
                <w:color w:val="000000"/>
                <w:sz w:val="20"/>
                <w:szCs w:val="20"/>
                <w:lang w:eastAsia="ja-JP"/>
              </w:rPr>
              <w:t>NEIN</w:t>
            </w:r>
          </w:p>
        </w:tc>
      </w:tr>
      <w:tr w:rsidR="00584F0A" w:rsidRPr="00D05189" w14:paraId="70FB8B90" w14:textId="77777777" w:rsidTr="00C625EE">
        <w:trPr>
          <w:trHeight w:val="276"/>
        </w:trPr>
        <w:tc>
          <w:tcPr>
            <w:tcW w:w="2102" w:type="dxa"/>
          </w:tcPr>
          <w:p w14:paraId="0489905C" w14:textId="139340B6"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Russi</w:t>
            </w:r>
            <w:r>
              <w:rPr>
                <w:rFonts w:cs="Arial"/>
                <w:color w:val="000000"/>
                <w:sz w:val="20"/>
                <w:szCs w:val="20"/>
                <w:lang w:eastAsia="ja-JP"/>
              </w:rPr>
              <w:t>sche</w:t>
            </w:r>
            <w:r w:rsidRPr="00D05189">
              <w:rPr>
                <w:rFonts w:cs="Arial"/>
                <w:color w:val="000000"/>
                <w:sz w:val="20"/>
                <w:szCs w:val="20"/>
                <w:lang w:eastAsia="ja-JP"/>
              </w:rPr>
              <w:t xml:space="preserve"> F</w:t>
            </w:r>
            <w:r>
              <w:rPr>
                <w:rFonts w:cs="Arial"/>
                <w:color w:val="000000"/>
                <w:sz w:val="20"/>
                <w:szCs w:val="20"/>
                <w:lang w:eastAsia="ja-JP"/>
              </w:rPr>
              <w:t>ö</w:t>
            </w:r>
            <w:r w:rsidRPr="00D05189">
              <w:rPr>
                <w:rFonts w:cs="Arial"/>
                <w:color w:val="000000"/>
                <w:sz w:val="20"/>
                <w:szCs w:val="20"/>
                <w:lang w:eastAsia="ja-JP"/>
              </w:rPr>
              <w:t>deration</w:t>
            </w:r>
          </w:p>
        </w:tc>
        <w:tc>
          <w:tcPr>
            <w:tcW w:w="2718" w:type="dxa"/>
          </w:tcPr>
          <w:p w14:paraId="2C73C93A" w14:textId="13263B2B"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5D45E777" w14:textId="77777777" w:rsidTr="00C625EE">
        <w:trPr>
          <w:trHeight w:val="276"/>
        </w:trPr>
        <w:tc>
          <w:tcPr>
            <w:tcW w:w="2102" w:type="dxa"/>
          </w:tcPr>
          <w:p w14:paraId="7D25F6D0" w14:textId="16B58073" w:rsidR="00584F0A" w:rsidRPr="00D05189" w:rsidRDefault="00584F0A" w:rsidP="00584F0A">
            <w:pPr>
              <w:jc w:val="center"/>
              <w:rPr>
                <w:rFonts w:cs="Arial"/>
                <w:color w:val="000000"/>
                <w:sz w:val="20"/>
                <w:szCs w:val="20"/>
                <w:lang w:eastAsia="ja-JP"/>
              </w:rPr>
            </w:pPr>
            <w:r w:rsidRPr="003D029A">
              <w:rPr>
                <w:rFonts w:cs="Arial"/>
                <w:color w:val="000000"/>
                <w:sz w:val="20"/>
                <w:szCs w:val="20"/>
                <w:lang w:eastAsia="ja-JP"/>
              </w:rPr>
              <w:t>Simbabwe</w:t>
            </w:r>
          </w:p>
        </w:tc>
        <w:tc>
          <w:tcPr>
            <w:tcW w:w="2718" w:type="dxa"/>
          </w:tcPr>
          <w:p w14:paraId="347A9228" w14:textId="4C0D7732"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NEIN</w:t>
            </w:r>
          </w:p>
        </w:tc>
      </w:tr>
      <w:tr w:rsidR="00584F0A" w:rsidRPr="00D05189" w14:paraId="29F72D3F" w14:textId="77777777" w:rsidTr="00C625EE">
        <w:trPr>
          <w:trHeight w:val="276"/>
        </w:trPr>
        <w:tc>
          <w:tcPr>
            <w:tcW w:w="2102" w:type="dxa"/>
          </w:tcPr>
          <w:p w14:paraId="5DCD9F63" w14:textId="3BA29494" w:rsidR="00584F0A" w:rsidRPr="00D05189" w:rsidRDefault="00584F0A" w:rsidP="00584F0A">
            <w:pPr>
              <w:jc w:val="center"/>
              <w:rPr>
                <w:rFonts w:cs="Arial"/>
                <w:color w:val="000000"/>
                <w:sz w:val="20"/>
                <w:szCs w:val="20"/>
                <w:lang w:eastAsia="ja-JP"/>
              </w:rPr>
            </w:pPr>
            <w:r w:rsidRPr="00AB5A14">
              <w:rPr>
                <w:rFonts w:cs="Arial"/>
                <w:color w:val="000000"/>
                <w:sz w:val="20"/>
                <w:szCs w:val="20"/>
                <w:lang w:eastAsia="ja-JP"/>
              </w:rPr>
              <w:t>Slowak</w:t>
            </w:r>
            <w:r w:rsidRPr="00AB5A14">
              <w:rPr>
                <w:rFonts w:cs="Arial"/>
                <w:color w:val="000000"/>
                <w:lang w:eastAsia="ja-JP"/>
              </w:rPr>
              <w:t>ei</w:t>
            </w:r>
          </w:p>
        </w:tc>
        <w:tc>
          <w:tcPr>
            <w:tcW w:w="2718" w:type="dxa"/>
          </w:tcPr>
          <w:p w14:paraId="34688D08" w14:textId="672ABC51"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10715E07" w14:textId="77777777" w:rsidTr="00741D7D">
        <w:trPr>
          <w:trHeight w:val="276"/>
        </w:trPr>
        <w:tc>
          <w:tcPr>
            <w:tcW w:w="2102" w:type="dxa"/>
          </w:tcPr>
          <w:p w14:paraId="0A8F8C5A" w14:textId="49822A75"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Spa</w:t>
            </w:r>
            <w:r>
              <w:rPr>
                <w:rFonts w:cs="Arial"/>
                <w:color w:val="000000"/>
                <w:sz w:val="20"/>
                <w:szCs w:val="20"/>
                <w:lang w:eastAsia="ja-JP"/>
              </w:rPr>
              <w:t>nien</w:t>
            </w:r>
          </w:p>
        </w:tc>
        <w:tc>
          <w:tcPr>
            <w:tcW w:w="2718" w:type="dxa"/>
          </w:tcPr>
          <w:p w14:paraId="40081098" w14:textId="21A3B222"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665D9563" w14:textId="77777777" w:rsidTr="003D029A">
        <w:trPr>
          <w:trHeight w:val="276"/>
        </w:trPr>
        <w:tc>
          <w:tcPr>
            <w:tcW w:w="2102" w:type="dxa"/>
          </w:tcPr>
          <w:p w14:paraId="6830FEF8" w14:textId="1FF57DD9" w:rsidR="00584F0A" w:rsidRPr="00D05189" w:rsidRDefault="00584F0A" w:rsidP="00584F0A">
            <w:pPr>
              <w:jc w:val="center"/>
              <w:rPr>
                <w:rFonts w:cs="Arial"/>
                <w:color w:val="000000"/>
                <w:sz w:val="20"/>
                <w:szCs w:val="20"/>
                <w:lang w:eastAsia="ja-JP"/>
              </w:rPr>
            </w:pPr>
            <w:r w:rsidRPr="004A5A2B">
              <w:rPr>
                <w:rFonts w:cs="Arial"/>
                <w:color w:val="000000"/>
                <w:sz w:val="20"/>
                <w:szCs w:val="20"/>
                <w:lang w:eastAsia="ja-JP"/>
              </w:rPr>
              <w:lastRenderedPageBreak/>
              <w:t>Tschechische Republik</w:t>
            </w:r>
          </w:p>
        </w:tc>
        <w:tc>
          <w:tcPr>
            <w:tcW w:w="2718" w:type="dxa"/>
          </w:tcPr>
          <w:p w14:paraId="3AB2546C" w14:textId="27E9A9DA"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04F79B7B" w14:textId="77777777" w:rsidTr="003D029A">
        <w:trPr>
          <w:trHeight w:val="276"/>
        </w:trPr>
        <w:tc>
          <w:tcPr>
            <w:tcW w:w="2102" w:type="dxa"/>
          </w:tcPr>
          <w:p w14:paraId="2F38F538" w14:textId="4A25D6A1" w:rsidR="00584F0A" w:rsidRPr="00D05189" w:rsidRDefault="00584F0A" w:rsidP="00584F0A">
            <w:pPr>
              <w:jc w:val="center"/>
              <w:rPr>
                <w:rFonts w:cs="Arial"/>
                <w:color w:val="000000"/>
                <w:sz w:val="20"/>
                <w:szCs w:val="20"/>
                <w:lang w:eastAsia="ja-JP"/>
              </w:rPr>
            </w:pPr>
            <w:r w:rsidRPr="00D05189">
              <w:rPr>
                <w:rFonts w:cs="Arial"/>
                <w:color w:val="000000"/>
                <w:sz w:val="20"/>
                <w:szCs w:val="20"/>
                <w:lang w:eastAsia="ja-JP"/>
              </w:rPr>
              <w:t>Ukraine</w:t>
            </w:r>
          </w:p>
        </w:tc>
        <w:tc>
          <w:tcPr>
            <w:tcW w:w="2718" w:type="dxa"/>
          </w:tcPr>
          <w:p w14:paraId="372441A8" w14:textId="28A7AE70" w:rsidR="00584F0A" w:rsidRPr="00D05189" w:rsidRDefault="00584F0A" w:rsidP="00584F0A">
            <w:pPr>
              <w:jc w:val="center"/>
              <w:rPr>
                <w:rFonts w:cs="Arial"/>
                <w:bCs/>
                <w:color w:val="000000"/>
                <w:sz w:val="20"/>
                <w:szCs w:val="20"/>
                <w:lang w:eastAsia="ja-JP"/>
              </w:rPr>
            </w:pPr>
            <w:r>
              <w:rPr>
                <w:rFonts w:cs="Arial"/>
                <w:bCs/>
                <w:color w:val="000000"/>
                <w:sz w:val="20"/>
                <w:szCs w:val="20"/>
                <w:lang w:eastAsia="ja-JP"/>
              </w:rPr>
              <w:t>JA</w:t>
            </w:r>
          </w:p>
        </w:tc>
      </w:tr>
      <w:tr w:rsidR="00584F0A" w:rsidRPr="00D05189" w14:paraId="7A73903E" w14:textId="77777777" w:rsidTr="003D029A">
        <w:trPr>
          <w:trHeight w:val="276"/>
        </w:trPr>
        <w:tc>
          <w:tcPr>
            <w:tcW w:w="2102" w:type="dxa"/>
          </w:tcPr>
          <w:p w14:paraId="2A14822B" w14:textId="43DBD142" w:rsidR="00584F0A" w:rsidRPr="00D05189" w:rsidRDefault="00584F0A" w:rsidP="005C6C4F">
            <w:pPr>
              <w:jc w:val="center"/>
              <w:rPr>
                <w:rFonts w:cs="Arial"/>
                <w:color w:val="000000"/>
                <w:sz w:val="20"/>
                <w:szCs w:val="20"/>
                <w:lang w:eastAsia="ja-JP"/>
              </w:rPr>
            </w:pPr>
            <w:r w:rsidRPr="003D029A">
              <w:rPr>
                <w:rFonts w:cs="Arial"/>
                <w:color w:val="000000"/>
                <w:sz w:val="20"/>
                <w:szCs w:val="20"/>
                <w:lang w:eastAsia="ja-JP"/>
              </w:rPr>
              <w:t>Ungarn</w:t>
            </w:r>
          </w:p>
        </w:tc>
        <w:tc>
          <w:tcPr>
            <w:tcW w:w="2718" w:type="dxa"/>
          </w:tcPr>
          <w:p w14:paraId="6FD28635" w14:textId="62F7B142" w:rsidR="00584F0A" w:rsidRPr="00D05189" w:rsidRDefault="00584F0A" w:rsidP="005C6C4F">
            <w:pPr>
              <w:jc w:val="center"/>
              <w:rPr>
                <w:rFonts w:cs="Arial"/>
                <w:bCs/>
                <w:color w:val="000000"/>
                <w:sz w:val="20"/>
                <w:szCs w:val="20"/>
                <w:lang w:eastAsia="ja-JP"/>
              </w:rPr>
            </w:pPr>
            <w:r>
              <w:rPr>
                <w:rFonts w:cs="Arial"/>
                <w:bCs/>
                <w:color w:val="000000"/>
                <w:sz w:val="20"/>
                <w:szCs w:val="20"/>
                <w:lang w:eastAsia="ja-JP"/>
              </w:rPr>
              <w:t>JA</w:t>
            </w:r>
          </w:p>
        </w:tc>
      </w:tr>
      <w:tr w:rsidR="00673FD4" w:rsidRPr="00D05189" w14:paraId="2435FA89" w14:textId="77777777" w:rsidTr="00531DCD">
        <w:trPr>
          <w:trHeight w:val="276"/>
        </w:trPr>
        <w:tc>
          <w:tcPr>
            <w:tcW w:w="2102" w:type="dxa"/>
          </w:tcPr>
          <w:p w14:paraId="4C4EE54F" w14:textId="53325B51" w:rsidR="00673FD4" w:rsidRDefault="00673FD4" w:rsidP="00673FD4">
            <w:pPr>
              <w:jc w:val="center"/>
              <w:rPr>
                <w:rFonts w:cs="Arial"/>
                <w:color w:val="000000"/>
                <w:lang w:eastAsia="ja-JP"/>
              </w:rPr>
            </w:pPr>
            <w:r>
              <w:rPr>
                <w:rFonts w:cs="Arial"/>
                <w:color w:val="000000"/>
                <w:sz w:val="20"/>
                <w:szCs w:val="20"/>
                <w:lang w:eastAsia="ja-JP"/>
              </w:rPr>
              <w:t>Vereinigte Staaten von Amerika</w:t>
            </w:r>
          </w:p>
        </w:tc>
        <w:tc>
          <w:tcPr>
            <w:tcW w:w="2718" w:type="dxa"/>
          </w:tcPr>
          <w:p w14:paraId="09BFF566" w14:textId="4DE60A2B" w:rsidR="00673FD4" w:rsidRDefault="00673FD4" w:rsidP="00673FD4">
            <w:pPr>
              <w:jc w:val="center"/>
              <w:rPr>
                <w:rFonts w:cs="Arial"/>
                <w:bCs/>
                <w:color w:val="000000"/>
                <w:lang w:eastAsia="ja-JP"/>
              </w:rPr>
            </w:pPr>
            <w:r>
              <w:rPr>
                <w:rFonts w:cs="Arial"/>
                <w:bCs/>
                <w:color w:val="000000"/>
                <w:sz w:val="20"/>
                <w:szCs w:val="20"/>
                <w:lang w:eastAsia="ja-JP"/>
              </w:rPr>
              <w:t>NEIN</w:t>
            </w:r>
          </w:p>
        </w:tc>
      </w:tr>
      <w:tr w:rsidR="00C327B6" w:rsidRPr="00D05189" w14:paraId="13A222B0" w14:textId="77777777" w:rsidTr="00531DCD">
        <w:trPr>
          <w:trHeight w:val="276"/>
        </w:trPr>
        <w:tc>
          <w:tcPr>
            <w:tcW w:w="2102" w:type="dxa"/>
            <w:hideMark/>
          </w:tcPr>
          <w:p w14:paraId="6BBD3233" w14:textId="06D654AD" w:rsidR="00C327B6" w:rsidRPr="00D05189" w:rsidRDefault="0054764B" w:rsidP="00531DCD">
            <w:pPr>
              <w:jc w:val="center"/>
              <w:rPr>
                <w:rFonts w:cs="Arial"/>
                <w:color w:val="000000"/>
                <w:sz w:val="20"/>
                <w:szCs w:val="20"/>
                <w:lang w:eastAsia="ja-JP"/>
              </w:rPr>
            </w:pPr>
            <w:r>
              <w:rPr>
                <w:rFonts w:cs="Arial"/>
                <w:color w:val="000000"/>
                <w:sz w:val="20"/>
                <w:szCs w:val="20"/>
                <w:lang w:eastAsia="ja-JP"/>
              </w:rPr>
              <w:t>Vereintes Königreich</w:t>
            </w:r>
          </w:p>
        </w:tc>
        <w:tc>
          <w:tcPr>
            <w:tcW w:w="2718" w:type="dxa"/>
            <w:hideMark/>
          </w:tcPr>
          <w:p w14:paraId="543BC284" w14:textId="12904726"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JA</w:t>
            </w:r>
          </w:p>
        </w:tc>
      </w:tr>
      <w:tr w:rsidR="00C327B6" w:rsidRPr="00D05189" w14:paraId="2B5DC1E8" w14:textId="77777777" w:rsidTr="00531DCD">
        <w:trPr>
          <w:trHeight w:val="276"/>
        </w:trPr>
        <w:tc>
          <w:tcPr>
            <w:tcW w:w="2102" w:type="dxa"/>
            <w:tcBorders>
              <w:top w:val="single" w:sz="8" w:space="0" w:color="auto"/>
            </w:tcBorders>
            <w:hideMark/>
          </w:tcPr>
          <w:p w14:paraId="4D38A8E0" w14:textId="3F9EC77D"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JA</w:t>
            </w:r>
          </w:p>
        </w:tc>
        <w:tc>
          <w:tcPr>
            <w:tcW w:w="2718" w:type="dxa"/>
            <w:tcBorders>
              <w:top w:val="single" w:sz="8" w:space="0" w:color="auto"/>
            </w:tcBorders>
            <w:noWrap/>
            <w:hideMark/>
          </w:tcPr>
          <w:p w14:paraId="11B36CB3" w14:textId="77777777"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20</w:t>
            </w:r>
          </w:p>
        </w:tc>
      </w:tr>
      <w:tr w:rsidR="00C327B6" w:rsidRPr="00D05189" w14:paraId="30E74E80" w14:textId="77777777" w:rsidTr="00531DCD">
        <w:trPr>
          <w:trHeight w:val="276"/>
        </w:trPr>
        <w:tc>
          <w:tcPr>
            <w:tcW w:w="2102" w:type="dxa"/>
            <w:tcBorders>
              <w:bottom w:val="single" w:sz="8" w:space="0" w:color="auto"/>
            </w:tcBorders>
            <w:hideMark/>
          </w:tcPr>
          <w:p w14:paraId="46E4A192" w14:textId="09EFA905"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NEIN</w:t>
            </w:r>
          </w:p>
        </w:tc>
        <w:tc>
          <w:tcPr>
            <w:tcW w:w="2718" w:type="dxa"/>
            <w:tcBorders>
              <w:bottom w:val="single" w:sz="8" w:space="0" w:color="auto"/>
            </w:tcBorders>
            <w:noWrap/>
            <w:hideMark/>
          </w:tcPr>
          <w:p w14:paraId="4C173209" w14:textId="77777777"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18</w:t>
            </w:r>
          </w:p>
        </w:tc>
      </w:tr>
      <w:tr w:rsidR="00C327B6" w:rsidRPr="00D05189" w14:paraId="1662D59C" w14:textId="77777777" w:rsidTr="00531DCD">
        <w:trPr>
          <w:trHeight w:val="288"/>
        </w:trPr>
        <w:tc>
          <w:tcPr>
            <w:tcW w:w="2102" w:type="dxa"/>
            <w:tcBorders>
              <w:top w:val="single" w:sz="8" w:space="0" w:color="auto"/>
            </w:tcBorders>
            <w:hideMark/>
          </w:tcPr>
          <w:p w14:paraId="34BB4610" w14:textId="0A500128" w:rsidR="00C327B6" w:rsidRPr="00D05189" w:rsidRDefault="0054764B" w:rsidP="00531DCD">
            <w:pPr>
              <w:jc w:val="center"/>
              <w:rPr>
                <w:rFonts w:cs="Arial"/>
                <w:bCs/>
                <w:color w:val="000000"/>
                <w:sz w:val="20"/>
                <w:szCs w:val="20"/>
                <w:lang w:eastAsia="ja-JP"/>
              </w:rPr>
            </w:pPr>
            <w:r>
              <w:rPr>
                <w:rFonts w:cs="Arial"/>
                <w:bCs/>
                <w:color w:val="000000"/>
                <w:sz w:val="20"/>
                <w:szCs w:val="20"/>
                <w:lang w:eastAsia="ja-JP"/>
              </w:rPr>
              <w:t>INSGESAMT</w:t>
            </w:r>
          </w:p>
        </w:tc>
        <w:tc>
          <w:tcPr>
            <w:tcW w:w="2718" w:type="dxa"/>
            <w:tcBorders>
              <w:top w:val="single" w:sz="8" w:space="0" w:color="auto"/>
            </w:tcBorders>
            <w:noWrap/>
            <w:hideMark/>
          </w:tcPr>
          <w:p w14:paraId="0F7BAB2F" w14:textId="77777777"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38</w:t>
            </w:r>
          </w:p>
        </w:tc>
      </w:tr>
    </w:tbl>
    <w:p w14:paraId="68A9899A" w14:textId="77777777" w:rsidR="00C327B6" w:rsidRDefault="00C327B6" w:rsidP="00C327B6">
      <w:pPr>
        <w:sectPr w:rsidR="00C327B6" w:rsidSect="00531DCD">
          <w:headerReference w:type="default" r:id="rId15"/>
          <w:footerReference w:type="default" r:id="rId16"/>
          <w:type w:val="continuous"/>
          <w:pgSz w:w="11907" w:h="16840" w:code="9"/>
          <w:pgMar w:top="510" w:right="1134" w:bottom="1134" w:left="1134" w:header="510" w:footer="680" w:gutter="0"/>
          <w:pgNumType w:start="1"/>
          <w:cols w:num="2" w:space="720"/>
          <w:titlePg/>
        </w:sectPr>
      </w:pPr>
    </w:p>
    <w:p w14:paraId="599E6F5D" w14:textId="77777777" w:rsidR="00460D85" w:rsidRDefault="00460D85" w:rsidP="005212B4">
      <w:pPr>
        <w:spacing w:line="360" w:lineRule="auto"/>
      </w:pPr>
    </w:p>
    <w:p w14:paraId="5CCF81DC" w14:textId="543A3F62" w:rsidR="006856D1" w:rsidRPr="00D50577" w:rsidRDefault="00C327B6" w:rsidP="00C327B6">
      <w:pPr>
        <w:rPr>
          <w:lang w:val="de-DE"/>
        </w:rPr>
      </w:pPr>
      <w:r>
        <w:fldChar w:fldCharType="begin"/>
      </w:r>
      <w:r w:rsidRPr="00D50577">
        <w:rPr>
          <w:lang w:val="de-DE"/>
        </w:rPr>
        <w:instrText xml:space="preserve"> AUTONUM  </w:instrText>
      </w:r>
      <w:r>
        <w:fldChar w:fldCharType="end"/>
      </w:r>
      <w:r w:rsidRPr="00D50577">
        <w:rPr>
          <w:lang w:val="de-DE"/>
        </w:rPr>
        <w:tab/>
      </w:r>
      <w:r w:rsidR="00D50577" w:rsidRPr="00D50577">
        <w:rPr>
          <w:lang w:val="de-DE"/>
        </w:rPr>
        <w:t>Die detaillierten Ergebnisse der Umfrage sind in An</w:t>
      </w:r>
      <w:r w:rsidR="00D50577">
        <w:rPr>
          <w:lang w:val="de-DE"/>
        </w:rPr>
        <w:t>lage</w:t>
      </w:r>
      <w:r w:rsidR="00D50577" w:rsidRPr="00D50577">
        <w:rPr>
          <w:lang w:val="de-DE"/>
        </w:rPr>
        <w:t xml:space="preserve"> I dieses Dokuments aufgeführt.</w:t>
      </w:r>
    </w:p>
    <w:p w14:paraId="1FB5BCB3" w14:textId="77777777" w:rsidR="00C327B6" w:rsidRPr="00D50577" w:rsidRDefault="00C327B6" w:rsidP="00C327B6">
      <w:pPr>
        <w:rPr>
          <w:lang w:val="de-DE"/>
        </w:rPr>
      </w:pPr>
    </w:p>
    <w:p w14:paraId="5947F09A" w14:textId="77777777" w:rsidR="00CA3726" w:rsidRPr="009C40FE" w:rsidRDefault="00CA3726" w:rsidP="00E97EA0">
      <w:pPr>
        <w:pStyle w:val="Heading2"/>
        <w:rPr>
          <w:rFonts w:eastAsiaTheme="minorEastAsia"/>
          <w:noProof/>
        </w:rPr>
      </w:pPr>
      <w:bookmarkStart w:id="26" w:name="_Toc85924905"/>
      <w:bookmarkStart w:id="27" w:name="_Toc117464327"/>
      <w:bookmarkStart w:id="28" w:name="_Toc22569703"/>
      <w:bookmarkEnd w:id="21"/>
      <w:bookmarkEnd w:id="22"/>
      <w:bookmarkEnd w:id="23"/>
      <w:bookmarkEnd w:id="24"/>
      <w:bookmarkEnd w:id="25"/>
      <w:r w:rsidRPr="009C40FE">
        <w:rPr>
          <w:rFonts w:eastAsiaTheme="minorEastAsia"/>
          <w:noProof/>
        </w:rPr>
        <w:t>Gemeinsames Dokument zur Erläuterung der wesentlichen Besonderheiten der Systeme von OECD, UPOV und ISTA</w:t>
      </w:r>
      <w:bookmarkEnd w:id="26"/>
      <w:bookmarkEnd w:id="27"/>
    </w:p>
    <w:p w14:paraId="2F26AAA5" w14:textId="77777777" w:rsidR="00C327B6" w:rsidRPr="00CA3726" w:rsidRDefault="00C327B6" w:rsidP="00C327B6">
      <w:pPr>
        <w:rPr>
          <w:lang w:val="de-DE"/>
        </w:rPr>
      </w:pPr>
    </w:p>
    <w:p w14:paraId="6FB4EB87" w14:textId="2AAF7493" w:rsidR="00041FEB" w:rsidRDefault="00C327B6" w:rsidP="00C327B6">
      <w:pPr>
        <w:keepNext/>
        <w:keepLines/>
        <w:rPr>
          <w:lang w:val="de-DE"/>
        </w:rPr>
      </w:pPr>
      <w:r>
        <w:fldChar w:fldCharType="begin"/>
      </w:r>
      <w:r w:rsidRPr="00E92AA0">
        <w:rPr>
          <w:lang w:val="de-DE"/>
        </w:rPr>
        <w:instrText xml:space="preserve"> AUTONUM  </w:instrText>
      </w:r>
      <w:r>
        <w:fldChar w:fldCharType="end"/>
      </w:r>
      <w:r w:rsidRPr="00E92AA0">
        <w:rPr>
          <w:lang w:val="de-DE"/>
        </w:rPr>
        <w:tab/>
      </w:r>
      <w:r w:rsidR="00E92AA0" w:rsidRPr="00E92AA0">
        <w:rPr>
          <w:lang w:val="de-DE"/>
        </w:rPr>
        <w:t xml:space="preserve">Der TC nahm auf seiner siebenundfünfzigsten Tagung zur Kenntnis, </w:t>
      </w:r>
      <w:r w:rsidR="006160CD" w:rsidRPr="00E92AA0">
        <w:rPr>
          <w:lang w:val="de-DE"/>
        </w:rPr>
        <w:t>dass</w:t>
      </w:r>
      <w:r w:rsidR="00E92AA0" w:rsidRPr="00E92AA0">
        <w:rPr>
          <w:lang w:val="de-DE"/>
        </w:rPr>
        <w:t xml:space="preserve"> er auf dem Schriftweg den Entwurf eines gemeinsamen Dokuments gebilligt habe, in dem die wesentlichen Besonderheiten der Systeme von OECD, UPOV und ISTA erläutert werden</w:t>
      </w:r>
      <w:r w:rsidR="00E92AA0">
        <w:rPr>
          <w:lang w:val="de-DE"/>
        </w:rPr>
        <w:t>.</w:t>
      </w:r>
      <w:r w:rsidR="00D82EE9">
        <w:rPr>
          <w:lang w:val="de-DE"/>
        </w:rPr>
        <w:t xml:space="preserve"> </w:t>
      </w:r>
      <w:r w:rsidR="00AA47EC" w:rsidRPr="00AA47EC">
        <w:rPr>
          <w:lang w:val="de-DE"/>
        </w:rPr>
        <w:t>Der TC ersuchte das Verbandsbüro, die OECD und ISTA entsprechend zu unterrichten (</w:t>
      </w:r>
      <w:r w:rsidR="002E394E">
        <w:rPr>
          <w:lang w:val="de-DE"/>
        </w:rPr>
        <w:t>vergleiche</w:t>
      </w:r>
      <w:r w:rsidR="00AA47EC" w:rsidRPr="00AA47EC">
        <w:rPr>
          <w:lang w:val="de-DE"/>
        </w:rPr>
        <w:t xml:space="preserve"> </w:t>
      </w:r>
      <w:r w:rsidR="00AA47EC" w:rsidRPr="00710A3C">
        <w:rPr>
          <w:lang w:val="de-DE"/>
        </w:rPr>
        <w:t xml:space="preserve">Dokument TC/57/25 </w:t>
      </w:r>
      <w:r w:rsidR="005B6B15" w:rsidRPr="00710A3C">
        <w:rPr>
          <w:lang w:val="de-DE"/>
        </w:rPr>
        <w:t>„</w:t>
      </w:r>
      <w:r w:rsidR="00AA47EC" w:rsidRPr="00710A3C">
        <w:rPr>
          <w:lang w:val="de-DE"/>
        </w:rPr>
        <w:t>Bericht</w:t>
      </w:r>
      <w:r w:rsidR="00EC3E38" w:rsidRPr="00710A3C">
        <w:rPr>
          <w:lang w:val="de-DE"/>
        </w:rPr>
        <w:t>“</w:t>
      </w:r>
      <w:r w:rsidR="00AA47EC" w:rsidRPr="00710A3C">
        <w:rPr>
          <w:lang w:val="de-DE"/>
        </w:rPr>
        <w:t>,</w:t>
      </w:r>
      <w:r w:rsidR="00AA47EC" w:rsidRPr="00AA47EC">
        <w:rPr>
          <w:lang w:val="de-DE"/>
        </w:rPr>
        <w:t xml:space="preserve"> Absatz 52). Die </w:t>
      </w:r>
      <w:r w:rsidR="003D6376">
        <w:rPr>
          <w:lang w:val="de-DE"/>
        </w:rPr>
        <w:t>Elemente für einen</w:t>
      </w:r>
      <w:r w:rsidR="00AA47EC" w:rsidRPr="00AA47EC">
        <w:rPr>
          <w:lang w:val="de-DE"/>
        </w:rPr>
        <w:t xml:space="preserve"> Entwurfs eines gemeinsamen Dokuments sind in Anlage II dieses Dokuments</w:t>
      </w:r>
      <w:r w:rsidR="005B6B15">
        <w:rPr>
          <w:lang w:val="de-DE"/>
        </w:rPr>
        <w:t xml:space="preserve"> dargelegt</w:t>
      </w:r>
      <w:r w:rsidR="00AA47EC" w:rsidRPr="00AA47EC">
        <w:rPr>
          <w:lang w:val="de-DE"/>
        </w:rPr>
        <w:t>.</w:t>
      </w:r>
    </w:p>
    <w:p w14:paraId="1989C66B" w14:textId="77777777" w:rsidR="00AA47EC" w:rsidRPr="00AA47EC" w:rsidRDefault="00AA47EC" w:rsidP="00C327B6">
      <w:pPr>
        <w:keepNext/>
        <w:keepLines/>
        <w:rPr>
          <w:lang w:val="de-DE"/>
        </w:rPr>
      </w:pPr>
    </w:p>
    <w:p w14:paraId="0ABC9035" w14:textId="1D396BA1" w:rsidR="00C327B6" w:rsidRPr="003B490A" w:rsidRDefault="00C327B6" w:rsidP="00C327B6">
      <w:pPr>
        <w:rPr>
          <w:lang w:val="de-DE"/>
        </w:rPr>
      </w:pPr>
      <w:r>
        <w:fldChar w:fldCharType="begin"/>
      </w:r>
      <w:r w:rsidRPr="005571B2">
        <w:rPr>
          <w:lang w:val="de-DE"/>
        </w:rPr>
        <w:instrText xml:space="preserve"> AUTONUM  </w:instrText>
      </w:r>
      <w:r>
        <w:fldChar w:fldCharType="end"/>
      </w:r>
      <w:r w:rsidRPr="005571B2">
        <w:rPr>
          <w:lang w:val="de-DE"/>
        </w:rPr>
        <w:tab/>
      </w:r>
      <w:r w:rsidR="007B0F6A" w:rsidRPr="007B0F6A">
        <w:rPr>
          <w:lang w:val="de-DE"/>
        </w:rPr>
        <w:t xml:space="preserve">Am 13. Dezember 2021 übermittelte das Verbandsbüro den Entwurf des gemeinsamen Dokuments an </w:t>
      </w:r>
      <w:r w:rsidR="00B37874">
        <w:rPr>
          <w:lang w:val="de-DE"/>
        </w:rPr>
        <w:t xml:space="preserve">die </w:t>
      </w:r>
      <w:r w:rsidR="007B0F6A" w:rsidRPr="007B0F6A">
        <w:rPr>
          <w:lang w:val="de-DE"/>
        </w:rPr>
        <w:t xml:space="preserve">OECD und </w:t>
      </w:r>
      <w:r w:rsidR="00B37874">
        <w:rPr>
          <w:lang w:val="de-DE"/>
        </w:rPr>
        <w:t xml:space="preserve">die </w:t>
      </w:r>
      <w:r w:rsidR="007B0F6A" w:rsidRPr="007B0F6A">
        <w:rPr>
          <w:lang w:val="de-DE"/>
        </w:rPr>
        <w:t xml:space="preserve">ISTA. Die Antworten </w:t>
      </w:r>
      <w:r w:rsidR="008573C4">
        <w:rPr>
          <w:lang w:val="de-DE"/>
        </w:rPr>
        <w:t xml:space="preserve">der </w:t>
      </w:r>
      <w:r w:rsidR="007B0F6A" w:rsidRPr="007B0F6A">
        <w:rPr>
          <w:lang w:val="de-DE"/>
        </w:rPr>
        <w:t xml:space="preserve">OECD und </w:t>
      </w:r>
      <w:r w:rsidR="008573C4">
        <w:rPr>
          <w:lang w:val="de-DE"/>
        </w:rPr>
        <w:t xml:space="preserve">der </w:t>
      </w:r>
      <w:r w:rsidR="007B0F6A" w:rsidRPr="007B0F6A">
        <w:rPr>
          <w:lang w:val="de-DE"/>
        </w:rPr>
        <w:t xml:space="preserve">ISTA werden, sobald sie vorliegen, dem TC und dem CAJ </w:t>
      </w:r>
      <w:r w:rsidR="00087639">
        <w:rPr>
          <w:lang w:val="de-DE"/>
        </w:rPr>
        <w:t>übermittelt</w:t>
      </w:r>
      <w:r w:rsidR="007B0F6A" w:rsidRPr="007B0F6A">
        <w:rPr>
          <w:lang w:val="de-DE"/>
        </w:rPr>
        <w:t>.</w:t>
      </w:r>
    </w:p>
    <w:bookmarkEnd w:id="28"/>
    <w:p w14:paraId="7EF505F6" w14:textId="77777777" w:rsidR="00C327B6" w:rsidRPr="003B490A" w:rsidRDefault="00C327B6" w:rsidP="00C327B6">
      <w:pPr>
        <w:rPr>
          <w:rFonts w:eastAsiaTheme="minorEastAsia"/>
          <w:lang w:val="de-DE"/>
        </w:rPr>
      </w:pPr>
    </w:p>
    <w:p w14:paraId="2E9EE58D" w14:textId="21DE3BD7" w:rsidR="00C327B6" w:rsidRDefault="00C327B6" w:rsidP="00E97EA0">
      <w:pPr>
        <w:pStyle w:val="Heading2"/>
        <w:rPr>
          <w:rFonts w:eastAsiaTheme="minorEastAsia"/>
          <w:noProof/>
        </w:rPr>
      </w:pPr>
      <w:bookmarkStart w:id="29" w:name="_Toc14980929"/>
      <w:bookmarkStart w:id="30" w:name="_Toc15059500"/>
      <w:bookmarkStart w:id="31" w:name="_Toc15295345"/>
      <w:bookmarkStart w:id="32" w:name="_Toc22564624"/>
      <w:bookmarkStart w:id="33" w:name="_Toc27663378"/>
      <w:bookmarkStart w:id="34" w:name="_Toc69722878"/>
      <w:bookmarkStart w:id="35" w:name="_Toc84364038"/>
      <w:bookmarkStart w:id="36" w:name="_Toc84415953"/>
      <w:bookmarkStart w:id="37" w:name="_Toc97892770"/>
      <w:bookmarkStart w:id="38" w:name="_Toc117464328"/>
      <w:r w:rsidRPr="000844F7">
        <w:t>L</w:t>
      </w:r>
      <w:r w:rsidR="003B490A">
        <w:t>i</w:t>
      </w:r>
      <w:r w:rsidRPr="000844F7">
        <w:t>st</w:t>
      </w:r>
      <w:r w:rsidR="00837DBE" w:rsidRPr="000844F7">
        <w:t xml:space="preserve">en </w:t>
      </w:r>
      <w:r w:rsidR="00837DBE" w:rsidRPr="008573C4">
        <w:t>möglicher gem</w:t>
      </w:r>
      <w:r w:rsidR="00A92D14" w:rsidRPr="008573C4">
        <w:t>einsamer</w:t>
      </w:r>
      <w:r w:rsidRPr="008573C4">
        <w:t xml:space="preserve"> </w:t>
      </w:r>
      <w:bookmarkEnd w:id="29"/>
      <w:bookmarkEnd w:id="30"/>
      <w:bookmarkEnd w:id="31"/>
      <w:bookmarkEnd w:id="32"/>
      <w:bookmarkEnd w:id="33"/>
      <w:bookmarkEnd w:id="34"/>
      <w:bookmarkEnd w:id="35"/>
      <w:bookmarkEnd w:id="36"/>
      <w:bookmarkEnd w:id="37"/>
      <w:r w:rsidR="000844F7" w:rsidRPr="008573C4">
        <w:rPr>
          <w:rFonts w:eastAsiaTheme="minorEastAsia"/>
          <w:noProof/>
        </w:rPr>
        <w:t>Initiativen mit der OECD und der ISTA hinsichtlich molekularer Verfahren</w:t>
      </w:r>
      <w:bookmarkEnd w:id="38"/>
    </w:p>
    <w:p w14:paraId="410A9682" w14:textId="77777777" w:rsidR="000844F7" w:rsidRPr="000844F7" w:rsidRDefault="000844F7" w:rsidP="000844F7">
      <w:pPr>
        <w:rPr>
          <w:lang w:val="de-DE"/>
        </w:rPr>
      </w:pPr>
    </w:p>
    <w:p w14:paraId="20D929E4" w14:textId="6EF45015" w:rsidR="00C327B6" w:rsidRPr="00837AEA" w:rsidRDefault="00C327B6" w:rsidP="00C327B6">
      <w:pPr>
        <w:rPr>
          <w:lang w:val="de-DE"/>
        </w:rPr>
      </w:pPr>
      <w:r>
        <w:fldChar w:fldCharType="begin"/>
      </w:r>
      <w:r w:rsidRPr="00837AEA">
        <w:rPr>
          <w:lang w:val="de-DE"/>
        </w:rPr>
        <w:instrText xml:space="preserve"> AUTONUM  </w:instrText>
      </w:r>
      <w:r>
        <w:fldChar w:fldCharType="end"/>
      </w:r>
      <w:r w:rsidRPr="00837AEA">
        <w:rPr>
          <w:lang w:val="de-DE"/>
        </w:rPr>
        <w:tab/>
      </w:r>
      <w:r w:rsidR="00837AEA" w:rsidRPr="00837AEA">
        <w:rPr>
          <w:lang w:val="de-DE"/>
        </w:rPr>
        <w:t>Der TC vereinbarte auf seiner siebenundfünfzigsten Tagung, folgende Themen für eine künftige gemeinsame Arbeitstagung von UPOV</w:t>
      </w:r>
      <w:r w:rsidR="00672C78">
        <w:rPr>
          <w:lang w:val="de-DE"/>
        </w:rPr>
        <w:t xml:space="preserve">, </w:t>
      </w:r>
      <w:r w:rsidR="00837AEA" w:rsidRPr="00837AEA">
        <w:rPr>
          <w:lang w:val="de-DE"/>
        </w:rPr>
        <w:t>OECD</w:t>
      </w:r>
      <w:r w:rsidR="00672C78">
        <w:rPr>
          <w:lang w:val="de-DE"/>
        </w:rPr>
        <w:t xml:space="preserve"> und </w:t>
      </w:r>
      <w:r w:rsidR="00837AEA" w:rsidRPr="00837AEA">
        <w:rPr>
          <w:lang w:val="de-DE"/>
        </w:rPr>
        <w:t>ISTA vorzuschlagen:</w:t>
      </w:r>
    </w:p>
    <w:p w14:paraId="4628D73C" w14:textId="77777777" w:rsidR="00C327B6" w:rsidRPr="00837AEA" w:rsidRDefault="00C327B6" w:rsidP="00C327B6">
      <w:pPr>
        <w:rPr>
          <w:lang w:val="de-DE"/>
        </w:rPr>
      </w:pPr>
    </w:p>
    <w:p w14:paraId="27D5F69C" w14:textId="5CFAB430" w:rsidR="00C327B6" w:rsidRPr="008A3624" w:rsidRDefault="00C327B6" w:rsidP="008A3624">
      <w:pPr>
        <w:ind w:left="1134" w:hanging="574"/>
        <w:rPr>
          <w:lang w:val="de-DE"/>
        </w:rPr>
      </w:pPr>
      <w:r w:rsidRPr="008A3624">
        <w:rPr>
          <w:lang w:val="de-DE"/>
        </w:rPr>
        <w:t>(i)</w:t>
      </w:r>
      <w:r w:rsidRPr="008A3624">
        <w:rPr>
          <w:lang w:val="de-DE"/>
        </w:rPr>
        <w:tab/>
      </w:r>
      <w:r w:rsidR="008A3624" w:rsidRPr="008A3624">
        <w:rPr>
          <w:lang w:val="de-DE"/>
        </w:rPr>
        <w:t>Bereitstellung von Informationen über die Verwendung molekularer Verfahren in jeder Organisation;</w:t>
      </w:r>
    </w:p>
    <w:p w14:paraId="56628208" w14:textId="45968BB5" w:rsidR="00C327B6" w:rsidRPr="00434C17" w:rsidRDefault="00C327B6" w:rsidP="00C327B6">
      <w:pPr>
        <w:jc w:val="left"/>
        <w:rPr>
          <w:lang w:val="de-DE"/>
        </w:rPr>
      </w:pPr>
      <w:r w:rsidRPr="008A3624">
        <w:rPr>
          <w:lang w:val="de-DE"/>
        </w:rPr>
        <w:tab/>
      </w:r>
      <w:r w:rsidRPr="00434C17">
        <w:rPr>
          <w:lang w:val="de-DE"/>
        </w:rPr>
        <w:t>(ii)</w:t>
      </w:r>
      <w:r w:rsidRPr="00434C17">
        <w:rPr>
          <w:lang w:val="de-DE"/>
        </w:rPr>
        <w:tab/>
      </w:r>
      <w:r w:rsidR="00434C17" w:rsidRPr="00434C17">
        <w:rPr>
          <w:lang w:val="de-DE"/>
        </w:rPr>
        <w:t>Verfahren für die Billigung biochemischer und molekularer Verfahren in jeder Organisation; und</w:t>
      </w:r>
    </w:p>
    <w:p w14:paraId="1C235210" w14:textId="74BBE042" w:rsidR="00C327B6" w:rsidRPr="00550FE1" w:rsidRDefault="00C327B6" w:rsidP="00985B47">
      <w:pPr>
        <w:ind w:left="1134" w:hanging="567"/>
        <w:rPr>
          <w:lang w:val="de-DE"/>
        </w:rPr>
      </w:pPr>
      <w:r w:rsidRPr="00550FE1">
        <w:rPr>
          <w:lang w:val="de-DE"/>
        </w:rPr>
        <w:t>(iii)</w:t>
      </w:r>
      <w:r w:rsidRPr="00550FE1">
        <w:rPr>
          <w:lang w:val="de-DE"/>
        </w:rPr>
        <w:tab/>
      </w:r>
      <w:r w:rsidR="00550FE1" w:rsidRPr="00550FE1">
        <w:rPr>
          <w:lang w:val="de-DE"/>
        </w:rPr>
        <w:t xml:space="preserve">Möglichkeiten zur Harmonisierung </w:t>
      </w:r>
      <w:r w:rsidR="00985B47" w:rsidRPr="00985B47">
        <w:rPr>
          <w:lang w:val="de-DE"/>
        </w:rPr>
        <w:t>von Begriffen, Definitionen und Verfahren</w:t>
      </w:r>
      <w:r w:rsidR="00550FE1" w:rsidRPr="00550FE1">
        <w:rPr>
          <w:lang w:val="de-DE"/>
        </w:rPr>
        <w:t xml:space="preserve"> zwischen UPOV, OECD und ISTA.</w:t>
      </w:r>
    </w:p>
    <w:p w14:paraId="120FEB89" w14:textId="77777777" w:rsidR="00C327B6" w:rsidRPr="00550FE1" w:rsidRDefault="00C327B6" w:rsidP="00C327B6">
      <w:pPr>
        <w:jc w:val="left"/>
        <w:rPr>
          <w:lang w:val="de-DE"/>
        </w:rPr>
      </w:pPr>
    </w:p>
    <w:p w14:paraId="279323F3" w14:textId="0F10C7D7" w:rsidR="00C327B6" w:rsidRDefault="00C327B6" w:rsidP="00A323DC">
      <w:pPr>
        <w:rPr>
          <w:lang w:val="de-DE"/>
        </w:rPr>
      </w:pPr>
      <w:r>
        <w:fldChar w:fldCharType="begin"/>
      </w:r>
      <w:r w:rsidRPr="00A323DC">
        <w:rPr>
          <w:lang w:val="de-DE"/>
        </w:rPr>
        <w:instrText xml:space="preserve"> AUTONUM  </w:instrText>
      </w:r>
      <w:r>
        <w:fldChar w:fldCharType="end"/>
      </w:r>
      <w:r w:rsidRPr="00A323DC">
        <w:rPr>
          <w:lang w:val="de-DE"/>
        </w:rPr>
        <w:tab/>
      </w:r>
      <w:r w:rsidR="00A323DC" w:rsidRPr="00A323DC">
        <w:rPr>
          <w:lang w:val="de-DE"/>
        </w:rPr>
        <w:t xml:space="preserve">Der TC vereinbarte, das Verbandsbüro zu ersuchen, sich mit der OECD und der ISTA in Verbindung zu setzen, um geeignete Termine für eine künftige gemeinsame Arbeitstagung zu </w:t>
      </w:r>
      <w:r w:rsidR="0030273F">
        <w:rPr>
          <w:lang w:val="de-DE"/>
        </w:rPr>
        <w:t>ermitteln</w:t>
      </w:r>
      <w:r w:rsidR="00A323DC" w:rsidRPr="00A323DC">
        <w:rPr>
          <w:lang w:val="de-DE"/>
        </w:rPr>
        <w:t xml:space="preserve">, beispielsweise in Verbindung mit der ersten </w:t>
      </w:r>
      <w:r w:rsidR="00A323DC" w:rsidRPr="00F50041">
        <w:rPr>
          <w:lang w:val="de-DE"/>
        </w:rPr>
        <w:t xml:space="preserve">Tagung </w:t>
      </w:r>
      <w:r w:rsidR="009B1827" w:rsidRPr="00F50041">
        <w:rPr>
          <w:lang w:val="de-DE"/>
        </w:rPr>
        <w:t>der</w:t>
      </w:r>
      <w:r w:rsidR="00DF76E5" w:rsidRPr="00F50041">
        <w:rPr>
          <w:lang w:val="de-DE"/>
        </w:rPr>
        <w:t xml:space="preserve"> </w:t>
      </w:r>
      <w:r w:rsidR="00A323DC" w:rsidRPr="00F50041">
        <w:rPr>
          <w:lang w:val="de-DE"/>
        </w:rPr>
        <w:t>TWM</w:t>
      </w:r>
      <w:r w:rsidR="00A323DC" w:rsidRPr="00A323DC">
        <w:rPr>
          <w:lang w:val="de-DE"/>
        </w:rPr>
        <w:t>, die im September 2022 abgehalten werden soll.</w:t>
      </w:r>
    </w:p>
    <w:p w14:paraId="29FF19B4" w14:textId="77777777" w:rsidR="00A323DC" w:rsidRPr="00A323DC" w:rsidRDefault="00A323DC" w:rsidP="00A323DC">
      <w:pPr>
        <w:rPr>
          <w:lang w:val="de-DE"/>
        </w:rPr>
      </w:pPr>
    </w:p>
    <w:p w14:paraId="52D6F259" w14:textId="56828927" w:rsidR="00C327B6" w:rsidRPr="00EB133F" w:rsidRDefault="00C327B6" w:rsidP="00C327B6">
      <w:pPr>
        <w:rPr>
          <w:lang w:val="de-DE"/>
        </w:rPr>
      </w:pPr>
      <w:r>
        <w:fldChar w:fldCharType="begin"/>
      </w:r>
      <w:r w:rsidRPr="00EB133F">
        <w:rPr>
          <w:lang w:val="de-DE"/>
        </w:rPr>
        <w:instrText xml:space="preserve"> AUTONUM  </w:instrText>
      </w:r>
      <w:r>
        <w:fldChar w:fldCharType="end"/>
      </w:r>
      <w:r w:rsidRPr="00EB133F">
        <w:rPr>
          <w:lang w:val="de-DE"/>
        </w:rPr>
        <w:tab/>
      </w:r>
      <w:r w:rsidR="00EB133F" w:rsidRPr="00EB133F">
        <w:rPr>
          <w:lang w:val="de-DE"/>
        </w:rPr>
        <w:t xml:space="preserve">Am 13. Dezember 2021 übermittelte das Verbandsbüro der OECD und der ISTA eine Einladung zur </w:t>
      </w:r>
      <w:r w:rsidR="00EC74CF">
        <w:rPr>
          <w:lang w:val="de-DE"/>
        </w:rPr>
        <w:t>Durchführ</w:t>
      </w:r>
      <w:r w:rsidR="00EB133F" w:rsidRPr="00EB133F">
        <w:rPr>
          <w:lang w:val="de-DE"/>
        </w:rPr>
        <w:t>ung einer weiteren gemeinsamen Arbeitstagung über molekulare Verfahren in Verbindung mit der ersten Tagung der TWM, die am 21. September 2022 auf elektronischem Wege stattfinden soll, um die obigen Themen i) bis iii) zu</w:t>
      </w:r>
      <w:r w:rsidR="00045DCC">
        <w:rPr>
          <w:lang w:val="de-DE"/>
        </w:rPr>
        <w:t xml:space="preserve"> prüfen</w:t>
      </w:r>
      <w:r w:rsidR="00EB133F" w:rsidRPr="00EB133F">
        <w:rPr>
          <w:lang w:val="de-DE"/>
        </w:rPr>
        <w:t>.</w:t>
      </w:r>
    </w:p>
    <w:p w14:paraId="1B1C2EB4" w14:textId="77777777" w:rsidR="00C327B6" w:rsidRPr="00EB133F" w:rsidRDefault="00C327B6" w:rsidP="00C327B6">
      <w:pPr>
        <w:rPr>
          <w:lang w:val="de-DE"/>
        </w:rPr>
      </w:pPr>
    </w:p>
    <w:p w14:paraId="23387839" w14:textId="65470A77" w:rsidR="00C327B6" w:rsidRPr="00C11F42" w:rsidRDefault="00C327B6" w:rsidP="00C327B6">
      <w:pPr>
        <w:rPr>
          <w:lang w:val="de-DE"/>
        </w:rPr>
      </w:pPr>
      <w:r>
        <w:fldChar w:fldCharType="begin"/>
      </w:r>
      <w:r w:rsidRPr="00C11F42">
        <w:rPr>
          <w:lang w:val="de-DE"/>
        </w:rPr>
        <w:instrText xml:space="preserve"> AUTONUM  </w:instrText>
      </w:r>
      <w:r>
        <w:fldChar w:fldCharType="end"/>
      </w:r>
      <w:r w:rsidRPr="00C11F42">
        <w:rPr>
          <w:lang w:val="de-DE"/>
        </w:rPr>
        <w:tab/>
      </w:r>
      <w:r w:rsidR="00C11F42" w:rsidRPr="00C11F42">
        <w:rPr>
          <w:lang w:val="de-DE"/>
        </w:rPr>
        <w:t xml:space="preserve">Am 15. Mai 2022 </w:t>
      </w:r>
      <w:r w:rsidR="00D32D59">
        <w:rPr>
          <w:lang w:val="de-DE"/>
        </w:rPr>
        <w:t>tagte</w:t>
      </w:r>
      <w:r w:rsidR="00C11F42" w:rsidRPr="00C11F42">
        <w:rPr>
          <w:lang w:val="de-DE"/>
        </w:rPr>
        <w:t xml:space="preserve"> das Verbandsbüro</w:t>
      </w:r>
      <w:r w:rsidR="00EF5EB7">
        <w:rPr>
          <w:lang w:val="de-DE"/>
        </w:rPr>
        <w:t xml:space="preserve"> während</w:t>
      </w:r>
      <w:r w:rsidR="00C11F42" w:rsidRPr="00C11F42">
        <w:rPr>
          <w:lang w:val="de-DE"/>
        </w:rPr>
        <w:t xml:space="preserve"> des Weltsaatgutkongresses des Internationalen Saatgutverbandes mit der OECD und der ISTA und erörterte die Zusammenarbeit zwischen OECD, ISTA und UPOV im Zusammenhang mit der BMT. Die UPOV hatte d</w:t>
      </w:r>
      <w:r w:rsidR="007C2B53">
        <w:rPr>
          <w:lang w:val="de-DE"/>
        </w:rPr>
        <w:t>en Vorschlag</w:t>
      </w:r>
      <w:r w:rsidR="00C11F42" w:rsidRPr="00C11F42">
        <w:rPr>
          <w:lang w:val="de-DE"/>
        </w:rPr>
        <w:t xml:space="preserve"> einer gemeinsamen</w:t>
      </w:r>
      <w:r w:rsidR="00EC3542">
        <w:rPr>
          <w:lang w:val="de-DE"/>
        </w:rPr>
        <w:t xml:space="preserve"> </w:t>
      </w:r>
      <w:r w:rsidR="00C11F42" w:rsidRPr="00C11F42">
        <w:rPr>
          <w:lang w:val="de-DE"/>
        </w:rPr>
        <w:t xml:space="preserve">Arbeitstagung </w:t>
      </w:r>
      <w:r w:rsidR="00EC3542">
        <w:rPr>
          <w:lang w:val="de-DE"/>
        </w:rPr>
        <w:t xml:space="preserve">von </w:t>
      </w:r>
      <w:r w:rsidR="00EC3542" w:rsidRPr="00C11F42">
        <w:rPr>
          <w:lang w:val="de-DE"/>
        </w:rPr>
        <w:t>OECD</w:t>
      </w:r>
      <w:r w:rsidR="003C7866">
        <w:rPr>
          <w:lang w:val="de-DE"/>
        </w:rPr>
        <w:t xml:space="preserve">, </w:t>
      </w:r>
      <w:r w:rsidR="00EC3542" w:rsidRPr="00C11F42">
        <w:rPr>
          <w:lang w:val="de-DE"/>
        </w:rPr>
        <w:t>ISTA</w:t>
      </w:r>
      <w:r w:rsidR="003C7866">
        <w:rPr>
          <w:lang w:val="de-DE"/>
        </w:rPr>
        <w:t xml:space="preserve"> und </w:t>
      </w:r>
      <w:r w:rsidR="00EC3542" w:rsidRPr="00C11F42">
        <w:rPr>
          <w:lang w:val="de-DE"/>
        </w:rPr>
        <w:t>UPOV</w:t>
      </w:r>
      <w:r w:rsidR="003C7866">
        <w:rPr>
          <w:lang w:val="de-DE"/>
        </w:rPr>
        <w:t xml:space="preserve"> </w:t>
      </w:r>
      <w:r w:rsidR="00C11F42" w:rsidRPr="00C11F42">
        <w:rPr>
          <w:lang w:val="de-DE"/>
        </w:rPr>
        <w:t xml:space="preserve">in Verbindung mit der TWM zur Sprache gebracht, die im September 2022 stattfinden soll. Es wurde vereinbart, </w:t>
      </w:r>
      <w:r w:rsidR="00746039" w:rsidRPr="00C11F42">
        <w:rPr>
          <w:lang w:val="de-DE"/>
        </w:rPr>
        <w:t>dass</w:t>
      </w:r>
      <w:r w:rsidR="00C11F42" w:rsidRPr="00C11F42">
        <w:rPr>
          <w:lang w:val="de-DE"/>
        </w:rPr>
        <w:t xml:space="preserve"> es </w:t>
      </w:r>
      <w:r w:rsidR="00415D4E">
        <w:rPr>
          <w:lang w:val="de-DE"/>
        </w:rPr>
        <w:t>derzeit</w:t>
      </w:r>
      <w:r w:rsidR="00C11F42" w:rsidRPr="00C11F42">
        <w:rPr>
          <w:lang w:val="de-DE"/>
        </w:rPr>
        <w:t xml:space="preserve"> keine nennenswerten Entwicklungen zu erörtern gebe und </w:t>
      </w:r>
      <w:r w:rsidR="00746039" w:rsidRPr="00C11F42">
        <w:rPr>
          <w:lang w:val="de-DE"/>
        </w:rPr>
        <w:t>dass</w:t>
      </w:r>
      <w:r w:rsidR="00C11F42" w:rsidRPr="00C11F42">
        <w:rPr>
          <w:lang w:val="de-DE"/>
        </w:rPr>
        <w:t xml:space="preserve"> es </w:t>
      </w:r>
      <w:r w:rsidR="0012396D">
        <w:rPr>
          <w:lang w:val="de-DE"/>
        </w:rPr>
        <w:t>sinnvoller</w:t>
      </w:r>
      <w:r w:rsidR="00C11F42" w:rsidRPr="00C11F42">
        <w:rPr>
          <w:lang w:val="de-DE"/>
        </w:rPr>
        <w:t xml:space="preserve"> wäre, eine gemeinsame Arbeitstagung frühestens</w:t>
      </w:r>
      <w:r w:rsidR="007726E3">
        <w:rPr>
          <w:lang w:val="de-DE"/>
        </w:rPr>
        <w:t xml:space="preserve"> </w:t>
      </w:r>
      <w:r w:rsidR="000C76AF">
        <w:rPr>
          <w:lang w:val="de-DE"/>
        </w:rPr>
        <w:t xml:space="preserve">im Jahr </w:t>
      </w:r>
      <w:r w:rsidR="00C11F42" w:rsidRPr="00C11F42">
        <w:rPr>
          <w:lang w:val="de-DE"/>
        </w:rPr>
        <w:t>2023 zu planen.</w:t>
      </w:r>
    </w:p>
    <w:p w14:paraId="4868EB76" w14:textId="77777777" w:rsidR="00C327B6" w:rsidRPr="00C11F42" w:rsidRDefault="00C327B6" w:rsidP="00C327B6">
      <w:pPr>
        <w:rPr>
          <w:lang w:val="de-DE"/>
        </w:rPr>
      </w:pPr>
    </w:p>
    <w:p w14:paraId="7C1DF604" w14:textId="180692E9" w:rsidR="00C327B6" w:rsidRPr="00780DD2" w:rsidRDefault="00780DD2" w:rsidP="00E97EA0">
      <w:pPr>
        <w:pStyle w:val="Heading2"/>
      </w:pPr>
      <w:bookmarkStart w:id="39" w:name="_Toc117464329"/>
      <w:r w:rsidRPr="009B6897">
        <w:rPr>
          <w:shd w:val="clear" w:color="auto" w:fill="FFFFFF"/>
        </w:rPr>
        <w:t>Internationale Vereinigung für Saatgutprüfung</w:t>
      </w:r>
      <w:bookmarkEnd w:id="39"/>
    </w:p>
    <w:p w14:paraId="2473E3BA" w14:textId="77777777" w:rsidR="00C327B6" w:rsidRPr="00780DD2" w:rsidRDefault="00C327B6" w:rsidP="00C327B6">
      <w:pPr>
        <w:rPr>
          <w:lang w:val="de-DE"/>
        </w:rPr>
      </w:pPr>
    </w:p>
    <w:p w14:paraId="0BE9E0BD" w14:textId="4FBC2155" w:rsidR="00C327B6" w:rsidRDefault="00C327B6" w:rsidP="00C327B6">
      <w:pPr>
        <w:rPr>
          <w:lang w:val="de-DE"/>
        </w:rPr>
      </w:pPr>
      <w:r w:rsidRPr="00F360DA">
        <w:fldChar w:fldCharType="begin"/>
      </w:r>
      <w:r w:rsidRPr="00485CE3">
        <w:rPr>
          <w:lang w:val="de-DE"/>
        </w:rPr>
        <w:instrText xml:space="preserve"> AUTONUM  </w:instrText>
      </w:r>
      <w:r w:rsidRPr="00F360DA">
        <w:fldChar w:fldCharType="end"/>
      </w:r>
      <w:r w:rsidRPr="00485CE3">
        <w:rPr>
          <w:lang w:val="de-DE"/>
        </w:rPr>
        <w:tab/>
      </w:r>
      <w:r w:rsidR="00485CE3" w:rsidRPr="00485CE3">
        <w:rPr>
          <w:lang w:val="de-DE"/>
        </w:rPr>
        <w:t xml:space="preserve">Die TWM hörte ein Referat von Frau Ana Laura Vicario (ISTA) </w:t>
      </w:r>
      <w:r w:rsidR="005A5C0F">
        <w:rPr>
          <w:lang w:val="de-DE"/>
        </w:rPr>
        <w:t>zum Thema</w:t>
      </w:r>
      <w:r w:rsidR="00485CE3" w:rsidRPr="00485CE3">
        <w:rPr>
          <w:lang w:val="de-DE"/>
        </w:rPr>
        <w:t xml:space="preserve"> </w:t>
      </w:r>
      <w:r w:rsidR="00B6076B" w:rsidRPr="004A0D1E">
        <w:rPr>
          <w:lang w:val="de-DE"/>
        </w:rPr>
        <w:t>„</w:t>
      </w:r>
      <w:r w:rsidR="00485CE3" w:rsidRPr="004A0D1E">
        <w:rPr>
          <w:lang w:val="de-DE"/>
        </w:rPr>
        <w:t>ISTA-Bericht über die Anwendung molekularer Verfahren</w:t>
      </w:r>
      <w:r w:rsidR="00EC3E38">
        <w:rPr>
          <w:lang w:val="de-DE"/>
        </w:rPr>
        <w:t>“</w:t>
      </w:r>
      <w:r w:rsidR="00485CE3" w:rsidRPr="004A0D1E">
        <w:rPr>
          <w:lang w:val="de-DE"/>
        </w:rPr>
        <w:t xml:space="preserve">, von dem eine </w:t>
      </w:r>
      <w:r w:rsidR="00080B09" w:rsidRPr="004A0D1E">
        <w:rPr>
          <w:lang w:val="de-DE"/>
        </w:rPr>
        <w:t>Abschrift</w:t>
      </w:r>
      <w:r w:rsidR="00485CE3" w:rsidRPr="004A0D1E">
        <w:rPr>
          <w:lang w:val="de-DE"/>
        </w:rPr>
        <w:t xml:space="preserve"> in Dokument TWM/1/23</w:t>
      </w:r>
      <w:r w:rsidR="00485CE3" w:rsidRPr="00485CE3">
        <w:rPr>
          <w:lang w:val="de-DE"/>
        </w:rPr>
        <w:t xml:space="preserve"> wiedergegeben ist.</w:t>
      </w:r>
    </w:p>
    <w:p w14:paraId="16577B79" w14:textId="77777777" w:rsidR="00485CE3" w:rsidRPr="00485CE3" w:rsidRDefault="00485CE3" w:rsidP="00C327B6">
      <w:pPr>
        <w:rPr>
          <w:lang w:val="de-DE"/>
        </w:rPr>
      </w:pPr>
    </w:p>
    <w:p w14:paraId="34D29EE8" w14:textId="5365B13F" w:rsidR="00C327B6" w:rsidRPr="00E97EA0" w:rsidRDefault="00C327B6" w:rsidP="00E97EA0">
      <w:pPr>
        <w:pStyle w:val="Heading2"/>
        <w:rPr>
          <w:shd w:val="clear" w:color="auto" w:fill="FFFFFF"/>
        </w:rPr>
      </w:pPr>
      <w:bookmarkStart w:id="40" w:name="_Toc84415957"/>
      <w:bookmarkStart w:id="41" w:name="_Toc117464330"/>
      <w:r w:rsidRPr="00E97EA0">
        <w:t>O</w:t>
      </w:r>
      <w:bookmarkEnd w:id="40"/>
      <w:r w:rsidR="00E97EA0" w:rsidRPr="00E97EA0">
        <w:rPr>
          <w:shd w:val="clear" w:color="auto" w:fill="FFFFFF"/>
        </w:rPr>
        <w:t>rganisation für wirtschaftliche Zusammenarbeit und Entwicklung</w:t>
      </w:r>
      <w:bookmarkEnd w:id="41"/>
    </w:p>
    <w:p w14:paraId="6104523F" w14:textId="77777777" w:rsidR="00E97EA0" w:rsidRPr="00E97EA0" w:rsidRDefault="00E97EA0" w:rsidP="00E97EA0">
      <w:pPr>
        <w:rPr>
          <w:lang w:val="de-DE"/>
        </w:rPr>
      </w:pPr>
    </w:p>
    <w:p w14:paraId="0F26EDCC" w14:textId="7D5A6420" w:rsidR="00C327B6" w:rsidRPr="00344E29" w:rsidRDefault="00C327B6" w:rsidP="00C327B6">
      <w:pPr>
        <w:rPr>
          <w:lang w:val="de-DE"/>
        </w:rPr>
      </w:pPr>
      <w:r w:rsidRPr="00F360DA">
        <w:fldChar w:fldCharType="begin"/>
      </w:r>
      <w:r w:rsidRPr="00344E29">
        <w:rPr>
          <w:lang w:val="de-DE"/>
        </w:rPr>
        <w:instrText xml:space="preserve"> AUTONUM  </w:instrText>
      </w:r>
      <w:r w:rsidRPr="00F360DA">
        <w:fldChar w:fldCharType="end"/>
      </w:r>
      <w:r w:rsidRPr="00344E29">
        <w:rPr>
          <w:lang w:val="de-DE"/>
        </w:rPr>
        <w:tab/>
      </w:r>
      <w:r w:rsidR="00344E29" w:rsidRPr="00344E29">
        <w:rPr>
          <w:lang w:val="de-DE"/>
        </w:rPr>
        <w:t xml:space="preserve">Die TWM hörte ein Referat von Herrn Christophe Rouillard (OECD) über </w:t>
      </w:r>
      <w:r w:rsidR="001A70B7" w:rsidRPr="009F1CE6">
        <w:rPr>
          <w:lang w:val="de-DE"/>
        </w:rPr>
        <w:t>„</w:t>
      </w:r>
      <w:r w:rsidR="00344E29" w:rsidRPr="009F1CE6">
        <w:rPr>
          <w:lang w:val="de-DE"/>
        </w:rPr>
        <w:t xml:space="preserve">Neueste Entwicklungen bei der Anwendung </w:t>
      </w:r>
      <w:r w:rsidR="009F1CE6" w:rsidRPr="009F1CE6">
        <w:rPr>
          <w:lang w:val="de-DE"/>
        </w:rPr>
        <w:t xml:space="preserve">von </w:t>
      </w:r>
      <w:r w:rsidR="009F1CE6" w:rsidRPr="009F1CE6">
        <w:rPr>
          <w:rFonts w:cs="Arial"/>
          <w:color w:val="000000"/>
          <w:shd w:val="clear" w:color="auto" w:fill="FFFFFF"/>
          <w:lang w:val="de-DE"/>
        </w:rPr>
        <w:t>biochemischen und molekularen Verfahren</w:t>
      </w:r>
      <w:r w:rsidR="00344E29" w:rsidRPr="009F1CE6">
        <w:rPr>
          <w:lang w:val="de-DE"/>
        </w:rPr>
        <w:t xml:space="preserve"> im Rahmen der OECD-Saatgutsysteme</w:t>
      </w:r>
      <w:r w:rsidR="00EC3E38">
        <w:rPr>
          <w:lang w:val="de-DE"/>
        </w:rPr>
        <w:t>“</w:t>
      </w:r>
      <w:r w:rsidR="00344E29" w:rsidRPr="009F1CE6">
        <w:rPr>
          <w:lang w:val="de-DE"/>
        </w:rPr>
        <w:t>, das in Dokument TWM/1/24</w:t>
      </w:r>
      <w:r w:rsidR="00344E29" w:rsidRPr="00344E29">
        <w:rPr>
          <w:lang w:val="de-DE"/>
        </w:rPr>
        <w:t xml:space="preserve"> wiedergegeben ist.</w:t>
      </w:r>
    </w:p>
    <w:p w14:paraId="637D5179" w14:textId="77777777" w:rsidR="00C327B6" w:rsidRPr="00344E29" w:rsidRDefault="00C327B6" w:rsidP="00C327B6">
      <w:pPr>
        <w:rPr>
          <w:rFonts w:cs="Arial"/>
          <w:iCs/>
          <w:lang w:val="de-DE"/>
        </w:rPr>
      </w:pPr>
    </w:p>
    <w:p w14:paraId="1FE02BC9" w14:textId="197B1350" w:rsidR="006856D1" w:rsidRDefault="00C327B6" w:rsidP="006856D1">
      <w:pPr>
        <w:rPr>
          <w:lang w:val="de-DE"/>
        </w:rPr>
      </w:pPr>
      <w:r>
        <w:fldChar w:fldCharType="begin"/>
      </w:r>
      <w:r w:rsidRPr="00344E29">
        <w:rPr>
          <w:lang w:val="de-DE"/>
        </w:rPr>
        <w:instrText xml:space="preserve"> AUTONUM  </w:instrText>
      </w:r>
      <w:r>
        <w:fldChar w:fldCharType="end"/>
      </w:r>
      <w:r w:rsidRPr="00344E29">
        <w:rPr>
          <w:lang w:val="de-DE"/>
        </w:rPr>
        <w:tab/>
      </w:r>
      <w:bookmarkStart w:id="42" w:name="_Toc69722870"/>
      <w:bookmarkStart w:id="43" w:name="_Toc84364034"/>
      <w:bookmarkStart w:id="44" w:name="_Toc84415958"/>
      <w:bookmarkStart w:id="45" w:name="_Toc97892761"/>
      <w:r w:rsidR="00344E29" w:rsidRPr="00344E29">
        <w:rPr>
          <w:lang w:val="de-DE"/>
        </w:rPr>
        <w:t>Die TWM nahm zur Kenntnis, da</w:t>
      </w:r>
      <w:r w:rsidR="00EA2DC1">
        <w:rPr>
          <w:lang w:val="de-DE"/>
        </w:rPr>
        <w:t>ss</w:t>
      </w:r>
      <w:r w:rsidR="00344E29" w:rsidRPr="00344E29">
        <w:rPr>
          <w:lang w:val="de-DE"/>
        </w:rPr>
        <w:t xml:space="preserve"> die </w:t>
      </w:r>
      <w:r w:rsidR="00344E29" w:rsidRPr="004D6AC1">
        <w:rPr>
          <w:lang w:val="de-DE"/>
        </w:rPr>
        <w:t>OECD</w:t>
      </w:r>
      <w:r w:rsidR="00344E29" w:rsidRPr="00344E29">
        <w:rPr>
          <w:lang w:val="de-DE"/>
        </w:rPr>
        <w:t xml:space="preserve"> die Beratungsgruppe für BMT gebildet ha</w:t>
      </w:r>
      <w:r w:rsidR="00D87525">
        <w:rPr>
          <w:lang w:val="de-DE"/>
        </w:rPr>
        <w:t>t</w:t>
      </w:r>
      <w:r w:rsidR="00344E29" w:rsidRPr="00344E29">
        <w:rPr>
          <w:lang w:val="de-DE"/>
        </w:rPr>
        <w:t xml:space="preserve">, die sich mit allen BMT-Fragen im Rahmen der </w:t>
      </w:r>
      <w:r w:rsidR="00775644" w:rsidRPr="009F1CE6">
        <w:rPr>
          <w:lang w:val="de-DE"/>
        </w:rPr>
        <w:t>Saatgutsysteme</w:t>
      </w:r>
      <w:r w:rsidR="00344E29" w:rsidRPr="00344E29">
        <w:rPr>
          <w:lang w:val="de-DE"/>
        </w:rPr>
        <w:t xml:space="preserve"> befassen soll, einschließlich Angelegenheiten</w:t>
      </w:r>
      <w:r w:rsidR="00DB1773">
        <w:rPr>
          <w:lang w:val="de-DE"/>
        </w:rPr>
        <w:t xml:space="preserve"> betreffend </w:t>
      </w:r>
      <w:r w:rsidR="00B556F0">
        <w:rPr>
          <w:lang w:val="de-DE"/>
        </w:rPr>
        <w:t>die</w:t>
      </w:r>
      <w:r w:rsidR="00344E29" w:rsidRPr="00344E29">
        <w:rPr>
          <w:lang w:val="de-DE"/>
        </w:rPr>
        <w:t xml:space="preserve"> Zusammenarbeit mit anderen internationalen Organisationen.</w:t>
      </w:r>
    </w:p>
    <w:p w14:paraId="17766764" w14:textId="77777777" w:rsidR="00596792" w:rsidRPr="00344E29" w:rsidRDefault="00596792" w:rsidP="006856D1">
      <w:pPr>
        <w:rPr>
          <w:lang w:val="de-DE"/>
        </w:rPr>
      </w:pPr>
    </w:p>
    <w:p w14:paraId="75FC710B" w14:textId="77777777" w:rsidR="00010375" w:rsidRPr="00344E29" w:rsidRDefault="00010375" w:rsidP="006856D1">
      <w:pPr>
        <w:rPr>
          <w:lang w:val="de-DE"/>
        </w:rPr>
      </w:pPr>
    </w:p>
    <w:p w14:paraId="6BEEF13E" w14:textId="585BF127" w:rsidR="00C327B6" w:rsidRDefault="00C327B6" w:rsidP="005571B2">
      <w:pPr>
        <w:pStyle w:val="Heading1"/>
        <w:rPr>
          <w:noProof/>
          <w:snapToGrid w:val="0"/>
          <w:lang w:val="de-DE"/>
        </w:rPr>
      </w:pPr>
      <w:bookmarkStart w:id="46" w:name="_Toc117464331"/>
      <w:r w:rsidRPr="000D0337">
        <w:rPr>
          <w:snapToGrid w:val="0"/>
          <w:lang w:val="de-DE"/>
        </w:rPr>
        <w:t>S</w:t>
      </w:r>
      <w:bookmarkEnd w:id="42"/>
      <w:bookmarkEnd w:id="43"/>
      <w:bookmarkEnd w:id="44"/>
      <w:bookmarkEnd w:id="45"/>
      <w:r w:rsidR="005571B2" w:rsidRPr="000D0337">
        <w:rPr>
          <w:noProof/>
          <w:snapToGrid w:val="0"/>
          <w:lang w:val="de-DE"/>
        </w:rPr>
        <w:t>itzung zur Erleichterung der Zusammenarbeit im Hinblick auf die Verwendung molekularer Verfahren</w:t>
      </w:r>
      <w:bookmarkEnd w:id="46"/>
    </w:p>
    <w:p w14:paraId="033A669A" w14:textId="77777777" w:rsidR="00DC4EB0" w:rsidRPr="00DC4EB0" w:rsidRDefault="00DC4EB0" w:rsidP="00DC4EB0">
      <w:pPr>
        <w:rPr>
          <w:lang w:val="de-DE"/>
        </w:rPr>
      </w:pPr>
    </w:p>
    <w:p w14:paraId="48A9C9F0" w14:textId="7F61A710" w:rsidR="006856D1" w:rsidRPr="00D34DE8" w:rsidRDefault="006856D1" w:rsidP="006856D1">
      <w:pPr>
        <w:rPr>
          <w:rFonts w:eastAsiaTheme="minorEastAsia"/>
          <w:lang w:val="de-DE" w:eastAsia="ja-JP"/>
        </w:rPr>
      </w:pPr>
      <w:r w:rsidRPr="001857B6">
        <w:fldChar w:fldCharType="begin"/>
      </w:r>
      <w:r w:rsidRPr="00D34DE8">
        <w:rPr>
          <w:lang w:val="de-DE"/>
        </w:rPr>
        <w:instrText xml:space="preserve"> AUTONUM  </w:instrText>
      </w:r>
      <w:r w:rsidRPr="001857B6">
        <w:fldChar w:fldCharType="end"/>
      </w:r>
      <w:r w:rsidRPr="00D34DE8">
        <w:rPr>
          <w:lang w:val="de-DE"/>
        </w:rPr>
        <w:tab/>
      </w:r>
      <w:r w:rsidR="00D34DE8" w:rsidRPr="00D34DE8">
        <w:rPr>
          <w:rFonts w:eastAsiaTheme="minorEastAsia"/>
          <w:lang w:val="de-DE" w:eastAsia="ja-JP"/>
        </w:rPr>
        <w:t xml:space="preserve">Der Hintergrund zu dieser Angelegenheit ist in Dokument CAJ/78/INF/5 </w:t>
      </w:r>
      <w:r w:rsidR="00D34DE8">
        <w:rPr>
          <w:rFonts w:eastAsiaTheme="minorEastAsia"/>
          <w:lang w:val="de-DE" w:eastAsia="ja-JP"/>
        </w:rPr>
        <w:t>„</w:t>
      </w:r>
      <w:r w:rsidR="00D34DE8" w:rsidRPr="00D34DE8">
        <w:rPr>
          <w:rFonts w:eastAsiaTheme="minorEastAsia"/>
          <w:lang w:val="de-DE" w:eastAsia="ja-JP"/>
        </w:rPr>
        <w:t>Molekulare Verfahren</w:t>
      </w:r>
      <w:r w:rsidR="00EC3E38">
        <w:rPr>
          <w:rFonts w:eastAsiaTheme="minorEastAsia"/>
          <w:lang w:val="de-DE" w:eastAsia="ja-JP"/>
        </w:rPr>
        <w:t>“</w:t>
      </w:r>
      <w:r w:rsidR="00D34DE8" w:rsidRPr="00D34DE8">
        <w:rPr>
          <w:rFonts w:eastAsiaTheme="minorEastAsia"/>
          <w:lang w:val="de-DE" w:eastAsia="ja-JP"/>
        </w:rPr>
        <w:t>, Absätze 32 bis 44, dargelegt.</w:t>
      </w:r>
    </w:p>
    <w:p w14:paraId="14898D07" w14:textId="77777777" w:rsidR="005D03EE" w:rsidRPr="00D34DE8" w:rsidRDefault="005D03EE" w:rsidP="006856D1">
      <w:pPr>
        <w:rPr>
          <w:rFonts w:eastAsiaTheme="minorEastAsia"/>
          <w:lang w:val="de-DE" w:eastAsia="ja-JP"/>
        </w:rPr>
      </w:pPr>
    </w:p>
    <w:p w14:paraId="1AA003E7" w14:textId="1766136B" w:rsidR="00C327B6" w:rsidRPr="00FD647F" w:rsidRDefault="00C327B6" w:rsidP="00E97EA0">
      <w:pPr>
        <w:pStyle w:val="Heading2"/>
      </w:pPr>
      <w:bookmarkStart w:id="47" w:name="_Toc84415959"/>
      <w:bookmarkStart w:id="48" w:name="_Toc97892762"/>
      <w:bookmarkStart w:id="49" w:name="_Toc117464332"/>
      <w:r w:rsidRPr="00FD647F">
        <w:t>Techni</w:t>
      </w:r>
      <w:r w:rsidR="00A86630" w:rsidRPr="00FD647F">
        <w:t xml:space="preserve">sche Arbeitsgruppen </w:t>
      </w:r>
      <w:r w:rsidRPr="00FD647F">
        <w:t>(TWP)</w:t>
      </w:r>
      <w:bookmarkEnd w:id="47"/>
      <w:bookmarkEnd w:id="48"/>
      <w:bookmarkEnd w:id="49"/>
    </w:p>
    <w:p w14:paraId="07C286D1" w14:textId="77777777" w:rsidR="00C327B6" w:rsidRPr="00FD647F" w:rsidRDefault="00C327B6" w:rsidP="00C327B6">
      <w:pPr>
        <w:keepNext/>
        <w:rPr>
          <w:lang w:val="de-DE"/>
        </w:rPr>
      </w:pPr>
    </w:p>
    <w:p w14:paraId="17BB67F6" w14:textId="468C802F" w:rsidR="00FD647F" w:rsidRPr="00AB14E2" w:rsidRDefault="00C327B6" w:rsidP="00FD647F">
      <w:pPr>
        <w:rPr>
          <w:lang w:val="de-DE"/>
        </w:rPr>
      </w:pPr>
      <w:r>
        <w:fldChar w:fldCharType="begin"/>
      </w:r>
      <w:r w:rsidRPr="00FD647F">
        <w:rPr>
          <w:lang w:val="de-DE"/>
        </w:rPr>
        <w:instrText xml:space="preserve"> AUTONUM  </w:instrText>
      </w:r>
      <w:r>
        <w:fldChar w:fldCharType="end"/>
      </w:r>
      <w:r w:rsidRPr="00FD647F">
        <w:rPr>
          <w:lang w:val="de-DE"/>
        </w:rPr>
        <w:tab/>
      </w:r>
      <w:r w:rsidR="00602062" w:rsidRPr="00FD647F">
        <w:rPr>
          <w:lang w:val="de-DE"/>
        </w:rPr>
        <w:t>Die TWA hielt auf ihrer einundfünfzigsten Tagung</w:t>
      </w:r>
      <w:r w:rsidRPr="00FA4478">
        <w:rPr>
          <w:vertAlign w:val="superscript"/>
        </w:rPr>
        <w:footnoteReference w:id="3"/>
      </w:r>
      <w:r w:rsidRPr="00FD647F">
        <w:rPr>
          <w:lang w:val="de-DE"/>
        </w:rPr>
        <w:t xml:space="preserve"> </w:t>
      </w:r>
      <w:r w:rsidR="006839C5">
        <w:rPr>
          <w:lang w:val="de-DE"/>
        </w:rPr>
        <w:t xml:space="preserve">eine </w:t>
      </w:r>
      <w:r w:rsidR="009B394C" w:rsidRPr="009B394C">
        <w:rPr>
          <w:lang w:val="de-DE"/>
        </w:rPr>
        <w:t>Erörterungssitzung ab, um es den Teilnehmern zu ermöglichen, Informationen über ihre Arbeit an biochemischen und molekularen Verfahren auszutauschen und mögliche Bereiche für eine Zusammenarbeit zu sondieren</w:t>
      </w:r>
      <w:r w:rsidR="00FD647F" w:rsidRPr="00FD647F">
        <w:rPr>
          <w:lang w:val="de-DE"/>
        </w:rPr>
        <w:t xml:space="preserve">. Die TWA </w:t>
      </w:r>
      <w:r w:rsidR="00AB14E2" w:rsidRPr="00AB14E2">
        <w:rPr>
          <w:lang w:val="de-DE"/>
        </w:rPr>
        <w:t>prüfte, ob die UPOV die Harmonisierung und Zusammenarbeit zwischen Mitgliedern unterstützen sollte, die bereits molekulare Marker bei der DUS-Prüfung verwenden, oder anderen UPOV-Mitgliedern Informationen oder Dienstleistungen der BMT zur Verfügung stellen könnte.</w:t>
      </w:r>
    </w:p>
    <w:p w14:paraId="0B900A9B" w14:textId="77777777" w:rsidR="00FD647F" w:rsidRPr="00FD647F" w:rsidRDefault="00FD647F" w:rsidP="00FD647F">
      <w:pPr>
        <w:rPr>
          <w:lang w:val="de-DE"/>
        </w:rPr>
      </w:pPr>
    </w:p>
    <w:p w14:paraId="60CE5FE5" w14:textId="7C616888" w:rsidR="00C327B6" w:rsidRPr="00746039" w:rsidRDefault="00C327B6" w:rsidP="00C327B6">
      <w:pPr>
        <w:rPr>
          <w:lang w:val="de-DE"/>
        </w:rPr>
      </w:pPr>
      <w:r w:rsidRPr="00F834DA">
        <w:fldChar w:fldCharType="begin"/>
      </w:r>
      <w:r w:rsidRPr="00746039">
        <w:rPr>
          <w:lang w:val="de-DE"/>
        </w:rPr>
        <w:instrText xml:space="preserve"> AUTONUM  </w:instrText>
      </w:r>
      <w:r w:rsidRPr="00F834DA">
        <w:fldChar w:fldCharType="end"/>
      </w:r>
      <w:r w:rsidRPr="00746039">
        <w:rPr>
          <w:lang w:val="de-DE"/>
        </w:rPr>
        <w:tab/>
      </w:r>
      <w:r w:rsidR="00746039" w:rsidRPr="00746039">
        <w:rPr>
          <w:lang w:val="de-DE"/>
        </w:rPr>
        <w:t>Die TWA vereinbarte, dass die TWP eine Plattform für den Austausch von Informationen über molekulare Marker bei der DUS-Prüfung sei, einschließlich</w:t>
      </w:r>
      <w:r w:rsidR="00746039">
        <w:rPr>
          <w:lang w:val="de-DE"/>
        </w:rPr>
        <w:t xml:space="preserve"> </w:t>
      </w:r>
      <w:r w:rsidR="00746039" w:rsidRPr="00746039">
        <w:rPr>
          <w:lang w:val="de-DE"/>
        </w:rPr>
        <w:t xml:space="preserve">Projekten, Zusammenarbeit und Dienstleistungen, die von Mitgliedern </w:t>
      </w:r>
      <w:r w:rsidR="0019624B">
        <w:rPr>
          <w:lang w:val="de-DE"/>
        </w:rPr>
        <w:t>bereitgestellt</w:t>
      </w:r>
      <w:r w:rsidR="00746039" w:rsidRPr="00746039">
        <w:rPr>
          <w:lang w:val="de-DE"/>
        </w:rPr>
        <w:t xml:space="preserve"> werden. Die TWA vereinbarte, dass die UPOV weiterhin Vorträge über die Verwendung molekularer Marker bei der DUS-Prüfung, einschließlich technischer Aspekte, Vertraulichkeit und Zugang zu Daten, fördern sollte.</w:t>
      </w:r>
    </w:p>
    <w:p w14:paraId="6841BBF7" w14:textId="77777777" w:rsidR="00C327B6" w:rsidRPr="00746039" w:rsidRDefault="00C327B6" w:rsidP="00C327B6">
      <w:pPr>
        <w:rPr>
          <w:lang w:val="de-DE"/>
        </w:rPr>
      </w:pPr>
    </w:p>
    <w:p w14:paraId="3CD4E286" w14:textId="4C56112D" w:rsidR="00C327B6" w:rsidRPr="00746039" w:rsidRDefault="00C327B6" w:rsidP="00C327B6">
      <w:pPr>
        <w:rPr>
          <w:lang w:val="de-DE"/>
        </w:rPr>
      </w:pPr>
      <w:r>
        <w:fldChar w:fldCharType="begin"/>
      </w:r>
      <w:r w:rsidRPr="0016564A">
        <w:rPr>
          <w:lang w:val="de-DE"/>
        </w:rPr>
        <w:instrText xml:space="preserve"> AUTONUM  </w:instrText>
      </w:r>
      <w:r>
        <w:fldChar w:fldCharType="end"/>
      </w:r>
      <w:r w:rsidRPr="0016564A">
        <w:rPr>
          <w:lang w:val="de-DE"/>
        </w:rPr>
        <w:tab/>
      </w:r>
      <w:r w:rsidR="0016564A" w:rsidRPr="0016564A">
        <w:rPr>
          <w:lang w:val="de-DE"/>
        </w:rPr>
        <w:t xml:space="preserve">Die TWA hörte ein Referat über die </w:t>
      </w:r>
      <w:r w:rsidR="00746039">
        <w:rPr>
          <w:lang w:val="de-DE"/>
        </w:rPr>
        <w:t>„</w:t>
      </w:r>
      <w:r w:rsidR="0016564A" w:rsidRPr="0016564A">
        <w:rPr>
          <w:lang w:val="de-DE"/>
        </w:rPr>
        <w:t>Verwendung molekularer Verfahren bei der DUS-Prüfung: Bericht aus Argentinien</w:t>
      </w:r>
      <w:r w:rsidR="00EC3E38">
        <w:rPr>
          <w:lang w:val="de-DE"/>
        </w:rPr>
        <w:t>“</w:t>
      </w:r>
      <w:r w:rsidR="0016564A" w:rsidRPr="0016564A">
        <w:rPr>
          <w:lang w:val="de-DE"/>
        </w:rPr>
        <w:t xml:space="preserve"> von einem Sachverständigen aus Argentinien</w:t>
      </w:r>
      <w:r w:rsidR="00746039">
        <w:rPr>
          <w:lang w:val="de-DE"/>
        </w:rPr>
        <w:t>.</w:t>
      </w:r>
      <w:r w:rsidR="0016564A" w:rsidRPr="0016564A">
        <w:rPr>
          <w:lang w:val="de-DE"/>
        </w:rPr>
        <w:t xml:space="preserve"> </w:t>
      </w:r>
      <w:r w:rsidR="0016564A" w:rsidRPr="00746039">
        <w:rPr>
          <w:lang w:val="de-DE"/>
        </w:rPr>
        <w:t xml:space="preserve">Eine </w:t>
      </w:r>
      <w:r w:rsidR="000C74DF">
        <w:rPr>
          <w:lang w:val="de-DE"/>
        </w:rPr>
        <w:t xml:space="preserve">Abschrift </w:t>
      </w:r>
      <w:r w:rsidR="0016564A" w:rsidRPr="00746039">
        <w:rPr>
          <w:lang w:val="de-DE"/>
        </w:rPr>
        <w:t>des Referats ist in Dokument TWA/51/4 enthalten.</w:t>
      </w:r>
    </w:p>
    <w:p w14:paraId="4E0308D1" w14:textId="77777777" w:rsidR="00C327B6" w:rsidRPr="00746039" w:rsidRDefault="00C327B6" w:rsidP="00C327B6">
      <w:pPr>
        <w:rPr>
          <w:lang w:val="de-DE"/>
        </w:rPr>
      </w:pPr>
    </w:p>
    <w:p w14:paraId="65762778" w14:textId="414ADF7C" w:rsidR="00C327B6" w:rsidRPr="00746039" w:rsidRDefault="00C327B6" w:rsidP="00C327B6">
      <w:pPr>
        <w:rPr>
          <w:lang w:val="de-DE"/>
        </w:rPr>
      </w:pPr>
      <w:r>
        <w:fldChar w:fldCharType="begin"/>
      </w:r>
      <w:r w:rsidRPr="00746039">
        <w:rPr>
          <w:lang w:val="de-DE"/>
        </w:rPr>
        <w:instrText xml:space="preserve"> AUTONUM  </w:instrText>
      </w:r>
      <w:r>
        <w:fldChar w:fldCharType="end"/>
      </w:r>
      <w:r w:rsidRPr="00746039">
        <w:rPr>
          <w:lang w:val="de-DE"/>
        </w:rPr>
        <w:tab/>
      </w:r>
      <w:r w:rsidR="00746039" w:rsidRPr="00746039">
        <w:rPr>
          <w:lang w:val="de-DE"/>
        </w:rPr>
        <w:t xml:space="preserve">Die TWA hörte ein Referat über die </w:t>
      </w:r>
      <w:r w:rsidR="00746039" w:rsidRPr="007D4CCD">
        <w:rPr>
          <w:lang w:val="de-DE"/>
        </w:rPr>
        <w:t>„Entwicklung einer Strategie zur Anwendung molekularer SNP-Marker im Rahmen der DUS-Prüfung von Winterraps</w:t>
      </w:r>
      <w:r w:rsidR="001434E6" w:rsidRPr="007D4CCD">
        <w:rPr>
          <w:lang w:val="de-DE"/>
        </w:rPr>
        <w:t>“</w:t>
      </w:r>
      <w:r w:rsidR="00746039" w:rsidRPr="00746039">
        <w:rPr>
          <w:lang w:val="de-DE"/>
        </w:rPr>
        <w:t xml:space="preserve"> von einem Sachverständigen aus Frankreich. Eine </w:t>
      </w:r>
      <w:r w:rsidR="003B0492">
        <w:rPr>
          <w:lang w:val="de-DE"/>
        </w:rPr>
        <w:t>Abschrif</w:t>
      </w:r>
      <w:r w:rsidR="000C74DF">
        <w:rPr>
          <w:lang w:val="de-DE"/>
        </w:rPr>
        <w:t>t</w:t>
      </w:r>
      <w:r w:rsidR="00746039" w:rsidRPr="00746039">
        <w:rPr>
          <w:lang w:val="de-DE"/>
        </w:rPr>
        <w:t xml:space="preserve"> des Referats ist in Dokument TWA/51/4 Add. enthalten.</w:t>
      </w:r>
    </w:p>
    <w:p w14:paraId="00D515DE" w14:textId="77777777" w:rsidR="00C327B6" w:rsidRPr="00746039" w:rsidRDefault="00C327B6" w:rsidP="00C327B6">
      <w:pPr>
        <w:jc w:val="left"/>
        <w:rPr>
          <w:lang w:val="de-DE"/>
        </w:rPr>
      </w:pPr>
    </w:p>
    <w:p w14:paraId="6EDF23C1" w14:textId="0F02235F" w:rsidR="00C327B6" w:rsidRDefault="00C327B6" w:rsidP="00C327B6">
      <w:pPr>
        <w:rPr>
          <w:lang w:val="de-DE"/>
        </w:rPr>
      </w:pPr>
      <w:r w:rsidRPr="00C26C2E">
        <w:fldChar w:fldCharType="begin"/>
      </w:r>
      <w:r w:rsidRPr="00746039">
        <w:rPr>
          <w:lang w:val="de-DE"/>
        </w:rPr>
        <w:instrText xml:space="preserve"> AUTONUM  </w:instrText>
      </w:r>
      <w:r w:rsidRPr="00C26C2E">
        <w:fldChar w:fldCharType="end"/>
      </w:r>
      <w:r w:rsidRPr="00746039">
        <w:rPr>
          <w:lang w:val="de-DE"/>
        </w:rPr>
        <w:tab/>
      </w:r>
      <w:r w:rsidR="00746039" w:rsidRPr="00746039">
        <w:rPr>
          <w:lang w:val="de-DE"/>
        </w:rPr>
        <w:t>Die TWF hörte auf ihrer dreiundfünfzigsten</w:t>
      </w:r>
      <w:r w:rsidRPr="00A36C59">
        <w:rPr>
          <w:vertAlign w:val="superscript"/>
        </w:rPr>
        <w:footnoteReference w:id="4"/>
      </w:r>
      <w:r w:rsidR="00746039" w:rsidRPr="00746039">
        <w:rPr>
          <w:lang w:val="de-DE"/>
        </w:rPr>
        <w:t xml:space="preserve"> Tagung ein Referat über </w:t>
      </w:r>
      <w:r w:rsidR="00465C5D">
        <w:rPr>
          <w:lang w:val="de-DE"/>
        </w:rPr>
        <w:t>die „</w:t>
      </w:r>
      <w:r w:rsidR="00746039" w:rsidRPr="00746039">
        <w:rPr>
          <w:lang w:val="de-DE"/>
        </w:rPr>
        <w:t xml:space="preserve">Anwendung molekularer Verfahren bei der DUS-Prüfung </w:t>
      </w:r>
      <w:r w:rsidR="00746039" w:rsidRPr="00DD2F7B">
        <w:rPr>
          <w:lang w:val="de-DE"/>
        </w:rPr>
        <w:t>und der Durchsetzung von Züchterrechten</w:t>
      </w:r>
      <w:r w:rsidR="00746039" w:rsidRPr="00746039">
        <w:rPr>
          <w:lang w:val="de-DE"/>
        </w:rPr>
        <w:t xml:space="preserve"> im Obstsektor in China</w:t>
      </w:r>
      <w:r w:rsidR="00465C5D">
        <w:rPr>
          <w:lang w:val="de-DE"/>
        </w:rPr>
        <w:t>“</w:t>
      </w:r>
      <w:r w:rsidR="00746039" w:rsidRPr="00746039">
        <w:rPr>
          <w:lang w:val="de-DE"/>
        </w:rPr>
        <w:t xml:space="preserve"> von einem Sachverständigen aus China. Eine </w:t>
      </w:r>
      <w:r w:rsidR="00465C5D">
        <w:rPr>
          <w:lang w:val="de-DE"/>
        </w:rPr>
        <w:t>Abschrift</w:t>
      </w:r>
      <w:r w:rsidR="00746039" w:rsidRPr="00746039">
        <w:rPr>
          <w:lang w:val="de-DE"/>
        </w:rPr>
        <w:t xml:space="preserve"> des Referats ist in Dokument TWF/53/12 enthalten.</w:t>
      </w:r>
    </w:p>
    <w:p w14:paraId="0542B19B" w14:textId="77777777" w:rsidR="00FF47F8" w:rsidRPr="00746039" w:rsidRDefault="00FF47F8" w:rsidP="00C327B6">
      <w:pPr>
        <w:rPr>
          <w:lang w:val="de-DE"/>
        </w:rPr>
      </w:pPr>
    </w:p>
    <w:p w14:paraId="18302A0A" w14:textId="5E0932C1" w:rsidR="00C327B6" w:rsidRDefault="00C327B6" w:rsidP="00C327B6">
      <w:pPr>
        <w:rPr>
          <w:lang w:val="de-DE"/>
        </w:rPr>
      </w:pPr>
      <w:r w:rsidRPr="00F34BF7">
        <w:fldChar w:fldCharType="begin"/>
      </w:r>
      <w:r w:rsidRPr="00FF47F8">
        <w:rPr>
          <w:lang w:val="de-DE"/>
        </w:rPr>
        <w:instrText xml:space="preserve"> AUTONUM  </w:instrText>
      </w:r>
      <w:r w:rsidRPr="00F34BF7">
        <w:fldChar w:fldCharType="end"/>
      </w:r>
      <w:r w:rsidRPr="00FF47F8">
        <w:rPr>
          <w:lang w:val="de-DE"/>
        </w:rPr>
        <w:tab/>
      </w:r>
      <w:r w:rsidR="00FF47F8" w:rsidRPr="00FF47F8">
        <w:rPr>
          <w:lang w:val="de-DE"/>
        </w:rPr>
        <w:t xml:space="preserve">Die TWF merkte an, dass </w:t>
      </w:r>
      <w:r w:rsidR="00F42DE8" w:rsidRPr="00F42DE8">
        <w:rPr>
          <w:lang w:val="de-DE"/>
        </w:rPr>
        <w:t>molekulare Marker in China als erstinstanzliches Nachweisverfahren für die Durchsetzung der Züchterrechte verwendet werden könnten</w:t>
      </w:r>
      <w:r w:rsidR="00F42DE8" w:rsidRPr="00323E96">
        <w:rPr>
          <w:lang w:val="de-DE"/>
        </w:rPr>
        <w:t>, gefolgt von eine</w:t>
      </w:r>
      <w:r w:rsidR="00323E96" w:rsidRPr="00323E96">
        <w:rPr>
          <w:lang w:val="de-DE"/>
        </w:rPr>
        <w:t>r Anbauprüfung</w:t>
      </w:r>
      <w:r w:rsidR="00F42DE8" w:rsidRPr="00323E96">
        <w:rPr>
          <w:lang w:val="de-DE"/>
        </w:rPr>
        <w:t>,</w:t>
      </w:r>
      <w:r w:rsidR="00F42DE8" w:rsidRPr="00F42DE8">
        <w:rPr>
          <w:lang w:val="de-DE"/>
        </w:rPr>
        <w:t xml:space="preserve"> falls erforderlich.</w:t>
      </w:r>
    </w:p>
    <w:p w14:paraId="0500DB26" w14:textId="77777777" w:rsidR="00FB2B9C" w:rsidRPr="00FF47F8" w:rsidRDefault="00FB2B9C" w:rsidP="00C327B6">
      <w:pPr>
        <w:rPr>
          <w:lang w:val="de-DE"/>
        </w:rPr>
      </w:pPr>
    </w:p>
    <w:p w14:paraId="0AC98D2A" w14:textId="3DD12D3A" w:rsidR="00C327B6" w:rsidRPr="00FF47F8" w:rsidRDefault="00C327B6" w:rsidP="00C327B6">
      <w:pPr>
        <w:rPr>
          <w:lang w:val="de-DE"/>
        </w:rPr>
      </w:pPr>
      <w:r w:rsidRPr="00F34BF7">
        <w:fldChar w:fldCharType="begin"/>
      </w:r>
      <w:r w:rsidRPr="00FF47F8">
        <w:rPr>
          <w:lang w:val="de-DE"/>
        </w:rPr>
        <w:instrText xml:space="preserve"> AUTONUM  </w:instrText>
      </w:r>
      <w:r w:rsidRPr="00F34BF7">
        <w:fldChar w:fldCharType="end"/>
      </w:r>
      <w:r w:rsidRPr="00FF47F8">
        <w:rPr>
          <w:lang w:val="de-DE"/>
        </w:rPr>
        <w:tab/>
      </w:r>
      <w:r w:rsidR="00FF47F8" w:rsidRPr="00FF47F8">
        <w:rPr>
          <w:lang w:val="de-DE"/>
        </w:rPr>
        <w:t xml:space="preserve">Nach dem Referat aus China </w:t>
      </w:r>
      <w:r w:rsidR="00854B42">
        <w:rPr>
          <w:lang w:val="de-DE"/>
        </w:rPr>
        <w:t>führte</w:t>
      </w:r>
      <w:r w:rsidR="00FF47F8" w:rsidRPr="00FF47F8">
        <w:rPr>
          <w:lang w:val="de-DE"/>
        </w:rPr>
        <w:t xml:space="preserve"> die TWF eine offene Diskussion über die Verwendung molekularer Marker bei der DUS-Prüfung und der Sortenidentifikation. Die folgenden Aspekte wurden von den Teilnehmern </w:t>
      </w:r>
      <w:r w:rsidR="00623976">
        <w:rPr>
          <w:lang w:val="de-DE"/>
        </w:rPr>
        <w:t>angesprochen</w:t>
      </w:r>
      <w:r w:rsidRPr="00FF47F8">
        <w:rPr>
          <w:lang w:val="de-DE"/>
        </w:rPr>
        <w:t>:</w:t>
      </w:r>
    </w:p>
    <w:p w14:paraId="713946D4" w14:textId="77777777" w:rsidR="00C327B6" w:rsidRPr="00FF47F8" w:rsidRDefault="00C327B6" w:rsidP="00C327B6">
      <w:pPr>
        <w:rPr>
          <w:lang w:val="de-DE"/>
        </w:rPr>
      </w:pPr>
    </w:p>
    <w:p w14:paraId="1418B10E" w14:textId="3BC73944" w:rsidR="00FF47F8" w:rsidRDefault="00FF47F8" w:rsidP="00C327B6">
      <w:pPr>
        <w:pStyle w:val="ListParagraph"/>
        <w:numPr>
          <w:ilvl w:val="0"/>
          <w:numId w:val="2"/>
        </w:numPr>
        <w:spacing w:line="276" w:lineRule="auto"/>
        <w:ind w:left="567" w:firstLine="0"/>
        <w:rPr>
          <w:lang w:val="de-DE"/>
        </w:rPr>
      </w:pPr>
      <w:r w:rsidRPr="00FF47F8">
        <w:rPr>
          <w:lang w:val="de-DE"/>
        </w:rPr>
        <w:t>Möglichkeiten der Zusammenarbeit bei der E</w:t>
      </w:r>
      <w:r w:rsidR="00D85961">
        <w:rPr>
          <w:lang w:val="de-DE"/>
        </w:rPr>
        <w:t>rstell</w:t>
      </w:r>
      <w:r w:rsidRPr="00FF47F8">
        <w:rPr>
          <w:lang w:val="de-DE"/>
        </w:rPr>
        <w:t>ung gemeinsamer Datenbanken, auch für</w:t>
      </w:r>
    </w:p>
    <w:p w14:paraId="7E4BCFBD" w14:textId="31F1C14E" w:rsidR="00FF47F8" w:rsidRPr="00FF47F8" w:rsidRDefault="00FF47F8" w:rsidP="00FF47F8">
      <w:pPr>
        <w:pStyle w:val="ListParagraph"/>
        <w:spacing w:line="276" w:lineRule="auto"/>
        <w:ind w:left="567"/>
        <w:rPr>
          <w:lang w:val="de-DE"/>
        </w:rPr>
      </w:pPr>
      <w:r w:rsidRPr="00FF47F8">
        <w:rPr>
          <w:lang w:val="de-DE"/>
        </w:rPr>
        <w:t xml:space="preserve"> </w:t>
      </w:r>
      <w:r>
        <w:rPr>
          <w:lang w:val="de-DE"/>
        </w:rPr>
        <w:tab/>
      </w:r>
      <w:r w:rsidR="0050385F">
        <w:rPr>
          <w:lang w:val="de-DE"/>
        </w:rPr>
        <w:t>Behörden</w:t>
      </w:r>
      <w:r w:rsidRPr="00FF47F8">
        <w:rPr>
          <w:lang w:val="de-DE"/>
        </w:rPr>
        <w:t xml:space="preserve">, die </w:t>
      </w:r>
      <w:r w:rsidR="001D040E">
        <w:rPr>
          <w:lang w:val="de-DE"/>
        </w:rPr>
        <w:t>nur</w:t>
      </w:r>
      <w:r w:rsidRPr="00FF47F8">
        <w:rPr>
          <w:lang w:val="de-DE"/>
        </w:rPr>
        <w:t xml:space="preserve"> wenige Anträge für bestimmte Pflanzen erhalten </w:t>
      </w:r>
    </w:p>
    <w:p w14:paraId="01D7509B" w14:textId="5491C9DF" w:rsidR="00FF47F8" w:rsidRDefault="00FF47F8" w:rsidP="00C327B6">
      <w:pPr>
        <w:pStyle w:val="ListParagraph"/>
        <w:numPr>
          <w:ilvl w:val="0"/>
          <w:numId w:val="2"/>
        </w:numPr>
        <w:spacing w:line="276" w:lineRule="auto"/>
        <w:ind w:left="1134" w:hanging="567"/>
        <w:rPr>
          <w:lang w:val="de-DE"/>
        </w:rPr>
      </w:pPr>
      <w:r w:rsidRPr="00FF47F8">
        <w:rPr>
          <w:lang w:val="de-DE"/>
        </w:rPr>
        <w:t>Herkunft des Pflanzenmaterials für die DNS-Extraktion (z.</w:t>
      </w:r>
      <w:r w:rsidR="00E21B2A">
        <w:rPr>
          <w:lang w:val="de-DE"/>
        </w:rPr>
        <w:t xml:space="preserve"> </w:t>
      </w:r>
      <w:r w:rsidRPr="00FF47F8">
        <w:rPr>
          <w:lang w:val="de-DE"/>
        </w:rPr>
        <w:t xml:space="preserve">B. das für die DUS-Prüfung </w:t>
      </w:r>
      <w:r w:rsidR="005F7AB1">
        <w:rPr>
          <w:lang w:val="de-DE"/>
        </w:rPr>
        <w:t>vorgesehene</w:t>
      </w:r>
      <w:r w:rsidRPr="00FF47F8">
        <w:rPr>
          <w:lang w:val="de-DE"/>
        </w:rPr>
        <w:t xml:space="preserve"> Material)</w:t>
      </w:r>
    </w:p>
    <w:p w14:paraId="4D92C9A6" w14:textId="5CC7484A" w:rsidR="00FF47F8" w:rsidRDefault="00FF47F8" w:rsidP="00C327B6">
      <w:pPr>
        <w:pStyle w:val="ListParagraph"/>
        <w:numPr>
          <w:ilvl w:val="0"/>
          <w:numId w:val="2"/>
        </w:numPr>
        <w:spacing w:line="276" w:lineRule="auto"/>
        <w:ind w:left="1134" w:hanging="567"/>
        <w:rPr>
          <w:lang w:val="de-DE"/>
        </w:rPr>
      </w:pPr>
      <w:r w:rsidRPr="00FF47F8">
        <w:rPr>
          <w:lang w:val="de-DE"/>
        </w:rPr>
        <w:t xml:space="preserve">Auswahl von Markern für jede Pflanze </w:t>
      </w:r>
      <w:r w:rsidR="00273DD5">
        <w:rPr>
          <w:lang w:val="de-DE"/>
        </w:rPr>
        <w:t>gemäß</w:t>
      </w:r>
      <w:r w:rsidR="00855578">
        <w:rPr>
          <w:lang w:val="de-DE"/>
        </w:rPr>
        <w:t xml:space="preserve"> dem</w:t>
      </w:r>
      <w:r w:rsidRPr="00FF47F8">
        <w:rPr>
          <w:lang w:val="de-DE"/>
        </w:rPr>
        <w:t xml:space="preserve"> Verwendungszweck (z. B. für Züchterrechte und/oder Sortenidentifikation).</w:t>
      </w:r>
    </w:p>
    <w:p w14:paraId="6FD3BCEF" w14:textId="2A6E4D45" w:rsidR="00FF47F8" w:rsidRDefault="00FF47F8" w:rsidP="00C327B6">
      <w:pPr>
        <w:pStyle w:val="ListParagraph"/>
        <w:numPr>
          <w:ilvl w:val="0"/>
          <w:numId w:val="2"/>
        </w:numPr>
        <w:spacing w:line="276" w:lineRule="auto"/>
        <w:ind w:left="567" w:firstLine="0"/>
        <w:rPr>
          <w:lang w:val="de-DE"/>
        </w:rPr>
      </w:pPr>
      <w:r w:rsidRPr="00FF47F8">
        <w:rPr>
          <w:lang w:val="de-DE"/>
        </w:rPr>
        <w:t xml:space="preserve">Auswahl eines oder </w:t>
      </w:r>
      <w:r w:rsidRPr="00574948">
        <w:rPr>
          <w:lang w:val="de-DE"/>
        </w:rPr>
        <w:t>mehrerer Labor</w:t>
      </w:r>
      <w:r w:rsidR="00070D2F" w:rsidRPr="00574948">
        <w:rPr>
          <w:lang w:val="de-DE"/>
        </w:rPr>
        <w:t>e</w:t>
      </w:r>
      <w:r w:rsidRPr="00574948">
        <w:rPr>
          <w:lang w:val="de-DE"/>
        </w:rPr>
        <w:t>,</w:t>
      </w:r>
      <w:r w:rsidRPr="00FF47F8">
        <w:rPr>
          <w:lang w:val="de-DE"/>
        </w:rPr>
        <w:t xml:space="preserve"> d</w:t>
      </w:r>
      <w:r w:rsidR="000A6B21">
        <w:rPr>
          <w:lang w:val="de-DE"/>
        </w:rPr>
        <w:t>ie die Möglichkeit haben</w:t>
      </w:r>
      <w:r w:rsidRPr="00FF47F8">
        <w:rPr>
          <w:lang w:val="de-DE"/>
        </w:rPr>
        <w:t>, qualitativ hochwertige</w:t>
      </w:r>
    </w:p>
    <w:p w14:paraId="15365AC5" w14:textId="6E869EC0" w:rsidR="00FF47F8" w:rsidRPr="00FF47F8" w:rsidRDefault="00FF47F8" w:rsidP="00FF47F8">
      <w:pPr>
        <w:pStyle w:val="ListParagraph"/>
        <w:spacing w:line="276" w:lineRule="auto"/>
        <w:ind w:left="567" w:firstLine="567"/>
        <w:rPr>
          <w:lang w:val="de-DE"/>
        </w:rPr>
      </w:pPr>
      <w:r w:rsidRPr="00FF47F8">
        <w:rPr>
          <w:lang w:val="de-DE"/>
        </w:rPr>
        <w:t xml:space="preserve">molekulare Profile zu erstellen (z. B. </w:t>
      </w:r>
      <w:r w:rsidR="006F6D67" w:rsidRPr="006F6D67">
        <w:rPr>
          <w:lang w:val="de-DE"/>
        </w:rPr>
        <w:t>Sicherheitsbackup</w:t>
      </w:r>
      <w:r w:rsidR="006F6D67">
        <w:rPr>
          <w:lang w:val="de-DE"/>
        </w:rPr>
        <w:t>)</w:t>
      </w:r>
      <w:r w:rsidR="007165A0">
        <w:rPr>
          <w:lang w:val="de-DE"/>
        </w:rPr>
        <w:t>;</w:t>
      </w:r>
    </w:p>
    <w:p w14:paraId="63CA2C79" w14:textId="504777E1" w:rsidR="00FF47F8" w:rsidRDefault="00FF47F8" w:rsidP="00C327B6">
      <w:pPr>
        <w:pStyle w:val="ListParagraph"/>
        <w:numPr>
          <w:ilvl w:val="0"/>
          <w:numId w:val="2"/>
        </w:numPr>
        <w:spacing w:line="276" w:lineRule="auto"/>
        <w:ind w:left="567" w:firstLine="0"/>
        <w:rPr>
          <w:lang w:val="de-DE"/>
        </w:rPr>
      </w:pPr>
      <w:r w:rsidRPr="00FF47F8">
        <w:rPr>
          <w:lang w:val="de-DE"/>
        </w:rPr>
        <w:t>Hohe Kosten für die Harmonisierung der DN</w:t>
      </w:r>
      <w:r w:rsidR="00D616D3">
        <w:rPr>
          <w:lang w:val="de-DE"/>
        </w:rPr>
        <w:t>S</w:t>
      </w:r>
      <w:r w:rsidRPr="00FF47F8">
        <w:rPr>
          <w:lang w:val="de-DE"/>
        </w:rPr>
        <w:t>-Profil</w:t>
      </w:r>
      <w:r w:rsidR="00DF2D5D">
        <w:rPr>
          <w:lang w:val="de-DE"/>
        </w:rPr>
        <w:t>ierungsverfahren</w:t>
      </w:r>
      <w:r w:rsidRPr="00FF47F8">
        <w:rPr>
          <w:lang w:val="de-DE"/>
        </w:rPr>
        <w:t xml:space="preserve"> zwischen</w:t>
      </w:r>
    </w:p>
    <w:p w14:paraId="2BAB3736" w14:textId="7643BBF0" w:rsidR="00FF47F8" w:rsidRDefault="001128CC" w:rsidP="00FF47F8">
      <w:pPr>
        <w:pStyle w:val="ListParagraph"/>
        <w:spacing w:line="276" w:lineRule="auto"/>
        <w:ind w:left="567" w:firstLine="567"/>
        <w:rPr>
          <w:lang w:val="de-DE"/>
        </w:rPr>
      </w:pPr>
      <w:r>
        <w:rPr>
          <w:lang w:val="de-DE"/>
        </w:rPr>
        <w:t>d</w:t>
      </w:r>
      <w:r w:rsidR="00C23B8F">
        <w:rPr>
          <w:lang w:val="de-DE"/>
        </w:rPr>
        <w:t>en einzelnen</w:t>
      </w:r>
      <w:r w:rsidR="00FF47F8" w:rsidRPr="00FF47F8">
        <w:rPr>
          <w:lang w:val="de-DE"/>
        </w:rPr>
        <w:t xml:space="preserve"> </w:t>
      </w:r>
      <w:r w:rsidR="00FF47F8" w:rsidRPr="007E35EA">
        <w:rPr>
          <w:lang w:val="de-DE"/>
        </w:rPr>
        <w:t>Laboren;</w:t>
      </w:r>
      <w:r w:rsidR="00FF47F8">
        <w:rPr>
          <w:lang w:val="de-DE"/>
        </w:rPr>
        <w:t xml:space="preserve"> </w:t>
      </w:r>
    </w:p>
    <w:p w14:paraId="1EC69B16" w14:textId="26840129" w:rsidR="00FF47F8" w:rsidRDefault="00FF47F8" w:rsidP="00FF47F8">
      <w:pPr>
        <w:pStyle w:val="ListParagraph"/>
        <w:numPr>
          <w:ilvl w:val="0"/>
          <w:numId w:val="2"/>
        </w:numPr>
        <w:spacing w:line="276" w:lineRule="auto"/>
        <w:ind w:left="567" w:firstLine="0"/>
        <w:rPr>
          <w:lang w:val="de-DE"/>
        </w:rPr>
      </w:pPr>
      <w:r w:rsidRPr="00FF47F8">
        <w:rPr>
          <w:lang w:val="de-DE"/>
        </w:rPr>
        <w:t xml:space="preserve">Schwierigkeiten, selbst </w:t>
      </w:r>
      <w:r w:rsidRPr="0096401C">
        <w:rPr>
          <w:lang w:val="de-DE"/>
        </w:rPr>
        <w:t>bei Labor</w:t>
      </w:r>
      <w:r w:rsidR="005975CB" w:rsidRPr="0096401C">
        <w:rPr>
          <w:lang w:val="de-DE"/>
        </w:rPr>
        <w:t>en</w:t>
      </w:r>
      <w:r w:rsidR="00DB7772">
        <w:rPr>
          <w:lang w:val="de-DE"/>
        </w:rPr>
        <w:t xml:space="preserve"> mit</w:t>
      </w:r>
      <w:r w:rsidRPr="00FF47F8">
        <w:rPr>
          <w:lang w:val="de-DE"/>
        </w:rPr>
        <w:t xml:space="preserve"> harmonisierte</w:t>
      </w:r>
      <w:r w:rsidR="00DB7772">
        <w:rPr>
          <w:lang w:val="de-DE"/>
        </w:rPr>
        <w:t>n</w:t>
      </w:r>
      <w:r w:rsidRPr="00FF47F8">
        <w:rPr>
          <w:lang w:val="de-DE"/>
        </w:rPr>
        <w:t xml:space="preserve"> </w:t>
      </w:r>
      <w:r w:rsidR="0096401C">
        <w:rPr>
          <w:lang w:val="de-DE"/>
        </w:rPr>
        <w:t>Verfahren</w:t>
      </w:r>
      <w:r w:rsidR="00D536AA">
        <w:rPr>
          <w:lang w:val="de-DE"/>
        </w:rPr>
        <w:t>,</w:t>
      </w:r>
      <w:r w:rsidRPr="00FF47F8">
        <w:rPr>
          <w:lang w:val="de-DE"/>
        </w:rPr>
        <w:t xml:space="preserve"> </w:t>
      </w:r>
      <w:r w:rsidR="00520524">
        <w:rPr>
          <w:lang w:val="de-DE"/>
        </w:rPr>
        <w:t>identische</w:t>
      </w:r>
    </w:p>
    <w:p w14:paraId="1C56C12B" w14:textId="223FE7A3" w:rsidR="00841E29" w:rsidRDefault="00FF47F8" w:rsidP="00841E29">
      <w:pPr>
        <w:pStyle w:val="ListParagraph"/>
        <w:spacing w:line="276" w:lineRule="auto"/>
        <w:ind w:left="567" w:firstLine="567"/>
        <w:rPr>
          <w:lang w:val="de-DE"/>
        </w:rPr>
      </w:pPr>
      <w:r w:rsidRPr="00FF47F8">
        <w:rPr>
          <w:lang w:val="de-DE"/>
        </w:rPr>
        <w:t>Ergebnisse zu erzielen</w:t>
      </w:r>
      <w:r w:rsidR="002A5016">
        <w:rPr>
          <w:lang w:val="de-DE"/>
        </w:rPr>
        <w:t>.</w:t>
      </w:r>
    </w:p>
    <w:p w14:paraId="16E1E086" w14:textId="08A60BFE" w:rsidR="00841E29" w:rsidRPr="00841E29" w:rsidRDefault="00841E29" w:rsidP="00841E29">
      <w:pPr>
        <w:tabs>
          <w:tab w:val="left" w:pos="5370"/>
        </w:tabs>
        <w:rPr>
          <w:lang w:val="de-DE"/>
        </w:rPr>
        <w:sectPr w:rsidR="00841E29" w:rsidRPr="00841E29" w:rsidSect="00403B99">
          <w:headerReference w:type="default" r:id="rId17"/>
          <w:footerReference w:type="default" r:id="rId18"/>
          <w:type w:val="continuous"/>
          <w:pgSz w:w="11907" w:h="16840" w:code="9"/>
          <w:pgMar w:top="510" w:right="1134" w:bottom="1134" w:left="1134" w:header="510" w:footer="680" w:gutter="0"/>
          <w:cols w:space="720"/>
          <w:titlePg/>
          <w:docGrid w:linePitch="272"/>
        </w:sectPr>
      </w:pPr>
    </w:p>
    <w:p w14:paraId="5D4373BA" w14:textId="0E552732" w:rsidR="00C327B6" w:rsidRDefault="00C327B6" w:rsidP="006A6FC5">
      <w:pPr>
        <w:rPr>
          <w:lang w:val="de-DE"/>
        </w:rPr>
      </w:pPr>
      <w:r>
        <w:fldChar w:fldCharType="begin"/>
      </w:r>
      <w:r w:rsidRPr="006A6FC5">
        <w:rPr>
          <w:lang w:val="de-DE"/>
        </w:rPr>
        <w:instrText xml:space="preserve"> AUTONUM  </w:instrText>
      </w:r>
      <w:r>
        <w:fldChar w:fldCharType="end"/>
      </w:r>
      <w:r w:rsidRPr="006A6FC5">
        <w:rPr>
          <w:lang w:val="de-DE"/>
        </w:rPr>
        <w:tab/>
      </w:r>
      <w:r w:rsidR="006A6FC5" w:rsidRPr="006A6FC5">
        <w:rPr>
          <w:lang w:val="de-DE"/>
        </w:rPr>
        <w:t>Die TWO nahm auf ihrer vierundfünfzigsten</w:t>
      </w:r>
      <w:r w:rsidRPr="00A36C59">
        <w:rPr>
          <w:vertAlign w:val="superscript"/>
        </w:rPr>
        <w:footnoteReference w:id="5"/>
      </w:r>
      <w:r w:rsidRPr="006A6FC5">
        <w:rPr>
          <w:lang w:val="de-DE"/>
        </w:rPr>
        <w:t xml:space="preserve"> </w:t>
      </w:r>
      <w:r w:rsidR="006A6FC5" w:rsidRPr="006A6FC5">
        <w:rPr>
          <w:lang w:val="de-DE"/>
        </w:rPr>
        <w:t>Tagung zur Kenntnis, dass keine Berichte über die Anwendung biochemischer und molekularer Verfahren bei der DUS-Prüfung von Zierpflanzen vorgelegt wurden.</w:t>
      </w:r>
    </w:p>
    <w:p w14:paraId="73CD6627" w14:textId="77777777" w:rsidR="006A6FC5" w:rsidRPr="006A6FC5" w:rsidRDefault="006A6FC5" w:rsidP="006A6FC5">
      <w:pPr>
        <w:rPr>
          <w:lang w:val="de-DE"/>
        </w:rPr>
      </w:pPr>
    </w:p>
    <w:p w14:paraId="14C39442" w14:textId="05CC62DF" w:rsidR="006A6FC5" w:rsidRDefault="00C327B6" w:rsidP="00C327B6">
      <w:pPr>
        <w:rPr>
          <w:lang w:val="de-DE"/>
        </w:rPr>
      </w:pPr>
      <w:r w:rsidRPr="00B572C9">
        <w:fldChar w:fldCharType="begin"/>
      </w:r>
      <w:r w:rsidRPr="006A6FC5">
        <w:rPr>
          <w:lang w:val="de-DE"/>
        </w:rPr>
        <w:instrText xml:space="preserve"> AUTONUM  </w:instrText>
      </w:r>
      <w:r w:rsidRPr="00B572C9">
        <w:fldChar w:fldCharType="end"/>
      </w:r>
      <w:r w:rsidRPr="006A6FC5">
        <w:rPr>
          <w:lang w:val="de-DE"/>
        </w:rPr>
        <w:tab/>
      </w:r>
      <w:r w:rsidR="006A6FC5" w:rsidRPr="006A6FC5">
        <w:rPr>
          <w:lang w:val="de-DE"/>
        </w:rPr>
        <w:t>Auf ihrer ersten Tagung</w:t>
      </w:r>
      <w:r w:rsidRPr="00A36C59">
        <w:rPr>
          <w:snapToGrid w:val="0"/>
          <w:vertAlign w:val="superscript"/>
        </w:rPr>
        <w:footnoteReference w:id="6"/>
      </w:r>
      <w:r w:rsidR="006A6FC5" w:rsidRPr="006A6FC5">
        <w:rPr>
          <w:lang w:val="de-DE"/>
        </w:rPr>
        <w:t xml:space="preserve"> hielt die TWM </w:t>
      </w:r>
      <w:r w:rsidR="009B394C">
        <w:rPr>
          <w:lang w:val="de-DE"/>
        </w:rPr>
        <w:t xml:space="preserve">eine </w:t>
      </w:r>
      <w:r w:rsidR="009B394C" w:rsidRPr="009B394C">
        <w:rPr>
          <w:lang w:val="de-DE"/>
        </w:rPr>
        <w:t>Erörterungssitzung ab, um es den Teilnehmern zu ermöglichen, Informationen über ihre Arbeit an biochemischen und molekularen Verfahren auszutauschen und mögliche Bereiche für eine Zusammenarbeit zu sondieren</w:t>
      </w:r>
      <w:r w:rsidR="009B394C">
        <w:rPr>
          <w:lang w:val="de-DE"/>
        </w:rPr>
        <w:t>.</w:t>
      </w:r>
    </w:p>
    <w:p w14:paraId="469B0276" w14:textId="77777777" w:rsidR="009B394C" w:rsidRPr="009B394C" w:rsidRDefault="009B394C" w:rsidP="00C327B6">
      <w:pPr>
        <w:rPr>
          <w:lang w:val="de-DE"/>
        </w:rPr>
      </w:pPr>
    </w:p>
    <w:p w14:paraId="609C6B5A" w14:textId="0C768FFD" w:rsidR="00C327B6" w:rsidRPr="006A6FC5" w:rsidRDefault="00C327B6" w:rsidP="00C327B6">
      <w:pPr>
        <w:rPr>
          <w:lang w:val="de-DE"/>
        </w:rPr>
      </w:pPr>
      <w:r w:rsidRPr="00596EC3">
        <w:fldChar w:fldCharType="begin"/>
      </w:r>
      <w:r w:rsidRPr="006A6FC5">
        <w:rPr>
          <w:lang w:val="de-DE"/>
        </w:rPr>
        <w:instrText xml:space="preserve"> AUTONUM  </w:instrText>
      </w:r>
      <w:r w:rsidRPr="00596EC3">
        <w:fldChar w:fldCharType="end"/>
      </w:r>
      <w:r w:rsidRPr="006A6FC5">
        <w:rPr>
          <w:lang w:val="de-DE"/>
        </w:rPr>
        <w:tab/>
      </w:r>
      <w:r w:rsidR="006A6FC5" w:rsidRPr="006A6FC5">
        <w:rPr>
          <w:lang w:val="de-DE"/>
        </w:rPr>
        <w:t xml:space="preserve">Die TWM vereinbarte, dass genügend Zeit für die Erörterung der Tagesordnungspunkte im künftigen Arbeitsplan für die Tagung vorgesehen werden sollte, und stimmte zu, dass eine offene </w:t>
      </w:r>
      <w:r w:rsidR="000A0EC3" w:rsidRPr="009B394C">
        <w:rPr>
          <w:lang w:val="de-DE"/>
        </w:rPr>
        <w:t>Erörterung</w:t>
      </w:r>
      <w:r w:rsidR="00FC44DD">
        <w:rPr>
          <w:lang w:val="de-DE"/>
        </w:rPr>
        <w:t>srunde</w:t>
      </w:r>
      <w:r w:rsidR="006A6FC5" w:rsidRPr="006A6FC5">
        <w:rPr>
          <w:lang w:val="de-DE"/>
        </w:rPr>
        <w:t xml:space="preserve"> nicht notwendig sei.</w:t>
      </w:r>
    </w:p>
    <w:bookmarkEnd w:id="3"/>
    <w:p w14:paraId="6BCF51A1" w14:textId="77777777" w:rsidR="00C327B6" w:rsidRPr="006A6FC5" w:rsidRDefault="00C327B6" w:rsidP="00C327B6">
      <w:pPr>
        <w:pStyle w:val="DecisionParagraphs"/>
        <w:rPr>
          <w:lang w:val="de-DE"/>
        </w:rPr>
      </w:pPr>
    </w:p>
    <w:p w14:paraId="0B7B89F3" w14:textId="77777777" w:rsidR="00C327B6" w:rsidRPr="006A6FC5" w:rsidRDefault="00C327B6" w:rsidP="00C327B6">
      <w:pPr>
        <w:pStyle w:val="DecisionParagraphs"/>
        <w:rPr>
          <w:lang w:val="de-DE"/>
        </w:rPr>
      </w:pPr>
    </w:p>
    <w:p w14:paraId="70824CE2" w14:textId="094C7BE7" w:rsidR="006A6FC5" w:rsidRPr="00160FAB" w:rsidRDefault="006A6FC5" w:rsidP="006A6FC5">
      <w:pPr>
        <w:pStyle w:val="Heading1"/>
        <w:rPr>
          <w:noProof/>
          <w:lang w:val="de-DE"/>
        </w:rPr>
      </w:pPr>
      <w:bookmarkStart w:id="50" w:name="_Toc85924910"/>
      <w:bookmarkStart w:id="51" w:name="_Toc117464333"/>
      <w:r w:rsidRPr="00B14EC4">
        <w:rPr>
          <w:noProof/>
          <w:lang w:val="de-DE"/>
        </w:rPr>
        <w:t xml:space="preserve">VERTRAULICHKEIT </w:t>
      </w:r>
      <w:r w:rsidR="00771AC1" w:rsidRPr="00B14EC4">
        <w:rPr>
          <w:noProof/>
          <w:lang w:val="de-DE"/>
        </w:rPr>
        <w:t xml:space="preserve">VON </w:t>
      </w:r>
      <w:r w:rsidRPr="00B14EC4">
        <w:rPr>
          <w:noProof/>
          <w:lang w:val="de-DE"/>
        </w:rPr>
        <w:t>UND EIGENTUM AN MOLEKULAREN INFORMATIONEN</w:t>
      </w:r>
      <w:bookmarkEnd w:id="50"/>
      <w:bookmarkEnd w:id="51"/>
    </w:p>
    <w:p w14:paraId="33C3AB2F" w14:textId="77777777" w:rsidR="00C327B6" w:rsidRPr="006A6FC5" w:rsidRDefault="00C327B6" w:rsidP="00C327B6">
      <w:pPr>
        <w:rPr>
          <w:lang w:val="de-DE"/>
        </w:rPr>
      </w:pPr>
    </w:p>
    <w:p w14:paraId="748B07CE" w14:textId="575B979E" w:rsidR="00010375" w:rsidRPr="006A6FC5" w:rsidRDefault="00010375" w:rsidP="00010375">
      <w:pPr>
        <w:rPr>
          <w:rFonts w:eastAsiaTheme="minorEastAsia"/>
          <w:lang w:val="de-DE" w:eastAsia="ja-JP"/>
        </w:rPr>
      </w:pPr>
      <w:r w:rsidRPr="001857B6">
        <w:fldChar w:fldCharType="begin"/>
      </w:r>
      <w:r w:rsidRPr="006A6FC5">
        <w:rPr>
          <w:lang w:val="de-DE"/>
        </w:rPr>
        <w:instrText xml:space="preserve"> AUTONUM  </w:instrText>
      </w:r>
      <w:r w:rsidRPr="001857B6">
        <w:fldChar w:fldCharType="end"/>
      </w:r>
      <w:r w:rsidRPr="006A6FC5">
        <w:rPr>
          <w:lang w:val="de-DE"/>
        </w:rPr>
        <w:tab/>
      </w:r>
      <w:r w:rsidR="006A6FC5" w:rsidRPr="006A6FC5">
        <w:rPr>
          <w:rFonts w:eastAsiaTheme="minorEastAsia"/>
          <w:lang w:val="de-DE" w:eastAsia="ja-JP"/>
        </w:rPr>
        <w:t xml:space="preserve">Der Hintergrund zu dieser Angelegenheit ist in Dokument CAJ/78/INF/5 </w:t>
      </w:r>
      <w:r w:rsidR="006A6FC5">
        <w:rPr>
          <w:rFonts w:eastAsiaTheme="minorEastAsia"/>
          <w:lang w:val="de-DE" w:eastAsia="ja-JP"/>
        </w:rPr>
        <w:t>„</w:t>
      </w:r>
      <w:r w:rsidR="006A6FC5" w:rsidRPr="006A6FC5">
        <w:rPr>
          <w:rFonts w:eastAsiaTheme="minorEastAsia"/>
          <w:lang w:val="de-DE" w:eastAsia="ja-JP"/>
        </w:rPr>
        <w:t>Molekulare Verfahren</w:t>
      </w:r>
      <w:r w:rsidR="00A229DC">
        <w:rPr>
          <w:rFonts w:eastAsiaTheme="minorEastAsia"/>
          <w:lang w:val="de-DE" w:eastAsia="ja-JP"/>
        </w:rPr>
        <w:t>“</w:t>
      </w:r>
      <w:r w:rsidR="006A6FC5" w:rsidRPr="006A6FC5">
        <w:rPr>
          <w:rFonts w:eastAsiaTheme="minorEastAsia"/>
          <w:lang w:val="de-DE" w:eastAsia="ja-JP"/>
        </w:rPr>
        <w:t>, Absätze 45 bis 55, dargelegt.</w:t>
      </w:r>
    </w:p>
    <w:p w14:paraId="14B772F5" w14:textId="77777777" w:rsidR="00C327B6" w:rsidRPr="006A6FC5" w:rsidRDefault="00C327B6" w:rsidP="00C327B6">
      <w:pPr>
        <w:rPr>
          <w:lang w:val="de-DE"/>
        </w:rPr>
      </w:pPr>
    </w:p>
    <w:p w14:paraId="5CC1E410" w14:textId="546840CB" w:rsidR="00C327B6" w:rsidRPr="0020189A" w:rsidRDefault="00C327B6" w:rsidP="00C327B6">
      <w:pPr>
        <w:rPr>
          <w:lang w:val="de-DE"/>
        </w:rPr>
      </w:pPr>
      <w:r w:rsidRPr="00302B08">
        <w:fldChar w:fldCharType="begin"/>
      </w:r>
      <w:r w:rsidRPr="00815525">
        <w:rPr>
          <w:lang w:val="de-DE"/>
        </w:rPr>
        <w:instrText xml:space="preserve"> AUTONUM  </w:instrText>
      </w:r>
      <w:r w:rsidRPr="00302B08">
        <w:fldChar w:fldCharType="end"/>
      </w:r>
      <w:r w:rsidRPr="00815525">
        <w:rPr>
          <w:lang w:val="de-DE"/>
        </w:rPr>
        <w:tab/>
      </w:r>
      <w:r w:rsidR="00F35BE0" w:rsidRPr="00F35BE0">
        <w:rPr>
          <w:lang w:val="de-DE"/>
        </w:rPr>
        <w:t xml:space="preserve">Die TWP und die BMT hörten auf ihren Tagungen im Jahr 2021 ein Referat über </w:t>
      </w:r>
      <w:r w:rsidR="00F35BE0" w:rsidRPr="00F35BE0">
        <w:rPr>
          <w:i/>
          <w:iCs/>
          <w:lang w:val="de-DE"/>
        </w:rPr>
        <w:t>„Confidentiality &amp; Ownership of Molecular Information“</w:t>
      </w:r>
      <w:r w:rsidR="00F35BE0" w:rsidRPr="00F35BE0">
        <w:rPr>
          <w:lang w:val="de-DE"/>
        </w:rPr>
        <w:t xml:space="preserve"> (Vertraulichkeit von und Eigentum an molekularen Informationen) von einem Sachverständigen im Auftrag des Afrikanischen Saatguthandelsverbandes (AFSTA), der Saatgutvereinigung für Asien und den Pazifik (APSA), der Internationalen Gemeinschaft der Züchter vegetativ vermehrbarer Zier- und Obstpflanzen (CIOPORA), von CropLife International, Euroseeds, des Internationalen Saatgutverbandes (ISF) und der </w:t>
      </w:r>
      <w:r w:rsidR="00F35BE0" w:rsidRPr="00F35BE0">
        <w:rPr>
          <w:rFonts w:cs="Arial"/>
          <w:i/>
          <w:iCs/>
          <w:lang w:val="de-DE"/>
        </w:rPr>
        <w:t>Seed Association of the Americas</w:t>
      </w:r>
      <w:r w:rsidR="00F35BE0" w:rsidRPr="00F35BE0">
        <w:rPr>
          <w:lang w:val="de-DE"/>
        </w:rPr>
        <w:t xml:space="preserve"> (SAA).</w:t>
      </w:r>
      <w:r w:rsidR="00815525" w:rsidRPr="00815525">
        <w:rPr>
          <w:lang w:val="de-DE"/>
        </w:rPr>
        <w:t xml:space="preserve"> Die TWP und die BMT </w:t>
      </w:r>
      <w:r w:rsidR="0020189A" w:rsidRPr="0020189A">
        <w:rPr>
          <w:lang w:val="de-DE"/>
        </w:rPr>
        <w:t>prüften den Vorschlag, das Dokument TGP/5, Abschnitt 3: Musterantragsformblatt, zu überarbeiten, um einen Antrag auf Vertraulichkeit von molekularen Informationen über Kandidatensorten wie folgt aufzunehmen:</w:t>
      </w:r>
    </w:p>
    <w:p w14:paraId="15572975" w14:textId="77777777" w:rsidR="00C327B6" w:rsidRPr="00815525" w:rsidRDefault="00C327B6" w:rsidP="00C327B6">
      <w:pPr>
        <w:ind w:left="567" w:right="567"/>
        <w:rPr>
          <w:lang w:val="de-DE"/>
        </w:rPr>
      </w:pPr>
    </w:p>
    <w:p w14:paraId="7B1DC0B0" w14:textId="44216A1B" w:rsidR="00870B1C" w:rsidRPr="00870B1C" w:rsidRDefault="00302FB8" w:rsidP="00870B1C">
      <w:pPr>
        <w:ind w:left="567" w:right="567"/>
        <w:rPr>
          <w:i/>
          <w:lang w:val="de-DE"/>
        </w:rPr>
      </w:pPr>
      <w:r>
        <w:rPr>
          <w:i/>
          <w:lang w:val="de-DE"/>
        </w:rPr>
        <w:t>„</w:t>
      </w:r>
      <w:r w:rsidR="00815525" w:rsidRPr="00815525">
        <w:rPr>
          <w:i/>
          <w:lang w:val="de-DE"/>
        </w:rPr>
        <w:t xml:space="preserve">Ich/Wir beantrage(n), </w:t>
      </w:r>
      <w:r w:rsidR="00870B1C" w:rsidRPr="00870B1C">
        <w:rPr>
          <w:i/>
          <w:lang w:val="de-DE"/>
        </w:rPr>
        <w:t>dass die molekularen Informationen bezüglich der Sorte vertraulich bleiben und der Austausch mit einem anderen UPOV-Mitglied oder einem Prüfungsamt der Zustimmung des Antragstellers unterliegt.</w:t>
      </w:r>
      <w:r w:rsidR="00B64C14">
        <w:rPr>
          <w:i/>
          <w:lang w:val="de-DE"/>
        </w:rPr>
        <w:t>“</w:t>
      </w:r>
    </w:p>
    <w:p w14:paraId="2758A42E" w14:textId="77777777" w:rsidR="00C327B6" w:rsidRPr="00815525" w:rsidRDefault="00C327B6" w:rsidP="00C327B6">
      <w:pPr>
        <w:rPr>
          <w:lang w:val="de-DE"/>
        </w:rPr>
      </w:pPr>
    </w:p>
    <w:p w14:paraId="0E9F40DF" w14:textId="61CD98BC" w:rsidR="00C327B6" w:rsidRPr="00815525" w:rsidRDefault="00C327B6" w:rsidP="00C327B6">
      <w:pPr>
        <w:keepNext/>
        <w:rPr>
          <w:rFonts w:cs="Arial"/>
          <w:lang w:val="de-DE"/>
        </w:rPr>
      </w:pPr>
      <w:r w:rsidRPr="00465745">
        <w:fldChar w:fldCharType="begin"/>
      </w:r>
      <w:r w:rsidRPr="00815525">
        <w:rPr>
          <w:lang w:val="de-DE"/>
        </w:rPr>
        <w:instrText xml:space="preserve"> AUTONUM  </w:instrText>
      </w:r>
      <w:r w:rsidRPr="00465745">
        <w:fldChar w:fldCharType="end"/>
      </w:r>
      <w:r w:rsidRPr="00815525">
        <w:rPr>
          <w:lang w:val="de-DE"/>
        </w:rPr>
        <w:tab/>
      </w:r>
      <w:r w:rsidR="00815525">
        <w:rPr>
          <w:lang w:val="de-DE"/>
        </w:rPr>
        <w:t>Die</w:t>
      </w:r>
      <w:r w:rsidRPr="00815525">
        <w:rPr>
          <w:lang w:val="de-DE"/>
        </w:rPr>
        <w:t xml:space="preserve"> TWV</w:t>
      </w:r>
      <w:r w:rsidRPr="00A36C59">
        <w:rPr>
          <w:vertAlign w:val="superscript"/>
        </w:rPr>
        <w:footnoteReference w:id="7"/>
      </w:r>
      <w:r w:rsidRPr="00815525">
        <w:rPr>
          <w:lang w:val="de-DE"/>
        </w:rPr>
        <w:t xml:space="preserve">, </w:t>
      </w:r>
      <w:r w:rsidR="00815525">
        <w:rPr>
          <w:lang w:val="de-DE"/>
        </w:rPr>
        <w:t xml:space="preserve">die </w:t>
      </w:r>
      <w:r w:rsidRPr="00815525">
        <w:rPr>
          <w:lang w:val="de-DE"/>
        </w:rPr>
        <w:t>TWA</w:t>
      </w:r>
      <w:r w:rsidRPr="00A36C59">
        <w:rPr>
          <w:vertAlign w:val="superscript"/>
        </w:rPr>
        <w:footnoteReference w:id="8"/>
      </w:r>
      <w:r w:rsidRPr="00815525">
        <w:rPr>
          <w:lang w:val="de-DE"/>
        </w:rPr>
        <w:t xml:space="preserve">, </w:t>
      </w:r>
      <w:r w:rsidR="00815525">
        <w:rPr>
          <w:lang w:val="de-DE"/>
        </w:rPr>
        <w:t xml:space="preserve">die </w:t>
      </w:r>
      <w:r w:rsidRPr="00815525">
        <w:rPr>
          <w:lang w:val="de-DE"/>
        </w:rPr>
        <w:t>TWO</w:t>
      </w:r>
      <w:r w:rsidRPr="00A36C59">
        <w:rPr>
          <w:vertAlign w:val="superscript"/>
        </w:rPr>
        <w:footnoteReference w:id="9"/>
      </w:r>
      <w:r w:rsidRPr="00815525">
        <w:rPr>
          <w:lang w:val="de-DE"/>
        </w:rPr>
        <w:t xml:space="preserve">, </w:t>
      </w:r>
      <w:r w:rsidR="00815525">
        <w:rPr>
          <w:lang w:val="de-DE"/>
        </w:rPr>
        <w:t xml:space="preserve">die </w:t>
      </w:r>
      <w:r w:rsidRPr="00815525">
        <w:rPr>
          <w:lang w:val="de-DE"/>
        </w:rPr>
        <w:t>TWF</w:t>
      </w:r>
      <w:r w:rsidRPr="00A36C59">
        <w:rPr>
          <w:vertAlign w:val="superscript"/>
        </w:rPr>
        <w:footnoteReference w:id="10"/>
      </w:r>
      <w:r w:rsidRPr="00815525">
        <w:rPr>
          <w:lang w:val="de-DE"/>
        </w:rPr>
        <w:t xml:space="preserve"> </w:t>
      </w:r>
      <w:r w:rsidR="00815525">
        <w:rPr>
          <w:lang w:val="de-DE"/>
        </w:rPr>
        <w:t>u</w:t>
      </w:r>
      <w:r w:rsidRPr="00815525">
        <w:rPr>
          <w:lang w:val="de-DE"/>
        </w:rPr>
        <w:t xml:space="preserve">nd </w:t>
      </w:r>
      <w:r w:rsidR="00815525">
        <w:rPr>
          <w:lang w:val="de-DE"/>
        </w:rPr>
        <w:t xml:space="preserve">die </w:t>
      </w:r>
      <w:r w:rsidRPr="00815525">
        <w:rPr>
          <w:snapToGrid w:val="0"/>
          <w:lang w:val="de-DE"/>
        </w:rPr>
        <w:t>TWM</w:t>
      </w:r>
      <w:r w:rsidRPr="00A36C59">
        <w:rPr>
          <w:snapToGrid w:val="0"/>
          <w:vertAlign w:val="superscript"/>
        </w:rPr>
        <w:footnoteReference w:id="11"/>
      </w:r>
      <w:r w:rsidR="00815525">
        <w:rPr>
          <w:snapToGrid w:val="0"/>
          <w:lang w:val="de-DE"/>
        </w:rPr>
        <w:t xml:space="preserve"> </w:t>
      </w:r>
      <w:r w:rsidR="00815525" w:rsidRPr="00815525">
        <w:rPr>
          <w:snapToGrid w:val="0"/>
          <w:lang w:val="de-DE"/>
        </w:rPr>
        <w:t xml:space="preserve">nahmen auf ihren Tagungen </w:t>
      </w:r>
      <w:r w:rsidR="00B65860" w:rsidRPr="00815525">
        <w:rPr>
          <w:snapToGrid w:val="0"/>
          <w:lang w:val="de-DE"/>
        </w:rPr>
        <w:t>im Jahr 20</w:t>
      </w:r>
      <w:r w:rsidR="00F32E65">
        <w:rPr>
          <w:snapToGrid w:val="0"/>
          <w:lang w:val="de-DE"/>
        </w:rPr>
        <w:t>2</w:t>
      </w:r>
      <w:r w:rsidR="00B65860" w:rsidRPr="00815525">
        <w:rPr>
          <w:snapToGrid w:val="0"/>
          <w:lang w:val="de-DE"/>
        </w:rPr>
        <w:t>2</w:t>
      </w:r>
      <w:r w:rsidR="00815525" w:rsidRPr="00815525">
        <w:rPr>
          <w:snapToGrid w:val="0"/>
          <w:lang w:val="de-DE"/>
        </w:rPr>
        <w:t xml:space="preserve"> die in den TWP und der BMT auf ihren Tagungen im Jahr 2021 geführten Erörterungen über </w:t>
      </w:r>
      <w:r w:rsidR="00242019">
        <w:rPr>
          <w:snapToGrid w:val="0"/>
          <w:lang w:val="de-DE"/>
        </w:rPr>
        <w:t>„</w:t>
      </w:r>
      <w:r w:rsidR="00701D19" w:rsidRPr="00022A55">
        <w:rPr>
          <w:lang w:val="de-DE"/>
        </w:rPr>
        <w:t>Vertraulichkeit von und Eigentum an molekularen Informationen</w:t>
      </w:r>
      <w:r w:rsidR="00B64C14">
        <w:rPr>
          <w:snapToGrid w:val="0"/>
          <w:lang w:val="de-DE"/>
        </w:rPr>
        <w:t>“</w:t>
      </w:r>
      <w:r w:rsidR="00815525" w:rsidRPr="00815525">
        <w:rPr>
          <w:snapToGrid w:val="0"/>
          <w:lang w:val="de-DE"/>
        </w:rPr>
        <w:t xml:space="preserve"> zur Kenntnis.</w:t>
      </w:r>
    </w:p>
    <w:p w14:paraId="0E885B6B" w14:textId="77777777" w:rsidR="00C327B6" w:rsidRPr="00815525" w:rsidRDefault="00C327B6" w:rsidP="00C327B6">
      <w:pPr>
        <w:rPr>
          <w:rFonts w:cs="Arial"/>
          <w:iCs/>
          <w:lang w:val="de-DE"/>
        </w:rPr>
      </w:pPr>
    </w:p>
    <w:p w14:paraId="33A51081" w14:textId="44E85073" w:rsidR="00C327B6" w:rsidRDefault="00C327B6" w:rsidP="00C327B6">
      <w:pPr>
        <w:keepNext/>
        <w:rPr>
          <w:rFonts w:cs="Arial"/>
          <w:lang w:val="de-DE"/>
        </w:rPr>
      </w:pPr>
      <w:r w:rsidRPr="00F834DA">
        <w:rPr>
          <w:rFonts w:cs="Arial"/>
        </w:rPr>
        <w:fldChar w:fldCharType="begin"/>
      </w:r>
      <w:r w:rsidRPr="003F3B8D">
        <w:rPr>
          <w:rFonts w:cs="Arial"/>
          <w:lang w:val="de-DE"/>
        </w:rPr>
        <w:instrText xml:space="preserve"> AUTONUM  </w:instrText>
      </w:r>
      <w:r w:rsidRPr="00F834DA">
        <w:rPr>
          <w:rFonts w:cs="Arial"/>
        </w:rPr>
        <w:fldChar w:fldCharType="end"/>
      </w:r>
      <w:r w:rsidRPr="003F3B8D">
        <w:rPr>
          <w:rFonts w:cs="Arial"/>
          <w:lang w:val="de-DE"/>
        </w:rPr>
        <w:tab/>
      </w:r>
      <w:r w:rsidR="003F3B8D" w:rsidRPr="003F3B8D">
        <w:rPr>
          <w:rFonts w:cs="Arial"/>
          <w:lang w:val="de-DE"/>
        </w:rPr>
        <w:t xml:space="preserve">Die TWA nahm auf ihrer einundfünfzigsten Tagung den Bericht der </w:t>
      </w:r>
      <w:r w:rsidR="00DD4C0A">
        <w:rPr>
          <w:rFonts w:cs="Arial"/>
          <w:lang w:val="de-DE"/>
        </w:rPr>
        <w:t>beteiligten</w:t>
      </w:r>
      <w:r w:rsidR="003F3B8D" w:rsidRPr="003F3B8D">
        <w:rPr>
          <w:rFonts w:cs="Arial"/>
          <w:lang w:val="de-DE"/>
        </w:rPr>
        <w:t xml:space="preserve"> Züchterorganisationen zur Kenntnis, dass eine Umfrage</w:t>
      </w:r>
      <w:r w:rsidR="00ED4472">
        <w:rPr>
          <w:rFonts w:cs="Arial"/>
          <w:lang w:val="de-DE"/>
        </w:rPr>
        <w:t xml:space="preserve"> zur</w:t>
      </w:r>
      <w:r w:rsidR="003F3B8D" w:rsidRPr="003F3B8D">
        <w:rPr>
          <w:rFonts w:cs="Arial"/>
          <w:lang w:val="de-DE"/>
        </w:rPr>
        <w:t xml:space="preserve"> Vertraulichkeit </w:t>
      </w:r>
      <w:r w:rsidR="00BA48EB">
        <w:rPr>
          <w:rFonts w:cs="Arial"/>
          <w:lang w:val="de-DE"/>
        </w:rPr>
        <w:t xml:space="preserve">von </w:t>
      </w:r>
      <w:r w:rsidR="003F3B8D" w:rsidRPr="003F3B8D">
        <w:rPr>
          <w:rFonts w:cs="Arial"/>
          <w:lang w:val="de-DE"/>
        </w:rPr>
        <w:t>molekulare</w:t>
      </w:r>
      <w:r w:rsidR="00BA48EB">
        <w:rPr>
          <w:rFonts w:cs="Arial"/>
          <w:lang w:val="de-DE"/>
        </w:rPr>
        <w:t>n</w:t>
      </w:r>
      <w:r w:rsidR="003F3B8D" w:rsidRPr="003F3B8D">
        <w:rPr>
          <w:rFonts w:cs="Arial"/>
          <w:lang w:val="de-DE"/>
        </w:rPr>
        <w:t xml:space="preserve"> </w:t>
      </w:r>
      <w:r w:rsidR="00BA48EB">
        <w:rPr>
          <w:rFonts w:cs="Arial"/>
          <w:lang w:val="de-DE"/>
        </w:rPr>
        <w:t>Informationen</w:t>
      </w:r>
      <w:r w:rsidR="003F3B8D" w:rsidRPr="003F3B8D">
        <w:rPr>
          <w:rFonts w:cs="Arial"/>
          <w:lang w:val="de-DE"/>
        </w:rPr>
        <w:t xml:space="preserve"> bei Pflanzenzüchtungsunternehmen in verschiedenen Organisationen durchgeführt werde. Die TWA nahm zur Kenntnis, dass die Ergebnisse der Umfrage der TWM auf ihrer ersten Sitzung vorgelegt werden würden. Die TWA vereinbarte, die </w:t>
      </w:r>
      <w:r w:rsidR="00942F59">
        <w:rPr>
          <w:rFonts w:cs="Arial"/>
          <w:lang w:val="de-DE"/>
        </w:rPr>
        <w:t>beteiligten</w:t>
      </w:r>
      <w:r w:rsidR="003F3B8D" w:rsidRPr="003F3B8D">
        <w:rPr>
          <w:rFonts w:cs="Arial"/>
          <w:lang w:val="de-DE"/>
        </w:rPr>
        <w:t xml:space="preserve"> Züchterorganisationen zu ersuchen, auf ihrer zweiundfünfzigsten Tagung über die Entwicklungen zu berichten.</w:t>
      </w:r>
    </w:p>
    <w:p w14:paraId="04554B84" w14:textId="77777777" w:rsidR="003F3B8D" w:rsidRPr="003F3B8D" w:rsidRDefault="003F3B8D" w:rsidP="00C327B6">
      <w:pPr>
        <w:keepNext/>
        <w:rPr>
          <w:rFonts w:cs="Arial"/>
          <w:lang w:val="de-DE"/>
        </w:rPr>
      </w:pPr>
    </w:p>
    <w:p w14:paraId="5E76E3BA" w14:textId="7FF2C3D3" w:rsidR="00C327B6" w:rsidRPr="003F3B8D" w:rsidRDefault="00C327B6" w:rsidP="00C327B6">
      <w:pPr>
        <w:rPr>
          <w:lang w:val="de-DE"/>
        </w:rPr>
      </w:pPr>
      <w:r w:rsidRPr="000634C8">
        <w:fldChar w:fldCharType="begin"/>
      </w:r>
      <w:r w:rsidRPr="003F3B8D">
        <w:rPr>
          <w:lang w:val="de-DE"/>
        </w:rPr>
        <w:instrText xml:space="preserve"> AUTONUM  </w:instrText>
      </w:r>
      <w:r w:rsidRPr="000634C8">
        <w:fldChar w:fldCharType="end"/>
      </w:r>
      <w:r w:rsidRPr="003F3B8D">
        <w:rPr>
          <w:lang w:val="de-DE"/>
        </w:rPr>
        <w:tab/>
      </w:r>
      <w:r w:rsidR="003F3B8D" w:rsidRPr="003F3B8D">
        <w:rPr>
          <w:lang w:val="de-DE"/>
        </w:rPr>
        <w:t xml:space="preserve">Die TWM hörte auf ihrer ersten Sitzung ein Referat von Herrn Marcel Bruins (CropLife International) </w:t>
      </w:r>
      <w:r w:rsidR="003F3B8D" w:rsidRPr="007E39A0">
        <w:rPr>
          <w:lang w:val="de-DE"/>
        </w:rPr>
        <w:t xml:space="preserve">über „Vertraulichkeit </w:t>
      </w:r>
      <w:r w:rsidR="00823868" w:rsidRPr="007E39A0">
        <w:rPr>
          <w:lang w:val="de-DE"/>
        </w:rPr>
        <w:t xml:space="preserve">von </w:t>
      </w:r>
      <w:r w:rsidR="003F3B8D" w:rsidRPr="007E39A0">
        <w:rPr>
          <w:lang w:val="de-DE"/>
        </w:rPr>
        <w:t>und Eigentum an molekularen Informationen</w:t>
      </w:r>
      <w:r w:rsidR="00BF0FFE">
        <w:rPr>
          <w:lang w:val="de-DE"/>
        </w:rPr>
        <w:t>“</w:t>
      </w:r>
      <w:r w:rsidR="003F3B8D" w:rsidRPr="007E39A0">
        <w:rPr>
          <w:lang w:val="de-DE"/>
        </w:rPr>
        <w:t>,</w:t>
      </w:r>
      <w:r w:rsidR="003F3B8D" w:rsidRPr="003F3B8D">
        <w:rPr>
          <w:lang w:val="de-DE"/>
        </w:rPr>
        <w:t xml:space="preserve"> von dem eine</w:t>
      </w:r>
      <w:r w:rsidR="007E39A0">
        <w:rPr>
          <w:lang w:val="de-DE"/>
        </w:rPr>
        <w:t xml:space="preserve"> Abschrift</w:t>
      </w:r>
      <w:r w:rsidR="003F3B8D" w:rsidRPr="003F3B8D">
        <w:rPr>
          <w:lang w:val="de-DE"/>
        </w:rPr>
        <w:t xml:space="preserve"> in Dokument TWM/1/22 wiedergegeben ist.</w:t>
      </w:r>
    </w:p>
    <w:p w14:paraId="120B3F9F" w14:textId="77777777" w:rsidR="00C327B6" w:rsidRPr="003F3B8D" w:rsidRDefault="00C327B6" w:rsidP="00C327B6">
      <w:pPr>
        <w:rPr>
          <w:lang w:val="de-DE"/>
        </w:rPr>
      </w:pPr>
    </w:p>
    <w:p w14:paraId="2DBEBE6E" w14:textId="15E10A9E" w:rsidR="004C7097" w:rsidRDefault="00C327B6" w:rsidP="00C327B6">
      <w:pPr>
        <w:rPr>
          <w:rFonts w:cs="Arial"/>
          <w:iCs/>
          <w:lang w:val="de-DE"/>
        </w:rPr>
        <w:sectPr w:rsidR="004C7097" w:rsidSect="00EA3079">
          <w:headerReference w:type="default" r:id="rId19"/>
          <w:headerReference w:type="first" r:id="rId20"/>
          <w:pgSz w:w="11907" w:h="16840" w:code="9"/>
          <w:pgMar w:top="510" w:right="1134" w:bottom="1134" w:left="1134" w:header="510" w:footer="680" w:gutter="0"/>
          <w:cols w:space="720"/>
          <w:docGrid w:linePitch="272"/>
        </w:sectPr>
      </w:pPr>
      <w:r w:rsidRPr="008B640B">
        <w:rPr>
          <w:rFonts w:cs="Arial"/>
          <w:iCs/>
        </w:rPr>
        <w:fldChar w:fldCharType="begin"/>
      </w:r>
      <w:r w:rsidRPr="003F3B8D">
        <w:rPr>
          <w:rFonts w:cs="Arial"/>
          <w:iCs/>
          <w:lang w:val="de-DE"/>
        </w:rPr>
        <w:instrText xml:space="preserve"> AUTONUM  </w:instrText>
      </w:r>
      <w:r w:rsidRPr="008B640B">
        <w:rPr>
          <w:rFonts w:cs="Arial"/>
          <w:iCs/>
        </w:rPr>
        <w:fldChar w:fldCharType="end"/>
      </w:r>
      <w:r w:rsidRPr="003F3B8D">
        <w:rPr>
          <w:rFonts w:cs="Arial"/>
          <w:iCs/>
          <w:lang w:val="de-DE"/>
        </w:rPr>
        <w:tab/>
      </w:r>
      <w:r w:rsidR="003F3B8D" w:rsidRPr="003F3B8D">
        <w:rPr>
          <w:rFonts w:cs="Arial"/>
          <w:iCs/>
          <w:lang w:val="de-DE"/>
        </w:rPr>
        <w:t xml:space="preserve">Die TWM nahm die von den Züchterorganisationen geäußerte Besorgnis zur Kenntnis, dass </w:t>
      </w:r>
      <w:r w:rsidR="006F0648" w:rsidRPr="003F3B8D">
        <w:rPr>
          <w:rFonts w:cs="Arial"/>
          <w:iCs/>
          <w:lang w:val="de-DE"/>
        </w:rPr>
        <w:t xml:space="preserve">die für die Prüfung einer Sorte </w:t>
      </w:r>
      <w:r w:rsidR="00CC66A3">
        <w:rPr>
          <w:rFonts w:cs="Arial"/>
          <w:iCs/>
          <w:lang w:val="de-DE"/>
        </w:rPr>
        <w:t>eing</w:t>
      </w:r>
      <w:r w:rsidR="00B50A80">
        <w:rPr>
          <w:rFonts w:cs="Arial"/>
          <w:iCs/>
          <w:lang w:val="de-DE"/>
        </w:rPr>
        <w:t xml:space="preserve">ereichten </w:t>
      </w:r>
      <w:r w:rsidR="003F3B8D" w:rsidRPr="003F3B8D">
        <w:rPr>
          <w:rFonts w:cs="Arial"/>
          <w:iCs/>
          <w:lang w:val="de-DE"/>
        </w:rPr>
        <w:t>molekulare</w:t>
      </w:r>
      <w:r w:rsidR="00B50A80">
        <w:rPr>
          <w:rFonts w:cs="Arial"/>
          <w:iCs/>
          <w:lang w:val="de-DE"/>
        </w:rPr>
        <w:t>n</w:t>
      </w:r>
      <w:r w:rsidR="003F3B8D" w:rsidRPr="003F3B8D">
        <w:rPr>
          <w:rFonts w:cs="Arial"/>
          <w:iCs/>
          <w:lang w:val="de-DE"/>
        </w:rPr>
        <w:t xml:space="preserve"> Informationen</w:t>
      </w:r>
      <w:r w:rsidR="006F550D">
        <w:rPr>
          <w:rFonts w:cs="Arial"/>
          <w:iCs/>
          <w:lang w:val="de-DE"/>
        </w:rPr>
        <w:t xml:space="preserve"> </w:t>
      </w:r>
      <w:r w:rsidR="003F3B8D" w:rsidRPr="003F3B8D">
        <w:rPr>
          <w:rFonts w:cs="Arial"/>
          <w:iCs/>
          <w:lang w:val="de-DE"/>
        </w:rPr>
        <w:t xml:space="preserve">ohne die Zustimmung des Züchters </w:t>
      </w:r>
      <w:r w:rsidR="00033F9D">
        <w:rPr>
          <w:rFonts w:cs="Arial"/>
          <w:iCs/>
          <w:lang w:val="de-DE"/>
        </w:rPr>
        <w:t xml:space="preserve">nicht </w:t>
      </w:r>
      <w:r w:rsidR="003F3B8D" w:rsidRPr="003F3B8D">
        <w:rPr>
          <w:rFonts w:cs="Arial"/>
          <w:iCs/>
          <w:lang w:val="de-DE"/>
        </w:rPr>
        <w:t>an</w:t>
      </w:r>
      <w:r w:rsidR="009D3B2C">
        <w:rPr>
          <w:rFonts w:cs="Arial"/>
          <w:iCs/>
          <w:lang w:val="de-DE"/>
        </w:rPr>
        <w:t xml:space="preserve"> Dritte</w:t>
      </w:r>
      <w:r w:rsidR="003F3B8D" w:rsidRPr="003F3B8D">
        <w:rPr>
          <w:rFonts w:cs="Arial"/>
          <w:iCs/>
          <w:lang w:val="de-DE"/>
        </w:rPr>
        <w:t xml:space="preserve"> außerhalb der </w:t>
      </w:r>
      <w:r w:rsidR="007A408C">
        <w:rPr>
          <w:rFonts w:cs="Arial"/>
          <w:iCs/>
          <w:lang w:val="de-DE"/>
        </w:rPr>
        <w:t>Antragsb</w:t>
      </w:r>
      <w:r w:rsidR="003F3B8D" w:rsidRPr="003F3B8D">
        <w:rPr>
          <w:rFonts w:cs="Arial"/>
          <w:iCs/>
          <w:lang w:val="de-DE"/>
        </w:rPr>
        <w:t>ehörd</w:t>
      </w:r>
      <w:r w:rsidR="007A408C">
        <w:rPr>
          <w:rFonts w:cs="Arial"/>
          <w:iCs/>
          <w:lang w:val="de-DE"/>
        </w:rPr>
        <w:t>e</w:t>
      </w:r>
      <w:r w:rsidR="003F3B8D" w:rsidRPr="003F3B8D">
        <w:rPr>
          <w:rFonts w:cs="Arial"/>
          <w:iCs/>
          <w:lang w:val="de-DE"/>
        </w:rPr>
        <w:t xml:space="preserve"> weitergegeben werden sollten. Die TWM nahm ferner die Besorgnis zur Kenntnis, dass es den Züchtern an Klarhe</w:t>
      </w:r>
      <w:r w:rsidR="007F17E5">
        <w:rPr>
          <w:rFonts w:cs="Arial"/>
          <w:iCs/>
          <w:lang w:val="de-DE"/>
        </w:rPr>
        <w:t xml:space="preserve">it </w:t>
      </w:r>
      <w:r w:rsidR="00744200">
        <w:rPr>
          <w:rFonts w:cs="Arial"/>
          <w:iCs/>
          <w:lang w:val="de-DE"/>
        </w:rPr>
        <w:t xml:space="preserve">und </w:t>
      </w:r>
      <w:r w:rsidR="00486482">
        <w:rPr>
          <w:rFonts w:cs="Arial"/>
          <w:iCs/>
          <w:lang w:val="de-DE"/>
        </w:rPr>
        <w:t>Informationen darüber fehle, wie die molekularen Informationen</w:t>
      </w:r>
      <w:r w:rsidR="00291145">
        <w:rPr>
          <w:rFonts w:cs="Arial"/>
          <w:iCs/>
          <w:lang w:val="de-DE"/>
        </w:rPr>
        <w:t xml:space="preserve">verwendet und insbesondere weitergegeben würden. </w:t>
      </w:r>
    </w:p>
    <w:p w14:paraId="60880C1E" w14:textId="77777777" w:rsidR="00C327B6" w:rsidRPr="003F3B8D" w:rsidRDefault="00C327B6" w:rsidP="00C327B6">
      <w:pPr>
        <w:rPr>
          <w:rFonts w:cs="Arial"/>
          <w:iCs/>
          <w:lang w:val="de-DE"/>
        </w:rPr>
      </w:pPr>
    </w:p>
    <w:p w14:paraId="371BDB54" w14:textId="0AC9532B" w:rsidR="00C327B6" w:rsidRDefault="00C327B6" w:rsidP="00C327B6">
      <w:pPr>
        <w:rPr>
          <w:rFonts w:cs="Arial"/>
          <w:iCs/>
          <w:lang w:val="de-DE"/>
        </w:rPr>
      </w:pPr>
      <w:r w:rsidRPr="008B640B">
        <w:rPr>
          <w:rFonts w:cs="Arial"/>
          <w:iCs/>
        </w:rPr>
        <w:fldChar w:fldCharType="begin"/>
      </w:r>
      <w:r w:rsidRPr="00C14400">
        <w:rPr>
          <w:rFonts w:cs="Arial"/>
          <w:iCs/>
          <w:lang w:val="de-DE"/>
        </w:rPr>
        <w:instrText xml:space="preserve"> AUTONUM  </w:instrText>
      </w:r>
      <w:r w:rsidRPr="008B640B">
        <w:rPr>
          <w:rFonts w:cs="Arial"/>
          <w:iCs/>
        </w:rPr>
        <w:fldChar w:fldCharType="end"/>
      </w:r>
      <w:r w:rsidRPr="00C14400">
        <w:rPr>
          <w:rFonts w:cs="Arial"/>
          <w:iCs/>
          <w:lang w:val="de-DE"/>
        </w:rPr>
        <w:tab/>
      </w:r>
      <w:r w:rsidR="00C14400" w:rsidRPr="00C14400">
        <w:rPr>
          <w:rFonts w:cs="Arial"/>
          <w:iCs/>
          <w:lang w:val="de-DE"/>
        </w:rPr>
        <w:t xml:space="preserve">Die TWM vereinbarte, dass eine weitere Klärung </w:t>
      </w:r>
      <w:r w:rsidR="001A291C">
        <w:rPr>
          <w:rFonts w:cs="Arial"/>
          <w:iCs/>
          <w:lang w:val="de-DE"/>
        </w:rPr>
        <w:t>der</w:t>
      </w:r>
      <w:r w:rsidR="00C14400" w:rsidRPr="00C14400">
        <w:rPr>
          <w:rFonts w:cs="Arial"/>
          <w:iCs/>
          <w:lang w:val="de-DE"/>
        </w:rPr>
        <w:t xml:space="preserve"> Art der Informationen und des Verwendungszwecks der</w:t>
      </w:r>
      <w:r w:rsidR="003E3742">
        <w:rPr>
          <w:rFonts w:cs="Arial"/>
          <w:iCs/>
          <w:lang w:val="de-DE"/>
        </w:rPr>
        <w:t xml:space="preserve"> auszutauschenden</w:t>
      </w:r>
      <w:r w:rsidR="00C14400" w:rsidRPr="00C14400">
        <w:rPr>
          <w:rFonts w:cs="Arial"/>
          <w:iCs/>
          <w:lang w:val="de-DE"/>
        </w:rPr>
        <w:t xml:space="preserve"> Daten (z. B. molekulare Abstände zwischen Sorten, Genotyp</w:t>
      </w:r>
      <w:r w:rsidR="00FF6D9E">
        <w:rPr>
          <w:rFonts w:cs="Arial"/>
          <w:iCs/>
          <w:lang w:val="de-DE"/>
        </w:rPr>
        <w:t>-S</w:t>
      </w:r>
      <w:r w:rsidR="00C14400" w:rsidRPr="00C14400">
        <w:rPr>
          <w:rFonts w:cs="Arial"/>
          <w:iCs/>
          <w:lang w:val="de-DE"/>
        </w:rPr>
        <w:t>equenzen)</w:t>
      </w:r>
      <w:r w:rsidR="00D164A3">
        <w:rPr>
          <w:rFonts w:cs="Arial"/>
          <w:iCs/>
          <w:lang w:val="de-DE"/>
        </w:rPr>
        <w:t xml:space="preserve">, </w:t>
      </w:r>
      <w:r w:rsidR="00C14400" w:rsidRPr="00C14400">
        <w:rPr>
          <w:rFonts w:cs="Arial"/>
          <w:iCs/>
          <w:lang w:val="de-DE"/>
        </w:rPr>
        <w:t xml:space="preserve">die einer Genehmigung bedürfen, </w:t>
      </w:r>
      <w:r w:rsidR="00D164A3" w:rsidRPr="00C14400">
        <w:rPr>
          <w:rFonts w:cs="Arial"/>
          <w:iCs/>
          <w:lang w:val="de-DE"/>
        </w:rPr>
        <w:t xml:space="preserve">erforderlich sei, </w:t>
      </w:r>
      <w:r w:rsidR="00C14400" w:rsidRPr="00C14400">
        <w:rPr>
          <w:rFonts w:cs="Arial"/>
          <w:iCs/>
          <w:lang w:val="de-DE"/>
        </w:rPr>
        <w:t xml:space="preserve">bevor sie von </w:t>
      </w:r>
      <w:r w:rsidR="00610B2C">
        <w:rPr>
          <w:rFonts w:cs="Arial"/>
          <w:iCs/>
          <w:lang w:val="de-DE"/>
        </w:rPr>
        <w:t xml:space="preserve">einem </w:t>
      </w:r>
      <w:r w:rsidR="00C14400" w:rsidRPr="00C14400">
        <w:rPr>
          <w:rFonts w:cs="Arial"/>
          <w:iCs/>
          <w:lang w:val="de-DE"/>
        </w:rPr>
        <w:t>Sortenschutz</w:t>
      </w:r>
      <w:r w:rsidR="00610B2C">
        <w:rPr>
          <w:rFonts w:cs="Arial"/>
          <w:iCs/>
          <w:lang w:val="de-DE"/>
        </w:rPr>
        <w:t>amt</w:t>
      </w:r>
      <w:r w:rsidR="00C14400" w:rsidRPr="00C14400">
        <w:rPr>
          <w:rFonts w:cs="Arial"/>
          <w:iCs/>
          <w:lang w:val="de-DE"/>
        </w:rPr>
        <w:t xml:space="preserve"> an andere Sortenschutzämter weitergegeben werden.</w:t>
      </w:r>
    </w:p>
    <w:p w14:paraId="2F91A322" w14:textId="77777777" w:rsidR="00C14400" w:rsidRPr="00C14400" w:rsidRDefault="00C14400" w:rsidP="00C327B6">
      <w:pPr>
        <w:rPr>
          <w:rFonts w:cs="Arial"/>
          <w:iCs/>
          <w:lang w:val="de-DE"/>
        </w:rPr>
      </w:pPr>
    </w:p>
    <w:p w14:paraId="42B9F038" w14:textId="6221669A" w:rsidR="00C327B6" w:rsidRPr="00F60274" w:rsidRDefault="00C327B6" w:rsidP="009D1203">
      <w:pPr>
        <w:rPr>
          <w:i/>
          <w:lang w:val="de-DE"/>
        </w:rPr>
      </w:pPr>
      <w:r w:rsidRPr="008B640B">
        <w:rPr>
          <w:rFonts w:cs="Arial"/>
          <w:iCs/>
        </w:rPr>
        <w:fldChar w:fldCharType="begin"/>
      </w:r>
      <w:r w:rsidRPr="00F60274">
        <w:rPr>
          <w:rFonts w:cs="Arial"/>
          <w:iCs/>
          <w:lang w:val="de-DE"/>
        </w:rPr>
        <w:instrText xml:space="preserve"> AUTONUM  </w:instrText>
      </w:r>
      <w:r w:rsidRPr="008B640B">
        <w:rPr>
          <w:rFonts w:cs="Arial"/>
          <w:iCs/>
        </w:rPr>
        <w:fldChar w:fldCharType="end"/>
      </w:r>
      <w:r w:rsidRPr="00F60274">
        <w:rPr>
          <w:rFonts w:cs="Arial"/>
          <w:iCs/>
          <w:lang w:val="de-DE"/>
        </w:rPr>
        <w:tab/>
      </w:r>
      <w:r w:rsidR="00F60274" w:rsidRPr="00F60274">
        <w:rPr>
          <w:rFonts w:cs="Arial"/>
          <w:iCs/>
          <w:lang w:val="de-DE"/>
        </w:rPr>
        <w:t xml:space="preserve">Die TWM vereinbarte, die Mitglieder und Beobachter aufzufordern, auf der zweiten Tagung der TWM über bestehende </w:t>
      </w:r>
      <w:r w:rsidR="0089640A">
        <w:rPr>
          <w:rFonts w:cs="Arial"/>
          <w:iCs/>
          <w:lang w:val="de-DE"/>
        </w:rPr>
        <w:t>Regelungen</w:t>
      </w:r>
      <w:r w:rsidR="00F60274" w:rsidRPr="00F60274">
        <w:rPr>
          <w:rFonts w:cs="Arial"/>
          <w:iCs/>
          <w:lang w:val="de-DE"/>
        </w:rPr>
        <w:t xml:space="preserve"> zur Vertraulichkeit </w:t>
      </w:r>
      <w:r w:rsidR="00BA48EB">
        <w:rPr>
          <w:rFonts w:cs="Arial"/>
          <w:iCs/>
          <w:lang w:val="de-DE"/>
        </w:rPr>
        <w:t xml:space="preserve">von </w:t>
      </w:r>
      <w:r w:rsidR="00F60274" w:rsidRPr="00F60274">
        <w:rPr>
          <w:rFonts w:cs="Arial"/>
          <w:iCs/>
          <w:lang w:val="de-DE"/>
        </w:rPr>
        <w:t>molekulare</w:t>
      </w:r>
      <w:r w:rsidR="00BA48EB">
        <w:rPr>
          <w:rFonts w:cs="Arial"/>
          <w:iCs/>
          <w:lang w:val="de-DE"/>
        </w:rPr>
        <w:t>n</w:t>
      </w:r>
      <w:r w:rsidR="00F60274" w:rsidRPr="00F60274">
        <w:rPr>
          <w:rFonts w:cs="Arial"/>
          <w:iCs/>
          <w:lang w:val="de-DE"/>
        </w:rPr>
        <w:t xml:space="preserve"> Informationen zu berichten.</w:t>
      </w:r>
    </w:p>
    <w:p w14:paraId="724171DA" w14:textId="77777777" w:rsidR="00C327B6" w:rsidRPr="00F60274" w:rsidRDefault="00C327B6" w:rsidP="00C327B6">
      <w:pPr>
        <w:pStyle w:val="DecisionParagraphs"/>
        <w:rPr>
          <w:lang w:val="de-DE"/>
        </w:rPr>
      </w:pPr>
    </w:p>
    <w:p w14:paraId="53B9AC69" w14:textId="77777777" w:rsidR="00C327B6" w:rsidRPr="00F60274" w:rsidRDefault="00C327B6" w:rsidP="00C327B6">
      <w:pPr>
        <w:pStyle w:val="DecisionParagraphs"/>
        <w:rPr>
          <w:lang w:val="de-DE"/>
        </w:rPr>
      </w:pPr>
    </w:p>
    <w:p w14:paraId="1518077F" w14:textId="77777777" w:rsidR="00C327B6" w:rsidRPr="00F60274" w:rsidRDefault="00C327B6" w:rsidP="00C327B6">
      <w:pPr>
        <w:pStyle w:val="DecisionParagraphs"/>
        <w:rPr>
          <w:lang w:val="de-DE"/>
        </w:rPr>
      </w:pPr>
    </w:p>
    <w:p w14:paraId="55E45453" w14:textId="0F18CCC5" w:rsidR="00C327B6" w:rsidRPr="005571B2" w:rsidRDefault="00C327B6" w:rsidP="00C327B6">
      <w:pPr>
        <w:pStyle w:val="DecisionParagraphs"/>
        <w:jc w:val="right"/>
        <w:rPr>
          <w:lang w:val="de-DE"/>
        </w:rPr>
        <w:sectPr w:rsidR="00C327B6" w:rsidRPr="005571B2" w:rsidSect="00EA3079">
          <w:headerReference w:type="default" r:id="rId21"/>
          <w:pgSz w:w="11907" w:h="16840" w:code="9"/>
          <w:pgMar w:top="510" w:right="1134" w:bottom="1134" w:left="1134" w:header="510" w:footer="680" w:gutter="0"/>
          <w:cols w:space="720"/>
          <w:docGrid w:linePitch="272"/>
        </w:sectPr>
      </w:pPr>
      <w:r w:rsidRPr="005571B2">
        <w:rPr>
          <w:i w:val="0"/>
          <w:lang w:val="de-DE"/>
        </w:rPr>
        <w:t>[An</w:t>
      </w:r>
      <w:r w:rsidR="00610D3F" w:rsidRPr="005571B2">
        <w:rPr>
          <w:i w:val="0"/>
          <w:lang w:val="de-DE"/>
        </w:rPr>
        <w:t>lagen</w:t>
      </w:r>
      <w:r w:rsidR="00331E79" w:rsidRPr="005571B2">
        <w:rPr>
          <w:i w:val="0"/>
          <w:lang w:val="de-DE"/>
        </w:rPr>
        <w:t xml:space="preserve"> fol</w:t>
      </w:r>
      <w:r w:rsidR="00610D3F" w:rsidRPr="005571B2">
        <w:rPr>
          <w:i w:val="0"/>
          <w:lang w:val="de-DE"/>
        </w:rPr>
        <w:t>gen</w:t>
      </w:r>
      <w:r w:rsidRPr="005571B2">
        <w:rPr>
          <w:i w:val="0"/>
          <w:lang w:val="de-DE"/>
        </w:rPr>
        <w:t>]</w:t>
      </w:r>
      <w:bookmarkEnd w:id="7"/>
      <w:bookmarkEnd w:id="6"/>
      <w:bookmarkEnd w:id="5"/>
      <w:bookmarkEnd w:id="4"/>
    </w:p>
    <w:p w14:paraId="3383CF0B" w14:textId="77777777" w:rsidR="00C327B6" w:rsidRPr="005571B2" w:rsidRDefault="00C327B6" w:rsidP="00C327B6">
      <w:pPr>
        <w:rPr>
          <w:lang w:val="de-DE"/>
        </w:rPr>
      </w:pPr>
    </w:p>
    <w:p w14:paraId="0AC6FC9F" w14:textId="77777777" w:rsidR="00443D82" w:rsidRPr="00443D82" w:rsidRDefault="00443D82" w:rsidP="00443D82">
      <w:pPr>
        <w:jc w:val="center"/>
        <w:rPr>
          <w:u w:val="single"/>
          <w:lang w:val="de-DE"/>
        </w:rPr>
      </w:pPr>
      <w:r w:rsidRPr="00443D82">
        <w:rPr>
          <w:u w:val="single"/>
          <w:lang w:val="de-DE"/>
        </w:rPr>
        <w:t>BEFRAGUNG ZUR VERWENDUNG MOLEKULARER MARKERVERFAHREN NACH PFLANZE</w:t>
      </w:r>
    </w:p>
    <w:p w14:paraId="0ED60501" w14:textId="77777777" w:rsidR="00443D82" w:rsidRPr="00443D82" w:rsidRDefault="00443D82" w:rsidP="00443D82">
      <w:pPr>
        <w:rPr>
          <w:lang w:val="de-DE"/>
        </w:rPr>
      </w:pPr>
    </w:p>
    <w:p w14:paraId="438AB567" w14:textId="77777777" w:rsidR="00443D82" w:rsidRPr="00443D82" w:rsidRDefault="00443D82" w:rsidP="00443D82">
      <w:pPr>
        <w:rPr>
          <w:snapToGrid w:val="0"/>
          <w:lang w:val="de-DE"/>
        </w:rPr>
      </w:pPr>
    </w:p>
    <w:p w14:paraId="3B5E198B" w14:textId="77777777" w:rsidR="00443D82" w:rsidRPr="00443D82" w:rsidRDefault="00443D82" w:rsidP="00443D82">
      <w:pPr>
        <w:rPr>
          <w:snapToGrid w:val="0"/>
          <w:lang w:val="de-DE"/>
        </w:rPr>
      </w:pPr>
    </w:p>
    <w:p w14:paraId="2406BD45" w14:textId="77777777" w:rsidR="00443D82" w:rsidRPr="00443D82" w:rsidRDefault="00443D82" w:rsidP="00443D82">
      <w:pPr>
        <w:jc w:val="center"/>
        <w:rPr>
          <w:rFonts w:cs="Arial"/>
          <w:i/>
          <w:lang w:val="de-DE"/>
        </w:rPr>
      </w:pPr>
      <w:r w:rsidRPr="00443D82">
        <w:rPr>
          <w:rFonts w:cs="Arial"/>
          <w:i/>
          <w:lang w:val="de-DE"/>
        </w:rPr>
        <w:t>Alle eingegangenen Antworten finden sich in der Excel-Tabelle</w:t>
      </w:r>
    </w:p>
    <w:p w14:paraId="62AA9922" w14:textId="77777777" w:rsidR="00C327B6" w:rsidRPr="005571B2" w:rsidRDefault="00C327B6" w:rsidP="00C327B6">
      <w:pPr>
        <w:rPr>
          <w:u w:val="single"/>
          <w:lang w:val="de-DE"/>
        </w:rPr>
      </w:pPr>
    </w:p>
    <w:p w14:paraId="45C199C6" w14:textId="77777777" w:rsidR="00C327B6" w:rsidRPr="005571B2" w:rsidRDefault="00C327B6" w:rsidP="00C327B6">
      <w:pPr>
        <w:rPr>
          <w:u w:val="single"/>
          <w:lang w:val="de-DE"/>
        </w:rPr>
      </w:pPr>
    </w:p>
    <w:p w14:paraId="2F351467" w14:textId="4106ACE5" w:rsidR="00C327B6" w:rsidRPr="00BA2B86" w:rsidRDefault="00C327B6" w:rsidP="00C327B6">
      <w:pPr>
        <w:pStyle w:val="DecisionParagraphs"/>
        <w:jc w:val="right"/>
        <w:rPr>
          <w:i w:val="0"/>
          <w:lang w:val="de-DE"/>
        </w:rPr>
      </w:pPr>
      <w:r w:rsidRPr="00BA2B86">
        <w:rPr>
          <w:i w:val="0"/>
          <w:lang w:val="de-DE"/>
        </w:rPr>
        <w:t>[A</w:t>
      </w:r>
      <w:r w:rsidR="005A1369" w:rsidRPr="00BA2B86">
        <w:rPr>
          <w:i w:val="0"/>
          <w:lang w:val="de-DE"/>
        </w:rPr>
        <w:t>n</w:t>
      </w:r>
      <w:r w:rsidR="00BA2B86" w:rsidRPr="00BA2B86">
        <w:rPr>
          <w:i w:val="0"/>
          <w:lang w:val="de-DE"/>
        </w:rPr>
        <w:t>hang</w:t>
      </w:r>
      <w:r w:rsidRPr="00BA2B86">
        <w:rPr>
          <w:i w:val="0"/>
          <w:lang w:val="de-DE"/>
        </w:rPr>
        <w:t xml:space="preserve"> </w:t>
      </w:r>
      <w:r w:rsidR="00BA2B86" w:rsidRPr="00BA2B86">
        <w:rPr>
          <w:i w:val="0"/>
          <w:lang w:val="de-DE"/>
        </w:rPr>
        <w:t>zu</w:t>
      </w:r>
      <w:r w:rsidRPr="00BA2B86">
        <w:rPr>
          <w:i w:val="0"/>
          <w:lang w:val="de-DE"/>
        </w:rPr>
        <w:t xml:space="preserve"> An</w:t>
      </w:r>
      <w:r w:rsidR="00BA2B86" w:rsidRPr="00BA2B86">
        <w:rPr>
          <w:i w:val="0"/>
          <w:lang w:val="de-DE"/>
        </w:rPr>
        <w:t>lage</w:t>
      </w:r>
      <w:r w:rsidRPr="00BA2B86">
        <w:rPr>
          <w:i w:val="0"/>
          <w:lang w:val="de-DE"/>
        </w:rPr>
        <w:t xml:space="preserve"> </w:t>
      </w:r>
      <w:r w:rsidR="006936D3" w:rsidRPr="00BA2B86">
        <w:rPr>
          <w:i w:val="0"/>
          <w:lang w:val="de-DE"/>
        </w:rPr>
        <w:t xml:space="preserve">I </w:t>
      </w:r>
      <w:r w:rsidRPr="00BA2B86">
        <w:rPr>
          <w:i w:val="0"/>
          <w:lang w:val="de-DE"/>
        </w:rPr>
        <w:t>fol</w:t>
      </w:r>
      <w:r w:rsidR="00BA2B86" w:rsidRPr="00BA2B86">
        <w:rPr>
          <w:i w:val="0"/>
          <w:lang w:val="de-DE"/>
        </w:rPr>
        <w:t>gt</w:t>
      </w:r>
      <w:r w:rsidRPr="00BA2B86">
        <w:rPr>
          <w:i w:val="0"/>
          <w:lang w:val="de-DE"/>
        </w:rPr>
        <w:t>]</w:t>
      </w:r>
    </w:p>
    <w:p w14:paraId="225C743C" w14:textId="77777777" w:rsidR="00C327B6" w:rsidRPr="00BA2B86" w:rsidRDefault="00C327B6" w:rsidP="00C327B6">
      <w:pPr>
        <w:pStyle w:val="DecisionParagraphs"/>
        <w:rPr>
          <w:lang w:val="de-DE"/>
        </w:rPr>
      </w:pPr>
    </w:p>
    <w:p w14:paraId="4FE3D9D8" w14:textId="77777777" w:rsidR="00C327B6" w:rsidRPr="00BA2B86" w:rsidRDefault="00C327B6" w:rsidP="00C327B6">
      <w:pPr>
        <w:rPr>
          <w:u w:val="single"/>
          <w:lang w:val="de-DE"/>
        </w:rPr>
        <w:sectPr w:rsidR="00C327B6" w:rsidRPr="00BA2B86" w:rsidSect="00531DCD">
          <w:headerReference w:type="default" r:id="rId22"/>
          <w:headerReference w:type="first" r:id="rId23"/>
          <w:pgSz w:w="11907" w:h="16840" w:code="9"/>
          <w:pgMar w:top="510" w:right="1134" w:bottom="1134" w:left="1134" w:header="510" w:footer="624" w:gutter="0"/>
          <w:pgNumType w:start="1"/>
          <w:cols w:space="720"/>
          <w:titlePg/>
          <w:docGrid w:linePitch="272"/>
        </w:sectPr>
      </w:pPr>
    </w:p>
    <w:p w14:paraId="63B660C5" w14:textId="77777777" w:rsidR="00443D82" w:rsidRPr="00443D82" w:rsidRDefault="00443D82" w:rsidP="00443D82">
      <w:pPr>
        <w:rPr>
          <w:u w:val="single"/>
          <w:lang w:val="de-DE"/>
        </w:rPr>
      </w:pPr>
      <w:r w:rsidRPr="00443D82">
        <w:rPr>
          <w:u w:val="single"/>
          <w:lang w:val="de-DE"/>
        </w:rPr>
        <w:t>Antwort der Europäischen Union:</w:t>
      </w:r>
    </w:p>
    <w:p w14:paraId="66AB4639" w14:textId="77777777" w:rsidR="00443D82" w:rsidRPr="00443D82" w:rsidRDefault="00443D82" w:rsidP="00443D82">
      <w:pPr>
        <w:rPr>
          <w:lang w:val="de-DE"/>
        </w:rPr>
      </w:pPr>
    </w:p>
    <w:p w14:paraId="53B1DEAF" w14:textId="77777777" w:rsidR="00443D82" w:rsidRPr="00443D82" w:rsidRDefault="00443D82" w:rsidP="00443D82">
      <w:pPr>
        <w:rPr>
          <w:lang w:val="de-DE"/>
        </w:rPr>
      </w:pPr>
    </w:p>
    <w:p w14:paraId="69B8C194" w14:textId="77777777" w:rsidR="00443D82" w:rsidRPr="00443D82" w:rsidRDefault="00443D82" w:rsidP="00443D82">
      <w:pPr>
        <w:jc w:val="center"/>
        <w:rPr>
          <w:rFonts w:eastAsia="Cambria"/>
          <w:lang w:val="de-DE"/>
        </w:rPr>
      </w:pPr>
      <w:r w:rsidRPr="00443D82">
        <w:rPr>
          <w:rFonts w:eastAsia="Cambria"/>
          <w:lang w:val="de-DE"/>
        </w:rPr>
        <w:t>VERWENDUNG MOLEKULARER MARKERVERFAHREN FÜR DIE DUS-PRÜFUNG IM RAHMEN DES GEMEINSCHAFTLICHEN SORTENSCHUTZES</w:t>
      </w:r>
    </w:p>
    <w:p w14:paraId="6FE73B15" w14:textId="77777777" w:rsidR="00443D82" w:rsidRPr="00443D82" w:rsidRDefault="00443D82" w:rsidP="00443D82">
      <w:pPr>
        <w:rPr>
          <w:rFonts w:eastAsia="Cambria"/>
          <w:lang w:val="de-DE"/>
        </w:rPr>
      </w:pPr>
    </w:p>
    <w:p w14:paraId="14D27930" w14:textId="77777777" w:rsidR="00443D82" w:rsidRPr="00443D82" w:rsidRDefault="00443D82" w:rsidP="00443D82">
      <w:pPr>
        <w:rPr>
          <w:rFonts w:eastAsia="Cambria"/>
          <w:lang w:val="de-DE"/>
        </w:rPr>
      </w:pPr>
    </w:p>
    <w:p w14:paraId="697FD0EB" w14:textId="77777777" w:rsidR="00443D82" w:rsidRPr="00443D82" w:rsidRDefault="00443D82" w:rsidP="00443D82">
      <w:pPr>
        <w:rPr>
          <w:rFonts w:eastAsia="Cambria"/>
          <w:u w:val="single"/>
          <w:lang w:val="de-DE"/>
        </w:rPr>
      </w:pPr>
      <w:bookmarkStart w:id="52" w:name="_Toc75251912"/>
      <w:bookmarkStart w:id="53" w:name="_Toc75260738"/>
      <w:r w:rsidRPr="00443D82">
        <w:rPr>
          <w:rFonts w:eastAsia="Cambria"/>
          <w:u w:val="single"/>
          <w:lang w:val="de-DE"/>
        </w:rPr>
        <w:t>Elemente des Kontexts</w:t>
      </w:r>
      <w:bookmarkEnd w:id="52"/>
      <w:bookmarkEnd w:id="53"/>
    </w:p>
    <w:p w14:paraId="677EC732" w14:textId="77777777" w:rsidR="00443D82" w:rsidRPr="00443D82" w:rsidRDefault="00443D82" w:rsidP="00443D82">
      <w:pPr>
        <w:rPr>
          <w:rFonts w:eastAsia="Cambria"/>
          <w:lang w:val="de-DE"/>
        </w:rPr>
      </w:pPr>
    </w:p>
    <w:p w14:paraId="05ACC4BA" w14:textId="77777777" w:rsidR="00443D82" w:rsidRPr="00443D82" w:rsidRDefault="00443D82" w:rsidP="00443D82">
      <w:pPr>
        <w:rPr>
          <w:rFonts w:cs="Arial"/>
          <w:lang w:val="de-DE"/>
        </w:rPr>
      </w:pPr>
      <w:r w:rsidRPr="00443D82">
        <w:rPr>
          <w:rFonts w:cs="Arial"/>
          <w:lang w:val="de-DE"/>
        </w:rPr>
        <w:t>Der Technische Ausschuss (TC) der UPOV vereinbarte auf seiner fünfundfünfzigsten Tagung vom 28. und 29. Oktober 2019 in Genf, die Verbandsmitglieder zu ersuchen, eine Befragung als Grundlage für die Erstellung einer Bestandsaufnahme zur Verwendung molekularer Markerverfahren nach Pflanze in Abstimmung mit den OECD-Saatgutsystemen durchzuführen (vergleiche Dokument TC/55/25 „Bericht“, Absätze 184 und 185).</w:t>
      </w:r>
    </w:p>
    <w:p w14:paraId="5003B4D6" w14:textId="77777777" w:rsidR="00443D82" w:rsidRPr="00443D82" w:rsidRDefault="00443D82" w:rsidP="00443D82">
      <w:pPr>
        <w:rPr>
          <w:rFonts w:cs="Arial"/>
          <w:lang w:val="de-DE"/>
        </w:rPr>
      </w:pPr>
    </w:p>
    <w:p w14:paraId="393D6875" w14:textId="77777777" w:rsidR="00443D82" w:rsidRPr="00443D82" w:rsidRDefault="00443D82" w:rsidP="00443D82">
      <w:pPr>
        <w:rPr>
          <w:rFonts w:cs="Arial"/>
          <w:lang w:val="de-DE"/>
        </w:rPr>
      </w:pPr>
      <w:r w:rsidRPr="00443D82">
        <w:rPr>
          <w:rFonts w:cs="Arial"/>
          <w:lang w:val="de-DE"/>
        </w:rPr>
        <w:t xml:space="preserve">Vorbehaltlich der Billigung durch den Rat und in Abstimmung mit OECD und ISTA werden die Informationen über die von den Verbandsmitgliedern verwendeten molekularen Markerverfahren verwendet, um ein gemeinsames </w:t>
      </w:r>
      <w:r w:rsidRPr="00443D82">
        <w:rPr>
          <w:lang w:val="de-DE"/>
        </w:rPr>
        <w:t>Dokument von OECD, UPOV und ISTA</w:t>
      </w:r>
      <w:r w:rsidRPr="00443D82">
        <w:rPr>
          <w:rFonts w:cs="Arial"/>
          <w:lang w:val="de-DE"/>
        </w:rPr>
        <w:t xml:space="preserve"> mit diesen Informationen in einem ähnlichen Format wie das Dokument UPOV/INF/16 „Austauschbare Software“ zu erarbeiten.</w:t>
      </w:r>
    </w:p>
    <w:p w14:paraId="03DD2DDE" w14:textId="77777777" w:rsidR="00443D82" w:rsidRPr="00443D82" w:rsidRDefault="00443D82" w:rsidP="00443D82">
      <w:pPr>
        <w:rPr>
          <w:rFonts w:cs="Arial"/>
          <w:lang w:val="de-DE"/>
        </w:rPr>
      </w:pPr>
    </w:p>
    <w:p w14:paraId="57355D90" w14:textId="77777777" w:rsidR="00443D82" w:rsidRPr="00443D82" w:rsidRDefault="00443D82" w:rsidP="00443D82">
      <w:pPr>
        <w:rPr>
          <w:rFonts w:eastAsia="Cambria"/>
          <w:lang w:val="de-DE"/>
        </w:rPr>
      </w:pPr>
      <w:r w:rsidRPr="00443D82">
        <w:rPr>
          <w:rFonts w:cs="Arial"/>
          <w:lang w:val="de-DE"/>
        </w:rPr>
        <w:t>Das vorliegende Dokument stellt den Beitrag des CPVO zu dieser Befragung dar und beschreibt als solches die molekularen Markerverfahren, die für die DUS-Prüfung mit dem Ziel der Erteilung von gemeinschaftlichem Sortenschutz (CPVR) im Rahmen der CPVO-Politik verwendet werden können</w:t>
      </w:r>
      <w:r w:rsidRPr="00443D82">
        <w:rPr>
          <w:rFonts w:eastAsia="Cambria"/>
          <w:lang w:val="de-DE"/>
        </w:rPr>
        <w:t>.</w:t>
      </w:r>
    </w:p>
    <w:p w14:paraId="355334D4" w14:textId="77777777" w:rsidR="00443D82" w:rsidRPr="00443D82" w:rsidRDefault="00443D82" w:rsidP="00443D82">
      <w:pPr>
        <w:rPr>
          <w:rFonts w:eastAsia="Cambria"/>
          <w:lang w:val="de-DE"/>
        </w:rPr>
      </w:pPr>
    </w:p>
    <w:p w14:paraId="541E88D9" w14:textId="77777777" w:rsidR="00443D82" w:rsidRPr="00443D82" w:rsidRDefault="00443D82" w:rsidP="00443D82">
      <w:pPr>
        <w:rPr>
          <w:rFonts w:eastAsia="Cambria"/>
          <w:lang w:val="de-DE"/>
        </w:rPr>
      </w:pPr>
    </w:p>
    <w:p w14:paraId="3274D2E3" w14:textId="77777777" w:rsidR="00443D82" w:rsidRPr="00443D82" w:rsidRDefault="00443D82" w:rsidP="00443D82">
      <w:pPr>
        <w:rPr>
          <w:lang w:val="de-DE"/>
        </w:rPr>
      </w:pPr>
      <w:bookmarkStart w:id="54" w:name="_Toc75251913"/>
      <w:bookmarkStart w:id="55" w:name="_Toc75260739"/>
      <w:r w:rsidRPr="00443D82">
        <w:rPr>
          <w:lang w:val="de-DE"/>
        </w:rPr>
        <w:t>1.</w:t>
      </w:r>
      <w:r w:rsidRPr="00443D82">
        <w:rPr>
          <w:lang w:val="de-DE"/>
        </w:rPr>
        <w:tab/>
        <w:t>Rechtlicher Rahmen für die Verwendung molekularer Verfahren bei der DUS-Prüfung für gemeinschaftlichen Sortenschutz</w:t>
      </w:r>
      <w:bookmarkEnd w:id="54"/>
      <w:bookmarkEnd w:id="55"/>
    </w:p>
    <w:p w14:paraId="46CB1113" w14:textId="77777777" w:rsidR="00443D82" w:rsidRPr="00443D82" w:rsidRDefault="00443D82" w:rsidP="00443D82">
      <w:pPr>
        <w:rPr>
          <w:kern w:val="32"/>
          <w:szCs w:val="32"/>
          <w:lang w:val="de-DE"/>
        </w:rPr>
      </w:pPr>
    </w:p>
    <w:p w14:paraId="775AF219" w14:textId="77777777" w:rsidR="00443D82" w:rsidRPr="00443D82" w:rsidRDefault="00443D82" w:rsidP="00443D82">
      <w:pPr>
        <w:rPr>
          <w:rFonts w:cs="Arial"/>
          <w:lang w:val="de-DE"/>
        </w:rPr>
      </w:pPr>
      <w:r w:rsidRPr="00443D82">
        <w:rPr>
          <w:rFonts w:cs="Arial"/>
          <w:lang w:val="de-DE"/>
        </w:rPr>
        <w:t>Der rechtliche Rahmen für die Durchführung der DUS-Prüfung für gemeinschaftlichen Sortenschutz umfasst die CPVO-Grundverordnung 2100/94 (BR) und ihre Durchführungsbestimmungen, die technischen Protokolle (TP) des CPVO und die von der UPOV angenommenen Anleitungsdokumente.</w:t>
      </w:r>
    </w:p>
    <w:p w14:paraId="77068E02" w14:textId="77777777" w:rsidR="00443D82" w:rsidRPr="00443D82" w:rsidRDefault="00443D82" w:rsidP="00443D82">
      <w:pPr>
        <w:rPr>
          <w:rFonts w:cs="Arial"/>
          <w:lang w:val="de-DE"/>
        </w:rPr>
      </w:pPr>
    </w:p>
    <w:p w14:paraId="5182D657" w14:textId="77777777" w:rsidR="00443D82" w:rsidRPr="00443D82" w:rsidRDefault="00443D82" w:rsidP="00443D82">
      <w:pPr>
        <w:rPr>
          <w:rFonts w:cs="Arial"/>
          <w:lang w:val="de-DE"/>
        </w:rPr>
      </w:pPr>
      <w:r w:rsidRPr="00443D82">
        <w:rPr>
          <w:rFonts w:cs="Arial"/>
          <w:lang w:val="de-DE"/>
        </w:rPr>
        <w:t>Das CPVO führt die DUS-Prüfung nicht selbst durch, sondern, wie in Artikel 56 (BR) festgelegt, „veranlasst die technische Prüfung [...] durch das zuständige Amt oder die zuständigen Ämter in mindestens einem der Mitgliedstaaten, denen vom Verwaltungsrat die technische Prüfung von Sorten der betreffenden Taxons übertragen wurde“.</w:t>
      </w:r>
    </w:p>
    <w:p w14:paraId="2365ABF0" w14:textId="77777777" w:rsidR="00443D82" w:rsidRPr="00443D82" w:rsidRDefault="00443D82" w:rsidP="00443D82">
      <w:pPr>
        <w:rPr>
          <w:rFonts w:cs="Arial"/>
          <w:lang w:val="de-DE"/>
        </w:rPr>
      </w:pPr>
    </w:p>
    <w:p w14:paraId="0E81D1FC" w14:textId="77777777" w:rsidR="00443D82" w:rsidRPr="00443D82" w:rsidRDefault="00443D82" w:rsidP="00443D82">
      <w:pPr>
        <w:rPr>
          <w:rFonts w:cs="Arial"/>
          <w:lang w:val="de-DE"/>
        </w:rPr>
      </w:pPr>
      <w:r w:rsidRPr="00443D82">
        <w:rPr>
          <w:rFonts w:cs="Arial"/>
          <w:lang w:val="de-DE"/>
        </w:rPr>
        <w:t>Bei der Durchführung einer technischen Prüfung „[...] bauen die Prüfungsämter bei der technischen Prüfung die Sorte an oder führen die sonst erforderlichen Untersuchungen durch“ (Artikel 56-BR). Molekulare Verfahren können somit zur Unterstützung der DUS-Prüfung durch die beauftragten Prüfungsämter verwendet werden, vorausgesetzt, dass die technische Prüfung gemäß den vom Verwaltungsrat des CPVO herausgegebenen Prüfungsrichtlinien durchgeführt wird.</w:t>
      </w:r>
    </w:p>
    <w:p w14:paraId="25616214" w14:textId="77777777" w:rsidR="00443D82" w:rsidRPr="00443D82" w:rsidRDefault="00443D82" w:rsidP="00443D82">
      <w:pPr>
        <w:rPr>
          <w:rFonts w:cs="Arial"/>
          <w:lang w:val="de-DE"/>
        </w:rPr>
      </w:pPr>
    </w:p>
    <w:p w14:paraId="23FC4F37" w14:textId="77777777" w:rsidR="00443D82" w:rsidRPr="00443D82" w:rsidRDefault="00443D82" w:rsidP="00443D82">
      <w:pPr>
        <w:rPr>
          <w:rFonts w:cs="Arial"/>
          <w:lang w:val="de-DE"/>
        </w:rPr>
      </w:pPr>
      <w:r w:rsidRPr="00443D82">
        <w:rPr>
          <w:rFonts w:cs="Arial"/>
          <w:lang w:val="de-DE"/>
        </w:rPr>
        <w:t>Da die gleichen Richtlinien sowohl für den Sortenschutz als auch für die Eintragung in der EU verwendet werden, sind auch die Richtlinien für die Gemeinschaftlichen Kataloge (Richtlinien 2002/53/EG und 2002/55/EG des Rates) zu berücksichtigen. Dementsprechend soll die Zulassung von Sorten auf den Ergebnissen amtlicher Prüfungen, insbesondere Anbauprüfungen, beruhen, die eine für die zu beschreibende Sorte ausreichende Anzahl an Merkmalen abdecken. Daher dürfen molekulare Verfahren nur als ergänzende Hilfsmittel zusätzlich zu den Anbauprüfungen verwendet werden.</w:t>
      </w:r>
    </w:p>
    <w:p w14:paraId="2177C26E" w14:textId="77777777" w:rsidR="00443D82" w:rsidRPr="00443D82" w:rsidRDefault="00443D82" w:rsidP="00443D82">
      <w:pPr>
        <w:rPr>
          <w:rFonts w:cs="Arial"/>
          <w:lang w:val="de-DE"/>
        </w:rPr>
      </w:pPr>
    </w:p>
    <w:p w14:paraId="0A6ABA73" w14:textId="77777777" w:rsidR="00443D82" w:rsidRPr="00443D82" w:rsidRDefault="00443D82" w:rsidP="00443D82">
      <w:pPr>
        <w:rPr>
          <w:rFonts w:eastAsia="Cambria"/>
          <w:lang w:val="de-DE"/>
        </w:rPr>
      </w:pPr>
      <w:r w:rsidRPr="00443D82">
        <w:rPr>
          <w:rFonts w:cs="Arial"/>
          <w:lang w:val="de-DE"/>
        </w:rPr>
        <w:t>Als ein UPOV-Mitglied respektiert das CPVO den vereinbarten Rahmen für die Verwendung molekularer Verfahren bei der DUS-Prüfung, wie in Dokumenten UPOV/INF/18 (vom Rat der UPOV im Jahr 2011 angenommen) und UPOV/TGP/15/3 (vom Rat der UPOV im Jahr 2020 angenommen) dargelegt. Genauer gesagt unterstützt das CPVO die Verwendung molekularer Hilfsmittel durch das Netzwerk der von ihm beauftragten Prüfungsämter gemäß den Modellen, die hinsichtlich ihrer Vereinbarkeit mit dem UPOV</w:t>
      </w:r>
      <w:r w:rsidRPr="00443D82">
        <w:rPr>
          <w:rFonts w:cs="Arial"/>
          <w:lang w:val="de-DE"/>
        </w:rPr>
        <w:noBreakHyphen/>
        <w:t>Übereinkommen positiv bewertet wurden</w:t>
      </w:r>
      <w:r w:rsidRPr="00443D82">
        <w:rPr>
          <w:rFonts w:eastAsia="Cambria"/>
          <w:lang w:val="de-DE"/>
        </w:rPr>
        <w:t>.</w:t>
      </w:r>
    </w:p>
    <w:p w14:paraId="3B7F8201" w14:textId="77777777" w:rsidR="00443D82" w:rsidRPr="00443D82" w:rsidRDefault="00443D82" w:rsidP="00443D82">
      <w:pPr>
        <w:jc w:val="left"/>
        <w:rPr>
          <w:rFonts w:eastAsia="Cambria"/>
          <w:lang w:val="de-DE"/>
        </w:rPr>
      </w:pPr>
      <w:r w:rsidRPr="00443D82">
        <w:rPr>
          <w:rFonts w:eastAsia="Cambria"/>
          <w:lang w:val="de-DE"/>
        </w:rPr>
        <w:br w:type="page"/>
      </w:r>
    </w:p>
    <w:p w14:paraId="25AB2AFE" w14:textId="77777777" w:rsidR="00443D82" w:rsidRPr="00443D82" w:rsidRDefault="00443D82" w:rsidP="00443D82">
      <w:pPr>
        <w:rPr>
          <w:lang w:val="de-DE"/>
        </w:rPr>
      </w:pPr>
      <w:bookmarkStart w:id="56" w:name="_Toc75251914"/>
      <w:bookmarkStart w:id="57" w:name="_Toc75260740"/>
      <w:r w:rsidRPr="00443D82">
        <w:rPr>
          <w:lang w:val="de-DE"/>
        </w:rPr>
        <w:t>2.</w:t>
      </w:r>
      <w:r w:rsidRPr="00443D82">
        <w:rPr>
          <w:lang w:val="de-DE"/>
        </w:rPr>
        <w:tab/>
        <w:t>Vom CPVO unterstützte Modelle und Beispiele für die Anwendung</w:t>
      </w:r>
      <w:bookmarkEnd w:id="56"/>
      <w:bookmarkEnd w:id="57"/>
    </w:p>
    <w:p w14:paraId="329D28D1" w14:textId="77777777" w:rsidR="00443D82" w:rsidRPr="00443D82" w:rsidRDefault="00443D82" w:rsidP="00443D82">
      <w:pPr>
        <w:rPr>
          <w:kern w:val="32"/>
          <w:szCs w:val="32"/>
          <w:lang w:val="de-DE"/>
        </w:rPr>
      </w:pPr>
    </w:p>
    <w:p w14:paraId="5233ABE6" w14:textId="77777777" w:rsidR="00443D82" w:rsidRPr="00443D82" w:rsidRDefault="00443D82" w:rsidP="00443D82">
      <w:pPr>
        <w:keepNext/>
        <w:rPr>
          <w:lang w:val="de-DE"/>
        </w:rPr>
      </w:pPr>
      <w:bookmarkStart w:id="58" w:name="_Toc75251915"/>
      <w:bookmarkStart w:id="59" w:name="_Toc75260741"/>
      <w:r w:rsidRPr="00443D82">
        <w:rPr>
          <w:lang w:val="de-DE"/>
        </w:rPr>
        <w:t>2.1.</w:t>
      </w:r>
      <w:r w:rsidRPr="00443D82">
        <w:rPr>
          <w:lang w:val="de-DE"/>
        </w:rPr>
        <w:tab/>
        <w:t>Merkmalsspezifische Marker</w:t>
      </w:r>
      <w:bookmarkEnd w:id="58"/>
      <w:bookmarkEnd w:id="59"/>
    </w:p>
    <w:p w14:paraId="23566575" w14:textId="77777777" w:rsidR="00443D82" w:rsidRPr="00443D82" w:rsidRDefault="00443D82" w:rsidP="00443D82">
      <w:pPr>
        <w:keepNext/>
        <w:rPr>
          <w:kern w:val="32"/>
          <w:lang w:val="de-DE"/>
        </w:rPr>
      </w:pPr>
    </w:p>
    <w:p w14:paraId="447EF73F" w14:textId="77777777" w:rsidR="00443D82" w:rsidRPr="00443D82" w:rsidRDefault="00443D82" w:rsidP="00443D82">
      <w:pPr>
        <w:keepNext/>
        <w:rPr>
          <w:rFonts w:eastAsia="Cambria"/>
          <w:lang w:val="de-DE"/>
        </w:rPr>
      </w:pPr>
      <w:r w:rsidRPr="00443D82">
        <w:rPr>
          <w:rFonts w:cs="Arial"/>
          <w:lang w:val="de-DE"/>
        </w:rPr>
        <w:t>Molekulare Marker können als eine Alternative zur phänotypischen Erfassung verwendet werden, als Prädiktoren für herkömmliche Merkmale, die schwierig oder umständlich zu erfassen sind, wenn ein eindeutiger Zusammenhang besteht. Sie können entweder vollständig oder teilweise mit dem Phänotyp korreliert werden. Diese Verfahren werden in die technischen Protokolle des CPVO auf der Grundlage einer Bewertung/Validierung und von Vorschlägen der Pflanzensachverständigengruppen des CPVO aufgenommen</w:t>
      </w:r>
      <w:r w:rsidRPr="00443D82">
        <w:rPr>
          <w:rFonts w:eastAsia="Cambria"/>
          <w:lang w:val="de-DE"/>
        </w:rPr>
        <w:t xml:space="preserve">. </w:t>
      </w:r>
    </w:p>
    <w:p w14:paraId="55DFF923" w14:textId="77777777" w:rsidR="00443D82" w:rsidRPr="00443D82" w:rsidRDefault="00443D82" w:rsidP="00443D82">
      <w:pPr>
        <w:keepNext/>
        <w:rPr>
          <w:rFonts w:eastAsia="Cambria"/>
          <w:lang w:val="de-DE"/>
        </w:rPr>
      </w:pPr>
    </w:p>
    <w:p w14:paraId="0C6597F9" w14:textId="77777777" w:rsidR="00443D82" w:rsidRPr="00443D82" w:rsidRDefault="00443D82" w:rsidP="00443D82">
      <w:pPr>
        <w:rPr>
          <w:lang w:val="de-DE"/>
        </w:rPr>
      </w:pPr>
      <w:bookmarkStart w:id="60" w:name="_Toc75251916"/>
      <w:bookmarkStart w:id="61" w:name="_Toc75260742"/>
      <w:r w:rsidRPr="00443D82">
        <w:rPr>
          <w:lang w:val="de-DE"/>
        </w:rPr>
        <w:t>2.1.1.</w:t>
      </w:r>
      <w:r w:rsidRPr="00443D82">
        <w:rPr>
          <w:lang w:val="de-DE"/>
        </w:rPr>
        <w:tab/>
        <w:t>Marker, die zu 100% mit einer gegebenen Ausprägungsstufe des Merkmals korreliert sind</w:t>
      </w:r>
      <w:bookmarkEnd w:id="60"/>
      <w:bookmarkEnd w:id="61"/>
    </w:p>
    <w:p w14:paraId="3083E048" w14:textId="77777777" w:rsidR="00443D82" w:rsidRPr="00443D82" w:rsidRDefault="00443D82" w:rsidP="00443D82">
      <w:pPr>
        <w:rPr>
          <w:rFonts w:eastAsia="Cambria"/>
          <w:bCs/>
          <w:lang w:val="de-DE"/>
        </w:rPr>
      </w:pPr>
    </w:p>
    <w:p w14:paraId="4E40062B" w14:textId="77777777" w:rsidR="00443D82" w:rsidRPr="00443D82" w:rsidRDefault="00443D82" w:rsidP="00443D82">
      <w:pPr>
        <w:rPr>
          <w:rFonts w:eastAsia="Cambria"/>
          <w:lang w:val="de-DE"/>
        </w:rPr>
      </w:pPr>
      <w:r w:rsidRPr="00443D82">
        <w:rPr>
          <w:rFonts w:cs="Arial"/>
          <w:lang w:val="de-DE"/>
        </w:rPr>
        <w:t>In diesem Fall kann der Marker die phänotypische Erfassung ersetzen</w:t>
      </w:r>
      <w:r w:rsidRPr="00443D82">
        <w:rPr>
          <w:rFonts w:eastAsia="Cambria"/>
          <w:lang w:val="de-DE"/>
        </w:rPr>
        <w:t>.</w:t>
      </w:r>
    </w:p>
    <w:p w14:paraId="09397B90" w14:textId="77777777" w:rsidR="00443D82" w:rsidRPr="00443D82" w:rsidRDefault="00443D82" w:rsidP="00443D82">
      <w:pPr>
        <w:rPr>
          <w:rFonts w:eastAsia="Cambria"/>
          <w:lang w:val="de-DE"/>
        </w:rPr>
      </w:pPr>
    </w:p>
    <w:p w14:paraId="7D45F1EA" w14:textId="77777777" w:rsidR="00443D82" w:rsidRPr="00443D82" w:rsidRDefault="00443D82" w:rsidP="00443D82">
      <w:pPr>
        <w:rPr>
          <w:rFonts w:eastAsia="Cambria"/>
          <w:lang w:val="de-DE"/>
        </w:rPr>
      </w:pPr>
      <w:r w:rsidRPr="00443D82">
        <w:rPr>
          <w:rFonts w:cs="Arial"/>
          <w:lang w:val="de-DE"/>
        </w:rPr>
        <w:t>Beispiele für betroffene Merkmale</w:t>
      </w:r>
      <w:r w:rsidRPr="00443D82">
        <w:rPr>
          <w:rFonts w:eastAsia="Cambria"/>
          <w:lang w:val="de-DE"/>
        </w:rPr>
        <w:t>:</w:t>
      </w:r>
    </w:p>
    <w:p w14:paraId="7F5E9D75" w14:textId="77777777" w:rsidR="00443D82" w:rsidRPr="00443D82" w:rsidRDefault="00443D82" w:rsidP="00443D82">
      <w:pPr>
        <w:ind w:left="567"/>
        <w:rPr>
          <w:rFonts w:eastAsia="Cambria"/>
          <w:lang w:val="de-DE"/>
        </w:rPr>
      </w:pPr>
      <w:r w:rsidRPr="00443D82">
        <w:rPr>
          <w:rFonts w:eastAsia="Cambria"/>
          <w:lang w:val="de-DE"/>
        </w:rPr>
        <w:t>- Resistenzen gegen mono- oder oligogene Krankheitsresistenzen (z. B. Krankheiten bei Gemüse, Resistenz gegen Nematode Heterodera schachtii bei Zuckerrübe)</w:t>
      </w:r>
    </w:p>
    <w:p w14:paraId="6BCB90A8" w14:textId="77777777" w:rsidR="00443D82" w:rsidRPr="00443D82" w:rsidRDefault="00443D82" w:rsidP="00443D82">
      <w:pPr>
        <w:ind w:left="567"/>
        <w:rPr>
          <w:rFonts w:eastAsia="Cambria"/>
          <w:lang w:val="de-DE"/>
        </w:rPr>
      </w:pPr>
      <w:r w:rsidRPr="00443D82">
        <w:rPr>
          <w:rFonts w:eastAsia="Cambria"/>
          <w:lang w:val="de-DE"/>
        </w:rPr>
        <w:t>- CMS (zytoplasmatische männliche Sterilität) bei Kohl</w:t>
      </w:r>
    </w:p>
    <w:p w14:paraId="7B79604F" w14:textId="77777777" w:rsidR="00443D82" w:rsidRPr="00443D82" w:rsidRDefault="00443D82" w:rsidP="00443D82">
      <w:pPr>
        <w:ind w:left="567"/>
        <w:rPr>
          <w:rFonts w:eastAsia="Cambria"/>
          <w:lang w:val="de-DE"/>
        </w:rPr>
      </w:pPr>
      <w:r w:rsidRPr="00443D82">
        <w:rPr>
          <w:rFonts w:eastAsia="Cambria"/>
          <w:lang w:val="de-DE"/>
        </w:rPr>
        <w:t>- Herbizide (z.B. Sonnenblume, Raps)</w:t>
      </w:r>
    </w:p>
    <w:p w14:paraId="7A70AA76" w14:textId="77777777" w:rsidR="00443D82" w:rsidRPr="00443D82" w:rsidRDefault="00443D82" w:rsidP="00443D82">
      <w:pPr>
        <w:rPr>
          <w:rFonts w:eastAsia="Cambria"/>
          <w:lang w:val="de-DE"/>
        </w:rPr>
      </w:pPr>
    </w:p>
    <w:p w14:paraId="4F486322" w14:textId="77777777" w:rsidR="00443D82" w:rsidRPr="00443D82" w:rsidRDefault="00443D82" w:rsidP="00443D82">
      <w:pPr>
        <w:rPr>
          <w:rFonts w:eastAsia="Cambria"/>
          <w:lang w:val="de-DE"/>
        </w:rPr>
      </w:pPr>
      <w:r w:rsidRPr="00443D82">
        <w:rPr>
          <w:rFonts w:cs="Arial"/>
          <w:lang w:val="de-DE"/>
        </w:rPr>
        <w:t>Bislang wurde keiner dieser Marker in die technischen Protokolle des CPVO aufgenommen</w:t>
      </w:r>
      <w:r w:rsidRPr="00443D82">
        <w:rPr>
          <w:rFonts w:eastAsia="Cambria"/>
          <w:lang w:val="de-DE"/>
        </w:rPr>
        <w:t>.</w:t>
      </w:r>
    </w:p>
    <w:p w14:paraId="270FE958" w14:textId="77777777" w:rsidR="00443D82" w:rsidRPr="00443D82" w:rsidRDefault="00443D82" w:rsidP="00443D82">
      <w:pPr>
        <w:rPr>
          <w:lang w:val="de-DE"/>
        </w:rPr>
      </w:pPr>
      <w:bookmarkStart w:id="62" w:name="_Toc75251917"/>
      <w:bookmarkStart w:id="63" w:name="_Toc75260743"/>
    </w:p>
    <w:p w14:paraId="28778E37" w14:textId="77777777" w:rsidR="00443D82" w:rsidRPr="00443D82" w:rsidRDefault="00443D82" w:rsidP="00443D82">
      <w:pPr>
        <w:rPr>
          <w:lang w:val="de-DE"/>
        </w:rPr>
      </w:pPr>
      <w:r w:rsidRPr="00443D82">
        <w:rPr>
          <w:lang w:val="de-DE"/>
        </w:rPr>
        <w:t>2.1.2.</w:t>
      </w:r>
      <w:r w:rsidRPr="00443D82">
        <w:rPr>
          <w:lang w:val="de-DE"/>
        </w:rPr>
        <w:tab/>
        <w:t>Marker, die unvollständige Informationen über die Ausprägungsstufe des Merkmals liefern</w:t>
      </w:r>
      <w:bookmarkEnd w:id="62"/>
      <w:bookmarkEnd w:id="63"/>
    </w:p>
    <w:p w14:paraId="0D97A522" w14:textId="77777777" w:rsidR="00443D82" w:rsidRPr="00443D82" w:rsidRDefault="00443D82" w:rsidP="00443D82">
      <w:pPr>
        <w:rPr>
          <w:rFonts w:eastAsia="Cambria"/>
          <w:bCs/>
          <w:lang w:val="de-DE"/>
        </w:rPr>
      </w:pPr>
    </w:p>
    <w:p w14:paraId="0DA6B1F7" w14:textId="77777777" w:rsidR="00443D82" w:rsidRPr="00443D82" w:rsidRDefault="00443D82" w:rsidP="00443D82">
      <w:pPr>
        <w:rPr>
          <w:rFonts w:eastAsia="Cambria"/>
          <w:lang w:val="de-DE"/>
        </w:rPr>
      </w:pPr>
      <w:r w:rsidRPr="00443D82">
        <w:rPr>
          <w:rFonts w:cs="Arial"/>
          <w:lang w:val="de-DE"/>
        </w:rPr>
        <w:t>In diesem Fall ist der Marker nur teilweise mit dem Merkmal gekoppelt und gibt unvollständige Informationen über die Ausprägungsstufe des Merkmals. Seine Verwendung muss in einem Bewertungsschema beschrieben werden, das genau angibt, in welchen Situationen er verwendet werden kann und wann er durch eine phänotypische Erfassung ergänzt werden muss</w:t>
      </w:r>
      <w:r w:rsidRPr="00443D82">
        <w:rPr>
          <w:rFonts w:eastAsia="Cambria"/>
          <w:lang w:val="de-DE"/>
        </w:rPr>
        <w:t>.</w:t>
      </w:r>
    </w:p>
    <w:p w14:paraId="4F061570" w14:textId="77777777" w:rsidR="00443D82" w:rsidRPr="00443D82" w:rsidRDefault="00443D82" w:rsidP="00443D82">
      <w:pPr>
        <w:rPr>
          <w:rFonts w:eastAsia="Cambria"/>
          <w:lang w:val="de-DE"/>
        </w:rPr>
      </w:pPr>
    </w:p>
    <w:p w14:paraId="3771592F" w14:textId="77777777" w:rsidR="00443D82" w:rsidRPr="00443D82" w:rsidRDefault="00443D82" w:rsidP="00443D82">
      <w:pPr>
        <w:rPr>
          <w:rFonts w:cs="Arial"/>
          <w:lang w:val="de-DE"/>
        </w:rPr>
      </w:pPr>
      <w:r w:rsidRPr="00443D82">
        <w:rPr>
          <w:rFonts w:cs="Arial"/>
          <w:lang w:val="de-DE"/>
        </w:rPr>
        <w:t>Beispiele für betroffene Merkmale: quantitative Krankheitsresistenzen bei Gemüse, wie</w:t>
      </w:r>
    </w:p>
    <w:p w14:paraId="12771E58" w14:textId="77777777" w:rsidR="00443D82" w:rsidRPr="00443D82" w:rsidRDefault="00443D82" w:rsidP="00443D82">
      <w:pPr>
        <w:ind w:left="567"/>
        <w:rPr>
          <w:rFonts w:eastAsia="Cambria"/>
          <w:lang w:val="de-DE"/>
        </w:rPr>
      </w:pPr>
      <w:r w:rsidRPr="00443D82">
        <w:rPr>
          <w:rFonts w:eastAsia="Cambria"/>
          <w:lang w:val="de-DE"/>
        </w:rPr>
        <w:t>- Tomatenmosaikvirus (ToMV)</w:t>
      </w:r>
    </w:p>
    <w:p w14:paraId="7ED3C745" w14:textId="77777777" w:rsidR="00443D82" w:rsidRPr="00443D82" w:rsidRDefault="00443D82" w:rsidP="00443D82">
      <w:pPr>
        <w:ind w:left="567"/>
        <w:rPr>
          <w:rFonts w:eastAsia="Cambria"/>
          <w:lang w:val="de-DE"/>
        </w:rPr>
      </w:pPr>
      <w:r w:rsidRPr="00443D82">
        <w:rPr>
          <w:rFonts w:eastAsia="Cambria"/>
          <w:lang w:val="de-DE"/>
        </w:rPr>
        <w:t>- Tomatenbronzefleckenvirus (TSWV)</w:t>
      </w:r>
    </w:p>
    <w:p w14:paraId="1D908FD7" w14:textId="77777777" w:rsidR="00443D82" w:rsidRPr="00443D82" w:rsidRDefault="00443D82" w:rsidP="00443D82">
      <w:pPr>
        <w:rPr>
          <w:rFonts w:eastAsia="Cambria"/>
          <w:lang w:val="de-DE"/>
        </w:rPr>
      </w:pPr>
    </w:p>
    <w:p w14:paraId="4DEAE2A0" w14:textId="77777777" w:rsidR="00443D82" w:rsidRPr="00443D82" w:rsidRDefault="00443D82" w:rsidP="00443D82">
      <w:pPr>
        <w:rPr>
          <w:rFonts w:eastAsia="Cambria"/>
          <w:lang w:val="de-DE"/>
        </w:rPr>
      </w:pPr>
      <w:r w:rsidRPr="00443D82">
        <w:rPr>
          <w:rFonts w:cs="Arial"/>
          <w:lang w:val="de-DE"/>
        </w:rPr>
        <w:t>Die beiden Sätze von kodominanten Markern, die für diese beiden Tomatenviren entwickelt wurden, wurden in die technischen Protokolle des CPVO für Tomate (4.4-2) und Tomatenunterlagen (1.4) als eine potentielle Alternative zu den Biotests in bestimmten Fällen aufgenommen</w:t>
      </w:r>
      <w:r w:rsidRPr="00443D82">
        <w:rPr>
          <w:rFonts w:eastAsia="Cambria"/>
          <w:lang w:val="de-DE"/>
        </w:rPr>
        <w:t>.</w:t>
      </w:r>
    </w:p>
    <w:p w14:paraId="470504D1" w14:textId="77777777" w:rsidR="00443D82" w:rsidRPr="00443D82" w:rsidRDefault="00443D82" w:rsidP="00443D82">
      <w:pPr>
        <w:rPr>
          <w:lang w:val="de-DE"/>
        </w:rPr>
      </w:pPr>
      <w:bookmarkStart w:id="64" w:name="_Toc75251918"/>
      <w:bookmarkStart w:id="65" w:name="_Toc75260744"/>
    </w:p>
    <w:p w14:paraId="2696A6F6" w14:textId="77777777" w:rsidR="00443D82" w:rsidRPr="00443D82" w:rsidRDefault="00443D82" w:rsidP="00443D82">
      <w:pPr>
        <w:rPr>
          <w:lang w:val="de-DE"/>
        </w:rPr>
      </w:pPr>
    </w:p>
    <w:p w14:paraId="7C8FE775" w14:textId="77777777" w:rsidR="00443D82" w:rsidRPr="00443D82" w:rsidRDefault="00443D82" w:rsidP="00443D82">
      <w:pPr>
        <w:rPr>
          <w:lang w:val="de-DE"/>
        </w:rPr>
      </w:pPr>
      <w:r w:rsidRPr="00443D82">
        <w:rPr>
          <w:lang w:val="de-DE"/>
        </w:rPr>
        <w:t>2.2.</w:t>
      </w:r>
      <w:r w:rsidRPr="00443D82">
        <w:rPr>
          <w:lang w:val="de-DE"/>
        </w:rPr>
        <w:tab/>
        <w:t>Verwaltung von Sortensammlungen</w:t>
      </w:r>
      <w:bookmarkEnd w:id="64"/>
      <w:bookmarkEnd w:id="65"/>
    </w:p>
    <w:p w14:paraId="37AF6745" w14:textId="77777777" w:rsidR="00443D82" w:rsidRPr="00443D82" w:rsidRDefault="00443D82" w:rsidP="00443D82">
      <w:pPr>
        <w:rPr>
          <w:kern w:val="32"/>
          <w:lang w:val="de-DE"/>
        </w:rPr>
      </w:pPr>
    </w:p>
    <w:p w14:paraId="5F198DF8" w14:textId="77777777" w:rsidR="00443D82" w:rsidRPr="00443D82" w:rsidRDefault="00443D82" w:rsidP="00443D82">
      <w:pPr>
        <w:rPr>
          <w:lang w:val="de-DE"/>
        </w:rPr>
      </w:pPr>
      <w:bookmarkStart w:id="66" w:name="_Toc75251919"/>
      <w:bookmarkStart w:id="67" w:name="_Toc75260745"/>
      <w:r w:rsidRPr="00443D82">
        <w:rPr>
          <w:lang w:val="de-DE"/>
        </w:rPr>
        <w:t>2.2.1.</w:t>
      </w:r>
      <w:r w:rsidRPr="00443D82">
        <w:rPr>
          <w:lang w:val="de-DE"/>
        </w:rPr>
        <w:tab/>
        <w:t>Kombination von molekularen und phänotypischen Schwellenwerten zum Ausschluss von super</w:t>
      </w:r>
      <w:r w:rsidRPr="00443D82">
        <w:rPr>
          <w:lang w:val="de-DE"/>
        </w:rPr>
        <w:noBreakHyphen/>
        <w:t>unterscheidbaren Sorten aus der zweiten Anbauprüfung</w:t>
      </w:r>
      <w:bookmarkEnd w:id="66"/>
      <w:bookmarkEnd w:id="67"/>
    </w:p>
    <w:p w14:paraId="72683D01" w14:textId="77777777" w:rsidR="00443D82" w:rsidRPr="00443D82" w:rsidRDefault="00443D82" w:rsidP="00443D82">
      <w:pPr>
        <w:rPr>
          <w:rFonts w:eastAsia="Cambria"/>
          <w:bCs/>
          <w:lang w:val="de-DE"/>
        </w:rPr>
      </w:pPr>
    </w:p>
    <w:p w14:paraId="23F94E5E" w14:textId="77777777" w:rsidR="00443D82" w:rsidRPr="00443D82" w:rsidRDefault="00443D82" w:rsidP="00443D82">
      <w:pPr>
        <w:rPr>
          <w:rFonts w:eastAsia="Cambria"/>
          <w:lang w:val="de-DE"/>
        </w:rPr>
      </w:pPr>
      <w:r w:rsidRPr="00443D82">
        <w:rPr>
          <w:rFonts w:cs="Arial"/>
          <w:lang w:val="de-DE"/>
        </w:rPr>
        <w:t>In diesem Modell werden zwei unabhängige Schwellenwerte für die Auswahl von ähnlichen Sorten festgelegt, die in die Anbauprüfung einbezogen werden sollen. Der erste Schwellenwert basiert auf den Informationen morphologischer Merkmale und der zweite auf einem genetischen Abstand, der unter Verwendung eines Satzes von Markern berechnet wird, die über das gesamte Genom verteilt sind. Außer bei morphologisch sehr ähnlichen Sorten müssen Vergleichssorten, die die beiden Schwellenwerte überschreiten, nicht in die Anbauprüfung einbezogen werden (sie werden als „super-unterscheidbar“ betrachtet</w:t>
      </w:r>
      <w:r w:rsidRPr="00443D82">
        <w:rPr>
          <w:rFonts w:eastAsia="Cambria"/>
          <w:lang w:val="de-DE"/>
        </w:rPr>
        <w:t>).</w:t>
      </w:r>
    </w:p>
    <w:p w14:paraId="2E40417E" w14:textId="77777777" w:rsidR="00443D82" w:rsidRPr="00443D82" w:rsidRDefault="00443D82" w:rsidP="00443D82">
      <w:pPr>
        <w:rPr>
          <w:rFonts w:eastAsia="Cambria"/>
          <w:lang w:val="de-DE"/>
        </w:rPr>
      </w:pPr>
    </w:p>
    <w:p w14:paraId="721D5457" w14:textId="77777777" w:rsidR="00443D82" w:rsidRPr="00443D82" w:rsidRDefault="00443D82" w:rsidP="00443D82">
      <w:pPr>
        <w:rPr>
          <w:rFonts w:eastAsia="Cambria"/>
          <w:lang w:val="de-DE"/>
        </w:rPr>
      </w:pPr>
      <w:r w:rsidRPr="00443D82">
        <w:rPr>
          <w:rFonts w:cs="Arial"/>
          <w:lang w:val="de-DE"/>
        </w:rPr>
        <w:t>Dieses Modell wird von bestimmten beauftragten Prüfungsämtern routinemäßig für Arten wie Mais, Salat, Weizen und Gerste angewandt und wird derzeit im Rahmen von F&amp;E-Projekten, die vom CPVO mitfinanziert werden, für Raps getestet</w:t>
      </w:r>
      <w:r w:rsidRPr="00443D82">
        <w:rPr>
          <w:rFonts w:eastAsia="Cambria"/>
          <w:lang w:val="de-DE"/>
        </w:rPr>
        <w:t>.</w:t>
      </w:r>
    </w:p>
    <w:p w14:paraId="6A397814" w14:textId="77777777" w:rsidR="00443D82" w:rsidRPr="00443D82" w:rsidRDefault="00443D82" w:rsidP="00443D82">
      <w:pPr>
        <w:rPr>
          <w:rFonts w:eastAsia="Cambria"/>
          <w:lang w:val="de-DE"/>
        </w:rPr>
      </w:pPr>
    </w:p>
    <w:p w14:paraId="39C07574" w14:textId="77777777" w:rsidR="00443D82" w:rsidRPr="00443D82" w:rsidRDefault="00443D82" w:rsidP="00443D82">
      <w:pPr>
        <w:rPr>
          <w:rFonts w:eastAsia="Cambria"/>
          <w:lang w:val="de-DE"/>
        </w:rPr>
      </w:pPr>
      <w:bookmarkStart w:id="68" w:name="_Toc75251920"/>
      <w:bookmarkStart w:id="69" w:name="_Toc75260746"/>
      <w:r w:rsidRPr="00443D82">
        <w:rPr>
          <w:rFonts w:eastAsia="Cambria"/>
          <w:lang w:val="de-DE"/>
        </w:rPr>
        <w:t>2.2.2.</w:t>
      </w:r>
      <w:r w:rsidRPr="00443D82">
        <w:rPr>
          <w:rFonts w:eastAsia="Cambria"/>
          <w:lang w:val="de-DE"/>
        </w:rPr>
        <w:tab/>
        <w:t>Genetische Auswahl von ähnlichen Sorten für die erste Anbauprüfung</w:t>
      </w:r>
      <w:bookmarkEnd w:id="68"/>
      <w:bookmarkEnd w:id="69"/>
    </w:p>
    <w:p w14:paraId="2766A2FB" w14:textId="77777777" w:rsidR="00443D82" w:rsidRPr="00443D82" w:rsidRDefault="00443D82" w:rsidP="00443D82">
      <w:pPr>
        <w:rPr>
          <w:rFonts w:eastAsia="Cambria"/>
          <w:lang w:val="de-DE"/>
        </w:rPr>
      </w:pPr>
    </w:p>
    <w:p w14:paraId="278747BC" w14:textId="77777777" w:rsidR="00443D82" w:rsidRPr="00443D82" w:rsidRDefault="00443D82" w:rsidP="00443D82">
      <w:pPr>
        <w:rPr>
          <w:rFonts w:eastAsia="Cambria" w:cs="Arial"/>
          <w:bCs/>
          <w:lang w:val="de-DE"/>
        </w:rPr>
      </w:pPr>
      <w:r w:rsidRPr="00443D82">
        <w:rPr>
          <w:rFonts w:eastAsia="Cambria" w:cs="Arial"/>
          <w:bCs/>
          <w:lang w:val="de-DE"/>
        </w:rPr>
        <w:t>Die Kandidatensorte wird unter Verwendung eines definierten Satzes von Markern genotypisiert und ihr Profil wird mit den Sorten aus der Vergleichssammlung verglichen. Alle Vergleichssorten mit einer genetischen Ähnlichkeit zu der Kandidatensorte, die höher als ein bestimmter Prozentsatz (z. B. 80 %) ist, sind in die erste Wachstumsperiode einzubeziehen, alle anderen werden ausgeschlossen.</w:t>
      </w:r>
    </w:p>
    <w:p w14:paraId="0BD7B4E4" w14:textId="77777777" w:rsidR="00443D82" w:rsidRPr="00443D82" w:rsidRDefault="00443D82" w:rsidP="00443D82">
      <w:pPr>
        <w:rPr>
          <w:rFonts w:eastAsia="Cambria" w:cs="Arial"/>
          <w:bCs/>
          <w:lang w:val="de-DE"/>
        </w:rPr>
      </w:pPr>
    </w:p>
    <w:p w14:paraId="6D434E24" w14:textId="77777777" w:rsidR="00443D82" w:rsidRPr="00443D82" w:rsidRDefault="00443D82" w:rsidP="00443D82">
      <w:pPr>
        <w:rPr>
          <w:rFonts w:eastAsia="Cambria" w:cs="Arial"/>
          <w:bCs/>
          <w:lang w:val="de-DE"/>
        </w:rPr>
      </w:pPr>
      <w:r w:rsidRPr="00443D82">
        <w:rPr>
          <w:rFonts w:eastAsia="Cambria" w:cs="Arial"/>
          <w:bCs/>
          <w:lang w:val="de-DE"/>
        </w:rPr>
        <w:t>Während der ersten Wachstumsperiode wird die Kandidatensorte auf Homogenität geprüft und gemäß dem technischen Protokoll morphologisch beschrieben. Ihre morphologische Beschreibung wird dann in silico mit den Beschreibungen aller Vergleichssorten verglichen.</w:t>
      </w:r>
    </w:p>
    <w:p w14:paraId="4A19A793" w14:textId="77777777" w:rsidR="00443D82" w:rsidRPr="00443D82" w:rsidRDefault="00443D82" w:rsidP="00443D82">
      <w:pPr>
        <w:rPr>
          <w:rFonts w:eastAsia="Cambria" w:cs="Arial"/>
          <w:bCs/>
          <w:lang w:val="de-DE"/>
        </w:rPr>
      </w:pPr>
    </w:p>
    <w:p w14:paraId="553E8CD7" w14:textId="77777777" w:rsidR="00443D82" w:rsidRPr="00443D82" w:rsidRDefault="00443D82" w:rsidP="00443D82">
      <w:pPr>
        <w:rPr>
          <w:rFonts w:eastAsia="Cambria" w:cs="Arial"/>
          <w:bCs/>
          <w:i/>
          <w:iCs/>
          <w:sz w:val="16"/>
          <w:szCs w:val="16"/>
          <w:lang w:val="de-DE"/>
        </w:rPr>
      </w:pPr>
      <w:r w:rsidRPr="00443D82">
        <w:rPr>
          <w:rFonts w:eastAsia="Cambria" w:cs="Arial"/>
          <w:bCs/>
          <w:i/>
          <w:iCs/>
          <w:sz w:val="16"/>
          <w:szCs w:val="16"/>
          <w:lang w:val="de-DE"/>
        </w:rPr>
        <w:t>Anmerkung: Die morphologischen Beschreibungen der Vergleichssorten, die für den In-silico-Vergleich verwendet werden, müssen auf den Erfassungen des Prüfungsamts basieren (interne Sortenbeschreibungen). Wenn die verwendeten Sortenbeschreibungen nicht intern erstellt werden, können sie nur verwendet werden, wenn die Notationsskalen zwischen den Prüfungsämtern, die sie erstellen und verwenden, harmonisiert wurden (z. B. durch Ringtests).</w:t>
      </w:r>
    </w:p>
    <w:p w14:paraId="5BADF729" w14:textId="77777777" w:rsidR="00443D82" w:rsidRPr="00443D82" w:rsidRDefault="00443D82" w:rsidP="00443D82">
      <w:pPr>
        <w:rPr>
          <w:rFonts w:eastAsia="Cambria" w:cs="Arial"/>
          <w:bCs/>
          <w:lang w:val="de-DE"/>
        </w:rPr>
      </w:pPr>
    </w:p>
    <w:p w14:paraId="3BEFBEAE" w14:textId="77777777" w:rsidR="00443D82" w:rsidRPr="00443D82" w:rsidRDefault="00443D82" w:rsidP="00443D82">
      <w:pPr>
        <w:rPr>
          <w:rFonts w:eastAsia="Cambria" w:cs="Arial"/>
          <w:bCs/>
          <w:lang w:val="de-DE"/>
        </w:rPr>
      </w:pPr>
      <w:r w:rsidRPr="00443D82">
        <w:rPr>
          <w:rFonts w:eastAsia="Cambria" w:cs="Arial"/>
          <w:bCs/>
          <w:lang w:val="de-DE"/>
        </w:rPr>
        <w:t>Die Vergleichssorten, die als morphologisch ähnlich zu der Kandidatensorte identifiziert werden, werden zum Vergleich in eine zweite Anbauprüfung einbezogen. Wenn die Sorte in der ersten Wachstumsperiode deutlich von den ähnlichen Sorten unterscheidbar ist und keine ähnlichen Sorten aufgrund der Sortenbeschreibung nach der ersten Wachstumsperiode festgestellt werden, kann nach einer Wachstumsperiode eine positive Entscheidung über die Unterscheidbarkeit getroffen werden.</w:t>
      </w:r>
    </w:p>
    <w:p w14:paraId="7772EA6E" w14:textId="77777777" w:rsidR="00443D82" w:rsidRPr="00443D82" w:rsidRDefault="00443D82" w:rsidP="00443D82">
      <w:pPr>
        <w:rPr>
          <w:rFonts w:eastAsia="Cambria" w:cs="Arial"/>
          <w:bCs/>
          <w:lang w:val="de-DE"/>
        </w:rPr>
      </w:pPr>
    </w:p>
    <w:p w14:paraId="0E987A45" w14:textId="77777777" w:rsidR="00443D82" w:rsidRPr="00443D82" w:rsidRDefault="00443D82" w:rsidP="00443D82">
      <w:pPr>
        <w:rPr>
          <w:rFonts w:eastAsia="Cambria" w:cs="Arial"/>
          <w:bCs/>
          <w:lang w:val="de-DE"/>
        </w:rPr>
      </w:pPr>
      <w:r w:rsidRPr="00443D82">
        <w:rPr>
          <w:rFonts w:eastAsia="Cambria" w:cs="Arial"/>
          <w:bCs/>
          <w:lang w:val="de-DE"/>
        </w:rPr>
        <w:t>Dieses Modell wird von bestimmten beauftragten Prüfungsämtern für Arten wie Gartenbohne und Kartoffel angewandt. Es wird derzeit für Hartweizen getestet und soll durch vom CPVO mitfinanzierte F&amp;E-Projekte für Tomate und Hanf erforscht werden.</w:t>
      </w:r>
    </w:p>
    <w:p w14:paraId="0A9769BC" w14:textId="77777777" w:rsidR="00443D82" w:rsidRPr="00443D82" w:rsidRDefault="00443D82" w:rsidP="00443D82">
      <w:pPr>
        <w:rPr>
          <w:rFonts w:eastAsia="Cambria" w:cs="Arial"/>
          <w:bCs/>
          <w:lang w:val="de-DE"/>
        </w:rPr>
      </w:pPr>
    </w:p>
    <w:p w14:paraId="6DBFFB67" w14:textId="77777777" w:rsidR="00443D82" w:rsidRPr="00443D82" w:rsidRDefault="00443D82" w:rsidP="00443D82">
      <w:pPr>
        <w:rPr>
          <w:rFonts w:eastAsia="Cambria" w:cs="Arial"/>
          <w:bCs/>
          <w:lang w:val="de-DE"/>
        </w:rPr>
      </w:pPr>
      <w:r w:rsidRPr="00443D82">
        <w:rPr>
          <w:rFonts w:eastAsia="Cambria" w:cs="Arial"/>
          <w:bCs/>
          <w:lang w:val="de-DE"/>
        </w:rPr>
        <w:t xml:space="preserve">Die Verfahren werden von Sortensachverständigengruppen des CPOV bewertet. </w:t>
      </w:r>
    </w:p>
    <w:p w14:paraId="791CA1C4" w14:textId="77777777" w:rsidR="00443D82" w:rsidRPr="00443D82" w:rsidRDefault="00443D82" w:rsidP="00443D82">
      <w:pPr>
        <w:rPr>
          <w:rFonts w:eastAsia="Cambria" w:cs="Arial"/>
          <w:bCs/>
          <w:lang w:val="de-DE"/>
        </w:rPr>
      </w:pPr>
    </w:p>
    <w:p w14:paraId="5A76C613" w14:textId="77777777" w:rsidR="00443D82" w:rsidRPr="00443D82" w:rsidRDefault="00443D82" w:rsidP="00443D82">
      <w:pPr>
        <w:rPr>
          <w:rFonts w:eastAsia="Cambria" w:cs="Arial"/>
          <w:bCs/>
          <w:lang w:val="de-DE"/>
        </w:rPr>
      </w:pPr>
    </w:p>
    <w:p w14:paraId="1999BA12" w14:textId="77777777" w:rsidR="00443D82" w:rsidRPr="00443D82" w:rsidRDefault="00443D82" w:rsidP="00443D82">
      <w:pPr>
        <w:rPr>
          <w:rFonts w:eastAsia="Cambria"/>
          <w:lang w:val="de-DE"/>
        </w:rPr>
      </w:pPr>
      <w:r w:rsidRPr="00443D82">
        <w:rPr>
          <w:rFonts w:eastAsia="Cambria"/>
          <w:lang w:val="de-DE"/>
        </w:rPr>
        <w:t>2.3.</w:t>
      </w:r>
      <w:r w:rsidRPr="00443D82">
        <w:rPr>
          <w:rFonts w:eastAsia="Cambria"/>
          <w:lang w:val="de-DE"/>
        </w:rPr>
        <w:tab/>
        <w:t>Andere Verwendungen</w:t>
      </w:r>
    </w:p>
    <w:p w14:paraId="3983FEFC" w14:textId="77777777" w:rsidR="00443D82" w:rsidRPr="00443D82" w:rsidRDefault="00443D82" w:rsidP="00443D82">
      <w:pPr>
        <w:pStyle w:val="ListParagraph"/>
        <w:ind w:left="567"/>
        <w:rPr>
          <w:rFonts w:eastAsia="Cambria" w:cs="Arial"/>
          <w:bCs/>
          <w:lang w:val="de-DE"/>
        </w:rPr>
      </w:pPr>
    </w:p>
    <w:p w14:paraId="17D9D71A" w14:textId="77777777" w:rsidR="00443D82" w:rsidRPr="00443D82" w:rsidRDefault="00443D82" w:rsidP="00443D82">
      <w:pPr>
        <w:rPr>
          <w:rFonts w:eastAsia="Cambria" w:cs="Arial"/>
          <w:bCs/>
          <w:lang w:val="de-DE"/>
        </w:rPr>
      </w:pPr>
      <w:r w:rsidRPr="00443D82">
        <w:rPr>
          <w:rFonts w:eastAsia="Cambria" w:cs="Arial"/>
          <w:bCs/>
          <w:lang w:val="de-DE"/>
        </w:rPr>
        <w:t>2.3.1.</w:t>
      </w:r>
      <w:r w:rsidRPr="00443D82">
        <w:rPr>
          <w:rFonts w:eastAsia="Cambria" w:cs="Arial"/>
          <w:bCs/>
          <w:lang w:val="de-DE"/>
        </w:rPr>
        <w:tab/>
        <w:t>Identifizierung bei der Unterstützung bei der Erhaltung von Sortensammlungen</w:t>
      </w:r>
    </w:p>
    <w:p w14:paraId="1B1DB3D9" w14:textId="77777777" w:rsidR="00443D82" w:rsidRPr="00443D82" w:rsidRDefault="00443D82" w:rsidP="00443D82">
      <w:pPr>
        <w:rPr>
          <w:rFonts w:eastAsia="Cambria" w:cs="Arial"/>
          <w:bCs/>
          <w:lang w:val="de-DE"/>
        </w:rPr>
      </w:pPr>
    </w:p>
    <w:p w14:paraId="5D895689" w14:textId="77777777" w:rsidR="00443D82" w:rsidRPr="00443D82" w:rsidRDefault="00443D82" w:rsidP="00443D82">
      <w:pPr>
        <w:rPr>
          <w:rFonts w:eastAsia="Cambria" w:cs="Arial"/>
          <w:bCs/>
          <w:lang w:val="de-DE"/>
        </w:rPr>
      </w:pPr>
      <w:r w:rsidRPr="00443D82">
        <w:rPr>
          <w:rFonts w:eastAsia="Cambria" w:cs="Arial"/>
          <w:bCs/>
          <w:lang w:val="de-DE"/>
        </w:rPr>
        <w:t>Alle in den vorstehenden Beispielen verwendeten molekularen Marker können zu Identifikationszwecken bei der Unterstützung der Erhaltung von Vergleichssammlungen verwendet werden.</w:t>
      </w:r>
    </w:p>
    <w:p w14:paraId="78C9A347" w14:textId="77777777" w:rsidR="00443D82" w:rsidRPr="00443D82" w:rsidRDefault="00443D82" w:rsidP="00443D82">
      <w:pPr>
        <w:rPr>
          <w:rFonts w:eastAsia="Cambria" w:cs="Arial"/>
          <w:bCs/>
          <w:lang w:val="de-DE"/>
        </w:rPr>
      </w:pPr>
    </w:p>
    <w:p w14:paraId="6A89CF01" w14:textId="77777777" w:rsidR="00443D82" w:rsidRPr="00443D82" w:rsidRDefault="00443D82" w:rsidP="00443D82">
      <w:pPr>
        <w:rPr>
          <w:rFonts w:eastAsia="Cambria" w:cs="Arial"/>
          <w:bCs/>
          <w:lang w:val="de-DE"/>
        </w:rPr>
      </w:pPr>
      <w:r w:rsidRPr="00443D82">
        <w:rPr>
          <w:rFonts w:eastAsia="Cambria" w:cs="Arial"/>
          <w:bCs/>
          <w:lang w:val="de-DE"/>
        </w:rPr>
        <w:t xml:space="preserve">Zusätzlich können auch andere molekulare Markersätze für Identifizierungszwecke von bestimmten beauftragten Prüfungsämtern für Arten wie Rose, Kirschbaum, Pfirsich, Rebe, Zitrus usw. verwendet werden. Diese Sätze können zwischen Prüfungsämtern harmonisiert sein (z. B. Kartoffel dank eines vom CPVO unterstützten Projekts) oder nicht. </w:t>
      </w:r>
    </w:p>
    <w:p w14:paraId="43D74F13" w14:textId="77777777" w:rsidR="00443D82" w:rsidRPr="00443D82" w:rsidRDefault="00443D82" w:rsidP="00443D82">
      <w:pPr>
        <w:rPr>
          <w:rFonts w:eastAsia="Cambria" w:cs="Arial"/>
          <w:bCs/>
          <w:lang w:val="de-DE"/>
        </w:rPr>
      </w:pPr>
    </w:p>
    <w:p w14:paraId="36017374" w14:textId="77777777" w:rsidR="00443D82" w:rsidRPr="00443D82" w:rsidRDefault="00443D82" w:rsidP="00443D82">
      <w:pPr>
        <w:rPr>
          <w:rFonts w:eastAsia="Cambria" w:cs="Arial"/>
          <w:bCs/>
          <w:lang w:val="de-DE"/>
        </w:rPr>
      </w:pPr>
      <w:r w:rsidRPr="00443D82">
        <w:rPr>
          <w:rFonts w:eastAsia="Cambria" w:cs="Arial"/>
          <w:bCs/>
          <w:lang w:val="de-DE"/>
        </w:rPr>
        <w:t>2.3.2.</w:t>
      </w:r>
      <w:r w:rsidRPr="00443D82">
        <w:rPr>
          <w:rFonts w:eastAsia="Cambria" w:cs="Arial"/>
          <w:bCs/>
          <w:lang w:val="de-DE"/>
        </w:rPr>
        <w:tab/>
        <w:t>Erfassung von GVO (im Sinne der Richtlinie 2001/18/EG)</w:t>
      </w:r>
    </w:p>
    <w:p w14:paraId="70B70407" w14:textId="77777777" w:rsidR="00443D82" w:rsidRPr="00443D82" w:rsidRDefault="00443D82" w:rsidP="00443D82">
      <w:pPr>
        <w:rPr>
          <w:rFonts w:eastAsia="Cambria" w:cs="Arial"/>
          <w:bCs/>
          <w:lang w:val="de-DE"/>
        </w:rPr>
      </w:pPr>
    </w:p>
    <w:p w14:paraId="3822670C" w14:textId="77777777" w:rsidR="00443D82" w:rsidRPr="00443D82" w:rsidRDefault="00443D82" w:rsidP="00443D82">
      <w:pPr>
        <w:rPr>
          <w:rFonts w:eastAsia="Cambria" w:cs="Arial"/>
          <w:bCs/>
          <w:lang w:val="de-DE"/>
        </w:rPr>
      </w:pPr>
      <w:r w:rsidRPr="00443D82">
        <w:rPr>
          <w:rFonts w:eastAsia="Cambria" w:cs="Arial"/>
          <w:bCs/>
          <w:lang w:val="de-DE"/>
        </w:rPr>
        <w:t>In bestimmten Fällen werden Marker von Prüfungsämtern verwendet, um Sorten zu erfassen, die mit Hilfe von Transgenese- oder gezielten Mutageneseverfahren hergestellt wurden:</w:t>
      </w:r>
    </w:p>
    <w:p w14:paraId="1AD7FD6C" w14:textId="77777777" w:rsidR="00443D82" w:rsidRPr="00443D82" w:rsidRDefault="00443D82" w:rsidP="00443D82">
      <w:pPr>
        <w:ind w:left="567"/>
        <w:rPr>
          <w:rFonts w:eastAsia="Cambria" w:cs="Arial"/>
          <w:bCs/>
          <w:lang w:val="de-DE"/>
        </w:rPr>
      </w:pPr>
      <w:r w:rsidRPr="00443D82">
        <w:rPr>
          <w:rFonts w:eastAsia="Cambria" w:cs="Arial"/>
          <w:bCs/>
          <w:lang w:val="de-DE"/>
        </w:rPr>
        <w:t>- Bestätigung des Vorhandenseins einer deklarierten Gentransformation (klassische Transgen-Insertion oder durch Genbearbeitungstechniken ausgelöste Punktmutationen).</w:t>
      </w:r>
    </w:p>
    <w:p w14:paraId="6B21C557" w14:textId="77777777" w:rsidR="00443D82" w:rsidRPr="00443D82" w:rsidRDefault="00443D82" w:rsidP="00443D82">
      <w:pPr>
        <w:ind w:left="567"/>
        <w:rPr>
          <w:rFonts w:eastAsia="Cambria" w:cs="Arial"/>
          <w:bCs/>
          <w:lang w:val="de-DE"/>
        </w:rPr>
      </w:pPr>
      <w:r w:rsidRPr="00443D82">
        <w:rPr>
          <w:rFonts w:eastAsia="Cambria" w:cs="Arial"/>
          <w:bCs/>
          <w:lang w:val="de-DE"/>
        </w:rPr>
        <w:t>- Erfassung des zufälligen Vorhandenseins von GV-Saatgut in den eingereichten Referenzpartien.</w:t>
      </w:r>
    </w:p>
    <w:p w14:paraId="099C81C9" w14:textId="77777777" w:rsidR="00443D82" w:rsidRPr="00443D82" w:rsidRDefault="00443D82" w:rsidP="00443D82">
      <w:pPr>
        <w:rPr>
          <w:rFonts w:eastAsia="Cambria" w:cs="Arial"/>
          <w:bCs/>
          <w:lang w:val="de-DE"/>
        </w:rPr>
      </w:pPr>
    </w:p>
    <w:p w14:paraId="542BB424" w14:textId="77777777" w:rsidR="00443D82" w:rsidRPr="00443D82" w:rsidRDefault="00443D82" w:rsidP="00443D82">
      <w:pPr>
        <w:rPr>
          <w:rFonts w:eastAsia="Cambria" w:cs="Arial"/>
          <w:bCs/>
          <w:lang w:val="de-DE"/>
        </w:rPr>
      </w:pPr>
      <w:r w:rsidRPr="00443D82">
        <w:rPr>
          <w:rFonts w:eastAsia="Cambria" w:cs="Arial"/>
          <w:bCs/>
          <w:lang w:val="de-DE"/>
        </w:rPr>
        <w:t>Fazit</w:t>
      </w:r>
    </w:p>
    <w:p w14:paraId="2BAAA4CB" w14:textId="77777777" w:rsidR="00443D82" w:rsidRPr="00443D82" w:rsidRDefault="00443D82" w:rsidP="00443D82">
      <w:pPr>
        <w:rPr>
          <w:rFonts w:eastAsia="Cambria" w:cs="Arial"/>
          <w:bCs/>
          <w:lang w:val="de-DE"/>
        </w:rPr>
      </w:pPr>
    </w:p>
    <w:p w14:paraId="4C80BFCF" w14:textId="77777777" w:rsidR="00443D82" w:rsidRPr="00443D82" w:rsidRDefault="00443D82" w:rsidP="00443D82">
      <w:pPr>
        <w:rPr>
          <w:rFonts w:eastAsia="Cambria" w:cs="Arial"/>
          <w:bCs/>
          <w:lang w:val="de-DE"/>
        </w:rPr>
      </w:pPr>
      <w:r w:rsidRPr="00443D82">
        <w:rPr>
          <w:rFonts w:eastAsia="Cambria" w:cs="Arial"/>
          <w:bCs/>
          <w:lang w:val="de-DE"/>
        </w:rPr>
        <w:t>Zusammenfassend lässt sich sagen, dass derzeit viele molekulare Verfahren vom CPVO-Netzwerk der beauftragten Prüfungsämter zur Unterstützung der DUS-Prüfung verwendet werden oder sich in der Entwicklung befinden.</w:t>
      </w:r>
    </w:p>
    <w:p w14:paraId="024B4DA8" w14:textId="77777777" w:rsidR="00443D82" w:rsidRPr="00443D82" w:rsidRDefault="00443D82" w:rsidP="00443D82">
      <w:pPr>
        <w:rPr>
          <w:rFonts w:eastAsia="Cambria" w:cs="Arial"/>
          <w:bCs/>
          <w:lang w:val="de-DE"/>
        </w:rPr>
      </w:pPr>
      <w:r w:rsidRPr="00443D82">
        <w:rPr>
          <w:rFonts w:eastAsia="Cambria" w:cs="Arial"/>
          <w:bCs/>
          <w:lang w:val="de-DE"/>
        </w:rPr>
        <w:t>Jedoch sind nur 2 Sätze von merkmalsspezifischen molekularen Markern offiziell in technischen Protokollen des CPVP auf der Grundlage der Bewertung/Validierung von Sachverständigen in den CPVO</w:t>
      </w:r>
      <w:r w:rsidRPr="00443D82">
        <w:rPr>
          <w:rFonts w:eastAsia="Cambria" w:cs="Arial"/>
          <w:bCs/>
          <w:lang w:val="de-DE"/>
        </w:rPr>
        <w:noBreakHyphen/>
        <w:t>Sachverständigengruppen beschrieben. Diese Marker sind öffentlich verfügbar.</w:t>
      </w:r>
    </w:p>
    <w:p w14:paraId="1DEED743" w14:textId="77777777" w:rsidR="00443D82" w:rsidRPr="00443D82" w:rsidRDefault="00443D82" w:rsidP="00443D82">
      <w:pPr>
        <w:rPr>
          <w:rFonts w:eastAsia="Cambria"/>
          <w:lang w:val="de-DE"/>
        </w:rPr>
      </w:pPr>
      <w:r w:rsidRPr="00443D82">
        <w:rPr>
          <w:rFonts w:eastAsia="Cambria" w:cs="Arial"/>
          <w:bCs/>
          <w:lang w:val="de-DE"/>
        </w:rPr>
        <w:t>Folglich überlässt das CPVO seinen beauftragten Prüfungsämtern die Rolle der Beschreibung der molekularen Hilfsmittel, die sie in Hinsicht auf die CPVO-Politik für die in Bezug auf Sortenvergleichssammlungen verwendeten Verfahren verwenden</w:t>
      </w:r>
      <w:r w:rsidRPr="00443D82">
        <w:rPr>
          <w:rFonts w:eastAsia="Cambria"/>
          <w:lang w:val="de-DE"/>
        </w:rPr>
        <w:t>.</w:t>
      </w:r>
    </w:p>
    <w:p w14:paraId="075FED58" w14:textId="67BA1D89" w:rsidR="00C327B6" w:rsidRPr="00B60C3A" w:rsidRDefault="00C327B6" w:rsidP="00C327B6">
      <w:pPr>
        <w:rPr>
          <w:rFonts w:eastAsia="Cambria"/>
          <w:lang w:val="de-DE"/>
        </w:rPr>
      </w:pPr>
    </w:p>
    <w:p w14:paraId="0620FEB2" w14:textId="77777777" w:rsidR="00C327B6" w:rsidRPr="00B60C3A" w:rsidRDefault="00C327B6" w:rsidP="00C327B6">
      <w:pPr>
        <w:jc w:val="left"/>
        <w:rPr>
          <w:lang w:val="de-DE"/>
        </w:rPr>
      </w:pPr>
    </w:p>
    <w:p w14:paraId="3AD7AF35" w14:textId="77777777" w:rsidR="00C327B6" w:rsidRPr="00B60C3A" w:rsidRDefault="00C327B6" w:rsidP="00C327B6">
      <w:pPr>
        <w:rPr>
          <w:lang w:val="de-DE"/>
        </w:rPr>
      </w:pPr>
    </w:p>
    <w:p w14:paraId="7F695519" w14:textId="2559D1CC" w:rsidR="00C327B6" w:rsidRPr="005571B2" w:rsidRDefault="007263AF" w:rsidP="00C327B6">
      <w:pPr>
        <w:jc w:val="right"/>
        <w:rPr>
          <w:lang w:val="de-DE"/>
        </w:rPr>
      </w:pPr>
      <w:r w:rsidRPr="005571B2">
        <w:rPr>
          <w:lang w:val="de-DE"/>
        </w:rPr>
        <w:t>[</w:t>
      </w:r>
      <w:r w:rsidR="00C327B6" w:rsidRPr="005571B2">
        <w:rPr>
          <w:lang w:val="de-DE"/>
        </w:rPr>
        <w:t>An</w:t>
      </w:r>
      <w:r w:rsidR="001A3CE8" w:rsidRPr="005571B2">
        <w:rPr>
          <w:lang w:val="de-DE"/>
        </w:rPr>
        <w:t>lage</w:t>
      </w:r>
      <w:r w:rsidR="00C327B6" w:rsidRPr="005571B2">
        <w:rPr>
          <w:lang w:val="de-DE"/>
        </w:rPr>
        <w:t xml:space="preserve"> </w:t>
      </w:r>
      <w:r w:rsidRPr="005571B2">
        <w:rPr>
          <w:lang w:val="de-DE"/>
        </w:rPr>
        <w:t>II fol</w:t>
      </w:r>
      <w:r w:rsidR="001A3CE8" w:rsidRPr="005571B2">
        <w:rPr>
          <w:lang w:val="de-DE"/>
        </w:rPr>
        <w:t>gt</w:t>
      </w:r>
      <w:r w:rsidR="00C327B6" w:rsidRPr="005571B2">
        <w:rPr>
          <w:lang w:val="de-DE"/>
        </w:rPr>
        <w:t>]</w:t>
      </w:r>
    </w:p>
    <w:p w14:paraId="06F29FEA" w14:textId="77777777" w:rsidR="007263AF" w:rsidRPr="005571B2" w:rsidRDefault="007263AF" w:rsidP="00C327B6">
      <w:pPr>
        <w:jc w:val="right"/>
        <w:rPr>
          <w:lang w:val="de-DE"/>
        </w:rPr>
      </w:pPr>
    </w:p>
    <w:p w14:paraId="24ED82FD" w14:textId="77777777" w:rsidR="007263AF" w:rsidRPr="005571B2" w:rsidRDefault="007263AF" w:rsidP="00C327B6">
      <w:pPr>
        <w:jc w:val="right"/>
        <w:rPr>
          <w:lang w:val="de-DE"/>
        </w:rPr>
        <w:sectPr w:rsidR="007263AF" w:rsidRPr="005571B2" w:rsidSect="0004198B">
          <w:headerReference w:type="default" r:id="rId24"/>
          <w:headerReference w:type="first" r:id="rId25"/>
          <w:pgSz w:w="11907" w:h="16840" w:code="9"/>
          <w:pgMar w:top="510" w:right="1134" w:bottom="1134" w:left="1134" w:header="510" w:footer="680" w:gutter="0"/>
          <w:pgNumType w:start="1"/>
          <w:cols w:space="720"/>
          <w:titlePg/>
        </w:sectPr>
      </w:pPr>
    </w:p>
    <w:p w14:paraId="334F5264" w14:textId="77777777" w:rsidR="00443D82" w:rsidRPr="00443D82" w:rsidRDefault="00443D82" w:rsidP="00443D82">
      <w:pPr>
        <w:rPr>
          <w:lang w:val="de-DE"/>
        </w:rPr>
      </w:pPr>
      <w:r w:rsidRPr="00443D82">
        <w:rPr>
          <w:lang w:val="de-DE"/>
        </w:rPr>
        <w:t>ELEMENTE FÜR EINEN ENTWURF EINES GEMEINSAMEN DOKUMENTES ZUR ERLÄUTERUNG DER WESENTLICHEN BESONDERHEITEN DER SYSTEME DER OECD, UPOV UND ISTA</w:t>
      </w:r>
    </w:p>
    <w:p w14:paraId="05188D8C" w14:textId="77777777" w:rsidR="00443D82" w:rsidRPr="00443D82" w:rsidRDefault="00443D82" w:rsidP="00443D82">
      <w:pPr>
        <w:rPr>
          <w:lang w:val="de-DE"/>
        </w:rPr>
      </w:pPr>
    </w:p>
    <w:p w14:paraId="19FAE56D" w14:textId="77777777" w:rsidR="00443D82" w:rsidRPr="00443D82" w:rsidRDefault="00443D82" w:rsidP="00443D82">
      <w:pPr>
        <w:rPr>
          <w:bCs/>
          <w:u w:val="single"/>
          <w:lang w:val="de-DE"/>
        </w:rPr>
      </w:pPr>
      <w:r w:rsidRPr="00443D82">
        <w:rPr>
          <w:bCs/>
          <w:u w:val="single"/>
          <w:lang w:val="de-DE"/>
        </w:rPr>
        <w:t>Organisation für wirtschaftliche Zusammenarbeit und Entwicklung (OECD)</w:t>
      </w:r>
    </w:p>
    <w:p w14:paraId="49405336" w14:textId="77777777" w:rsidR="00443D82" w:rsidRPr="00443D82" w:rsidRDefault="00443D82" w:rsidP="00443D82">
      <w:pPr>
        <w:rPr>
          <w:lang w:val="de-DE"/>
        </w:rPr>
      </w:pPr>
    </w:p>
    <w:p w14:paraId="43C5212F" w14:textId="77777777" w:rsidR="00443D82" w:rsidRPr="00443D82" w:rsidRDefault="00443D82" w:rsidP="00443D82">
      <w:pPr>
        <w:spacing w:before="91"/>
        <w:rPr>
          <w:i/>
          <w:lang w:val="de-DE"/>
        </w:rPr>
      </w:pPr>
      <w:r w:rsidRPr="00443D82">
        <w:rPr>
          <w:i/>
          <w:lang w:val="de-DE"/>
        </w:rPr>
        <w:t>Was sind die Saatgutsysteme der OECD?</w:t>
      </w:r>
    </w:p>
    <w:p w14:paraId="7C96F312" w14:textId="77777777" w:rsidR="00443D82" w:rsidRPr="00443D82" w:rsidRDefault="00443D82" w:rsidP="00443D82">
      <w:pPr>
        <w:spacing w:before="4"/>
        <w:rPr>
          <w:b/>
          <w:lang w:val="de-DE"/>
        </w:rPr>
      </w:pPr>
    </w:p>
    <w:p w14:paraId="45F7E210" w14:textId="77777777" w:rsidR="00443D82" w:rsidRPr="00443D82" w:rsidRDefault="00443D82" w:rsidP="00443D82">
      <w:pPr>
        <w:widowControl w:val="0"/>
        <w:tabs>
          <w:tab w:val="left" w:pos="1125"/>
          <w:tab w:val="left" w:pos="1126"/>
        </w:tabs>
        <w:autoSpaceDE w:val="0"/>
        <w:autoSpaceDN w:val="0"/>
        <w:spacing w:before="1"/>
        <w:ind w:right="214"/>
        <w:rPr>
          <w:rFonts w:cs="Arial"/>
          <w:lang w:val="de-DE" w:eastAsia="en-GB" w:bidi="en-GB"/>
        </w:rPr>
      </w:pPr>
      <w:r w:rsidRPr="00443D82">
        <w:rPr>
          <w:rFonts w:cs="Arial"/>
          <w:lang w:val="de-DE" w:eastAsia="en-GB" w:bidi="en-GB"/>
        </w:rPr>
        <w:t>Die OECD-Saatgutsysteme schaffen einen internationalen Rahmen für die Zertifizierung von landwirtschaftlichem Sortensaatgut, das in den internationalen Verkehr gebracht wird. Die Saatgutsysteme wurden 1958 aufgrund einer Kombination von auslösenden Faktoren gegründet, zu denen ein schnell wachsender Saatguthandel, die europaweite Harmonisierung von Vorschriften, die Entwicklung der Nebensaison-Erzeugung, die Saatzucht und das Produktionspotential großer Exportstaaten in Amerika (Nord- und Südkontinent) und Europa und die Unterstützung durch die Privatwirtschaft gehörten. Die Mitgliedschaft in den Saatgutsystemen ist freiwillig, und die Beteiligung schwankt. Es gibt sieben landwirtschaftliche Saatgutsysteme.</w:t>
      </w:r>
    </w:p>
    <w:p w14:paraId="51A868A3" w14:textId="77777777" w:rsidR="00443D82" w:rsidRPr="00443D82" w:rsidRDefault="00443D82" w:rsidP="00443D82">
      <w:pPr>
        <w:spacing w:before="3"/>
        <w:rPr>
          <w:rFonts w:cs="Arial"/>
          <w:lang w:val="de-DE"/>
        </w:rPr>
      </w:pPr>
    </w:p>
    <w:p w14:paraId="44C3137A" w14:textId="77777777" w:rsidR="00443D82" w:rsidRPr="00443D82" w:rsidRDefault="00443D82" w:rsidP="00443D82">
      <w:pPr>
        <w:rPr>
          <w:i/>
          <w:lang w:val="de-DE"/>
        </w:rPr>
      </w:pPr>
      <w:bookmarkStart w:id="70" w:name="Participating_countries"/>
      <w:bookmarkEnd w:id="70"/>
      <w:r w:rsidRPr="00443D82">
        <w:rPr>
          <w:i/>
          <w:lang w:val="de-DE"/>
        </w:rPr>
        <w:t>Teilnehmerländer</w:t>
      </w:r>
    </w:p>
    <w:p w14:paraId="0ACEF622" w14:textId="77777777" w:rsidR="00443D82" w:rsidRPr="00443D82" w:rsidRDefault="00443D82" w:rsidP="00443D82">
      <w:pPr>
        <w:spacing w:before="4"/>
        <w:rPr>
          <w:rFonts w:cs="Arial"/>
          <w:b/>
          <w:lang w:val="de-DE"/>
        </w:rPr>
      </w:pPr>
    </w:p>
    <w:p w14:paraId="40C51C6A" w14:textId="77777777" w:rsidR="00443D82" w:rsidRPr="00443D82" w:rsidRDefault="00443D82" w:rsidP="00443D82">
      <w:pPr>
        <w:widowControl w:val="0"/>
        <w:tabs>
          <w:tab w:val="left" w:pos="567"/>
        </w:tabs>
        <w:autoSpaceDE w:val="0"/>
        <w:autoSpaceDN w:val="0"/>
        <w:spacing w:before="1"/>
        <w:ind w:right="216"/>
        <w:rPr>
          <w:rFonts w:cs="Arial"/>
          <w:lang w:val="de-DE" w:eastAsia="en-GB" w:bidi="en-GB"/>
        </w:rPr>
      </w:pPr>
      <w:r w:rsidRPr="00443D82">
        <w:rPr>
          <w:rFonts w:cs="Arial"/>
          <w:lang w:val="de-DE" w:eastAsia="en-GB" w:bidi="en-GB"/>
        </w:rPr>
        <w:t>59 Länder aus Europa, Nord- und Südamerika, Afrika, dem Nahen Osten, Asien und Ozeanien nehmen derzeit an den Saatgutsystemen der OECD teil:</w:t>
      </w:r>
    </w:p>
    <w:p w14:paraId="64DFF2D6" w14:textId="77777777" w:rsidR="00443D82" w:rsidRPr="00443D82" w:rsidRDefault="00443D82" w:rsidP="00443D82">
      <w:pPr>
        <w:spacing w:before="5"/>
        <w:rPr>
          <w:sz w:val="21"/>
          <w:lang w:val="de-DE"/>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443D82" w:rsidRPr="00160FAB" w14:paraId="3AF86C31" w14:textId="77777777" w:rsidTr="00A947B1">
        <w:trPr>
          <w:trHeight w:val="257"/>
        </w:trPr>
        <w:tc>
          <w:tcPr>
            <w:tcW w:w="2482" w:type="dxa"/>
            <w:tcBorders>
              <w:top w:val="single" w:sz="4" w:space="0" w:color="000000"/>
            </w:tcBorders>
            <w:shd w:val="clear" w:color="auto" w:fill="DBE5F1"/>
          </w:tcPr>
          <w:p w14:paraId="7E73DDE5" w14:textId="77777777" w:rsidR="00443D82" w:rsidRPr="00160FAB" w:rsidRDefault="00443D82" w:rsidP="00A947B1">
            <w:pPr>
              <w:widowControl w:val="0"/>
              <w:autoSpaceDE w:val="0"/>
              <w:autoSpaceDN w:val="0"/>
              <w:spacing w:before="34" w:line="208" w:lineRule="exact"/>
              <w:jc w:val="left"/>
              <w:rPr>
                <w:rFonts w:ascii="Trebuchet MS" w:eastAsia="Trebuchet MS" w:hAnsi="Trebuchet MS" w:cs="Trebuchet MS"/>
                <w:sz w:val="18"/>
                <w:szCs w:val="22"/>
                <w:lang w:eastAsia="en-GB" w:bidi="en-GB"/>
              </w:rPr>
            </w:pPr>
            <w:r w:rsidRPr="00BD6A76">
              <w:rPr>
                <w:rFonts w:ascii="Trebuchet MS" w:hAnsi="Trebuchet MS"/>
                <w:sz w:val="18"/>
                <w:szCs w:val="18"/>
              </w:rPr>
              <w:t>ÄGYPTEN</w:t>
            </w:r>
          </w:p>
        </w:tc>
        <w:tc>
          <w:tcPr>
            <w:tcW w:w="1438" w:type="dxa"/>
            <w:tcBorders>
              <w:top w:val="single" w:sz="4" w:space="0" w:color="000000"/>
            </w:tcBorders>
          </w:tcPr>
          <w:p w14:paraId="3E149872" w14:textId="77777777" w:rsidR="00443D82" w:rsidRPr="00160FAB" w:rsidRDefault="00443D82" w:rsidP="00A947B1">
            <w:pPr>
              <w:widowControl w:val="0"/>
              <w:autoSpaceDE w:val="0"/>
              <w:autoSpaceDN w:val="0"/>
              <w:spacing w:before="34"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tcBorders>
              <w:top w:val="single" w:sz="8" w:space="0" w:color="000000"/>
            </w:tcBorders>
            <w:shd w:val="clear" w:color="auto" w:fill="DBE5F1"/>
          </w:tcPr>
          <w:p w14:paraId="372929CD" w14:textId="77777777" w:rsidR="00443D82" w:rsidRPr="00160FAB" w:rsidRDefault="00443D82" w:rsidP="00A947B1">
            <w:pPr>
              <w:widowControl w:val="0"/>
              <w:autoSpaceDE w:val="0"/>
              <w:autoSpaceDN w:val="0"/>
              <w:spacing w:before="29"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MOLDAU</w:t>
            </w:r>
          </w:p>
        </w:tc>
        <w:tc>
          <w:tcPr>
            <w:tcW w:w="1143" w:type="dxa"/>
            <w:tcBorders>
              <w:top w:val="single" w:sz="8" w:space="0" w:color="000000"/>
            </w:tcBorders>
          </w:tcPr>
          <w:p w14:paraId="413575E3" w14:textId="77777777" w:rsidR="00443D82" w:rsidRPr="00160FAB" w:rsidRDefault="00443D82" w:rsidP="00A947B1">
            <w:pPr>
              <w:widowControl w:val="0"/>
              <w:autoSpaceDE w:val="0"/>
              <w:autoSpaceDN w:val="0"/>
              <w:spacing w:before="29"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r>
      <w:tr w:rsidR="00443D82" w:rsidRPr="00160FAB" w14:paraId="15026C34" w14:textId="77777777" w:rsidTr="00A947B1">
        <w:trPr>
          <w:trHeight w:val="248"/>
        </w:trPr>
        <w:tc>
          <w:tcPr>
            <w:tcW w:w="2482" w:type="dxa"/>
            <w:shd w:val="clear" w:color="auto" w:fill="DBE5F1"/>
          </w:tcPr>
          <w:p w14:paraId="675B6EC3"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ALBANIEN</w:t>
            </w:r>
          </w:p>
        </w:tc>
        <w:tc>
          <w:tcPr>
            <w:tcW w:w="1438" w:type="dxa"/>
          </w:tcPr>
          <w:p w14:paraId="39B51C50"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740BEAFF"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NEUSEELAND</w:t>
            </w:r>
          </w:p>
        </w:tc>
        <w:tc>
          <w:tcPr>
            <w:tcW w:w="1143" w:type="dxa"/>
          </w:tcPr>
          <w:p w14:paraId="084332D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462F7BCB" w14:textId="77777777" w:rsidTr="00A947B1">
        <w:trPr>
          <w:trHeight w:val="249"/>
        </w:trPr>
        <w:tc>
          <w:tcPr>
            <w:tcW w:w="2482" w:type="dxa"/>
            <w:shd w:val="clear" w:color="auto" w:fill="DBE5F1"/>
          </w:tcPr>
          <w:p w14:paraId="18FDB14E"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ARGENTINIEN</w:t>
            </w:r>
          </w:p>
        </w:tc>
        <w:tc>
          <w:tcPr>
            <w:tcW w:w="1438" w:type="dxa"/>
          </w:tcPr>
          <w:p w14:paraId="5787A978"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0A7D39E9"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NIEDERLANDE</w:t>
            </w:r>
          </w:p>
        </w:tc>
        <w:tc>
          <w:tcPr>
            <w:tcW w:w="1143" w:type="dxa"/>
          </w:tcPr>
          <w:p w14:paraId="012366E8"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44EC6E26" w14:textId="77777777" w:rsidTr="00A947B1">
        <w:trPr>
          <w:trHeight w:val="249"/>
        </w:trPr>
        <w:tc>
          <w:tcPr>
            <w:tcW w:w="2482" w:type="dxa"/>
            <w:shd w:val="clear" w:color="auto" w:fill="DBE5F1"/>
          </w:tcPr>
          <w:p w14:paraId="26ACE65A"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AUSTRALIEN</w:t>
            </w:r>
          </w:p>
        </w:tc>
        <w:tc>
          <w:tcPr>
            <w:tcW w:w="1438" w:type="dxa"/>
          </w:tcPr>
          <w:p w14:paraId="520DD433"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779289A2"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NORWEGEN</w:t>
            </w:r>
          </w:p>
        </w:tc>
        <w:tc>
          <w:tcPr>
            <w:tcW w:w="1143" w:type="dxa"/>
          </w:tcPr>
          <w:p w14:paraId="4BB6F546"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5586A990" w14:textId="77777777" w:rsidTr="00A947B1">
        <w:trPr>
          <w:trHeight w:val="248"/>
        </w:trPr>
        <w:tc>
          <w:tcPr>
            <w:tcW w:w="2482" w:type="dxa"/>
            <w:shd w:val="clear" w:color="auto" w:fill="DBE5F1"/>
          </w:tcPr>
          <w:p w14:paraId="3D4A7AFA"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hAnsi="Trebuchet MS"/>
                <w:sz w:val="18"/>
                <w:szCs w:val="18"/>
              </w:rPr>
              <w:t>BELGIEN</w:t>
            </w:r>
          </w:p>
        </w:tc>
        <w:tc>
          <w:tcPr>
            <w:tcW w:w="1438" w:type="dxa"/>
          </w:tcPr>
          <w:p w14:paraId="6D5C941F"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13AB5829"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ÖSTERREICH</w:t>
            </w:r>
          </w:p>
        </w:tc>
        <w:tc>
          <w:tcPr>
            <w:tcW w:w="1143" w:type="dxa"/>
          </w:tcPr>
          <w:p w14:paraId="2F61C9C7"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6BE683EE" w14:textId="77777777" w:rsidTr="00A947B1">
        <w:trPr>
          <w:trHeight w:val="248"/>
        </w:trPr>
        <w:tc>
          <w:tcPr>
            <w:tcW w:w="2482" w:type="dxa"/>
            <w:shd w:val="clear" w:color="auto" w:fill="DBE5F1"/>
          </w:tcPr>
          <w:p w14:paraId="2A23E416"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BOLIVIEN</w:t>
            </w:r>
          </w:p>
        </w:tc>
        <w:tc>
          <w:tcPr>
            <w:tcW w:w="1438" w:type="dxa"/>
          </w:tcPr>
          <w:p w14:paraId="3DF1F39D"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061B9CCA"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POLEN</w:t>
            </w:r>
          </w:p>
        </w:tc>
        <w:tc>
          <w:tcPr>
            <w:tcW w:w="1143" w:type="dxa"/>
          </w:tcPr>
          <w:p w14:paraId="6C5AA12F"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57E041BB" w14:textId="77777777" w:rsidTr="00A947B1">
        <w:trPr>
          <w:trHeight w:val="249"/>
        </w:trPr>
        <w:tc>
          <w:tcPr>
            <w:tcW w:w="2482" w:type="dxa"/>
            <w:shd w:val="clear" w:color="auto" w:fill="DBE5F1"/>
          </w:tcPr>
          <w:p w14:paraId="0560250B"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BRASILIEN</w:t>
            </w:r>
          </w:p>
        </w:tc>
        <w:tc>
          <w:tcPr>
            <w:tcW w:w="1438" w:type="dxa"/>
          </w:tcPr>
          <w:p w14:paraId="5479D9E8"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61A97AFC"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PORTUGAL</w:t>
            </w:r>
          </w:p>
        </w:tc>
        <w:tc>
          <w:tcPr>
            <w:tcW w:w="1143" w:type="dxa"/>
          </w:tcPr>
          <w:p w14:paraId="3DE0105B"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774B1CDF" w14:textId="77777777" w:rsidTr="00A947B1">
        <w:trPr>
          <w:trHeight w:val="249"/>
        </w:trPr>
        <w:tc>
          <w:tcPr>
            <w:tcW w:w="2482" w:type="dxa"/>
            <w:shd w:val="clear" w:color="auto" w:fill="DBE5F1"/>
          </w:tcPr>
          <w:p w14:paraId="5146987F"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BULGARIEN</w:t>
            </w:r>
          </w:p>
        </w:tc>
        <w:tc>
          <w:tcPr>
            <w:tcW w:w="1438" w:type="dxa"/>
          </w:tcPr>
          <w:p w14:paraId="1C5519C1"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07C9BDE2"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RUMÄNIEN</w:t>
            </w:r>
          </w:p>
        </w:tc>
        <w:tc>
          <w:tcPr>
            <w:tcW w:w="1143" w:type="dxa"/>
          </w:tcPr>
          <w:p w14:paraId="6186467D"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Cs w:val="22"/>
                <w:lang w:eastAsia="en-GB" w:bidi="en-GB"/>
              </w:rPr>
              <w:t>(2)</w:t>
            </w:r>
          </w:p>
        </w:tc>
      </w:tr>
      <w:tr w:rsidR="00443D82" w:rsidRPr="00160FAB" w14:paraId="124E5943" w14:textId="77777777" w:rsidTr="00A947B1">
        <w:trPr>
          <w:trHeight w:val="248"/>
        </w:trPr>
        <w:tc>
          <w:tcPr>
            <w:tcW w:w="2482" w:type="dxa"/>
            <w:shd w:val="clear" w:color="auto" w:fill="DBE5F1"/>
          </w:tcPr>
          <w:p w14:paraId="179F93B2"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hAnsi="Trebuchet MS"/>
                <w:sz w:val="18"/>
                <w:szCs w:val="18"/>
              </w:rPr>
              <w:t>CHILE</w:t>
            </w:r>
          </w:p>
        </w:tc>
        <w:tc>
          <w:tcPr>
            <w:tcW w:w="1438" w:type="dxa"/>
          </w:tcPr>
          <w:p w14:paraId="5FF1D0BB"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AE17132"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RUSSISCHE FÖDERATION</w:t>
            </w:r>
          </w:p>
        </w:tc>
        <w:tc>
          <w:tcPr>
            <w:tcW w:w="1143" w:type="dxa"/>
          </w:tcPr>
          <w:p w14:paraId="15C06E26" w14:textId="77777777" w:rsidR="00443D82" w:rsidRPr="00160FAB" w:rsidRDefault="00443D82"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Cs w:val="22"/>
                <w:lang w:eastAsia="en-GB" w:bidi="en-GB"/>
              </w:rPr>
              <w:t>(2)</w:t>
            </w:r>
          </w:p>
        </w:tc>
      </w:tr>
      <w:tr w:rsidR="00443D82" w:rsidRPr="00160FAB" w14:paraId="0B192810" w14:textId="77777777" w:rsidTr="00A947B1">
        <w:trPr>
          <w:trHeight w:val="260"/>
        </w:trPr>
        <w:tc>
          <w:tcPr>
            <w:tcW w:w="2482" w:type="dxa"/>
            <w:shd w:val="clear" w:color="auto" w:fill="DBE5F1"/>
          </w:tcPr>
          <w:p w14:paraId="62C30E51"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DÄNEMARK</w:t>
            </w:r>
          </w:p>
        </w:tc>
        <w:tc>
          <w:tcPr>
            <w:tcW w:w="1438" w:type="dxa"/>
          </w:tcPr>
          <w:p w14:paraId="7009355B"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2C50CE8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SCHWEDEN</w:t>
            </w:r>
          </w:p>
        </w:tc>
        <w:tc>
          <w:tcPr>
            <w:tcW w:w="1143" w:type="dxa"/>
          </w:tcPr>
          <w:p w14:paraId="33101598" w14:textId="77777777" w:rsidR="00443D82" w:rsidRPr="00160FAB" w:rsidRDefault="00443D82" w:rsidP="00A947B1">
            <w:pPr>
              <w:widowControl w:val="0"/>
              <w:autoSpaceDE w:val="0"/>
              <w:autoSpaceDN w:val="0"/>
              <w:spacing w:before="19" w:line="22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42D6705B" w14:textId="77777777" w:rsidTr="00A947B1">
        <w:trPr>
          <w:trHeight w:val="272"/>
        </w:trPr>
        <w:tc>
          <w:tcPr>
            <w:tcW w:w="2482" w:type="dxa"/>
            <w:shd w:val="clear" w:color="auto" w:fill="DBE5F1"/>
          </w:tcPr>
          <w:p w14:paraId="5F2297FF" w14:textId="77777777" w:rsidR="00443D82" w:rsidRPr="00160FAB" w:rsidRDefault="00443D82" w:rsidP="00A947B1">
            <w:pPr>
              <w:widowControl w:val="0"/>
              <w:autoSpaceDE w:val="0"/>
              <w:autoSpaceDN w:val="0"/>
              <w:spacing w:before="32"/>
              <w:jc w:val="left"/>
              <w:rPr>
                <w:rFonts w:ascii="Trebuchet MS" w:eastAsia="Trebuchet MS" w:hAnsi="Trebuchet MS" w:cs="Trebuchet MS"/>
                <w:sz w:val="18"/>
                <w:szCs w:val="22"/>
                <w:lang w:eastAsia="en-GB" w:bidi="en-GB"/>
              </w:rPr>
            </w:pPr>
            <w:r w:rsidRPr="00BD6A76">
              <w:rPr>
                <w:rFonts w:ascii="Trebuchet MS" w:hAnsi="Trebuchet MS"/>
                <w:sz w:val="18"/>
                <w:szCs w:val="18"/>
              </w:rPr>
              <w:t>DEUTSCHLAND</w:t>
            </w:r>
          </w:p>
        </w:tc>
        <w:tc>
          <w:tcPr>
            <w:tcW w:w="1438" w:type="dxa"/>
          </w:tcPr>
          <w:p w14:paraId="4D2DF597" w14:textId="77777777" w:rsidR="00443D82" w:rsidRPr="00160FAB" w:rsidRDefault="00443D82" w:rsidP="00A947B1">
            <w:pPr>
              <w:widowControl w:val="0"/>
              <w:autoSpaceDE w:val="0"/>
              <w:autoSpaceDN w:val="0"/>
              <w:spacing w:before="32"/>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77338788" w14:textId="77777777" w:rsidR="00443D82" w:rsidRPr="00160FAB" w:rsidRDefault="00443D82" w:rsidP="00A947B1">
            <w:pPr>
              <w:widowControl w:val="0"/>
              <w:autoSpaceDE w:val="0"/>
              <w:autoSpaceDN w:val="0"/>
              <w:spacing w:before="32"/>
              <w:jc w:val="left"/>
              <w:rPr>
                <w:rFonts w:ascii="Trebuchet MS" w:eastAsia="Trebuchet MS" w:hAnsi="Trebuchet MS" w:cs="Trebuchet MS"/>
                <w:sz w:val="18"/>
                <w:szCs w:val="22"/>
                <w:lang w:eastAsia="en-GB" w:bidi="en-GB"/>
              </w:rPr>
            </w:pPr>
            <w:r w:rsidRPr="00BD6A76">
              <w:rPr>
                <w:rFonts w:ascii="Trebuchet MS" w:hAnsi="Trebuchet MS"/>
                <w:sz w:val="18"/>
                <w:szCs w:val="18"/>
              </w:rPr>
              <w:t>SCHWEIZ</w:t>
            </w:r>
          </w:p>
        </w:tc>
        <w:tc>
          <w:tcPr>
            <w:tcW w:w="1143" w:type="dxa"/>
          </w:tcPr>
          <w:p w14:paraId="0EE358E8" w14:textId="77777777" w:rsidR="00443D82" w:rsidRPr="00160FAB" w:rsidRDefault="00443D82" w:rsidP="00A947B1">
            <w:pPr>
              <w:widowControl w:val="0"/>
              <w:autoSpaceDE w:val="0"/>
              <w:autoSpaceDN w:val="0"/>
              <w:spacing w:before="32" w:line="220"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3301FAEF" w14:textId="77777777" w:rsidTr="00A947B1">
        <w:trPr>
          <w:trHeight w:val="283"/>
        </w:trPr>
        <w:tc>
          <w:tcPr>
            <w:tcW w:w="2482" w:type="dxa"/>
            <w:shd w:val="clear" w:color="auto" w:fill="DBE5F1"/>
          </w:tcPr>
          <w:p w14:paraId="37A1361D" w14:textId="77777777" w:rsidR="00443D82" w:rsidRPr="00160FAB" w:rsidRDefault="00443D82" w:rsidP="00A947B1">
            <w:pPr>
              <w:widowControl w:val="0"/>
              <w:autoSpaceDE w:val="0"/>
              <w:autoSpaceDN w:val="0"/>
              <w:spacing w:before="30"/>
              <w:jc w:val="left"/>
              <w:rPr>
                <w:rFonts w:ascii="Trebuchet MS" w:eastAsia="Trebuchet MS" w:hAnsi="Trebuchet MS" w:cs="Trebuchet MS"/>
                <w:sz w:val="18"/>
                <w:szCs w:val="22"/>
                <w:lang w:eastAsia="en-GB" w:bidi="en-GB"/>
              </w:rPr>
            </w:pPr>
            <w:r w:rsidRPr="00BD6A76">
              <w:rPr>
                <w:rFonts w:ascii="Trebuchet MS" w:hAnsi="Trebuchet MS"/>
                <w:sz w:val="18"/>
                <w:szCs w:val="18"/>
              </w:rPr>
              <w:t>ESTLAND</w:t>
            </w:r>
          </w:p>
        </w:tc>
        <w:tc>
          <w:tcPr>
            <w:tcW w:w="1438" w:type="dxa"/>
          </w:tcPr>
          <w:p w14:paraId="3EA5D552" w14:textId="77777777" w:rsidR="00443D82" w:rsidRPr="00160FAB" w:rsidRDefault="00443D82" w:rsidP="00A947B1">
            <w:pPr>
              <w:widowControl w:val="0"/>
              <w:autoSpaceDE w:val="0"/>
              <w:autoSpaceDN w:val="0"/>
              <w:spacing w:before="3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7AF57C02" w14:textId="77777777" w:rsidR="00443D82" w:rsidRPr="00160FAB" w:rsidRDefault="00443D82" w:rsidP="00A947B1">
            <w:pPr>
              <w:widowControl w:val="0"/>
              <w:autoSpaceDE w:val="0"/>
              <w:autoSpaceDN w:val="0"/>
              <w:spacing w:before="30"/>
              <w:jc w:val="left"/>
              <w:rPr>
                <w:rFonts w:ascii="Trebuchet MS" w:eastAsia="Trebuchet MS" w:hAnsi="Trebuchet MS" w:cs="Trebuchet MS"/>
                <w:sz w:val="18"/>
                <w:szCs w:val="22"/>
                <w:lang w:eastAsia="en-GB" w:bidi="en-GB"/>
              </w:rPr>
            </w:pPr>
            <w:r w:rsidRPr="00BD6A76">
              <w:rPr>
                <w:rFonts w:ascii="Trebuchet MS" w:hAnsi="Trebuchet MS"/>
                <w:sz w:val="18"/>
                <w:szCs w:val="18"/>
              </w:rPr>
              <w:t>SENEGAL</w:t>
            </w:r>
          </w:p>
        </w:tc>
        <w:tc>
          <w:tcPr>
            <w:tcW w:w="1143" w:type="dxa"/>
          </w:tcPr>
          <w:p w14:paraId="36A35509" w14:textId="77777777" w:rsidR="00443D82" w:rsidRPr="00160FAB" w:rsidRDefault="00443D82" w:rsidP="00A947B1">
            <w:pPr>
              <w:widowControl w:val="0"/>
              <w:autoSpaceDE w:val="0"/>
              <w:autoSpaceDN w:val="0"/>
              <w:spacing w:before="31"/>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443D82" w:rsidRPr="00160FAB" w14:paraId="4C23BC41" w14:textId="77777777" w:rsidTr="00A947B1">
        <w:trPr>
          <w:trHeight w:val="272"/>
        </w:trPr>
        <w:tc>
          <w:tcPr>
            <w:tcW w:w="2482" w:type="dxa"/>
            <w:shd w:val="clear" w:color="auto" w:fill="DBE5F1"/>
          </w:tcPr>
          <w:p w14:paraId="6E04734B"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FINNLAND</w:t>
            </w:r>
          </w:p>
        </w:tc>
        <w:tc>
          <w:tcPr>
            <w:tcW w:w="1438" w:type="dxa"/>
          </w:tcPr>
          <w:p w14:paraId="3BC80799"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03D83C19"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SERBIEN</w:t>
            </w:r>
          </w:p>
        </w:tc>
        <w:tc>
          <w:tcPr>
            <w:tcW w:w="1143" w:type="dxa"/>
          </w:tcPr>
          <w:p w14:paraId="19863173" w14:textId="77777777" w:rsidR="00443D82" w:rsidRPr="00160FAB" w:rsidRDefault="00443D82" w:rsidP="00A947B1">
            <w:pPr>
              <w:widowControl w:val="0"/>
              <w:autoSpaceDE w:val="0"/>
              <w:autoSpaceDN w:val="0"/>
              <w:spacing w:before="21"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443D82" w:rsidRPr="00160FAB" w14:paraId="0DDEF942" w14:textId="77777777" w:rsidTr="00A947B1">
        <w:trPr>
          <w:trHeight w:val="272"/>
        </w:trPr>
        <w:tc>
          <w:tcPr>
            <w:tcW w:w="2482" w:type="dxa"/>
            <w:shd w:val="clear" w:color="auto" w:fill="DBE5F1"/>
          </w:tcPr>
          <w:p w14:paraId="11F9DB4A"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FRANKREICH</w:t>
            </w:r>
          </w:p>
        </w:tc>
        <w:tc>
          <w:tcPr>
            <w:tcW w:w="1438" w:type="dxa"/>
          </w:tcPr>
          <w:p w14:paraId="395E58E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7385B0DE"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SLOWAKEI</w:t>
            </w:r>
          </w:p>
        </w:tc>
        <w:tc>
          <w:tcPr>
            <w:tcW w:w="1143" w:type="dxa"/>
          </w:tcPr>
          <w:p w14:paraId="6ADF26C3" w14:textId="77777777" w:rsidR="00443D82" w:rsidRPr="00160FAB" w:rsidRDefault="00443D82" w:rsidP="00A947B1">
            <w:pPr>
              <w:widowControl w:val="0"/>
              <w:autoSpaceDE w:val="0"/>
              <w:autoSpaceDN w:val="0"/>
              <w:spacing w:before="19"/>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0F9C4EC7" w14:textId="77777777" w:rsidTr="00A947B1">
        <w:trPr>
          <w:trHeight w:val="272"/>
        </w:trPr>
        <w:tc>
          <w:tcPr>
            <w:tcW w:w="2482" w:type="dxa"/>
            <w:shd w:val="clear" w:color="auto" w:fill="DBE5F1"/>
          </w:tcPr>
          <w:p w14:paraId="3E0D1A8A"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GRIECHENLAND</w:t>
            </w:r>
          </w:p>
        </w:tc>
        <w:tc>
          <w:tcPr>
            <w:tcW w:w="1438" w:type="dxa"/>
          </w:tcPr>
          <w:p w14:paraId="17BFF781"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3A86BB66"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SLOWENIEN</w:t>
            </w:r>
          </w:p>
        </w:tc>
        <w:tc>
          <w:tcPr>
            <w:tcW w:w="1143" w:type="dxa"/>
          </w:tcPr>
          <w:p w14:paraId="5DCFFFFC" w14:textId="77777777" w:rsidR="00443D82" w:rsidRPr="00160FAB" w:rsidRDefault="00443D82" w:rsidP="00A947B1">
            <w:pPr>
              <w:widowControl w:val="0"/>
              <w:autoSpaceDE w:val="0"/>
              <w:autoSpaceDN w:val="0"/>
              <w:spacing w:before="21"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318EDC96" w14:textId="77777777" w:rsidTr="00A947B1">
        <w:trPr>
          <w:trHeight w:val="271"/>
        </w:trPr>
        <w:tc>
          <w:tcPr>
            <w:tcW w:w="2482" w:type="dxa"/>
            <w:shd w:val="clear" w:color="auto" w:fill="DBE5F1"/>
          </w:tcPr>
          <w:p w14:paraId="7A86CECE"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INDIEN</w:t>
            </w:r>
          </w:p>
        </w:tc>
        <w:tc>
          <w:tcPr>
            <w:tcW w:w="1438" w:type="dxa"/>
          </w:tcPr>
          <w:p w14:paraId="20B89C9D"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655CFC8A"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SPANIEN</w:t>
            </w:r>
          </w:p>
        </w:tc>
        <w:tc>
          <w:tcPr>
            <w:tcW w:w="1143" w:type="dxa"/>
          </w:tcPr>
          <w:p w14:paraId="3B511B3E" w14:textId="77777777" w:rsidR="00443D82" w:rsidRPr="00160FAB" w:rsidRDefault="00443D82" w:rsidP="00A947B1">
            <w:pPr>
              <w:widowControl w:val="0"/>
              <w:autoSpaceDE w:val="0"/>
              <w:autoSpaceDN w:val="0"/>
              <w:spacing w:before="19"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46321A8C" w14:textId="77777777" w:rsidTr="00A947B1">
        <w:trPr>
          <w:trHeight w:val="272"/>
        </w:trPr>
        <w:tc>
          <w:tcPr>
            <w:tcW w:w="2482" w:type="dxa"/>
            <w:shd w:val="clear" w:color="auto" w:fill="DBE5F1"/>
          </w:tcPr>
          <w:p w14:paraId="50B12FC5"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IRAN</w:t>
            </w:r>
          </w:p>
        </w:tc>
        <w:tc>
          <w:tcPr>
            <w:tcW w:w="1438" w:type="dxa"/>
          </w:tcPr>
          <w:p w14:paraId="38828B22"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032066C8"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SÜDAFRIKA</w:t>
            </w:r>
          </w:p>
        </w:tc>
        <w:tc>
          <w:tcPr>
            <w:tcW w:w="1143" w:type="dxa"/>
          </w:tcPr>
          <w:p w14:paraId="0D13A874" w14:textId="77777777" w:rsidR="00443D82" w:rsidRPr="00160FAB" w:rsidRDefault="00443D82" w:rsidP="00A947B1">
            <w:pPr>
              <w:widowControl w:val="0"/>
              <w:autoSpaceDE w:val="0"/>
              <w:autoSpaceDN w:val="0"/>
              <w:spacing w:before="19"/>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443D82" w:rsidRPr="00160FAB" w14:paraId="6F5BFE23" w14:textId="77777777" w:rsidTr="00A947B1">
        <w:trPr>
          <w:trHeight w:val="272"/>
        </w:trPr>
        <w:tc>
          <w:tcPr>
            <w:tcW w:w="2482" w:type="dxa"/>
            <w:shd w:val="clear" w:color="auto" w:fill="DBE5F1"/>
          </w:tcPr>
          <w:p w14:paraId="0B31445F" w14:textId="77777777" w:rsidR="00443D82" w:rsidRPr="00160FAB" w:rsidRDefault="00443D82" w:rsidP="00A947B1">
            <w:pPr>
              <w:widowControl w:val="0"/>
              <w:autoSpaceDE w:val="0"/>
              <w:autoSpaceDN w:val="0"/>
              <w:spacing w:before="21"/>
              <w:jc w:val="left"/>
              <w:rPr>
                <w:rFonts w:ascii="Trebuchet MS" w:eastAsia="Trebuchet MS" w:hAnsi="Trebuchet MS" w:cs="Trebuchet MS"/>
                <w:sz w:val="18"/>
                <w:szCs w:val="22"/>
                <w:lang w:eastAsia="en-GB" w:bidi="en-GB"/>
              </w:rPr>
            </w:pPr>
            <w:r w:rsidRPr="00BD6A76">
              <w:rPr>
                <w:rFonts w:ascii="Trebuchet MS" w:hAnsi="Trebuchet MS"/>
                <w:sz w:val="18"/>
                <w:szCs w:val="18"/>
              </w:rPr>
              <w:t>IRLAND</w:t>
            </w:r>
          </w:p>
        </w:tc>
        <w:tc>
          <w:tcPr>
            <w:tcW w:w="1438" w:type="dxa"/>
          </w:tcPr>
          <w:p w14:paraId="7C189AB1" w14:textId="77777777" w:rsidR="00443D82" w:rsidRPr="00160FAB" w:rsidRDefault="00443D82" w:rsidP="00A947B1">
            <w:pPr>
              <w:widowControl w:val="0"/>
              <w:autoSpaceDE w:val="0"/>
              <w:autoSpaceDN w:val="0"/>
              <w:spacing w:before="21"/>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6F3829E" w14:textId="77777777" w:rsidR="00443D82" w:rsidRPr="00160FAB" w:rsidRDefault="00443D82" w:rsidP="00A947B1">
            <w:pPr>
              <w:widowControl w:val="0"/>
              <w:autoSpaceDE w:val="0"/>
              <w:autoSpaceDN w:val="0"/>
              <w:spacing w:before="21"/>
              <w:jc w:val="left"/>
              <w:rPr>
                <w:rFonts w:ascii="Trebuchet MS" w:eastAsia="Trebuchet MS" w:hAnsi="Trebuchet MS" w:cs="Trebuchet MS"/>
                <w:sz w:val="18"/>
                <w:szCs w:val="22"/>
                <w:lang w:eastAsia="en-GB" w:bidi="en-GB"/>
              </w:rPr>
            </w:pPr>
            <w:r w:rsidRPr="00BD6A76">
              <w:rPr>
                <w:rFonts w:ascii="Trebuchet MS" w:hAnsi="Trebuchet MS"/>
                <w:sz w:val="18"/>
                <w:szCs w:val="18"/>
              </w:rPr>
              <w:t>TSCHECHISCHE REPUBLIK</w:t>
            </w:r>
          </w:p>
        </w:tc>
        <w:tc>
          <w:tcPr>
            <w:tcW w:w="1143" w:type="dxa"/>
          </w:tcPr>
          <w:p w14:paraId="56E6CD3A" w14:textId="77777777" w:rsidR="00443D82" w:rsidRPr="00160FAB" w:rsidRDefault="00443D82" w:rsidP="00A947B1">
            <w:pPr>
              <w:widowControl w:val="0"/>
              <w:autoSpaceDE w:val="0"/>
              <w:autoSpaceDN w:val="0"/>
              <w:spacing w:before="21"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1652EB9F" w14:textId="77777777" w:rsidTr="00A947B1">
        <w:trPr>
          <w:trHeight w:val="265"/>
        </w:trPr>
        <w:tc>
          <w:tcPr>
            <w:tcW w:w="2482" w:type="dxa"/>
            <w:shd w:val="clear" w:color="auto" w:fill="DBE5F1"/>
          </w:tcPr>
          <w:p w14:paraId="37317D46"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ISLAND</w:t>
            </w:r>
          </w:p>
        </w:tc>
        <w:tc>
          <w:tcPr>
            <w:tcW w:w="1438" w:type="dxa"/>
          </w:tcPr>
          <w:p w14:paraId="009FCA50"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0D21176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TÜRKEI</w:t>
            </w:r>
          </w:p>
        </w:tc>
        <w:tc>
          <w:tcPr>
            <w:tcW w:w="1143" w:type="dxa"/>
          </w:tcPr>
          <w:p w14:paraId="498BE166" w14:textId="77777777" w:rsidR="00443D82" w:rsidRPr="00160FAB" w:rsidRDefault="00443D82" w:rsidP="00A947B1">
            <w:pPr>
              <w:widowControl w:val="0"/>
              <w:autoSpaceDE w:val="0"/>
              <w:autoSpaceDN w:val="0"/>
              <w:spacing w:before="19" w:line="225"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bl>
    <w:p w14:paraId="06260197" w14:textId="77777777" w:rsidR="00443D82" w:rsidRPr="00160FAB" w:rsidRDefault="00443D82" w:rsidP="00443D82">
      <w:pPr>
        <w:spacing w:before="2"/>
        <w:rPr>
          <w:sz w:val="15"/>
        </w:rPr>
      </w:pPr>
    </w:p>
    <w:p w14:paraId="7B17B4A0" w14:textId="77777777" w:rsidR="00443D82" w:rsidRPr="00160FAB" w:rsidRDefault="00443D82" w:rsidP="00443D82">
      <w:pPr>
        <w:spacing w:before="2"/>
        <w:rPr>
          <w:sz w:val="15"/>
        </w:rPr>
      </w:pPr>
    </w:p>
    <w:p w14:paraId="577955DC" w14:textId="77777777" w:rsidR="00443D82" w:rsidRPr="00160FAB" w:rsidRDefault="00443D82" w:rsidP="00443D82">
      <w:pPr>
        <w:spacing w:before="2"/>
        <w:rPr>
          <w:sz w:val="15"/>
        </w:rPr>
      </w:pPr>
    </w:p>
    <w:p w14:paraId="64DFBCF3" w14:textId="77777777" w:rsidR="00443D82" w:rsidRPr="00160FAB" w:rsidRDefault="00443D82" w:rsidP="00443D82">
      <w:pPr>
        <w:spacing w:before="2"/>
        <w:rPr>
          <w:sz w:val="15"/>
        </w:rPr>
      </w:pPr>
    </w:p>
    <w:p w14:paraId="7660A2EC" w14:textId="77777777" w:rsidR="00443D82" w:rsidRPr="00160FAB" w:rsidRDefault="00443D82" w:rsidP="00443D82">
      <w:pPr>
        <w:spacing w:before="2"/>
        <w:rPr>
          <w:sz w:val="15"/>
        </w:rPr>
      </w:pPr>
    </w:p>
    <w:p w14:paraId="7457201B" w14:textId="77777777" w:rsidR="00443D82" w:rsidRPr="00160FAB" w:rsidRDefault="00443D82" w:rsidP="00443D82">
      <w:pPr>
        <w:spacing w:before="2"/>
        <w:rPr>
          <w:sz w:val="15"/>
        </w:rPr>
      </w:pPr>
    </w:p>
    <w:p w14:paraId="4D77AD0F" w14:textId="77777777" w:rsidR="00443D82" w:rsidRPr="00160FAB" w:rsidRDefault="00443D82" w:rsidP="00443D82">
      <w:pPr>
        <w:spacing w:before="2"/>
        <w:rPr>
          <w:sz w:val="15"/>
        </w:rPr>
      </w:pPr>
    </w:p>
    <w:p w14:paraId="0336FF08" w14:textId="77777777" w:rsidR="00443D82" w:rsidRPr="00160FAB" w:rsidRDefault="00443D82" w:rsidP="00443D82">
      <w:pPr>
        <w:spacing w:before="2"/>
        <w:rPr>
          <w:sz w:val="15"/>
        </w:rPr>
      </w:pPr>
    </w:p>
    <w:p w14:paraId="6FE27C91" w14:textId="77777777" w:rsidR="00443D82" w:rsidRPr="00160FAB" w:rsidRDefault="00443D82" w:rsidP="00443D82">
      <w:pPr>
        <w:spacing w:before="2"/>
        <w:rPr>
          <w:sz w:val="15"/>
        </w:rPr>
      </w:pPr>
    </w:p>
    <w:p w14:paraId="5ED1BC64" w14:textId="77777777" w:rsidR="00443D82" w:rsidRPr="00160FAB" w:rsidRDefault="00443D82" w:rsidP="00443D82">
      <w:pPr>
        <w:spacing w:before="2"/>
        <w:rPr>
          <w:sz w:val="15"/>
        </w:rPr>
      </w:pPr>
      <w:r w:rsidRPr="00160FAB">
        <w:rPr>
          <w:sz w:val="22"/>
        </w:rPr>
        <mc:AlternateContent>
          <mc:Choice Requires="wps">
            <w:drawing>
              <wp:anchor distT="0" distB="0" distL="0" distR="0" simplePos="0" relativeHeight="251661312" behindDoc="1" locked="0" layoutInCell="1" allowOverlap="1" wp14:anchorId="6A424774" wp14:editId="0BBC1CA3">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22477"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14:paraId="2F352085" w14:textId="77777777" w:rsidR="00443D82" w:rsidRPr="00BD6A76" w:rsidRDefault="00443D82" w:rsidP="00443D82">
      <w:pPr>
        <w:spacing w:before="35"/>
        <w:rPr>
          <w:rFonts w:ascii="Trebuchet MS"/>
          <w:sz w:val="18"/>
        </w:rPr>
      </w:pPr>
      <w:r w:rsidRPr="00160FAB">
        <w:rPr>
          <w:rFonts w:ascii="Trebuchet MS"/>
          <w:position w:val="9"/>
          <w:sz w:val="13"/>
        </w:rPr>
        <w:t xml:space="preserve">1 </w:t>
      </w:r>
      <w:proofErr w:type="spellStart"/>
      <w:r>
        <w:rPr>
          <w:rFonts w:ascii="Trebuchet MS"/>
          <w:sz w:val="18"/>
        </w:rPr>
        <w:t>Quelle</w:t>
      </w:r>
      <w:proofErr w:type="spellEnd"/>
      <w:r>
        <w:rPr>
          <w:rFonts w:ascii="Trebuchet MS"/>
          <w:sz w:val="18"/>
        </w:rPr>
        <w:t xml:space="preserve"> OECD </w:t>
      </w:r>
      <w:r>
        <w:rPr>
          <w:rFonts w:ascii="Trebuchet MS"/>
          <w:sz w:val="18"/>
        </w:rPr>
        <w:t>„</w:t>
      </w:r>
      <w:proofErr w:type="spellStart"/>
      <w:r>
        <w:rPr>
          <w:rFonts w:ascii="Trebuchet MS"/>
          <w:sz w:val="18"/>
        </w:rPr>
        <w:t>A</w:t>
      </w:r>
      <w:r w:rsidRPr="00BD6A76">
        <w:rPr>
          <w:rFonts w:ascii="Trebuchet MS"/>
          <w:sz w:val="18"/>
        </w:rPr>
        <w:t>nmerkung</w:t>
      </w:r>
      <w:proofErr w:type="spellEnd"/>
      <w:r w:rsidRPr="00BD6A76">
        <w:rPr>
          <w:rFonts w:ascii="Trebuchet MS"/>
          <w:sz w:val="18"/>
        </w:rPr>
        <w:t xml:space="preserve"> der </w:t>
      </w:r>
      <w:proofErr w:type="spellStart"/>
      <w:r w:rsidRPr="00BD6A76">
        <w:rPr>
          <w:rFonts w:ascii="Trebuchet MS"/>
          <w:sz w:val="18"/>
        </w:rPr>
        <w:t>T</w:t>
      </w:r>
      <w:r w:rsidRPr="00BD6A76">
        <w:rPr>
          <w:rFonts w:ascii="Trebuchet MS"/>
          <w:sz w:val="18"/>
        </w:rPr>
        <w:t>ü</w:t>
      </w:r>
      <w:r w:rsidRPr="00BD6A76">
        <w:rPr>
          <w:rFonts w:ascii="Trebuchet MS"/>
          <w:sz w:val="18"/>
        </w:rPr>
        <w:t>rkei</w:t>
      </w:r>
      <w:proofErr w:type="spellEnd"/>
    </w:p>
    <w:p w14:paraId="242D6024" w14:textId="77777777" w:rsidR="00443D82" w:rsidRPr="00443D82" w:rsidRDefault="00443D82" w:rsidP="00443D82">
      <w:pPr>
        <w:spacing w:before="120"/>
        <w:ind w:right="216"/>
        <w:rPr>
          <w:rFonts w:ascii="Trebuchet MS" w:hAnsi="Trebuchet MS"/>
          <w:sz w:val="18"/>
          <w:lang w:val="de-DE"/>
        </w:rPr>
      </w:pPr>
      <w:r w:rsidRPr="00443D82">
        <w:rPr>
          <w:rFonts w:ascii="Trebuchet MS" w:hAnsi="Trebuchet MS"/>
          <w:sz w:val="18"/>
          <w:lang w:val="de-DE"/>
        </w:rPr>
        <w:t>Die Informationen in diesem Dokument mit Bezug auf „Zypern“ beziehen sich auf den südlichen Teil der Insel. Es gibt keine einheitliche Behörde, die sowohl die türkische als auch die griechisch-zypriotische Bevölkerung auf der Insel vertritt. Die Türkei erkennt die Türkische Republik Nordzypern (TRNC) an. Bis eine dauerhafte und gerechte Lösung im Rahmen der Vereinten Nationen gefunden wird, behält die Türkei ihren Standpunkt zur „Zypernfrage“ bei.</w:t>
      </w:r>
    </w:p>
    <w:p w14:paraId="7BCE060A" w14:textId="77777777" w:rsidR="00443D82" w:rsidRPr="00443D82" w:rsidRDefault="00443D82" w:rsidP="00443D82">
      <w:pPr>
        <w:spacing w:before="120"/>
        <w:ind w:right="216"/>
        <w:rPr>
          <w:rFonts w:ascii="Trebuchet MS" w:hAnsi="Trebuchet MS"/>
          <w:sz w:val="18"/>
          <w:lang w:val="de-DE"/>
        </w:rPr>
      </w:pPr>
      <w:r w:rsidRPr="00443D82">
        <w:rPr>
          <w:rFonts w:ascii="Trebuchet MS" w:hAnsi="Trebuchet MS"/>
          <w:sz w:val="18"/>
          <w:lang w:val="de-DE"/>
        </w:rPr>
        <w:t>Anmerkung aller Mitgliedstaaten der Europäischen Union und der OECD</w:t>
      </w:r>
    </w:p>
    <w:p w14:paraId="29CA99FB" w14:textId="77777777" w:rsidR="00443D82" w:rsidRPr="00443D82" w:rsidRDefault="00443D82" w:rsidP="00443D82">
      <w:pPr>
        <w:spacing w:before="35"/>
        <w:rPr>
          <w:rFonts w:ascii="Trebuchet MS"/>
          <w:sz w:val="18"/>
          <w:lang w:val="de-DE"/>
        </w:rPr>
      </w:pPr>
      <w:r w:rsidRPr="00443D82">
        <w:rPr>
          <w:rFonts w:ascii="Trebuchet MS" w:hAnsi="Trebuchet MS"/>
          <w:sz w:val="18"/>
          <w:lang w:val="de-DE"/>
        </w:rPr>
        <w:t>Die Republik Zypern wird von allen Mitgliedern der Vereinten Nationen mit Ausnahme der Türkei anerkannt. Die Informationen in diesem Dokument beziehen sich auf das Gebiet unter der tatsächlichen Kontrolle der Regierung der Republik Zypern</w:t>
      </w:r>
      <w:r w:rsidRPr="00443D82">
        <w:rPr>
          <w:rFonts w:ascii="Trebuchet MS"/>
          <w:sz w:val="18"/>
          <w:lang w:val="de-DE"/>
        </w:rPr>
        <w:t>.</w:t>
      </w:r>
      <w:r w:rsidRPr="00443D82">
        <w:rPr>
          <w:rFonts w:ascii="Trebuchet MS"/>
          <w:sz w:val="18"/>
          <w:lang w:val="de-DE"/>
        </w:rPr>
        <w:t>“</w:t>
      </w:r>
    </w:p>
    <w:p w14:paraId="5C81FED5" w14:textId="77777777" w:rsidR="00443D82" w:rsidRPr="00443D82" w:rsidRDefault="00443D82" w:rsidP="00443D82">
      <w:pPr>
        <w:spacing w:before="3" w:after="1"/>
        <w:rPr>
          <w:rFonts w:ascii="Trebuchet MS"/>
          <w:lang w:val="de-DE"/>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443D82" w:rsidRPr="00160FAB" w14:paraId="71CDF752" w14:textId="77777777" w:rsidTr="00A947B1">
        <w:trPr>
          <w:trHeight w:val="279"/>
        </w:trPr>
        <w:tc>
          <w:tcPr>
            <w:tcW w:w="2482" w:type="dxa"/>
            <w:shd w:val="clear" w:color="auto" w:fill="DBE5F1"/>
          </w:tcPr>
          <w:p w14:paraId="021A2A9E" w14:textId="77777777" w:rsidR="00443D82" w:rsidRPr="00160FAB" w:rsidRDefault="00443D82" w:rsidP="00A947B1">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hAnsi="Trebuchet MS"/>
                <w:sz w:val="18"/>
                <w:szCs w:val="18"/>
              </w:rPr>
              <w:t>ISRAEL</w:t>
            </w:r>
          </w:p>
        </w:tc>
        <w:tc>
          <w:tcPr>
            <w:tcW w:w="1438" w:type="dxa"/>
          </w:tcPr>
          <w:p w14:paraId="40E19ED4" w14:textId="77777777" w:rsidR="00443D82" w:rsidRPr="00160FAB" w:rsidRDefault="00443D82" w:rsidP="00A947B1">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2A970409" w14:textId="77777777" w:rsidR="00443D82" w:rsidRPr="00160FAB" w:rsidRDefault="00443D82" w:rsidP="00A947B1">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hAnsi="Trebuchet MS"/>
                <w:sz w:val="18"/>
                <w:szCs w:val="18"/>
              </w:rPr>
              <w:t>TUNESIEN</w:t>
            </w:r>
          </w:p>
        </w:tc>
        <w:tc>
          <w:tcPr>
            <w:tcW w:w="1143" w:type="dxa"/>
          </w:tcPr>
          <w:p w14:paraId="7E828FA7" w14:textId="77777777" w:rsidR="00443D82" w:rsidRPr="00160FAB" w:rsidRDefault="00443D82" w:rsidP="00A947B1">
            <w:pPr>
              <w:widowControl w:val="0"/>
              <w:autoSpaceDE w:val="0"/>
              <w:autoSpaceDN w:val="0"/>
              <w:spacing w:before="28" w:line="232"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443D82" w:rsidRPr="00160FAB" w14:paraId="5D765135" w14:textId="77777777" w:rsidTr="00A947B1">
        <w:trPr>
          <w:trHeight w:val="272"/>
        </w:trPr>
        <w:tc>
          <w:tcPr>
            <w:tcW w:w="2482" w:type="dxa"/>
            <w:shd w:val="clear" w:color="auto" w:fill="DBE5F1"/>
          </w:tcPr>
          <w:p w14:paraId="0595F62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ITALIEN</w:t>
            </w:r>
          </w:p>
        </w:tc>
        <w:tc>
          <w:tcPr>
            <w:tcW w:w="1438" w:type="dxa"/>
          </w:tcPr>
          <w:p w14:paraId="65112FA0"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F5CF7D2"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UGANDA</w:t>
            </w:r>
          </w:p>
        </w:tc>
        <w:tc>
          <w:tcPr>
            <w:tcW w:w="1143" w:type="dxa"/>
          </w:tcPr>
          <w:p w14:paraId="0C9C264F" w14:textId="77777777" w:rsidR="00443D82" w:rsidRPr="00160FAB" w:rsidRDefault="00443D82" w:rsidP="00A947B1">
            <w:pPr>
              <w:widowControl w:val="0"/>
              <w:autoSpaceDE w:val="0"/>
              <w:autoSpaceDN w:val="0"/>
              <w:spacing w:before="20"/>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443D82" w:rsidRPr="00160FAB" w14:paraId="5B1C545D" w14:textId="77777777" w:rsidTr="00A947B1">
        <w:trPr>
          <w:trHeight w:val="272"/>
        </w:trPr>
        <w:tc>
          <w:tcPr>
            <w:tcW w:w="2482" w:type="dxa"/>
            <w:shd w:val="clear" w:color="auto" w:fill="DBE5F1"/>
          </w:tcPr>
          <w:p w14:paraId="1F16340D"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JAPAN</w:t>
            </w:r>
          </w:p>
        </w:tc>
        <w:tc>
          <w:tcPr>
            <w:tcW w:w="1438" w:type="dxa"/>
          </w:tcPr>
          <w:p w14:paraId="31D78960"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34BDF99F"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UKRAINE</w:t>
            </w:r>
          </w:p>
        </w:tc>
        <w:tc>
          <w:tcPr>
            <w:tcW w:w="1143" w:type="dxa"/>
          </w:tcPr>
          <w:p w14:paraId="771E291E" w14:textId="77777777" w:rsidR="00443D82" w:rsidRPr="00160FAB" w:rsidRDefault="00443D82" w:rsidP="00A947B1">
            <w:pPr>
              <w:widowControl w:val="0"/>
              <w:autoSpaceDE w:val="0"/>
              <w:autoSpaceDN w:val="0"/>
              <w:spacing w:before="21" w:line="231"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443D82" w:rsidRPr="00160FAB" w14:paraId="5691AE17" w14:textId="77777777" w:rsidTr="00A947B1">
        <w:trPr>
          <w:trHeight w:val="272"/>
        </w:trPr>
        <w:tc>
          <w:tcPr>
            <w:tcW w:w="2482" w:type="dxa"/>
            <w:shd w:val="clear" w:color="auto" w:fill="DBE5F1"/>
          </w:tcPr>
          <w:p w14:paraId="68DD665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KANADA</w:t>
            </w:r>
          </w:p>
        </w:tc>
        <w:tc>
          <w:tcPr>
            <w:tcW w:w="1438" w:type="dxa"/>
          </w:tcPr>
          <w:p w14:paraId="10AC5A1F"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3F0A1F6B"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UNGARN</w:t>
            </w:r>
          </w:p>
        </w:tc>
        <w:tc>
          <w:tcPr>
            <w:tcW w:w="1143" w:type="dxa"/>
          </w:tcPr>
          <w:p w14:paraId="026422A4" w14:textId="77777777" w:rsidR="00443D82" w:rsidRPr="00160FAB" w:rsidRDefault="00443D82" w:rsidP="00A947B1">
            <w:pPr>
              <w:widowControl w:val="0"/>
              <w:autoSpaceDE w:val="0"/>
              <w:autoSpaceDN w:val="0"/>
              <w:spacing w:before="19"/>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443D82" w:rsidRPr="00160FAB" w14:paraId="23FDFEF0" w14:textId="77777777" w:rsidTr="00A947B1">
        <w:trPr>
          <w:trHeight w:val="272"/>
        </w:trPr>
        <w:tc>
          <w:tcPr>
            <w:tcW w:w="2482" w:type="dxa"/>
            <w:shd w:val="clear" w:color="auto" w:fill="DBE5F1"/>
          </w:tcPr>
          <w:p w14:paraId="2DD09142"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KENIA</w:t>
            </w:r>
          </w:p>
        </w:tc>
        <w:tc>
          <w:tcPr>
            <w:tcW w:w="1438" w:type="dxa"/>
          </w:tcPr>
          <w:p w14:paraId="356166D8"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74B34C73"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URUGUAY</w:t>
            </w:r>
          </w:p>
        </w:tc>
        <w:tc>
          <w:tcPr>
            <w:tcW w:w="1143" w:type="dxa"/>
          </w:tcPr>
          <w:p w14:paraId="1D88CBC5" w14:textId="77777777" w:rsidR="00443D82" w:rsidRPr="00160FAB" w:rsidRDefault="00443D82" w:rsidP="00A947B1">
            <w:pPr>
              <w:widowControl w:val="0"/>
              <w:autoSpaceDE w:val="0"/>
              <w:autoSpaceDN w:val="0"/>
              <w:spacing w:before="21" w:line="231"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443D82" w:rsidRPr="00160FAB" w14:paraId="18DCC216" w14:textId="77777777" w:rsidTr="00A947B1">
        <w:trPr>
          <w:trHeight w:val="259"/>
        </w:trPr>
        <w:tc>
          <w:tcPr>
            <w:tcW w:w="2482" w:type="dxa"/>
            <w:shd w:val="clear" w:color="auto" w:fill="DBE5F1"/>
          </w:tcPr>
          <w:p w14:paraId="622A03C5"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KROATIEN</w:t>
            </w:r>
          </w:p>
        </w:tc>
        <w:tc>
          <w:tcPr>
            <w:tcW w:w="1438" w:type="dxa"/>
          </w:tcPr>
          <w:p w14:paraId="00DF7A75"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18697E79"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VEREINIGTES KÖNIGREICH</w:t>
            </w:r>
          </w:p>
        </w:tc>
        <w:tc>
          <w:tcPr>
            <w:tcW w:w="1143" w:type="dxa"/>
          </w:tcPr>
          <w:p w14:paraId="2225A2A1" w14:textId="77777777" w:rsidR="00443D82" w:rsidRPr="00160FAB" w:rsidRDefault="00443D82" w:rsidP="00A947B1">
            <w:pPr>
              <w:widowControl w:val="0"/>
              <w:autoSpaceDE w:val="0"/>
              <w:autoSpaceDN w:val="0"/>
              <w:spacing w:before="19" w:line="220"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1E6A5E1C" w14:textId="77777777" w:rsidTr="00A947B1">
        <w:trPr>
          <w:trHeight w:val="284"/>
        </w:trPr>
        <w:tc>
          <w:tcPr>
            <w:tcW w:w="2482" w:type="dxa"/>
            <w:shd w:val="clear" w:color="auto" w:fill="DBE5F1"/>
          </w:tcPr>
          <w:p w14:paraId="680E7BAD" w14:textId="77777777" w:rsidR="00443D82" w:rsidRPr="00160FAB" w:rsidRDefault="00443D82" w:rsidP="00A947B1">
            <w:pPr>
              <w:widowControl w:val="0"/>
              <w:autoSpaceDE w:val="0"/>
              <w:autoSpaceDN w:val="0"/>
              <w:spacing w:before="31"/>
              <w:jc w:val="left"/>
              <w:rPr>
                <w:rFonts w:ascii="Trebuchet MS" w:eastAsia="Trebuchet MS" w:hAnsi="Trebuchet MS" w:cs="Trebuchet MS"/>
                <w:sz w:val="18"/>
                <w:szCs w:val="22"/>
                <w:lang w:eastAsia="en-GB" w:bidi="en-GB"/>
              </w:rPr>
            </w:pPr>
            <w:r w:rsidRPr="00BD6A76">
              <w:rPr>
                <w:rFonts w:ascii="Trebuchet MS" w:hAnsi="Trebuchet MS"/>
                <w:sz w:val="18"/>
                <w:szCs w:val="18"/>
              </w:rPr>
              <w:t>KIRGISISTAN</w:t>
            </w:r>
          </w:p>
        </w:tc>
        <w:tc>
          <w:tcPr>
            <w:tcW w:w="1438" w:type="dxa"/>
          </w:tcPr>
          <w:p w14:paraId="0EAB8E74" w14:textId="77777777" w:rsidR="00443D82" w:rsidRPr="00160FAB" w:rsidRDefault="00443D82" w:rsidP="00A947B1">
            <w:pPr>
              <w:widowControl w:val="0"/>
              <w:autoSpaceDE w:val="0"/>
              <w:autoSpaceDN w:val="0"/>
              <w:spacing w:before="31"/>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6684B7D4" w14:textId="77777777" w:rsidR="00443D82" w:rsidRPr="00160FAB" w:rsidRDefault="00443D82" w:rsidP="00A947B1">
            <w:pPr>
              <w:widowControl w:val="0"/>
              <w:autoSpaceDE w:val="0"/>
              <w:autoSpaceDN w:val="0"/>
              <w:spacing w:before="31"/>
              <w:jc w:val="left"/>
              <w:rPr>
                <w:rFonts w:ascii="Trebuchet MS" w:eastAsia="Trebuchet MS" w:hAnsi="Trebuchet MS" w:cs="Trebuchet MS"/>
                <w:sz w:val="18"/>
                <w:szCs w:val="22"/>
                <w:lang w:eastAsia="en-GB" w:bidi="en-GB"/>
              </w:rPr>
            </w:pPr>
            <w:r w:rsidRPr="00BD6A76">
              <w:rPr>
                <w:rFonts w:ascii="Trebuchet MS" w:hAnsi="Trebuchet MS"/>
                <w:sz w:val="18"/>
                <w:szCs w:val="18"/>
              </w:rPr>
              <w:t>VEREINIGTE STAATEN</w:t>
            </w:r>
          </w:p>
        </w:tc>
        <w:tc>
          <w:tcPr>
            <w:tcW w:w="1143" w:type="dxa"/>
          </w:tcPr>
          <w:p w14:paraId="0C8D28FE" w14:textId="77777777" w:rsidR="00443D82" w:rsidRPr="00160FAB" w:rsidRDefault="00443D82" w:rsidP="00A947B1">
            <w:pPr>
              <w:widowControl w:val="0"/>
              <w:autoSpaceDE w:val="0"/>
              <w:autoSpaceDN w:val="0"/>
              <w:spacing w:before="31"/>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(1)</w:t>
            </w:r>
          </w:p>
        </w:tc>
      </w:tr>
      <w:tr w:rsidR="00443D82" w:rsidRPr="00160FAB" w14:paraId="7852D17B" w14:textId="77777777" w:rsidTr="00A947B1">
        <w:trPr>
          <w:trHeight w:val="272"/>
        </w:trPr>
        <w:tc>
          <w:tcPr>
            <w:tcW w:w="2482" w:type="dxa"/>
            <w:shd w:val="clear" w:color="auto" w:fill="DBE5F1"/>
          </w:tcPr>
          <w:p w14:paraId="71A916BC"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LETTLAND</w:t>
            </w:r>
          </w:p>
        </w:tc>
        <w:tc>
          <w:tcPr>
            <w:tcW w:w="1438" w:type="dxa"/>
          </w:tcPr>
          <w:p w14:paraId="7EDA1DD5"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10B7782E"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SIMBABWE</w:t>
            </w:r>
          </w:p>
        </w:tc>
        <w:tc>
          <w:tcPr>
            <w:tcW w:w="1143" w:type="dxa"/>
          </w:tcPr>
          <w:p w14:paraId="698A43AA" w14:textId="77777777" w:rsidR="00443D82" w:rsidRPr="00160FAB" w:rsidRDefault="00443D82" w:rsidP="00A947B1">
            <w:pPr>
              <w:widowControl w:val="0"/>
              <w:autoSpaceDE w:val="0"/>
              <w:autoSpaceDN w:val="0"/>
              <w:spacing w:before="21" w:line="231"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443D82" w:rsidRPr="00160FAB" w14:paraId="0EC8354C" w14:textId="77777777" w:rsidTr="00A947B1">
        <w:trPr>
          <w:trHeight w:val="264"/>
        </w:trPr>
        <w:tc>
          <w:tcPr>
            <w:tcW w:w="2482" w:type="dxa"/>
            <w:shd w:val="clear" w:color="auto" w:fill="DBE5F1"/>
          </w:tcPr>
          <w:p w14:paraId="1C3B5E23"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LITAUEN</w:t>
            </w:r>
          </w:p>
        </w:tc>
        <w:tc>
          <w:tcPr>
            <w:tcW w:w="1438" w:type="dxa"/>
          </w:tcPr>
          <w:p w14:paraId="2C972155"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tcBorders>
              <w:bottom w:val="single" w:sz="8" w:space="0" w:color="000000"/>
            </w:tcBorders>
            <w:shd w:val="clear" w:color="auto" w:fill="DBE5F1"/>
          </w:tcPr>
          <w:p w14:paraId="3CE691B2" w14:textId="77777777" w:rsidR="00443D82" w:rsidRPr="00160FAB" w:rsidRDefault="00443D82" w:rsidP="00A947B1">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ZYPERN</w:t>
            </w:r>
            <w:r w:rsidRPr="00BD6A76">
              <w:rPr>
                <w:rFonts w:ascii="Trebuchet MS" w:eastAsia="Trebuchet MS" w:hAnsi="Trebuchet MS" w:cs="Trebuchet MS"/>
                <w:sz w:val="18"/>
                <w:szCs w:val="22"/>
                <w:vertAlign w:val="superscript"/>
                <w:lang w:val="en-GB" w:eastAsia="en-GB" w:bidi="en-GB"/>
              </w:rPr>
              <w:t>1</w:t>
            </w:r>
          </w:p>
        </w:tc>
        <w:tc>
          <w:tcPr>
            <w:tcW w:w="1143" w:type="dxa"/>
            <w:tcBorders>
              <w:bottom w:val="single" w:sz="8" w:space="0" w:color="000000"/>
            </w:tcBorders>
          </w:tcPr>
          <w:p w14:paraId="74702F01" w14:textId="77777777" w:rsidR="00443D82" w:rsidRPr="00160FAB" w:rsidRDefault="00443D82" w:rsidP="00A947B1">
            <w:pPr>
              <w:widowControl w:val="0"/>
              <w:autoSpaceDE w:val="0"/>
              <w:autoSpaceDN w:val="0"/>
              <w:spacing w:before="19" w:line="225"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443D82" w:rsidRPr="00160FAB" w14:paraId="770D6542" w14:textId="77777777" w:rsidTr="00A947B1">
        <w:trPr>
          <w:trHeight w:val="256"/>
        </w:trPr>
        <w:tc>
          <w:tcPr>
            <w:tcW w:w="2482" w:type="dxa"/>
            <w:shd w:val="clear" w:color="auto" w:fill="DBE5F1"/>
          </w:tcPr>
          <w:p w14:paraId="31B168DF" w14:textId="77777777" w:rsidR="00443D82" w:rsidRPr="00160FAB" w:rsidRDefault="00443D82" w:rsidP="00A947B1">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hAnsi="Trebuchet MS"/>
                <w:sz w:val="18"/>
                <w:szCs w:val="18"/>
              </w:rPr>
              <w:t>LUXEMBURG</w:t>
            </w:r>
          </w:p>
        </w:tc>
        <w:tc>
          <w:tcPr>
            <w:tcW w:w="1438" w:type="dxa"/>
          </w:tcPr>
          <w:p w14:paraId="7E10F8B1" w14:textId="77777777" w:rsidR="00443D82" w:rsidRPr="00160FAB" w:rsidRDefault="00443D82" w:rsidP="00A947B1">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tcBorders>
              <w:top w:val="single" w:sz="8" w:space="0" w:color="000000"/>
            </w:tcBorders>
          </w:tcPr>
          <w:p w14:paraId="6C219BA7" w14:textId="77777777" w:rsidR="00443D82" w:rsidRPr="00160FAB" w:rsidRDefault="00443D82" w:rsidP="00A947B1">
            <w:pPr>
              <w:widowControl w:val="0"/>
              <w:autoSpaceDE w:val="0"/>
              <w:autoSpaceDN w:val="0"/>
              <w:jc w:val="left"/>
              <w:rPr>
                <w:rFonts w:ascii="Times New Roman" w:eastAsia="Trebuchet MS" w:hAnsi="Trebuchet MS" w:cs="Trebuchet MS"/>
                <w:sz w:val="18"/>
                <w:szCs w:val="22"/>
                <w:lang w:eastAsia="en-GB" w:bidi="en-GB"/>
              </w:rPr>
            </w:pPr>
          </w:p>
        </w:tc>
        <w:tc>
          <w:tcPr>
            <w:tcW w:w="1143" w:type="dxa"/>
            <w:tcBorders>
              <w:top w:val="single" w:sz="8" w:space="0" w:color="000000"/>
            </w:tcBorders>
          </w:tcPr>
          <w:p w14:paraId="605D5186" w14:textId="77777777" w:rsidR="00443D82" w:rsidRPr="00160FAB" w:rsidRDefault="00443D82" w:rsidP="00A947B1">
            <w:pPr>
              <w:widowControl w:val="0"/>
              <w:autoSpaceDE w:val="0"/>
              <w:autoSpaceDN w:val="0"/>
              <w:jc w:val="left"/>
              <w:rPr>
                <w:rFonts w:ascii="Times New Roman" w:eastAsia="Trebuchet MS" w:hAnsi="Trebuchet MS" w:cs="Trebuchet MS"/>
                <w:sz w:val="18"/>
                <w:szCs w:val="22"/>
                <w:lang w:eastAsia="en-GB" w:bidi="en-GB"/>
              </w:rPr>
            </w:pPr>
          </w:p>
        </w:tc>
      </w:tr>
      <w:tr w:rsidR="00443D82" w:rsidRPr="00160FAB" w14:paraId="2143550C" w14:textId="77777777" w:rsidTr="00A947B1">
        <w:trPr>
          <w:trHeight w:val="249"/>
        </w:trPr>
        <w:tc>
          <w:tcPr>
            <w:tcW w:w="2482" w:type="dxa"/>
            <w:shd w:val="clear" w:color="auto" w:fill="DBE5F1"/>
          </w:tcPr>
          <w:p w14:paraId="57F27E2D"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MAROKKO</w:t>
            </w:r>
          </w:p>
        </w:tc>
        <w:tc>
          <w:tcPr>
            <w:tcW w:w="1438" w:type="dxa"/>
          </w:tcPr>
          <w:p w14:paraId="0CDF5F17"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tcPr>
          <w:p w14:paraId="704FA78E"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 OECD-</w:t>
            </w:r>
            <w:proofErr w:type="spellStart"/>
            <w:r w:rsidRPr="00BD6A76">
              <w:rPr>
                <w:rFonts w:ascii="Trebuchet MS" w:eastAsia="Trebuchet MS" w:hAnsi="Trebuchet MS" w:cs="Trebuchet MS"/>
                <w:sz w:val="18"/>
                <w:szCs w:val="22"/>
                <w:lang w:eastAsia="en-GB" w:bidi="en-GB"/>
              </w:rPr>
              <w:t>Mitgliedsland</w:t>
            </w:r>
            <w:proofErr w:type="spellEnd"/>
          </w:p>
        </w:tc>
        <w:tc>
          <w:tcPr>
            <w:tcW w:w="1143" w:type="dxa"/>
          </w:tcPr>
          <w:p w14:paraId="3ADBE740" w14:textId="77777777" w:rsidR="00443D82" w:rsidRPr="00160FAB" w:rsidRDefault="00443D82" w:rsidP="00A947B1">
            <w:pPr>
              <w:widowControl w:val="0"/>
              <w:autoSpaceDE w:val="0"/>
              <w:autoSpaceDN w:val="0"/>
              <w:jc w:val="left"/>
              <w:rPr>
                <w:rFonts w:ascii="Times New Roman" w:eastAsia="Trebuchet MS" w:hAnsi="Trebuchet MS" w:cs="Trebuchet MS"/>
                <w:sz w:val="18"/>
                <w:szCs w:val="22"/>
                <w:lang w:eastAsia="en-GB" w:bidi="en-GB"/>
              </w:rPr>
            </w:pPr>
          </w:p>
        </w:tc>
      </w:tr>
      <w:tr w:rsidR="00443D82" w:rsidRPr="00160FAB" w14:paraId="29B0A9CB" w14:textId="77777777" w:rsidTr="00A947B1">
        <w:trPr>
          <w:trHeight w:val="249"/>
        </w:trPr>
        <w:tc>
          <w:tcPr>
            <w:tcW w:w="2482" w:type="dxa"/>
            <w:shd w:val="clear" w:color="auto" w:fill="DBE5F1"/>
          </w:tcPr>
          <w:p w14:paraId="2F227C2F"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MEXIKO</w:t>
            </w:r>
          </w:p>
        </w:tc>
        <w:tc>
          <w:tcPr>
            <w:tcW w:w="1438" w:type="dxa"/>
          </w:tcPr>
          <w:p w14:paraId="5902F435"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4022" w:type="dxa"/>
            <w:gridSpan w:val="2"/>
          </w:tcPr>
          <w:p w14:paraId="615F8CFD" w14:textId="77777777" w:rsidR="00443D82" w:rsidRPr="00160FAB" w:rsidRDefault="00443D82" w:rsidP="00A947B1">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 xml:space="preserve">(2) </w:t>
            </w:r>
            <w:proofErr w:type="spellStart"/>
            <w:r w:rsidRPr="00BD6A76">
              <w:rPr>
                <w:rFonts w:ascii="Trebuchet MS" w:eastAsia="Trebuchet MS" w:hAnsi="Trebuchet MS" w:cs="Trebuchet MS"/>
                <w:sz w:val="18"/>
                <w:szCs w:val="22"/>
                <w:lang w:eastAsia="en-GB" w:bidi="en-GB"/>
              </w:rPr>
              <w:t>Nicht</w:t>
            </w:r>
            <w:proofErr w:type="spellEnd"/>
            <w:r w:rsidRPr="00BD6A76">
              <w:rPr>
                <w:rFonts w:ascii="Trebuchet MS" w:eastAsia="Trebuchet MS" w:hAnsi="Trebuchet MS" w:cs="Trebuchet MS"/>
                <w:sz w:val="18"/>
                <w:szCs w:val="22"/>
                <w:lang w:eastAsia="en-GB" w:bidi="en-GB"/>
              </w:rPr>
              <w:t xml:space="preserve"> OECD-</w:t>
            </w:r>
            <w:proofErr w:type="spellStart"/>
            <w:r w:rsidRPr="00BD6A76">
              <w:rPr>
                <w:rFonts w:ascii="Trebuchet MS" w:eastAsia="Trebuchet MS" w:hAnsi="Trebuchet MS" w:cs="Trebuchet MS"/>
                <w:sz w:val="18"/>
                <w:szCs w:val="22"/>
                <w:lang w:eastAsia="en-GB" w:bidi="en-GB"/>
              </w:rPr>
              <w:t>Mitgliedsland</w:t>
            </w:r>
            <w:proofErr w:type="spellEnd"/>
          </w:p>
        </w:tc>
      </w:tr>
    </w:tbl>
    <w:p w14:paraId="796E8917" w14:textId="77777777" w:rsidR="00443D82" w:rsidRPr="00CF47B8" w:rsidRDefault="00443D82" w:rsidP="00443D82">
      <w:pPr>
        <w:rPr>
          <w:sz w:val="12"/>
        </w:rPr>
      </w:pPr>
    </w:p>
    <w:p w14:paraId="208E27FA" w14:textId="77777777" w:rsidR="00443D82" w:rsidRPr="00CF47B8" w:rsidRDefault="00443D82" w:rsidP="00443D82">
      <w:pPr>
        <w:rPr>
          <w:sz w:val="12"/>
        </w:rPr>
      </w:pPr>
    </w:p>
    <w:p w14:paraId="08A05599" w14:textId="77777777" w:rsidR="00443D82" w:rsidRPr="00443D82" w:rsidRDefault="00443D82" w:rsidP="00443D82">
      <w:pPr>
        <w:rPr>
          <w:lang w:val="de-DE"/>
        </w:rPr>
      </w:pPr>
      <w:r w:rsidRPr="00160FAB">
        <w:rPr>
          <w:sz w:val="22"/>
        </w:rPr>
        <mc:AlternateContent>
          <mc:Choice Requires="wpg">
            <w:drawing>
              <wp:anchor distT="0" distB="0" distL="114300" distR="114300" simplePos="0" relativeHeight="251662336" behindDoc="0" locked="0" layoutInCell="1" allowOverlap="1" wp14:anchorId="4AA3577B" wp14:editId="775FE159">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91E0E1"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443D82">
        <w:rPr>
          <w:lang w:val="de-DE"/>
        </w:rPr>
        <w:t xml:space="preserve"> Abbildung 1 Karte der an den Saatgutsystemen der OECD teilnehmenden Länder (2016)</w:t>
      </w:r>
    </w:p>
    <w:p w14:paraId="0A0095C4" w14:textId="77777777" w:rsidR="00443D82" w:rsidRPr="00443D82" w:rsidRDefault="00443D82" w:rsidP="00443D82">
      <w:pPr>
        <w:rPr>
          <w:b/>
          <w:sz w:val="16"/>
          <w:lang w:val="de-DE"/>
        </w:rPr>
      </w:pPr>
    </w:p>
    <w:p w14:paraId="537E491C" w14:textId="77777777" w:rsidR="00443D82" w:rsidRPr="00443D82" w:rsidRDefault="00443D82" w:rsidP="00443D82">
      <w:pPr>
        <w:spacing w:before="5"/>
        <w:rPr>
          <w:b/>
          <w:sz w:val="23"/>
          <w:lang w:val="de-DE"/>
        </w:rPr>
      </w:pPr>
      <w:r w:rsidRPr="00160FAB">
        <w:drawing>
          <wp:anchor distT="0" distB="0" distL="0" distR="0" simplePos="0" relativeHeight="251660288" behindDoc="0" locked="0" layoutInCell="1" allowOverlap="1" wp14:anchorId="3455011A" wp14:editId="3C182055">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6" cstate="print"/>
                    <a:stretch>
                      <a:fillRect/>
                    </a:stretch>
                  </pic:blipFill>
                  <pic:spPr>
                    <a:xfrm>
                      <a:off x="0" y="0"/>
                      <a:ext cx="6348250" cy="2987040"/>
                    </a:xfrm>
                    <a:prstGeom prst="rect">
                      <a:avLst/>
                    </a:prstGeom>
                  </pic:spPr>
                </pic:pic>
              </a:graphicData>
            </a:graphic>
          </wp:anchor>
        </w:drawing>
      </w:r>
    </w:p>
    <w:p w14:paraId="2EC786E6" w14:textId="77777777" w:rsidR="00443D82" w:rsidRPr="00443D82" w:rsidRDefault="00443D82" w:rsidP="00443D82">
      <w:pPr>
        <w:rPr>
          <w:i/>
          <w:lang w:val="de-DE"/>
        </w:rPr>
      </w:pPr>
      <w:bookmarkStart w:id="71" w:name="Objectives"/>
      <w:bookmarkEnd w:id="71"/>
      <w:r w:rsidRPr="00443D82">
        <w:rPr>
          <w:i/>
          <w:lang w:val="de-DE"/>
        </w:rPr>
        <w:t>Ziele</w:t>
      </w:r>
    </w:p>
    <w:p w14:paraId="378EE339" w14:textId="77777777" w:rsidR="00443D82" w:rsidRPr="00443D82" w:rsidRDefault="00443D82" w:rsidP="00443D82">
      <w:pPr>
        <w:spacing w:before="4"/>
        <w:rPr>
          <w:rFonts w:cs="Arial"/>
          <w:b/>
          <w:lang w:val="de-DE"/>
        </w:rPr>
      </w:pPr>
    </w:p>
    <w:p w14:paraId="7FAFC7FC" w14:textId="77777777" w:rsidR="00443D82" w:rsidRPr="00443D82" w:rsidRDefault="00443D82" w:rsidP="00443D82">
      <w:pPr>
        <w:widowControl w:val="0"/>
        <w:tabs>
          <w:tab w:val="left" w:pos="1069"/>
          <w:tab w:val="left" w:pos="1071"/>
        </w:tabs>
        <w:autoSpaceDE w:val="0"/>
        <w:autoSpaceDN w:val="0"/>
        <w:spacing w:before="1"/>
        <w:ind w:right="212"/>
        <w:rPr>
          <w:rFonts w:cs="Arial"/>
          <w:lang w:val="de-DE" w:eastAsia="en-GB" w:bidi="en-GB"/>
        </w:rPr>
      </w:pPr>
      <w:r w:rsidRPr="00443D82">
        <w:rPr>
          <w:rFonts w:cs="Arial"/>
          <w:lang w:val="de-DE" w:eastAsia="en-GB" w:bidi="en-GB"/>
        </w:rPr>
        <w:t>Die Ziele der Systeme sind die Förderung der Produktion und Verwendung von Saatgut mit „Qualitätsgarantie“ in den Teilnehmerländern. Im Rahmen der vereinbarten Richtlinien zur Sicherung der Sortenidentität und Sortenreinheit wird durch die Systeme die Nutzung von Kennzeichen und Zertifikaten für Saatgut genehmigt, das für den internationalen Handel produziert und weiterverarbeitet wird.</w:t>
      </w:r>
    </w:p>
    <w:p w14:paraId="15981D4A" w14:textId="77777777" w:rsidR="00443D82" w:rsidRPr="00443D82" w:rsidRDefault="00443D82" w:rsidP="00443D82">
      <w:pPr>
        <w:widowControl w:val="0"/>
        <w:tabs>
          <w:tab w:val="left" w:pos="1069"/>
          <w:tab w:val="left" w:pos="1071"/>
        </w:tabs>
        <w:autoSpaceDE w:val="0"/>
        <w:autoSpaceDN w:val="0"/>
        <w:spacing w:before="1"/>
        <w:ind w:right="212"/>
        <w:rPr>
          <w:rFonts w:cs="Arial"/>
          <w:lang w:val="de-DE" w:eastAsia="en-GB" w:bidi="en-GB"/>
        </w:rPr>
      </w:pPr>
    </w:p>
    <w:p w14:paraId="07A85469" w14:textId="77777777" w:rsidR="00443D82" w:rsidRPr="00443D82" w:rsidRDefault="00443D82" w:rsidP="00443D82">
      <w:pPr>
        <w:widowControl w:val="0"/>
        <w:tabs>
          <w:tab w:val="left" w:pos="1069"/>
          <w:tab w:val="left" w:pos="1071"/>
        </w:tabs>
        <w:autoSpaceDE w:val="0"/>
        <w:autoSpaceDN w:val="0"/>
        <w:spacing w:before="1"/>
        <w:ind w:right="212"/>
        <w:rPr>
          <w:rFonts w:cs="Arial"/>
          <w:lang w:val="de-DE" w:eastAsia="en-GB" w:bidi="en-GB"/>
        </w:rPr>
      </w:pPr>
      <w:r w:rsidRPr="00443D82">
        <w:rPr>
          <w:rFonts w:cs="Arial"/>
          <w:lang w:val="de-DE" w:eastAsia="en-GB" w:bidi="en-GB"/>
        </w:rPr>
        <w:t>Die Systeme erleichtern die Ein- und Ausfuhr von Saatgut durch den Abbau technischer Handelsbarrieren, der im Wege einer Identitäts- und Herkunftsgarantie mittels international anerkannter Kennzeichen („Pässe“) herbeigeführt wird. Zudem sind darin Richtlinien für die Vermehrung von Saatgut im Ausland niedergelegt, ebenso wie für die Delegierung einiger Überwachungsaufgaben an die Privatwirtschaft („Genehmigung“). Die Menge des durch die OECD-Systeme zertifizierten Saatguts ist während der letzten Jahre rasant angestiegen und überschreitet mittlerweile die 1-Millionen-Tonnen-Marke.</w:t>
      </w:r>
    </w:p>
    <w:p w14:paraId="5FBB0048" w14:textId="77777777" w:rsidR="00443D82" w:rsidRPr="00443D82" w:rsidRDefault="00443D82" w:rsidP="00443D82">
      <w:pPr>
        <w:spacing w:before="5"/>
        <w:rPr>
          <w:sz w:val="14"/>
          <w:lang w:val="de-DE"/>
        </w:rPr>
      </w:pPr>
    </w:p>
    <w:p w14:paraId="2406B694" w14:textId="77777777" w:rsidR="00443D82" w:rsidRPr="00443D82" w:rsidRDefault="00443D82" w:rsidP="00443D82">
      <w:pPr>
        <w:rPr>
          <w:i/>
          <w:lang w:val="de-DE"/>
        </w:rPr>
      </w:pPr>
      <w:bookmarkStart w:id="72" w:name="How_do_the_Seed_Schemes_operate"/>
      <w:bookmarkEnd w:id="72"/>
      <w:r w:rsidRPr="00443D82">
        <w:rPr>
          <w:i/>
          <w:lang w:val="de-DE"/>
        </w:rPr>
        <w:t>Arbeitsweise der Saatgutsysteme</w:t>
      </w:r>
    </w:p>
    <w:p w14:paraId="30971F3D" w14:textId="77777777" w:rsidR="00443D82" w:rsidRPr="00443D82" w:rsidRDefault="00443D82" w:rsidP="00443D82">
      <w:pPr>
        <w:spacing w:before="4"/>
        <w:rPr>
          <w:rFonts w:cs="Arial"/>
          <w:b/>
          <w:lang w:val="de-DE"/>
        </w:rPr>
      </w:pPr>
    </w:p>
    <w:p w14:paraId="309627F9" w14:textId="77777777" w:rsidR="00443D82" w:rsidRPr="00443D82" w:rsidRDefault="00443D82" w:rsidP="00443D82">
      <w:pPr>
        <w:widowControl w:val="0"/>
        <w:tabs>
          <w:tab w:val="left" w:pos="1069"/>
          <w:tab w:val="left" w:pos="1071"/>
        </w:tabs>
        <w:autoSpaceDE w:val="0"/>
        <w:autoSpaceDN w:val="0"/>
        <w:spacing w:after="160"/>
        <w:ind w:right="216"/>
        <w:rPr>
          <w:rFonts w:cs="Arial"/>
          <w:lang w:val="de-DE" w:eastAsia="en-GB" w:bidi="en-GB"/>
        </w:rPr>
      </w:pPr>
      <w:r w:rsidRPr="00443D82">
        <w:rPr>
          <w:rFonts w:cs="Arial"/>
          <w:lang w:val="de-DE" w:eastAsia="en-GB" w:bidi="en-GB"/>
        </w:rPr>
        <w:t>Der Erfolg der internationalen Zertifizierung ist abhängig von einer engen Zusammenarbeit zwischen Erhaltungszüchtern, Saatgutherstellern, Händlern und der bezeichneten (von der Regierung ernannten) Behörde in jedem einzelnen Teilnehmerland. Häufige Tagungen ermöglichen einen alle Interessengruppen einbeziehenden Dialog mit dem Ziel, Informationen auszutauschen, Fallstudien zu erörtern, Regelungen zu überarbeiten und die Systeme auf den neuesten Stand zu bringen. Ein breites Spektrum internationaler und nichtstaatlicher Organisationen sowie Netzwerke der Saatgutindustrie sind aktiv an den Systemen beteiligt.</w:t>
      </w:r>
    </w:p>
    <w:p w14:paraId="0B8859DF" w14:textId="77777777" w:rsidR="00443D82" w:rsidRPr="00160FAB" w:rsidRDefault="00443D82" w:rsidP="00443D82">
      <w:pPr>
        <w:keepNext/>
        <w:rPr>
          <w:i/>
        </w:rPr>
      </w:pPr>
      <w:bookmarkStart w:id="73" w:name="Benefits_of_the_Schemes"/>
      <w:bookmarkEnd w:id="73"/>
      <w:proofErr w:type="spellStart"/>
      <w:r w:rsidRPr="00BD6A76">
        <w:rPr>
          <w:i/>
        </w:rPr>
        <w:t>Vorteile</w:t>
      </w:r>
      <w:proofErr w:type="spellEnd"/>
      <w:r w:rsidRPr="00BD6A76">
        <w:rPr>
          <w:i/>
        </w:rPr>
        <w:t xml:space="preserve"> der </w:t>
      </w:r>
      <w:proofErr w:type="spellStart"/>
      <w:r w:rsidRPr="00BD6A76">
        <w:rPr>
          <w:i/>
        </w:rPr>
        <w:t>Saatgutsysteme</w:t>
      </w:r>
      <w:proofErr w:type="spellEnd"/>
    </w:p>
    <w:p w14:paraId="08EC6E65" w14:textId="77777777" w:rsidR="00443D82" w:rsidRPr="00160FAB" w:rsidRDefault="00443D82" w:rsidP="00443D82">
      <w:pPr>
        <w:spacing w:before="5"/>
        <w:rPr>
          <w:rFonts w:cs="Arial"/>
          <w:b/>
        </w:rPr>
      </w:pPr>
    </w:p>
    <w:p w14:paraId="7153DCE0" w14:textId="77777777" w:rsidR="00443D82" w:rsidRPr="00443D82" w:rsidRDefault="00443D82" w:rsidP="00443D82">
      <w:pPr>
        <w:widowControl w:val="0"/>
        <w:numPr>
          <w:ilvl w:val="1"/>
          <w:numId w:val="6"/>
        </w:numPr>
        <w:tabs>
          <w:tab w:val="left" w:pos="1071"/>
        </w:tabs>
        <w:autoSpaceDE w:val="0"/>
        <w:autoSpaceDN w:val="0"/>
        <w:ind w:right="225"/>
        <w:rPr>
          <w:rFonts w:cs="Arial"/>
          <w:lang w:val="de-DE" w:eastAsia="en-GB" w:bidi="en-GB"/>
        </w:rPr>
      </w:pPr>
      <w:r w:rsidRPr="00443D82">
        <w:rPr>
          <w:rFonts w:cs="Arial"/>
          <w:lang w:val="de-DE" w:eastAsia="en-GB" w:bidi="en-GB"/>
        </w:rPr>
        <w:t>Erleichterung des internationalen Handels durch harmonisierte Zertifizierungsverfahren, Verfahren zur Pflanzenbegutachtung und Testsaatparzellen. Auch die Vereinbarung und Normierung der Anforderungen an die Sortenreinheit geeigneter Arten erfolgt durch alle Mitgliedstaaten.</w:t>
      </w:r>
    </w:p>
    <w:p w14:paraId="394D6274" w14:textId="77777777" w:rsidR="00443D82" w:rsidRPr="00443D82" w:rsidRDefault="00443D82" w:rsidP="00443D82">
      <w:pPr>
        <w:widowControl w:val="0"/>
        <w:numPr>
          <w:ilvl w:val="1"/>
          <w:numId w:val="6"/>
        </w:numPr>
        <w:tabs>
          <w:tab w:val="left" w:pos="1071"/>
        </w:tabs>
        <w:autoSpaceDE w:val="0"/>
        <w:autoSpaceDN w:val="0"/>
        <w:ind w:right="225"/>
        <w:rPr>
          <w:rFonts w:cs="Arial"/>
          <w:lang w:val="de-DE" w:eastAsia="en-GB" w:bidi="en-GB"/>
        </w:rPr>
      </w:pPr>
      <w:r w:rsidRPr="00443D82">
        <w:rPr>
          <w:rFonts w:cs="Arial"/>
          <w:lang w:val="de-DE" w:eastAsia="en-GB" w:bidi="en-GB"/>
        </w:rPr>
        <w:t>Schaffung eines Rahmens für die Förderung der Saatgutproduktion mit anderen Nationen oder Unternehmen.</w:t>
      </w:r>
    </w:p>
    <w:p w14:paraId="68C6D754" w14:textId="77777777" w:rsidR="00443D82" w:rsidRPr="00443D82" w:rsidRDefault="00443D82" w:rsidP="00443D82">
      <w:pPr>
        <w:widowControl w:val="0"/>
        <w:numPr>
          <w:ilvl w:val="1"/>
          <w:numId w:val="6"/>
        </w:numPr>
        <w:tabs>
          <w:tab w:val="left" w:pos="1071"/>
        </w:tabs>
        <w:autoSpaceDE w:val="0"/>
        <w:autoSpaceDN w:val="0"/>
        <w:ind w:right="225"/>
        <w:rPr>
          <w:rFonts w:cs="Arial"/>
          <w:lang w:val="de-DE" w:eastAsia="en-GB" w:bidi="en-GB"/>
        </w:rPr>
      </w:pPr>
      <w:r w:rsidRPr="00443D82">
        <w:rPr>
          <w:rFonts w:cs="Arial"/>
          <w:lang w:val="de-DE" w:eastAsia="en-GB" w:bidi="en-GB"/>
        </w:rPr>
        <w:t>Mitarbeit an der Erstellung internationaler Regelungen für die Saatgutzertifizierung.</w:t>
      </w:r>
    </w:p>
    <w:p w14:paraId="2F3F8D87" w14:textId="77777777" w:rsidR="00443D82" w:rsidRPr="00443D82" w:rsidRDefault="00443D82" w:rsidP="00443D82">
      <w:pPr>
        <w:widowControl w:val="0"/>
        <w:numPr>
          <w:ilvl w:val="1"/>
          <w:numId w:val="6"/>
        </w:numPr>
        <w:tabs>
          <w:tab w:val="left" w:pos="1071"/>
        </w:tabs>
        <w:autoSpaceDE w:val="0"/>
        <w:autoSpaceDN w:val="0"/>
        <w:ind w:right="225"/>
        <w:rPr>
          <w:rFonts w:cs="Arial"/>
          <w:lang w:val="de-DE" w:eastAsia="en-GB" w:bidi="en-GB"/>
        </w:rPr>
      </w:pPr>
      <w:r w:rsidRPr="00443D82">
        <w:rPr>
          <w:rFonts w:cs="Arial"/>
          <w:lang w:val="de-DE" w:eastAsia="en-GB" w:bidi="en-GB"/>
        </w:rPr>
        <w:t>Ausbau der Zusammenarbeit von öffentlichem und privatem Sektor.</w:t>
      </w:r>
    </w:p>
    <w:p w14:paraId="34254FFB" w14:textId="77777777" w:rsidR="00443D82" w:rsidRPr="00443D82" w:rsidRDefault="00443D82" w:rsidP="00443D82">
      <w:pPr>
        <w:widowControl w:val="0"/>
        <w:numPr>
          <w:ilvl w:val="1"/>
          <w:numId w:val="6"/>
        </w:numPr>
        <w:tabs>
          <w:tab w:val="left" w:pos="1071"/>
        </w:tabs>
        <w:autoSpaceDE w:val="0"/>
        <w:autoSpaceDN w:val="0"/>
        <w:ind w:right="225"/>
        <w:rPr>
          <w:rFonts w:cs="Arial"/>
          <w:lang w:val="de-DE" w:eastAsia="en-GB" w:bidi="en-GB"/>
        </w:rPr>
      </w:pPr>
      <w:r w:rsidRPr="00443D82">
        <w:rPr>
          <w:rFonts w:cs="Arial"/>
          <w:lang w:val="de-DE" w:eastAsia="en-GB" w:bidi="en-GB"/>
        </w:rPr>
        <w:t>Nutzen ziehen aus dem regelmäßigen Informationsaustausch mit anderen staatlichen Zertifizierungsstellen und Beobachterorganisationen.</w:t>
      </w:r>
    </w:p>
    <w:p w14:paraId="167A2528" w14:textId="77777777" w:rsidR="00443D82" w:rsidRPr="00443D82" w:rsidRDefault="00443D82" w:rsidP="00443D82">
      <w:pPr>
        <w:spacing w:before="5"/>
        <w:rPr>
          <w:rFonts w:cs="Arial"/>
          <w:lang w:val="de-DE"/>
        </w:rPr>
      </w:pPr>
    </w:p>
    <w:p w14:paraId="66F02241" w14:textId="77777777" w:rsidR="00443D82" w:rsidRPr="00443D82" w:rsidRDefault="00443D82" w:rsidP="00443D82">
      <w:pPr>
        <w:rPr>
          <w:i/>
          <w:lang w:val="de-DE"/>
        </w:rPr>
      </w:pPr>
      <w:bookmarkStart w:id="74" w:name="Annual_List_of_Varieties"/>
      <w:bookmarkEnd w:id="74"/>
      <w:r w:rsidRPr="00443D82">
        <w:rPr>
          <w:i/>
          <w:lang w:val="de-DE"/>
        </w:rPr>
        <w:t>Jahresliste der Sorten</w:t>
      </w:r>
    </w:p>
    <w:p w14:paraId="255F16B2" w14:textId="77777777" w:rsidR="00443D82" w:rsidRPr="00443D82" w:rsidRDefault="00443D82" w:rsidP="00443D82">
      <w:pPr>
        <w:spacing w:before="4"/>
        <w:rPr>
          <w:rFonts w:cs="Arial"/>
          <w:b/>
          <w:lang w:val="de-DE"/>
        </w:rPr>
      </w:pPr>
    </w:p>
    <w:p w14:paraId="4BF66089" w14:textId="77777777" w:rsidR="00443D82" w:rsidRPr="00443D82" w:rsidRDefault="00443D82" w:rsidP="00443D82">
      <w:pPr>
        <w:widowControl w:val="0"/>
        <w:tabs>
          <w:tab w:val="left" w:pos="1127"/>
          <w:tab w:val="left" w:pos="1128"/>
        </w:tabs>
        <w:autoSpaceDE w:val="0"/>
        <w:autoSpaceDN w:val="0"/>
        <w:ind w:right="216"/>
        <w:rPr>
          <w:rFonts w:cs="Arial"/>
          <w:lang w:val="de-DE" w:eastAsia="en-GB" w:bidi="en-GB"/>
        </w:rPr>
      </w:pPr>
      <w:r w:rsidRPr="00443D82">
        <w:rPr>
          <w:rFonts w:cs="Arial"/>
          <w:w w:val="105"/>
          <w:lang w:val="de-DE" w:eastAsia="en-GB" w:bidi="en-GB"/>
        </w:rPr>
        <w:t>Auf der Jahresliste der für die OECD-Zertifizierung zulässigen Sorten sind Sorten genannt, die amtlich als unterscheidbar, homogen und beständig anerkannt sind und die in einem oder mehreren Teilnehmerländern einen hinreichenden Wert haben. Die Liste enthält diejenigen Saatgutsorten, die im Rahmen der OECD-Saatgutsysteme international gehandelt werden. Während der vergangenen dreißig Jahre ist die Zahl der gelisteten Arten stetig gewachsen. Derzeit beläuft sich die Anzahl an gelisteten Sorten auf über 62 000, was 200 Arten entspricht. Die Liste ist online verfügbar und wird regelmäßig aktualisiert.</w:t>
      </w:r>
    </w:p>
    <w:p w14:paraId="45E2589D" w14:textId="77777777" w:rsidR="00443D82" w:rsidRPr="00443D82" w:rsidRDefault="00443D82" w:rsidP="00443D82">
      <w:pPr>
        <w:spacing w:before="4"/>
        <w:rPr>
          <w:rFonts w:cs="Arial"/>
          <w:lang w:val="de-DE"/>
        </w:rPr>
      </w:pPr>
    </w:p>
    <w:p w14:paraId="176E47A5" w14:textId="77777777" w:rsidR="00443D82" w:rsidRPr="00443D82" w:rsidRDefault="00443D82" w:rsidP="00443D82">
      <w:pPr>
        <w:rPr>
          <w:i/>
          <w:lang w:val="de-DE"/>
        </w:rPr>
      </w:pPr>
      <w:bookmarkStart w:id="75" w:name="Outlook"/>
      <w:bookmarkEnd w:id="75"/>
      <w:r w:rsidRPr="00443D82">
        <w:rPr>
          <w:i/>
          <w:lang w:val="de-DE"/>
        </w:rPr>
        <w:t>Ausblick</w:t>
      </w:r>
    </w:p>
    <w:p w14:paraId="7CBF38CA" w14:textId="77777777" w:rsidR="00443D82" w:rsidRPr="00443D82" w:rsidRDefault="00443D82" w:rsidP="00443D82">
      <w:pPr>
        <w:spacing w:before="6"/>
        <w:rPr>
          <w:rFonts w:cs="Arial"/>
          <w:b/>
          <w:lang w:val="de-DE"/>
        </w:rPr>
      </w:pPr>
    </w:p>
    <w:p w14:paraId="4EF291E5" w14:textId="77777777" w:rsidR="00443D82" w:rsidRPr="00443D82" w:rsidRDefault="00443D82" w:rsidP="00443D82">
      <w:pPr>
        <w:widowControl w:val="0"/>
        <w:tabs>
          <w:tab w:val="left" w:pos="1069"/>
          <w:tab w:val="left" w:pos="1071"/>
        </w:tabs>
        <w:autoSpaceDE w:val="0"/>
        <w:autoSpaceDN w:val="0"/>
        <w:spacing w:before="1"/>
        <w:ind w:right="217"/>
        <w:rPr>
          <w:rFonts w:cs="Arial"/>
          <w:lang w:val="de-DE" w:eastAsia="en-GB" w:bidi="en-GB"/>
        </w:rPr>
      </w:pPr>
      <w:r w:rsidRPr="00443D82">
        <w:rPr>
          <w:rFonts w:cs="Arial"/>
          <w:lang w:val="de-DE" w:eastAsia="en-GB" w:bidi="en-GB"/>
        </w:rPr>
        <w:t>Da die Saatgut-„Verbraucher“ immer anspruchsvoller werden, besteht ein größerer Bedarf an einheitlichen Saatgutstandards, während die öffentlichen Finanzmittel für Regulierung und Qualitätskontrolle gleichzeitig begrenzt sind.</w:t>
      </w:r>
    </w:p>
    <w:p w14:paraId="4AD3E96A" w14:textId="77777777" w:rsidR="00443D82" w:rsidRPr="00443D82" w:rsidRDefault="00443D82" w:rsidP="00443D82">
      <w:pPr>
        <w:widowControl w:val="0"/>
        <w:tabs>
          <w:tab w:val="left" w:pos="1069"/>
          <w:tab w:val="left" w:pos="1071"/>
        </w:tabs>
        <w:autoSpaceDE w:val="0"/>
        <w:autoSpaceDN w:val="0"/>
        <w:spacing w:before="1"/>
        <w:ind w:right="217"/>
        <w:rPr>
          <w:rFonts w:cs="Arial"/>
          <w:lang w:val="de-DE" w:eastAsia="en-GB" w:bidi="en-GB"/>
        </w:rPr>
      </w:pPr>
    </w:p>
    <w:p w14:paraId="3EAE5E93" w14:textId="77777777" w:rsidR="00443D82" w:rsidRPr="00443D82" w:rsidRDefault="00443D82" w:rsidP="00443D82">
      <w:pPr>
        <w:widowControl w:val="0"/>
        <w:tabs>
          <w:tab w:val="left" w:pos="1069"/>
          <w:tab w:val="left" w:pos="1071"/>
        </w:tabs>
        <w:autoSpaceDE w:val="0"/>
        <w:autoSpaceDN w:val="0"/>
        <w:spacing w:before="1"/>
        <w:ind w:right="217"/>
        <w:rPr>
          <w:rFonts w:cs="Arial"/>
          <w:lang w:val="de-DE" w:eastAsia="en-GB" w:bidi="en-GB"/>
        </w:rPr>
      </w:pPr>
      <w:r w:rsidRPr="00443D82">
        <w:rPr>
          <w:rFonts w:cs="Arial"/>
          <w:lang w:val="de-DE" w:eastAsia="en-GB" w:bidi="en-GB"/>
        </w:rPr>
        <w:t>Die Zusammenarbeit zwischen Ländern und Interessenvertretern im Rahmen der Systeme ist eine Antwort auf das Anliegen eines marktgerechten Regulierungsansatzes. Jedes Land ist mit einem anderen rechtlichen Rahmen, institutionellen Barrieren und Handelsbeziehungen konfrontiert, während die unterschiedlichen Ansätze zwischen den Ländern, die als Importeure oder Exporteure von Saatgut auf internationale Märkte gehen, konsistent bleiben müssen.</w:t>
      </w:r>
    </w:p>
    <w:p w14:paraId="426F09CA" w14:textId="77777777" w:rsidR="00443D82" w:rsidRPr="00443D82" w:rsidRDefault="00443D82" w:rsidP="00443D82">
      <w:pPr>
        <w:widowControl w:val="0"/>
        <w:tabs>
          <w:tab w:val="left" w:pos="1069"/>
          <w:tab w:val="left" w:pos="1071"/>
        </w:tabs>
        <w:autoSpaceDE w:val="0"/>
        <w:autoSpaceDN w:val="0"/>
        <w:spacing w:before="1"/>
        <w:ind w:right="217"/>
        <w:rPr>
          <w:rFonts w:cs="Arial"/>
          <w:lang w:val="de-DE" w:eastAsia="en-GB" w:bidi="en-GB"/>
        </w:rPr>
      </w:pPr>
    </w:p>
    <w:p w14:paraId="38D762CD" w14:textId="77777777" w:rsidR="00443D82" w:rsidRPr="00443D82" w:rsidRDefault="00443D82" w:rsidP="00443D82">
      <w:pPr>
        <w:widowControl w:val="0"/>
        <w:tabs>
          <w:tab w:val="left" w:pos="1069"/>
          <w:tab w:val="left" w:pos="1071"/>
        </w:tabs>
        <w:autoSpaceDE w:val="0"/>
        <w:autoSpaceDN w:val="0"/>
        <w:spacing w:before="1"/>
        <w:ind w:right="217"/>
        <w:rPr>
          <w:rFonts w:cs="Arial"/>
          <w:lang w:val="de-DE" w:eastAsia="en-GB" w:bidi="en-GB"/>
        </w:rPr>
      </w:pPr>
      <w:r w:rsidRPr="00443D82">
        <w:rPr>
          <w:rFonts w:cs="Arial"/>
          <w:lang w:val="de-DE" w:eastAsia="en-GB" w:bidi="en-GB"/>
        </w:rPr>
        <w:t>Erhaltungszüchter und Saatgutunternehmen sind dafür verantwortlich, sicherzustellen, dass ihre Sorten nicht nur im Inland, sondern auch grenzüberschreitend rein und getreu der Beschreibung und der definitiven Probe (das die „lebende Beschreibung“ der Sorte ist) bleiben. Für die Vermehrung von Saatgut in großen Mengen für den Handel müssen jedoch Mindestkriterien gemeinsam definiert, gebilligt und durchgesetzt werden. Die Saatgutsysteme der OECD stellen diesen rechtlichen Rahmen auf internationaler Ebene bereit.</w:t>
      </w:r>
    </w:p>
    <w:p w14:paraId="39F612D6" w14:textId="77777777" w:rsidR="00443D82" w:rsidRPr="00443D82" w:rsidRDefault="00443D82" w:rsidP="00443D82">
      <w:pPr>
        <w:widowControl w:val="0"/>
        <w:tabs>
          <w:tab w:val="left" w:pos="1069"/>
          <w:tab w:val="left" w:pos="1071"/>
        </w:tabs>
        <w:autoSpaceDE w:val="0"/>
        <w:autoSpaceDN w:val="0"/>
        <w:spacing w:before="1"/>
        <w:ind w:left="220" w:right="217"/>
        <w:rPr>
          <w:rFonts w:cs="Arial"/>
          <w:lang w:val="de-DE" w:eastAsia="en-GB" w:bidi="en-GB"/>
        </w:rPr>
      </w:pPr>
    </w:p>
    <w:p w14:paraId="303D76B5" w14:textId="77777777" w:rsidR="00443D82" w:rsidRPr="00443D82" w:rsidRDefault="00443D82" w:rsidP="00443D82">
      <w:pPr>
        <w:rPr>
          <w:i/>
          <w:lang w:val="de-DE"/>
        </w:rPr>
      </w:pPr>
      <w:r w:rsidRPr="00443D82">
        <w:rPr>
          <w:i/>
          <w:lang w:val="de-DE"/>
        </w:rPr>
        <w:t>Stand der biochemischen und molekularen Techniken (BMT) in den Saatgutsystemen der OECD</w:t>
      </w:r>
    </w:p>
    <w:p w14:paraId="40FFC4DC" w14:textId="77777777" w:rsidR="00443D82" w:rsidRPr="00443D82" w:rsidRDefault="00443D82" w:rsidP="00443D82">
      <w:pPr>
        <w:ind w:right="556"/>
        <w:rPr>
          <w:lang w:val="de-DE"/>
        </w:rPr>
      </w:pPr>
    </w:p>
    <w:p w14:paraId="2F301439" w14:textId="77777777" w:rsidR="00443D82" w:rsidRPr="00443D82" w:rsidRDefault="00443D82" w:rsidP="00443D82">
      <w:pPr>
        <w:ind w:right="102"/>
        <w:rPr>
          <w:lang w:val="de-DE"/>
        </w:rPr>
      </w:pPr>
      <w:r w:rsidRPr="00443D82">
        <w:rPr>
          <w:lang w:val="de-DE"/>
        </w:rPr>
        <w:t>Die Saatgutsysteme der OECD befürworten keine speziellen Laborverfahren zur Bestimmung der Sortenidentität oder zur Bestimmung der Sortenreinheit. Die herkömmlichen Verfahren der OECD der Verwendung von Feldprüfungsverfahren zusammen mit Vor- und Nach-Kontrollparzellen sind als die erforderlichen Verfahren zur Bestimmung der Sortenidentität und Sortenreinheit anzusehen.</w:t>
      </w:r>
    </w:p>
    <w:p w14:paraId="6284A28D" w14:textId="77777777" w:rsidR="00443D82" w:rsidRPr="00443D82" w:rsidRDefault="00443D82" w:rsidP="00443D82">
      <w:pPr>
        <w:ind w:right="102"/>
        <w:rPr>
          <w:lang w:val="de-DE"/>
        </w:rPr>
      </w:pPr>
    </w:p>
    <w:p w14:paraId="155CDEE1" w14:textId="77777777" w:rsidR="00443D82" w:rsidRPr="00443D82" w:rsidRDefault="00443D82" w:rsidP="00443D82">
      <w:pPr>
        <w:ind w:right="102"/>
        <w:rPr>
          <w:lang w:val="de-DE"/>
        </w:rPr>
      </w:pPr>
      <w:r w:rsidRPr="00443D82">
        <w:rPr>
          <w:lang w:val="de-DE"/>
        </w:rPr>
        <w:t>Die Saatgutsysteme der OECD erkennen jedoch an, dass es Fälle gibt, in denen diese herkömmlichen Verfahren die Sicherheit der Sortenbestimmung einschränken, und in einigen Fällen können Sorten einiger Arten mit diesen herkömmlichen Verfahren nicht mit Sicherheit identifiziert werden. Unter diesen besonderen Umständen kann es vorteilhaft sein, nicht feldbasierte Verfahren wie BMT zu verwenden, die als Ergänzung und nicht als Ersatz für die herkömmlicheren Verfahren anzusehen sind.</w:t>
      </w:r>
    </w:p>
    <w:p w14:paraId="26DF278B" w14:textId="77777777" w:rsidR="00443D82" w:rsidRPr="00443D82" w:rsidRDefault="00443D82" w:rsidP="00443D82">
      <w:pPr>
        <w:spacing w:before="8"/>
        <w:rPr>
          <w:lang w:val="de-DE"/>
        </w:rPr>
      </w:pPr>
    </w:p>
    <w:p w14:paraId="59FCD61D" w14:textId="77777777" w:rsidR="00443D82" w:rsidRPr="00443D82" w:rsidRDefault="00443D82" w:rsidP="00443D82">
      <w:pPr>
        <w:spacing w:before="1"/>
        <w:rPr>
          <w:b/>
          <w:lang w:val="de-DE"/>
        </w:rPr>
      </w:pPr>
      <w:r w:rsidRPr="00443D82">
        <w:rPr>
          <w:lang w:val="de-DE"/>
        </w:rPr>
        <w:t>Für weitere Informationen über die Saatgutsysteme der OECD siehe: www.oecd.org/tad/seed</w:t>
      </w:r>
    </w:p>
    <w:p w14:paraId="53AEEF79" w14:textId="77777777" w:rsidR="00443D82" w:rsidRPr="00443D82" w:rsidRDefault="00443D82" w:rsidP="00443D82">
      <w:pPr>
        <w:rPr>
          <w:lang w:val="de-DE"/>
        </w:rPr>
      </w:pPr>
    </w:p>
    <w:p w14:paraId="7925E618" w14:textId="77777777" w:rsidR="00443D82" w:rsidRPr="00443D82" w:rsidRDefault="00443D82" w:rsidP="00443D82">
      <w:pPr>
        <w:rPr>
          <w:lang w:val="de-DE"/>
        </w:rPr>
      </w:pPr>
    </w:p>
    <w:p w14:paraId="3DF93190" w14:textId="77777777" w:rsidR="00443D82" w:rsidRPr="00443D82" w:rsidRDefault="00443D82" w:rsidP="00443D82">
      <w:pPr>
        <w:jc w:val="left"/>
        <w:rPr>
          <w:bCs/>
          <w:u w:val="single"/>
          <w:lang w:val="de-DE"/>
        </w:rPr>
      </w:pPr>
      <w:r w:rsidRPr="00443D82">
        <w:rPr>
          <w:bCs/>
          <w:u w:val="single"/>
          <w:lang w:val="de-DE"/>
        </w:rPr>
        <w:br w:type="page"/>
      </w:r>
    </w:p>
    <w:p w14:paraId="1BEF2B1F" w14:textId="77777777" w:rsidR="00443D82" w:rsidRPr="00443D82" w:rsidRDefault="00443D82" w:rsidP="00443D82">
      <w:pPr>
        <w:rPr>
          <w:bCs/>
          <w:u w:val="single"/>
          <w:lang w:val="de-DE"/>
        </w:rPr>
      </w:pPr>
      <w:r w:rsidRPr="00443D82">
        <w:rPr>
          <w:bCs/>
          <w:u w:val="single"/>
          <w:lang w:val="de-DE"/>
        </w:rPr>
        <w:t>Internationaler Verband zum Schutz von Pflanzenzüchtungen (UPOV)</w:t>
      </w:r>
    </w:p>
    <w:p w14:paraId="4155F484" w14:textId="77777777" w:rsidR="00443D82" w:rsidRPr="00443D82" w:rsidRDefault="00443D82" w:rsidP="00443D82">
      <w:pPr>
        <w:rPr>
          <w:lang w:val="de-DE"/>
        </w:rPr>
      </w:pPr>
    </w:p>
    <w:p w14:paraId="199244E5" w14:textId="77777777" w:rsidR="00443D82" w:rsidRPr="00443D82" w:rsidRDefault="00443D82" w:rsidP="00443D82">
      <w:pPr>
        <w:rPr>
          <w:lang w:val="de-DE"/>
        </w:rPr>
      </w:pPr>
      <w:r w:rsidRPr="00443D82">
        <w:rPr>
          <w:bCs/>
          <w:lang w:val="de-DE"/>
        </w:rPr>
        <w:t>Art der Organisation: Zwischenstaatlich</w:t>
      </w:r>
    </w:p>
    <w:p w14:paraId="1B69CFF9" w14:textId="77777777" w:rsidR="00443D82" w:rsidRPr="00443D82" w:rsidRDefault="00443D82" w:rsidP="00443D82">
      <w:pPr>
        <w:rPr>
          <w:lang w:val="de-DE"/>
        </w:rPr>
      </w:pPr>
      <w:r w:rsidRPr="00443D82">
        <w:rPr>
          <w:lang w:val="de-DE"/>
        </w:rPr>
        <w:t> </w:t>
      </w:r>
    </w:p>
    <w:p w14:paraId="455C4193" w14:textId="77777777" w:rsidR="00443D82" w:rsidRPr="00443D82" w:rsidRDefault="00443D82" w:rsidP="00443D82">
      <w:pPr>
        <w:rPr>
          <w:bCs/>
          <w:lang w:val="de-DE"/>
        </w:rPr>
      </w:pPr>
      <w:r w:rsidRPr="00443D82">
        <w:rPr>
          <w:bCs/>
          <w:lang w:val="de-DE"/>
        </w:rPr>
        <w:t>Mitgliedschaft</w:t>
      </w:r>
    </w:p>
    <w:p w14:paraId="7F4C6E21" w14:textId="77777777" w:rsidR="00443D82" w:rsidRPr="00443D82" w:rsidRDefault="00443D82" w:rsidP="00443D82">
      <w:pPr>
        <w:rPr>
          <w:lang w:val="de-DE"/>
        </w:rPr>
      </w:pPr>
      <w:hyperlink r:id="rId27" w:history="1">
        <w:r w:rsidRPr="00443D82">
          <w:rPr>
            <w:rStyle w:val="Hyperlink"/>
            <w:lang w:val="de-DE"/>
          </w:rPr>
          <w:t>Liste der UPOV-Mitglieder</w:t>
        </w:r>
      </w:hyperlink>
      <w:r w:rsidRPr="00443D82">
        <w:rPr>
          <w:lang w:val="de-DE"/>
        </w:rPr>
        <w:t xml:space="preserve"> / </w:t>
      </w:r>
      <w:hyperlink r:id="rId28" w:history="1">
        <w:r w:rsidRPr="00443D82">
          <w:rPr>
            <w:rStyle w:val="Hyperlink"/>
            <w:lang w:val="de-DE"/>
          </w:rPr>
          <w:t>Lage in Bezug auf die UPOV</w:t>
        </w:r>
      </w:hyperlink>
    </w:p>
    <w:p w14:paraId="3229DE00" w14:textId="77777777" w:rsidR="00443D82" w:rsidRPr="00443D82" w:rsidRDefault="00443D82" w:rsidP="00443D82">
      <w:pPr>
        <w:rPr>
          <w:lang w:val="de-DE"/>
        </w:rPr>
      </w:pPr>
      <w:r w:rsidRPr="00443D82">
        <w:rPr>
          <w:lang w:val="de-DE"/>
        </w:rPr>
        <w:t> </w:t>
      </w:r>
    </w:p>
    <w:p w14:paraId="0B368324" w14:textId="77777777" w:rsidR="00443D82" w:rsidRPr="00443D82" w:rsidRDefault="00443D82" w:rsidP="00443D82">
      <w:pPr>
        <w:keepNext/>
        <w:rPr>
          <w:bCs/>
          <w:i/>
          <w:lang w:val="de-DE"/>
        </w:rPr>
      </w:pPr>
      <w:r w:rsidRPr="00443D82">
        <w:rPr>
          <w:bCs/>
          <w:i/>
          <w:lang w:val="de-DE"/>
        </w:rPr>
        <w:t>Was ist die UPOV?</w:t>
      </w:r>
    </w:p>
    <w:p w14:paraId="4551A716" w14:textId="77777777" w:rsidR="00443D82" w:rsidRPr="00443D82" w:rsidRDefault="00443D82" w:rsidP="00443D82">
      <w:pPr>
        <w:keepNext/>
        <w:rPr>
          <w:bCs/>
          <w:lang w:val="de-DE"/>
        </w:rPr>
      </w:pPr>
    </w:p>
    <w:p w14:paraId="6883DADF" w14:textId="77777777" w:rsidR="00443D82" w:rsidRPr="00443D82" w:rsidRDefault="00443D82" w:rsidP="00443D82">
      <w:pPr>
        <w:rPr>
          <w:lang w:val="de-DE"/>
        </w:rPr>
      </w:pPr>
      <w:r w:rsidRPr="00443D82">
        <w:rPr>
          <w:lang w:val="de-DE"/>
        </w:rPr>
        <w:t>Der Internationale Verband zum Schutz von Pflanzenzüchtungen (UPOV) ist eine zwischenstaatliche Organisation mit Sitz in Genf, Schweiz. Die UPOV wurde durch das 1961 unterzeichnete Internationale Übereinkommen zum Schutz von Pflanzenzüchtungen („UPOV-Übereinkommen") geschaffen.</w:t>
      </w:r>
    </w:p>
    <w:p w14:paraId="25707BB9" w14:textId="77777777" w:rsidR="00443D82" w:rsidRPr="00443D82" w:rsidRDefault="00443D82" w:rsidP="00443D82">
      <w:pPr>
        <w:rPr>
          <w:lang w:val="de-DE"/>
        </w:rPr>
      </w:pPr>
      <w:r w:rsidRPr="00443D82">
        <w:rPr>
          <w:lang w:val="de-DE"/>
        </w:rPr>
        <w:t>Das Ziel der UPOV ist die Bereitstellung und Förderung eines wirksamen Sortenschutzsystems mit dem Ziel, die Entwicklung neuer Pflanzensorten zum Nutzen der Gesellschaft zu begünstigen.</w:t>
      </w:r>
    </w:p>
    <w:p w14:paraId="67473275" w14:textId="77777777" w:rsidR="00443D82" w:rsidRPr="00443D82" w:rsidRDefault="00443D82" w:rsidP="00443D82">
      <w:pPr>
        <w:rPr>
          <w:lang w:val="de-DE"/>
        </w:rPr>
      </w:pPr>
      <w:r w:rsidRPr="00443D82">
        <w:rPr>
          <w:lang w:val="de-DE"/>
        </w:rPr>
        <w:t>Das UPOV-Übereinkommen bildet die Grundlage einer Förderung der Pflanzenzüchtung, indem Züchtern neuer Pflanzensorten ein Recht des geistigen Eigentums erteilt wird: das Züchterrecht.</w:t>
      </w:r>
    </w:p>
    <w:p w14:paraId="3167B2EF" w14:textId="77777777" w:rsidR="00443D82" w:rsidRPr="00443D82" w:rsidRDefault="00443D82" w:rsidP="00443D82">
      <w:pPr>
        <w:rPr>
          <w:lang w:val="de-DE"/>
        </w:rPr>
      </w:pPr>
      <w:r w:rsidRPr="00443D82">
        <w:rPr>
          <w:lang w:val="de-DE"/>
        </w:rPr>
        <w:t> </w:t>
      </w:r>
    </w:p>
    <w:p w14:paraId="72483B09" w14:textId="77777777" w:rsidR="00443D82" w:rsidRPr="00443D82" w:rsidRDefault="00443D82" w:rsidP="00443D82">
      <w:pPr>
        <w:rPr>
          <w:bCs/>
          <w:i/>
          <w:lang w:val="de-DE"/>
        </w:rPr>
      </w:pPr>
      <w:r w:rsidRPr="00443D82">
        <w:rPr>
          <w:bCs/>
          <w:i/>
          <w:lang w:val="de-DE"/>
        </w:rPr>
        <w:t>Was macht die UPOV?</w:t>
      </w:r>
    </w:p>
    <w:p w14:paraId="580DBBA8" w14:textId="77777777" w:rsidR="00443D82" w:rsidRPr="00443D82" w:rsidRDefault="00443D82" w:rsidP="00443D82">
      <w:pPr>
        <w:rPr>
          <w:bCs/>
          <w:lang w:val="de-DE"/>
        </w:rPr>
      </w:pPr>
    </w:p>
    <w:p w14:paraId="21E511BF" w14:textId="77777777" w:rsidR="00443D82" w:rsidRPr="00443D82" w:rsidRDefault="00443D82" w:rsidP="00443D82">
      <w:pPr>
        <w:rPr>
          <w:lang w:val="de-DE"/>
        </w:rPr>
      </w:pPr>
      <w:r w:rsidRPr="00443D82">
        <w:rPr>
          <w:lang w:val="de-DE"/>
        </w:rPr>
        <w:t>Das Ziel der UPOV ist die Bereitstellung und Förderung eines wirksamen Sortenschutzsystems mit dem Ziel, die Entwicklung neuer Pflanzensorten zum Nutzen der Gesellschaft zu begünstigen. Die hauptsächlichen Ziele der UPOV sind gemäß dem UPOV-Übereinkommen:</w:t>
      </w:r>
    </w:p>
    <w:p w14:paraId="6BE68D92" w14:textId="77777777" w:rsidR="00443D82" w:rsidRPr="00443D82" w:rsidRDefault="00443D82" w:rsidP="00443D82">
      <w:pPr>
        <w:numPr>
          <w:ilvl w:val="0"/>
          <w:numId w:val="3"/>
        </w:numPr>
        <w:rPr>
          <w:lang w:val="de-DE"/>
        </w:rPr>
      </w:pPr>
      <w:r w:rsidRPr="00443D82">
        <w:rPr>
          <w:lang w:val="de-DE"/>
        </w:rPr>
        <w:t>Bereitstellung und Entwicklung der rechtlichen, administrativen und technischen Grundlage für die internationale Zusammenarbeit auf dem Gebiet des Sortenschutzes;</w:t>
      </w:r>
    </w:p>
    <w:p w14:paraId="06D21B4B" w14:textId="77777777" w:rsidR="00443D82" w:rsidRPr="00443D82" w:rsidRDefault="00443D82" w:rsidP="00443D82">
      <w:pPr>
        <w:numPr>
          <w:ilvl w:val="0"/>
          <w:numId w:val="3"/>
        </w:numPr>
        <w:rPr>
          <w:lang w:val="de-DE"/>
        </w:rPr>
      </w:pPr>
      <w:r w:rsidRPr="00443D82">
        <w:rPr>
          <w:lang w:val="de-DE"/>
        </w:rPr>
        <w:t>Unterstützung von Staaten und Organisationen bei der Ausarbeitung von Rechtsvorschriften und der Umsetzung eines wirksamen Sortenschutzsystems; und</w:t>
      </w:r>
    </w:p>
    <w:p w14:paraId="456DCC76" w14:textId="77777777" w:rsidR="00443D82" w:rsidRPr="00443D82" w:rsidRDefault="00443D82" w:rsidP="00443D82">
      <w:pPr>
        <w:numPr>
          <w:ilvl w:val="0"/>
          <w:numId w:val="3"/>
        </w:numPr>
        <w:rPr>
          <w:lang w:val="de-DE"/>
        </w:rPr>
      </w:pPr>
      <w:r w:rsidRPr="00443D82">
        <w:rPr>
          <w:lang w:val="de-DE"/>
        </w:rPr>
        <w:t>Sensibilisierung und Erhöhung des Verständnisses der Öffentlichkeit für das UPOV</w:t>
      </w:r>
      <w:r w:rsidRPr="00443D82">
        <w:rPr>
          <w:lang w:val="de-DE"/>
        </w:rPr>
        <w:noBreakHyphen/>
        <w:t>Sortenschutzsystem.</w:t>
      </w:r>
    </w:p>
    <w:p w14:paraId="204997E5" w14:textId="77777777" w:rsidR="00443D82" w:rsidRPr="00443D82" w:rsidRDefault="00443D82" w:rsidP="00443D82">
      <w:pPr>
        <w:rPr>
          <w:lang w:val="de-DE"/>
        </w:rPr>
      </w:pPr>
      <w:r w:rsidRPr="00443D82">
        <w:rPr>
          <w:bCs/>
          <w:lang w:val="de-DE"/>
        </w:rPr>
        <w:t> </w:t>
      </w:r>
    </w:p>
    <w:p w14:paraId="4254FB8A" w14:textId="77777777" w:rsidR="00443D82" w:rsidRPr="00443D82" w:rsidRDefault="00443D82" w:rsidP="00443D82">
      <w:pPr>
        <w:rPr>
          <w:bCs/>
          <w:i/>
          <w:lang w:val="de-DE"/>
        </w:rPr>
      </w:pPr>
      <w:r w:rsidRPr="00443D82">
        <w:rPr>
          <w:bCs/>
          <w:i/>
          <w:lang w:val="de-DE"/>
        </w:rPr>
        <w:t>Was sind die Vorteile des Sortenschutzes und der UPOV-Mitgliedschaft?</w:t>
      </w:r>
    </w:p>
    <w:p w14:paraId="5142C4AF" w14:textId="77777777" w:rsidR="00443D82" w:rsidRPr="00443D82" w:rsidRDefault="00443D82" w:rsidP="00443D82">
      <w:pPr>
        <w:rPr>
          <w:bCs/>
          <w:lang w:val="de-DE"/>
        </w:rPr>
      </w:pPr>
    </w:p>
    <w:p w14:paraId="09804877" w14:textId="77777777" w:rsidR="00443D82" w:rsidRPr="00443D82" w:rsidRDefault="00443D82" w:rsidP="00443D82">
      <w:pPr>
        <w:rPr>
          <w:lang w:val="de-DE"/>
        </w:rPr>
      </w:pPr>
      <w:r w:rsidRPr="00443D82">
        <w:rPr>
          <w:lang w:val="de-DE"/>
        </w:rPr>
        <w:t>Aus dem UPOV-Bericht über die Auswirkungen des Sortenschutzes ging hervor, dass sowohl die Umsetzung des UPOV-Übereinkommens als auch die Mitgliedschaft bei der UPOV wichtig sind, um in den Genuss sämtlicher Vorteile, die der Sortenschutz zu bieten hat, zu gelangen. Die Einführung des UPOV</w:t>
      </w:r>
      <w:r w:rsidRPr="00443D82">
        <w:rPr>
          <w:lang w:val="de-DE"/>
        </w:rPr>
        <w:noBreakHyphen/>
        <w:t>Sortenschutzsystems und der UPOV-Mitgliedschaft werden in Verbindung gebracht mit:</w:t>
      </w:r>
    </w:p>
    <w:p w14:paraId="1968BD5F" w14:textId="77777777" w:rsidR="00443D82" w:rsidRPr="00443D82" w:rsidRDefault="00443D82" w:rsidP="00443D82">
      <w:pPr>
        <w:rPr>
          <w:lang w:val="de-DE"/>
        </w:rPr>
      </w:pPr>
    </w:p>
    <w:p w14:paraId="6235AB91" w14:textId="77777777" w:rsidR="00443D82" w:rsidRPr="00443D82" w:rsidRDefault="00443D82" w:rsidP="00443D82">
      <w:pPr>
        <w:rPr>
          <w:lang w:val="de-DE"/>
        </w:rPr>
      </w:pPr>
      <w:r w:rsidRPr="00443D82">
        <w:rPr>
          <w:lang w:val="de-DE"/>
        </w:rPr>
        <w:t>a)</w:t>
      </w:r>
      <w:r w:rsidRPr="00443D82">
        <w:rPr>
          <w:lang w:val="de-DE"/>
        </w:rPr>
        <w:tab/>
        <w:t>vermehrter Züchtungstätigkeit,</w:t>
      </w:r>
    </w:p>
    <w:p w14:paraId="4003D382" w14:textId="77777777" w:rsidR="00443D82" w:rsidRPr="00443D82" w:rsidRDefault="00443D82" w:rsidP="00443D82">
      <w:pPr>
        <w:rPr>
          <w:lang w:val="de-DE"/>
        </w:rPr>
      </w:pPr>
      <w:r w:rsidRPr="00443D82">
        <w:rPr>
          <w:lang w:val="de-DE"/>
        </w:rPr>
        <w:t>b)</w:t>
      </w:r>
      <w:r w:rsidRPr="00443D82">
        <w:rPr>
          <w:lang w:val="de-DE"/>
        </w:rPr>
        <w:tab/>
        <w:t>höherer Verfügbarkeit verbesserter Sorten,</w:t>
      </w:r>
    </w:p>
    <w:p w14:paraId="6DD60966" w14:textId="77777777" w:rsidR="00443D82" w:rsidRPr="00443D82" w:rsidRDefault="00443D82" w:rsidP="00443D82">
      <w:pPr>
        <w:rPr>
          <w:lang w:val="de-DE"/>
        </w:rPr>
      </w:pPr>
      <w:r w:rsidRPr="00443D82">
        <w:rPr>
          <w:lang w:val="de-DE"/>
        </w:rPr>
        <w:t>c)</w:t>
      </w:r>
      <w:r w:rsidRPr="00443D82">
        <w:rPr>
          <w:lang w:val="de-DE"/>
        </w:rPr>
        <w:tab/>
        <w:t>höherer Anzahl neuer Sorten,</w:t>
      </w:r>
    </w:p>
    <w:p w14:paraId="473392D4" w14:textId="77777777" w:rsidR="00443D82" w:rsidRPr="00443D82" w:rsidRDefault="00443D82" w:rsidP="00443D82">
      <w:pPr>
        <w:rPr>
          <w:lang w:val="de-DE"/>
        </w:rPr>
      </w:pPr>
      <w:r w:rsidRPr="00443D82">
        <w:rPr>
          <w:lang w:val="de-DE"/>
        </w:rPr>
        <w:t>d)</w:t>
      </w:r>
      <w:r w:rsidRPr="00443D82">
        <w:rPr>
          <w:lang w:val="de-DE"/>
        </w:rPr>
        <w:tab/>
        <w:t>Diversifikation der Arten von Züchtern (z.B. private Züchter, Forscher),</w:t>
      </w:r>
    </w:p>
    <w:p w14:paraId="2094A3C3" w14:textId="77777777" w:rsidR="00443D82" w:rsidRPr="00443D82" w:rsidRDefault="00443D82" w:rsidP="00443D82">
      <w:pPr>
        <w:rPr>
          <w:lang w:val="de-DE"/>
        </w:rPr>
      </w:pPr>
      <w:r w:rsidRPr="00443D82">
        <w:rPr>
          <w:lang w:val="de-DE"/>
        </w:rPr>
        <w:t>e)</w:t>
      </w:r>
      <w:r w:rsidRPr="00443D82">
        <w:rPr>
          <w:lang w:val="de-DE"/>
        </w:rPr>
        <w:tab/>
        <w:t>größerer Zahl ausländischer neuer Sorten,</w:t>
      </w:r>
    </w:p>
    <w:p w14:paraId="015B3407" w14:textId="77777777" w:rsidR="00443D82" w:rsidRPr="00443D82" w:rsidRDefault="00443D82" w:rsidP="00443D82">
      <w:pPr>
        <w:rPr>
          <w:lang w:val="de-DE"/>
        </w:rPr>
      </w:pPr>
      <w:r w:rsidRPr="00443D82">
        <w:rPr>
          <w:lang w:val="de-DE"/>
        </w:rPr>
        <w:t>f)</w:t>
      </w:r>
      <w:r w:rsidRPr="00443D82">
        <w:rPr>
          <w:lang w:val="de-DE"/>
        </w:rPr>
        <w:tab/>
        <w:t>Förderung der Entwicklung einer neuen Wettbewerbsfähigkeit der Branche auf ausländischen Märkten, und</w:t>
      </w:r>
    </w:p>
    <w:p w14:paraId="22E7AF43" w14:textId="77777777" w:rsidR="00443D82" w:rsidRPr="00443D82" w:rsidRDefault="00443D82" w:rsidP="00443D82">
      <w:pPr>
        <w:rPr>
          <w:lang w:val="de-DE"/>
        </w:rPr>
      </w:pPr>
      <w:r w:rsidRPr="00443D82">
        <w:rPr>
          <w:lang w:val="de-DE"/>
        </w:rPr>
        <w:t>g)</w:t>
      </w:r>
      <w:r w:rsidRPr="00443D82">
        <w:rPr>
          <w:lang w:val="de-DE"/>
        </w:rPr>
        <w:tab/>
        <w:t>verbessertem Zugang zu ausländischen Pflanzensorten und verbesserten inländischen Züchterprogrammen.</w:t>
      </w:r>
    </w:p>
    <w:p w14:paraId="2D3B5218" w14:textId="77777777" w:rsidR="00443D82" w:rsidRPr="00443D82" w:rsidRDefault="00443D82" w:rsidP="00443D82">
      <w:pPr>
        <w:rPr>
          <w:lang w:val="de-DE"/>
        </w:rPr>
      </w:pPr>
      <w:r w:rsidRPr="00443D82">
        <w:rPr>
          <w:lang w:val="de-DE"/>
        </w:rPr>
        <w:t>Für den Beitritt zur UPOV ist die Stellungnahme des UPOV-Rates im Hinblick auf die Vereinbarkeit des Gesetzes eines künftigen Mitglieds mit den Bestimmungen des UPOV-Übereinkommens erforderlich. Dieses Verfahren führt als solches zu einem hohen Grad an Übereinstimmung dieser Gesetze, was in der Folge die Zusammenarbeit unter den Mitgliedern bei der Umsetzung des Systems erleichtert.</w:t>
      </w:r>
    </w:p>
    <w:p w14:paraId="57C91CE6" w14:textId="77777777" w:rsidR="00443D82" w:rsidRPr="00443D82" w:rsidRDefault="00443D82" w:rsidP="00443D82">
      <w:pPr>
        <w:keepNext/>
        <w:rPr>
          <w:i/>
          <w:lang w:val="de-DE"/>
        </w:rPr>
      </w:pPr>
    </w:p>
    <w:p w14:paraId="59669243" w14:textId="77777777" w:rsidR="00443D82" w:rsidRPr="00443D82" w:rsidRDefault="00443D82" w:rsidP="00443D82">
      <w:pPr>
        <w:keepNext/>
        <w:rPr>
          <w:i/>
          <w:lang w:val="de-DE"/>
        </w:rPr>
      </w:pPr>
      <w:r w:rsidRPr="00443D82">
        <w:rPr>
          <w:i/>
          <w:lang w:val="de-DE"/>
        </w:rPr>
        <w:t>Erlaubt die UPOV die Verwendung molekularer Marker (DNS-Profile) bei der Prüfung von Unterscheidbarkeit, Homogenität und Beständigkeit („DUS-Prüfung“)?</w:t>
      </w:r>
    </w:p>
    <w:p w14:paraId="4F05E94F" w14:textId="77777777" w:rsidR="00443D82" w:rsidRPr="00443D82" w:rsidRDefault="00443D82" w:rsidP="00443D82">
      <w:pPr>
        <w:keepNext/>
        <w:rPr>
          <w:lang w:val="de-DE"/>
        </w:rPr>
      </w:pPr>
    </w:p>
    <w:p w14:paraId="30D454CA" w14:textId="77777777" w:rsidR="00443D82" w:rsidRPr="00443D82" w:rsidRDefault="00443D82" w:rsidP="00443D82">
      <w:pPr>
        <w:keepNext/>
        <w:rPr>
          <w:lang w:val="de-DE"/>
        </w:rPr>
      </w:pPr>
      <w:r w:rsidRPr="00443D82">
        <w:rPr>
          <w:lang w:val="de-DE"/>
        </w:rPr>
        <w:t>Es ist wichtig anzumerken, dass in einigen Fällen Sorten ein unterschiedliches DNS-Profil haben, jedoch phänotypisch identisch sein können, während in anderen Fällen Sorten, die einen großen phänotypischen Unterschied aufweisen, dasselbe DNS-Profil für eine bestimmte Serie von molekularen Markern haben können (z.B. einige Mutationen).</w:t>
      </w:r>
    </w:p>
    <w:p w14:paraId="5CC5A219" w14:textId="77777777" w:rsidR="00443D82" w:rsidRPr="00443D82" w:rsidRDefault="00443D82" w:rsidP="00443D82">
      <w:pPr>
        <w:rPr>
          <w:lang w:val="de-DE"/>
        </w:rPr>
      </w:pPr>
    </w:p>
    <w:p w14:paraId="24E87552" w14:textId="77777777" w:rsidR="00443D82" w:rsidRPr="00443D82" w:rsidRDefault="00443D82" w:rsidP="00443D82">
      <w:pPr>
        <w:spacing w:after="160"/>
        <w:rPr>
          <w:lang w:val="de-DE"/>
        </w:rPr>
      </w:pPr>
      <w:r w:rsidRPr="00443D82">
        <w:rPr>
          <w:lang w:val="de-DE"/>
        </w:rPr>
        <w:t>Was die Verwendung molekularer Marker betrifft, die nicht im Zusammenhang mit phänotypischen Unterschieden stehen, besteht die Sorge, dass womöglich eine unbegrenzte Anzahl von Markern verwendet werden könnte, um zwischen Sorten Unterschiede auf genetischer Ebene zu festzustellen, die bei phänotypischen Merkmalen nicht zu finden sind.</w:t>
      </w:r>
    </w:p>
    <w:p w14:paraId="04E99546" w14:textId="77777777" w:rsidR="00443D82" w:rsidRPr="00443D82" w:rsidRDefault="00443D82" w:rsidP="00443D82">
      <w:pPr>
        <w:rPr>
          <w:lang w:val="de-DE"/>
        </w:rPr>
      </w:pPr>
      <w:r w:rsidRPr="00443D82">
        <w:rPr>
          <w:lang w:val="de-DE"/>
        </w:rPr>
        <w:t>Auf dieser Grundlage vereinbarte die UPOV die folgenden Verwendungen von molekularen Markern im Zusammenhang mit der DUS-Prüfung:</w:t>
      </w:r>
    </w:p>
    <w:p w14:paraId="101040AD" w14:textId="77777777" w:rsidR="00443D82" w:rsidRPr="00443D82" w:rsidRDefault="00443D82" w:rsidP="00443D82">
      <w:pPr>
        <w:rPr>
          <w:lang w:val="de-DE"/>
        </w:rPr>
      </w:pPr>
    </w:p>
    <w:p w14:paraId="5A8DE0B2" w14:textId="77777777" w:rsidR="00443D82" w:rsidRPr="00443D82" w:rsidRDefault="00443D82" w:rsidP="00443D82">
      <w:pPr>
        <w:rPr>
          <w:lang w:val="de-DE"/>
        </w:rPr>
      </w:pPr>
      <w:r w:rsidRPr="00443D82">
        <w:rPr>
          <w:lang w:val="de-DE"/>
        </w:rPr>
        <w:t xml:space="preserve">a) </w:t>
      </w:r>
      <w:r w:rsidRPr="00443D82">
        <w:rPr>
          <w:lang w:val="de-DE"/>
        </w:rPr>
        <w:tab/>
        <w:t>Molekulare Marker können als eine Methode zur Prüfung von DUS-Merkmalen, die die Kriterien für die in der Allgemeinen Einführung dargelegten Merkmale erfüllen, verwendet werden, falls es eine zuverlässige Kopplung zwischen dem Marker und dem Merkmal gibt.</w:t>
      </w:r>
    </w:p>
    <w:p w14:paraId="0FF2012E" w14:textId="77777777" w:rsidR="00443D82" w:rsidRPr="00443D82" w:rsidRDefault="00443D82" w:rsidP="00443D82">
      <w:pPr>
        <w:rPr>
          <w:lang w:val="de-DE"/>
        </w:rPr>
      </w:pPr>
    </w:p>
    <w:p w14:paraId="5224067F" w14:textId="77777777" w:rsidR="00443D82" w:rsidRPr="00443D82" w:rsidRDefault="00443D82" w:rsidP="00443D82">
      <w:pPr>
        <w:rPr>
          <w:lang w:val="de-DE"/>
        </w:rPr>
      </w:pPr>
      <w:r w:rsidRPr="00443D82">
        <w:rPr>
          <w:lang w:val="de-DE"/>
        </w:rPr>
        <w:t xml:space="preserve">b) </w:t>
      </w:r>
      <w:r w:rsidRPr="00443D82">
        <w:rPr>
          <w:lang w:val="de-DE"/>
        </w:rPr>
        <w:tab/>
        <w:t>Es kann eine Kombination aus phänotypischen Unterschieden und molekularen Abständen verwendet werden, um die Auswahl von in der Anbauprüfung zu vergleichenden Sorten zu verbessern, wenn die molekularen Abstände in ausreichendem Bezug zu phänotypischen Unterschieden stehen, so dass die Methode kein erhöhtes Risiko schafft, dass eine Sorte in der Sortensammlung, die im Feld mit den Kandidatensorten verglichen werden muss, nicht ausgewählt wird.</w:t>
      </w:r>
    </w:p>
    <w:p w14:paraId="4B1A063C" w14:textId="77777777" w:rsidR="00443D82" w:rsidRPr="00443D82" w:rsidRDefault="00443D82" w:rsidP="00443D82">
      <w:pPr>
        <w:rPr>
          <w:lang w:val="de-DE"/>
        </w:rPr>
      </w:pPr>
    </w:p>
    <w:p w14:paraId="406E0C4E" w14:textId="77777777" w:rsidR="00443D82" w:rsidRPr="00443D82" w:rsidRDefault="00443D82" w:rsidP="00443D82">
      <w:pPr>
        <w:rPr>
          <w:lang w:val="de-DE"/>
        </w:rPr>
      </w:pPr>
      <w:r w:rsidRPr="00443D82">
        <w:rPr>
          <w:lang w:val="de-DE"/>
        </w:rPr>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p>
    <w:p w14:paraId="58DAE460" w14:textId="77777777" w:rsidR="00443D82" w:rsidRPr="00443D82" w:rsidRDefault="00443D82" w:rsidP="00443D82">
      <w:pPr>
        <w:rPr>
          <w:lang w:val="de-DE"/>
        </w:rPr>
      </w:pPr>
    </w:p>
    <w:p w14:paraId="6078211F" w14:textId="77777777" w:rsidR="00443D82" w:rsidRPr="00443D82" w:rsidRDefault="00443D82" w:rsidP="00443D82">
      <w:pPr>
        <w:rPr>
          <w:lang w:val="de-DE"/>
        </w:rPr>
      </w:pPr>
      <w:hyperlink r:id="rId29" w:anchor="QB80" w:history="1">
        <w:r w:rsidRPr="00443D82">
          <w:rPr>
            <w:color w:val="0000FF"/>
            <w:u w:val="single"/>
            <w:lang w:val="de-DE"/>
          </w:rPr>
          <w:t>https://www.upov.int/about/de/faq.html - QB80</w:t>
        </w:r>
      </w:hyperlink>
    </w:p>
    <w:p w14:paraId="7B9B91D4" w14:textId="77777777" w:rsidR="00443D82" w:rsidRPr="00443D82" w:rsidRDefault="00443D82" w:rsidP="00443D82">
      <w:pPr>
        <w:rPr>
          <w:lang w:val="de-DE"/>
        </w:rPr>
      </w:pPr>
    </w:p>
    <w:p w14:paraId="1A365D9E" w14:textId="77777777" w:rsidR="00443D82" w:rsidRPr="00443D82" w:rsidRDefault="00443D82" w:rsidP="00443D82">
      <w:pPr>
        <w:rPr>
          <w:lang w:val="de-DE"/>
        </w:rPr>
      </w:pPr>
    </w:p>
    <w:p w14:paraId="32B22395" w14:textId="77777777" w:rsidR="00443D82" w:rsidRPr="00443D82" w:rsidRDefault="00443D82" w:rsidP="00443D82">
      <w:pPr>
        <w:rPr>
          <w:bCs/>
          <w:u w:val="single"/>
          <w:lang w:val="de-DE"/>
        </w:rPr>
      </w:pPr>
      <w:r w:rsidRPr="00443D82">
        <w:rPr>
          <w:bCs/>
          <w:u w:val="single"/>
          <w:lang w:val="de-DE"/>
        </w:rPr>
        <w:t>Internationale Vereinigung für Saatgutprüfung (ISTA)</w:t>
      </w:r>
    </w:p>
    <w:p w14:paraId="770BD2E8" w14:textId="77777777" w:rsidR="00443D82" w:rsidRPr="00443D82" w:rsidRDefault="00443D82" w:rsidP="00443D82">
      <w:pPr>
        <w:rPr>
          <w:lang w:val="de-DE"/>
        </w:rPr>
      </w:pPr>
    </w:p>
    <w:p w14:paraId="1BA70EF0" w14:textId="77777777" w:rsidR="00443D82" w:rsidRPr="00443D82" w:rsidRDefault="00443D82" w:rsidP="00443D82">
      <w:pPr>
        <w:rPr>
          <w:rFonts w:eastAsia="Calibri"/>
          <w:lang w:val="de-DE"/>
        </w:rPr>
      </w:pPr>
      <w:r w:rsidRPr="00443D82">
        <w:rPr>
          <w:rFonts w:eastAsia="Calibri"/>
          <w:lang w:val="de-DE"/>
        </w:rPr>
        <w:t>DIE VISION DER ISTA: EINHEITLICHKEIT BEI DER SAATGUTPRÜFUNG</w:t>
      </w:r>
    </w:p>
    <w:p w14:paraId="72F4BC04" w14:textId="77777777" w:rsidR="00443D82" w:rsidRPr="00443D82" w:rsidRDefault="00443D82" w:rsidP="00443D82">
      <w:pPr>
        <w:rPr>
          <w:rFonts w:eastAsia="Calibri"/>
          <w:lang w:val="de-DE"/>
        </w:rPr>
      </w:pPr>
    </w:p>
    <w:p w14:paraId="31DDD373" w14:textId="77777777" w:rsidR="00443D82" w:rsidRPr="00443D82" w:rsidRDefault="00443D82" w:rsidP="00443D82">
      <w:pPr>
        <w:spacing w:after="160" w:line="259" w:lineRule="auto"/>
        <w:rPr>
          <w:rFonts w:eastAsia="Calibri" w:cs="Arial"/>
          <w:color w:val="000000"/>
          <w:shd w:val="clear" w:color="auto" w:fill="FFFFFF"/>
          <w:lang w:val="de-DE"/>
        </w:rPr>
      </w:pPr>
      <w:r w:rsidRPr="00443D82">
        <w:rPr>
          <w:rFonts w:eastAsia="Calibri" w:cs="Arial"/>
          <w:color w:val="000000"/>
          <w:shd w:val="clear" w:color="auto" w:fill="FFFFFF"/>
          <w:lang w:val="de-DE"/>
        </w:rPr>
        <w:t>Gegründet 1924 mit dem Ziel, standardisierte Verfahren auf dem Gebiet der Saatgutprüfung zu entwickeln und in Umlauf zu bringen, ist die ISTA untrennbar mit der Geschichte der Saatgutprüfung verbunden. Mit Mitgliedslaboren in über 80 Ländern/unterschiedlichen Volkswirtschaften weltweit ist die ISTA wirklich ein globales Netzwerk.</w:t>
      </w:r>
    </w:p>
    <w:p w14:paraId="2605AF22" w14:textId="77777777" w:rsidR="00443D82" w:rsidRPr="00443D82" w:rsidRDefault="00443D82" w:rsidP="00443D82">
      <w:pPr>
        <w:spacing w:after="160" w:line="259" w:lineRule="auto"/>
        <w:rPr>
          <w:rFonts w:eastAsia="Calibri" w:cs="Arial"/>
          <w:color w:val="000000"/>
          <w:shd w:val="clear" w:color="auto" w:fill="FFFFFF"/>
          <w:lang w:val="de-DE"/>
        </w:rPr>
      </w:pPr>
      <w:r w:rsidRPr="00443D82">
        <w:rPr>
          <w:rFonts w:eastAsia="Calibri" w:cs="Arial"/>
          <w:color w:val="000000"/>
          <w:shd w:val="clear" w:color="auto" w:fill="FFFFFF"/>
          <w:lang w:val="de-DE"/>
        </w:rPr>
        <w:t>Unsere Vereinigung erstellt international vereinbarte Vorschriften für die Beprobung und Prüfung von Saatgut, akkreditiert Labore, fördert die Forschung, stellt internationale Zertifikate für Saatgutanalyse und Schulungen bereit und verbreitet im Namen ihrer Mitglieder und unter der Leitung ihrer Mitgliedsländer/unterschiedlichen Volkswirtschaften Wissen betreffend Saatgutwissenschaft und -technologie. Dies erleichtert den Saatguthandel auf nationaler und internationaler Ebene und trägt somit zur Ernährungssicherheit bei.</w:t>
      </w:r>
    </w:p>
    <w:p w14:paraId="431C6259" w14:textId="77777777" w:rsidR="00443D82" w:rsidRPr="00443D82" w:rsidRDefault="00443D82" w:rsidP="00443D82">
      <w:pPr>
        <w:spacing w:after="160" w:line="259" w:lineRule="auto"/>
        <w:jc w:val="left"/>
        <w:rPr>
          <w:rFonts w:eastAsia="Calibri" w:cs="Arial"/>
          <w:bCs/>
          <w:lang w:val="de-DE"/>
        </w:rPr>
      </w:pPr>
      <w:r w:rsidRPr="00443D82">
        <w:rPr>
          <w:rFonts w:eastAsia="Calibri" w:cs="Arial"/>
          <w:bCs/>
          <w:lang w:val="de-DE"/>
        </w:rPr>
        <w:t>ISTA-MITGLIEDER IM JAHR 2019</w:t>
      </w:r>
    </w:p>
    <w:p w14:paraId="32F5D69C" w14:textId="77777777" w:rsidR="00443D82" w:rsidRPr="00160FAB" w:rsidRDefault="00443D82" w:rsidP="00443D82">
      <w:pPr>
        <w:spacing w:after="160" w:line="259" w:lineRule="auto"/>
        <w:rPr>
          <w:rFonts w:eastAsia="Calibri" w:cs="Arial"/>
        </w:rPr>
      </w:pPr>
      <w:r w:rsidRPr="00443D82">
        <w:rPr>
          <w:rFonts w:eastAsia="Calibri" w:cs="Arial"/>
          <w:lang w:val="de-DE"/>
        </w:rPr>
        <w:t xml:space="preserve">Mit Mitgliedslaboren in 82 Ländern/unterschiedlichen Volkswirtschaften weltweit ist die ISTA mit ihren Mitgliedern ein wirklich globales Netzwerk. </w:t>
      </w:r>
      <w:proofErr w:type="spellStart"/>
      <w:r w:rsidRPr="0069314F">
        <w:rPr>
          <w:rFonts w:eastAsia="Calibri" w:cs="Arial"/>
        </w:rPr>
        <w:t>Derzeit</w:t>
      </w:r>
      <w:proofErr w:type="spellEnd"/>
      <w:r w:rsidRPr="0069314F">
        <w:rPr>
          <w:rFonts w:eastAsia="Calibri" w:cs="Arial"/>
        </w:rPr>
        <w:t xml:space="preserve"> </w:t>
      </w:r>
      <w:proofErr w:type="spellStart"/>
      <w:r w:rsidRPr="0069314F">
        <w:rPr>
          <w:rFonts w:eastAsia="Calibri" w:cs="Arial"/>
        </w:rPr>
        <w:t>besteht</w:t>
      </w:r>
      <w:proofErr w:type="spellEnd"/>
      <w:r w:rsidRPr="0069314F">
        <w:rPr>
          <w:rFonts w:eastAsia="Calibri" w:cs="Arial"/>
        </w:rPr>
        <w:t xml:space="preserve"> die ISTA </w:t>
      </w:r>
      <w:proofErr w:type="spellStart"/>
      <w:r w:rsidRPr="0069314F">
        <w:rPr>
          <w:rFonts w:eastAsia="Calibri" w:cs="Arial"/>
        </w:rPr>
        <w:t>aus</w:t>
      </w:r>
      <w:proofErr w:type="spellEnd"/>
      <w:r w:rsidRPr="00160FAB">
        <w:rPr>
          <w:rFonts w:eastAsia="Calibri" w:cs="Arial"/>
        </w:rPr>
        <w:t>:</w:t>
      </w:r>
    </w:p>
    <w:p w14:paraId="1C36F631" w14:textId="77777777" w:rsidR="00443D82" w:rsidRPr="00443D82" w:rsidRDefault="00443D82" w:rsidP="00443D82">
      <w:pPr>
        <w:numPr>
          <w:ilvl w:val="0"/>
          <w:numId w:val="5"/>
        </w:numPr>
        <w:autoSpaceDE w:val="0"/>
        <w:autoSpaceDN w:val="0"/>
        <w:adjustRightInd w:val="0"/>
        <w:spacing w:after="278" w:line="259" w:lineRule="auto"/>
        <w:jc w:val="left"/>
        <w:rPr>
          <w:rFonts w:eastAsia="Calibri" w:cs="Arial"/>
          <w:color w:val="000000"/>
          <w:lang w:val="de-DE"/>
        </w:rPr>
      </w:pPr>
      <w:r w:rsidRPr="00443D82">
        <w:rPr>
          <w:rFonts w:eastAsia="Calibri" w:cs="Arial"/>
          <w:color w:val="000000"/>
          <w:lang w:val="de-DE"/>
        </w:rPr>
        <w:t xml:space="preserve">235 Mitgliedslaboren, von denen 136 ISTA-akkreditiert sind </w:t>
      </w:r>
    </w:p>
    <w:p w14:paraId="038F6F46" w14:textId="77777777" w:rsidR="00443D82" w:rsidRPr="00EF2A34" w:rsidRDefault="00443D82" w:rsidP="00443D82">
      <w:pPr>
        <w:numPr>
          <w:ilvl w:val="0"/>
          <w:numId w:val="5"/>
        </w:numPr>
        <w:autoSpaceDE w:val="0"/>
        <w:autoSpaceDN w:val="0"/>
        <w:adjustRightInd w:val="0"/>
        <w:spacing w:after="278" w:line="259" w:lineRule="auto"/>
        <w:jc w:val="left"/>
        <w:rPr>
          <w:rFonts w:eastAsia="Calibri" w:cs="Arial"/>
          <w:color w:val="000000"/>
        </w:rPr>
      </w:pPr>
      <w:r w:rsidRPr="00EF2A34">
        <w:rPr>
          <w:rFonts w:eastAsia="Calibri" w:cs="Arial"/>
          <w:color w:val="000000"/>
        </w:rPr>
        <w:t>63</w:t>
      </w:r>
      <w:r>
        <w:rPr>
          <w:rFonts w:eastAsia="Calibri" w:cs="Arial"/>
          <w:color w:val="000000"/>
        </w:rPr>
        <w:t xml:space="preserve"> </w:t>
      </w:r>
      <w:proofErr w:type="spellStart"/>
      <w:r w:rsidRPr="00EF2A34">
        <w:rPr>
          <w:rFonts w:eastAsia="Calibri" w:cs="Arial"/>
          <w:color w:val="000000"/>
        </w:rPr>
        <w:t>Assoziierten</w:t>
      </w:r>
      <w:proofErr w:type="spellEnd"/>
      <w:r w:rsidRPr="00EF2A34">
        <w:rPr>
          <w:rFonts w:eastAsia="Calibri" w:cs="Arial"/>
          <w:color w:val="000000"/>
        </w:rPr>
        <w:t xml:space="preserve"> </w:t>
      </w:r>
      <w:proofErr w:type="spellStart"/>
      <w:r w:rsidRPr="00EF2A34">
        <w:rPr>
          <w:rFonts w:eastAsia="Calibri" w:cs="Arial"/>
          <w:color w:val="000000"/>
        </w:rPr>
        <w:t>Mitgliedern</w:t>
      </w:r>
      <w:proofErr w:type="spellEnd"/>
    </w:p>
    <w:p w14:paraId="30AC901F" w14:textId="77777777" w:rsidR="00443D82" w:rsidRPr="00160FAB" w:rsidRDefault="00443D82" w:rsidP="00443D82">
      <w:pPr>
        <w:numPr>
          <w:ilvl w:val="0"/>
          <w:numId w:val="5"/>
        </w:numPr>
        <w:autoSpaceDE w:val="0"/>
        <w:autoSpaceDN w:val="0"/>
        <w:adjustRightInd w:val="0"/>
        <w:spacing w:after="278" w:line="259" w:lineRule="auto"/>
        <w:jc w:val="left"/>
        <w:rPr>
          <w:rFonts w:eastAsia="Calibri" w:cs="Arial"/>
          <w:color w:val="000000"/>
        </w:rPr>
      </w:pPr>
      <w:r w:rsidRPr="00EF2A34">
        <w:rPr>
          <w:rFonts w:eastAsia="Calibri" w:cs="Arial"/>
          <w:color w:val="000000"/>
        </w:rPr>
        <w:t>39</w:t>
      </w:r>
      <w:r>
        <w:rPr>
          <w:rFonts w:eastAsia="Calibri" w:cs="Arial"/>
          <w:color w:val="000000"/>
        </w:rPr>
        <w:t xml:space="preserve"> </w:t>
      </w:r>
      <w:proofErr w:type="spellStart"/>
      <w:r w:rsidRPr="00EF2A34">
        <w:rPr>
          <w:rFonts w:eastAsia="Calibri" w:cs="Arial"/>
          <w:color w:val="000000"/>
        </w:rPr>
        <w:t>Persönlichen</w:t>
      </w:r>
      <w:proofErr w:type="spellEnd"/>
      <w:r w:rsidRPr="00EF2A34">
        <w:rPr>
          <w:rFonts w:eastAsia="Calibri" w:cs="Arial"/>
          <w:color w:val="000000"/>
        </w:rPr>
        <w:t xml:space="preserve"> </w:t>
      </w:r>
      <w:proofErr w:type="spellStart"/>
      <w:r w:rsidRPr="00EF2A34">
        <w:rPr>
          <w:rFonts w:eastAsia="Calibri" w:cs="Arial"/>
          <w:color w:val="000000"/>
        </w:rPr>
        <w:t>Mitgliedern</w:t>
      </w:r>
      <w:proofErr w:type="spellEnd"/>
    </w:p>
    <w:p w14:paraId="6721B7DF" w14:textId="77777777" w:rsidR="00443D82" w:rsidRPr="00160FAB" w:rsidRDefault="00443D82" w:rsidP="00443D82">
      <w:pPr>
        <w:autoSpaceDE w:val="0"/>
        <w:autoSpaceDN w:val="0"/>
        <w:adjustRightInd w:val="0"/>
        <w:jc w:val="left"/>
        <w:rPr>
          <w:rFonts w:eastAsia="Calibri" w:cs="Arial"/>
          <w:bCs/>
        </w:rPr>
      </w:pPr>
      <w:r w:rsidRPr="00164671">
        <w:rPr>
          <w:rFonts w:eastAsia="Calibri" w:cs="Arial"/>
          <w:bCs/>
        </w:rPr>
        <w:t>DIE TECHNISCHE ARBEIT DER ISTA</w:t>
      </w:r>
    </w:p>
    <w:p w14:paraId="1397D236" w14:textId="77777777" w:rsidR="00443D82" w:rsidRPr="00160FAB" w:rsidRDefault="00443D82" w:rsidP="00443D82">
      <w:pPr>
        <w:autoSpaceDE w:val="0"/>
        <w:autoSpaceDN w:val="0"/>
        <w:adjustRightInd w:val="0"/>
        <w:jc w:val="left"/>
        <w:rPr>
          <w:rFonts w:eastAsia="Calibri" w:cs="Arial"/>
          <w:b/>
          <w:bCs/>
        </w:rPr>
      </w:pPr>
    </w:p>
    <w:p w14:paraId="4268202F" w14:textId="77777777" w:rsidR="00443D82" w:rsidRPr="00443D82" w:rsidRDefault="00443D82" w:rsidP="00443D82">
      <w:pPr>
        <w:autoSpaceDE w:val="0"/>
        <w:autoSpaceDN w:val="0"/>
        <w:adjustRightInd w:val="0"/>
        <w:rPr>
          <w:rFonts w:eastAsia="Calibri" w:cs="Arial"/>
          <w:color w:val="000000"/>
          <w:lang w:val="de-DE"/>
        </w:rPr>
      </w:pPr>
      <w:r w:rsidRPr="00443D82">
        <w:rPr>
          <w:rFonts w:eastAsia="Calibri" w:cs="Arial"/>
          <w:color w:val="000000"/>
          <w:lang w:val="de-DE"/>
        </w:rPr>
        <w:t>Das wesentliche Ziel der technischen Ausschüsse der ISTA ist die Entwicklung, Standardisierung und Validierung von Verfahren für die Beprobung und Prüfung der Saatgutqualität unter Verwendung der besten verfügbaren wissenschaftlichen Erkenntnisse. Sie verbessern die ‚Internationalen Vorschriften für die Prüfung von Saatgut‘ der ISTA und entwickeln ISTA-Handbücher zu Saatgutverfahren einschließlich Beprobung und Prüfung. Außerdem sind sie für die Organisation von Symposien, Seminaren und Arbeitstagungen verantwortlich. Die technischen Ausschüsse der ISTA veranstalten regelmäßig Arbeitstagungen, die eine Plattform für Schulungen sowie für den Austausch von Informationen, Erfahrungen und Ideen bereitstellen.</w:t>
      </w:r>
    </w:p>
    <w:p w14:paraId="2FA77840" w14:textId="77777777" w:rsidR="00443D82" w:rsidRPr="00443D82" w:rsidRDefault="00443D82" w:rsidP="00443D82">
      <w:pPr>
        <w:autoSpaceDE w:val="0"/>
        <w:autoSpaceDN w:val="0"/>
        <w:adjustRightInd w:val="0"/>
        <w:jc w:val="left"/>
        <w:rPr>
          <w:rFonts w:eastAsia="Calibri" w:cs="Arial"/>
          <w:color w:val="000000"/>
          <w:lang w:val="de-DE"/>
        </w:rPr>
      </w:pPr>
    </w:p>
    <w:p w14:paraId="46BD0C89" w14:textId="77777777" w:rsidR="00443D82" w:rsidRPr="00443D82" w:rsidRDefault="00443D82" w:rsidP="00443D82">
      <w:pPr>
        <w:jc w:val="left"/>
        <w:rPr>
          <w:rFonts w:eastAsia="Calibri" w:cs="Arial"/>
          <w:color w:val="000000"/>
          <w:lang w:val="de-DE"/>
        </w:rPr>
      </w:pPr>
      <w:r w:rsidRPr="00443D82">
        <w:rPr>
          <w:rFonts w:eastAsia="Calibri" w:cs="Arial"/>
          <w:color w:val="000000"/>
          <w:lang w:val="de-DE"/>
        </w:rPr>
        <w:br w:type="page"/>
      </w:r>
    </w:p>
    <w:p w14:paraId="5D96C314" w14:textId="77777777" w:rsidR="00443D82" w:rsidRPr="00443D82" w:rsidRDefault="00443D82" w:rsidP="00443D82">
      <w:pPr>
        <w:autoSpaceDE w:val="0"/>
        <w:autoSpaceDN w:val="0"/>
        <w:adjustRightInd w:val="0"/>
        <w:jc w:val="left"/>
        <w:rPr>
          <w:rFonts w:eastAsia="Calibri" w:cs="Arial"/>
          <w:color w:val="000000"/>
          <w:lang w:val="de-DE"/>
        </w:rPr>
      </w:pPr>
      <w:r w:rsidRPr="00443D82">
        <w:rPr>
          <w:rFonts w:eastAsia="Calibri" w:cs="Arial"/>
          <w:color w:val="000000"/>
          <w:lang w:val="de-DE"/>
        </w:rPr>
        <w:t>Es gibt 20 technische Ausschüsse in der ISTA:</w:t>
      </w:r>
    </w:p>
    <w:p w14:paraId="7BC6B1E6" w14:textId="77777777" w:rsidR="00443D82" w:rsidRPr="00443D82" w:rsidRDefault="00443D82" w:rsidP="00443D82">
      <w:pPr>
        <w:autoSpaceDE w:val="0"/>
        <w:autoSpaceDN w:val="0"/>
        <w:adjustRightInd w:val="0"/>
        <w:jc w:val="left"/>
        <w:rPr>
          <w:rFonts w:eastAsia="Calibri" w:cs="Arial"/>
          <w:color w:val="000000"/>
          <w:lang w:val="de-DE"/>
        </w:rPr>
      </w:pPr>
    </w:p>
    <w:tbl>
      <w:tblPr>
        <w:tblStyle w:val="TableGrid1"/>
        <w:tblW w:w="0" w:type="auto"/>
        <w:tblLook w:val="04A0" w:firstRow="1" w:lastRow="0" w:firstColumn="1" w:lastColumn="0" w:noHBand="0" w:noVBand="1"/>
      </w:tblPr>
      <w:tblGrid>
        <w:gridCol w:w="495"/>
        <w:gridCol w:w="5312"/>
      </w:tblGrid>
      <w:tr w:rsidR="00443D82" w:rsidRPr="00160FAB" w14:paraId="341208BC" w14:textId="77777777" w:rsidTr="00A947B1">
        <w:trPr>
          <w:trHeight w:val="474"/>
        </w:trPr>
        <w:tc>
          <w:tcPr>
            <w:tcW w:w="495" w:type="dxa"/>
          </w:tcPr>
          <w:p w14:paraId="10A3CA61" w14:textId="77777777" w:rsidR="00443D82" w:rsidRPr="00160FAB" w:rsidRDefault="00443D82" w:rsidP="00A947B1">
            <w:pPr>
              <w:autoSpaceDE w:val="0"/>
              <w:autoSpaceDN w:val="0"/>
              <w:adjustRightInd w:val="0"/>
              <w:jc w:val="left"/>
              <w:rPr>
                <w:rFonts w:ascii="Calibri" w:hAnsi="Calibri" w:cs="Arial"/>
              </w:rPr>
            </w:pPr>
          </w:p>
        </w:tc>
        <w:tc>
          <w:tcPr>
            <w:tcW w:w="5312" w:type="dxa"/>
            <w:vAlign w:val="center"/>
          </w:tcPr>
          <w:p w14:paraId="7697AE99"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color w:val="000000"/>
              </w:rPr>
              <w:t>Technische Ausschüsse</w:t>
            </w:r>
          </w:p>
        </w:tc>
      </w:tr>
      <w:tr w:rsidR="00443D82" w:rsidRPr="00160FAB" w14:paraId="2717B11C" w14:textId="77777777" w:rsidTr="00A947B1">
        <w:tc>
          <w:tcPr>
            <w:tcW w:w="495" w:type="dxa"/>
          </w:tcPr>
          <w:p w14:paraId="32E5F687"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w:t>
            </w:r>
          </w:p>
        </w:tc>
        <w:tc>
          <w:tcPr>
            <w:tcW w:w="5312" w:type="dxa"/>
          </w:tcPr>
          <w:p w14:paraId="3B2F77E7"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fortschrittliche Technologien</w:t>
            </w:r>
          </w:p>
        </w:tc>
      </w:tr>
      <w:tr w:rsidR="00443D82" w:rsidRPr="00443D82" w14:paraId="42A264EE" w14:textId="77777777" w:rsidTr="00A947B1">
        <w:tc>
          <w:tcPr>
            <w:tcW w:w="495" w:type="dxa"/>
          </w:tcPr>
          <w:p w14:paraId="52F250FE"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2.</w:t>
            </w:r>
          </w:p>
        </w:tc>
        <w:tc>
          <w:tcPr>
            <w:tcW w:w="5312" w:type="dxa"/>
          </w:tcPr>
          <w:p w14:paraId="351A079A"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Mischprobenahme und Beprobung</w:t>
            </w:r>
          </w:p>
        </w:tc>
      </w:tr>
      <w:tr w:rsidR="00443D82" w:rsidRPr="00443D82" w14:paraId="216299CC" w14:textId="77777777" w:rsidTr="00A947B1">
        <w:tc>
          <w:tcPr>
            <w:tcW w:w="495" w:type="dxa"/>
          </w:tcPr>
          <w:p w14:paraId="6B06CAF6"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3.</w:t>
            </w:r>
          </w:p>
        </w:tc>
        <w:tc>
          <w:tcPr>
            <w:tcW w:w="5312" w:type="dxa"/>
          </w:tcPr>
          <w:p w14:paraId="7EA52AA9"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Redaktionsleitung für Saatgutwissenschaft und -technologie</w:t>
            </w:r>
          </w:p>
        </w:tc>
      </w:tr>
      <w:tr w:rsidR="00443D82" w:rsidRPr="00443D82" w14:paraId="220CA4D6" w14:textId="77777777" w:rsidTr="00A947B1">
        <w:tc>
          <w:tcPr>
            <w:tcW w:w="495" w:type="dxa"/>
          </w:tcPr>
          <w:p w14:paraId="5EB2D916"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4.</w:t>
            </w:r>
          </w:p>
        </w:tc>
        <w:tc>
          <w:tcPr>
            <w:tcW w:w="5312" w:type="dxa"/>
          </w:tcPr>
          <w:p w14:paraId="0E3F00C1"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Prüfung von Blumensaatgut</w:t>
            </w:r>
          </w:p>
        </w:tc>
      </w:tr>
      <w:tr w:rsidR="00443D82" w:rsidRPr="00443D82" w14:paraId="616D3FBE" w14:textId="77777777" w:rsidTr="00A947B1">
        <w:tc>
          <w:tcPr>
            <w:tcW w:w="495" w:type="dxa"/>
          </w:tcPr>
          <w:p w14:paraId="5A1C6C79"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 xml:space="preserve">5. </w:t>
            </w:r>
          </w:p>
        </w:tc>
        <w:tc>
          <w:tcPr>
            <w:tcW w:w="5312" w:type="dxa"/>
          </w:tcPr>
          <w:p w14:paraId="0F7A49C8"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Saatgut von Waldbäumen und Sträuchern</w:t>
            </w:r>
          </w:p>
        </w:tc>
      </w:tr>
      <w:tr w:rsidR="00443D82" w:rsidRPr="00160FAB" w14:paraId="25D8D8CE" w14:textId="77777777" w:rsidTr="00A947B1">
        <w:tc>
          <w:tcPr>
            <w:tcW w:w="495" w:type="dxa"/>
          </w:tcPr>
          <w:p w14:paraId="37333DCE"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6.</w:t>
            </w:r>
          </w:p>
        </w:tc>
        <w:tc>
          <w:tcPr>
            <w:tcW w:w="5312" w:type="dxa"/>
          </w:tcPr>
          <w:p w14:paraId="43D6E340"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Keimung</w:t>
            </w:r>
          </w:p>
        </w:tc>
      </w:tr>
      <w:tr w:rsidR="00443D82" w:rsidRPr="00160FAB" w14:paraId="46E0D2AF" w14:textId="77777777" w:rsidTr="00A947B1">
        <w:tc>
          <w:tcPr>
            <w:tcW w:w="495" w:type="dxa"/>
          </w:tcPr>
          <w:p w14:paraId="0B02266A"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7.</w:t>
            </w:r>
          </w:p>
        </w:tc>
        <w:tc>
          <w:tcPr>
            <w:tcW w:w="5312" w:type="dxa"/>
          </w:tcPr>
          <w:p w14:paraId="6C88603C"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GVO</w:t>
            </w:r>
          </w:p>
        </w:tc>
      </w:tr>
      <w:tr w:rsidR="00443D82" w:rsidRPr="00160FAB" w14:paraId="6DFE42FB" w14:textId="77777777" w:rsidTr="00A947B1">
        <w:tc>
          <w:tcPr>
            <w:tcW w:w="495" w:type="dxa"/>
          </w:tcPr>
          <w:p w14:paraId="39FF6B33"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8.</w:t>
            </w:r>
          </w:p>
        </w:tc>
        <w:tc>
          <w:tcPr>
            <w:tcW w:w="5312" w:type="dxa"/>
          </w:tcPr>
          <w:p w14:paraId="16C06563"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Feuchtigkeit</w:t>
            </w:r>
          </w:p>
        </w:tc>
      </w:tr>
      <w:tr w:rsidR="00443D82" w:rsidRPr="00160FAB" w14:paraId="08EB5EED" w14:textId="77777777" w:rsidTr="00A947B1">
        <w:tc>
          <w:tcPr>
            <w:tcW w:w="495" w:type="dxa"/>
          </w:tcPr>
          <w:p w14:paraId="4E5C83FB"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9.</w:t>
            </w:r>
          </w:p>
        </w:tc>
        <w:tc>
          <w:tcPr>
            <w:tcW w:w="5312" w:type="dxa"/>
          </w:tcPr>
          <w:p w14:paraId="4E400422"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Nomenklatur</w:t>
            </w:r>
          </w:p>
        </w:tc>
      </w:tr>
      <w:tr w:rsidR="00443D82" w:rsidRPr="00160FAB" w14:paraId="31151EE4" w14:textId="77777777" w:rsidTr="00A947B1">
        <w:tc>
          <w:tcPr>
            <w:tcW w:w="495" w:type="dxa"/>
          </w:tcPr>
          <w:p w14:paraId="48A56404"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10.</w:t>
            </w:r>
          </w:p>
        </w:tc>
        <w:tc>
          <w:tcPr>
            <w:tcW w:w="5312" w:type="dxa"/>
          </w:tcPr>
          <w:p w14:paraId="0BFAD6F5"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Leistungstests</w:t>
            </w:r>
          </w:p>
        </w:tc>
      </w:tr>
      <w:tr w:rsidR="00443D82" w:rsidRPr="00160FAB" w14:paraId="4E70040C" w14:textId="77777777" w:rsidTr="00A947B1">
        <w:tc>
          <w:tcPr>
            <w:tcW w:w="495" w:type="dxa"/>
          </w:tcPr>
          <w:p w14:paraId="124ED8EA"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11.</w:t>
            </w:r>
          </w:p>
        </w:tc>
        <w:tc>
          <w:tcPr>
            <w:tcW w:w="5312" w:type="dxa"/>
          </w:tcPr>
          <w:p w14:paraId="75E43271"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Reinheit</w:t>
            </w:r>
          </w:p>
        </w:tc>
      </w:tr>
      <w:tr w:rsidR="00443D82" w:rsidRPr="00160FAB" w14:paraId="294ED87D" w14:textId="77777777" w:rsidTr="00A947B1">
        <w:tc>
          <w:tcPr>
            <w:tcW w:w="495" w:type="dxa"/>
          </w:tcPr>
          <w:p w14:paraId="3A5828E3"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12.</w:t>
            </w:r>
          </w:p>
        </w:tc>
        <w:tc>
          <w:tcPr>
            <w:tcW w:w="5312" w:type="dxa"/>
          </w:tcPr>
          <w:p w14:paraId="63254ED9"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Vorschriften</w:t>
            </w:r>
          </w:p>
        </w:tc>
      </w:tr>
      <w:tr w:rsidR="00443D82" w:rsidRPr="00160FAB" w14:paraId="441EE3E2" w14:textId="77777777" w:rsidTr="00A947B1">
        <w:tc>
          <w:tcPr>
            <w:tcW w:w="495" w:type="dxa"/>
          </w:tcPr>
          <w:p w14:paraId="50D3FE56"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13.</w:t>
            </w:r>
          </w:p>
        </w:tc>
        <w:tc>
          <w:tcPr>
            <w:tcW w:w="5312" w:type="dxa"/>
          </w:tcPr>
          <w:p w14:paraId="6FD11BA8"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Saatgutgesundheit</w:t>
            </w:r>
          </w:p>
        </w:tc>
      </w:tr>
      <w:tr w:rsidR="00443D82" w:rsidRPr="00160FAB" w14:paraId="41F60ACE" w14:textId="77777777" w:rsidTr="00A947B1">
        <w:tc>
          <w:tcPr>
            <w:tcW w:w="495" w:type="dxa"/>
          </w:tcPr>
          <w:p w14:paraId="701925A6"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14.</w:t>
            </w:r>
          </w:p>
        </w:tc>
        <w:tc>
          <w:tcPr>
            <w:tcW w:w="5312" w:type="dxa"/>
          </w:tcPr>
          <w:p w14:paraId="0FC63543"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Beratende Gruppe für Saatgutwissenschaft</w:t>
            </w:r>
          </w:p>
        </w:tc>
      </w:tr>
      <w:tr w:rsidR="00443D82" w:rsidRPr="00160FAB" w14:paraId="31039E20" w14:textId="77777777" w:rsidTr="00A947B1">
        <w:tc>
          <w:tcPr>
            <w:tcW w:w="495" w:type="dxa"/>
          </w:tcPr>
          <w:p w14:paraId="170954E9"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15.</w:t>
            </w:r>
          </w:p>
        </w:tc>
        <w:tc>
          <w:tcPr>
            <w:tcW w:w="5312" w:type="dxa"/>
          </w:tcPr>
          <w:p w14:paraId="5C0B1A7A"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Statistik</w:t>
            </w:r>
          </w:p>
        </w:tc>
      </w:tr>
      <w:tr w:rsidR="00443D82" w:rsidRPr="00160FAB" w14:paraId="576FD385" w14:textId="77777777" w:rsidTr="00A947B1">
        <w:tc>
          <w:tcPr>
            <w:tcW w:w="495" w:type="dxa"/>
          </w:tcPr>
          <w:p w14:paraId="72D6095D"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16.</w:t>
            </w:r>
          </w:p>
        </w:tc>
        <w:tc>
          <w:tcPr>
            <w:tcW w:w="5312" w:type="dxa"/>
          </w:tcPr>
          <w:p w14:paraId="18322987"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Saatgutlagerung</w:t>
            </w:r>
          </w:p>
        </w:tc>
      </w:tr>
      <w:tr w:rsidR="00443D82" w:rsidRPr="00160FAB" w14:paraId="7B3B4545" w14:textId="77777777" w:rsidTr="00A947B1">
        <w:tc>
          <w:tcPr>
            <w:tcW w:w="495" w:type="dxa"/>
          </w:tcPr>
          <w:p w14:paraId="781266FC"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17.</w:t>
            </w:r>
          </w:p>
        </w:tc>
        <w:tc>
          <w:tcPr>
            <w:tcW w:w="5312" w:type="dxa"/>
          </w:tcPr>
          <w:p w14:paraId="7505D14C"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Tetrazolium</w:t>
            </w:r>
          </w:p>
        </w:tc>
      </w:tr>
      <w:tr w:rsidR="00443D82" w:rsidRPr="00160FAB" w14:paraId="63495A32" w14:textId="77777777" w:rsidTr="00A947B1">
        <w:tc>
          <w:tcPr>
            <w:tcW w:w="495" w:type="dxa"/>
          </w:tcPr>
          <w:p w14:paraId="2BDD613A"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18.</w:t>
            </w:r>
          </w:p>
        </w:tc>
        <w:tc>
          <w:tcPr>
            <w:tcW w:w="5312" w:type="dxa"/>
          </w:tcPr>
          <w:p w14:paraId="66E7BCF8"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Sorten</w:t>
            </w:r>
          </w:p>
        </w:tc>
      </w:tr>
      <w:tr w:rsidR="00443D82" w:rsidRPr="00160FAB" w14:paraId="66E26F0C" w14:textId="77777777" w:rsidTr="00A947B1">
        <w:tc>
          <w:tcPr>
            <w:tcW w:w="495" w:type="dxa"/>
          </w:tcPr>
          <w:p w14:paraId="101623C8"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19.</w:t>
            </w:r>
          </w:p>
        </w:tc>
        <w:tc>
          <w:tcPr>
            <w:tcW w:w="5312" w:type="dxa"/>
          </w:tcPr>
          <w:p w14:paraId="3C676D8C"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Ausschuss für Wüchsigkeit</w:t>
            </w:r>
          </w:p>
        </w:tc>
      </w:tr>
      <w:tr w:rsidR="00443D82" w:rsidRPr="00160FAB" w14:paraId="4833DBBF" w14:textId="77777777" w:rsidTr="00A947B1">
        <w:tc>
          <w:tcPr>
            <w:tcW w:w="495" w:type="dxa"/>
          </w:tcPr>
          <w:p w14:paraId="17CAFB60" w14:textId="77777777" w:rsidR="00443D82" w:rsidRPr="00160FAB" w:rsidRDefault="00443D82" w:rsidP="00A947B1">
            <w:pPr>
              <w:autoSpaceDE w:val="0"/>
              <w:autoSpaceDN w:val="0"/>
              <w:adjustRightInd w:val="0"/>
              <w:jc w:val="left"/>
              <w:rPr>
                <w:rFonts w:ascii="Calibri" w:hAnsi="Calibri" w:cs="Arial"/>
              </w:rPr>
            </w:pPr>
            <w:r w:rsidRPr="00BD6A76">
              <w:rPr>
                <w:rFonts w:ascii="Calibri" w:hAnsi="Calibri" w:cs="Arial"/>
              </w:rPr>
              <w:t>20.</w:t>
            </w:r>
          </w:p>
        </w:tc>
        <w:tc>
          <w:tcPr>
            <w:tcW w:w="5312" w:type="dxa"/>
          </w:tcPr>
          <w:p w14:paraId="611A4772" w14:textId="77777777" w:rsidR="00443D82" w:rsidRPr="00160FAB" w:rsidRDefault="00443D82" w:rsidP="00A947B1">
            <w:pPr>
              <w:autoSpaceDE w:val="0"/>
              <w:autoSpaceDN w:val="0"/>
              <w:adjustRightInd w:val="0"/>
              <w:jc w:val="left"/>
              <w:rPr>
                <w:rFonts w:ascii="Calibri" w:hAnsi="Calibri" w:cs="Arial"/>
              </w:rPr>
            </w:pPr>
            <w:r w:rsidRPr="00BD6A76">
              <w:rPr>
                <w:rFonts w:asciiTheme="minorHAnsi" w:hAnsiTheme="minorHAnsi" w:cstheme="minorHAnsi"/>
              </w:rPr>
              <w:t>Arbeitsgruppe für wilde Arten</w:t>
            </w:r>
          </w:p>
        </w:tc>
      </w:tr>
    </w:tbl>
    <w:p w14:paraId="0882077B" w14:textId="77777777" w:rsidR="00443D82" w:rsidRPr="00160FAB" w:rsidRDefault="00443D82" w:rsidP="00443D82">
      <w:pPr>
        <w:spacing w:after="160" w:line="259" w:lineRule="auto"/>
        <w:jc w:val="left"/>
        <w:rPr>
          <w:rFonts w:ascii="Calibri" w:eastAsia="Calibri" w:hAnsi="Calibri"/>
          <w:b/>
          <w:bCs/>
          <w:sz w:val="22"/>
          <w:szCs w:val="22"/>
        </w:rPr>
      </w:pPr>
    </w:p>
    <w:p w14:paraId="7F65AC08" w14:textId="77777777" w:rsidR="00443D82" w:rsidRPr="00160FAB" w:rsidRDefault="00443D82" w:rsidP="00443D82">
      <w:pPr>
        <w:spacing w:after="160" w:line="259" w:lineRule="auto"/>
        <w:jc w:val="left"/>
        <w:rPr>
          <w:rFonts w:ascii="Calibri" w:eastAsia="Calibri" w:hAnsi="Calibri"/>
          <w:bCs/>
          <w:sz w:val="22"/>
          <w:szCs w:val="22"/>
        </w:rPr>
      </w:pPr>
      <w:r w:rsidRPr="00CE5C1C">
        <w:rPr>
          <w:rFonts w:ascii="Calibri" w:eastAsia="Calibri" w:hAnsi="Calibri"/>
          <w:bCs/>
          <w:sz w:val="22"/>
          <w:szCs w:val="22"/>
        </w:rPr>
        <w:t>ISTA-AKKREDITIERUNGSPROGRAMM</w:t>
      </w:r>
      <w:r w:rsidRPr="00160FAB">
        <w:rPr>
          <w:rFonts w:ascii="Calibri" w:eastAsia="Calibri" w:hAnsi="Calibri"/>
          <w:bCs/>
          <w:sz w:val="22"/>
          <w:szCs w:val="22"/>
        </w:rPr>
        <w:t>:</w:t>
      </w:r>
    </w:p>
    <w:p w14:paraId="7A85B181" w14:textId="77777777" w:rsidR="00443D82" w:rsidRPr="00160FAB" w:rsidRDefault="00443D82" w:rsidP="00443D82">
      <w:pPr>
        <w:rPr>
          <w:rFonts w:eastAsia="Calibri" w:cs="Arial"/>
          <w:color w:val="000000"/>
        </w:rPr>
      </w:pPr>
      <w:r w:rsidRPr="00443D82">
        <w:rPr>
          <w:rFonts w:eastAsia="Calibri" w:cs="Arial"/>
          <w:color w:val="000000"/>
          <w:lang w:val="de-DE"/>
        </w:rPr>
        <w:t xml:space="preserve">Mit der ISTA-Akkreditierung wird überprüft, ob ein Labor technisch in der Lage ist, Saatgutbeprobungen und Prüfungsverfahren gemäß den Internationalen Vorschriften für die Prüfung von Saatgut der ISTA durchzuführen. Akkreditierte Labore müssen ein Qualitätssicherungssystem betreiben, das die Anforderungen des ISTA-Akkreditierungsstandards erfüllt. </w:t>
      </w:r>
      <w:r w:rsidRPr="008779F1">
        <w:rPr>
          <w:rFonts w:eastAsia="Calibri" w:cs="Arial"/>
          <w:color w:val="000000"/>
        </w:rPr>
        <w:t xml:space="preserve">Die </w:t>
      </w:r>
      <w:proofErr w:type="spellStart"/>
      <w:r w:rsidRPr="008779F1">
        <w:rPr>
          <w:rFonts w:eastAsia="Calibri" w:cs="Arial"/>
          <w:color w:val="000000"/>
        </w:rPr>
        <w:t>Akkreditierung</w:t>
      </w:r>
      <w:proofErr w:type="spellEnd"/>
      <w:r w:rsidRPr="008779F1">
        <w:rPr>
          <w:rFonts w:eastAsia="Calibri" w:cs="Arial"/>
          <w:color w:val="000000"/>
        </w:rPr>
        <w:t xml:space="preserve"> </w:t>
      </w:r>
      <w:proofErr w:type="spellStart"/>
      <w:r w:rsidRPr="008779F1">
        <w:rPr>
          <w:rFonts w:eastAsia="Calibri" w:cs="Arial"/>
          <w:color w:val="000000"/>
        </w:rPr>
        <w:t>kann</w:t>
      </w:r>
      <w:proofErr w:type="spellEnd"/>
      <w:r w:rsidRPr="008779F1">
        <w:rPr>
          <w:rFonts w:eastAsia="Calibri" w:cs="Arial"/>
          <w:color w:val="000000"/>
        </w:rPr>
        <w:t xml:space="preserve"> </w:t>
      </w:r>
      <w:proofErr w:type="spellStart"/>
      <w:r w:rsidRPr="008779F1">
        <w:rPr>
          <w:rFonts w:eastAsia="Calibri" w:cs="Arial"/>
          <w:color w:val="000000"/>
        </w:rPr>
        <w:t>erteilt</w:t>
      </w:r>
      <w:proofErr w:type="spellEnd"/>
      <w:r w:rsidRPr="008779F1">
        <w:rPr>
          <w:rFonts w:eastAsia="Calibri" w:cs="Arial"/>
          <w:color w:val="000000"/>
        </w:rPr>
        <w:t xml:space="preserve"> </w:t>
      </w:r>
      <w:proofErr w:type="spellStart"/>
      <w:r w:rsidRPr="008779F1">
        <w:rPr>
          <w:rFonts w:eastAsia="Calibri" w:cs="Arial"/>
          <w:color w:val="000000"/>
        </w:rPr>
        <w:t>werden</w:t>
      </w:r>
      <w:proofErr w:type="spellEnd"/>
      <w:r w:rsidRPr="008779F1">
        <w:rPr>
          <w:rFonts w:eastAsia="Calibri" w:cs="Arial"/>
          <w:color w:val="000000"/>
        </w:rPr>
        <w:t xml:space="preserve"> </w:t>
      </w:r>
      <w:proofErr w:type="spellStart"/>
      <w:r w:rsidRPr="008779F1">
        <w:rPr>
          <w:rFonts w:eastAsia="Calibri" w:cs="Arial"/>
          <w:color w:val="000000"/>
        </w:rPr>
        <w:t>für</w:t>
      </w:r>
      <w:proofErr w:type="spellEnd"/>
      <w:r w:rsidRPr="00160FAB">
        <w:rPr>
          <w:rFonts w:eastAsia="Calibri" w:cs="Arial"/>
          <w:color w:val="000000"/>
        </w:rPr>
        <w:t>:</w:t>
      </w:r>
    </w:p>
    <w:p w14:paraId="75F792C7" w14:textId="77777777" w:rsidR="00443D82" w:rsidRPr="00EF6C3B" w:rsidRDefault="00443D82" w:rsidP="00443D82">
      <w:pPr>
        <w:numPr>
          <w:ilvl w:val="0"/>
          <w:numId w:val="4"/>
        </w:numPr>
        <w:shd w:val="clear" w:color="auto" w:fill="FFFFFF"/>
        <w:spacing w:before="100" w:beforeAutospacing="1" w:after="100" w:afterAutospacing="1" w:line="259" w:lineRule="auto"/>
        <w:jc w:val="left"/>
        <w:rPr>
          <w:rFonts w:eastAsia="Calibri" w:cs="Arial"/>
          <w:color w:val="000000"/>
          <w:lang w:val="de-CH"/>
        </w:rPr>
      </w:pPr>
      <w:r>
        <w:rPr>
          <w:rFonts w:eastAsia="Calibri" w:cs="Arial"/>
          <w:color w:val="000000"/>
          <w:lang w:val="de-CH"/>
        </w:rPr>
        <w:t>Einrichtungen, die nur Beprobung durchführen</w:t>
      </w:r>
      <w:r w:rsidRPr="00EF6C3B">
        <w:rPr>
          <w:rFonts w:eastAsia="Calibri" w:cs="Arial"/>
          <w:color w:val="000000"/>
          <w:lang w:val="de-CH"/>
        </w:rPr>
        <w:br/>
      </w:r>
    </w:p>
    <w:p w14:paraId="35C6D24E" w14:textId="77777777" w:rsidR="00443D82" w:rsidRPr="00EF6C3B" w:rsidRDefault="00443D82" w:rsidP="00443D82">
      <w:pPr>
        <w:numPr>
          <w:ilvl w:val="0"/>
          <w:numId w:val="4"/>
        </w:numPr>
        <w:shd w:val="clear" w:color="auto" w:fill="FFFFFF"/>
        <w:spacing w:before="100" w:beforeAutospacing="1" w:after="100" w:afterAutospacing="1" w:line="259" w:lineRule="auto"/>
        <w:jc w:val="left"/>
        <w:rPr>
          <w:rFonts w:eastAsia="Calibri" w:cs="Arial"/>
          <w:color w:val="000000"/>
          <w:lang w:val="de-CH"/>
        </w:rPr>
      </w:pPr>
      <w:r>
        <w:rPr>
          <w:rFonts w:eastAsia="Calibri" w:cs="Arial"/>
          <w:color w:val="000000"/>
          <w:lang w:val="de-CH"/>
        </w:rPr>
        <w:t>Labore, die nur prüfungen durchführen</w:t>
      </w:r>
      <w:r w:rsidRPr="00EF6C3B">
        <w:rPr>
          <w:rFonts w:eastAsia="Calibri" w:cs="Arial"/>
          <w:color w:val="000000"/>
          <w:lang w:val="de-CH"/>
        </w:rPr>
        <w:br/>
      </w:r>
    </w:p>
    <w:p w14:paraId="277ED779" w14:textId="77777777" w:rsidR="00443D82" w:rsidRPr="00443D82" w:rsidRDefault="00443D82" w:rsidP="00443D82">
      <w:pPr>
        <w:numPr>
          <w:ilvl w:val="0"/>
          <w:numId w:val="4"/>
        </w:numPr>
        <w:shd w:val="clear" w:color="auto" w:fill="FFFFFF"/>
        <w:spacing w:before="100" w:beforeAutospacing="1" w:after="100" w:afterAutospacing="1" w:line="259" w:lineRule="auto"/>
        <w:jc w:val="left"/>
        <w:rPr>
          <w:rFonts w:eastAsia="Calibri" w:cs="Arial"/>
          <w:color w:val="000000"/>
          <w:lang w:val="de-DE"/>
        </w:rPr>
      </w:pPr>
      <w:r w:rsidRPr="00443D82">
        <w:rPr>
          <w:rFonts w:eastAsia="Calibri" w:cs="Arial"/>
          <w:color w:val="000000"/>
          <w:lang w:val="de-DE"/>
        </w:rPr>
        <w:t>Labore, die Beprobungen und Prüfungen durchführen.</w:t>
      </w:r>
    </w:p>
    <w:p w14:paraId="481D0E54" w14:textId="77777777" w:rsidR="00443D82" w:rsidRPr="00443D82" w:rsidRDefault="00443D82" w:rsidP="00443D82">
      <w:pPr>
        <w:rPr>
          <w:rFonts w:eastAsia="Calibri"/>
          <w:lang w:val="de-DE"/>
        </w:rPr>
      </w:pPr>
    </w:p>
    <w:p w14:paraId="1DBB9066" w14:textId="77777777" w:rsidR="00443D82" w:rsidRPr="00443D82" w:rsidRDefault="00443D82" w:rsidP="00443D82">
      <w:pPr>
        <w:spacing w:after="160" w:line="259" w:lineRule="auto"/>
        <w:jc w:val="left"/>
        <w:rPr>
          <w:rFonts w:ascii="Calibri" w:eastAsia="Calibri" w:hAnsi="Calibri"/>
          <w:bCs/>
          <w:sz w:val="22"/>
          <w:szCs w:val="22"/>
          <w:lang w:val="de-DE"/>
        </w:rPr>
      </w:pPr>
      <w:r w:rsidRPr="00443D82">
        <w:rPr>
          <w:rFonts w:ascii="Calibri" w:eastAsia="Calibri" w:hAnsi="Calibri"/>
          <w:bCs/>
          <w:sz w:val="22"/>
          <w:szCs w:val="22"/>
          <w:lang w:val="de-DE"/>
        </w:rPr>
        <w:t>ISTA-ZERTIFIKATE: PASS FÜR DEN INTERNATIONALEN SAATGUTHANDEL</w:t>
      </w:r>
    </w:p>
    <w:p w14:paraId="3F9F5167" w14:textId="77777777" w:rsidR="00443D82" w:rsidRPr="00443D82" w:rsidRDefault="00443D82" w:rsidP="00443D82">
      <w:pPr>
        <w:spacing w:after="160" w:line="259" w:lineRule="auto"/>
        <w:rPr>
          <w:rFonts w:eastAsia="Calibri" w:cs="Arial"/>
          <w:color w:val="000000"/>
          <w:lang w:val="de-DE"/>
        </w:rPr>
      </w:pPr>
      <w:r w:rsidRPr="00443D82">
        <w:rPr>
          <w:rFonts w:eastAsia="Calibri" w:cs="Arial"/>
          <w:color w:val="000000"/>
          <w:lang w:val="de-DE"/>
        </w:rPr>
        <w:t>Nur ISTA-akkreditierte Labore sind berechtigt, ISTA-Zertifikate für Saatgutanalysen auszustellen.</w:t>
      </w:r>
    </w:p>
    <w:p w14:paraId="5E02A6AC" w14:textId="77777777" w:rsidR="00443D82" w:rsidRPr="00443D82" w:rsidRDefault="00443D82" w:rsidP="00443D82">
      <w:pPr>
        <w:spacing w:after="160" w:line="259" w:lineRule="auto"/>
        <w:rPr>
          <w:rFonts w:eastAsia="Calibri" w:cs="Arial"/>
          <w:color w:val="000000"/>
          <w:lang w:val="de-DE"/>
        </w:rPr>
      </w:pPr>
      <w:r w:rsidRPr="00443D82">
        <w:rPr>
          <w:rFonts w:eastAsia="Calibri" w:cs="Arial"/>
          <w:color w:val="000000"/>
          <w:lang w:val="de-DE"/>
        </w:rPr>
        <w:t>Durch die Angabe von Prüfungsergebnissen von Saatgut auf ISTA-Zertifikaten versichert das ausstellende Labor, dass die Beprobung und Prüfung gemäß den ISTA-Vorschriften durchgeführt wurde. ISTA-Zertifikate werden von den meisten Behörden akzeptiert und sind in den Saatgutgesetzen mehrerer Länder erwähnt.</w:t>
      </w:r>
    </w:p>
    <w:p w14:paraId="26C0EE8D" w14:textId="77777777" w:rsidR="00443D82" w:rsidRPr="00443D82" w:rsidRDefault="00443D82" w:rsidP="00443D82">
      <w:pPr>
        <w:spacing w:after="160" w:line="259" w:lineRule="auto"/>
        <w:rPr>
          <w:rFonts w:eastAsia="Calibri" w:cs="Arial"/>
          <w:color w:val="000000"/>
          <w:lang w:val="de-DE"/>
        </w:rPr>
      </w:pPr>
      <w:r w:rsidRPr="00443D82">
        <w:rPr>
          <w:rFonts w:eastAsia="Calibri" w:cs="Arial"/>
          <w:color w:val="000000"/>
          <w:lang w:val="de-DE"/>
        </w:rPr>
        <w:t>Die ISTA-Zertifikate stellen sicher, dass die Ergebnisse reproduzierbar und wahrheitsgetreu sind und die Qualität des Saatguts repräsentieren.</w:t>
      </w:r>
    </w:p>
    <w:p w14:paraId="528C576F" w14:textId="77777777" w:rsidR="00443D82" w:rsidRPr="00443D82" w:rsidRDefault="00443D82" w:rsidP="00443D82">
      <w:pPr>
        <w:jc w:val="left"/>
        <w:rPr>
          <w:rFonts w:eastAsia="Calibri" w:cs="Arial"/>
          <w:color w:val="000000"/>
          <w:lang w:val="de-DE"/>
        </w:rPr>
      </w:pPr>
      <w:r w:rsidRPr="00443D82">
        <w:rPr>
          <w:rFonts w:eastAsia="Calibri" w:cs="Arial"/>
          <w:color w:val="000000"/>
          <w:lang w:val="de-DE"/>
        </w:rPr>
        <w:br w:type="page"/>
      </w:r>
    </w:p>
    <w:p w14:paraId="6D0330B6" w14:textId="77777777" w:rsidR="00443D82" w:rsidRPr="00443D82" w:rsidRDefault="00443D82" w:rsidP="00443D82">
      <w:pPr>
        <w:tabs>
          <w:tab w:val="left" w:pos="6104"/>
        </w:tabs>
        <w:spacing w:after="160" w:line="259" w:lineRule="auto"/>
        <w:jc w:val="left"/>
        <w:rPr>
          <w:rFonts w:ascii="Calibri" w:eastAsia="Calibri" w:hAnsi="Calibri"/>
          <w:sz w:val="22"/>
          <w:szCs w:val="22"/>
          <w:lang w:val="de-DE"/>
        </w:rPr>
      </w:pPr>
      <w:r w:rsidRPr="00160FAB">
        <w:rPr>
          <w:rFonts w:eastAsia="Calibri" w:cs="Arial"/>
          <w:color w:val="000000"/>
        </w:rPr>
        <w:drawing>
          <wp:anchor distT="0" distB="0" distL="114300" distR="114300" simplePos="0" relativeHeight="251659264" behindDoc="0" locked="0" layoutInCell="1" allowOverlap="1" wp14:anchorId="049D2736" wp14:editId="1BF5FD4A">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Pr="00443D82">
        <w:rPr>
          <w:rFonts w:ascii="Calibri" w:eastAsia="Calibri" w:hAnsi="Calibri"/>
          <w:sz w:val="22"/>
          <w:szCs w:val="22"/>
          <w:lang w:val="de-DE"/>
        </w:rPr>
        <w:tab/>
      </w:r>
    </w:p>
    <w:p w14:paraId="2E70ABD5" w14:textId="77777777" w:rsidR="00443D82" w:rsidRPr="00443D82" w:rsidRDefault="00443D82" w:rsidP="00443D82">
      <w:pPr>
        <w:tabs>
          <w:tab w:val="left" w:pos="2434"/>
          <w:tab w:val="left" w:pos="6871"/>
        </w:tabs>
        <w:spacing w:after="160" w:line="259" w:lineRule="auto"/>
        <w:jc w:val="left"/>
        <w:rPr>
          <w:rFonts w:ascii="Calibri" w:eastAsia="Calibri" w:hAnsi="Calibri"/>
          <w:sz w:val="22"/>
          <w:szCs w:val="22"/>
          <w:lang w:val="de-DE"/>
        </w:rPr>
      </w:pPr>
      <w:r w:rsidRPr="00443D82">
        <w:rPr>
          <w:rFonts w:ascii="Calibri" w:eastAsia="Calibri" w:hAnsi="Calibri"/>
          <w:sz w:val="22"/>
          <w:szCs w:val="22"/>
          <w:lang w:val="de-DE"/>
        </w:rPr>
        <w:tab/>
      </w:r>
      <w:r w:rsidRPr="00443D82">
        <w:rPr>
          <w:rFonts w:ascii="Calibri" w:eastAsia="Calibri" w:hAnsi="Calibri"/>
          <w:sz w:val="22"/>
          <w:szCs w:val="22"/>
          <w:lang w:val="de-DE"/>
        </w:rPr>
        <w:tab/>
      </w:r>
    </w:p>
    <w:p w14:paraId="337CCBA4" w14:textId="77777777" w:rsidR="00443D82" w:rsidRPr="00443D82" w:rsidRDefault="00443D82" w:rsidP="00443D82">
      <w:pPr>
        <w:tabs>
          <w:tab w:val="left" w:pos="1702"/>
        </w:tabs>
        <w:spacing w:after="160" w:line="259" w:lineRule="auto"/>
        <w:jc w:val="left"/>
        <w:rPr>
          <w:rFonts w:ascii="Calibri" w:eastAsia="Calibri" w:hAnsi="Calibri"/>
          <w:sz w:val="22"/>
          <w:szCs w:val="22"/>
          <w:lang w:val="de-DE"/>
        </w:rPr>
      </w:pPr>
      <w:r w:rsidRPr="00443D82">
        <w:rPr>
          <w:rFonts w:ascii="Calibri" w:eastAsia="Calibri" w:hAnsi="Calibri"/>
          <w:sz w:val="22"/>
          <w:szCs w:val="22"/>
          <w:lang w:val="de-DE"/>
        </w:rPr>
        <w:tab/>
      </w:r>
    </w:p>
    <w:p w14:paraId="559D346F" w14:textId="77777777" w:rsidR="00443D82" w:rsidRPr="00443D82" w:rsidRDefault="00443D82" w:rsidP="00443D82">
      <w:pPr>
        <w:spacing w:after="160" w:line="259" w:lineRule="auto"/>
        <w:jc w:val="left"/>
        <w:rPr>
          <w:rFonts w:ascii="Calibri" w:eastAsia="Calibri" w:hAnsi="Calibri"/>
          <w:sz w:val="22"/>
          <w:szCs w:val="22"/>
          <w:lang w:val="de-DE"/>
        </w:rPr>
      </w:pPr>
    </w:p>
    <w:p w14:paraId="0AF168B5" w14:textId="77777777" w:rsidR="00443D82" w:rsidRPr="00443D82" w:rsidRDefault="00443D82" w:rsidP="00443D82">
      <w:pPr>
        <w:spacing w:after="160" w:line="259" w:lineRule="auto"/>
        <w:jc w:val="left"/>
        <w:rPr>
          <w:rFonts w:ascii="Calibri" w:eastAsia="Calibri" w:hAnsi="Calibri"/>
          <w:sz w:val="22"/>
          <w:szCs w:val="22"/>
          <w:lang w:val="de-DE"/>
        </w:rPr>
      </w:pPr>
    </w:p>
    <w:p w14:paraId="6A4AAE2F" w14:textId="77777777" w:rsidR="00443D82" w:rsidRPr="00443D82" w:rsidRDefault="00443D82" w:rsidP="00443D82">
      <w:pPr>
        <w:tabs>
          <w:tab w:val="left" w:pos="3102"/>
          <w:tab w:val="left" w:pos="6961"/>
        </w:tabs>
        <w:spacing w:after="160" w:line="259" w:lineRule="auto"/>
        <w:jc w:val="left"/>
        <w:rPr>
          <w:rFonts w:ascii="Calibri" w:eastAsia="Calibri" w:hAnsi="Calibri"/>
          <w:sz w:val="22"/>
          <w:szCs w:val="22"/>
          <w:lang w:val="de-DE"/>
        </w:rPr>
      </w:pPr>
      <w:r w:rsidRPr="00443D82">
        <w:rPr>
          <w:rFonts w:ascii="Calibri" w:eastAsia="Calibri" w:hAnsi="Calibri"/>
          <w:sz w:val="22"/>
          <w:szCs w:val="22"/>
          <w:lang w:val="de-DE"/>
        </w:rPr>
        <w:tab/>
      </w:r>
      <w:r w:rsidRPr="00443D82">
        <w:rPr>
          <w:rFonts w:ascii="Calibri" w:eastAsia="Calibri" w:hAnsi="Calibri"/>
          <w:sz w:val="22"/>
          <w:szCs w:val="22"/>
          <w:lang w:val="de-DE"/>
        </w:rPr>
        <w:tab/>
      </w:r>
    </w:p>
    <w:p w14:paraId="4E093763" w14:textId="77777777" w:rsidR="00443D82" w:rsidRPr="00443D82" w:rsidRDefault="00443D82" w:rsidP="00443D82">
      <w:pPr>
        <w:tabs>
          <w:tab w:val="left" w:pos="7433"/>
        </w:tabs>
        <w:spacing w:after="160" w:line="259" w:lineRule="auto"/>
        <w:jc w:val="left"/>
        <w:rPr>
          <w:rFonts w:ascii="Calibri" w:eastAsia="Calibri" w:hAnsi="Calibri"/>
          <w:sz w:val="22"/>
          <w:szCs w:val="22"/>
          <w:lang w:val="de-DE"/>
        </w:rPr>
      </w:pPr>
      <w:r w:rsidRPr="00443D82">
        <w:rPr>
          <w:rFonts w:ascii="Calibri" w:eastAsia="Calibri" w:hAnsi="Calibri"/>
          <w:sz w:val="22"/>
          <w:szCs w:val="22"/>
          <w:lang w:val="de-DE"/>
        </w:rPr>
        <w:tab/>
      </w:r>
    </w:p>
    <w:p w14:paraId="529EA389" w14:textId="77777777" w:rsidR="00443D82" w:rsidRPr="00443D82" w:rsidRDefault="00443D82" w:rsidP="00443D82">
      <w:pPr>
        <w:spacing w:after="160" w:line="259" w:lineRule="auto"/>
        <w:rPr>
          <w:rFonts w:eastAsia="Calibri" w:cs="Arial"/>
          <w:lang w:val="de-DE"/>
        </w:rPr>
      </w:pPr>
      <w:r w:rsidRPr="00443D82">
        <w:rPr>
          <w:rFonts w:eastAsia="Calibri" w:cs="Arial"/>
          <w:lang w:val="de-DE"/>
        </w:rPr>
        <w:t>Mehr als 200.000 orange und blaue ISTA-Zertifikate werden jedes Jahr erteilt und erleichtern den internationalen Handel mit Saatgut.</w:t>
      </w:r>
    </w:p>
    <w:p w14:paraId="2AF49F0E" w14:textId="77777777" w:rsidR="00443D82" w:rsidRPr="00443D82" w:rsidRDefault="00443D82" w:rsidP="00443D82">
      <w:pPr>
        <w:spacing w:line="259" w:lineRule="auto"/>
        <w:rPr>
          <w:rFonts w:eastAsia="Calibri" w:cs="Arial"/>
          <w:lang w:val="de-DE"/>
        </w:rPr>
      </w:pPr>
    </w:p>
    <w:p w14:paraId="05869F3A" w14:textId="77777777" w:rsidR="00443D82" w:rsidRPr="00443D82" w:rsidRDefault="00443D82" w:rsidP="00443D82">
      <w:pPr>
        <w:keepNext/>
        <w:spacing w:after="160" w:line="259" w:lineRule="auto"/>
        <w:rPr>
          <w:rFonts w:eastAsia="Calibri" w:cs="Arial"/>
          <w:b/>
          <w:bCs/>
          <w:lang w:val="de-DE"/>
        </w:rPr>
      </w:pPr>
      <w:r w:rsidRPr="00443D82">
        <w:rPr>
          <w:rFonts w:eastAsia="Calibri" w:cs="Arial"/>
          <w:b/>
          <w:bCs/>
          <w:lang w:val="de-DE"/>
        </w:rPr>
        <w:t>DER STAND VON BIOCHEMISCHEN UND MOLEKULAREN VERFAHREN (BMT) IN DER ISTA.</w:t>
      </w:r>
    </w:p>
    <w:p w14:paraId="18971DF5" w14:textId="77777777" w:rsidR="00443D82" w:rsidRPr="00443D82" w:rsidRDefault="00443D82" w:rsidP="00443D82">
      <w:pPr>
        <w:keepLines/>
        <w:rPr>
          <w:rFonts w:eastAsia="Calibri" w:cs="Arial"/>
          <w:color w:val="000000"/>
          <w:lang w:val="de-DE"/>
        </w:rPr>
      </w:pPr>
      <w:r w:rsidRPr="00443D82">
        <w:rPr>
          <w:rFonts w:eastAsia="Calibri" w:cs="Arial"/>
          <w:color w:val="000000"/>
          <w:lang w:val="de-DE"/>
        </w:rPr>
        <w:t>Die Internationalen Vorschriften der ISTA für die Prüfung von Saatgut umfassen seit vielen Jahren BMT. Beispielsweise sind BMT für GVO-Prüfungen im Rahmen eines „leistungsbasierten Ansatzes“ zulässig; die häufig verwendeten Verfahren umfassen qualitative und quantitative Proteinnachweisanalysen und verschiedene DNA-basierte Verfahren. BMT werden als diagnostische und quantitative Bewertungsinstrumente bei Saatgutgesundheitsprüfungsverfahren eingesetzt. Auch bei der Prüfung zur Arten- und Sortenverifizierung werden BMT eingesetzt durch Analysieren von Speicherproteinprofilen für Sonnenblume, Mais, Hafer, Gerste, Weizen, Weidelgras und Erbse oder Erstellen eines DNA-Fingerabdrucks mit molekularen Markern für Mais und Weizen. Da die Vielseitigkeit dieser Verfahren zunimmt und die Kosten für ihre Verwendung sinken, könnten sie in Zukunft eine noch größere Rolle bei der Prüfung von Saatgut spielen.</w:t>
      </w:r>
    </w:p>
    <w:p w14:paraId="78650815" w14:textId="77777777" w:rsidR="00443D82" w:rsidRPr="00443D82" w:rsidRDefault="00443D82" w:rsidP="00443D82">
      <w:pPr>
        <w:spacing w:after="160" w:line="259" w:lineRule="auto"/>
        <w:jc w:val="left"/>
        <w:rPr>
          <w:rFonts w:eastAsia="Calibri" w:cs="Arial"/>
          <w:color w:val="000000"/>
          <w:lang w:val="de-DE"/>
        </w:rPr>
      </w:pPr>
    </w:p>
    <w:p w14:paraId="56F403CA" w14:textId="77777777" w:rsidR="00443D82" w:rsidRPr="00443D82" w:rsidRDefault="00443D82" w:rsidP="00443D82">
      <w:pPr>
        <w:spacing w:after="160" w:line="259" w:lineRule="auto"/>
        <w:jc w:val="left"/>
        <w:rPr>
          <w:rFonts w:eastAsia="Calibri" w:cs="Arial"/>
          <w:color w:val="000000"/>
          <w:lang w:val="de-DE"/>
        </w:rPr>
      </w:pPr>
      <w:r w:rsidRPr="00443D82">
        <w:rPr>
          <w:rFonts w:eastAsia="Calibri" w:cs="Arial"/>
          <w:color w:val="000000"/>
          <w:lang w:val="de-DE"/>
        </w:rPr>
        <w:t>Wenn Sie mehr über die ISTA erfahren möchten, besuchen Sie unsere Website: www.seedtest.org</w:t>
      </w:r>
    </w:p>
    <w:p w14:paraId="1711C46B" w14:textId="3560B5EF" w:rsidR="007263AF" w:rsidRPr="001A3CE8" w:rsidRDefault="007263AF" w:rsidP="007263AF">
      <w:pPr>
        <w:rPr>
          <w:rFonts w:cs="Arial"/>
          <w:lang w:val="de-DE"/>
        </w:rPr>
      </w:pPr>
    </w:p>
    <w:p w14:paraId="1FA8FA17" w14:textId="77777777" w:rsidR="007263AF" w:rsidRPr="001A3CE8" w:rsidRDefault="007263AF" w:rsidP="007263AF">
      <w:pPr>
        <w:rPr>
          <w:lang w:val="de-DE"/>
        </w:rPr>
      </w:pPr>
    </w:p>
    <w:p w14:paraId="308F0731" w14:textId="77777777" w:rsidR="007263AF" w:rsidRPr="001A3CE8" w:rsidRDefault="007263AF" w:rsidP="007263AF">
      <w:pPr>
        <w:rPr>
          <w:rFonts w:cs="Arial"/>
          <w:lang w:val="de-DE"/>
        </w:rPr>
      </w:pPr>
    </w:p>
    <w:p w14:paraId="7A13BD89" w14:textId="77777777" w:rsidR="007263AF" w:rsidRPr="001A3CE8" w:rsidRDefault="007263AF" w:rsidP="007263AF">
      <w:pPr>
        <w:rPr>
          <w:lang w:val="de-DE"/>
        </w:rPr>
      </w:pPr>
    </w:p>
    <w:p w14:paraId="625B2FB2" w14:textId="6E153D9A" w:rsidR="007263AF" w:rsidRPr="001A3CE8" w:rsidRDefault="007263AF" w:rsidP="007263AF">
      <w:pPr>
        <w:jc w:val="right"/>
        <w:rPr>
          <w:lang w:val="de-DE"/>
        </w:rPr>
      </w:pPr>
      <w:r w:rsidRPr="001A3CE8">
        <w:rPr>
          <w:lang w:val="de-DE"/>
        </w:rPr>
        <w:t>[End</w:t>
      </w:r>
      <w:r w:rsidR="001A3CE8" w:rsidRPr="001A3CE8">
        <w:rPr>
          <w:lang w:val="de-DE"/>
        </w:rPr>
        <w:t>e</w:t>
      </w:r>
      <w:r w:rsidRPr="001A3CE8">
        <w:rPr>
          <w:lang w:val="de-DE"/>
        </w:rPr>
        <w:t xml:space="preserve"> </w:t>
      </w:r>
      <w:r w:rsidR="001A3CE8" w:rsidRPr="001A3CE8">
        <w:rPr>
          <w:lang w:val="de-DE"/>
        </w:rPr>
        <w:t xml:space="preserve">von </w:t>
      </w:r>
      <w:r w:rsidRPr="001A3CE8">
        <w:rPr>
          <w:lang w:val="de-DE"/>
        </w:rPr>
        <w:t>An</w:t>
      </w:r>
      <w:r w:rsidR="001A3CE8" w:rsidRPr="001A3CE8">
        <w:rPr>
          <w:lang w:val="de-DE"/>
        </w:rPr>
        <w:t>lage</w:t>
      </w:r>
      <w:r w:rsidRPr="001A3CE8">
        <w:rPr>
          <w:lang w:val="de-DE"/>
        </w:rPr>
        <w:t xml:space="preserve"> II </w:t>
      </w:r>
      <w:r w:rsidR="001A3CE8" w:rsidRPr="001A3CE8">
        <w:rPr>
          <w:lang w:val="de-DE"/>
        </w:rPr>
        <w:t>u</w:t>
      </w:r>
      <w:r w:rsidRPr="001A3CE8">
        <w:rPr>
          <w:lang w:val="de-DE"/>
        </w:rPr>
        <w:t xml:space="preserve">nd </w:t>
      </w:r>
      <w:r w:rsidR="001A3CE8" w:rsidRPr="001A3CE8">
        <w:rPr>
          <w:lang w:val="de-DE"/>
        </w:rPr>
        <w:t>des D</w:t>
      </w:r>
      <w:r w:rsidRPr="001A3CE8">
        <w:rPr>
          <w:lang w:val="de-DE"/>
        </w:rPr>
        <w:t>o</w:t>
      </w:r>
      <w:r w:rsidR="001A3CE8" w:rsidRPr="001A3CE8">
        <w:rPr>
          <w:lang w:val="de-DE"/>
        </w:rPr>
        <w:t>k</w:t>
      </w:r>
      <w:r w:rsidRPr="001A3CE8">
        <w:rPr>
          <w:lang w:val="de-DE"/>
        </w:rPr>
        <w:t>ument</w:t>
      </w:r>
      <w:r w:rsidR="001A3CE8" w:rsidRPr="001A3CE8">
        <w:rPr>
          <w:lang w:val="de-DE"/>
        </w:rPr>
        <w:t>s</w:t>
      </w:r>
      <w:r w:rsidRPr="001A3CE8">
        <w:rPr>
          <w:lang w:val="de-DE"/>
        </w:rPr>
        <w:t>]</w:t>
      </w:r>
    </w:p>
    <w:p w14:paraId="5F41B47A" w14:textId="77777777" w:rsidR="007263AF" w:rsidRPr="001A3CE8" w:rsidRDefault="007263AF" w:rsidP="00C327B6">
      <w:pPr>
        <w:jc w:val="right"/>
        <w:rPr>
          <w:lang w:val="de-DE"/>
        </w:rPr>
      </w:pPr>
    </w:p>
    <w:p w14:paraId="76B58CFA" w14:textId="77777777" w:rsidR="00903264" w:rsidRPr="001A3CE8" w:rsidRDefault="00903264">
      <w:pPr>
        <w:jc w:val="left"/>
        <w:rPr>
          <w:lang w:val="de-DE"/>
        </w:rPr>
      </w:pPr>
    </w:p>
    <w:p w14:paraId="2DEE38CD" w14:textId="77777777" w:rsidR="00050E16" w:rsidRPr="001A3CE8" w:rsidRDefault="00050E16" w:rsidP="009B440E">
      <w:pPr>
        <w:jc w:val="left"/>
        <w:rPr>
          <w:lang w:val="de-DE"/>
        </w:rPr>
      </w:pPr>
    </w:p>
    <w:sectPr w:rsidR="00050E16" w:rsidRPr="001A3CE8" w:rsidSect="0004198B">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2F60" w14:textId="77777777" w:rsidR="00A873C3" w:rsidRDefault="00A873C3" w:rsidP="006655D3">
      <w:r>
        <w:separator/>
      </w:r>
    </w:p>
    <w:p w14:paraId="2C9A2DFF" w14:textId="77777777" w:rsidR="00A873C3" w:rsidRDefault="00A873C3" w:rsidP="006655D3"/>
    <w:p w14:paraId="31E36B5A" w14:textId="77777777" w:rsidR="00A873C3" w:rsidRDefault="00A873C3" w:rsidP="006655D3"/>
  </w:endnote>
  <w:endnote w:type="continuationSeparator" w:id="0">
    <w:p w14:paraId="3F27C6EE" w14:textId="77777777" w:rsidR="00A873C3" w:rsidRDefault="00A873C3" w:rsidP="006655D3">
      <w:r>
        <w:separator/>
      </w:r>
    </w:p>
    <w:p w14:paraId="74077033" w14:textId="77777777" w:rsidR="00A873C3" w:rsidRPr="00294751" w:rsidRDefault="00A873C3">
      <w:pPr>
        <w:pStyle w:val="Footer"/>
        <w:spacing w:after="60"/>
        <w:rPr>
          <w:sz w:val="18"/>
          <w:lang w:val="fr-FR"/>
        </w:rPr>
      </w:pPr>
      <w:r w:rsidRPr="00294751">
        <w:rPr>
          <w:sz w:val="18"/>
          <w:lang w:val="fr-FR"/>
        </w:rPr>
        <w:t>[Suite de la note de la page précédente]</w:t>
      </w:r>
    </w:p>
    <w:p w14:paraId="5C684944" w14:textId="77777777" w:rsidR="00A873C3" w:rsidRPr="00294751" w:rsidRDefault="00A873C3" w:rsidP="006655D3">
      <w:pPr>
        <w:rPr>
          <w:lang w:val="fr-FR"/>
        </w:rPr>
      </w:pPr>
    </w:p>
    <w:p w14:paraId="27CF8F8B" w14:textId="77777777" w:rsidR="00A873C3" w:rsidRPr="00294751" w:rsidRDefault="00A873C3" w:rsidP="006655D3">
      <w:pPr>
        <w:rPr>
          <w:lang w:val="fr-FR"/>
        </w:rPr>
      </w:pPr>
    </w:p>
  </w:endnote>
  <w:endnote w:type="continuationNotice" w:id="1">
    <w:p w14:paraId="247AE003" w14:textId="77777777" w:rsidR="00A873C3" w:rsidRPr="00294751" w:rsidRDefault="00A873C3" w:rsidP="006655D3">
      <w:pPr>
        <w:rPr>
          <w:lang w:val="fr-FR"/>
        </w:rPr>
      </w:pPr>
      <w:r w:rsidRPr="00294751">
        <w:rPr>
          <w:lang w:val="fr-FR"/>
        </w:rPr>
        <w:t>[Suite de la note page suivante]</w:t>
      </w:r>
    </w:p>
    <w:p w14:paraId="18F0A151" w14:textId="77777777" w:rsidR="00A873C3" w:rsidRPr="00294751" w:rsidRDefault="00A873C3" w:rsidP="006655D3">
      <w:pPr>
        <w:rPr>
          <w:lang w:val="fr-FR"/>
        </w:rPr>
      </w:pPr>
    </w:p>
    <w:p w14:paraId="62696C2D" w14:textId="77777777" w:rsidR="00A873C3" w:rsidRPr="00294751" w:rsidRDefault="00A873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8AB0" w14:textId="77777777" w:rsidR="006F4D8A" w:rsidRDefault="006F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74B8" w14:textId="77777777" w:rsidR="006F4D8A" w:rsidRDefault="006F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D9A7" w14:textId="77777777" w:rsidR="006F4D8A" w:rsidRDefault="006F4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DED3" w14:textId="77777777" w:rsidR="00FD6D93" w:rsidRDefault="00FD6D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A424" w14:textId="77777777" w:rsidR="00FD6D93" w:rsidRDefault="00FD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C6288" w14:textId="77777777" w:rsidR="00A873C3" w:rsidRDefault="00A873C3" w:rsidP="006655D3">
      <w:r>
        <w:separator/>
      </w:r>
    </w:p>
  </w:footnote>
  <w:footnote w:type="continuationSeparator" w:id="0">
    <w:p w14:paraId="09C18698" w14:textId="77777777" w:rsidR="00A873C3" w:rsidRDefault="00A873C3" w:rsidP="006655D3">
      <w:r>
        <w:separator/>
      </w:r>
    </w:p>
  </w:footnote>
  <w:footnote w:type="continuationNotice" w:id="1">
    <w:p w14:paraId="3D99CB40" w14:textId="77777777" w:rsidR="00A873C3" w:rsidRPr="00AB530F" w:rsidRDefault="00A873C3" w:rsidP="00AB530F">
      <w:pPr>
        <w:pStyle w:val="Footer"/>
      </w:pPr>
    </w:p>
  </w:footnote>
  <w:footnote w:id="2">
    <w:p w14:paraId="731C092B" w14:textId="0811AF8B" w:rsidR="00544D65" w:rsidRPr="00EB5A4E" w:rsidRDefault="00544D65" w:rsidP="00C327B6">
      <w:pPr>
        <w:pStyle w:val="FootnoteText"/>
        <w:rPr>
          <w:lang w:val="de-DE"/>
        </w:rPr>
      </w:pPr>
      <w:r>
        <w:rPr>
          <w:rStyle w:val="FootnoteReference"/>
        </w:rPr>
        <w:footnoteRef/>
      </w:r>
      <w:r w:rsidRPr="00A813A0">
        <w:rPr>
          <w:lang w:val="de-DE"/>
        </w:rPr>
        <w:t xml:space="preserve"> </w:t>
      </w:r>
      <w:r w:rsidR="00F373C9" w:rsidRPr="00A813A0">
        <w:rPr>
          <w:lang w:val="de-DE"/>
        </w:rPr>
        <w:t>A</w:t>
      </w:r>
      <w:r w:rsidR="00A813A0" w:rsidRPr="00A813A0">
        <w:rPr>
          <w:lang w:val="de-DE"/>
        </w:rPr>
        <w:t xml:space="preserve">m </w:t>
      </w:r>
      <w:r w:rsidRPr="00A813A0">
        <w:rPr>
          <w:lang w:val="de-DE"/>
        </w:rPr>
        <w:t>26</w:t>
      </w:r>
      <w:r w:rsidR="00A813A0" w:rsidRPr="00A813A0">
        <w:rPr>
          <w:lang w:val="de-DE"/>
        </w:rPr>
        <w:t>.</w:t>
      </w:r>
      <w:r w:rsidRPr="00A813A0">
        <w:rPr>
          <w:lang w:val="de-DE"/>
        </w:rPr>
        <w:t xml:space="preserve"> </w:t>
      </w:r>
      <w:r w:rsidR="00A813A0" w:rsidRPr="00A813A0">
        <w:rPr>
          <w:lang w:val="de-DE"/>
        </w:rPr>
        <w:t>u</w:t>
      </w:r>
      <w:r w:rsidRPr="00A813A0">
        <w:rPr>
          <w:lang w:val="de-DE"/>
        </w:rPr>
        <w:t>nd 27</w:t>
      </w:r>
      <w:r w:rsidR="00D4074A">
        <w:rPr>
          <w:lang w:val="de-DE"/>
        </w:rPr>
        <w:t xml:space="preserve">. </w:t>
      </w:r>
      <w:r w:rsidR="00A813A0" w:rsidRPr="00EB5A4E">
        <w:rPr>
          <w:lang w:val="de-DE"/>
        </w:rPr>
        <w:t>Oktober</w:t>
      </w:r>
      <w:r w:rsidR="00D4074A" w:rsidRPr="00EB5A4E">
        <w:rPr>
          <w:lang w:val="de-DE"/>
        </w:rPr>
        <w:t xml:space="preserve"> </w:t>
      </w:r>
      <w:r w:rsidRPr="00EB5A4E">
        <w:rPr>
          <w:lang w:val="de-DE"/>
        </w:rPr>
        <w:t>2021</w:t>
      </w:r>
      <w:r w:rsidR="00C92B63" w:rsidRPr="00EB5A4E">
        <w:rPr>
          <w:lang w:val="de-DE"/>
        </w:rPr>
        <w:t xml:space="preserve"> </w:t>
      </w:r>
      <w:r w:rsidR="00F84ED8" w:rsidRPr="00EB5A4E">
        <w:rPr>
          <w:lang w:val="de-DE"/>
        </w:rPr>
        <w:t xml:space="preserve">auf elektronischem Wege </w:t>
      </w:r>
      <w:r w:rsidR="00C92B63" w:rsidRPr="00EB5A4E">
        <w:rPr>
          <w:lang w:val="de-DE"/>
        </w:rPr>
        <w:t>abgehalten</w:t>
      </w:r>
    </w:p>
  </w:footnote>
  <w:footnote w:id="3">
    <w:p w14:paraId="1598BE65" w14:textId="3756C86C" w:rsidR="00544D65" w:rsidRPr="002C4371" w:rsidRDefault="00544D65" w:rsidP="00C327B6">
      <w:pPr>
        <w:pStyle w:val="FootnoteText"/>
        <w:rPr>
          <w:lang w:val="de-DE"/>
        </w:rPr>
      </w:pPr>
      <w:r>
        <w:rPr>
          <w:rStyle w:val="FootnoteReference"/>
        </w:rPr>
        <w:footnoteRef/>
      </w:r>
      <w:r w:rsidRPr="00F26CF4">
        <w:rPr>
          <w:lang w:val="de-DE"/>
        </w:rPr>
        <w:t xml:space="preserve"> </w:t>
      </w:r>
      <w:r w:rsidR="002C4371">
        <w:rPr>
          <w:lang w:val="de-DE"/>
        </w:rPr>
        <w:t>V</w:t>
      </w:r>
      <w:r w:rsidR="00F26CF4" w:rsidRPr="00F26CF4">
        <w:rPr>
          <w:lang w:val="de-DE"/>
        </w:rPr>
        <w:t xml:space="preserve">om </w:t>
      </w:r>
      <w:r w:rsidR="00F26CF4">
        <w:rPr>
          <w:lang w:val="de-DE"/>
        </w:rPr>
        <w:t>23.</w:t>
      </w:r>
      <w:r w:rsidR="00FD4F8D">
        <w:rPr>
          <w:lang w:val="de-DE"/>
        </w:rPr>
        <w:t xml:space="preserve"> bis </w:t>
      </w:r>
      <w:r w:rsidR="00B63647">
        <w:rPr>
          <w:lang w:val="de-DE"/>
        </w:rPr>
        <w:t xml:space="preserve">27. </w:t>
      </w:r>
      <w:r w:rsidR="00B63647" w:rsidRPr="002C4371">
        <w:rPr>
          <w:lang w:val="de-DE"/>
        </w:rPr>
        <w:t>Mai</w:t>
      </w:r>
      <w:r w:rsidR="00080B9B">
        <w:rPr>
          <w:lang w:val="de-DE"/>
        </w:rPr>
        <w:t xml:space="preserve"> 2022</w:t>
      </w:r>
      <w:r w:rsidR="00B63647" w:rsidRPr="002C4371">
        <w:rPr>
          <w:lang w:val="de-DE"/>
        </w:rPr>
        <w:t xml:space="preserve"> </w:t>
      </w:r>
      <w:r w:rsidR="00FD4F8D">
        <w:rPr>
          <w:lang w:val="de-DE"/>
        </w:rPr>
        <w:t xml:space="preserve">vom </w:t>
      </w:r>
      <w:r w:rsidR="00FD4F8D" w:rsidRPr="00F26CF4">
        <w:rPr>
          <w:lang w:val="de-DE"/>
        </w:rPr>
        <w:t xml:space="preserve">Vereinten Königreich </w:t>
      </w:r>
      <w:r w:rsidR="00FD4F8D">
        <w:rPr>
          <w:lang w:val="de-DE"/>
        </w:rPr>
        <w:t xml:space="preserve">veranstaltet und </w:t>
      </w:r>
      <w:r w:rsidR="00A6563D" w:rsidRPr="002C4371">
        <w:rPr>
          <w:lang w:val="de-DE"/>
        </w:rPr>
        <w:t xml:space="preserve">auf elektronischem </w:t>
      </w:r>
      <w:r w:rsidR="00F26CF4" w:rsidRPr="002C4371">
        <w:rPr>
          <w:lang w:val="de-DE"/>
        </w:rPr>
        <w:t>W</w:t>
      </w:r>
      <w:r w:rsidR="00A6563D" w:rsidRPr="002C4371">
        <w:rPr>
          <w:lang w:val="de-DE"/>
        </w:rPr>
        <w:t>eg</w:t>
      </w:r>
      <w:r w:rsidR="005F3871">
        <w:rPr>
          <w:lang w:val="de-DE"/>
        </w:rPr>
        <w:t>e</w:t>
      </w:r>
      <w:r w:rsidR="00A6563D" w:rsidRPr="002C4371">
        <w:rPr>
          <w:lang w:val="de-DE"/>
        </w:rPr>
        <w:t xml:space="preserve"> a</w:t>
      </w:r>
      <w:r w:rsidR="00F26CF4" w:rsidRPr="002C4371">
        <w:rPr>
          <w:lang w:val="de-DE"/>
        </w:rPr>
        <w:t>bgehalten</w:t>
      </w:r>
    </w:p>
  </w:footnote>
  <w:footnote w:id="4">
    <w:p w14:paraId="1FCCE144" w14:textId="77C0B7C4" w:rsidR="00544D65" w:rsidRPr="002C4371" w:rsidRDefault="00544D65" w:rsidP="00C327B6">
      <w:pPr>
        <w:pStyle w:val="FootnoteText"/>
        <w:rPr>
          <w:lang w:val="de-DE"/>
        </w:rPr>
      </w:pPr>
      <w:r w:rsidRPr="00D27BB4">
        <w:rPr>
          <w:rStyle w:val="FootnoteReference"/>
        </w:rPr>
        <w:footnoteRef/>
      </w:r>
      <w:r w:rsidRPr="002C4371">
        <w:rPr>
          <w:lang w:val="de-DE"/>
        </w:rPr>
        <w:t xml:space="preserve"> </w:t>
      </w:r>
      <w:r w:rsidR="002C4371">
        <w:rPr>
          <w:lang w:val="de-DE"/>
        </w:rPr>
        <w:t xml:space="preserve">Vom </w:t>
      </w:r>
      <w:r w:rsidR="00F12DE7">
        <w:rPr>
          <w:lang w:val="de-DE"/>
        </w:rPr>
        <w:t>11.</w:t>
      </w:r>
      <w:r w:rsidR="00FD4F8D">
        <w:rPr>
          <w:lang w:val="de-DE"/>
        </w:rPr>
        <w:t xml:space="preserve"> bis </w:t>
      </w:r>
      <w:r w:rsidR="00F12DE7">
        <w:rPr>
          <w:lang w:val="de-DE"/>
        </w:rPr>
        <w:t xml:space="preserve">15. Juli 2022 </w:t>
      </w:r>
      <w:r w:rsidR="00B63647" w:rsidRPr="002C4371">
        <w:rPr>
          <w:lang w:val="de-DE"/>
        </w:rPr>
        <w:t>auf elektronischem Weg</w:t>
      </w:r>
      <w:r w:rsidR="005F3871">
        <w:rPr>
          <w:lang w:val="de-DE"/>
        </w:rPr>
        <w:t>e</w:t>
      </w:r>
      <w:r w:rsidR="00B63647" w:rsidRPr="002C4371">
        <w:rPr>
          <w:lang w:val="de-DE"/>
        </w:rPr>
        <w:t xml:space="preserve"> abgehalten</w:t>
      </w:r>
    </w:p>
  </w:footnote>
  <w:footnote w:id="5">
    <w:p w14:paraId="11EAA680" w14:textId="33F36491" w:rsidR="00544D65" w:rsidRPr="002C74C9" w:rsidRDefault="00544D65" w:rsidP="00C327B6">
      <w:pPr>
        <w:pStyle w:val="FootnoteText"/>
        <w:rPr>
          <w:highlight w:val="cyan"/>
          <w:lang w:val="de-DE"/>
        </w:rPr>
      </w:pPr>
      <w:r w:rsidRPr="00D27BB4">
        <w:rPr>
          <w:rStyle w:val="FootnoteReference"/>
        </w:rPr>
        <w:footnoteRef/>
      </w:r>
      <w:r w:rsidRPr="002C74C9">
        <w:rPr>
          <w:lang w:val="de-DE"/>
        </w:rPr>
        <w:t xml:space="preserve"> </w:t>
      </w:r>
      <w:r w:rsidR="00B70B72" w:rsidRPr="002C74C9">
        <w:rPr>
          <w:lang w:val="de-DE"/>
        </w:rPr>
        <w:t xml:space="preserve">Von Deutschland </w:t>
      </w:r>
      <w:r w:rsidR="00B30AE3" w:rsidRPr="002C74C9">
        <w:rPr>
          <w:lang w:val="de-DE"/>
        </w:rPr>
        <w:t xml:space="preserve">veranstaltet und vom </w:t>
      </w:r>
      <w:r w:rsidR="002C74C9" w:rsidRPr="002C74C9">
        <w:rPr>
          <w:lang w:val="de-DE"/>
        </w:rPr>
        <w:t>13.</w:t>
      </w:r>
      <w:r w:rsidR="003C305E">
        <w:rPr>
          <w:lang w:val="de-DE"/>
        </w:rPr>
        <w:t xml:space="preserve"> </w:t>
      </w:r>
      <w:r w:rsidR="009B069C">
        <w:rPr>
          <w:lang w:val="de-DE"/>
        </w:rPr>
        <w:t xml:space="preserve">bis </w:t>
      </w:r>
      <w:r w:rsidR="002C74C9" w:rsidRPr="002C74C9">
        <w:rPr>
          <w:lang w:val="de-DE"/>
        </w:rPr>
        <w:t>17. Juni 2022 auf elektronischem Weg</w:t>
      </w:r>
      <w:r w:rsidR="00653368">
        <w:rPr>
          <w:lang w:val="de-DE"/>
        </w:rPr>
        <w:t>e</w:t>
      </w:r>
      <w:r w:rsidR="002C74C9" w:rsidRPr="002C74C9">
        <w:rPr>
          <w:lang w:val="de-DE"/>
        </w:rPr>
        <w:t xml:space="preserve"> abgehalten</w:t>
      </w:r>
    </w:p>
  </w:footnote>
  <w:footnote w:id="6">
    <w:p w14:paraId="72024A33" w14:textId="6773913C" w:rsidR="00544D65" w:rsidRPr="002C74C9" w:rsidRDefault="00544D65" w:rsidP="00C327B6">
      <w:pPr>
        <w:pStyle w:val="FootnoteText"/>
        <w:rPr>
          <w:lang w:val="de-DE"/>
        </w:rPr>
      </w:pPr>
      <w:r w:rsidRPr="005F1F78">
        <w:rPr>
          <w:rStyle w:val="FootnoteReference"/>
        </w:rPr>
        <w:footnoteRef/>
      </w:r>
      <w:r w:rsidRPr="002C74C9">
        <w:rPr>
          <w:lang w:val="de-DE"/>
        </w:rPr>
        <w:t xml:space="preserve"> </w:t>
      </w:r>
      <w:r w:rsidR="002C74C9" w:rsidRPr="002C74C9">
        <w:rPr>
          <w:lang w:val="de-DE"/>
        </w:rPr>
        <w:t>Vom</w:t>
      </w:r>
      <w:r w:rsidRPr="002C74C9">
        <w:rPr>
          <w:lang w:val="de-DE"/>
        </w:rPr>
        <w:t xml:space="preserve"> 19</w:t>
      </w:r>
      <w:r w:rsidR="002C74C9" w:rsidRPr="002C74C9">
        <w:rPr>
          <w:lang w:val="de-DE"/>
        </w:rPr>
        <w:t>.</w:t>
      </w:r>
      <w:r w:rsidR="009B069C">
        <w:rPr>
          <w:lang w:val="de-DE"/>
        </w:rPr>
        <w:t xml:space="preserve"> bis</w:t>
      </w:r>
      <w:r w:rsidRPr="002C74C9">
        <w:rPr>
          <w:lang w:val="de-DE"/>
        </w:rPr>
        <w:t xml:space="preserve"> 23</w:t>
      </w:r>
      <w:r w:rsidR="0086320F">
        <w:rPr>
          <w:lang w:val="de-DE"/>
        </w:rPr>
        <w:t xml:space="preserve">. </w:t>
      </w:r>
      <w:r w:rsidR="00486CDA">
        <w:rPr>
          <w:lang w:val="de-DE"/>
        </w:rPr>
        <w:t>September 2022</w:t>
      </w:r>
      <w:r w:rsidRPr="002C74C9">
        <w:rPr>
          <w:lang w:val="de-DE"/>
        </w:rPr>
        <w:t xml:space="preserve"> </w:t>
      </w:r>
      <w:r w:rsidR="00377668">
        <w:rPr>
          <w:lang w:val="de-DE"/>
        </w:rPr>
        <w:t>auf elektronischem Weg</w:t>
      </w:r>
      <w:r w:rsidR="00653368">
        <w:rPr>
          <w:lang w:val="de-DE"/>
        </w:rPr>
        <w:t>e</w:t>
      </w:r>
      <w:r w:rsidR="00377668">
        <w:rPr>
          <w:lang w:val="de-DE"/>
        </w:rPr>
        <w:t xml:space="preserve"> abgehalten</w:t>
      </w:r>
    </w:p>
  </w:footnote>
  <w:footnote w:id="7">
    <w:p w14:paraId="5CE56E3A" w14:textId="6EF3C681" w:rsidR="00544D65" w:rsidRPr="008A002C" w:rsidRDefault="00544D65" w:rsidP="00C327B6">
      <w:pPr>
        <w:pStyle w:val="FootnoteText"/>
        <w:rPr>
          <w:lang w:val="de-DE"/>
        </w:rPr>
      </w:pPr>
      <w:r w:rsidRPr="0067537F">
        <w:rPr>
          <w:rStyle w:val="FootnoteReference"/>
        </w:rPr>
        <w:footnoteRef/>
      </w:r>
      <w:r w:rsidRPr="008A002C">
        <w:rPr>
          <w:lang w:val="de-DE"/>
        </w:rPr>
        <w:t xml:space="preserve"> </w:t>
      </w:r>
      <w:r w:rsidR="008A002C" w:rsidRPr="008A002C">
        <w:rPr>
          <w:lang w:val="de-DE"/>
        </w:rPr>
        <w:t>Auf ihrer sechsundfünfzigsten Tagung, die vom 18.</w:t>
      </w:r>
      <w:r w:rsidR="00DE41C9">
        <w:rPr>
          <w:lang w:val="de-DE"/>
        </w:rPr>
        <w:t xml:space="preserve"> </w:t>
      </w:r>
      <w:r w:rsidR="008A002C" w:rsidRPr="008A002C">
        <w:rPr>
          <w:lang w:val="de-DE"/>
        </w:rPr>
        <w:t>bis 22. April 2022 auf elektronischem Weg</w:t>
      </w:r>
      <w:r w:rsidR="00653368">
        <w:rPr>
          <w:lang w:val="de-DE"/>
        </w:rPr>
        <w:t>e</w:t>
      </w:r>
      <w:r w:rsidR="008A002C" w:rsidRPr="008A002C">
        <w:rPr>
          <w:lang w:val="de-DE"/>
        </w:rPr>
        <w:t xml:space="preserve"> s</w:t>
      </w:r>
      <w:r w:rsidR="008A002C">
        <w:rPr>
          <w:lang w:val="de-DE"/>
        </w:rPr>
        <w:t>tattfand</w:t>
      </w:r>
    </w:p>
  </w:footnote>
  <w:footnote w:id="8">
    <w:p w14:paraId="0BE158F2" w14:textId="07968184" w:rsidR="008A002C" w:rsidRDefault="00544D65" w:rsidP="00C327B6">
      <w:pPr>
        <w:pStyle w:val="FootnoteText"/>
        <w:rPr>
          <w:lang w:val="de-DE"/>
        </w:rPr>
      </w:pPr>
      <w:r w:rsidRPr="0067537F">
        <w:rPr>
          <w:rStyle w:val="FootnoteReference"/>
        </w:rPr>
        <w:footnoteRef/>
      </w:r>
      <w:r w:rsidRPr="008A002C">
        <w:rPr>
          <w:lang w:val="de-DE"/>
        </w:rPr>
        <w:t xml:space="preserve"> </w:t>
      </w:r>
      <w:r w:rsidR="008A002C">
        <w:rPr>
          <w:lang w:val="de-DE"/>
        </w:rPr>
        <w:t>A</w:t>
      </w:r>
      <w:r w:rsidR="008A002C" w:rsidRPr="008A002C">
        <w:rPr>
          <w:lang w:val="de-DE"/>
        </w:rPr>
        <w:t xml:space="preserve">uf </w:t>
      </w:r>
      <w:r w:rsidR="008A002C">
        <w:rPr>
          <w:lang w:val="de-DE"/>
        </w:rPr>
        <w:t>ihrer</w:t>
      </w:r>
      <w:r w:rsidR="008A002C" w:rsidRPr="008A002C">
        <w:rPr>
          <w:lang w:val="de-DE"/>
        </w:rPr>
        <w:t xml:space="preserve"> einundfünfzigsten Tagung, die vom Vereinigten Königreich </w:t>
      </w:r>
      <w:r w:rsidR="008A002C">
        <w:rPr>
          <w:lang w:val="de-DE"/>
        </w:rPr>
        <w:t xml:space="preserve">veranstaltet und vom </w:t>
      </w:r>
      <w:r w:rsidR="008A002C" w:rsidRPr="008A002C">
        <w:rPr>
          <w:lang w:val="de-DE"/>
        </w:rPr>
        <w:t>23.</w:t>
      </w:r>
      <w:r w:rsidR="003C305E">
        <w:rPr>
          <w:lang w:val="de-DE"/>
        </w:rPr>
        <w:t xml:space="preserve"> </w:t>
      </w:r>
      <w:r w:rsidR="008A002C" w:rsidRPr="008A002C">
        <w:rPr>
          <w:lang w:val="de-DE"/>
        </w:rPr>
        <w:t>bis 27. Mai 2022 auf elektronischem Wege</w:t>
      </w:r>
    </w:p>
    <w:p w14:paraId="68C28FE5" w14:textId="6CDBD255" w:rsidR="00544D65" w:rsidRPr="008A002C" w:rsidRDefault="008A002C" w:rsidP="008A002C">
      <w:pPr>
        <w:pStyle w:val="FootnoteText"/>
        <w:ind w:left="0" w:firstLine="0"/>
        <w:rPr>
          <w:highlight w:val="cyan"/>
          <w:lang w:val="de-DE"/>
        </w:rPr>
      </w:pPr>
      <w:r>
        <w:rPr>
          <w:lang w:val="de-DE"/>
        </w:rPr>
        <w:t xml:space="preserve">  </w:t>
      </w:r>
      <w:r w:rsidRPr="008A002C">
        <w:rPr>
          <w:lang w:val="de-DE"/>
        </w:rPr>
        <w:t>abgehalten wurde</w:t>
      </w:r>
    </w:p>
  </w:footnote>
  <w:footnote w:id="9">
    <w:p w14:paraId="3994EC70" w14:textId="3D5BD61B" w:rsidR="008A002C" w:rsidRDefault="00544D65" w:rsidP="00C327B6">
      <w:pPr>
        <w:pStyle w:val="FootnoteText"/>
        <w:rPr>
          <w:lang w:val="de-DE"/>
        </w:rPr>
      </w:pPr>
      <w:r w:rsidRPr="00D27BB4">
        <w:rPr>
          <w:rStyle w:val="FootnoteReference"/>
        </w:rPr>
        <w:footnoteRef/>
      </w:r>
      <w:r w:rsidRPr="008A002C">
        <w:rPr>
          <w:lang w:val="de-DE"/>
        </w:rPr>
        <w:t xml:space="preserve"> </w:t>
      </w:r>
      <w:r w:rsidR="00C326B7">
        <w:rPr>
          <w:lang w:val="de-DE"/>
        </w:rPr>
        <w:t>A</w:t>
      </w:r>
      <w:r w:rsidR="008A002C" w:rsidRPr="008A002C">
        <w:rPr>
          <w:lang w:val="de-DE"/>
        </w:rPr>
        <w:t xml:space="preserve">uf ihrer vierundfünfzigsten Tagung, die </w:t>
      </w:r>
      <w:r w:rsidR="008A002C">
        <w:rPr>
          <w:lang w:val="de-DE"/>
        </w:rPr>
        <w:t xml:space="preserve">von </w:t>
      </w:r>
      <w:r w:rsidR="008A002C" w:rsidRPr="008A002C">
        <w:rPr>
          <w:lang w:val="de-DE"/>
        </w:rPr>
        <w:t xml:space="preserve">Deutschlands </w:t>
      </w:r>
      <w:r w:rsidR="008A002C">
        <w:rPr>
          <w:lang w:val="de-DE"/>
        </w:rPr>
        <w:t xml:space="preserve">veranstaltet und </w:t>
      </w:r>
      <w:r w:rsidR="008A002C" w:rsidRPr="008A002C">
        <w:rPr>
          <w:lang w:val="de-DE"/>
        </w:rPr>
        <w:t>vom 13.</w:t>
      </w:r>
      <w:r w:rsidR="003C305E">
        <w:rPr>
          <w:lang w:val="de-DE"/>
        </w:rPr>
        <w:t xml:space="preserve"> </w:t>
      </w:r>
      <w:r w:rsidR="008A002C" w:rsidRPr="008A002C">
        <w:rPr>
          <w:lang w:val="de-DE"/>
        </w:rPr>
        <w:t>bis 17. Juni 2022 auf elektronischem Wege</w:t>
      </w:r>
    </w:p>
    <w:p w14:paraId="0B172274" w14:textId="1799C332" w:rsidR="00544D65" w:rsidRPr="008A002C" w:rsidRDefault="008A002C" w:rsidP="008A002C">
      <w:pPr>
        <w:pStyle w:val="FootnoteText"/>
        <w:ind w:left="0" w:firstLine="0"/>
        <w:rPr>
          <w:highlight w:val="cyan"/>
          <w:lang w:val="de-DE"/>
        </w:rPr>
      </w:pPr>
      <w:r>
        <w:rPr>
          <w:lang w:val="de-DE"/>
        </w:rPr>
        <w:t xml:space="preserve">  </w:t>
      </w:r>
      <w:r w:rsidRPr="008A002C">
        <w:rPr>
          <w:lang w:val="de-DE"/>
        </w:rPr>
        <w:t>abgehalten wurde</w:t>
      </w:r>
    </w:p>
  </w:footnote>
  <w:footnote w:id="10">
    <w:p w14:paraId="119182F3" w14:textId="528D551D" w:rsidR="00544D65" w:rsidRPr="008A002C" w:rsidRDefault="00544D65" w:rsidP="00C327B6">
      <w:pPr>
        <w:pStyle w:val="FootnoteText"/>
        <w:rPr>
          <w:lang w:val="de-DE"/>
        </w:rPr>
      </w:pPr>
      <w:r w:rsidRPr="00D27BB4">
        <w:rPr>
          <w:rStyle w:val="FootnoteReference"/>
        </w:rPr>
        <w:footnoteRef/>
      </w:r>
      <w:r w:rsidRPr="008A002C">
        <w:rPr>
          <w:lang w:val="de-DE"/>
        </w:rPr>
        <w:t xml:space="preserve"> </w:t>
      </w:r>
      <w:r w:rsidR="008A002C">
        <w:rPr>
          <w:lang w:val="de-DE"/>
        </w:rPr>
        <w:t>A</w:t>
      </w:r>
      <w:r w:rsidR="008A002C" w:rsidRPr="008A002C">
        <w:rPr>
          <w:lang w:val="de-DE"/>
        </w:rPr>
        <w:t>uf ihrer dreiundfünfzigsten Tagung, die vom 11.</w:t>
      </w:r>
      <w:r w:rsidR="003C305E">
        <w:rPr>
          <w:lang w:val="de-DE"/>
        </w:rPr>
        <w:t xml:space="preserve"> </w:t>
      </w:r>
      <w:r w:rsidR="008A002C" w:rsidRPr="008A002C">
        <w:rPr>
          <w:lang w:val="de-DE"/>
        </w:rPr>
        <w:t>bis 15. Juli 2022 auf elektronischem Wege abgehalten wurde</w:t>
      </w:r>
    </w:p>
  </w:footnote>
  <w:footnote w:id="11">
    <w:p w14:paraId="165970B5" w14:textId="13071074" w:rsidR="00544D65" w:rsidRPr="008A002C" w:rsidRDefault="00544D65" w:rsidP="008A002C">
      <w:pPr>
        <w:pStyle w:val="FootnoteText"/>
        <w:ind w:left="0" w:firstLine="0"/>
        <w:rPr>
          <w:lang w:val="de-DE"/>
        </w:rPr>
      </w:pPr>
      <w:r w:rsidRPr="005F1F78">
        <w:rPr>
          <w:rStyle w:val="FootnoteReference"/>
        </w:rPr>
        <w:footnoteRef/>
      </w:r>
      <w:r w:rsidRPr="008A002C">
        <w:rPr>
          <w:lang w:val="de-DE"/>
        </w:rPr>
        <w:t xml:space="preserve"> </w:t>
      </w:r>
      <w:r w:rsidR="008A002C">
        <w:rPr>
          <w:lang w:val="de-DE"/>
        </w:rPr>
        <w:t>A</w:t>
      </w:r>
      <w:r w:rsidR="008A002C" w:rsidRPr="008A002C">
        <w:rPr>
          <w:lang w:val="de-DE"/>
        </w:rPr>
        <w:t>uf ihrer ersten Sitzung, die vom 19.</w:t>
      </w:r>
      <w:r w:rsidR="003C305E">
        <w:rPr>
          <w:lang w:val="de-DE"/>
        </w:rPr>
        <w:t xml:space="preserve"> </w:t>
      </w:r>
      <w:r w:rsidR="008A002C" w:rsidRPr="008A002C">
        <w:rPr>
          <w:lang w:val="de-DE"/>
        </w:rPr>
        <w:t>bis 23. September 2022 auf elektronischem Wege stattfand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245B" w14:textId="77777777" w:rsidR="006F4D8A" w:rsidRDefault="006F4D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2033" w14:textId="77777777" w:rsidR="00544D65" w:rsidRPr="00262086" w:rsidRDefault="00544D65">
    <w:pPr>
      <w:pStyle w:val="Header"/>
      <w:rPr>
        <w:lang w:val="en-US"/>
      </w:rPr>
    </w:pPr>
    <w:r w:rsidRPr="00262086">
      <w:rPr>
        <w:lang w:val="en-US"/>
      </w:rPr>
      <w:t>CAJ/7</w:t>
    </w:r>
    <w:r>
      <w:rPr>
        <w:lang w:val="en-US"/>
      </w:rPr>
      <w:t>9/INF</w:t>
    </w:r>
    <w:r w:rsidRPr="00262086">
      <w:rPr>
        <w:lang w:val="en-US"/>
      </w:rPr>
      <w:t>/</w:t>
    </w:r>
    <w:r>
      <w:rPr>
        <w:lang w:val="en-US"/>
      </w:rPr>
      <w:t>4</w:t>
    </w:r>
  </w:p>
  <w:p w14:paraId="0DCD1920" w14:textId="77777777" w:rsidR="00544D65" w:rsidRPr="00262086" w:rsidRDefault="00544D65">
    <w:pPr>
      <w:pStyle w:val="Header"/>
      <w:rPr>
        <w:lang w:val="en-US"/>
      </w:rPr>
    </w:pPr>
  </w:p>
  <w:p w14:paraId="104996E0" w14:textId="6E757F17" w:rsidR="00544D65" w:rsidRPr="00262086" w:rsidRDefault="00544D65">
    <w:pPr>
      <w:pStyle w:val="Header"/>
      <w:rPr>
        <w:lang w:val="en-US"/>
      </w:rPr>
    </w:pPr>
    <w:r w:rsidRPr="00262086">
      <w:rPr>
        <w:lang w:val="en-US"/>
      </w:rPr>
      <w:t>AN</w:t>
    </w:r>
    <w:r w:rsidR="005A1369">
      <w:rPr>
        <w:lang w:val="en-US"/>
      </w:rPr>
      <w:t>LAGE</w:t>
    </w:r>
    <w:r w:rsidRPr="00262086">
      <w:rPr>
        <w:lang w:val="en-US"/>
      </w:rPr>
      <w:t xml:space="preserve"> I</w:t>
    </w:r>
  </w:p>
  <w:p w14:paraId="722DD654" w14:textId="77777777" w:rsidR="00544D65" w:rsidRPr="00262086" w:rsidRDefault="00544D65">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07C2" w14:textId="77777777" w:rsidR="00544D65" w:rsidRPr="005571B2" w:rsidRDefault="00544D65" w:rsidP="00331E79">
    <w:pPr>
      <w:pStyle w:val="Header"/>
      <w:rPr>
        <w:rStyle w:val="PageNumber"/>
        <w:lang w:val="de-DE"/>
      </w:rPr>
    </w:pPr>
    <w:r w:rsidRPr="005571B2">
      <w:rPr>
        <w:rStyle w:val="PageNumber"/>
        <w:lang w:val="de-DE"/>
      </w:rPr>
      <w:t>CAJ/79/INF/4</w:t>
    </w:r>
  </w:p>
  <w:p w14:paraId="7C818E51" w14:textId="77777777" w:rsidR="00544D65" w:rsidRPr="005571B2" w:rsidRDefault="00544D65" w:rsidP="00EB048E">
    <w:pPr>
      <w:pStyle w:val="Header"/>
      <w:rPr>
        <w:lang w:val="de-DE"/>
      </w:rPr>
    </w:pPr>
  </w:p>
  <w:p w14:paraId="113DA866" w14:textId="254265D0" w:rsidR="00544D65" w:rsidRPr="00B60C3A" w:rsidRDefault="00544D65" w:rsidP="00EB048E">
    <w:pPr>
      <w:pStyle w:val="Header"/>
      <w:rPr>
        <w:lang w:val="de-DE"/>
      </w:rPr>
    </w:pPr>
    <w:r w:rsidRPr="00B60C3A">
      <w:rPr>
        <w:lang w:val="de-DE"/>
      </w:rPr>
      <w:t>A</w:t>
    </w:r>
    <w:r w:rsidR="00B60C3A" w:rsidRPr="00B60C3A">
      <w:rPr>
        <w:lang w:val="de-DE"/>
      </w:rPr>
      <w:t>nhang zu Anlage</w:t>
    </w:r>
    <w:r w:rsidRPr="00B60C3A">
      <w:rPr>
        <w:lang w:val="de-DE"/>
      </w:rPr>
      <w:t xml:space="preserve"> I, </w:t>
    </w:r>
    <w:r w:rsidR="00B60C3A" w:rsidRPr="00B60C3A">
      <w:rPr>
        <w:lang w:val="de-DE"/>
      </w:rPr>
      <w:t>Seite</w:t>
    </w:r>
    <w:r w:rsidRPr="00B60C3A">
      <w:rPr>
        <w:lang w:val="de-DE"/>
      </w:rPr>
      <w:t xml:space="preserve"> </w:t>
    </w:r>
    <w:r w:rsidRPr="00C5280D">
      <w:rPr>
        <w:rStyle w:val="PageNumber"/>
        <w:lang w:val="en-US"/>
      </w:rPr>
      <w:fldChar w:fldCharType="begin"/>
    </w:r>
    <w:r w:rsidRPr="00B60C3A">
      <w:rPr>
        <w:rStyle w:val="PageNumber"/>
        <w:lang w:val="de-DE"/>
      </w:rPr>
      <w:instrText xml:space="preserve"> PAGE </w:instrText>
    </w:r>
    <w:r w:rsidRPr="00C5280D">
      <w:rPr>
        <w:rStyle w:val="PageNumber"/>
        <w:lang w:val="en-US"/>
      </w:rPr>
      <w:fldChar w:fldCharType="separate"/>
    </w:r>
    <w:r w:rsidR="00443D82">
      <w:rPr>
        <w:rStyle w:val="PageNumber"/>
        <w:noProof/>
        <w:lang w:val="de-DE"/>
      </w:rPr>
      <w:t>3</w:t>
    </w:r>
    <w:r w:rsidRPr="00C5280D">
      <w:rPr>
        <w:rStyle w:val="PageNumber"/>
        <w:lang w:val="en-US"/>
      </w:rPr>
      <w:fldChar w:fldCharType="end"/>
    </w:r>
  </w:p>
  <w:p w14:paraId="057204FC" w14:textId="77777777" w:rsidR="00544D65" w:rsidRPr="00B60C3A" w:rsidRDefault="00544D65" w:rsidP="006655D3">
    <w:pP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EFF" w14:textId="77777777" w:rsidR="00544D65" w:rsidRPr="005571B2" w:rsidRDefault="00544D65" w:rsidP="00331E79">
    <w:pPr>
      <w:pStyle w:val="Header"/>
      <w:rPr>
        <w:rStyle w:val="PageNumber"/>
        <w:lang w:val="de-DE"/>
      </w:rPr>
    </w:pPr>
    <w:r w:rsidRPr="005571B2">
      <w:rPr>
        <w:rStyle w:val="PageNumber"/>
        <w:lang w:val="de-DE"/>
      </w:rPr>
      <w:t>CAJ/79/INF/4</w:t>
    </w:r>
  </w:p>
  <w:p w14:paraId="34D3737A" w14:textId="77777777" w:rsidR="00544D65" w:rsidRPr="005571B2" w:rsidRDefault="00544D65" w:rsidP="00331E79">
    <w:pPr>
      <w:pStyle w:val="Header"/>
      <w:rPr>
        <w:lang w:val="de-DE"/>
      </w:rPr>
    </w:pPr>
  </w:p>
  <w:p w14:paraId="2F01DCF3" w14:textId="563940B5" w:rsidR="00544D65" w:rsidRPr="005571B2" w:rsidRDefault="00BA2B86" w:rsidP="00331E79">
    <w:pPr>
      <w:pStyle w:val="Header"/>
      <w:rPr>
        <w:lang w:val="de-DE"/>
      </w:rPr>
    </w:pPr>
    <w:r w:rsidRPr="005571B2">
      <w:rPr>
        <w:lang w:val="de-DE"/>
      </w:rPr>
      <w:t>AN</w:t>
    </w:r>
    <w:r w:rsidR="00B60C3A" w:rsidRPr="005571B2">
      <w:rPr>
        <w:lang w:val="de-DE"/>
      </w:rPr>
      <w:t>HANG</w:t>
    </w:r>
    <w:r w:rsidRPr="005571B2">
      <w:rPr>
        <w:lang w:val="de-DE"/>
      </w:rPr>
      <w:t xml:space="preserve"> ZU ANLAGE</w:t>
    </w:r>
    <w:r w:rsidR="00544D65" w:rsidRPr="005571B2">
      <w:rPr>
        <w:lang w:val="de-DE"/>
      </w:rPr>
      <w:t xml:space="preserve"> I</w:t>
    </w:r>
  </w:p>
  <w:p w14:paraId="758610A5" w14:textId="77777777" w:rsidR="00544D65" w:rsidRPr="005571B2" w:rsidRDefault="00544D65" w:rsidP="0004198B">
    <w:pPr>
      <w:pStyle w:val="Heade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C080" w14:textId="77777777" w:rsidR="00544D65" w:rsidRDefault="00544D65" w:rsidP="00331E79">
    <w:pPr>
      <w:pStyle w:val="Header"/>
      <w:rPr>
        <w:rStyle w:val="PageNumber"/>
        <w:lang w:val="fr-CH"/>
      </w:rPr>
    </w:pPr>
    <w:r>
      <w:rPr>
        <w:rStyle w:val="PageNumber"/>
        <w:lang w:val="fr-CH"/>
      </w:rPr>
      <w:t>CAJ/79/INF/4</w:t>
    </w:r>
  </w:p>
  <w:p w14:paraId="1EEFC6C5" w14:textId="21241B9D" w:rsidR="00544D65" w:rsidRPr="007263AF" w:rsidRDefault="00544D65" w:rsidP="00EB048E">
    <w:pPr>
      <w:pStyle w:val="Header"/>
    </w:pPr>
    <w:r w:rsidRPr="007263AF">
      <w:t xml:space="preserve">Annex II, page </w:t>
    </w:r>
    <w:r w:rsidRPr="00C5280D">
      <w:rPr>
        <w:rStyle w:val="PageNumber"/>
        <w:lang w:val="en-US"/>
      </w:rPr>
      <w:fldChar w:fldCharType="begin"/>
    </w:r>
    <w:r w:rsidRPr="007263AF">
      <w:rPr>
        <w:rStyle w:val="PageNumber"/>
      </w:rPr>
      <w:instrText xml:space="preserve"> PAGE </w:instrText>
    </w:r>
    <w:r w:rsidRPr="00C5280D">
      <w:rPr>
        <w:rStyle w:val="PageNumber"/>
        <w:lang w:val="en-US"/>
      </w:rPr>
      <w:fldChar w:fldCharType="separate"/>
    </w:r>
    <w:r w:rsidR="00443D82">
      <w:rPr>
        <w:rStyle w:val="PageNumber"/>
        <w:noProof/>
      </w:rPr>
      <w:t>7</w:t>
    </w:r>
    <w:r w:rsidRPr="00C5280D">
      <w:rPr>
        <w:rStyle w:val="PageNumber"/>
        <w:lang w:val="en-US"/>
      </w:rPr>
      <w:fldChar w:fldCharType="end"/>
    </w:r>
  </w:p>
  <w:p w14:paraId="6FA925FE" w14:textId="77777777" w:rsidR="00544D65" w:rsidRPr="007263AF" w:rsidRDefault="00544D65" w:rsidP="006655D3">
    <w:pP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890B" w14:textId="77777777" w:rsidR="00544D65" w:rsidRPr="00331E79" w:rsidRDefault="00544D65" w:rsidP="00331E79">
    <w:pPr>
      <w:pStyle w:val="Header"/>
      <w:rPr>
        <w:rStyle w:val="PageNumber"/>
        <w:lang w:val="en-US"/>
      </w:rPr>
    </w:pPr>
    <w:r w:rsidRPr="00331E79">
      <w:rPr>
        <w:rStyle w:val="PageNumber"/>
        <w:lang w:val="en-US"/>
      </w:rPr>
      <w:t>CAJ/79/INF/4</w:t>
    </w:r>
  </w:p>
  <w:p w14:paraId="2EE033FA" w14:textId="77777777" w:rsidR="00544D65" w:rsidRPr="00331E79" w:rsidRDefault="00544D65" w:rsidP="00331E79">
    <w:pPr>
      <w:pStyle w:val="Header"/>
      <w:rPr>
        <w:lang w:val="en-US"/>
      </w:rPr>
    </w:pPr>
  </w:p>
  <w:p w14:paraId="6A36D483" w14:textId="18468856" w:rsidR="00544D65" w:rsidRPr="00331E79" w:rsidRDefault="00544D65" w:rsidP="00331E79">
    <w:pPr>
      <w:pStyle w:val="Header"/>
      <w:rPr>
        <w:lang w:val="en-US"/>
      </w:rPr>
    </w:pPr>
    <w:r w:rsidRPr="00331E79">
      <w:rPr>
        <w:lang w:val="en-US"/>
      </w:rPr>
      <w:t>AN</w:t>
    </w:r>
    <w:r w:rsidR="001A3CE8">
      <w:rPr>
        <w:lang w:val="en-US"/>
      </w:rPr>
      <w:t>LAGE</w:t>
    </w:r>
    <w:r>
      <w:rPr>
        <w:lang w:val="en-US"/>
      </w:rPr>
      <w:t xml:space="preserve"> II</w:t>
    </w:r>
  </w:p>
  <w:p w14:paraId="5483857F" w14:textId="77777777" w:rsidR="00544D65" w:rsidRPr="00331E79" w:rsidRDefault="00544D65" w:rsidP="0004198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EAE4" w14:textId="77777777" w:rsidR="00EA4D0B" w:rsidRDefault="00EA4D0B" w:rsidP="00EA4D0B">
    <w:pPr>
      <w:pStyle w:val="Header"/>
      <w:rPr>
        <w:rStyle w:val="PageNumber"/>
        <w:lang w:val="en-US"/>
      </w:rPr>
    </w:pPr>
    <w:r>
      <w:rPr>
        <w:rStyle w:val="PageNumber"/>
        <w:lang w:val="en-US"/>
      </w:rPr>
      <w:t>CAJ/79/INF/4</w:t>
    </w:r>
  </w:p>
  <w:p w14:paraId="015B176F" w14:textId="012D7085" w:rsidR="00B45C3C" w:rsidRDefault="00840DF3" w:rsidP="00840DF3">
    <w:pPr>
      <w:jc w:val="center"/>
    </w:pPr>
    <w:proofErr w:type="spellStart"/>
    <w:r>
      <w:t>Seite</w:t>
    </w:r>
    <w:proofErr w:type="spellEnd"/>
    <w:r>
      <w:t xml:space="preserve"> 2</w:t>
    </w:r>
  </w:p>
  <w:p w14:paraId="5A213592" w14:textId="77777777" w:rsidR="004C3D3B" w:rsidRPr="00C5280D" w:rsidRDefault="004C3D3B" w:rsidP="00840DF3">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B991" w14:textId="77777777" w:rsidR="006F4D8A" w:rsidRDefault="006F4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C435" w14:textId="77777777" w:rsidR="00266791" w:rsidRDefault="00266791" w:rsidP="00266791">
    <w:pPr>
      <w:pStyle w:val="Header"/>
      <w:rPr>
        <w:rStyle w:val="PageNumber"/>
        <w:lang w:val="en-US"/>
      </w:rPr>
    </w:pPr>
    <w:r>
      <w:rPr>
        <w:rStyle w:val="PageNumber"/>
        <w:lang w:val="en-US"/>
      </w:rPr>
      <w:t>CAJ/79/INF/4</w:t>
    </w:r>
  </w:p>
  <w:p w14:paraId="1DC7B79B" w14:textId="7F618DDC" w:rsidR="00C120ED" w:rsidRDefault="00266791" w:rsidP="00266791">
    <w:pPr>
      <w:jc w:val="center"/>
    </w:pPr>
    <w:proofErr w:type="spellStart"/>
    <w:r>
      <w:t>Seite</w:t>
    </w:r>
    <w:proofErr w:type="spellEnd"/>
    <w:r>
      <w:t xml:space="preserve"> 3</w:t>
    </w:r>
  </w:p>
  <w:p w14:paraId="77C84ED9" w14:textId="77777777" w:rsidR="00266791" w:rsidRPr="00C5280D" w:rsidRDefault="00266791" w:rsidP="0019624B">
    <w:pPr>
      <w:spacing w:line="360" w:lineRule="auto"/>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C6C8" w14:textId="77777777" w:rsidR="004253E2" w:rsidRDefault="004253E2" w:rsidP="00266791">
    <w:pPr>
      <w:pStyle w:val="Header"/>
      <w:rPr>
        <w:rStyle w:val="PageNumber"/>
        <w:lang w:val="en-US"/>
      </w:rPr>
    </w:pPr>
    <w:r>
      <w:rPr>
        <w:rStyle w:val="PageNumber"/>
        <w:lang w:val="en-US"/>
      </w:rPr>
      <w:t>CAJ/79/INF/4</w:t>
    </w:r>
  </w:p>
  <w:p w14:paraId="53180514" w14:textId="4B1E0A5F" w:rsidR="004D7B25" w:rsidRDefault="004253E2" w:rsidP="006F4D8A">
    <w:pPr>
      <w:jc w:val="center"/>
    </w:pPr>
    <w:proofErr w:type="spellStart"/>
    <w:r>
      <w:t>Seite</w:t>
    </w:r>
    <w:proofErr w:type="spellEnd"/>
    <w:r>
      <w:t xml:space="preserve"> </w:t>
    </w:r>
    <w:r w:rsidR="0006797C">
      <w:t>4</w:t>
    </w:r>
  </w:p>
  <w:p w14:paraId="677E1103" w14:textId="77777777" w:rsidR="004253E2" w:rsidRPr="00C5280D" w:rsidRDefault="004253E2" w:rsidP="00266791">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D150B" w14:textId="77777777" w:rsidR="0052435D" w:rsidRDefault="0052435D" w:rsidP="00266791">
    <w:pPr>
      <w:pStyle w:val="Header"/>
      <w:rPr>
        <w:rStyle w:val="PageNumber"/>
        <w:lang w:val="en-US"/>
      </w:rPr>
    </w:pPr>
    <w:r>
      <w:rPr>
        <w:rStyle w:val="PageNumber"/>
        <w:lang w:val="en-US"/>
      </w:rPr>
      <w:t>CAJ/79/INF/4</w:t>
    </w:r>
  </w:p>
  <w:p w14:paraId="1B0D2D80" w14:textId="52A9F752" w:rsidR="0052435D" w:rsidRDefault="0052435D" w:rsidP="00266791">
    <w:pPr>
      <w:jc w:val="center"/>
    </w:pPr>
    <w:proofErr w:type="spellStart"/>
    <w:r>
      <w:t>Seite</w:t>
    </w:r>
    <w:proofErr w:type="spellEnd"/>
    <w:r>
      <w:t xml:space="preserve"> 5</w:t>
    </w:r>
  </w:p>
  <w:p w14:paraId="63974D8E" w14:textId="77777777" w:rsidR="0052435D" w:rsidRPr="00C5280D" w:rsidRDefault="0052435D" w:rsidP="00266791">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E0BD" w14:textId="77777777" w:rsidR="00532444" w:rsidRDefault="005324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53" w14:textId="77777777" w:rsidR="00644F13" w:rsidRDefault="00644F13" w:rsidP="00266791">
    <w:pPr>
      <w:pStyle w:val="Header"/>
      <w:rPr>
        <w:rStyle w:val="PageNumber"/>
        <w:lang w:val="en-US"/>
      </w:rPr>
    </w:pPr>
    <w:r>
      <w:rPr>
        <w:rStyle w:val="PageNumber"/>
        <w:lang w:val="en-US"/>
      </w:rPr>
      <w:t>CAJ/79/INF/4</w:t>
    </w:r>
  </w:p>
  <w:p w14:paraId="09F9563D" w14:textId="5EA3E49D" w:rsidR="00644F13" w:rsidRDefault="00644F13" w:rsidP="00266791">
    <w:pPr>
      <w:jc w:val="center"/>
    </w:pPr>
    <w:proofErr w:type="spellStart"/>
    <w:r>
      <w:t>Seite</w:t>
    </w:r>
    <w:proofErr w:type="spellEnd"/>
    <w:r>
      <w:t xml:space="preserve"> 6</w:t>
    </w:r>
  </w:p>
  <w:p w14:paraId="3D6E26A5" w14:textId="77777777" w:rsidR="00644F13" w:rsidRPr="00C5280D" w:rsidRDefault="00644F13" w:rsidP="00266791">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D83D" w14:textId="77777777" w:rsidR="00544D65" w:rsidRPr="00956417" w:rsidRDefault="00544D65">
    <w:pPr>
      <w:pStyle w:val="Header"/>
      <w:rPr>
        <w:lang w:val="en-US"/>
      </w:rPr>
    </w:pPr>
    <w:r w:rsidRPr="00956417">
      <w:rPr>
        <w:lang w:val="en-US"/>
      </w:rPr>
      <w:t>TC/5</w:t>
    </w:r>
    <w:r>
      <w:rPr>
        <w:lang w:val="en-US"/>
      </w:rPr>
      <w:t>8</w:t>
    </w:r>
    <w:r w:rsidRPr="00956417">
      <w:rPr>
        <w:lang w:val="en-US"/>
      </w:rPr>
      <w:t>/</w:t>
    </w:r>
    <w:r>
      <w:rPr>
        <w:lang w:val="en-US"/>
      </w:rPr>
      <w:t>7</w:t>
    </w:r>
  </w:p>
  <w:p w14:paraId="0EDF5AE1" w14:textId="77777777" w:rsidR="00544D65" w:rsidRPr="00956417" w:rsidRDefault="00544D65">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Pr>
        <w:noProof/>
        <w:lang w:val="en-US"/>
      </w:rPr>
      <w:t>3</w:t>
    </w:r>
    <w:r w:rsidRPr="00EF6C3B">
      <w:rPr>
        <w:noProof/>
        <w:lang w:val="fr-CH"/>
      </w:rPr>
      <w:fldChar w:fldCharType="end"/>
    </w:r>
  </w:p>
  <w:p w14:paraId="29AE1E7D" w14:textId="77777777" w:rsidR="00544D65" w:rsidRPr="00956417" w:rsidRDefault="00544D6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40A95B8"/>
    <w:lvl w:ilvl="0" w:tplc="50124E3C">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6B11"/>
    <w:rsid w:val="00007CA2"/>
    <w:rsid w:val="00010375"/>
    <w:rsid w:val="00010CF3"/>
    <w:rsid w:val="00011E27"/>
    <w:rsid w:val="000148BC"/>
    <w:rsid w:val="00014C2E"/>
    <w:rsid w:val="00022A55"/>
    <w:rsid w:val="00024AB8"/>
    <w:rsid w:val="00030854"/>
    <w:rsid w:val="00033BE3"/>
    <w:rsid w:val="00033F9D"/>
    <w:rsid w:val="00036028"/>
    <w:rsid w:val="0004198B"/>
    <w:rsid w:val="00041FEB"/>
    <w:rsid w:val="00044642"/>
    <w:rsid w:val="000446B9"/>
    <w:rsid w:val="00045DCC"/>
    <w:rsid w:val="00047E21"/>
    <w:rsid w:val="00050E16"/>
    <w:rsid w:val="000556B8"/>
    <w:rsid w:val="0006797C"/>
    <w:rsid w:val="00070D2F"/>
    <w:rsid w:val="0007489D"/>
    <w:rsid w:val="000755D5"/>
    <w:rsid w:val="00080B09"/>
    <w:rsid w:val="00080B9B"/>
    <w:rsid w:val="00081C0A"/>
    <w:rsid w:val="000821D5"/>
    <w:rsid w:val="000844F7"/>
    <w:rsid w:val="00085505"/>
    <w:rsid w:val="00087639"/>
    <w:rsid w:val="00093E45"/>
    <w:rsid w:val="00097413"/>
    <w:rsid w:val="000A0EC3"/>
    <w:rsid w:val="000A5622"/>
    <w:rsid w:val="000A6B21"/>
    <w:rsid w:val="000C45ED"/>
    <w:rsid w:val="000C4E25"/>
    <w:rsid w:val="000C7021"/>
    <w:rsid w:val="000C74DF"/>
    <w:rsid w:val="000C76AF"/>
    <w:rsid w:val="000D0337"/>
    <w:rsid w:val="000D03C0"/>
    <w:rsid w:val="000D0CE8"/>
    <w:rsid w:val="000D1394"/>
    <w:rsid w:val="000D6BBC"/>
    <w:rsid w:val="000D7780"/>
    <w:rsid w:val="000E070A"/>
    <w:rsid w:val="000E636A"/>
    <w:rsid w:val="000E66D9"/>
    <w:rsid w:val="000E79AD"/>
    <w:rsid w:val="000F0C59"/>
    <w:rsid w:val="000F2F11"/>
    <w:rsid w:val="00100A5F"/>
    <w:rsid w:val="00105929"/>
    <w:rsid w:val="00110BED"/>
    <w:rsid w:val="00110C36"/>
    <w:rsid w:val="001128CC"/>
    <w:rsid w:val="001131D5"/>
    <w:rsid w:val="00114547"/>
    <w:rsid w:val="0012396D"/>
    <w:rsid w:val="0013313F"/>
    <w:rsid w:val="00141DB8"/>
    <w:rsid w:val="001434E6"/>
    <w:rsid w:val="00155695"/>
    <w:rsid w:val="0016564A"/>
    <w:rsid w:val="00172084"/>
    <w:rsid w:val="001730CB"/>
    <w:rsid w:val="0017474A"/>
    <w:rsid w:val="001758C6"/>
    <w:rsid w:val="0017765A"/>
    <w:rsid w:val="00182B99"/>
    <w:rsid w:val="0019624B"/>
    <w:rsid w:val="001A2237"/>
    <w:rsid w:val="001A291C"/>
    <w:rsid w:val="001A3CE8"/>
    <w:rsid w:val="001A70B7"/>
    <w:rsid w:val="001B176E"/>
    <w:rsid w:val="001B36A8"/>
    <w:rsid w:val="001B608D"/>
    <w:rsid w:val="001C1525"/>
    <w:rsid w:val="001D00D6"/>
    <w:rsid w:val="001D040E"/>
    <w:rsid w:val="001D0DDD"/>
    <w:rsid w:val="001D58FA"/>
    <w:rsid w:val="001E0AA7"/>
    <w:rsid w:val="001E5B2B"/>
    <w:rsid w:val="001F0CFA"/>
    <w:rsid w:val="0020189A"/>
    <w:rsid w:val="0021332C"/>
    <w:rsid w:val="00213982"/>
    <w:rsid w:val="00233706"/>
    <w:rsid w:val="00242019"/>
    <w:rsid w:val="0024416D"/>
    <w:rsid w:val="00244B87"/>
    <w:rsid w:val="00250A97"/>
    <w:rsid w:val="00262086"/>
    <w:rsid w:val="00262B59"/>
    <w:rsid w:val="00264CB1"/>
    <w:rsid w:val="00266737"/>
    <w:rsid w:val="00266791"/>
    <w:rsid w:val="0027044D"/>
    <w:rsid w:val="00270823"/>
    <w:rsid w:val="00271911"/>
    <w:rsid w:val="00273187"/>
    <w:rsid w:val="00273DD5"/>
    <w:rsid w:val="002800A0"/>
    <w:rsid w:val="002801B3"/>
    <w:rsid w:val="00280920"/>
    <w:rsid w:val="00281060"/>
    <w:rsid w:val="00284050"/>
    <w:rsid w:val="00285BD0"/>
    <w:rsid w:val="00290932"/>
    <w:rsid w:val="00291145"/>
    <w:rsid w:val="00292E98"/>
    <w:rsid w:val="002940E8"/>
    <w:rsid w:val="00294751"/>
    <w:rsid w:val="00296933"/>
    <w:rsid w:val="002A5016"/>
    <w:rsid w:val="002A6E50"/>
    <w:rsid w:val="002B4298"/>
    <w:rsid w:val="002B6D26"/>
    <w:rsid w:val="002B6E81"/>
    <w:rsid w:val="002B7A36"/>
    <w:rsid w:val="002B7F3B"/>
    <w:rsid w:val="002C256A"/>
    <w:rsid w:val="002C4045"/>
    <w:rsid w:val="002C4371"/>
    <w:rsid w:val="002C74C9"/>
    <w:rsid w:val="002D5226"/>
    <w:rsid w:val="002E07AF"/>
    <w:rsid w:val="002E2C82"/>
    <w:rsid w:val="002E394E"/>
    <w:rsid w:val="002F69AD"/>
    <w:rsid w:val="0030273F"/>
    <w:rsid w:val="00302FB8"/>
    <w:rsid w:val="00303EDC"/>
    <w:rsid w:val="00305A7F"/>
    <w:rsid w:val="00313FE1"/>
    <w:rsid w:val="003152FE"/>
    <w:rsid w:val="0031614E"/>
    <w:rsid w:val="00316642"/>
    <w:rsid w:val="00321CB8"/>
    <w:rsid w:val="00321D3E"/>
    <w:rsid w:val="00323E96"/>
    <w:rsid w:val="00327436"/>
    <w:rsid w:val="00331E79"/>
    <w:rsid w:val="00332593"/>
    <w:rsid w:val="00332D5A"/>
    <w:rsid w:val="003331D4"/>
    <w:rsid w:val="003413A8"/>
    <w:rsid w:val="00341F58"/>
    <w:rsid w:val="00344BD6"/>
    <w:rsid w:val="00344E29"/>
    <w:rsid w:val="0035528D"/>
    <w:rsid w:val="00361821"/>
    <w:rsid w:val="00361E9E"/>
    <w:rsid w:val="00363F9F"/>
    <w:rsid w:val="00374D3F"/>
    <w:rsid w:val="003753EE"/>
    <w:rsid w:val="00377668"/>
    <w:rsid w:val="00393BEA"/>
    <w:rsid w:val="003A0835"/>
    <w:rsid w:val="003A5AAF"/>
    <w:rsid w:val="003B0492"/>
    <w:rsid w:val="003B19CB"/>
    <w:rsid w:val="003B490A"/>
    <w:rsid w:val="003B700A"/>
    <w:rsid w:val="003C305E"/>
    <w:rsid w:val="003C3494"/>
    <w:rsid w:val="003C7866"/>
    <w:rsid w:val="003C7FBE"/>
    <w:rsid w:val="003D029A"/>
    <w:rsid w:val="003D227C"/>
    <w:rsid w:val="003D2B4D"/>
    <w:rsid w:val="003D6376"/>
    <w:rsid w:val="003E3742"/>
    <w:rsid w:val="003F37F5"/>
    <w:rsid w:val="003F3B8D"/>
    <w:rsid w:val="00403B99"/>
    <w:rsid w:val="00411E84"/>
    <w:rsid w:val="00415D4E"/>
    <w:rsid w:val="00417590"/>
    <w:rsid w:val="004211A9"/>
    <w:rsid w:val="00425220"/>
    <w:rsid w:val="004253E2"/>
    <w:rsid w:val="00434C17"/>
    <w:rsid w:val="00435636"/>
    <w:rsid w:val="00443383"/>
    <w:rsid w:val="00443D82"/>
    <w:rsid w:val="00444A88"/>
    <w:rsid w:val="0044628A"/>
    <w:rsid w:val="00451098"/>
    <w:rsid w:val="00460D85"/>
    <w:rsid w:val="00465C5D"/>
    <w:rsid w:val="00473809"/>
    <w:rsid w:val="00474DA4"/>
    <w:rsid w:val="00476B4D"/>
    <w:rsid w:val="004805FA"/>
    <w:rsid w:val="00485CE3"/>
    <w:rsid w:val="00486482"/>
    <w:rsid w:val="00486CDA"/>
    <w:rsid w:val="004877DD"/>
    <w:rsid w:val="004879CA"/>
    <w:rsid w:val="00487AAC"/>
    <w:rsid w:val="004935D2"/>
    <w:rsid w:val="00495C2A"/>
    <w:rsid w:val="004A0D1E"/>
    <w:rsid w:val="004A5A2B"/>
    <w:rsid w:val="004A6A8B"/>
    <w:rsid w:val="004B1215"/>
    <w:rsid w:val="004C3D3B"/>
    <w:rsid w:val="004C7097"/>
    <w:rsid w:val="004D047D"/>
    <w:rsid w:val="004D0965"/>
    <w:rsid w:val="004D6AC1"/>
    <w:rsid w:val="004D7B25"/>
    <w:rsid w:val="004E1B30"/>
    <w:rsid w:val="004F1E9E"/>
    <w:rsid w:val="004F1FE3"/>
    <w:rsid w:val="004F305A"/>
    <w:rsid w:val="004F4CE3"/>
    <w:rsid w:val="0050385F"/>
    <w:rsid w:val="00512164"/>
    <w:rsid w:val="00517443"/>
    <w:rsid w:val="00520297"/>
    <w:rsid w:val="00520524"/>
    <w:rsid w:val="005212B4"/>
    <w:rsid w:val="0052435D"/>
    <w:rsid w:val="00531318"/>
    <w:rsid w:val="00531A5F"/>
    <w:rsid w:val="00531DCD"/>
    <w:rsid w:val="00532395"/>
    <w:rsid w:val="00532444"/>
    <w:rsid w:val="005338F9"/>
    <w:rsid w:val="005348C5"/>
    <w:rsid w:val="0054281C"/>
    <w:rsid w:val="00544581"/>
    <w:rsid w:val="00544D65"/>
    <w:rsid w:val="0054764B"/>
    <w:rsid w:val="00547BC4"/>
    <w:rsid w:val="00550FE1"/>
    <w:rsid w:val="00551461"/>
    <w:rsid w:val="0055268D"/>
    <w:rsid w:val="005571B2"/>
    <w:rsid w:val="00566C22"/>
    <w:rsid w:val="0057383A"/>
    <w:rsid w:val="00574948"/>
    <w:rsid w:val="00575DE2"/>
    <w:rsid w:val="00576BE4"/>
    <w:rsid w:val="005779DB"/>
    <w:rsid w:val="00583595"/>
    <w:rsid w:val="00584E0E"/>
    <w:rsid w:val="00584F0A"/>
    <w:rsid w:val="005942F2"/>
    <w:rsid w:val="00596792"/>
    <w:rsid w:val="005975CB"/>
    <w:rsid w:val="005A1040"/>
    <w:rsid w:val="005A1369"/>
    <w:rsid w:val="005A2A67"/>
    <w:rsid w:val="005A2B96"/>
    <w:rsid w:val="005A400A"/>
    <w:rsid w:val="005A5C0F"/>
    <w:rsid w:val="005B269D"/>
    <w:rsid w:val="005B6B15"/>
    <w:rsid w:val="005C6C4F"/>
    <w:rsid w:val="005C77C5"/>
    <w:rsid w:val="005D03EE"/>
    <w:rsid w:val="005D705E"/>
    <w:rsid w:val="005F3871"/>
    <w:rsid w:val="005F60A5"/>
    <w:rsid w:val="005F6AB3"/>
    <w:rsid w:val="005F7AB1"/>
    <w:rsid w:val="005F7B92"/>
    <w:rsid w:val="00602062"/>
    <w:rsid w:val="00610B2C"/>
    <w:rsid w:val="00610D3F"/>
    <w:rsid w:val="00612379"/>
    <w:rsid w:val="006153B6"/>
    <w:rsid w:val="0061555F"/>
    <w:rsid w:val="006160CD"/>
    <w:rsid w:val="00617C70"/>
    <w:rsid w:val="00623976"/>
    <w:rsid w:val="006245ED"/>
    <w:rsid w:val="0063470B"/>
    <w:rsid w:val="00636CA6"/>
    <w:rsid w:val="00641200"/>
    <w:rsid w:val="00641B0F"/>
    <w:rsid w:val="00644F13"/>
    <w:rsid w:val="00645CA8"/>
    <w:rsid w:val="00651325"/>
    <w:rsid w:val="00653368"/>
    <w:rsid w:val="00654677"/>
    <w:rsid w:val="006655D3"/>
    <w:rsid w:val="00667404"/>
    <w:rsid w:val="00672C78"/>
    <w:rsid w:val="00673FD4"/>
    <w:rsid w:val="006839C5"/>
    <w:rsid w:val="006856D1"/>
    <w:rsid w:val="0068684F"/>
    <w:rsid w:val="00687EB4"/>
    <w:rsid w:val="006936D3"/>
    <w:rsid w:val="00695C56"/>
    <w:rsid w:val="006A5CDE"/>
    <w:rsid w:val="006A644A"/>
    <w:rsid w:val="006A6D51"/>
    <w:rsid w:val="006A6FC5"/>
    <w:rsid w:val="006A77D7"/>
    <w:rsid w:val="006B17D2"/>
    <w:rsid w:val="006C224E"/>
    <w:rsid w:val="006D780A"/>
    <w:rsid w:val="006E15F1"/>
    <w:rsid w:val="006F0648"/>
    <w:rsid w:val="006F4D8A"/>
    <w:rsid w:val="006F550D"/>
    <w:rsid w:val="006F6D67"/>
    <w:rsid w:val="00701D19"/>
    <w:rsid w:val="0070232A"/>
    <w:rsid w:val="00703F22"/>
    <w:rsid w:val="00710A3C"/>
    <w:rsid w:val="0071271E"/>
    <w:rsid w:val="007165A0"/>
    <w:rsid w:val="00717AEA"/>
    <w:rsid w:val="00720947"/>
    <w:rsid w:val="007263AF"/>
    <w:rsid w:val="00732DEC"/>
    <w:rsid w:val="00735BD5"/>
    <w:rsid w:val="0074027E"/>
    <w:rsid w:val="0074089E"/>
    <w:rsid w:val="00741247"/>
    <w:rsid w:val="00741D7D"/>
    <w:rsid w:val="00744200"/>
    <w:rsid w:val="007442F5"/>
    <w:rsid w:val="007451EC"/>
    <w:rsid w:val="00746039"/>
    <w:rsid w:val="00747DF2"/>
    <w:rsid w:val="00751613"/>
    <w:rsid w:val="00753EE9"/>
    <w:rsid w:val="007556F6"/>
    <w:rsid w:val="00760EEF"/>
    <w:rsid w:val="00762E71"/>
    <w:rsid w:val="00771AC1"/>
    <w:rsid w:val="007726E3"/>
    <w:rsid w:val="00775644"/>
    <w:rsid w:val="00777EE5"/>
    <w:rsid w:val="00780DD2"/>
    <w:rsid w:val="00784836"/>
    <w:rsid w:val="0079023E"/>
    <w:rsid w:val="00790BF4"/>
    <w:rsid w:val="007A2854"/>
    <w:rsid w:val="007A408C"/>
    <w:rsid w:val="007B0F6A"/>
    <w:rsid w:val="007B3BE7"/>
    <w:rsid w:val="007B500F"/>
    <w:rsid w:val="007B5C79"/>
    <w:rsid w:val="007C1D92"/>
    <w:rsid w:val="007C2B53"/>
    <w:rsid w:val="007C461A"/>
    <w:rsid w:val="007C4CB9"/>
    <w:rsid w:val="007D0B9D"/>
    <w:rsid w:val="007D19B0"/>
    <w:rsid w:val="007D4CCD"/>
    <w:rsid w:val="007E249B"/>
    <w:rsid w:val="007E359E"/>
    <w:rsid w:val="007E35EA"/>
    <w:rsid w:val="007E39A0"/>
    <w:rsid w:val="007F17E5"/>
    <w:rsid w:val="007F498F"/>
    <w:rsid w:val="0080679D"/>
    <w:rsid w:val="008108B0"/>
    <w:rsid w:val="00811B20"/>
    <w:rsid w:val="00812609"/>
    <w:rsid w:val="0081419B"/>
    <w:rsid w:val="00815525"/>
    <w:rsid w:val="008211B5"/>
    <w:rsid w:val="0082296E"/>
    <w:rsid w:val="00823868"/>
    <w:rsid w:val="00824099"/>
    <w:rsid w:val="00833EC2"/>
    <w:rsid w:val="00837AEA"/>
    <w:rsid w:val="00837DBE"/>
    <w:rsid w:val="00840DF3"/>
    <w:rsid w:val="00841E29"/>
    <w:rsid w:val="00846D7C"/>
    <w:rsid w:val="008520AD"/>
    <w:rsid w:val="00853B9B"/>
    <w:rsid w:val="00854B42"/>
    <w:rsid w:val="00855578"/>
    <w:rsid w:val="0085642A"/>
    <w:rsid w:val="008573C4"/>
    <w:rsid w:val="0086320F"/>
    <w:rsid w:val="00867AC1"/>
    <w:rsid w:val="00870B1C"/>
    <w:rsid w:val="00871954"/>
    <w:rsid w:val="008721D2"/>
    <w:rsid w:val="008751DE"/>
    <w:rsid w:val="008861A4"/>
    <w:rsid w:val="00890DF8"/>
    <w:rsid w:val="0089640A"/>
    <w:rsid w:val="008A002C"/>
    <w:rsid w:val="008A018A"/>
    <w:rsid w:val="008A0ADE"/>
    <w:rsid w:val="008A3624"/>
    <w:rsid w:val="008A454A"/>
    <w:rsid w:val="008A743F"/>
    <w:rsid w:val="008C0970"/>
    <w:rsid w:val="008D0BC5"/>
    <w:rsid w:val="008D0F14"/>
    <w:rsid w:val="008D2CF7"/>
    <w:rsid w:val="008D32A4"/>
    <w:rsid w:val="008F0B34"/>
    <w:rsid w:val="008F60AC"/>
    <w:rsid w:val="00900C26"/>
    <w:rsid w:val="0090197F"/>
    <w:rsid w:val="00903264"/>
    <w:rsid w:val="00906DDC"/>
    <w:rsid w:val="00920473"/>
    <w:rsid w:val="00932642"/>
    <w:rsid w:val="00933B33"/>
    <w:rsid w:val="00934E09"/>
    <w:rsid w:val="00936253"/>
    <w:rsid w:val="00940D46"/>
    <w:rsid w:val="009413F1"/>
    <w:rsid w:val="00942F59"/>
    <w:rsid w:val="00952DD4"/>
    <w:rsid w:val="00953563"/>
    <w:rsid w:val="009561F4"/>
    <w:rsid w:val="009623F5"/>
    <w:rsid w:val="0096401C"/>
    <w:rsid w:val="00965AE7"/>
    <w:rsid w:val="00970583"/>
    <w:rsid w:val="00970FED"/>
    <w:rsid w:val="00971116"/>
    <w:rsid w:val="00975A3E"/>
    <w:rsid w:val="009830DE"/>
    <w:rsid w:val="00985B47"/>
    <w:rsid w:val="00987587"/>
    <w:rsid w:val="00992D82"/>
    <w:rsid w:val="00997029"/>
    <w:rsid w:val="009A261A"/>
    <w:rsid w:val="009A7339"/>
    <w:rsid w:val="009A7F0F"/>
    <w:rsid w:val="009B069C"/>
    <w:rsid w:val="009B1827"/>
    <w:rsid w:val="009B394C"/>
    <w:rsid w:val="009B440E"/>
    <w:rsid w:val="009B6897"/>
    <w:rsid w:val="009C1CFD"/>
    <w:rsid w:val="009D1203"/>
    <w:rsid w:val="009D374D"/>
    <w:rsid w:val="009D3B2C"/>
    <w:rsid w:val="009D690D"/>
    <w:rsid w:val="009E3540"/>
    <w:rsid w:val="009E5230"/>
    <w:rsid w:val="009E65B6"/>
    <w:rsid w:val="009E7AC0"/>
    <w:rsid w:val="009F0A51"/>
    <w:rsid w:val="009F1CE6"/>
    <w:rsid w:val="009F77CF"/>
    <w:rsid w:val="00A11573"/>
    <w:rsid w:val="00A13D65"/>
    <w:rsid w:val="00A2260B"/>
    <w:rsid w:val="00A229DC"/>
    <w:rsid w:val="00A24C10"/>
    <w:rsid w:val="00A323DC"/>
    <w:rsid w:val="00A35A8F"/>
    <w:rsid w:val="00A42AC3"/>
    <w:rsid w:val="00A430CF"/>
    <w:rsid w:val="00A43B17"/>
    <w:rsid w:val="00A44A96"/>
    <w:rsid w:val="00A44F0E"/>
    <w:rsid w:val="00A50B01"/>
    <w:rsid w:val="00A522EE"/>
    <w:rsid w:val="00A535F5"/>
    <w:rsid w:val="00A53C44"/>
    <w:rsid w:val="00A54309"/>
    <w:rsid w:val="00A60CB8"/>
    <w:rsid w:val="00A610A9"/>
    <w:rsid w:val="00A6563D"/>
    <w:rsid w:val="00A66D04"/>
    <w:rsid w:val="00A80F2A"/>
    <w:rsid w:val="00A813A0"/>
    <w:rsid w:val="00A86630"/>
    <w:rsid w:val="00A873C3"/>
    <w:rsid w:val="00A91812"/>
    <w:rsid w:val="00A91EF2"/>
    <w:rsid w:val="00A92D14"/>
    <w:rsid w:val="00A96C33"/>
    <w:rsid w:val="00AA2F04"/>
    <w:rsid w:val="00AA3B10"/>
    <w:rsid w:val="00AA47EC"/>
    <w:rsid w:val="00AB14E2"/>
    <w:rsid w:val="00AB2B93"/>
    <w:rsid w:val="00AB530F"/>
    <w:rsid w:val="00AB5A14"/>
    <w:rsid w:val="00AB6EEA"/>
    <w:rsid w:val="00AB7E5B"/>
    <w:rsid w:val="00AC0A1D"/>
    <w:rsid w:val="00AC10D8"/>
    <w:rsid w:val="00AC2883"/>
    <w:rsid w:val="00AC6367"/>
    <w:rsid w:val="00AD21AD"/>
    <w:rsid w:val="00AE0EF1"/>
    <w:rsid w:val="00AE1FBF"/>
    <w:rsid w:val="00AE2937"/>
    <w:rsid w:val="00AF105F"/>
    <w:rsid w:val="00AF2B39"/>
    <w:rsid w:val="00B07068"/>
    <w:rsid w:val="00B07301"/>
    <w:rsid w:val="00B11F3E"/>
    <w:rsid w:val="00B14EC4"/>
    <w:rsid w:val="00B224DE"/>
    <w:rsid w:val="00B2359E"/>
    <w:rsid w:val="00B27672"/>
    <w:rsid w:val="00B30AE3"/>
    <w:rsid w:val="00B3204E"/>
    <w:rsid w:val="00B324D4"/>
    <w:rsid w:val="00B33B82"/>
    <w:rsid w:val="00B340F3"/>
    <w:rsid w:val="00B37874"/>
    <w:rsid w:val="00B402ED"/>
    <w:rsid w:val="00B4421E"/>
    <w:rsid w:val="00B4464D"/>
    <w:rsid w:val="00B44B16"/>
    <w:rsid w:val="00B45C3C"/>
    <w:rsid w:val="00B46575"/>
    <w:rsid w:val="00B46A79"/>
    <w:rsid w:val="00B50A80"/>
    <w:rsid w:val="00B556F0"/>
    <w:rsid w:val="00B6076B"/>
    <w:rsid w:val="00B60C3A"/>
    <w:rsid w:val="00B61777"/>
    <w:rsid w:val="00B622E6"/>
    <w:rsid w:val="00B63647"/>
    <w:rsid w:val="00B64C14"/>
    <w:rsid w:val="00B65860"/>
    <w:rsid w:val="00B70B72"/>
    <w:rsid w:val="00B748DF"/>
    <w:rsid w:val="00B75B5F"/>
    <w:rsid w:val="00B760F2"/>
    <w:rsid w:val="00B76EF6"/>
    <w:rsid w:val="00B83E82"/>
    <w:rsid w:val="00B84BBD"/>
    <w:rsid w:val="00B86394"/>
    <w:rsid w:val="00B870C3"/>
    <w:rsid w:val="00B941C5"/>
    <w:rsid w:val="00BA0A0B"/>
    <w:rsid w:val="00BA2B86"/>
    <w:rsid w:val="00BA43FB"/>
    <w:rsid w:val="00BA48EB"/>
    <w:rsid w:val="00BA4966"/>
    <w:rsid w:val="00BB0E36"/>
    <w:rsid w:val="00BC127D"/>
    <w:rsid w:val="00BC1FE6"/>
    <w:rsid w:val="00BC6E32"/>
    <w:rsid w:val="00BD5379"/>
    <w:rsid w:val="00BE2824"/>
    <w:rsid w:val="00BF0FFE"/>
    <w:rsid w:val="00BF35F9"/>
    <w:rsid w:val="00BF7ABB"/>
    <w:rsid w:val="00C0568E"/>
    <w:rsid w:val="00C061B6"/>
    <w:rsid w:val="00C11F42"/>
    <w:rsid w:val="00C120ED"/>
    <w:rsid w:val="00C14400"/>
    <w:rsid w:val="00C23B8F"/>
    <w:rsid w:val="00C2446C"/>
    <w:rsid w:val="00C24A10"/>
    <w:rsid w:val="00C25C2B"/>
    <w:rsid w:val="00C27144"/>
    <w:rsid w:val="00C31BD5"/>
    <w:rsid w:val="00C326B7"/>
    <w:rsid w:val="00C327B6"/>
    <w:rsid w:val="00C36AE5"/>
    <w:rsid w:val="00C41F17"/>
    <w:rsid w:val="00C5160F"/>
    <w:rsid w:val="00C527FA"/>
    <w:rsid w:val="00C5280D"/>
    <w:rsid w:val="00C53EB3"/>
    <w:rsid w:val="00C5610D"/>
    <w:rsid w:val="00C5791C"/>
    <w:rsid w:val="00C625EE"/>
    <w:rsid w:val="00C66290"/>
    <w:rsid w:val="00C72B7A"/>
    <w:rsid w:val="00C81786"/>
    <w:rsid w:val="00C82148"/>
    <w:rsid w:val="00C87E07"/>
    <w:rsid w:val="00C92B63"/>
    <w:rsid w:val="00C93056"/>
    <w:rsid w:val="00C973F2"/>
    <w:rsid w:val="00CA304C"/>
    <w:rsid w:val="00CA3726"/>
    <w:rsid w:val="00CA774A"/>
    <w:rsid w:val="00CB34ED"/>
    <w:rsid w:val="00CB3E24"/>
    <w:rsid w:val="00CB4921"/>
    <w:rsid w:val="00CC11B0"/>
    <w:rsid w:val="00CC2841"/>
    <w:rsid w:val="00CC66A3"/>
    <w:rsid w:val="00CF1330"/>
    <w:rsid w:val="00CF7E36"/>
    <w:rsid w:val="00D1284B"/>
    <w:rsid w:val="00D164A3"/>
    <w:rsid w:val="00D17ECD"/>
    <w:rsid w:val="00D226D8"/>
    <w:rsid w:val="00D32D59"/>
    <w:rsid w:val="00D34DE8"/>
    <w:rsid w:val="00D3708D"/>
    <w:rsid w:val="00D40426"/>
    <w:rsid w:val="00D4074A"/>
    <w:rsid w:val="00D41A9E"/>
    <w:rsid w:val="00D50577"/>
    <w:rsid w:val="00D51C0B"/>
    <w:rsid w:val="00D536AA"/>
    <w:rsid w:val="00D57C96"/>
    <w:rsid w:val="00D57D18"/>
    <w:rsid w:val="00D616D3"/>
    <w:rsid w:val="00D63D03"/>
    <w:rsid w:val="00D70E65"/>
    <w:rsid w:val="00D739F8"/>
    <w:rsid w:val="00D81049"/>
    <w:rsid w:val="00D82EE9"/>
    <w:rsid w:val="00D85961"/>
    <w:rsid w:val="00D87525"/>
    <w:rsid w:val="00D91203"/>
    <w:rsid w:val="00D95174"/>
    <w:rsid w:val="00DA4973"/>
    <w:rsid w:val="00DA6F36"/>
    <w:rsid w:val="00DA719E"/>
    <w:rsid w:val="00DB025D"/>
    <w:rsid w:val="00DB1773"/>
    <w:rsid w:val="00DB596E"/>
    <w:rsid w:val="00DB7772"/>
    <w:rsid w:val="00DB7773"/>
    <w:rsid w:val="00DC00EA"/>
    <w:rsid w:val="00DC3802"/>
    <w:rsid w:val="00DC4EB0"/>
    <w:rsid w:val="00DD2F7B"/>
    <w:rsid w:val="00DD340B"/>
    <w:rsid w:val="00DD4C0A"/>
    <w:rsid w:val="00DD6208"/>
    <w:rsid w:val="00DE41C9"/>
    <w:rsid w:val="00DF022B"/>
    <w:rsid w:val="00DF1025"/>
    <w:rsid w:val="00DF2D5D"/>
    <w:rsid w:val="00DF6793"/>
    <w:rsid w:val="00DF76E5"/>
    <w:rsid w:val="00DF7E99"/>
    <w:rsid w:val="00E037E9"/>
    <w:rsid w:val="00E039D8"/>
    <w:rsid w:val="00E07D87"/>
    <w:rsid w:val="00E17CBF"/>
    <w:rsid w:val="00E21A31"/>
    <w:rsid w:val="00E21B2A"/>
    <w:rsid w:val="00E249C8"/>
    <w:rsid w:val="00E32F7E"/>
    <w:rsid w:val="00E338F2"/>
    <w:rsid w:val="00E340C2"/>
    <w:rsid w:val="00E4283A"/>
    <w:rsid w:val="00E5267B"/>
    <w:rsid w:val="00E559F0"/>
    <w:rsid w:val="00E63C0E"/>
    <w:rsid w:val="00E72D49"/>
    <w:rsid w:val="00E7593C"/>
    <w:rsid w:val="00E7678A"/>
    <w:rsid w:val="00E76EB8"/>
    <w:rsid w:val="00E92AA0"/>
    <w:rsid w:val="00E935F1"/>
    <w:rsid w:val="00E93EAB"/>
    <w:rsid w:val="00E94A81"/>
    <w:rsid w:val="00E97EA0"/>
    <w:rsid w:val="00EA1FFB"/>
    <w:rsid w:val="00EA2DC1"/>
    <w:rsid w:val="00EA2F3A"/>
    <w:rsid w:val="00EA3079"/>
    <w:rsid w:val="00EA4D0B"/>
    <w:rsid w:val="00EB048E"/>
    <w:rsid w:val="00EB133F"/>
    <w:rsid w:val="00EB4E9C"/>
    <w:rsid w:val="00EB5A4E"/>
    <w:rsid w:val="00EC3542"/>
    <w:rsid w:val="00EC3E38"/>
    <w:rsid w:val="00EC74CF"/>
    <w:rsid w:val="00ED4472"/>
    <w:rsid w:val="00EE34DF"/>
    <w:rsid w:val="00EF2F89"/>
    <w:rsid w:val="00EF5EB7"/>
    <w:rsid w:val="00F01ED8"/>
    <w:rsid w:val="00F03E98"/>
    <w:rsid w:val="00F1237A"/>
    <w:rsid w:val="00F12DE7"/>
    <w:rsid w:val="00F2111D"/>
    <w:rsid w:val="00F22CBD"/>
    <w:rsid w:val="00F25149"/>
    <w:rsid w:val="00F26CF4"/>
    <w:rsid w:val="00F272F1"/>
    <w:rsid w:val="00F30FDE"/>
    <w:rsid w:val="00F31412"/>
    <w:rsid w:val="00F32E65"/>
    <w:rsid w:val="00F34245"/>
    <w:rsid w:val="00F35BE0"/>
    <w:rsid w:val="00F373C9"/>
    <w:rsid w:val="00F37442"/>
    <w:rsid w:val="00F42DE8"/>
    <w:rsid w:val="00F45372"/>
    <w:rsid w:val="00F50041"/>
    <w:rsid w:val="00F50BAA"/>
    <w:rsid w:val="00F560F7"/>
    <w:rsid w:val="00F60274"/>
    <w:rsid w:val="00F62BD7"/>
    <w:rsid w:val="00F6334D"/>
    <w:rsid w:val="00F63599"/>
    <w:rsid w:val="00F71781"/>
    <w:rsid w:val="00F7372C"/>
    <w:rsid w:val="00F84ED8"/>
    <w:rsid w:val="00F853C0"/>
    <w:rsid w:val="00F94191"/>
    <w:rsid w:val="00F943DF"/>
    <w:rsid w:val="00F9480E"/>
    <w:rsid w:val="00F97685"/>
    <w:rsid w:val="00FA0EA7"/>
    <w:rsid w:val="00FA49AB"/>
    <w:rsid w:val="00FB1EA2"/>
    <w:rsid w:val="00FB2B9C"/>
    <w:rsid w:val="00FC44DD"/>
    <w:rsid w:val="00FC4FF3"/>
    <w:rsid w:val="00FC5FD0"/>
    <w:rsid w:val="00FD13A4"/>
    <w:rsid w:val="00FD4F8D"/>
    <w:rsid w:val="00FD647F"/>
    <w:rsid w:val="00FD6D93"/>
    <w:rsid w:val="00FE39C7"/>
    <w:rsid w:val="00FE572B"/>
    <w:rsid w:val="00FF23D9"/>
    <w:rsid w:val="00FF47F8"/>
    <w:rsid w:val="00FF4D07"/>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DE5"/>
  <w15:docId w15:val="{5D92AA42-B8F9-4EDC-BE02-05867836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E97EA0"/>
    <w:pPr>
      <w:keepNext/>
      <w:jc w:val="both"/>
      <w:outlineLvl w:val="1"/>
    </w:pPr>
    <w:rPr>
      <w:rFonts w:ascii="Arial" w:hAnsi="Arial"/>
      <w:u w:val="single"/>
      <w:lang w:val="de-D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C327B6"/>
    <w:rPr>
      <w:rFonts w:ascii="Arial" w:hAnsi="Arial"/>
      <w:caps/>
    </w:rPr>
  </w:style>
  <w:style w:type="character" w:customStyle="1" w:styleId="Heading2Char">
    <w:name w:val="Heading 2 Char"/>
    <w:aliases w:val="VARIETY Char,variety Char"/>
    <w:link w:val="Heading2"/>
    <w:locked/>
    <w:rsid w:val="00E97EA0"/>
    <w:rPr>
      <w:rFonts w:ascii="Arial" w:hAnsi="Arial"/>
      <w:u w:val="single"/>
      <w:lang w:val="de-DE"/>
    </w:rPr>
  </w:style>
  <w:style w:type="character" w:customStyle="1" w:styleId="Heading3Char">
    <w:name w:val="Heading 3 Char"/>
    <w:basedOn w:val="DefaultParagraphFont"/>
    <w:link w:val="Heading3"/>
    <w:rsid w:val="00C327B6"/>
    <w:rPr>
      <w:rFonts w:ascii="Arial" w:hAnsi="Arial"/>
      <w:i/>
    </w:rPr>
  </w:style>
  <w:style w:type="character" w:customStyle="1" w:styleId="FootnoteTextChar">
    <w:name w:val="Footnote Text Char"/>
    <w:basedOn w:val="DefaultParagraphFont"/>
    <w:link w:val="FootnoteText"/>
    <w:rsid w:val="00C327B6"/>
    <w:rPr>
      <w:rFonts w:ascii="Arial" w:hAnsi="Arial"/>
      <w:sz w:val="16"/>
    </w:rPr>
  </w:style>
  <w:style w:type="paragraph" w:styleId="ListParagraph">
    <w:name w:val="List Paragraph"/>
    <w:aliases w:val="auto_list_(i),List Paragraph1"/>
    <w:basedOn w:val="Normal"/>
    <w:link w:val="ListParagraphChar"/>
    <w:uiPriority w:val="34"/>
    <w:qFormat/>
    <w:rsid w:val="00C327B6"/>
    <w:pPr>
      <w:ind w:left="720"/>
      <w:contextualSpacing/>
    </w:pPr>
  </w:style>
  <w:style w:type="table" w:styleId="TableGrid">
    <w:name w:val="Table Grid"/>
    <w:basedOn w:val="TableNormal"/>
    <w:uiPriority w:val="39"/>
    <w:rsid w:val="00C327B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C327B6"/>
    <w:rPr>
      <w:rFonts w:ascii="Arial" w:hAnsi="Arial"/>
    </w:rPr>
  </w:style>
  <w:style w:type="table" w:customStyle="1" w:styleId="TableGrid1">
    <w:name w:val="Table Grid1"/>
    <w:basedOn w:val="TableNormal"/>
    <w:next w:val="TableGrid"/>
    <w:uiPriority w:val="39"/>
    <w:rsid w:val="007263AF"/>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17443"/>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0482">
      <w:bodyDiv w:val="1"/>
      <w:marLeft w:val="0"/>
      <w:marRight w:val="0"/>
      <w:marTop w:val="0"/>
      <w:marBottom w:val="0"/>
      <w:divBdr>
        <w:top w:val="none" w:sz="0" w:space="0" w:color="auto"/>
        <w:left w:val="none" w:sz="0" w:space="0" w:color="auto"/>
        <w:bottom w:val="none" w:sz="0" w:space="0" w:color="auto"/>
        <w:right w:val="none" w:sz="0" w:space="0" w:color="auto"/>
      </w:divBdr>
      <w:divsChild>
        <w:div w:id="2137676664">
          <w:marLeft w:val="0"/>
          <w:marRight w:val="0"/>
          <w:marTop w:val="0"/>
          <w:marBottom w:val="0"/>
          <w:divBdr>
            <w:top w:val="single" w:sz="6" w:space="0" w:color="006494"/>
            <w:left w:val="single" w:sz="6" w:space="0" w:color="006494"/>
            <w:bottom w:val="single" w:sz="6" w:space="0" w:color="006494"/>
            <w:right w:val="single" w:sz="6" w:space="0" w:color="006494"/>
          </w:divBdr>
          <w:divsChild>
            <w:div w:id="1791317309">
              <w:marLeft w:val="0"/>
              <w:marRight w:val="0"/>
              <w:marTop w:val="0"/>
              <w:marBottom w:val="0"/>
              <w:divBdr>
                <w:top w:val="single" w:sz="2" w:space="0" w:color="auto"/>
                <w:left w:val="single" w:sz="2" w:space="0" w:color="auto"/>
                <w:bottom w:val="single" w:sz="2" w:space="0" w:color="auto"/>
                <w:right w:val="single" w:sz="2" w:space="0" w:color="auto"/>
              </w:divBdr>
              <w:divsChild>
                <w:div w:id="310257144">
                  <w:marLeft w:val="0"/>
                  <w:marRight w:val="0"/>
                  <w:marTop w:val="0"/>
                  <w:marBottom w:val="0"/>
                  <w:divBdr>
                    <w:top w:val="none" w:sz="0" w:space="0" w:color="auto"/>
                    <w:left w:val="none" w:sz="0" w:space="0" w:color="auto"/>
                    <w:bottom w:val="none" w:sz="0" w:space="0" w:color="auto"/>
                    <w:right w:val="none" w:sz="0" w:space="0" w:color="auto"/>
                  </w:divBdr>
                </w:div>
                <w:div w:id="514462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81358622">
      <w:bodyDiv w:val="1"/>
      <w:marLeft w:val="0"/>
      <w:marRight w:val="0"/>
      <w:marTop w:val="0"/>
      <w:marBottom w:val="0"/>
      <w:divBdr>
        <w:top w:val="none" w:sz="0" w:space="0" w:color="auto"/>
        <w:left w:val="none" w:sz="0" w:space="0" w:color="auto"/>
        <w:bottom w:val="none" w:sz="0" w:space="0" w:color="auto"/>
        <w:right w:val="none" w:sz="0" w:space="0" w:color="auto"/>
      </w:divBdr>
    </w:div>
    <w:div w:id="1797872252">
      <w:bodyDiv w:val="1"/>
      <w:marLeft w:val="0"/>
      <w:marRight w:val="0"/>
      <w:marTop w:val="0"/>
      <w:marBottom w:val="0"/>
      <w:divBdr>
        <w:top w:val="none" w:sz="0" w:space="0" w:color="auto"/>
        <w:left w:val="none" w:sz="0" w:space="0" w:color="auto"/>
        <w:bottom w:val="none" w:sz="0" w:space="0" w:color="auto"/>
        <w:right w:val="none" w:sz="0" w:space="0" w:color="auto"/>
      </w:divBdr>
      <w:divsChild>
        <w:div w:id="1017853365">
          <w:marLeft w:val="0"/>
          <w:marRight w:val="0"/>
          <w:marTop w:val="0"/>
          <w:marBottom w:val="0"/>
          <w:divBdr>
            <w:top w:val="single" w:sz="6" w:space="0" w:color="auto"/>
            <w:left w:val="single" w:sz="6" w:space="0" w:color="auto"/>
            <w:bottom w:val="single" w:sz="6" w:space="0" w:color="auto"/>
            <w:right w:val="single" w:sz="6" w:space="0" w:color="auto"/>
          </w:divBdr>
          <w:divsChild>
            <w:div w:id="216669545">
              <w:marLeft w:val="0"/>
              <w:marRight w:val="0"/>
              <w:marTop w:val="0"/>
              <w:marBottom w:val="0"/>
              <w:divBdr>
                <w:top w:val="single" w:sz="2" w:space="0" w:color="auto"/>
                <w:left w:val="single" w:sz="2" w:space="0" w:color="auto"/>
                <w:bottom w:val="single" w:sz="2" w:space="0" w:color="auto"/>
                <w:right w:val="single" w:sz="2" w:space="0" w:color="auto"/>
              </w:divBdr>
              <w:divsChild>
                <w:div w:id="174350700">
                  <w:marLeft w:val="0"/>
                  <w:marRight w:val="0"/>
                  <w:marTop w:val="0"/>
                  <w:marBottom w:val="0"/>
                  <w:divBdr>
                    <w:top w:val="single" w:sz="2" w:space="0" w:color="auto"/>
                    <w:left w:val="single" w:sz="2" w:space="0" w:color="auto"/>
                    <w:bottom w:val="single" w:sz="2" w:space="0" w:color="auto"/>
                    <w:right w:val="single" w:sz="2" w:space="0" w:color="auto"/>
                  </w:divBdr>
                </w:div>
                <w:div w:id="1926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jpeg"/><Relationship Id="rId21" Type="http://schemas.openxmlformats.org/officeDocument/2006/relationships/header" Target="header8.xm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upov.int/about/de/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s://www.upov.int/export/sites/upov/images/worldmap_de.jpg" TargetMode="Externa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s://www.upov.int/export/sites/upov/members/de/pdf/pub423.pdf" TargetMode="External"/><Relationship Id="rId30" Type="http://schemas.openxmlformats.org/officeDocument/2006/relationships/diagramData" Target="diagrams/data1.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Oranges </a:t>
          </a:r>
          <a:r>
            <a:rPr lang="de-DE" sz="10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DE" sz="10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07B328F2-412D-4369-A6A8-EC2295A03B72}" type="presOf" srcId="{4E0612E4-7DE3-44E1-8880-3956F30B1785}" destId="{7BE9336B-A08B-4FD0-87A7-703A2A8906C8}"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A7CDB1CA-ACBF-461B-9BC5-F4DC6FC468D6}" type="presOf" srcId="{00850504-3439-4058-A245-665152206831}" destId="{324828C7-EE9E-44F7-B1DA-9F9F3CE0E904}"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F65A8743-57C3-48EB-9DC5-0882D2B69F00}" type="presOf" srcId="{D9C435B6-CA06-41AF-87DD-21B230F0E89E}" destId="{48E9BA03-7739-4D6F-A1C0-DF79115C6FDE}"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C731B5A3-AA98-4873-BA40-0A14986DEB3E}" type="presOf" srcId="{D9C435B6-CA06-41AF-87DD-21B230F0E89E}" destId="{283657B9-F591-4BA6-A67D-314150D7B551}" srcOrd="1" destOrd="0" presId="urn:microsoft.com/office/officeart/2005/8/layout/hierarchy3"/>
    <dgm:cxn modelId="{A29250E1-2425-4C41-B047-85BC47B242D5}" type="presOf" srcId="{955721B5-58CA-4695-8D31-B7D79B661D4C}" destId="{FBCDD0BF-8055-49CF-8D9E-6C440A9D31CC}" srcOrd="1" destOrd="0" presId="urn:microsoft.com/office/officeart/2005/8/layout/hierarchy3"/>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Oranges </a:t>
          </a:r>
          <a:r>
            <a:rPr lang="de-DE" sz="1000" kern="12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8154-8052-4BBA-9B35-3632A956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3</TotalTime>
  <Pages>17</Pages>
  <Words>6769</Words>
  <Characters>38586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45265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CAJ/79/INF/4</dc:title>
  <dc:subject/>
  <dc:creator>SANCHEZ VIZCAINO GOMEZ Rosa Maria</dc:creator>
  <cp:keywords/>
  <dc:description/>
  <cp:lastModifiedBy>NICOLO Laurianne</cp:lastModifiedBy>
  <cp:revision>4</cp:revision>
  <cp:lastPrinted>2016-11-22T15:41:00Z</cp:lastPrinted>
  <dcterms:created xsi:type="dcterms:W3CDTF">2022-10-23T23:23:00Z</dcterms:created>
  <dcterms:modified xsi:type="dcterms:W3CDTF">2022-10-25T12:05:00Z</dcterms:modified>
</cp:coreProperties>
</file>