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73E4D" w:rsidRPr="00217D01">
        <w:tc>
          <w:tcPr>
            <w:tcW w:w="6522" w:type="dxa"/>
          </w:tcPr>
          <w:p w:rsidR="00273E4D" w:rsidRPr="00217D01" w:rsidRDefault="00C25252">
            <w:pPr>
              <w:rPr>
                <w:szCs w:val="24"/>
                <w:lang w:val="de-DE"/>
              </w:rPr>
            </w:pPr>
            <w:r>
              <w:rPr>
                <w:szCs w:val="24"/>
                <w:lang w:val="de-DE"/>
              </w:rPr>
              <w:t>j</w:t>
            </w:r>
            <w:r w:rsidR="00403F8A" w:rsidRPr="00217D01">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273E4D" w:rsidRPr="00217D01" w:rsidRDefault="00273E4D">
            <w:pPr>
              <w:pStyle w:val="Lettrine"/>
              <w:rPr>
                <w:bCs w:val="0"/>
                <w:szCs w:val="24"/>
                <w:lang w:val="de-DE"/>
              </w:rPr>
            </w:pPr>
            <w:r w:rsidRPr="00217D01">
              <w:rPr>
                <w:bCs w:val="0"/>
                <w:noProof/>
                <w:szCs w:val="24"/>
                <w:lang w:val="de-DE"/>
              </w:rPr>
              <w:t>G</w:t>
            </w:r>
          </w:p>
        </w:tc>
      </w:tr>
      <w:tr w:rsidR="00273E4D" w:rsidRPr="00217D01">
        <w:trPr>
          <w:trHeight w:val="219"/>
        </w:trPr>
        <w:tc>
          <w:tcPr>
            <w:tcW w:w="6522" w:type="dxa"/>
          </w:tcPr>
          <w:p w:rsidR="00273E4D" w:rsidRPr="00217D01" w:rsidRDefault="00273E4D">
            <w:pPr>
              <w:pStyle w:val="upove"/>
              <w:rPr>
                <w:szCs w:val="24"/>
                <w:lang w:val="de-DE"/>
              </w:rPr>
            </w:pPr>
            <w:r w:rsidRPr="00217D01">
              <w:rPr>
                <w:szCs w:val="24"/>
                <w:lang w:val="de-DE"/>
              </w:rPr>
              <w:t>Internationaler Verband zum Schutz von Pflanzenzüchtungen</w:t>
            </w:r>
          </w:p>
        </w:tc>
        <w:tc>
          <w:tcPr>
            <w:tcW w:w="3117" w:type="dxa"/>
          </w:tcPr>
          <w:p w:rsidR="00273E4D" w:rsidRPr="00217D01" w:rsidRDefault="00273E4D">
            <w:pPr>
              <w:rPr>
                <w:szCs w:val="24"/>
                <w:lang w:val="de-DE"/>
              </w:rPr>
            </w:pPr>
          </w:p>
        </w:tc>
      </w:tr>
    </w:tbl>
    <w:p w:rsidR="00273E4D" w:rsidRPr="00217D01" w:rsidRDefault="00273E4D">
      <w:pPr>
        <w:rPr>
          <w:szCs w:val="24"/>
          <w:lang w:val="de-DE"/>
        </w:rPr>
      </w:pPr>
    </w:p>
    <w:p w:rsidR="00273E4D" w:rsidRPr="00217D01" w:rsidRDefault="00273E4D">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73E4D" w:rsidRPr="00217D01">
        <w:tc>
          <w:tcPr>
            <w:tcW w:w="6512" w:type="dxa"/>
            <w:tcBorders>
              <w:bottom w:val="single" w:sz="4" w:space="0" w:color="auto"/>
            </w:tcBorders>
          </w:tcPr>
          <w:p w:rsidR="00273E4D" w:rsidRPr="00217D01" w:rsidRDefault="00273E4D">
            <w:pPr>
              <w:pStyle w:val="Sessiontc"/>
              <w:spacing w:line="240" w:lineRule="auto"/>
              <w:rPr>
                <w:bCs w:val="0"/>
                <w:szCs w:val="24"/>
                <w:lang w:val="de-DE"/>
              </w:rPr>
            </w:pPr>
            <w:r w:rsidRPr="00217D01">
              <w:rPr>
                <w:bCs w:val="0"/>
                <w:szCs w:val="24"/>
                <w:lang w:val="de-DE"/>
              </w:rPr>
              <w:t>Verwaltungs- und Rechtsausschuss</w:t>
            </w:r>
          </w:p>
          <w:p w:rsidR="00273E4D" w:rsidRPr="00217D01" w:rsidRDefault="00273E4D">
            <w:pPr>
              <w:pStyle w:val="Sessiontcplacedate"/>
              <w:rPr>
                <w:bCs w:val="0"/>
                <w:szCs w:val="24"/>
                <w:lang w:val="de-DE"/>
              </w:rPr>
            </w:pPr>
            <w:r w:rsidRPr="00217D01">
              <w:rPr>
                <w:bCs w:val="0"/>
                <w:szCs w:val="24"/>
                <w:lang w:val="de-DE"/>
              </w:rPr>
              <w:t>Neunundsiebzigste Tagung</w:t>
            </w:r>
          </w:p>
          <w:p w:rsidR="00273E4D" w:rsidRPr="00217D01" w:rsidRDefault="00273E4D">
            <w:pPr>
              <w:pStyle w:val="Sessiontcplacedate"/>
              <w:rPr>
                <w:bCs w:val="0"/>
                <w:szCs w:val="24"/>
                <w:lang w:val="de-DE"/>
              </w:rPr>
            </w:pPr>
            <w:r w:rsidRPr="00217D01">
              <w:rPr>
                <w:bCs w:val="0"/>
                <w:szCs w:val="24"/>
                <w:lang w:val="de-DE"/>
              </w:rPr>
              <w:t>Genf, 26. Oktober 2022</w:t>
            </w:r>
          </w:p>
        </w:tc>
        <w:tc>
          <w:tcPr>
            <w:tcW w:w="3127" w:type="dxa"/>
            <w:tcBorders>
              <w:bottom w:val="single" w:sz="4" w:space="0" w:color="auto"/>
            </w:tcBorders>
          </w:tcPr>
          <w:p w:rsidR="00273E4D" w:rsidRPr="00217D01" w:rsidRDefault="00273E4D">
            <w:pPr>
              <w:pStyle w:val="Doccode"/>
              <w:rPr>
                <w:bCs w:val="0"/>
                <w:szCs w:val="24"/>
                <w:lang w:val="de-DE"/>
              </w:rPr>
            </w:pPr>
            <w:r w:rsidRPr="00217D01">
              <w:rPr>
                <w:bCs w:val="0"/>
                <w:szCs w:val="24"/>
                <w:lang w:val="de-DE"/>
              </w:rPr>
              <w:t>CAJ/79/8</w:t>
            </w:r>
          </w:p>
          <w:p w:rsidR="00273E4D" w:rsidRPr="00E94D07" w:rsidRDefault="00273E4D">
            <w:pPr>
              <w:pStyle w:val="Docoriginal"/>
              <w:rPr>
                <w:bCs w:val="0"/>
                <w:szCs w:val="24"/>
                <w:lang w:val="de-DE"/>
              </w:rPr>
            </w:pPr>
            <w:r w:rsidRPr="00217D01">
              <w:rPr>
                <w:bCs w:val="0"/>
                <w:szCs w:val="24"/>
                <w:lang w:val="de-DE"/>
              </w:rPr>
              <w:t>Original:</w:t>
            </w:r>
            <w:r w:rsidRPr="00217D01">
              <w:rPr>
                <w:b w:val="0"/>
                <w:bCs w:val="0"/>
                <w:spacing w:val="0"/>
                <w:szCs w:val="24"/>
                <w:lang w:val="de-DE"/>
              </w:rPr>
              <w:t xml:space="preserve">  En</w:t>
            </w:r>
            <w:r w:rsidRPr="00E94D07">
              <w:rPr>
                <w:b w:val="0"/>
                <w:bCs w:val="0"/>
                <w:spacing w:val="0"/>
                <w:szCs w:val="24"/>
                <w:lang w:val="de-DE"/>
              </w:rPr>
              <w:t>glisch</w:t>
            </w:r>
          </w:p>
          <w:p w:rsidR="00273E4D" w:rsidRPr="00217D01" w:rsidRDefault="00273E4D">
            <w:pPr>
              <w:pStyle w:val="Docoriginal"/>
              <w:rPr>
                <w:bCs w:val="0"/>
                <w:szCs w:val="24"/>
                <w:lang w:val="de-DE"/>
              </w:rPr>
            </w:pPr>
            <w:r w:rsidRPr="00E94D07">
              <w:rPr>
                <w:bCs w:val="0"/>
                <w:szCs w:val="24"/>
                <w:lang w:val="de-DE"/>
              </w:rPr>
              <w:t>Datum:</w:t>
            </w:r>
            <w:r w:rsidRPr="00E94D07">
              <w:rPr>
                <w:b w:val="0"/>
                <w:bCs w:val="0"/>
                <w:spacing w:val="0"/>
                <w:szCs w:val="24"/>
                <w:lang w:val="de-DE"/>
              </w:rPr>
              <w:t xml:space="preserve">  3. Oktober 2022</w:t>
            </w:r>
          </w:p>
        </w:tc>
      </w:tr>
    </w:tbl>
    <w:p w:rsidR="00273E4D" w:rsidRPr="00217D01" w:rsidRDefault="00273E4D">
      <w:pPr>
        <w:pStyle w:val="Titleofdoc0"/>
        <w:rPr>
          <w:szCs w:val="24"/>
          <w:lang w:val="de-DE"/>
        </w:rPr>
      </w:pPr>
      <w:r w:rsidRPr="00217D01">
        <w:rPr>
          <w:szCs w:val="24"/>
          <w:lang w:val="de-DE"/>
        </w:rPr>
        <w:t>BERICHT üBER DIE Arbeitsgruppe für Erntegut und ungenehmigte Benutzung von Vermehrungsmaterial (WG-HRV)</w:t>
      </w:r>
    </w:p>
    <w:p w:rsidR="00273E4D" w:rsidRPr="00217D01" w:rsidRDefault="00273E4D">
      <w:pPr>
        <w:pStyle w:val="preparedby1"/>
        <w:jc w:val="left"/>
        <w:rPr>
          <w:iCs w:val="0"/>
          <w:szCs w:val="24"/>
          <w:lang w:val="de-DE"/>
        </w:rPr>
      </w:pPr>
      <w:r w:rsidRPr="00217D01">
        <w:rPr>
          <w:iCs w:val="0"/>
          <w:szCs w:val="24"/>
          <w:lang w:val="de-DE"/>
        </w:rPr>
        <w:t>Vom Verbandsbüro erstelltes Dokument</w:t>
      </w:r>
    </w:p>
    <w:p w:rsidR="00273E4D" w:rsidRPr="00217D01" w:rsidRDefault="00273E4D">
      <w:pPr>
        <w:pStyle w:val="Disclaimer"/>
        <w:rPr>
          <w:iCs w:val="0"/>
          <w:szCs w:val="24"/>
          <w:lang w:val="de-DE"/>
        </w:rPr>
      </w:pPr>
      <w:r w:rsidRPr="00217D01">
        <w:rPr>
          <w:iCs w:val="0"/>
          <w:szCs w:val="24"/>
          <w:lang w:val="de-DE"/>
        </w:rPr>
        <w:t>Haftungsausschluss:  dieses Dokument gibt nicht die Grundsätze oder eine Anleitung der UPOV wieder</w:t>
      </w:r>
    </w:p>
    <w:p w:rsidR="00273E4D" w:rsidRPr="00217D01" w:rsidRDefault="00273E4D">
      <w:pPr>
        <w:pStyle w:val="Heading1"/>
        <w:rPr>
          <w:szCs w:val="24"/>
          <w:lang w:val="de-DE"/>
        </w:rPr>
      </w:pPr>
      <w:bookmarkStart w:id="0" w:name="_Toc116047949"/>
      <w:r w:rsidRPr="00217D01">
        <w:rPr>
          <w:szCs w:val="24"/>
          <w:lang w:val="de-DE"/>
        </w:rPr>
        <w:t>ZUSAMMENFASSUNG</w:t>
      </w:r>
      <w:bookmarkEnd w:id="0"/>
    </w:p>
    <w:p w:rsidR="00273E4D" w:rsidRPr="00217D01" w:rsidRDefault="00273E4D">
      <w:pPr>
        <w:jc w:val="left"/>
        <w:rPr>
          <w:szCs w:val="24"/>
          <w:lang w:val="de-DE"/>
        </w:rPr>
      </w:pPr>
    </w:p>
    <w:p w:rsidR="00273E4D" w:rsidRPr="00217D01" w:rsidRDefault="00273E4D">
      <w:pPr>
        <w:rPr>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Der Verwaltungs- und Rechtsausschuss (CAJ) wird ersucht, die Entwicklungen betreffend die Arbeit der Arbeitsgruppe für Erntegut und ungenehmigte Benutzung von Vermehrungsmaterial (WG-HRV), wie in diesem Dokument dargelegt, zur Kenntnis zu nehmen.</w:t>
      </w:r>
    </w:p>
    <w:p w:rsidR="00273E4D" w:rsidRPr="00217D01" w:rsidRDefault="00273E4D">
      <w:pPr>
        <w:rPr>
          <w:szCs w:val="24"/>
          <w:lang w:val="de-DE"/>
        </w:rPr>
      </w:pPr>
    </w:p>
    <w:p w:rsidR="00273E4D" w:rsidRPr="00217D01" w:rsidRDefault="00273E4D">
      <w:pPr>
        <w:rPr>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Der Aufbau dieses Dokuments ist nachstehend zusammengefasst:</w:t>
      </w:r>
    </w:p>
    <w:p w:rsidR="00AE3485" w:rsidRPr="00217D01" w:rsidRDefault="00273E4D" w:rsidP="00E94D07">
      <w:pPr>
        <w:pStyle w:val="TOC1"/>
        <w:rPr>
          <w:rFonts w:ascii="Times New Roman" w:hAnsi="Times New Roman"/>
          <w:noProof/>
          <w:snapToGrid/>
          <w:sz w:val="24"/>
          <w:szCs w:val="24"/>
          <w:lang w:val="de-DE"/>
        </w:rPr>
      </w:pPr>
      <w:r w:rsidRPr="00217D01">
        <w:rPr>
          <w:szCs w:val="24"/>
          <w:lang w:val="de-DE"/>
        </w:rPr>
        <w:fldChar w:fldCharType="begin"/>
      </w:r>
      <w:r w:rsidRPr="00217D01">
        <w:rPr>
          <w:szCs w:val="24"/>
          <w:lang w:val="de-DE"/>
        </w:rPr>
        <w:instrText xml:space="preserve"> TOC \o "1-3" \h \z \u </w:instrText>
      </w:r>
      <w:r w:rsidRPr="00217D01">
        <w:rPr>
          <w:szCs w:val="24"/>
          <w:lang w:val="de-DE"/>
        </w:rPr>
        <w:fldChar w:fldCharType="separate"/>
      </w:r>
      <w:hyperlink w:anchor="_Toc116047949" w:history="1">
        <w:r w:rsidR="00AE3485" w:rsidRPr="00217D01">
          <w:rPr>
            <w:rStyle w:val="Hyperlink"/>
            <w:noProof/>
            <w:lang w:val="de-DE"/>
          </w:rPr>
          <w:t>ZUSAMMENFASSUNG</w:t>
        </w:r>
        <w:r w:rsidR="008D2ABC" w:rsidRPr="00217D01">
          <w:rPr>
            <w:rStyle w:val="Hyperlink"/>
            <w:noProof/>
            <w:lang w:val="de-DE"/>
          </w:rPr>
          <w:t>.…………...</w:t>
        </w:r>
        <w:r w:rsidR="008D2ABC" w:rsidRPr="00217D01">
          <w:rPr>
            <w:rStyle w:val="Hyperlink"/>
            <w:noProof/>
            <w:lang w:val="de-DE"/>
          </w:rPr>
          <w:tab/>
        </w:r>
        <w:r w:rsidR="00AE3485" w:rsidRPr="00217D01">
          <w:rPr>
            <w:noProof/>
            <w:webHidden/>
            <w:lang w:val="de-DE"/>
          </w:rPr>
          <w:fldChar w:fldCharType="begin"/>
        </w:r>
        <w:r w:rsidR="00AE3485" w:rsidRPr="00217D01">
          <w:rPr>
            <w:noProof/>
            <w:webHidden/>
            <w:lang w:val="de-DE"/>
          </w:rPr>
          <w:instrText xml:space="preserve"> PAGEREF _Toc116047949 \h </w:instrText>
        </w:r>
        <w:r w:rsidR="00AE3485" w:rsidRPr="00217D01">
          <w:rPr>
            <w:noProof/>
            <w:webHidden/>
            <w:lang w:val="de-DE"/>
          </w:rPr>
        </w:r>
        <w:r w:rsidR="00AE3485" w:rsidRPr="00217D01">
          <w:rPr>
            <w:noProof/>
            <w:webHidden/>
            <w:lang w:val="de-DE"/>
          </w:rPr>
          <w:fldChar w:fldCharType="separate"/>
        </w:r>
        <w:r w:rsidR="00CD0F42">
          <w:rPr>
            <w:noProof/>
            <w:webHidden/>
            <w:lang w:val="de-DE"/>
          </w:rPr>
          <w:t>1</w:t>
        </w:r>
        <w:r w:rsidR="00AE3485" w:rsidRPr="00217D01">
          <w:rPr>
            <w:noProof/>
            <w:webHidden/>
            <w:lang w:val="de-DE"/>
          </w:rPr>
          <w:fldChar w:fldCharType="end"/>
        </w:r>
      </w:hyperlink>
    </w:p>
    <w:p w:rsidR="00AE3485" w:rsidRPr="00217D01" w:rsidRDefault="00E94D07" w:rsidP="00E94D07">
      <w:pPr>
        <w:pStyle w:val="TOC1"/>
        <w:rPr>
          <w:rFonts w:ascii="Times New Roman" w:hAnsi="Times New Roman"/>
          <w:noProof/>
          <w:snapToGrid/>
          <w:sz w:val="24"/>
          <w:szCs w:val="24"/>
          <w:lang w:val="de-DE"/>
        </w:rPr>
      </w:pPr>
      <w:hyperlink w:anchor="_Toc116047950" w:history="1">
        <w:r w:rsidR="00AE3485" w:rsidRPr="00217D01">
          <w:rPr>
            <w:rStyle w:val="Hyperlink"/>
            <w:noProof/>
            <w:lang w:val="de-DE"/>
          </w:rPr>
          <w:t>HINTERGRUND</w:t>
        </w:r>
        <w:r w:rsidR="008D2ABC" w:rsidRPr="00217D01">
          <w:rPr>
            <w:rStyle w:val="Hyperlink"/>
            <w:noProof/>
            <w:lang w:val="de-DE"/>
          </w:rPr>
          <w:t>………………………</w:t>
        </w:r>
        <w:r w:rsidR="008D2ABC" w:rsidRPr="00217D01">
          <w:rPr>
            <w:rStyle w:val="Hyperlink"/>
            <w:noProof/>
            <w:lang w:val="de-DE"/>
          </w:rPr>
          <w:tab/>
        </w:r>
        <w:r w:rsidR="00AE3485" w:rsidRPr="00217D01">
          <w:rPr>
            <w:noProof/>
            <w:webHidden/>
            <w:lang w:val="de-DE"/>
          </w:rPr>
          <w:fldChar w:fldCharType="begin"/>
        </w:r>
        <w:r w:rsidR="00AE3485" w:rsidRPr="00217D01">
          <w:rPr>
            <w:noProof/>
            <w:webHidden/>
            <w:lang w:val="de-DE"/>
          </w:rPr>
          <w:instrText xml:space="preserve"> PAGEREF _Toc116047950 \h </w:instrText>
        </w:r>
        <w:r w:rsidR="00AE3485" w:rsidRPr="00217D01">
          <w:rPr>
            <w:noProof/>
            <w:webHidden/>
            <w:lang w:val="de-DE"/>
          </w:rPr>
        </w:r>
        <w:r w:rsidR="00AE3485" w:rsidRPr="00217D01">
          <w:rPr>
            <w:noProof/>
            <w:webHidden/>
            <w:lang w:val="de-DE"/>
          </w:rPr>
          <w:fldChar w:fldCharType="separate"/>
        </w:r>
        <w:r w:rsidR="00CD0F42">
          <w:rPr>
            <w:noProof/>
            <w:webHidden/>
            <w:lang w:val="de-DE"/>
          </w:rPr>
          <w:t>1</w:t>
        </w:r>
        <w:r w:rsidR="00AE3485" w:rsidRPr="00217D01">
          <w:rPr>
            <w:noProof/>
            <w:webHidden/>
            <w:lang w:val="de-DE"/>
          </w:rPr>
          <w:fldChar w:fldCharType="end"/>
        </w:r>
      </w:hyperlink>
    </w:p>
    <w:p w:rsidR="00AE3485" w:rsidRPr="00217D01" w:rsidRDefault="00E94D07" w:rsidP="00E94D07">
      <w:pPr>
        <w:pStyle w:val="TOC1"/>
        <w:rPr>
          <w:rFonts w:ascii="Times New Roman" w:hAnsi="Times New Roman"/>
          <w:noProof/>
          <w:snapToGrid/>
          <w:sz w:val="24"/>
          <w:szCs w:val="24"/>
          <w:lang w:val="de-DE"/>
        </w:rPr>
      </w:pPr>
      <w:hyperlink w:anchor="_Toc116047951" w:history="1">
        <w:r w:rsidR="00AE3485" w:rsidRPr="00217D01">
          <w:rPr>
            <w:rStyle w:val="Hyperlink"/>
            <w:noProof/>
            <w:lang w:val="de-DE"/>
          </w:rPr>
          <w:t>Erste Sitzung der WG-HRV (15. MÄRZ 2022)</w:t>
        </w:r>
        <w:r w:rsidR="00AE3485" w:rsidRPr="00217D01">
          <w:rPr>
            <w:noProof/>
            <w:webHidden/>
            <w:lang w:val="de-DE"/>
          </w:rPr>
          <w:tab/>
        </w:r>
        <w:r w:rsidR="00AE3485" w:rsidRPr="00217D01">
          <w:rPr>
            <w:noProof/>
            <w:webHidden/>
            <w:lang w:val="de-DE"/>
          </w:rPr>
          <w:fldChar w:fldCharType="begin"/>
        </w:r>
        <w:r w:rsidR="00AE3485" w:rsidRPr="00217D01">
          <w:rPr>
            <w:noProof/>
            <w:webHidden/>
            <w:lang w:val="de-DE"/>
          </w:rPr>
          <w:instrText xml:space="preserve"> PAGEREF _Toc116047951 \h </w:instrText>
        </w:r>
        <w:r w:rsidR="00AE3485" w:rsidRPr="00217D01">
          <w:rPr>
            <w:noProof/>
            <w:webHidden/>
            <w:lang w:val="de-DE"/>
          </w:rPr>
        </w:r>
        <w:r w:rsidR="00AE3485" w:rsidRPr="00217D01">
          <w:rPr>
            <w:noProof/>
            <w:webHidden/>
            <w:lang w:val="de-DE"/>
          </w:rPr>
          <w:fldChar w:fldCharType="separate"/>
        </w:r>
        <w:r w:rsidR="00CD0F42">
          <w:rPr>
            <w:noProof/>
            <w:webHidden/>
            <w:lang w:val="de-DE"/>
          </w:rPr>
          <w:t>2</w:t>
        </w:r>
        <w:r w:rsidR="00AE3485" w:rsidRPr="00217D01">
          <w:rPr>
            <w:noProof/>
            <w:webHidden/>
            <w:lang w:val="de-DE"/>
          </w:rPr>
          <w:fldChar w:fldCharType="end"/>
        </w:r>
      </w:hyperlink>
    </w:p>
    <w:p w:rsidR="00AE3485" w:rsidRPr="00217D01" w:rsidRDefault="00E94D07" w:rsidP="00E94D07">
      <w:pPr>
        <w:pStyle w:val="TOC1"/>
        <w:rPr>
          <w:rFonts w:ascii="Times New Roman" w:hAnsi="Times New Roman"/>
          <w:noProof/>
          <w:snapToGrid/>
          <w:sz w:val="24"/>
          <w:szCs w:val="24"/>
          <w:lang w:val="de-DE"/>
        </w:rPr>
      </w:pPr>
      <w:hyperlink w:anchor="_Toc116047952" w:history="1">
        <w:r w:rsidR="00AE3485" w:rsidRPr="00217D01">
          <w:rPr>
            <w:rStyle w:val="Hyperlink"/>
            <w:noProof/>
            <w:lang w:val="de-DE"/>
          </w:rPr>
          <w:t>ZWEITE Sitzung der WG-HRV (6. september 2022)</w:t>
        </w:r>
        <w:r w:rsidR="00AE3485" w:rsidRPr="00217D01">
          <w:rPr>
            <w:noProof/>
            <w:webHidden/>
            <w:lang w:val="de-DE"/>
          </w:rPr>
          <w:tab/>
        </w:r>
        <w:r w:rsidR="00AE3485" w:rsidRPr="00217D01">
          <w:rPr>
            <w:noProof/>
            <w:webHidden/>
            <w:lang w:val="de-DE"/>
          </w:rPr>
          <w:fldChar w:fldCharType="begin"/>
        </w:r>
        <w:r w:rsidR="00AE3485" w:rsidRPr="00217D01">
          <w:rPr>
            <w:noProof/>
            <w:webHidden/>
            <w:lang w:val="de-DE"/>
          </w:rPr>
          <w:instrText xml:space="preserve"> PAGEREF _Toc116047952 \h </w:instrText>
        </w:r>
        <w:r w:rsidR="00AE3485" w:rsidRPr="00217D01">
          <w:rPr>
            <w:noProof/>
            <w:webHidden/>
            <w:lang w:val="de-DE"/>
          </w:rPr>
        </w:r>
        <w:r w:rsidR="00AE3485" w:rsidRPr="00217D01">
          <w:rPr>
            <w:noProof/>
            <w:webHidden/>
            <w:lang w:val="de-DE"/>
          </w:rPr>
          <w:fldChar w:fldCharType="separate"/>
        </w:r>
        <w:r w:rsidR="00CD0F42">
          <w:rPr>
            <w:noProof/>
            <w:webHidden/>
            <w:lang w:val="de-DE"/>
          </w:rPr>
          <w:t>2</w:t>
        </w:r>
        <w:r w:rsidR="00AE3485" w:rsidRPr="00217D01">
          <w:rPr>
            <w:noProof/>
            <w:webHidden/>
            <w:lang w:val="de-DE"/>
          </w:rPr>
          <w:fldChar w:fldCharType="end"/>
        </w:r>
      </w:hyperlink>
    </w:p>
    <w:p w:rsidR="00AE3485" w:rsidRPr="00217D01" w:rsidRDefault="00E94D07" w:rsidP="00E94D07">
      <w:pPr>
        <w:pStyle w:val="TOC1"/>
        <w:rPr>
          <w:rFonts w:ascii="Times New Roman" w:hAnsi="Times New Roman"/>
          <w:noProof/>
          <w:snapToGrid/>
          <w:sz w:val="24"/>
          <w:szCs w:val="24"/>
          <w:lang w:val="de-DE"/>
        </w:rPr>
      </w:pPr>
      <w:hyperlink w:anchor="_Toc116047953" w:history="1">
        <w:r w:rsidR="00AE3485" w:rsidRPr="00217D01">
          <w:rPr>
            <w:rStyle w:val="Hyperlink"/>
            <w:noProof/>
            <w:lang w:val="de-DE"/>
          </w:rPr>
          <w:t>DRITTE Sitzung der WG-HRV (14. MÄRZ 2023)</w:t>
        </w:r>
        <w:r w:rsidR="00AE3485" w:rsidRPr="00217D01">
          <w:rPr>
            <w:noProof/>
            <w:webHidden/>
            <w:lang w:val="de-DE"/>
          </w:rPr>
          <w:tab/>
        </w:r>
        <w:r w:rsidR="00AE3485" w:rsidRPr="00217D01">
          <w:rPr>
            <w:noProof/>
            <w:webHidden/>
            <w:lang w:val="de-DE"/>
          </w:rPr>
          <w:fldChar w:fldCharType="begin"/>
        </w:r>
        <w:r w:rsidR="00AE3485" w:rsidRPr="00217D01">
          <w:rPr>
            <w:noProof/>
            <w:webHidden/>
            <w:lang w:val="de-DE"/>
          </w:rPr>
          <w:instrText xml:space="preserve"> PAGEREF _Toc116047953 \h </w:instrText>
        </w:r>
        <w:r w:rsidR="00AE3485" w:rsidRPr="00217D01">
          <w:rPr>
            <w:noProof/>
            <w:webHidden/>
            <w:lang w:val="de-DE"/>
          </w:rPr>
        </w:r>
        <w:r w:rsidR="00AE3485" w:rsidRPr="00217D01">
          <w:rPr>
            <w:noProof/>
            <w:webHidden/>
            <w:lang w:val="de-DE"/>
          </w:rPr>
          <w:fldChar w:fldCharType="separate"/>
        </w:r>
        <w:r w:rsidR="00CD0F42">
          <w:rPr>
            <w:noProof/>
            <w:webHidden/>
            <w:lang w:val="de-DE"/>
          </w:rPr>
          <w:t>2</w:t>
        </w:r>
        <w:r w:rsidR="00AE3485" w:rsidRPr="00217D01">
          <w:rPr>
            <w:noProof/>
            <w:webHidden/>
            <w:lang w:val="de-DE"/>
          </w:rPr>
          <w:fldChar w:fldCharType="end"/>
        </w:r>
      </w:hyperlink>
    </w:p>
    <w:p w:rsidR="00273E4D" w:rsidRPr="00217D01" w:rsidRDefault="00273E4D" w:rsidP="00E94D07">
      <w:pPr>
        <w:pStyle w:val="TOC1"/>
        <w:rPr>
          <w:noProof/>
          <w:lang w:val="de-DE"/>
        </w:rPr>
      </w:pPr>
      <w:r w:rsidRPr="00217D01">
        <w:rPr>
          <w:lang w:val="de-DE"/>
        </w:rPr>
        <w:fldChar w:fldCharType="end"/>
      </w:r>
      <w:r w:rsidRPr="00217D01">
        <w:rPr>
          <w:lang w:val="de-DE"/>
        </w:rPr>
        <w:t>ANLAGE</w:t>
      </w:r>
      <w:r w:rsidR="00AE3485" w:rsidRPr="00217D01">
        <w:rPr>
          <w:lang w:val="de-DE"/>
        </w:rPr>
        <w:tab/>
      </w:r>
      <w:r w:rsidRPr="00217D01">
        <w:rPr>
          <w:lang w:val="de-DE"/>
        </w:rPr>
        <w:t>AUFGABENBESCHREIBUNG DER ARBEITSGRUPPE FÜR ERNTEGUT UND UNBEFUGTE BENUTZUNG VON VERMEHRUNGSGUT (WG-HRV)</w:t>
      </w:r>
    </w:p>
    <w:p w:rsidR="00273E4D" w:rsidRPr="00217D01" w:rsidRDefault="00273E4D" w:rsidP="008D2ABC">
      <w:pPr>
        <w:tabs>
          <w:tab w:val="left" w:pos="993"/>
        </w:tabs>
        <w:rPr>
          <w:szCs w:val="24"/>
          <w:lang w:val="de-DE"/>
        </w:rPr>
      </w:pPr>
    </w:p>
    <w:p w:rsidR="00273E4D" w:rsidRPr="00217D01" w:rsidRDefault="00273E4D">
      <w:pPr>
        <w:rPr>
          <w:szCs w:val="24"/>
          <w:lang w:val="de-DE"/>
        </w:rPr>
      </w:pPr>
    </w:p>
    <w:p w:rsidR="00273E4D" w:rsidRPr="00217D01" w:rsidRDefault="00273E4D">
      <w:pPr>
        <w:rPr>
          <w:szCs w:val="24"/>
          <w:lang w:val="de-DE"/>
        </w:rPr>
      </w:pPr>
    </w:p>
    <w:p w:rsidR="00273E4D" w:rsidRPr="00217D01" w:rsidRDefault="00273E4D">
      <w:pPr>
        <w:pStyle w:val="Heading1"/>
        <w:rPr>
          <w:szCs w:val="24"/>
          <w:lang w:val="de-DE"/>
        </w:rPr>
      </w:pPr>
      <w:bookmarkStart w:id="1" w:name="_Toc116047950"/>
      <w:r w:rsidRPr="00217D01">
        <w:rPr>
          <w:szCs w:val="24"/>
          <w:lang w:val="de-DE"/>
        </w:rPr>
        <w:t>HINTERGRUND</w:t>
      </w:r>
      <w:bookmarkEnd w:id="1"/>
    </w:p>
    <w:p w:rsidR="00273E4D" w:rsidRPr="00217D01" w:rsidRDefault="00273E4D">
      <w:pPr>
        <w:rPr>
          <w:szCs w:val="24"/>
          <w:lang w:val="de-DE"/>
        </w:rPr>
      </w:pPr>
    </w:p>
    <w:p w:rsidR="00273E4D" w:rsidRPr="00CD0F42" w:rsidRDefault="00273E4D">
      <w:pPr>
        <w:rPr>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 xml:space="preserve">Der CAJ nahm auf seiner </w:t>
      </w:r>
      <w:r w:rsidRPr="00CD0F42">
        <w:rPr>
          <w:szCs w:val="24"/>
          <w:lang w:val="de-DE"/>
        </w:rPr>
        <w:t xml:space="preserve">achtundsiebzigsten Tagung, die am 27. Oktober 2021 auf elektronischem Wege abgehalten wurde, zur Kenntnis, dass die Entscheidungen in Dokument CAJ/78/5, wie in Dokument CAJ/78/12, Absatz 31 dargelegt, vom CAJ am 21. September 2021 auf dem Schriftweg wie folgt getroffen </w:t>
      </w:r>
      <w:r w:rsidR="00CD0F42" w:rsidRPr="00CD0F42">
        <w:rPr>
          <w:szCs w:val="24"/>
          <w:lang w:val="de-DE"/>
        </w:rPr>
        <w:t>wurden</w:t>
      </w:r>
      <w:r w:rsidRPr="00CD0F42">
        <w:rPr>
          <w:szCs w:val="24"/>
          <w:lang w:val="de-DE"/>
        </w:rPr>
        <w:t>. Der CAJ:</w:t>
      </w:r>
    </w:p>
    <w:p w:rsidR="00273E4D" w:rsidRPr="00CD0F42" w:rsidRDefault="00273E4D">
      <w:pPr>
        <w:keepNext/>
        <w:keepLines/>
        <w:ind w:left="567" w:right="549"/>
        <w:rPr>
          <w:szCs w:val="24"/>
          <w:lang w:val="de-DE"/>
        </w:rPr>
      </w:pPr>
    </w:p>
    <w:p w:rsidR="00273E4D" w:rsidRPr="00CD0F42" w:rsidRDefault="00273E4D">
      <w:pPr>
        <w:keepLines/>
        <w:ind w:right="9" w:firstLine="567"/>
        <w:rPr>
          <w:szCs w:val="24"/>
          <w:lang w:val="de-DE"/>
        </w:rPr>
      </w:pPr>
      <w:r w:rsidRPr="00CD0F42">
        <w:rPr>
          <w:szCs w:val="24"/>
          <w:lang w:val="de-DE"/>
        </w:rPr>
        <w:t>i)</w:t>
      </w:r>
      <w:r w:rsidRPr="00CD0F42">
        <w:rPr>
          <w:szCs w:val="24"/>
          <w:lang w:val="de-DE"/>
        </w:rPr>
        <w:tab/>
        <w:t>vereinbarte, eine Überarbeitung der „Erläuterungen zu Handlungen in Bezug auf Erntegut nach der Akte von 1991 des UPOV-Übereinkommens“ (Dokument UPOV/EXN/HRV/1), „Erläuterungen zu Vermehrungsmaterial nach dem UPOV-Übereinkommen“ (UPOV/EXN/PPM/1) und „Erläuterungen zum vorläufigen Schutz nach dem UPOV-Übereinkommen“ (UPOV/EXN/PRP/2) einzuleiten;</w:t>
      </w:r>
    </w:p>
    <w:p w:rsidR="00273E4D" w:rsidRPr="00CD0F42" w:rsidRDefault="00273E4D">
      <w:pPr>
        <w:ind w:right="9"/>
        <w:rPr>
          <w:szCs w:val="24"/>
          <w:lang w:val="de-DE"/>
        </w:rPr>
      </w:pPr>
    </w:p>
    <w:p w:rsidR="00273E4D" w:rsidRPr="00CD0F42" w:rsidRDefault="00273E4D">
      <w:pPr>
        <w:ind w:right="9" w:firstLine="567"/>
        <w:rPr>
          <w:szCs w:val="24"/>
          <w:lang w:val="de-DE"/>
        </w:rPr>
      </w:pPr>
      <w:r w:rsidRPr="00CD0F42">
        <w:rPr>
          <w:szCs w:val="24"/>
          <w:lang w:val="de-DE"/>
        </w:rPr>
        <w:t>ii)</w:t>
      </w:r>
      <w:r w:rsidRPr="00CD0F42">
        <w:rPr>
          <w:szCs w:val="24"/>
          <w:lang w:val="de-DE"/>
        </w:rPr>
        <w:tab/>
        <w:t>vereinbarte, eine Arbeitsgruppe für Erntegut und ungenehmigte Benutzung von Vermehrungsmaterial (WG-HRV) einzurichten;</w:t>
      </w:r>
    </w:p>
    <w:p w:rsidR="00273E4D" w:rsidRPr="00CD0F42" w:rsidRDefault="00273E4D">
      <w:pPr>
        <w:ind w:right="9"/>
        <w:rPr>
          <w:szCs w:val="24"/>
          <w:lang w:val="de-DE"/>
        </w:rPr>
      </w:pPr>
    </w:p>
    <w:p w:rsidR="00273E4D" w:rsidRPr="00217D01" w:rsidRDefault="00273E4D">
      <w:pPr>
        <w:ind w:right="9" w:firstLine="567"/>
        <w:rPr>
          <w:szCs w:val="24"/>
          <w:lang w:val="de-DE"/>
        </w:rPr>
      </w:pPr>
      <w:r w:rsidRPr="00CD0F42">
        <w:rPr>
          <w:szCs w:val="24"/>
          <w:lang w:val="de-DE"/>
        </w:rPr>
        <w:t>iii)</w:t>
      </w:r>
      <w:r w:rsidRPr="00CD0F42">
        <w:rPr>
          <w:szCs w:val="24"/>
          <w:lang w:val="de-DE"/>
        </w:rPr>
        <w:tab/>
        <w:t xml:space="preserve">billigte die Aufgabendefinition (ToR) der WG-HRV, wie in der Anlage </w:t>
      </w:r>
      <w:r w:rsidR="00CD0F42" w:rsidRPr="00CD0F42">
        <w:rPr>
          <w:szCs w:val="24"/>
          <w:lang w:val="de-DE"/>
        </w:rPr>
        <w:t>des</w:t>
      </w:r>
      <w:r w:rsidRPr="00CD0F42">
        <w:rPr>
          <w:szCs w:val="24"/>
          <w:lang w:val="de-DE"/>
        </w:rPr>
        <w:t xml:space="preserve"> Dokument</w:t>
      </w:r>
      <w:r w:rsidR="00CD0F42" w:rsidRPr="00CD0F42">
        <w:rPr>
          <w:szCs w:val="24"/>
          <w:lang w:val="de-DE"/>
        </w:rPr>
        <w:t>s</w:t>
      </w:r>
      <w:r w:rsidRPr="00CD0F42">
        <w:rPr>
          <w:szCs w:val="24"/>
          <w:lang w:val="de-DE"/>
        </w:rPr>
        <w:t> CAJ</w:t>
      </w:r>
      <w:r w:rsidRPr="00217D01">
        <w:rPr>
          <w:szCs w:val="24"/>
          <w:lang w:val="de-DE"/>
        </w:rPr>
        <w:t xml:space="preserve">/78/12 dargelegt; </w:t>
      </w:r>
    </w:p>
    <w:p w:rsidR="00273E4D" w:rsidRPr="00217D01" w:rsidRDefault="00273E4D">
      <w:pPr>
        <w:ind w:right="9"/>
        <w:rPr>
          <w:szCs w:val="24"/>
          <w:lang w:val="de-DE"/>
        </w:rPr>
      </w:pPr>
    </w:p>
    <w:p w:rsidR="00273E4D" w:rsidRPr="00217D01" w:rsidRDefault="00273E4D">
      <w:pPr>
        <w:ind w:right="9" w:firstLine="567"/>
        <w:rPr>
          <w:szCs w:val="24"/>
          <w:lang w:val="de-DE"/>
        </w:rPr>
      </w:pPr>
      <w:r w:rsidRPr="00217D01">
        <w:rPr>
          <w:szCs w:val="24"/>
          <w:lang w:val="de-DE"/>
        </w:rPr>
        <w:t>iv)</w:t>
      </w:r>
      <w:r w:rsidRPr="00217D01">
        <w:rPr>
          <w:szCs w:val="24"/>
          <w:lang w:val="de-DE"/>
        </w:rPr>
        <w:tab/>
        <w:t>ersuchte das Verbandsbüro, ein Rundschreiben herauszugeben, um Verbandsmitglieder und Beobachter des CAJ zu ersuchen, ihr Interesse an einer Teilnahme an der WG-HRV zu bekunden; und</w:t>
      </w:r>
    </w:p>
    <w:p w:rsidR="00273E4D" w:rsidRPr="00217D01" w:rsidRDefault="00273E4D">
      <w:pPr>
        <w:ind w:right="9"/>
        <w:rPr>
          <w:szCs w:val="24"/>
          <w:lang w:val="de-DE"/>
        </w:rPr>
      </w:pPr>
    </w:p>
    <w:p w:rsidR="00273E4D" w:rsidRDefault="00273E4D" w:rsidP="00E94D07">
      <w:pPr>
        <w:keepLines/>
        <w:ind w:right="9" w:firstLine="567"/>
        <w:rPr>
          <w:szCs w:val="24"/>
          <w:lang w:val="de-DE"/>
        </w:rPr>
      </w:pPr>
      <w:r w:rsidRPr="00217D01">
        <w:rPr>
          <w:szCs w:val="24"/>
          <w:lang w:val="de-DE"/>
        </w:rPr>
        <w:lastRenderedPageBreak/>
        <w:t>v)</w:t>
      </w:r>
      <w:r w:rsidRPr="00217D01">
        <w:rPr>
          <w:szCs w:val="24"/>
          <w:lang w:val="de-DE"/>
        </w:rPr>
        <w:tab/>
        <w:t>nahm zur Kenntnis, dass der CAJ auf seiner achtundsiebzigsten Tagung einen Bericht über die Antworten auf das Rundschreiben mit den Interessenbekundungen an der Mitwirkung an der WG-HRV erhalten wird, mit einem Gesuch an den CAJ, deren Zusammensetzung und den Termin für deren erste Sitzung festzulegen.</w:t>
      </w:r>
    </w:p>
    <w:p w:rsidR="00E94D07" w:rsidRPr="00E94D07" w:rsidRDefault="00E94D07" w:rsidP="00E94D07"/>
    <w:p w:rsidR="00273E4D" w:rsidRPr="00217D01" w:rsidRDefault="00273E4D" w:rsidP="00E94D07">
      <w:pPr>
        <w:ind w:right="14"/>
        <w:rPr>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Der CAJ prüfte Dokument CAJ/78/5 Add. und billigte die folgende Zusammensetzung der WG-HRV:</w:t>
      </w:r>
    </w:p>
    <w:p w:rsidR="00273E4D" w:rsidRPr="00E94D07" w:rsidRDefault="00273E4D">
      <w:pPr>
        <w:ind w:right="9"/>
        <w:rPr>
          <w:spacing w:val="-2"/>
          <w:szCs w:val="24"/>
          <w:lang w:val="de-DE"/>
        </w:rPr>
      </w:pPr>
    </w:p>
    <w:p w:rsidR="00273E4D" w:rsidRPr="00E94D07" w:rsidRDefault="008D2ABC">
      <w:pPr>
        <w:ind w:left="567" w:right="549"/>
        <w:rPr>
          <w:spacing w:val="-2"/>
          <w:sz w:val="18"/>
          <w:szCs w:val="18"/>
          <w:lang w:val="de-DE"/>
        </w:rPr>
      </w:pPr>
      <w:r w:rsidRPr="00E94D07">
        <w:rPr>
          <w:spacing w:val="-2"/>
          <w:sz w:val="18"/>
          <w:szCs w:val="18"/>
          <w:lang w:val="de-DE"/>
        </w:rPr>
        <w:t>„</w:t>
      </w:r>
      <w:r w:rsidR="00273E4D" w:rsidRPr="00E94D07">
        <w:rPr>
          <w:spacing w:val="-2"/>
          <w:sz w:val="18"/>
          <w:szCs w:val="18"/>
          <w:lang w:val="de-DE"/>
        </w:rPr>
        <w:t>3.</w:t>
      </w:r>
      <w:r w:rsidR="00273E4D" w:rsidRPr="00E94D07">
        <w:rPr>
          <w:spacing w:val="-2"/>
          <w:sz w:val="18"/>
          <w:szCs w:val="18"/>
          <w:lang w:val="de-DE"/>
        </w:rPr>
        <w:tab/>
      </w:r>
      <w:r w:rsidR="00E94D07" w:rsidRPr="00E94D07">
        <w:rPr>
          <w:spacing w:val="-2"/>
          <w:sz w:val="18"/>
          <w:szCs w:val="18"/>
        </w:rPr>
        <w:t xml:space="preserve">In </w:t>
      </w:r>
      <w:proofErr w:type="spellStart"/>
      <w:r w:rsidR="00E94D07" w:rsidRPr="00E94D07">
        <w:rPr>
          <w:spacing w:val="-2"/>
          <w:sz w:val="18"/>
          <w:szCs w:val="18"/>
        </w:rPr>
        <w:t>Beantwortung</w:t>
      </w:r>
      <w:proofErr w:type="spellEnd"/>
      <w:r w:rsidR="00E94D07" w:rsidRPr="00E94D07">
        <w:rPr>
          <w:spacing w:val="-2"/>
          <w:sz w:val="18"/>
          <w:szCs w:val="18"/>
        </w:rPr>
        <w:t xml:space="preserve"> des </w:t>
      </w:r>
      <w:proofErr w:type="spellStart"/>
      <w:r w:rsidR="00E94D07" w:rsidRPr="00E94D07">
        <w:rPr>
          <w:spacing w:val="-2"/>
          <w:sz w:val="18"/>
          <w:szCs w:val="18"/>
        </w:rPr>
        <w:t>Rundschreibens</w:t>
      </w:r>
      <w:proofErr w:type="spellEnd"/>
      <w:r w:rsidR="00E94D07" w:rsidRPr="00E94D07">
        <w:rPr>
          <w:spacing w:val="-2"/>
          <w:sz w:val="18"/>
          <w:szCs w:val="18"/>
        </w:rPr>
        <w:t xml:space="preserve"> E-21/157 </w:t>
      </w:r>
      <w:proofErr w:type="spellStart"/>
      <w:r w:rsidR="00E94D07" w:rsidRPr="00E94D07">
        <w:rPr>
          <w:spacing w:val="-2"/>
          <w:sz w:val="18"/>
          <w:szCs w:val="18"/>
        </w:rPr>
        <w:t>vom</w:t>
      </w:r>
      <w:proofErr w:type="spellEnd"/>
      <w:r w:rsidR="00E94D07" w:rsidRPr="00E94D07">
        <w:rPr>
          <w:spacing w:val="-2"/>
          <w:sz w:val="18"/>
          <w:szCs w:val="18"/>
        </w:rPr>
        <w:t xml:space="preserve"> 23. September 2021 </w:t>
      </w:r>
      <w:proofErr w:type="spellStart"/>
      <w:r w:rsidR="00E94D07" w:rsidRPr="00E94D07">
        <w:rPr>
          <w:spacing w:val="-2"/>
          <w:sz w:val="18"/>
          <w:szCs w:val="18"/>
        </w:rPr>
        <w:t>bekundeten</w:t>
      </w:r>
      <w:proofErr w:type="spellEnd"/>
      <w:r w:rsidR="00E94D07" w:rsidRPr="00E94D07">
        <w:rPr>
          <w:spacing w:val="-2"/>
          <w:sz w:val="18"/>
          <w:szCs w:val="18"/>
        </w:rPr>
        <w:t xml:space="preserve"> </w:t>
      </w:r>
      <w:proofErr w:type="spellStart"/>
      <w:r w:rsidR="00E94D07" w:rsidRPr="00E94D07">
        <w:rPr>
          <w:spacing w:val="-2"/>
          <w:sz w:val="18"/>
          <w:szCs w:val="18"/>
        </w:rPr>
        <w:t>folgende</w:t>
      </w:r>
      <w:proofErr w:type="spellEnd"/>
      <w:r w:rsidR="00E94D07" w:rsidRPr="00E94D07">
        <w:rPr>
          <w:spacing w:val="-2"/>
          <w:sz w:val="18"/>
          <w:szCs w:val="18"/>
        </w:rPr>
        <w:t xml:space="preserve"> </w:t>
      </w:r>
      <w:proofErr w:type="spellStart"/>
      <w:r w:rsidR="00E94D07" w:rsidRPr="00E94D07">
        <w:rPr>
          <w:spacing w:val="-2"/>
          <w:sz w:val="18"/>
          <w:szCs w:val="18"/>
        </w:rPr>
        <w:t>Verbandsmitglieder</w:t>
      </w:r>
      <w:proofErr w:type="spellEnd"/>
      <w:r w:rsidR="00E94D07" w:rsidRPr="00E94D07">
        <w:rPr>
          <w:spacing w:val="-2"/>
          <w:sz w:val="18"/>
          <w:szCs w:val="18"/>
        </w:rPr>
        <w:t xml:space="preserve"> und </w:t>
      </w:r>
      <w:proofErr w:type="spellStart"/>
      <w:r w:rsidR="00E94D07" w:rsidRPr="00E94D07">
        <w:rPr>
          <w:spacing w:val="-2"/>
          <w:sz w:val="18"/>
          <w:szCs w:val="18"/>
        </w:rPr>
        <w:t>Beobachter</w:t>
      </w:r>
      <w:proofErr w:type="spellEnd"/>
      <w:r w:rsidR="00E94D07" w:rsidRPr="00E94D07">
        <w:rPr>
          <w:spacing w:val="-2"/>
          <w:sz w:val="18"/>
          <w:szCs w:val="18"/>
        </w:rPr>
        <w:t xml:space="preserve"> </w:t>
      </w:r>
      <w:proofErr w:type="spellStart"/>
      <w:r w:rsidR="00E94D07" w:rsidRPr="00E94D07">
        <w:rPr>
          <w:spacing w:val="-2"/>
          <w:sz w:val="18"/>
          <w:szCs w:val="18"/>
        </w:rPr>
        <w:t>im</w:t>
      </w:r>
      <w:proofErr w:type="spellEnd"/>
      <w:r w:rsidR="00E94D07" w:rsidRPr="00E94D07">
        <w:rPr>
          <w:spacing w:val="-2"/>
          <w:sz w:val="18"/>
          <w:szCs w:val="18"/>
        </w:rPr>
        <w:t xml:space="preserve"> CAJ </w:t>
      </w:r>
      <w:proofErr w:type="spellStart"/>
      <w:r w:rsidR="00E94D07" w:rsidRPr="00E94D07">
        <w:rPr>
          <w:spacing w:val="-2"/>
          <w:sz w:val="18"/>
          <w:szCs w:val="18"/>
        </w:rPr>
        <w:t>ihr</w:t>
      </w:r>
      <w:proofErr w:type="spellEnd"/>
      <w:r w:rsidR="00E94D07" w:rsidRPr="00E94D07">
        <w:rPr>
          <w:spacing w:val="-2"/>
          <w:sz w:val="18"/>
          <w:szCs w:val="18"/>
        </w:rPr>
        <w:t xml:space="preserve"> </w:t>
      </w:r>
      <w:proofErr w:type="spellStart"/>
      <w:r w:rsidR="00E94D07" w:rsidRPr="00E94D07">
        <w:rPr>
          <w:spacing w:val="-2"/>
          <w:sz w:val="18"/>
          <w:szCs w:val="18"/>
        </w:rPr>
        <w:t>Interesse</w:t>
      </w:r>
      <w:proofErr w:type="spellEnd"/>
      <w:r w:rsidR="00E94D07" w:rsidRPr="00E94D07">
        <w:rPr>
          <w:spacing w:val="-2"/>
          <w:sz w:val="18"/>
          <w:szCs w:val="18"/>
        </w:rPr>
        <w:t xml:space="preserve"> an </w:t>
      </w:r>
      <w:proofErr w:type="spellStart"/>
      <w:r w:rsidR="00E94D07" w:rsidRPr="00E94D07">
        <w:rPr>
          <w:spacing w:val="-2"/>
          <w:sz w:val="18"/>
          <w:szCs w:val="18"/>
        </w:rPr>
        <w:t>einer</w:t>
      </w:r>
      <w:proofErr w:type="spellEnd"/>
      <w:r w:rsidR="00E94D07" w:rsidRPr="00E94D07">
        <w:rPr>
          <w:spacing w:val="-2"/>
          <w:sz w:val="18"/>
          <w:szCs w:val="18"/>
        </w:rPr>
        <w:t xml:space="preserve"> </w:t>
      </w:r>
      <w:proofErr w:type="spellStart"/>
      <w:r w:rsidR="00E94D07" w:rsidRPr="00E94D07">
        <w:rPr>
          <w:spacing w:val="-2"/>
          <w:sz w:val="18"/>
          <w:szCs w:val="18"/>
        </w:rPr>
        <w:t>Mitgliedschaft</w:t>
      </w:r>
      <w:proofErr w:type="spellEnd"/>
      <w:r w:rsidR="00E94D07" w:rsidRPr="00E94D07">
        <w:rPr>
          <w:spacing w:val="-2"/>
          <w:sz w:val="18"/>
          <w:szCs w:val="18"/>
        </w:rPr>
        <w:t xml:space="preserve"> in der WG-HRV: </w:t>
      </w:r>
      <w:proofErr w:type="spellStart"/>
      <w:r w:rsidR="00E94D07" w:rsidRPr="00E94D07">
        <w:rPr>
          <w:spacing w:val="-2"/>
          <w:sz w:val="18"/>
          <w:szCs w:val="18"/>
        </w:rPr>
        <w:t>Argentinien</w:t>
      </w:r>
      <w:proofErr w:type="spellEnd"/>
      <w:r w:rsidR="00E94D07" w:rsidRPr="00E94D07">
        <w:rPr>
          <w:spacing w:val="-2"/>
          <w:sz w:val="18"/>
          <w:szCs w:val="18"/>
        </w:rPr>
        <w:t xml:space="preserve">, </w:t>
      </w:r>
      <w:proofErr w:type="spellStart"/>
      <w:r w:rsidR="00E94D07" w:rsidRPr="00E94D07">
        <w:rPr>
          <w:spacing w:val="-2"/>
          <w:sz w:val="18"/>
          <w:szCs w:val="18"/>
        </w:rPr>
        <w:t>Australien</w:t>
      </w:r>
      <w:proofErr w:type="spellEnd"/>
      <w:r w:rsidR="00E94D07" w:rsidRPr="00E94D07">
        <w:rPr>
          <w:spacing w:val="-2"/>
          <w:sz w:val="18"/>
          <w:szCs w:val="18"/>
        </w:rPr>
        <w:t xml:space="preserve">, Chile, China, </w:t>
      </w:r>
      <w:proofErr w:type="spellStart"/>
      <w:r w:rsidR="00E94D07" w:rsidRPr="00E94D07">
        <w:rPr>
          <w:spacing w:val="-2"/>
          <w:sz w:val="18"/>
          <w:szCs w:val="18"/>
        </w:rPr>
        <w:t>Europäische</w:t>
      </w:r>
      <w:proofErr w:type="spellEnd"/>
      <w:r w:rsidR="00E94D07" w:rsidRPr="00E94D07">
        <w:rPr>
          <w:spacing w:val="-2"/>
          <w:sz w:val="18"/>
          <w:szCs w:val="18"/>
        </w:rPr>
        <w:t xml:space="preserve"> Union, </w:t>
      </w:r>
      <w:proofErr w:type="spellStart"/>
      <w:r w:rsidR="00E94D07" w:rsidRPr="00E94D07">
        <w:rPr>
          <w:spacing w:val="-2"/>
          <w:sz w:val="18"/>
          <w:szCs w:val="18"/>
        </w:rPr>
        <w:t>Frankreich</w:t>
      </w:r>
      <w:proofErr w:type="spellEnd"/>
      <w:r w:rsidR="00E94D07" w:rsidRPr="00E94D07">
        <w:rPr>
          <w:spacing w:val="-2"/>
          <w:sz w:val="18"/>
          <w:szCs w:val="18"/>
        </w:rPr>
        <w:t xml:space="preserve">, Japan, </w:t>
      </w:r>
      <w:proofErr w:type="spellStart"/>
      <w:r w:rsidR="00E94D07" w:rsidRPr="00E94D07">
        <w:rPr>
          <w:spacing w:val="-2"/>
          <w:sz w:val="18"/>
          <w:szCs w:val="18"/>
        </w:rPr>
        <w:t>Niederlande</w:t>
      </w:r>
      <w:proofErr w:type="spellEnd"/>
      <w:r w:rsidR="00E94D07" w:rsidRPr="00E94D07">
        <w:rPr>
          <w:spacing w:val="-2"/>
          <w:sz w:val="18"/>
          <w:szCs w:val="18"/>
        </w:rPr>
        <w:t xml:space="preserve">, </w:t>
      </w:r>
      <w:proofErr w:type="spellStart"/>
      <w:r w:rsidR="00E94D07" w:rsidRPr="00E94D07">
        <w:rPr>
          <w:spacing w:val="-2"/>
          <w:sz w:val="18"/>
          <w:szCs w:val="18"/>
        </w:rPr>
        <w:t>Neuseeland</w:t>
      </w:r>
      <w:proofErr w:type="spellEnd"/>
      <w:r w:rsidR="00E94D07" w:rsidRPr="00E94D07">
        <w:rPr>
          <w:spacing w:val="-2"/>
          <w:sz w:val="18"/>
          <w:szCs w:val="18"/>
        </w:rPr>
        <w:t xml:space="preserve">, </w:t>
      </w:r>
      <w:proofErr w:type="spellStart"/>
      <w:r w:rsidR="00E94D07" w:rsidRPr="00E94D07">
        <w:rPr>
          <w:spacing w:val="-2"/>
          <w:sz w:val="18"/>
          <w:szCs w:val="18"/>
        </w:rPr>
        <w:t>Norwegen</w:t>
      </w:r>
      <w:proofErr w:type="spellEnd"/>
      <w:r w:rsidR="00E94D07" w:rsidRPr="00E94D07">
        <w:rPr>
          <w:spacing w:val="-2"/>
          <w:sz w:val="18"/>
          <w:szCs w:val="18"/>
        </w:rPr>
        <w:t xml:space="preserve">, </w:t>
      </w:r>
      <w:proofErr w:type="spellStart"/>
      <w:r w:rsidR="00E94D07" w:rsidRPr="00E94D07">
        <w:rPr>
          <w:spacing w:val="-2"/>
          <w:sz w:val="18"/>
          <w:szCs w:val="18"/>
        </w:rPr>
        <w:t>Republik</w:t>
      </w:r>
      <w:proofErr w:type="spellEnd"/>
      <w:r w:rsidR="00E94D07" w:rsidRPr="00E94D07">
        <w:rPr>
          <w:spacing w:val="-2"/>
          <w:sz w:val="18"/>
          <w:szCs w:val="18"/>
        </w:rPr>
        <w:t xml:space="preserve"> Korea, </w:t>
      </w:r>
      <w:proofErr w:type="spellStart"/>
      <w:r w:rsidR="00E94D07" w:rsidRPr="00E94D07">
        <w:rPr>
          <w:spacing w:val="-2"/>
          <w:sz w:val="18"/>
          <w:szCs w:val="18"/>
        </w:rPr>
        <w:t>Spanien</w:t>
      </w:r>
      <w:proofErr w:type="spellEnd"/>
      <w:r w:rsidR="00E94D07" w:rsidRPr="00E94D07">
        <w:rPr>
          <w:spacing w:val="-2"/>
          <w:sz w:val="18"/>
          <w:szCs w:val="18"/>
        </w:rPr>
        <w:t xml:space="preserve">, </w:t>
      </w:r>
      <w:proofErr w:type="spellStart"/>
      <w:r w:rsidR="00E94D07" w:rsidRPr="00E94D07">
        <w:rPr>
          <w:spacing w:val="-2"/>
          <w:sz w:val="18"/>
          <w:szCs w:val="18"/>
        </w:rPr>
        <w:t>Tschechische</w:t>
      </w:r>
      <w:proofErr w:type="spellEnd"/>
      <w:r w:rsidR="00E94D07" w:rsidRPr="00E94D07">
        <w:rPr>
          <w:spacing w:val="-2"/>
          <w:sz w:val="18"/>
          <w:szCs w:val="18"/>
        </w:rPr>
        <w:t xml:space="preserve"> </w:t>
      </w:r>
      <w:proofErr w:type="spellStart"/>
      <w:r w:rsidR="00E94D07" w:rsidRPr="00E94D07">
        <w:rPr>
          <w:spacing w:val="-2"/>
          <w:sz w:val="18"/>
          <w:szCs w:val="18"/>
        </w:rPr>
        <w:t>Republik</w:t>
      </w:r>
      <w:proofErr w:type="spellEnd"/>
      <w:r w:rsidR="00E94D07" w:rsidRPr="00E94D07">
        <w:rPr>
          <w:spacing w:val="-2"/>
          <w:sz w:val="18"/>
          <w:szCs w:val="18"/>
        </w:rPr>
        <w:t xml:space="preserve">, </w:t>
      </w:r>
      <w:proofErr w:type="spellStart"/>
      <w:r w:rsidR="00E94D07" w:rsidRPr="00E94D07">
        <w:rPr>
          <w:spacing w:val="-2"/>
          <w:sz w:val="18"/>
          <w:szCs w:val="18"/>
        </w:rPr>
        <w:t>Vereinigtes</w:t>
      </w:r>
      <w:proofErr w:type="spellEnd"/>
      <w:r w:rsidR="00E94D07" w:rsidRPr="00E94D07">
        <w:rPr>
          <w:spacing w:val="-2"/>
          <w:sz w:val="18"/>
          <w:szCs w:val="18"/>
        </w:rPr>
        <w:t xml:space="preserve"> </w:t>
      </w:r>
      <w:proofErr w:type="spellStart"/>
      <w:r w:rsidR="00E94D07" w:rsidRPr="00E94D07">
        <w:rPr>
          <w:spacing w:val="-2"/>
          <w:sz w:val="18"/>
          <w:szCs w:val="18"/>
        </w:rPr>
        <w:t>Königreich</w:t>
      </w:r>
      <w:proofErr w:type="spellEnd"/>
      <w:r w:rsidR="00E94D07" w:rsidRPr="00E94D07">
        <w:rPr>
          <w:spacing w:val="-2"/>
          <w:sz w:val="18"/>
          <w:szCs w:val="18"/>
        </w:rPr>
        <w:t xml:space="preserve">, </w:t>
      </w:r>
      <w:proofErr w:type="spellStart"/>
      <w:r w:rsidR="00E94D07" w:rsidRPr="00E94D07">
        <w:rPr>
          <w:spacing w:val="-2"/>
          <w:sz w:val="18"/>
          <w:szCs w:val="18"/>
        </w:rPr>
        <w:t>Vereinigte</w:t>
      </w:r>
      <w:proofErr w:type="spellEnd"/>
      <w:r w:rsidR="00E94D07" w:rsidRPr="00E94D07">
        <w:rPr>
          <w:spacing w:val="-2"/>
          <w:sz w:val="18"/>
          <w:szCs w:val="18"/>
        </w:rPr>
        <w:t xml:space="preserve"> </w:t>
      </w:r>
      <w:proofErr w:type="spellStart"/>
      <w:r w:rsidR="00E94D07" w:rsidRPr="00E94D07">
        <w:rPr>
          <w:spacing w:val="-2"/>
          <w:sz w:val="18"/>
          <w:szCs w:val="18"/>
        </w:rPr>
        <w:t>Republik</w:t>
      </w:r>
      <w:proofErr w:type="spellEnd"/>
      <w:r w:rsidR="00E94D07" w:rsidRPr="00E94D07">
        <w:rPr>
          <w:spacing w:val="-2"/>
          <w:sz w:val="18"/>
          <w:szCs w:val="18"/>
        </w:rPr>
        <w:t xml:space="preserve"> </w:t>
      </w:r>
      <w:proofErr w:type="spellStart"/>
      <w:r w:rsidR="00E94D07" w:rsidRPr="00E94D07">
        <w:rPr>
          <w:spacing w:val="-2"/>
          <w:sz w:val="18"/>
          <w:szCs w:val="18"/>
        </w:rPr>
        <w:t>Tansania</w:t>
      </w:r>
      <w:proofErr w:type="spellEnd"/>
      <w:r w:rsidR="00E94D07" w:rsidRPr="00E94D07">
        <w:rPr>
          <w:spacing w:val="-2"/>
          <w:sz w:val="18"/>
          <w:szCs w:val="18"/>
        </w:rPr>
        <w:t xml:space="preserve">, </w:t>
      </w:r>
      <w:proofErr w:type="spellStart"/>
      <w:r w:rsidR="00E94D07" w:rsidRPr="00E94D07">
        <w:rPr>
          <w:spacing w:val="-2"/>
          <w:sz w:val="18"/>
          <w:szCs w:val="18"/>
        </w:rPr>
        <w:t>Vereinigte</w:t>
      </w:r>
      <w:proofErr w:type="spellEnd"/>
      <w:r w:rsidR="00E94D07" w:rsidRPr="00E94D07">
        <w:rPr>
          <w:spacing w:val="-2"/>
          <w:sz w:val="18"/>
          <w:szCs w:val="18"/>
        </w:rPr>
        <w:t xml:space="preserve"> </w:t>
      </w:r>
      <w:proofErr w:type="spellStart"/>
      <w:r w:rsidR="00E94D07" w:rsidRPr="00E94D07">
        <w:rPr>
          <w:spacing w:val="-2"/>
          <w:sz w:val="18"/>
          <w:szCs w:val="18"/>
        </w:rPr>
        <w:t>Staaten</w:t>
      </w:r>
      <w:proofErr w:type="spellEnd"/>
      <w:r w:rsidR="00E94D07" w:rsidRPr="00E94D07">
        <w:rPr>
          <w:spacing w:val="-2"/>
          <w:sz w:val="18"/>
          <w:szCs w:val="18"/>
        </w:rPr>
        <w:t xml:space="preserve"> von Amerika, A</w:t>
      </w:r>
      <w:r w:rsidR="00E94D07" w:rsidRPr="00E94D07">
        <w:rPr>
          <w:i/>
          <w:spacing w:val="-2"/>
          <w:sz w:val="18"/>
          <w:szCs w:val="18"/>
        </w:rPr>
        <w:t>ssociation for Plant Breeding for the Benefit of Society</w:t>
      </w:r>
      <w:r w:rsidR="00E94D07" w:rsidRPr="00E94D07">
        <w:rPr>
          <w:spacing w:val="-2"/>
          <w:sz w:val="18"/>
          <w:szCs w:val="18"/>
        </w:rPr>
        <w:t xml:space="preserve"> (APBREBES), </w:t>
      </w:r>
      <w:proofErr w:type="spellStart"/>
      <w:r w:rsidR="00E94D07" w:rsidRPr="00E94D07">
        <w:rPr>
          <w:i/>
          <w:spacing w:val="-2"/>
          <w:sz w:val="18"/>
          <w:szCs w:val="18"/>
        </w:rPr>
        <w:t>CropLife</w:t>
      </w:r>
      <w:proofErr w:type="spellEnd"/>
      <w:r w:rsidR="00E94D07" w:rsidRPr="00E94D07">
        <w:rPr>
          <w:i/>
          <w:spacing w:val="-2"/>
          <w:sz w:val="18"/>
          <w:szCs w:val="18"/>
        </w:rPr>
        <w:t xml:space="preserve"> International</w:t>
      </w:r>
      <w:r w:rsidR="00E94D07" w:rsidRPr="00E94D07">
        <w:rPr>
          <w:spacing w:val="-2"/>
          <w:sz w:val="18"/>
          <w:szCs w:val="18"/>
        </w:rPr>
        <w:t xml:space="preserve">, </w:t>
      </w:r>
      <w:proofErr w:type="spellStart"/>
      <w:r w:rsidR="00E94D07" w:rsidRPr="00E94D07">
        <w:rPr>
          <w:spacing w:val="-2"/>
          <w:sz w:val="18"/>
          <w:szCs w:val="18"/>
        </w:rPr>
        <w:t>Euroseeds</w:t>
      </w:r>
      <w:proofErr w:type="spellEnd"/>
      <w:r w:rsidR="00E94D07" w:rsidRPr="00E94D07">
        <w:rPr>
          <w:spacing w:val="-2"/>
          <w:sz w:val="18"/>
          <w:szCs w:val="18"/>
        </w:rPr>
        <w:t xml:space="preserve">, </w:t>
      </w:r>
      <w:proofErr w:type="spellStart"/>
      <w:r w:rsidR="00E94D07" w:rsidRPr="00E94D07">
        <w:rPr>
          <w:spacing w:val="-2"/>
          <w:sz w:val="18"/>
          <w:szCs w:val="18"/>
        </w:rPr>
        <w:t>Internationale</w:t>
      </w:r>
      <w:proofErr w:type="spellEnd"/>
      <w:r w:rsidR="00E94D07" w:rsidRPr="00E94D07">
        <w:rPr>
          <w:spacing w:val="-2"/>
          <w:sz w:val="18"/>
          <w:szCs w:val="18"/>
        </w:rPr>
        <w:t xml:space="preserve"> </w:t>
      </w:r>
      <w:proofErr w:type="spellStart"/>
      <w:r w:rsidR="00E94D07" w:rsidRPr="00E94D07">
        <w:rPr>
          <w:spacing w:val="-2"/>
          <w:sz w:val="18"/>
          <w:szCs w:val="18"/>
        </w:rPr>
        <w:t>Gemeinschaft</w:t>
      </w:r>
      <w:proofErr w:type="spellEnd"/>
      <w:r w:rsidR="00E94D07" w:rsidRPr="00E94D07">
        <w:rPr>
          <w:spacing w:val="-2"/>
          <w:sz w:val="18"/>
          <w:szCs w:val="18"/>
        </w:rPr>
        <w:t xml:space="preserve"> der </w:t>
      </w:r>
      <w:proofErr w:type="spellStart"/>
      <w:r w:rsidR="00E94D07" w:rsidRPr="00E94D07">
        <w:rPr>
          <w:spacing w:val="-2"/>
          <w:sz w:val="18"/>
          <w:szCs w:val="18"/>
        </w:rPr>
        <w:t>Züchter</w:t>
      </w:r>
      <w:proofErr w:type="spellEnd"/>
      <w:r w:rsidR="00E94D07" w:rsidRPr="00E94D07">
        <w:rPr>
          <w:spacing w:val="-2"/>
          <w:sz w:val="18"/>
          <w:szCs w:val="18"/>
        </w:rPr>
        <w:t xml:space="preserve"> </w:t>
      </w:r>
      <w:proofErr w:type="spellStart"/>
      <w:r w:rsidR="00E94D07" w:rsidRPr="00E94D07">
        <w:rPr>
          <w:spacing w:val="-2"/>
          <w:sz w:val="18"/>
          <w:szCs w:val="18"/>
        </w:rPr>
        <w:t>vegetativ</w:t>
      </w:r>
      <w:proofErr w:type="spellEnd"/>
      <w:r w:rsidR="00E94D07" w:rsidRPr="00E94D07">
        <w:rPr>
          <w:spacing w:val="-2"/>
          <w:sz w:val="18"/>
          <w:szCs w:val="18"/>
        </w:rPr>
        <w:t xml:space="preserve"> </w:t>
      </w:r>
      <w:proofErr w:type="spellStart"/>
      <w:r w:rsidR="00E94D07" w:rsidRPr="00E94D07">
        <w:rPr>
          <w:spacing w:val="-2"/>
          <w:sz w:val="18"/>
          <w:szCs w:val="18"/>
        </w:rPr>
        <w:t>vermehrbarer</w:t>
      </w:r>
      <w:proofErr w:type="spellEnd"/>
      <w:r w:rsidR="00E94D07" w:rsidRPr="00E94D07">
        <w:rPr>
          <w:spacing w:val="-2"/>
          <w:sz w:val="18"/>
          <w:szCs w:val="18"/>
        </w:rPr>
        <w:t xml:space="preserve"> </w:t>
      </w:r>
      <w:proofErr w:type="spellStart"/>
      <w:r w:rsidR="00E94D07" w:rsidRPr="00E94D07">
        <w:rPr>
          <w:spacing w:val="-2"/>
          <w:sz w:val="18"/>
          <w:szCs w:val="18"/>
        </w:rPr>
        <w:t>gartenbaulicher</w:t>
      </w:r>
      <w:proofErr w:type="spellEnd"/>
      <w:r w:rsidR="00E94D07" w:rsidRPr="00E94D07">
        <w:rPr>
          <w:spacing w:val="-2"/>
          <w:sz w:val="18"/>
          <w:szCs w:val="18"/>
        </w:rPr>
        <w:t xml:space="preserve"> </w:t>
      </w:r>
      <w:proofErr w:type="spellStart"/>
      <w:r w:rsidR="00E94D07" w:rsidRPr="00E94D07">
        <w:rPr>
          <w:spacing w:val="-2"/>
          <w:sz w:val="18"/>
          <w:szCs w:val="18"/>
        </w:rPr>
        <w:t>Pflanzen</w:t>
      </w:r>
      <w:proofErr w:type="spellEnd"/>
      <w:r w:rsidR="00E94D07" w:rsidRPr="00E94D07">
        <w:rPr>
          <w:spacing w:val="-2"/>
          <w:sz w:val="18"/>
          <w:szCs w:val="18"/>
        </w:rPr>
        <w:t xml:space="preserve"> (CIOPORA), </w:t>
      </w:r>
      <w:r w:rsidR="00E94D07" w:rsidRPr="00E94D07">
        <w:rPr>
          <w:i/>
          <w:spacing w:val="-2"/>
          <w:sz w:val="18"/>
          <w:szCs w:val="18"/>
        </w:rPr>
        <w:t>International Seed Federation</w:t>
      </w:r>
      <w:r w:rsidR="00E94D07" w:rsidRPr="00E94D07">
        <w:rPr>
          <w:spacing w:val="-2"/>
          <w:sz w:val="18"/>
          <w:szCs w:val="18"/>
        </w:rPr>
        <w:t xml:space="preserve"> (ISF), </w:t>
      </w:r>
      <w:proofErr w:type="spellStart"/>
      <w:r w:rsidR="00E94D07" w:rsidRPr="00E94D07">
        <w:rPr>
          <w:spacing w:val="-2"/>
          <w:sz w:val="18"/>
          <w:szCs w:val="18"/>
        </w:rPr>
        <w:t>Internationaler</w:t>
      </w:r>
      <w:proofErr w:type="spellEnd"/>
      <w:r w:rsidR="00E94D07" w:rsidRPr="00E94D07">
        <w:rPr>
          <w:spacing w:val="-2"/>
          <w:sz w:val="18"/>
          <w:szCs w:val="18"/>
        </w:rPr>
        <w:t xml:space="preserve"> </w:t>
      </w:r>
      <w:proofErr w:type="spellStart"/>
      <w:r w:rsidR="00E94D07" w:rsidRPr="00E94D07">
        <w:rPr>
          <w:spacing w:val="-2"/>
          <w:sz w:val="18"/>
          <w:szCs w:val="18"/>
        </w:rPr>
        <w:t>Verband</w:t>
      </w:r>
      <w:proofErr w:type="spellEnd"/>
      <w:r w:rsidR="00E94D07" w:rsidRPr="00E94D07">
        <w:rPr>
          <w:spacing w:val="-2"/>
          <w:sz w:val="18"/>
          <w:szCs w:val="18"/>
        </w:rPr>
        <w:t xml:space="preserve"> des </w:t>
      </w:r>
      <w:proofErr w:type="spellStart"/>
      <w:r w:rsidR="00E94D07" w:rsidRPr="00E94D07">
        <w:rPr>
          <w:spacing w:val="-2"/>
          <w:sz w:val="18"/>
          <w:szCs w:val="18"/>
        </w:rPr>
        <w:t>Erwerbsgartenbaues</w:t>
      </w:r>
      <w:proofErr w:type="spellEnd"/>
      <w:r w:rsidR="00E94D07" w:rsidRPr="00E94D07">
        <w:rPr>
          <w:spacing w:val="-2"/>
          <w:sz w:val="18"/>
          <w:szCs w:val="18"/>
        </w:rPr>
        <w:t xml:space="preserve"> (AIPH) und der </w:t>
      </w:r>
      <w:r w:rsidR="00E94D07" w:rsidRPr="00E94D07">
        <w:rPr>
          <w:i/>
          <w:spacing w:val="-2"/>
          <w:sz w:val="18"/>
          <w:szCs w:val="18"/>
        </w:rPr>
        <w:t xml:space="preserve">Seed Association of the Americas </w:t>
      </w:r>
      <w:r w:rsidR="00E94D07" w:rsidRPr="00E94D07">
        <w:rPr>
          <w:spacing w:val="-2"/>
          <w:sz w:val="18"/>
          <w:szCs w:val="18"/>
        </w:rPr>
        <w:t>(SAA).</w:t>
      </w:r>
      <w:r w:rsidR="00273E4D" w:rsidRPr="00E94D07">
        <w:rPr>
          <w:spacing w:val="-2"/>
          <w:sz w:val="18"/>
          <w:szCs w:val="18"/>
          <w:lang w:val="de-DE"/>
        </w:rPr>
        <w:t>“</w:t>
      </w:r>
    </w:p>
    <w:p w:rsidR="00273E4D" w:rsidRPr="00CD0F42" w:rsidRDefault="00273E4D">
      <w:pPr>
        <w:ind w:right="9"/>
        <w:rPr>
          <w:szCs w:val="24"/>
          <w:lang w:val="de-DE"/>
        </w:rPr>
      </w:pPr>
    </w:p>
    <w:p w:rsidR="00273E4D" w:rsidRPr="00CD0F42" w:rsidRDefault="00273E4D">
      <w:pPr>
        <w:ind w:right="9"/>
        <w:rPr>
          <w:szCs w:val="24"/>
          <w:lang w:val="de-DE"/>
        </w:rPr>
      </w:pPr>
      <w:r w:rsidRPr="00CD0F42">
        <w:rPr>
          <w:szCs w:val="24"/>
          <w:lang w:val="de-DE"/>
        </w:rPr>
        <w:fldChar w:fldCharType="begin"/>
      </w:r>
      <w:r w:rsidRPr="00CD0F42">
        <w:rPr>
          <w:szCs w:val="24"/>
          <w:lang w:val="de-DE"/>
        </w:rPr>
        <w:instrText xml:space="preserve"> AUTONUM  </w:instrText>
      </w:r>
      <w:r w:rsidRPr="00CD0F42">
        <w:rPr>
          <w:szCs w:val="24"/>
          <w:lang w:val="de-DE"/>
        </w:rPr>
        <w:fldChar w:fldCharType="end"/>
      </w:r>
      <w:r w:rsidRPr="00CD0F42">
        <w:rPr>
          <w:szCs w:val="24"/>
          <w:lang w:val="de-DE"/>
        </w:rPr>
        <w:tab/>
        <w:t>Der CAJ billigte den 15. März 2022 als Termin für die erste Sitzung der WG-HRV, die auf elektronischem Wege abzuhalten sei (vergleiche Dokument CAJ/78/13 „</w:t>
      </w:r>
      <w:r w:rsidR="00CD0F42" w:rsidRPr="00CD0F42">
        <w:rPr>
          <w:szCs w:val="24"/>
          <w:lang w:val="de-DE"/>
        </w:rPr>
        <w:t>Bericht</w:t>
      </w:r>
      <w:r w:rsidRPr="00CD0F42">
        <w:rPr>
          <w:szCs w:val="24"/>
          <w:lang w:val="de-DE"/>
        </w:rPr>
        <w:t>“, Absätze 23 bis 28).</w:t>
      </w:r>
    </w:p>
    <w:p w:rsidR="00273E4D" w:rsidRPr="00CD0F42" w:rsidRDefault="00273E4D">
      <w:pPr>
        <w:rPr>
          <w:szCs w:val="24"/>
          <w:lang w:val="de-DE"/>
        </w:rPr>
      </w:pPr>
    </w:p>
    <w:p w:rsidR="00273E4D" w:rsidRPr="00217D01" w:rsidRDefault="00273E4D">
      <w:pPr>
        <w:rPr>
          <w:szCs w:val="24"/>
          <w:lang w:val="de-DE"/>
        </w:rPr>
      </w:pPr>
      <w:r w:rsidRPr="00CD0F42">
        <w:rPr>
          <w:szCs w:val="24"/>
          <w:lang w:val="de-DE"/>
        </w:rPr>
        <w:fldChar w:fldCharType="begin"/>
      </w:r>
      <w:r w:rsidRPr="00CD0F42">
        <w:rPr>
          <w:szCs w:val="24"/>
          <w:lang w:val="de-DE"/>
        </w:rPr>
        <w:instrText xml:space="preserve"> AUTONUM  </w:instrText>
      </w:r>
      <w:r w:rsidRPr="00CD0F42">
        <w:rPr>
          <w:szCs w:val="24"/>
          <w:lang w:val="de-DE"/>
        </w:rPr>
        <w:fldChar w:fldCharType="end"/>
      </w:r>
      <w:r w:rsidRPr="00CD0F42">
        <w:rPr>
          <w:szCs w:val="24"/>
          <w:lang w:val="de-DE"/>
        </w:rPr>
        <w:tab/>
        <w:t xml:space="preserve">Zusätzlich zu den Mitgliedern </w:t>
      </w:r>
      <w:r w:rsidR="00CD0F42" w:rsidRPr="00CD0F42">
        <w:rPr>
          <w:szCs w:val="24"/>
          <w:lang w:val="de-DE"/>
        </w:rPr>
        <w:t>der</w:t>
      </w:r>
      <w:r w:rsidRPr="00CD0F42">
        <w:rPr>
          <w:szCs w:val="24"/>
          <w:lang w:val="de-DE"/>
        </w:rPr>
        <w:t xml:space="preserve"> WG-HRV bekundeten die folgenden Verbandsmitglieder ihr Interesse, an den Sitzungen der WG-HRV teilzunehmen: Kanada, Kenia, Rumänien, Südafrika. </w:t>
      </w:r>
      <w:r w:rsidR="008D2ABC" w:rsidRPr="00CD0F42">
        <w:rPr>
          <w:szCs w:val="24"/>
          <w:lang w:val="de-DE"/>
        </w:rPr>
        <w:t>Gemäß</w:t>
      </w:r>
      <w:r w:rsidRPr="00CD0F42">
        <w:rPr>
          <w:szCs w:val="24"/>
          <w:lang w:val="de-DE"/>
        </w:rPr>
        <w:t xml:space="preserve"> der Aufgabendefinition der WG-HRV (ToR) werden diese Verbandsmitglieder ebenfalls</w:t>
      </w:r>
      <w:r w:rsidRPr="00217D01">
        <w:rPr>
          <w:szCs w:val="24"/>
          <w:lang w:val="de-DE"/>
        </w:rPr>
        <w:t xml:space="preserve"> an die Sitzungen der WG</w:t>
      </w:r>
      <w:r w:rsidR="00E94D07">
        <w:rPr>
          <w:szCs w:val="24"/>
          <w:lang w:val="de-DE"/>
        </w:rPr>
        <w:noBreakHyphen/>
      </w:r>
      <w:r w:rsidRPr="00217D01">
        <w:rPr>
          <w:szCs w:val="24"/>
          <w:lang w:val="de-DE"/>
        </w:rPr>
        <w:t xml:space="preserve">HRV eingeladen. </w:t>
      </w:r>
    </w:p>
    <w:p w:rsidR="00273E4D" w:rsidRPr="00217D01" w:rsidRDefault="00273E4D">
      <w:pPr>
        <w:rPr>
          <w:szCs w:val="24"/>
          <w:lang w:val="de-DE"/>
        </w:rPr>
      </w:pPr>
    </w:p>
    <w:p w:rsidR="00273E4D" w:rsidRPr="00217D01" w:rsidRDefault="00273E4D">
      <w:pPr>
        <w:rPr>
          <w:szCs w:val="24"/>
          <w:lang w:val="de-DE"/>
        </w:rPr>
      </w:pPr>
    </w:p>
    <w:p w:rsidR="00273E4D" w:rsidRPr="00E94D07" w:rsidRDefault="00273E4D" w:rsidP="00E94D07"/>
    <w:p w:rsidR="00273E4D" w:rsidRPr="00217D01" w:rsidRDefault="00273E4D">
      <w:pPr>
        <w:pStyle w:val="Heading1"/>
        <w:rPr>
          <w:szCs w:val="24"/>
          <w:lang w:val="de-DE"/>
        </w:rPr>
      </w:pPr>
      <w:bookmarkStart w:id="2" w:name="_Toc116047951"/>
      <w:r w:rsidRPr="00217D01">
        <w:rPr>
          <w:szCs w:val="24"/>
          <w:lang w:val="de-DE"/>
        </w:rPr>
        <w:t>Erste Sitzung der WG-HRV (15. MÄRZ 2022)</w:t>
      </w:r>
      <w:bookmarkEnd w:id="2"/>
    </w:p>
    <w:p w:rsidR="00273E4D" w:rsidRPr="00217D01" w:rsidRDefault="00273E4D">
      <w:pPr>
        <w:keepNext/>
        <w:jc w:val="left"/>
        <w:rPr>
          <w:szCs w:val="24"/>
          <w:lang w:val="de-DE"/>
        </w:rPr>
      </w:pPr>
    </w:p>
    <w:p w:rsidR="00273E4D" w:rsidRPr="00217D01" w:rsidRDefault="00273E4D">
      <w:pPr>
        <w:keepLines/>
        <w:rPr>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Die WG-HRV prüfte auf ihrer ersten Sitzung, die am 15. März 2022 auf elektronischem Wege abgehalten wurde, die in Beantwortung des Rundschreibens E-21/228 vom 18. November 2021 eingegangenen Bemerkungen und Vorschläge, die in den Dokumenten WG-HRV/1/2, WG-HRV/1/3 (Vorschläge betreffend UPOV/EXN/PPM/1), WG-HRV/1/4 (Vorschläge betreffend UPOV/EXN/HRV/1) und WG-HRV/1/5 (Vorschläge betreffend UPOV/EXN/PRP/2) dargelegt wurden.</w:t>
      </w:r>
    </w:p>
    <w:p w:rsidR="00273E4D" w:rsidRPr="00217D01" w:rsidRDefault="00273E4D">
      <w:pPr>
        <w:ind w:right="567"/>
        <w:rPr>
          <w:szCs w:val="24"/>
          <w:lang w:val="de-DE"/>
        </w:rPr>
      </w:pPr>
    </w:p>
    <w:p w:rsidR="00273E4D" w:rsidRPr="00217D01" w:rsidRDefault="00273E4D">
      <w:pPr>
        <w:rPr>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 xml:space="preserve">Die Dokumente und der Bericht der ersten Sitzung der WG-HRV sind verfügbar unter: </w:t>
      </w:r>
      <w:hyperlink r:id="rId8" w:history="1">
        <w:r w:rsidRPr="00217D01">
          <w:rPr>
            <w:rStyle w:val="Hyperlink"/>
            <w:color w:val="auto"/>
            <w:szCs w:val="24"/>
            <w:lang w:val="de-DE"/>
          </w:rPr>
          <w:t>https://www.upov.int/meetings/en/details.jsp?meeting_id=67773</w:t>
        </w:r>
      </w:hyperlink>
      <w:r w:rsidRPr="00217D01">
        <w:rPr>
          <w:szCs w:val="24"/>
          <w:lang w:val="de-DE"/>
        </w:rPr>
        <w:t xml:space="preserve">. </w:t>
      </w:r>
    </w:p>
    <w:p w:rsidR="00273E4D" w:rsidRPr="00217D01" w:rsidRDefault="00273E4D">
      <w:pPr>
        <w:ind w:right="567"/>
        <w:rPr>
          <w:szCs w:val="24"/>
          <w:lang w:val="de-DE"/>
        </w:rPr>
      </w:pPr>
    </w:p>
    <w:p w:rsidR="00273E4D" w:rsidRPr="00217D01" w:rsidRDefault="00273E4D">
      <w:pPr>
        <w:ind w:right="567"/>
        <w:rPr>
          <w:szCs w:val="24"/>
          <w:lang w:val="de-DE"/>
        </w:rPr>
      </w:pPr>
    </w:p>
    <w:p w:rsidR="00273E4D" w:rsidRPr="00217D01" w:rsidRDefault="00273E4D">
      <w:pPr>
        <w:ind w:right="567"/>
        <w:rPr>
          <w:szCs w:val="24"/>
          <w:lang w:val="de-DE"/>
        </w:rPr>
      </w:pPr>
    </w:p>
    <w:p w:rsidR="00273E4D" w:rsidRPr="00217D01" w:rsidRDefault="00273E4D">
      <w:pPr>
        <w:pStyle w:val="Heading1"/>
        <w:rPr>
          <w:szCs w:val="24"/>
          <w:lang w:val="de-DE"/>
        </w:rPr>
      </w:pPr>
      <w:bookmarkStart w:id="3" w:name="_Toc116047952"/>
      <w:r w:rsidRPr="00217D01">
        <w:rPr>
          <w:szCs w:val="24"/>
          <w:lang w:val="de-DE"/>
        </w:rPr>
        <w:t>ZWEITE Sitzung der WG-HRV (6. september 2022)</w:t>
      </w:r>
      <w:bookmarkEnd w:id="3"/>
    </w:p>
    <w:p w:rsidR="00273E4D" w:rsidRPr="00217D01" w:rsidRDefault="00273E4D">
      <w:pPr>
        <w:keepNext/>
        <w:rPr>
          <w:szCs w:val="24"/>
          <w:lang w:val="de-DE"/>
        </w:rPr>
      </w:pPr>
    </w:p>
    <w:p w:rsidR="00273E4D" w:rsidRPr="00CD0F42" w:rsidRDefault="00273E4D">
      <w:pPr>
        <w:jc w:val="left"/>
        <w:rPr>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Die WG-HRV prüfte auf ihrer zweiten Sitzung, die am 6. September 2022 auf elektronischem Wege abgehalten wurde, WG-HRV/2/2 „</w:t>
      </w:r>
      <w:r w:rsidRPr="00217D01">
        <w:rPr>
          <w:i/>
          <w:szCs w:val="24"/>
          <w:lang w:val="de-DE"/>
        </w:rPr>
        <w:t>Information concerning propagating material, acts in respect of harvested material and provisional protection under the UPOV Convention“</w:t>
      </w:r>
      <w:r w:rsidRPr="00217D01">
        <w:rPr>
          <w:szCs w:val="24"/>
          <w:lang w:val="de-DE"/>
        </w:rPr>
        <w:t xml:space="preserve">. Die Anlage des Dokuments WG-HRV/2/2 enthielt die Ergebnisse einer Recherche mit den historischen Dokumenten in chronologischer Reihenfolge des Kaskadenprinzips betreffend </w:t>
      </w:r>
      <w:r w:rsidRPr="00CD0F42">
        <w:rPr>
          <w:szCs w:val="24"/>
          <w:lang w:val="de-DE"/>
        </w:rPr>
        <w:t>Bestimmungen über Vermehrungsmaterial, Erntegut und Erschöpfung.</w:t>
      </w:r>
    </w:p>
    <w:p w:rsidR="00273E4D" w:rsidRPr="00CD0F42" w:rsidRDefault="00273E4D">
      <w:pPr>
        <w:jc w:val="left"/>
        <w:rPr>
          <w:szCs w:val="24"/>
          <w:lang w:val="de-DE"/>
        </w:rPr>
      </w:pPr>
    </w:p>
    <w:p w:rsidR="00273E4D" w:rsidRPr="00E94D07" w:rsidRDefault="00273E4D">
      <w:pPr>
        <w:rPr>
          <w:spacing w:val="-2"/>
          <w:szCs w:val="24"/>
          <w:lang w:val="de-DE"/>
        </w:rPr>
      </w:pPr>
      <w:r w:rsidRPr="00E94D07">
        <w:rPr>
          <w:spacing w:val="-2"/>
          <w:szCs w:val="24"/>
          <w:lang w:val="de-DE"/>
        </w:rPr>
        <w:t>6.</w:t>
      </w:r>
      <w:r w:rsidRPr="00E94D07">
        <w:rPr>
          <w:spacing w:val="-2"/>
          <w:szCs w:val="24"/>
          <w:lang w:val="de-DE"/>
        </w:rPr>
        <w:tab/>
        <w:t xml:space="preserve">Die WG-HRV prüfte die </w:t>
      </w:r>
      <w:r w:rsidR="00CD0F42" w:rsidRPr="00E94D07">
        <w:rPr>
          <w:spacing w:val="-2"/>
          <w:szCs w:val="24"/>
          <w:lang w:val="de-DE"/>
        </w:rPr>
        <w:t>Schlussfolgerungen</w:t>
      </w:r>
      <w:r w:rsidRPr="00E94D07">
        <w:rPr>
          <w:spacing w:val="-2"/>
          <w:szCs w:val="24"/>
          <w:lang w:val="de-DE"/>
        </w:rPr>
        <w:t xml:space="preserve"> auf ihrer ersten Sitzung sowie die Vorschläge und Bemerkungen, die sie in Antwort auf das Rundschreiben E-22/058 vom 12. April 2022 erhalten hatte und in den Dokumenten WG-HRV/2/3 (Vorschläge betreffend UPOV/EXN/PPM/1), WG-HRV/2/4 (Vorschläge betreffend UPOV/EXN/HRV/1 und WG-HRV/2/5 (Vorschläge betreffend UPOV/EXN/PRP/2) dargelegt werden.</w:t>
      </w:r>
    </w:p>
    <w:p w:rsidR="00273E4D" w:rsidRPr="00217D01" w:rsidRDefault="00273E4D">
      <w:pPr>
        <w:rPr>
          <w:szCs w:val="24"/>
          <w:lang w:val="de-DE"/>
        </w:rPr>
      </w:pPr>
    </w:p>
    <w:p w:rsidR="00273E4D" w:rsidRPr="00CD0F42" w:rsidRDefault="00273E4D">
      <w:pPr>
        <w:rPr>
          <w:rStyle w:val="Hyperlink"/>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 xml:space="preserve">Die Dokumente der zweiten Sitzung der WG-HRV sind verfügbar unter: </w:t>
      </w:r>
      <w:hyperlink r:id="rId9" w:history="1">
        <w:r w:rsidRPr="00CD0F42">
          <w:rPr>
            <w:rStyle w:val="Hyperlink"/>
            <w:szCs w:val="24"/>
            <w:lang w:val="de-DE"/>
          </w:rPr>
          <w:t>https://www.upov.int/meetings/en/details.jsp?meeting_id=70188</w:t>
        </w:r>
      </w:hyperlink>
    </w:p>
    <w:p w:rsidR="00273E4D" w:rsidRPr="00E94D07" w:rsidRDefault="00273E4D" w:rsidP="00E94D07"/>
    <w:p w:rsidR="00273E4D" w:rsidRPr="00CD0F42" w:rsidRDefault="00273E4D">
      <w:pPr>
        <w:rPr>
          <w:color w:val="0000FF"/>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 xml:space="preserve">Der Bericht der zweiten Sitzung der WG-HRV wird verfügbar sein unter: </w:t>
      </w:r>
      <w:hyperlink r:id="rId10" w:history="1">
        <w:r w:rsidRPr="00CD0F42">
          <w:rPr>
            <w:rStyle w:val="Hyperlink"/>
            <w:szCs w:val="24"/>
            <w:lang w:val="de-DE"/>
          </w:rPr>
          <w:t>https://www.upov.int/meetings/en/details.jsp?meeting_id=70188</w:t>
        </w:r>
      </w:hyperlink>
      <w:r w:rsidRPr="00CD0F42">
        <w:rPr>
          <w:color w:val="0000FF"/>
          <w:szCs w:val="24"/>
          <w:lang w:val="de-DE"/>
        </w:rPr>
        <w:t>.</w:t>
      </w:r>
    </w:p>
    <w:p w:rsidR="00273E4D" w:rsidRPr="00E94D07" w:rsidRDefault="00273E4D" w:rsidP="00E94D07"/>
    <w:p w:rsidR="00273E4D" w:rsidRPr="00217D01" w:rsidRDefault="00273E4D">
      <w:pPr>
        <w:rPr>
          <w:szCs w:val="24"/>
          <w:lang w:val="de-DE"/>
        </w:rPr>
      </w:pPr>
    </w:p>
    <w:p w:rsidR="00273E4D" w:rsidRPr="00217D01" w:rsidRDefault="00273E4D">
      <w:pPr>
        <w:rPr>
          <w:szCs w:val="24"/>
          <w:lang w:val="de-DE"/>
        </w:rPr>
      </w:pPr>
    </w:p>
    <w:p w:rsidR="00273E4D" w:rsidRPr="00217D01" w:rsidRDefault="00273E4D" w:rsidP="00E94D07">
      <w:pPr>
        <w:pStyle w:val="Heading1"/>
        <w:rPr>
          <w:szCs w:val="24"/>
          <w:lang w:val="de-DE"/>
        </w:rPr>
      </w:pPr>
      <w:bookmarkStart w:id="4" w:name="_Toc116047953"/>
      <w:r w:rsidRPr="00217D01">
        <w:rPr>
          <w:szCs w:val="24"/>
          <w:lang w:val="de-DE"/>
        </w:rPr>
        <w:lastRenderedPageBreak/>
        <w:t>DRITTE Sitzung der WG-HRV (14. MÄRZ 2023)</w:t>
      </w:r>
      <w:bookmarkEnd w:id="4"/>
    </w:p>
    <w:p w:rsidR="00273E4D" w:rsidRPr="00217D01" w:rsidRDefault="00273E4D" w:rsidP="00E94D07">
      <w:pPr>
        <w:keepNext/>
        <w:rPr>
          <w:szCs w:val="24"/>
          <w:lang w:val="de-DE"/>
        </w:rPr>
      </w:pPr>
    </w:p>
    <w:p w:rsidR="00273E4D" w:rsidRPr="00217D01" w:rsidRDefault="00273E4D" w:rsidP="00E94D07">
      <w:pPr>
        <w:keepNext/>
        <w:rPr>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Die dritte Sitzung der WG-HRV wird am 14. März 2023 auf elektronischem Wege abgehalten werden.</w:t>
      </w:r>
    </w:p>
    <w:p w:rsidR="00273E4D" w:rsidRPr="00217D01" w:rsidRDefault="00273E4D">
      <w:pPr>
        <w:rPr>
          <w:szCs w:val="24"/>
          <w:lang w:val="de-DE"/>
        </w:rPr>
      </w:pPr>
    </w:p>
    <w:p w:rsidR="00273E4D" w:rsidRPr="00217D01" w:rsidRDefault="00273E4D">
      <w:pPr>
        <w:pStyle w:val="DecisionParagraphs"/>
        <w:rPr>
          <w:szCs w:val="24"/>
          <w:lang w:val="de-DE"/>
        </w:rPr>
      </w:pPr>
      <w:r w:rsidRPr="00217D01">
        <w:rPr>
          <w:szCs w:val="24"/>
          <w:lang w:val="de-DE"/>
        </w:rPr>
        <w:fldChar w:fldCharType="begin"/>
      </w:r>
      <w:r w:rsidRPr="00217D01">
        <w:rPr>
          <w:szCs w:val="24"/>
          <w:lang w:val="de-DE"/>
        </w:rPr>
        <w:instrText xml:space="preserve"> AUTONUM  </w:instrText>
      </w:r>
      <w:r w:rsidRPr="00217D01">
        <w:rPr>
          <w:szCs w:val="24"/>
          <w:lang w:val="de-DE"/>
        </w:rPr>
        <w:fldChar w:fldCharType="end"/>
      </w:r>
      <w:r w:rsidRPr="00217D01">
        <w:rPr>
          <w:szCs w:val="24"/>
          <w:lang w:val="de-DE"/>
        </w:rPr>
        <w:tab/>
        <w:t>Der CAJ wird ersucht, die Entwicklungen betreffend die Arbeit der WG-HRV, wie in diesem Dokument dargelegt, zur Kenntnis zu nehmen.</w:t>
      </w:r>
    </w:p>
    <w:p w:rsidR="00273E4D" w:rsidRDefault="00273E4D">
      <w:pPr>
        <w:rPr>
          <w:szCs w:val="24"/>
          <w:lang w:val="de-DE"/>
        </w:rPr>
      </w:pPr>
    </w:p>
    <w:p w:rsidR="00E94D07" w:rsidRPr="00E94D07" w:rsidRDefault="00E94D07">
      <w:pPr>
        <w:rPr>
          <w:szCs w:val="24"/>
          <w:lang w:val="de-DE"/>
        </w:rPr>
      </w:pPr>
    </w:p>
    <w:p w:rsidR="00273E4D" w:rsidRPr="00E94D07" w:rsidRDefault="00273E4D">
      <w:pPr>
        <w:rPr>
          <w:szCs w:val="24"/>
          <w:lang w:val="de-DE"/>
        </w:rPr>
      </w:pPr>
    </w:p>
    <w:p w:rsidR="00273E4D" w:rsidRPr="00217D01" w:rsidRDefault="00273E4D">
      <w:pPr>
        <w:jc w:val="right"/>
        <w:rPr>
          <w:spacing w:val="-2"/>
          <w:szCs w:val="24"/>
          <w:lang w:val="de-DE"/>
        </w:rPr>
      </w:pPr>
      <w:r w:rsidRPr="00217D01">
        <w:rPr>
          <w:szCs w:val="24"/>
          <w:lang w:val="de-DE"/>
        </w:rPr>
        <w:t>[Anlage folgt]</w:t>
      </w:r>
    </w:p>
    <w:p w:rsidR="00273E4D" w:rsidRPr="00217D01" w:rsidRDefault="00273E4D">
      <w:pPr>
        <w:jc w:val="right"/>
        <w:rPr>
          <w:szCs w:val="24"/>
          <w:lang w:val="de-DE"/>
        </w:rPr>
        <w:sectPr w:rsidR="00273E4D" w:rsidRPr="00217D01">
          <w:headerReference w:type="default" r:id="rId11"/>
          <w:pgSz w:w="11907" w:h="16840" w:code="9"/>
          <w:pgMar w:top="510" w:right="1134" w:bottom="1134" w:left="1134" w:header="510" w:footer="680" w:gutter="0"/>
          <w:pgNumType w:start="1"/>
          <w:cols w:space="720"/>
          <w:titlePg/>
        </w:sectPr>
      </w:pPr>
    </w:p>
    <w:p w:rsidR="00273E4D" w:rsidRPr="00217D01" w:rsidRDefault="00273E4D">
      <w:pPr>
        <w:jc w:val="center"/>
        <w:rPr>
          <w:szCs w:val="24"/>
          <w:lang w:val="de-DE"/>
        </w:rPr>
      </w:pPr>
    </w:p>
    <w:p w:rsidR="00273E4D" w:rsidRPr="00217D01" w:rsidRDefault="00273E4D">
      <w:pPr>
        <w:jc w:val="center"/>
        <w:rPr>
          <w:szCs w:val="24"/>
          <w:lang w:val="de-DE"/>
        </w:rPr>
      </w:pPr>
      <w:r w:rsidRPr="00217D01">
        <w:rPr>
          <w:szCs w:val="24"/>
          <w:lang w:val="de-DE"/>
        </w:rPr>
        <w:t xml:space="preserve">AUFGABENBESCHREIBUNG DER ARBEITSGRUPPE FÜR </w:t>
      </w:r>
    </w:p>
    <w:p w:rsidR="00273E4D" w:rsidRPr="00217D01" w:rsidRDefault="00273E4D">
      <w:pPr>
        <w:jc w:val="center"/>
        <w:rPr>
          <w:szCs w:val="24"/>
          <w:lang w:val="de-DE"/>
        </w:rPr>
      </w:pPr>
      <w:r w:rsidRPr="00217D01">
        <w:rPr>
          <w:szCs w:val="24"/>
          <w:lang w:val="de-DE"/>
        </w:rPr>
        <w:t>ERNTEGUT UND UNBEFUGTE BENUTZUNG VON VERMEHRUNGSGUT</w:t>
      </w:r>
    </w:p>
    <w:p w:rsidR="00273E4D" w:rsidRPr="00217D01" w:rsidRDefault="00273E4D">
      <w:pPr>
        <w:jc w:val="center"/>
        <w:rPr>
          <w:szCs w:val="24"/>
          <w:lang w:val="de-DE"/>
        </w:rPr>
      </w:pPr>
      <w:r w:rsidRPr="00217D01">
        <w:rPr>
          <w:szCs w:val="24"/>
          <w:lang w:val="de-DE"/>
        </w:rPr>
        <w:t>(WG-HRV)</w:t>
      </w:r>
    </w:p>
    <w:p w:rsidR="00E94D07" w:rsidRDefault="00273E4D" w:rsidP="00E94D07">
      <w:pPr>
        <w:tabs>
          <w:tab w:val="left" w:pos="284"/>
          <w:tab w:val="left" w:pos="851"/>
        </w:tabs>
        <w:autoSpaceDE w:val="0"/>
        <w:autoSpaceDN w:val="0"/>
        <w:adjustRightInd w:val="0"/>
        <w:spacing w:before="60"/>
        <w:jc w:val="center"/>
        <w:rPr>
          <w:i/>
          <w:szCs w:val="24"/>
          <w:lang w:val="de-DE"/>
        </w:rPr>
      </w:pPr>
      <w:r w:rsidRPr="00217D01">
        <w:rPr>
          <w:i/>
          <w:szCs w:val="24"/>
          <w:lang w:val="de-DE"/>
        </w:rPr>
        <w:t xml:space="preserve">vom Verwaltungs- </w:t>
      </w:r>
    </w:p>
    <w:p w:rsidR="00273E4D" w:rsidRPr="00217D01" w:rsidRDefault="00273E4D" w:rsidP="00E94D07">
      <w:pPr>
        <w:tabs>
          <w:tab w:val="left" w:pos="284"/>
          <w:tab w:val="left" w:pos="851"/>
        </w:tabs>
        <w:autoSpaceDE w:val="0"/>
        <w:autoSpaceDN w:val="0"/>
        <w:adjustRightInd w:val="0"/>
        <w:spacing w:before="60"/>
        <w:jc w:val="center"/>
        <w:rPr>
          <w:i/>
          <w:szCs w:val="24"/>
          <w:lang w:val="de-DE"/>
        </w:rPr>
      </w:pPr>
      <w:r w:rsidRPr="00217D01">
        <w:rPr>
          <w:i/>
          <w:szCs w:val="24"/>
          <w:lang w:val="de-DE"/>
        </w:rPr>
        <w:t>und Rechtsausschuss am 21. September 2021 gebilligt</w:t>
      </w:r>
    </w:p>
    <w:p w:rsidR="00273E4D" w:rsidRPr="00217D01" w:rsidRDefault="00273E4D" w:rsidP="00E94D07">
      <w:pPr>
        <w:spacing w:before="60"/>
        <w:rPr>
          <w:szCs w:val="24"/>
          <w:lang w:val="de-DE"/>
        </w:rPr>
      </w:pPr>
    </w:p>
    <w:p w:rsidR="00273E4D" w:rsidRPr="00217D01" w:rsidRDefault="00273E4D">
      <w:pPr>
        <w:rPr>
          <w:szCs w:val="24"/>
          <w:lang w:val="de-DE"/>
        </w:rPr>
      </w:pPr>
    </w:p>
    <w:p w:rsidR="00273E4D" w:rsidRPr="00217D01" w:rsidRDefault="00273E4D">
      <w:pPr>
        <w:rPr>
          <w:szCs w:val="24"/>
          <w:lang w:val="de-DE"/>
        </w:rPr>
      </w:pPr>
      <w:r w:rsidRPr="00217D01">
        <w:rPr>
          <w:szCs w:val="24"/>
          <w:lang w:val="de-DE"/>
        </w:rPr>
        <w:t xml:space="preserve">ZWECK: </w:t>
      </w:r>
    </w:p>
    <w:p w:rsidR="00273E4D" w:rsidRPr="00217D01" w:rsidRDefault="00273E4D">
      <w:pPr>
        <w:contextualSpacing/>
        <w:rPr>
          <w:sz w:val="18"/>
          <w:szCs w:val="24"/>
          <w:lang w:val="de-DE"/>
        </w:rPr>
      </w:pPr>
    </w:p>
    <w:p w:rsidR="00273E4D" w:rsidRPr="00217D01" w:rsidRDefault="00273E4D">
      <w:pPr>
        <w:contextualSpacing/>
        <w:rPr>
          <w:szCs w:val="24"/>
          <w:lang w:val="de-DE"/>
        </w:rPr>
      </w:pPr>
      <w:r w:rsidRPr="00217D01">
        <w:rPr>
          <w:szCs w:val="24"/>
          <w:lang w:val="de-DE"/>
        </w:rPr>
        <w:t>Zweck der WG-HRV ist es, eine Überarbeitung der „Erläuterungen zu Handlungen in Bezug auf Erntegut nach der Akte von 1991 des UPOV Übereinkommens“ (Dokument UPOV/EXN/HRV/1), „Erläuterungen zu Vermehrungsmaterial nach dem UPOV-Übereinkommen“ (UPOV/EXN/PPM/1) und „Erläuterungen zum vorläufigen Schutz nach dem UPOV-Übereinkommen“ (UPOV/EXN/PRP/2) zur Prüfung durch den Verwaltungs- und Rechtsauschuss (CAJ) auszuarbeiten.</w:t>
      </w:r>
    </w:p>
    <w:p w:rsidR="00273E4D" w:rsidRPr="00217D01" w:rsidRDefault="00273E4D">
      <w:pPr>
        <w:rPr>
          <w:sz w:val="18"/>
          <w:szCs w:val="24"/>
          <w:lang w:val="de-DE"/>
        </w:rPr>
      </w:pPr>
    </w:p>
    <w:p w:rsidR="00273E4D" w:rsidRPr="00217D01" w:rsidRDefault="00273E4D">
      <w:pPr>
        <w:rPr>
          <w:sz w:val="18"/>
          <w:szCs w:val="24"/>
          <w:lang w:val="de-DE"/>
        </w:rPr>
      </w:pPr>
    </w:p>
    <w:p w:rsidR="00273E4D" w:rsidRPr="00217D01" w:rsidRDefault="00273E4D">
      <w:pPr>
        <w:rPr>
          <w:sz w:val="18"/>
          <w:szCs w:val="24"/>
          <w:lang w:val="de-DE"/>
        </w:rPr>
      </w:pPr>
    </w:p>
    <w:p w:rsidR="00273E4D" w:rsidRPr="00217D01" w:rsidRDefault="00273E4D">
      <w:pPr>
        <w:rPr>
          <w:szCs w:val="24"/>
          <w:lang w:val="de-DE"/>
        </w:rPr>
      </w:pPr>
      <w:r w:rsidRPr="00217D01">
        <w:rPr>
          <w:szCs w:val="24"/>
          <w:lang w:val="de-DE"/>
        </w:rPr>
        <w:t>ZUSAMMENSETZUNG:</w:t>
      </w:r>
    </w:p>
    <w:p w:rsidR="00273E4D" w:rsidRPr="00217D01" w:rsidRDefault="00273E4D">
      <w:pPr>
        <w:rPr>
          <w:sz w:val="18"/>
          <w:szCs w:val="24"/>
          <w:lang w:val="de-DE"/>
        </w:rPr>
      </w:pPr>
    </w:p>
    <w:p w:rsidR="00273E4D" w:rsidRPr="00217D01" w:rsidRDefault="00273E4D">
      <w:pPr>
        <w:ind w:firstLine="567"/>
        <w:rPr>
          <w:szCs w:val="24"/>
          <w:lang w:val="de-DE"/>
        </w:rPr>
      </w:pPr>
      <w:r w:rsidRPr="00217D01">
        <w:rPr>
          <w:szCs w:val="24"/>
          <w:lang w:val="de-DE"/>
        </w:rPr>
        <w:t>a)</w:t>
      </w:r>
      <w:r w:rsidRPr="00217D01">
        <w:rPr>
          <w:szCs w:val="24"/>
          <w:lang w:val="de-DE"/>
        </w:rPr>
        <w:tab/>
      </w:r>
      <w:r w:rsidR="00E94D07" w:rsidRPr="00E94D07">
        <w:rPr>
          <w:szCs w:val="24"/>
          <w:lang w:val="de-DE"/>
        </w:rPr>
        <w:t xml:space="preserve">wäre aus den vom CAJ vereinbarten Verbandsmitgliedern </w:t>
      </w:r>
      <w:r w:rsidR="00E94D07">
        <w:rPr>
          <w:szCs w:val="24"/>
          <w:lang w:val="de-DE"/>
        </w:rPr>
        <w:t>und Beobachtern zusammengesetzt</w:t>
      </w:r>
      <w:r w:rsidRPr="00217D01">
        <w:rPr>
          <w:szCs w:val="24"/>
          <w:lang w:val="de-DE"/>
        </w:rPr>
        <w:t>;</w:t>
      </w:r>
      <w:r w:rsidRPr="00217D01">
        <w:rPr>
          <w:color w:val="000000"/>
          <w:szCs w:val="24"/>
          <w:lang w:val="de-DE"/>
        </w:rPr>
        <w:t xml:space="preserve"> </w:t>
      </w:r>
    </w:p>
    <w:p w:rsidR="00273E4D" w:rsidRPr="00217D01" w:rsidRDefault="00273E4D">
      <w:pPr>
        <w:rPr>
          <w:sz w:val="18"/>
          <w:szCs w:val="24"/>
          <w:lang w:val="de-DE"/>
        </w:rPr>
      </w:pPr>
    </w:p>
    <w:p w:rsidR="00273E4D" w:rsidRPr="00217D01" w:rsidRDefault="00273E4D">
      <w:pPr>
        <w:ind w:firstLine="567"/>
        <w:rPr>
          <w:szCs w:val="24"/>
          <w:lang w:val="de-DE"/>
        </w:rPr>
      </w:pPr>
      <w:r w:rsidRPr="00217D01">
        <w:rPr>
          <w:szCs w:val="24"/>
          <w:lang w:val="de-DE"/>
        </w:rPr>
        <w:t>b)</w:t>
      </w:r>
      <w:r w:rsidRPr="00217D01">
        <w:rPr>
          <w:szCs w:val="24"/>
          <w:lang w:val="de-DE"/>
        </w:rPr>
        <w:tab/>
        <w:t>anderen Verbandsmitgliedern stünde es frei, an jeglicher Sitzung der WG-HRV teilzunehmen und Bemerkungen abzugeben, wenn erwünscht;</w:t>
      </w:r>
    </w:p>
    <w:p w:rsidR="00273E4D" w:rsidRPr="00217D01" w:rsidRDefault="00273E4D">
      <w:pPr>
        <w:rPr>
          <w:sz w:val="18"/>
          <w:szCs w:val="24"/>
          <w:lang w:val="de-DE"/>
        </w:rPr>
      </w:pPr>
    </w:p>
    <w:p w:rsidR="00273E4D" w:rsidRPr="00217D01" w:rsidRDefault="00273E4D">
      <w:pPr>
        <w:ind w:firstLine="567"/>
        <w:rPr>
          <w:szCs w:val="24"/>
          <w:lang w:val="de-DE"/>
        </w:rPr>
      </w:pPr>
      <w:r w:rsidRPr="00217D01">
        <w:rPr>
          <w:szCs w:val="24"/>
          <w:lang w:val="de-DE"/>
        </w:rPr>
        <w:t>c)</w:t>
      </w:r>
      <w:r w:rsidRPr="00217D01">
        <w:rPr>
          <w:szCs w:val="24"/>
          <w:lang w:val="de-DE"/>
        </w:rPr>
        <w:tab/>
        <w:t>die WG-HRV würde auf den CAJ zurückkommen, wenn die WG-HRV empfehlen würde, weitere Beobachter oder Sachverständige zu einer ihrer Sitzungen einzuladen; und</w:t>
      </w:r>
    </w:p>
    <w:p w:rsidR="00273E4D" w:rsidRPr="00217D01" w:rsidRDefault="00273E4D">
      <w:pPr>
        <w:rPr>
          <w:sz w:val="18"/>
          <w:szCs w:val="24"/>
          <w:lang w:val="de-DE"/>
        </w:rPr>
      </w:pPr>
    </w:p>
    <w:p w:rsidR="00273E4D" w:rsidRPr="00217D01" w:rsidRDefault="00273E4D">
      <w:pPr>
        <w:tabs>
          <w:tab w:val="left" w:pos="1134"/>
        </w:tabs>
        <w:ind w:firstLine="567"/>
        <w:rPr>
          <w:szCs w:val="24"/>
          <w:lang w:val="de-DE"/>
        </w:rPr>
      </w:pPr>
      <w:r w:rsidRPr="00217D01">
        <w:rPr>
          <w:szCs w:val="24"/>
          <w:lang w:val="de-DE"/>
        </w:rPr>
        <w:t>d)</w:t>
      </w:r>
      <w:r w:rsidRPr="00217D01">
        <w:rPr>
          <w:szCs w:val="24"/>
          <w:lang w:val="de-DE"/>
        </w:rPr>
        <w:tab/>
      </w:r>
      <w:r w:rsidR="00E94D07" w:rsidRPr="00E94D07">
        <w:rPr>
          <w:szCs w:val="24"/>
          <w:lang w:val="de-DE"/>
        </w:rPr>
        <w:t>Sitzungen würden unter dem Vorsitz des Stellvertretenden Generalsekretärs abgehalten</w:t>
      </w:r>
      <w:r w:rsidRPr="00217D01">
        <w:rPr>
          <w:szCs w:val="24"/>
          <w:lang w:val="de-DE"/>
        </w:rPr>
        <w:t>.</w:t>
      </w:r>
    </w:p>
    <w:p w:rsidR="00273E4D" w:rsidRPr="00217D01" w:rsidRDefault="00273E4D">
      <w:pPr>
        <w:rPr>
          <w:sz w:val="18"/>
          <w:szCs w:val="24"/>
          <w:lang w:val="de-DE"/>
        </w:rPr>
      </w:pPr>
    </w:p>
    <w:p w:rsidR="00273E4D" w:rsidRPr="00217D01" w:rsidRDefault="00273E4D">
      <w:pPr>
        <w:rPr>
          <w:sz w:val="18"/>
          <w:szCs w:val="24"/>
          <w:lang w:val="de-DE"/>
        </w:rPr>
      </w:pPr>
    </w:p>
    <w:p w:rsidR="00273E4D" w:rsidRPr="00217D01" w:rsidRDefault="00273E4D">
      <w:pPr>
        <w:rPr>
          <w:sz w:val="18"/>
          <w:szCs w:val="24"/>
          <w:lang w:val="de-DE"/>
        </w:rPr>
      </w:pPr>
    </w:p>
    <w:p w:rsidR="00273E4D" w:rsidRPr="00217D01" w:rsidRDefault="00273E4D">
      <w:pPr>
        <w:rPr>
          <w:szCs w:val="24"/>
          <w:lang w:val="de-DE"/>
        </w:rPr>
      </w:pPr>
      <w:r w:rsidRPr="00217D01">
        <w:rPr>
          <w:szCs w:val="24"/>
          <w:lang w:val="de-DE"/>
        </w:rPr>
        <w:t>MODUS OPERANDI:</w:t>
      </w:r>
    </w:p>
    <w:p w:rsidR="00273E4D" w:rsidRPr="00217D01" w:rsidRDefault="00273E4D">
      <w:pPr>
        <w:rPr>
          <w:sz w:val="18"/>
          <w:szCs w:val="24"/>
          <w:u w:val="single"/>
          <w:lang w:val="de-DE"/>
        </w:rPr>
      </w:pPr>
    </w:p>
    <w:p w:rsidR="00273E4D" w:rsidRPr="00E94D07" w:rsidRDefault="00273E4D">
      <w:pPr>
        <w:ind w:firstLine="360"/>
        <w:rPr>
          <w:szCs w:val="24"/>
          <w:lang w:val="de-DE"/>
        </w:rPr>
      </w:pPr>
      <w:r w:rsidRPr="00E94D07">
        <w:rPr>
          <w:szCs w:val="24"/>
          <w:lang w:val="de-DE"/>
        </w:rPr>
        <w:t>a)</w:t>
      </w:r>
      <w:r w:rsidR="008D2ABC" w:rsidRPr="00E94D07">
        <w:rPr>
          <w:szCs w:val="24"/>
          <w:lang w:val="de-DE"/>
        </w:rPr>
        <w:tab/>
      </w:r>
      <w:r w:rsidRPr="00E94D07">
        <w:rPr>
          <w:szCs w:val="24"/>
          <w:lang w:val="de-DE"/>
        </w:rPr>
        <w:tab/>
        <w:t>bei der Ausarbeitung der Überarbeitung der Dokumente UPOV/EXN/HRV/1, UPOV/EXN/PPM/1 und UPOV/EXN/PRP/2 soll die WG-HRV die in den Antworten auf das UPOV-Rundschreiben E-19/232 genannten Angelegenheiten und insbesondere die Schlussworte auf dem Seminar 2021 zum Züchterrecht in Bezug auf Erntegut berücksichtigen:</w:t>
      </w:r>
    </w:p>
    <w:p w:rsidR="00273E4D" w:rsidRPr="00217D01" w:rsidRDefault="00273E4D">
      <w:pPr>
        <w:keepNext/>
        <w:ind w:left="927"/>
        <w:rPr>
          <w:sz w:val="18"/>
          <w:szCs w:val="24"/>
          <w:lang w:val="de-DE"/>
        </w:rPr>
      </w:pPr>
    </w:p>
    <w:p w:rsidR="00273E4D" w:rsidRPr="00217D01" w:rsidRDefault="00273E4D">
      <w:pPr>
        <w:pStyle w:val="ListParagraph1"/>
        <w:keepNext/>
        <w:numPr>
          <w:ilvl w:val="0"/>
          <w:numId w:val="2"/>
        </w:numPr>
        <w:ind w:left="1494" w:right="639"/>
        <w:rPr>
          <w:i/>
          <w:sz w:val="18"/>
          <w:szCs w:val="24"/>
          <w:lang w:val="de-DE"/>
        </w:rPr>
      </w:pPr>
      <w:r w:rsidRPr="00217D01">
        <w:rPr>
          <w:i/>
          <w:sz w:val="18"/>
          <w:szCs w:val="24"/>
          <w:lang w:val="de-DE"/>
        </w:rPr>
        <w:t>„Wie wirkt sich das Fehlen eines wirksamen Schutzes von Erntegut auf die Züchter und Verbraucher aus?</w:t>
      </w:r>
    </w:p>
    <w:p w:rsidR="00273E4D" w:rsidRPr="00217D01" w:rsidRDefault="00273E4D">
      <w:pPr>
        <w:pStyle w:val="ListParagraph1"/>
        <w:keepNext/>
        <w:ind w:left="1494" w:right="639"/>
        <w:rPr>
          <w:sz w:val="18"/>
          <w:szCs w:val="24"/>
          <w:lang w:val="de-DE"/>
        </w:rPr>
      </w:pPr>
    </w:p>
    <w:p w:rsidR="00273E4D" w:rsidRPr="00217D01" w:rsidRDefault="00273E4D">
      <w:pPr>
        <w:pStyle w:val="ListParagraph1"/>
        <w:keepLines/>
        <w:ind w:left="1908" w:right="639"/>
        <w:rPr>
          <w:szCs w:val="24"/>
          <w:lang w:val="de-DE"/>
        </w:rPr>
      </w:pPr>
      <w:r w:rsidRPr="00217D01">
        <w:rPr>
          <w:sz w:val="18"/>
          <w:szCs w:val="24"/>
          <w:lang w:val="de-DE"/>
        </w:rPr>
        <w:t>Auf dem Seminar wurden Beweise dafür vorgelegt, dass das Fehlen eines wirksamen Schutzes für neue Sorten von Obstbäumen vor der Erteilung von Züchterrechten die frühzeitige Einführung neuer und verbesserter Sorten hemmen könnte, wodurch der Nutzen dieser Sorten für Züchter und Verbraucher und somit für die Gesellschaft als Ganzes verringert würde. Wenn die Züchter keinen wirksamen Schutz haben, so dass sich die Investitionen in die Züchtung auszahlen, werden außerdem möglicherweise überhaupt keine verbesserten Sorten entwickelt.</w:t>
      </w:r>
    </w:p>
    <w:p w:rsidR="00273E4D" w:rsidRPr="00217D01" w:rsidRDefault="00273E4D">
      <w:pPr>
        <w:pStyle w:val="ListParagraph1"/>
        <w:ind w:left="1494" w:right="639"/>
        <w:rPr>
          <w:sz w:val="18"/>
          <w:szCs w:val="24"/>
          <w:lang w:val="de-DE"/>
        </w:rPr>
      </w:pPr>
    </w:p>
    <w:p w:rsidR="00273E4D" w:rsidRPr="00217D01" w:rsidRDefault="00273E4D">
      <w:pPr>
        <w:pStyle w:val="ListParagraph1"/>
        <w:keepNext/>
        <w:numPr>
          <w:ilvl w:val="0"/>
          <w:numId w:val="2"/>
        </w:numPr>
        <w:ind w:left="1494" w:right="639"/>
        <w:rPr>
          <w:i/>
          <w:spacing w:val="-2"/>
          <w:sz w:val="18"/>
          <w:szCs w:val="24"/>
          <w:lang w:val="de-DE"/>
        </w:rPr>
      </w:pPr>
      <w:r w:rsidRPr="00217D01">
        <w:rPr>
          <w:i/>
          <w:spacing w:val="-2"/>
          <w:sz w:val="18"/>
          <w:szCs w:val="24"/>
          <w:lang w:val="de-DE"/>
        </w:rPr>
        <w:t>Was sind die größten Herausforderungen bei der Ausübung des Züchterrechts in Bezug auf das Erntegut?</w:t>
      </w:r>
    </w:p>
    <w:p w:rsidR="00273E4D" w:rsidRPr="00217D01" w:rsidRDefault="00273E4D">
      <w:pPr>
        <w:pStyle w:val="ListParagraph1"/>
        <w:keepNext/>
        <w:ind w:left="1494" w:right="639"/>
        <w:rPr>
          <w:sz w:val="18"/>
          <w:szCs w:val="24"/>
          <w:lang w:val="de-DE"/>
        </w:rPr>
      </w:pPr>
    </w:p>
    <w:p w:rsidR="00273E4D" w:rsidRPr="00217D01" w:rsidRDefault="00273E4D">
      <w:pPr>
        <w:pStyle w:val="ListParagraph1"/>
        <w:keepLines/>
        <w:ind w:left="1908" w:right="639"/>
        <w:rPr>
          <w:szCs w:val="24"/>
          <w:lang w:val="de-DE"/>
        </w:rPr>
      </w:pPr>
      <w:r w:rsidRPr="00217D01">
        <w:rPr>
          <w:sz w:val="18"/>
          <w:szCs w:val="24"/>
          <w:lang w:val="de-DE"/>
        </w:rPr>
        <w:t xml:space="preserve">Ein üblicher besorgniserregender Punkt ist der Mangel an Vorhersehbarkeit betreffend das Züchterrecht in Bezug auf das Erntegut. </w:t>
      </w:r>
    </w:p>
    <w:p w:rsidR="00273E4D" w:rsidRPr="00217D01" w:rsidRDefault="00273E4D">
      <w:pPr>
        <w:pStyle w:val="ListParagraph1"/>
        <w:ind w:left="1908" w:right="639"/>
        <w:rPr>
          <w:sz w:val="18"/>
          <w:szCs w:val="24"/>
          <w:lang w:val="de-DE"/>
        </w:rPr>
      </w:pPr>
    </w:p>
    <w:p w:rsidR="00273E4D" w:rsidRPr="00E94D07" w:rsidRDefault="00273E4D">
      <w:pPr>
        <w:pStyle w:val="ListParagraph1"/>
        <w:keepLines/>
        <w:ind w:left="1908" w:right="639"/>
        <w:rPr>
          <w:spacing w:val="2"/>
          <w:szCs w:val="24"/>
          <w:lang w:val="de-DE"/>
        </w:rPr>
      </w:pPr>
      <w:r w:rsidRPr="00E94D07">
        <w:rPr>
          <w:spacing w:val="2"/>
          <w:sz w:val="18"/>
          <w:szCs w:val="24"/>
          <w:lang w:val="de-DE"/>
        </w:rPr>
        <w:t>Bei bestimmten Arten können Bäume, wenn sie einmal gepflanzt wurden, viele Jahre lang Früchte tragen. Daher kann ein minimaler Umfang des vorläufigen Schutzes und/oder eine enge Auslegung des Begriffs „ungenehmigte Benutzung von Vermehrungsmaterial“ dem Züchter möglicherweise nicht die Mittel zur Ausübung und Durchsetzung seines Rechts in Bezug auf den Anbau der Pflanzen und die Erzeugung und den Verkauf der Früchte bieten.</w:t>
      </w:r>
    </w:p>
    <w:p w:rsidR="00273E4D" w:rsidRPr="00217D01" w:rsidRDefault="00273E4D">
      <w:pPr>
        <w:pStyle w:val="ListParagraph1"/>
        <w:ind w:left="1494" w:right="639"/>
        <w:rPr>
          <w:sz w:val="18"/>
          <w:szCs w:val="24"/>
          <w:lang w:val="de-DE"/>
        </w:rPr>
      </w:pPr>
    </w:p>
    <w:p w:rsidR="00273E4D" w:rsidRPr="00217D01" w:rsidRDefault="00273E4D">
      <w:pPr>
        <w:pStyle w:val="ListParagraph1"/>
        <w:keepNext/>
        <w:numPr>
          <w:ilvl w:val="0"/>
          <w:numId w:val="2"/>
        </w:numPr>
        <w:ind w:left="1494" w:right="639"/>
        <w:rPr>
          <w:szCs w:val="24"/>
          <w:lang w:val="de-DE"/>
        </w:rPr>
      </w:pPr>
      <w:r w:rsidRPr="00217D01">
        <w:rPr>
          <w:i/>
          <w:spacing w:val="-4"/>
          <w:sz w:val="18"/>
          <w:szCs w:val="24"/>
          <w:lang w:val="de-DE"/>
        </w:rPr>
        <w:lastRenderedPageBreak/>
        <w:t xml:space="preserve">Auf Ebene der UPOV: </w:t>
      </w:r>
      <w:r w:rsidRPr="00217D01">
        <w:rPr>
          <w:i/>
          <w:sz w:val="18"/>
          <w:szCs w:val="24"/>
          <w:lang w:val="de-DE"/>
        </w:rPr>
        <w:t>Welche Lösungen sehen Sie für diese Herausforderungen bei der Ausübung des Züchterrechts in Bezug auf das Erntegut?</w:t>
      </w:r>
    </w:p>
    <w:p w:rsidR="00273E4D" w:rsidRPr="00217D01" w:rsidRDefault="00273E4D">
      <w:pPr>
        <w:pStyle w:val="ListParagraph1"/>
        <w:keepNext/>
        <w:ind w:left="1494" w:right="639"/>
        <w:rPr>
          <w:sz w:val="18"/>
          <w:szCs w:val="24"/>
          <w:lang w:val="de-DE"/>
        </w:rPr>
      </w:pPr>
    </w:p>
    <w:p w:rsidR="00273E4D" w:rsidRPr="00E94D07" w:rsidRDefault="00273E4D">
      <w:pPr>
        <w:pStyle w:val="ListParagraph1"/>
        <w:keepLines/>
        <w:ind w:left="1908" w:right="639"/>
        <w:rPr>
          <w:spacing w:val="2"/>
          <w:szCs w:val="24"/>
          <w:lang w:val="de-DE"/>
        </w:rPr>
      </w:pPr>
      <w:r w:rsidRPr="00E94D07">
        <w:rPr>
          <w:spacing w:val="2"/>
          <w:sz w:val="18"/>
          <w:szCs w:val="24"/>
          <w:lang w:val="de-DE"/>
        </w:rPr>
        <w:t>Klare Hinweise aus den Referaten und Erörterungen, dass eine Anleitung in den Erläuterungen zu Handlungen in Bezug auf Erntegut von einer weiteren Klärung profitieren würde.</w:t>
      </w:r>
    </w:p>
    <w:p w:rsidR="00273E4D" w:rsidRPr="00217D01" w:rsidRDefault="00273E4D">
      <w:pPr>
        <w:pStyle w:val="ListParagraph1"/>
        <w:ind w:left="1908" w:right="639"/>
        <w:rPr>
          <w:sz w:val="18"/>
          <w:szCs w:val="24"/>
          <w:lang w:val="de-DE"/>
        </w:rPr>
      </w:pPr>
    </w:p>
    <w:p w:rsidR="00273E4D" w:rsidRPr="00217D01" w:rsidRDefault="00273E4D">
      <w:pPr>
        <w:pStyle w:val="ListParagraph1"/>
        <w:keepNext/>
        <w:keepLines/>
        <w:ind w:left="1908" w:right="639"/>
        <w:rPr>
          <w:sz w:val="18"/>
          <w:szCs w:val="24"/>
          <w:lang w:val="de-DE"/>
        </w:rPr>
      </w:pPr>
      <w:r w:rsidRPr="00217D01">
        <w:rPr>
          <w:sz w:val="18"/>
          <w:szCs w:val="24"/>
          <w:lang w:val="de-DE"/>
        </w:rPr>
        <w:t>Um die Entwicklung neuer Pflanzensorten zu fördern, wäre weitere Anleitung hilfreich zu:</w:t>
      </w:r>
    </w:p>
    <w:p w:rsidR="00273E4D" w:rsidRPr="00217D01" w:rsidRDefault="00273E4D">
      <w:pPr>
        <w:pStyle w:val="ListParagraph1"/>
        <w:keepNext/>
        <w:numPr>
          <w:ilvl w:val="2"/>
          <w:numId w:val="2"/>
        </w:numPr>
        <w:spacing w:before="120"/>
        <w:ind w:left="3352" w:right="639"/>
        <w:contextualSpacing w:val="0"/>
        <w:rPr>
          <w:sz w:val="18"/>
          <w:szCs w:val="24"/>
          <w:lang w:val="de-DE"/>
        </w:rPr>
      </w:pPr>
      <w:r w:rsidRPr="00217D01">
        <w:rPr>
          <w:sz w:val="18"/>
          <w:szCs w:val="24"/>
          <w:lang w:val="de-DE"/>
        </w:rPr>
        <w:t>Vermehrungsmaterial</w:t>
      </w:r>
    </w:p>
    <w:p w:rsidR="00273E4D" w:rsidRPr="00217D01" w:rsidRDefault="00273E4D">
      <w:pPr>
        <w:pStyle w:val="ListParagraph1"/>
        <w:numPr>
          <w:ilvl w:val="2"/>
          <w:numId w:val="2"/>
        </w:numPr>
        <w:spacing w:before="120"/>
        <w:ind w:left="3352" w:right="639"/>
        <w:contextualSpacing w:val="0"/>
        <w:rPr>
          <w:sz w:val="18"/>
          <w:szCs w:val="24"/>
          <w:lang w:val="de-DE"/>
        </w:rPr>
      </w:pPr>
      <w:r w:rsidRPr="00217D01">
        <w:rPr>
          <w:sz w:val="18"/>
          <w:szCs w:val="24"/>
          <w:lang w:val="de-DE"/>
        </w:rPr>
        <w:t>Erntegut</w:t>
      </w:r>
    </w:p>
    <w:p w:rsidR="00273E4D" w:rsidRPr="00217D01" w:rsidRDefault="00273E4D">
      <w:pPr>
        <w:pStyle w:val="ListParagraph1"/>
        <w:numPr>
          <w:ilvl w:val="2"/>
          <w:numId w:val="2"/>
        </w:numPr>
        <w:spacing w:before="120"/>
        <w:ind w:left="3352" w:right="639"/>
        <w:contextualSpacing w:val="0"/>
        <w:rPr>
          <w:sz w:val="18"/>
          <w:szCs w:val="24"/>
          <w:lang w:val="de-DE"/>
        </w:rPr>
      </w:pPr>
      <w:r w:rsidRPr="00217D01">
        <w:rPr>
          <w:sz w:val="18"/>
          <w:szCs w:val="24"/>
          <w:lang w:val="de-DE"/>
        </w:rPr>
        <w:t>wirksamem vorläufigem Schutz</w:t>
      </w:r>
    </w:p>
    <w:p w:rsidR="00273E4D" w:rsidRPr="00217D01" w:rsidRDefault="00273E4D">
      <w:pPr>
        <w:pStyle w:val="ListParagraph1"/>
        <w:numPr>
          <w:ilvl w:val="2"/>
          <w:numId w:val="2"/>
        </w:numPr>
        <w:spacing w:before="120"/>
        <w:ind w:left="3352" w:right="639"/>
        <w:contextualSpacing w:val="0"/>
        <w:rPr>
          <w:sz w:val="18"/>
          <w:szCs w:val="24"/>
          <w:lang w:val="de-DE"/>
        </w:rPr>
      </w:pPr>
      <w:r w:rsidRPr="00217D01">
        <w:rPr>
          <w:sz w:val="18"/>
          <w:szCs w:val="24"/>
          <w:lang w:val="de-DE"/>
        </w:rPr>
        <w:t>dem Konzept der ‚ungenehmigten Benutzung von Vermehrungsmaterial‘</w:t>
      </w:r>
    </w:p>
    <w:p w:rsidR="00273E4D" w:rsidRPr="00217D01" w:rsidRDefault="00273E4D">
      <w:pPr>
        <w:pStyle w:val="ListParagraph1"/>
        <w:numPr>
          <w:ilvl w:val="2"/>
          <w:numId w:val="2"/>
        </w:numPr>
        <w:spacing w:before="120"/>
        <w:ind w:left="3352" w:right="639"/>
        <w:contextualSpacing w:val="0"/>
        <w:rPr>
          <w:sz w:val="18"/>
          <w:szCs w:val="24"/>
          <w:lang w:val="de-DE"/>
        </w:rPr>
      </w:pPr>
      <w:r w:rsidRPr="00217D01">
        <w:rPr>
          <w:sz w:val="18"/>
          <w:szCs w:val="24"/>
          <w:lang w:val="de-DE"/>
        </w:rPr>
        <w:t>der Doktrin von der Erschöpfung der Rechte in Bezug auf die Umkehr der Beweislast“</w:t>
      </w:r>
      <w:r w:rsidRPr="00217D01">
        <w:rPr>
          <w:szCs w:val="24"/>
          <w:lang w:val="de-DE"/>
        </w:rPr>
        <w:t>.</w:t>
      </w:r>
    </w:p>
    <w:p w:rsidR="00273E4D" w:rsidRPr="00E94D07" w:rsidRDefault="00273E4D">
      <w:pPr>
        <w:rPr>
          <w:spacing w:val="2"/>
          <w:sz w:val="18"/>
          <w:szCs w:val="24"/>
          <w:u w:val="single"/>
          <w:lang w:val="de-DE"/>
        </w:rPr>
      </w:pPr>
    </w:p>
    <w:p w:rsidR="00273E4D" w:rsidRPr="00E94D07" w:rsidRDefault="00273E4D">
      <w:pPr>
        <w:tabs>
          <w:tab w:val="left" w:pos="1134"/>
        </w:tabs>
        <w:ind w:firstLine="567"/>
        <w:rPr>
          <w:spacing w:val="2"/>
          <w:szCs w:val="24"/>
          <w:u w:val="single"/>
          <w:lang w:val="de-DE"/>
        </w:rPr>
      </w:pPr>
      <w:r w:rsidRPr="00E94D07">
        <w:rPr>
          <w:spacing w:val="2"/>
          <w:szCs w:val="24"/>
          <w:lang w:val="de-DE"/>
        </w:rPr>
        <w:t xml:space="preserve">b) </w:t>
      </w:r>
      <w:r w:rsidRPr="00E94D07">
        <w:rPr>
          <w:spacing w:val="2"/>
          <w:szCs w:val="24"/>
          <w:lang w:val="de-DE"/>
        </w:rPr>
        <w:tab/>
        <w:t>die WG-HRV trifft sich zu einem Zeitpunkt und in einer Häufigkeit, die ihrem Mandat entsprechen, und zwar auf physischem und/oder virtuellem Wege, wie von der WG-HRV vereinbart;</w:t>
      </w:r>
    </w:p>
    <w:p w:rsidR="00273E4D" w:rsidRPr="00217D01" w:rsidRDefault="00273E4D">
      <w:pPr>
        <w:tabs>
          <w:tab w:val="left" w:pos="1134"/>
        </w:tabs>
        <w:rPr>
          <w:sz w:val="18"/>
          <w:szCs w:val="24"/>
          <w:u w:val="single"/>
          <w:lang w:val="de-DE"/>
        </w:rPr>
      </w:pPr>
    </w:p>
    <w:p w:rsidR="00273E4D" w:rsidRPr="00217D01" w:rsidRDefault="00273E4D">
      <w:pPr>
        <w:tabs>
          <w:tab w:val="left" w:pos="1134"/>
        </w:tabs>
        <w:ind w:firstLine="567"/>
        <w:rPr>
          <w:szCs w:val="24"/>
          <w:lang w:val="de-DE"/>
        </w:rPr>
      </w:pPr>
      <w:r w:rsidRPr="00217D01">
        <w:rPr>
          <w:szCs w:val="24"/>
          <w:lang w:val="de-DE"/>
        </w:rPr>
        <w:t xml:space="preserve">c) </w:t>
      </w:r>
      <w:r w:rsidRPr="00217D01">
        <w:rPr>
          <w:szCs w:val="24"/>
          <w:lang w:val="de-DE"/>
        </w:rPr>
        <w:tab/>
        <w:t>die WG-HRV berichtet dem CAJ über den Fortschritt ihrer Arbeit und ersucht den CAJ gegebenenfalls um weitere Anleitung;</w:t>
      </w:r>
    </w:p>
    <w:p w:rsidR="00273E4D" w:rsidRPr="00217D01" w:rsidRDefault="00273E4D">
      <w:pPr>
        <w:tabs>
          <w:tab w:val="left" w:pos="1134"/>
        </w:tabs>
        <w:rPr>
          <w:sz w:val="18"/>
          <w:szCs w:val="24"/>
          <w:lang w:val="de-DE"/>
        </w:rPr>
      </w:pPr>
    </w:p>
    <w:p w:rsidR="00273E4D" w:rsidRPr="00217D01" w:rsidRDefault="00273E4D">
      <w:pPr>
        <w:tabs>
          <w:tab w:val="left" w:pos="1134"/>
        </w:tabs>
        <w:ind w:firstLine="567"/>
        <w:rPr>
          <w:szCs w:val="24"/>
          <w:u w:val="single"/>
          <w:lang w:val="de-DE"/>
        </w:rPr>
      </w:pPr>
      <w:r w:rsidRPr="00217D01">
        <w:rPr>
          <w:szCs w:val="24"/>
          <w:lang w:val="de-DE"/>
        </w:rPr>
        <w:t>d)</w:t>
      </w:r>
      <w:r w:rsidRPr="00217D01">
        <w:rPr>
          <w:szCs w:val="24"/>
          <w:lang w:val="de-DE"/>
        </w:rPr>
        <w:tab/>
        <w:t>Dokumente der WG-HRV werden dem CAJ zur Verfügung gestellt.</w:t>
      </w:r>
    </w:p>
    <w:p w:rsidR="00273E4D" w:rsidRDefault="00273E4D">
      <w:pPr>
        <w:rPr>
          <w:szCs w:val="24"/>
          <w:lang w:val="de-DE"/>
        </w:rPr>
      </w:pPr>
    </w:p>
    <w:p w:rsidR="00E94D07" w:rsidRPr="00217D01" w:rsidRDefault="00E94D07">
      <w:pPr>
        <w:rPr>
          <w:szCs w:val="24"/>
          <w:lang w:val="de-DE"/>
        </w:rPr>
      </w:pPr>
      <w:bookmarkStart w:id="5" w:name="_GoBack"/>
      <w:bookmarkEnd w:id="5"/>
    </w:p>
    <w:p w:rsidR="00273E4D" w:rsidRPr="00217D01" w:rsidRDefault="00273E4D">
      <w:pPr>
        <w:rPr>
          <w:szCs w:val="24"/>
          <w:lang w:val="de-DE"/>
        </w:rPr>
      </w:pPr>
    </w:p>
    <w:p w:rsidR="00273E4D" w:rsidRPr="00217D01" w:rsidRDefault="00273E4D">
      <w:pPr>
        <w:tabs>
          <w:tab w:val="left" w:pos="284"/>
          <w:tab w:val="left" w:pos="851"/>
        </w:tabs>
        <w:autoSpaceDE w:val="0"/>
        <w:autoSpaceDN w:val="0"/>
        <w:adjustRightInd w:val="0"/>
        <w:jc w:val="right"/>
        <w:rPr>
          <w:i/>
          <w:szCs w:val="24"/>
          <w:lang w:val="de-DE"/>
        </w:rPr>
      </w:pPr>
      <w:r w:rsidRPr="00217D01">
        <w:rPr>
          <w:szCs w:val="24"/>
          <w:lang w:val="de-DE"/>
        </w:rPr>
        <w:t>[Ende der Anlage und des Dokuments]</w:t>
      </w:r>
    </w:p>
    <w:p w:rsidR="00273E4D" w:rsidRPr="00217D01" w:rsidRDefault="00273E4D">
      <w:pPr>
        <w:jc w:val="left"/>
        <w:rPr>
          <w:szCs w:val="24"/>
          <w:lang w:val="de-DE"/>
        </w:rPr>
      </w:pPr>
    </w:p>
    <w:p w:rsidR="00273E4D" w:rsidRPr="00217D01" w:rsidRDefault="00273E4D">
      <w:pPr>
        <w:jc w:val="left"/>
        <w:rPr>
          <w:szCs w:val="24"/>
          <w:lang w:val="de-DE"/>
        </w:rPr>
      </w:pPr>
    </w:p>
    <w:p w:rsidR="00273E4D" w:rsidRPr="00217D01" w:rsidRDefault="00273E4D">
      <w:pPr>
        <w:jc w:val="left"/>
        <w:rPr>
          <w:szCs w:val="24"/>
          <w:lang w:val="de-DE"/>
        </w:rPr>
      </w:pPr>
    </w:p>
    <w:p w:rsidR="00273E4D" w:rsidRPr="00217D01" w:rsidRDefault="00273E4D">
      <w:pPr>
        <w:jc w:val="right"/>
        <w:rPr>
          <w:szCs w:val="24"/>
          <w:lang w:val="de-DE"/>
        </w:rPr>
      </w:pPr>
    </w:p>
    <w:sectPr w:rsidR="00273E4D" w:rsidRPr="00217D01">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4D" w:rsidRDefault="00273E4D">
      <w:pPr>
        <w:rPr>
          <w:szCs w:val="24"/>
        </w:rPr>
      </w:pPr>
      <w:r>
        <w:rPr>
          <w:szCs w:val="24"/>
        </w:rPr>
        <w:separator/>
      </w:r>
    </w:p>
    <w:p w:rsidR="00273E4D" w:rsidRDefault="00273E4D">
      <w:pPr>
        <w:rPr>
          <w:szCs w:val="24"/>
        </w:rPr>
      </w:pPr>
    </w:p>
    <w:p w:rsidR="00273E4D" w:rsidRDefault="00273E4D">
      <w:pPr>
        <w:rPr>
          <w:szCs w:val="24"/>
        </w:rPr>
      </w:pPr>
    </w:p>
  </w:endnote>
  <w:endnote w:type="continuationSeparator" w:id="0">
    <w:p w:rsidR="00273E4D" w:rsidRDefault="00273E4D">
      <w:pPr>
        <w:rPr>
          <w:szCs w:val="24"/>
        </w:rPr>
      </w:pPr>
      <w:r>
        <w:rPr>
          <w:szCs w:val="24"/>
        </w:rPr>
        <w:separator/>
      </w:r>
    </w:p>
    <w:p w:rsidR="00273E4D" w:rsidRDefault="00273E4D">
      <w:pPr>
        <w:pStyle w:val="Footer"/>
        <w:spacing w:after="60"/>
        <w:rPr>
          <w:sz w:val="18"/>
          <w:szCs w:val="24"/>
          <w:lang w:val="fr-FR"/>
        </w:rPr>
      </w:pPr>
      <w:r>
        <w:rPr>
          <w:noProof/>
          <w:sz w:val="18"/>
          <w:szCs w:val="24"/>
          <w:lang w:val="fr-FR"/>
        </w:rPr>
        <w:t>[Suite de la note de la page précédente]</w:t>
      </w:r>
    </w:p>
    <w:p w:rsidR="00273E4D" w:rsidRDefault="00273E4D">
      <w:pPr>
        <w:rPr>
          <w:szCs w:val="24"/>
          <w:lang w:val="fr-FR"/>
        </w:rPr>
      </w:pPr>
    </w:p>
    <w:p w:rsidR="00273E4D" w:rsidRDefault="00273E4D">
      <w:pPr>
        <w:rPr>
          <w:szCs w:val="24"/>
          <w:lang w:val="fr-FR"/>
        </w:rPr>
      </w:pPr>
    </w:p>
  </w:endnote>
  <w:endnote w:type="continuationNotice" w:id="1">
    <w:p w:rsidR="00273E4D" w:rsidRDefault="00273E4D">
      <w:pPr>
        <w:rPr>
          <w:szCs w:val="24"/>
          <w:lang w:val="fr-FR"/>
        </w:rPr>
      </w:pPr>
      <w:r>
        <w:rPr>
          <w:noProof/>
          <w:szCs w:val="24"/>
          <w:lang w:val="fr-FR"/>
        </w:rPr>
        <w:t>[Suite de la note page suivante]</w:t>
      </w:r>
    </w:p>
    <w:p w:rsidR="00273E4D" w:rsidRDefault="00273E4D">
      <w:pPr>
        <w:rPr>
          <w:szCs w:val="24"/>
          <w:lang w:val="fr-FR"/>
        </w:rPr>
      </w:pPr>
    </w:p>
    <w:p w:rsidR="00273E4D" w:rsidRDefault="00273E4D">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4D" w:rsidRDefault="00273E4D">
      <w:pPr>
        <w:rPr>
          <w:szCs w:val="24"/>
        </w:rPr>
      </w:pPr>
      <w:r>
        <w:rPr>
          <w:szCs w:val="24"/>
        </w:rPr>
        <w:separator/>
      </w:r>
    </w:p>
  </w:footnote>
  <w:footnote w:type="continuationSeparator" w:id="0">
    <w:p w:rsidR="00273E4D" w:rsidRDefault="00273E4D">
      <w:pPr>
        <w:rPr>
          <w:szCs w:val="24"/>
        </w:rPr>
      </w:pPr>
      <w:r>
        <w:rPr>
          <w:szCs w:val="24"/>
        </w:rPr>
        <w:separator/>
      </w:r>
    </w:p>
  </w:footnote>
  <w:footnote w:type="continuationNotice" w:id="1">
    <w:p w:rsidR="00273E4D" w:rsidRDefault="00273E4D">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4D" w:rsidRDefault="00273E4D">
    <w:pPr>
      <w:pStyle w:val="Header"/>
      <w:rPr>
        <w:rStyle w:val="PageNumber"/>
        <w:szCs w:val="24"/>
        <w:lang w:val="en-US"/>
      </w:rPr>
    </w:pPr>
    <w:r>
      <w:rPr>
        <w:rStyle w:val="PageNumber"/>
        <w:noProof/>
        <w:szCs w:val="24"/>
        <w:lang w:val="en-US"/>
      </w:rPr>
      <w:t>CAJ/79/8</w:t>
    </w:r>
  </w:p>
  <w:p w:rsidR="00273E4D" w:rsidRDefault="00AE3485">
    <w:pPr>
      <w:pStyle w:val="Header"/>
      <w:rPr>
        <w:szCs w:val="24"/>
        <w:lang w:val="en-US"/>
      </w:rPr>
    </w:pPr>
    <w:r>
      <w:rPr>
        <w:szCs w:val="24"/>
        <w:lang w:val="en-US"/>
      </w:rPr>
      <w:t>Seite</w:t>
    </w:r>
    <w:r w:rsidR="00273E4D">
      <w:rPr>
        <w:szCs w:val="24"/>
        <w:lang w:val="en-US"/>
      </w:rPr>
      <w:t xml:space="preserve"> </w:t>
    </w:r>
    <w:r w:rsidR="00273E4D">
      <w:rPr>
        <w:rStyle w:val="PageNumber"/>
        <w:szCs w:val="24"/>
        <w:lang w:val="en-US"/>
      </w:rPr>
      <w:fldChar w:fldCharType="begin"/>
    </w:r>
    <w:r w:rsidR="00273E4D">
      <w:rPr>
        <w:rStyle w:val="PageNumber"/>
        <w:szCs w:val="24"/>
        <w:lang w:val="en-US"/>
      </w:rPr>
      <w:instrText xml:space="preserve"> PAGE </w:instrText>
    </w:r>
    <w:r w:rsidR="00273E4D">
      <w:rPr>
        <w:rStyle w:val="PageNumber"/>
        <w:szCs w:val="24"/>
        <w:lang w:val="en-US"/>
      </w:rPr>
      <w:fldChar w:fldCharType="separate"/>
    </w:r>
    <w:r w:rsidR="00E94D07">
      <w:rPr>
        <w:rStyle w:val="PageNumber"/>
        <w:noProof/>
        <w:szCs w:val="24"/>
        <w:lang w:val="en-US"/>
      </w:rPr>
      <w:t>2</w:t>
    </w:r>
    <w:r w:rsidR="00273E4D">
      <w:rPr>
        <w:rStyle w:val="PageNumber"/>
        <w:szCs w:val="24"/>
        <w:lang w:val="en-US"/>
      </w:rPr>
      <w:fldChar w:fldCharType="end"/>
    </w:r>
  </w:p>
  <w:p w:rsidR="00273E4D" w:rsidRDefault="00273E4D">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4D" w:rsidRDefault="00273E4D">
    <w:pPr>
      <w:pStyle w:val="Header"/>
      <w:rPr>
        <w:rStyle w:val="PageNumber"/>
        <w:szCs w:val="24"/>
        <w:lang w:val="en-US"/>
      </w:rPr>
    </w:pPr>
    <w:r>
      <w:rPr>
        <w:rStyle w:val="PageNumber"/>
        <w:noProof/>
        <w:szCs w:val="24"/>
        <w:lang w:val="en-US"/>
      </w:rPr>
      <w:t>CAJ/79/8</w:t>
    </w:r>
  </w:p>
  <w:p w:rsidR="00273E4D" w:rsidRDefault="00273E4D">
    <w:pPr>
      <w:pStyle w:val="Header"/>
      <w:rPr>
        <w:szCs w:val="24"/>
        <w:lang w:val="en-US"/>
      </w:rPr>
    </w:pPr>
    <w:r>
      <w:rPr>
        <w:szCs w:val="24"/>
        <w:lang w:val="en-US"/>
      </w:rPr>
      <w:t>An</w:t>
    </w:r>
    <w:r w:rsidR="00AE3485">
      <w:rPr>
        <w:szCs w:val="24"/>
        <w:lang w:val="en-US"/>
      </w:rPr>
      <w:t>lage</w:t>
    </w:r>
    <w:r>
      <w:rPr>
        <w:szCs w:val="24"/>
        <w:lang w:val="en-US"/>
      </w:rPr>
      <w:t xml:space="preserve">, </w:t>
    </w:r>
    <w:r w:rsidR="00AE3485">
      <w:rPr>
        <w:szCs w:val="24"/>
        <w:lang w:val="en-US"/>
      </w:rPr>
      <w:t>Seit</w:t>
    </w:r>
    <w:r>
      <w:rPr>
        <w:szCs w:val="24"/>
        <w:lang w:val="en-US"/>
      </w:rPr>
      <w:t xml:space="preserve">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E94D07">
      <w:rPr>
        <w:rStyle w:val="PageNumber"/>
        <w:noProof/>
        <w:szCs w:val="24"/>
        <w:lang w:val="en-US"/>
      </w:rPr>
      <w:t>2</w:t>
    </w:r>
    <w:r>
      <w:rPr>
        <w:rStyle w:val="PageNumber"/>
        <w:szCs w:val="24"/>
        <w:lang w:val="en-US"/>
      </w:rPr>
      <w:fldChar w:fldCharType="end"/>
    </w:r>
  </w:p>
  <w:p w:rsidR="00273E4D" w:rsidRDefault="00273E4D">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4D" w:rsidRDefault="00273E4D">
    <w:pPr>
      <w:pStyle w:val="Header"/>
      <w:rPr>
        <w:rStyle w:val="PageNumber"/>
        <w:szCs w:val="24"/>
        <w:lang w:val="en-US"/>
      </w:rPr>
    </w:pPr>
    <w:r>
      <w:rPr>
        <w:rStyle w:val="PageNumber"/>
        <w:noProof/>
        <w:szCs w:val="24"/>
        <w:lang w:val="en-US"/>
      </w:rPr>
      <w:t>CAJ/79/8</w:t>
    </w:r>
  </w:p>
  <w:p w:rsidR="00273E4D" w:rsidRDefault="00273E4D">
    <w:pPr>
      <w:pStyle w:val="Header"/>
      <w:rPr>
        <w:szCs w:val="24"/>
      </w:rPr>
    </w:pPr>
  </w:p>
  <w:p w:rsidR="00273E4D" w:rsidRDefault="00273E4D">
    <w:pPr>
      <w:pStyle w:val="Header"/>
      <w:rPr>
        <w:szCs w:val="24"/>
      </w:rPr>
    </w:pPr>
    <w:r>
      <w:rPr>
        <w:noProof/>
        <w:szCs w:val="24"/>
      </w:rPr>
      <w:t>AN</w:t>
    </w:r>
    <w:r w:rsidR="00AE3485">
      <w:rPr>
        <w:noProof/>
        <w:szCs w:val="24"/>
      </w:rPr>
      <w:t>LAGE</w:t>
    </w:r>
  </w:p>
  <w:p w:rsidR="00273E4D" w:rsidRDefault="00273E4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10CF3"/>
    <w:rsid w:val="00011E27"/>
    <w:rsid w:val="00012ED9"/>
    <w:rsid w:val="000148BC"/>
    <w:rsid w:val="000148C8"/>
    <w:rsid w:val="00022620"/>
    <w:rsid w:val="00024AB8"/>
    <w:rsid w:val="00030854"/>
    <w:rsid w:val="00036028"/>
    <w:rsid w:val="0004198B"/>
    <w:rsid w:val="00044642"/>
    <w:rsid w:val="000446B9"/>
    <w:rsid w:val="00047E21"/>
    <w:rsid w:val="00050E16"/>
    <w:rsid w:val="00084734"/>
    <w:rsid w:val="00085505"/>
    <w:rsid w:val="000C4E25"/>
    <w:rsid w:val="000C7021"/>
    <w:rsid w:val="000D6BBC"/>
    <w:rsid w:val="000D7780"/>
    <w:rsid w:val="000E636A"/>
    <w:rsid w:val="000E74B6"/>
    <w:rsid w:val="000F2F11"/>
    <w:rsid w:val="00100A5F"/>
    <w:rsid w:val="00105929"/>
    <w:rsid w:val="00110BED"/>
    <w:rsid w:val="00110C36"/>
    <w:rsid w:val="00112308"/>
    <w:rsid w:val="001131D5"/>
    <w:rsid w:val="00114547"/>
    <w:rsid w:val="00130E0D"/>
    <w:rsid w:val="001321CA"/>
    <w:rsid w:val="00141DB8"/>
    <w:rsid w:val="00172084"/>
    <w:rsid w:val="001726C8"/>
    <w:rsid w:val="0017474A"/>
    <w:rsid w:val="001758C6"/>
    <w:rsid w:val="00182B99"/>
    <w:rsid w:val="0019265D"/>
    <w:rsid w:val="001C1525"/>
    <w:rsid w:val="001C238A"/>
    <w:rsid w:val="001F7186"/>
    <w:rsid w:val="0021332C"/>
    <w:rsid w:val="00213982"/>
    <w:rsid w:val="00217D01"/>
    <w:rsid w:val="0024416D"/>
    <w:rsid w:val="00271911"/>
    <w:rsid w:val="00273187"/>
    <w:rsid w:val="00273E4D"/>
    <w:rsid w:val="00274DE4"/>
    <w:rsid w:val="002800A0"/>
    <w:rsid w:val="002801B3"/>
    <w:rsid w:val="00281060"/>
    <w:rsid w:val="00284050"/>
    <w:rsid w:val="00285BD0"/>
    <w:rsid w:val="002940E8"/>
    <w:rsid w:val="00294751"/>
    <w:rsid w:val="002A0B9E"/>
    <w:rsid w:val="002A2525"/>
    <w:rsid w:val="002A6E50"/>
    <w:rsid w:val="002B4298"/>
    <w:rsid w:val="002B7A36"/>
    <w:rsid w:val="002C256A"/>
    <w:rsid w:val="002D5226"/>
    <w:rsid w:val="002E1A43"/>
    <w:rsid w:val="00305A7F"/>
    <w:rsid w:val="003152FE"/>
    <w:rsid w:val="00327436"/>
    <w:rsid w:val="00344BD6"/>
    <w:rsid w:val="0035528D"/>
    <w:rsid w:val="00361821"/>
    <w:rsid w:val="00361E9E"/>
    <w:rsid w:val="00365DC1"/>
    <w:rsid w:val="003737E9"/>
    <w:rsid w:val="003753EE"/>
    <w:rsid w:val="003954D4"/>
    <w:rsid w:val="003A0835"/>
    <w:rsid w:val="003A5AAF"/>
    <w:rsid w:val="003B700A"/>
    <w:rsid w:val="003C6823"/>
    <w:rsid w:val="003C77AC"/>
    <w:rsid w:val="003C7FBE"/>
    <w:rsid w:val="003D227C"/>
    <w:rsid w:val="003D2B4D"/>
    <w:rsid w:val="003F37F5"/>
    <w:rsid w:val="00403F8A"/>
    <w:rsid w:val="00420D0E"/>
    <w:rsid w:val="0043467F"/>
    <w:rsid w:val="00444A88"/>
    <w:rsid w:val="00474DA4"/>
    <w:rsid w:val="00476B4D"/>
    <w:rsid w:val="00477609"/>
    <w:rsid w:val="004805FA"/>
    <w:rsid w:val="004935D2"/>
    <w:rsid w:val="004B1215"/>
    <w:rsid w:val="004C31C7"/>
    <w:rsid w:val="004D047D"/>
    <w:rsid w:val="004D4E3D"/>
    <w:rsid w:val="004F1E9E"/>
    <w:rsid w:val="004F305A"/>
    <w:rsid w:val="0050731E"/>
    <w:rsid w:val="00512164"/>
    <w:rsid w:val="00520297"/>
    <w:rsid w:val="00520954"/>
    <w:rsid w:val="00520AF3"/>
    <w:rsid w:val="00532395"/>
    <w:rsid w:val="005338F9"/>
    <w:rsid w:val="0054281C"/>
    <w:rsid w:val="00544581"/>
    <w:rsid w:val="0055268D"/>
    <w:rsid w:val="00575DE2"/>
    <w:rsid w:val="00576BE4"/>
    <w:rsid w:val="005779DB"/>
    <w:rsid w:val="00595B67"/>
    <w:rsid w:val="005A2A67"/>
    <w:rsid w:val="005A400A"/>
    <w:rsid w:val="005B269D"/>
    <w:rsid w:val="005E3EBB"/>
    <w:rsid w:val="005F7B92"/>
    <w:rsid w:val="00612379"/>
    <w:rsid w:val="006153B6"/>
    <w:rsid w:val="0061555F"/>
    <w:rsid w:val="006245ED"/>
    <w:rsid w:val="006361E4"/>
    <w:rsid w:val="00636CA6"/>
    <w:rsid w:val="00641200"/>
    <w:rsid w:val="00645CA8"/>
    <w:rsid w:val="006655D3"/>
    <w:rsid w:val="00667404"/>
    <w:rsid w:val="0067506F"/>
    <w:rsid w:val="0068387F"/>
    <w:rsid w:val="00687EB4"/>
    <w:rsid w:val="00695C56"/>
    <w:rsid w:val="00696BC1"/>
    <w:rsid w:val="006A5CDE"/>
    <w:rsid w:val="006A644A"/>
    <w:rsid w:val="006B17D2"/>
    <w:rsid w:val="006B61FB"/>
    <w:rsid w:val="006C224E"/>
    <w:rsid w:val="006D780A"/>
    <w:rsid w:val="0071271E"/>
    <w:rsid w:val="00732DEC"/>
    <w:rsid w:val="00734353"/>
    <w:rsid w:val="00735BD5"/>
    <w:rsid w:val="007451EC"/>
    <w:rsid w:val="00751613"/>
    <w:rsid w:val="00753EE9"/>
    <w:rsid w:val="007546E6"/>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15738"/>
    <w:rsid w:val="00820BD4"/>
    <w:rsid w:val="008211B5"/>
    <w:rsid w:val="0082296E"/>
    <w:rsid w:val="00824099"/>
    <w:rsid w:val="00846D7C"/>
    <w:rsid w:val="00862669"/>
    <w:rsid w:val="00867AC1"/>
    <w:rsid w:val="00871EAB"/>
    <w:rsid w:val="008751DE"/>
    <w:rsid w:val="00880E74"/>
    <w:rsid w:val="008861A4"/>
    <w:rsid w:val="00890DF8"/>
    <w:rsid w:val="008A0ADE"/>
    <w:rsid w:val="008A743F"/>
    <w:rsid w:val="008C0970"/>
    <w:rsid w:val="008D0BC5"/>
    <w:rsid w:val="008D0F14"/>
    <w:rsid w:val="008D2ABC"/>
    <w:rsid w:val="008D2B1F"/>
    <w:rsid w:val="008D2CF7"/>
    <w:rsid w:val="008D689F"/>
    <w:rsid w:val="008E579F"/>
    <w:rsid w:val="00900C26"/>
    <w:rsid w:val="0090197F"/>
    <w:rsid w:val="00903264"/>
    <w:rsid w:val="00906DDC"/>
    <w:rsid w:val="00934E09"/>
    <w:rsid w:val="00936253"/>
    <w:rsid w:val="00940D46"/>
    <w:rsid w:val="009413F1"/>
    <w:rsid w:val="0094559B"/>
    <w:rsid w:val="00945A64"/>
    <w:rsid w:val="00952DD4"/>
    <w:rsid w:val="009561F4"/>
    <w:rsid w:val="00965AE7"/>
    <w:rsid w:val="00970FED"/>
    <w:rsid w:val="00992D82"/>
    <w:rsid w:val="00997029"/>
    <w:rsid w:val="009A7339"/>
    <w:rsid w:val="009B440E"/>
    <w:rsid w:val="009D690D"/>
    <w:rsid w:val="009E65B6"/>
    <w:rsid w:val="009F0A51"/>
    <w:rsid w:val="009F77CF"/>
    <w:rsid w:val="00A24C10"/>
    <w:rsid w:val="00A2796A"/>
    <w:rsid w:val="00A34DE6"/>
    <w:rsid w:val="00A42AC3"/>
    <w:rsid w:val="00A430CF"/>
    <w:rsid w:val="00A54309"/>
    <w:rsid w:val="00A610A9"/>
    <w:rsid w:val="00A75AD7"/>
    <w:rsid w:val="00A80F2A"/>
    <w:rsid w:val="00A96C33"/>
    <w:rsid w:val="00AB2B93"/>
    <w:rsid w:val="00AB530F"/>
    <w:rsid w:val="00AB7E5B"/>
    <w:rsid w:val="00AC2883"/>
    <w:rsid w:val="00AE0EF1"/>
    <w:rsid w:val="00AE2937"/>
    <w:rsid w:val="00AE3485"/>
    <w:rsid w:val="00B00A6A"/>
    <w:rsid w:val="00B07301"/>
    <w:rsid w:val="00B11F3E"/>
    <w:rsid w:val="00B224DE"/>
    <w:rsid w:val="00B324D4"/>
    <w:rsid w:val="00B46575"/>
    <w:rsid w:val="00B61777"/>
    <w:rsid w:val="00B622E6"/>
    <w:rsid w:val="00B748DF"/>
    <w:rsid w:val="00B7546C"/>
    <w:rsid w:val="00B83E82"/>
    <w:rsid w:val="00B84BBD"/>
    <w:rsid w:val="00B936BB"/>
    <w:rsid w:val="00BA43FB"/>
    <w:rsid w:val="00BA4A7A"/>
    <w:rsid w:val="00BC127D"/>
    <w:rsid w:val="00BC1FE6"/>
    <w:rsid w:val="00BC4537"/>
    <w:rsid w:val="00C02EBD"/>
    <w:rsid w:val="00C05E15"/>
    <w:rsid w:val="00C061B6"/>
    <w:rsid w:val="00C2446C"/>
    <w:rsid w:val="00C25252"/>
    <w:rsid w:val="00C36AE5"/>
    <w:rsid w:val="00C41F17"/>
    <w:rsid w:val="00C527FA"/>
    <w:rsid w:val="00C5280D"/>
    <w:rsid w:val="00C53EB3"/>
    <w:rsid w:val="00C548F9"/>
    <w:rsid w:val="00C5791C"/>
    <w:rsid w:val="00C66290"/>
    <w:rsid w:val="00C72B7A"/>
    <w:rsid w:val="00C973F2"/>
    <w:rsid w:val="00CA304C"/>
    <w:rsid w:val="00CA774A"/>
    <w:rsid w:val="00CB4921"/>
    <w:rsid w:val="00CC11B0"/>
    <w:rsid w:val="00CC2841"/>
    <w:rsid w:val="00CD0F42"/>
    <w:rsid w:val="00CF1330"/>
    <w:rsid w:val="00CF7E36"/>
    <w:rsid w:val="00D04D31"/>
    <w:rsid w:val="00D221FB"/>
    <w:rsid w:val="00D3708D"/>
    <w:rsid w:val="00D40426"/>
    <w:rsid w:val="00D45B5D"/>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44453"/>
    <w:rsid w:val="00E47E71"/>
    <w:rsid w:val="00E5267B"/>
    <w:rsid w:val="00E559F0"/>
    <w:rsid w:val="00E63C0E"/>
    <w:rsid w:val="00E65BE1"/>
    <w:rsid w:val="00E72D49"/>
    <w:rsid w:val="00E7593C"/>
    <w:rsid w:val="00E7678A"/>
    <w:rsid w:val="00E935F1"/>
    <w:rsid w:val="00E94A81"/>
    <w:rsid w:val="00E94D07"/>
    <w:rsid w:val="00EA1FFB"/>
    <w:rsid w:val="00EB048E"/>
    <w:rsid w:val="00EB4E9C"/>
    <w:rsid w:val="00EE34DF"/>
    <w:rsid w:val="00EE6A58"/>
    <w:rsid w:val="00EF2F89"/>
    <w:rsid w:val="00EF30F3"/>
    <w:rsid w:val="00F03E98"/>
    <w:rsid w:val="00F1237A"/>
    <w:rsid w:val="00F22CBD"/>
    <w:rsid w:val="00F272F1"/>
    <w:rsid w:val="00F31412"/>
    <w:rsid w:val="00F45372"/>
    <w:rsid w:val="00F560F7"/>
    <w:rsid w:val="00F6334D"/>
    <w:rsid w:val="00F63599"/>
    <w:rsid w:val="00F71781"/>
    <w:rsid w:val="00FA49AB"/>
    <w:rsid w:val="00FA711B"/>
    <w:rsid w:val="00FB5F2F"/>
    <w:rsid w:val="00FC5FD0"/>
    <w:rsid w:val="00FC758E"/>
    <w:rsid w:val="00FE39C7"/>
    <w:rsid w:val="00FF4D07"/>
    <w:rsid w:val="00FF5A0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89B69"/>
  <w15:chartTrackingRefBased/>
  <w15:docId w15:val="{165AC78F-10B4-491B-AE99-4A374A3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ing2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aliases w:val="VARIETY,variety"/>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spacing w:before="60"/>
      <w:ind w:left="720"/>
    </w:p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rsid w:val="00E94D07"/>
    <w:pPr>
      <w:tabs>
        <w:tab w:val="left" w:pos="1260"/>
        <w:tab w:val="left" w:pos="3119"/>
        <w:tab w:val="right" w:leader="dot" w:pos="9639"/>
      </w:tabs>
      <w:spacing w:before="120"/>
      <w:ind w:left="1260" w:hanging="1260"/>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table" w:styleId="TableGrid">
    <w:name w:val="Table Grid"/>
    <w:basedOn w:val="TableNormal"/>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auto_list_(i)"/>
    <w:basedOn w:val="Normal"/>
    <w:pPr>
      <w:ind w:left="720"/>
      <w:contextualSpacing/>
    </w:pPr>
  </w:style>
  <w:style w:type="character" w:customStyle="1" w:styleId="Heading2Char">
    <w:name w:val="Heading 2 Char"/>
    <w:aliases w:val="VARIETY Char,variety Char"/>
    <w:basedOn w:val="DefaultParagraphFont"/>
    <w:locked/>
    <w:rPr>
      <w:rFonts w:ascii="Arial" w:hAnsi="Arial" w:cs="Times New Roman"/>
      <w:u w:val="single"/>
      <w:lang w:val="en-US" w:bidi="ar-SA"/>
    </w:rPr>
  </w:style>
  <w:style w:type="character" w:styleId="FollowedHyperlink">
    <w:name w:val="FollowedHyperlink"/>
    <w:basedOn w:val="DefaultParagraphFont"/>
    <w:semiHidden/>
    <w:rPr>
      <w:rFonts w:cs="Times New Roman"/>
      <w:color w:val="800080"/>
      <w:u w:val="single"/>
    </w:rPr>
  </w:style>
  <w:style w:type="character" w:customStyle="1" w:styleId="ListParagraphChar">
    <w:name w:val="List Paragraph Char"/>
    <w:aliases w:val="auto_list_(i) Char,List Paragraph1 Char"/>
    <w:basedOn w:val="DefaultParagraphFont"/>
    <w:locked/>
    <w:rPr>
      <w:rFonts w:ascii="Arial" w:hAnsi="Arial" w:cs="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etails.jsp?meeting_id=6777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pov.int/meetings/en/details.jsp?meeting_id=70188" TargetMode="External"/><Relationship Id="rId4" Type="http://schemas.openxmlformats.org/officeDocument/2006/relationships/webSettings" Target="webSettings.xml"/><Relationship Id="rId9" Type="http://schemas.openxmlformats.org/officeDocument/2006/relationships/hyperlink" Target="https://www.upov.int/meetings/en/details.jsp?meeting_id=7018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routing_slip_with_doc_caj_79</Template>
  <TotalTime>12</TotalTime>
  <Pages>5</Pages>
  <Words>1268</Words>
  <Characters>9189</Characters>
  <Application>Microsoft Office Word</Application>
  <DocSecurity>0</DocSecurity>
  <Lines>76</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CAJ/79/8</vt:lpstr>
      <vt:lpstr>CAJ/79/8</vt:lpstr>
    </vt:vector>
  </TitlesOfParts>
  <Company>UPOV</Company>
  <LinksUpToDate>false</LinksUpToDate>
  <CharactersWithSpaces>10437</CharactersWithSpaces>
  <SharedDoc>false</SharedDoc>
  <HLinks>
    <vt:vector size="48" baseType="variant">
      <vt:variant>
        <vt:i4>6160443</vt:i4>
      </vt:variant>
      <vt:variant>
        <vt:i4>61</vt:i4>
      </vt:variant>
      <vt:variant>
        <vt:i4>0</vt:i4>
      </vt:variant>
      <vt:variant>
        <vt:i4>5</vt:i4>
      </vt:variant>
      <vt:variant>
        <vt:lpwstr>https://www.upov.int/meetings/en/details.jsp?meeting_id=70188</vt:lpwstr>
      </vt:variant>
      <vt:variant>
        <vt:lpwstr/>
      </vt:variant>
      <vt:variant>
        <vt:i4>6160443</vt:i4>
      </vt:variant>
      <vt:variant>
        <vt:i4>56</vt:i4>
      </vt:variant>
      <vt:variant>
        <vt:i4>0</vt:i4>
      </vt:variant>
      <vt:variant>
        <vt:i4>5</vt:i4>
      </vt:variant>
      <vt:variant>
        <vt:lpwstr>https://www.upov.int/meetings/en/details.jsp?meeting_id=70188</vt:lpwstr>
      </vt:variant>
      <vt:variant>
        <vt:lpwstr/>
      </vt:variant>
      <vt:variant>
        <vt:i4>5636156</vt:i4>
      </vt:variant>
      <vt:variant>
        <vt:i4>49</vt:i4>
      </vt:variant>
      <vt:variant>
        <vt:i4>0</vt:i4>
      </vt:variant>
      <vt:variant>
        <vt:i4>5</vt:i4>
      </vt:variant>
      <vt:variant>
        <vt:lpwstr>https://www.upov.int/meetings/en/details.jsp?meeting_id=67773</vt:lpwstr>
      </vt:variant>
      <vt:variant>
        <vt:lpwstr/>
      </vt:variant>
      <vt:variant>
        <vt:i4>1310778</vt:i4>
      </vt:variant>
      <vt:variant>
        <vt:i4>30</vt:i4>
      </vt:variant>
      <vt:variant>
        <vt:i4>0</vt:i4>
      </vt:variant>
      <vt:variant>
        <vt:i4>5</vt:i4>
      </vt:variant>
      <vt:variant>
        <vt:lpwstr/>
      </vt:variant>
      <vt:variant>
        <vt:lpwstr>_Toc116047953</vt:lpwstr>
      </vt:variant>
      <vt:variant>
        <vt:i4>1310778</vt:i4>
      </vt:variant>
      <vt:variant>
        <vt:i4>24</vt:i4>
      </vt:variant>
      <vt:variant>
        <vt:i4>0</vt:i4>
      </vt:variant>
      <vt:variant>
        <vt:i4>5</vt:i4>
      </vt:variant>
      <vt:variant>
        <vt:lpwstr/>
      </vt:variant>
      <vt:variant>
        <vt:lpwstr>_Toc116047952</vt:lpwstr>
      </vt:variant>
      <vt:variant>
        <vt:i4>1310778</vt:i4>
      </vt:variant>
      <vt:variant>
        <vt:i4>18</vt:i4>
      </vt:variant>
      <vt:variant>
        <vt:i4>0</vt:i4>
      </vt:variant>
      <vt:variant>
        <vt:i4>5</vt:i4>
      </vt:variant>
      <vt:variant>
        <vt:lpwstr/>
      </vt:variant>
      <vt:variant>
        <vt:lpwstr>_Toc116047951</vt:lpwstr>
      </vt:variant>
      <vt:variant>
        <vt:i4>1310778</vt:i4>
      </vt:variant>
      <vt:variant>
        <vt:i4>12</vt:i4>
      </vt:variant>
      <vt:variant>
        <vt:i4>0</vt:i4>
      </vt:variant>
      <vt:variant>
        <vt:i4>5</vt:i4>
      </vt:variant>
      <vt:variant>
        <vt:lpwstr/>
      </vt:variant>
      <vt:variant>
        <vt:lpwstr>_Toc116047950</vt:lpwstr>
      </vt:variant>
      <vt:variant>
        <vt:i4>1376314</vt:i4>
      </vt:variant>
      <vt:variant>
        <vt:i4>6</vt:i4>
      </vt:variant>
      <vt:variant>
        <vt:i4>0</vt:i4>
      </vt:variant>
      <vt:variant>
        <vt:i4>5</vt:i4>
      </vt:variant>
      <vt:variant>
        <vt:lpwstr/>
      </vt:variant>
      <vt:variant>
        <vt:lpwstr>_Toc116047949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CAJ/79/8</dc:title>
  <dc:subject/>
  <dc:creator>SANCHEZ VIZCAINO GOMEZ Rosa Maria</dc:creator>
  <cp:keywords/>
  <dc:description/>
  <cp:lastModifiedBy>SANTOS Carla Marina</cp:lastModifiedBy>
  <cp:revision>4</cp:revision>
  <cp:lastPrinted>2022-10-10T13:48:00Z</cp:lastPrinted>
  <dcterms:created xsi:type="dcterms:W3CDTF">2022-10-10T14:32:00Z</dcterms:created>
  <dcterms:modified xsi:type="dcterms:W3CDTF">2022-10-13T11:55:00Z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7dfa647b-85bb-429e-ac66-207d31af0e1b</vt:lpwstr>
  </property>
</Properties>
</file>