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F5534" w14:paraId="17B59131" w14:textId="77777777" w:rsidTr="00EB4E9C">
        <w:tc>
          <w:tcPr>
            <w:tcW w:w="6522" w:type="dxa"/>
          </w:tcPr>
          <w:p w14:paraId="374408E7" w14:textId="77777777" w:rsidR="00DC3802" w:rsidRPr="005F5534" w:rsidRDefault="00DC3802" w:rsidP="00AC2883">
            <w:r w:rsidRPr="005F5534">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E8AA3AB" w14:textId="0B623C3F" w:rsidR="00151956" w:rsidRPr="005F5534" w:rsidRDefault="005F5534">
            <w:pPr>
              <w:pStyle w:val="Lettrine"/>
            </w:pPr>
            <w:r>
              <w:t>G</w:t>
            </w:r>
          </w:p>
        </w:tc>
      </w:tr>
      <w:tr w:rsidR="005F5534" w:rsidRPr="005F5534" w14:paraId="2B570A6F" w14:textId="77777777" w:rsidTr="00645CA8">
        <w:trPr>
          <w:trHeight w:val="219"/>
        </w:trPr>
        <w:tc>
          <w:tcPr>
            <w:tcW w:w="6522" w:type="dxa"/>
          </w:tcPr>
          <w:p w14:paraId="2B8FD5E0" w14:textId="60897ABD" w:rsidR="005F5534" w:rsidRPr="005F5534" w:rsidRDefault="005F5534" w:rsidP="005F5534">
            <w:pPr>
              <w:pStyle w:val="upove"/>
            </w:pPr>
            <w:r w:rsidRPr="005F5534">
              <w:t>Internationaler Verband zum Schutz von Pflanzenzüchtungen</w:t>
            </w:r>
          </w:p>
        </w:tc>
        <w:tc>
          <w:tcPr>
            <w:tcW w:w="3117" w:type="dxa"/>
          </w:tcPr>
          <w:p w14:paraId="480CBA62" w14:textId="77777777" w:rsidR="005F5534" w:rsidRPr="005F5534" w:rsidRDefault="005F5534" w:rsidP="005F5534"/>
        </w:tc>
      </w:tr>
    </w:tbl>
    <w:p w14:paraId="45380D14" w14:textId="77777777" w:rsidR="00DC3802" w:rsidRPr="005F5534" w:rsidRDefault="00DC3802" w:rsidP="00DC3802"/>
    <w:p w14:paraId="125AA06B" w14:textId="77777777" w:rsidR="008D0F14" w:rsidRPr="005F5534"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5F5534" w14:paraId="32F2D323" w14:textId="77777777" w:rsidTr="002A2525">
        <w:tc>
          <w:tcPr>
            <w:tcW w:w="6512" w:type="dxa"/>
          </w:tcPr>
          <w:p w14:paraId="39C8EEC8" w14:textId="77777777" w:rsidR="00151956" w:rsidRPr="005F5534" w:rsidRDefault="00911C31">
            <w:pPr>
              <w:pStyle w:val="Sessiontc"/>
              <w:spacing w:line="240" w:lineRule="auto"/>
            </w:pPr>
            <w:r w:rsidRPr="005F5534">
              <w:t>Verwaltungs- und Rechtsausschuss</w:t>
            </w:r>
          </w:p>
          <w:p w14:paraId="6C7D3430" w14:textId="77777777" w:rsidR="00151956" w:rsidRPr="005F5534" w:rsidRDefault="00911C31">
            <w:pPr>
              <w:pStyle w:val="Sessiontcplacedate"/>
            </w:pPr>
            <w:r w:rsidRPr="005F5534">
              <w:t>Neunundsiebzigste Tagung</w:t>
            </w:r>
          </w:p>
          <w:p w14:paraId="1A4804DC" w14:textId="02D567CE" w:rsidR="00151956" w:rsidRPr="005F5534" w:rsidRDefault="00911C31">
            <w:pPr>
              <w:pStyle w:val="Sessiontcplacedate"/>
              <w:rPr>
                <w:sz w:val="22"/>
              </w:rPr>
            </w:pPr>
            <w:r w:rsidRPr="005F5534">
              <w:t xml:space="preserve">Genf, </w:t>
            </w:r>
            <w:r w:rsidR="005F5534" w:rsidRPr="005F5534">
              <w:t xml:space="preserve">26. </w:t>
            </w:r>
            <w:r w:rsidRPr="005F5534">
              <w:t>Oktober 2022</w:t>
            </w:r>
          </w:p>
        </w:tc>
        <w:tc>
          <w:tcPr>
            <w:tcW w:w="3127" w:type="dxa"/>
          </w:tcPr>
          <w:p w14:paraId="57EF234B" w14:textId="77777777" w:rsidR="00151956" w:rsidRPr="005F5534" w:rsidRDefault="00911C31">
            <w:pPr>
              <w:pStyle w:val="Doccode"/>
              <w:rPr>
                <w:lang w:val="de-DE"/>
              </w:rPr>
            </w:pPr>
            <w:r w:rsidRPr="005F5534">
              <w:rPr>
                <w:lang w:val="de-DE"/>
              </w:rPr>
              <w:t>CAJ/79/3</w:t>
            </w:r>
          </w:p>
          <w:p w14:paraId="0C29D701" w14:textId="5CE3C535" w:rsidR="00151956" w:rsidRPr="000460DF" w:rsidRDefault="00911C31">
            <w:pPr>
              <w:pStyle w:val="Docoriginal"/>
            </w:pPr>
            <w:r w:rsidRPr="005F5534">
              <w:t>Original</w:t>
            </w:r>
            <w:r w:rsidRPr="000460DF">
              <w:t>:</w:t>
            </w:r>
            <w:r w:rsidRPr="000460DF">
              <w:rPr>
                <w:b w:val="0"/>
                <w:spacing w:val="0"/>
              </w:rPr>
              <w:t xml:space="preserve">  </w:t>
            </w:r>
            <w:r w:rsidR="005F5534" w:rsidRPr="000460DF">
              <w:rPr>
                <w:b w:val="0"/>
                <w:spacing w:val="0"/>
              </w:rPr>
              <w:t>e</w:t>
            </w:r>
            <w:r w:rsidRPr="000460DF">
              <w:rPr>
                <w:b w:val="0"/>
                <w:spacing w:val="0"/>
              </w:rPr>
              <w:t>nglisch</w:t>
            </w:r>
          </w:p>
          <w:p w14:paraId="3C2A0446" w14:textId="4614C410" w:rsidR="00151956" w:rsidRPr="005F5534" w:rsidRDefault="00911C31" w:rsidP="000460DF">
            <w:pPr>
              <w:pStyle w:val="Docoriginal"/>
            </w:pPr>
            <w:r w:rsidRPr="000460DF">
              <w:t xml:space="preserve">Datum:  </w:t>
            </w:r>
            <w:r w:rsidR="000460DF" w:rsidRPr="000460DF">
              <w:rPr>
                <w:b w:val="0"/>
                <w:bCs w:val="0"/>
              </w:rPr>
              <w:t>17</w:t>
            </w:r>
            <w:r w:rsidR="005F5534" w:rsidRPr="000460DF">
              <w:rPr>
                <w:b w:val="0"/>
                <w:bCs w:val="0"/>
              </w:rPr>
              <w:t xml:space="preserve">. </w:t>
            </w:r>
            <w:r w:rsidR="00472F22" w:rsidRPr="000460DF">
              <w:rPr>
                <w:b w:val="0"/>
                <w:bCs w:val="0"/>
                <w:spacing w:val="0"/>
              </w:rPr>
              <w:t xml:space="preserve">Juli </w:t>
            </w:r>
            <w:r w:rsidR="004C7CD6" w:rsidRPr="000460DF">
              <w:rPr>
                <w:b w:val="0"/>
                <w:bCs w:val="0"/>
                <w:spacing w:val="0"/>
              </w:rPr>
              <w:t>2022</w:t>
            </w:r>
          </w:p>
        </w:tc>
      </w:tr>
    </w:tbl>
    <w:p w14:paraId="289ABA29" w14:textId="58F990CD" w:rsidR="00151956" w:rsidRPr="005F5534" w:rsidRDefault="002268E0">
      <w:pPr>
        <w:pStyle w:val="Titleofdoc0"/>
      </w:pPr>
      <w:r>
        <w:t xml:space="preserve">AUSARBEITUNG VON ANLEITUNG UND INFORMATIONSMATERIAL </w:t>
      </w:r>
    </w:p>
    <w:p w14:paraId="52E48592" w14:textId="2FF7F25A" w:rsidR="00151956" w:rsidRPr="005F5534" w:rsidRDefault="004F02AC">
      <w:pPr>
        <w:pStyle w:val="preparedby1"/>
        <w:jc w:val="left"/>
      </w:pPr>
      <w:r>
        <w:t>v</w:t>
      </w:r>
      <w:r w:rsidR="008D0F14" w:rsidRPr="005F5534">
        <w:t xml:space="preserve">om Verbandsbüro erstelltes </w:t>
      </w:r>
      <w:r w:rsidR="00911C31" w:rsidRPr="005F5534">
        <w:t>Dokument</w:t>
      </w:r>
    </w:p>
    <w:p w14:paraId="37CA64B1" w14:textId="77777777" w:rsidR="00F20068" w:rsidRPr="00171CB2" w:rsidRDefault="00F20068" w:rsidP="00F20068">
      <w:pPr>
        <w:pStyle w:val="Disclaimer"/>
        <w:rPr>
          <w:lang w:val="de-DE"/>
        </w:rPr>
      </w:pPr>
      <w:r w:rsidRPr="00171CB2">
        <w:rPr>
          <w:lang w:val="de-DE"/>
        </w:rPr>
        <w:t>Haftungsausschluss: dieses Dokument gibt nicht die Grundsätze oder eine Anleitung der UPOV wieder</w:t>
      </w:r>
    </w:p>
    <w:p w14:paraId="236D5AC7" w14:textId="77777777" w:rsidR="00151956" w:rsidRPr="007A456F" w:rsidRDefault="00911C31" w:rsidP="000460DF">
      <w:pPr>
        <w:pStyle w:val="Heading1"/>
        <w:rPr>
          <w:lang w:val="de-DE"/>
        </w:rPr>
      </w:pPr>
      <w:bookmarkStart w:id="0" w:name="_Toc109767702"/>
      <w:r w:rsidRPr="007A456F">
        <w:rPr>
          <w:lang w:val="de-DE"/>
        </w:rPr>
        <w:t>ZUSAMMENFASSUNG</w:t>
      </w:r>
      <w:bookmarkEnd w:id="0"/>
      <w:r w:rsidRPr="007A456F">
        <w:rPr>
          <w:lang w:val="de-DE"/>
        </w:rPr>
        <w:t xml:space="preserve"> </w:t>
      </w:r>
    </w:p>
    <w:p w14:paraId="35404110" w14:textId="77777777" w:rsidR="004C7CD6" w:rsidRPr="000104FD" w:rsidRDefault="004C7CD6" w:rsidP="008D0F14">
      <w:bookmarkStart w:id="1" w:name="_GoBack"/>
      <w:bookmarkEnd w:id="1"/>
    </w:p>
    <w:p w14:paraId="7D0CC233" w14:textId="4A58CC14" w:rsidR="00151956" w:rsidRPr="000104FD" w:rsidRDefault="00911C31" w:rsidP="000460DF">
      <w:r w:rsidRPr="000104FD">
        <w:fldChar w:fldCharType="begin"/>
      </w:r>
      <w:r w:rsidRPr="000104FD">
        <w:instrText xml:space="preserve"> AUTONUM  </w:instrText>
      </w:r>
      <w:r w:rsidRPr="000104FD">
        <w:fldChar w:fldCharType="end"/>
      </w:r>
      <w:r w:rsidRPr="000104FD">
        <w:tab/>
      </w:r>
      <w:r w:rsidR="00EA0BB6" w:rsidRPr="000104FD">
        <w:rPr>
          <w:snapToGrid w:val="0"/>
        </w:rPr>
        <w:t xml:space="preserve">Zweck des vorliegenden Dokuments ist es, über die Entwicklungen betreffend Anleitung und Informationsmaterial zu berichten </w:t>
      </w:r>
      <w:r w:rsidR="004C7CD6" w:rsidRPr="000104FD">
        <w:t>und dem Verwaltungs- und Rechtsausschu</w:t>
      </w:r>
      <w:r w:rsidR="00EA0BB6" w:rsidRPr="000104FD">
        <w:t>ss</w:t>
      </w:r>
      <w:r w:rsidR="004C7CD6" w:rsidRPr="000104FD">
        <w:t xml:space="preserve"> (CAJ) Vorschläge zur Prüfung </w:t>
      </w:r>
      <w:r w:rsidR="00FB0D5D" w:rsidRPr="000104FD">
        <w:t>vor</w:t>
      </w:r>
      <w:r w:rsidR="004C7CD6" w:rsidRPr="000104FD">
        <w:t xml:space="preserve">zulegen. </w:t>
      </w:r>
    </w:p>
    <w:p w14:paraId="6D8311FD" w14:textId="77777777" w:rsidR="004C7CD6" w:rsidRPr="000104FD" w:rsidRDefault="004C7CD6" w:rsidP="000460DF"/>
    <w:p w14:paraId="585613AA" w14:textId="64EBF423" w:rsidR="00151956" w:rsidRPr="000104FD" w:rsidRDefault="00911C31" w:rsidP="000460DF">
      <w:r w:rsidRPr="000104FD">
        <w:fldChar w:fldCharType="begin"/>
      </w:r>
      <w:r w:rsidRPr="000104FD">
        <w:instrText xml:space="preserve"> AUTONUM  </w:instrText>
      </w:r>
      <w:r w:rsidRPr="000104FD">
        <w:fldChar w:fldCharType="end"/>
      </w:r>
      <w:r w:rsidRPr="000104FD">
        <w:tab/>
      </w:r>
      <w:r w:rsidR="004C7CD6" w:rsidRPr="000104FD">
        <w:t xml:space="preserve">Der CAJ wird </w:t>
      </w:r>
      <w:r w:rsidR="00FB0D5D" w:rsidRPr="000104FD">
        <w:t>ersucht</w:t>
      </w:r>
      <w:r w:rsidR="004C7CD6" w:rsidRPr="000104FD">
        <w:t>:</w:t>
      </w:r>
    </w:p>
    <w:p w14:paraId="793D4B3A" w14:textId="77777777" w:rsidR="004C7CD6" w:rsidRPr="000104FD" w:rsidRDefault="004C7CD6" w:rsidP="000460DF"/>
    <w:p w14:paraId="3F7BF48B" w14:textId="62EEC639" w:rsidR="00151956" w:rsidRPr="000104FD" w:rsidRDefault="00911C31" w:rsidP="000460DF">
      <w:r w:rsidRPr="000104FD">
        <w:tab/>
        <w:t xml:space="preserve">a) </w:t>
      </w:r>
      <w:r w:rsidRPr="000104FD">
        <w:tab/>
      </w:r>
      <w:r w:rsidR="00E8275F" w:rsidRPr="000104FD">
        <w:t>die vorgeschlagene Überarbeitung von Dokument UPOV/INF/16 „Austauschbare Software“ auf der Grundlage von Dokument UPOV/INF/16/11 Draft 1</w:t>
      </w:r>
      <w:r w:rsidRPr="000104FD">
        <w:t xml:space="preserve"> zu billigen;</w:t>
      </w:r>
    </w:p>
    <w:p w14:paraId="116157BC" w14:textId="77777777" w:rsidR="0077169A" w:rsidRPr="000104FD" w:rsidRDefault="0077169A" w:rsidP="000460DF"/>
    <w:p w14:paraId="5E6F759A" w14:textId="753D6E94" w:rsidR="00151956" w:rsidRPr="000104FD" w:rsidRDefault="00911C31" w:rsidP="000460DF">
      <w:r w:rsidRPr="000104FD">
        <w:tab/>
        <w:t>b)</w:t>
      </w:r>
      <w:r w:rsidRPr="000104FD">
        <w:tab/>
      </w:r>
      <w:r w:rsidR="00C434B0" w:rsidRPr="000104FD">
        <w:t xml:space="preserve">zur Kenntnis zu nehmen, dass </w:t>
      </w:r>
      <w:r w:rsidR="009E3B0A" w:rsidRPr="000104FD">
        <w:t xml:space="preserve">dem Rat im Jahr 2022 </w:t>
      </w:r>
      <w:r w:rsidR="008E0111" w:rsidRPr="000104FD">
        <w:t xml:space="preserve">vorbehaltlich der Zustimmung des TC und des CAJ </w:t>
      </w:r>
      <w:r w:rsidR="00C434B0" w:rsidRPr="000104FD">
        <w:t>ein vereinbarter Entwurf des Dokuments UPOV/INF/16 zur Annahme vorgelegt werden wird;</w:t>
      </w:r>
    </w:p>
    <w:p w14:paraId="74FF7886" w14:textId="77777777" w:rsidR="0077169A" w:rsidRPr="000104FD" w:rsidRDefault="0077169A" w:rsidP="000460DF"/>
    <w:p w14:paraId="07BF95E2" w14:textId="7E6759D1" w:rsidR="00151956" w:rsidRPr="000104FD" w:rsidRDefault="00911C31" w:rsidP="000460DF">
      <w:r w:rsidRPr="000104FD">
        <w:tab/>
        <w:t xml:space="preserve">c) </w:t>
      </w:r>
      <w:r w:rsidRPr="000104FD">
        <w:tab/>
      </w:r>
      <w:r w:rsidR="00D12980" w:rsidRPr="000104FD">
        <w:t xml:space="preserve">die vorgeschlagene Überarbeitung von Dokument UPOV/INF/22 „Von Verbandsmitgliedern verwendete Software und Ausrüstung“ auf der Grundlage von Dokument UPOV/INF/22/9 Draft 1 </w:t>
      </w:r>
      <w:r w:rsidRPr="000104FD">
        <w:t>zu billigen;</w:t>
      </w:r>
    </w:p>
    <w:p w14:paraId="5BE5B37A" w14:textId="77777777" w:rsidR="0077169A" w:rsidRPr="000104FD" w:rsidRDefault="0077169A" w:rsidP="000460DF"/>
    <w:p w14:paraId="162327E3" w14:textId="4AA54790" w:rsidR="00151956" w:rsidRPr="000104FD" w:rsidRDefault="00911C31" w:rsidP="000460DF">
      <w:r w:rsidRPr="000104FD">
        <w:tab/>
        <w:t>d)</w:t>
      </w:r>
      <w:r w:rsidRPr="000104FD">
        <w:tab/>
      </w:r>
      <w:r w:rsidR="00A43E3B" w:rsidRPr="000104FD">
        <w:t xml:space="preserve">zur Kenntnis zu nehmen, dass dem Rat im Jahr 2022 </w:t>
      </w:r>
      <w:r w:rsidR="008E0111" w:rsidRPr="000104FD">
        <w:t>vorbehaltlich der Zustimmung</w:t>
      </w:r>
      <w:r w:rsidR="00873BD3" w:rsidRPr="000104FD">
        <w:t xml:space="preserve"> des TC und</w:t>
      </w:r>
      <w:r w:rsidR="008E0111" w:rsidRPr="000104FD">
        <w:t xml:space="preserve"> des CAJ </w:t>
      </w:r>
      <w:r w:rsidR="00A43E3B" w:rsidRPr="000104FD">
        <w:t>ein vereinbarter Entwurf des Dokuments UPOV/INF/22 zur Annahme vorgelegt werden wird</w:t>
      </w:r>
      <w:r w:rsidRPr="000104FD">
        <w:t>;</w:t>
      </w:r>
    </w:p>
    <w:p w14:paraId="5DBDFDC3" w14:textId="77777777" w:rsidR="00AE4AD4" w:rsidRPr="000104FD" w:rsidRDefault="00AE4AD4" w:rsidP="000460DF"/>
    <w:p w14:paraId="5CBD1AEC" w14:textId="52775CAE" w:rsidR="00151956" w:rsidRPr="000104FD" w:rsidRDefault="00911C31" w:rsidP="000460DF">
      <w:pPr>
        <w:ind w:firstLine="567"/>
      </w:pPr>
      <w:r w:rsidRPr="000104FD">
        <w:rPr>
          <w:lang w:eastAsia="zh-CN"/>
        </w:rPr>
        <w:t>e)</w:t>
      </w:r>
      <w:r w:rsidRPr="000104FD">
        <w:rPr>
          <w:lang w:eastAsia="zh-CN"/>
        </w:rPr>
        <w:tab/>
        <w:t xml:space="preserve">die vorgeschlagene </w:t>
      </w:r>
      <w:r w:rsidR="00612735" w:rsidRPr="000104FD">
        <w:rPr>
          <w:lang w:eastAsia="zh-CN"/>
        </w:rPr>
        <w:t>Überarbeitung von Dokument</w:t>
      </w:r>
      <w:r w:rsidRPr="000104FD">
        <w:rPr>
          <w:lang w:eastAsia="zh-CN"/>
        </w:rPr>
        <w:t xml:space="preserve"> </w:t>
      </w:r>
      <w:r w:rsidRPr="000104FD">
        <w:t xml:space="preserve">UPOV/EXN/DEN </w:t>
      </w:r>
      <w:r w:rsidR="00D33576" w:rsidRPr="000104FD">
        <w:t>„</w:t>
      </w:r>
      <w:r w:rsidRPr="000104FD">
        <w:t>Erläuterungen zu Sortenbezeichnungen nach dem UPOV-Übereinkommen</w:t>
      </w:r>
      <w:r w:rsidR="00D33576" w:rsidRPr="000104FD">
        <w:t>“</w:t>
      </w:r>
      <w:r w:rsidRPr="000104FD">
        <w:t xml:space="preserve"> </w:t>
      </w:r>
      <w:r w:rsidRPr="000104FD">
        <w:rPr>
          <w:lang w:eastAsia="zh-CN"/>
        </w:rPr>
        <w:t xml:space="preserve">auf der Grundlage der in Anlage I dieses Dokuments </w:t>
      </w:r>
      <w:r w:rsidR="007B2376" w:rsidRPr="000104FD">
        <w:rPr>
          <w:lang w:eastAsia="zh-CN"/>
        </w:rPr>
        <w:t>dargelegten</w:t>
      </w:r>
      <w:r w:rsidRPr="000104FD">
        <w:rPr>
          <w:lang w:eastAsia="zh-CN"/>
        </w:rPr>
        <w:t xml:space="preserve"> Änderungsvorschläge</w:t>
      </w:r>
      <w:r w:rsidR="00203852" w:rsidRPr="000104FD">
        <w:rPr>
          <w:lang w:eastAsia="zh-CN"/>
        </w:rPr>
        <w:t xml:space="preserve">, vorbehaltlich der Zustimmung </w:t>
      </w:r>
      <w:r w:rsidR="00203852" w:rsidRPr="000104FD">
        <w:t>des TC und des CAJ</w:t>
      </w:r>
      <w:r w:rsidR="00FA6880" w:rsidRPr="000104FD">
        <w:t xml:space="preserve">, </w:t>
      </w:r>
      <w:r w:rsidR="00FA6880" w:rsidRPr="000104FD">
        <w:rPr>
          <w:lang w:eastAsia="zh-CN"/>
        </w:rPr>
        <w:t>zu billigen</w:t>
      </w:r>
      <w:r w:rsidRPr="000104FD">
        <w:t>;</w:t>
      </w:r>
    </w:p>
    <w:p w14:paraId="4236BA8D" w14:textId="6A5A6878" w:rsidR="002843B4" w:rsidRPr="000104FD" w:rsidRDefault="002843B4" w:rsidP="000460DF"/>
    <w:p w14:paraId="489F9AB3" w14:textId="61A3F222" w:rsidR="00151956" w:rsidRPr="000104FD" w:rsidRDefault="000460DF" w:rsidP="000460DF">
      <w:pPr>
        <w:ind w:firstLine="567"/>
      </w:pPr>
      <w:r>
        <w:t>f</w:t>
      </w:r>
      <w:r w:rsidR="00911C31" w:rsidRPr="000104FD">
        <w:t xml:space="preserve">) </w:t>
      </w:r>
      <w:r w:rsidR="00911C31" w:rsidRPr="000104FD">
        <w:tab/>
      </w:r>
      <w:r w:rsidR="003D0646" w:rsidRPr="000104FD">
        <w:t xml:space="preserve">zur Kenntnis zu nehmen, dass </w:t>
      </w:r>
      <w:r w:rsidR="006355AC" w:rsidRPr="000104FD">
        <w:t xml:space="preserve">dem Rat im Jahr 2022 </w:t>
      </w:r>
      <w:r w:rsidR="00203852" w:rsidRPr="000104FD">
        <w:t xml:space="preserve">vorbehaltlich der Zustimmung des CAJ </w:t>
      </w:r>
      <w:r w:rsidR="00911C31" w:rsidRPr="000104FD">
        <w:t xml:space="preserve">die vorgeschlagene </w:t>
      </w:r>
      <w:r w:rsidR="00612735" w:rsidRPr="000104FD">
        <w:t>Überarbeitung von Dokument</w:t>
      </w:r>
      <w:r w:rsidR="00911C31" w:rsidRPr="000104FD">
        <w:t xml:space="preserve"> UPOV/EXN/DEN/</w:t>
      </w:r>
      <w:r w:rsidR="00FA6880" w:rsidRPr="000104FD">
        <w:t>1, in Anlage I dieses Dokuments, zur</w:t>
      </w:r>
      <w:r w:rsidR="00911C31" w:rsidRPr="000104FD">
        <w:t xml:space="preserve"> </w:t>
      </w:r>
      <w:r w:rsidR="006105AC" w:rsidRPr="000104FD">
        <w:t>Annahme</w:t>
      </w:r>
      <w:r w:rsidR="00911C31" w:rsidRPr="000104FD">
        <w:t xml:space="preserve"> vorgelegt werden</w:t>
      </w:r>
      <w:r w:rsidR="003D0646" w:rsidRPr="000104FD">
        <w:t xml:space="preserve"> wird</w:t>
      </w:r>
      <w:r w:rsidR="006105AC" w:rsidRPr="000104FD">
        <w:t>;</w:t>
      </w:r>
    </w:p>
    <w:p w14:paraId="2DFE98F3" w14:textId="77777777" w:rsidR="002843B4" w:rsidRPr="000104FD" w:rsidRDefault="002843B4" w:rsidP="000460DF"/>
    <w:p w14:paraId="1B3E668A" w14:textId="5BB457CD" w:rsidR="00151956" w:rsidRPr="000104FD" w:rsidRDefault="000460DF" w:rsidP="000460DF">
      <w:pPr>
        <w:ind w:firstLine="567"/>
      </w:pPr>
      <w:r>
        <w:t>g</w:t>
      </w:r>
      <w:r w:rsidR="00911C31" w:rsidRPr="000104FD">
        <w:t xml:space="preserve">) </w:t>
      </w:r>
      <w:r w:rsidR="00911C31" w:rsidRPr="000104FD">
        <w:tab/>
        <w:t>zur Kenntnis zu nehmen, da</w:t>
      </w:r>
      <w:r w:rsidR="00D949DB" w:rsidRPr="000104FD">
        <w:t>ss</w:t>
      </w:r>
      <w:r w:rsidR="00911C31" w:rsidRPr="000104FD">
        <w:t xml:space="preserve"> Angelegenheiten </w:t>
      </w:r>
      <w:r w:rsidR="00472F22" w:rsidRPr="000104FD">
        <w:t xml:space="preserve">betreffend die Ausarbeitung von </w:t>
      </w:r>
      <w:r w:rsidR="00186D12" w:rsidRPr="000104FD">
        <w:t>„</w:t>
      </w:r>
      <w:r w:rsidR="001E5747" w:rsidRPr="000104FD">
        <w:t xml:space="preserve">Erläuterungen zur Prüfung des Antrags nach dem </w:t>
      </w:r>
      <w:r w:rsidR="00FA6880" w:rsidRPr="000104FD">
        <w:t>UPOV-Übereinkommen</w:t>
      </w:r>
      <w:r w:rsidR="00186D12" w:rsidRPr="000104FD">
        <w:t>“</w:t>
      </w:r>
      <w:r w:rsidR="00472F22" w:rsidRPr="000104FD">
        <w:t xml:space="preserve"> </w:t>
      </w:r>
      <w:r w:rsidR="00002D93" w:rsidRPr="000104FD">
        <w:t xml:space="preserve">in Dokument CAJ/79/7 </w:t>
      </w:r>
      <w:r w:rsidR="00186D12" w:rsidRPr="000104FD">
        <w:t>„</w:t>
      </w:r>
      <w:r w:rsidR="00243666" w:rsidRPr="000104FD">
        <w:t>Maßnahmen zur Verbesserung der Zusammenarbeit bei der Prüfung</w:t>
      </w:r>
      <w:r w:rsidR="00186D12" w:rsidRPr="000104FD">
        <w:t>“</w:t>
      </w:r>
      <w:r w:rsidR="006105AC" w:rsidRPr="000104FD">
        <w:t xml:space="preserve"> </w:t>
      </w:r>
      <w:r w:rsidR="00002D93" w:rsidRPr="000104FD">
        <w:t>geprüft werden</w:t>
      </w:r>
      <w:r w:rsidR="006105AC" w:rsidRPr="000104FD">
        <w:t>;</w:t>
      </w:r>
    </w:p>
    <w:p w14:paraId="43F081D1" w14:textId="77777777" w:rsidR="00F82B40" w:rsidRPr="000104FD" w:rsidRDefault="00F82B40" w:rsidP="000460DF"/>
    <w:p w14:paraId="7CB105EA" w14:textId="7EF92CE7" w:rsidR="00151956" w:rsidRPr="000104FD" w:rsidRDefault="000460DF" w:rsidP="000460DF">
      <w:pPr>
        <w:ind w:firstLine="567"/>
      </w:pPr>
      <w:r>
        <w:t>h</w:t>
      </w:r>
      <w:r w:rsidR="00911C31" w:rsidRPr="000104FD">
        <w:t>)</w:t>
      </w:r>
      <w:r w:rsidR="00911C31" w:rsidRPr="000104FD">
        <w:tab/>
      </w:r>
      <w:r w:rsidR="006105AC" w:rsidRPr="000104FD">
        <w:rPr>
          <w:lang w:eastAsia="zh-CN"/>
        </w:rPr>
        <w:t xml:space="preserve">die vorgeschlagene </w:t>
      </w:r>
      <w:r w:rsidR="00612735" w:rsidRPr="000104FD">
        <w:rPr>
          <w:lang w:eastAsia="zh-CN"/>
        </w:rPr>
        <w:t>Überarbeitung von Dokument</w:t>
      </w:r>
      <w:r w:rsidR="006105AC" w:rsidRPr="000104FD">
        <w:rPr>
          <w:lang w:eastAsia="zh-CN"/>
        </w:rPr>
        <w:t xml:space="preserve"> TGP/5 </w:t>
      </w:r>
      <w:r w:rsidR="00220E41" w:rsidRPr="000104FD">
        <w:rPr>
          <w:lang w:eastAsia="zh-CN"/>
        </w:rPr>
        <w:t>„</w:t>
      </w:r>
      <w:r w:rsidR="006105AC" w:rsidRPr="000104FD">
        <w:rPr>
          <w:lang w:eastAsia="zh-CN"/>
        </w:rPr>
        <w:t>Erfahrung und Zusammenarbeit bei der DUS-Prüfung</w:t>
      </w:r>
      <w:r w:rsidR="00220E41" w:rsidRPr="000104FD">
        <w:rPr>
          <w:lang w:eastAsia="zh-CN"/>
        </w:rPr>
        <w:t>“</w:t>
      </w:r>
      <w:r w:rsidR="006105AC" w:rsidRPr="000104FD">
        <w:rPr>
          <w:lang w:eastAsia="zh-CN"/>
        </w:rPr>
        <w:t xml:space="preserve">, Abschnitt 6/3 </w:t>
      </w:r>
      <w:r w:rsidR="00220E41" w:rsidRPr="000104FD">
        <w:rPr>
          <w:lang w:eastAsia="zh-CN"/>
        </w:rPr>
        <w:t>„</w:t>
      </w:r>
      <w:r w:rsidR="006105AC" w:rsidRPr="000104FD">
        <w:rPr>
          <w:lang w:eastAsia="zh-CN"/>
        </w:rPr>
        <w:t>UPOV-Bericht über die technische Prüfung und UPOV-Sortenbeschreibung</w:t>
      </w:r>
      <w:r w:rsidR="00220E41" w:rsidRPr="000104FD">
        <w:rPr>
          <w:lang w:eastAsia="zh-CN"/>
        </w:rPr>
        <w:t>“</w:t>
      </w:r>
      <w:r w:rsidR="006105AC" w:rsidRPr="000104FD">
        <w:rPr>
          <w:lang w:eastAsia="zh-CN"/>
        </w:rPr>
        <w:t xml:space="preserve"> </w:t>
      </w:r>
      <w:r w:rsidR="004141DE" w:rsidRPr="000104FD">
        <w:rPr>
          <w:lang w:eastAsia="zh-CN"/>
        </w:rPr>
        <w:t>auf der Grundlage</w:t>
      </w:r>
      <w:r w:rsidR="006105AC" w:rsidRPr="000104FD">
        <w:rPr>
          <w:lang w:eastAsia="zh-CN"/>
        </w:rPr>
        <w:t xml:space="preserve"> </w:t>
      </w:r>
      <w:r w:rsidR="00BD54D9" w:rsidRPr="000104FD">
        <w:rPr>
          <w:lang w:eastAsia="zh-CN"/>
        </w:rPr>
        <w:t>von</w:t>
      </w:r>
      <w:r w:rsidR="006105AC" w:rsidRPr="000104FD">
        <w:rPr>
          <w:lang w:eastAsia="zh-CN"/>
        </w:rPr>
        <w:t xml:space="preserve"> Dokument TGP/5: Abschnitt 6/4 Draft 1 zu billigen;</w:t>
      </w:r>
    </w:p>
    <w:p w14:paraId="2E3CDDCA" w14:textId="77777777" w:rsidR="00F82B40" w:rsidRPr="000104FD" w:rsidRDefault="00F82B40" w:rsidP="000460DF">
      <w:pPr>
        <w:rPr>
          <w:lang w:eastAsia="zh-CN"/>
        </w:rPr>
      </w:pPr>
    </w:p>
    <w:p w14:paraId="70156AEB" w14:textId="09951621" w:rsidR="00151956" w:rsidRPr="000104FD" w:rsidRDefault="000460DF" w:rsidP="000460DF">
      <w:pPr>
        <w:ind w:firstLine="567"/>
        <w:rPr>
          <w:lang w:eastAsia="zh-CN"/>
        </w:rPr>
      </w:pPr>
      <w:r>
        <w:rPr>
          <w:lang w:eastAsia="zh-CN"/>
        </w:rPr>
        <w:t>i</w:t>
      </w:r>
      <w:r w:rsidR="00911C31" w:rsidRPr="000104FD">
        <w:rPr>
          <w:lang w:eastAsia="zh-CN"/>
        </w:rPr>
        <w:t>)</w:t>
      </w:r>
      <w:r w:rsidR="00911C31" w:rsidRPr="000104FD">
        <w:rPr>
          <w:lang w:eastAsia="zh-CN"/>
        </w:rPr>
        <w:tab/>
      </w:r>
      <w:r w:rsidR="00C57F09" w:rsidRPr="000104FD">
        <w:t xml:space="preserve">zur Kenntnis zu nehmen, dass dem Rat im Jahr 2022 </w:t>
      </w:r>
      <w:r w:rsidR="0035228F" w:rsidRPr="000104FD">
        <w:t xml:space="preserve">vorbehaltlich der Zustimmung des CAJ </w:t>
      </w:r>
      <w:r w:rsidR="00C57F09" w:rsidRPr="000104FD">
        <w:t>ein vereinbarter Entwurf des Dokuments TGP/5: Abschnitt 6 zur Annahme vorgelegt werden wird</w:t>
      </w:r>
      <w:r w:rsidR="00911C31" w:rsidRPr="000104FD">
        <w:rPr>
          <w:lang w:eastAsia="zh-CN"/>
        </w:rPr>
        <w:t>;</w:t>
      </w:r>
    </w:p>
    <w:p w14:paraId="00B39FBA" w14:textId="77777777" w:rsidR="006105AC" w:rsidRPr="000104FD" w:rsidRDefault="006105AC" w:rsidP="000460DF">
      <w:pPr>
        <w:rPr>
          <w:lang w:eastAsia="zh-CN"/>
        </w:rPr>
      </w:pPr>
    </w:p>
    <w:p w14:paraId="06035AD8" w14:textId="131D9DB4" w:rsidR="00151956" w:rsidRPr="000104FD" w:rsidRDefault="00911C31" w:rsidP="000460DF">
      <w:r w:rsidRPr="000104FD">
        <w:rPr>
          <w:lang w:eastAsia="zh-CN"/>
        </w:rPr>
        <w:tab/>
      </w:r>
      <w:r w:rsidR="000460DF">
        <w:rPr>
          <w:lang w:eastAsia="zh-CN"/>
        </w:rPr>
        <w:t>j</w:t>
      </w:r>
      <w:r w:rsidR="006105AC" w:rsidRPr="000104FD">
        <w:rPr>
          <w:lang w:eastAsia="zh-CN"/>
        </w:rPr>
        <w:t>)</w:t>
      </w:r>
      <w:r w:rsidR="006105AC" w:rsidRPr="000104FD">
        <w:rPr>
          <w:lang w:eastAsia="zh-CN"/>
        </w:rPr>
        <w:tab/>
      </w:r>
      <w:r w:rsidR="006105AC" w:rsidRPr="000104FD">
        <w:t xml:space="preserve">die vorgeschlagene </w:t>
      </w:r>
      <w:r w:rsidR="00612735" w:rsidRPr="000104FD">
        <w:t>Überarbeitung von Dokument</w:t>
      </w:r>
      <w:r w:rsidR="006105AC" w:rsidRPr="000104FD">
        <w:t xml:space="preserve"> TGP/8/4 </w:t>
      </w:r>
      <w:r w:rsidR="00D12B4B" w:rsidRPr="000104FD">
        <w:t>„</w:t>
      </w:r>
      <w:r w:rsidR="006105AC" w:rsidRPr="000104FD">
        <w:t>Prüfungsanlage und Verfahren für die Prüfung der Unterscheidbarkeit, der Homogenität und der Beständigkeit</w:t>
      </w:r>
      <w:r w:rsidR="00D12B4B" w:rsidRPr="000104FD">
        <w:t>“</w:t>
      </w:r>
      <w:r w:rsidR="006105AC" w:rsidRPr="000104FD">
        <w:t xml:space="preserve">, wie in Anlage II dieses Dokuments dargelegt, zu billigen; </w:t>
      </w:r>
    </w:p>
    <w:p w14:paraId="49C0D3C1" w14:textId="77777777" w:rsidR="00F82B40" w:rsidRPr="000104FD" w:rsidRDefault="00F82B40" w:rsidP="000460DF"/>
    <w:p w14:paraId="5DEE7AA3" w14:textId="77777777" w:rsidR="000460DF" w:rsidRDefault="000460DF" w:rsidP="000460DF">
      <w:pPr>
        <w:ind w:firstLine="567"/>
      </w:pPr>
    </w:p>
    <w:p w14:paraId="5A16D5DB" w14:textId="77777777" w:rsidR="000460DF" w:rsidRDefault="000460DF" w:rsidP="000460DF">
      <w:pPr>
        <w:ind w:firstLine="567"/>
      </w:pPr>
    </w:p>
    <w:p w14:paraId="4551AA92" w14:textId="5C707DA6" w:rsidR="000460DF" w:rsidRDefault="000460DF" w:rsidP="000460DF">
      <w:pPr>
        <w:ind w:firstLine="567"/>
        <w:jc w:val="center"/>
      </w:pPr>
      <w:r>
        <w:lastRenderedPageBreak/>
        <w:t>CAJ/79/3</w:t>
      </w:r>
    </w:p>
    <w:p w14:paraId="629122FE" w14:textId="4949C6C9" w:rsidR="000460DF" w:rsidRDefault="000460DF" w:rsidP="000460DF">
      <w:pPr>
        <w:ind w:firstLine="567"/>
        <w:jc w:val="center"/>
      </w:pPr>
      <w:r>
        <w:t>page 2</w:t>
      </w:r>
    </w:p>
    <w:p w14:paraId="2B679CA7" w14:textId="77777777" w:rsidR="000460DF" w:rsidRDefault="000460DF" w:rsidP="000460DF">
      <w:pPr>
        <w:ind w:firstLine="567"/>
      </w:pPr>
    </w:p>
    <w:p w14:paraId="05887CCD" w14:textId="39171371" w:rsidR="00151956" w:rsidRPr="000104FD" w:rsidRDefault="000460DF" w:rsidP="000460DF">
      <w:pPr>
        <w:ind w:firstLine="567"/>
      </w:pPr>
      <w:r>
        <w:t>k</w:t>
      </w:r>
      <w:r w:rsidR="00911C31" w:rsidRPr="000104FD">
        <w:t>)</w:t>
      </w:r>
      <w:r w:rsidR="00911C31" w:rsidRPr="000104FD">
        <w:tab/>
      </w:r>
      <w:r w:rsidR="00997ED1" w:rsidRPr="000104FD">
        <w:t xml:space="preserve">zur Kenntnis zu nehmen, dass dem Rat im Jahr 2022 </w:t>
      </w:r>
      <w:r w:rsidR="0035228F" w:rsidRPr="000104FD">
        <w:t xml:space="preserve">vorbehaltlich der Zustimmung des CAJ </w:t>
      </w:r>
      <w:r w:rsidR="00911C31" w:rsidRPr="000104FD">
        <w:t xml:space="preserve">die vorgeschlagene </w:t>
      </w:r>
      <w:r w:rsidR="00612735" w:rsidRPr="000104FD">
        <w:t>Überarbeitung von Dokument</w:t>
      </w:r>
      <w:r w:rsidR="00911C31" w:rsidRPr="000104FD">
        <w:t xml:space="preserve"> TGP/8/</w:t>
      </w:r>
      <w:r w:rsidR="00FA6880" w:rsidRPr="000104FD">
        <w:t>4, in Anlage II dieses Dokuments, v</w:t>
      </w:r>
      <w:r w:rsidR="00911C31" w:rsidRPr="000104FD">
        <w:t xml:space="preserve">orgelegt werden </w:t>
      </w:r>
      <w:r w:rsidR="00997ED1" w:rsidRPr="000104FD">
        <w:t>wird</w:t>
      </w:r>
      <w:r w:rsidR="00911C31" w:rsidRPr="000104FD">
        <w:t>;</w:t>
      </w:r>
    </w:p>
    <w:p w14:paraId="602864FD" w14:textId="77777777" w:rsidR="006105AC" w:rsidRPr="000104FD" w:rsidRDefault="006105AC" w:rsidP="000460DF"/>
    <w:p w14:paraId="08B737AC" w14:textId="7B00A1BE" w:rsidR="00151956" w:rsidRPr="000104FD" w:rsidRDefault="00911C31" w:rsidP="000460DF">
      <w:r w:rsidRPr="000104FD">
        <w:tab/>
      </w:r>
      <w:r w:rsidR="000460DF">
        <w:t>l</w:t>
      </w:r>
      <w:r w:rsidR="006105AC" w:rsidRPr="000104FD">
        <w:t xml:space="preserve">) </w:t>
      </w:r>
      <w:r w:rsidR="006105AC" w:rsidRPr="000104FD">
        <w:tab/>
        <w:t xml:space="preserve">die vorgeschlagene </w:t>
      </w:r>
      <w:r w:rsidR="00612735" w:rsidRPr="000104FD">
        <w:t>Überarbeitung von Dokument</w:t>
      </w:r>
      <w:r w:rsidR="006105AC" w:rsidRPr="000104FD">
        <w:t xml:space="preserve"> TGP/12/2 </w:t>
      </w:r>
      <w:r w:rsidR="0062341F" w:rsidRPr="000104FD">
        <w:t>„</w:t>
      </w:r>
      <w:r w:rsidR="006105AC" w:rsidRPr="000104FD">
        <w:t>Anleitung zu bestimmten physiologischen Merkmalen</w:t>
      </w:r>
      <w:r w:rsidR="0062341F" w:rsidRPr="000104FD">
        <w:t>“</w:t>
      </w:r>
      <w:r w:rsidR="006105AC" w:rsidRPr="000104FD">
        <w:t xml:space="preserve">, wie </w:t>
      </w:r>
      <w:r w:rsidRPr="000104FD">
        <w:t>in Anlage III dieses Dokuments dargelegt</w:t>
      </w:r>
      <w:r w:rsidR="006105AC" w:rsidRPr="000104FD">
        <w:t>, zu billigen</w:t>
      </w:r>
      <w:r w:rsidRPr="000104FD">
        <w:t>; und</w:t>
      </w:r>
    </w:p>
    <w:p w14:paraId="77DF7B53" w14:textId="77777777" w:rsidR="00F82B40" w:rsidRPr="000104FD" w:rsidRDefault="00F82B40" w:rsidP="000460DF"/>
    <w:p w14:paraId="48063583" w14:textId="13B8EE89" w:rsidR="00F82B40" w:rsidRPr="000104FD" w:rsidRDefault="000460DF" w:rsidP="000460DF">
      <w:pPr>
        <w:ind w:firstLine="567"/>
      </w:pPr>
      <w:r>
        <w:t>m</w:t>
      </w:r>
      <w:r w:rsidR="00911C31" w:rsidRPr="000104FD">
        <w:t>)</w:t>
      </w:r>
      <w:r w:rsidR="00911C31" w:rsidRPr="000104FD">
        <w:tab/>
      </w:r>
      <w:r w:rsidR="00004B79" w:rsidRPr="000104FD">
        <w:t>zur Kenntnis zu nehmen, dass dem Rat im Jahr 2022 vorbehaltlich der Zustimmung des CAJ die vorgeschlagene Überarbeitung von Dokument TGP/12/</w:t>
      </w:r>
      <w:r w:rsidR="00FA6880" w:rsidRPr="000104FD">
        <w:t>2, in Anlage III dieses Dokuments, z</w:t>
      </w:r>
      <w:r w:rsidR="003472D9" w:rsidRPr="000104FD">
        <w:t>ur Annahme vorgelegt werden wird</w:t>
      </w:r>
      <w:r w:rsidR="00911C31" w:rsidRPr="000104FD">
        <w:t>.</w:t>
      </w:r>
    </w:p>
    <w:p w14:paraId="313FB1CA" w14:textId="77777777" w:rsidR="0077169A" w:rsidRPr="000104FD" w:rsidRDefault="0077169A" w:rsidP="0077169A"/>
    <w:p w14:paraId="73946BFF" w14:textId="77777777" w:rsidR="00151956" w:rsidRPr="000104FD" w:rsidRDefault="00911C31">
      <w:pPr>
        <w:keepNext/>
      </w:pPr>
      <w:r w:rsidRPr="000104FD">
        <w:fldChar w:fldCharType="begin"/>
      </w:r>
      <w:r w:rsidRPr="000104FD">
        <w:instrText xml:space="preserve"> AUTONUM  </w:instrText>
      </w:r>
      <w:r w:rsidRPr="000104FD">
        <w:fldChar w:fldCharType="end"/>
      </w:r>
      <w:r w:rsidRPr="000104FD">
        <w:tab/>
      </w:r>
      <w:r w:rsidR="004C7CD6" w:rsidRPr="000104FD">
        <w:t>Der Aufbau dieses Dokuments ist wie folgt:</w:t>
      </w:r>
    </w:p>
    <w:p w14:paraId="1FFFF8C5" w14:textId="77777777" w:rsidR="00631871" w:rsidRPr="000104FD" w:rsidRDefault="00631871" w:rsidP="003F5CA0"/>
    <w:sdt>
      <w:sdtPr>
        <w:rPr>
          <w:caps w:val="0"/>
          <w:lang w:val="de-DE"/>
        </w:rPr>
        <w:id w:val="-561723093"/>
        <w:docPartObj>
          <w:docPartGallery w:val="Table of Contents"/>
          <w:docPartUnique/>
        </w:docPartObj>
      </w:sdtPr>
      <w:sdtEndPr>
        <w:rPr>
          <w:rStyle w:val="Hyperlink"/>
          <w:color w:val="0000FF"/>
          <w:u w:val="single"/>
        </w:rPr>
      </w:sdtEndPr>
      <w:sdtContent>
        <w:p w14:paraId="0917B80A" w14:textId="6DF80B57" w:rsidR="004D6B91" w:rsidRPr="000104FD" w:rsidRDefault="00911C31">
          <w:pPr>
            <w:pStyle w:val="TOC1"/>
            <w:rPr>
              <w:rFonts w:asciiTheme="minorHAnsi" w:eastAsiaTheme="minorEastAsia" w:hAnsiTheme="minorHAnsi" w:cstheme="minorBidi"/>
              <w:caps w:val="0"/>
              <w:noProof/>
              <w:sz w:val="24"/>
              <w:szCs w:val="24"/>
              <w:lang w:val="de-DE" w:eastAsia="de-DE"/>
            </w:rPr>
          </w:pPr>
          <w:r w:rsidRPr="000104FD">
            <w:rPr>
              <w:lang w:val="de-DE"/>
            </w:rPr>
            <w:fldChar w:fldCharType="begin"/>
          </w:r>
          <w:r w:rsidRPr="000104FD">
            <w:rPr>
              <w:lang w:val="de-DE"/>
            </w:rPr>
            <w:instrText xml:space="preserve"> TOC \o "1-3" \h \z \u </w:instrText>
          </w:r>
          <w:r w:rsidRPr="000104FD">
            <w:rPr>
              <w:lang w:val="de-DE"/>
            </w:rPr>
            <w:fldChar w:fldCharType="separate"/>
          </w:r>
          <w:hyperlink w:anchor="_Toc109767702" w:history="1">
            <w:r w:rsidR="004D6B91" w:rsidRPr="000104FD">
              <w:rPr>
                <w:rStyle w:val="Hyperlink"/>
                <w:noProof/>
                <w:lang w:val="de-DE"/>
              </w:rPr>
              <w:t>ZUSAMMENFASSUNG</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_Toc109767702 \h </w:instrText>
            </w:r>
            <w:r w:rsidR="004D6B91" w:rsidRPr="000104FD">
              <w:rPr>
                <w:noProof/>
                <w:webHidden/>
              </w:rPr>
            </w:r>
            <w:r w:rsidR="004D6B91" w:rsidRPr="000104FD">
              <w:rPr>
                <w:noProof/>
                <w:webHidden/>
              </w:rPr>
              <w:fldChar w:fldCharType="separate"/>
            </w:r>
            <w:r w:rsidR="008D5F35" w:rsidRPr="000104FD">
              <w:rPr>
                <w:noProof/>
                <w:webHidden/>
              </w:rPr>
              <w:t>1</w:t>
            </w:r>
            <w:r w:rsidR="004D6B91" w:rsidRPr="000104FD">
              <w:rPr>
                <w:noProof/>
                <w:webHidden/>
              </w:rPr>
              <w:fldChar w:fldCharType="end"/>
            </w:r>
          </w:hyperlink>
        </w:p>
        <w:p w14:paraId="6DFC0304" w14:textId="0DEB4138" w:rsidR="004D6B91" w:rsidRPr="000104FD" w:rsidRDefault="007A456F">
          <w:pPr>
            <w:pStyle w:val="TOC1"/>
            <w:rPr>
              <w:rFonts w:asciiTheme="minorHAnsi" w:eastAsiaTheme="minorEastAsia" w:hAnsiTheme="minorHAnsi" w:cstheme="minorBidi"/>
              <w:caps w:val="0"/>
              <w:noProof/>
              <w:sz w:val="24"/>
              <w:szCs w:val="24"/>
              <w:lang w:val="de-DE" w:eastAsia="de-DE"/>
            </w:rPr>
          </w:pPr>
          <w:hyperlink w:anchor="_Toc109767703" w:history="1">
            <w:r w:rsidR="004D6B91" w:rsidRPr="000104FD">
              <w:rPr>
                <w:rStyle w:val="Hyperlink"/>
                <w:noProof/>
                <w:lang w:val="de-DE"/>
              </w:rPr>
              <w:t>HINTERGRUND</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_Toc109767703 \h </w:instrText>
            </w:r>
            <w:r w:rsidR="004D6B91" w:rsidRPr="000104FD">
              <w:rPr>
                <w:noProof/>
                <w:webHidden/>
              </w:rPr>
            </w:r>
            <w:r w:rsidR="004D6B91" w:rsidRPr="000104FD">
              <w:rPr>
                <w:noProof/>
                <w:webHidden/>
              </w:rPr>
              <w:fldChar w:fldCharType="separate"/>
            </w:r>
            <w:r w:rsidR="008D5F35" w:rsidRPr="000104FD">
              <w:rPr>
                <w:noProof/>
                <w:webHidden/>
              </w:rPr>
              <w:t>2</w:t>
            </w:r>
            <w:r w:rsidR="004D6B91" w:rsidRPr="000104FD">
              <w:rPr>
                <w:noProof/>
                <w:webHidden/>
              </w:rPr>
              <w:fldChar w:fldCharType="end"/>
            </w:r>
          </w:hyperlink>
        </w:p>
        <w:p w14:paraId="780C90CF" w14:textId="2FB9050A" w:rsidR="004D6B91" w:rsidRPr="000104FD" w:rsidRDefault="007A456F">
          <w:pPr>
            <w:pStyle w:val="TOC1"/>
            <w:rPr>
              <w:rFonts w:asciiTheme="minorHAnsi" w:eastAsiaTheme="minorEastAsia" w:hAnsiTheme="minorHAnsi" w:cstheme="minorBidi"/>
              <w:caps w:val="0"/>
              <w:noProof/>
              <w:sz w:val="24"/>
              <w:szCs w:val="24"/>
              <w:lang w:val="de-DE" w:eastAsia="de-DE"/>
            </w:rPr>
          </w:pPr>
          <w:hyperlink w:anchor="_Toc109767704" w:history="1">
            <w:r w:rsidR="004D6B91" w:rsidRPr="000104FD">
              <w:rPr>
                <w:rStyle w:val="Hyperlink"/>
                <w:noProof/>
                <w:lang w:val="de-DE"/>
              </w:rPr>
              <w:t>DEM RAT IM JAHR 2022 ZUR ANNAHME VORGESCHLAGENE ANGELEGENHEITEN</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_Toc109767704 \h </w:instrText>
            </w:r>
            <w:r w:rsidR="004D6B91" w:rsidRPr="000104FD">
              <w:rPr>
                <w:noProof/>
                <w:webHidden/>
              </w:rPr>
            </w:r>
            <w:r w:rsidR="004D6B91" w:rsidRPr="000104FD">
              <w:rPr>
                <w:noProof/>
                <w:webHidden/>
              </w:rPr>
              <w:fldChar w:fldCharType="separate"/>
            </w:r>
            <w:r w:rsidR="008D5F35" w:rsidRPr="000104FD">
              <w:rPr>
                <w:noProof/>
                <w:webHidden/>
              </w:rPr>
              <w:t>3</w:t>
            </w:r>
            <w:r w:rsidR="004D6B91" w:rsidRPr="000104FD">
              <w:rPr>
                <w:noProof/>
                <w:webHidden/>
              </w:rPr>
              <w:fldChar w:fldCharType="end"/>
            </w:r>
          </w:hyperlink>
        </w:p>
        <w:p w14:paraId="151C45D2" w14:textId="5A1171B1" w:rsidR="004D6B91" w:rsidRPr="000104FD" w:rsidRDefault="007A456F">
          <w:pPr>
            <w:pStyle w:val="TOC1"/>
            <w:rPr>
              <w:rFonts w:asciiTheme="minorHAnsi" w:eastAsiaTheme="minorEastAsia" w:hAnsiTheme="minorHAnsi" w:cstheme="minorBidi"/>
              <w:caps w:val="0"/>
              <w:noProof/>
              <w:sz w:val="24"/>
              <w:szCs w:val="24"/>
              <w:lang w:val="de-DE" w:eastAsia="de-DE"/>
            </w:rPr>
          </w:pPr>
          <w:hyperlink w:anchor="_Toc109767705" w:history="1">
            <w:r w:rsidR="004D6B91" w:rsidRPr="000104FD">
              <w:rPr>
                <w:rStyle w:val="Hyperlink"/>
                <w:noProof/>
                <w:lang w:val="de-DE"/>
              </w:rPr>
              <w:t>INFORMATIONSMATERIAL</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_Toc109767705 \h </w:instrText>
            </w:r>
            <w:r w:rsidR="004D6B91" w:rsidRPr="000104FD">
              <w:rPr>
                <w:noProof/>
                <w:webHidden/>
              </w:rPr>
            </w:r>
            <w:r w:rsidR="004D6B91" w:rsidRPr="000104FD">
              <w:rPr>
                <w:noProof/>
                <w:webHidden/>
              </w:rPr>
              <w:fldChar w:fldCharType="separate"/>
            </w:r>
            <w:r w:rsidR="008D5F35" w:rsidRPr="000104FD">
              <w:rPr>
                <w:noProof/>
                <w:webHidden/>
              </w:rPr>
              <w:t>3</w:t>
            </w:r>
            <w:r w:rsidR="004D6B91" w:rsidRPr="000104FD">
              <w:rPr>
                <w:noProof/>
                <w:webHidden/>
              </w:rPr>
              <w:fldChar w:fldCharType="end"/>
            </w:r>
          </w:hyperlink>
        </w:p>
        <w:p w14:paraId="78AF3D10" w14:textId="39769BF7" w:rsidR="004D6B91" w:rsidRPr="000104FD" w:rsidRDefault="007A456F">
          <w:pPr>
            <w:pStyle w:val="TOC2"/>
            <w:rPr>
              <w:rFonts w:asciiTheme="minorHAnsi" w:eastAsiaTheme="minorEastAsia" w:hAnsiTheme="minorHAnsi" w:cstheme="minorBidi"/>
              <w:smallCaps w:val="0"/>
              <w:noProof/>
              <w:sz w:val="24"/>
              <w:szCs w:val="24"/>
              <w:lang w:val="de-DE" w:eastAsia="de-DE"/>
            </w:rPr>
          </w:pPr>
          <w:hyperlink w:anchor="_Toc109767706" w:history="1">
            <w:r w:rsidR="004D6B91" w:rsidRPr="000104FD">
              <w:rPr>
                <w:rStyle w:val="Hyperlink"/>
                <w:noProof/>
              </w:rPr>
              <w:t>Überarbeitung von Dokument UPOV/INF/16 „Austauschbare Software“ (Dokument UPOV/INF/16/11  Draft 1)</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_Toc109767706 \h </w:instrText>
            </w:r>
            <w:r w:rsidR="004D6B91" w:rsidRPr="000104FD">
              <w:rPr>
                <w:noProof/>
                <w:webHidden/>
              </w:rPr>
            </w:r>
            <w:r w:rsidR="004D6B91" w:rsidRPr="000104FD">
              <w:rPr>
                <w:noProof/>
                <w:webHidden/>
              </w:rPr>
              <w:fldChar w:fldCharType="separate"/>
            </w:r>
            <w:r w:rsidR="008D5F35" w:rsidRPr="000104FD">
              <w:rPr>
                <w:noProof/>
                <w:webHidden/>
              </w:rPr>
              <w:t>3</w:t>
            </w:r>
            <w:r w:rsidR="004D6B91" w:rsidRPr="000104FD">
              <w:rPr>
                <w:noProof/>
                <w:webHidden/>
              </w:rPr>
              <w:fldChar w:fldCharType="end"/>
            </w:r>
          </w:hyperlink>
        </w:p>
        <w:p w14:paraId="75C67C5B" w14:textId="340A6C54" w:rsidR="004D6B91" w:rsidRPr="000104FD" w:rsidRDefault="007A456F">
          <w:pPr>
            <w:pStyle w:val="TOC2"/>
            <w:rPr>
              <w:rFonts w:asciiTheme="minorHAnsi" w:eastAsiaTheme="minorEastAsia" w:hAnsiTheme="minorHAnsi" w:cstheme="minorBidi"/>
              <w:smallCaps w:val="0"/>
              <w:noProof/>
              <w:sz w:val="24"/>
              <w:szCs w:val="24"/>
              <w:lang w:val="de-DE" w:eastAsia="de-DE"/>
            </w:rPr>
          </w:pPr>
          <w:hyperlink w:anchor="_Toc109767707" w:history="1">
            <w:r w:rsidR="004D6B91" w:rsidRPr="000104FD">
              <w:rPr>
                <w:rStyle w:val="Hyperlink"/>
                <w:noProof/>
              </w:rPr>
              <w:t>Überarbeitung von Dokument UPOV/INF/22 „Von Verbandsmitgliedern verwendete Software und Ausrüstung“</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_Toc109767707 \h </w:instrText>
            </w:r>
            <w:r w:rsidR="004D6B91" w:rsidRPr="000104FD">
              <w:rPr>
                <w:noProof/>
                <w:webHidden/>
              </w:rPr>
            </w:r>
            <w:r w:rsidR="004D6B91" w:rsidRPr="000104FD">
              <w:rPr>
                <w:noProof/>
                <w:webHidden/>
              </w:rPr>
              <w:fldChar w:fldCharType="separate"/>
            </w:r>
            <w:r w:rsidR="008D5F35" w:rsidRPr="000104FD">
              <w:rPr>
                <w:noProof/>
                <w:webHidden/>
              </w:rPr>
              <w:t>3</w:t>
            </w:r>
            <w:r w:rsidR="004D6B91" w:rsidRPr="000104FD">
              <w:rPr>
                <w:noProof/>
                <w:webHidden/>
              </w:rPr>
              <w:fldChar w:fldCharType="end"/>
            </w:r>
          </w:hyperlink>
        </w:p>
        <w:p w14:paraId="5A9D9E7A" w14:textId="59846C04" w:rsidR="004D6B91" w:rsidRPr="000104FD" w:rsidRDefault="007A456F">
          <w:pPr>
            <w:pStyle w:val="TOC2"/>
            <w:rPr>
              <w:rFonts w:asciiTheme="minorHAnsi" w:eastAsiaTheme="minorEastAsia" w:hAnsiTheme="minorHAnsi" w:cstheme="minorBidi"/>
              <w:smallCaps w:val="0"/>
              <w:noProof/>
              <w:sz w:val="24"/>
              <w:szCs w:val="24"/>
              <w:lang w:val="de-DE" w:eastAsia="de-DE"/>
            </w:rPr>
          </w:pPr>
          <w:hyperlink w:anchor="_Toc109767708" w:history="1">
            <w:r w:rsidR="004D6B91" w:rsidRPr="000104FD">
              <w:rPr>
                <w:rStyle w:val="Hyperlink"/>
                <w:noProof/>
              </w:rPr>
              <w:t>(Dokument UPOV/INF/22/9 Draft 1)</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_Toc109767708 \h </w:instrText>
            </w:r>
            <w:r w:rsidR="004D6B91" w:rsidRPr="000104FD">
              <w:rPr>
                <w:noProof/>
                <w:webHidden/>
              </w:rPr>
            </w:r>
            <w:r w:rsidR="004D6B91" w:rsidRPr="000104FD">
              <w:rPr>
                <w:noProof/>
                <w:webHidden/>
              </w:rPr>
              <w:fldChar w:fldCharType="separate"/>
            </w:r>
            <w:r w:rsidR="008D5F35" w:rsidRPr="000104FD">
              <w:rPr>
                <w:noProof/>
                <w:webHidden/>
              </w:rPr>
              <w:t>3</w:t>
            </w:r>
            <w:r w:rsidR="004D6B91" w:rsidRPr="000104FD">
              <w:rPr>
                <w:noProof/>
                <w:webHidden/>
              </w:rPr>
              <w:fldChar w:fldCharType="end"/>
            </w:r>
          </w:hyperlink>
        </w:p>
        <w:p w14:paraId="6BD58C0E" w14:textId="12849699" w:rsidR="004D6B91" w:rsidRPr="000104FD" w:rsidRDefault="007A456F">
          <w:pPr>
            <w:pStyle w:val="TOC1"/>
            <w:rPr>
              <w:rFonts w:asciiTheme="minorHAnsi" w:eastAsiaTheme="minorEastAsia" w:hAnsiTheme="minorHAnsi" w:cstheme="minorBidi"/>
              <w:caps w:val="0"/>
              <w:noProof/>
              <w:sz w:val="24"/>
              <w:szCs w:val="24"/>
              <w:lang w:val="de-DE" w:eastAsia="de-DE"/>
            </w:rPr>
          </w:pPr>
          <w:hyperlink w:anchor="_Toc109767709" w:history="1">
            <w:r w:rsidR="004D6B91" w:rsidRPr="000104FD">
              <w:rPr>
                <w:rStyle w:val="Hyperlink"/>
                <w:noProof/>
                <w:lang w:val="de-DE"/>
              </w:rPr>
              <w:t>ERLÄUTERUNGEN</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_Toc109767709 \h </w:instrText>
            </w:r>
            <w:r w:rsidR="004D6B91" w:rsidRPr="000104FD">
              <w:rPr>
                <w:noProof/>
                <w:webHidden/>
              </w:rPr>
            </w:r>
            <w:r w:rsidR="004D6B91" w:rsidRPr="000104FD">
              <w:rPr>
                <w:noProof/>
                <w:webHidden/>
              </w:rPr>
              <w:fldChar w:fldCharType="separate"/>
            </w:r>
            <w:r w:rsidR="008D5F35" w:rsidRPr="000104FD">
              <w:rPr>
                <w:noProof/>
                <w:webHidden/>
              </w:rPr>
              <w:t>3</w:t>
            </w:r>
            <w:r w:rsidR="004D6B91" w:rsidRPr="000104FD">
              <w:rPr>
                <w:noProof/>
                <w:webHidden/>
              </w:rPr>
              <w:fldChar w:fldCharType="end"/>
            </w:r>
          </w:hyperlink>
        </w:p>
        <w:p w14:paraId="7A6AD7D7" w14:textId="17C133FF" w:rsidR="004D6B91" w:rsidRPr="000104FD" w:rsidRDefault="007A456F">
          <w:pPr>
            <w:pStyle w:val="TOC2"/>
            <w:rPr>
              <w:rFonts w:asciiTheme="minorHAnsi" w:eastAsiaTheme="minorEastAsia" w:hAnsiTheme="minorHAnsi" w:cstheme="minorBidi"/>
              <w:smallCaps w:val="0"/>
              <w:noProof/>
              <w:sz w:val="24"/>
              <w:szCs w:val="24"/>
              <w:lang w:val="de-DE" w:eastAsia="de-DE"/>
            </w:rPr>
          </w:pPr>
          <w:hyperlink w:anchor="_Toc109767710" w:history="1">
            <w:r w:rsidR="004D6B91" w:rsidRPr="000104FD">
              <w:rPr>
                <w:rStyle w:val="Hyperlink"/>
                <w:noProof/>
              </w:rPr>
              <w:t>Erläuterungen zu Sortenbezeichnungen nach dem UPOV-Übereinkommen (Dokument UPOV/EXN/DEN)</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_Toc109767710 \h </w:instrText>
            </w:r>
            <w:r w:rsidR="004D6B91" w:rsidRPr="000104FD">
              <w:rPr>
                <w:noProof/>
                <w:webHidden/>
              </w:rPr>
            </w:r>
            <w:r w:rsidR="004D6B91" w:rsidRPr="000104FD">
              <w:rPr>
                <w:noProof/>
                <w:webHidden/>
              </w:rPr>
              <w:fldChar w:fldCharType="separate"/>
            </w:r>
            <w:r w:rsidR="008D5F35" w:rsidRPr="000104FD">
              <w:rPr>
                <w:noProof/>
                <w:webHidden/>
              </w:rPr>
              <w:t>3</w:t>
            </w:r>
            <w:r w:rsidR="004D6B91" w:rsidRPr="000104FD">
              <w:rPr>
                <w:noProof/>
                <w:webHidden/>
              </w:rPr>
              <w:fldChar w:fldCharType="end"/>
            </w:r>
          </w:hyperlink>
        </w:p>
        <w:p w14:paraId="6FE73C87" w14:textId="0B123778" w:rsidR="004D6B91" w:rsidRPr="000104FD" w:rsidRDefault="007A456F">
          <w:pPr>
            <w:pStyle w:val="TOC2"/>
            <w:rPr>
              <w:rFonts w:asciiTheme="minorHAnsi" w:eastAsiaTheme="minorEastAsia" w:hAnsiTheme="minorHAnsi" w:cstheme="minorBidi"/>
              <w:smallCaps w:val="0"/>
              <w:noProof/>
              <w:sz w:val="24"/>
              <w:szCs w:val="24"/>
              <w:lang w:val="de-DE" w:eastAsia="de-DE"/>
            </w:rPr>
          </w:pPr>
          <w:hyperlink w:anchor="_Toc109767711" w:history="1">
            <w:r w:rsidR="004D6B91" w:rsidRPr="000104FD">
              <w:rPr>
                <w:rStyle w:val="Hyperlink"/>
                <w:noProof/>
              </w:rPr>
              <w:t xml:space="preserve">Erläuterungen </w:t>
            </w:r>
            <w:r w:rsidR="00FA6880" w:rsidRPr="000104FD">
              <w:t>zur Prüfung des Antrags nach dem UPOV-Übereinkommen</w:t>
            </w:r>
            <w:r w:rsidR="00FA6880" w:rsidRPr="000104FD">
              <w:rPr>
                <w:rStyle w:val="Hyperlink"/>
                <w:noProof/>
              </w:rPr>
              <w:t xml:space="preserve"> </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_Toc109767711 \h </w:instrText>
            </w:r>
            <w:r w:rsidR="004D6B91" w:rsidRPr="000104FD">
              <w:rPr>
                <w:noProof/>
                <w:webHidden/>
              </w:rPr>
            </w:r>
            <w:r w:rsidR="004D6B91" w:rsidRPr="000104FD">
              <w:rPr>
                <w:noProof/>
                <w:webHidden/>
              </w:rPr>
              <w:fldChar w:fldCharType="separate"/>
            </w:r>
            <w:r w:rsidR="008D5F35" w:rsidRPr="000104FD">
              <w:rPr>
                <w:noProof/>
                <w:webHidden/>
              </w:rPr>
              <w:t>4</w:t>
            </w:r>
            <w:r w:rsidR="004D6B91" w:rsidRPr="000104FD">
              <w:rPr>
                <w:noProof/>
                <w:webHidden/>
              </w:rPr>
              <w:fldChar w:fldCharType="end"/>
            </w:r>
          </w:hyperlink>
        </w:p>
        <w:p w14:paraId="1509F6C4" w14:textId="2E09FCCD" w:rsidR="004D6B91" w:rsidRPr="000104FD" w:rsidRDefault="007A456F">
          <w:pPr>
            <w:pStyle w:val="TOC1"/>
            <w:rPr>
              <w:rFonts w:asciiTheme="minorHAnsi" w:eastAsiaTheme="minorEastAsia" w:hAnsiTheme="minorHAnsi" w:cstheme="minorBidi"/>
              <w:caps w:val="0"/>
              <w:noProof/>
              <w:sz w:val="24"/>
              <w:szCs w:val="24"/>
              <w:lang w:val="de-DE" w:eastAsia="de-DE"/>
            </w:rPr>
          </w:pPr>
          <w:hyperlink w:anchor="_Toc109767712" w:history="1">
            <w:r w:rsidR="004D6B91" w:rsidRPr="000104FD">
              <w:rPr>
                <w:rStyle w:val="Hyperlink"/>
                <w:noProof/>
                <w:lang w:val="de-DE"/>
              </w:rPr>
              <w:t>TGP-DOKUMENTE</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_Toc109767712 \h </w:instrText>
            </w:r>
            <w:r w:rsidR="004D6B91" w:rsidRPr="000104FD">
              <w:rPr>
                <w:noProof/>
                <w:webHidden/>
              </w:rPr>
            </w:r>
            <w:r w:rsidR="004D6B91" w:rsidRPr="000104FD">
              <w:rPr>
                <w:noProof/>
                <w:webHidden/>
              </w:rPr>
              <w:fldChar w:fldCharType="separate"/>
            </w:r>
            <w:r w:rsidR="008D5F35" w:rsidRPr="000104FD">
              <w:rPr>
                <w:noProof/>
                <w:webHidden/>
              </w:rPr>
              <w:t>4</w:t>
            </w:r>
            <w:r w:rsidR="004D6B91" w:rsidRPr="000104FD">
              <w:rPr>
                <w:noProof/>
                <w:webHidden/>
              </w:rPr>
              <w:fldChar w:fldCharType="end"/>
            </w:r>
          </w:hyperlink>
        </w:p>
        <w:p w14:paraId="3A4C6A16" w14:textId="7612078E" w:rsidR="004D6B91" w:rsidRPr="000104FD" w:rsidRDefault="007A456F">
          <w:pPr>
            <w:pStyle w:val="TOC2"/>
            <w:rPr>
              <w:rFonts w:asciiTheme="minorHAnsi" w:eastAsiaTheme="minorEastAsia" w:hAnsiTheme="minorHAnsi" w:cstheme="minorBidi"/>
              <w:smallCaps w:val="0"/>
              <w:noProof/>
              <w:sz w:val="24"/>
              <w:szCs w:val="24"/>
              <w:lang w:val="de-DE" w:eastAsia="de-DE"/>
            </w:rPr>
          </w:pPr>
          <w:hyperlink w:anchor="_Toc109767713" w:history="1">
            <w:r w:rsidR="004D6B91" w:rsidRPr="000104FD">
              <w:rPr>
                <w:rStyle w:val="Hyperlink"/>
                <w:noProof/>
                <w:snapToGrid w:val="0"/>
              </w:rPr>
              <w:t>TGP/5: Erfahrung und Zusammenarbeit bei der DUS-Prüfung, Abschnitt 6: UPOV-Bericht über die technische Prüfung und UPOV-Sortenbeschreibung (Überarbeitung) (Dokument TGP/5: Abschnitt 6/4 Draft 1)</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_Toc109767713 \h </w:instrText>
            </w:r>
            <w:r w:rsidR="004D6B91" w:rsidRPr="000104FD">
              <w:rPr>
                <w:noProof/>
                <w:webHidden/>
              </w:rPr>
            </w:r>
            <w:r w:rsidR="004D6B91" w:rsidRPr="000104FD">
              <w:rPr>
                <w:noProof/>
                <w:webHidden/>
              </w:rPr>
              <w:fldChar w:fldCharType="separate"/>
            </w:r>
            <w:r w:rsidR="008D5F35" w:rsidRPr="000104FD">
              <w:rPr>
                <w:noProof/>
                <w:webHidden/>
              </w:rPr>
              <w:t>4</w:t>
            </w:r>
            <w:r w:rsidR="004D6B91" w:rsidRPr="000104FD">
              <w:rPr>
                <w:noProof/>
                <w:webHidden/>
              </w:rPr>
              <w:fldChar w:fldCharType="end"/>
            </w:r>
          </w:hyperlink>
        </w:p>
        <w:p w14:paraId="208EA044" w14:textId="4AA9337A" w:rsidR="004D6B91" w:rsidRPr="000104FD" w:rsidRDefault="007A456F">
          <w:pPr>
            <w:pStyle w:val="TOC2"/>
            <w:rPr>
              <w:rFonts w:asciiTheme="minorHAnsi" w:eastAsiaTheme="minorEastAsia" w:hAnsiTheme="minorHAnsi" w:cstheme="minorBidi"/>
              <w:smallCaps w:val="0"/>
              <w:noProof/>
              <w:sz w:val="24"/>
              <w:szCs w:val="24"/>
              <w:lang w:val="de-DE" w:eastAsia="de-DE"/>
            </w:rPr>
          </w:pPr>
          <w:hyperlink w:anchor="_Toc109767714" w:history="1">
            <w:r w:rsidR="004D6B91" w:rsidRPr="000104FD">
              <w:rPr>
                <w:rStyle w:val="Hyperlink"/>
                <w:noProof/>
              </w:rPr>
              <w:t>TGP/8: Prüfungsanlage und Verfahren für die Prüfung der Unterscheidbarkeit, der Homogenität und der Beständigkeit (Überarbeitung) (Anlage II</w:t>
            </w:r>
            <w:r w:rsidR="004D6B91" w:rsidRPr="000104FD">
              <w:rPr>
                <w:rStyle w:val="Hyperlink"/>
                <w:bCs/>
                <w:noProof/>
                <w:snapToGrid w:val="0"/>
              </w:rPr>
              <w:t>)</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_Toc109767714 \h </w:instrText>
            </w:r>
            <w:r w:rsidR="004D6B91" w:rsidRPr="000104FD">
              <w:rPr>
                <w:noProof/>
                <w:webHidden/>
              </w:rPr>
            </w:r>
            <w:r w:rsidR="004D6B91" w:rsidRPr="000104FD">
              <w:rPr>
                <w:noProof/>
                <w:webHidden/>
              </w:rPr>
              <w:fldChar w:fldCharType="separate"/>
            </w:r>
            <w:r w:rsidR="008D5F35" w:rsidRPr="000104FD">
              <w:rPr>
                <w:noProof/>
                <w:webHidden/>
              </w:rPr>
              <w:t>4</w:t>
            </w:r>
            <w:r w:rsidR="004D6B91" w:rsidRPr="000104FD">
              <w:rPr>
                <w:noProof/>
                <w:webHidden/>
              </w:rPr>
              <w:fldChar w:fldCharType="end"/>
            </w:r>
          </w:hyperlink>
        </w:p>
        <w:p w14:paraId="1AA7151E" w14:textId="29420ED6" w:rsidR="004D6B91" w:rsidRPr="000104FD" w:rsidRDefault="007A456F">
          <w:pPr>
            <w:pStyle w:val="TOC2"/>
            <w:rPr>
              <w:rFonts w:asciiTheme="minorHAnsi" w:eastAsiaTheme="minorEastAsia" w:hAnsiTheme="minorHAnsi" w:cstheme="minorBidi"/>
              <w:smallCaps w:val="0"/>
              <w:noProof/>
              <w:sz w:val="24"/>
              <w:szCs w:val="24"/>
              <w:lang w:val="de-DE" w:eastAsia="de-DE"/>
            </w:rPr>
          </w:pPr>
          <w:hyperlink w:anchor="_Toc109767715" w:history="1">
            <w:r w:rsidR="004D6B91" w:rsidRPr="000104FD">
              <w:rPr>
                <w:rStyle w:val="Hyperlink"/>
                <w:noProof/>
              </w:rPr>
              <w:t>TGP/12: Anleitung zu bestimmten physiologischen Merkmalen (Überarbeitung) (Anlage III)</w:t>
            </w:r>
            <w:r w:rsidR="004D6B91" w:rsidRPr="000104FD">
              <w:rPr>
                <w:noProof/>
                <w:webHidden/>
              </w:rPr>
              <w:tab/>
            </w:r>
            <w:r w:rsidR="004D6B91" w:rsidRPr="000104FD">
              <w:rPr>
                <w:noProof/>
                <w:webHidden/>
              </w:rPr>
              <w:fldChar w:fldCharType="begin"/>
            </w:r>
            <w:r w:rsidR="004D6B91" w:rsidRPr="000104FD">
              <w:rPr>
                <w:noProof/>
                <w:webHidden/>
              </w:rPr>
              <w:instrText xml:space="preserve"> PAGEREF _Toc109767715 \h </w:instrText>
            </w:r>
            <w:r w:rsidR="004D6B91" w:rsidRPr="000104FD">
              <w:rPr>
                <w:noProof/>
                <w:webHidden/>
              </w:rPr>
            </w:r>
            <w:r w:rsidR="004D6B91" w:rsidRPr="000104FD">
              <w:rPr>
                <w:noProof/>
                <w:webHidden/>
              </w:rPr>
              <w:fldChar w:fldCharType="separate"/>
            </w:r>
            <w:r w:rsidR="008D5F35" w:rsidRPr="000104FD">
              <w:rPr>
                <w:noProof/>
                <w:webHidden/>
              </w:rPr>
              <w:t>5</w:t>
            </w:r>
            <w:r w:rsidR="004D6B91" w:rsidRPr="000104FD">
              <w:rPr>
                <w:noProof/>
                <w:webHidden/>
              </w:rPr>
              <w:fldChar w:fldCharType="end"/>
            </w:r>
          </w:hyperlink>
        </w:p>
        <w:p w14:paraId="48E82131" w14:textId="16E1CD28" w:rsidR="00151956" w:rsidRPr="000104FD" w:rsidRDefault="00911C31">
          <w:pPr>
            <w:spacing w:before="240"/>
            <w:jc w:val="left"/>
          </w:pPr>
          <w:r w:rsidRPr="000104FD">
            <w:rPr>
              <w:b/>
              <w:bCs/>
            </w:rPr>
            <w:fldChar w:fldCharType="end"/>
          </w:r>
          <w:r w:rsidR="003A0E68" w:rsidRPr="000104FD">
            <w:t xml:space="preserve">ANLAGE I </w:t>
          </w:r>
          <w:r w:rsidR="0055253C" w:rsidRPr="000104FD">
            <w:t>Dokument UPOV/EXN/DEN: Erläuterungen zu Sortenbezeichnungen nach dem UPOV-Übereinkommen (Überarbeitung)</w:t>
          </w:r>
          <w:r w:rsidR="00171305" w:rsidRPr="000104FD">
            <w:br/>
          </w:r>
          <w:r w:rsidR="003A0E68" w:rsidRPr="000104FD">
            <w:br/>
            <w:t xml:space="preserve">ANHANG II </w:t>
          </w:r>
          <w:r w:rsidR="00F06F92" w:rsidRPr="000104FD">
            <w:t>Dokument TGP/8: Prüfungsanlage und Verfahren für die Prüfung der Unterscheidbarkeit, der Homogenität und der Beständigkeit (Überarbeitung)</w:t>
          </w:r>
          <w:r w:rsidR="00171305" w:rsidRPr="000104FD">
            <w:br/>
          </w:r>
        </w:p>
        <w:p w14:paraId="0C4E3EC1" w14:textId="1FFD77BA" w:rsidR="00151956" w:rsidRPr="000104FD" w:rsidRDefault="00911C31">
          <w:pPr>
            <w:rPr>
              <w:rStyle w:val="Hyperlink"/>
              <w:color w:val="auto"/>
              <w:u w:val="none"/>
            </w:rPr>
          </w:pPr>
          <w:r w:rsidRPr="000104FD">
            <w:t xml:space="preserve">ANLAGE III </w:t>
          </w:r>
          <w:r w:rsidR="00831489" w:rsidRPr="000104FD">
            <w:t>Dokument TGP/12: Anleitung zu bestimmten physiologischen Merkmalen (Überarbeitung</w:t>
          </w:r>
          <w:r w:rsidR="00171305" w:rsidRPr="000104FD">
            <w:t>)</w:t>
          </w:r>
        </w:p>
      </w:sdtContent>
    </w:sdt>
    <w:p w14:paraId="30CA1F72" w14:textId="77777777" w:rsidR="006105AC" w:rsidRPr="000104FD" w:rsidRDefault="006105AC" w:rsidP="00823C3A">
      <w:pPr>
        <w:keepNext/>
        <w:keepLines/>
      </w:pPr>
    </w:p>
    <w:p w14:paraId="55252E22" w14:textId="77777777" w:rsidR="00151956" w:rsidRPr="000104FD" w:rsidRDefault="00911C31">
      <w:pPr>
        <w:keepNext/>
        <w:keepLines/>
      </w:pPr>
      <w:r w:rsidRPr="000104FD">
        <w:fldChar w:fldCharType="begin"/>
      </w:r>
      <w:r w:rsidRPr="000104FD">
        <w:instrText xml:space="preserve"> AUTONUM  </w:instrText>
      </w:r>
      <w:r w:rsidRPr="000104FD">
        <w:fldChar w:fldCharType="end"/>
      </w:r>
      <w:r w:rsidRPr="000104FD">
        <w:tab/>
      </w:r>
      <w:r w:rsidR="004C7CD6" w:rsidRPr="000104FD">
        <w:t xml:space="preserve">In diesem Dokument werden die folgenden Abkürzungen verwendet: </w:t>
      </w:r>
    </w:p>
    <w:p w14:paraId="0E67A067" w14:textId="77777777" w:rsidR="004C7CD6" w:rsidRPr="000104FD" w:rsidRDefault="004C7CD6" w:rsidP="00823C3A">
      <w:pPr>
        <w:pStyle w:val="ListParagraph"/>
        <w:keepNext/>
      </w:pPr>
    </w:p>
    <w:p w14:paraId="38813EEC" w14:textId="77777777" w:rsidR="00151956" w:rsidRPr="000104FD" w:rsidRDefault="00911C31">
      <w:pPr>
        <w:pStyle w:val="ListParagraph"/>
        <w:keepNext/>
        <w:ind w:left="567"/>
      </w:pPr>
      <w:r w:rsidRPr="000104FD">
        <w:t xml:space="preserve">CAJ: </w:t>
      </w:r>
      <w:r w:rsidRPr="000104FD">
        <w:tab/>
      </w:r>
      <w:r w:rsidRPr="000104FD">
        <w:tab/>
        <w:t xml:space="preserve">Verwaltungs- und Rechtsausschuss </w:t>
      </w:r>
    </w:p>
    <w:p w14:paraId="678ABFA9" w14:textId="77777777" w:rsidR="00831489" w:rsidRPr="000104FD" w:rsidRDefault="00911C31">
      <w:pPr>
        <w:pStyle w:val="ListParagraph"/>
        <w:keepNext/>
        <w:ind w:left="567"/>
      </w:pPr>
      <w:r w:rsidRPr="000104FD">
        <w:t xml:space="preserve">TC: </w:t>
      </w:r>
      <w:r w:rsidRPr="000104FD">
        <w:tab/>
      </w:r>
      <w:r w:rsidRPr="000104FD">
        <w:tab/>
        <w:t xml:space="preserve">Technischer Ausschuss </w:t>
      </w:r>
    </w:p>
    <w:p w14:paraId="2EFC3779" w14:textId="77777777" w:rsidR="0004198B" w:rsidRPr="000104FD" w:rsidRDefault="0004198B">
      <w:pPr>
        <w:jc w:val="left"/>
      </w:pPr>
    </w:p>
    <w:p w14:paraId="1CE8D754" w14:textId="77777777" w:rsidR="00544581" w:rsidRPr="000104FD" w:rsidRDefault="00544581" w:rsidP="004C7CD6">
      <w:pPr>
        <w:pStyle w:val="Heading1"/>
        <w:rPr>
          <w:lang w:val="de-DE"/>
        </w:rPr>
      </w:pPr>
    </w:p>
    <w:p w14:paraId="2B99781A" w14:textId="77777777" w:rsidR="00151956" w:rsidRPr="000104FD" w:rsidRDefault="00911C31">
      <w:pPr>
        <w:pStyle w:val="Heading1"/>
        <w:rPr>
          <w:lang w:val="de-DE"/>
        </w:rPr>
      </w:pPr>
      <w:bookmarkStart w:id="2" w:name="_Toc109767703"/>
      <w:r w:rsidRPr="000104FD">
        <w:rPr>
          <w:lang w:val="de-DE"/>
        </w:rPr>
        <w:t>HINTERGRUND</w:t>
      </w:r>
      <w:bookmarkEnd w:id="2"/>
    </w:p>
    <w:p w14:paraId="39A134F8" w14:textId="77777777" w:rsidR="003B4BB6" w:rsidRPr="000104FD" w:rsidRDefault="003B4BB6" w:rsidP="003B4BB6"/>
    <w:p w14:paraId="7879D86B" w14:textId="5965D102" w:rsidR="00151956" w:rsidRPr="000104FD" w:rsidRDefault="00911C31">
      <w:pPr>
        <w:rPr>
          <w:rFonts w:cs="Arial"/>
        </w:rPr>
      </w:pPr>
      <w:r w:rsidRPr="000104FD">
        <w:rPr>
          <w:rFonts w:cs="Arial"/>
          <w:spacing w:val="-2"/>
        </w:rPr>
        <w:fldChar w:fldCharType="begin"/>
      </w:r>
      <w:r w:rsidRPr="000104FD">
        <w:rPr>
          <w:rFonts w:cs="Arial"/>
          <w:spacing w:val="-2"/>
        </w:rPr>
        <w:instrText xml:space="preserve"> AUTONUM  </w:instrText>
      </w:r>
      <w:r w:rsidRPr="000104FD">
        <w:rPr>
          <w:rFonts w:cs="Arial"/>
          <w:spacing w:val="-2"/>
        </w:rPr>
        <w:fldChar w:fldCharType="end"/>
      </w:r>
      <w:r w:rsidRPr="000104FD">
        <w:rPr>
          <w:rFonts w:cs="Arial"/>
          <w:spacing w:val="-2"/>
        </w:rPr>
        <w:tab/>
      </w:r>
      <w:r w:rsidR="008D6473" w:rsidRPr="000104FD">
        <w:rPr>
          <w:rFonts w:cs="Arial"/>
          <w:spacing w:val="-2"/>
        </w:rPr>
        <w:t xml:space="preserve">Die gebilligte Anleitung und das gebilligte Informationsmaterial werden auf der UPOV-Website unter </w:t>
      </w:r>
      <w:hyperlink r:id="rId9" w:history="1">
        <w:r w:rsidR="008D6473" w:rsidRPr="000104FD">
          <w:rPr>
            <w:rFonts w:cs="Arial"/>
            <w:color w:val="0000FF"/>
            <w:u w:val="single"/>
          </w:rPr>
          <w:t>http://www.upov.int/upov_collection/de/</w:t>
        </w:r>
      </w:hyperlink>
      <w:r w:rsidR="008D6473" w:rsidRPr="000104FD">
        <w:rPr>
          <w:rFonts w:cs="Arial"/>
          <w:spacing w:val="-2"/>
        </w:rPr>
        <w:t xml:space="preserve"> veröffentlicht</w:t>
      </w:r>
      <w:r w:rsidRPr="000104FD">
        <w:rPr>
          <w:rFonts w:cs="Arial"/>
        </w:rPr>
        <w:t xml:space="preserve">.  </w:t>
      </w:r>
    </w:p>
    <w:p w14:paraId="75708843" w14:textId="77777777" w:rsidR="003B4BB6" w:rsidRPr="000104FD" w:rsidRDefault="003B4BB6" w:rsidP="003B4BB6"/>
    <w:p w14:paraId="79287B3B" w14:textId="77777777" w:rsidR="00F82B40" w:rsidRPr="000104FD" w:rsidRDefault="00F82B40">
      <w:pPr>
        <w:jc w:val="left"/>
      </w:pPr>
      <w:r w:rsidRPr="000104FD">
        <w:br w:type="page"/>
      </w:r>
    </w:p>
    <w:p w14:paraId="34493240" w14:textId="77777777" w:rsidR="000460DF" w:rsidRDefault="000460DF" w:rsidP="000460DF">
      <w:pPr>
        <w:jc w:val="center"/>
      </w:pPr>
      <w:r>
        <w:lastRenderedPageBreak/>
        <w:t>CAJ/79/3</w:t>
      </w:r>
    </w:p>
    <w:p w14:paraId="210C813E" w14:textId="0CBA0453" w:rsidR="003B4BB6" w:rsidRPr="000104FD" w:rsidRDefault="000460DF" w:rsidP="000460DF">
      <w:pPr>
        <w:jc w:val="center"/>
      </w:pPr>
      <w:r>
        <w:t>page 3</w:t>
      </w:r>
    </w:p>
    <w:p w14:paraId="68F7128A" w14:textId="77777777" w:rsidR="000460DF" w:rsidRDefault="000460DF">
      <w:pPr>
        <w:pStyle w:val="Heading1"/>
        <w:rPr>
          <w:lang w:val="de-DE"/>
        </w:rPr>
      </w:pPr>
      <w:bookmarkStart w:id="3" w:name="_Toc109767704"/>
    </w:p>
    <w:p w14:paraId="3523AA4E" w14:textId="77777777" w:rsidR="000460DF" w:rsidRDefault="000460DF">
      <w:pPr>
        <w:pStyle w:val="Heading1"/>
        <w:rPr>
          <w:lang w:val="de-DE"/>
        </w:rPr>
      </w:pPr>
    </w:p>
    <w:p w14:paraId="77C6F645" w14:textId="698F2FA5" w:rsidR="00151956" w:rsidRPr="000104FD" w:rsidRDefault="009C5AA8">
      <w:pPr>
        <w:pStyle w:val="Heading1"/>
        <w:rPr>
          <w:lang w:val="de-DE"/>
        </w:rPr>
      </w:pPr>
      <w:r w:rsidRPr="000104FD">
        <w:rPr>
          <w:lang w:val="de-DE"/>
        </w:rPr>
        <w:t>DEM RAT IM JAHR 2022 ZUR ANNAHME VORGESCHLAGENE ANGELEGENHEITEN</w:t>
      </w:r>
      <w:bookmarkEnd w:id="3"/>
    </w:p>
    <w:p w14:paraId="26E2B199" w14:textId="77777777" w:rsidR="004C7CD6" w:rsidRPr="000104FD" w:rsidRDefault="004C7CD6" w:rsidP="004C7CD6">
      <w:pPr>
        <w:jc w:val="left"/>
      </w:pPr>
    </w:p>
    <w:p w14:paraId="61C41039" w14:textId="77777777" w:rsidR="00151956" w:rsidRPr="000104FD" w:rsidRDefault="00911C31">
      <w:pPr>
        <w:pStyle w:val="Heading1"/>
        <w:rPr>
          <w:lang w:val="de-DE"/>
        </w:rPr>
      </w:pPr>
      <w:bookmarkStart w:id="4" w:name="_Toc109767705"/>
      <w:r w:rsidRPr="000104FD">
        <w:rPr>
          <w:lang w:val="de-DE"/>
        </w:rPr>
        <w:t>INFORMATIONSMATERIAL</w:t>
      </w:r>
      <w:bookmarkEnd w:id="4"/>
    </w:p>
    <w:p w14:paraId="39AF4C26" w14:textId="77777777" w:rsidR="003859A6" w:rsidRPr="000104FD" w:rsidRDefault="003859A6" w:rsidP="003859A6"/>
    <w:p w14:paraId="150927CC" w14:textId="2C163332" w:rsidR="00151956" w:rsidRPr="000104FD" w:rsidRDefault="00612735" w:rsidP="00373FF7">
      <w:pPr>
        <w:pStyle w:val="Heading2"/>
      </w:pPr>
      <w:bookmarkStart w:id="5" w:name="_Toc107846183"/>
      <w:bookmarkStart w:id="6" w:name="_Toc107949442"/>
      <w:bookmarkStart w:id="7" w:name="_Toc109767706"/>
      <w:r w:rsidRPr="000104FD">
        <w:t>Überarbeitung von Dokument</w:t>
      </w:r>
      <w:r w:rsidR="00911C31" w:rsidRPr="000104FD">
        <w:t xml:space="preserve"> UPOV/INF/16 </w:t>
      </w:r>
      <w:r w:rsidR="009C5AA8" w:rsidRPr="000104FD">
        <w:t>„</w:t>
      </w:r>
      <w:r w:rsidR="00911C31" w:rsidRPr="000104FD">
        <w:t>Austauschbare Software</w:t>
      </w:r>
      <w:r w:rsidR="009C5AA8" w:rsidRPr="000104FD">
        <w:t>“</w:t>
      </w:r>
      <w:r w:rsidR="00911C31" w:rsidRPr="000104FD">
        <w:t xml:space="preserve"> </w:t>
      </w:r>
      <w:r w:rsidR="000460DF">
        <w:br/>
        <w:t xml:space="preserve">(Dokument UPOV/INF/16/11 </w:t>
      </w:r>
      <w:r w:rsidR="00911C31" w:rsidRPr="000104FD">
        <w:t>Draft 1)</w:t>
      </w:r>
      <w:bookmarkEnd w:id="5"/>
      <w:bookmarkEnd w:id="6"/>
      <w:bookmarkEnd w:id="7"/>
    </w:p>
    <w:p w14:paraId="1B48765B" w14:textId="77777777" w:rsidR="003859A6" w:rsidRPr="000104FD" w:rsidRDefault="003859A6" w:rsidP="00373FF7">
      <w:pPr>
        <w:pStyle w:val="Heading2"/>
      </w:pPr>
    </w:p>
    <w:p w14:paraId="45F15235" w14:textId="7679C1D3" w:rsidR="00151956" w:rsidRPr="000104FD" w:rsidRDefault="000460DF" w:rsidP="000460DF">
      <w:r>
        <w:fldChar w:fldCharType="begin"/>
      </w:r>
      <w:r>
        <w:instrText xml:space="preserve"> AUTONUM  </w:instrText>
      </w:r>
      <w:r>
        <w:fldChar w:fldCharType="end"/>
      </w:r>
      <w:r>
        <w:tab/>
      </w:r>
      <w:r w:rsidR="00D21DA3" w:rsidRPr="000104FD">
        <w:t>Der TC und der CAJ werden ersucht</w:t>
      </w:r>
      <w:r w:rsidR="00316A89" w:rsidRPr="000104FD">
        <w:t xml:space="preserve"> werden</w:t>
      </w:r>
      <w:r w:rsidR="00D21DA3" w:rsidRPr="000104FD">
        <w:t>, den Vorschlägen zur Überarbeitung von Dokument UPOV/INF/16/10 „Austauschbare Software“, wie in Dokument UPOV/INF/16/11 Draft 1 dargelegt, zuzustimmen</w:t>
      </w:r>
      <w:r w:rsidR="00911C31" w:rsidRPr="000104FD">
        <w:t>.</w:t>
      </w:r>
    </w:p>
    <w:p w14:paraId="55EB8A3A" w14:textId="77777777" w:rsidR="003E1732" w:rsidRPr="000104FD" w:rsidRDefault="003E1732" w:rsidP="000460DF"/>
    <w:p w14:paraId="4822BE25" w14:textId="1DE6DFF4" w:rsidR="00151956" w:rsidRPr="000104FD" w:rsidRDefault="000460DF" w:rsidP="000460DF">
      <w:r>
        <w:rPr>
          <w:snapToGrid w:val="0"/>
        </w:rPr>
        <w:fldChar w:fldCharType="begin"/>
      </w:r>
      <w:r>
        <w:rPr>
          <w:snapToGrid w:val="0"/>
        </w:rPr>
        <w:instrText xml:space="preserve"> AUTONUM  </w:instrText>
      </w:r>
      <w:r>
        <w:rPr>
          <w:snapToGrid w:val="0"/>
        </w:rPr>
        <w:fldChar w:fldCharType="end"/>
      </w:r>
      <w:r>
        <w:rPr>
          <w:snapToGrid w:val="0"/>
        </w:rPr>
        <w:tab/>
      </w:r>
      <w:r w:rsidR="00FA6880" w:rsidRPr="000104FD">
        <w:rPr>
          <w:snapToGrid w:val="0"/>
        </w:rPr>
        <w:t xml:space="preserve">In </w:t>
      </w:r>
      <w:r w:rsidR="00911C31" w:rsidRPr="000104FD">
        <w:rPr>
          <w:snapToGrid w:val="0"/>
        </w:rPr>
        <w:t xml:space="preserve">Abschnitt 4 des </w:t>
      </w:r>
      <w:r w:rsidR="00911C31" w:rsidRPr="000104FD">
        <w:t xml:space="preserve">Dokuments UPOV/INF/16 </w:t>
      </w:r>
      <w:r w:rsidR="00FF1BC4" w:rsidRPr="000104FD">
        <w:t>„</w:t>
      </w:r>
      <w:r w:rsidR="00911C31" w:rsidRPr="000104FD">
        <w:t>Austauschbare Software</w:t>
      </w:r>
      <w:r w:rsidR="00FF1BC4" w:rsidRPr="000104FD">
        <w:t>“</w:t>
      </w:r>
      <w:r w:rsidR="00911C31" w:rsidRPr="000104FD">
        <w:t xml:space="preserve"> </w:t>
      </w:r>
      <w:r w:rsidR="00D209F6" w:rsidRPr="000104FD">
        <w:rPr>
          <w:snapToGrid w:val="0"/>
        </w:rPr>
        <w:t>heißt es folgendermaßen</w:t>
      </w:r>
      <w:r w:rsidR="00911C31" w:rsidRPr="000104FD">
        <w:t>:</w:t>
      </w:r>
    </w:p>
    <w:p w14:paraId="77E55A91" w14:textId="77777777" w:rsidR="003E1732" w:rsidRPr="000104FD" w:rsidRDefault="003E1732" w:rsidP="003E1732">
      <w:pPr>
        <w:keepNext/>
      </w:pPr>
    </w:p>
    <w:p w14:paraId="34D077AB" w14:textId="0A6A6CB9" w:rsidR="00151956" w:rsidRPr="000104FD" w:rsidRDefault="00FF1BC4">
      <w:pPr>
        <w:keepNext/>
        <w:ind w:left="567" w:right="566"/>
        <w:rPr>
          <w:snapToGrid w:val="0"/>
          <w:sz w:val="18"/>
          <w:szCs w:val="18"/>
          <w:u w:val="single"/>
        </w:rPr>
      </w:pPr>
      <w:r w:rsidRPr="000104FD">
        <w:rPr>
          <w:snapToGrid w:val="0"/>
          <w:sz w:val="18"/>
          <w:szCs w:val="18"/>
        </w:rPr>
        <w:t>„</w:t>
      </w:r>
      <w:r w:rsidR="00911C31" w:rsidRPr="000104FD">
        <w:rPr>
          <w:snapToGrid w:val="0"/>
          <w:sz w:val="18"/>
          <w:szCs w:val="18"/>
        </w:rPr>
        <w:t>4.</w:t>
      </w:r>
      <w:r w:rsidR="00911C31" w:rsidRPr="000104FD">
        <w:rPr>
          <w:snapToGrid w:val="0"/>
          <w:sz w:val="18"/>
          <w:szCs w:val="18"/>
        </w:rPr>
        <w:tab/>
      </w:r>
      <w:r w:rsidR="00911C31" w:rsidRPr="000104FD">
        <w:rPr>
          <w:snapToGrid w:val="0"/>
          <w:sz w:val="18"/>
          <w:szCs w:val="18"/>
          <w:u w:val="single"/>
        </w:rPr>
        <w:t xml:space="preserve">Informationen über die Nutzung durch </w:t>
      </w:r>
      <w:r w:rsidR="00C0746A" w:rsidRPr="000104FD">
        <w:rPr>
          <w:snapToGrid w:val="0"/>
          <w:sz w:val="18"/>
          <w:szCs w:val="18"/>
          <w:u w:val="single"/>
        </w:rPr>
        <w:t xml:space="preserve">die </w:t>
      </w:r>
      <w:r w:rsidR="00911C31" w:rsidRPr="000104FD">
        <w:rPr>
          <w:snapToGrid w:val="0"/>
          <w:sz w:val="18"/>
          <w:szCs w:val="18"/>
          <w:u w:val="single"/>
        </w:rPr>
        <w:t>Verbandsmitglieder</w:t>
      </w:r>
    </w:p>
    <w:p w14:paraId="3C8BB2DD" w14:textId="77777777" w:rsidR="003E1732" w:rsidRPr="000104FD" w:rsidRDefault="003E1732" w:rsidP="003E1732">
      <w:pPr>
        <w:keepNext/>
        <w:ind w:left="567" w:right="566"/>
        <w:rPr>
          <w:snapToGrid w:val="0"/>
          <w:sz w:val="16"/>
          <w:szCs w:val="18"/>
        </w:rPr>
      </w:pPr>
    </w:p>
    <w:p w14:paraId="565996A9" w14:textId="4C3F95A3" w:rsidR="00151956" w:rsidRPr="000104FD" w:rsidRDefault="00FF1BC4">
      <w:pPr>
        <w:ind w:left="567" w:right="566"/>
        <w:rPr>
          <w:snapToGrid w:val="0"/>
          <w:sz w:val="18"/>
          <w:szCs w:val="18"/>
        </w:rPr>
      </w:pPr>
      <w:r w:rsidRPr="000104FD">
        <w:rPr>
          <w:snapToGrid w:val="0"/>
          <w:sz w:val="18"/>
          <w:szCs w:val="18"/>
        </w:rPr>
        <w:t>„</w:t>
      </w:r>
      <w:r w:rsidR="00911C31" w:rsidRPr="000104FD">
        <w:rPr>
          <w:snapToGrid w:val="0"/>
          <w:sz w:val="18"/>
          <w:szCs w:val="18"/>
        </w:rPr>
        <w:t xml:space="preserve">4.1 </w:t>
      </w:r>
      <w:r w:rsidR="004C0F44" w:rsidRPr="000104FD">
        <w:rPr>
          <w:snapToGrid w:val="0"/>
          <w:sz w:val="18"/>
          <w:szCs w:val="18"/>
        </w:rPr>
        <w:tab/>
        <w:t>Jährlich wird ein Rundschreiben an die Verbandsmitglieder gerichtet, in dem sie ersucht werden, Informationen über die Nutzung der in Dokument UPOV/INF/16 enthaltenen Software zu erteilen</w:t>
      </w:r>
      <w:r w:rsidR="00911C31" w:rsidRPr="000104FD">
        <w:rPr>
          <w:snapToGrid w:val="0"/>
          <w:sz w:val="18"/>
          <w:szCs w:val="18"/>
        </w:rPr>
        <w:t>.</w:t>
      </w:r>
    </w:p>
    <w:p w14:paraId="45F5AB15" w14:textId="77777777" w:rsidR="003E1732" w:rsidRPr="000104FD" w:rsidRDefault="003E1732" w:rsidP="003E1732">
      <w:pPr>
        <w:ind w:left="567" w:right="566"/>
        <w:rPr>
          <w:snapToGrid w:val="0"/>
          <w:sz w:val="14"/>
          <w:szCs w:val="18"/>
          <w:lang w:eastAsia="ja-JP"/>
        </w:rPr>
      </w:pPr>
    </w:p>
    <w:p w14:paraId="7CB12EB9" w14:textId="1F987264" w:rsidR="00151956" w:rsidRPr="000104FD" w:rsidRDefault="00FF1BC4">
      <w:pPr>
        <w:ind w:left="567" w:right="566"/>
        <w:rPr>
          <w:snapToGrid w:val="0"/>
          <w:spacing w:val="-2"/>
          <w:sz w:val="18"/>
          <w:szCs w:val="18"/>
        </w:rPr>
      </w:pPr>
      <w:r w:rsidRPr="000104FD">
        <w:rPr>
          <w:snapToGrid w:val="0"/>
          <w:spacing w:val="-2"/>
          <w:sz w:val="18"/>
          <w:szCs w:val="18"/>
        </w:rPr>
        <w:t>„</w:t>
      </w:r>
      <w:r w:rsidR="00911C31" w:rsidRPr="000104FD">
        <w:rPr>
          <w:snapToGrid w:val="0"/>
          <w:spacing w:val="-2"/>
          <w:sz w:val="18"/>
          <w:szCs w:val="18"/>
        </w:rPr>
        <w:t>4.2</w:t>
      </w:r>
      <w:r w:rsidRPr="000104FD">
        <w:rPr>
          <w:snapToGrid w:val="0"/>
          <w:spacing w:val="-2"/>
          <w:sz w:val="18"/>
          <w:szCs w:val="18"/>
        </w:rPr>
        <w:tab/>
      </w:r>
      <w:r w:rsidR="008E3679" w:rsidRPr="000104FD">
        <w:rPr>
          <w:snapToGrid w:val="0"/>
          <w:spacing w:val="-2"/>
          <w:sz w:val="18"/>
          <w:szCs w:val="18"/>
        </w:rPr>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r w:rsidR="00911C31" w:rsidRPr="000104FD">
        <w:rPr>
          <w:snapToGrid w:val="0"/>
          <w:spacing w:val="-2"/>
          <w:sz w:val="18"/>
          <w:szCs w:val="18"/>
        </w:rPr>
        <w:t xml:space="preserve">  </w:t>
      </w:r>
    </w:p>
    <w:p w14:paraId="345A7734" w14:textId="77777777" w:rsidR="00823C3A" w:rsidRPr="000104FD" w:rsidRDefault="00823C3A" w:rsidP="00823C3A"/>
    <w:p w14:paraId="0D9BD372" w14:textId="211DB20C" w:rsidR="00151956" w:rsidRPr="000104FD" w:rsidRDefault="00911C31" w:rsidP="000460DF">
      <w:pPr>
        <w:pStyle w:val="DecisionParagraphs"/>
      </w:pPr>
      <w:r w:rsidRPr="000104FD">
        <w:fldChar w:fldCharType="begin"/>
      </w:r>
      <w:r w:rsidRPr="000104FD">
        <w:instrText xml:space="preserve"> AUTONUM  </w:instrText>
      </w:r>
      <w:r w:rsidRPr="000104FD">
        <w:fldChar w:fldCharType="end"/>
      </w:r>
      <w:r w:rsidRPr="000104FD">
        <w:tab/>
      </w:r>
      <w:r w:rsidR="003E1732" w:rsidRPr="000104FD">
        <w:t xml:space="preserve">Der CAJ wird </w:t>
      </w:r>
      <w:r w:rsidR="00FB0D5D" w:rsidRPr="000104FD">
        <w:t>ersucht</w:t>
      </w:r>
      <w:r w:rsidR="003E1732" w:rsidRPr="000104FD">
        <w:t>:</w:t>
      </w:r>
    </w:p>
    <w:p w14:paraId="2E0B6FD1" w14:textId="77777777" w:rsidR="003E1732" w:rsidRPr="000104FD" w:rsidRDefault="003E1732" w:rsidP="000460DF">
      <w:pPr>
        <w:pStyle w:val="DecisionParagraphs"/>
      </w:pPr>
    </w:p>
    <w:p w14:paraId="07CD6FA2" w14:textId="2FA4B260" w:rsidR="00151956" w:rsidRPr="000104FD" w:rsidRDefault="00911C31" w:rsidP="000460DF">
      <w:pPr>
        <w:pStyle w:val="DecisionParagraphs"/>
      </w:pPr>
      <w:r w:rsidRPr="000104FD">
        <w:tab/>
        <w:t>a)</w:t>
      </w:r>
      <w:r w:rsidRPr="000104FD">
        <w:tab/>
      </w:r>
      <w:r w:rsidR="005F67A3" w:rsidRPr="000104FD">
        <w:t>die vorgeschlagene Überarbeitung von Dokument UPOV/INF/16 „Austauschbare Software“ auf der Grundlage von Dokument UPOV/INF/16/11 Draft 1 zu billigen</w:t>
      </w:r>
      <w:r w:rsidRPr="000104FD">
        <w:t xml:space="preserve">; </w:t>
      </w:r>
      <w:r w:rsidR="00472F22" w:rsidRPr="000104FD">
        <w:t>und</w:t>
      </w:r>
    </w:p>
    <w:p w14:paraId="6F4050FF" w14:textId="77777777" w:rsidR="003E1732" w:rsidRPr="000104FD" w:rsidRDefault="003E1732" w:rsidP="000460DF">
      <w:pPr>
        <w:pStyle w:val="DecisionParagraphs"/>
      </w:pPr>
    </w:p>
    <w:p w14:paraId="11703ADB" w14:textId="5C3662AB" w:rsidR="00151956" w:rsidRPr="000104FD" w:rsidRDefault="00911C31" w:rsidP="000460DF">
      <w:pPr>
        <w:pStyle w:val="DecisionParagraphs"/>
      </w:pPr>
      <w:r w:rsidRPr="000104FD">
        <w:tab/>
        <w:t xml:space="preserve">b) </w:t>
      </w:r>
      <w:r w:rsidRPr="000104FD">
        <w:tab/>
      </w:r>
      <w:r w:rsidR="00D8786D" w:rsidRPr="000104FD">
        <w:t>zur Kenntnis zu nehmen, dass dem Rat im Jahr 2022 vorbehaltlich der Zustimmung des TC und des CAJ ein vereinbarter Entwurf des Dokuments UPOV/INF/16 zur Annahme vorgelegt werden wird</w:t>
      </w:r>
      <w:r w:rsidR="00472F22" w:rsidRPr="000104FD">
        <w:t>.</w:t>
      </w:r>
    </w:p>
    <w:p w14:paraId="198E8C8C" w14:textId="77777777" w:rsidR="00F82B40" w:rsidRPr="000104FD" w:rsidRDefault="00F82B40" w:rsidP="000460DF">
      <w:pPr>
        <w:pStyle w:val="DecisionParagraphs"/>
      </w:pPr>
    </w:p>
    <w:p w14:paraId="0CB2980D" w14:textId="77777777" w:rsidR="00823C3A" w:rsidRPr="000104FD" w:rsidRDefault="00823C3A" w:rsidP="00823C3A"/>
    <w:p w14:paraId="7744E7C7" w14:textId="77777777" w:rsidR="00373FF7" w:rsidRPr="000104FD" w:rsidRDefault="00612735" w:rsidP="00373FF7">
      <w:pPr>
        <w:pStyle w:val="Heading2"/>
      </w:pPr>
      <w:bookmarkStart w:id="8" w:name="_Toc109767707"/>
      <w:bookmarkStart w:id="9" w:name="_Toc107846184"/>
      <w:bookmarkStart w:id="10" w:name="_Toc107949443"/>
      <w:r w:rsidRPr="000104FD">
        <w:t>Überarbeitung von Dokument</w:t>
      </w:r>
      <w:r w:rsidR="00911C31" w:rsidRPr="000104FD">
        <w:t xml:space="preserve"> UPOV/INF/22 </w:t>
      </w:r>
      <w:r w:rsidR="00F26066" w:rsidRPr="000104FD">
        <w:t>„</w:t>
      </w:r>
      <w:r w:rsidR="00911C31" w:rsidRPr="000104FD">
        <w:t>Von Verbandsmitgliedern verwendete Software und Ausrüstung</w:t>
      </w:r>
      <w:r w:rsidR="00F26066" w:rsidRPr="000104FD">
        <w:t>“</w:t>
      </w:r>
      <w:bookmarkEnd w:id="8"/>
      <w:r w:rsidR="00911C31" w:rsidRPr="000104FD">
        <w:t xml:space="preserve"> </w:t>
      </w:r>
    </w:p>
    <w:p w14:paraId="3A7FDF40" w14:textId="23577BFC" w:rsidR="00151956" w:rsidRPr="000104FD" w:rsidRDefault="00911C31" w:rsidP="00373FF7">
      <w:pPr>
        <w:pStyle w:val="Heading2"/>
      </w:pPr>
      <w:bookmarkStart w:id="11" w:name="_Toc109767708"/>
      <w:r w:rsidRPr="000104FD">
        <w:t>(Dokument UPOV/INF/22/9 Draft 1)</w:t>
      </w:r>
      <w:bookmarkEnd w:id="9"/>
      <w:bookmarkEnd w:id="10"/>
      <w:bookmarkEnd w:id="11"/>
    </w:p>
    <w:p w14:paraId="56A45A63" w14:textId="77777777" w:rsidR="004C7CD6" w:rsidRPr="000104FD" w:rsidRDefault="004C7CD6" w:rsidP="004C7CD6"/>
    <w:p w14:paraId="7A2C7462" w14:textId="11CD978C" w:rsidR="00151956" w:rsidRPr="000104FD" w:rsidRDefault="00911C31" w:rsidP="000460DF">
      <w:r w:rsidRPr="000104FD">
        <w:fldChar w:fldCharType="begin"/>
      </w:r>
      <w:r w:rsidRPr="000104FD">
        <w:instrText xml:space="preserve"> AUTONUM  </w:instrText>
      </w:r>
      <w:r w:rsidRPr="000104FD">
        <w:fldChar w:fldCharType="end"/>
      </w:r>
      <w:r w:rsidRPr="000104FD">
        <w:tab/>
      </w:r>
      <w:r w:rsidR="004927B5" w:rsidRPr="000104FD">
        <w:t>Der TC und der CAJ werden ersucht werden, den Vorschlägen zur Überarbeitung von</w:t>
      </w:r>
      <w:r w:rsidR="006D3F3D">
        <w:br/>
      </w:r>
      <w:r w:rsidR="004927B5" w:rsidRPr="000104FD">
        <w:t xml:space="preserve">Dokument UPOV/INF/22/8 „Von Verbandsmitgliedern verwendete Software und Ausrüstung“, wie in </w:t>
      </w:r>
      <w:r w:rsidR="006D3F3D">
        <w:br/>
      </w:r>
      <w:r w:rsidR="004927B5" w:rsidRPr="000104FD">
        <w:t>Dokument UPOV/INF/22/9 Draft 1 dargelegt, zuzustimmen</w:t>
      </w:r>
      <w:r w:rsidRPr="000104FD">
        <w:t>.</w:t>
      </w:r>
    </w:p>
    <w:p w14:paraId="1679CD70" w14:textId="77777777" w:rsidR="00823C3A" w:rsidRPr="000104FD" w:rsidRDefault="00823C3A" w:rsidP="00823C3A">
      <w:pPr>
        <w:keepNext/>
      </w:pPr>
    </w:p>
    <w:p w14:paraId="59CB02A6" w14:textId="539AEAAB" w:rsidR="00151956" w:rsidRPr="000104FD" w:rsidRDefault="00911C31">
      <w:pPr>
        <w:pStyle w:val="DecisionParagraphs"/>
      </w:pPr>
      <w:r w:rsidRPr="000104FD">
        <w:rPr>
          <w:lang w:eastAsia="zh-CN"/>
        </w:rPr>
        <w:fldChar w:fldCharType="begin"/>
      </w:r>
      <w:r w:rsidRPr="000104FD">
        <w:rPr>
          <w:lang w:eastAsia="zh-CN"/>
        </w:rPr>
        <w:instrText xml:space="preserve"> AUTONUM  </w:instrText>
      </w:r>
      <w:r w:rsidRPr="000104FD">
        <w:rPr>
          <w:lang w:eastAsia="zh-CN"/>
        </w:rPr>
        <w:fldChar w:fldCharType="end"/>
      </w:r>
      <w:r w:rsidRPr="000104FD">
        <w:rPr>
          <w:lang w:eastAsia="zh-CN"/>
        </w:rPr>
        <w:tab/>
      </w:r>
      <w:r w:rsidR="003E1732" w:rsidRPr="000104FD">
        <w:t xml:space="preserve">Der CAJ wird </w:t>
      </w:r>
      <w:r w:rsidR="00FB0D5D" w:rsidRPr="000104FD">
        <w:t>ersucht</w:t>
      </w:r>
      <w:r w:rsidR="003E1732" w:rsidRPr="000104FD">
        <w:t>:</w:t>
      </w:r>
    </w:p>
    <w:p w14:paraId="5C3186A6" w14:textId="77777777" w:rsidR="003E1732" w:rsidRPr="000460DF" w:rsidRDefault="003E1732" w:rsidP="000460DF">
      <w:pPr>
        <w:pStyle w:val="DecisionParagraphs"/>
      </w:pPr>
    </w:p>
    <w:p w14:paraId="7307812B" w14:textId="1DF65BA1" w:rsidR="00151956" w:rsidRPr="000460DF" w:rsidRDefault="00911C31" w:rsidP="000460DF">
      <w:pPr>
        <w:pStyle w:val="DecisionParagraphs"/>
      </w:pPr>
      <w:r w:rsidRPr="000460DF">
        <w:tab/>
        <w:t>a)</w:t>
      </w:r>
      <w:r w:rsidRPr="000460DF">
        <w:tab/>
      </w:r>
      <w:r w:rsidR="003E0ECD" w:rsidRPr="000460DF">
        <w:t>die vorgeschlagene Überarbeitung von Dokument UPOV/INF/22 „Von Verbandsmitgliedern verwendete Software und Ausrüstung“ auf der Grundlage von Dokument UPOV/INF/22/9 Draft 1 zu billigen</w:t>
      </w:r>
      <w:r w:rsidRPr="000460DF">
        <w:t xml:space="preserve">; </w:t>
      </w:r>
      <w:r w:rsidR="00472F22" w:rsidRPr="000460DF">
        <w:t>und</w:t>
      </w:r>
    </w:p>
    <w:p w14:paraId="01F339EC" w14:textId="77777777" w:rsidR="003E1732" w:rsidRPr="000460DF" w:rsidRDefault="003E1732" w:rsidP="000460DF">
      <w:pPr>
        <w:pStyle w:val="DecisionParagraphs"/>
      </w:pPr>
    </w:p>
    <w:p w14:paraId="6B01CA67" w14:textId="173B8C56" w:rsidR="00151956" w:rsidRPr="000460DF" w:rsidRDefault="00911C31" w:rsidP="000460DF">
      <w:pPr>
        <w:pStyle w:val="DecisionParagraphs"/>
      </w:pPr>
      <w:r w:rsidRPr="000460DF">
        <w:tab/>
        <w:t xml:space="preserve">b) </w:t>
      </w:r>
      <w:r w:rsidRPr="000460DF">
        <w:tab/>
      </w:r>
      <w:r w:rsidR="00DF60EB" w:rsidRPr="000460DF">
        <w:t xml:space="preserve">zur Kenntnis zu nehmen, dass dem Rat im Jahr 2022 vorbehaltlich der Zustimmung des TC und des CAJ ein vereinbarter Entwurf des </w:t>
      </w:r>
      <w:r w:rsidR="006D3F3D">
        <w:br/>
      </w:r>
      <w:r w:rsidR="00DF60EB" w:rsidRPr="000460DF">
        <w:t>Dokuments UPOV/INF/22 zur Annahme vorgelegt werden wird</w:t>
      </w:r>
      <w:r w:rsidR="00472F22" w:rsidRPr="000460DF">
        <w:t>.</w:t>
      </w:r>
    </w:p>
    <w:p w14:paraId="3EBED00D" w14:textId="77777777" w:rsidR="00823C3A" w:rsidRPr="000104FD" w:rsidRDefault="00823C3A" w:rsidP="004C7CD6"/>
    <w:p w14:paraId="39404C3A" w14:textId="77777777" w:rsidR="004C7CD6" w:rsidRPr="000104FD" w:rsidRDefault="004C7CD6" w:rsidP="004C7CD6"/>
    <w:p w14:paraId="1B2D8D9B" w14:textId="77777777" w:rsidR="000460DF" w:rsidRDefault="000460DF">
      <w:pPr>
        <w:jc w:val="left"/>
        <w:rPr>
          <w:caps/>
        </w:rPr>
      </w:pPr>
      <w:bookmarkStart w:id="12" w:name="_Toc109767709"/>
      <w:r>
        <w:br w:type="page"/>
      </w:r>
    </w:p>
    <w:p w14:paraId="7DAAAAF5" w14:textId="26E29B94" w:rsidR="000460DF" w:rsidRDefault="000460DF" w:rsidP="008F6729">
      <w:pPr>
        <w:pStyle w:val="Heading1"/>
        <w:jc w:val="center"/>
        <w:rPr>
          <w:lang w:val="de-DE"/>
        </w:rPr>
      </w:pPr>
      <w:r>
        <w:rPr>
          <w:lang w:val="de-DE"/>
        </w:rPr>
        <w:lastRenderedPageBreak/>
        <w:t>CAJ/79/3</w:t>
      </w:r>
    </w:p>
    <w:p w14:paraId="5E77563A" w14:textId="35E48D78" w:rsidR="000460DF" w:rsidRPr="000460DF" w:rsidRDefault="000460DF" w:rsidP="008F6729">
      <w:pPr>
        <w:jc w:val="center"/>
      </w:pPr>
      <w:r>
        <w:t>page 4</w:t>
      </w:r>
    </w:p>
    <w:p w14:paraId="5EBE4D57" w14:textId="77777777" w:rsidR="000460DF" w:rsidRDefault="000460DF">
      <w:pPr>
        <w:pStyle w:val="Heading1"/>
        <w:rPr>
          <w:lang w:val="de-DE"/>
        </w:rPr>
      </w:pPr>
    </w:p>
    <w:p w14:paraId="72B92E2D" w14:textId="176D7F6E" w:rsidR="00151956" w:rsidRPr="000104FD" w:rsidRDefault="00911C31">
      <w:pPr>
        <w:pStyle w:val="Heading1"/>
        <w:rPr>
          <w:lang w:val="de-DE"/>
        </w:rPr>
      </w:pPr>
      <w:r w:rsidRPr="000104FD">
        <w:rPr>
          <w:lang w:val="de-DE"/>
        </w:rPr>
        <w:t>ERLÄUTER</w:t>
      </w:r>
      <w:r w:rsidR="00541A0F" w:rsidRPr="000104FD">
        <w:rPr>
          <w:lang w:val="de-DE"/>
        </w:rPr>
        <w:t>UNGEN</w:t>
      </w:r>
      <w:bookmarkEnd w:id="12"/>
    </w:p>
    <w:p w14:paraId="452D5DC6" w14:textId="77777777" w:rsidR="003859A6" w:rsidRPr="000104FD" w:rsidRDefault="003859A6" w:rsidP="003859A6"/>
    <w:p w14:paraId="78733E48" w14:textId="1921A405" w:rsidR="00151956" w:rsidRPr="000104FD" w:rsidRDefault="00400D16" w:rsidP="00373FF7">
      <w:pPr>
        <w:pStyle w:val="Heading2"/>
      </w:pPr>
      <w:bookmarkStart w:id="13" w:name="_Toc107846186"/>
      <w:bookmarkStart w:id="14" w:name="_Toc107949445"/>
      <w:bookmarkStart w:id="15" w:name="_Toc109767710"/>
      <w:r w:rsidRPr="000104FD">
        <w:t>Erläuterungen zu Sortenbezeichnungen nach dem UPOV-Übereinkommen (Dokument UPOV/EXN/DEN</w:t>
      </w:r>
      <w:r w:rsidR="00911C31" w:rsidRPr="000104FD">
        <w:t>)</w:t>
      </w:r>
      <w:bookmarkEnd w:id="13"/>
      <w:bookmarkEnd w:id="14"/>
      <w:bookmarkEnd w:id="15"/>
    </w:p>
    <w:p w14:paraId="782949B0" w14:textId="77777777" w:rsidR="00C22D85" w:rsidRPr="000104FD" w:rsidRDefault="00C22D85" w:rsidP="00823C3A">
      <w:pPr>
        <w:keepNext/>
      </w:pPr>
    </w:p>
    <w:p w14:paraId="62FCD6C0" w14:textId="287B2946" w:rsidR="00151956" w:rsidRPr="000104FD" w:rsidRDefault="00911C31" w:rsidP="000460DF">
      <w:r w:rsidRPr="000104FD">
        <w:fldChar w:fldCharType="begin"/>
      </w:r>
      <w:r w:rsidRPr="000104FD">
        <w:instrText xml:space="preserve"> AUTONUM  </w:instrText>
      </w:r>
      <w:r w:rsidRPr="000104FD">
        <w:fldChar w:fldCharType="end"/>
      </w:r>
      <w:r w:rsidRPr="000104FD">
        <w:tab/>
      </w:r>
      <w:r w:rsidR="00C22D85" w:rsidRPr="000104FD">
        <w:t xml:space="preserve">Der CAJ wird ersucht werden, die Vorschläge zur </w:t>
      </w:r>
      <w:r w:rsidR="00612735" w:rsidRPr="000104FD">
        <w:rPr>
          <w:spacing w:val="-2"/>
        </w:rPr>
        <w:t>Überarbeitung von Dokument</w:t>
      </w:r>
      <w:r w:rsidR="00C22D85" w:rsidRPr="000104FD">
        <w:rPr>
          <w:spacing w:val="-2"/>
        </w:rPr>
        <w:t xml:space="preserve"> UPOV/EXN/DEN/1 </w:t>
      </w:r>
      <w:r w:rsidR="0059460B" w:rsidRPr="000104FD">
        <w:rPr>
          <w:spacing w:val="-2"/>
        </w:rPr>
        <w:t>„</w:t>
      </w:r>
      <w:r w:rsidR="00C22D85" w:rsidRPr="000104FD">
        <w:rPr>
          <w:spacing w:val="-2"/>
        </w:rPr>
        <w:t>Erläuterungen zu Sortenbezeichnungen nach dem UPOV-Übereinkommen</w:t>
      </w:r>
      <w:r w:rsidR="0059460B" w:rsidRPr="000104FD">
        <w:rPr>
          <w:spacing w:val="-2"/>
        </w:rPr>
        <w:t>“</w:t>
      </w:r>
      <w:r w:rsidR="00C22D85" w:rsidRPr="000104FD">
        <w:rPr>
          <w:spacing w:val="-2"/>
        </w:rPr>
        <w:t xml:space="preserve">, </w:t>
      </w:r>
      <w:r w:rsidR="00C22D85" w:rsidRPr="000104FD">
        <w:t xml:space="preserve">wie in </w:t>
      </w:r>
      <w:r w:rsidR="002843B4" w:rsidRPr="000104FD">
        <w:t xml:space="preserve">Anlage </w:t>
      </w:r>
      <w:r w:rsidR="00680983" w:rsidRPr="000104FD">
        <w:t xml:space="preserve">I </w:t>
      </w:r>
      <w:r w:rsidR="00C22D85" w:rsidRPr="000104FD">
        <w:t>dieses Dokuments dargelegt, zu billigen.</w:t>
      </w:r>
    </w:p>
    <w:p w14:paraId="18C780A8" w14:textId="77777777" w:rsidR="00C22D85" w:rsidRPr="000104FD" w:rsidRDefault="00C22D85" w:rsidP="00C22D85">
      <w:pPr>
        <w:keepNext/>
      </w:pPr>
    </w:p>
    <w:p w14:paraId="389F7F01" w14:textId="49234B6A" w:rsidR="00151956" w:rsidRPr="000460DF" w:rsidRDefault="00911C31" w:rsidP="000460DF">
      <w:pPr>
        <w:pStyle w:val="DecisionParagraphs"/>
      </w:pPr>
      <w:r w:rsidRPr="000460DF">
        <w:fldChar w:fldCharType="begin"/>
      </w:r>
      <w:r w:rsidRPr="000460DF">
        <w:instrText xml:space="preserve"> AUTONUM  </w:instrText>
      </w:r>
      <w:r w:rsidRPr="000460DF">
        <w:fldChar w:fldCharType="end"/>
      </w:r>
      <w:r w:rsidRPr="000460DF">
        <w:tab/>
      </w:r>
      <w:r w:rsidR="00472F22" w:rsidRPr="000460DF">
        <w:t xml:space="preserve">Der CAJ wird </w:t>
      </w:r>
      <w:r w:rsidR="00FB0D5D" w:rsidRPr="000460DF">
        <w:t>ersucht</w:t>
      </w:r>
      <w:r w:rsidR="002843B4" w:rsidRPr="000460DF">
        <w:t>:</w:t>
      </w:r>
    </w:p>
    <w:p w14:paraId="59D81843" w14:textId="77777777" w:rsidR="002843B4" w:rsidRPr="000460DF" w:rsidRDefault="002843B4" w:rsidP="000460DF">
      <w:pPr>
        <w:pStyle w:val="DecisionParagraphs"/>
      </w:pPr>
    </w:p>
    <w:p w14:paraId="562930AA" w14:textId="628374BD" w:rsidR="00151956" w:rsidRPr="000460DF" w:rsidRDefault="00732763" w:rsidP="000460DF">
      <w:pPr>
        <w:pStyle w:val="DecisionParagraphs"/>
      </w:pPr>
      <w:r w:rsidRPr="000460DF">
        <w:tab/>
      </w:r>
      <w:r w:rsidR="0092786D" w:rsidRPr="000460DF">
        <w:t>a)</w:t>
      </w:r>
      <w:r w:rsidR="0092786D" w:rsidRPr="000460DF">
        <w:tab/>
      </w:r>
      <w:r w:rsidR="00F56626" w:rsidRPr="000460DF">
        <w:t xml:space="preserve">die vorgeschlagene Überarbeitung von Dokument UPOV/EXN/DEN „Erläuterungen zu Sortenbezeichnungen nach dem </w:t>
      </w:r>
      <w:r w:rsidR="006D3F3D">
        <w:br/>
      </w:r>
      <w:r w:rsidR="00F56626" w:rsidRPr="000460DF">
        <w:t>UPOV-Übereinkommen“, wie in Anlage I dieses Dokuments dargelegt, zu billigen</w:t>
      </w:r>
      <w:r w:rsidR="002843B4" w:rsidRPr="000460DF">
        <w:t xml:space="preserve">; und </w:t>
      </w:r>
    </w:p>
    <w:p w14:paraId="053CCE04" w14:textId="77777777" w:rsidR="002843B4" w:rsidRPr="000460DF" w:rsidRDefault="002843B4" w:rsidP="000460DF">
      <w:pPr>
        <w:pStyle w:val="DecisionParagraphs"/>
      </w:pPr>
    </w:p>
    <w:p w14:paraId="08B82448" w14:textId="68226B06" w:rsidR="00151956" w:rsidRPr="000460DF" w:rsidRDefault="00732763" w:rsidP="000460DF">
      <w:pPr>
        <w:pStyle w:val="DecisionParagraphs"/>
      </w:pPr>
      <w:r w:rsidRPr="000460DF">
        <w:tab/>
      </w:r>
      <w:r w:rsidR="00911C31" w:rsidRPr="000460DF">
        <w:t>b)</w:t>
      </w:r>
      <w:r w:rsidR="00911C31" w:rsidRPr="000460DF">
        <w:tab/>
      </w:r>
      <w:r w:rsidR="00F82B40" w:rsidRPr="000460DF">
        <w:t xml:space="preserve">zur Kenntnis zu nehmen, </w:t>
      </w:r>
      <w:r w:rsidR="006C3349" w:rsidRPr="000460DF">
        <w:t xml:space="preserve">dass </w:t>
      </w:r>
      <w:r w:rsidR="00833FE3" w:rsidRPr="000460DF">
        <w:t xml:space="preserve">dem Rat im Jahr 2022 vorbehaltlich der Zustimmung des CAJ die vorgeschlagene Überarbeitung von </w:t>
      </w:r>
      <w:r w:rsidR="006D3F3D">
        <w:br/>
      </w:r>
      <w:r w:rsidR="00833FE3" w:rsidRPr="000460DF">
        <w:t>Dokument UPOV/EXN/DEN/</w:t>
      </w:r>
      <w:r w:rsidR="00FA6880" w:rsidRPr="000460DF">
        <w:t>1, in Anlage I dieses Dokuments, zur</w:t>
      </w:r>
      <w:r w:rsidR="00833FE3" w:rsidRPr="000460DF">
        <w:t xml:space="preserve"> Annahme vorgelegt werden wird</w:t>
      </w:r>
      <w:r w:rsidR="00911C31" w:rsidRPr="000460DF">
        <w:t>.</w:t>
      </w:r>
    </w:p>
    <w:p w14:paraId="1B5493CF" w14:textId="77777777" w:rsidR="003859A6" w:rsidRPr="000104FD" w:rsidRDefault="003859A6" w:rsidP="003859A6">
      <w:pPr>
        <w:jc w:val="left"/>
      </w:pPr>
    </w:p>
    <w:p w14:paraId="16B721C7" w14:textId="64288B94" w:rsidR="00151956" w:rsidRPr="000104FD" w:rsidRDefault="0085774F" w:rsidP="00373FF7">
      <w:pPr>
        <w:pStyle w:val="Heading2"/>
      </w:pPr>
      <w:bookmarkStart w:id="16" w:name="_Toc109767711"/>
      <w:bookmarkStart w:id="17" w:name="_Toc107949446"/>
      <w:bookmarkStart w:id="18" w:name="_Toc107846187"/>
      <w:r w:rsidRPr="000104FD">
        <w:t xml:space="preserve">Erläuterungen </w:t>
      </w:r>
      <w:bookmarkEnd w:id="16"/>
      <w:bookmarkEnd w:id="17"/>
      <w:bookmarkEnd w:id="18"/>
      <w:r w:rsidR="00FA6880" w:rsidRPr="000104FD">
        <w:t>zur Prüfung des Antrags nach dem UPOV-Übereinkommen</w:t>
      </w:r>
    </w:p>
    <w:p w14:paraId="0A977DE7" w14:textId="77777777" w:rsidR="004C7CD6" w:rsidRPr="000104FD" w:rsidRDefault="004C7CD6" w:rsidP="00823C3A"/>
    <w:p w14:paraId="70C5B9A4" w14:textId="080DA58D" w:rsidR="00151956" w:rsidRPr="000104FD" w:rsidRDefault="00911C31">
      <w:pPr>
        <w:keepNext/>
      </w:pPr>
      <w:r w:rsidRPr="000104FD">
        <w:fldChar w:fldCharType="begin"/>
      </w:r>
      <w:r w:rsidRPr="000104FD">
        <w:instrText xml:space="preserve"> AUTONUM  </w:instrText>
      </w:r>
      <w:r w:rsidRPr="000104FD">
        <w:fldChar w:fldCharType="end"/>
      </w:r>
      <w:r w:rsidR="00D1091D" w:rsidRPr="000104FD">
        <w:tab/>
      </w:r>
      <w:r w:rsidRPr="000104FD">
        <w:t xml:space="preserve">Angelegenheiten betreffend die </w:t>
      </w:r>
      <w:r w:rsidR="00967D25" w:rsidRPr="000104FD">
        <w:t xml:space="preserve">Ausarbeitung </w:t>
      </w:r>
      <w:r w:rsidR="00716DC8" w:rsidRPr="000104FD">
        <w:t>der</w:t>
      </w:r>
      <w:r w:rsidRPr="000104FD">
        <w:t xml:space="preserve"> </w:t>
      </w:r>
      <w:r w:rsidR="00967D25" w:rsidRPr="000104FD">
        <w:t>„</w:t>
      </w:r>
      <w:r w:rsidRPr="000104FD">
        <w:t>Erläuterungen zur Prüfung des Antrags nach dem UPOV-Übereinkommen</w:t>
      </w:r>
      <w:r w:rsidR="00967D25" w:rsidRPr="000104FD">
        <w:t>“</w:t>
      </w:r>
      <w:r w:rsidRPr="000104FD">
        <w:t xml:space="preserve"> werden in Dokument CAJ/79/7 </w:t>
      </w:r>
      <w:r w:rsidR="00967D25" w:rsidRPr="000104FD">
        <w:t>„</w:t>
      </w:r>
      <w:r w:rsidRPr="000104FD">
        <w:t xml:space="preserve">Maßnahmen zur </w:t>
      </w:r>
      <w:r w:rsidR="00F8100C" w:rsidRPr="000104FD">
        <w:t>Verbesserung</w:t>
      </w:r>
      <w:r w:rsidRPr="000104FD">
        <w:t xml:space="preserve"> der Zusammenarbeit bei der Prüfung</w:t>
      </w:r>
      <w:r w:rsidR="00967D25" w:rsidRPr="000104FD">
        <w:t>“</w:t>
      </w:r>
      <w:r w:rsidRPr="000104FD">
        <w:t xml:space="preserve"> geprüft. </w:t>
      </w:r>
    </w:p>
    <w:p w14:paraId="6C6FC7A7" w14:textId="77777777" w:rsidR="00C82D79" w:rsidRPr="000104FD" w:rsidRDefault="00C82D79" w:rsidP="00002D93">
      <w:pPr>
        <w:keepNext/>
      </w:pPr>
    </w:p>
    <w:p w14:paraId="174B5445" w14:textId="453AD845" w:rsidR="00151956" w:rsidRPr="000104FD" w:rsidRDefault="00911C31">
      <w:pPr>
        <w:pStyle w:val="DecisionParagraphs"/>
      </w:pPr>
      <w:r w:rsidRPr="000104FD">
        <w:fldChar w:fldCharType="begin"/>
      </w:r>
      <w:r w:rsidRPr="000104FD">
        <w:instrText xml:space="preserve"> AUTONUM  </w:instrText>
      </w:r>
      <w:r w:rsidRPr="000104FD">
        <w:fldChar w:fldCharType="end"/>
      </w:r>
      <w:r w:rsidRPr="000104FD">
        <w:tab/>
        <w:t xml:space="preserve">Der CAJ wird ersucht, </w:t>
      </w:r>
      <w:r w:rsidR="00566585" w:rsidRPr="000104FD">
        <w:t xml:space="preserve">zur Kenntnis zu nehmen, dass Angelegenheiten betreffend die Ausarbeitung von „Erläuterungen zur Prüfung des Antrags nach dem </w:t>
      </w:r>
      <w:r w:rsidR="00FA6880" w:rsidRPr="000104FD">
        <w:t>UPOV-Übereinkommen</w:t>
      </w:r>
      <w:r w:rsidR="00566585" w:rsidRPr="000104FD">
        <w:t>“ in Dokument CAJ/79/7 „Maßnahmen zur Verbesserung der Zusammenarbeit bei der Prüfung“ geprüft werden</w:t>
      </w:r>
      <w:r w:rsidR="00472F22" w:rsidRPr="000104FD">
        <w:t>.</w:t>
      </w:r>
    </w:p>
    <w:p w14:paraId="3FECA59F" w14:textId="77777777" w:rsidR="00823C3A" w:rsidRPr="000104FD" w:rsidRDefault="00823C3A" w:rsidP="00823C3A"/>
    <w:p w14:paraId="749A9455" w14:textId="77777777" w:rsidR="00823C3A" w:rsidRPr="000104FD" w:rsidRDefault="00823C3A" w:rsidP="00050E16">
      <w:pPr>
        <w:jc w:val="right"/>
      </w:pPr>
    </w:p>
    <w:p w14:paraId="69397D55" w14:textId="77777777" w:rsidR="00151956" w:rsidRPr="000104FD" w:rsidRDefault="00911C31">
      <w:pPr>
        <w:pStyle w:val="Heading1"/>
        <w:rPr>
          <w:lang w:val="de-DE"/>
        </w:rPr>
      </w:pPr>
      <w:bookmarkStart w:id="19" w:name="_Toc109767712"/>
      <w:r w:rsidRPr="000104FD">
        <w:rPr>
          <w:lang w:val="de-DE"/>
        </w:rPr>
        <w:t>TGP-DOKUMENTE</w:t>
      </w:r>
      <w:bookmarkEnd w:id="19"/>
    </w:p>
    <w:p w14:paraId="5D8A1AD7" w14:textId="77777777" w:rsidR="00002258" w:rsidRPr="000104FD" w:rsidRDefault="00002258" w:rsidP="00002258"/>
    <w:p w14:paraId="163498B4" w14:textId="1C4727D4" w:rsidR="00151956" w:rsidRPr="000104FD" w:rsidRDefault="00035998" w:rsidP="00373FF7">
      <w:pPr>
        <w:pStyle w:val="Heading2"/>
      </w:pPr>
      <w:bookmarkStart w:id="20" w:name="_Toc109767713"/>
      <w:bookmarkStart w:id="21" w:name="_Toc107949448"/>
      <w:r w:rsidRPr="000104FD">
        <w:rPr>
          <w:snapToGrid w:val="0"/>
        </w:rPr>
        <w:t>TGP/5: Erfahrung und Zusammenarbeit bei der DUS-Prüfung, Abschnitt 6: UPOV-Bericht über die technische Prüfung und UPOV-Sortenbeschreibung (Überarbeitung) (Dokument TGP/5: Abschnitt 6/4 Draft 1</w:t>
      </w:r>
      <w:r w:rsidR="00911C31" w:rsidRPr="000104FD">
        <w:rPr>
          <w:snapToGrid w:val="0"/>
        </w:rPr>
        <w:t>)</w:t>
      </w:r>
      <w:bookmarkEnd w:id="20"/>
      <w:r w:rsidR="00911C31" w:rsidRPr="000104FD">
        <w:rPr>
          <w:snapToGrid w:val="0"/>
        </w:rPr>
        <w:t xml:space="preserve"> </w:t>
      </w:r>
      <w:bookmarkEnd w:id="21"/>
    </w:p>
    <w:p w14:paraId="7AD2E8C2" w14:textId="77777777" w:rsidR="00002258" w:rsidRPr="000104FD" w:rsidRDefault="00002258" w:rsidP="00002258"/>
    <w:p w14:paraId="08386399" w14:textId="291A793F" w:rsidR="00151956" w:rsidRPr="000104FD" w:rsidRDefault="00911C31" w:rsidP="000460DF">
      <w:r w:rsidRPr="000104FD">
        <w:fldChar w:fldCharType="begin"/>
      </w:r>
      <w:r w:rsidRPr="000104FD">
        <w:instrText xml:space="preserve"> AUTONUM  </w:instrText>
      </w:r>
      <w:r w:rsidRPr="000104FD">
        <w:fldChar w:fldCharType="end"/>
      </w:r>
      <w:r w:rsidRPr="000104FD">
        <w:tab/>
        <w:t xml:space="preserve">Der TC und der CAJ werden ersucht werden, den Vorschlägen zur Überarbeitung von Dokument TGP/5 </w:t>
      </w:r>
      <w:r w:rsidR="002B2F03" w:rsidRPr="000104FD">
        <w:t>„</w:t>
      </w:r>
      <w:r w:rsidRPr="000104FD">
        <w:t>Erfahrung und Zusammenarbeit bei der DUS-Prüfung</w:t>
      </w:r>
      <w:r w:rsidR="002B2F03" w:rsidRPr="000104FD">
        <w:t>“</w:t>
      </w:r>
      <w:r w:rsidRPr="000104FD">
        <w:t xml:space="preserve">, Abschnitt 6 </w:t>
      </w:r>
      <w:r w:rsidR="00F05F6B" w:rsidRPr="000104FD">
        <w:t>„</w:t>
      </w:r>
      <w:r w:rsidRPr="000104FD">
        <w:t>UPOV-Bericht über die technische Prüfung und UPOV-Sortenbeschreibung</w:t>
      </w:r>
      <w:r w:rsidR="00F05F6B" w:rsidRPr="000104FD">
        <w:t>“</w:t>
      </w:r>
      <w:r w:rsidRPr="000104FD">
        <w:t>, wie in Dokument TGP/5: Abschnitt 6/4 Draft 1 dargelegt, zuzustimmen.</w:t>
      </w:r>
    </w:p>
    <w:p w14:paraId="7651A7A4" w14:textId="77777777" w:rsidR="00002258" w:rsidRPr="000104FD" w:rsidRDefault="00002258" w:rsidP="000460DF"/>
    <w:p w14:paraId="35992E39" w14:textId="2B89B459" w:rsidR="00151956" w:rsidRPr="000104FD" w:rsidRDefault="00911C31" w:rsidP="000460DF">
      <w:pPr>
        <w:pStyle w:val="DecisionParagraphs"/>
        <w:rPr>
          <w:lang w:eastAsia="zh-CN"/>
        </w:rPr>
      </w:pPr>
      <w:r w:rsidRPr="000104FD">
        <w:rPr>
          <w:lang w:eastAsia="zh-CN"/>
        </w:rPr>
        <w:fldChar w:fldCharType="begin"/>
      </w:r>
      <w:r w:rsidRPr="000104FD">
        <w:rPr>
          <w:lang w:eastAsia="zh-CN"/>
        </w:rPr>
        <w:instrText xml:space="preserve"> AUTONUM  </w:instrText>
      </w:r>
      <w:r w:rsidRPr="000104FD">
        <w:rPr>
          <w:lang w:eastAsia="zh-CN"/>
        </w:rPr>
        <w:fldChar w:fldCharType="end"/>
      </w:r>
      <w:r w:rsidRPr="000104FD">
        <w:rPr>
          <w:lang w:eastAsia="zh-CN"/>
        </w:rPr>
        <w:tab/>
      </w:r>
      <w:r w:rsidRPr="000104FD">
        <w:t xml:space="preserve">Der CAJ wird </w:t>
      </w:r>
      <w:r w:rsidR="00FB0D5D" w:rsidRPr="000104FD">
        <w:rPr>
          <w:lang w:eastAsia="zh-CN"/>
        </w:rPr>
        <w:t>ersucht</w:t>
      </w:r>
      <w:r w:rsidR="00680983" w:rsidRPr="000104FD">
        <w:rPr>
          <w:lang w:eastAsia="zh-CN"/>
        </w:rPr>
        <w:t>:</w:t>
      </w:r>
    </w:p>
    <w:p w14:paraId="508F0D0F" w14:textId="77777777" w:rsidR="00680983" w:rsidRPr="000104FD" w:rsidRDefault="00680983" w:rsidP="000460DF">
      <w:pPr>
        <w:pStyle w:val="DecisionParagraphs"/>
        <w:rPr>
          <w:lang w:eastAsia="zh-CN"/>
        </w:rPr>
      </w:pPr>
    </w:p>
    <w:p w14:paraId="1AF4D5D0" w14:textId="0B70A265" w:rsidR="00151956" w:rsidRPr="000104FD" w:rsidRDefault="00AD5509" w:rsidP="000460DF">
      <w:pPr>
        <w:pStyle w:val="DecisionParagraphs"/>
      </w:pPr>
      <w:r w:rsidRPr="000104FD">
        <w:rPr>
          <w:lang w:eastAsia="zh-CN"/>
        </w:rPr>
        <w:tab/>
        <w:t>a)</w:t>
      </w:r>
      <w:r w:rsidR="000871AB" w:rsidRPr="000104FD">
        <w:rPr>
          <w:lang w:eastAsia="zh-CN"/>
        </w:rPr>
        <w:tab/>
      </w:r>
      <w:r w:rsidR="00042191" w:rsidRPr="000104FD">
        <w:rPr>
          <w:lang w:eastAsia="zh-CN"/>
        </w:rPr>
        <w:t xml:space="preserve">die vorgeschlagene Überarbeitung von Dokument TGP/5 „Erfahrung und Zusammenarbeit bei der DUS-Prüfung“, Abschnitt 6/3 „UPOV-Bericht über die technische Prüfung und </w:t>
      </w:r>
      <w:r w:rsidR="006D3F3D">
        <w:rPr>
          <w:lang w:eastAsia="zh-CN"/>
        </w:rPr>
        <w:br/>
      </w:r>
      <w:r w:rsidR="00042191" w:rsidRPr="000104FD">
        <w:rPr>
          <w:lang w:eastAsia="zh-CN"/>
        </w:rPr>
        <w:t>UPOV-Sortenbeschreibung“ auf der Grundlage von Dokument TGP/5: Abschnitt 6/4 Draft 1 zu billigen</w:t>
      </w:r>
      <w:r w:rsidR="00680983" w:rsidRPr="000104FD">
        <w:rPr>
          <w:lang w:eastAsia="zh-CN"/>
        </w:rPr>
        <w:t>; und</w:t>
      </w:r>
    </w:p>
    <w:p w14:paraId="3DBB4C7A" w14:textId="77777777" w:rsidR="00680983" w:rsidRPr="000104FD" w:rsidRDefault="00680983" w:rsidP="000460DF">
      <w:pPr>
        <w:pStyle w:val="DecisionParagraphs"/>
      </w:pPr>
    </w:p>
    <w:p w14:paraId="5571BBD6" w14:textId="7B12AEAA" w:rsidR="00151956" w:rsidRPr="000104FD" w:rsidRDefault="00AD5509" w:rsidP="000460DF">
      <w:pPr>
        <w:pStyle w:val="DecisionParagraphs"/>
      </w:pPr>
      <w:r w:rsidRPr="000104FD">
        <w:tab/>
        <w:t>b)</w:t>
      </w:r>
      <w:r w:rsidR="000871AB" w:rsidRPr="000104FD">
        <w:rPr>
          <w:lang w:eastAsia="zh-CN"/>
        </w:rPr>
        <w:t xml:space="preserve"> </w:t>
      </w:r>
      <w:r w:rsidR="000871AB" w:rsidRPr="000104FD">
        <w:rPr>
          <w:lang w:eastAsia="zh-CN"/>
        </w:rPr>
        <w:tab/>
      </w:r>
      <w:r w:rsidR="00784B12" w:rsidRPr="000104FD">
        <w:t xml:space="preserve">zur Kenntnis zu nehmen, dass dem Rat im Jahr 2022 vorbehaltlich der Zustimmung des CAJ ein vereinbarter Entwurf des Dokuments TGP/5: </w:t>
      </w:r>
      <w:r w:rsidR="006D3F3D">
        <w:br/>
      </w:r>
      <w:r w:rsidR="00784B12" w:rsidRPr="000104FD">
        <w:t>Abschnitt 6 zur Annahme vorgelegt werden wird</w:t>
      </w:r>
      <w:r w:rsidR="00680983" w:rsidRPr="000104FD">
        <w:t>.</w:t>
      </w:r>
    </w:p>
    <w:p w14:paraId="073FE094" w14:textId="77777777" w:rsidR="00002258" w:rsidRPr="000104FD" w:rsidRDefault="00002258" w:rsidP="000460DF">
      <w:pPr>
        <w:pStyle w:val="DecisionParagraphs"/>
      </w:pPr>
    </w:p>
    <w:p w14:paraId="378E10A9" w14:textId="77777777" w:rsidR="000460DF" w:rsidRDefault="000460DF">
      <w:pPr>
        <w:jc w:val="left"/>
        <w:rPr>
          <w:spacing w:val="-2"/>
          <w:u w:val="single"/>
        </w:rPr>
      </w:pPr>
      <w:bookmarkStart w:id="22" w:name="_Toc107949449"/>
      <w:bookmarkStart w:id="23" w:name="_Toc109767714"/>
      <w:r>
        <w:br w:type="page"/>
      </w:r>
    </w:p>
    <w:p w14:paraId="535F5752" w14:textId="0EDD35B7" w:rsidR="008F6729" w:rsidRPr="008F6729" w:rsidRDefault="008F6729" w:rsidP="008F6729">
      <w:pPr>
        <w:pStyle w:val="Heading2"/>
        <w:jc w:val="center"/>
        <w:rPr>
          <w:u w:val="none"/>
        </w:rPr>
      </w:pPr>
      <w:r w:rsidRPr="008F6729">
        <w:rPr>
          <w:u w:val="none"/>
        </w:rPr>
        <w:lastRenderedPageBreak/>
        <w:t>CAJ/79/3</w:t>
      </w:r>
    </w:p>
    <w:p w14:paraId="7315BB0F" w14:textId="33863B66" w:rsidR="008F6729" w:rsidRDefault="008F6729" w:rsidP="008F6729">
      <w:pPr>
        <w:jc w:val="center"/>
      </w:pPr>
      <w:r>
        <w:t>page 5</w:t>
      </w:r>
    </w:p>
    <w:p w14:paraId="1E1D3A85" w14:textId="77777777" w:rsidR="008F6729" w:rsidRDefault="008F6729" w:rsidP="00373FF7">
      <w:pPr>
        <w:pStyle w:val="Heading2"/>
      </w:pPr>
    </w:p>
    <w:p w14:paraId="38974D75" w14:textId="5BA63C30" w:rsidR="00151956" w:rsidRPr="000104FD" w:rsidRDefault="00CD41B5" w:rsidP="00373FF7">
      <w:pPr>
        <w:pStyle w:val="Heading2"/>
        <w:rPr>
          <w:rFonts w:cs="Arial"/>
        </w:rPr>
      </w:pPr>
      <w:r w:rsidRPr="000104FD">
        <w:t>TGP/8: Prüfungsanlage und Verfahren für die Prüfung der Unterscheidbarkeit, der Homogenität und der Beständigkeit (Überarbeitung) (Anlage II</w:t>
      </w:r>
      <w:r w:rsidR="00911C31" w:rsidRPr="000104FD">
        <w:rPr>
          <w:bCs/>
          <w:snapToGrid w:val="0"/>
          <w:szCs w:val="24"/>
        </w:rPr>
        <w:t>)</w:t>
      </w:r>
      <w:bookmarkEnd w:id="22"/>
      <w:bookmarkEnd w:id="23"/>
    </w:p>
    <w:p w14:paraId="1F83441E" w14:textId="77777777" w:rsidR="00002258" w:rsidRPr="000104FD" w:rsidRDefault="00002258" w:rsidP="00002258">
      <w:pPr>
        <w:rPr>
          <w:rFonts w:cs="Arial"/>
        </w:rPr>
      </w:pPr>
    </w:p>
    <w:p w14:paraId="09D8F8BC" w14:textId="6021F909" w:rsidR="00151956" w:rsidRPr="000104FD" w:rsidRDefault="00911C31">
      <w:pPr>
        <w:keepNext/>
      </w:pPr>
      <w:r w:rsidRPr="000104FD">
        <w:rPr>
          <w:rFonts w:cs="Arial"/>
        </w:rPr>
        <w:fldChar w:fldCharType="begin"/>
      </w:r>
      <w:r w:rsidRPr="000104FD">
        <w:rPr>
          <w:rFonts w:cs="Arial"/>
        </w:rPr>
        <w:instrText xml:space="preserve"> AUTONUM  </w:instrText>
      </w:r>
      <w:r w:rsidRPr="000104FD">
        <w:rPr>
          <w:rFonts w:cs="Arial"/>
        </w:rPr>
        <w:fldChar w:fldCharType="end"/>
      </w:r>
      <w:r w:rsidRPr="000104FD">
        <w:rPr>
          <w:rFonts w:cs="Arial"/>
        </w:rPr>
        <w:tab/>
      </w:r>
      <w:r w:rsidRPr="000104FD">
        <w:t xml:space="preserve">Der CAJ wird ersucht werden, dem Vorschlag des TC zuzustimmen, das </w:t>
      </w:r>
      <w:r w:rsidR="000460DF">
        <w:br/>
      </w:r>
      <w:r w:rsidRPr="000104FD">
        <w:t xml:space="preserve">Dokument TGP/8/4 </w:t>
      </w:r>
      <w:r w:rsidR="00D96051" w:rsidRPr="000104FD">
        <w:t>„</w:t>
      </w:r>
      <w:r w:rsidRPr="000104FD">
        <w:t>Prüfungsanlage und Verfahren für die Prüfung der Unterscheidbarkeit, der Homogenität und der Beständigkeit</w:t>
      </w:r>
      <w:r w:rsidR="00D96051" w:rsidRPr="000104FD">
        <w:t>“</w:t>
      </w:r>
      <w:r w:rsidRPr="000104FD">
        <w:t xml:space="preserve">, wie in Anlage II dieses Dokuments dargelegt, zu ändern. </w:t>
      </w:r>
    </w:p>
    <w:p w14:paraId="63CB02DC" w14:textId="77777777" w:rsidR="00002258" w:rsidRPr="000104FD" w:rsidRDefault="00002258" w:rsidP="00002258"/>
    <w:p w14:paraId="7E39A575" w14:textId="771EA2AD" w:rsidR="00151956" w:rsidRPr="000460DF" w:rsidRDefault="00911C31" w:rsidP="000460DF">
      <w:pPr>
        <w:pStyle w:val="DecisionParagraphs"/>
      </w:pPr>
      <w:r w:rsidRPr="000460DF">
        <w:fldChar w:fldCharType="begin"/>
      </w:r>
      <w:r w:rsidRPr="000460DF">
        <w:instrText xml:space="preserve"> AUTONUM  </w:instrText>
      </w:r>
      <w:r w:rsidRPr="000460DF">
        <w:fldChar w:fldCharType="end"/>
      </w:r>
      <w:r w:rsidRPr="000460DF">
        <w:tab/>
        <w:t xml:space="preserve">Der CAJ wird </w:t>
      </w:r>
      <w:r w:rsidR="00FB0D5D" w:rsidRPr="000460DF">
        <w:t>ersucht</w:t>
      </w:r>
      <w:r w:rsidR="00680983" w:rsidRPr="000460DF">
        <w:t>:</w:t>
      </w:r>
    </w:p>
    <w:p w14:paraId="048D7D28" w14:textId="77777777" w:rsidR="00680983" w:rsidRPr="000460DF" w:rsidRDefault="00680983" w:rsidP="000460DF">
      <w:pPr>
        <w:pStyle w:val="DecisionParagraphs"/>
      </w:pPr>
    </w:p>
    <w:p w14:paraId="4307208D" w14:textId="694C1C1D" w:rsidR="00151956" w:rsidRPr="000460DF" w:rsidRDefault="00422BBE" w:rsidP="000460DF">
      <w:pPr>
        <w:pStyle w:val="DecisionParagraphs"/>
      </w:pPr>
      <w:r w:rsidRPr="000460DF">
        <w:tab/>
        <w:t>a)</w:t>
      </w:r>
      <w:r w:rsidRPr="000460DF">
        <w:tab/>
      </w:r>
      <w:r w:rsidR="00A5777B" w:rsidRPr="000460DF">
        <w:t>die vorgeschlagene Überarbeitung von Dokument TGP/8/4 „Prüfungsanlage und Verfahren für die Prüfung der Unterscheidbarkeit, der Homogenität und der Beständigkeit“, wie in Anlage II dieses Dokuments dargelegt, zu billigen</w:t>
      </w:r>
      <w:r w:rsidR="00680983" w:rsidRPr="000460DF">
        <w:t>; und</w:t>
      </w:r>
    </w:p>
    <w:p w14:paraId="0378A3D5" w14:textId="77777777" w:rsidR="00680983" w:rsidRPr="000460DF" w:rsidRDefault="00680983" w:rsidP="000460DF">
      <w:pPr>
        <w:pStyle w:val="DecisionParagraphs"/>
      </w:pPr>
    </w:p>
    <w:p w14:paraId="4631D75A" w14:textId="125BBFB7" w:rsidR="00151956" w:rsidRPr="000460DF" w:rsidRDefault="00422BBE" w:rsidP="000460DF">
      <w:pPr>
        <w:pStyle w:val="DecisionParagraphs"/>
      </w:pPr>
      <w:r w:rsidRPr="000460DF">
        <w:tab/>
        <w:t xml:space="preserve">b) </w:t>
      </w:r>
      <w:r w:rsidRPr="000460DF">
        <w:tab/>
      </w:r>
      <w:r w:rsidR="00FF0ED1" w:rsidRPr="000460DF">
        <w:t xml:space="preserve">zur Kenntnis zu nehmen, dass dem Rat im Jahr 2022 vorbehaltlich der Zustimmung des CAJ die vorgeschlagene Überarbeitung von </w:t>
      </w:r>
      <w:r w:rsidR="000460DF">
        <w:br/>
      </w:r>
      <w:r w:rsidR="00FF0ED1" w:rsidRPr="000460DF">
        <w:t>Dokument TGP/8/</w:t>
      </w:r>
      <w:r w:rsidR="00FA6880" w:rsidRPr="000460DF">
        <w:t>4, in Anlage II dieses Dokuments, v</w:t>
      </w:r>
      <w:r w:rsidR="00FF0ED1" w:rsidRPr="000460DF">
        <w:t>orgelegt werden wird</w:t>
      </w:r>
      <w:r w:rsidR="00680983" w:rsidRPr="000460DF">
        <w:t>.</w:t>
      </w:r>
    </w:p>
    <w:p w14:paraId="011F81A6" w14:textId="77777777" w:rsidR="00680983" w:rsidRPr="000104FD" w:rsidRDefault="00680983" w:rsidP="00680983">
      <w:pPr>
        <w:pStyle w:val="DecisionParagraphs"/>
        <w:ind w:left="5230"/>
      </w:pPr>
    </w:p>
    <w:p w14:paraId="30BD6AA3" w14:textId="77777777" w:rsidR="00680983" w:rsidRPr="000104FD" w:rsidRDefault="00680983" w:rsidP="00680983">
      <w:pPr>
        <w:pStyle w:val="DecisionParagraphs"/>
        <w:ind w:left="5230"/>
      </w:pPr>
    </w:p>
    <w:p w14:paraId="6DB0C4EE" w14:textId="77777777" w:rsidR="00171305" w:rsidRPr="000104FD" w:rsidRDefault="00171305" w:rsidP="00171305">
      <w:pPr>
        <w:pStyle w:val="DecisionParagraphs"/>
      </w:pPr>
    </w:p>
    <w:p w14:paraId="317FE260" w14:textId="44EC40A0" w:rsidR="00151956" w:rsidRPr="000104FD" w:rsidRDefault="001266C4" w:rsidP="00373FF7">
      <w:pPr>
        <w:pStyle w:val="Heading2"/>
      </w:pPr>
      <w:bookmarkStart w:id="24" w:name="_Toc107949450"/>
      <w:bookmarkStart w:id="25" w:name="_Toc109767715"/>
      <w:r w:rsidRPr="000104FD">
        <w:t>TGP/12: Anleitung zu bestimmten physiologischen Merkmalen (Überarbeitung) (Anlage III</w:t>
      </w:r>
      <w:r w:rsidR="00911C31" w:rsidRPr="000104FD">
        <w:t>)</w:t>
      </w:r>
      <w:bookmarkEnd w:id="24"/>
      <w:bookmarkEnd w:id="25"/>
    </w:p>
    <w:p w14:paraId="121C3B25" w14:textId="77777777" w:rsidR="00002258" w:rsidRPr="000104FD" w:rsidRDefault="00002258" w:rsidP="00373FF7">
      <w:pPr>
        <w:pStyle w:val="Heading2"/>
        <w:rPr>
          <w:snapToGrid w:val="0"/>
        </w:rPr>
      </w:pPr>
    </w:p>
    <w:p w14:paraId="6015ABBE" w14:textId="19CC1871" w:rsidR="00151956" w:rsidRPr="000104FD" w:rsidRDefault="00911C31" w:rsidP="000460DF">
      <w:r w:rsidRPr="000104FD">
        <w:fldChar w:fldCharType="begin"/>
      </w:r>
      <w:r w:rsidRPr="000104FD">
        <w:instrText xml:space="preserve"> AUTONUM  </w:instrText>
      </w:r>
      <w:r w:rsidRPr="000104FD">
        <w:fldChar w:fldCharType="end"/>
      </w:r>
      <w:r w:rsidRPr="000104FD">
        <w:tab/>
        <w:t xml:space="preserve">Der CAJ wird ersucht werden, dem Vorschlag des TC zuzustimmen, das Dokument TGP/12/2 </w:t>
      </w:r>
      <w:r w:rsidR="001266C4" w:rsidRPr="000104FD">
        <w:t>„</w:t>
      </w:r>
      <w:r w:rsidRPr="000104FD">
        <w:t>Anleitung zu bestimmten physiologischen Merkmalen</w:t>
      </w:r>
      <w:r w:rsidR="001266C4" w:rsidRPr="000104FD">
        <w:t>“</w:t>
      </w:r>
      <w:r w:rsidRPr="000104FD">
        <w:t xml:space="preserve">, wie in Anlage III dieses Dokuments dargelegt, zu ändern. </w:t>
      </w:r>
    </w:p>
    <w:p w14:paraId="3A6A85CB" w14:textId="77777777" w:rsidR="00002258" w:rsidRPr="000104FD" w:rsidRDefault="00002258" w:rsidP="00002258">
      <w:pPr>
        <w:keepNext/>
      </w:pPr>
    </w:p>
    <w:p w14:paraId="239B9A8F" w14:textId="42360D67" w:rsidR="00151956" w:rsidRPr="000460DF" w:rsidRDefault="00911C31" w:rsidP="000460DF">
      <w:pPr>
        <w:pStyle w:val="DecisionParagraphs"/>
      </w:pPr>
      <w:r w:rsidRPr="000460DF">
        <w:fldChar w:fldCharType="begin"/>
      </w:r>
      <w:r w:rsidRPr="000460DF">
        <w:instrText xml:space="preserve"> AUTONUM  </w:instrText>
      </w:r>
      <w:r w:rsidRPr="000460DF">
        <w:fldChar w:fldCharType="end"/>
      </w:r>
      <w:r w:rsidRPr="000460DF">
        <w:tab/>
        <w:t xml:space="preserve">Der CAJ wird </w:t>
      </w:r>
      <w:r w:rsidR="00FB0D5D" w:rsidRPr="000460DF">
        <w:t>ersucht</w:t>
      </w:r>
      <w:r w:rsidR="00680983" w:rsidRPr="000460DF">
        <w:t>:</w:t>
      </w:r>
    </w:p>
    <w:p w14:paraId="23852350" w14:textId="77777777" w:rsidR="00680983" w:rsidRPr="000460DF" w:rsidRDefault="00680983" w:rsidP="000460DF">
      <w:pPr>
        <w:pStyle w:val="DecisionParagraphs"/>
      </w:pPr>
    </w:p>
    <w:p w14:paraId="45A872DA" w14:textId="3D4B37C3" w:rsidR="00151956" w:rsidRPr="000460DF" w:rsidRDefault="001266C4" w:rsidP="000460DF">
      <w:pPr>
        <w:pStyle w:val="DecisionParagraphs"/>
      </w:pPr>
      <w:r w:rsidRPr="000460DF">
        <w:tab/>
        <w:t>a)</w:t>
      </w:r>
      <w:r w:rsidRPr="000460DF">
        <w:tab/>
      </w:r>
      <w:r w:rsidR="00B874B5" w:rsidRPr="000460DF">
        <w:t>die vorgeschlagene Überarbeitung von Dokument TGP/12/2 „Anleitung zu bestimmten physiologischen Merkmalen“, wie in Anlage III dieses Dokuments dargelegt, zu billigen</w:t>
      </w:r>
      <w:r w:rsidR="00680983" w:rsidRPr="000460DF">
        <w:t>; und</w:t>
      </w:r>
    </w:p>
    <w:p w14:paraId="6A4AF746" w14:textId="77777777" w:rsidR="00F82B40" w:rsidRPr="000460DF" w:rsidRDefault="00F82B40" w:rsidP="000460DF">
      <w:pPr>
        <w:pStyle w:val="DecisionParagraphs"/>
      </w:pPr>
    </w:p>
    <w:p w14:paraId="58FD2FB7" w14:textId="0243E3B4" w:rsidR="00151956" w:rsidRPr="000460DF" w:rsidRDefault="001266C4" w:rsidP="000460DF">
      <w:pPr>
        <w:pStyle w:val="DecisionParagraphs"/>
      </w:pPr>
      <w:r w:rsidRPr="000460DF">
        <w:tab/>
        <w:t xml:space="preserve">b) </w:t>
      </w:r>
      <w:r w:rsidRPr="000460DF">
        <w:tab/>
      </w:r>
      <w:r w:rsidR="00422E97" w:rsidRPr="000460DF">
        <w:t>zur Kenntnis zu nehmen, dass dem Rat im Jahr 2022 vorbehaltlich der Zustimmung des CAJ die vorgeschlagene Überarbeitung von Dokument TGP/12/</w:t>
      </w:r>
      <w:r w:rsidR="00FA6880" w:rsidRPr="000460DF">
        <w:t>2, in Anlage III dieses Dokuments, z</w:t>
      </w:r>
      <w:r w:rsidR="00422E97" w:rsidRPr="000460DF">
        <w:t>ur Annahme vorgelegt werden wird</w:t>
      </w:r>
      <w:r w:rsidR="00911C31" w:rsidRPr="000460DF">
        <w:t>.</w:t>
      </w:r>
    </w:p>
    <w:p w14:paraId="041C5FEB" w14:textId="77777777" w:rsidR="00002258" w:rsidRPr="000104FD" w:rsidRDefault="00002258" w:rsidP="00002258"/>
    <w:p w14:paraId="4F986514" w14:textId="77777777" w:rsidR="00002258" w:rsidRPr="000104FD" w:rsidRDefault="00002258" w:rsidP="00002258">
      <w:pPr>
        <w:jc w:val="right"/>
      </w:pPr>
    </w:p>
    <w:p w14:paraId="246A9EA3" w14:textId="074C04A8" w:rsidR="00151956" w:rsidRPr="005F5534" w:rsidRDefault="00911C31">
      <w:pPr>
        <w:jc w:val="right"/>
      </w:pPr>
      <w:r w:rsidRPr="000104FD">
        <w:t>[</w:t>
      </w:r>
      <w:r w:rsidR="00104108" w:rsidRPr="000104FD">
        <w:t>Anlagen</w:t>
      </w:r>
      <w:r w:rsidRPr="000104FD">
        <w:t xml:space="preserve"> folgen]</w:t>
      </w:r>
    </w:p>
    <w:p w14:paraId="29549C0C" w14:textId="3FA196B1" w:rsidR="00903264" w:rsidRDefault="00903264">
      <w:pPr>
        <w:jc w:val="left"/>
      </w:pPr>
    </w:p>
    <w:p w14:paraId="351EC796" w14:textId="78DBA3AD" w:rsidR="008F6729" w:rsidRDefault="008F6729">
      <w:pPr>
        <w:jc w:val="left"/>
      </w:pPr>
    </w:p>
    <w:p w14:paraId="554AEC05" w14:textId="77777777" w:rsidR="008F6729" w:rsidRDefault="008F6729">
      <w:pPr>
        <w:jc w:val="left"/>
        <w:sectPr w:rsidR="008F6729" w:rsidSect="000460DF">
          <w:headerReference w:type="even" r:id="rId10"/>
          <w:pgSz w:w="11907" w:h="16840" w:code="9"/>
          <w:pgMar w:top="510" w:right="1134" w:bottom="1134" w:left="1134" w:header="510" w:footer="680" w:gutter="0"/>
          <w:pgNumType w:start="1"/>
          <w:cols w:space="720"/>
          <w:titlePg/>
          <w:docGrid w:linePitch="272"/>
        </w:sectPr>
      </w:pPr>
    </w:p>
    <w:p w14:paraId="7F594C2F" w14:textId="6D46D24C" w:rsidR="008F6729" w:rsidRPr="00171CB2" w:rsidRDefault="008F6729" w:rsidP="008F6729">
      <w:pPr>
        <w:jc w:val="center"/>
      </w:pPr>
      <w:r>
        <w:lastRenderedPageBreak/>
        <w:t>CAJ/79/3</w:t>
      </w:r>
    </w:p>
    <w:p w14:paraId="1FCCB1B2" w14:textId="77777777" w:rsidR="008F6729" w:rsidRPr="00171CB2" w:rsidRDefault="008F6729" w:rsidP="008F6729">
      <w:pPr>
        <w:jc w:val="center"/>
      </w:pPr>
    </w:p>
    <w:p w14:paraId="0AC9AEA4" w14:textId="77777777" w:rsidR="008F6729" w:rsidRPr="00171CB2" w:rsidRDefault="008F6729" w:rsidP="008F6729">
      <w:pPr>
        <w:jc w:val="center"/>
      </w:pPr>
      <w:r w:rsidRPr="00171CB2">
        <w:t>ANLAGE I</w:t>
      </w:r>
    </w:p>
    <w:p w14:paraId="763D8D29" w14:textId="77777777" w:rsidR="008F6729" w:rsidRPr="00171CB2" w:rsidRDefault="008F6729" w:rsidP="008F6729"/>
    <w:p w14:paraId="325D57F4" w14:textId="77777777" w:rsidR="008F6729" w:rsidRPr="00171CB2" w:rsidRDefault="008F6729" w:rsidP="008F6729"/>
    <w:p w14:paraId="4204016F" w14:textId="77777777" w:rsidR="008F6729" w:rsidRPr="00171CB2" w:rsidRDefault="008F6729" w:rsidP="008F6729">
      <w:pPr>
        <w:rPr>
          <w:u w:val="single"/>
        </w:rPr>
      </w:pPr>
      <w:r w:rsidRPr="00171CB2">
        <w:rPr>
          <w:u w:val="single"/>
        </w:rPr>
        <w:t>Dokument UPOV/EXN/DEN: Erläuterungen zu Sortenbezeichnungen nach dem UPOV-Übereinkommen (Überarbeitung)</w:t>
      </w:r>
    </w:p>
    <w:p w14:paraId="2EB7D857" w14:textId="77777777" w:rsidR="008F6729" w:rsidRPr="00171CB2" w:rsidRDefault="008F6729" w:rsidP="008F6729"/>
    <w:p w14:paraId="5DF3535A" w14:textId="77777777" w:rsidR="008F6729" w:rsidRPr="00171CB2" w:rsidRDefault="008F6729" w:rsidP="008F6729">
      <w:pPr>
        <w:rPr>
          <w:i/>
        </w:rPr>
      </w:pPr>
      <w:r w:rsidRPr="00171CB2">
        <w:rPr>
          <w:i/>
        </w:rPr>
        <w:t xml:space="preserve">Überarbeitung der Sortenbezeichnungsklasse 201 </w:t>
      </w:r>
    </w:p>
    <w:p w14:paraId="5AD1840D" w14:textId="77777777" w:rsidR="008F6729" w:rsidRPr="00171CB2" w:rsidRDefault="008F6729" w:rsidP="008F6729"/>
    <w:p w14:paraId="32C3D731" w14:textId="6D2557F8" w:rsidR="008F6729" w:rsidRPr="00171CB2" w:rsidRDefault="008F6729" w:rsidP="008F6729">
      <w:r w:rsidRPr="00171CB2">
        <w:t xml:space="preserve">Der TC prüfte auf seiner siebenundfünfzigsten Tagung, die am 25. und 26. Oktober 2021 auf elektronischem Wege abgehalten wurde, einen Vorschlag zur Überarbeitung von Dokument UPOV/EXN/DEN/1, Anlage I, </w:t>
      </w:r>
      <w:r w:rsidR="006D3F3D">
        <w:br/>
      </w:r>
      <w:r w:rsidRPr="00171CB2">
        <w:t>Teil II „Klassen, die mehr als eine Gattung umfassen“, und vereinbarte, die Gattung „</w:t>
      </w:r>
      <w:r w:rsidRPr="00171CB2">
        <w:rPr>
          <w:i/>
          <w:iCs/>
        </w:rPr>
        <w:t>×Trititrigia</w:t>
      </w:r>
      <w:r w:rsidRPr="00171CB2">
        <w:t xml:space="preserve">“ mit folgendem Wortlaut in Sortenbezeichnungsklasse 201 aufzunehmen </w:t>
      </w:r>
      <w:r w:rsidR="006D3F3D">
        <w:br/>
      </w:r>
      <w:r w:rsidRPr="00171CB2">
        <w:t>(vergleiche Dokument TC/57/25 „Bericht“, Absatz 34):</w:t>
      </w:r>
    </w:p>
    <w:p w14:paraId="1E233EEE" w14:textId="77777777" w:rsidR="008F6729" w:rsidRPr="00171CB2" w:rsidRDefault="008F6729" w:rsidP="008F6729">
      <w:pPr>
        <w:rPr>
          <w:rFonts w:cs="Arial"/>
        </w:rPr>
      </w:pPr>
    </w:p>
    <w:p w14:paraId="4931F8EB" w14:textId="77777777" w:rsidR="008F6729" w:rsidRPr="00171CB2" w:rsidRDefault="008F6729" w:rsidP="008F6729">
      <w:pPr>
        <w:jc w:val="center"/>
        <w:rPr>
          <w:u w:val="single"/>
        </w:rPr>
      </w:pPr>
      <w:r w:rsidRPr="00171CB2">
        <w:t>KLASSENLISTE (Teil II)</w:t>
      </w:r>
    </w:p>
    <w:p w14:paraId="1D271BA7" w14:textId="77777777" w:rsidR="008F6729" w:rsidRPr="00171CB2" w:rsidRDefault="008F6729" w:rsidP="008F6729"/>
    <w:p w14:paraId="005C85B4" w14:textId="77777777" w:rsidR="008F6729" w:rsidRPr="00171CB2" w:rsidRDefault="008F6729" w:rsidP="008F6729">
      <w:pPr>
        <w:jc w:val="center"/>
        <w:rPr>
          <w:i/>
        </w:rPr>
      </w:pPr>
      <w:r w:rsidRPr="00171CB2">
        <w:rPr>
          <w:i/>
        </w:rPr>
        <w:t>Klassen, die mehr als eine Gattung umfassen</w:t>
      </w:r>
      <w:r w:rsidRPr="00171CB2">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8F6729" w:rsidRPr="00171CB2" w14:paraId="27723CF9" w14:textId="77777777" w:rsidTr="002002EE">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1E80F" w14:textId="77777777" w:rsidR="008F6729" w:rsidRPr="00171CB2" w:rsidRDefault="008F6729" w:rsidP="002002EE">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B084F5" w14:textId="77777777" w:rsidR="008F6729" w:rsidRPr="00171CB2" w:rsidRDefault="008F6729" w:rsidP="002002EE">
            <w:pPr>
              <w:spacing w:before="40" w:after="40"/>
              <w:jc w:val="center"/>
              <w:rPr>
                <w:sz w:val="18"/>
                <w:szCs w:val="18"/>
              </w:rPr>
            </w:pPr>
            <w:r w:rsidRPr="00171CB2">
              <w:rPr>
                <w:sz w:val="18"/>
                <w:szCs w:val="18"/>
              </w:rPr>
              <w:t>Botanische Namen</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97675" w14:textId="77777777" w:rsidR="008F6729" w:rsidRPr="00171CB2" w:rsidRDefault="008F6729" w:rsidP="002002EE">
            <w:pPr>
              <w:spacing w:before="40" w:after="40"/>
              <w:jc w:val="center"/>
              <w:rPr>
                <w:sz w:val="18"/>
                <w:szCs w:val="18"/>
              </w:rPr>
            </w:pPr>
            <w:r w:rsidRPr="00171CB2">
              <w:rPr>
                <w:sz w:val="18"/>
                <w:szCs w:val="18"/>
              </w:rPr>
              <w:t>UPOV-Codes</w:t>
            </w:r>
          </w:p>
        </w:tc>
      </w:tr>
      <w:tr w:rsidR="008F6729" w:rsidRPr="00171CB2" w14:paraId="19386304" w14:textId="77777777" w:rsidTr="002002EE">
        <w:trPr>
          <w:cantSplit/>
          <w:tblHeader/>
        </w:trPr>
        <w:tc>
          <w:tcPr>
            <w:tcW w:w="1277" w:type="dxa"/>
            <w:tcBorders>
              <w:top w:val="nil"/>
              <w:left w:val="nil"/>
              <w:bottom w:val="nil"/>
              <w:right w:val="nil"/>
            </w:tcBorders>
          </w:tcPr>
          <w:p w14:paraId="6499E775" w14:textId="77777777" w:rsidR="008F6729" w:rsidRPr="00171CB2" w:rsidRDefault="008F6729" w:rsidP="002002EE">
            <w:pPr>
              <w:keepNext/>
              <w:spacing w:before="40" w:after="40"/>
              <w:jc w:val="left"/>
              <w:rPr>
                <w:sz w:val="10"/>
                <w:szCs w:val="18"/>
              </w:rPr>
            </w:pPr>
          </w:p>
        </w:tc>
        <w:tc>
          <w:tcPr>
            <w:tcW w:w="4473" w:type="dxa"/>
            <w:tcBorders>
              <w:top w:val="nil"/>
              <w:left w:val="nil"/>
              <w:bottom w:val="nil"/>
              <w:right w:val="nil"/>
            </w:tcBorders>
          </w:tcPr>
          <w:p w14:paraId="7F516CE2" w14:textId="77777777" w:rsidR="008F6729" w:rsidRPr="00171CB2" w:rsidRDefault="008F6729" w:rsidP="002002EE">
            <w:pPr>
              <w:keepNext/>
              <w:spacing w:before="40" w:after="40"/>
              <w:jc w:val="left"/>
              <w:rPr>
                <w:sz w:val="10"/>
                <w:szCs w:val="18"/>
              </w:rPr>
            </w:pPr>
          </w:p>
        </w:tc>
        <w:tc>
          <w:tcPr>
            <w:tcW w:w="4034" w:type="dxa"/>
            <w:tcBorders>
              <w:top w:val="nil"/>
              <w:left w:val="nil"/>
              <w:bottom w:val="nil"/>
              <w:right w:val="nil"/>
            </w:tcBorders>
          </w:tcPr>
          <w:p w14:paraId="71CB2431" w14:textId="77777777" w:rsidR="008F6729" w:rsidRPr="00171CB2" w:rsidRDefault="008F6729" w:rsidP="002002EE">
            <w:pPr>
              <w:keepNext/>
              <w:spacing w:before="40" w:after="40"/>
              <w:jc w:val="left"/>
              <w:rPr>
                <w:sz w:val="10"/>
                <w:szCs w:val="18"/>
              </w:rPr>
            </w:pPr>
          </w:p>
        </w:tc>
      </w:tr>
      <w:tr w:rsidR="008F6729" w:rsidRPr="00171CB2" w14:paraId="6B603E6F" w14:textId="77777777" w:rsidTr="002002EE">
        <w:trPr>
          <w:cantSplit/>
        </w:trPr>
        <w:tc>
          <w:tcPr>
            <w:tcW w:w="1277" w:type="dxa"/>
            <w:tcBorders>
              <w:top w:val="single" w:sz="4" w:space="0" w:color="auto"/>
              <w:left w:val="single" w:sz="4" w:space="0" w:color="auto"/>
              <w:bottom w:val="single" w:sz="4" w:space="0" w:color="auto"/>
              <w:right w:val="single" w:sz="4" w:space="0" w:color="auto"/>
            </w:tcBorders>
            <w:hideMark/>
          </w:tcPr>
          <w:p w14:paraId="233B43A2" w14:textId="77777777" w:rsidR="008F6729" w:rsidRPr="00171CB2" w:rsidRDefault="008F6729" w:rsidP="002002EE">
            <w:pPr>
              <w:spacing w:before="40" w:after="40"/>
              <w:jc w:val="left"/>
              <w:rPr>
                <w:sz w:val="18"/>
                <w:szCs w:val="18"/>
              </w:rPr>
            </w:pPr>
            <w:r w:rsidRPr="00171CB2">
              <w:rPr>
                <w:sz w:val="18"/>
                <w:szCs w:val="18"/>
              </w:rPr>
              <w:t>Klasse 201</w:t>
            </w:r>
          </w:p>
        </w:tc>
        <w:tc>
          <w:tcPr>
            <w:tcW w:w="4473" w:type="dxa"/>
            <w:tcBorders>
              <w:top w:val="single" w:sz="4" w:space="0" w:color="auto"/>
              <w:left w:val="single" w:sz="4" w:space="0" w:color="auto"/>
              <w:bottom w:val="single" w:sz="4" w:space="0" w:color="auto"/>
              <w:right w:val="single" w:sz="4" w:space="0" w:color="auto"/>
            </w:tcBorders>
            <w:hideMark/>
          </w:tcPr>
          <w:p w14:paraId="339E53A7" w14:textId="77777777" w:rsidR="008F6729" w:rsidRPr="00171CB2" w:rsidRDefault="008F6729" w:rsidP="002002EE">
            <w:pPr>
              <w:keepNext/>
              <w:spacing w:before="40" w:after="40"/>
              <w:jc w:val="left"/>
              <w:rPr>
                <w:sz w:val="18"/>
                <w:szCs w:val="18"/>
              </w:rPr>
            </w:pPr>
            <w:r w:rsidRPr="00171CB2">
              <w:rPr>
                <w:i/>
                <w:sz w:val="18"/>
                <w:szCs w:val="18"/>
              </w:rPr>
              <w:t>Secale</w:t>
            </w:r>
            <w:r w:rsidRPr="00171CB2">
              <w:rPr>
                <w:sz w:val="18"/>
                <w:szCs w:val="18"/>
              </w:rPr>
              <w:t xml:space="preserve">, </w:t>
            </w:r>
            <w:r w:rsidRPr="00171CB2">
              <w:rPr>
                <w:i/>
                <w:sz w:val="18"/>
                <w:szCs w:val="18"/>
              </w:rPr>
              <w:t>Triticale</w:t>
            </w:r>
            <w:r w:rsidRPr="00171CB2">
              <w:rPr>
                <w:iCs/>
                <w:sz w:val="18"/>
                <w:szCs w:val="18"/>
              </w:rPr>
              <w:t xml:space="preserve">, </w:t>
            </w:r>
            <w:r w:rsidRPr="00171CB2">
              <w:rPr>
                <w:i/>
                <w:sz w:val="18"/>
                <w:szCs w:val="18"/>
              </w:rPr>
              <w:t xml:space="preserve">Triticum, </w:t>
            </w:r>
            <w:r w:rsidRPr="00171CB2">
              <w:rPr>
                <w:rFonts w:cs="Arial"/>
                <w:i/>
                <w:sz w:val="18"/>
                <w:u w:val="single"/>
                <w:shd w:val="pct15" w:color="auto" w:fill="FFFFFF"/>
              </w:rPr>
              <w:t>×Trititrigia</w:t>
            </w:r>
          </w:p>
        </w:tc>
        <w:tc>
          <w:tcPr>
            <w:tcW w:w="4034" w:type="dxa"/>
            <w:tcBorders>
              <w:top w:val="single" w:sz="4" w:space="0" w:color="auto"/>
              <w:left w:val="single" w:sz="4" w:space="0" w:color="auto"/>
              <w:bottom w:val="single" w:sz="4" w:space="0" w:color="auto"/>
              <w:right w:val="single" w:sz="4" w:space="0" w:color="auto"/>
            </w:tcBorders>
            <w:hideMark/>
          </w:tcPr>
          <w:p w14:paraId="5BFBF12D" w14:textId="77777777" w:rsidR="008F6729" w:rsidRPr="00171CB2" w:rsidRDefault="008F6729" w:rsidP="002002EE">
            <w:pPr>
              <w:keepNext/>
              <w:spacing w:before="40" w:after="40"/>
              <w:jc w:val="left"/>
              <w:rPr>
                <w:sz w:val="18"/>
                <w:szCs w:val="18"/>
              </w:rPr>
            </w:pPr>
            <w:r w:rsidRPr="00171CB2">
              <w:rPr>
                <w:sz w:val="18"/>
                <w:szCs w:val="18"/>
              </w:rPr>
              <w:t xml:space="preserve">SECAL; TRITL; TRITI; </w:t>
            </w:r>
            <w:r w:rsidRPr="00171CB2">
              <w:rPr>
                <w:sz w:val="18"/>
                <w:szCs w:val="18"/>
                <w:u w:val="single"/>
                <w:shd w:val="pct15" w:color="auto" w:fill="FFFFFF"/>
              </w:rPr>
              <w:t>TRITT</w:t>
            </w:r>
          </w:p>
        </w:tc>
      </w:tr>
    </w:tbl>
    <w:p w14:paraId="66482886" w14:textId="77777777" w:rsidR="008F6729" w:rsidRPr="00171CB2" w:rsidRDefault="008F6729" w:rsidP="008F6729">
      <w:pPr>
        <w:ind w:left="1134" w:hanging="567"/>
      </w:pPr>
    </w:p>
    <w:p w14:paraId="794794C9" w14:textId="77777777" w:rsidR="008F6729" w:rsidRPr="00171CB2" w:rsidRDefault="008F6729" w:rsidP="008F6729">
      <w:pPr>
        <w:ind w:left="-142" w:right="312"/>
        <w:jc w:val="right"/>
      </w:pPr>
    </w:p>
    <w:p w14:paraId="4A23E9BE" w14:textId="77777777" w:rsidR="008F6729" w:rsidRPr="00171CB2" w:rsidRDefault="008F6729" w:rsidP="008F6729">
      <w:pPr>
        <w:jc w:val="left"/>
      </w:pPr>
    </w:p>
    <w:p w14:paraId="5ECAE847" w14:textId="77777777" w:rsidR="008F6729" w:rsidRPr="00171CB2" w:rsidRDefault="008F6729" w:rsidP="008F6729">
      <w:pPr>
        <w:jc w:val="left"/>
      </w:pPr>
    </w:p>
    <w:p w14:paraId="293DC5DC" w14:textId="77777777" w:rsidR="008F6729" w:rsidRPr="00171CB2" w:rsidRDefault="008F6729" w:rsidP="008F6729">
      <w:pPr>
        <w:jc w:val="left"/>
      </w:pPr>
    </w:p>
    <w:p w14:paraId="41DC4923" w14:textId="77777777" w:rsidR="008F6729" w:rsidRPr="00171CB2" w:rsidRDefault="008F6729" w:rsidP="008F6729">
      <w:pPr>
        <w:jc w:val="left"/>
      </w:pPr>
    </w:p>
    <w:p w14:paraId="3AEE90BE" w14:textId="77777777" w:rsidR="008F6729" w:rsidRPr="00171CB2" w:rsidRDefault="008F6729" w:rsidP="008F6729">
      <w:pPr>
        <w:jc w:val="right"/>
      </w:pPr>
      <w:r w:rsidRPr="00171CB2">
        <w:t>[Anlage II folgt]</w:t>
      </w:r>
    </w:p>
    <w:p w14:paraId="6D33985F" w14:textId="77777777" w:rsidR="008F6729" w:rsidRPr="00171CB2" w:rsidRDefault="008F6729" w:rsidP="008F6729">
      <w:pPr>
        <w:sectPr w:rsidR="008F6729" w:rsidRPr="00171CB2" w:rsidSect="0004198B">
          <w:pgSz w:w="11907" w:h="16840" w:code="9"/>
          <w:pgMar w:top="510" w:right="1134" w:bottom="1134" w:left="1134" w:header="510" w:footer="680" w:gutter="0"/>
          <w:pgNumType w:start="1"/>
          <w:cols w:space="720"/>
          <w:titlePg/>
        </w:sectPr>
      </w:pPr>
    </w:p>
    <w:p w14:paraId="6F695C0F" w14:textId="1992A75A" w:rsidR="008F6729" w:rsidRPr="00171CB2" w:rsidRDefault="008F6729" w:rsidP="008F6729">
      <w:pPr>
        <w:jc w:val="center"/>
      </w:pPr>
      <w:r>
        <w:lastRenderedPageBreak/>
        <w:t>CAJ/79/3</w:t>
      </w:r>
    </w:p>
    <w:p w14:paraId="37FDACDA" w14:textId="77777777" w:rsidR="008F6729" w:rsidRPr="00171CB2" w:rsidRDefault="008F6729" w:rsidP="008F6729">
      <w:pPr>
        <w:jc w:val="center"/>
      </w:pPr>
    </w:p>
    <w:p w14:paraId="19DCF559" w14:textId="77777777" w:rsidR="008F6729" w:rsidRPr="00171CB2" w:rsidRDefault="008F6729" w:rsidP="008F6729">
      <w:pPr>
        <w:jc w:val="center"/>
      </w:pPr>
      <w:r w:rsidRPr="00171CB2">
        <w:t>ANLAGE II</w:t>
      </w:r>
    </w:p>
    <w:p w14:paraId="4CBD1C1E" w14:textId="77777777" w:rsidR="008F6729" w:rsidRPr="00171CB2" w:rsidRDefault="008F6729" w:rsidP="008F6729"/>
    <w:p w14:paraId="0DEC7B00" w14:textId="77777777" w:rsidR="008F6729" w:rsidRPr="00171CB2" w:rsidRDefault="008F6729" w:rsidP="008F6729"/>
    <w:p w14:paraId="44376925" w14:textId="77777777" w:rsidR="008F6729" w:rsidRPr="00171CB2" w:rsidRDefault="008F6729" w:rsidP="008F6729">
      <w:pPr>
        <w:rPr>
          <w:u w:val="single"/>
        </w:rPr>
      </w:pPr>
      <w:r w:rsidRPr="00171CB2">
        <w:rPr>
          <w:u w:val="single"/>
        </w:rPr>
        <w:t>Dokument TGP/8: Prüfungsanlage und Verfahren für die Prüfung der Unterscheidbarkeit, der Homogenität und der Beständigkeit (Überarbeitung)</w:t>
      </w:r>
    </w:p>
    <w:p w14:paraId="1CC9887C" w14:textId="77777777" w:rsidR="008F6729" w:rsidRPr="00171CB2" w:rsidRDefault="008F6729" w:rsidP="008F6729">
      <w:pPr>
        <w:keepNext/>
      </w:pPr>
    </w:p>
    <w:p w14:paraId="7A85C0EE" w14:textId="77777777" w:rsidR="008F6729" w:rsidRPr="00171CB2" w:rsidRDefault="008F6729" w:rsidP="008F6729">
      <w:pPr>
        <w:rPr>
          <w:rFonts w:eastAsia="MS Mincho"/>
          <w:i/>
        </w:rPr>
      </w:pPr>
      <w:bookmarkStart w:id="26" w:name="_Toc95126324"/>
      <w:r w:rsidRPr="00171CB2">
        <w:rPr>
          <w:rFonts w:eastAsia="MS Mincho"/>
          <w:i/>
        </w:rPr>
        <w:t xml:space="preserve">Datenverarbeitung zur Erstellung von Sortenbeschreibungen für gemessene quantitative Merkmale </w:t>
      </w:r>
      <w:bookmarkEnd w:id="26"/>
    </w:p>
    <w:p w14:paraId="78475A07" w14:textId="77777777" w:rsidR="008F6729" w:rsidRPr="00171CB2" w:rsidRDefault="008F6729" w:rsidP="008F6729"/>
    <w:p w14:paraId="6455AA37" w14:textId="77777777" w:rsidR="008F6729" w:rsidRPr="00171CB2" w:rsidRDefault="008F6729" w:rsidP="008F6729">
      <w:r w:rsidRPr="00171CB2">
        <w:t xml:space="preserve">Der TC stimmte auf seiner siebenundfünfzigsten Tagung, die am 25. und 26. Oktober 2021 auf elektronischem Wege abgehalten wurde, zu, dass die Anleitung zu „Verschiedene Formen, die Sortenbeschreibungen annehmen könnten, und die Bedeutung von Skalenniveaus“ in Dokument TGP/8 </w:t>
      </w:r>
      <w:r w:rsidRPr="00171CB2">
        <w:rPr>
          <w:rFonts w:cs="Arial"/>
        </w:rPr>
        <w:t xml:space="preserve">Teil I Abschnitt 2 „Zu erfassende Daten“ als neuer Abschnitt 2.5 </w:t>
      </w:r>
      <w:r w:rsidRPr="00171CB2">
        <w:t>wie folgt aufgenommen werden soll (vergleiche Dokument TC/57/25 „Bericht“, Absatz 27):</w:t>
      </w:r>
    </w:p>
    <w:p w14:paraId="456FDA92" w14:textId="77777777" w:rsidR="008F6729" w:rsidRPr="00171CB2" w:rsidRDefault="008F6729" w:rsidP="008F6729">
      <w:pPr>
        <w:keepNext/>
      </w:pPr>
    </w:p>
    <w:p w14:paraId="6F20DDAA" w14:textId="77777777" w:rsidR="008F6729" w:rsidRPr="00171CB2" w:rsidRDefault="008F6729" w:rsidP="008F6729">
      <w:pPr>
        <w:jc w:val="center"/>
      </w:pPr>
    </w:p>
    <w:p w14:paraId="5AE4BFA9" w14:textId="77777777" w:rsidR="008F6729" w:rsidRPr="00171CB2" w:rsidRDefault="008F6729" w:rsidP="008F6729">
      <w:pPr>
        <w:jc w:val="center"/>
        <w:rPr>
          <w:sz w:val="18"/>
        </w:rPr>
      </w:pPr>
      <w:r w:rsidRPr="00171CB2">
        <w:rPr>
          <w:sz w:val="18"/>
        </w:rPr>
        <w:t>„VERSCHIEDENE FORMEN, DIE SORTENBESCHREIBUNGEN ANNEHMEN KÖNNTEN, UND DIE BEDEUTUNG VON SKALENNIVEAUS</w:t>
      </w:r>
    </w:p>
    <w:p w14:paraId="1499AECF" w14:textId="77777777" w:rsidR="008F6729" w:rsidRPr="00171CB2" w:rsidRDefault="008F6729" w:rsidP="008F6729">
      <w:pPr>
        <w:rPr>
          <w:sz w:val="18"/>
        </w:rPr>
      </w:pPr>
    </w:p>
    <w:p w14:paraId="66D3EAB4" w14:textId="77777777" w:rsidR="008F6729" w:rsidRPr="00171CB2" w:rsidRDefault="008F6729" w:rsidP="008F6729">
      <w:pPr>
        <w:ind w:left="709" w:right="567"/>
        <w:rPr>
          <w:rFonts w:cs="Arial"/>
          <w:sz w:val="18"/>
        </w:rPr>
      </w:pPr>
      <w:r w:rsidRPr="00171CB2">
        <w:rPr>
          <w:rFonts w:cs="Arial"/>
          <w:sz w:val="18"/>
        </w:rPr>
        <w:t>„Sortenbeschreibungen können je nach Zweck der Beschreibung auf verschiedenen Daten basieren. Für die Prüfung der Unterscheidbarkeit oder im amtlichen Dokument, das die Grundlage für die Erteilung des Schutzes bildet, können verschiedene Sortenbeschreibungen verwendet werden. Wenn Sortenbeschreibungen für die Prüfung der Unterscheidbarkeit verwendet werden, ist es wichtig zu berücksichtigen, auf welchen Daten die Beschreibungen für verschiedene Sorten basieren. Besondere Beachtung ist dem potentiellen Einfluss der Jahre und Standorte beizumessen.</w:t>
      </w:r>
    </w:p>
    <w:p w14:paraId="6ADFDB5F" w14:textId="77777777" w:rsidR="008F6729" w:rsidRPr="00171CB2" w:rsidRDefault="008F6729" w:rsidP="008F6729">
      <w:pPr>
        <w:ind w:left="709" w:right="567"/>
        <w:rPr>
          <w:rFonts w:cs="Arial"/>
          <w:sz w:val="18"/>
        </w:rPr>
      </w:pPr>
    </w:p>
    <w:p w14:paraId="28EFBF81" w14:textId="77777777" w:rsidR="008F6729" w:rsidRPr="00171CB2" w:rsidRDefault="008F6729" w:rsidP="008F6729">
      <w:pPr>
        <w:ind w:left="709" w:right="567"/>
        <w:rPr>
          <w:rFonts w:cs="Arial"/>
          <w:sz w:val="18"/>
        </w:rPr>
      </w:pPr>
      <w:r w:rsidRPr="00171CB2">
        <w:rPr>
          <w:rFonts w:cs="Arial"/>
          <w:sz w:val="18"/>
        </w:rPr>
        <w:t>„Die verschiedenen Formen von Sortenbeschreibungen und ihre Bedeutung für die Prüfung der Unterscheidbarkeit lassen sich gemäß den verschiedenen Verfahrensebenen für die Beobachtung eines Merkmals einstufen. Die Verfahrensebenen sind in Dokument TGP/8: Teil I: DUS-Prüfungsanlage und Datenanalyse, Abschnitt 2: Zu erfassende Daten wie folgt definiert:</w:t>
      </w:r>
    </w:p>
    <w:p w14:paraId="1092723C" w14:textId="77777777" w:rsidR="008F6729" w:rsidRPr="00171CB2" w:rsidRDefault="008F6729" w:rsidP="008F6729">
      <w:pPr>
        <w:rPr>
          <w:rFonts w:cs="Arial"/>
        </w:rPr>
      </w:pPr>
    </w:p>
    <w:p w14:paraId="5D352E61" w14:textId="77777777" w:rsidR="008F6729" w:rsidRPr="00171CB2" w:rsidRDefault="008F6729" w:rsidP="008F6729">
      <w:pPr>
        <w:tabs>
          <w:tab w:val="left" w:pos="9072"/>
        </w:tabs>
        <w:autoSpaceDE w:val="0"/>
        <w:autoSpaceDN w:val="0"/>
        <w:adjustRightInd w:val="0"/>
        <w:ind w:left="567"/>
        <w:rPr>
          <w:rFonts w:cs="Arial"/>
          <w:sz w:val="18"/>
        </w:rPr>
      </w:pPr>
      <w:r w:rsidRPr="00171CB2">
        <w:rPr>
          <w:rFonts w:cs="Arial"/>
          <w:i/>
          <w:iCs/>
          <w:position w:val="-1"/>
          <w:sz w:val="18"/>
        </w:rPr>
        <w:t>Tabelle 5: Definition verschiedener Verfahrensebenen zur Betrachtung von Merkmalen</w:t>
      </w:r>
    </w:p>
    <w:p w14:paraId="5C411D1F" w14:textId="77777777" w:rsidR="008F6729" w:rsidRPr="00171CB2" w:rsidRDefault="008F6729" w:rsidP="008F6729">
      <w:pPr>
        <w:autoSpaceDE w:val="0"/>
        <w:autoSpaceDN w:val="0"/>
        <w:adjustRightInd w:val="0"/>
        <w:spacing w:before="2"/>
        <w:rPr>
          <w:rFonts w:cs="Arial"/>
          <w:sz w:val="18"/>
          <w:highlight w:val="lightGray"/>
        </w:rPr>
      </w:pPr>
    </w:p>
    <w:tbl>
      <w:tblPr>
        <w:tblW w:w="0" w:type="auto"/>
        <w:tblInd w:w="572" w:type="dxa"/>
        <w:tblLayout w:type="fixed"/>
        <w:tblCellMar>
          <w:left w:w="0" w:type="dxa"/>
          <w:right w:w="0" w:type="dxa"/>
        </w:tblCellMar>
        <w:tblLook w:val="04A0" w:firstRow="1" w:lastRow="0" w:firstColumn="1" w:lastColumn="0" w:noHBand="0" w:noVBand="1"/>
      </w:tblPr>
      <w:tblGrid>
        <w:gridCol w:w="1680"/>
        <w:gridCol w:w="5245"/>
      </w:tblGrid>
      <w:tr w:rsidR="008F6729" w:rsidRPr="00171CB2" w14:paraId="4C9F43F1" w14:textId="77777777" w:rsidTr="002002EE">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hideMark/>
          </w:tcPr>
          <w:p w14:paraId="49071EF4" w14:textId="77777777" w:rsidR="008F6729" w:rsidRPr="00171CB2" w:rsidRDefault="008F6729" w:rsidP="002002EE">
            <w:pPr>
              <w:autoSpaceDE w:val="0"/>
              <w:autoSpaceDN w:val="0"/>
              <w:adjustRightInd w:val="0"/>
              <w:spacing w:before="37"/>
              <w:ind w:left="35"/>
              <w:jc w:val="center"/>
              <w:rPr>
                <w:rFonts w:cs="Arial"/>
                <w:sz w:val="18"/>
                <w:highlight w:val="lightGray"/>
              </w:rPr>
            </w:pPr>
            <w:r w:rsidRPr="00171CB2">
              <w:rPr>
                <w:rFonts w:cs="Arial"/>
                <w:sz w:val="18"/>
                <w:highlight w:val="lightGray"/>
              </w:rPr>
              <w:t>Verfahrensebene</w:t>
            </w:r>
          </w:p>
        </w:tc>
        <w:tc>
          <w:tcPr>
            <w:tcW w:w="5245" w:type="dxa"/>
            <w:tcBorders>
              <w:top w:val="single" w:sz="4" w:space="0" w:color="auto"/>
              <w:left w:val="single" w:sz="4" w:space="0" w:color="auto"/>
              <w:bottom w:val="single" w:sz="4" w:space="0" w:color="auto"/>
              <w:right w:val="single" w:sz="4" w:space="0" w:color="auto"/>
            </w:tcBorders>
            <w:shd w:val="clear" w:color="auto" w:fill="DFDFDF"/>
            <w:hideMark/>
          </w:tcPr>
          <w:p w14:paraId="313B57AD" w14:textId="77777777" w:rsidR="008F6729" w:rsidRPr="00171CB2" w:rsidRDefault="008F6729" w:rsidP="002002EE">
            <w:pPr>
              <w:autoSpaceDE w:val="0"/>
              <w:autoSpaceDN w:val="0"/>
              <w:adjustRightInd w:val="0"/>
              <w:spacing w:before="37"/>
              <w:ind w:left="231"/>
              <w:rPr>
                <w:rFonts w:cs="Arial"/>
                <w:sz w:val="18"/>
                <w:highlight w:val="lightGray"/>
              </w:rPr>
            </w:pPr>
            <w:r w:rsidRPr="00171CB2">
              <w:rPr>
                <w:rFonts w:cs="Arial"/>
                <w:sz w:val="18"/>
                <w:highlight w:val="lightGray"/>
              </w:rPr>
              <w:t>Beschreibung der Verfahrensebene</w:t>
            </w:r>
          </w:p>
        </w:tc>
      </w:tr>
      <w:tr w:rsidR="008F6729" w:rsidRPr="00E40394" w14:paraId="0053438B" w14:textId="77777777" w:rsidTr="002002EE">
        <w:trPr>
          <w:trHeight w:hRule="exact" w:val="342"/>
        </w:trPr>
        <w:tc>
          <w:tcPr>
            <w:tcW w:w="1680" w:type="dxa"/>
            <w:tcBorders>
              <w:top w:val="single" w:sz="4" w:space="0" w:color="auto"/>
              <w:left w:val="single" w:sz="4" w:space="0" w:color="auto"/>
              <w:bottom w:val="single" w:sz="4" w:space="0" w:color="auto"/>
              <w:right w:val="single" w:sz="4" w:space="0" w:color="auto"/>
            </w:tcBorders>
            <w:hideMark/>
          </w:tcPr>
          <w:p w14:paraId="14FE41F4" w14:textId="77777777" w:rsidR="008F6729" w:rsidRPr="00171CB2" w:rsidRDefault="008F6729" w:rsidP="002002EE">
            <w:pPr>
              <w:autoSpaceDE w:val="0"/>
              <w:autoSpaceDN w:val="0"/>
              <w:adjustRightInd w:val="0"/>
              <w:spacing w:before="37"/>
              <w:ind w:left="60"/>
              <w:jc w:val="center"/>
              <w:rPr>
                <w:rFonts w:cs="Arial"/>
                <w:sz w:val="18"/>
              </w:rPr>
            </w:pPr>
            <w:r w:rsidRPr="00171CB2">
              <w:rPr>
                <w:rFonts w:cs="Arial"/>
                <w:sz w:val="18"/>
              </w:rPr>
              <w:t>1</w:t>
            </w:r>
          </w:p>
        </w:tc>
        <w:tc>
          <w:tcPr>
            <w:tcW w:w="5245" w:type="dxa"/>
            <w:tcBorders>
              <w:top w:val="single" w:sz="4" w:space="0" w:color="auto"/>
              <w:left w:val="single" w:sz="4" w:space="0" w:color="auto"/>
              <w:bottom w:val="single" w:sz="4" w:space="0" w:color="auto"/>
              <w:right w:val="single" w:sz="4" w:space="0" w:color="auto"/>
            </w:tcBorders>
            <w:hideMark/>
          </w:tcPr>
          <w:p w14:paraId="7934F977" w14:textId="77777777" w:rsidR="008F6729" w:rsidRPr="00171CB2" w:rsidRDefault="008F6729" w:rsidP="002002EE">
            <w:pPr>
              <w:autoSpaceDE w:val="0"/>
              <w:autoSpaceDN w:val="0"/>
              <w:adjustRightInd w:val="0"/>
              <w:spacing w:before="37"/>
              <w:ind w:left="231"/>
              <w:rPr>
                <w:rFonts w:cs="Arial"/>
                <w:sz w:val="18"/>
              </w:rPr>
            </w:pPr>
            <w:r w:rsidRPr="00171CB2">
              <w:rPr>
                <w:rFonts w:cs="Arial"/>
                <w:sz w:val="18"/>
              </w:rPr>
              <w:t>Merkmale, wie sie sich in der Anbauprüfung ausprägen</w:t>
            </w:r>
          </w:p>
        </w:tc>
      </w:tr>
      <w:tr w:rsidR="008F6729" w:rsidRPr="00E40394" w14:paraId="364B0D5F" w14:textId="77777777" w:rsidTr="002002EE">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1552E1F9" w14:textId="77777777" w:rsidR="008F6729" w:rsidRPr="00171CB2" w:rsidRDefault="008F6729" w:rsidP="002002EE">
            <w:pPr>
              <w:autoSpaceDE w:val="0"/>
              <w:autoSpaceDN w:val="0"/>
              <w:adjustRightInd w:val="0"/>
              <w:spacing w:before="37"/>
              <w:ind w:left="60"/>
              <w:jc w:val="center"/>
              <w:rPr>
                <w:rFonts w:cs="Arial"/>
                <w:sz w:val="18"/>
              </w:rPr>
            </w:pPr>
            <w:r w:rsidRPr="00171CB2">
              <w:rPr>
                <w:rFonts w:cs="Arial"/>
                <w:sz w:val="18"/>
              </w:rPr>
              <w:t>2</w:t>
            </w:r>
          </w:p>
        </w:tc>
        <w:tc>
          <w:tcPr>
            <w:tcW w:w="5245" w:type="dxa"/>
            <w:tcBorders>
              <w:top w:val="single" w:sz="4" w:space="0" w:color="auto"/>
              <w:left w:val="single" w:sz="4" w:space="0" w:color="auto"/>
              <w:bottom w:val="single" w:sz="4" w:space="0" w:color="auto"/>
              <w:right w:val="single" w:sz="4" w:space="0" w:color="auto"/>
            </w:tcBorders>
            <w:hideMark/>
          </w:tcPr>
          <w:p w14:paraId="27B3C2F6" w14:textId="77777777" w:rsidR="008F6729" w:rsidRPr="00171CB2" w:rsidRDefault="008F6729" w:rsidP="002002EE">
            <w:pPr>
              <w:autoSpaceDE w:val="0"/>
              <w:autoSpaceDN w:val="0"/>
              <w:adjustRightInd w:val="0"/>
              <w:spacing w:before="37"/>
              <w:ind w:left="231"/>
              <w:rPr>
                <w:rFonts w:cs="Arial"/>
                <w:sz w:val="18"/>
              </w:rPr>
            </w:pPr>
            <w:r w:rsidRPr="00171CB2">
              <w:rPr>
                <w:rFonts w:cs="Arial"/>
                <w:sz w:val="18"/>
              </w:rPr>
              <w:t>Daten für die Auswertung von Merkmalen</w:t>
            </w:r>
          </w:p>
        </w:tc>
      </w:tr>
      <w:tr w:rsidR="008F6729" w:rsidRPr="00171CB2" w14:paraId="01065F24" w14:textId="77777777" w:rsidTr="002002EE">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784CD5CB" w14:textId="77777777" w:rsidR="008F6729" w:rsidRPr="00171CB2" w:rsidRDefault="008F6729" w:rsidP="002002EE">
            <w:pPr>
              <w:autoSpaceDE w:val="0"/>
              <w:autoSpaceDN w:val="0"/>
              <w:adjustRightInd w:val="0"/>
              <w:spacing w:before="37"/>
              <w:ind w:left="60"/>
              <w:jc w:val="center"/>
              <w:rPr>
                <w:rFonts w:cs="Arial"/>
                <w:sz w:val="18"/>
              </w:rPr>
            </w:pPr>
            <w:r w:rsidRPr="00171CB2">
              <w:rPr>
                <w:rFonts w:cs="Arial"/>
                <w:sz w:val="18"/>
              </w:rPr>
              <w:t>3</w:t>
            </w:r>
          </w:p>
        </w:tc>
        <w:tc>
          <w:tcPr>
            <w:tcW w:w="5245" w:type="dxa"/>
            <w:tcBorders>
              <w:top w:val="single" w:sz="4" w:space="0" w:color="auto"/>
              <w:left w:val="single" w:sz="4" w:space="0" w:color="auto"/>
              <w:bottom w:val="single" w:sz="4" w:space="0" w:color="auto"/>
              <w:right w:val="single" w:sz="4" w:space="0" w:color="auto"/>
            </w:tcBorders>
            <w:hideMark/>
          </w:tcPr>
          <w:p w14:paraId="36B2B63F" w14:textId="77777777" w:rsidR="008F6729" w:rsidRPr="00171CB2" w:rsidRDefault="008F6729" w:rsidP="002002EE">
            <w:pPr>
              <w:autoSpaceDE w:val="0"/>
              <w:autoSpaceDN w:val="0"/>
              <w:adjustRightInd w:val="0"/>
              <w:spacing w:before="37"/>
              <w:ind w:left="231"/>
              <w:rPr>
                <w:rFonts w:cs="Arial"/>
                <w:sz w:val="18"/>
              </w:rPr>
            </w:pPr>
            <w:r w:rsidRPr="00171CB2">
              <w:rPr>
                <w:rFonts w:cs="Arial"/>
                <w:sz w:val="18"/>
              </w:rPr>
              <w:t>Sortenbeschreibung</w:t>
            </w:r>
          </w:p>
        </w:tc>
      </w:tr>
    </w:tbl>
    <w:p w14:paraId="6C7C89CB" w14:textId="77777777" w:rsidR="008F6729" w:rsidRPr="00171CB2" w:rsidRDefault="008F6729" w:rsidP="008F6729">
      <w:pPr>
        <w:autoSpaceDE w:val="0"/>
        <w:autoSpaceDN w:val="0"/>
        <w:adjustRightInd w:val="0"/>
        <w:spacing w:before="18"/>
        <w:ind w:left="7797"/>
        <w:rPr>
          <w:rFonts w:cs="Arial"/>
          <w:sz w:val="18"/>
        </w:rPr>
      </w:pPr>
    </w:p>
    <w:p w14:paraId="00BF26EA" w14:textId="77777777" w:rsidR="008F6729" w:rsidRPr="00171CB2" w:rsidRDefault="008F6729" w:rsidP="008F6729">
      <w:pPr>
        <w:autoSpaceDE w:val="0"/>
        <w:autoSpaceDN w:val="0"/>
        <w:adjustRightInd w:val="0"/>
        <w:spacing w:before="18"/>
        <w:rPr>
          <w:rFonts w:cs="Arial"/>
        </w:rPr>
      </w:pPr>
    </w:p>
    <w:p w14:paraId="404488E5" w14:textId="77777777" w:rsidR="008F6729" w:rsidRPr="00171CB2" w:rsidRDefault="008F6729" w:rsidP="008F6729">
      <w:pPr>
        <w:ind w:left="567" w:right="567"/>
        <w:rPr>
          <w:rFonts w:cs="Arial"/>
          <w:sz w:val="18"/>
        </w:rPr>
      </w:pPr>
      <w:r w:rsidRPr="00171CB2">
        <w:rPr>
          <w:rFonts w:cs="Arial"/>
          <w:sz w:val="18"/>
        </w:rPr>
        <w:t>„Die für die Prüfung der Unterscheidbarkeit maßgeblichenen Verfahrensebenen sind 2 und 3. Ein Vergleich zwischen Sorten in derselben Anbauprüfung (gleiche(s) Jahr(e), gleicher Standort) wird an den in der Anbauprüfung erfassten tatsächlichen Daten durchgeführt. Dieser Ansatz bezieht sich auf die Verfahrensebene 2. Wenn Sorten nicht in derselben Anbauprüfung angebaut werden, müssen sie auf der Grundlage von Sortenbeschreibungen verglichen werden, die sich auf die Verfahrensebene 3 beziehen. Die Identifikation ähnlicher Sorten, die in den Anbauversuch einbezogen werden sollen („Verwaltung der Sortensammlung“), bezieht sich in der Regel auf die Verfahrensebene 3, während sich die Auswertung der Daten innerhalb des Anbauversuchs auf die Verfahrensebene 2 bezieht.</w:t>
      </w:r>
    </w:p>
    <w:p w14:paraId="20448147" w14:textId="77777777" w:rsidR="008F6729" w:rsidRPr="00171CB2" w:rsidRDefault="008F6729" w:rsidP="008F6729">
      <w:pPr>
        <w:rPr>
          <w:rFonts w:cs="Arial"/>
        </w:rPr>
      </w:pPr>
    </w:p>
    <w:tbl>
      <w:tblPr>
        <w:tblStyle w:val="TableGrid"/>
        <w:tblW w:w="0" w:type="auto"/>
        <w:tblInd w:w="108" w:type="dxa"/>
        <w:tblLook w:val="04A0" w:firstRow="1" w:lastRow="0" w:firstColumn="1" w:lastColumn="0" w:noHBand="0" w:noVBand="1"/>
      </w:tblPr>
      <w:tblGrid>
        <w:gridCol w:w="1598"/>
        <w:gridCol w:w="2231"/>
        <w:gridCol w:w="3004"/>
        <w:gridCol w:w="2688"/>
      </w:tblGrid>
      <w:tr w:rsidR="008F6729" w:rsidRPr="00171CB2" w14:paraId="0D744D71" w14:textId="77777777" w:rsidTr="002002EE">
        <w:tc>
          <w:tcPr>
            <w:tcW w:w="1598" w:type="dxa"/>
            <w:tcBorders>
              <w:top w:val="single" w:sz="4" w:space="0" w:color="auto"/>
              <w:left w:val="single" w:sz="4" w:space="0" w:color="auto"/>
              <w:bottom w:val="single" w:sz="4" w:space="0" w:color="auto"/>
              <w:right w:val="single" w:sz="4" w:space="0" w:color="auto"/>
            </w:tcBorders>
            <w:hideMark/>
          </w:tcPr>
          <w:p w14:paraId="7F2035B0" w14:textId="77777777" w:rsidR="008F6729" w:rsidRPr="00171CB2" w:rsidRDefault="008F6729" w:rsidP="002002EE">
            <w:pPr>
              <w:jc w:val="center"/>
              <w:rPr>
                <w:rFonts w:cs="Arial"/>
                <w:sz w:val="18"/>
              </w:rPr>
            </w:pPr>
            <w:r w:rsidRPr="00171CB2">
              <w:rPr>
                <w:rFonts w:cs="Arial"/>
                <w:sz w:val="18"/>
              </w:rPr>
              <w:t>Verfahrensebene</w:t>
            </w:r>
          </w:p>
        </w:tc>
        <w:tc>
          <w:tcPr>
            <w:tcW w:w="2231" w:type="dxa"/>
            <w:tcBorders>
              <w:top w:val="single" w:sz="4" w:space="0" w:color="auto"/>
              <w:left w:val="single" w:sz="4" w:space="0" w:color="auto"/>
              <w:bottom w:val="single" w:sz="4" w:space="0" w:color="auto"/>
              <w:right w:val="single" w:sz="4" w:space="0" w:color="auto"/>
            </w:tcBorders>
            <w:hideMark/>
          </w:tcPr>
          <w:p w14:paraId="11B8AA49" w14:textId="77777777" w:rsidR="008F6729" w:rsidRPr="00171CB2" w:rsidRDefault="008F6729" w:rsidP="002002EE">
            <w:pPr>
              <w:jc w:val="center"/>
              <w:rPr>
                <w:rFonts w:cs="Arial"/>
                <w:sz w:val="18"/>
              </w:rPr>
            </w:pPr>
            <w:r w:rsidRPr="00171CB2">
              <w:rPr>
                <w:rFonts w:cs="Arial"/>
                <w:sz w:val="18"/>
              </w:rPr>
              <w:t>Messungen</w:t>
            </w:r>
          </w:p>
          <w:p w14:paraId="7469640B" w14:textId="77777777" w:rsidR="008F6729" w:rsidRPr="00171CB2" w:rsidRDefault="008F6729" w:rsidP="002002EE">
            <w:pPr>
              <w:jc w:val="center"/>
              <w:rPr>
                <w:rFonts w:cs="Arial"/>
                <w:sz w:val="18"/>
              </w:rPr>
            </w:pPr>
            <w:r w:rsidRPr="00171CB2">
              <w:rPr>
                <w:rFonts w:cs="Arial"/>
                <w:sz w:val="18"/>
              </w:rPr>
              <w:t>(QN)</w:t>
            </w:r>
          </w:p>
        </w:tc>
        <w:tc>
          <w:tcPr>
            <w:tcW w:w="3004" w:type="dxa"/>
            <w:tcBorders>
              <w:top w:val="single" w:sz="4" w:space="0" w:color="auto"/>
              <w:left w:val="single" w:sz="4" w:space="0" w:color="auto"/>
              <w:bottom w:val="single" w:sz="4" w:space="0" w:color="auto"/>
              <w:right w:val="single" w:sz="4" w:space="0" w:color="auto"/>
            </w:tcBorders>
            <w:hideMark/>
          </w:tcPr>
          <w:p w14:paraId="0A2FFCAD" w14:textId="77777777" w:rsidR="008F6729" w:rsidRPr="00171CB2" w:rsidRDefault="008F6729" w:rsidP="002002EE">
            <w:pPr>
              <w:jc w:val="center"/>
              <w:rPr>
                <w:rFonts w:cs="Arial"/>
                <w:sz w:val="18"/>
              </w:rPr>
            </w:pPr>
            <w:r w:rsidRPr="00171CB2">
              <w:rPr>
                <w:rFonts w:cs="Arial"/>
                <w:sz w:val="18"/>
              </w:rPr>
              <w:t>Visuelle Erfassung</w:t>
            </w:r>
          </w:p>
          <w:p w14:paraId="6DFD23EE" w14:textId="77777777" w:rsidR="008F6729" w:rsidRPr="00171CB2" w:rsidRDefault="008F6729" w:rsidP="002002EE">
            <w:pPr>
              <w:jc w:val="center"/>
              <w:rPr>
                <w:rFonts w:cs="Arial"/>
                <w:sz w:val="18"/>
              </w:rPr>
            </w:pPr>
            <w:r w:rsidRPr="00171CB2">
              <w:rPr>
                <w:rFonts w:cs="Arial"/>
                <w:sz w:val="18"/>
              </w:rPr>
              <w:t>(QN/QL/PQ)</w:t>
            </w:r>
          </w:p>
        </w:tc>
        <w:tc>
          <w:tcPr>
            <w:tcW w:w="2688" w:type="dxa"/>
            <w:tcBorders>
              <w:top w:val="single" w:sz="4" w:space="0" w:color="auto"/>
              <w:left w:val="single" w:sz="4" w:space="0" w:color="auto"/>
              <w:bottom w:val="single" w:sz="4" w:space="0" w:color="auto"/>
              <w:right w:val="single" w:sz="4" w:space="0" w:color="auto"/>
            </w:tcBorders>
            <w:hideMark/>
          </w:tcPr>
          <w:p w14:paraId="23584C50" w14:textId="77777777" w:rsidR="008F6729" w:rsidRPr="00171CB2" w:rsidRDefault="008F6729" w:rsidP="002002EE">
            <w:pPr>
              <w:rPr>
                <w:rFonts w:cs="Arial"/>
                <w:sz w:val="18"/>
              </w:rPr>
            </w:pPr>
            <w:r w:rsidRPr="00171CB2">
              <w:rPr>
                <w:rFonts w:cs="Arial"/>
                <w:sz w:val="18"/>
              </w:rPr>
              <w:t>Bemerkung</w:t>
            </w:r>
          </w:p>
        </w:tc>
      </w:tr>
      <w:tr w:rsidR="008F6729" w:rsidRPr="00E40394" w14:paraId="7B09A3B9" w14:textId="77777777" w:rsidTr="002002EE">
        <w:tc>
          <w:tcPr>
            <w:tcW w:w="1598" w:type="dxa"/>
            <w:tcBorders>
              <w:top w:val="single" w:sz="4" w:space="0" w:color="auto"/>
              <w:left w:val="single" w:sz="4" w:space="0" w:color="auto"/>
              <w:bottom w:val="single" w:sz="4" w:space="0" w:color="auto"/>
              <w:right w:val="single" w:sz="4" w:space="0" w:color="auto"/>
            </w:tcBorders>
            <w:hideMark/>
          </w:tcPr>
          <w:p w14:paraId="41CB9A41" w14:textId="77777777" w:rsidR="008F6729" w:rsidRPr="00171CB2" w:rsidRDefault="008F6729" w:rsidP="002002EE">
            <w:pPr>
              <w:spacing w:before="240"/>
              <w:jc w:val="center"/>
              <w:rPr>
                <w:rFonts w:cs="Arial"/>
                <w:sz w:val="18"/>
              </w:rPr>
            </w:pPr>
            <w:r w:rsidRPr="00171CB2">
              <w:rPr>
                <w:rFonts w:cs="Arial"/>
                <w:sz w:val="18"/>
              </w:rPr>
              <w:t>2</w:t>
            </w:r>
          </w:p>
        </w:tc>
        <w:tc>
          <w:tcPr>
            <w:tcW w:w="2231" w:type="dxa"/>
            <w:tcBorders>
              <w:top w:val="single" w:sz="4" w:space="0" w:color="auto"/>
              <w:left w:val="single" w:sz="4" w:space="0" w:color="auto"/>
              <w:bottom w:val="single" w:sz="4" w:space="0" w:color="auto"/>
              <w:right w:val="single" w:sz="4" w:space="0" w:color="auto"/>
            </w:tcBorders>
            <w:hideMark/>
          </w:tcPr>
          <w:p w14:paraId="3AE97DEA" w14:textId="77777777" w:rsidR="008F6729" w:rsidRPr="00171CB2" w:rsidRDefault="008F6729" w:rsidP="002002EE">
            <w:pPr>
              <w:rPr>
                <w:rFonts w:cs="Arial"/>
                <w:sz w:val="18"/>
              </w:rPr>
            </w:pPr>
            <w:r w:rsidRPr="00171CB2">
              <w:rPr>
                <w:noProof/>
                <w:lang w:val="en-US"/>
              </w:rPr>
              <mc:AlternateContent>
                <mc:Choice Requires="wps">
                  <w:drawing>
                    <wp:anchor distT="0" distB="0" distL="114300" distR="114300" simplePos="0" relativeHeight="251659264" behindDoc="0" locked="0" layoutInCell="1" allowOverlap="1" wp14:anchorId="74AA3DC9" wp14:editId="4211350A">
                      <wp:simplePos x="0" y="0"/>
                      <wp:positionH relativeFrom="column">
                        <wp:posOffset>118110</wp:posOffset>
                      </wp:positionH>
                      <wp:positionV relativeFrom="paragraph">
                        <wp:posOffset>396240</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A59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9.3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Yz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8edctBy&#10;j1bYObEkwk7wJTPU+TBjx3t/R4MWWEzlHgy1wtjGf2OATACXJA6Z38cnfvUhCsWXZXl6NuEuKDad&#10;lufleJrQix4mwXkK8avGViRhLitOJOeRkWF/HWLvf/RLbwLaplo31maFtpsrS2IP3O/J+qz8shpC&#10;vHKzTnRzOZ5ORikb4LkzFiKLrWcmgttKAXbLA60i5divXod3guTgNVS6Dz0d8XeM3LvnQl/hpCpW&#10;EOr+STYNT6xLeDrP71B06kHPepI2WD1y3wj7gQ5erRtGu4YQ74B4grku3sp4y4exyMXiIElRI/1+&#10;7z7582CxVYqON4KJ+LUD0lLY745H7rycpObFrEymn8es0EvL5qXF7dor5CaUvP9eZTH5R3sUDWH7&#10;k5d3maKyCZzi2D3lg3IV+03l9Vd6ucxuvDYe4rW79+o4conHh8NPID/MTeSBu8Hj9sDszeT0volh&#10;h8tdRNPksXrmlVuVFF653LTh95B2+qWevZ5/Yos/AAAA//8DAFBLAwQUAAYACAAAACEARRb+At4A&#10;AAAIAQAADwAAAGRycy9kb3ducmV2LnhtbEyPzU7DMBCE70i8g7VI3KjTv9CEOBVC4sCptPTA0YmX&#10;JCVeR7HTpH16lhMcZ2c0+022nWwrztj7xpGC+SwCgVQ601Cl4Pjx+rAB4YMmo1tHqOCCHrb57U2m&#10;U+NG2uP5ECrBJeRTraAOoUul9GWNVvuZ65DY+3K91YFlX0nT65HLbSsXURRLqxviD7Xu8KXG8vsw&#10;WAWr+fv6OJw+/fi22y190ZySy/Wq1P3d9PwEIuAU/sLwi8/okDNT4QYyXrSsNzEnFcSLFQj2l488&#10;reD7OklA5pn8PyD/AQAA//8DAFBLAQItABQABgAIAAAAIQC2gziS/gAAAOEBAAATAAAAAAAAAAAA&#10;AAAAAAAAAABbQ29udGVudF9UeXBlc10ueG1sUEsBAi0AFAAGAAgAAAAhADj9If/WAAAAlAEAAAsA&#10;AAAAAAAAAAAAAAAALwEAAF9yZWxzLy5yZWxzUEsBAi0AFAAGAAgAAAAhAFiI1jN4AgAADAUAAA4A&#10;AAAAAAAAAAAAAAAALgIAAGRycy9lMm9Eb2MueG1sUEsBAi0AFAAGAAgAAAAhAEUW/gLeAAAACAEA&#10;AA8AAAAAAAAAAAAAAAAA0gQAAGRycy9kb3ducmV2LnhtbFBLBQYAAAAABAAEAPMAAADdBQAAAAA=&#10;" adj="19562" fillcolor="#4f81bd" strokecolor="#385d8a" strokeweight="2pt"/>
                  </w:pict>
                </mc:Fallback>
              </mc:AlternateContent>
            </w:r>
            <w:r w:rsidRPr="00171CB2">
              <w:rPr>
                <w:rFonts w:cs="Arial"/>
                <w:sz w:val="18"/>
              </w:rPr>
              <w:t>Werte</w:t>
            </w:r>
          </w:p>
        </w:tc>
        <w:tc>
          <w:tcPr>
            <w:tcW w:w="3004" w:type="dxa"/>
            <w:tcBorders>
              <w:top w:val="single" w:sz="4" w:space="0" w:color="auto"/>
              <w:left w:val="single" w:sz="4" w:space="0" w:color="auto"/>
              <w:bottom w:val="single" w:sz="4" w:space="0" w:color="auto"/>
              <w:right w:val="single" w:sz="4" w:space="0" w:color="auto"/>
            </w:tcBorders>
            <w:hideMark/>
          </w:tcPr>
          <w:p w14:paraId="2A904CBB" w14:textId="77777777" w:rsidR="008F6729" w:rsidRPr="00171CB2" w:rsidRDefault="008F6729" w:rsidP="002002EE">
            <w:pPr>
              <w:rPr>
                <w:rFonts w:cs="Arial"/>
                <w:sz w:val="18"/>
              </w:rPr>
            </w:pPr>
            <w:r w:rsidRPr="00171CB2">
              <w:rPr>
                <w:noProof/>
                <w:lang w:val="en-US"/>
              </w:rPr>
              <mc:AlternateContent>
                <mc:Choice Requires="wps">
                  <w:drawing>
                    <wp:anchor distT="0" distB="0" distL="114300" distR="114300" simplePos="0" relativeHeight="251660288" behindDoc="0" locked="0" layoutInCell="1" allowOverlap="1" wp14:anchorId="292CA590" wp14:editId="30D8527D">
                      <wp:simplePos x="0" y="0"/>
                      <wp:positionH relativeFrom="column">
                        <wp:posOffset>122555</wp:posOffset>
                      </wp:positionH>
                      <wp:positionV relativeFrom="paragraph">
                        <wp:posOffset>396240</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B8053" id="Down Arrow 19"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w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3cuhYOW&#10;e7TCzoklEXaCL5mhzocZO977Oxq0wGIq92CoFcY2/hsDZAK4JHHI/D4+8asPUSi+LMvTswl3QbHp&#10;tDwvx9OEXvQwCc5TiF81tiIJc1lxIjmPjAz76xB7/6NfehPQNtW6sTYrtN1cWRJ74H5P1mfll9UQ&#10;4pWbdaKby/F0MkrZAM+dsRBZbD0zEdxWCrBbHmgVKcd+9Tq8EyQHr6HSfejpiL9j5N49F/oKJ1Wx&#10;glD3T7JpeGJdwtN5foeiUw961pO0weqR+0bYD3Twat0w2jWEeAfEE8x18VbGWz6MRS4WB0mKGun3&#10;e/fJnweLrVJ0vBFMxK8dkJbCfnc8cuflJDUvZmUy/TxmhV5aNi8tbtdeITeh5P33KovJP9qjaAjb&#10;n7y8yxSVTeAUx+4pH5Sr2G8qr7/Sy2V247XxEK/dvVfHkUs8Phx+AvlhbiIP3A0etwdmbyan900M&#10;O1zuIpomj9Uzr9yqpPDK5aYNv4e00y/17PX8E1v8AQAA//8DAFBLAwQUAAYACAAAACEAsBTpJ98A&#10;AAAIAQAADwAAAGRycy9kb3ducmV2LnhtbEyPzU7DMBCE70i8g7VI3KjTpj8kxKkQEgdOpaUHjk68&#10;JCnxOoqdJu3Ts5zgODuj2W+y7WRbccbeN44UzGcRCKTSmYYqBceP14dHED5oMrp1hAou6GGb395k&#10;OjVupD2eD6ESXEI+1QrqELpUSl/WaLWfuQ6JvS/XWx1Y9pU0vR653LZyEUVraXVD/KHWHb7UWH4f&#10;BqtgOX9fHYfTpx/fdrvYF80puVyvSt3fTc9PIAJO4S8Mv/iMDjkzFW4g40XLOok5qWC9WIJgP95s&#10;QBR8XyUJyDyT/wfkPwAAAP//AwBQSwECLQAUAAYACAAAACEAtoM4kv4AAADhAQAAEwAAAAAAAAAA&#10;AAAAAAAAAAAAW0NvbnRlbnRfVHlwZXNdLnhtbFBLAQItABQABgAIAAAAIQA4/SH/1gAAAJQBAAAL&#10;AAAAAAAAAAAAAAAAAC8BAABfcmVscy8ucmVsc1BLAQItABQABgAIAAAAIQDtwCeweAIAAAwFAAAO&#10;AAAAAAAAAAAAAAAAAC4CAABkcnMvZTJvRG9jLnhtbFBLAQItABQABgAIAAAAIQCwFOkn3wAAAAgB&#10;AAAPAAAAAAAAAAAAAAAAANIEAABkcnMvZG93bnJldi54bWxQSwUGAAAAAAQABADzAAAA3gUAAAAA&#10;" adj="19562" fillcolor="#4f81bd" strokecolor="#385d8a" strokeweight="2pt"/>
                  </w:pict>
                </mc:Fallback>
              </mc:AlternateContent>
            </w:r>
            <w:r w:rsidRPr="00171CB2">
              <w:rPr>
                <w:rFonts w:cs="Arial"/>
                <w:sz w:val="18"/>
              </w:rPr>
              <w:t>Noten</w:t>
            </w:r>
          </w:p>
        </w:tc>
        <w:tc>
          <w:tcPr>
            <w:tcW w:w="2688" w:type="dxa"/>
            <w:tcBorders>
              <w:top w:val="single" w:sz="4" w:space="0" w:color="auto"/>
              <w:left w:val="single" w:sz="4" w:space="0" w:color="auto"/>
              <w:bottom w:val="single" w:sz="4" w:space="0" w:color="auto"/>
              <w:right w:val="single" w:sz="4" w:space="0" w:color="auto"/>
            </w:tcBorders>
          </w:tcPr>
          <w:p w14:paraId="7CDC69C9" w14:textId="77777777" w:rsidR="008F6729" w:rsidRPr="00171CB2" w:rsidRDefault="008F6729" w:rsidP="002002EE">
            <w:pPr>
              <w:spacing w:before="240"/>
              <w:jc w:val="left"/>
              <w:rPr>
                <w:rFonts w:cs="Arial"/>
                <w:sz w:val="18"/>
              </w:rPr>
            </w:pPr>
            <w:r w:rsidRPr="00171CB2">
              <w:rPr>
                <w:rFonts w:cs="Arial"/>
                <w:sz w:val="18"/>
              </w:rPr>
              <w:t>Grundlage für den Vergleich innerhalb desselben Anbauversuchs</w:t>
            </w:r>
          </w:p>
          <w:p w14:paraId="2ED34BA4" w14:textId="77777777" w:rsidR="008F6729" w:rsidRPr="00171CB2" w:rsidRDefault="008F6729" w:rsidP="002002EE">
            <w:pPr>
              <w:rPr>
                <w:rFonts w:cs="Arial"/>
                <w:sz w:val="18"/>
              </w:rPr>
            </w:pPr>
          </w:p>
        </w:tc>
      </w:tr>
      <w:tr w:rsidR="008F6729" w:rsidRPr="00E40394" w14:paraId="4E2B2BAE" w14:textId="77777777" w:rsidTr="002002EE">
        <w:tc>
          <w:tcPr>
            <w:tcW w:w="1598" w:type="dxa"/>
            <w:tcBorders>
              <w:top w:val="single" w:sz="4" w:space="0" w:color="auto"/>
              <w:left w:val="single" w:sz="4" w:space="0" w:color="auto"/>
              <w:bottom w:val="nil"/>
              <w:right w:val="single" w:sz="4" w:space="0" w:color="auto"/>
            </w:tcBorders>
            <w:hideMark/>
          </w:tcPr>
          <w:p w14:paraId="3BDAE58C" w14:textId="77777777" w:rsidR="008F6729" w:rsidRPr="00171CB2" w:rsidRDefault="008F6729" w:rsidP="002002EE">
            <w:pPr>
              <w:spacing w:before="240"/>
              <w:jc w:val="center"/>
              <w:rPr>
                <w:rFonts w:cs="Arial"/>
                <w:sz w:val="18"/>
              </w:rPr>
            </w:pPr>
            <w:r w:rsidRPr="00171CB2">
              <w:rPr>
                <w:rFonts w:cs="Arial"/>
                <w:sz w:val="18"/>
              </w:rPr>
              <w:t>3</w:t>
            </w:r>
          </w:p>
        </w:tc>
        <w:tc>
          <w:tcPr>
            <w:tcW w:w="2231" w:type="dxa"/>
            <w:tcBorders>
              <w:top w:val="single" w:sz="4" w:space="0" w:color="auto"/>
              <w:left w:val="single" w:sz="4" w:space="0" w:color="auto"/>
              <w:bottom w:val="nil"/>
              <w:right w:val="single" w:sz="4" w:space="0" w:color="auto"/>
            </w:tcBorders>
            <w:hideMark/>
          </w:tcPr>
          <w:p w14:paraId="57A4F0B8" w14:textId="77777777" w:rsidR="008F6729" w:rsidRPr="00171CB2" w:rsidRDefault="008F6729" w:rsidP="002002EE">
            <w:pPr>
              <w:spacing w:before="120"/>
              <w:ind w:left="600"/>
              <w:jc w:val="left"/>
              <w:rPr>
                <w:rFonts w:cs="Arial"/>
                <w:sz w:val="18"/>
              </w:rPr>
            </w:pPr>
            <w:r w:rsidRPr="00171CB2">
              <w:rPr>
                <w:rFonts w:cs="Arial"/>
                <w:sz w:val="18"/>
              </w:rPr>
              <w:t xml:space="preserve">Umsetzung in Noten </w:t>
            </w:r>
          </w:p>
          <w:p w14:paraId="6DB399E8" w14:textId="77777777" w:rsidR="008F6729" w:rsidRPr="00171CB2" w:rsidRDefault="008F6729" w:rsidP="002002EE">
            <w:pPr>
              <w:spacing w:before="120"/>
              <w:rPr>
                <w:rFonts w:cs="Arial"/>
                <w:sz w:val="18"/>
              </w:rPr>
            </w:pPr>
            <w:r w:rsidRPr="00171CB2">
              <w:rPr>
                <w:rFonts w:cs="Arial"/>
                <w:sz w:val="18"/>
              </w:rPr>
              <w:t>Noten</w:t>
            </w:r>
          </w:p>
        </w:tc>
        <w:tc>
          <w:tcPr>
            <w:tcW w:w="3004" w:type="dxa"/>
            <w:tcBorders>
              <w:top w:val="single" w:sz="4" w:space="0" w:color="auto"/>
              <w:left w:val="single" w:sz="4" w:space="0" w:color="auto"/>
              <w:bottom w:val="nil"/>
              <w:right w:val="single" w:sz="4" w:space="0" w:color="auto"/>
            </w:tcBorders>
          </w:tcPr>
          <w:p w14:paraId="1E245C09" w14:textId="77777777" w:rsidR="008F6729" w:rsidRPr="00171CB2" w:rsidRDefault="008F6729" w:rsidP="002002EE">
            <w:pPr>
              <w:spacing w:before="120"/>
              <w:ind w:left="459"/>
              <w:jc w:val="left"/>
              <w:rPr>
                <w:rFonts w:cs="Arial"/>
                <w:sz w:val="18"/>
              </w:rPr>
            </w:pPr>
            <w:r w:rsidRPr="00171CB2">
              <w:rPr>
                <w:rFonts w:cs="Arial"/>
                <w:sz w:val="18"/>
              </w:rPr>
              <w:t>Gleiche Noten wie in Verfahrensebene 1</w:t>
            </w:r>
          </w:p>
          <w:p w14:paraId="73EB7765" w14:textId="77777777" w:rsidR="008F6729" w:rsidRPr="00171CB2" w:rsidRDefault="008F6729" w:rsidP="002002EE">
            <w:pPr>
              <w:spacing w:before="120"/>
              <w:ind w:left="34"/>
              <w:rPr>
                <w:rFonts w:cs="Arial"/>
                <w:sz w:val="18"/>
              </w:rPr>
            </w:pPr>
          </w:p>
          <w:p w14:paraId="2B504B63" w14:textId="77777777" w:rsidR="008F6729" w:rsidRPr="00171CB2" w:rsidRDefault="008F6729" w:rsidP="002002EE">
            <w:pPr>
              <w:ind w:left="34"/>
              <w:rPr>
                <w:rFonts w:cs="Arial"/>
                <w:sz w:val="18"/>
              </w:rPr>
            </w:pPr>
            <w:r w:rsidRPr="00171CB2">
              <w:rPr>
                <w:rFonts w:cs="Arial"/>
                <w:sz w:val="18"/>
              </w:rPr>
              <w:t>Noten</w:t>
            </w:r>
          </w:p>
        </w:tc>
        <w:tc>
          <w:tcPr>
            <w:tcW w:w="2688" w:type="dxa"/>
            <w:tcBorders>
              <w:top w:val="single" w:sz="4" w:space="0" w:color="auto"/>
              <w:left w:val="single" w:sz="4" w:space="0" w:color="auto"/>
              <w:bottom w:val="nil"/>
              <w:right w:val="single" w:sz="4" w:space="0" w:color="auto"/>
            </w:tcBorders>
            <w:hideMark/>
          </w:tcPr>
          <w:p w14:paraId="4268EBCF" w14:textId="77777777" w:rsidR="008F6729" w:rsidRPr="00171CB2" w:rsidRDefault="008F6729" w:rsidP="002002EE">
            <w:pPr>
              <w:spacing w:before="240"/>
              <w:jc w:val="left"/>
              <w:rPr>
                <w:rFonts w:cs="Arial"/>
                <w:sz w:val="18"/>
              </w:rPr>
            </w:pPr>
            <w:r w:rsidRPr="00171CB2">
              <w:rPr>
                <w:rFonts w:cs="Arial"/>
                <w:sz w:val="18"/>
              </w:rPr>
              <w:t>Noten, die sich aus einem Jahr und einem Standort ergeben</w:t>
            </w:r>
          </w:p>
        </w:tc>
      </w:tr>
      <w:tr w:rsidR="008F6729" w:rsidRPr="00E40394" w14:paraId="64A0DC10" w14:textId="77777777" w:rsidTr="002002EE">
        <w:tc>
          <w:tcPr>
            <w:tcW w:w="1598" w:type="dxa"/>
            <w:tcBorders>
              <w:top w:val="nil"/>
              <w:left w:val="single" w:sz="4" w:space="0" w:color="auto"/>
              <w:bottom w:val="single" w:sz="4" w:space="0" w:color="auto"/>
              <w:right w:val="single" w:sz="4" w:space="0" w:color="auto"/>
            </w:tcBorders>
          </w:tcPr>
          <w:p w14:paraId="693796FD" w14:textId="77777777" w:rsidR="008F6729" w:rsidRPr="00171CB2" w:rsidRDefault="008F6729" w:rsidP="002002EE">
            <w:pPr>
              <w:jc w:val="center"/>
              <w:rPr>
                <w:rFonts w:cs="Arial"/>
                <w:sz w:val="18"/>
              </w:rPr>
            </w:pPr>
          </w:p>
        </w:tc>
        <w:tc>
          <w:tcPr>
            <w:tcW w:w="5235" w:type="dxa"/>
            <w:gridSpan w:val="2"/>
            <w:tcBorders>
              <w:top w:val="nil"/>
              <w:left w:val="single" w:sz="4" w:space="0" w:color="auto"/>
              <w:bottom w:val="single" w:sz="4" w:space="0" w:color="auto"/>
              <w:right w:val="single" w:sz="4" w:space="0" w:color="auto"/>
            </w:tcBorders>
            <w:hideMark/>
          </w:tcPr>
          <w:p w14:paraId="14A84D84" w14:textId="77777777" w:rsidR="008F6729" w:rsidRPr="00171CB2" w:rsidRDefault="008F6729" w:rsidP="002002EE">
            <w:pPr>
              <w:jc w:val="center"/>
              <w:rPr>
                <w:rFonts w:cs="Arial"/>
                <w:sz w:val="18"/>
              </w:rPr>
            </w:pPr>
            <w:r w:rsidRPr="00171CB2">
              <w:rPr>
                <w:noProof/>
                <w:lang w:val="en-US"/>
              </w:rPr>
              <mc:AlternateContent>
                <mc:Choice Requires="wps">
                  <w:drawing>
                    <wp:anchor distT="0" distB="0" distL="114300" distR="114300" simplePos="0" relativeHeight="251661312" behindDoc="0" locked="0" layoutInCell="1" allowOverlap="1" wp14:anchorId="75E162B1" wp14:editId="629425F9">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C455" id="Down Arrow 20" o:spid="_x0000_s1026" type="#_x0000_t67" style="position:absolute;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7leAIAAAwFAAAOAAAAZHJzL2Uyb0RvYy54bWysVE1v2zAMvQ/YfxB0Xx2nSZcFdYqsQbYB&#10;RVugHXpWZCkWIIsapcTpfv0o2enXehrmg0CK1CP5SPr84tBatlcYDLiKlycjzpSTUBu3rfjP+/Wn&#10;GWchClcLC05V/FEFfrH4+OG883M1hgZsrZARiAvzzle8idHPiyLIRrUinIBXjowasBWRVNwWNYqO&#10;0FtbjEejs6IDrD2CVCHQ7ao38kXG11rJeKN1UJHZilNuMZ+Yz006i8W5mG9R+MbIIQ3xD1m0wjgK&#10;+gS1ElGwHZq/oFojEQLoeCKhLUBrI1WugaopR2+quWuEV7kWIif4J5rC/4OV1/tbZKau+JjocaKl&#10;Hq2gc2yJCB2jS2Ko82FOjnf+FgctkJjKPWhsmbbGf6fmZwKoJHbI/D4+8asOkUm6LMuz2YTCSDKd&#10;lpPT8TShFz1MgvMY4jcFLUtCxWtKJOeRkcX+KsTe/+iX3gSwpl4ba7OC282lRbYX1O/JelZ+XQ0h&#10;XrlZxzqqeDoZpWwEzZ22IpLYemIiuC1nwm5poGXEHPvV6/BOkBy8EbXqQ09H9B0j9+650Fc4qYqV&#10;CE3/JJuGJ9YlPJXndyg69aBnPUkbqB+pbwj9QAcv14bQrkSItwJpgqku2sp4Q4e2QMXCIHHWAP5+&#10;7z7502CRlbOONoKI+LUTqDizPxyN3JdykpoXszKZfk4Dgy8tm5cWt2svgZpQ0v57mcXkH+1R1Ajt&#10;Ay3vMkUlk3CSYveUD8pl7DeV1l+q5TK70dp4Ea/cnZfHkUs83h8eBPphbiIN3DUct0fM30xO75sY&#10;drDcRdAmj9Uzr9SqpNDK5aYNv4e00y/17PX8E1v8AQAA//8DAFBLAwQUAAYACAAAACEAeuNYwt8A&#10;AAAJAQAADwAAAGRycy9kb3ducmV2LnhtbEyPwU7DMAyG70i8Q2QkLmhLidYKlaYTIBCCG9su3LLG&#10;aysap0rSrezpMSc4WZY//f7+aj27QRwxxN6ThttlBgKp8banVsNu+7K4AxGTIWsGT6jhGyOs68uL&#10;ypTWn+gDj5vUCg6hWBoNXUpjKWVsOnQmLv2IxLeDD84kXkMrbTAnDneDVFlWSGd64g+dGfGpw+Zr&#10;MzkNn+oND6/bqX0/P+/ym8c2RHsOWl9fzQ/3IBLO6Q+GX31Wh5qd9n4iG8WgQWVFwaiGxSoHwYBS&#10;OZfba1jxlHUl/zeofwAAAP//AwBQSwECLQAUAAYACAAAACEAtoM4kv4AAADhAQAAEwAAAAAAAAAA&#10;AAAAAAAAAAAAW0NvbnRlbnRfVHlwZXNdLnhtbFBLAQItABQABgAIAAAAIQA4/SH/1gAAAJQBAAAL&#10;AAAAAAAAAAAAAAAAAC8BAABfcmVscy8ucmVsc1BLAQItABQABgAIAAAAIQCsDp7leAIAAAwFAAAO&#10;AAAAAAAAAAAAAAAAAC4CAABkcnMvZTJvRG9jLnhtbFBLAQItABQABgAIAAAAIQB641jC3wAAAAkB&#10;AAAPAAAAAAAAAAAAAAAAANIEAABkcnMvZG93bnJldi54bWxQSwUGAAAAAAQABADzAAAA3gUAAAAA&#10;" adj="17585" fillcolor="#4f81bd" strokecolor="#385d8a" strokeweight="2pt"/>
                  </w:pict>
                </mc:Fallback>
              </mc:AlternateContent>
            </w:r>
          </w:p>
          <w:p w14:paraId="17B2801F" w14:textId="77777777" w:rsidR="008F6729" w:rsidRPr="00171CB2" w:rsidRDefault="008F6729" w:rsidP="002002EE">
            <w:pPr>
              <w:spacing w:before="240"/>
              <w:jc w:val="center"/>
              <w:rPr>
                <w:rFonts w:cs="Arial"/>
                <w:sz w:val="18"/>
              </w:rPr>
            </w:pPr>
            <w:r w:rsidRPr="00171CB2">
              <w:rPr>
                <w:rFonts w:cs="Arial"/>
                <w:b/>
                <w:sz w:val="18"/>
              </w:rPr>
              <w:t>„Mittlere Sortenbeschreibung</w:t>
            </w:r>
            <w:r w:rsidRPr="00171CB2">
              <w:rPr>
                <w:rFonts w:cs="Arial"/>
                <w:sz w:val="18"/>
              </w:rPr>
              <w:t xml:space="preserve">“ </w:t>
            </w:r>
          </w:p>
          <w:p w14:paraId="35E9DD75" w14:textId="77777777" w:rsidR="008F6729" w:rsidRPr="00171CB2" w:rsidRDefault="008F6729" w:rsidP="002002EE">
            <w:pPr>
              <w:spacing w:before="120"/>
              <w:jc w:val="center"/>
              <w:rPr>
                <w:rFonts w:cs="Arial"/>
                <w:sz w:val="18"/>
              </w:rPr>
            </w:pPr>
            <w:r w:rsidRPr="00171CB2">
              <w:rPr>
                <w:rFonts w:cs="Arial"/>
                <w:sz w:val="18"/>
              </w:rPr>
              <w:lastRenderedPageBreak/>
              <w:t>Wenn Sorten in mehreren Anbauversuchen/Jahren/Standorten geprüft werden, können mittlere Sortenbeschreibungen erstellt werden.</w:t>
            </w:r>
          </w:p>
        </w:tc>
        <w:tc>
          <w:tcPr>
            <w:tcW w:w="2688" w:type="dxa"/>
            <w:tcBorders>
              <w:top w:val="nil"/>
              <w:left w:val="single" w:sz="4" w:space="0" w:color="auto"/>
              <w:bottom w:val="single" w:sz="4" w:space="0" w:color="auto"/>
              <w:right w:val="single" w:sz="4" w:space="0" w:color="auto"/>
            </w:tcBorders>
          </w:tcPr>
          <w:p w14:paraId="67E1B42F" w14:textId="77777777" w:rsidR="008F6729" w:rsidRPr="00171CB2" w:rsidRDefault="008F6729" w:rsidP="002002EE">
            <w:pPr>
              <w:spacing w:before="240"/>
              <w:rPr>
                <w:rFonts w:cs="Arial"/>
                <w:sz w:val="18"/>
              </w:rPr>
            </w:pPr>
          </w:p>
          <w:p w14:paraId="58CA5161" w14:textId="77777777" w:rsidR="008F6729" w:rsidRPr="00171CB2" w:rsidRDefault="008F6729" w:rsidP="002002EE">
            <w:pPr>
              <w:spacing w:before="240"/>
              <w:jc w:val="left"/>
              <w:rPr>
                <w:rFonts w:cs="Arial"/>
                <w:sz w:val="18"/>
              </w:rPr>
            </w:pPr>
            <w:r w:rsidRPr="00171CB2">
              <w:rPr>
                <w:rFonts w:cs="Arial"/>
                <w:sz w:val="18"/>
              </w:rPr>
              <w:t>Grundlage für die Verwaltung der Sortensammlung</w:t>
            </w:r>
          </w:p>
        </w:tc>
      </w:tr>
    </w:tbl>
    <w:p w14:paraId="0A274C40" w14:textId="77777777" w:rsidR="008F6729" w:rsidRPr="00171CB2" w:rsidRDefault="008F6729" w:rsidP="008F6729">
      <w:pPr>
        <w:rPr>
          <w:rFonts w:cs="Arial"/>
          <w:sz w:val="18"/>
          <w:highlight w:val="lightGray"/>
        </w:rPr>
      </w:pPr>
    </w:p>
    <w:p w14:paraId="20A4DF16" w14:textId="77777777" w:rsidR="008F6729" w:rsidRPr="00171CB2" w:rsidRDefault="008F6729" w:rsidP="008F6729">
      <w:pPr>
        <w:keepLines/>
        <w:ind w:left="567" w:right="567"/>
        <w:rPr>
          <w:rFonts w:cs="Arial"/>
          <w:sz w:val="18"/>
        </w:rPr>
      </w:pPr>
      <w:r w:rsidRPr="00171CB2">
        <w:rPr>
          <w:rFonts w:cs="Arial"/>
          <w:sz w:val="18"/>
        </w:rPr>
        <w:t>„Quantitative Merkmale werden in der Regel durch die Umwelt beeinflusst. Ein effizientes Mittel zur Verringerung des Umwelteinflusses ist die Umsetzung der tatsächlichen Messungen in Noten. Die Noten stellen eine standardisierte Beschreibung von Sorten in Bezug auf die Beispielssorten dar (vergleiche Dokument TGP/7). Zudem kann die Vergleichbarkeit von Sortenbeschreibungen für Sorten, die nicht im selben Anbauversuch geprüft werden, verbessert werden, indem eine mittlere Beschreibung über mehrere Wachstumsperioden ermittelt wird. Die mittlere Beschreibung über mehrere Wachstumsperioden am selben Standort kann insbesondere eine repräsentative Beschreibung in Bezug auf den Standort bereitstellen. Die Ermittlung einer mittleren Sortenbeschreibung über verschiedene Standorte sollte nur erwogen werden, wenn die Auswirkungen der Standorte gut bekannt sind und Interaktionen Sorte x Standort für alle Merkmale ausgeschlossen werden können. Die Ermittlung mittlerer Beschreibungen über Standorte sollte sich auf Fälle beschränken, in denen diese Bedingungen erfüllt sind.</w:t>
      </w:r>
    </w:p>
    <w:p w14:paraId="700F0C6E" w14:textId="77777777" w:rsidR="008F6729" w:rsidRPr="00171CB2" w:rsidRDefault="008F6729" w:rsidP="008F6729">
      <w:pPr>
        <w:keepLines/>
        <w:ind w:left="567" w:right="567"/>
        <w:rPr>
          <w:rFonts w:cs="Arial"/>
          <w:sz w:val="18"/>
        </w:rPr>
      </w:pPr>
    </w:p>
    <w:p w14:paraId="0C5CD612" w14:textId="77777777" w:rsidR="008F6729" w:rsidRPr="00171CB2" w:rsidRDefault="008F6729" w:rsidP="008F6729">
      <w:pPr>
        <w:keepLines/>
        <w:ind w:left="567" w:right="567"/>
        <w:rPr>
          <w:rFonts w:cs="Arial"/>
          <w:sz w:val="18"/>
        </w:rPr>
      </w:pPr>
      <w:r w:rsidRPr="00171CB2">
        <w:rPr>
          <w:rFonts w:cs="Arial"/>
          <w:sz w:val="18"/>
        </w:rPr>
        <w:t>„Wenn Sortenbeschreibungen aus verschiedenen Anbauversuchen für die Prüfung der Unterscheidbarkeit verwendet werden – das heißt für die Verwaltung von Sortensammlungen –, ist es wichtig, die Herkunft der unterschiedlichen Sortenbeschreibungen der Kandidatensorte und der allgemein bekannten Sorten zu berücksichtigen. Die Vergleichbarkeit von Sorteneschreibungen wird durch zahlreiche Faktoren beeinflusst, beispielsweise:</w:t>
      </w:r>
    </w:p>
    <w:p w14:paraId="608D18A0" w14:textId="77777777" w:rsidR="008F6729" w:rsidRPr="00171CB2" w:rsidRDefault="008F6729" w:rsidP="008F6729">
      <w:pPr>
        <w:ind w:left="567" w:right="567"/>
        <w:rPr>
          <w:rFonts w:cs="Arial"/>
          <w:sz w:val="18"/>
        </w:rPr>
      </w:pPr>
    </w:p>
    <w:p w14:paraId="1FF692C9" w14:textId="77777777" w:rsidR="008F6729" w:rsidRPr="00171CB2" w:rsidRDefault="008F6729" w:rsidP="008F6729">
      <w:pPr>
        <w:numPr>
          <w:ilvl w:val="0"/>
          <w:numId w:val="4"/>
        </w:numPr>
        <w:ind w:left="567" w:right="567"/>
        <w:rPr>
          <w:rFonts w:cs="Arial"/>
          <w:sz w:val="18"/>
        </w:rPr>
      </w:pPr>
      <w:r w:rsidRPr="00171CB2">
        <w:rPr>
          <w:rFonts w:cs="Arial"/>
          <w:sz w:val="18"/>
        </w:rPr>
        <w:t>Auf einem einzigen Jahr oder einem Mittelwert über mehrere Jahr basierende Beschreibung?</w:t>
      </w:r>
    </w:p>
    <w:p w14:paraId="5169E8A2" w14:textId="77777777" w:rsidR="008F6729" w:rsidRPr="00171CB2" w:rsidRDefault="008F6729" w:rsidP="008F6729">
      <w:pPr>
        <w:numPr>
          <w:ilvl w:val="0"/>
          <w:numId w:val="4"/>
        </w:numPr>
        <w:ind w:left="567" w:right="567"/>
        <w:rPr>
          <w:rFonts w:cs="Arial"/>
          <w:sz w:val="18"/>
        </w:rPr>
      </w:pPr>
      <w:r w:rsidRPr="00171CB2">
        <w:rPr>
          <w:rFonts w:cs="Arial"/>
          <w:sz w:val="18"/>
        </w:rPr>
        <w:t>Auf demselben Standort oder verschiedenen Standorten basierende Beschreibung?</w:t>
      </w:r>
    </w:p>
    <w:p w14:paraId="670E70DB" w14:textId="77777777" w:rsidR="008F6729" w:rsidRPr="00171CB2" w:rsidRDefault="008F6729" w:rsidP="008F6729">
      <w:pPr>
        <w:numPr>
          <w:ilvl w:val="0"/>
          <w:numId w:val="4"/>
        </w:numPr>
        <w:ind w:left="567" w:right="567"/>
        <w:rPr>
          <w:rFonts w:cs="Arial"/>
          <w:sz w:val="18"/>
        </w:rPr>
      </w:pPr>
      <w:r w:rsidRPr="00171CB2">
        <w:rPr>
          <w:rFonts w:cs="Arial"/>
          <w:sz w:val="18"/>
        </w:rPr>
        <w:t>Sind die Auswirkungen des unterschiedlichen Standortes bekannt?</w:t>
      </w:r>
    </w:p>
    <w:p w14:paraId="300C71E1" w14:textId="77777777" w:rsidR="008F6729" w:rsidRPr="00171CB2" w:rsidRDefault="008F6729" w:rsidP="008F6729">
      <w:pPr>
        <w:numPr>
          <w:ilvl w:val="0"/>
          <w:numId w:val="4"/>
        </w:numPr>
        <w:ind w:left="567" w:right="567"/>
        <w:rPr>
          <w:rFonts w:cs="Arial"/>
          <w:sz w:val="18"/>
        </w:rPr>
      </w:pPr>
      <w:r w:rsidRPr="00171CB2">
        <w:rPr>
          <w:rFonts w:cs="Arial"/>
          <w:sz w:val="18"/>
        </w:rPr>
        <w:t>In Bezug auf dieselbe Sortensammlung oder eine Sortensammlung, die eine unterschiedliche Variationsbreite umfasst, beschriebene Sorten?</w:t>
      </w:r>
    </w:p>
    <w:p w14:paraId="687982ED" w14:textId="77777777" w:rsidR="008F6729" w:rsidRPr="00171CB2" w:rsidRDefault="008F6729" w:rsidP="008F6729">
      <w:pPr>
        <w:ind w:left="567" w:right="567"/>
        <w:rPr>
          <w:rFonts w:cs="Arial"/>
          <w:sz w:val="18"/>
        </w:rPr>
      </w:pPr>
    </w:p>
    <w:p w14:paraId="18A0B529" w14:textId="77777777" w:rsidR="008F6729" w:rsidRPr="00171CB2" w:rsidRDefault="008F6729" w:rsidP="008F6729">
      <w:pPr>
        <w:ind w:left="567" w:right="567"/>
        <w:rPr>
          <w:rFonts w:cs="Arial"/>
          <w:sz w:val="18"/>
        </w:rPr>
      </w:pPr>
      <w:r w:rsidRPr="00171CB2">
        <w:rPr>
          <w:rFonts w:cs="Arial"/>
          <w:sz w:val="18"/>
        </w:rPr>
        <w:t>„Die potentielle Verzerrung von Sortenbeschreibungen infolge von Umwelteffekten zwischen Kandidatensorten und Sorten in der Sortensammlung muss im Verfahren der Unterscheidbarkeitsprüfung und insbesondere für die Identifikation allgemein bekannter Sorten, die in den Anbauversuch einzubeziehen sind, berücksichtigt werden.“</w:t>
      </w:r>
    </w:p>
    <w:p w14:paraId="6852B16C" w14:textId="77777777" w:rsidR="008F6729" w:rsidRPr="00171CB2" w:rsidRDefault="008F6729" w:rsidP="008F6729">
      <w:pPr>
        <w:ind w:left="567" w:right="567"/>
        <w:rPr>
          <w:rFonts w:cs="Arial"/>
          <w:sz w:val="18"/>
        </w:rPr>
      </w:pPr>
    </w:p>
    <w:p w14:paraId="476D59AB" w14:textId="77777777" w:rsidR="008F6729" w:rsidRPr="00171CB2" w:rsidRDefault="008F6729" w:rsidP="008F6729">
      <w:pPr>
        <w:ind w:left="567" w:right="567"/>
        <w:rPr>
          <w:rFonts w:cs="Arial"/>
          <w:sz w:val="18"/>
        </w:rPr>
      </w:pPr>
    </w:p>
    <w:p w14:paraId="4915E25E" w14:textId="77777777" w:rsidR="008F6729" w:rsidRPr="00171CB2" w:rsidRDefault="008F6729" w:rsidP="008F6729">
      <w:pPr>
        <w:ind w:left="567" w:right="567"/>
        <w:rPr>
          <w:rFonts w:cs="Arial"/>
          <w:sz w:val="18"/>
        </w:rPr>
      </w:pPr>
    </w:p>
    <w:p w14:paraId="679A038B" w14:textId="77777777" w:rsidR="008F6729" w:rsidRPr="00171CB2" w:rsidRDefault="008F6729" w:rsidP="008F6729">
      <w:pPr>
        <w:jc w:val="right"/>
      </w:pPr>
      <w:r w:rsidRPr="00171CB2">
        <w:t>[Anlage III folgt]</w:t>
      </w:r>
    </w:p>
    <w:p w14:paraId="1A86CBB5" w14:textId="77777777" w:rsidR="008F6729" w:rsidRPr="00171CB2" w:rsidRDefault="008F6729" w:rsidP="008F6729">
      <w:pPr>
        <w:jc w:val="right"/>
        <w:sectPr w:rsidR="008F6729" w:rsidRPr="00171CB2" w:rsidSect="0004198B">
          <w:headerReference w:type="default" r:id="rId11"/>
          <w:headerReference w:type="first" r:id="rId12"/>
          <w:pgSz w:w="11907" w:h="16840" w:code="9"/>
          <w:pgMar w:top="510" w:right="1134" w:bottom="1134" w:left="1134" w:header="510" w:footer="680" w:gutter="0"/>
          <w:pgNumType w:start="1"/>
          <w:cols w:space="720"/>
          <w:titlePg/>
        </w:sectPr>
      </w:pPr>
    </w:p>
    <w:p w14:paraId="40419AEC" w14:textId="77777777" w:rsidR="008F6729" w:rsidRPr="00171CB2" w:rsidRDefault="008F6729" w:rsidP="008F6729">
      <w:pPr>
        <w:jc w:val="right"/>
      </w:pPr>
    </w:p>
    <w:p w14:paraId="2FE1241B" w14:textId="4931E79F" w:rsidR="008F6729" w:rsidRPr="00171CB2" w:rsidRDefault="008F6729" w:rsidP="008F6729">
      <w:pPr>
        <w:jc w:val="center"/>
      </w:pPr>
      <w:r>
        <w:t>CAJ/79/3</w:t>
      </w:r>
    </w:p>
    <w:p w14:paraId="6B32E783" w14:textId="77777777" w:rsidR="008F6729" w:rsidRPr="00171CB2" w:rsidRDefault="008F6729" w:rsidP="008F6729">
      <w:pPr>
        <w:jc w:val="center"/>
      </w:pPr>
    </w:p>
    <w:p w14:paraId="1AE88647" w14:textId="77777777" w:rsidR="008F6729" w:rsidRPr="00171CB2" w:rsidRDefault="008F6729" w:rsidP="008F6729">
      <w:pPr>
        <w:jc w:val="center"/>
      </w:pPr>
      <w:r w:rsidRPr="00171CB2">
        <w:t>ANLAGE III</w:t>
      </w:r>
    </w:p>
    <w:p w14:paraId="657404AB" w14:textId="77777777" w:rsidR="008F6729" w:rsidRPr="00171CB2" w:rsidRDefault="008F6729" w:rsidP="008F6729"/>
    <w:p w14:paraId="2EE3FAC6" w14:textId="77777777" w:rsidR="008F6729" w:rsidRPr="00171CB2" w:rsidRDefault="008F6729" w:rsidP="008F6729"/>
    <w:p w14:paraId="7B1851EC" w14:textId="77777777" w:rsidR="008F6729" w:rsidRPr="00171CB2" w:rsidRDefault="008F6729" w:rsidP="008F6729">
      <w:pPr>
        <w:rPr>
          <w:u w:val="single"/>
        </w:rPr>
      </w:pPr>
      <w:r w:rsidRPr="00171CB2">
        <w:rPr>
          <w:u w:val="single"/>
        </w:rPr>
        <w:t xml:space="preserve">Dokument TGP/12: Anleitung zu bestimmten physiologischen Merkmalen (Überarbeitung) </w:t>
      </w:r>
    </w:p>
    <w:p w14:paraId="6F0BBC53" w14:textId="77777777" w:rsidR="008F6729" w:rsidRPr="00171CB2" w:rsidRDefault="008F6729" w:rsidP="008F6729">
      <w:pPr>
        <w:rPr>
          <w:u w:val="single"/>
        </w:rPr>
      </w:pPr>
    </w:p>
    <w:p w14:paraId="3044A414" w14:textId="77777777" w:rsidR="008F6729" w:rsidRPr="00171CB2" w:rsidRDefault="008F6729" w:rsidP="008F6729"/>
    <w:p w14:paraId="54576AB5" w14:textId="77777777" w:rsidR="008F6729" w:rsidRPr="00171CB2" w:rsidRDefault="008F6729" w:rsidP="008F6729">
      <w:pPr>
        <w:rPr>
          <w:snapToGrid w:val="0"/>
        </w:rPr>
      </w:pPr>
      <w:r w:rsidRPr="00171CB2">
        <w:t>Der TC vereinbarte auf seiner siebenundfünfzigsten Tagung, die am 25. und 26. Oktober 2021 auf elektronischem Wege abgehalten wurde, Dokument TGP/12/2, Abschnitt 2.3.2, so abzuändern</w:t>
      </w:r>
      <w:r w:rsidRPr="00171CB2">
        <w:rPr>
          <w:snapToGrid w:val="0"/>
        </w:rPr>
        <w:t>, dass im Beispiel von Krankheitsresistenzmerkmalen mit einer Skala von „1-3“ die Ausprägungsstufe „mäßig resistent“ durch „mittel“ ersetzt wird und folgenden Wortlaut erhält (vergleiche Dokument TC/57/25 „Bericht“, Absätze 44 und 45):</w:t>
      </w:r>
    </w:p>
    <w:p w14:paraId="38A57A9F" w14:textId="77777777" w:rsidR="008F6729" w:rsidRPr="00171CB2" w:rsidRDefault="008F6729" w:rsidP="008F6729">
      <w:pPr>
        <w:rPr>
          <w:snapToGrid w:val="0"/>
        </w:rPr>
      </w:pPr>
    </w:p>
    <w:p w14:paraId="3F5DE992" w14:textId="77777777" w:rsidR="008F6729" w:rsidRPr="00171CB2" w:rsidRDefault="008F6729" w:rsidP="008F6729">
      <w:pPr>
        <w:keepNext/>
        <w:keepLines/>
        <w:ind w:left="567"/>
        <w:jc w:val="left"/>
      </w:pPr>
      <w:r w:rsidRPr="00171CB2">
        <w:rPr>
          <w:u w:val="single"/>
        </w:rPr>
        <w:t>Beispiel mit einer Skala „1-3“</w:t>
      </w:r>
      <w:r w:rsidRPr="00171CB2">
        <w:t xml:space="preserve">: </w:t>
      </w:r>
      <w:r w:rsidRPr="00171CB2">
        <w:tab/>
        <w:t xml:space="preserve">Resistenz gegen </w:t>
      </w:r>
      <w:r w:rsidRPr="00171CB2">
        <w:rPr>
          <w:i/>
          <w:iCs/>
        </w:rPr>
        <w:t xml:space="preserve">Sphaerotheca fuliginea </w:t>
      </w:r>
      <w:r w:rsidRPr="00171CB2">
        <w:t>(</w:t>
      </w:r>
      <w:r w:rsidRPr="00171CB2">
        <w:rPr>
          <w:i/>
          <w:iCs/>
        </w:rPr>
        <w:t>Podosphaera xanthii</w:t>
      </w:r>
      <w:r w:rsidRPr="00171CB2">
        <w:t>) (Echter Mehltau) bei Melone (UPOV-Prüfungsrichtlinien: TG/104/5)</w:t>
      </w:r>
    </w:p>
    <w:p w14:paraId="10D66EA4" w14:textId="77777777" w:rsidR="008F6729" w:rsidRPr="00171CB2" w:rsidRDefault="008F6729" w:rsidP="008F6729">
      <w:pPr>
        <w:keepNext/>
        <w:keepLines/>
        <w:rPr>
          <w:sz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734"/>
        <w:gridCol w:w="851"/>
        <w:gridCol w:w="567"/>
      </w:tblGrid>
      <w:tr w:rsidR="008F6729" w:rsidRPr="00171CB2" w14:paraId="3978BF1A" w14:textId="77777777" w:rsidTr="002002EE">
        <w:trPr>
          <w:cantSplit/>
          <w:tblHeader/>
          <w:jc w:val="center"/>
        </w:trPr>
        <w:tc>
          <w:tcPr>
            <w:tcW w:w="578" w:type="dxa"/>
            <w:tcBorders>
              <w:top w:val="single" w:sz="6" w:space="0" w:color="auto"/>
              <w:left w:val="nil"/>
              <w:bottom w:val="single" w:sz="4" w:space="0" w:color="auto"/>
              <w:right w:val="nil"/>
            </w:tcBorders>
            <w:vAlign w:val="center"/>
          </w:tcPr>
          <w:p w14:paraId="0D5F52F0" w14:textId="77777777" w:rsidR="008F6729" w:rsidRPr="00171CB2" w:rsidRDefault="008F6729" w:rsidP="002002EE">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14:paraId="1CFD6DFF" w14:textId="77777777" w:rsidR="008F6729" w:rsidRPr="00171CB2" w:rsidRDefault="008F6729" w:rsidP="002002EE">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hideMark/>
          </w:tcPr>
          <w:p w14:paraId="41719AF1" w14:textId="77777777" w:rsidR="008F6729" w:rsidRPr="00171CB2" w:rsidRDefault="008F6729" w:rsidP="002002EE">
            <w:pPr>
              <w:keepNext/>
              <w:keepLines/>
              <w:spacing w:before="120" w:after="120"/>
              <w:jc w:val="left"/>
              <w:rPr>
                <w:sz w:val="16"/>
              </w:rPr>
            </w:pPr>
            <w:r w:rsidRPr="00171CB2">
              <w:rPr>
                <w:sz w:val="16"/>
              </w:rPr>
              <w:t>Deutsch</w:t>
            </w:r>
          </w:p>
        </w:tc>
        <w:tc>
          <w:tcPr>
            <w:tcW w:w="1734" w:type="dxa"/>
            <w:tcBorders>
              <w:top w:val="single" w:sz="6" w:space="0" w:color="auto"/>
              <w:left w:val="nil"/>
              <w:bottom w:val="single" w:sz="4" w:space="0" w:color="auto"/>
              <w:right w:val="nil"/>
            </w:tcBorders>
            <w:vAlign w:val="center"/>
          </w:tcPr>
          <w:p w14:paraId="3E51D815" w14:textId="77777777" w:rsidR="008F6729" w:rsidRPr="00171CB2" w:rsidRDefault="008F6729" w:rsidP="002002EE">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14:paraId="64DB70DF" w14:textId="77777777" w:rsidR="008F6729" w:rsidRPr="00171CB2" w:rsidRDefault="008F6729" w:rsidP="002002EE">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hideMark/>
          </w:tcPr>
          <w:p w14:paraId="518613A5" w14:textId="77777777" w:rsidR="008F6729" w:rsidRPr="00171CB2" w:rsidRDefault="008F6729" w:rsidP="002002EE">
            <w:pPr>
              <w:keepNext/>
              <w:keepLines/>
              <w:spacing w:before="120" w:after="120"/>
              <w:jc w:val="left"/>
              <w:rPr>
                <w:sz w:val="16"/>
              </w:rPr>
            </w:pPr>
            <w:r w:rsidRPr="00171CB2">
              <w:rPr>
                <w:sz w:val="16"/>
              </w:rPr>
              <w:t>Beispiels-sorten</w:t>
            </w:r>
          </w:p>
        </w:tc>
        <w:tc>
          <w:tcPr>
            <w:tcW w:w="567" w:type="dxa"/>
            <w:tcBorders>
              <w:top w:val="single" w:sz="6" w:space="0" w:color="auto"/>
              <w:left w:val="nil"/>
              <w:bottom w:val="single" w:sz="4" w:space="0" w:color="auto"/>
              <w:right w:val="nil"/>
            </w:tcBorders>
            <w:vAlign w:val="center"/>
            <w:hideMark/>
          </w:tcPr>
          <w:p w14:paraId="1FAC8BB7" w14:textId="77777777" w:rsidR="008F6729" w:rsidRPr="00171CB2" w:rsidRDefault="008F6729" w:rsidP="002002EE">
            <w:pPr>
              <w:keepNext/>
              <w:keepLines/>
              <w:spacing w:before="120" w:after="120"/>
              <w:jc w:val="left"/>
              <w:rPr>
                <w:sz w:val="16"/>
              </w:rPr>
            </w:pPr>
            <w:r w:rsidRPr="00171CB2">
              <w:rPr>
                <w:sz w:val="16"/>
              </w:rPr>
              <w:t>Note</w:t>
            </w:r>
          </w:p>
        </w:tc>
      </w:tr>
      <w:tr w:rsidR="008F6729" w:rsidRPr="00E40394" w14:paraId="1C9757FE" w14:textId="77777777" w:rsidTr="002002EE">
        <w:trPr>
          <w:cantSplit/>
          <w:jc w:val="center"/>
        </w:trPr>
        <w:tc>
          <w:tcPr>
            <w:tcW w:w="578" w:type="dxa"/>
            <w:tcBorders>
              <w:top w:val="single" w:sz="4" w:space="0" w:color="auto"/>
              <w:left w:val="nil"/>
              <w:bottom w:val="nil"/>
              <w:right w:val="nil"/>
            </w:tcBorders>
            <w:hideMark/>
          </w:tcPr>
          <w:p w14:paraId="68481731" w14:textId="77777777" w:rsidR="008F6729" w:rsidRPr="00171CB2" w:rsidRDefault="008F6729" w:rsidP="002002EE">
            <w:pPr>
              <w:keepNext/>
              <w:keepLines/>
              <w:spacing w:before="120" w:after="120"/>
              <w:jc w:val="left"/>
              <w:rPr>
                <w:b/>
                <w:bCs/>
                <w:sz w:val="16"/>
              </w:rPr>
            </w:pPr>
            <w:r w:rsidRPr="00171CB2">
              <w:rPr>
                <w:b/>
                <w:bCs/>
                <w:sz w:val="16"/>
              </w:rPr>
              <w:t>70.</w:t>
            </w:r>
            <w:r w:rsidRPr="00171CB2">
              <w:rPr>
                <w:b/>
                <w:bCs/>
                <w:sz w:val="16"/>
              </w:rPr>
              <w:br/>
            </w:r>
            <w:r w:rsidRPr="00171CB2">
              <w:rPr>
                <w:b/>
                <w:bCs/>
                <w:sz w:val="16"/>
              </w:rPr>
              <w:br/>
              <w:t>(+)</w:t>
            </w:r>
          </w:p>
        </w:tc>
        <w:tc>
          <w:tcPr>
            <w:tcW w:w="425" w:type="dxa"/>
            <w:tcBorders>
              <w:top w:val="single" w:sz="4" w:space="0" w:color="auto"/>
              <w:left w:val="nil"/>
              <w:bottom w:val="nil"/>
              <w:right w:val="nil"/>
            </w:tcBorders>
            <w:hideMark/>
          </w:tcPr>
          <w:p w14:paraId="30AEAF55" w14:textId="77777777" w:rsidR="008F6729" w:rsidRPr="00171CB2" w:rsidRDefault="008F6729" w:rsidP="002002EE">
            <w:pPr>
              <w:keepNext/>
              <w:keepLines/>
              <w:spacing w:before="120" w:after="120"/>
              <w:jc w:val="left"/>
              <w:rPr>
                <w:b/>
                <w:bCs/>
                <w:sz w:val="16"/>
              </w:rPr>
            </w:pPr>
            <w:r w:rsidRPr="00171CB2">
              <w:rPr>
                <w:b/>
                <w:bCs/>
                <w:sz w:val="16"/>
              </w:rPr>
              <w:t>VG</w:t>
            </w:r>
            <w:r w:rsidRPr="00171CB2">
              <w:rPr>
                <w:b/>
                <w:bCs/>
                <w:sz w:val="16"/>
              </w:rPr>
              <w:br/>
            </w:r>
            <w:r w:rsidRPr="00171CB2">
              <w:rPr>
                <w:b/>
                <w:bCs/>
                <w:sz w:val="16"/>
              </w:rPr>
              <w:br/>
            </w:r>
            <w:r w:rsidRPr="00171CB2">
              <w:rPr>
                <w:b/>
                <w:bCs/>
                <w:sz w:val="16"/>
              </w:rPr>
              <w:br/>
            </w:r>
            <w:r w:rsidRPr="00171CB2">
              <w:rPr>
                <w:b/>
                <w:bCs/>
                <w:sz w:val="16"/>
              </w:rPr>
              <w:br/>
            </w:r>
            <w:r w:rsidRPr="00171CB2">
              <w:rPr>
                <w:b/>
                <w:bCs/>
                <w:sz w:val="16"/>
              </w:rPr>
              <w:br/>
            </w:r>
          </w:p>
        </w:tc>
        <w:tc>
          <w:tcPr>
            <w:tcW w:w="1733" w:type="dxa"/>
            <w:tcBorders>
              <w:top w:val="single" w:sz="4" w:space="0" w:color="auto"/>
              <w:left w:val="nil"/>
              <w:bottom w:val="nil"/>
              <w:right w:val="nil"/>
            </w:tcBorders>
            <w:hideMark/>
          </w:tcPr>
          <w:p w14:paraId="3889255F" w14:textId="77777777" w:rsidR="008F6729" w:rsidRPr="00171CB2" w:rsidRDefault="008F6729" w:rsidP="002002EE">
            <w:pPr>
              <w:keepNext/>
              <w:keepLines/>
              <w:spacing w:before="120" w:after="120"/>
              <w:jc w:val="left"/>
              <w:rPr>
                <w:b/>
                <w:bCs/>
                <w:sz w:val="16"/>
              </w:rPr>
            </w:pPr>
            <w:r w:rsidRPr="00171CB2">
              <w:rPr>
                <w:b/>
                <w:sz w:val="16"/>
              </w:rPr>
              <w:t>Resistent gegen Sphaerotheca fuliginea (</w:t>
            </w:r>
            <w:r w:rsidRPr="00171CB2">
              <w:rPr>
                <w:b/>
                <w:snapToGrid w:val="0"/>
                <w:sz w:val="16"/>
              </w:rPr>
              <w:t>Podosphaera xanthii)</w:t>
            </w:r>
            <w:r w:rsidRPr="00171CB2">
              <w:rPr>
                <w:b/>
                <w:sz w:val="16"/>
              </w:rPr>
              <w:t xml:space="preserve"> </w:t>
            </w:r>
            <w:r w:rsidRPr="00171CB2">
              <w:rPr>
                <w:b/>
                <w:sz w:val="16"/>
              </w:rPr>
              <w:br/>
              <w:t>(Echter Mehltau</w:t>
            </w:r>
            <w:r w:rsidRPr="00171CB2">
              <w:rPr>
                <w:b/>
                <w:bCs/>
                <w:sz w:val="16"/>
              </w:rPr>
              <w:t>)</w:t>
            </w:r>
          </w:p>
        </w:tc>
        <w:tc>
          <w:tcPr>
            <w:tcW w:w="1734" w:type="dxa"/>
            <w:tcBorders>
              <w:top w:val="single" w:sz="4" w:space="0" w:color="auto"/>
              <w:left w:val="nil"/>
              <w:bottom w:val="nil"/>
              <w:right w:val="nil"/>
            </w:tcBorders>
          </w:tcPr>
          <w:p w14:paraId="006B9105" w14:textId="77777777" w:rsidR="008F6729" w:rsidRPr="00171CB2" w:rsidRDefault="008F6729" w:rsidP="002002EE">
            <w:pPr>
              <w:keepNext/>
              <w:keepLines/>
              <w:spacing w:before="120" w:after="120"/>
              <w:jc w:val="left"/>
              <w:rPr>
                <w:b/>
                <w:bCs/>
                <w:sz w:val="16"/>
              </w:rPr>
            </w:pPr>
          </w:p>
        </w:tc>
        <w:tc>
          <w:tcPr>
            <w:tcW w:w="1734" w:type="dxa"/>
            <w:tcBorders>
              <w:top w:val="single" w:sz="4" w:space="0" w:color="auto"/>
              <w:left w:val="nil"/>
              <w:bottom w:val="nil"/>
              <w:right w:val="nil"/>
            </w:tcBorders>
          </w:tcPr>
          <w:p w14:paraId="39A728AF" w14:textId="77777777" w:rsidR="008F6729" w:rsidRPr="00171CB2" w:rsidRDefault="008F6729" w:rsidP="002002EE">
            <w:pPr>
              <w:keepNext/>
              <w:keepLines/>
              <w:spacing w:before="120" w:after="120"/>
              <w:jc w:val="left"/>
              <w:rPr>
                <w:b/>
                <w:bCs/>
                <w:sz w:val="16"/>
              </w:rPr>
            </w:pPr>
          </w:p>
        </w:tc>
        <w:tc>
          <w:tcPr>
            <w:tcW w:w="851" w:type="dxa"/>
            <w:tcBorders>
              <w:top w:val="single" w:sz="4" w:space="0" w:color="auto"/>
              <w:left w:val="nil"/>
              <w:bottom w:val="nil"/>
              <w:right w:val="nil"/>
            </w:tcBorders>
          </w:tcPr>
          <w:p w14:paraId="5CD0A06F" w14:textId="77777777" w:rsidR="008F6729" w:rsidRPr="00171CB2" w:rsidRDefault="008F6729" w:rsidP="002002EE">
            <w:pPr>
              <w:keepNext/>
              <w:keepLines/>
              <w:spacing w:before="120" w:after="120"/>
              <w:jc w:val="left"/>
              <w:rPr>
                <w:b/>
                <w:bCs/>
                <w:sz w:val="16"/>
              </w:rPr>
            </w:pPr>
          </w:p>
        </w:tc>
        <w:tc>
          <w:tcPr>
            <w:tcW w:w="567" w:type="dxa"/>
            <w:tcBorders>
              <w:top w:val="single" w:sz="4" w:space="0" w:color="auto"/>
              <w:left w:val="nil"/>
              <w:bottom w:val="nil"/>
              <w:right w:val="nil"/>
            </w:tcBorders>
          </w:tcPr>
          <w:p w14:paraId="4AA7A5FB" w14:textId="77777777" w:rsidR="008F6729" w:rsidRPr="00171CB2" w:rsidRDefault="008F6729" w:rsidP="002002EE">
            <w:pPr>
              <w:keepNext/>
              <w:keepLines/>
              <w:spacing w:before="120" w:after="120"/>
              <w:jc w:val="left"/>
              <w:rPr>
                <w:b/>
                <w:bCs/>
                <w:sz w:val="16"/>
              </w:rPr>
            </w:pPr>
          </w:p>
        </w:tc>
      </w:tr>
      <w:tr w:rsidR="008F6729" w:rsidRPr="00171CB2" w14:paraId="6CBB74D0" w14:textId="77777777" w:rsidTr="002002EE">
        <w:trPr>
          <w:cantSplit/>
          <w:jc w:val="center"/>
        </w:trPr>
        <w:tc>
          <w:tcPr>
            <w:tcW w:w="578" w:type="dxa"/>
            <w:tcBorders>
              <w:top w:val="nil"/>
              <w:left w:val="nil"/>
              <w:bottom w:val="nil"/>
              <w:right w:val="nil"/>
            </w:tcBorders>
            <w:hideMark/>
          </w:tcPr>
          <w:p w14:paraId="75175B86" w14:textId="77777777" w:rsidR="008F6729" w:rsidRPr="00171CB2" w:rsidRDefault="008F6729" w:rsidP="002002EE">
            <w:pPr>
              <w:keepNext/>
              <w:keepLines/>
              <w:spacing w:before="120" w:after="120"/>
              <w:jc w:val="left"/>
              <w:rPr>
                <w:b/>
                <w:sz w:val="16"/>
              </w:rPr>
            </w:pPr>
            <w:r w:rsidRPr="00171CB2">
              <w:rPr>
                <w:b/>
                <w:sz w:val="16"/>
              </w:rPr>
              <w:t>70.1</w:t>
            </w:r>
          </w:p>
        </w:tc>
        <w:tc>
          <w:tcPr>
            <w:tcW w:w="425" w:type="dxa"/>
            <w:tcBorders>
              <w:top w:val="nil"/>
              <w:left w:val="nil"/>
              <w:bottom w:val="nil"/>
              <w:right w:val="nil"/>
            </w:tcBorders>
          </w:tcPr>
          <w:p w14:paraId="1C1F22FC" w14:textId="77777777" w:rsidR="008F6729" w:rsidRPr="00171CB2" w:rsidRDefault="008F6729" w:rsidP="002002EE">
            <w:pPr>
              <w:keepNext/>
              <w:keepLines/>
              <w:spacing w:before="120" w:after="120"/>
              <w:jc w:val="left"/>
              <w:rPr>
                <w:b/>
                <w:sz w:val="16"/>
              </w:rPr>
            </w:pPr>
          </w:p>
        </w:tc>
        <w:tc>
          <w:tcPr>
            <w:tcW w:w="1733" w:type="dxa"/>
            <w:tcBorders>
              <w:top w:val="nil"/>
              <w:left w:val="nil"/>
              <w:bottom w:val="nil"/>
              <w:right w:val="nil"/>
            </w:tcBorders>
            <w:hideMark/>
          </w:tcPr>
          <w:p w14:paraId="718DE866" w14:textId="77777777" w:rsidR="008F6729" w:rsidRPr="00171CB2" w:rsidRDefault="008F6729" w:rsidP="002002EE">
            <w:pPr>
              <w:keepNext/>
              <w:keepLines/>
              <w:spacing w:before="120" w:after="120"/>
              <w:jc w:val="left"/>
              <w:rPr>
                <w:b/>
                <w:sz w:val="16"/>
              </w:rPr>
            </w:pPr>
            <w:r w:rsidRPr="00171CB2">
              <w:rPr>
                <w:b/>
                <w:sz w:val="16"/>
              </w:rPr>
              <w:t>Phenotyp 1</w:t>
            </w:r>
          </w:p>
        </w:tc>
        <w:tc>
          <w:tcPr>
            <w:tcW w:w="1734" w:type="dxa"/>
            <w:tcBorders>
              <w:top w:val="nil"/>
              <w:left w:val="nil"/>
              <w:bottom w:val="nil"/>
              <w:right w:val="nil"/>
            </w:tcBorders>
          </w:tcPr>
          <w:p w14:paraId="6C197C80" w14:textId="77777777" w:rsidR="008F6729" w:rsidRPr="00171CB2" w:rsidRDefault="008F6729" w:rsidP="002002EE">
            <w:pPr>
              <w:keepNext/>
              <w:keepLines/>
              <w:spacing w:before="120" w:after="120"/>
              <w:jc w:val="left"/>
              <w:rPr>
                <w:b/>
                <w:sz w:val="16"/>
              </w:rPr>
            </w:pPr>
          </w:p>
        </w:tc>
        <w:tc>
          <w:tcPr>
            <w:tcW w:w="1734" w:type="dxa"/>
            <w:tcBorders>
              <w:top w:val="nil"/>
              <w:left w:val="nil"/>
              <w:bottom w:val="nil"/>
              <w:right w:val="nil"/>
            </w:tcBorders>
          </w:tcPr>
          <w:p w14:paraId="28CA26A0" w14:textId="77777777" w:rsidR="008F6729" w:rsidRPr="00171CB2" w:rsidRDefault="008F6729" w:rsidP="002002EE">
            <w:pPr>
              <w:keepNext/>
              <w:keepLines/>
              <w:spacing w:before="120" w:after="120"/>
              <w:jc w:val="left"/>
              <w:rPr>
                <w:b/>
                <w:sz w:val="16"/>
              </w:rPr>
            </w:pPr>
          </w:p>
        </w:tc>
        <w:tc>
          <w:tcPr>
            <w:tcW w:w="851" w:type="dxa"/>
            <w:tcBorders>
              <w:top w:val="nil"/>
              <w:left w:val="nil"/>
              <w:bottom w:val="nil"/>
              <w:right w:val="nil"/>
            </w:tcBorders>
          </w:tcPr>
          <w:p w14:paraId="6E387FCB" w14:textId="77777777" w:rsidR="008F6729" w:rsidRPr="00171CB2" w:rsidRDefault="008F6729" w:rsidP="002002EE">
            <w:pPr>
              <w:keepNext/>
              <w:keepLines/>
              <w:spacing w:before="120" w:after="120"/>
              <w:jc w:val="left"/>
              <w:rPr>
                <w:sz w:val="16"/>
              </w:rPr>
            </w:pPr>
          </w:p>
        </w:tc>
        <w:tc>
          <w:tcPr>
            <w:tcW w:w="567" w:type="dxa"/>
            <w:tcBorders>
              <w:top w:val="nil"/>
              <w:left w:val="nil"/>
              <w:bottom w:val="nil"/>
              <w:right w:val="nil"/>
            </w:tcBorders>
          </w:tcPr>
          <w:p w14:paraId="088B8D61" w14:textId="77777777" w:rsidR="008F6729" w:rsidRPr="00171CB2" w:rsidRDefault="008F6729" w:rsidP="002002EE">
            <w:pPr>
              <w:keepNext/>
              <w:keepLines/>
              <w:spacing w:before="120" w:after="120"/>
              <w:jc w:val="left"/>
              <w:rPr>
                <w:sz w:val="16"/>
              </w:rPr>
            </w:pPr>
          </w:p>
        </w:tc>
      </w:tr>
      <w:tr w:rsidR="008F6729" w:rsidRPr="00171CB2" w14:paraId="2B163228" w14:textId="77777777" w:rsidTr="002002EE">
        <w:trPr>
          <w:cantSplit/>
          <w:jc w:val="center"/>
        </w:trPr>
        <w:tc>
          <w:tcPr>
            <w:tcW w:w="578" w:type="dxa"/>
            <w:tcBorders>
              <w:top w:val="nil"/>
              <w:left w:val="nil"/>
              <w:bottom w:val="nil"/>
              <w:right w:val="nil"/>
            </w:tcBorders>
            <w:hideMark/>
          </w:tcPr>
          <w:p w14:paraId="6E7D40B4" w14:textId="77777777" w:rsidR="008F6729" w:rsidRPr="00171CB2" w:rsidRDefault="008F6729" w:rsidP="002002EE">
            <w:pPr>
              <w:keepNext/>
              <w:keepLines/>
              <w:spacing w:before="120" w:after="120"/>
              <w:jc w:val="left"/>
              <w:rPr>
                <w:sz w:val="16"/>
              </w:rPr>
            </w:pPr>
            <w:r w:rsidRPr="00171CB2">
              <w:rPr>
                <w:sz w:val="16"/>
              </w:rPr>
              <w:t>QN</w:t>
            </w:r>
          </w:p>
        </w:tc>
        <w:tc>
          <w:tcPr>
            <w:tcW w:w="425" w:type="dxa"/>
            <w:tcBorders>
              <w:top w:val="nil"/>
              <w:left w:val="nil"/>
              <w:bottom w:val="nil"/>
              <w:right w:val="nil"/>
            </w:tcBorders>
          </w:tcPr>
          <w:p w14:paraId="56281E05" w14:textId="77777777" w:rsidR="008F6729" w:rsidRPr="00171CB2" w:rsidRDefault="008F6729" w:rsidP="002002EE">
            <w:pPr>
              <w:keepNext/>
              <w:keepLines/>
              <w:spacing w:before="120" w:after="120"/>
              <w:jc w:val="left"/>
              <w:rPr>
                <w:sz w:val="16"/>
              </w:rPr>
            </w:pPr>
          </w:p>
        </w:tc>
        <w:tc>
          <w:tcPr>
            <w:tcW w:w="1733" w:type="dxa"/>
            <w:tcBorders>
              <w:top w:val="nil"/>
              <w:left w:val="nil"/>
              <w:bottom w:val="nil"/>
              <w:right w:val="nil"/>
            </w:tcBorders>
            <w:hideMark/>
          </w:tcPr>
          <w:p w14:paraId="5C147D8E" w14:textId="77777777" w:rsidR="008F6729" w:rsidRPr="00171CB2" w:rsidRDefault="008F6729" w:rsidP="002002EE">
            <w:pPr>
              <w:keepNext/>
              <w:keepLines/>
              <w:spacing w:before="120" w:after="120"/>
              <w:jc w:val="left"/>
              <w:rPr>
                <w:sz w:val="16"/>
              </w:rPr>
            </w:pPr>
            <w:r w:rsidRPr="00171CB2">
              <w:rPr>
                <w:sz w:val="16"/>
              </w:rPr>
              <w:t>anfällig</w:t>
            </w:r>
          </w:p>
        </w:tc>
        <w:tc>
          <w:tcPr>
            <w:tcW w:w="1734" w:type="dxa"/>
            <w:tcBorders>
              <w:top w:val="nil"/>
              <w:left w:val="nil"/>
              <w:bottom w:val="nil"/>
              <w:right w:val="nil"/>
            </w:tcBorders>
          </w:tcPr>
          <w:p w14:paraId="1921A554" w14:textId="77777777" w:rsidR="008F6729" w:rsidRPr="00171CB2" w:rsidRDefault="008F6729" w:rsidP="002002EE">
            <w:pPr>
              <w:keepNext/>
              <w:keepLines/>
              <w:spacing w:before="120" w:after="120"/>
              <w:jc w:val="left"/>
              <w:rPr>
                <w:sz w:val="16"/>
              </w:rPr>
            </w:pPr>
          </w:p>
        </w:tc>
        <w:tc>
          <w:tcPr>
            <w:tcW w:w="1734" w:type="dxa"/>
            <w:tcBorders>
              <w:top w:val="nil"/>
              <w:left w:val="nil"/>
              <w:bottom w:val="nil"/>
              <w:right w:val="nil"/>
            </w:tcBorders>
          </w:tcPr>
          <w:p w14:paraId="3AD03AD8" w14:textId="77777777" w:rsidR="008F6729" w:rsidRPr="00171CB2" w:rsidRDefault="008F6729" w:rsidP="002002EE">
            <w:pPr>
              <w:keepNext/>
              <w:keepLines/>
              <w:spacing w:before="120" w:after="120"/>
              <w:jc w:val="left"/>
              <w:rPr>
                <w:sz w:val="16"/>
              </w:rPr>
            </w:pPr>
          </w:p>
        </w:tc>
        <w:tc>
          <w:tcPr>
            <w:tcW w:w="851" w:type="dxa"/>
            <w:tcBorders>
              <w:top w:val="nil"/>
              <w:left w:val="nil"/>
              <w:bottom w:val="nil"/>
              <w:right w:val="nil"/>
            </w:tcBorders>
            <w:hideMark/>
          </w:tcPr>
          <w:p w14:paraId="616E3434" w14:textId="77777777" w:rsidR="008F6729" w:rsidRPr="00171CB2" w:rsidRDefault="008F6729" w:rsidP="002002EE">
            <w:pPr>
              <w:keepNext/>
              <w:keepLines/>
              <w:spacing w:before="120" w:after="120"/>
              <w:jc w:val="left"/>
              <w:rPr>
                <w:sz w:val="16"/>
              </w:rPr>
            </w:pPr>
            <w:r w:rsidRPr="00171CB2">
              <w:rPr>
                <w:sz w:val="16"/>
              </w:rPr>
              <w:t>[...]</w:t>
            </w:r>
          </w:p>
        </w:tc>
        <w:tc>
          <w:tcPr>
            <w:tcW w:w="567" w:type="dxa"/>
            <w:tcBorders>
              <w:top w:val="nil"/>
              <w:left w:val="nil"/>
              <w:bottom w:val="nil"/>
              <w:right w:val="nil"/>
            </w:tcBorders>
            <w:hideMark/>
          </w:tcPr>
          <w:p w14:paraId="5BD59085" w14:textId="77777777" w:rsidR="008F6729" w:rsidRPr="00171CB2" w:rsidRDefault="008F6729" w:rsidP="002002EE">
            <w:pPr>
              <w:keepNext/>
              <w:keepLines/>
              <w:spacing w:before="120" w:after="120"/>
              <w:jc w:val="left"/>
              <w:rPr>
                <w:sz w:val="16"/>
              </w:rPr>
            </w:pPr>
            <w:r w:rsidRPr="00171CB2">
              <w:rPr>
                <w:sz w:val="16"/>
              </w:rPr>
              <w:t>1</w:t>
            </w:r>
          </w:p>
        </w:tc>
      </w:tr>
      <w:tr w:rsidR="008F6729" w:rsidRPr="00171CB2" w14:paraId="6E73E500" w14:textId="77777777" w:rsidTr="002002EE">
        <w:trPr>
          <w:cantSplit/>
          <w:jc w:val="center"/>
        </w:trPr>
        <w:tc>
          <w:tcPr>
            <w:tcW w:w="578" w:type="dxa"/>
            <w:tcBorders>
              <w:top w:val="nil"/>
              <w:left w:val="nil"/>
              <w:bottom w:val="nil"/>
              <w:right w:val="nil"/>
            </w:tcBorders>
          </w:tcPr>
          <w:p w14:paraId="0D8EFB55" w14:textId="77777777" w:rsidR="008F6729" w:rsidRPr="00171CB2" w:rsidRDefault="008F6729" w:rsidP="002002EE">
            <w:pPr>
              <w:keepNext/>
              <w:keepLines/>
              <w:spacing w:before="120" w:after="120"/>
              <w:jc w:val="left"/>
              <w:rPr>
                <w:sz w:val="16"/>
              </w:rPr>
            </w:pPr>
          </w:p>
        </w:tc>
        <w:tc>
          <w:tcPr>
            <w:tcW w:w="425" w:type="dxa"/>
            <w:tcBorders>
              <w:top w:val="nil"/>
              <w:left w:val="nil"/>
              <w:bottom w:val="nil"/>
              <w:right w:val="nil"/>
            </w:tcBorders>
          </w:tcPr>
          <w:p w14:paraId="414C9457" w14:textId="77777777" w:rsidR="008F6729" w:rsidRPr="00171CB2" w:rsidRDefault="008F6729" w:rsidP="002002EE">
            <w:pPr>
              <w:keepNext/>
              <w:keepLines/>
              <w:spacing w:before="120" w:after="120"/>
              <w:jc w:val="left"/>
              <w:rPr>
                <w:sz w:val="16"/>
              </w:rPr>
            </w:pPr>
          </w:p>
        </w:tc>
        <w:tc>
          <w:tcPr>
            <w:tcW w:w="3467" w:type="dxa"/>
            <w:gridSpan w:val="2"/>
            <w:tcBorders>
              <w:top w:val="nil"/>
              <w:left w:val="nil"/>
              <w:bottom w:val="nil"/>
              <w:right w:val="nil"/>
            </w:tcBorders>
            <w:hideMark/>
          </w:tcPr>
          <w:p w14:paraId="31E3AABE" w14:textId="77777777" w:rsidR="008F6729" w:rsidRPr="00171CB2" w:rsidRDefault="008F6729" w:rsidP="002002EE">
            <w:pPr>
              <w:keepNext/>
              <w:keepLines/>
              <w:spacing w:before="120" w:after="120"/>
              <w:jc w:val="left"/>
              <w:rPr>
                <w:sz w:val="16"/>
              </w:rPr>
            </w:pPr>
            <w:r w:rsidRPr="00171CB2">
              <w:rPr>
                <w:strike/>
                <w:sz w:val="16"/>
                <w:highlight w:val="lightGray"/>
              </w:rPr>
              <w:t>Mäßig resistent</w:t>
            </w:r>
            <w:r w:rsidRPr="00171CB2">
              <w:rPr>
                <w:sz w:val="16"/>
              </w:rPr>
              <w:t xml:space="preserve"> </w:t>
            </w:r>
            <w:r w:rsidRPr="00171CB2">
              <w:rPr>
                <w:sz w:val="16"/>
                <w:highlight w:val="lightGray"/>
              </w:rPr>
              <w:t>mittel resistent</w:t>
            </w:r>
            <w:r w:rsidRPr="00171CB2">
              <w:rPr>
                <w:rStyle w:val="FootnoteReference"/>
                <w:sz w:val="16"/>
              </w:rPr>
              <w:footnoteReference w:id="2"/>
            </w:r>
          </w:p>
        </w:tc>
        <w:tc>
          <w:tcPr>
            <w:tcW w:w="1734" w:type="dxa"/>
            <w:tcBorders>
              <w:top w:val="nil"/>
              <w:left w:val="nil"/>
              <w:bottom w:val="nil"/>
              <w:right w:val="nil"/>
            </w:tcBorders>
          </w:tcPr>
          <w:p w14:paraId="061A0C66" w14:textId="77777777" w:rsidR="008F6729" w:rsidRPr="00171CB2" w:rsidRDefault="008F6729" w:rsidP="002002EE">
            <w:pPr>
              <w:keepNext/>
              <w:keepLines/>
              <w:spacing w:before="120" w:after="120"/>
              <w:jc w:val="left"/>
              <w:rPr>
                <w:sz w:val="16"/>
              </w:rPr>
            </w:pPr>
          </w:p>
        </w:tc>
        <w:tc>
          <w:tcPr>
            <w:tcW w:w="851" w:type="dxa"/>
            <w:tcBorders>
              <w:top w:val="nil"/>
              <w:left w:val="nil"/>
              <w:bottom w:val="nil"/>
              <w:right w:val="nil"/>
            </w:tcBorders>
            <w:hideMark/>
          </w:tcPr>
          <w:p w14:paraId="305A6292" w14:textId="77777777" w:rsidR="008F6729" w:rsidRPr="00171CB2" w:rsidRDefault="008F6729" w:rsidP="002002EE">
            <w:pPr>
              <w:keepNext/>
              <w:keepLines/>
              <w:spacing w:before="120" w:after="120"/>
              <w:jc w:val="left"/>
              <w:rPr>
                <w:sz w:val="16"/>
              </w:rPr>
            </w:pPr>
            <w:r w:rsidRPr="00171CB2">
              <w:rPr>
                <w:sz w:val="16"/>
              </w:rPr>
              <w:t>[...]</w:t>
            </w:r>
          </w:p>
        </w:tc>
        <w:tc>
          <w:tcPr>
            <w:tcW w:w="567" w:type="dxa"/>
            <w:tcBorders>
              <w:top w:val="nil"/>
              <w:left w:val="nil"/>
              <w:bottom w:val="nil"/>
              <w:right w:val="nil"/>
            </w:tcBorders>
            <w:hideMark/>
          </w:tcPr>
          <w:p w14:paraId="168459C0" w14:textId="77777777" w:rsidR="008F6729" w:rsidRPr="00171CB2" w:rsidRDefault="008F6729" w:rsidP="002002EE">
            <w:pPr>
              <w:keepNext/>
              <w:keepLines/>
              <w:spacing w:before="120" w:after="120"/>
              <w:jc w:val="left"/>
              <w:rPr>
                <w:sz w:val="16"/>
              </w:rPr>
            </w:pPr>
            <w:r w:rsidRPr="00171CB2">
              <w:rPr>
                <w:sz w:val="16"/>
              </w:rPr>
              <w:t>2</w:t>
            </w:r>
          </w:p>
        </w:tc>
      </w:tr>
      <w:tr w:rsidR="008F6729" w:rsidRPr="00171CB2" w14:paraId="5F99A27C" w14:textId="77777777" w:rsidTr="002002EE">
        <w:trPr>
          <w:cantSplit/>
          <w:jc w:val="center"/>
        </w:trPr>
        <w:tc>
          <w:tcPr>
            <w:tcW w:w="578" w:type="dxa"/>
            <w:tcBorders>
              <w:top w:val="nil"/>
              <w:left w:val="nil"/>
              <w:bottom w:val="single" w:sz="4" w:space="0" w:color="auto"/>
              <w:right w:val="nil"/>
            </w:tcBorders>
          </w:tcPr>
          <w:p w14:paraId="6F25316D" w14:textId="77777777" w:rsidR="008F6729" w:rsidRPr="00171CB2" w:rsidRDefault="008F6729" w:rsidP="002002EE">
            <w:pPr>
              <w:keepNext/>
              <w:keepLines/>
              <w:spacing w:before="120" w:after="120"/>
              <w:jc w:val="left"/>
              <w:rPr>
                <w:sz w:val="16"/>
              </w:rPr>
            </w:pPr>
          </w:p>
        </w:tc>
        <w:tc>
          <w:tcPr>
            <w:tcW w:w="425" w:type="dxa"/>
            <w:tcBorders>
              <w:top w:val="nil"/>
              <w:left w:val="nil"/>
              <w:bottom w:val="single" w:sz="4" w:space="0" w:color="auto"/>
              <w:right w:val="nil"/>
            </w:tcBorders>
          </w:tcPr>
          <w:p w14:paraId="00E60954" w14:textId="77777777" w:rsidR="008F6729" w:rsidRPr="00171CB2" w:rsidRDefault="008F6729" w:rsidP="002002EE">
            <w:pPr>
              <w:keepNext/>
              <w:keepLines/>
              <w:spacing w:before="120" w:after="120"/>
              <w:jc w:val="left"/>
              <w:rPr>
                <w:sz w:val="16"/>
              </w:rPr>
            </w:pPr>
          </w:p>
        </w:tc>
        <w:tc>
          <w:tcPr>
            <w:tcW w:w="1733" w:type="dxa"/>
            <w:tcBorders>
              <w:top w:val="nil"/>
              <w:left w:val="nil"/>
              <w:bottom w:val="single" w:sz="4" w:space="0" w:color="auto"/>
              <w:right w:val="nil"/>
            </w:tcBorders>
            <w:hideMark/>
          </w:tcPr>
          <w:p w14:paraId="14009031" w14:textId="77777777" w:rsidR="008F6729" w:rsidRPr="00171CB2" w:rsidRDefault="008F6729" w:rsidP="002002EE">
            <w:pPr>
              <w:keepNext/>
              <w:keepLines/>
              <w:spacing w:before="120" w:after="120"/>
              <w:jc w:val="left"/>
              <w:rPr>
                <w:sz w:val="16"/>
              </w:rPr>
            </w:pPr>
            <w:r w:rsidRPr="00171CB2">
              <w:rPr>
                <w:sz w:val="16"/>
              </w:rPr>
              <w:t>hochresistent</w:t>
            </w:r>
          </w:p>
        </w:tc>
        <w:tc>
          <w:tcPr>
            <w:tcW w:w="1734" w:type="dxa"/>
            <w:tcBorders>
              <w:top w:val="nil"/>
              <w:left w:val="nil"/>
              <w:bottom w:val="single" w:sz="4" w:space="0" w:color="auto"/>
              <w:right w:val="nil"/>
            </w:tcBorders>
          </w:tcPr>
          <w:p w14:paraId="74A875E0" w14:textId="77777777" w:rsidR="008F6729" w:rsidRPr="00171CB2" w:rsidRDefault="008F6729" w:rsidP="002002EE">
            <w:pPr>
              <w:keepNext/>
              <w:keepLines/>
              <w:spacing w:before="120" w:after="120"/>
              <w:jc w:val="left"/>
              <w:rPr>
                <w:sz w:val="16"/>
              </w:rPr>
            </w:pPr>
          </w:p>
        </w:tc>
        <w:tc>
          <w:tcPr>
            <w:tcW w:w="1734" w:type="dxa"/>
            <w:tcBorders>
              <w:top w:val="nil"/>
              <w:left w:val="nil"/>
              <w:bottom w:val="single" w:sz="4" w:space="0" w:color="auto"/>
              <w:right w:val="nil"/>
            </w:tcBorders>
          </w:tcPr>
          <w:p w14:paraId="7DBF020D" w14:textId="77777777" w:rsidR="008F6729" w:rsidRPr="00171CB2" w:rsidRDefault="008F6729" w:rsidP="002002EE">
            <w:pPr>
              <w:keepNext/>
              <w:keepLines/>
              <w:spacing w:before="120" w:after="120"/>
              <w:jc w:val="left"/>
              <w:rPr>
                <w:sz w:val="16"/>
              </w:rPr>
            </w:pPr>
          </w:p>
        </w:tc>
        <w:tc>
          <w:tcPr>
            <w:tcW w:w="851" w:type="dxa"/>
            <w:tcBorders>
              <w:top w:val="nil"/>
              <w:left w:val="nil"/>
              <w:bottom w:val="single" w:sz="4" w:space="0" w:color="auto"/>
              <w:right w:val="nil"/>
            </w:tcBorders>
            <w:hideMark/>
          </w:tcPr>
          <w:p w14:paraId="23BEB611" w14:textId="77777777" w:rsidR="008F6729" w:rsidRPr="00171CB2" w:rsidRDefault="008F6729" w:rsidP="002002EE">
            <w:pPr>
              <w:keepNext/>
              <w:keepLines/>
              <w:spacing w:before="120" w:after="120"/>
              <w:jc w:val="left"/>
              <w:rPr>
                <w:sz w:val="16"/>
              </w:rPr>
            </w:pPr>
            <w:r w:rsidRPr="00171CB2">
              <w:rPr>
                <w:sz w:val="16"/>
              </w:rPr>
              <w:t>[...]</w:t>
            </w:r>
          </w:p>
        </w:tc>
        <w:tc>
          <w:tcPr>
            <w:tcW w:w="567" w:type="dxa"/>
            <w:tcBorders>
              <w:top w:val="nil"/>
              <w:left w:val="nil"/>
              <w:bottom w:val="single" w:sz="4" w:space="0" w:color="auto"/>
              <w:right w:val="nil"/>
            </w:tcBorders>
            <w:hideMark/>
          </w:tcPr>
          <w:p w14:paraId="665B8211" w14:textId="77777777" w:rsidR="008F6729" w:rsidRPr="00171CB2" w:rsidRDefault="008F6729" w:rsidP="002002EE">
            <w:pPr>
              <w:keepNext/>
              <w:keepLines/>
              <w:spacing w:before="120" w:after="120"/>
              <w:jc w:val="left"/>
              <w:rPr>
                <w:sz w:val="16"/>
              </w:rPr>
            </w:pPr>
            <w:r w:rsidRPr="00171CB2">
              <w:rPr>
                <w:sz w:val="16"/>
              </w:rPr>
              <w:t>3</w:t>
            </w:r>
          </w:p>
        </w:tc>
      </w:tr>
    </w:tbl>
    <w:p w14:paraId="23FB66DC" w14:textId="77777777" w:rsidR="008F6729" w:rsidRPr="00171CB2" w:rsidRDefault="008F6729" w:rsidP="008F6729">
      <w:pPr>
        <w:ind w:left="1134" w:hanging="567"/>
      </w:pPr>
    </w:p>
    <w:p w14:paraId="7EA5CA67" w14:textId="77777777" w:rsidR="008F6729" w:rsidRPr="00171CB2" w:rsidRDefault="008F6729" w:rsidP="008F6729"/>
    <w:p w14:paraId="3952D25F" w14:textId="77777777" w:rsidR="008F6729" w:rsidRPr="00171CB2" w:rsidRDefault="008F6729" w:rsidP="008F6729"/>
    <w:p w14:paraId="395D5137" w14:textId="77777777" w:rsidR="008F6729" w:rsidRPr="00171CB2" w:rsidRDefault="008F6729" w:rsidP="008F6729"/>
    <w:p w14:paraId="4C01887E" w14:textId="77777777" w:rsidR="008F6729" w:rsidRPr="00171CB2" w:rsidRDefault="008F6729" w:rsidP="008F6729"/>
    <w:p w14:paraId="71DE179F" w14:textId="77777777" w:rsidR="008F6729" w:rsidRPr="00171CB2" w:rsidRDefault="008F6729" w:rsidP="008F6729">
      <w:pPr>
        <w:jc w:val="right"/>
      </w:pPr>
      <w:r w:rsidRPr="00171CB2">
        <w:t xml:space="preserve"> [Ende der Anlage III und des Dokuments]</w:t>
      </w:r>
    </w:p>
    <w:p w14:paraId="703D2466" w14:textId="77777777" w:rsidR="008F6729" w:rsidRPr="00171CB2" w:rsidRDefault="008F6729" w:rsidP="008F6729">
      <w:pPr>
        <w:jc w:val="left"/>
      </w:pPr>
    </w:p>
    <w:p w14:paraId="1D230A0D" w14:textId="64456545" w:rsidR="008F6729" w:rsidRPr="005F5534" w:rsidRDefault="008F6729">
      <w:pPr>
        <w:jc w:val="left"/>
      </w:pPr>
    </w:p>
    <w:p w14:paraId="2DF3411E" w14:textId="77777777" w:rsidR="00002258" w:rsidRPr="005F5534" w:rsidRDefault="00002258" w:rsidP="00B16054"/>
    <w:sectPr w:rsidR="00002258" w:rsidRPr="005F5534" w:rsidSect="000460DF">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E208" w14:textId="77777777" w:rsidR="001E7A14" w:rsidRDefault="001E7A14" w:rsidP="006655D3">
      <w:r>
        <w:separator/>
      </w:r>
    </w:p>
    <w:p w14:paraId="02403955" w14:textId="77777777" w:rsidR="001E7A14" w:rsidRDefault="001E7A14" w:rsidP="006655D3"/>
    <w:p w14:paraId="74E41EFC" w14:textId="77777777" w:rsidR="001E7A14" w:rsidRDefault="001E7A14" w:rsidP="006655D3"/>
  </w:endnote>
  <w:endnote w:type="continuationSeparator" w:id="0">
    <w:p w14:paraId="150DFE9F" w14:textId="77777777" w:rsidR="001E7A14" w:rsidRDefault="001E7A14" w:rsidP="006655D3">
      <w:r>
        <w:separator/>
      </w:r>
    </w:p>
    <w:p w14:paraId="54EDE583" w14:textId="77777777" w:rsidR="001E7A14" w:rsidRDefault="001E7A14">
      <w:pPr>
        <w:pStyle w:val="Footer"/>
        <w:spacing w:after="60"/>
        <w:rPr>
          <w:sz w:val="18"/>
          <w:lang w:val="fr-FR"/>
        </w:rPr>
      </w:pPr>
      <w:r w:rsidRPr="00294751">
        <w:rPr>
          <w:sz w:val="18"/>
          <w:lang w:val="fr-FR"/>
        </w:rPr>
        <w:t>(Suite de la note de la page précédente)</w:t>
      </w:r>
    </w:p>
    <w:p w14:paraId="458AC4EE" w14:textId="77777777" w:rsidR="001E7A14" w:rsidRPr="00294751" w:rsidRDefault="001E7A14" w:rsidP="006655D3">
      <w:pPr>
        <w:rPr>
          <w:lang w:val="fr-FR"/>
        </w:rPr>
      </w:pPr>
    </w:p>
    <w:p w14:paraId="77B1BF57" w14:textId="77777777" w:rsidR="001E7A14" w:rsidRPr="00294751" w:rsidRDefault="001E7A14" w:rsidP="006655D3">
      <w:pPr>
        <w:rPr>
          <w:lang w:val="fr-FR"/>
        </w:rPr>
      </w:pPr>
    </w:p>
  </w:endnote>
  <w:endnote w:type="continuationNotice" w:id="1">
    <w:p w14:paraId="05BCFC0F" w14:textId="77777777" w:rsidR="001E7A14" w:rsidRDefault="001E7A14">
      <w:pPr>
        <w:rPr>
          <w:lang w:val="fr-FR"/>
        </w:rPr>
      </w:pPr>
      <w:r w:rsidRPr="00294751">
        <w:rPr>
          <w:lang w:val="fr-FR"/>
        </w:rPr>
        <w:t>(Suite de la note page suivante)</w:t>
      </w:r>
    </w:p>
    <w:p w14:paraId="3E1E703D" w14:textId="77777777" w:rsidR="001E7A14" w:rsidRPr="00294751" w:rsidRDefault="001E7A14" w:rsidP="006655D3">
      <w:pPr>
        <w:rPr>
          <w:lang w:val="fr-FR"/>
        </w:rPr>
      </w:pPr>
    </w:p>
    <w:p w14:paraId="30C4B51E" w14:textId="77777777" w:rsidR="001E7A14" w:rsidRPr="00294751" w:rsidRDefault="001E7A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B1F5C" w14:textId="77777777" w:rsidR="001E7A14" w:rsidRDefault="001E7A14" w:rsidP="006655D3">
      <w:r>
        <w:separator/>
      </w:r>
    </w:p>
  </w:footnote>
  <w:footnote w:type="continuationSeparator" w:id="0">
    <w:p w14:paraId="7379F3D6" w14:textId="77777777" w:rsidR="001E7A14" w:rsidRDefault="001E7A14" w:rsidP="006655D3">
      <w:r>
        <w:separator/>
      </w:r>
    </w:p>
  </w:footnote>
  <w:footnote w:type="continuationNotice" w:id="1">
    <w:p w14:paraId="2C1D4393" w14:textId="77777777" w:rsidR="001E7A14" w:rsidRPr="00AB530F" w:rsidRDefault="001E7A14" w:rsidP="00AB530F">
      <w:pPr>
        <w:pStyle w:val="Footer"/>
      </w:pPr>
    </w:p>
  </w:footnote>
  <w:footnote w:id="2">
    <w:p w14:paraId="68819D18" w14:textId="77777777" w:rsidR="008F6729" w:rsidRPr="006739BB" w:rsidRDefault="008F6729" w:rsidP="008F6729">
      <w:pPr>
        <w:pStyle w:val="FootnoteText"/>
        <w:rPr>
          <w:lang w:val="de-DE"/>
        </w:rPr>
      </w:pPr>
      <w:r>
        <w:rPr>
          <w:rStyle w:val="FootnoteReference"/>
        </w:rPr>
        <w:footnoteRef/>
      </w:r>
      <w:r w:rsidRPr="006739BB">
        <w:rPr>
          <w:lang w:val="de-DE"/>
        </w:rPr>
        <w:tab/>
      </w:r>
      <w:r w:rsidRPr="00872F2C">
        <w:rPr>
          <w:lang w:val="de-DE"/>
        </w:rPr>
        <w:t>Die TWV vereinbarte auf ihrer sechsundfünfzigsten Tagung, die vom 18. bis 22. April 2022 auf elektronischem Wege abgehalten wurde, dass die Angabe „</w:t>
      </w:r>
      <w:r w:rsidRPr="00AE5332">
        <w:rPr>
          <w:lang w:val="de-DE"/>
        </w:rPr>
        <w:t>mittel</w:t>
      </w:r>
      <w:r w:rsidRPr="00872F2C">
        <w:rPr>
          <w:lang w:val="de-DE"/>
        </w:rPr>
        <w:t xml:space="preserve">“ in dem in </w:t>
      </w:r>
      <w:r w:rsidRPr="00235380">
        <w:rPr>
          <w:lang w:val="de-DE"/>
        </w:rPr>
        <w:t xml:space="preserve">Dokument </w:t>
      </w:r>
      <w:r w:rsidRPr="00F80C5D">
        <w:rPr>
          <w:lang w:val="de-DE"/>
        </w:rPr>
        <w:t>TWP/6/1</w:t>
      </w:r>
      <w:r w:rsidRPr="00235380">
        <w:rPr>
          <w:lang w:val="de-DE"/>
        </w:rPr>
        <w:t xml:space="preserve">, Absatz 28, angegebenen Beispiel „mittel resistent“ lauten sollte (vergleiche Dokument </w:t>
      </w:r>
      <w:r w:rsidRPr="00F80C5D">
        <w:rPr>
          <w:lang w:val="de-DE"/>
        </w:rPr>
        <w:t>TWV/56/22</w:t>
      </w:r>
      <w:r w:rsidRPr="00235380">
        <w:rPr>
          <w:lang w:val="de-DE"/>
        </w:rPr>
        <w:t xml:space="preserve"> „Report“, Absatz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04C" w14:textId="77777777" w:rsidR="000460DF" w:rsidRPr="005F5534" w:rsidRDefault="000460DF" w:rsidP="000460DF">
    <w:pPr>
      <w:pStyle w:val="Doccode"/>
      <w:jc w:val="center"/>
      <w:rPr>
        <w:lang w:val="de-DE"/>
      </w:rPr>
    </w:pPr>
    <w:r w:rsidRPr="005F5534">
      <w:rPr>
        <w:lang w:val="de-DE"/>
      </w:rPr>
      <w:t>CAJ/79/3</w:t>
    </w:r>
  </w:p>
  <w:p w14:paraId="36D5C0E7" w14:textId="5AA89D8A" w:rsidR="000460DF" w:rsidRDefault="000460DF">
    <w:pPr>
      <w:pStyle w:val="Header"/>
    </w:pPr>
    <w:r>
      <w:t>page 2</w:t>
    </w:r>
  </w:p>
  <w:p w14:paraId="69C71E11" w14:textId="16D974DB" w:rsidR="000460DF" w:rsidRDefault="00046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812D" w14:textId="7F83BD4F" w:rsidR="008F6729" w:rsidRDefault="008F6729">
    <w:pPr>
      <w:pStyle w:val="Header"/>
      <w:rPr>
        <w:rStyle w:val="PageNumber"/>
        <w:lang w:val="en-US"/>
      </w:rPr>
    </w:pPr>
    <w:r>
      <w:rPr>
        <w:rStyle w:val="PageNumber"/>
        <w:lang w:val="en-US"/>
      </w:rPr>
      <w:t>CAJ/79/3</w:t>
    </w:r>
  </w:p>
  <w:p w14:paraId="438C84EC" w14:textId="2F783D26" w:rsidR="008F6729" w:rsidRDefault="008F6729">
    <w:pPr>
      <w:pStyle w:val="Header"/>
      <w:rPr>
        <w:lang w:val="en-US"/>
      </w:rPr>
    </w:pPr>
    <w:r>
      <w:rPr>
        <w:lang w:val="en-US"/>
      </w:rPr>
      <w:t xml:space="preserve">Anlage II,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A456F">
      <w:rPr>
        <w:rStyle w:val="PageNumber"/>
        <w:noProof/>
        <w:lang w:val="en-US"/>
      </w:rPr>
      <w:t>2</w:t>
    </w:r>
    <w:r w:rsidRPr="00C5280D">
      <w:rPr>
        <w:rStyle w:val="PageNumber"/>
        <w:lang w:val="en-US"/>
      </w:rPr>
      <w:fldChar w:fldCharType="end"/>
    </w:r>
  </w:p>
  <w:p w14:paraId="00D428F5" w14:textId="77777777" w:rsidR="008F6729" w:rsidRPr="00C5280D" w:rsidRDefault="008F672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D01E" w14:textId="77777777" w:rsidR="008F6729" w:rsidRPr="0004198B" w:rsidRDefault="008F6729"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69A"/>
    <w:multiLevelType w:val="hybridMultilevel"/>
    <w:tmpl w:val="88EE74DC"/>
    <w:lvl w:ilvl="0" w:tplc="E0A485F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B7D5924"/>
    <w:multiLevelType w:val="hybridMultilevel"/>
    <w:tmpl w:val="415CF122"/>
    <w:lvl w:ilvl="0" w:tplc="536256B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3FAD0EDA"/>
    <w:multiLevelType w:val="hybridMultilevel"/>
    <w:tmpl w:val="7D1C26F0"/>
    <w:lvl w:ilvl="0" w:tplc="30FA5190">
      <w:start w:val="1"/>
      <w:numFmt w:val="lowerLetter"/>
      <w:lvlText w:val="%1)"/>
      <w:lvlJc w:val="left"/>
      <w:pPr>
        <w:ind w:left="5180" w:hanging="360"/>
      </w:pPr>
      <w:rPr>
        <w:rFonts w:hint="default"/>
      </w:rPr>
    </w:lvl>
    <w:lvl w:ilvl="1" w:tplc="04070019" w:tentative="1">
      <w:start w:val="1"/>
      <w:numFmt w:val="lowerLetter"/>
      <w:lvlText w:val="%2."/>
      <w:lvlJc w:val="left"/>
      <w:pPr>
        <w:ind w:left="5900" w:hanging="360"/>
      </w:pPr>
    </w:lvl>
    <w:lvl w:ilvl="2" w:tplc="0407001B" w:tentative="1">
      <w:start w:val="1"/>
      <w:numFmt w:val="lowerRoman"/>
      <w:lvlText w:val="%3."/>
      <w:lvlJc w:val="right"/>
      <w:pPr>
        <w:ind w:left="6620" w:hanging="180"/>
      </w:pPr>
    </w:lvl>
    <w:lvl w:ilvl="3" w:tplc="0407000F" w:tentative="1">
      <w:start w:val="1"/>
      <w:numFmt w:val="decimal"/>
      <w:lvlText w:val="%4."/>
      <w:lvlJc w:val="left"/>
      <w:pPr>
        <w:ind w:left="7340" w:hanging="360"/>
      </w:pPr>
    </w:lvl>
    <w:lvl w:ilvl="4" w:tplc="04070019" w:tentative="1">
      <w:start w:val="1"/>
      <w:numFmt w:val="lowerLetter"/>
      <w:lvlText w:val="%5."/>
      <w:lvlJc w:val="left"/>
      <w:pPr>
        <w:ind w:left="8060" w:hanging="360"/>
      </w:pPr>
    </w:lvl>
    <w:lvl w:ilvl="5" w:tplc="0407001B" w:tentative="1">
      <w:start w:val="1"/>
      <w:numFmt w:val="lowerRoman"/>
      <w:lvlText w:val="%6."/>
      <w:lvlJc w:val="right"/>
      <w:pPr>
        <w:ind w:left="8780" w:hanging="180"/>
      </w:pPr>
    </w:lvl>
    <w:lvl w:ilvl="6" w:tplc="0407000F" w:tentative="1">
      <w:start w:val="1"/>
      <w:numFmt w:val="decimal"/>
      <w:lvlText w:val="%7."/>
      <w:lvlJc w:val="left"/>
      <w:pPr>
        <w:ind w:left="9500" w:hanging="360"/>
      </w:pPr>
    </w:lvl>
    <w:lvl w:ilvl="7" w:tplc="04070019" w:tentative="1">
      <w:start w:val="1"/>
      <w:numFmt w:val="lowerLetter"/>
      <w:lvlText w:val="%8."/>
      <w:lvlJc w:val="left"/>
      <w:pPr>
        <w:ind w:left="10220" w:hanging="360"/>
      </w:pPr>
    </w:lvl>
    <w:lvl w:ilvl="8" w:tplc="0407001B" w:tentative="1">
      <w:start w:val="1"/>
      <w:numFmt w:val="lowerRoman"/>
      <w:lvlText w:val="%9."/>
      <w:lvlJc w:val="right"/>
      <w:pPr>
        <w:ind w:left="10940" w:hanging="180"/>
      </w:pPr>
    </w:lvl>
  </w:abstractNum>
  <w:abstractNum w:abstractNumId="4" w15:restartNumberingAfterBreak="0">
    <w:nsid w:val="416F0014"/>
    <w:multiLevelType w:val="hybridMultilevel"/>
    <w:tmpl w:val="CFCA1952"/>
    <w:lvl w:ilvl="0" w:tplc="00F41076">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5" w15:restartNumberingAfterBreak="0">
    <w:nsid w:val="4423287E"/>
    <w:multiLevelType w:val="hybridMultilevel"/>
    <w:tmpl w:val="EF08B7E2"/>
    <w:lvl w:ilvl="0" w:tplc="5CBAC548">
      <w:start w:val="1"/>
      <w:numFmt w:val="lowerLetter"/>
      <w:lvlText w:val="(%1)"/>
      <w:lvlJc w:val="left"/>
      <w:pPr>
        <w:ind w:left="5450" w:hanging="63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535A5E14"/>
    <w:multiLevelType w:val="hybridMultilevel"/>
    <w:tmpl w:val="C9123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726F6B"/>
    <w:multiLevelType w:val="hybridMultilevel"/>
    <w:tmpl w:val="22129942"/>
    <w:lvl w:ilvl="0" w:tplc="B07036D6">
      <w:start w:val="1"/>
      <w:numFmt w:val="lowerLetter"/>
      <w:lvlText w:val="(%1)"/>
      <w:lvlJc w:val="left"/>
      <w:pPr>
        <w:ind w:left="5230" w:hanging="41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15:restartNumberingAfterBreak="0">
    <w:nsid w:val="75BC10BC"/>
    <w:multiLevelType w:val="hybridMultilevel"/>
    <w:tmpl w:val="DB3E9458"/>
    <w:lvl w:ilvl="0" w:tplc="1292DEC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7A36483F"/>
    <w:multiLevelType w:val="hybridMultilevel"/>
    <w:tmpl w:val="63C62718"/>
    <w:lvl w:ilvl="0" w:tplc="0407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6"/>
  </w:num>
  <w:num w:numId="2">
    <w:abstractNumId w:val="5"/>
  </w:num>
  <w:num w:numId="3">
    <w:abstractNumId w:val="9"/>
  </w:num>
  <w:num w:numId="4">
    <w:abstractNumId w:val="1"/>
  </w:num>
  <w:num w:numId="5">
    <w:abstractNumId w:val="4"/>
  </w:num>
  <w:num w:numId="6">
    <w:abstractNumId w:val="7"/>
  </w:num>
  <w:num w:numId="7">
    <w:abstractNumId w:val="0"/>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02258"/>
    <w:rsid w:val="00002D93"/>
    <w:rsid w:val="00004B79"/>
    <w:rsid w:val="000104FD"/>
    <w:rsid w:val="00010CF3"/>
    <w:rsid w:val="00011E27"/>
    <w:rsid w:val="000148BC"/>
    <w:rsid w:val="00024AB8"/>
    <w:rsid w:val="00030854"/>
    <w:rsid w:val="00032B47"/>
    <w:rsid w:val="00035998"/>
    <w:rsid w:val="000359FE"/>
    <w:rsid w:val="00036028"/>
    <w:rsid w:val="0004198B"/>
    <w:rsid w:val="00042191"/>
    <w:rsid w:val="00044642"/>
    <w:rsid w:val="000446B9"/>
    <w:rsid w:val="000460DF"/>
    <w:rsid w:val="00047E21"/>
    <w:rsid w:val="00050E16"/>
    <w:rsid w:val="00052F9A"/>
    <w:rsid w:val="00056C82"/>
    <w:rsid w:val="0006402D"/>
    <w:rsid w:val="000709E8"/>
    <w:rsid w:val="00085505"/>
    <w:rsid w:val="000871AB"/>
    <w:rsid w:val="000B49F1"/>
    <w:rsid w:val="000C4E25"/>
    <w:rsid w:val="000C7021"/>
    <w:rsid w:val="000D63EE"/>
    <w:rsid w:val="000D6BBC"/>
    <w:rsid w:val="000D7780"/>
    <w:rsid w:val="000E636A"/>
    <w:rsid w:val="000F2F11"/>
    <w:rsid w:val="00100A5F"/>
    <w:rsid w:val="00104108"/>
    <w:rsid w:val="00105041"/>
    <w:rsid w:val="00105929"/>
    <w:rsid w:val="00110BED"/>
    <w:rsid w:val="00110C36"/>
    <w:rsid w:val="001131D5"/>
    <w:rsid w:val="00114547"/>
    <w:rsid w:val="001266C4"/>
    <w:rsid w:val="00141DB8"/>
    <w:rsid w:val="00151956"/>
    <w:rsid w:val="00171305"/>
    <w:rsid w:val="00172084"/>
    <w:rsid w:val="0017474A"/>
    <w:rsid w:val="001758C6"/>
    <w:rsid w:val="001817C3"/>
    <w:rsid w:val="00182B99"/>
    <w:rsid w:val="00185CA3"/>
    <w:rsid w:val="00186D12"/>
    <w:rsid w:val="001C1525"/>
    <w:rsid w:val="001C1F58"/>
    <w:rsid w:val="001C2891"/>
    <w:rsid w:val="001E5747"/>
    <w:rsid w:val="001E7A14"/>
    <w:rsid w:val="00203852"/>
    <w:rsid w:val="0021332C"/>
    <w:rsid w:val="00213982"/>
    <w:rsid w:val="00220E41"/>
    <w:rsid w:val="002268E0"/>
    <w:rsid w:val="00234810"/>
    <w:rsid w:val="00243666"/>
    <w:rsid w:val="0024416D"/>
    <w:rsid w:val="002526EA"/>
    <w:rsid w:val="00271911"/>
    <w:rsid w:val="00273187"/>
    <w:rsid w:val="00273E83"/>
    <w:rsid w:val="002800A0"/>
    <w:rsid w:val="002801B3"/>
    <w:rsid w:val="00281060"/>
    <w:rsid w:val="00284050"/>
    <w:rsid w:val="002843B4"/>
    <w:rsid w:val="00285BD0"/>
    <w:rsid w:val="002940E8"/>
    <w:rsid w:val="00294751"/>
    <w:rsid w:val="002A3533"/>
    <w:rsid w:val="002A6E50"/>
    <w:rsid w:val="002B2F03"/>
    <w:rsid w:val="002B4298"/>
    <w:rsid w:val="002B7A36"/>
    <w:rsid w:val="002C256A"/>
    <w:rsid w:val="002D0C90"/>
    <w:rsid w:val="002D5226"/>
    <w:rsid w:val="00305A7F"/>
    <w:rsid w:val="003152FE"/>
    <w:rsid w:val="00316A89"/>
    <w:rsid w:val="00322D5A"/>
    <w:rsid w:val="003248FC"/>
    <w:rsid w:val="00327436"/>
    <w:rsid w:val="00344BD6"/>
    <w:rsid w:val="003472D9"/>
    <w:rsid w:val="0035228F"/>
    <w:rsid w:val="0035528D"/>
    <w:rsid w:val="00361821"/>
    <w:rsid w:val="00361E9E"/>
    <w:rsid w:val="00373FF7"/>
    <w:rsid w:val="003753EE"/>
    <w:rsid w:val="003859A6"/>
    <w:rsid w:val="00393581"/>
    <w:rsid w:val="003A0835"/>
    <w:rsid w:val="003A0E68"/>
    <w:rsid w:val="003A5AAF"/>
    <w:rsid w:val="003B4BB6"/>
    <w:rsid w:val="003B700A"/>
    <w:rsid w:val="003C7FBE"/>
    <w:rsid w:val="003D0646"/>
    <w:rsid w:val="003D227C"/>
    <w:rsid w:val="003D2B4D"/>
    <w:rsid w:val="003E0ECD"/>
    <w:rsid w:val="003E1732"/>
    <w:rsid w:val="003E3A4D"/>
    <w:rsid w:val="003F37F5"/>
    <w:rsid w:val="003F3EA3"/>
    <w:rsid w:val="003F5CA0"/>
    <w:rsid w:val="00400D16"/>
    <w:rsid w:val="004141DE"/>
    <w:rsid w:val="00422BBE"/>
    <w:rsid w:val="00422E97"/>
    <w:rsid w:val="00437625"/>
    <w:rsid w:val="00444A88"/>
    <w:rsid w:val="00445D99"/>
    <w:rsid w:val="00472F22"/>
    <w:rsid w:val="00474DA4"/>
    <w:rsid w:val="00476B4D"/>
    <w:rsid w:val="004805FA"/>
    <w:rsid w:val="0048584A"/>
    <w:rsid w:val="004927B5"/>
    <w:rsid w:val="004935D2"/>
    <w:rsid w:val="0049371E"/>
    <w:rsid w:val="004B1215"/>
    <w:rsid w:val="004C0F44"/>
    <w:rsid w:val="004C7CD6"/>
    <w:rsid w:val="004D047D"/>
    <w:rsid w:val="004D6B91"/>
    <w:rsid w:val="004F02AC"/>
    <w:rsid w:val="004F1E9E"/>
    <w:rsid w:val="004F305A"/>
    <w:rsid w:val="00512164"/>
    <w:rsid w:val="00520297"/>
    <w:rsid w:val="00532395"/>
    <w:rsid w:val="005338F9"/>
    <w:rsid w:val="00534193"/>
    <w:rsid w:val="00541A0F"/>
    <w:rsid w:val="0054281C"/>
    <w:rsid w:val="0054285C"/>
    <w:rsid w:val="00544581"/>
    <w:rsid w:val="0055253C"/>
    <w:rsid w:val="0055268D"/>
    <w:rsid w:val="00557019"/>
    <w:rsid w:val="00566585"/>
    <w:rsid w:val="00575DE2"/>
    <w:rsid w:val="00576BE4"/>
    <w:rsid w:val="005779DB"/>
    <w:rsid w:val="0059460B"/>
    <w:rsid w:val="005A2A67"/>
    <w:rsid w:val="005A400A"/>
    <w:rsid w:val="005B269D"/>
    <w:rsid w:val="005D543B"/>
    <w:rsid w:val="005D7403"/>
    <w:rsid w:val="005F5534"/>
    <w:rsid w:val="005F67A3"/>
    <w:rsid w:val="005F7B92"/>
    <w:rsid w:val="006105AC"/>
    <w:rsid w:val="00612379"/>
    <w:rsid w:val="00612735"/>
    <w:rsid w:val="00613D55"/>
    <w:rsid w:val="006153B6"/>
    <w:rsid w:val="0061555F"/>
    <w:rsid w:val="0062341F"/>
    <w:rsid w:val="006245ED"/>
    <w:rsid w:val="0062626F"/>
    <w:rsid w:val="00631871"/>
    <w:rsid w:val="006355AC"/>
    <w:rsid w:val="00636CA6"/>
    <w:rsid w:val="00641200"/>
    <w:rsid w:val="00645CA8"/>
    <w:rsid w:val="00654434"/>
    <w:rsid w:val="006655D3"/>
    <w:rsid w:val="00667404"/>
    <w:rsid w:val="00680983"/>
    <w:rsid w:val="00687EB4"/>
    <w:rsid w:val="0069239B"/>
    <w:rsid w:val="00695C56"/>
    <w:rsid w:val="006A5CDE"/>
    <w:rsid w:val="006A644A"/>
    <w:rsid w:val="006B17D2"/>
    <w:rsid w:val="006C0700"/>
    <w:rsid w:val="006C224E"/>
    <w:rsid w:val="006C3349"/>
    <w:rsid w:val="006D3F3D"/>
    <w:rsid w:val="006D7328"/>
    <w:rsid w:val="006D780A"/>
    <w:rsid w:val="006E2336"/>
    <w:rsid w:val="0071271E"/>
    <w:rsid w:val="00716DC8"/>
    <w:rsid w:val="00732763"/>
    <w:rsid w:val="00732DEC"/>
    <w:rsid w:val="00735BD5"/>
    <w:rsid w:val="007451EC"/>
    <w:rsid w:val="00751613"/>
    <w:rsid w:val="00753EE9"/>
    <w:rsid w:val="007556F6"/>
    <w:rsid w:val="00760EEF"/>
    <w:rsid w:val="0077169A"/>
    <w:rsid w:val="00777EE5"/>
    <w:rsid w:val="00784836"/>
    <w:rsid w:val="00784B12"/>
    <w:rsid w:val="0078627B"/>
    <w:rsid w:val="007872F8"/>
    <w:rsid w:val="0079023E"/>
    <w:rsid w:val="00794D29"/>
    <w:rsid w:val="007A2854"/>
    <w:rsid w:val="007A456F"/>
    <w:rsid w:val="007B2376"/>
    <w:rsid w:val="007B6D20"/>
    <w:rsid w:val="007C1D92"/>
    <w:rsid w:val="007C47CF"/>
    <w:rsid w:val="007C4CB9"/>
    <w:rsid w:val="007D0B9D"/>
    <w:rsid w:val="007D19B0"/>
    <w:rsid w:val="007D1B1A"/>
    <w:rsid w:val="007D3A75"/>
    <w:rsid w:val="007E69FC"/>
    <w:rsid w:val="007F498F"/>
    <w:rsid w:val="0080679D"/>
    <w:rsid w:val="008108B0"/>
    <w:rsid w:val="00811B20"/>
    <w:rsid w:val="00812609"/>
    <w:rsid w:val="008211B5"/>
    <w:rsid w:val="0082296E"/>
    <w:rsid w:val="00823C3A"/>
    <w:rsid w:val="00824099"/>
    <w:rsid w:val="00831489"/>
    <w:rsid w:val="00833FE3"/>
    <w:rsid w:val="008362E0"/>
    <w:rsid w:val="00846D7C"/>
    <w:rsid w:val="0085774F"/>
    <w:rsid w:val="00857CB2"/>
    <w:rsid w:val="0086474B"/>
    <w:rsid w:val="00867AC1"/>
    <w:rsid w:val="00873BD3"/>
    <w:rsid w:val="008751DE"/>
    <w:rsid w:val="008861A4"/>
    <w:rsid w:val="00890DF8"/>
    <w:rsid w:val="008A0ADE"/>
    <w:rsid w:val="008A743F"/>
    <w:rsid w:val="008C0970"/>
    <w:rsid w:val="008D0BC5"/>
    <w:rsid w:val="008D0F14"/>
    <w:rsid w:val="008D2CF7"/>
    <w:rsid w:val="008D5F35"/>
    <w:rsid w:val="008D6473"/>
    <w:rsid w:val="008E0111"/>
    <w:rsid w:val="008E3679"/>
    <w:rsid w:val="008E50EC"/>
    <w:rsid w:val="008F6729"/>
    <w:rsid w:val="00900C26"/>
    <w:rsid w:val="0090197F"/>
    <w:rsid w:val="00903264"/>
    <w:rsid w:val="00906DDC"/>
    <w:rsid w:val="00911C31"/>
    <w:rsid w:val="0092786D"/>
    <w:rsid w:val="00930992"/>
    <w:rsid w:val="00934E09"/>
    <w:rsid w:val="00936253"/>
    <w:rsid w:val="00940D46"/>
    <w:rsid w:val="009413F1"/>
    <w:rsid w:val="00952DD4"/>
    <w:rsid w:val="0095393D"/>
    <w:rsid w:val="009561F4"/>
    <w:rsid w:val="00960922"/>
    <w:rsid w:val="00965AE7"/>
    <w:rsid w:val="00967D25"/>
    <w:rsid w:val="00970FED"/>
    <w:rsid w:val="00992D82"/>
    <w:rsid w:val="00997029"/>
    <w:rsid w:val="00997ED1"/>
    <w:rsid w:val="009A7339"/>
    <w:rsid w:val="009B1C11"/>
    <w:rsid w:val="009B440E"/>
    <w:rsid w:val="009C5AA8"/>
    <w:rsid w:val="009D3B43"/>
    <w:rsid w:val="009D690D"/>
    <w:rsid w:val="009E3B0A"/>
    <w:rsid w:val="009E65B6"/>
    <w:rsid w:val="009F0A51"/>
    <w:rsid w:val="009F77CF"/>
    <w:rsid w:val="00A17BAC"/>
    <w:rsid w:val="00A24C10"/>
    <w:rsid w:val="00A42AC3"/>
    <w:rsid w:val="00A430CF"/>
    <w:rsid w:val="00A43E3B"/>
    <w:rsid w:val="00A54309"/>
    <w:rsid w:val="00A5777B"/>
    <w:rsid w:val="00A610A9"/>
    <w:rsid w:val="00A67D3C"/>
    <w:rsid w:val="00A80F2A"/>
    <w:rsid w:val="00A96C33"/>
    <w:rsid w:val="00AA3460"/>
    <w:rsid w:val="00AB2B93"/>
    <w:rsid w:val="00AB530F"/>
    <w:rsid w:val="00AB7E5B"/>
    <w:rsid w:val="00AC2883"/>
    <w:rsid w:val="00AC7AA3"/>
    <w:rsid w:val="00AD5509"/>
    <w:rsid w:val="00AE0EF1"/>
    <w:rsid w:val="00AE2937"/>
    <w:rsid w:val="00AE4AD4"/>
    <w:rsid w:val="00B07301"/>
    <w:rsid w:val="00B11F3E"/>
    <w:rsid w:val="00B16054"/>
    <w:rsid w:val="00B224DE"/>
    <w:rsid w:val="00B324D4"/>
    <w:rsid w:val="00B37AAE"/>
    <w:rsid w:val="00B46575"/>
    <w:rsid w:val="00B61777"/>
    <w:rsid w:val="00B622E6"/>
    <w:rsid w:val="00B74382"/>
    <w:rsid w:val="00B748DF"/>
    <w:rsid w:val="00B83E82"/>
    <w:rsid w:val="00B84BBD"/>
    <w:rsid w:val="00B874B5"/>
    <w:rsid w:val="00B87DF9"/>
    <w:rsid w:val="00BA43FB"/>
    <w:rsid w:val="00BC127D"/>
    <w:rsid w:val="00BC1FE6"/>
    <w:rsid w:val="00BC32CC"/>
    <w:rsid w:val="00BD54D9"/>
    <w:rsid w:val="00C061B6"/>
    <w:rsid w:val="00C0746A"/>
    <w:rsid w:val="00C22D85"/>
    <w:rsid w:val="00C2446C"/>
    <w:rsid w:val="00C3350A"/>
    <w:rsid w:val="00C36AE5"/>
    <w:rsid w:val="00C41F17"/>
    <w:rsid w:val="00C434B0"/>
    <w:rsid w:val="00C527FA"/>
    <w:rsid w:val="00C5280D"/>
    <w:rsid w:val="00C53EB3"/>
    <w:rsid w:val="00C5791C"/>
    <w:rsid w:val="00C57F09"/>
    <w:rsid w:val="00C66290"/>
    <w:rsid w:val="00C72B7A"/>
    <w:rsid w:val="00C82D79"/>
    <w:rsid w:val="00C973F2"/>
    <w:rsid w:val="00CA304C"/>
    <w:rsid w:val="00CA774A"/>
    <w:rsid w:val="00CB4921"/>
    <w:rsid w:val="00CB5615"/>
    <w:rsid w:val="00CC11B0"/>
    <w:rsid w:val="00CC2841"/>
    <w:rsid w:val="00CD41B5"/>
    <w:rsid w:val="00CE4A47"/>
    <w:rsid w:val="00CF1330"/>
    <w:rsid w:val="00CF7E36"/>
    <w:rsid w:val="00D1091D"/>
    <w:rsid w:val="00D12980"/>
    <w:rsid w:val="00D12B4B"/>
    <w:rsid w:val="00D209F6"/>
    <w:rsid w:val="00D21051"/>
    <w:rsid w:val="00D21DA3"/>
    <w:rsid w:val="00D33576"/>
    <w:rsid w:val="00D3708D"/>
    <w:rsid w:val="00D40426"/>
    <w:rsid w:val="00D51CAD"/>
    <w:rsid w:val="00D57C96"/>
    <w:rsid w:val="00D57D18"/>
    <w:rsid w:val="00D70E65"/>
    <w:rsid w:val="00D8786D"/>
    <w:rsid w:val="00D91203"/>
    <w:rsid w:val="00D949DB"/>
    <w:rsid w:val="00D95174"/>
    <w:rsid w:val="00D96051"/>
    <w:rsid w:val="00DA4973"/>
    <w:rsid w:val="00DA6F36"/>
    <w:rsid w:val="00DA7643"/>
    <w:rsid w:val="00DB596E"/>
    <w:rsid w:val="00DB7773"/>
    <w:rsid w:val="00DC00EA"/>
    <w:rsid w:val="00DC3802"/>
    <w:rsid w:val="00DC4C72"/>
    <w:rsid w:val="00DD6208"/>
    <w:rsid w:val="00DF60EB"/>
    <w:rsid w:val="00DF7E99"/>
    <w:rsid w:val="00E07D87"/>
    <w:rsid w:val="00E249C8"/>
    <w:rsid w:val="00E249CE"/>
    <w:rsid w:val="00E32F7E"/>
    <w:rsid w:val="00E461F1"/>
    <w:rsid w:val="00E5267B"/>
    <w:rsid w:val="00E559F0"/>
    <w:rsid w:val="00E61996"/>
    <w:rsid w:val="00E63C0E"/>
    <w:rsid w:val="00E65263"/>
    <w:rsid w:val="00E72D49"/>
    <w:rsid w:val="00E7593C"/>
    <w:rsid w:val="00E7678A"/>
    <w:rsid w:val="00E8275F"/>
    <w:rsid w:val="00E935F1"/>
    <w:rsid w:val="00E94A81"/>
    <w:rsid w:val="00EA0BB6"/>
    <w:rsid w:val="00EA1FFB"/>
    <w:rsid w:val="00EB048E"/>
    <w:rsid w:val="00EB4E9C"/>
    <w:rsid w:val="00ED5ECC"/>
    <w:rsid w:val="00EE34DF"/>
    <w:rsid w:val="00EF1158"/>
    <w:rsid w:val="00EF2F89"/>
    <w:rsid w:val="00F03E98"/>
    <w:rsid w:val="00F05F6B"/>
    <w:rsid w:val="00F06F92"/>
    <w:rsid w:val="00F1237A"/>
    <w:rsid w:val="00F17B48"/>
    <w:rsid w:val="00F20068"/>
    <w:rsid w:val="00F22CBD"/>
    <w:rsid w:val="00F26066"/>
    <w:rsid w:val="00F260B4"/>
    <w:rsid w:val="00F272F1"/>
    <w:rsid w:val="00F31412"/>
    <w:rsid w:val="00F45372"/>
    <w:rsid w:val="00F560F7"/>
    <w:rsid w:val="00F56626"/>
    <w:rsid w:val="00F6334D"/>
    <w:rsid w:val="00F63599"/>
    <w:rsid w:val="00F71781"/>
    <w:rsid w:val="00F8100C"/>
    <w:rsid w:val="00F82B40"/>
    <w:rsid w:val="00FA04BF"/>
    <w:rsid w:val="00FA49AB"/>
    <w:rsid w:val="00FA6880"/>
    <w:rsid w:val="00FB0D5D"/>
    <w:rsid w:val="00FC5FD0"/>
    <w:rsid w:val="00FC6814"/>
    <w:rsid w:val="00FE39C7"/>
    <w:rsid w:val="00FE474A"/>
    <w:rsid w:val="00FE74F5"/>
    <w:rsid w:val="00FF0ED1"/>
    <w:rsid w:val="00FF1BC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9201F"/>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373FF7"/>
    <w:pPr>
      <w:keepNext/>
      <w:keepLines/>
      <w:outlineLvl w:val="1"/>
    </w:pPr>
    <w:rPr>
      <w:rFonts w:ascii="Arial" w:hAnsi="Arial"/>
      <w:spacing w:val="-2"/>
      <w:u w:val="single"/>
      <w:lang w:val="de-D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CA0"/>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C7CD6"/>
    <w:pPr>
      <w:ind w:left="720"/>
      <w:contextualSpacing/>
    </w:pPr>
  </w:style>
  <w:style w:type="paragraph" w:styleId="TOCHeading">
    <w:name w:val="TOC Heading"/>
    <w:basedOn w:val="Heading1"/>
    <w:next w:val="Normal"/>
    <w:uiPriority w:val="39"/>
    <w:unhideWhenUsed/>
    <w:qFormat/>
    <w:rsid w:val="003F5CA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DecisionParagraphsChar">
    <w:name w:val="DecisionParagraphs Char"/>
    <w:basedOn w:val="DefaultParagraphFont"/>
    <w:link w:val="DecisionParagraphs"/>
    <w:rsid w:val="003E1732"/>
    <w:rPr>
      <w:rFonts w:ascii="Arial" w:hAnsi="Arial"/>
      <w:i/>
    </w:rPr>
  </w:style>
  <w:style w:type="character" w:customStyle="1" w:styleId="FootnoteTextChar">
    <w:name w:val="Footnote Text Char"/>
    <w:basedOn w:val="DefaultParagraphFont"/>
    <w:link w:val="FootnoteText"/>
    <w:rsid w:val="003B4BB6"/>
    <w:rPr>
      <w:rFonts w:ascii="Arial" w:hAnsi="Arial"/>
      <w:sz w:val="16"/>
    </w:rPr>
  </w:style>
  <w:style w:type="character" w:customStyle="1" w:styleId="Heading1Char">
    <w:name w:val="Heading 1 Char"/>
    <w:aliases w:val="COMMON NAME Char,common Char"/>
    <w:basedOn w:val="DefaultParagraphFont"/>
    <w:link w:val="Heading1"/>
    <w:rsid w:val="003B4BB6"/>
    <w:rPr>
      <w:rFonts w:ascii="Arial" w:hAnsi="Arial"/>
      <w:caps/>
    </w:rPr>
  </w:style>
  <w:style w:type="table" w:styleId="TableGrid">
    <w:name w:val="Table Grid"/>
    <w:basedOn w:val="TableNormal"/>
    <w:uiPriority w:val="59"/>
    <w:rsid w:val="0000225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57019"/>
    <w:rPr>
      <w:sz w:val="16"/>
      <w:szCs w:val="16"/>
    </w:rPr>
  </w:style>
  <w:style w:type="paragraph" w:styleId="CommentText">
    <w:name w:val="annotation text"/>
    <w:basedOn w:val="Normal"/>
    <w:link w:val="CommentTextChar"/>
    <w:semiHidden/>
    <w:unhideWhenUsed/>
    <w:rsid w:val="00557019"/>
  </w:style>
  <w:style w:type="character" w:customStyle="1" w:styleId="CommentTextChar">
    <w:name w:val="Comment Text Char"/>
    <w:basedOn w:val="DefaultParagraphFont"/>
    <w:link w:val="CommentText"/>
    <w:semiHidden/>
    <w:rsid w:val="00557019"/>
    <w:rPr>
      <w:rFonts w:ascii="Arial" w:hAnsi="Arial"/>
      <w:lang w:val="de-DE"/>
    </w:rPr>
  </w:style>
  <w:style w:type="paragraph" w:styleId="CommentSubject">
    <w:name w:val="annotation subject"/>
    <w:basedOn w:val="CommentText"/>
    <w:next w:val="CommentText"/>
    <w:link w:val="CommentSubjectChar"/>
    <w:semiHidden/>
    <w:unhideWhenUsed/>
    <w:rsid w:val="00557019"/>
    <w:rPr>
      <w:b/>
      <w:bCs/>
    </w:rPr>
  </w:style>
  <w:style w:type="character" w:customStyle="1" w:styleId="CommentSubjectChar">
    <w:name w:val="Comment Subject Char"/>
    <w:basedOn w:val="CommentTextChar"/>
    <w:link w:val="CommentSubject"/>
    <w:semiHidden/>
    <w:rsid w:val="00557019"/>
    <w:rPr>
      <w:rFonts w:ascii="Arial" w:hAnsi="Arial"/>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5C19-4AB7-4E9A-9A0A-5E8BD330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17</TotalTime>
  <Pages>9</Pages>
  <Words>2370</Words>
  <Characters>17406</Characters>
  <Application>Microsoft Office Word</Application>
  <DocSecurity>0</DocSecurity>
  <Lines>669</Lines>
  <Paragraphs>346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CAJ/79/1</vt:lpstr>
      <vt:lpstr>CAJ/79/1</vt:lpstr>
    </vt:vector>
  </TitlesOfParts>
  <Company>UPOV</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CAJ/79/3</dc:title>
  <dc:creator>SANCHEZ VIZCAINO GOMEZ Rosa Maria</dc:creator>
  <cp:keywords>, docId:005058AD796B7D58BF61F83B430440E1</cp:keywords>
  <cp:lastModifiedBy>NICOLO Laurianne</cp:lastModifiedBy>
  <cp:revision>6</cp:revision>
  <cp:lastPrinted>2022-07-27T06:37:00Z</cp:lastPrinted>
  <dcterms:created xsi:type="dcterms:W3CDTF">2022-07-27T08:41:00Z</dcterms:created>
  <dcterms:modified xsi:type="dcterms:W3CDTF">2022-07-29T16:25:00Z</dcterms:modified>
</cp:coreProperties>
</file>