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5A1408" w:rsidRPr="00193CA9" w14:paraId="3DD11C71" w14:textId="77777777" w:rsidTr="00BC6CC2">
        <w:tc>
          <w:tcPr>
            <w:tcW w:w="6522" w:type="dxa"/>
          </w:tcPr>
          <w:p w14:paraId="012D40C1" w14:textId="77777777" w:rsidR="005A1408" w:rsidRPr="00193CA9" w:rsidRDefault="005A1408" w:rsidP="00BC6CC2">
            <w:bookmarkStart w:id="0" w:name="TitleOfDoc"/>
            <w:bookmarkStart w:id="1" w:name="_GoBack"/>
            <w:bookmarkEnd w:id="0"/>
            <w:bookmarkEnd w:id="1"/>
            <w:r w:rsidRPr="00193CA9">
              <w:rPr>
                <w:noProof/>
                <w:lang w:val="en-US"/>
              </w:rPr>
              <w:drawing>
                <wp:inline distT="0" distB="0" distL="0" distR="0" wp14:anchorId="0EC32015" wp14:editId="6EB272E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19EE20" w14:textId="77777777" w:rsidR="005A1408" w:rsidRPr="00193CA9" w:rsidRDefault="005A1408" w:rsidP="00BC6CC2">
            <w:pPr>
              <w:pStyle w:val="Lettrine"/>
            </w:pPr>
            <w:r w:rsidRPr="00193CA9">
              <w:t>G</w:t>
            </w:r>
          </w:p>
        </w:tc>
      </w:tr>
      <w:tr w:rsidR="005A1408" w:rsidRPr="00193CA9" w14:paraId="32C218D5" w14:textId="77777777" w:rsidTr="00BC6CC2">
        <w:trPr>
          <w:trHeight w:val="219"/>
        </w:trPr>
        <w:tc>
          <w:tcPr>
            <w:tcW w:w="6522" w:type="dxa"/>
          </w:tcPr>
          <w:p w14:paraId="1A3CDFB0" w14:textId="77777777" w:rsidR="005A1408" w:rsidRPr="00193CA9" w:rsidRDefault="005A1408" w:rsidP="00BC6CC2">
            <w:pPr>
              <w:pStyle w:val="upove"/>
            </w:pPr>
            <w:r w:rsidRPr="00193CA9">
              <w:rPr>
                <w:szCs w:val="24"/>
                <w:lang w:val="de-CH"/>
              </w:rPr>
              <w:t>Internationaler Verband zum Schutz von Pflanzenzüchtungen</w:t>
            </w:r>
          </w:p>
        </w:tc>
        <w:tc>
          <w:tcPr>
            <w:tcW w:w="3117" w:type="dxa"/>
          </w:tcPr>
          <w:p w14:paraId="2C5E251A" w14:textId="77777777" w:rsidR="005A1408" w:rsidRPr="00193CA9" w:rsidRDefault="005A1408" w:rsidP="00BC6CC2"/>
        </w:tc>
      </w:tr>
    </w:tbl>
    <w:p w14:paraId="5B3F7AAB" w14:textId="77777777" w:rsidR="005A1408" w:rsidRPr="00193CA9" w:rsidRDefault="005A1408" w:rsidP="005A1408"/>
    <w:p w14:paraId="2D51E36A" w14:textId="77777777" w:rsidR="005A1408" w:rsidRPr="00193CA9" w:rsidRDefault="005A1408" w:rsidP="005A140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5A1408" w:rsidRPr="00193CA9" w14:paraId="09B4C39E" w14:textId="77777777" w:rsidTr="00BC6CC2">
        <w:tc>
          <w:tcPr>
            <w:tcW w:w="6512" w:type="dxa"/>
            <w:tcBorders>
              <w:bottom w:val="single" w:sz="4" w:space="0" w:color="auto"/>
            </w:tcBorders>
          </w:tcPr>
          <w:p w14:paraId="398E2590" w14:textId="77777777" w:rsidR="005A1408" w:rsidRPr="00193CA9" w:rsidRDefault="005A1408" w:rsidP="00BC6CC2">
            <w:pPr>
              <w:pStyle w:val="Sessiontc"/>
              <w:spacing w:line="240" w:lineRule="auto"/>
              <w:rPr>
                <w:bCs w:val="0"/>
                <w:szCs w:val="24"/>
              </w:rPr>
            </w:pPr>
            <w:r w:rsidRPr="00193CA9">
              <w:rPr>
                <w:bCs w:val="0"/>
                <w:szCs w:val="24"/>
                <w:lang w:val="de-CH"/>
              </w:rPr>
              <w:t>Verwaltungs- und Rechtsausschuss</w:t>
            </w:r>
          </w:p>
          <w:p w14:paraId="1D43C6CD" w14:textId="77777777" w:rsidR="005A1408" w:rsidRPr="00193CA9" w:rsidRDefault="005A1408" w:rsidP="00BC6CC2">
            <w:pPr>
              <w:pStyle w:val="Sessiontcplacedate"/>
              <w:rPr>
                <w:sz w:val="22"/>
              </w:rPr>
            </w:pPr>
            <w:r w:rsidRPr="00193CA9">
              <w:rPr>
                <w:bCs w:val="0"/>
                <w:szCs w:val="24"/>
                <w:lang w:val="de-CH"/>
              </w:rPr>
              <w:t>Achtundsiebzigste Tagung</w:t>
            </w:r>
            <w:r w:rsidRPr="00193CA9">
              <w:br/>
              <w:t>Genf, 27. Oktober 2021</w:t>
            </w:r>
          </w:p>
        </w:tc>
        <w:tc>
          <w:tcPr>
            <w:tcW w:w="3127" w:type="dxa"/>
            <w:tcBorders>
              <w:bottom w:val="single" w:sz="4" w:space="0" w:color="auto"/>
            </w:tcBorders>
          </w:tcPr>
          <w:p w14:paraId="4C2E76DF" w14:textId="77777777" w:rsidR="005A1408" w:rsidRPr="00B33924" w:rsidRDefault="005A1408" w:rsidP="00BC6CC2">
            <w:pPr>
              <w:pStyle w:val="Doccode"/>
              <w:rPr>
                <w:lang w:val="de-DE"/>
              </w:rPr>
            </w:pPr>
            <w:r w:rsidRPr="00B33924">
              <w:rPr>
                <w:lang w:val="de-DE"/>
              </w:rPr>
              <w:t>CAJ/78/5</w:t>
            </w:r>
          </w:p>
          <w:p w14:paraId="2D931F08" w14:textId="7399F729" w:rsidR="005A1408" w:rsidRPr="00193CA9" w:rsidRDefault="005A1408" w:rsidP="00BC6CC2">
            <w:pPr>
              <w:pStyle w:val="Docoriginal"/>
              <w:rPr>
                <w:spacing w:val="0"/>
              </w:rPr>
            </w:pPr>
            <w:r w:rsidRPr="00B33924">
              <w:t>Original</w:t>
            </w:r>
            <w:r w:rsidRPr="00193CA9">
              <w:rPr>
                <w:spacing w:val="0"/>
              </w:rPr>
              <w:t>:</w:t>
            </w:r>
            <w:r w:rsidRPr="00193CA9">
              <w:rPr>
                <w:b w:val="0"/>
                <w:spacing w:val="0"/>
              </w:rPr>
              <w:t xml:space="preserve">  </w:t>
            </w:r>
            <w:r w:rsidR="00AA767D" w:rsidRPr="00B33924">
              <w:rPr>
                <w:b w:val="0"/>
                <w:spacing w:val="0"/>
              </w:rPr>
              <w:t>e</w:t>
            </w:r>
            <w:r w:rsidRPr="00B33924">
              <w:rPr>
                <w:b w:val="0"/>
                <w:spacing w:val="0"/>
              </w:rPr>
              <w:t>nglisch</w:t>
            </w:r>
          </w:p>
          <w:p w14:paraId="001A3D78" w14:textId="3FAB13D0" w:rsidR="005A1408" w:rsidRPr="00193CA9" w:rsidRDefault="005A1408" w:rsidP="00A359FC">
            <w:pPr>
              <w:pStyle w:val="Docoriginal"/>
              <w:rPr>
                <w:spacing w:val="0"/>
              </w:rPr>
            </w:pPr>
            <w:r w:rsidRPr="00B33924">
              <w:t>Datum</w:t>
            </w:r>
            <w:r w:rsidRPr="003F2BBC">
              <w:rPr>
                <w:spacing w:val="0"/>
              </w:rPr>
              <w:t>:</w:t>
            </w:r>
            <w:r w:rsidRPr="003F2BBC">
              <w:rPr>
                <w:b w:val="0"/>
                <w:spacing w:val="0"/>
              </w:rPr>
              <w:t xml:space="preserve">  1</w:t>
            </w:r>
            <w:r w:rsidR="00A359FC" w:rsidRPr="003F2BBC">
              <w:rPr>
                <w:b w:val="0"/>
                <w:spacing w:val="0"/>
              </w:rPr>
              <w:t>5</w:t>
            </w:r>
            <w:r w:rsidRPr="003F2BBC">
              <w:rPr>
                <w:b w:val="0"/>
                <w:spacing w:val="0"/>
              </w:rPr>
              <w:t>. Juni 2021</w:t>
            </w:r>
          </w:p>
        </w:tc>
      </w:tr>
      <w:tr w:rsidR="005A1408" w:rsidRPr="00193CA9" w14:paraId="3C1F87E8" w14:textId="77777777" w:rsidTr="00BC6CC2">
        <w:tc>
          <w:tcPr>
            <w:tcW w:w="6512" w:type="dxa"/>
            <w:tcBorders>
              <w:top w:val="single" w:sz="4" w:space="0" w:color="auto"/>
              <w:bottom w:val="single" w:sz="4" w:space="0" w:color="auto"/>
            </w:tcBorders>
          </w:tcPr>
          <w:p w14:paraId="76C13F84" w14:textId="1D17AAEF" w:rsidR="005A1408" w:rsidRPr="00193CA9" w:rsidRDefault="00AA767D" w:rsidP="00BC6CC2">
            <w:pPr>
              <w:jc w:val="left"/>
              <w:rPr>
                <w:b/>
                <w:bCs/>
                <w:i/>
                <w:kern w:val="28"/>
              </w:rPr>
            </w:pPr>
            <w:r w:rsidRPr="009C2DB8">
              <w:rPr>
                <w:b/>
                <w:bCs/>
                <w:i/>
                <w:kern w:val="28"/>
              </w:rPr>
              <w:t>zur Prüfung auf dem Schriftweg</w:t>
            </w:r>
          </w:p>
        </w:tc>
        <w:tc>
          <w:tcPr>
            <w:tcW w:w="3127" w:type="dxa"/>
            <w:tcBorders>
              <w:top w:val="single" w:sz="4" w:space="0" w:color="auto"/>
              <w:bottom w:val="single" w:sz="4" w:space="0" w:color="auto"/>
            </w:tcBorders>
          </w:tcPr>
          <w:p w14:paraId="6EAE9F3B" w14:textId="77777777" w:rsidR="005A1408" w:rsidRPr="00193CA9" w:rsidRDefault="005A1408" w:rsidP="00BC6CC2">
            <w:pPr>
              <w:jc w:val="left"/>
              <w:rPr>
                <w:b/>
                <w:bCs/>
                <w:sz w:val="18"/>
              </w:rPr>
            </w:pPr>
          </w:p>
        </w:tc>
      </w:tr>
    </w:tbl>
    <w:p w14:paraId="20AD914C" w14:textId="77777777" w:rsidR="005A1408" w:rsidRPr="00193CA9" w:rsidRDefault="005A1408" w:rsidP="005A1408">
      <w:pPr>
        <w:pStyle w:val="Titleofdoc"/>
      </w:pPr>
      <w:r w:rsidRPr="00193CA9">
        <w:t>ERNTEGUT</w:t>
      </w:r>
    </w:p>
    <w:p w14:paraId="3DABC50F" w14:textId="77777777" w:rsidR="005A1408" w:rsidRPr="00193CA9" w:rsidRDefault="005A1408" w:rsidP="005A1408">
      <w:pPr>
        <w:pStyle w:val="preparedby"/>
        <w:jc w:val="left"/>
        <w:rPr>
          <w:iCs w:val="0"/>
          <w:szCs w:val="24"/>
        </w:rPr>
      </w:pPr>
      <w:bookmarkStart w:id="2" w:name="Prepared"/>
      <w:bookmarkEnd w:id="2"/>
      <w:r w:rsidRPr="00193CA9">
        <w:rPr>
          <w:iCs w:val="0"/>
          <w:szCs w:val="24"/>
          <w:lang w:val="de-CH"/>
        </w:rPr>
        <w:t>Vom Verbandsbüro erstelltes Dokument</w:t>
      </w:r>
    </w:p>
    <w:p w14:paraId="01B3AFFD" w14:textId="77777777" w:rsidR="005A1408" w:rsidRPr="00193CA9" w:rsidRDefault="005A1408" w:rsidP="005A1408">
      <w:pPr>
        <w:pStyle w:val="Disclaimer"/>
        <w:rPr>
          <w:iCs w:val="0"/>
          <w:szCs w:val="24"/>
          <w:lang w:val="de-DE"/>
        </w:rPr>
      </w:pPr>
      <w:bookmarkStart w:id="3" w:name="_Toc73693863"/>
      <w:bookmarkStart w:id="4" w:name="_Toc73693940"/>
      <w:bookmarkStart w:id="5" w:name="_Toc73693948"/>
      <w:r w:rsidRPr="00193CA9">
        <w:rPr>
          <w:iCs w:val="0"/>
          <w:szCs w:val="24"/>
          <w:lang w:val="de-CH"/>
        </w:rPr>
        <w:t>Haftungsausschluss:</w:t>
      </w:r>
      <w:r w:rsidRPr="00193CA9">
        <w:rPr>
          <w:iCs w:val="0"/>
          <w:szCs w:val="24"/>
          <w:lang w:val="de-DE"/>
        </w:rPr>
        <w:t xml:space="preserve">  </w:t>
      </w:r>
      <w:r w:rsidRPr="00193CA9">
        <w:rPr>
          <w:iCs w:val="0"/>
          <w:szCs w:val="24"/>
          <w:lang w:val="de-CH"/>
        </w:rPr>
        <w:t>dieses Dokument gibt nicht die Grundsätze oder eine Anleitung der UPOV wieder</w:t>
      </w:r>
    </w:p>
    <w:p w14:paraId="657320B9" w14:textId="77777777" w:rsidR="005A1408" w:rsidRPr="003F2BBC" w:rsidRDefault="005A1408" w:rsidP="003D1CF1">
      <w:pPr>
        <w:pStyle w:val="Heading1"/>
        <w:rPr>
          <w:lang w:val="de-DE"/>
        </w:rPr>
      </w:pPr>
      <w:bookmarkStart w:id="6" w:name="_Toc74669292"/>
      <w:bookmarkEnd w:id="3"/>
      <w:bookmarkEnd w:id="4"/>
      <w:bookmarkEnd w:id="5"/>
      <w:r w:rsidRPr="003F2BBC">
        <w:rPr>
          <w:lang w:val="de-DE"/>
        </w:rPr>
        <w:t>ZUSAMMENFASSUNG</w:t>
      </w:r>
      <w:bookmarkEnd w:id="6"/>
    </w:p>
    <w:p w14:paraId="0CBB52AC" w14:textId="77777777" w:rsidR="005A1408" w:rsidRPr="009637D0" w:rsidRDefault="005A1408" w:rsidP="005A1408">
      <w:pPr>
        <w:ind w:left="567"/>
        <w:rPr>
          <w:rFonts w:cs="Arial"/>
          <w:highlight w:val="lightGray"/>
        </w:rPr>
      </w:pPr>
    </w:p>
    <w:p w14:paraId="095F4576" w14:textId="77777777" w:rsidR="005A1408" w:rsidRPr="009637D0" w:rsidRDefault="005A1408" w:rsidP="00A359FC">
      <w:pPr>
        <w:tabs>
          <w:tab w:val="left" w:pos="540"/>
        </w:tabs>
        <w:rPr>
          <w:rFonts w:cs="Arial"/>
          <w:snapToGrid w:val="0"/>
        </w:rPr>
      </w:pPr>
      <w:r w:rsidRPr="009637D0">
        <w:rPr>
          <w:rFonts w:cs="Arial"/>
          <w:snapToGrid w:val="0"/>
        </w:rPr>
        <w:fldChar w:fldCharType="begin"/>
      </w:r>
      <w:r w:rsidRPr="009637D0">
        <w:rPr>
          <w:rFonts w:cs="Arial"/>
          <w:snapToGrid w:val="0"/>
        </w:rPr>
        <w:instrText xml:space="preserve"> AUTONUM  </w:instrText>
      </w:r>
      <w:r w:rsidRPr="009637D0">
        <w:rPr>
          <w:rFonts w:cs="Arial"/>
          <w:snapToGrid w:val="0"/>
        </w:rPr>
        <w:fldChar w:fldCharType="end"/>
      </w:r>
      <w:r w:rsidRPr="009637D0">
        <w:rPr>
          <w:rFonts w:cs="Arial"/>
          <w:snapToGrid w:val="0"/>
        </w:rPr>
        <w:tab/>
      </w:r>
      <w:r w:rsidRPr="009637D0">
        <w:rPr>
          <w:rFonts w:cs="Arial"/>
          <w:lang w:val="de-CH"/>
        </w:rPr>
        <w:t xml:space="preserve">Zweck dieses Dokuments ist es, über die Entwicklungen betreffend Angelegenheiten in Bezug auf Erntegut und ungenehmigte Benutzung von Vermehrungsmaterial zu berichten, einschließlich des </w:t>
      </w:r>
      <w:r w:rsidRPr="009637D0">
        <w:rPr>
          <w:rFonts w:eastAsiaTheme="minorEastAsia" w:cs="Arial"/>
          <w:snapToGrid w:val="0"/>
        </w:rPr>
        <w:t>„Seminars zum Züchterrecht in Bezug auf Erntegut“</w:t>
      </w:r>
      <w:r w:rsidRPr="009637D0">
        <w:rPr>
          <w:rFonts w:cs="Arial"/>
          <w:lang w:val="de-CH"/>
        </w:rPr>
        <w:t>, vom 27. Mai 2021, und einen Vorschlag für eine Überarbeitung des maßgeblichen Anleitungsmaterials vorzulegen</w:t>
      </w:r>
      <w:r w:rsidRPr="009637D0">
        <w:rPr>
          <w:rFonts w:cs="Arial"/>
        </w:rPr>
        <w:t>.</w:t>
      </w:r>
    </w:p>
    <w:p w14:paraId="26F88374" w14:textId="77777777" w:rsidR="005A1408" w:rsidRPr="009637D0" w:rsidRDefault="005A1408" w:rsidP="005A1408">
      <w:pPr>
        <w:ind w:left="567"/>
        <w:rPr>
          <w:rFonts w:cs="Arial"/>
        </w:rPr>
      </w:pPr>
    </w:p>
    <w:p w14:paraId="26D7CCD6" w14:textId="77777777" w:rsidR="005A1408" w:rsidRPr="009637D0" w:rsidRDefault="005A1408" w:rsidP="00A359FC">
      <w:pPr>
        <w:tabs>
          <w:tab w:val="left" w:pos="540"/>
        </w:tabs>
        <w:jc w:val="left"/>
        <w:rPr>
          <w:rFonts w:eastAsiaTheme="minorEastAsia" w:cs="Arial"/>
          <w:snapToGrid w:val="0"/>
        </w:rPr>
      </w:pPr>
      <w:r w:rsidRPr="009637D0">
        <w:rPr>
          <w:rFonts w:cs="Arial"/>
        </w:rPr>
        <w:fldChar w:fldCharType="begin"/>
      </w:r>
      <w:r w:rsidRPr="009637D0">
        <w:rPr>
          <w:rFonts w:cs="Arial"/>
        </w:rPr>
        <w:instrText xml:space="preserve"> AUTONUM  </w:instrText>
      </w:r>
      <w:r w:rsidRPr="009637D0">
        <w:rPr>
          <w:rFonts w:cs="Arial"/>
        </w:rPr>
        <w:fldChar w:fldCharType="end"/>
      </w:r>
      <w:r w:rsidRPr="009637D0">
        <w:rPr>
          <w:rFonts w:cs="Arial"/>
        </w:rPr>
        <w:tab/>
      </w:r>
      <w:r w:rsidRPr="009637D0">
        <w:rPr>
          <w:rFonts w:cs="Arial"/>
          <w:lang w:val="de-CH"/>
        </w:rPr>
        <w:t>Der CAJ wird ersucht</w:t>
      </w:r>
      <w:r w:rsidRPr="009637D0">
        <w:rPr>
          <w:rFonts w:eastAsiaTheme="minorEastAsia" w:cs="Arial"/>
          <w:snapToGrid w:val="0"/>
        </w:rPr>
        <w:t>:</w:t>
      </w:r>
    </w:p>
    <w:p w14:paraId="3FDA0376" w14:textId="77777777" w:rsidR="005A1408" w:rsidRPr="009637D0" w:rsidRDefault="005A1408" w:rsidP="005A1408">
      <w:pPr>
        <w:rPr>
          <w:rFonts w:eastAsiaTheme="minorEastAsia" w:cs="Arial"/>
          <w:snapToGrid w:val="0"/>
        </w:rPr>
      </w:pPr>
    </w:p>
    <w:p w14:paraId="29C397EA" w14:textId="77777777" w:rsidR="005A1408" w:rsidRPr="009637D0" w:rsidRDefault="005A1408" w:rsidP="00A359FC">
      <w:pPr>
        <w:tabs>
          <w:tab w:val="left" w:pos="540"/>
          <w:tab w:val="left" w:pos="1080"/>
        </w:tabs>
        <w:ind w:firstLine="567"/>
        <w:rPr>
          <w:rFonts w:eastAsiaTheme="minorEastAsia" w:cs="Arial"/>
          <w:snapToGrid w:val="0"/>
        </w:rPr>
      </w:pPr>
      <w:r w:rsidRPr="009637D0">
        <w:rPr>
          <w:rFonts w:eastAsiaTheme="minorEastAsia" w:cs="Arial"/>
          <w:snapToGrid w:val="0"/>
        </w:rPr>
        <w:t>a)</w:t>
      </w:r>
      <w:r w:rsidRPr="009637D0">
        <w:rPr>
          <w:rFonts w:eastAsiaTheme="minorEastAsia" w:cs="Arial"/>
          <w:snapToGrid w:val="0"/>
        </w:rPr>
        <w:tab/>
        <w:t>die Entwicklungen betreffend Erntegut und ungenehmigte Benutzung von Vermehrungsmaterial zur Kenntnis zu nehmen, einschließlich der maßgeblichen Angelegenheiten bezüglich des „Seminars zum Züchterrecht in Bezug auf Erntegut“, wie in Absätzen 4 bis 16 dieses Dokuments dargelegt; und</w:t>
      </w:r>
    </w:p>
    <w:p w14:paraId="4FA7C1E0" w14:textId="77777777" w:rsidR="005A1408" w:rsidRPr="009637D0" w:rsidRDefault="005A1408" w:rsidP="005A1408">
      <w:pPr>
        <w:rPr>
          <w:rFonts w:eastAsiaTheme="minorEastAsia" w:cs="Arial"/>
          <w:snapToGrid w:val="0"/>
        </w:rPr>
      </w:pPr>
    </w:p>
    <w:p w14:paraId="71C58E5B" w14:textId="77777777" w:rsidR="005A1408" w:rsidRPr="009637D0" w:rsidRDefault="005A1408" w:rsidP="00A359FC">
      <w:pPr>
        <w:tabs>
          <w:tab w:val="left" w:pos="1080"/>
        </w:tabs>
        <w:ind w:firstLine="567"/>
        <w:rPr>
          <w:rFonts w:eastAsiaTheme="minorEastAsia" w:cs="Arial"/>
          <w:snapToGrid w:val="0"/>
        </w:rPr>
      </w:pPr>
      <w:r w:rsidRPr="009637D0">
        <w:rPr>
          <w:rFonts w:eastAsiaTheme="minorEastAsia" w:cs="Arial"/>
          <w:snapToGrid w:val="0"/>
        </w:rPr>
        <w:t>b)</w:t>
      </w:r>
      <w:r w:rsidRPr="009637D0">
        <w:rPr>
          <w:rFonts w:eastAsiaTheme="minorEastAsia" w:cs="Arial"/>
          <w:snapToGrid w:val="0"/>
        </w:rPr>
        <w:tab/>
      </w:r>
      <w:r w:rsidRPr="009637D0">
        <w:rPr>
          <w:rFonts w:eastAsiaTheme="minorEastAsia" w:cs="Arial"/>
          <w:snapToGrid w:val="0"/>
          <w:spacing w:val="-4"/>
        </w:rPr>
        <w:t>die Vorschläge für ein Verfahren zur Überarbeitung einer maßgeblichen Anleitung wie folgt zu billigen:</w:t>
      </w:r>
    </w:p>
    <w:p w14:paraId="42F32D0C" w14:textId="77777777" w:rsidR="005A1408" w:rsidRPr="009637D0" w:rsidRDefault="005A1408" w:rsidP="005A1408">
      <w:pPr>
        <w:rPr>
          <w:rFonts w:eastAsiaTheme="minorEastAsia" w:cs="Arial"/>
          <w:snapToGrid w:val="0"/>
        </w:rPr>
      </w:pPr>
    </w:p>
    <w:p w14:paraId="06140618" w14:textId="77777777" w:rsidR="005A1408" w:rsidRPr="009637D0" w:rsidRDefault="005A1408" w:rsidP="00A359FC">
      <w:pPr>
        <w:tabs>
          <w:tab w:val="left" w:pos="1710"/>
        </w:tabs>
        <w:ind w:left="567" w:firstLine="567"/>
        <w:rPr>
          <w:rFonts w:eastAsiaTheme="minorEastAsia" w:cs="Arial"/>
          <w:snapToGrid w:val="0"/>
        </w:rPr>
      </w:pPr>
      <w:r w:rsidRPr="009637D0">
        <w:rPr>
          <w:rFonts w:eastAsiaTheme="minorEastAsia" w:cs="Arial"/>
          <w:snapToGrid w:val="0"/>
        </w:rPr>
        <w:t>i)</w:t>
      </w:r>
      <w:r w:rsidRPr="009637D0">
        <w:rPr>
          <w:rFonts w:eastAsiaTheme="minorEastAsia" w:cs="Arial"/>
          <w:snapToGrid w:val="0"/>
        </w:rPr>
        <w:tab/>
      </w:r>
      <w:r w:rsidRPr="009637D0">
        <w:rPr>
          <w:rFonts w:eastAsiaTheme="minorEastAsia" w:cs="Arial"/>
          <w:snapToGrid w:val="0"/>
          <w:spacing w:val="-2"/>
        </w:rPr>
        <w:t>zu vereinbaren, eine Überarbeitung der „Erläuterungen zu Handlungen in Bezug auf Erntegut nach der Akte von 1991 des UPOV Übereinkommens“ (Dokument UPOV/EXN/HRV/1), „Erläuterungen zu Vermehrungsmaterial nach dem UPOV Übereinkommen“ (UPOV/EXN/PPM/1) und „Erläuterungen zum vorläufigen Schutz nach dem UPOV-Übereinkommen“ (UPOV/EXN/PRP/2) einzuleiten;</w:t>
      </w:r>
    </w:p>
    <w:p w14:paraId="493A8D4D" w14:textId="77777777" w:rsidR="005A1408" w:rsidRPr="009637D0" w:rsidRDefault="005A1408" w:rsidP="005A1408">
      <w:pPr>
        <w:ind w:left="567" w:firstLine="567"/>
        <w:rPr>
          <w:rFonts w:eastAsiaTheme="minorEastAsia" w:cs="Arial"/>
          <w:snapToGrid w:val="0"/>
        </w:rPr>
      </w:pPr>
    </w:p>
    <w:p w14:paraId="664BA0DB" w14:textId="77777777" w:rsidR="005A1408" w:rsidRPr="009637D0" w:rsidRDefault="005A1408" w:rsidP="00A359FC">
      <w:pPr>
        <w:tabs>
          <w:tab w:val="left" w:pos="1710"/>
        </w:tabs>
        <w:ind w:left="567" w:firstLine="567"/>
        <w:rPr>
          <w:rFonts w:eastAsiaTheme="minorEastAsia" w:cs="Arial"/>
          <w:snapToGrid w:val="0"/>
        </w:rPr>
      </w:pPr>
      <w:r w:rsidRPr="009637D0">
        <w:rPr>
          <w:rFonts w:eastAsiaTheme="minorEastAsia" w:cs="Arial"/>
          <w:snapToGrid w:val="0"/>
        </w:rPr>
        <w:t>ii)</w:t>
      </w:r>
      <w:r w:rsidRPr="009637D0">
        <w:rPr>
          <w:rFonts w:eastAsiaTheme="minorEastAsia" w:cs="Arial"/>
          <w:snapToGrid w:val="0"/>
        </w:rPr>
        <w:tab/>
        <w:t xml:space="preserve">zu vereinbaren, eine Arbeitsgruppe für Erntegut und </w:t>
      </w:r>
      <w:r w:rsidRPr="009637D0">
        <w:rPr>
          <w:rFonts w:cs="Arial"/>
          <w:lang w:val="de-CH"/>
        </w:rPr>
        <w:t>ungenehmigte Benutzung</w:t>
      </w:r>
      <w:r w:rsidRPr="009637D0">
        <w:rPr>
          <w:rFonts w:eastAsiaTheme="minorEastAsia" w:cs="Arial"/>
          <w:snapToGrid w:val="0"/>
        </w:rPr>
        <w:t xml:space="preserve"> von Vermehrungsmaterial (WG-HRV) einzurichten; </w:t>
      </w:r>
    </w:p>
    <w:p w14:paraId="7E66E23F" w14:textId="77777777" w:rsidR="005A1408" w:rsidRPr="009637D0" w:rsidRDefault="005A1408" w:rsidP="005A1408">
      <w:pPr>
        <w:ind w:left="567" w:firstLine="567"/>
        <w:rPr>
          <w:rFonts w:eastAsiaTheme="minorEastAsia" w:cs="Arial"/>
          <w:snapToGrid w:val="0"/>
        </w:rPr>
      </w:pPr>
    </w:p>
    <w:p w14:paraId="4C029248" w14:textId="77777777" w:rsidR="005A1408" w:rsidRPr="009637D0" w:rsidRDefault="005A1408" w:rsidP="00A359FC">
      <w:pPr>
        <w:tabs>
          <w:tab w:val="left" w:pos="1710"/>
        </w:tabs>
        <w:ind w:left="567" w:firstLine="567"/>
        <w:rPr>
          <w:rFonts w:eastAsiaTheme="minorEastAsia" w:cs="Arial"/>
          <w:snapToGrid w:val="0"/>
        </w:rPr>
      </w:pPr>
      <w:r w:rsidRPr="009637D0">
        <w:rPr>
          <w:rFonts w:eastAsiaTheme="minorEastAsia" w:cs="Arial"/>
          <w:snapToGrid w:val="0"/>
        </w:rPr>
        <w:t>iii)</w:t>
      </w:r>
      <w:r w:rsidRPr="009637D0">
        <w:rPr>
          <w:rFonts w:eastAsiaTheme="minorEastAsia" w:cs="Arial"/>
          <w:snapToGrid w:val="0"/>
        </w:rPr>
        <w:tab/>
        <w:t>den Entwurf einer Aufgabendefinition (ToR) der WG-HRV, wie in der Anlage dieses Dokuments dargelegt, zu billigen;</w:t>
      </w:r>
    </w:p>
    <w:p w14:paraId="19B2B6B1" w14:textId="77777777" w:rsidR="005A1408" w:rsidRPr="009637D0" w:rsidRDefault="005A1408" w:rsidP="005A1408">
      <w:pPr>
        <w:ind w:left="567" w:firstLine="567"/>
        <w:rPr>
          <w:rFonts w:eastAsiaTheme="minorEastAsia" w:cs="Arial"/>
          <w:snapToGrid w:val="0"/>
        </w:rPr>
      </w:pPr>
    </w:p>
    <w:p w14:paraId="7817524E" w14:textId="77777777" w:rsidR="005A1408" w:rsidRPr="009637D0" w:rsidRDefault="005A1408" w:rsidP="00A359FC">
      <w:pPr>
        <w:tabs>
          <w:tab w:val="left" w:pos="1710"/>
        </w:tabs>
        <w:ind w:left="567" w:firstLine="567"/>
        <w:rPr>
          <w:rFonts w:eastAsiaTheme="minorEastAsia" w:cs="Arial"/>
          <w:snapToGrid w:val="0"/>
          <w:spacing w:val="-2"/>
        </w:rPr>
      </w:pPr>
      <w:r w:rsidRPr="009637D0">
        <w:rPr>
          <w:rFonts w:eastAsiaTheme="minorEastAsia" w:cs="Arial"/>
          <w:snapToGrid w:val="0"/>
          <w:spacing w:val="-2"/>
        </w:rPr>
        <w:t>iv)</w:t>
      </w:r>
      <w:r w:rsidRPr="009637D0">
        <w:rPr>
          <w:rFonts w:eastAsiaTheme="minorEastAsia" w:cs="Arial"/>
          <w:snapToGrid w:val="0"/>
          <w:spacing w:val="-2"/>
        </w:rPr>
        <w:tab/>
        <w:t>vorbehaltlich der Billigung der Einrichtung und Aufgabendefinition der WG-HRV das Verbandsbüro zu ersuchen, ein Rundschreiben herauszugeben, um Verbandsmitglieder und Beobachter des CAJ zu ersuchen, ihr Interesse an einer Teilnahme an der WG-HRV zu bekunden, und</w:t>
      </w:r>
    </w:p>
    <w:p w14:paraId="31BD6868" w14:textId="77777777" w:rsidR="005A1408" w:rsidRPr="009637D0" w:rsidRDefault="005A1408" w:rsidP="005A1408">
      <w:pPr>
        <w:ind w:left="567" w:firstLine="567"/>
        <w:rPr>
          <w:rFonts w:eastAsiaTheme="minorEastAsia" w:cs="Arial"/>
          <w:snapToGrid w:val="0"/>
        </w:rPr>
      </w:pPr>
    </w:p>
    <w:p w14:paraId="4A5B312D" w14:textId="77777777" w:rsidR="005A1408" w:rsidRPr="009637D0" w:rsidRDefault="005A1408" w:rsidP="00A359FC">
      <w:pPr>
        <w:tabs>
          <w:tab w:val="left" w:pos="1710"/>
        </w:tabs>
        <w:ind w:left="567" w:firstLine="567"/>
        <w:rPr>
          <w:rFonts w:eastAsiaTheme="minorEastAsia" w:cs="Arial"/>
          <w:snapToGrid w:val="0"/>
        </w:rPr>
      </w:pPr>
      <w:r w:rsidRPr="009637D0">
        <w:rPr>
          <w:rFonts w:eastAsiaTheme="minorEastAsia" w:cs="Arial"/>
          <w:snapToGrid w:val="0"/>
        </w:rPr>
        <w:t>v)</w:t>
      </w:r>
      <w:r w:rsidRPr="009637D0">
        <w:rPr>
          <w:rFonts w:eastAsiaTheme="minorEastAsia" w:cs="Arial"/>
          <w:snapToGrid w:val="0"/>
        </w:rPr>
        <w:tab/>
        <w:t xml:space="preserve">zur Kenntnis zu nehmen, dass der CAJ auf seiner achtundsiebzigsten Tagung gegebenenfalls einen Bericht über die Antworten auf das Rundschreiben mit den Interessenbekundungen an der Mitwirkung an der WG-HRV erhalten wird, mit einem Gesuch an den CAJ, deren Zusammensetzung und den Termin für deren erste Sitzung zu vereinbaren. </w:t>
      </w:r>
    </w:p>
    <w:p w14:paraId="277A6B8F" w14:textId="504CC7D4" w:rsidR="003D1CF1" w:rsidRPr="009637D0" w:rsidRDefault="003D1CF1">
      <w:pPr>
        <w:spacing w:after="160" w:line="259" w:lineRule="auto"/>
        <w:jc w:val="left"/>
        <w:rPr>
          <w:rFonts w:cs="Arial"/>
        </w:rPr>
      </w:pPr>
      <w:r w:rsidRPr="009637D0">
        <w:rPr>
          <w:rFonts w:cs="Arial"/>
        </w:rPr>
        <w:br w:type="page"/>
      </w:r>
    </w:p>
    <w:p w14:paraId="1E7D091E" w14:textId="77777777" w:rsidR="005A1408" w:rsidRPr="00A359FC" w:rsidRDefault="005A1408" w:rsidP="00A359FC">
      <w:pPr>
        <w:keepNext/>
        <w:spacing w:after="120"/>
        <w:jc w:val="left"/>
        <w:rPr>
          <w:rFonts w:cs="Arial"/>
          <w:lang w:eastAsia="ja-JP"/>
        </w:rPr>
      </w:pPr>
      <w:r w:rsidRPr="00A359FC">
        <w:rPr>
          <w:rFonts w:cs="Arial"/>
        </w:rPr>
        <w:lastRenderedPageBreak/>
        <w:fldChar w:fldCharType="begin"/>
      </w:r>
      <w:r w:rsidRPr="00A359FC">
        <w:rPr>
          <w:rFonts w:cs="Arial"/>
        </w:rPr>
        <w:instrText xml:space="preserve"> AUTONUM  </w:instrText>
      </w:r>
      <w:r w:rsidRPr="00A359FC">
        <w:rPr>
          <w:rFonts w:cs="Arial"/>
        </w:rPr>
        <w:fldChar w:fldCharType="end"/>
      </w:r>
      <w:r w:rsidRPr="00A359FC">
        <w:rPr>
          <w:rFonts w:cs="Arial"/>
        </w:rPr>
        <w:tab/>
        <w:t>Der Aufbau dieses Dokuments ist wie folgt</w:t>
      </w:r>
      <w:r w:rsidRPr="00A359FC">
        <w:rPr>
          <w:rFonts w:cs="Arial"/>
          <w:lang w:eastAsia="ja-JP"/>
        </w:rPr>
        <w:t xml:space="preserve">: </w:t>
      </w:r>
    </w:p>
    <w:sdt>
      <w:sdtPr>
        <w:rPr>
          <w:sz w:val="20"/>
        </w:rPr>
        <w:id w:val="-454788501"/>
        <w:docPartObj>
          <w:docPartGallery w:val="Table of Contents"/>
          <w:docPartUnique/>
        </w:docPartObj>
      </w:sdtPr>
      <w:sdtEndPr>
        <w:rPr>
          <w:noProof/>
        </w:rPr>
      </w:sdtEndPr>
      <w:sdtContent>
        <w:p w14:paraId="1D209758" w14:textId="615FB970" w:rsidR="003D1CF1" w:rsidRPr="003D1CF1" w:rsidRDefault="005A1408">
          <w:pPr>
            <w:pStyle w:val="TOC1"/>
            <w:rPr>
              <w:rFonts w:asciiTheme="minorHAnsi" w:eastAsiaTheme="minorEastAsia" w:hAnsiTheme="minorHAnsi" w:cstheme="minorBidi"/>
              <w:caps w:val="0"/>
              <w:noProof/>
              <w:sz w:val="20"/>
            </w:rPr>
          </w:pPr>
          <w:r w:rsidRPr="003D1CF1">
            <w:rPr>
              <w:sz w:val="20"/>
            </w:rPr>
            <w:fldChar w:fldCharType="begin"/>
          </w:r>
          <w:r w:rsidRPr="003D1CF1">
            <w:rPr>
              <w:sz w:val="20"/>
            </w:rPr>
            <w:instrText xml:space="preserve"> TOC \o "1-3" \h \z \u </w:instrText>
          </w:r>
          <w:r w:rsidRPr="003D1CF1">
            <w:rPr>
              <w:sz w:val="20"/>
            </w:rPr>
            <w:fldChar w:fldCharType="separate"/>
          </w:r>
          <w:hyperlink w:anchor="_Toc74669292" w:history="1">
            <w:r w:rsidR="003D1CF1" w:rsidRPr="003D1CF1">
              <w:rPr>
                <w:rStyle w:val="Hyperlink"/>
                <w:noProof/>
                <w:sz w:val="20"/>
              </w:rPr>
              <w:t>ZUSAMMENFASSUNG</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_Toc74669292 \h </w:instrText>
            </w:r>
            <w:r w:rsidR="003D1CF1" w:rsidRPr="003D1CF1">
              <w:rPr>
                <w:noProof/>
                <w:webHidden/>
                <w:sz w:val="20"/>
              </w:rPr>
            </w:r>
            <w:r w:rsidR="003D1CF1" w:rsidRPr="003D1CF1">
              <w:rPr>
                <w:noProof/>
                <w:webHidden/>
                <w:sz w:val="20"/>
              </w:rPr>
              <w:fldChar w:fldCharType="separate"/>
            </w:r>
            <w:r w:rsidR="00B33924">
              <w:rPr>
                <w:noProof/>
                <w:webHidden/>
                <w:sz w:val="20"/>
              </w:rPr>
              <w:t>1</w:t>
            </w:r>
            <w:r w:rsidR="003D1CF1" w:rsidRPr="003D1CF1">
              <w:rPr>
                <w:noProof/>
                <w:webHidden/>
                <w:sz w:val="20"/>
              </w:rPr>
              <w:fldChar w:fldCharType="end"/>
            </w:r>
          </w:hyperlink>
        </w:p>
        <w:p w14:paraId="065AC963" w14:textId="7C3E4EE4" w:rsidR="003D1CF1" w:rsidRPr="003D1CF1" w:rsidRDefault="00B33924">
          <w:pPr>
            <w:pStyle w:val="TOC1"/>
            <w:rPr>
              <w:rFonts w:asciiTheme="minorHAnsi" w:eastAsiaTheme="minorEastAsia" w:hAnsiTheme="minorHAnsi" w:cstheme="minorBidi"/>
              <w:caps w:val="0"/>
              <w:noProof/>
              <w:sz w:val="20"/>
            </w:rPr>
          </w:pPr>
          <w:hyperlink w:anchor="_Toc74669293" w:history="1">
            <w:r w:rsidR="003D1CF1" w:rsidRPr="003D1CF1">
              <w:rPr>
                <w:rStyle w:val="Hyperlink"/>
                <w:noProof/>
                <w:sz w:val="20"/>
              </w:rPr>
              <w:t>HINTERGRund</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_Toc74669293 \h </w:instrText>
            </w:r>
            <w:r w:rsidR="003D1CF1" w:rsidRPr="003D1CF1">
              <w:rPr>
                <w:noProof/>
                <w:webHidden/>
                <w:sz w:val="20"/>
              </w:rPr>
            </w:r>
            <w:r w:rsidR="003D1CF1" w:rsidRPr="003D1CF1">
              <w:rPr>
                <w:noProof/>
                <w:webHidden/>
                <w:sz w:val="20"/>
              </w:rPr>
              <w:fldChar w:fldCharType="separate"/>
            </w:r>
            <w:r>
              <w:rPr>
                <w:noProof/>
                <w:webHidden/>
                <w:sz w:val="20"/>
              </w:rPr>
              <w:t>2</w:t>
            </w:r>
            <w:r w:rsidR="003D1CF1" w:rsidRPr="003D1CF1">
              <w:rPr>
                <w:noProof/>
                <w:webHidden/>
                <w:sz w:val="20"/>
              </w:rPr>
              <w:fldChar w:fldCharType="end"/>
            </w:r>
          </w:hyperlink>
        </w:p>
        <w:p w14:paraId="63EC9A34" w14:textId="382857B2" w:rsidR="003D1CF1" w:rsidRPr="003D1CF1" w:rsidRDefault="00B33924">
          <w:pPr>
            <w:pStyle w:val="TOC2"/>
            <w:rPr>
              <w:rFonts w:asciiTheme="minorHAnsi" w:eastAsiaTheme="minorEastAsia" w:hAnsiTheme="minorHAnsi" w:cstheme="minorBidi"/>
              <w:noProof/>
              <w:sz w:val="20"/>
            </w:rPr>
          </w:pPr>
          <w:hyperlink w:anchor="_Toc74669294" w:history="1">
            <w:r w:rsidR="003D1CF1" w:rsidRPr="003D1CF1">
              <w:rPr>
                <w:rStyle w:val="Hyperlink"/>
                <w:noProof/>
                <w:sz w:val="20"/>
                <w:lang w:val="de-DE"/>
              </w:rPr>
              <w:t>Vorschläge für Angelegenheiten, die auf dem Seminar zum Züchterrecht in Bezug auf Erntegut behandelt werden sollen</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_Toc74669294 \h </w:instrText>
            </w:r>
            <w:r w:rsidR="003D1CF1" w:rsidRPr="003D1CF1">
              <w:rPr>
                <w:noProof/>
                <w:webHidden/>
                <w:sz w:val="20"/>
              </w:rPr>
            </w:r>
            <w:r w:rsidR="003D1CF1" w:rsidRPr="003D1CF1">
              <w:rPr>
                <w:noProof/>
                <w:webHidden/>
                <w:sz w:val="20"/>
              </w:rPr>
              <w:fldChar w:fldCharType="separate"/>
            </w:r>
            <w:r>
              <w:rPr>
                <w:noProof/>
                <w:webHidden/>
                <w:sz w:val="20"/>
              </w:rPr>
              <w:t>4</w:t>
            </w:r>
            <w:r w:rsidR="003D1CF1" w:rsidRPr="003D1CF1">
              <w:rPr>
                <w:noProof/>
                <w:webHidden/>
                <w:sz w:val="20"/>
              </w:rPr>
              <w:fldChar w:fldCharType="end"/>
            </w:r>
          </w:hyperlink>
        </w:p>
        <w:p w14:paraId="06E4A26C" w14:textId="1B984DF5" w:rsidR="003D1CF1" w:rsidRPr="003D1CF1" w:rsidRDefault="00B33924">
          <w:pPr>
            <w:pStyle w:val="TOC1"/>
            <w:rPr>
              <w:rFonts w:asciiTheme="minorHAnsi" w:eastAsiaTheme="minorEastAsia" w:hAnsiTheme="minorHAnsi" w:cstheme="minorBidi"/>
              <w:caps w:val="0"/>
              <w:noProof/>
              <w:sz w:val="20"/>
            </w:rPr>
          </w:pPr>
          <w:hyperlink w:anchor="_Toc74669295" w:history="1">
            <w:r w:rsidR="003D1CF1" w:rsidRPr="003D1CF1">
              <w:rPr>
                <w:rStyle w:val="Hyperlink"/>
                <w:noProof/>
                <w:sz w:val="20"/>
              </w:rPr>
              <w:t>SEMINAR ZUM ZÜCHTERRECHT IN BEZUG AUF ERNTEGUT</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_Toc74669295 \h </w:instrText>
            </w:r>
            <w:r w:rsidR="003D1CF1" w:rsidRPr="003D1CF1">
              <w:rPr>
                <w:noProof/>
                <w:webHidden/>
                <w:sz w:val="20"/>
              </w:rPr>
            </w:r>
            <w:r w:rsidR="003D1CF1" w:rsidRPr="003D1CF1">
              <w:rPr>
                <w:noProof/>
                <w:webHidden/>
                <w:sz w:val="20"/>
              </w:rPr>
              <w:fldChar w:fldCharType="separate"/>
            </w:r>
            <w:r>
              <w:rPr>
                <w:noProof/>
                <w:webHidden/>
                <w:sz w:val="20"/>
              </w:rPr>
              <w:t>5</w:t>
            </w:r>
            <w:r w:rsidR="003D1CF1" w:rsidRPr="003D1CF1">
              <w:rPr>
                <w:noProof/>
                <w:webHidden/>
                <w:sz w:val="20"/>
              </w:rPr>
              <w:fldChar w:fldCharType="end"/>
            </w:r>
          </w:hyperlink>
        </w:p>
        <w:p w14:paraId="0C37C16F" w14:textId="6189A85A" w:rsidR="003D1CF1" w:rsidRPr="003D1CF1" w:rsidRDefault="00B33924">
          <w:pPr>
            <w:pStyle w:val="TOC2"/>
            <w:rPr>
              <w:rFonts w:asciiTheme="minorHAnsi" w:eastAsiaTheme="minorEastAsia" w:hAnsiTheme="minorHAnsi" w:cstheme="minorBidi"/>
              <w:noProof/>
              <w:sz w:val="20"/>
            </w:rPr>
          </w:pPr>
          <w:hyperlink w:anchor="_Toc74669296" w:history="1">
            <w:r w:rsidR="003D1CF1" w:rsidRPr="003D1CF1">
              <w:rPr>
                <w:rStyle w:val="Hyperlink"/>
                <w:noProof/>
                <w:sz w:val="20"/>
                <w:lang w:val="de-DE"/>
              </w:rPr>
              <w:t>Schlussworte</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_Toc74669296 \h </w:instrText>
            </w:r>
            <w:r w:rsidR="003D1CF1" w:rsidRPr="003D1CF1">
              <w:rPr>
                <w:noProof/>
                <w:webHidden/>
                <w:sz w:val="20"/>
              </w:rPr>
            </w:r>
            <w:r w:rsidR="003D1CF1" w:rsidRPr="003D1CF1">
              <w:rPr>
                <w:noProof/>
                <w:webHidden/>
                <w:sz w:val="20"/>
              </w:rPr>
              <w:fldChar w:fldCharType="separate"/>
            </w:r>
            <w:r>
              <w:rPr>
                <w:noProof/>
                <w:webHidden/>
                <w:sz w:val="20"/>
              </w:rPr>
              <w:t>5</w:t>
            </w:r>
            <w:r w:rsidR="003D1CF1" w:rsidRPr="003D1CF1">
              <w:rPr>
                <w:noProof/>
                <w:webHidden/>
                <w:sz w:val="20"/>
              </w:rPr>
              <w:fldChar w:fldCharType="end"/>
            </w:r>
          </w:hyperlink>
        </w:p>
        <w:p w14:paraId="1BED346E" w14:textId="6D9B9C85" w:rsidR="005A1408" w:rsidRPr="003D1CF1" w:rsidRDefault="00B33924" w:rsidP="00A359FC">
          <w:pPr>
            <w:pStyle w:val="TOC1"/>
            <w:rPr>
              <w:noProof/>
              <w:sz w:val="20"/>
            </w:rPr>
          </w:pPr>
          <w:hyperlink w:anchor="_Toc74669297" w:history="1">
            <w:r w:rsidR="003D1CF1" w:rsidRPr="003D1CF1">
              <w:rPr>
                <w:rStyle w:val="Hyperlink"/>
                <w:noProof/>
                <w:sz w:val="20"/>
              </w:rPr>
              <w:t>VORSCHLÄGE FÜR EIN VERFAHREN ZUR ÜBERARBEITUNG DER MASSGEBLICHEN ANLEITUNG</w:t>
            </w:r>
            <w:r w:rsidR="003D1CF1" w:rsidRPr="003D1CF1">
              <w:rPr>
                <w:noProof/>
                <w:webHidden/>
                <w:sz w:val="20"/>
              </w:rPr>
              <w:tab/>
            </w:r>
            <w:r w:rsidR="003D1CF1" w:rsidRPr="003D1CF1">
              <w:rPr>
                <w:noProof/>
                <w:webHidden/>
                <w:sz w:val="20"/>
              </w:rPr>
              <w:fldChar w:fldCharType="begin"/>
            </w:r>
            <w:r w:rsidR="003D1CF1" w:rsidRPr="003D1CF1">
              <w:rPr>
                <w:noProof/>
                <w:webHidden/>
                <w:sz w:val="20"/>
              </w:rPr>
              <w:instrText xml:space="preserve"> PAGEREF _Toc74669297 \h </w:instrText>
            </w:r>
            <w:r w:rsidR="003D1CF1" w:rsidRPr="003D1CF1">
              <w:rPr>
                <w:noProof/>
                <w:webHidden/>
                <w:sz w:val="20"/>
              </w:rPr>
            </w:r>
            <w:r w:rsidR="003D1CF1" w:rsidRPr="003D1CF1">
              <w:rPr>
                <w:noProof/>
                <w:webHidden/>
                <w:sz w:val="20"/>
              </w:rPr>
              <w:fldChar w:fldCharType="separate"/>
            </w:r>
            <w:r>
              <w:rPr>
                <w:noProof/>
                <w:webHidden/>
                <w:sz w:val="20"/>
              </w:rPr>
              <w:t>6</w:t>
            </w:r>
            <w:r w:rsidR="003D1CF1" w:rsidRPr="003D1CF1">
              <w:rPr>
                <w:noProof/>
                <w:webHidden/>
                <w:sz w:val="20"/>
              </w:rPr>
              <w:fldChar w:fldCharType="end"/>
            </w:r>
          </w:hyperlink>
          <w:r w:rsidR="005A1408" w:rsidRPr="003D1CF1">
            <w:rPr>
              <w:noProof/>
              <w:sz w:val="20"/>
            </w:rPr>
            <w:fldChar w:fldCharType="end"/>
          </w:r>
        </w:p>
      </w:sdtContent>
    </w:sdt>
    <w:p w14:paraId="76012185" w14:textId="77777777" w:rsidR="005A1408" w:rsidRPr="003D1CF1" w:rsidRDefault="005A1408" w:rsidP="005A1408">
      <w:pPr>
        <w:spacing w:before="120"/>
        <w:ind w:left="994" w:hanging="994"/>
      </w:pPr>
      <w:bookmarkStart w:id="7" w:name="_Toc73693864"/>
      <w:bookmarkStart w:id="8" w:name="_Toc73693941"/>
      <w:bookmarkStart w:id="9" w:name="_Toc73693949"/>
      <w:r w:rsidRPr="003D1CF1">
        <w:t xml:space="preserve">ANLAGE </w:t>
      </w:r>
      <w:r w:rsidRPr="003D1CF1">
        <w:tab/>
        <w:t xml:space="preserve">ENTWURF DER AUFGABENDEFINITION DER ARBEITSGRUPPE FÜR ERNTEGUT UND UNGENEHMIGTE BENUTZUNG VON VERMEHRUNGSMATERIAL (WG-HRV) </w:t>
      </w:r>
    </w:p>
    <w:p w14:paraId="246FE90C" w14:textId="77777777" w:rsidR="005A1408" w:rsidRPr="00193CA9" w:rsidRDefault="005A1408" w:rsidP="005A1408"/>
    <w:p w14:paraId="744C4367" w14:textId="77777777" w:rsidR="005A1408" w:rsidRPr="00193CA9" w:rsidRDefault="005A1408" w:rsidP="005A1408"/>
    <w:p w14:paraId="2CC2C2A7" w14:textId="77777777" w:rsidR="005A1408" w:rsidRPr="00193CA9" w:rsidRDefault="005A1408" w:rsidP="005A1408"/>
    <w:p w14:paraId="46B23A70" w14:textId="77777777" w:rsidR="005A1408" w:rsidRPr="003F2BBC" w:rsidRDefault="005A1408" w:rsidP="003D1CF1">
      <w:pPr>
        <w:pStyle w:val="Heading1"/>
        <w:rPr>
          <w:lang w:val="de-DE"/>
        </w:rPr>
      </w:pPr>
      <w:bookmarkStart w:id="10" w:name="_Toc74669293"/>
      <w:r w:rsidRPr="003F2BBC">
        <w:rPr>
          <w:lang w:val="de-DE"/>
        </w:rPr>
        <w:t>HINTERGRund</w:t>
      </w:r>
      <w:bookmarkEnd w:id="7"/>
      <w:bookmarkEnd w:id="8"/>
      <w:bookmarkEnd w:id="9"/>
      <w:bookmarkEnd w:id="10"/>
    </w:p>
    <w:p w14:paraId="3E78B640" w14:textId="77777777" w:rsidR="005A1408" w:rsidRPr="00193CA9" w:rsidRDefault="005A1408" w:rsidP="005A1408"/>
    <w:p w14:paraId="37F48DBE" w14:textId="77777777" w:rsidR="005A1408" w:rsidRPr="000F23F9" w:rsidRDefault="005A1408" w:rsidP="005A1408">
      <w:pPr>
        <w:keepNext/>
        <w:keepLines/>
        <w:autoSpaceDE w:val="0"/>
        <w:autoSpaceDN w:val="0"/>
        <w:adjustRightInd w:val="0"/>
        <w:rPr>
          <w:rFonts w:cs="Arial"/>
          <w:snapToGrid w:val="0"/>
        </w:rPr>
      </w:pPr>
      <w:r w:rsidRPr="00193CA9">
        <w:fldChar w:fldCharType="begin"/>
      </w:r>
      <w:r w:rsidRPr="00193CA9">
        <w:instrText xml:space="preserve"> AUTONUM  </w:instrText>
      </w:r>
      <w:r w:rsidRPr="00193CA9">
        <w:fldChar w:fldCharType="end"/>
      </w:r>
      <w:r w:rsidRPr="00193CA9">
        <w:tab/>
      </w:r>
      <w:r w:rsidRPr="000F23F9">
        <w:rPr>
          <w:snapToGrid w:val="0"/>
        </w:rPr>
        <w:t>Der Verwaltungs- und Rechtsausschuss (CAJ) vereinbarte auf seiner sechsundsiebzigsten Tagung</w:t>
      </w:r>
      <w:r w:rsidRPr="000F23F9">
        <w:rPr>
          <w:rStyle w:val="FootnoteReference"/>
          <w:rFonts w:cs="Arial"/>
          <w:snapToGrid w:val="0"/>
        </w:rPr>
        <w:footnoteReference w:id="1"/>
      </w:r>
      <w:r w:rsidRPr="000F23F9">
        <w:rPr>
          <w:snapToGrid w:val="0"/>
        </w:rPr>
        <w:t xml:space="preserve"> die in folgenden Absätzen (vergleiche nachstehende Auszüge aus Dokument CAJ/76/9 „Bericht“, Absätze 18 bis 20) aufgeführten Angelegenheiten</w:t>
      </w:r>
      <w:r w:rsidRPr="000F23F9">
        <w:rPr>
          <w:rFonts w:cs="Arial"/>
          <w:snapToGrid w:val="0"/>
        </w:rPr>
        <w:t xml:space="preserve">: </w:t>
      </w:r>
    </w:p>
    <w:p w14:paraId="3BEE795B" w14:textId="77777777" w:rsidR="005A1408" w:rsidRPr="000F23F9" w:rsidRDefault="005A1408" w:rsidP="005A1408">
      <w:pPr>
        <w:keepNext/>
        <w:tabs>
          <w:tab w:val="left" w:pos="284"/>
          <w:tab w:val="left" w:pos="851"/>
        </w:tabs>
        <w:autoSpaceDE w:val="0"/>
        <w:autoSpaceDN w:val="0"/>
        <w:adjustRightInd w:val="0"/>
        <w:rPr>
          <w:rFonts w:cs="Angsana New"/>
          <w:sz w:val="16"/>
          <w:szCs w:val="18"/>
          <w:lang w:eastAsia="ja-JP" w:bidi="th-TH"/>
        </w:rPr>
      </w:pPr>
    </w:p>
    <w:p w14:paraId="46B26EE7" w14:textId="77777777" w:rsidR="005A1408" w:rsidRPr="000F23F9" w:rsidRDefault="005A1408" w:rsidP="005A1408">
      <w:pPr>
        <w:ind w:left="567" w:right="567"/>
        <w:rPr>
          <w:rFonts w:eastAsiaTheme="minorEastAsia"/>
          <w:sz w:val="18"/>
        </w:rPr>
      </w:pPr>
      <w:r w:rsidRPr="000F23F9">
        <w:rPr>
          <w:sz w:val="18"/>
        </w:rPr>
        <w:t>„18. Der CAJ nahm den Vorschlag Japans, Anleitung über den Begriff „ungenehmigte Benutzung von Vermehrungsmaterial" in Artikel 14 Absatz 2 der Akte von 1991 des UPOV-Übereinkommens zu erstellen, zur Kenntnis</w:t>
      </w:r>
      <w:r w:rsidRPr="000F23F9">
        <w:rPr>
          <w:rFonts w:eastAsiaTheme="minorEastAsia"/>
          <w:sz w:val="18"/>
        </w:rPr>
        <w:t xml:space="preserve">. </w:t>
      </w:r>
    </w:p>
    <w:p w14:paraId="46555B66" w14:textId="77777777" w:rsidR="005A1408" w:rsidRPr="000F23F9" w:rsidRDefault="005A1408" w:rsidP="005A1408">
      <w:pPr>
        <w:ind w:left="567" w:right="567"/>
        <w:rPr>
          <w:rFonts w:eastAsiaTheme="minorEastAsia"/>
          <w:sz w:val="16"/>
        </w:rPr>
      </w:pPr>
    </w:p>
    <w:p w14:paraId="53A03CD5" w14:textId="78D90CBF" w:rsidR="005A1408" w:rsidRPr="000F23F9" w:rsidRDefault="005A1408" w:rsidP="005A1408">
      <w:pPr>
        <w:ind w:left="567" w:right="567"/>
        <w:rPr>
          <w:rFonts w:eastAsiaTheme="minorEastAsia"/>
          <w:sz w:val="18"/>
        </w:rPr>
      </w:pPr>
      <w:r w:rsidRPr="000F23F9">
        <w:rPr>
          <w:sz w:val="18"/>
        </w:rPr>
        <w:t>„19.</w:t>
      </w:r>
      <w:r w:rsidRPr="000F23F9">
        <w:rPr>
          <w:sz w:val="18"/>
        </w:rPr>
        <w:tab/>
      </w:r>
      <w:r w:rsidRPr="000F23F9">
        <w:rPr>
          <w:rFonts w:eastAsiaTheme="minorEastAsia"/>
          <w:sz w:val="18"/>
        </w:rPr>
        <w:t>Der CAJ vereinbarte, einen Tagesordnungspunkt in die Tagesordnung für die siebenundsiebzigste Tagung des CAJ am 28. Oktober 2020 aufzunehmen, ein Dokument mit Informationen und Vorschlägen von Mitgliedern des CAJ und Beobachtern zum Begriff „ungenehmigte Benutzung von Vermehrungsmaterial</w:t>
      </w:r>
      <w:r>
        <w:rPr>
          <w:rFonts w:eastAsiaTheme="minorEastAsia"/>
          <w:sz w:val="18"/>
        </w:rPr>
        <w:t>“</w:t>
      </w:r>
      <w:r w:rsidRPr="000F23F9">
        <w:rPr>
          <w:rFonts w:eastAsiaTheme="minorEastAsia"/>
          <w:sz w:val="18"/>
        </w:rPr>
        <w:t xml:space="preserve"> </w:t>
      </w:r>
      <w:r w:rsidR="001B2BB3">
        <w:rPr>
          <w:rFonts w:eastAsiaTheme="minorEastAsia"/>
          <w:sz w:val="18"/>
        </w:rPr>
        <w:t xml:space="preserve">im Zusammenhang </w:t>
      </w:r>
      <w:r w:rsidRPr="000F23F9">
        <w:rPr>
          <w:rFonts w:eastAsiaTheme="minorEastAsia"/>
          <w:sz w:val="18"/>
        </w:rPr>
        <w:t>mit Bäumen in Artikel 14 Absa</w:t>
      </w:r>
      <w:r w:rsidR="00A359FC">
        <w:rPr>
          <w:rFonts w:eastAsiaTheme="minorEastAsia"/>
          <w:sz w:val="18"/>
        </w:rPr>
        <w:t>tz 2 der Akte von 1991 des UPOV</w:t>
      </w:r>
      <w:r w:rsidR="00A359FC">
        <w:rPr>
          <w:rFonts w:eastAsiaTheme="minorEastAsia"/>
          <w:sz w:val="18"/>
        </w:rPr>
        <w:noBreakHyphen/>
      </w:r>
      <w:r w:rsidRPr="000F23F9">
        <w:rPr>
          <w:rFonts w:eastAsiaTheme="minorEastAsia"/>
          <w:sz w:val="18"/>
        </w:rPr>
        <w:t xml:space="preserve">Übereinkommens zu prüfen. </w:t>
      </w:r>
    </w:p>
    <w:p w14:paraId="454A9CFB" w14:textId="77777777" w:rsidR="005A1408" w:rsidRPr="000F23F9" w:rsidRDefault="005A1408" w:rsidP="005A1408">
      <w:pPr>
        <w:ind w:left="567" w:right="567"/>
        <w:rPr>
          <w:rFonts w:eastAsiaTheme="minorEastAsia"/>
          <w:sz w:val="16"/>
        </w:rPr>
      </w:pPr>
    </w:p>
    <w:p w14:paraId="5A752EB6" w14:textId="1845A5EB" w:rsidR="005A1408" w:rsidRPr="000F23F9" w:rsidRDefault="005A1408" w:rsidP="005A1408">
      <w:pPr>
        <w:keepLines/>
        <w:ind w:left="567" w:right="567"/>
        <w:rPr>
          <w:rFonts w:eastAsiaTheme="minorEastAsia"/>
          <w:sz w:val="18"/>
        </w:rPr>
      </w:pPr>
      <w:r w:rsidRPr="000F23F9">
        <w:rPr>
          <w:sz w:val="18"/>
        </w:rPr>
        <w:t>„20.</w:t>
      </w:r>
      <w:r w:rsidRPr="000F23F9">
        <w:rPr>
          <w:sz w:val="18"/>
        </w:rPr>
        <w:tab/>
      </w:r>
      <w:r w:rsidRPr="000F23F9">
        <w:rPr>
          <w:rFonts w:eastAsiaTheme="minorEastAsia"/>
          <w:sz w:val="18"/>
        </w:rPr>
        <w:t xml:space="preserve">Der CAJ vereinbarte, dass das Verbandsbüro Mitglieder und Beobachter ersuchen sollte, auf dem </w:t>
      </w:r>
      <w:r>
        <w:rPr>
          <w:rFonts w:eastAsiaTheme="minorEastAsia"/>
          <w:sz w:val="18"/>
        </w:rPr>
        <w:t>Schriftweg</w:t>
      </w:r>
      <w:r w:rsidRPr="000F23F9">
        <w:rPr>
          <w:rFonts w:eastAsiaTheme="minorEastAsia"/>
          <w:sz w:val="18"/>
        </w:rPr>
        <w:t xml:space="preserve"> Informationen und Vorschläge zum Begriff „ungenehmigte Benutzung von Vermehrungsmaterial“ </w:t>
      </w:r>
      <w:r w:rsidR="001B2BB3">
        <w:rPr>
          <w:rFonts w:eastAsiaTheme="minorEastAsia"/>
          <w:sz w:val="18"/>
        </w:rPr>
        <w:t xml:space="preserve">im Zusammenhang </w:t>
      </w:r>
      <w:r w:rsidRPr="000F23F9">
        <w:rPr>
          <w:rFonts w:eastAsiaTheme="minorEastAsia"/>
          <w:sz w:val="18"/>
        </w:rPr>
        <w:t xml:space="preserve">mit Bäumen in Artikel 14 Absatz 2 der Akte von 1991 des UPOV Übereinkommens einzureichen. Auf Grundlage der auf dem </w:t>
      </w:r>
      <w:r>
        <w:rPr>
          <w:rFonts w:eastAsiaTheme="minorEastAsia"/>
          <w:sz w:val="18"/>
        </w:rPr>
        <w:t>Schriftweg</w:t>
      </w:r>
      <w:r w:rsidRPr="000F23F9">
        <w:rPr>
          <w:rFonts w:eastAsiaTheme="minorEastAsia"/>
          <w:sz w:val="18"/>
        </w:rPr>
        <w:t xml:space="preserve"> eingereichten Vorschläge würde das Verbandsbüro ein Dokument mit Sachfragen und Vorschlägen zur Prüfung auf der siebenundsiebzigsten Tagung des CAJ am 28. Oktober 2020 vorbereiten</w:t>
      </w:r>
      <w:r w:rsidRPr="000F23F9">
        <w:rPr>
          <w:sz w:val="18"/>
        </w:rPr>
        <w:t xml:space="preserve">.“ </w:t>
      </w:r>
    </w:p>
    <w:p w14:paraId="5C8DDAAD" w14:textId="77777777" w:rsidR="005A1408" w:rsidRPr="000F23F9" w:rsidRDefault="005A1408" w:rsidP="005A1408">
      <w:pPr>
        <w:tabs>
          <w:tab w:val="left" w:pos="284"/>
          <w:tab w:val="left" w:pos="851"/>
        </w:tabs>
        <w:autoSpaceDE w:val="0"/>
        <w:autoSpaceDN w:val="0"/>
        <w:adjustRightInd w:val="0"/>
        <w:rPr>
          <w:rFonts w:cs="Arial"/>
          <w:lang w:eastAsia="ja-JP" w:bidi="th-TH"/>
        </w:rPr>
      </w:pPr>
    </w:p>
    <w:p w14:paraId="490B0187" w14:textId="29E6C896" w:rsidR="005A1408" w:rsidRPr="000F23F9" w:rsidRDefault="005A1408" w:rsidP="005A1408">
      <w:pPr>
        <w:autoSpaceDE w:val="0"/>
        <w:autoSpaceDN w:val="0"/>
        <w:adjustRightInd w:val="0"/>
      </w:pPr>
      <w:r w:rsidRPr="000F23F9">
        <w:fldChar w:fldCharType="begin"/>
      </w:r>
      <w:r w:rsidRPr="000F23F9">
        <w:instrText xml:space="preserve"> AUTONUM  </w:instrText>
      </w:r>
      <w:r w:rsidRPr="000F23F9">
        <w:fldChar w:fldCharType="end"/>
      </w:r>
      <w:r w:rsidRPr="000F23F9">
        <w:tab/>
      </w:r>
      <w:r w:rsidRPr="000F23F9">
        <w:rPr>
          <w:rFonts w:cs="Arial"/>
        </w:rPr>
        <w:t xml:space="preserve">Am 23. Dezember 2019 richtete das Verbandsbüro an die benannten Personen der Mitglieder des CAJ das UPOV-Rundschreiben E-19/232 mit der </w:t>
      </w:r>
      <w:r w:rsidRPr="00A81CA6">
        <w:rPr>
          <w:rFonts w:cs="Arial"/>
        </w:rPr>
        <w:t>Aufforderung</w:t>
      </w:r>
      <w:r w:rsidRPr="000F23F9">
        <w:rPr>
          <w:rFonts w:cs="Arial"/>
        </w:rPr>
        <w:t>, zum Begriff „ungenehmigte Benutzung von Vermehrungsmaterial“ i</w:t>
      </w:r>
      <w:r>
        <w:rPr>
          <w:rFonts w:cs="Arial"/>
        </w:rPr>
        <w:t>m</w:t>
      </w:r>
      <w:r w:rsidRPr="000F23F9">
        <w:rPr>
          <w:rFonts w:cs="Arial"/>
        </w:rPr>
        <w:t xml:space="preserve"> Zusammenhang mit Bäumen in Artikel 14 Absa</w:t>
      </w:r>
      <w:r w:rsidR="00A359FC">
        <w:rPr>
          <w:rFonts w:cs="Arial"/>
        </w:rPr>
        <w:t>tz 2 der Akte von 1991 des UPOV</w:t>
      </w:r>
      <w:r w:rsidR="00A359FC">
        <w:rPr>
          <w:rFonts w:cs="Arial"/>
        </w:rPr>
        <w:noBreakHyphen/>
      </w:r>
      <w:r w:rsidRPr="000F23F9">
        <w:rPr>
          <w:rFonts w:cs="Arial"/>
        </w:rPr>
        <w:t>Übereinkommens Informationen und Vorschläge wie folgt vorzulegen</w:t>
      </w:r>
      <w:r w:rsidRPr="000F23F9">
        <w:t xml:space="preserve">: </w:t>
      </w:r>
    </w:p>
    <w:p w14:paraId="46467A59" w14:textId="77777777" w:rsidR="005A1408" w:rsidRPr="000F23F9" w:rsidRDefault="005A1408" w:rsidP="005A1408">
      <w:pPr>
        <w:autoSpaceDE w:val="0"/>
        <w:autoSpaceDN w:val="0"/>
        <w:adjustRightInd w:val="0"/>
        <w:rPr>
          <w:rFonts w:cs="Arial"/>
          <w:sz w:val="16"/>
          <w:szCs w:val="18"/>
        </w:rPr>
      </w:pPr>
    </w:p>
    <w:p w14:paraId="18D08E2A" w14:textId="77777777" w:rsidR="005A1408" w:rsidRPr="000F23F9" w:rsidRDefault="005A1408" w:rsidP="005A1408">
      <w:pPr>
        <w:spacing w:after="120"/>
        <w:ind w:left="567" w:right="369"/>
        <w:rPr>
          <w:sz w:val="18"/>
        </w:rPr>
      </w:pPr>
      <w:r w:rsidRPr="000F23F9">
        <w:rPr>
          <w:sz w:val="18"/>
        </w:rPr>
        <w:t xml:space="preserve">„Um die Auswertung der Informationen und Vorschläge zu erleichtern, wäre es hilfreich, wenn die Beiträge wie folgt gegliedert werden könnten: </w:t>
      </w:r>
    </w:p>
    <w:p w14:paraId="13EA8EF8" w14:textId="77777777" w:rsidR="005A1408" w:rsidRPr="000F23F9" w:rsidRDefault="005A1408" w:rsidP="005A1408">
      <w:pPr>
        <w:pStyle w:val="ListParagraph"/>
        <w:numPr>
          <w:ilvl w:val="0"/>
          <w:numId w:val="1"/>
        </w:numPr>
        <w:spacing w:after="60"/>
        <w:ind w:left="1418" w:right="369" w:hanging="567"/>
        <w:contextualSpacing w:val="0"/>
        <w:rPr>
          <w:sz w:val="18"/>
        </w:rPr>
      </w:pPr>
      <w:r w:rsidRPr="000F23F9">
        <w:rPr>
          <w:sz w:val="18"/>
        </w:rPr>
        <w:t xml:space="preserve">Informationen über Fragen im Zusammenhang mit „ungenehmigter Benutzung von Vermehrungsmaterial“ im Zusammenhang mit Bäumen; </w:t>
      </w:r>
    </w:p>
    <w:p w14:paraId="287B6BEE" w14:textId="77777777" w:rsidR="005A1408" w:rsidRPr="000F23F9" w:rsidRDefault="005A1408" w:rsidP="005A1408">
      <w:pPr>
        <w:pStyle w:val="ListParagraph"/>
        <w:numPr>
          <w:ilvl w:val="0"/>
          <w:numId w:val="1"/>
        </w:numPr>
        <w:spacing w:after="60"/>
        <w:ind w:left="1418" w:right="369" w:hanging="567"/>
        <w:contextualSpacing w:val="0"/>
        <w:rPr>
          <w:sz w:val="18"/>
        </w:rPr>
      </w:pPr>
      <w:r w:rsidRPr="000F23F9">
        <w:rPr>
          <w:sz w:val="18"/>
        </w:rPr>
        <w:t>Informationen über jegliche Erläuterung des Begriffs „ungenehmigte Benutzung von Vermehrungsmaterial“, die in dem Hoheitsgebiet verwendet wird (z. B. Züchterpraxis, Anleitung, Vertragsklauseln);</w:t>
      </w:r>
    </w:p>
    <w:p w14:paraId="21E846E8" w14:textId="77777777" w:rsidR="005A1408" w:rsidRPr="000F23F9" w:rsidRDefault="005A1408" w:rsidP="005A1408">
      <w:pPr>
        <w:pStyle w:val="ListParagraph"/>
        <w:numPr>
          <w:ilvl w:val="0"/>
          <w:numId w:val="1"/>
        </w:numPr>
        <w:spacing w:after="60"/>
        <w:ind w:left="1418" w:right="369" w:hanging="567"/>
        <w:contextualSpacing w:val="0"/>
        <w:rPr>
          <w:sz w:val="18"/>
        </w:rPr>
      </w:pPr>
      <w:r w:rsidRPr="000F23F9">
        <w:rPr>
          <w:sz w:val="18"/>
        </w:rPr>
        <w:t>Rechtsprechung;</w:t>
      </w:r>
    </w:p>
    <w:p w14:paraId="66F4E3A8" w14:textId="77777777" w:rsidR="005A1408" w:rsidRPr="000F23F9" w:rsidRDefault="005A1408" w:rsidP="005A1408">
      <w:pPr>
        <w:pStyle w:val="ListParagraph"/>
        <w:numPr>
          <w:ilvl w:val="0"/>
          <w:numId w:val="1"/>
        </w:numPr>
        <w:spacing w:after="60"/>
        <w:ind w:left="1418" w:right="369" w:hanging="567"/>
        <w:contextualSpacing w:val="0"/>
        <w:rPr>
          <w:sz w:val="18"/>
        </w:rPr>
      </w:pPr>
      <w:r w:rsidRPr="000F23F9">
        <w:rPr>
          <w:sz w:val="18"/>
        </w:rPr>
        <w:t xml:space="preserve">Vorschläge für die Ausarbeitung des Begriffs „ungenehmigte Benutzung von Vermehrungsmaterial“. </w:t>
      </w:r>
    </w:p>
    <w:p w14:paraId="5BCE98C5" w14:textId="77777777" w:rsidR="005A1408" w:rsidRPr="00193CA9" w:rsidRDefault="005A1408" w:rsidP="005A1408">
      <w:pPr>
        <w:tabs>
          <w:tab w:val="left" w:pos="284"/>
          <w:tab w:val="left" w:pos="851"/>
        </w:tabs>
        <w:autoSpaceDE w:val="0"/>
        <w:autoSpaceDN w:val="0"/>
        <w:adjustRightInd w:val="0"/>
      </w:pPr>
    </w:p>
    <w:p w14:paraId="1FC79742" w14:textId="1FC4631D" w:rsidR="005A1408" w:rsidRPr="00193CA9" w:rsidRDefault="005A1408" w:rsidP="005A1408">
      <w:pPr>
        <w:tabs>
          <w:tab w:val="left" w:pos="284"/>
          <w:tab w:val="left" w:pos="851"/>
        </w:tabs>
        <w:autoSpaceDE w:val="0"/>
        <w:autoSpaceDN w:val="0"/>
        <w:adjustRightInd w:val="0"/>
        <w:rPr>
          <w:rFonts w:cs="Arial"/>
          <w:snapToGrid w:val="0"/>
        </w:rPr>
      </w:pPr>
      <w:r w:rsidRPr="000F23F9">
        <w:fldChar w:fldCharType="begin"/>
      </w:r>
      <w:r w:rsidRPr="000F23F9">
        <w:instrText xml:space="preserve"> AUTONUM  </w:instrText>
      </w:r>
      <w:r w:rsidRPr="000F23F9">
        <w:fldChar w:fldCharType="end"/>
      </w:r>
      <w:r w:rsidRPr="000F23F9">
        <w:tab/>
      </w:r>
      <w:r>
        <w:t>In Beantwortung des UPOV-Rundschreibens</w:t>
      </w:r>
      <w:r w:rsidRPr="000F23F9">
        <w:rPr>
          <w:snapToGrid w:val="0"/>
        </w:rPr>
        <w:t xml:space="preserve"> E-19/232 </w:t>
      </w:r>
      <w:r w:rsidRPr="000F23F9">
        <w:t xml:space="preserve">gingen beim Verbandsbüro </w:t>
      </w:r>
      <w:r w:rsidRPr="000F23F9">
        <w:rPr>
          <w:snapToGrid w:val="0"/>
        </w:rPr>
        <w:t>Information</w:t>
      </w:r>
      <w:r>
        <w:rPr>
          <w:snapToGrid w:val="0"/>
        </w:rPr>
        <w:t>en</w:t>
      </w:r>
      <w:r w:rsidRPr="000F23F9">
        <w:rPr>
          <w:snapToGrid w:val="0"/>
        </w:rPr>
        <w:t xml:space="preserve"> und Vorschläge</w:t>
      </w:r>
      <w:r w:rsidRPr="000F23F9">
        <w:t xml:space="preserve"> von der Europäischen Union, Japan und der Russischen Föderation ein,</w:t>
      </w:r>
      <w:r w:rsidRPr="000F23F9">
        <w:rPr>
          <w:snapToGrid w:val="0"/>
        </w:rPr>
        <w:t xml:space="preserve"> die </w:t>
      </w:r>
      <w:r w:rsidRPr="000F23F9">
        <w:t xml:space="preserve">in den Anlagen I bis III des Dokuments CAJ/77/5 „Erntegut“ </w:t>
      </w:r>
      <w:r>
        <w:t xml:space="preserve">wiedergegeben sind </w:t>
      </w:r>
      <w:r w:rsidRPr="000F23F9">
        <w:rPr>
          <w:rFonts w:cs="Arial"/>
          <w:snapToGrid w:val="0"/>
        </w:rPr>
        <w:t>(vergleiche Dokument CAJ/77/5 „</w:t>
      </w:r>
      <w:r w:rsidRPr="000F23F9">
        <w:t>Erntegut</w:t>
      </w:r>
      <w:r w:rsidR="00A359FC">
        <w:rPr>
          <w:rFonts w:cs="Arial"/>
          <w:snapToGrid w:val="0"/>
        </w:rPr>
        <w:t>“, Absätze </w:t>
      </w:r>
      <w:r w:rsidRPr="000F23F9">
        <w:rPr>
          <w:rFonts w:cs="Arial"/>
          <w:snapToGrid w:val="0"/>
        </w:rPr>
        <w:t>5 und 6).</w:t>
      </w:r>
      <w:r w:rsidRPr="00193CA9">
        <w:rPr>
          <w:rFonts w:cs="Arial"/>
          <w:snapToGrid w:val="0"/>
        </w:rPr>
        <w:t xml:space="preserve"> </w:t>
      </w:r>
    </w:p>
    <w:p w14:paraId="470282B6" w14:textId="77777777" w:rsidR="005A1408" w:rsidRPr="00193CA9" w:rsidRDefault="005A1408" w:rsidP="005A1408">
      <w:pPr>
        <w:tabs>
          <w:tab w:val="left" w:pos="284"/>
          <w:tab w:val="left" w:pos="851"/>
        </w:tabs>
        <w:autoSpaceDE w:val="0"/>
        <w:autoSpaceDN w:val="0"/>
        <w:adjustRightInd w:val="0"/>
        <w:rPr>
          <w:rFonts w:cs="Arial"/>
          <w:snapToGrid w:val="0"/>
        </w:rPr>
      </w:pPr>
    </w:p>
    <w:p w14:paraId="465D61C0" w14:textId="77777777" w:rsidR="005A1408" w:rsidRPr="007749F5" w:rsidRDefault="005A1408" w:rsidP="00A359FC">
      <w:pPr>
        <w:keepLines/>
        <w:tabs>
          <w:tab w:val="left" w:pos="284"/>
          <w:tab w:val="left" w:pos="851"/>
        </w:tabs>
        <w:autoSpaceDE w:val="0"/>
        <w:autoSpaceDN w:val="0"/>
        <w:adjustRightInd w:val="0"/>
        <w:rPr>
          <w:snapToGrid w:val="0"/>
        </w:rPr>
      </w:pPr>
      <w:r w:rsidRPr="007749F5">
        <w:lastRenderedPageBreak/>
        <w:fldChar w:fldCharType="begin"/>
      </w:r>
      <w:r w:rsidRPr="007749F5">
        <w:instrText xml:space="preserve"> AUTONUM  </w:instrText>
      </w:r>
      <w:r w:rsidRPr="007749F5">
        <w:fldChar w:fldCharType="end"/>
      </w:r>
      <w:r w:rsidRPr="007749F5">
        <w:tab/>
      </w:r>
      <w:r w:rsidRPr="007749F5">
        <w:rPr>
          <w:rFonts w:cs="Arial"/>
          <w:lang w:eastAsia="ja-JP" w:bidi="th-TH"/>
        </w:rPr>
        <w:t>Der CAJ nahm auf seiner siebenundsiebzigsten Tagung vom 28. Oktober 2020, die auf elektronischem Wege abgehalten wurde, die Angelegenheiten betreffend das Dokument CAJ/77/9 „Ergebnis der Prüfung von Dokumenten auf dem Schriftweg“ (vergleiche Absätze 42 bis 47), wie nachstehend wiedergegeben (vergleiche Dokument CAJ/77/10 „Bericht“, Absätze 26 bis 30</w:t>
      </w:r>
      <w:r w:rsidRPr="007749F5">
        <w:rPr>
          <w:snapToGrid w:val="0"/>
        </w:rPr>
        <w:t xml:space="preserve">) </w:t>
      </w:r>
      <w:r w:rsidRPr="007749F5">
        <w:rPr>
          <w:rFonts w:cs="Arial"/>
          <w:lang w:eastAsia="ja-JP" w:bidi="th-TH"/>
        </w:rPr>
        <w:t>zur Kenntnis</w:t>
      </w:r>
      <w:r w:rsidRPr="007749F5">
        <w:rPr>
          <w:snapToGrid w:val="0"/>
        </w:rPr>
        <w:t>:</w:t>
      </w:r>
    </w:p>
    <w:p w14:paraId="077BD03B" w14:textId="77777777" w:rsidR="005A1408" w:rsidRPr="007749F5" w:rsidRDefault="005A1408" w:rsidP="005A1408">
      <w:pPr>
        <w:tabs>
          <w:tab w:val="left" w:pos="284"/>
          <w:tab w:val="left" w:pos="851"/>
        </w:tabs>
        <w:autoSpaceDE w:val="0"/>
        <w:autoSpaceDN w:val="0"/>
        <w:adjustRightInd w:val="0"/>
        <w:ind w:right="567"/>
        <w:rPr>
          <w:rFonts w:cs="Angsana New"/>
          <w:sz w:val="18"/>
          <w:szCs w:val="18"/>
          <w:lang w:eastAsia="ja-JP" w:bidi="th-TH"/>
        </w:rPr>
      </w:pPr>
    </w:p>
    <w:p w14:paraId="33F013DE" w14:textId="77777777" w:rsidR="005A1408" w:rsidRDefault="005A1408" w:rsidP="005A1408">
      <w:pPr>
        <w:keepNext/>
        <w:ind w:left="567" w:right="567"/>
        <w:rPr>
          <w:snapToGrid w:val="0"/>
          <w:sz w:val="18"/>
        </w:rPr>
      </w:pPr>
      <w:r w:rsidRPr="007749F5">
        <w:rPr>
          <w:sz w:val="18"/>
          <w:szCs w:val="18"/>
        </w:rPr>
        <w:t>„42.</w:t>
      </w:r>
      <w:r w:rsidRPr="007749F5">
        <w:rPr>
          <w:sz w:val="18"/>
          <w:szCs w:val="18"/>
        </w:rPr>
        <w:tab/>
      </w:r>
      <w:r w:rsidRPr="007749F5">
        <w:rPr>
          <w:sz w:val="18"/>
        </w:rPr>
        <w:t xml:space="preserve">Der </w:t>
      </w:r>
      <w:r w:rsidRPr="007749F5">
        <w:rPr>
          <w:snapToGrid w:val="0"/>
          <w:sz w:val="18"/>
        </w:rPr>
        <w:t xml:space="preserve">CAJ nahm die </w:t>
      </w:r>
      <w:r>
        <w:rPr>
          <w:snapToGrid w:val="0"/>
          <w:sz w:val="18"/>
        </w:rPr>
        <w:t>in Beantwortung des UPOV-Rundschreibens</w:t>
      </w:r>
      <w:r w:rsidRPr="007749F5">
        <w:rPr>
          <w:snapToGrid w:val="0"/>
          <w:sz w:val="18"/>
        </w:rPr>
        <w:t xml:space="preserve"> E</w:t>
      </w:r>
      <w:r w:rsidRPr="007749F5">
        <w:rPr>
          <w:snapToGrid w:val="0"/>
          <w:sz w:val="18"/>
        </w:rPr>
        <w:noBreakHyphen/>
        <w:t>19/232 eingegangenen Informationen und Vorschläge, wie in den Anlagen I bis III von Dokument CAJ/77/5 [‚Erntegut‘] wiedergegeben, zur Kenntnis.</w:t>
      </w:r>
    </w:p>
    <w:p w14:paraId="1C36FA7A" w14:textId="381FA10E" w:rsidR="005A1408" w:rsidRDefault="005A1408" w:rsidP="005A1408">
      <w:pPr>
        <w:jc w:val="left"/>
        <w:rPr>
          <w:snapToGrid w:val="0"/>
          <w:sz w:val="18"/>
        </w:rPr>
      </w:pPr>
    </w:p>
    <w:p w14:paraId="0433D119" w14:textId="77777777" w:rsidR="005A1408" w:rsidRPr="007749F5" w:rsidRDefault="005A1408" w:rsidP="005A1408">
      <w:pPr>
        <w:ind w:left="567" w:right="567"/>
        <w:rPr>
          <w:rFonts w:cs="Arial"/>
          <w:sz w:val="18"/>
          <w:szCs w:val="18"/>
        </w:rPr>
      </w:pPr>
      <w:r w:rsidRPr="007749F5">
        <w:rPr>
          <w:sz w:val="18"/>
          <w:szCs w:val="18"/>
        </w:rPr>
        <w:t>„43.</w:t>
      </w:r>
      <w:r w:rsidRPr="007749F5">
        <w:rPr>
          <w:sz w:val="18"/>
          <w:szCs w:val="18"/>
        </w:rPr>
        <w:tab/>
      </w:r>
      <w:r w:rsidRPr="007749F5">
        <w:rPr>
          <w:sz w:val="18"/>
        </w:rPr>
        <w:t xml:space="preserve">Der </w:t>
      </w:r>
      <w:r w:rsidRPr="007749F5">
        <w:rPr>
          <w:snapToGrid w:val="0"/>
          <w:sz w:val="18"/>
        </w:rPr>
        <w:t xml:space="preserve">CAJ vereinbarte, das Verbandsbüro zu ersuchen, die Verbandsmitglieder, die </w:t>
      </w:r>
      <w:r>
        <w:rPr>
          <w:snapToGrid w:val="0"/>
          <w:sz w:val="18"/>
        </w:rPr>
        <w:t>in Beantwortung des Rundschreibens</w:t>
      </w:r>
      <w:r w:rsidRPr="007749F5">
        <w:rPr>
          <w:snapToGrid w:val="0"/>
          <w:sz w:val="18"/>
        </w:rPr>
        <w:t xml:space="preserve"> E-19/232 Informationen und Vorschläge übermittelt haben, zu befragen, um zu sondieren, wie Anleitung zum Begriff ‚ungenehmigte Benutzung von Vermehrungsmaterial‘, auch im Zusammenhang mit Bäumen, in Artikel 14 Absatz 2 der Akte von 1991 des UPOV-Übereinkommens gegeben werden kann, um auf dieser Grundlage einen Vorschlag zur Prüfung durch den CAJ auf dessen achtundsiebzigster Tagung vorlegen zu können</w:t>
      </w:r>
      <w:r w:rsidRPr="007749F5">
        <w:rPr>
          <w:snapToGrid w:val="0"/>
          <w:sz w:val="18"/>
          <w:szCs w:val="18"/>
        </w:rPr>
        <w:t>.</w:t>
      </w:r>
    </w:p>
    <w:p w14:paraId="52E95717" w14:textId="77777777" w:rsidR="005A1408" w:rsidRPr="007749F5" w:rsidRDefault="005A1408" w:rsidP="005A1408">
      <w:pPr>
        <w:ind w:left="567"/>
        <w:rPr>
          <w:sz w:val="18"/>
          <w:szCs w:val="18"/>
          <w:u w:val="single"/>
        </w:rPr>
      </w:pPr>
      <w:bookmarkStart w:id="11" w:name="_Toc54617475"/>
      <w:bookmarkStart w:id="12" w:name="_Toc73693942"/>
      <w:bookmarkStart w:id="13" w:name="_Toc73693950"/>
    </w:p>
    <w:p w14:paraId="5CBEF13C" w14:textId="77777777" w:rsidR="005A1408" w:rsidRPr="007749F5" w:rsidRDefault="005A1408" w:rsidP="005A1408">
      <w:pPr>
        <w:ind w:left="567"/>
        <w:rPr>
          <w:sz w:val="18"/>
          <w:szCs w:val="18"/>
          <w:u w:val="single"/>
        </w:rPr>
      </w:pPr>
      <w:r w:rsidRPr="007749F5">
        <w:rPr>
          <w:sz w:val="18"/>
          <w:szCs w:val="18"/>
          <w:u w:val="single"/>
        </w:rPr>
        <w:t>„Vors</w:t>
      </w:r>
      <w:bookmarkEnd w:id="11"/>
      <w:bookmarkEnd w:id="12"/>
      <w:bookmarkEnd w:id="13"/>
      <w:r w:rsidRPr="007749F5">
        <w:rPr>
          <w:sz w:val="18"/>
          <w:szCs w:val="18"/>
          <w:u w:val="single"/>
        </w:rPr>
        <w:t xml:space="preserve">chläge für nächste Schritte </w:t>
      </w:r>
    </w:p>
    <w:p w14:paraId="24396982" w14:textId="77777777" w:rsidR="005A1408" w:rsidRPr="007749F5" w:rsidRDefault="005A1408" w:rsidP="005A1408">
      <w:pPr>
        <w:ind w:left="567" w:right="567"/>
        <w:rPr>
          <w:sz w:val="18"/>
          <w:szCs w:val="18"/>
        </w:rPr>
      </w:pPr>
    </w:p>
    <w:p w14:paraId="49916A7B" w14:textId="77777777" w:rsidR="005A1408" w:rsidRPr="007749F5" w:rsidRDefault="005A1408" w:rsidP="005A1408">
      <w:pPr>
        <w:keepNext/>
        <w:ind w:left="567" w:right="567"/>
        <w:rPr>
          <w:i/>
          <w:sz w:val="18"/>
          <w:szCs w:val="18"/>
        </w:rPr>
      </w:pPr>
      <w:r w:rsidRPr="007749F5">
        <w:rPr>
          <w:i/>
          <w:sz w:val="18"/>
          <w:szCs w:val="18"/>
        </w:rPr>
        <w:t>„Japan</w:t>
      </w:r>
    </w:p>
    <w:p w14:paraId="6AAECABF" w14:textId="77777777" w:rsidR="005A1408" w:rsidRPr="007749F5" w:rsidRDefault="005A1408" w:rsidP="005A1408">
      <w:pPr>
        <w:keepNext/>
        <w:ind w:left="567" w:right="567"/>
        <w:rPr>
          <w:i/>
          <w:sz w:val="18"/>
          <w:szCs w:val="18"/>
        </w:rPr>
      </w:pPr>
    </w:p>
    <w:p w14:paraId="4EA4E7F7" w14:textId="77777777" w:rsidR="005A1408" w:rsidRPr="007749F5" w:rsidRDefault="005A1408" w:rsidP="005A1408">
      <w:pPr>
        <w:ind w:left="567" w:right="567"/>
        <w:rPr>
          <w:sz w:val="18"/>
          <w:szCs w:val="18"/>
        </w:rPr>
      </w:pPr>
      <w:r w:rsidRPr="007749F5">
        <w:rPr>
          <w:sz w:val="18"/>
          <w:szCs w:val="18"/>
        </w:rPr>
        <w:t>„44.</w:t>
      </w:r>
      <w:r w:rsidRPr="007749F5">
        <w:rPr>
          <w:sz w:val="18"/>
          <w:szCs w:val="18"/>
        </w:rPr>
        <w:tab/>
      </w:r>
      <w:r>
        <w:rPr>
          <w:sz w:val="18"/>
        </w:rPr>
        <w:t>In Beantwortung des Rundschreibens</w:t>
      </w:r>
      <w:r w:rsidRPr="007749F5">
        <w:rPr>
          <w:sz w:val="18"/>
        </w:rPr>
        <w:t xml:space="preserve"> E-20/120 vom 21. August 2020 brachte die Delegation Japans ihre Unterstützung der Entscheidungen in Dokument CAJ/77/5 zum Ausdruck und erklärte, dass sie ‚die Organisation eines Seminars über Erntegut durch die UPOV im Jahr 2021 befürworten würde, um Informationen zu diesem Thema auszutauschen‘</w:t>
      </w:r>
      <w:r w:rsidRPr="007749F5">
        <w:rPr>
          <w:sz w:val="18"/>
          <w:szCs w:val="18"/>
        </w:rPr>
        <w:t>.</w:t>
      </w:r>
    </w:p>
    <w:p w14:paraId="2763BBC2" w14:textId="77777777" w:rsidR="005A1408" w:rsidRPr="007749F5" w:rsidRDefault="005A1408" w:rsidP="005A1408">
      <w:pPr>
        <w:ind w:left="567" w:right="567"/>
        <w:rPr>
          <w:sz w:val="18"/>
          <w:szCs w:val="18"/>
        </w:rPr>
      </w:pPr>
    </w:p>
    <w:p w14:paraId="3826D0D4" w14:textId="77777777" w:rsidR="005A1408" w:rsidRPr="007749F5" w:rsidRDefault="005A1408" w:rsidP="005A1408">
      <w:pPr>
        <w:keepNext/>
        <w:ind w:left="567" w:right="567"/>
        <w:rPr>
          <w:i/>
          <w:sz w:val="18"/>
          <w:szCs w:val="18"/>
        </w:rPr>
      </w:pPr>
      <w:r w:rsidRPr="007749F5">
        <w:rPr>
          <w:i/>
          <w:sz w:val="18"/>
          <w:szCs w:val="18"/>
        </w:rPr>
        <w:t>Euroseeds</w:t>
      </w:r>
    </w:p>
    <w:p w14:paraId="44261634" w14:textId="77777777" w:rsidR="005A1408" w:rsidRPr="007749F5" w:rsidRDefault="005A1408" w:rsidP="005A1408">
      <w:pPr>
        <w:keepNext/>
        <w:ind w:left="567" w:right="567"/>
        <w:rPr>
          <w:sz w:val="18"/>
          <w:szCs w:val="18"/>
        </w:rPr>
      </w:pPr>
    </w:p>
    <w:p w14:paraId="042EA3C8" w14:textId="77777777" w:rsidR="005A1408" w:rsidRPr="007749F5" w:rsidRDefault="005A1408" w:rsidP="005A1408">
      <w:pPr>
        <w:keepNext/>
        <w:ind w:left="567" w:right="567"/>
        <w:rPr>
          <w:sz w:val="18"/>
          <w:szCs w:val="18"/>
        </w:rPr>
      </w:pPr>
      <w:r>
        <w:rPr>
          <w:sz w:val="18"/>
          <w:szCs w:val="18"/>
        </w:rPr>
        <w:t>„</w:t>
      </w:r>
      <w:r w:rsidRPr="007749F5">
        <w:rPr>
          <w:sz w:val="18"/>
          <w:szCs w:val="18"/>
        </w:rPr>
        <w:t>45.</w:t>
      </w:r>
      <w:r w:rsidRPr="007749F5">
        <w:rPr>
          <w:sz w:val="18"/>
          <w:szCs w:val="18"/>
        </w:rPr>
        <w:tab/>
      </w:r>
      <w:r>
        <w:rPr>
          <w:sz w:val="18"/>
        </w:rPr>
        <w:t>In Beantwortung des Rundschreibens</w:t>
      </w:r>
      <w:r w:rsidRPr="007749F5">
        <w:rPr>
          <w:sz w:val="18"/>
        </w:rPr>
        <w:t xml:space="preserve"> E-20/120 vom 21. August 2020 gingen folgende Bemerkungen von </w:t>
      </w:r>
      <w:r w:rsidRPr="007749F5">
        <w:rPr>
          <w:i/>
          <w:sz w:val="18"/>
        </w:rPr>
        <w:t>Euroseeds</w:t>
      </w:r>
      <w:r w:rsidRPr="007749F5">
        <w:rPr>
          <w:sz w:val="18"/>
        </w:rPr>
        <w:t xml:space="preserve"> zu Dokument CAJ/77/5 ein</w:t>
      </w:r>
      <w:r w:rsidRPr="007749F5">
        <w:rPr>
          <w:sz w:val="18"/>
          <w:szCs w:val="18"/>
        </w:rPr>
        <w:t>:</w:t>
      </w:r>
    </w:p>
    <w:p w14:paraId="0C4DEFCC" w14:textId="77777777" w:rsidR="005A1408" w:rsidRPr="007749F5" w:rsidRDefault="005A1408" w:rsidP="005A1408">
      <w:pPr>
        <w:keepNext/>
        <w:ind w:left="720" w:right="567"/>
        <w:rPr>
          <w:sz w:val="18"/>
          <w:szCs w:val="18"/>
        </w:rPr>
      </w:pPr>
    </w:p>
    <w:p w14:paraId="24F52B2B" w14:textId="7E047920" w:rsidR="005A1408" w:rsidRPr="007749F5" w:rsidRDefault="005A1408" w:rsidP="005A1408">
      <w:pPr>
        <w:keepLines/>
        <w:ind w:left="1134" w:right="1134"/>
        <w:rPr>
          <w:sz w:val="18"/>
          <w:szCs w:val="18"/>
        </w:rPr>
      </w:pPr>
      <w:r w:rsidRPr="007749F5">
        <w:rPr>
          <w:sz w:val="18"/>
        </w:rPr>
        <w:t xml:space="preserve">‚Wir haben zur Kenntnis genommen, dass in dieser Angelegenheit vorgeschlagen wird, dem CAJ auf seiner nächsten Tagung einen Vorschlag zur Prüfung vorzulegen, mit der Absicht, in der Zwischenzeit zu untersuchen, wie die beste Anleitung zum Begriff der ‚ungenehmigten Benutzung von Vermehrungsmaterial‘ gegeben werden könnte. </w:t>
      </w:r>
      <w:r w:rsidRPr="007749F5">
        <w:rPr>
          <w:i/>
          <w:sz w:val="18"/>
        </w:rPr>
        <w:t>Euroseeds</w:t>
      </w:r>
      <w:r w:rsidRPr="007749F5">
        <w:rPr>
          <w:sz w:val="18"/>
        </w:rPr>
        <w:t xml:space="preserve"> ist mit dem vorgeschlagenen Verfahren einverstanden. Wir möchten diese Gelegenheit jedoch nutzen, um einige Schlüsselelemente in Bezug auf den Begriff der ‚ungenehmigten Benutzung‘ zum Ausdruck zu bringen. </w:t>
      </w:r>
      <w:r w:rsidRPr="007749F5">
        <w:rPr>
          <w:i/>
          <w:sz w:val="18"/>
        </w:rPr>
        <w:t>Euroseeds</w:t>
      </w:r>
      <w:r w:rsidRPr="007749F5">
        <w:rPr>
          <w:sz w:val="18"/>
        </w:rPr>
        <w:t xml:space="preserve"> ist der Ansicht, dass sich ‚ungenehmigte Benutzung‘ nicht nur auf die Benutzung ohne Zustimmung des Inhabers v</w:t>
      </w:r>
      <w:r w:rsidR="00A359FC">
        <w:rPr>
          <w:sz w:val="18"/>
        </w:rPr>
        <w:t>on Züchterrechten bezieht (d.h. </w:t>
      </w:r>
      <w:r w:rsidRPr="007749F5">
        <w:rPr>
          <w:sz w:val="18"/>
        </w:rPr>
        <w:t>Zustimmung zu den in Artikel 14 Absatz 1 Buchstabe a des UPOV</w:t>
      </w:r>
      <w:r w:rsidRPr="007749F5">
        <w:rPr>
          <w:sz w:val="18"/>
        </w:rPr>
        <w:noBreakHyphen/>
        <w:t>Übereinkommens von 1991 aufgeführten Handlungen), sondern auch auf jegliche andere ungenehmigte Benutzung, wie z.B. Vertragsbruch. In diesem Sinne plädiert Euroseeds für eine breite Auslegung des Begriffs der ‚ungenehmigten Benutzung‘ und möchte auch betonen, dass die Entscheidung des Gerichtshofs der Europäischen Union in der Rechtssache C</w:t>
      </w:r>
      <w:r w:rsidRPr="007749F5">
        <w:rPr>
          <w:sz w:val="18"/>
        </w:rPr>
        <w:noBreakHyphen/>
        <w:t>176/18, die eine begrenzte Auslegung nahelegt, bedeutende negative Folgen für Züchter hat</w:t>
      </w:r>
      <w:r w:rsidRPr="007749F5">
        <w:rPr>
          <w:sz w:val="18"/>
          <w:szCs w:val="18"/>
        </w:rPr>
        <w:t>.</w:t>
      </w:r>
    </w:p>
    <w:p w14:paraId="6C85E417" w14:textId="77777777" w:rsidR="005A1408" w:rsidRPr="007749F5" w:rsidRDefault="005A1408" w:rsidP="005A1408">
      <w:pPr>
        <w:ind w:left="1134" w:right="1134"/>
        <w:rPr>
          <w:sz w:val="18"/>
          <w:szCs w:val="18"/>
        </w:rPr>
      </w:pPr>
    </w:p>
    <w:p w14:paraId="678C2D88" w14:textId="77777777" w:rsidR="005A1408" w:rsidRPr="007749F5" w:rsidRDefault="005A1408" w:rsidP="005A1408">
      <w:pPr>
        <w:ind w:left="1134" w:right="1134"/>
        <w:rPr>
          <w:sz w:val="18"/>
          <w:szCs w:val="18"/>
        </w:rPr>
      </w:pPr>
      <w:r w:rsidRPr="007749F5">
        <w:rPr>
          <w:sz w:val="18"/>
        </w:rPr>
        <w:t xml:space="preserve">‚In Anbetracht dessen würde sich </w:t>
      </w:r>
      <w:r w:rsidRPr="007749F5">
        <w:rPr>
          <w:i/>
          <w:sz w:val="18"/>
        </w:rPr>
        <w:t>Euroseeds</w:t>
      </w:r>
      <w:r w:rsidRPr="007749F5">
        <w:rPr>
          <w:sz w:val="18"/>
        </w:rPr>
        <w:t xml:space="preserve"> eine gute und aussagekräftige Erläuterung bezüglich Erntegut wünschen, die die Bedürfnisse der Züchter nach einem starken Schutz und praktikablen Durchsetzungsmöglichkeiten auch für Erntegut anerkennt. In dieser Hinsicht verweisen wir für weitere Informationen auf </w:t>
      </w:r>
      <w:r w:rsidRPr="007749F5">
        <w:rPr>
          <w:sz w:val="18"/>
          <w:szCs w:val="18"/>
        </w:rPr>
        <w:t xml:space="preserve">den </w:t>
      </w:r>
      <w:hyperlink r:id="rId8" w:history="1">
        <w:r w:rsidRPr="007749F5">
          <w:rPr>
            <w:rStyle w:val="Hyperlink"/>
            <w:sz w:val="18"/>
            <w:szCs w:val="18"/>
          </w:rPr>
          <w:t>Standpunkt von Euroseeds zum Erntegut</w:t>
        </w:r>
      </w:hyperlink>
      <w:r w:rsidRPr="007749F5">
        <w:rPr>
          <w:sz w:val="18"/>
          <w:szCs w:val="18"/>
        </w:rPr>
        <w:t>.“</w:t>
      </w:r>
    </w:p>
    <w:p w14:paraId="07BB98E5" w14:textId="77777777" w:rsidR="005A1408" w:rsidRPr="007749F5" w:rsidRDefault="005A1408" w:rsidP="005A1408">
      <w:pPr>
        <w:ind w:left="720" w:right="567"/>
        <w:rPr>
          <w:sz w:val="18"/>
          <w:szCs w:val="18"/>
        </w:rPr>
      </w:pPr>
    </w:p>
    <w:p w14:paraId="42E53E8A" w14:textId="721253B2" w:rsidR="005A1408" w:rsidRPr="007749F5" w:rsidRDefault="005A1408" w:rsidP="005A1408">
      <w:pPr>
        <w:keepNext/>
        <w:ind w:left="567" w:right="567"/>
        <w:rPr>
          <w:i/>
          <w:sz w:val="18"/>
          <w:szCs w:val="18"/>
        </w:rPr>
      </w:pPr>
      <w:r w:rsidRPr="007749F5">
        <w:rPr>
          <w:i/>
          <w:sz w:val="18"/>
          <w:szCs w:val="18"/>
        </w:rPr>
        <w:t>„</w:t>
      </w:r>
      <w:r w:rsidRPr="007749F5">
        <w:rPr>
          <w:i/>
          <w:sz w:val="18"/>
        </w:rPr>
        <w:t xml:space="preserve">Die </w:t>
      </w:r>
      <w:r w:rsidR="00A359FC" w:rsidRPr="00A359FC">
        <w:rPr>
          <w:i/>
          <w:sz w:val="18"/>
        </w:rPr>
        <w:t xml:space="preserve">Internationale Gemeinschaft der Züchter vegetativ vermehrbarer gartenbaulicher Pflanzen </w:t>
      </w:r>
      <w:r w:rsidRPr="007749F5">
        <w:rPr>
          <w:i/>
          <w:sz w:val="18"/>
        </w:rPr>
        <w:t>(CIOPORA) und de</w:t>
      </w:r>
      <w:r>
        <w:rPr>
          <w:i/>
          <w:sz w:val="18"/>
        </w:rPr>
        <w:t>r</w:t>
      </w:r>
      <w:r w:rsidRPr="007749F5">
        <w:rPr>
          <w:i/>
          <w:sz w:val="18"/>
        </w:rPr>
        <w:t xml:space="preserve"> </w:t>
      </w:r>
      <w:r>
        <w:rPr>
          <w:i/>
          <w:sz w:val="18"/>
        </w:rPr>
        <w:t>Internationale Saatgutverband</w:t>
      </w:r>
      <w:r w:rsidRPr="007749F5">
        <w:rPr>
          <w:i/>
          <w:sz w:val="18"/>
        </w:rPr>
        <w:t xml:space="preserve"> (ISF</w:t>
      </w:r>
      <w:r w:rsidRPr="007749F5">
        <w:rPr>
          <w:i/>
          <w:sz w:val="18"/>
          <w:szCs w:val="18"/>
        </w:rPr>
        <w:t>)</w:t>
      </w:r>
    </w:p>
    <w:p w14:paraId="6F9D1A8F" w14:textId="77777777" w:rsidR="005A1408" w:rsidRPr="007749F5" w:rsidRDefault="005A1408" w:rsidP="005A1408">
      <w:pPr>
        <w:keepNext/>
        <w:ind w:left="567" w:right="567"/>
        <w:rPr>
          <w:sz w:val="18"/>
          <w:szCs w:val="18"/>
        </w:rPr>
      </w:pPr>
    </w:p>
    <w:p w14:paraId="7910C566" w14:textId="4709BA41" w:rsidR="005A1408" w:rsidRPr="007749F5" w:rsidRDefault="005A1408" w:rsidP="005A1408">
      <w:pPr>
        <w:keepNext/>
        <w:ind w:left="567" w:right="567"/>
        <w:rPr>
          <w:sz w:val="18"/>
          <w:szCs w:val="18"/>
        </w:rPr>
      </w:pPr>
      <w:r w:rsidRPr="007749F5">
        <w:rPr>
          <w:sz w:val="18"/>
          <w:szCs w:val="18"/>
        </w:rPr>
        <w:t>„46.</w:t>
      </w:r>
      <w:r w:rsidRPr="007749F5">
        <w:rPr>
          <w:sz w:val="18"/>
          <w:szCs w:val="18"/>
        </w:rPr>
        <w:tab/>
      </w:r>
      <w:r>
        <w:rPr>
          <w:sz w:val="18"/>
        </w:rPr>
        <w:t>In Beantwortung des Rundschreibens</w:t>
      </w:r>
      <w:r w:rsidRPr="007749F5">
        <w:rPr>
          <w:sz w:val="18"/>
        </w:rPr>
        <w:t xml:space="preserve"> E-20/120 vom 21. August 2020 gingen folgende gemeinsame Bemerkungen der Internationalen </w:t>
      </w:r>
      <w:r w:rsidR="00A359FC" w:rsidRPr="00A359FC">
        <w:rPr>
          <w:sz w:val="18"/>
        </w:rPr>
        <w:t>Gemeinschaft der Züchter vegetativ vermehrbarer gartenbaulicher Pflanzen</w:t>
      </w:r>
      <w:r w:rsidRPr="007749F5">
        <w:rPr>
          <w:sz w:val="18"/>
        </w:rPr>
        <w:t xml:space="preserve"> (CIOPORA) und des ISF zu Dokument CAJ/77/5 ein</w:t>
      </w:r>
      <w:r w:rsidRPr="007749F5">
        <w:rPr>
          <w:sz w:val="18"/>
          <w:szCs w:val="18"/>
        </w:rPr>
        <w:t>:</w:t>
      </w:r>
    </w:p>
    <w:p w14:paraId="1371D829" w14:textId="77777777" w:rsidR="005A1408" w:rsidRPr="007749F5" w:rsidRDefault="005A1408" w:rsidP="005A1408">
      <w:pPr>
        <w:keepNext/>
        <w:ind w:left="567" w:right="567"/>
        <w:rPr>
          <w:sz w:val="18"/>
          <w:szCs w:val="18"/>
        </w:rPr>
      </w:pPr>
    </w:p>
    <w:p w14:paraId="117E6B59" w14:textId="77777777" w:rsidR="005A1408" w:rsidRPr="007749F5" w:rsidRDefault="005A1408" w:rsidP="005A1408">
      <w:pPr>
        <w:ind w:left="1134" w:right="1134"/>
        <w:rPr>
          <w:sz w:val="18"/>
          <w:szCs w:val="18"/>
        </w:rPr>
      </w:pPr>
      <w:r w:rsidRPr="007749F5">
        <w:rPr>
          <w:sz w:val="18"/>
        </w:rPr>
        <w:t>‚</w:t>
      </w:r>
      <w:r>
        <w:rPr>
          <w:sz w:val="18"/>
        </w:rPr>
        <w:t xml:space="preserve">In Beantwortung des UPOV-Rundschreibens </w:t>
      </w:r>
      <w:r w:rsidRPr="007749F5">
        <w:rPr>
          <w:sz w:val="18"/>
        </w:rPr>
        <w:t>E-20/120 vom 21. August 2020 begrüßen wir den Vorschlag Japans sehr, eine Anleitung zum Begriff ‚ungenehmigte Benutzung von Vermehrungsmaterial‘ auszuarbeiten. Die Erörterung über das Thema kommt genau zum richtigen Zeitpunkt, da die Angelegenheit in der jüngsten Vergangenheit besondere Bedeutung gewonnen hat, da der Europäische Gerichtshof (CJEU) in der Rechtssache C-176/18 (Nadorcott) eine weitreichende Entscheidung erlassen hat, in deren Mittelpunkt die Frage steht, unter welchen Umständen die Voraussetzung der ‚ungenehmigten Benutzung von Vermehrungsmaterial (Sortenbestandteilen)‘ für die Ausübung des Züchterrechts an Erntegut gegeben ist</w:t>
      </w:r>
      <w:r w:rsidRPr="007749F5">
        <w:rPr>
          <w:sz w:val="18"/>
          <w:szCs w:val="18"/>
        </w:rPr>
        <w:t>.</w:t>
      </w:r>
    </w:p>
    <w:p w14:paraId="39E8EFA0" w14:textId="77777777" w:rsidR="005A1408" w:rsidRPr="007749F5" w:rsidRDefault="005A1408" w:rsidP="005A1408">
      <w:pPr>
        <w:ind w:left="1134" w:right="1134"/>
        <w:rPr>
          <w:sz w:val="18"/>
          <w:szCs w:val="18"/>
        </w:rPr>
      </w:pPr>
    </w:p>
    <w:p w14:paraId="383DB31A" w14:textId="77777777" w:rsidR="005A1408" w:rsidRPr="007749F5" w:rsidRDefault="005A1408" w:rsidP="005A1408">
      <w:pPr>
        <w:keepLines/>
        <w:ind w:left="1134" w:right="1134"/>
        <w:rPr>
          <w:sz w:val="18"/>
          <w:szCs w:val="18"/>
        </w:rPr>
      </w:pPr>
      <w:r w:rsidRPr="007749F5">
        <w:rPr>
          <w:sz w:val="18"/>
        </w:rPr>
        <w:lastRenderedPageBreak/>
        <w:t>‚CIOPORA und ISF unterstützen daher den Vorschlag Japans, in das EXN in Bezug auf die ‚ungenehmigte Benutzung‘ von Vermehrungsmaterial die Handlungen des Anpflanzens und Anbauens (Kultivierens) aufzunehmen. Dies würde die Situation lösen, in der Bäume (Vermehrungsmaterial) vor der Erteilung des Züchterrechts produziert wurden und dann auf dem Gelände eines Züchters gepflanzt werden, der über mehrere Jahre hinweg kontinuierlich Früchte produziert</w:t>
      </w:r>
      <w:r w:rsidRPr="007749F5">
        <w:rPr>
          <w:sz w:val="18"/>
          <w:szCs w:val="18"/>
        </w:rPr>
        <w:t>.</w:t>
      </w:r>
    </w:p>
    <w:p w14:paraId="320CCE74" w14:textId="77777777" w:rsidR="005A1408" w:rsidRPr="007749F5" w:rsidRDefault="005A1408" w:rsidP="005A1408">
      <w:pPr>
        <w:ind w:left="1134" w:right="1134"/>
        <w:rPr>
          <w:sz w:val="18"/>
          <w:szCs w:val="18"/>
        </w:rPr>
      </w:pPr>
    </w:p>
    <w:p w14:paraId="30590219" w14:textId="77777777" w:rsidR="005A1408" w:rsidRPr="007749F5" w:rsidRDefault="005A1408" w:rsidP="005A1408">
      <w:pPr>
        <w:ind w:left="1134" w:right="1134"/>
        <w:rPr>
          <w:sz w:val="18"/>
          <w:szCs w:val="18"/>
        </w:rPr>
      </w:pPr>
      <w:r w:rsidRPr="007749F5">
        <w:rPr>
          <w:sz w:val="18"/>
        </w:rPr>
        <w:t>‚Der wirksame Schutz des Ernteguts ist für die Züchter sehr wichtig. Daher könnte es ratsam sein, in der ersten Hälfte des Jahres 2021 ein Seminar über dieses Thema abzuhalten</w:t>
      </w:r>
      <w:r w:rsidRPr="007749F5">
        <w:rPr>
          <w:sz w:val="18"/>
          <w:szCs w:val="18"/>
        </w:rPr>
        <w:t>.“</w:t>
      </w:r>
    </w:p>
    <w:p w14:paraId="61B23745" w14:textId="77777777" w:rsidR="005A1408" w:rsidRPr="007749F5" w:rsidRDefault="005A1408" w:rsidP="005A1408">
      <w:pPr>
        <w:ind w:left="1134" w:right="567"/>
        <w:rPr>
          <w:sz w:val="18"/>
          <w:szCs w:val="18"/>
        </w:rPr>
      </w:pPr>
    </w:p>
    <w:p w14:paraId="38A54284" w14:textId="53804846" w:rsidR="005A1408" w:rsidRPr="007749F5" w:rsidRDefault="005A1408" w:rsidP="005A1408">
      <w:pPr>
        <w:ind w:left="567" w:right="567"/>
        <w:rPr>
          <w:sz w:val="18"/>
          <w:szCs w:val="18"/>
        </w:rPr>
      </w:pPr>
      <w:r w:rsidRPr="007749F5">
        <w:rPr>
          <w:sz w:val="18"/>
          <w:szCs w:val="18"/>
        </w:rPr>
        <w:t>„47.</w:t>
      </w:r>
      <w:r w:rsidRPr="007749F5">
        <w:rPr>
          <w:sz w:val="18"/>
          <w:szCs w:val="18"/>
        </w:rPr>
        <w:tab/>
      </w:r>
      <w:r w:rsidRPr="007749F5">
        <w:rPr>
          <w:sz w:val="18"/>
        </w:rPr>
        <w:t xml:space="preserve">Die gemeinsamen Bemerkungen des ISF, des </w:t>
      </w:r>
      <w:r w:rsidRPr="007749F5">
        <w:rPr>
          <w:i/>
          <w:sz w:val="18"/>
        </w:rPr>
        <w:t>African Seed Trade Association</w:t>
      </w:r>
      <w:r w:rsidRPr="007749F5">
        <w:rPr>
          <w:sz w:val="18"/>
        </w:rPr>
        <w:t xml:space="preserve"> (AFSTA) (Afrikanischen Saatguthandelsverbandes), der </w:t>
      </w:r>
      <w:r w:rsidRPr="007749F5">
        <w:rPr>
          <w:i/>
          <w:sz w:val="18"/>
        </w:rPr>
        <w:t>Asia and Pacific Seed Association</w:t>
      </w:r>
      <w:r w:rsidRPr="007749F5">
        <w:rPr>
          <w:sz w:val="18"/>
        </w:rPr>
        <w:t xml:space="preserve"> (APSA) (Saatgutvereinigung für Asien und den Pazifik) und der </w:t>
      </w:r>
      <w:r w:rsidRPr="007749F5">
        <w:rPr>
          <w:i/>
          <w:sz w:val="18"/>
        </w:rPr>
        <w:t>Seed Association of the Americas</w:t>
      </w:r>
      <w:r w:rsidRPr="007749F5">
        <w:rPr>
          <w:sz w:val="18"/>
        </w:rPr>
        <w:t xml:space="preserve"> (SAA), die </w:t>
      </w:r>
      <w:r>
        <w:rPr>
          <w:sz w:val="18"/>
        </w:rPr>
        <w:t>in Beantwortung des Rundschreibens</w:t>
      </w:r>
      <w:r w:rsidRPr="007749F5">
        <w:rPr>
          <w:sz w:val="18"/>
        </w:rPr>
        <w:t xml:space="preserve"> E-20/120 vom 21. August 2020 eingingen, brachten ihre Unterstützung für den vorstehenden Vorschlag der CIOPORA und des ISF zum Ausdruck, ein Seminar zu diesem Thema zu organisieren, wie nachstehend wiedergegeben</w:t>
      </w:r>
      <w:r w:rsidRPr="007749F5">
        <w:rPr>
          <w:sz w:val="18"/>
          <w:szCs w:val="18"/>
        </w:rPr>
        <w:t xml:space="preserve">:  </w:t>
      </w:r>
    </w:p>
    <w:p w14:paraId="36F59F64" w14:textId="77777777" w:rsidR="005A1408" w:rsidRPr="007749F5" w:rsidRDefault="005A1408" w:rsidP="005A1408">
      <w:pPr>
        <w:ind w:left="1134" w:right="567"/>
        <w:rPr>
          <w:sz w:val="18"/>
          <w:szCs w:val="18"/>
        </w:rPr>
      </w:pPr>
    </w:p>
    <w:p w14:paraId="07F08637" w14:textId="77777777" w:rsidR="005A1408" w:rsidRPr="007749F5" w:rsidRDefault="005A1408" w:rsidP="005A1408">
      <w:pPr>
        <w:ind w:left="1134" w:right="1134"/>
        <w:rPr>
          <w:sz w:val="18"/>
          <w:szCs w:val="18"/>
        </w:rPr>
      </w:pPr>
      <w:r w:rsidRPr="007749F5">
        <w:rPr>
          <w:sz w:val="18"/>
        </w:rPr>
        <w:t>‚Wir begrüßen die Beiträge der Europäischen Union und Japans. Wir stimmen zu, dass dies eine Angelegenheit von großer Bedeutung ist.</w:t>
      </w:r>
    </w:p>
    <w:p w14:paraId="31599903" w14:textId="77777777" w:rsidR="005A1408" w:rsidRPr="00193CA9" w:rsidRDefault="005A1408" w:rsidP="005A1408">
      <w:pPr>
        <w:ind w:left="1134" w:right="1134"/>
        <w:rPr>
          <w:sz w:val="18"/>
          <w:szCs w:val="18"/>
        </w:rPr>
      </w:pPr>
      <w:r w:rsidRPr="007749F5">
        <w:rPr>
          <w:sz w:val="18"/>
        </w:rPr>
        <w:t>‚Der ISF hat ein mit CIOPORA gemeinsam unterzeichnetes Schreiben zu dieser Angelegenheit versandt, und wir danken den Mitgliedern für die Berücksichtigung unseres Gesuchs, ein Seminar/Webinar zu organisieren, um die Definition des Begriffs ‚ungenehmigte Benutzung‘ und die Klarstellung der Erläuterung weiter zu behandeln</w:t>
      </w:r>
      <w:r w:rsidRPr="007749F5">
        <w:rPr>
          <w:sz w:val="18"/>
          <w:szCs w:val="18"/>
        </w:rPr>
        <w:t>.‘“</w:t>
      </w:r>
      <w:r>
        <w:rPr>
          <w:sz w:val="18"/>
          <w:szCs w:val="18"/>
        </w:rPr>
        <w:t xml:space="preserve"> </w:t>
      </w:r>
    </w:p>
    <w:p w14:paraId="554FE84C" w14:textId="77777777" w:rsidR="005A1408" w:rsidRPr="00193CA9" w:rsidRDefault="005A1408" w:rsidP="005A1408">
      <w:pPr>
        <w:ind w:left="1134" w:right="1134"/>
        <w:rPr>
          <w:sz w:val="18"/>
          <w:szCs w:val="18"/>
        </w:rPr>
      </w:pPr>
    </w:p>
    <w:p w14:paraId="758F8E23" w14:textId="77777777" w:rsidR="005A1408" w:rsidRPr="00193CA9" w:rsidRDefault="005A1408" w:rsidP="005A1408">
      <w:pPr>
        <w:keepLines/>
        <w:autoSpaceDE w:val="0"/>
        <w:autoSpaceDN w:val="0"/>
        <w:adjustRightInd w:val="0"/>
        <w:rPr>
          <w:rFonts w:cs="Arial"/>
        </w:rPr>
      </w:pPr>
      <w:r w:rsidRPr="00193CA9">
        <w:rPr>
          <w:rFonts w:cs="Arial"/>
          <w:snapToGrid w:val="0"/>
        </w:rPr>
        <w:fldChar w:fldCharType="begin"/>
      </w:r>
      <w:r w:rsidRPr="00193CA9">
        <w:rPr>
          <w:rFonts w:cs="Arial"/>
          <w:snapToGrid w:val="0"/>
        </w:rPr>
        <w:instrText xml:space="preserve"> AUTONUM  </w:instrText>
      </w:r>
      <w:r w:rsidRPr="00193CA9">
        <w:rPr>
          <w:rFonts w:cs="Arial"/>
          <w:snapToGrid w:val="0"/>
        </w:rPr>
        <w:fldChar w:fldCharType="end"/>
      </w:r>
      <w:r w:rsidRPr="00193CA9">
        <w:rPr>
          <w:rFonts w:cs="Arial"/>
          <w:snapToGrid w:val="0"/>
        </w:rPr>
        <w:tab/>
      </w:r>
      <w:r w:rsidRPr="00193CA9">
        <w:rPr>
          <w:rFonts w:cs="Arial"/>
        </w:rPr>
        <w:t>Auf</w:t>
      </w:r>
      <w:r>
        <w:rPr>
          <w:rFonts w:cs="Arial"/>
        </w:rPr>
        <w:t xml:space="preserve"> Grundlage</w:t>
      </w:r>
      <w:r w:rsidRPr="00193CA9">
        <w:rPr>
          <w:rFonts w:cs="Arial"/>
        </w:rPr>
        <w:t xml:space="preserve"> der Empfehlung des CAJ entschied der Rat auf seiner vierundfünfzigsten ordentlichen Tagung</w:t>
      </w:r>
      <w:r w:rsidRPr="008E579F">
        <w:rPr>
          <w:rStyle w:val="FootnoteReference"/>
          <w:rFonts w:cs="Arial"/>
        </w:rPr>
        <w:footnoteReference w:id="2"/>
      </w:r>
      <w:r w:rsidRPr="00193CA9">
        <w:rPr>
          <w:rFonts w:cs="Arial"/>
        </w:rPr>
        <w:t xml:space="preserve">, in der ersten Hälfte des Jahres 2021 ein Seminar zu </w:t>
      </w:r>
      <w:r>
        <w:rPr>
          <w:rFonts w:cs="Arial"/>
        </w:rPr>
        <w:t>organisieren</w:t>
      </w:r>
      <w:r w:rsidRPr="00193CA9">
        <w:rPr>
          <w:rFonts w:cs="Arial"/>
        </w:rPr>
        <w:t>, um Informationen über Angelegenheiten betreffend Erntegut und ungenehmigte Benutzung von Vermehrungsmaterial auszutauschen (vergleiche Dokument C/54/21 „Bericht“, Absatz 54).</w:t>
      </w:r>
      <w:r>
        <w:rPr>
          <w:rFonts w:cs="Arial"/>
        </w:rPr>
        <w:t xml:space="preserve"> </w:t>
      </w:r>
    </w:p>
    <w:p w14:paraId="1F4CCF73" w14:textId="77777777" w:rsidR="005A1408" w:rsidRPr="003F2BBC" w:rsidRDefault="005A1408" w:rsidP="003D1CF1">
      <w:pPr>
        <w:pStyle w:val="Heading1"/>
        <w:rPr>
          <w:lang w:val="de-DE"/>
        </w:rPr>
      </w:pPr>
    </w:p>
    <w:p w14:paraId="60BF36A2" w14:textId="77777777" w:rsidR="005A1408" w:rsidRPr="00193CA9" w:rsidRDefault="005A1408" w:rsidP="005A1408"/>
    <w:p w14:paraId="229FC61C" w14:textId="1D672B3B" w:rsidR="005A1408" w:rsidRPr="00820BE3" w:rsidRDefault="005A1408" w:rsidP="005A1408">
      <w:pPr>
        <w:pStyle w:val="Heading2"/>
        <w:rPr>
          <w:lang w:val="de-DE"/>
        </w:rPr>
      </w:pPr>
      <w:bookmarkStart w:id="14" w:name="_Toc73693943"/>
      <w:bookmarkStart w:id="15" w:name="_Toc73693951"/>
      <w:bookmarkStart w:id="16" w:name="_Toc74669294"/>
      <w:r>
        <w:rPr>
          <w:lang w:val="de-DE"/>
        </w:rPr>
        <w:t xml:space="preserve">Vorschläge für </w:t>
      </w:r>
      <w:r w:rsidRPr="00193CA9">
        <w:rPr>
          <w:lang w:val="de-DE"/>
        </w:rPr>
        <w:t xml:space="preserve">Angelegenheiten, die auf dem </w:t>
      </w:r>
      <w:r w:rsidR="00A359FC" w:rsidRPr="00A359FC">
        <w:rPr>
          <w:lang w:val="de-DE"/>
        </w:rPr>
        <w:t>Seminar zum Züchterrecht in Bezug auf Erntegut</w:t>
      </w:r>
      <w:r w:rsidR="00A359FC">
        <w:rPr>
          <w:lang w:val="de-DE"/>
        </w:rPr>
        <w:t xml:space="preserve"> </w:t>
      </w:r>
      <w:r w:rsidRPr="00193CA9">
        <w:rPr>
          <w:lang w:val="de-DE"/>
        </w:rPr>
        <w:t xml:space="preserve">behandelt werden </w:t>
      </w:r>
      <w:r w:rsidRPr="00480D1D">
        <w:rPr>
          <w:lang w:val="de-DE"/>
        </w:rPr>
        <w:t>solle</w:t>
      </w:r>
      <w:r w:rsidRPr="00820BE3">
        <w:rPr>
          <w:lang w:val="de-DE"/>
        </w:rPr>
        <w:t>n</w:t>
      </w:r>
      <w:bookmarkEnd w:id="14"/>
      <w:bookmarkEnd w:id="15"/>
      <w:bookmarkEnd w:id="16"/>
    </w:p>
    <w:p w14:paraId="667FF12B" w14:textId="77777777" w:rsidR="005A1408" w:rsidRPr="00193CA9" w:rsidRDefault="005A1408" w:rsidP="005A1408">
      <w:pPr>
        <w:keepNext/>
        <w:rPr>
          <w:rFonts w:cs="Arial"/>
        </w:rPr>
      </w:pPr>
    </w:p>
    <w:p w14:paraId="5553E605" w14:textId="58A427B6" w:rsidR="005A1408" w:rsidRPr="00A359FC" w:rsidRDefault="005A1408" w:rsidP="005A1408">
      <w:pPr>
        <w:keepNext/>
        <w:keepLines/>
        <w:rPr>
          <w:rFonts w:cs="Arial"/>
          <w:spacing w:val="-2"/>
        </w:rPr>
      </w:pPr>
      <w:r w:rsidRPr="00A359FC">
        <w:rPr>
          <w:spacing w:val="-2"/>
        </w:rPr>
        <w:fldChar w:fldCharType="begin"/>
      </w:r>
      <w:r w:rsidRPr="00A359FC">
        <w:rPr>
          <w:spacing w:val="-2"/>
        </w:rPr>
        <w:instrText xml:space="preserve"> AUTONUM  </w:instrText>
      </w:r>
      <w:r w:rsidRPr="00A359FC">
        <w:rPr>
          <w:spacing w:val="-2"/>
        </w:rPr>
        <w:fldChar w:fldCharType="end"/>
      </w:r>
      <w:r w:rsidRPr="00A359FC">
        <w:rPr>
          <w:spacing w:val="-2"/>
        </w:rPr>
        <w:tab/>
        <w:t xml:space="preserve">Gemäß dem vereinbarten Verfahren zur Untersuchung, wie Anleitung zum Begriff „ungenehmigte Benutzung von Vermehrungsmaterial“, auch im Zusammenhang mit Bäumen, </w:t>
      </w:r>
      <w:r w:rsidR="00A359FC" w:rsidRPr="00A359FC">
        <w:rPr>
          <w:spacing w:val="-2"/>
        </w:rPr>
        <w:t>in Artikel 14 Absatz 2 der Akte </w:t>
      </w:r>
      <w:r w:rsidRPr="00A359FC">
        <w:rPr>
          <w:spacing w:val="-2"/>
        </w:rPr>
        <w:t>von 1991 des UPOV-Übereinkommens gegeben werden kann, um auf dieser Grundlage einen Vorschlag zur Prüfung durch den CAJ auf dessen achtundsiebzigster Tagung vorlegen zu können, wurde in der ersten Hälfte des Jahres 2021 ein Seminar organisiert, um Informationen über Angelegenheiten betreffend Erntegut und ungenehmigte Benutzung von Vermehrungsmaterial auszutauschen (vergleiche „Hintergrund“, vorstehend).</w:t>
      </w:r>
    </w:p>
    <w:p w14:paraId="0EAC4122" w14:textId="77777777" w:rsidR="005A1408" w:rsidRPr="00193CA9" w:rsidRDefault="005A1408" w:rsidP="005A1408">
      <w:pPr>
        <w:keepNext/>
        <w:rPr>
          <w:rFonts w:cs="Arial"/>
        </w:rPr>
      </w:pPr>
    </w:p>
    <w:p w14:paraId="014B7DBD" w14:textId="77777777" w:rsidR="005A1408" w:rsidRPr="00193CA9" w:rsidRDefault="005A1408" w:rsidP="005A1408">
      <w:pPr>
        <w:keepLines/>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 xml:space="preserve">Am 22. Dezember 2020 </w:t>
      </w:r>
      <w:r>
        <w:rPr>
          <w:rFonts w:cs="Arial"/>
        </w:rPr>
        <w:t>richtete</w:t>
      </w:r>
      <w:r w:rsidRPr="00193CA9">
        <w:rPr>
          <w:rFonts w:cs="Arial"/>
        </w:rPr>
        <w:t xml:space="preserve"> das Verbandsbüro an die benannten Personen der Mitglieder und Beobachter </w:t>
      </w:r>
      <w:r>
        <w:rPr>
          <w:rFonts w:cs="Arial"/>
        </w:rPr>
        <w:t>des</w:t>
      </w:r>
      <w:r w:rsidRPr="00193CA9">
        <w:rPr>
          <w:rFonts w:cs="Arial"/>
        </w:rPr>
        <w:t xml:space="preserve"> CAJ</w:t>
      </w:r>
      <w:r>
        <w:rPr>
          <w:rFonts w:cs="Arial"/>
        </w:rPr>
        <w:t xml:space="preserve"> </w:t>
      </w:r>
      <w:r w:rsidRPr="00193CA9">
        <w:rPr>
          <w:rFonts w:cs="Arial"/>
        </w:rPr>
        <w:t>das UPOV-Rundschreiben E-20/245 mit der Aufforderung, Vorschläge für Informationen über Angelegenheiten betreffend Erntegut und ungenehmigte Benutzung von Vermehrungsmaterial einzureichen, die auf dem Seminar vorgelegt werden könnten</w:t>
      </w:r>
      <w:r w:rsidRPr="00193CA9">
        <w:t>.</w:t>
      </w:r>
      <w:r w:rsidRPr="00193CA9">
        <w:rPr>
          <w:rFonts w:cs="Arial"/>
        </w:rPr>
        <w:t xml:space="preserve"> </w:t>
      </w:r>
    </w:p>
    <w:p w14:paraId="48235A9B" w14:textId="77777777" w:rsidR="005A1408" w:rsidRPr="00193CA9" w:rsidRDefault="005A1408" w:rsidP="005A1408">
      <w:pPr>
        <w:rPr>
          <w:rFonts w:cs="Arial"/>
        </w:rPr>
      </w:pPr>
    </w:p>
    <w:p w14:paraId="0F57C6D4" w14:textId="552F3FC4" w:rsidR="005A1408" w:rsidRPr="00193CA9" w:rsidRDefault="005A1408" w:rsidP="005A1408">
      <w:pPr>
        <w:keepLines/>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r>
      <w:r>
        <w:rPr>
          <w:rFonts w:cs="Arial"/>
        </w:rPr>
        <w:t>In Beantwortung des UPOV-Rundschreibens</w:t>
      </w:r>
      <w:r w:rsidRPr="00193CA9">
        <w:rPr>
          <w:rFonts w:cs="Arial"/>
        </w:rPr>
        <w:t xml:space="preserve"> E-20/245 legten folgende Mitglieder und Beobachter Informationen und/oder Fragen vor, die ihrer Ansicht nach auf dem </w:t>
      </w:r>
      <w:r>
        <w:rPr>
          <w:rFonts w:cs="Arial"/>
        </w:rPr>
        <w:t>„Seminar zum Züchterrecht in Bezug auf Erntegut“</w:t>
      </w:r>
      <w:r w:rsidRPr="00193CA9">
        <w:rPr>
          <w:rFonts w:cs="Arial"/>
        </w:rPr>
        <w:t xml:space="preserve"> behandelt werden sollten, und schlugen Referenten vor, die diese Fragen behandeln </w:t>
      </w:r>
      <w:r w:rsidRPr="00480D1D">
        <w:rPr>
          <w:rFonts w:cs="Arial"/>
        </w:rPr>
        <w:t>sollten</w:t>
      </w:r>
      <w:r w:rsidRPr="00193CA9">
        <w:rPr>
          <w:rFonts w:cs="Arial"/>
        </w:rPr>
        <w:t>:</w:t>
      </w:r>
      <w:r>
        <w:rPr>
          <w:rFonts w:cs="Arial"/>
        </w:rPr>
        <w:t xml:space="preserve"> </w:t>
      </w:r>
      <w:r w:rsidRPr="00193CA9">
        <w:rPr>
          <w:rFonts w:cs="Arial"/>
        </w:rPr>
        <w:t>China, die Europäische Union, die Niederlande, der Internationale Verband de</w:t>
      </w:r>
      <w:r>
        <w:rPr>
          <w:rFonts w:cs="Arial"/>
        </w:rPr>
        <w:t>s</w:t>
      </w:r>
      <w:r w:rsidRPr="00193CA9">
        <w:rPr>
          <w:rFonts w:cs="Arial"/>
        </w:rPr>
        <w:t xml:space="preserve"> </w:t>
      </w:r>
      <w:r>
        <w:rPr>
          <w:rFonts w:cs="Arial"/>
        </w:rPr>
        <w:t>Erwerbsgartenbaus</w:t>
      </w:r>
      <w:r w:rsidRPr="00193CA9">
        <w:rPr>
          <w:rFonts w:cs="Arial"/>
        </w:rPr>
        <w:t xml:space="preserve"> (AIPH) und eine gemeinsame </w:t>
      </w:r>
      <w:r>
        <w:rPr>
          <w:rFonts w:cs="Arial"/>
        </w:rPr>
        <w:t>Einreichung</w:t>
      </w:r>
      <w:r w:rsidRPr="00193CA9">
        <w:rPr>
          <w:rFonts w:cs="Arial"/>
        </w:rPr>
        <w:t xml:space="preserve"> </w:t>
      </w:r>
      <w:r w:rsidRPr="00924546">
        <w:rPr>
          <w:rFonts w:cs="Arial"/>
        </w:rPr>
        <w:t>des Internationalen Saatgutverbandes</w:t>
      </w:r>
      <w:r w:rsidRPr="00193CA9">
        <w:rPr>
          <w:rFonts w:cs="Arial"/>
        </w:rPr>
        <w:t xml:space="preserve"> (ISF), der Internationalen </w:t>
      </w:r>
      <w:r w:rsidR="003D1CF1" w:rsidRPr="003D1CF1">
        <w:rPr>
          <w:rFonts w:cs="Arial"/>
        </w:rPr>
        <w:t xml:space="preserve">Gemeinschaft der Züchter vegetativ vermehrbarer gartenbaulicher Pflanzen </w:t>
      </w:r>
      <w:r w:rsidRPr="00193CA9">
        <w:rPr>
          <w:rFonts w:cs="Arial"/>
        </w:rPr>
        <w:t xml:space="preserve">(CIOPORA), </w:t>
      </w:r>
      <w:r w:rsidRPr="00A359FC">
        <w:rPr>
          <w:rFonts w:cs="Arial"/>
          <w:i/>
        </w:rPr>
        <w:t>Crop Life International</w:t>
      </w:r>
      <w:r w:rsidRPr="00193CA9">
        <w:rPr>
          <w:rFonts w:cs="Arial"/>
        </w:rPr>
        <w:t>, Euroseeds, de</w:t>
      </w:r>
      <w:r>
        <w:rPr>
          <w:rFonts w:cs="Arial"/>
        </w:rPr>
        <w:t>r</w:t>
      </w:r>
      <w:r w:rsidRPr="00193CA9">
        <w:rPr>
          <w:rFonts w:cs="Arial"/>
        </w:rPr>
        <w:t xml:space="preserve"> Saatgutver</w:t>
      </w:r>
      <w:r>
        <w:rPr>
          <w:rFonts w:cs="Arial"/>
        </w:rPr>
        <w:t>einigung</w:t>
      </w:r>
      <w:r w:rsidRPr="00193CA9">
        <w:rPr>
          <w:rFonts w:cs="Arial"/>
        </w:rPr>
        <w:t xml:space="preserve"> für Asien und den Pazifik (APSA), des Afrikanischen Saatguthandelsverbandes (AFSTA) und de</w:t>
      </w:r>
      <w:r>
        <w:rPr>
          <w:rFonts w:cs="Arial"/>
        </w:rPr>
        <w:t>r</w:t>
      </w:r>
      <w:r w:rsidRPr="00193CA9">
        <w:rPr>
          <w:rFonts w:cs="Arial"/>
        </w:rPr>
        <w:t xml:space="preserve"> </w:t>
      </w:r>
      <w:r w:rsidRPr="003D1CF1">
        <w:rPr>
          <w:rFonts w:cs="Arial"/>
          <w:i/>
        </w:rPr>
        <w:t>Seed Association of the Americas</w:t>
      </w:r>
      <w:r w:rsidRPr="00193CA9">
        <w:rPr>
          <w:rFonts w:cs="Arial"/>
        </w:rPr>
        <w:t xml:space="preserve"> (SAA)</w:t>
      </w:r>
      <w:r>
        <w:rPr>
          <w:rFonts w:cs="Arial"/>
        </w:rPr>
        <w:t>.</w:t>
      </w:r>
    </w:p>
    <w:p w14:paraId="35735BC7" w14:textId="77777777" w:rsidR="005A1408" w:rsidRPr="00193CA9" w:rsidRDefault="005A1408" w:rsidP="005A1408"/>
    <w:p w14:paraId="2594B3F1" w14:textId="77777777" w:rsidR="005A1408" w:rsidRDefault="005A1408" w:rsidP="005A1408">
      <w:r w:rsidRPr="00193CA9">
        <w:fldChar w:fldCharType="begin"/>
      </w:r>
      <w:r w:rsidRPr="00193CA9">
        <w:instrText xml:space="preserve"> AUTONUM  </w:instrText>
      </w:r>
      <w:r w:rsidRPr="00193CA9">
        <w:fldChar w:fldCharType="end"/>
      </w:r>
      <w:r w:rsidRPr="00193CA9">
        <w:tab/>
        <w:t xml:space="preserve">Die von Mitgliedern und Beobachtern </w:t>
      </w:r>
      <w:r>
        <w:t xml:space="preserve">in Beantwortung des UPOV-Rundschreibens </w:t>
      </w:r>
      <w:r w:rsidRPr="00193CA9">
        <w:t xml:space="preserve">E-20/245 eingegangenen Informationen, einschließlich der vorgeschlagenen Referenten, </w:t>
      </w:r>
      <w:r>
        <w:t>bildeten</w:t>
      </w:r>
      <w:r w:rsidRPr="00193CA9">
        <w:t xml:space="preserve"> die Grundlage für die Ausarbeitung des Programms des Seminars in Absprache mit Herrn Patrick Ngwediagi, Vorsitzender des CAJ.</w:t>
      </w:r>
    </w:p>
    <w:p w14:paraId="54C7E570" w14:textId="77777777" w:rsidR="005A1408" w:rsidRPr="003F2BBC" w:rsidRDefault="005A1408" w:rsidP="00402321">
      <w:pPr>
        <w:pStyle w:val="Heading1"/>
        <w:keepNext w:val="0"/>
        <w:rPr>
          <w:lang w:val="de-DE"/>
        </w:rPr>
      </w:pPr>
    </w:p>
    <w:p w14:paraId="13B9DF12" w14:textId="77777777" w:rsidR="005A1408" w:rsidRPr="003F2BBC" w:rsidRDefault="005A1408" w:rsidP="00402321">
      <w:pPr>
        <w:pStyle w:val="Heading1"/>
        <w:keepNext w:val="0"/>
        <w:rPr>
          <w:lang w:val="de-DE"/>
        </w:rPr>
      </w:pPr>
    </w:p>
    <w:p w14:paraId="5CAF5FCC" w14:textId="77777777" w:rsidR="005A1408" w:rsidRPr="003F2BBC" w:rsidRDefault="005A1408" w:rsidP="00402321">
      <w:pPr>
        <w:pStyle w:val="Heading1"/>
        <w:keepNext w:val="0"/>
        <w:rPr>
          <w:lang w:val="de-DE"/>
        </w:rPr>
      </w:pPr>
    </w:p>
    <w:p w14:paraId="4EFB0008" w14:textId="77777777" w:rsidR="005A1408" w:rsidRPr="003F2BBC" w:rsidRDefault="005A1408" w:rsidP="003D1CF1">
      <w:pPr>
        <w:pStyle w:val="Heading1"/>
        <w:rPr>
          <w:lang w:val="de-DE"/>
        </w:rPr>
      </w:pPr>
      <w:bookmarkStart w:id="17" w:name="_Toc74669295"/>
      <w:r w:rsidRPr="003F2BBC">
        <w:rPr>
          <w:lang w:val="de-DE"/>
        </w:rPr>
        <w:lastRenderedPageBreak/>
        <w:t>SEMINAR ZUM ZÜCHTERRECHT IN BEZUG AUF ERNTEGUT</w:t>
      </w:r>
      <w:bookmarkEnd w:id="17"/>
    </w:p>
    <w:p w14:paraId="0E3D1477" w14:textId="77777777" w:rsidR="005A1408" w:rsidRPr="00193CA9" w:rsidRDefault="005A1408" w:rsidP="005A1408">
      <w:pPr>
        <w:keepNext/>
        <w:rPr>
          <w:rFonts w:cs="Arial"/>
        </w:rPr>
      </w:pPr>
    </w:p>
    <w:p w14:paraId="5846DFBD" w14:textId="77777777" w:rsidR="005A1408" w:rsidRPr="00193CA9" w:rsidRDefault="005A1408" w:rsidP="005A1408">
      <w:pPr>
        <w:keepNext/>
      </w:pPr>
      <w:r w:rsidRPr="00193CA9">
        <w:fldChar w:fldCharType="begin"/>
      </w:r>
      <w:r w:rsidRPr="00193CA9">
        <w:instrText xml:space="preserve"> AUTONUM  </w:instrText>
      </w:r>
      <w:r w:rsidRPr="00193CA9">
        <w:fldChar w:fldCharType="end"/>
      </w:r>
      <w:r w:rsidRPr="00193CA9">
        <w:tab/>
        <w:t>Das „</w:t>
      </w:r>
      <w:r>
        <w:t>Seminar zum Züchterrecht in Bezug auf Erntegut</w:t>
      </w:r>
      <w:r w:rsidRPr="00193CA9">
        <w:t xml:space="preserve">“ wurde am 27. Mai 2021 abgehalten. </w:t>
      </w:r>
    </w:p>
    <w:p w14:paraId="32022C94" w14:textId="77777777" w:rsidR="005A1408" w:rsidRPr="00193CA9" w:rsidRDefault="005A1408" w:rsidP="005A1408">
      <w:pPr>
        <w:keepNext/>
      </w:pPr>
    </w:p>
    <w:p w14:paraId="1874F838" w14:textId="77777777" w:rsidR="005A1408" w:rsidRPr="00193CA9" w:rsidRDefault="005A1408" w:rsidP="005A1408">
      <w:pPr>
        <w:rPr>
          <w:rStyle w:val="Hyperlink"/>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Das Programm (Dokument UPOV/SEM/GE/21/1), die Teilnehmerliste (Dokument UPOV/SEM/GE/21/INF/1), die Biographien der Referenten, die Referate und Schlussworte sowie ein Video des Seminars sind verfügbar unter</w:t>
      </w:r>
      <w:r w:rsidRPr="00193CA9">
        <w:t xml:space="preserve"> </w:t>
      </w:r>
      <w:hyperlink r:id="rId9" w:history="1">
        <w:r w:rsidRPr="00193CA9">
          <w:rPr>
            <w:rStyle w:val="Hyperlink"/>
            <w:rFonts w:cs="Arial"/>
          </w:rPr>
          <w:t>https://www.upov.int/meetings/de/details.jsp?meeting_id=63048</w:t>
        </w:r>
      </w:hyperlink>
      <w:r w:rsidRPr="00193CA9">
        <w:rPr>
          <w:rStyle w:val="Hyperlink"/>
          <w:rFonts w:cs="Arial"/>
        </w:rPr>
        <w:t>.</w:t>
      </w:r>
    </w:p>
    <w:p w14:paraId="5A6336A3" w14:textId="77777777" w:rsidR="005A1408" w:rsidRPr="00193CA9" w:rsidRDefault="005A1408" w:rsidP="005A1408">
      <w:pPr>
        <w:rPr>
          <w:rFonts w:cs="Arial"/>
        </w:rPr>
      </w:pPr>
    </w:p>
    <w:bookmarkStart w:id="18" w:name="_Toc14799784"/>
    <w:p w14:paraId="2B33F132" w14:textId="77777777" w:rsidR="005A1408" w:rsidRDefault="005A1408" w:rsidP="005A1408">
      <w:pPr>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Das Seminar wurde von 214 Teilnehmern aus 61 Ländern besucht.</w:t>
      </w:r>
      <w:bookmarkEnd w:id="18"/>
    </w:p>
    <w:p w14:paraId="02B8C6D0" w14:textId="77777777" w:rsidR="005A1408" w:rsidRPr="00193CA9" w:rsidRDefault="005A1408" w:rsidP="005A1408">
      <w:pPr>
        <w:rPr>
          <w:rFonts w:cs="Arial"/>
        </w:rPr>
      </w:pPr>
    </w:p>
    <w:p w14:paraId="05AFBD28" w14:textId="77777777" w:rsidR="005A1408" w:rsidRPr="00193CA9" w:rsidRDefault="005A1408" w:rsidP="005A1408">
      <w:pPr>
        <w:rPr>
          <w:rFonts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5A1408" w:rsidRPr="00193CA9" w14:paraId="716351E5" w14:textId="77777777" w:rsidTr="00BC6CC2">
        <w:trPr>
          <w:trHeight w:val="142"/>
        </w:trPr>
        <w:tc>
          <w:tcPr>
            <w:tcW w:w="12240" w:type="dxa"/>
          </w:tcPr>
          <w:p w14:paraId="41F865B9" w14:textId="77777777" w:rsidR="005A1408" w:rsidRPr="00193CA9" w:rsidRDefault="005A1408" w:rsidP="00BC6CC2">
            <w:pPr>
              <w:pStyle w:val="Heading2"/>
              <w:rPr>
                <w:color w:val="003200"/>
                <w:lang w:val="de-DE"/>
              </w:rPr>
            </w:pPr>
            <w:bookmarkStart w:id="19" w:name="_Toc74669296"/>
            <w:bookmarkStart w:id="20" w:name="_Toc73693946"/>
            <w:bookmarkStart w:id="21" w:name="_Toc73693954"/>
            <w:r w:rsidRPr="00193CA9">
              <w:rPr>
                <w:lang w:val="de-DE"/>
              </w:rPr>
              <w:t>Schlussworte</w:t>
            </w:r>
            <w:bookmarkEnd w:id="19"/>
            <w:r w:rsidRPr="00193CA9">
              <w:rPr>
                <w:b/>
                <w:bCs/>
                <w:color w:val="003200"/>
                <w:lang w:val="de-DE"/>
              </w:rPr>
              <w:t xml:space="preserve"> </w:t>
            </w:r>
          </w:p>
        </w:tc>
      </w:tr>
      <w:bookmarkEnd w:id="20"/>
      <w:bookmarkEnd w:id="21"/>
    </w:tbl>
    <w:p w14:paraId="0A49BE19" w14:textId="77777777" w:rsidR="005A1408" w:rsidRPr="00193CA9" w:rsidRDefault="005A1408" w:rsidP="005A1408">
      <w:pPr>
        <w:keepNext/>
        <w:rPr>
          <w:rFonts w:cs="Arial"/>
        </w:rPr>
      </w:pPr>
    </w:p>
    <w:p w14:paraId="4A0E7AF5" w14:textId="77777777" w:rsidR="005A1408" w:rsidRPr="003D1CF1" w:rsidRDefault="005A1408" w:rsidP="005A1408">
      <w:pPr>
        <w:keepNext/>
        <w:rPr>
          <w:rFonts w:cs="Arial"/>
          <w:spacing w:val="-4"/>
        </w:rPr>
      </w:pPr>
      <w:r w:rsidRPr="003D1CF1">
        <w:rPr>
          <w:rFonts w:cs="Arial"/>
          <w:spacing w:val="-4"/>
        </w:rPr>
        <w:fldChar w:fldCharType="begin"/>
      </w:r>
      <w:r w:rsidRPr="003D1CF1">
        <w:rPr>
          <w:rFonts w:cs="Arial"/>
          <w:spacing w:val="-4"/>
        </w:rPr>
        <w:instrText xml:space="preserve"> AUTONUM  </w:instrText>
      </w:r>
      <w:r w:rsidRPr="003D1CF1">
        <w:rPr>
          <w:rFonts w:cs="Arial"/>
          <w:spacing w:val="-4"/>
        </w:rPr>
        <w:fldChar w:fldCharType="end"/>
      </w:r>
      <w:r w:rsidRPr="003D1CF1">
        <w:rPr>
          <w:rFonts w:cs="Arial"/>
          <w:spacing w:val="-4"/>
        </w:rPr>
        <w:tab/>
        <w:t>Die folgenden Schlussworte wurden zum Abschluss des Seminars von Herrn Manuel Antonio Toro Ugalde, Stellvertretender Vorsitzender des CAJ, im Namen von Herrn Patrick Ngwediagi, Vorsitzender des CAJ, vorgetragen</w:t>
      </w:r>
      <w:r w:rsidRPr="003D1CF1">
        <w:rPr>
          <w:rFonts w:eastAsiaTheme="minorEastAsia"/>
          <w:spacing w:val="-4"/>
        </w:rPr>
        <w:t>:</w:t>
      </w:r>
    </w:p>
    <w:p w14:paraId="288FD37C" w14:textId="77777777" w:rsidR="005A1408" w:rsidRPr="003D1CF1" w:rsidRDefault="005A1408" w:rsidP="005A1408">
      <w:pPr>
        <w:keepNext/>
        <w:rPr>
          <w:rFonts w:cs="Arial"/>
          <w:spacing w:val="-4"/>
        </w:rPr>
      </w:pPr>
    </w:p>
    <w:p w14:paraId="30B104A7" w14:textId="77777777" w:rsidR="005A1408" w:rsidRPr="003D1CF1" w:rsidRDefault="005A1408" w:rsidP="005A1408">
      <w:pPr>
        <w:pStyle w:val="ListParagraph"/>
        <w:keepNext/>
        <w:numPr>
          <w:ilvl w:val="0"/>
          <w:numId w:val="2"/>
        </w:numPr>
        <w:rPr>
          <w:rFonts w:cs="Arial"/>
          <w:i/>
          <w:spacing w:val="-4"/>
        </w:rPr>
      </w:pPr>
      <w:r w:rsidRPr="003D1CF1">
        <w:rPr>
          <w:rFonts w:cs="Arial"/>
          <w:i/>
          <w:spacing w:val="-4"/>
        </w:rPr>
        <w:t>„Wie wirkt sich das Fehlen eines wirksamen Schutzes von Erntegut auf die Züchter und Verbraucher aus?</w:t>
      </w:r>
    </w:p>
    <w:p w14:paraId="120C54E2" w14:textId="77777777" w:rsidR="005A1408" w:rsidRPr="00193CA9" w:rsidRDefault="005A1408" w:rsidP="005A1408">
      <w:pPr>
        <w:pStyle w:val="ListParagraph"/>
        <w:keepNext/>
        <w:rPr>
          <w:rFonts w:cs="Arial"/>
        </w:rPr>
      </w:pPr>
    </w:p>
    <w:p w14:paraId="7E213040" w14:textId="77777777" w:rsidR="005A1408" w:rsidRPr="00193CA9" w:rsidRDefault="005A1408" w:rsidP="005A1408">
      <w:pPr>
        <w:pStyle w:val="ListParagraph"/>
        <w:keepLines/>
        <w:ind w:left="1134"/>
        <w:rPr>
          <w:rFonts w:cs="Arial"/>
        </w:rPr>
      </w:pPr>
      <w:r w:rsidRPr="00193CA9">
        <w:rPr>
          <w:rFonts w:cs="Arial"/>
        </w:rPr>
        <w:t xml:space="preserve">„Auf dem Seminar wurden Beweise dafür vorgelegt, dass das Fehlen eines wirksamen Schutzes </w:t>
      </w:r>
      <w:r>
        <w:rPr>
          <w:rFonts w:cs="Arial"/>
        </w:rPr>
        <w:t>für</w:t>
      </w:r>
      <w:r w:rsidRPr="00193CA9">
        <w:rPr>
          <w:rFonts w:cs="Arial"/>
        </w:rPr>
        <w:t xml:space="preserve"> neue Sorten von Obstbäumen vor der Erteilung von Züchterrechten die frühzeitige Einführung neuer und verbesserter Sorten hemmen könnte, wodurch der Nutzen dieser Sorten für </w:t>
      </w:r>
      <w:r>
        <w:rPr>
          <w:rFonts w:cs="Arial"/>
        </w:rPr>
        <w:t>Züchter</w:t>
      </w:r>
      <w:r w:rsidRPr="00193CA9">
        <w:rPr>
          <w:rFonts w:cs="Arial"/>
        </w:rPr>
        <w:t xml:space="preserve"> und Verbraucher und somit für die Gesellschaft als Ganzes verringer</w:t>
      </w:r>
      <w:r>
        <w:rPr>
          <w:rFonts w:cs="Arial"/>
        </w:rPr>
        <w:t>t</w:t>
      </w:r>
      <w:r w:rsidRPr="00193CA9">
        <w:rPr>
          <w:rFonts w:cs="Arial"/>
        </w:rPr>
        <w:t xml:space="preserve"> </w:t>
      </w:r>
      <w:r>
        <w:rPr>
          <w:rFonts w:cs="Arial"/>
        </w:rPr>
        <w:t>würde</w:t>
      </w:r>
      <w:r w:rsidRPr="00193CA9">
        <w:rPr>
          <w:rFonts w:cs="Arial"/>
        </w:rPr>
        <w:t xml:space="preserve">. Wenn die Züchter keinen wirksamen Schutz haben, </w:t>
      </w:r>
      <w:r>
        <w:rPr>
          <w:rFonts w:cs="Arial"/>
        </w:rPr>
        <w:t>so dass sich</w:t>
      </w:r>
      <w:r w:rsidRPr="00193CA9">
        <w:rPr>
          <w:rFonts w:cs="Arial"/>
        </w:rPr>
        <w:t xml:space="preserve"> die Investitionen in die Züchtung </w:t>
      </w:r>
      <w:r>
        <w:rPr>
          <w:rFonts w:cs="Arial"/>
        </w:rPr>
        <w:t>auszahlen</w:t>
      </w:r>
      <w:r w:rsidRPr="00193CA9">
        <w:rPr>
          <w:rFonts w:cs="Arial"/>
        </w:rPr>
        <w:t xml:space="preserve">, werden </w:t>
      </w:r>
      <w:r>
        <w:rPr>
          <w:rFonts w:cs="Arial"/>
        </w:rPr>
        <w:t xml:space="preserve">außerdem </w:t>
      </w:r>
      <w:r w:rsidRPr="00193CA9">
        <w:rPr>
          <w:rFonts w:cs="Arial"/>
        </w:rPr>
        <w:t xml:space="preserve">möglicherweise überhaupt </w:t>
      </w:r>
      <w:r>
        <w:rPr>
          <w:rFonts w:cs="Arial"/>
        </w:rPr>
        <w:t xml:space="preserve">keine </w:t>
      </w:r>
      <w:r w:rsidRPr="00193CA9">
        <w:rPr>
          <w:rFonts w:cs="Arial"/>
        </w:rPr>
        <w:t>verbesserte</w:t>
      </w:r>
      <w:r>
        <w:rPr>
          <w:rFonts w:cs="Arial"/>
        </w:rPr>
        <w:t>n</w:t>
      </w:r>
      <w:r w:rsidRPr="00193CA9">
        <w:rPr>
          <w:rFonts w:cs="Arial"/>
        </w:rPr>
        <w:t xml:space="preserve"> Sorten entwickelt.</w:t>
      </w:r>
    </w:p>
    <w:p w14:paraId="5A44F265" w14:textId="77777777" w:rsidR="005A1408" w:rsidRPr="00193CA9" w:rsidRDefault="005A1408" w:rsidP="005A1408">
      <w:pPr>
        <w:pStyle w:val="ListParagraph"/>
        <w:rPr>
          <w:rFonts w:cs="Arial"/>
        </w:rPr>
      </w:pPr>
    </w:p>
    <w:p w14:paraId="2214034E" w14:textId="77777777" w:rsidR="005A1408" w:rsidRPr="00193CA9" w:rsidRDefault="005A1408" w:rsidP="005A1408">
      <w:pPr>
        <w:pStyle w:val="ListParagraph"/>
        <w:keepNext/>
        <w:numPr>
          <w:ilvl w:val="0"/>
          <w:numId w:val="2"/>
        </w:numPr>
        <w:rPr>
          <w:rFonts w:cs="Arial"/>
          <w:i/>
        </w:rPr>
      </w:pPr>
      <w:r w:rsidRPr="00193CA9">
        <w:rPr>
          <w:rFonts w:cs="Arial"/>
          <w:i/>
        </w:rPr>
        <w:t>„Was sind die größten Herausforderungen bei der Ausübung des Züchterrechts in Bezug auf das Erntegut?</w:t>
      </w:r>
    </w:p>
    <w:p w14:paraId="74CF8F6A" w14:textId="77777777" w:rsidR="005A1408" w:rsidRPr="00193CA9" w:rsidRDefault="005A1408" w:rsidP="005A1408">
      <w:pPr>
        <w:pStyle w:val="ListParagraph"/>
        <w:keepNext/>
        <w:rPr>
          <w:rFonts w:cs="Arial"/>
        </w:rPr>
      </w:pPr>
    </w:p>
    <w:p w14:paraId="59BDCBAB" w14:textId="77777777" w:rsidR="005A1408" w:rsidRPr="00193CA9" w:rsidRDefault="005A1408" w:rsidP="005A1408">
      <w:pPr>
        <w:pStyle w:val="ListParagraph"/>
        <w:keepLines/>
        <w:ind w:left="1134"/>
        <w:rPr>
          <w:rFonts w:cs="Arial"/>
        </w:rPr>
      </w:pPr>
      <w:r w:rsidRPr="00193CA9">
        <w:rPr>
          <w:rFonts w:cs="Arial"/>
        </w:rPr>
        <w:t xml:space="preserve">„Ein </w:t>
      </w:r>
      <w:r>
        <w:rPr>
          <w:rFonts w:cs="Arial"/>
        </w:rPr>
        <w:t>üblicher besorgniserregender Punkt</w:t>
      </w:r>
      <w:r w:rsidRPr="00193CA9">
        <w:rPr>
          <w:rFonts w:cs="Arial"/>
        </w:rPr>
        <w:t xml:space="preserve"> ist der Mangel an Vorhersehbarkeit betreffend das Züchterrecht in Bezug auf das Erntegut. </w:t>
      </w:r>
    </w:p>
    <w:p w14:paraId="613B4A31" w14:textId="77777777" w:rsidR="005A1408" w:rsidRPr="00193CA9" w:rsidRDefault="005A1408" w:rsidP="005A1408">
      <w:pPr>
        <w:pStyle w:val="ListParagraph"/>
        <w:keepLines/>
        <w:ind w:left="1134"/>
        <w:rPr>
          <w:rFonts w:cs="Arial"/>
        </w:rPr>
      </w:pPr>
    </w:p>
    <w:p w14:paraId="3A9A294B" w14:textId="77777777" w:rsidR="005A1408" w:rsidRPr="00193CA9" w:rsidRDefault="005A1408" w:rsidP="005A1408">
      <w:pPr>
        <w:pStyle w:val="ListParagraph"/>
        <w:keepLines/>
        <w:ind w:left="1134"/>
        <w:rPr>
          <w:rFonts w:cs="Arial"/>
        </w:rPr>
      </w:pPr>
      <w:r w:rsidRPr="00193CA9">
        <w:rPr>
          <w:rFonts w:cs="Arial"/>
        </w:rPr>
        <w:t xml:space="preserve">„Bei bestimmten Arten können Bäume, </w:t>
      </w:r>
      <w:r>
        <w:rPr>
          <w:rFonts w:cs="Arial"/>
        </w:rPr>
        <w:t xml:space="preserve">wenn sie </w:t>
      </w:r>
      <w:r w:rsidRPr="00193CA9">
        <w:rPr>
          <w:rFonts w:cs="Arial"/>
        </w:rPr>
        <w:t>einmal gepflanzt</w:t>
      </w:r>
      <w:r>
        <w:rPr>
          <w:rFonts w:cs="Arial"/>
        </w:rPr>
        <w:t xml:space="preserve"> wurden</w:t>
      </w:r>
      <w:r w:rsidRPr="00193CA9">
        <w:rPr>
          <w:rFonts w:cs="Arial"/>
        </w:rPr>
        <w:t>, viele Jahre lang Früchte tragen.</w:t>
      </w:r>
      <w:r>
        <w:rPr>
          <w:rFonts w:cs="Arial"/>
        </w:rPr>
        <w:t xml:space="preserve"> </w:t>
      </w:r>
      <w:r w:rsidRPr="00193CA9">
        <w:rPr>
          <w:rFonts w:cs="Arial"/>
        </w:rPr>
        <w:t>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14:paraId="472F06E0" w14:textId="77777777" w:rsidR="005A1408" w:rsidRPr="00193CA9" w:rsidRDefault="005A1408" w:rsidP="005A1408">
      <w:pPr>
        <w:pStyle w:val="ListParagraph"/>
        <w:rPr>
          <w:rFonts w:cs="Arial"/>
        </w:rPr>
      </w:pPr>
    </w:p>
    <w:p w14:paraId="7227970A" w14:textId="77777777" w:rsidR="005A1408" w:rsidRPr="00193CA9" w:rsidRDefault="005A1408" w:rsidP="005A1408">
      <w:pPr>
        <w:pStyle w:val="ListParagraph"/>
        <w:keepNext/>
        <w:numPr>
          <w:ilvl w:val="0"/>
          <w:numId w:val="2"/>
        </w:numPr>
        <w:rPr>
          <w:rFonts w:cs="Arial"/>
        </w:rPr>
      </w:pPr>
      <w:r w:rsidRPr="00193CA9">
        <w:rPr>
          <w:rFonts w:cs="Arial"/>
        </w:rPr>
        <w:t>„</w:t>
      </w:r>
      <w:r w:rsidRPr="00193CA9">
        <w:rPr>
          <w:rFonts w:cs="Arial"/>
          <w:i/>
        </w:rPr>
        <w:t>Auf Ebene der UPOV: Welche Lösungen sehen Sie für diese Herausforderungen bei der Ausübung des Züchterrechts in Bezug auf das Erntegut?</w:t>
      </w:r>
    </w:p>
    <w:p w14:paraId="73DA4866" w14:textId="77777777" w:rsidR="005A1408" w:rsidRPr="00193CA9" w:rsidRDefault="005A1408" w:rsidP="005A1408">
      <w:pPr>
        <w:pStyle w:val="ListParagraph"/>
        <w:keepNext/>
        <w:rPr>
          <w:rFonts w:cs="Arial"/>
        </w:rPr>
      </w:pPr>
    </w:p>
    <w:p w14:paraId="1818754E" w14:textId="77777777" w:rsidR="005A1408" w:rsidRPr="00193CA9" w:rsidRDefault="005A1408" w:rsidP="005A1408">
      <w:pPr>
        <w:pStyle w:val="ListParagraph"/>
        <w:keepLines/>
        <w:ind w:left="1134"/>
        <w:rPr>
          <w:rFonts w:cs="Arial"/>
        </w:rPr>
      </w:pPr>
      <w:r w:rsidRPr="00193CA9">
        <w:rPr>
          <w:rFonts w:cs="Arial"/>
        </w:rPr>
        <w:t xml:space="preserve">„Klare Hinweise aus den Referaten und Erörterungen, dass </w:t>
      </w:r>
      <w:r>
        <w:rPr>
          <w:rFonts w:cs="Arial"/>
        </w:rPr>
        <w:t xml:space="preserve">eine </w:t>
      </w:r>
      <w:r w:rsidRPr="00193CA9">
        <w:rPr>
          <w:rFonts w:cs="Arial"/>
        </w:rPr>
        <w:t>Anleitung in den Erläuterungen zu Handlungen in Bezug auf Erntegut von einer weiteren Klärung profitieren würde.</w:t>
      </w:r>
      <w:r>
        <w:rPr>
          <w:rFonts w:cs="Arial"/>
        </w:rPr>
        <w:t xml:space="preserve"> </w:t>
      </w:r>
    </w:p>
    <w:p w14:paraId="7D58FBBC" w14:textId="77777777" w:rsidR="005A1408" w:rsidRPr="00193CA9" w:rsidRDefault="005A1408" w:rsidP="005A1408">
      <w:pPr>
        <w:pStyle w:val="ListParagraph"/>
        <w:ind w:left="1134"/>
        <w:rPr>
          <w:rFonts w:cs="Arial"/>
        </w:rPr>
      </w:pPr>
    </w:p>
    <w:p w14:paraId="59BE69A9" w14:textId="77777777" w:rsidR="005A1408" w:rsidRPr="00193CA9" w:rsidRDefault="005A1408" w:rsidP="005A1408">
      <w:pPr>
        <w:pStyle w:val="ListParagraph"/>
        <w:keepNext/>
        <w:keepLines/>
        <w:ind w:left="1134"/>
        <w:rPr>
          <w:rFonts w:cs="Arial"/>
        </w:rPr>
      </w:pPr>
      <w:r w:rsidRPr="00193CA9">
        <w:rPr>
          <w:rFonts w:cs="Arial"/>
        </w:rPr>
        <w:t>„Um die Entwicklung neuer Pflanzensorten zu fördern, wäre weitere Anleitung hilfreich zu:</w:t>
      </w:r>
    </w:p>
    <w:p w14:paraId="78E856BA" w14:textId="77777777" w:rsidR="005A1408" w:rsidRPr="00193CA9" w:rsidRDefault="005A1408" w:rsidP="005A1408">
      <w:pPr>
        <w:pStyle w:val="ListParagraph"/>
        <w:numPr>
          <w:ilvl w:val="2"/>
          <w:numId w:val="2"/>
        </w:numPr>
        <w:spacing w:before="120"/>
        <w:ind w:left="2578"/>
        <w:contextualSpacing w:val="0"/>
        <w:rPr>
          <w:rFonts w:cs="Arial"/>
        </w:rPr>
      </w:pPr>
      <w:r w:rsidRPr="00193CA9">
        <w:rPr>
          <w:rFonts w:cs="Arial"/>
        </w:rPr>
        <w:t>„Vermehrungsmaterial</w:t>
      </w:r>
    </w:p>
    <w:p w14:paraId="045411B7" w14:textId="77777777" w:rsidR="005A1408" w:rsidRPr="00193CA9" w:rsidRDefault="005A1408" w:rsidP="005A1408">
      <w:pPr>
        <w:pStyle w:val="ListParagraph"/>
        <w:numPr>
          <w:ilvl w:val="2"/>
          <w:numId w:val="2"/>
        </w:numPr>
        <w:spacing w:before="120"/>
        <w:ind w:left="2578"/>
        <w:contextualSpacing w:val="0"/>
        <w:rPr>
          <w:rFonts w:cs="Arial"/>
        </w:rPr>
      </w:pPr>
      <w:r w:rsidRPr="00193CA9">
        <w:rPr>
          <w:rFonts w:cs="Arial"/>
        </w:rPr>
        <w:t>„Erntegut</w:t>
      </w:r>
    </w:p>
    <w:p w14:paraId="28383B93" w14:textId="77777777" w:rsidR="005A1408" w:rsidRPr="00193CA9" w:rsidRDefault="005A1408" w:rsidP="005A1408">
      <w:pPr>
        <w:pStyle w:val="ListParagraph"/>
        <w:numPr>
          <w:ilvl w:val="2"/>
          <w:numId w:val="2"/>
        </w:numPr>
        <w:spacing w:before="120"/>
        <w:ind w:left="2578"/>
        <w:contextualSpacing w:val="0"/>
        <w:rPr>
          <w:rFonts w:cs="Arial"/>
        </w:rPr>
      </w:pPr>
      <w:r w:rsidRPr="00193CA9">
        <w:rPr>
          <w:rFonts w:cs="Arial"/>
        </w:rPr>
        <w:t>„wirksamem vorläufigem Schutz</w:t>
      </w:r>
    </w:p>
    <w:p w14:paraId="105242AF" w14:textId="77777777" w:rsidR="005A1408" w:rsidRPr="00193CA9" w:rsidRDefault="005A1408" w:rsidP="005A1408">
      <w:pPr>
        <w:pStyle w:val="ListParagraph"/>
        <w:numPr>
          <w:ilvl w:val="2"/>
          <w:numId w:val="2"/>
        </w:numPr>
        <w:spacing w:before="120"/>
        <w:ind w:left="2578"/>
        <w:contextualSpacing w:val="0"/>
        <w:rPr>
          <w:rFonts w:cs="Arial"/>
        </w:rPr>
      </w:pPr>
      <w:r w:rsidRPr="00193CA9">
        <w:rPr>
          <w:rFonts w:cs="Arial"/>
        </w:rPr>
        <w:t xml:space="preserve">„dem </w:t>
      </w:r>
      <w:r>
        <w:rPr>
          <w:rFonts w:cs="Arial"/>
        </w:rPr>
        <w:t>Konzept</w:t>
      </w:r>
      <w:r w:rsidRPr="00193CA9">
        <w:rPr>
          <w:rFonts w:cs="Arial"/>
        </w:rPr>
        <w:t xml:space="preserve"> der </w:t>
      </w:r>
      <w:r>
        <w:rPr>
          <w:rFonts w:cs="Arial"/>
        </w:rPr>
        <w:t>‚</w:t>
      </w:r>
      <w:r w:rsidRPr="00193CA9">
        <w:rPr>
          <w:rFonts w:cs="Arial"/>
        </w:rPr>
        <w:t>ungenehmigten Benutzung von Vermehrungsmaterial</w:t>
      </w:r>
      <w:r>
        <w:rPr>
          <w:rFonts w:cs="Arial"/>
        </w:rPr>
        <w:t>‘</w:t>
      </w:r>
    </w:p>
    <w:p w14:paraId="3ED4E39B" w14:textId="77777777" w:rsidR="005A1408" w:rsidRDefault="005A1408" w:rsidP="005A1408">
      <w:pPr>
        <w:pStyle w:val="ListParagraph"/>
        <w:numPr>
          <w:ilvl w:val="2"/>
          <w:numId w:val="2"/>
        </w:numPr>
        <w:spacing w:before="120"/>
        <w:ind w:left="2578"/>
        <w:contextualSpacing w:val="0"/>
        <w:rPr>
          <w:rFonts w:cs="Arial"/>
        </w:rPr>
      </w:pPr>
      <w:r w:rsidRPr="00193CA9">
        <w:rPr>
          <w:rFonts w:cs="Arial"/>
        </w:rPr>
        <w:t xml:space="preserve">„der </w:t>
      </w:r>
      <w:r>
        <w:rPr>
          <w:rFonts w:cs="Arial"/>
        </w:rPr>
        <w:t>Doktrin</w:t>
      </w:r>
      <w:r w:rsidRPr="00193CA9">
        <w:rPr>
          <w:rFonts w:cs="Arial"/>
        </w:rPr>
        <w:t xml:space="preserve"> von der Erschöpfung der Rechte in Bezug auf die Umkehr der Beweislast.“</w:t>
      </w:r>
    </w:p>
    <w:p w14:paraId="082C7559" w14:textId="77777777" w:rsidR="005A1408" w:rsidRPr="003F2BBC" w:rsidRDefault="005A1408" w:rsidP="003D1CF1">
      <w:pPr>
        <w:pStyle w:val="Heading1"/>
        <w:keepNext w:val="0"/>
        <w:rPr>
          <w:lang w:val="de-DE"/>
        </w:rPr>
      </w:pPr>
      <w:bookmarkStart w:id="22" w:name="_Toc73693947"/>
      <w:bookmarkStart w:id="23" w:name="_Toc73693955"/>
    </w:p>
    <w:p w14:paraId="2C9E881D" w14:textId="77777777" w:rsidR="005A1408" w:rsidRPr="003F2BBC" w:rsidRDefault="005A1408" w:rsidP="003D1CF1">
      <w:pPr>
        <w:pStyle w:val="Heading1"/>
        <w:keepNext w:val="0"/>
        <w:rPr>
          <w:lang w:val="de-DE"/>
        </w:rPr>
      </w:pPr>
    </w:p>
    <w:p w14:paraId="58D87D87" w14:textId="77777777" w:rsidR="005A1408" w:rsidRPr="003F2BBC" w:rsidRDefault="005A1408" w:rsidP="003D1CF1">
      <w:pPr>
        <w:pStyle w:val="Heading1"/>
        <w:keepNext w:val="0"/>
        <w:rPr>
          <w:lang w:val="de-DE"/>
        </w:rPr>
      </w:pPr>
    </w:p>
    <w:p w14:paraId="04547857" w14:textId="77777777" w:rsidR="005A1408" w:rsidRPr="003F2BBC" w:rsidRDefault="005A1408" w:rsidP="003D1CF1">
      <w:pPr>
        <w:pStyle w:val="Heading1"/>
        <w:rPr>
          <w:lang w:val="de-DE"/>
        </w:rPr>
      </w:pPr>
      <w:bookmarkStart w:id="24" w:name="_Toc74669297"/>
      <w:r w:rsidRPr="003F2BBC">
        <w:rPr>
          <w:lang w:val="de-DE"/>
        </w:rPr>
        <w:lastRenderedPageBreak/>
        <w:t xml:space="preserve">VORSCHLÄGE FÜR EIN VERFAHREN ZUR ÜBERARBEITUNG DER </w:t>
      </w:r>
      <w:bookmarkEnd w:id="22"/>
      <w:bookmarkEnd w:id="23"/>
      <w:r w:rsidRPr="003F2BBC">
        <w:rPr>
          <w:lang w:val="de-DE"/>
        </w:rPr>
        <w:t>MASSGEBLICHEN ANLEITUNG</w:t>
      </w:r>
      <w:bookmarkEnd w:id="24"/>
    </w:p>
    <w:p w14:paraId="37996258" w14:textId="77777777" w:rsidR="005A1408" w:rsidRPr="00193CA9" w:rsidRDefault="005A1408" w:rsidP="005A1408">
      <w:pPr>
        <w:keepNext/>
        <w:keepLines/>
        <w:rPr>
          <w:rFonts w:cs="Arial"/>
        </w:rPr>
      </w:pPr>
    </w:p>
    <w:p w14:paraId="125EA16A" w14:textId="77777777" w:rsidR="005A1408" w:rsidRPr="00193CA9" w:rsidRDefault="005A1408" w:rsidP="005A1408">
      <w:pPr>
        <w:keepNext/>
        <w:keepLines/>
        <w:rPr>
          <w:rFonts w:cs="Arial"/>
        </w:rPr>
      </w:pPr>
      <w:r w:rsidRPr="00193CA9">
        <w:fldChar w:fldCharType="begin"/>
      </w:r>
      <w:r w:rsidRPr="00193CA9">
        <w:instrText xml:space="preserve"> AUTONUM  </w:instrText>
      </w:r>
      <w:r w:rsidRPr="00193CA9">
        <w:fldChar w:fldCharType="end"/>
      </w:r>
      <w:r w:rsidRPr="00193CA9">
        <w:tab/>
      </w:r>
      <w:r w:rsidRPr="00193CA9">
        <w:rPr>
          <w:rFonts w:cs="Arial"/>
        </w:rPr>
        <w:t>Der CAJ vereinbarte auf seiner siebenundsiebzigsten Tagung</w:t>
      </w:r>
      <w:r w:rsidRPr="00C00B09">
        <w:rPr>
          <w:rStyle w:val="FootnoteReference"/>
          <w:rFonts w:cs="Arial"/>
          <w:spacing w:val="-2"/>
        </w:rPr>
        <w:footnoteReference w:id="3"/>
      </w:r>
      <w:r w:rsidRPr="00193CA9">
        <w:rPr>
          <w:rFonts w:cs="Arial"/>
        </w:rPr>
        <w:t>, dass dem CAJ auf seiner achtundsiebzigsten Tagung ein Vorschlag für eine Anleitung zum Begriff „ungenehmigte Benutzung von Vermehrungsmaterial“</w:t>
      </w:r>
      <w:r>
        <w:rPr>
          <w:rFonts w:cs="Arial"/>
        </w:rPr>
        <w:t>,</w:t>
      </w:r>
      <w:r w:rsidRPr="00193CA9">
        <w:rPr>
          <w:rFonts w:cs="Arial"/>
        </w:rPr>
        <w:t xml:space="preserve"> auch i</w:t>
      </w:r>
      <w:r>
        <w:rPr>
          <w:rFonts w:cs="Arial"/>
        </w:rPr>
        <w:t>m</w:t>
      </w:r>
      <w:r w:rsidRPr="00193CA9">
        <w:rPr>
          <w:rFonts w:cs="Arial"/>
        </w:rPr>
        <w:t xml:space="preserve"> </w:t>
      </w:r>
      <w:r>
        <w:rPr>
          <w:rFonts w:cs="Arial"/>
        </w:rPr>
        <w:t>Zusammenhang mit</w:t>
      </w:r>
      <w:r w:rsidRPr="00193CA9">
        <w:rPr>
          <w:rFonts w:cs="Arial"/>
        </w:rPr>
        <w:t xml:space="preserve"> Bäume</w:t>
      </w:r>
      <w:r>
        <w:rPr>
          <w:rFonts w:cs="Arial"/>
        </w:rPr>
        <w:t>n,</w:t>
      </w:r>
      <w:r w:rsidRPr="00193CA9">
        <w:rPr>
          <w:rFonts w:cs="Arial"/>
        </w:rPr>
        <w:t xml:space="preserve"> in Artikel 14 Absatz 2 der Akte von 1991 des UPOV-Übereinkommens zur Prüfung vorgelegt werden </w:t>
      </w:r>
      <w:r w:rsidRPr="00DA1867">
        <w:rPr>
          <w:rFonts w:cs="Arial"/>
        </w:rPr>
        <w:t>sollte</w:t>
      </w:r>
      <w:r>
        <w:rPr>
          <w:rFonts w:cs="Arial"/>
        </w:rPr>
        <w:t>,</w:t>
      </w:r>
      <w:r w:rsidRPr="00DA1867">
        <w:rPr>
          <w:rFonts w:cs="Arial"/>
        </w:rPr>
        <w:t xml:space="preserve"> und</w:t>
      </w:r>
      <w:r w:rsidRPr="00193CA9">
        <w:rPr>
          <w:rFonts w:cs="Arial"/>
        </w:rPr>
        <w:t xml:space="preserve"> schlug dem Rat die </w:t>
      </w:r>
      <w:r>
        <w:rPr>
          <w:rFonts w:cs="Arial"/>
        </w:rPr>
        <w:t>Organisation</w:t>
      </w:r>
      <w:r w:rsidRPr="00193CA9">
        <w:rPr>
          <w:rFonts w:cs="Arial"/>
        </w:rPr>
        <w:t xml:space="preserve"> eines Seminars </w:t>
      </w:r>
      <w:r>
        <w:rPr>
          <w:rFonts w:cs="Arial"/>
        </w:rPr>
        <w:t>zu</w:t>
      </w:r>
      <w:r w:rsidRPr="00193CA9">
        <w:rPr>
          <w:rFonts w:cs="Arial"/>
        </w:rPr>
        <w:t xml:space="preserve"> diese</w:t>
      </w:r>
      <w:r>
        <w:rPr>
          <w:rFonts w:cs="Arial"/>
        </w:rPr>
        <w:t>n</w:t>
      </w:r>
      <w:r w:rsidRPr="00193CA9">
        <w:rPr>
          <w:rFonts w:cs="Arial"/>
        </w:rPr>
        <w:t xml:space="preserve"> Angelegenheiten vor (vergleiche Dokumente CAJ/77/9 „Ergebnis der Prüfung von Dokumenten auf dem Schriftweg“, Absatz 43, und CAJ/77/10 „Bericht“, Absätze 26 bis 30</w:t>
      </w:r>
      <w:r>
        <w:rPr>
          <w:rFonts w:cs="Arial"/>
        </w:rPr>
        <w:t>)</w:t>
      </w:r>
      <w:r w:rsidRPr="00193CA9">
        <w:rPr>
          <w:rFonts w:cs="Arial"/>
        </w:rPr>
        <w:t>.</w:t>
      </w:r>
    </w:p>
    <w:p w14:paraId="53631202" w14:textId="77777777" w:rsidR="005A1408" w:rsidRPr="00193CA9" w:rsidRDefault="005A1408" w:rsidP="003D1CF1">
      <w:pPr>
        <w:rPr>
          <w:rFonts w:cs="Arial"/>
        </w:rPr>
      </w:pPr>
    </w:p>
    <w:p w14:paraId="1AB6C0E7" w14:textId="0D27ACF9" w:rsidR="005A1408" w:rsidRDefault="005A1408" w:rsidP="005A1408">
      <w:pPr>
        <w:keepLines/>
        <w:autoSpaceDE w:val="0"/>
        <w:autoSpaceDN w:val="0"/>
        <w:adjustRightInd w:val="0"/>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Zweck des „</w:t>
      </w:r>
      <w:r>
        <w:rPr>
          <w:rFonts w:cs="Arial"/>
        </w:rPr>
        <w:t>Seminars zum Züchterrecht in Bezug auf Erntegut</w:t>
      </w:r>
      <w:r w:rsidRPr="00193CA9">
        <w:rPr>
          <w:rFonts w:cs="Arial"/>
        </w:rPr>
        <w:t xml:space="preserve">“ war der Austausch von Informationen über Angelegenheiten betreffend Erntegut und ungenehmigte Benutzung von Vermehrungsmaterial als Teil der Überlegungen des CAJ, </w:t>
      </w:r>
      <w:r>
        <w:rPr>
          <w:rFonts w:cs="Arial"/>
        </w:rPr>
        <w:t xml:space="preserve">eine </w:t>
      </w:r>
      <w:r w:rsidRPr="00193CA9">
        <w:rPr>
          <w:rFonts w:cs="Arial"/>
        </w:rPr>
        <w:t>Anleitung zu diesen Angelegenheiten auszuarbeiten (vergleiche Dokument C/54/21 „Bericht“, Absatz 54</w:t>
      </w:r>
      <w:r>
        <w:rPr>
          <w:rFonts w:cs="Arial"/>
        </w:rPr>
        <w:t>,</w:t>
      </w:r>
      <w:r w:rsidRPr="00193CA9">
        <w:rPr>
          <w:rFonts w:cs="Arial"/>
        </w:rPr>
        <w:t xml:space="preserve"> und „Hintergrund“ und Absatz 17</w:t>
      </w:r>
      <w:r>
        <w:rPr>
          <w:rFonts w:cs="Arial"/>
        </w:rPr>
        <w:t>, vorstehend</w:t>
      </w:r>
      <w:r w:rsidRPr="00193CA9">
        <w:rPr>
          <w:rFonts w:cs="Arial"/>
        </w:rPr>
        <w:t>)</w:t>
      </w:r>
      <w:r w:rsidRPr="00193CA9">
        <w:t>.</w:t>
      </w:r>
    </w:p>
    <w:p w14:paraId="46237644" w14:textId="77777777" w:rsidR="003D1CF1" w:rsidRPr="00193CA9" w:rsidRDefault="003D1CF1" w:rsidP="005A1408">
      <w:pPr>
        <w:keepLines/>
        <w:autoSpaceDE w:val="0"/>
        <w:autoSpaceDN w:val="0"/>
        <w:adjustRightInd w:val="0"/>
        <w:rPr>
          <w:rFonts w:cs="Arial"/>
        </w:rPr>
      </w:pPr>
    </w:p>
    <w:p w14:paraId="70132027" w14:textId="77777777" w:rsidR="005A1408" w:rsidRPr="00193CA9" w:rsidRDefault="005A1408" w:rsidP="005A1408">
      <w:pPr>
        <w:keepNext/>
        <w:keepLines/>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 xml:space="preserve">Die zum Abschluss des Seminars von Herrn Manuel Antonio Toro Ugalde, Stellvertretender Vorsitzender des CAJ, im Namen von Herrn Patrick Ngwediagi, Vorsitzender des CAJ, vorgetragenen </w:t>
      </w:r>
      <w:r w:rsidRPr="00480D1D">
        <w:rPr>
          <w:rFonts w:cs="Arial"/>
        </w:rPr>
        <w:t>Schlussworte</w:t>
      </w:r>
      <w:r w:rsidRPr="00193CA9">
        <w:rPr>
          <w:rFonts w:cs="Arial"/>
        </w:rPr>
        <w:t xml:space="preserve"> umfassten die Schlussfolgerung, dass </w:t>
      </w:r>
      <w:r>
        <w:rPr>
          <w:rFonts w:cs="Arial"/>
        </w:rPr>
        <w:t>eine</w:t>
      </w:r>
      <w:r w:rsidRPr="00193CA9">
        <w:rPr>
          <w:rFonts w:cs="Arial"/>
        </w:rPr>
        <w:t xml:space="preserve"> Anleitung in den Erläuterungen </w:t>
      </w:r>
      <w:r>
        <w:rPr>
          <w:rFonts w:cs="Arial"/>
        </w:rPr>
        <w:t>bezüglich</w:t>
      </w:r>
      <w:r w:rsidRPr="00193CA9">
        <w:rPr>
          <w:rFonts w:cs="Arial"/>
        </w:rPr>
        <w:t xml:space="preserve"> Erntegut von einer weiteren Klärung profitieren würde und dass zur Förderung der Entwicklung neuer Pflanzensorten die Ausarbeitung weitere</w:t>
      </w:r>
      <w:r>
        <w:rPr>
          <w:rFonts w:cs="Arial"/>
        </w:rPr>
        <w:t>r</w:t>
      </w:r>
      <w:r w:rsidRPr="00193CA9">
        <w:rPr>
          <w:rFonts w:cs="Arial"/>
        </w:rPr>
        <w:t xml:space="preserve"> Anleitung hilfreich wäre (vergleiche „Schlussworte“ des Seminars, Absatz 16</w:t>
      </w:r>
      <w:r>
        <w:rPr>
          <w:rFonts w:cs="Arial"/>
        </w:rPr>
        <w:t>, vorstehend)</w:t>
      </w:r>
      <w:r w:rsidRPr="00193CA9">
        <w:rPr>
          <w:rFonts w:cs="Arial"/>
        </w:rPr>
        <w:t>.</w:t>
      </w:r>
    </w:p>
    <w:p w14:paraId="28C567E3" w14:textId="77777777" w:rsidR="005A1408" w:rsidRPr="00193CA9" w:rsidRDefault="005A1408" w:rsidP="005A1408">
      <w:pPr>
        <w:keepNext/>
        <w:rPr>
          <w:rFonts w:cs="Arial"/>
        </w:rPr>
      </w:pPr>
    </w:p>
    <w:p w14:paraId="382F42B6" w14:textId="77777777" w:rsidR="005A1408" w:rsidRPr="00193CA9" w:rsidRDefault="005A1408" w:rsidP="005A1408">
      <w:pPr>
        <w:keepLines/>
        <w:rPr>
          <w:rFonts w:cs="Arial"/>
        </w:rPr>
      </w:pPr>
      <w:r w:rsidRPr="00764D1C">
        <w:rPr>
          <w:rFonts w:cs="Arial"/>
        </w:rPr>
        <w:fldChar w:fldCharType="begin"/>
      </w:r>
      <w:r w:rsidRPr="00764D1C">
        <w:rPr>
          <w:rFonts w:cs="Arial"/>
        </w:rPr>
        <w:instrText xml:space="preserve"> AUTONUM  </w:instrText>
      </w:r>
      <w:r w:rsidRPr="00764D1C">
        <w:rPr>
          <w:rFonts w:cs="Arial"/>
        </w:rPr>
        <w:fldChar w:fldCharType="end"/>
      </w:r>
      <w:r w:rsidRPr="00193CA9">
        <w:rPr>
          <w:rFonts w:cs="Arial"/>
        </w:rPr>
        <w:tab/>
      </w:r>
      <w:r>
        <w:rPr>
          <w:rFonts w:cs="Arial"/>
        </w:rPr>
        <w:t>Diesbezüglich</w:t>
      </w:r>
      <w:r w:rsidRPr="00193CA9">
        <w:rPr>
          <w:rFonts w:cs="Arial"/>
        </w:rPr>
        <w:t xml:space="preserve"> wird der CAJ ersucht, eine Überarbeitung der „Erläuterungen zu Handlungen in Bezug auf Erntegut nach der Akte von 1991 des UPOV-Übereinkommens“ (Dokument UPOV/EXN/HRV/1), der „Erläuterungen zu Vermehrungsmaterial nach dem UPOV-Übereinkommen“ (UPOV/EXN/PPM/1) und der „Erläuterungen zum vorläufigen Schutz nach dem UPOV-Übereinkommen“ (UPOV/EXN/PRP/2) einzuleiten.</w:t>
      </w:r>
    </w:p>
    <w:p w14:paraId="081F1264" w14:textId="77777777" w:rsidR="005A1408" w:rsidRPr="00193CA9" w:rsidRDefault="005A1408" w:rsidP="005A1408">
      <w:pPr>
        <w:rPr>
          <w:rFonts w:cs="Arial"/>
        </w:rPr>
      </w:pPr>
    </w:p>
    <w:p w14:paraId="2B114ABD" w14:textId="08C5ABF7" w:rsidR="005A1408" w:rsidRPr="00193CA9" w:rsidRDefault="005A1408" w:rsidP="005A1408">
      <w:r w:rsidRPr="00193CA9">
        <w:fldChar w:fldCharType="begin"/>
      </w:r>
      <w:r w:rsidRPr="00193CA9">
        <w:instrText xml:space="preserve"> AUTONUM  </w:instrText>
      </w:r>
      <w:r w:rsidRPr="00193CA9">
        <w:fldChar w:fldCharType="end"/>
      </w:r>
      <w:r w:rsidRPr="00193CA9">
        <w:tab/>
        <w:t>Es wird vorgeschlagen, dass bei der Überarbeitung di</w:t>
      </w:r>
      <w:r w:rsidR="003D1CF1">
        <w:t>e in den Antworten auf das UPOV</w:t>
      </w:r>
      <w:r w:rsidR="003D1CF1">
        <w:noBreakHyphen/>
      </w:r>
      <w:r w:rsidRPr="00193CA9">
        <w:t>Rundschreiben E-19/232 und i</w:t>
      </w:r>
      <w:r>
        <w:t>n de</w:t>
      </w:r>
      <w:r w:rsidRPr="00193CA9">
        <w:t>m „</w:t>
      </w:r>
      <w:r>
        <w:t>Seminar zum Züchterrecht in Bezug auf Erntegut</w:t>
      </w:r>
      <w:r w:rsidRPr="00193CA9">
        <w:t xml:space="preserve">“ </w:t>
      </w:r>
      <w:r>
        <w:t>genannten</w:t>
      </w:r>
      <w:r w:rsidRPr="00193CA9">
        <w:t xml:space="preserve"> Angelegenheiten berücksichtigt werden sollen. Ferner wird vorgeschlagen, eine Arbeitsgruppe für Erntegut und ungenehmigte Benutzung von Vermehrungsmaterial (WG-HRV) </w:t>
      </w:r>
      <w:r>
        <w:t>einzurichten</w:t>
      </w:r>
      <w:r w:rsidRPr="00193CA9">
        <w:t xml:space="preserve">, </w:t>
      </w:r>
      <w:r>
        <w:t>um</w:t>
      </w:r>
      <w:r w:rsidRPr="00193CA9">
        <w:t xml:space="preserve"> </w:t>
      </w:r>
      <w:r>
        <w:t>maßgebliche</w:t>
      </w:r>
      <w:r w:rsidRPr="00193CA9">
        <w:t xml:space="preserve"> </w:t>
      </w:r>
      <w:r>
        <w:t>Anleitung</w:t>
      </w:r>
      <w:r w:rsidRPr="00193CA9">
        <w:t xml:space="preserve"> aus</w:t>
      </w:r>
      <w:r>
        <w:t>zu</w:t>
      </w:r>
      <w:r w:rsidRPr="00193CA9">
        <w:t>arbeiten.</w:t>
      </w:r>
    </w:p>
    <w:p w14:paraId="516D0848" w14:textId="77777777" w:rsidR="005A1408" w:rsidRPr="00193CA9" w:rsidRDefault="005A1408" w:rsidP="005A1408">
      <w:pPr>
        <w:rPr>
          <w:sz w:val="18"/>
        </w:rPr>
      </w:pPr>
    </w:p>
    <w:p w14:paraId="5EE380E8" w14:textId="77777777" w:rsidR="005A1408" w:rsidRPr="00193CA9" w:rsidRDefault="005A1408" w:rsidP="005A1408">
      <w:pPr>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Der CAJ wird ersucht:</w:t>
      </w:r>
    </w:p>
    <w:p w14:paraId="58D51A73" w14:textId="77777777" w:rsidR="005A1408" w:rsidRPr="00193CA9" w:rsidRDefault="005A1408" w:rsidP="005A1408">
      <w:pPr>
        <w:rPr>
          <w:rFonts w:cs="Arial"/>
        </w:rPr>
      </w:pPr>
    </w:p>
    <w:p w14:paraId="02648346" w14:textId="77777777" w:rsidR="005A1408" w:rsidRPr="00193CA9" w:rsidRDefault="005A1408" w:rsidP="005A1408">
      <w:pPr>
        <w:pStyle w:val="ListParagraph"/>
        <w:numPr>
          <w:ilvl w:val="0"/>
          <w:numId w:val="3"/>
        </w:numPr>
      </w:pPr>
      <w:r w:rsidRPr="00193CA9">
        <w:rPr>
          <w:rFonts w:eastAsiaTheme="minorEastAsia" w:cs="Arial"/>
          <w:snapToGrid w:val="0"/>
        </w:rPr>
        <w:t xml:space="preserve">zu vereinbaren, eine Arbeitsgruppe für Erntegut und </w:t>
      </w:r>
      <w:r w:rsidRPr="00193CA9">
        <w:rPr>
          <w:szCs w:val="24"/>
          <w:lang w:val="de-CH"/>
        </w:rPr>
        <w:t>ungenehmigte Benutzung</w:t>
      </w:r>
      <w:r w:rsidRPr="00193CA9">
        <w:rPr>
          <w:rFonts w:eastAsiaTheme="minorEastAsia" w:cs="Arial"/>
          <w:snapToGrid w:val="0"/>
        </w:rPr>
        <w:t xml:space="preserve"> von Vermehrungsmaterial (WG-HRV) </w:t>
      </w:r>
      <w:r>
        <w:rPr>
          <w:rFonts w:eastAsiaTheme="minorEastAsia" w:cs="Arial"/>
          <w:snapToGrid w:val="0"/>
        </w:rPr>
        <w:t>einzurichten</w:t>
      </w:r>
      <w:r w:rsidRPr="00193CA9">
        <w:rPr>
          <w:rFonts w:cs="Arial"/>
        </w:rPr>
        <w:t>;</w:t>
      </w:r>
      <w:r w:rsidRPr="00193CA9">
        <w:t xml:space="preserve"> </w:t>
      </w:r>
    </w:p>
    <w:p w14:paraId="650CD192" w14:textId="77777777" w:rsidR="005A1408" w:rsidRPr="00193CA9" w:rsidRDefault="005A1408" w:rsidP="005A1408">
      <w:pPr>
        <w:pStyle w:val="ListParagraph"/>
        <w:ind w:left="1130"/>
      </w:pPr>
    </w:p>
    <w:p w14:paraId="37D0B046" w14:textId="77777777" w:rsidR="005A1408" w:rsidRPr="00193CA9" w:rsidRDefault="005A1408" w:rsidP="005A1408">
      <w:pPr>
        <w:pStyle w:val="ListParagraph"/>
        <w:numPr>
          <w:ilvl w:val="0"/>
          <w:numId w:val="3"/>
        </w:numPr>
      </w:pPr>
      <w:r w:rsidRPr="00193CA9">
        <w:rPr>
          <w:rFonts w:eastAsiaTheme="minorEastAsia" w:cs="Arial"/>
          <w:snapToGrid w:val="0"/>
        </w:rPr>
        <w:t xml:space="preserve">den Entwurf </w:t>
      </w:r>
      <w:r>
        <w:rPr>
          <w:rFonts w:eastAsiaTheme="minorEastAsia" w:cs="Arial"/>
          <w:snapToGrid w:val="0"/>
        </w:rPr>
        <w:t>einer</w:t>
      </w:r>
      <w:r w:rsidRPr="00193CA9">
        <w:rPr>
          <w:rFonts w:eastAsiaTheme="minorEastAsia" w:cs="Arial"/>
          <w:snapToGrid w:val="0"/>
        </w:rPr>
        <w:t xml:space="preserve"> Aufgabendefinition (ToR) </w:t>
      </w:r>
      <w:r>
        <w:rPr>
          <w:rFonts w:eastAsiaTheme="minorEastAsia" w:cs="Arial"/>
          <w:snapToGrid w:val="0"/>
        </w:rPr>
        <w:t>der</w:t>
      </w:r>
      <w:r w:rsidRPr="00193CA9">
        <w:rPr>
          <w:rFonts w:eastAsiaTheme="minorEastAsia" w:cs="Arial"/>
          <w:snapToGrid w:val="0"/>
        </w:rPr>
        <w:t xml:space="preserve"> WG-HRV, wie in der Anlage dieses Dokuments dargelegt, zu billigen</w:t>
      </w:r>
      <w:r w:rsidRPr="00193CA9">
        <w:t>;</w:t>
      </w:r>
      <w:r>
        <w:t xml:space="preserve"> </w:t>
      </w:r>
      <w:r w:rsidRPr="00193CA9">
        <w:t>und</w:t>
      </w:r>
    </w:p>
    <w:p w14:paraId="5C073CED" w14:textId="77777777" w:rsidR="005A1408" w:rsidRPr="00193CA9" w:rsidRDefault="005A1408" w:rsidP="005A1408"/>
    <w:p w14:paraId="1CB94596" w14:textId="77777777" w:rsidR="005A1408" w:rsidRPr="00193CA9" w:rsidRDefault="005A1408" w:rsidP="005A1408">
      <w:pPr>
        <w:pStyle w:val="ListParagraph"/>
        <w:numPr>
          <w:ilvl w:val="0"/>
          <w:numId w:val="3"/>
        </w:numPr>
      </w:pPr>
      <w:r w:rsidRPr="00193CA9">
        <w:rPr>
          <w:rFonts w:eastAsiaTheme="minorEastAsia" w:cs="Arial"/>
          <w:snapToGrid w:val="0"/>
        </w:rPr>
        <w:t xml:space="preserve">vorbehaltlich der Billigung der </w:t>
      </w:r>
      <w:r>
        <w:rPr>
          <w:rFonts w:eastAsiaTheme="minorEastAsia" w:cs="Arial"/>
          <w:snapToGrid w:val="0"/>
        </w:rPr>
        <w:t>Einrichtung</w:t>
      </w:r>
      <w:r w:rsidRPr="00193CA9">
        <w:rPr>
          <w:rFonts w:eastAsiaTheme="minorEastAsia" w:cs="Arial"/>
          <w:snapToGrid w:val="0"/>
        </w:rPr>
        <w:t xml:space="preserve"> und Aufgabendefinition der WG-HRV das Verbandsbüro zu ersuchen, ein Rundschreiben herauszugeben, um Verbandsmitglieder und Beobachter des CAJ zu ersuchen, ihr Interesse an </w:t>
      </w:r>
      <w:r w:rsidRPr="00C260CB">
        <w:rPr>
          <w:rFonts w:eastAsiaTheme="minorEastAsia" w:cs="Arial"/>
          <w:snapToGrid w:val="0"/>
        </w:rPr>
        <w:t xml:space="preserve">einer </w:t>
      </w:r>
      <w:r>
        <w:rPr>
          <w:rFonts w:eastAsiaTheme="minorEastAsia" w:cs="Arial"/>
          <w:snapToGrid w:val="0"/>
        </w:rPr>
        <w:t>Teilnahme an der WG</w:t>
      </w:r>
      <w:r w:rsidRPr="00C260CB">
        <w:rPr>
          <w:rFonts w:eastAsiaTheme="minorEastAsia" w:cs="Arial"/>
          <w:snapToGrid w:val="0"/>
        </w:rPr>
        <w:t>-HRV zu bekunden</w:t>
      </w:r>
      <w:r w:rsidRPr="00193CA9">
        <w:t>.</w:t>
      </w:r>
    </w:p>
    <w:p w14:paraId="0AAF5E24" w14:textId="77777777" w:rsidR="005A1408" w:rsidRPr="00193CA9" w:rsidRDefault="005A1408" w:rsidP="005A1408">
      <w:pPr>
        <w:rPr>
          <w:rFonts w:cs="Arial"/>
        </w:rPr>
      </w:pPr>
    </w:p>
    <w:p w14:paraId="04BB4BF8" w14:textId="77777777" w:rsidR="005A1408" w:rsidRPr="00193CA9" w:rsidRDefault="005A1408" w:rsidP="005A1408">
      <w:pPr>
        <w:rPr>
          <w:rFonts w:cs="Arial"/>
        </w:rPr>
      </w:pPr>
      <w:r w:rsidRPr="00193CA9">
        <w:rPr>
          <w:rFonts w:cs="Arial"/>
        </w:rPr>
        <w:fldChar w:fldCharType="begin"/>
      </w:r>
      <w:r w:rsidRPr="00193CA9">
        <w:rPr>
          <w:rFonts w:cs="Arial"/>
        </w:rPr>
        <w:instrText xml:space="preserve"> AUTONUM  </w:instrText>
      </w:r>
      <w:r w:rsidRPr="00193CA9">
        <w:rPr>
          <w:rFonts w:cs="Arial"/>
        </w:rPr>
        <w:fldChar w:fldCharType="end"/>
      </w:r>
      <w:r w:rsidRPr="00193CA9">
        <w:rPr>
          <w:rFonts w:cs="Arial"/>
        </w:rPr>
        <w:tab/>
        <w:t xml:space="preserve">Der CAJ wird auf seiner achtundsiebzigsten Tagung einen Bericht über die Antworten auf das Rundschreiben mit </w:t>
      </w:r>
      <w:r w:rsidRPr="00893C39">
        <w:rPr>
          <w:rFonts w:cs="Arial"/>
        </w:rPr>
        <w:t xml:space="preserve">den </w:t>
      </w:r>
      <w:r w:rsidRPr="00893C39">
        <w:rPr>
          <w:rFonts w:eastAsiaTheme="minorEastAsia" w:cs="Arial"/>
          <w:snapToGrid w:val="0"/>
        </w:rPr>
        <w:t xml:space="preserve">Interessenbekundungen </w:t>
      </w:r>
      <w:r>
        <w:rPr>
          <w:rFonts w:eastAsiaTheme="minorEastAsia" w:cs="Arial"/>
          <w:snapToGrid w:val="0"/>
        </w:rPr>
        <w:t>an der Mitwirkung</w:t>
      </w:r>
      <w:r w:rsidRPr="00893C39">
        <w:rPr>
          <w:rFonts w:eastAsiaTheme="minorEastAsia" w:cs="Arial"/>
          <w:snapToGrid w:val="0"/>
        </w:rPr>
        <w:t xml:space="preserve"> an der WG-HRV</w:t>
      </w:r>
      <w:r w:rsidRPr="00893C39">
        <w:rPr>
          <w:rFonts w:cs="Arial"/>
        </w:rPr>
        <w:t xml:space="preserve"> erhalten, </w:t>
      </w:r>
      <w:r>
        <w:rPr>
          <w:rFonts w:cs="Arial"/>
        </w:rPr>
        <w:t>mit einem Gesuch an den CAJ</w:t>
      </w:r>
      <w:r w:rsidRPr="00893C39">
        <w:rPr>
          <w:rFonts w:cs="Arial"/>
        </w:rPr>
        <w:t>, deren Zusammensetzung und den Termin für deren erste Sitzung zu vereinbaren</w:t>
      </w:r>
      <w:r w:rsidRPr="00893C39">
        <w:t>.</w:t>
      </w:r>
      <w:r>
        <w:t xml:space="preserve"> </w:t>
      </w:r>
    </w:p>
    <w:p w14:paraId="205E281C" w14:textId="77777777" w:rsidR="005A1408" w:rsidRPr="00193CA9" w:rsidRDefault="005A1408" w:rsidP="005A1408"/>
    <w:p w14:paraId="57358ACB" w14:textId="77777777" w:rsidR="005A1408" w:rsidRPr="00193CA9" w:rsidRDefault="005A1408" w:rsidP="005A1408">
      <w:pPr>
        <w:pStyle w:val="DecisionParagraphs"/>
      </w:pPr>
      <w:r w:rsidRPr="00193CA9">
        <w:fldChar w:fldCharType="begin"/>
      </w:r>
      <w:r w:rsidRPr="00193CA9">
        <w:instrText xml:space="preserve"> AUTONUM  </w:instrText>
      </w:r>
      <w:r w:rsidRPr="00193CA9">
        <w:fldChar w:fldCharType="end"/>
      </w:r>
      <w:r w:rsidRPr="00193CA9">
        <w:tab/>
      </w:r>
      <w:r w:rsidRPr="00193CA9">
        <w:rPr>
          <w:szCs w:val="24"/>
          <w:lang w:val="de-CH"/>
        </w:rPr>
        <w:t>Der CAJ wird ersucht</w:t>
      </w:r>
      <w:r w:rsidRPr="00193CA9">
        <w:t xml:space="preserve">: </w:t>
      </w:r>
    </w:p>
    <w:p w14:paraId="3C1A78AB" w14:textId="77777777" w:rsidR="005A1408" w:rsidRPr="00193CA9" w:rsidRDefault="005A1408" w:rsidP="005A1408">
      <w:pPr>
        <w:pStyle w:val="DecisionParagraphs"/>
      </w:pPr>
    </w:p>
    <w:p w14:paraId="5E9419AD" w14:textId="77777777" w:rsidR="005A1408" w:rsidRPr="00193CA9" w:rsidRDefault="005A1408" w:rsidP="005A1408">
      <w:pPr>
        <w:pStyle w:val="DecisionParagraphs"/>
      </w:pPr>
      <w:r w:rsidRPr="00193CA9">
        <w:tab/>
        <w:t>a)</w:t>
      </w:r>
      <w:r w:rsidRPr="00193CA9">
        <w:tab/>
      </w:r>
      <w:r w:rsidRPr="002A7C75">
        <w:rPr>
          <w:rFonts w:eastAsiaTheme="minorEastAsia" w:cs="Arial"/>
          <w:snapToGrid w:val="0"/>
        </w:rPr>
        <w:t>die Entwicklungen betreffend Erntegut und ungenehmigte Benutzung von Vermehrungsmaterial zur Kenntnis zu nehmen, einschließlich der maßgeblichen Angelegenheiten bezüglich des „Seminars zum Züchterrecht in Bezug auf Erntegut“, wie in Absätzen 4 bis 16 dieses Dokuments dargelegt; und</w:t>
      </w:r>
    </w:p>
    <w:p w14:paraId="72A9EEB7" w14:textId="77777777" w:rsidR="005A1408" w:rsidRPr="00193CA9" w:rsidRDefault="005A1408" w:rsidP="005A1408">
      <w:pPr>
        <w:pStyle w:val="DecisionParagraphs"/>
      </w:pPr>
    </w:p>
    <w:p w14:paraId="7C37DFC2" w14:textId="77777777" w:rsidR="005A1408" w:rsidRPr="00193CA9" w:rsidRDefault="005A1408" w:rsidP="003D1CF1">
      <w:pPr>
        <w:pStyle w:val="DecisionParagraphs"/>
        <w:keepNext/>
      </w:pPr>
      <w:r w:rsidRPr="00193CA9">
        <w:lastRenderedPageBreak/>
        <w:tab/>
        <w:t>b)</w:t>
      </w:r>
      <w:r w:rsidRPr="00193CA9">
        <w:tab/>
      </w:r>
      <w:r w:rsidRPr="00193CA9">
        <w:rPr>
          <w:rFonts w:eastAsiaTheme="minorEastAsia" w:cs="Arial"/>
          <w:snapToGrid w:val="0"/>
        </w:rPr>
        <w:t xml:space="preserve">die Vorschläge für ein Verfahren zur Überarbeitung </w:t>
      </w:r>
      <w:r>
        <w:rPr>
          <w:rFonts w:eastAsiaTheme="minorEastAsia" w:cs="Arial"/>
          <w:snapToGrid w:val="0"/>
        </w:rPr>
        <w:t>einer</w:t>
      </w:r>
      <w:r w:rsidRPr="00193CA9">
        <w:rPr>
          <w:rFonts w:eastAsiaTheme="minorEastAsia" w:cs="Arial"/>
          <w:snapToGrid w:val="0"/>
        </w:rPr>
        <w:t xml:space="preserve"> maßgeblichen Anleitung wie folgt zu billigen</w:t>
      </w:r>
      <w:r w:rsidRPr="00193CA9">
        <w:t>:</w:t>
      </w:r>
    </w:p>
    <w:p w14:paraId="06900A4B" w14:textId="77777777" w:rsidR="005A1408" w:rsidRPr="00193CA9" w:rsidRDefault="005A1408" w:rsidP="005A1408">
      <w:pPr>
        <w:pStyle w:val="DecisionParagraphs"/>
      </w:pPr>
    </w:p>
    <w:p w14:paraId="5EE7999D" w14:textId="034F0047" w:rsidR="005A1408" w:rsidRPr="003D1CF1" w:rsidRDefault="005A1408" w:rsidP="005A1408">
      <w:pPr>
        <w:pStyle w:val="DecisionParagraphs"/>
        <w:tabs>
          <w:tab w:val="left" w:pos="6480"/>
        </w:tabs>
        <w:ind w:left="5387"/>
      </w:pPr>
      <w:r w:rsidRPr="003D1CF1">
        <w:tab/>
        <w:t>i)</w:t>
      </w:r>
      <w:r w:rsidRPr="003D1CF1">
        <w:tab/>
      </w:r>
      <w:r w:rsidRPr="003D1CF1">
        <w:rPr>
          <w:rFonts w:eastAsiaTheme="minorEastAsia" w:cs="Arial"/>
          <w:snapToGrid w:val="0"/>
        </w:rPr>
        <w:t xml:space="preserve">zu vereinbaren, eine Überarbeitung der „Erläuterungen zu Handlungen in Bezug auf Erntegut </w:t>
      </w:r>
      <w:r w:rsidR="003D1CF1" w:rsidRPr="003D1CF1">
        <w:rPr>
          <w:rFonts w:eastAsiaTheme="minorEastAsia" w:cs="Arial"/>
          <w:snapToGrid w:val="0"/>
        </w:rPr>
        <w:t>nach der Akte von 1991 des UPOV</w:t>
      </w:r>
      <w:r w:rsidR="003D1CF1" w:rsidRPr="003D1CF1">
        <w:rPr>
          <w:rFonts w:eastAsiaTheme="minorEastAsia" w:cs="Arial"/>
          <w:snapToGrid w:val="0"/>
        </w:rPr>
        <w:noBreakHyphen/>
      </w:r>
      <w:r w:rsidRPr="003D1CF1">
        <w:rPr>
          <w:rFonts w:eastAsiaTheme="minorEastAsia" w:cs="Arial"/>
          <w:snapToGrid w:val="0"/>
        </w:rPr>
        <w:t>Übereinkommens“ (Dokument UPOV/EXN/HRV/1), „Erläuterungen zu Vermehrungsmaterial n</w:t>
      </w:r>
      <w:r w:rsidR="003D1CF1" w:rsidRPr="003D1CF1">
        <w:rPr>
          <w:rFonts w:eastAsiaTheme="minorEastAsia" w:cs="Arial"/>
          <w:snapToGrid w:val="0"/>
        </w:rPr>
        <w:t>ach dem UPOV</w:t>
      </w:r>
      <w:r w:rsidR="003D1CF1" w:rsidRPr="003D1CF1">
        <w:rPr>
          <w:rFonts w:eastAsiaTheme="minorEastAsia" w:cs="Arial"/>
          <w:snapToGrid w:val="0"/>
        </w:rPr>
        <w:noBreakHyphen/>
      </w:r>
      <w:r w:rsidRPr="003D1CF1">
        <w:rPr>
          <w:rFonts w:eastAsiaTheme="minorEastAsia" w:cs="Arial"/>
          <w:snapToGrid w:val="0"/>
        </w:rPr>
        <w:t>Übereinkommen“ (UPOV/EXN/PPM/1) und „Erläuterungen zum vorläufigen Schutz nach dem UPOV-Übereinkommen“ (UPOV/EXN/PRP/2) einzuleiten;</w:t>
      </w:r>
    </w:p>
    <w:p w14:paraId="75FD08FA" w14:textId="77777777" w:rsidR="005A1408" w:rsidRPr="00193CA9" w:rsidRDefault="005A1408" w:rsidP="005A1408">
      <w:pPr>
        <w:pStyle w:val="DecisionParagraphs"/>
        <w:tabs>
          <w:tab w:val="left" w:pos="6480"/>
        </w:tabs>
        <w:ind w:left="5387"/>
      </w:pPr>
    </w:p>
    <w:p w14:paraId="074E6313" w14:textId="77777777" w:rsidR="005A1408" w:rsidRPr="00193CA9" w:rsidRDefault="005A1408" w:rsidP="005A1408">
      <w:pPr>
        <w:pStyle w:val="DecisionParagraphs"/>
        <w:tabs>
          <w:tab w:val="left" w:pos="6480"/>
        </w:tabs>
        <w:ind w:left="5387"/>
      </w:pPr>
      <w:r w:rsidRPr="00193CA9">
        <w:tab/>
        <w:t>ii)</w:t>
      </w:r>
      <w:r w:rsidRPr="00193CA9">
        <w:tab/>
      </w:r>
      <w:r w:rsidRPr="00193CA9">
        <w:rPr>
          <w:rFonts w:eastAsiaTheme="minorEastAsia" w:cs="Arial"/>
          <w:snapToGrid w:val="0"/>
        </w:rPr>
        <w:t xml:space="preserve">zu vereinbaren, eine Arbeitsgruppe für Erntegut und </w:t>
      </w:r>
      <w:r w:rsidRPr="00193CA9">
        <w:rPr>
          <w:szCs w:val="24"/>
          <w:lang w:val="de-CH"/>
        </w:rPr>
        <w:t>ungenehmigte Benutzung</w:t>
      </w:r>
      <w:r w:rsidRPr="00193CA9">
        <w:rPr>
          <w:rFonts w:eastAsiaTheme="minorEastAsia" w:cs="Arial"/>
          <w:snapToGrid w:val="0"/>
        </w:rPr>
        <w:t xml:space="preserve"> von Vermehrungsmaterial (WG-HRV) </w:t>
      </w:r>
      <w:r>
        <w:rPr>
          <w:rFonts w:eastAsiaTheme="minorEastAsia" w:cs="Arial"/>
          <w:snapToGrid w:val="0"/>
        </w:rPr>
        <w:t>einzurichten</w:t>
      </w:r>
      <w:r w:rsidRPr="00193CA9">
        <w:t xml:space="preserve">; </w:t>
      </w:r>
    </w:p>
    <w:p w14:paraId="653B73F1" w14:textId="77777777" w:rsidR="005A1408" w:rsidRPr="00193CA9" w:rsidRDefault="005A1408" w:rsidP="005A1408">
      <w:pPr>
        <w:pStyle w:val="DecisionParagraphs"/>
        <w:tabs>
          <w:tab w:val="left" w:pos="6480"/>
        </w:tabs>
        <w:ind w:left="5387"/>
      </w:pPr>
    </w:p>
    <w:p w14:paraId="34DBCC8D" w14:textId="77777777" w:rsidR="005A1408" w:rsidRPr="00193CA9" w:rsidRDefault="005A1408" w:rsidP="005A1408">
      <w:pPr>
        <w:pStyle w:val="DecisionParagraphs"/>
        <w:tabs>
          <w:tab w:val="left" w:pos="6480"/>
        </w:tabs>
        <w:ind w:left="5387"/>
      </w:pPr>
      <w:r w:rsidRPr="00193CA9">
        <w:tab/>
        <w:t>iii)</w:t>
      </w:r>
      <w:r w:rsidRPr="00193CA9">
        <w:tab/>
      </w:r>
      <w:r w:rsidRPr="00193CA9">
        <w:rPr>
          <w:rFonts w:eastAsiaTheme="minorEastAsia" w:cs="Arial"/>
          <w:snapToGrid w:val="0"/>
        </w:rPr>
        <w:t xml:space="preserve">den Entwurf </w:t>
      </w:r>
      <w:r>
        <w:rPr>
          <w:rFonts w:eastAsiaTheme="minorEastAsia" w:cs="Arial"/>
          <w:snapToGrid w:val="0"/>
        </w:rPr>
        <w:t>einer</w:t>
      </w:r>
      <w:r w:rsidRPr="00193CA9">
        <w:rPr>
          <w:rFonts w:eastAsiaTheme="minorEastAsia" w:cs="Arial"/>
          <w:snapToGrid w:val="0"/>
        </w:rPr>
        <w:t xml:space="preserve"> Aufgabendefinition (ToR) </w:t>
      </w:r>
      <w:r>
        <w:rPr>
          <w:rFonts w:eastAsiaTheme="minorEastAsia" w:cs="Arial"/>
          <w:snapToGrid w:val="0"/>
        </w:rPr>
        <w:t>der</w:t>
      </w:r>
      <w:r w:rsidRPr="00193CA9">
        <w:rPr>
          <w:rFonts w:eastAsiaTheme="minorEastAsia" w:cs="Arial"/>
          <w:snapToGrid w:val="0"/>
        </w:rPr>
        <w:t xml:space="preserve"> WG-HRV, wie in der Anlage dieses Dokuments dargelegt, zu billigen</w:t>
      </w:r>
      <w:r w:rsidRPr="00193CA9">
        <w:t>;</w:t>
      </w:r>
      <w:r>
        <w:t xml:space="preserve"> </w:t>
      </w:r>
    </w:p>
    <w:p w14:paraId="6F431B8E" w14:textId="77777777" w:rsidR="005A1408" w:rsidRPr="00193CA9" w:rsidRDefault="005A1408" w:rsidP="005A1408">
      <w:pPr>
        <w:pStyle w:val="DecisionParagraphs"/>
        <w:tabs>
          <w:tab w:val="left" w:pos="6480"/>
        </w:tabs>
        <w:ind w:left="5387"/>
      </w:pPr>
    </w:p>
    <w:p w14:paraId="7C850AB9" w14:textId="77777777" w:rsidR="005A1408" w:rsidRPr="00193CA9" w:rsidRDefault="005A1408" w:rsidP="005A1408">
      <w:pPr>
        <w:pStyle w:val="DecisionParagraphs"/>
        <w:tabs>
          <w:tab w:val="left" w:pos="6480"/>
        </w:tabs>
        <w:ind w:left="5387"/>
      </w:pPr>
      <w:r w:rsidRPr="00193CA9">
        <w:tab/>
        <w:t>iv)</w:t>
      </w:r>
      <w:r w:rsidRPr="00193CA9">
        <w:tab/>
      </w:r>
      <w:r w:rsidRPr="00193CA9">
        <w:rPr>
          <w:rFonts w:eastAsiaTheme="minorEastAsia" w:cs="Arial"/>
          <w:snapToGrid w:val="0"/>
        </w:rPr>
        <w:t xml:space="preserve">vorbehaltlich der Billigung der </w:t>
      </w:r>
      <w:r>
        <w:rPr>
          <w:rFonts w:eastAsiaTheme="minorEastAsia" w:cs="Arial"/>
          <w:snapToGrid w:val="0"/>
        </w:rPr>
        <w:t>Einrichtung</w:t>
      </w:r>
      <w:r w:rsidRPr="00193CA9">
        <w:rPr>
          <w:rFonts w:eastAsiaTheme="minorEastAsia" w:cs="Arial"/>
          <w:snapToGrid w:val="0"/>
        </w:rPr>
        <w:t xml:space="preserve"> und Aufgabendefinition der WG-HRV das Verbandsbüro zu ersuchen, ein Rundschreiben herauszugeben, um Verbandsmitglieder und Beobachter des CAJ zu ersuchen, ihr Interesse an einer </w:t>
      </w:r>
      <w:r>
        <w:rPr>
          <w:rFonts w:eastAsiaTheme="minorEastAsia" w:cs="Arial"/>
          <w:snapToGrid w:val="0"/>
        </w:rPr>
        <w:t>Teilnahme an der WG</w:t>
      </w:r>
      <w:r w:rsidRPr="00193CA9">
        <w:rPr>
          <w:rFonts w:eastAsiaTheme="minorEastAsia" w:cs="Arial"/>
          <w:snapToGrid w:val="0"/>
        </w:rPr>
        <w:t>-HRV zu bekunden, und</w:t>
      </w:r>
    </w:p>
    <w:p w14:paraId="16F94A07" w14:textId="77777777" w:rsidR="005A1408" w:rsidRPr="00193CA9" w:rsidRDefault="005A1408" w:rsidP="005A1408">
      <w:pPr>
        <w:pStyle w:val="DecisionParagraphs"/>
        <w:tabs>
          <w:tab w:val="left" w:pos="6480"/>
        </w:tabs>
        <w:ind w:left="5387"/>
      </w:pPr>
    </w:p>
    <w:p w14:paraId="7499BAE4" w14:textId="77777777" w:rsidR="005A1408" w:rsidRPr="00193CA9" w:rsidRDefault="005A1408" w:rsidP="005A1408">
      <w:pPr>
        <w:pStyle w:val="DecisionParagraphs"/>
        <w:tabs>
          <w:tab w:val="left" w:pos="6480"/>
        </w:tabs>
        <w:ind w:left="5387"/>
      </w:pPr>
      <w:r w:rsidRPr="00193CA9">
        <w:tab/>
        <w:t>v)</w:t>
      </w:r>
      <w:r w:rsidRPr="00193CA9">
        <w:tab/>
      </w:r>
      <w:r w:rsidRPr="002D4521">
        <w:rPr>
          <w:rFonts w:eastAsiaTheme="minorEastAsia" w:cs="Arial"/>
          <w:snapToGrid w:val="0"/>
        </w:rPr>
        <w:t xml:space="preserve">zur Kenntnis zu nehmen, dass der CAJ auf seiner achtundsiebzigsten Tagung gegebenenfalls einen Bericht über die Antworten auf das Rundschreiben mit den </w:t>
      </w:r>
      <w:r w:rsidRPr="00893C39">
        <w:rPr>
          <w:rFonts w:eastAsiaTheme="minorEastAsia" w:cs="Arial"/>
          <w:snapToGrid w:val="0"/>
        </w:rPr>
        <w:t xml:space="preserve">Interessenbekundungen </w:t>
      </w:r>
      <w:r>
        <w:rPr>
          <w:rFonts w:eastAsiaTheme="minorEastAsia" w:cs="Arial"/>
          <w:snapToGrid w:val="0"/>
        </w:rPr>
        <w:t>an der Mitwirkung</w:t>
      </w:r>
      <w:r w:rsidRPr="00893C39">
        <w:rPr>
          <w:rFonts w:eastAsiaTheme="minorEastAsia" w:cs="Arial"/>
          <w:snapToGrid w:val="0"/>
        </w:rPr>
        <w:t xml:space="preserve"> an der WG-HRV erhalten wird, </w:t>
      </w:r>
      <w:r>
        <w:rPr>
          <w:rFonts w:eastAsiaTheme="minorEastAsia" w:cs="Arial"/>
          <w:snapToGrid w:val="0"/>
        </w:rPr>
        <w:t>mit einem Gesuch an den CAJ</w:t>
      </w:r>
      <w:r w:rsidRPr="00893C39">
        <w:rPr>
          <w:rFonts w:eastAsiaTheme="minorEastAsia" w:cs="Arial"/>
          <w:snapToGrid w:val="0"/>
        </w:rPr>
        <w:t>, deren Zusammensetzung und den Termin</w:t>
      </w:r>
      <w:r w:rsidRPr="002D4521">
        <w:rPr>
          <w:rFonts w:eastAsiaTheme="minorEastAsia" w:cs="Arial"/>
          <w:snapToGrid w:val="0"/>
        </w:rPr>
        <w:t xml:space="preserve"> für deren erste Sitzung zu vereinbaren</w:t>
      </w:r>
      <w:r w:rsidRPr="00193CA9">
        <w:t xml:space="preserve">. </w:t>
      </w:r>
    </w:p>
    <w:p w14:paraId="48A3C08D" w14:textId="77777777" w:rsidR="005A1408" w:rsidRPr="00193CA9" w:rsidRDefault="005A1408" w:rsidP="005A1408">
      <w:pPr>
        <w:pStyle w:val="DecisionParagraphs"/>
        <w:tabs>
          <w:tab w:val="left" w:pos="6570"/>
        </w:tabs>
        <w:ind w:left="4770"/>
      </w:pPr>
    </w:p>
    <w:p w14:paraId="4D1EC7A6" w14:textId="77777777" w:rsidR="005A1408" w:rsidRPr="00193CA9" w:rsidRDefault="005A1408" w:rsidP="005A1408">
      <w:pPr>
        <w:pStyle w:val="DecisionParagraphs"/>
        <w:tabs>
          <w:tab w:val="left" w:pos="6570"/>
        </w:tabs>
        <w:ind w:left="4770"/>
      </w:pPr>
    </w:p>
    <w:p w14:paraId="30DE10C2" w14:textId="77777777" w:rsidR="005A1408" w:rsidRPr="00193CA9" w:rsidRDefault="005A1408" w:rsidP="005A1408">
      <w:pPr>
        <w:jc w:val="right"/>
      </w:pPr>
      <w:r w:rsidRPr="00193CA9">
        <w:t>[Anlage folgt]</w:t>
      </w:r>
    </w:p>
    <w:p w14:paraId="5235BA11" w14:textId="77777777" w:rsidR="005A1408" w:rsidRPr="00193CA9" w:rsidRDefault="005A1408" w:rsidP="005A1408">
      <w:pPr>
        <w:pStyle w:val="DecisionParagraphs"/>
        <w:tabs>
          <w:tab w:val="left" w:pos="6570"/>
        </w:tabs>
        <w:ind w:left="4770"/>
      </w:pPr>
    </w:p>
    <w:p w14:paraId="723004FA" w14:textId="77777777" w:rsidR="005A1408" w:rsidRPr="00193CA9" w:rsidRDefault="005A1408" w:rsidP="005A1408">
      <w:pPr>
        <w:pStyle w:val="DecisionParagraphs"/>
        <w:tabs>
          <w:tab w:val="left" w:pos="6570"/>
        </w:tabs>
        <w:ind w:left="4770"/>
      </w:pPr>
    </w:p>
    <w:p w14:paraId="373BCCC1" w14:textId="77777777" w:rsidR="005A1408" w:rsidRPr="00193CA9" w:rsidRDefault="005A1408" w:rsidP="005A1408"/>
    <w:p w14:paraId="0C2ACB2D" w14:textId="77777777" w:rsidR="005A1408" w:rsidRPr="00193CA9" w:rsidRDefault="005A1408" w:rsidP="005A1408">
      <w:pPr>
        <w:sectPr w:rsidR="005A1408" w:rsidRPr="00193CA9" w:rsidSect="00A359FC">
          <w:headerReference w:type="default" r:id="rId10"/>
          <w:pgSz w:w="11907" w:h="16840" w:code="9"/>
          <w:pgMar w:top="504" w:right="1138" w:bottom="1138" w:left="1138" w:header="504" w:footer="677" w:gutter="0"/>
          <w:pgNumType w:start="1"/>
          <w:cols w:space="720"/>
          <w:titlePg/>
        </w:sectPr>
      </w:pPr>
    </w:p>
    <w:p w14:paraId="60C146A0" w14:textId="77777777" w:rsidR="005A1408" w:rsidRPr="00193CA9" w:rsidRDefault="005A1408" w:rsidP="005A1408">
      <w:pPr>
        <w:jc w:val="center"/>
      </w:pPr>
      <w:r w:rsidRPr="00193CA9">
        <w:rPr>
          <w:rFonts w:cs="Arial"/>
        </w:rPr>
        <w:lastRenderedPageBreak/>
        <w:t xml:space="preserve">ENTWURF </w:t>
      </w:r>
      <w:r>
        <w:rPr>
          <w:rFonts w:cs="Arial"/>
        </w:rPr>
        <w:t>EINER</w:t>
      </w:r>
      <w:r w:rsidRPr="00193CA9">
        <w:rPr>
          <w:rFonts w:cs="Arial"/>
        </w:rPr>
        <w:t xml:space="preserve"> AUFGABENDEFINITION DER ARBEITSGRUPPE FÜR </w:t>
      </w:r>
      <w:r>
        <w:rPr>
          <w:rFonts w:cs="Arial"/>
        </w:rPr>
        <w:t>ERNTEGUT</w:t>
      </w:r>
      <w:r w:rsidRPr="00193CA9">
        <w:rPr>
          <w:rFonts w:cs="Arial"/>
        </w:rPr>
        <w:t xml:space="preserve"> UND UNGENEHMIGTE BENUTZUNG VON VERMEHRUNGSMATERIAL </w:t>
      </w:r>
      <w:r w:rsidRPr="00193CA9">
        <w:t>(WG-HRV)</w:t>
      </w:r>
    </w:p>
    <w:p w14:paraId="71BF5AB0" w14:textId="77777777" w:rsidR="005A1408" w:rsidRPr="00193CA9" w:rsidRDefault="005A1408" w:rsidP="005A1408"/>
    <w:p w14:paraId="550707B9" w14:textId="77777777" w:rsidR="005A1408" w:rsidRPr="00193CA9" w:rsidRDefault="005A1408" w:rsidP="005A1408"/>
    <w:p w14:paraId="09C032BB" w14:textId="77777777" w:rsidR="005A1408" w:rsidRPr="00193CA9" w:rsidRDefault="005A1408" w:rsidP="005A1408">
      <w:bookmarkStart w:id="25" w:name="_Toc47557368"/>
      <w:bookmarkStart w:id="26" w:name="_Toc48316464"/>
      <w:r w:rsidRPr="00193CA9">
        <w:t>ZWECK:</w:t>
      </w:r>
      <w:bookmarkEnd w:id="25"/>
      <w:bookmarkEnd w:id="26"/>
      <w:r w:rsidRPr="00193CA9">
        <w:t xml:space="preserve"> </w:t>
      </w:r>
    </w:p>
    <w:p w14:paraId="2D66E057" w14:textId="77777777" w:rsidR="005A1408" w:rsidRPr="00193CA9" w:rsidRDefault="005A1408" w:rsidP="005A1408">
      <w:pPr>
        <w:contextualSpacing/>
        <w:rPr>
          <w:rFonts w:cs="Arial"/>
          <w:sz w:val="18"/>
        </w:rPr>
      </w:pPr>
    </w:p>
    <w:p w14:paraId="5EB92A1E" w14:textId="77777777" w:rsidR="005A1408" w:rsidRPr="00193CA9" w:rsidRDefault="005A1408" w:rsidP="005A1408">
      <w:pPr>
        <w:contextualSpacing/>
        <w:rPr>
          <w:rFonts w:cs="Arial"/>
        </w:rPr>
      </w:pPr>
      <w:r w:rsidRPr="00193CA9">
        <w:rPr>
          <w:rFonts w:eastAsiaTheme="minorEastAsia" w:cs="Arial"/>
          <w:snapToGrid w:val="0"/>
        </w:rPr>
        <w:t xml:space="preserve">Zweck der WG-HRV ist es, eine Überarbeitung der „Erläuterungen zu Handlungen in Bezug auf Erntegut nach der Akte von 1991 des UPOV Übereinkommens“ (Dokument UPOV/EXN/HRV/1), „Erläuterungen zu Vermehrungsmaterial nach dem UPOV Übereinkommen“ (UPOV/EXN/PPM/1) und „Erläuterungen zum vorläufigen Schutz nach dem UPOV-Übereinkommen“ (UPOV/EXN/PRP/2) zur Prüfung durch den Verwaltungs- und Rechtsauschuss </w:t>
      </w:r>
      <w:r>
        <w:rPr>
          <w:rFonts w:eastAsiaTheme="minorEastAsia" w:cs="Arial"/>
          <w:snapToGrid w:val="0"/>
        </w:rPr>
        <w:t xml:space="preserve">(CAJ) </w:t>
      </w:r>
      <w:r w:rsidRPr="00193CA9">
        <w:rPr>
          <w:rFonts w:eastAsiaTheme="minorEastAsia" w:cs="Arial"/>
          <w:snapToGrid w:val="0"/>
        </w:rPr>
        <w:t>auszuarbeiten</w:t>
      </w:r>
      <w:r w:rsidRPr="00193CA9">
        <w:rPr>
          <w:rFonts w:cs="Arial"/>
        </w:rPr>
        <w:t>.</w:t>
      </w:r>
    </w:p>
    <w:p w14:paraId="0091A9CD" w14:textId="77777777" w:rsidR="005A1408" w:rsidRPr="00193CA9" w:rsidRDefault="005A1408" w:rsidP="005A1408">
      <w:pPr>
        <w:rPr>
          <w:sz w:val="18"/>
          <w:szCs w:val="18"/>
        </w:rPr>
      </w:pPr>
    </w:p>
    <w:p w14:paraId="6F2BDC56" w14:textId="77777777" w:rsidR="005A1408" w:rsidRPr="00193CA9" w:rsidRDefault="005A1408" w:rsidP="005A1408">
      <w:pPr>
        <w:rPr>
          <w:sz w:val="18"/>
          <w:szCs w:val="18"/>
        </w:rPr>
      </w:pPr>
    </w:p>
    <w:p w14:paraId="00B0B84C" w14:textId="77777777" w:rsidR="005A1408" w:rsidRPr="00193CA9" w:rsidRDefault="005A1408" w:rsidP="005A1408">
      <w:pPr>
        <w:rPr>
          <w:sz w:val="18"/>
          <w:szCs w:val="18"/>
        </w:rPr>
      </w:pPr>
    </w:p>
    <w:p w14:paraId="169AED97" w14:textId="77777777" w:rsidR="005A1408" w:rsidRPr="00193CA9" w:rsidRDefault="005A1408" w:rsidP="005A1408">
      <w:bookmarkStart w:id="27" w:name="_Toc47557369"/>
      <w:bookmarkStart w:id="28" w:name="_Toc48316465"/>
      <w:r w:rsidRPr="00193CA9">
        <w:t>ZUSAMMENSETZUNG:</w:t>
      </w:r>
      <w:bookmarkEnd w:id="27"/>
      <w:bookmarkEnd w:id="28"/>
    </w:p>
    <w:p w14:paraId="50997340" w14:textId="77777777" w:rsidR="005A1408" w:rsidRPr="00193CA9" w:rsidRDefault="005A1408" w:rsidP="005A1408">
      <w:pPr>
        <w:rPr>
          <w:rFonts w:cs="Arial"/>
          <w:sz w:val="18"/>
          <w:szCs w:val="18"/>
        </w:rPr>
      </w:pPr>
    </w:p>
    <w:p w14:paraId="29E748D6" w14:textId="2F9816D1" w:rsidR="005A1408" w:rsidRPr="00193CA9" w:rsidRDefault="005A1408" w:rsidP="003D1CF1">
      <w:pPr>
        <w:tabs>
          <w:tab w:val="left" w:pos="1080"/>
        </w:tabs>
        <w:ind w:firstLine="567"/>
        <w:rPr>
          <w:rFonts w:cs="Arial"/>
          <w:color w:val="000000"/>
        </w:rPr>
      </w:pPr>
      <w:r w:rsidRPr="00193CA9">
        <w:rPr>
          <w:rFonts w:cs="Arial"/>
        </w:rPr>
        <w:t>a)</w:t>
      </w:r>
      <w:r w:rsidRPr="00193CA9">
        <w:rPr>
          <w:rFonts w:cs="Arial"/>
        </w:rPr>
        <w:tab/>
      </w:r>
      <w:r w:rsidR="001B2BB3">
        <w:rPr>
          <w:rFonts w:cs="Arial"/>
        </w:rPr>
        <w:t xml:space="preserve">wäre </w:t>
      </w:r>
      <w:r w:rsidRPr="00193CA9">
        <w:rPr>
          <w:rFonts w:cs="Arial"/>
        </w:rPr>
        <w:t>aus den vom CAJ vereinbarten Verbandsmitgliedern und Beobachtern</w:t>
      </w:r>
      <w:r w:rsidR="001B2BB3">
        <w:rPr>
          <w:rFonts w:cs="Arial"/>
        </w:rPr>
        <w:t xml:space="preserve"> </w:t>
      </w:r>
      <w:r w:rsidR="001B2BB3" w:rsidRPr="00193CA9">
        <w:rPr>
          <w:rFonts w:cs="Arial"/>
        </w:rPr>
        <w:t>zusammengesetzt</w:t>
      </w:r>
      <w:r w:rsidRPr="00193CA9">
        <w:rPr>
          <w:rFonts w:cs="Arial"/>
          <w:color w:val="000000"/>
        </w:rPr>
        <w:t xml:space="preserve">; </w:t>
      </w:r>
    </w:p>
    <w:p w14:paraId="28E20F2A" w14:textId="77777777" w:rsidR="005A1408" w:rsidRPr="00193CA9" w:rsidRDefault="005A1408" w:rsidP="003D1CF1">
      <w:pPr>
        <w:tabs>
          <w:tab w:val="left" w:pos="1080"/>
        </w:tabs>
        <w:rPr>
          <w:rFonts w:cs="Arial"/>
          <w:sz w:val="18"/>
          <w:szCs w:val="18"/>
        </w:rPr>
      </w:pPr>
    </w:p>
    <w:p w14:paraId="036C746F" w14:textId="77777777" w:rsidR="005A1408" w:rsidRPr="00193CA9" w:rsidRDefault="005A1408" w:rsidP="003D1CF1">
      <w:pPr>
        <w:tabs>
          <w:tab w:val="left" w:pos="1080"/>
        </w:tabs>
        <w:ind w:firstLine="567"/>
        <w:rPr>
          <w:rFonts w:cs="Arial"/>
        </w:rPr>
      </w:pPr>
      <w:r w:rsidRPr="00193CA9">
        <w:rPr>
          <w:rFonts w:cs="Arial"/>
        </w:rPr>
        <w:t>b)</w:t>
      </w:r>
      <w:r w:rsidRPr="00193CA9">
        <w:rPr>
          <w:rFonts w:cs="Arial"/>
        </w:rPr>
        <w:tab/>
      </w:r>
      <w:r w:rsidRPr="00193CA9">
        <w:t xml:space="preserve">anderen Verbandsmitgliedern stünde es frei, an </w:t>
      </w:r>
      <w:r>
        <w:t>jeglicher</w:t>
      </w:r>
      <w:r w:rsidRPr="00193CA9">
        <w:t xml:space="preserve"> Sitzung der WG-HRV teilzunehmen und</w:t>
      </w:r>
      <w:r>
        <w:t xml:space="preserve"> Bemerkungen abzugeben, wenn erwünscht</w:t>
      </w:r>
      <w:r w:rsidRPr="00193CA9">
        <w:rPr>
          <w:rFonts w:cs="Arial"/>
        </w:rPr>
        <w:t>;</w:t>
      </w:r>
    </w:p>
    <w:p w14:paraId="72BB864F" w14:textId="77777777" w:rsidR="005A1408" w:rsidRPr="00193CA9" w:rsidRDefault="005A1408" w:rsidP="003D1CF1">
      <w:pPr>
        <w:tabs>
          <w:tab w:val="left" w:pos="1080"/>
        </w:tabs>
        <w:rPr>
          <w:rFonts w:cs="Arial"/>
          <w:sz w:val="18"/>
          <w:szCs w:val="18"/>
        </w:rPr>
      </w:pPr>
    </w:p>
    <w:p w14:paraId="1F1C898D" w14:textId="77777777" w:rsidR="005A1408" w:rsidRPr="00193CA9" w:rsidRDefault="005A1408" w:rsidP="003D1CF1">
      <w:pPr>
        <w:tabs>
          <w:tab w:val="left" w:pos="1080"/>
        </w:tabs>
        <w:ind w:firstLine="567"/>
        <w:rPr>
          <w:rFonts w:cs="Arial"/>
        </w:rPr>
      </w:pPr>
      <w:r w:rsidRPr="00193CA9">
        <w:rPr>
          <w:rFonts w:cs="Arial"/>
        </w:rPr>
        <w:t>c)</w:t>
      </w:r>
      <w:r w:rsidRPr="00193CA9">
        <w:rPr>
          <w:rFonts w:cs="Arial"/>
        </w:rPr>
        <w:tab/>
      </w:r>
      <w:r w:rsidRPr="00193CA9">
        <w:t>die WG-HRV würde auf den CAJ zurückkommen, wenn die WG-HRV empfehle</w:t>
      </w:r>
      <w:r>
        <w:t>n würde</w:t>
      </w:r>
      <w:r w:rsidRPr="00193CA9">
        <w:t>, weitere Beobachter oder Sachverständige zu einer ihrer Sitzungen einzuladen</w:t>
      </w:r>
      <w:r>
        <w:t>;</w:t>
      </w:r>
      <w:r w:rsidRPr="00193CA9">
        <w:t xml:space="preserve"> und</w:t>
      </w:r>
      <w:r>
        <w:rPr>
          <w:rFonts w:cs="Arial"/>
        </w:rPr>
        <w:t xml:space="preserve"> </w:t>
      </w:r>
      <w:r w:rsidRPr="00193CA9">
        <w:rPr>
          <w:rFonts w:cs="Arial"/>
        </w:rPr>
        <w:t xml:space="preserve"> </w:t>
      </w:r>
    </w:p>
    <w:p w14:paraId="24D59BA6" w14:textId="77777777" w:rsidR="005A1408" w:rsidRPr="00193CA9" w:rsidRDefault="005A1408" w:rsidP="005A1408">
      <w:pPr>
        <w:rPr>
          <w:rFonts w:cs="Arial"/>
          <w:sz w:val="18"/>
          <w:szCs w:val="18"/>
        </w:rPr>
      </w:pPr>
    </w:p>
    <w:p w14:paraId="31C0F657" w14:textId="77777777" w:rsidR="005A1408" w:rsidRPr="00193CA9" w:rsidRDefault="005A1408" w:rsidP="003D1CF1">
      <w:pPr>
        <w:tabs>
          <w:tab w:val="left" w:pos="1080"/>
        </w:tabs>
        <w:ind w:firstLine="567"/>
        <w:rPr>
          <w:rFonts w:cs="Arial"/>
        </w:rPr>
      </w:pPr>
      <w:r w:rsidRPr="00193CA9">
        <w:rPr>
          <w:rFonts w:cs="Arial"/>
        </w:rPr>
        <w:t>d)</w:t>
      </w:r>
      <w:r w:rsidRPr="00193CA9">
        <w:rPr>
          <w:rFonts w:cs="Arial"/>
        </w:rPr>
        <w:tab/>
      </w:r>
      <w:r w:rsidRPr="00193CA9">
        <w:t xml:space="preserve">Sitzungen </w:t>
      </w:r>
      <w:r>
        <w:t xml:space="preserve">würden </w:t>
      </w:r>
      <w:r w:rsidRPr="00193CA9">
        <w:t>unter dem Vorsitz des Stellvertretenden Generalsekretärs</w:t>
      </w:r>
      <w:r>
        <w:t xml:space="preserve"> abgehalten</w:t>
      </w:r>
      <w:r w:rsidRPr="00193CA9">
        <w:rPr>
          <w:rFonts w:cs="Arial"/>
        </w:rPr>
        <w:t>.</w:t>
      </w:r>
    </w:p>
    <w:p w14:paraId="52B72293" w14:textId="77777777" w:rsidR="005A1408" w:rsidRPr="00193CA9" w:rsidRDefault="005A1408" w:rsidP="005A1408">
      <w:pPr>
        <w:rPr>
          <w:sz w:val="18"/>
        </w:rPr>
      </w:pPr>
    </w:p>
    <w:p w14:paraId="56B6395E" w14:textId="77777777" w:rsidR="005A1408" w:rsidRPr="00193CA9" w:rsidRDefault="005A1408" w:rsidP="005A1408">
      <w:pPr>
        <w:rPr>
          <w:sz w:val="18"/>
        </w:rPr>
      </w:pPr>
    </w:p>
    <w:p w14:paraId="27C3AE6E" w14:textId="77777777" w:rsidR="005A1408" w:rsidRPr="00193CA9" w:rsidRDefault="005A1408" w:rsidP="005A1408">
      <w:pPr>
        <w:rPr>
          <w:sz w:val="18"/>
        </w:rPr>
      </w:pPr>
    </w:p>
    <w:p w14:paraId="19077F4A" w14:textId="77777777" w:rsidR="005A1408" w:rsidRPr="00193CA9" w:rsidRDefault="005A1408" w:rsidP="005A1408">
      <w:bookmarkStart w:id="29" w:name="_Toc47557370"/>
      <w:bookmarkStart w:id="30" w:name="_Toc48316466"/>
      <w:r w:rsidRPr="00193CA9">
        <w:t>MODUS OPERANDI:</w:t>
      </w:r>
      <w:bookmarkEnd w:id="29"/>
      <w:bookmarkEnd w:id="30"/>
    </w:p>
    <w:p w14:paraId="4FAAFEBE" w14:textId="77777777" w:rsidR="005A1408" w:rsidRPr="00193CA9" w:rsidRDefault="005A1408" w:rsidP="005A1408">
      <w:pPr>
        <w:rPr>
          <w:rFonts w:cs="Arial"/>
          <w:sz w:val="18"/>
          <w:szCs w:val="18"/>
          <w:u w:val="single"/>
        </w:rPr>
      </w:pPr>
    </w:p>
    <w:p w14:paraId="6DFB9616" w14:textId="77777777" w:rsidR="005A1408" w:rsidRPr="00193CA9" w:rsidRDefault="005A1408" w:rsidP="003D1CF1">
      <w:pPr>
        <w:tabs>
          <w:tab w:val="left" w:pos="1080"/>
        </w:tabs>
        <w:ind w:firstLine="630"/>
        <w:rPr>
          <w:rFonts w:cs="Arial"/>
        </w:rPr>
      </w:pPr>
      <w:r w:rsidRPr="00193CA9">
        <w:rPr>
          <w:rFonts w:cs="Arial"/>
        </w:rPr>
        <w:t xml:space="preserve">a) </w:t>
      </w:r>
      <w:r w:rsidRPr="00193CA9">
        <w:rPr>
          <w:rFonts w:cs="Arial"/>
        </w:rPr>
        <w:tab/>
      </w:r>
      <w:r w:rsidRPr="00193CA9">
        <w:t xml:space="preserve">bei der Ausarbeitung der Überarbeitung der Dokumente UPOV/EXN/HRV/1, UPOV/EXN/PPM/1 und UPOV/EXN/PRP/2 soll die WG-HRV die in den Antworten auf das UPOV-Rundschreiben E-19/232 genannten Angelegenheiten und insbesondere die </w:t>
      </w:r>
      <w:r>
        <w:t>Schlussworte</w:t>
      </w:r>
      <w:r w:rsidRPr="00193CA9">
        <w:t xml:space="preserve"> auf dem Seminar 2021 </w:t>
      </w:r>
      <w:r>
        <w:t>zum</w:t>
      </w:r>
      <w:r w:rsidRPr="00193CA9">
        <w:t xml:space="preserve"> Züchterrecht in Bezug auf Erntegut berücksichtigen</w:t>
      </w:r>
      <w:r w:rsidRPr="00193CA9">
        <w:rPr>
          <w:rFonts w:cs="Arial"/>
        </w:rPr>
        <w:t>:</w:t>
      </w:r>
    </w:p>
    <w:p w14:paraId="67B9CCBD" w14:textId="77777777" w:rsidR="005A1408" w:rsidRPr="00193CA9" w:rsidRDefault="005A1408" w:rsidP="005A1408">
      <w:pPr>
        <w:keepNext/>
        <w:ind w:left="927"/>
        <w:rPr>
          <w:rFonts w:cs="Arial"/>
          <w:sz w:val="18"/>
        </w:rPr>
      </w:pPr>
    </w:p>
    <w:p w14:paraId="5DF06D83" w14:textId="77777777" w:rsidR="005A1408" w:rsidRPr="00193CA9" w:rsidRDefault="005A1408" w:rsidP="005A1408">
      <w:pPr>
        <w:pStyle w:val="ListParagraph"/>
        <w:keepNext/>
        <w:numPr>
          <w:ilvl w:val="0"/>
          <w:numId w:val="2"/>
        </w:numPr>
        <w:ind w:left="1494" w:right="639"/>
        <w:rPr>
          <w:rFonts w:cs="Arial"/>
          <w:i/>
          <w:sz w:val="18"/>
        </w:rPr>
      </w:pPr>
      <w:r w:rsidRPr="00193CA9">
        <w:rPr>
          <w:rFonts w:cs="Arial"/>
          <w:i/>
          <w:sz w:val="18"/>
        </w:rPr>
        <w:t xml:space="preserve">„Wie wirkt sich das Fehlen eines wirksamen Schutzes von Erntegut auf die </w:t>
      </w:r>
      <w:r>
        <w:rPr>
          <w:rFonts w:cs="Arial"/>
          <w:i/>
          <w:sz w:val="18"/>
        </w:rPr>
        <w:t>Züchter</w:t>
      </w:r>
      <w:r w:rsidRPr="00193CA9">
        <w:rPr>
          <w:rFonts w:cs="Arial"/>
          <w:i/>
          <w:sz w:val="18"/>
        </w:rPr>
        <w:t xml:space="preserve"> und Verbraucher aus?</w:t>
      </w:r>
    </w:p>
    <w:p w14:paraId="6BA62848" w14:textId="77777777" w:rsidR="005A1408" w:rsidRPr="00193CA9" w:rsidRDefault="005A1408" w:rsidP="005A1408">
      <w:pPr>
        <w:pStyle w:val="ListParagraph"/>
        <w:keepNext/>
        <w:ind w:left="1494" w:right="639"/>
        <w:rPr>
          <w:rFonts w:cs="Arial"/>
          <w:sz w:val="18"/>
        </w:rPr>
      </w:pPr>
    </w:p>
    <w:p w14:paraId="60644F5C" w14:textId="77777777" w:rsidR="005A1408" w:rsidRPr="00820BE3" w:rsidRDefault="005A1408" w:rsidP="005A1408">
      <w:pPr>
        <w:pStyle w:val="ListParagraph"/>
        <w:keepLines/>
        <w:ind w:left="1908" w:right="639"/>
        <w:rPr>
          <w:rFonts w:cs="Arial"/>
          <w:sz w:val="18"/>
          <w:szCs w:val="18"/>
        </w:rPr>
      </w:pPr>
      <w:r w:rsidRPr="00820BE3">
        <w:rPr>
          <w:rFonts w:cs="Arial"/>
          <w:sz w:val="18"/>
          <w:szCs w:val="18"/>
        </w:rPr>
        <w:t>„Auf dem Seminar wurden Beweise dafür vorgelegt, dass das Fehlen eines wirksamen Schutzes für neue Sorten von Obstbäumen vor der Erteilung von Züchterrechten die frühzeitige Einführung neuer und verbesserter Sorten hemmen könnte, wodurch der Nutzen dieser Sorten für Züchter und Verbraucher und somit für die Gesellschaft als Ganzes verringert würde. Wenn die Züchter keinen wirksamen Schutz haben, so dass sich die Investitionen in die Züchtung auszahlen, werden außerdem möglicherweise überhaupt keine verbesserten Sorten entwickelt.</w:t>
      </w:r>
    </w:p>
    <w:p w14:paraId="03456A59" w14:textId="77777777" w:rsidR="005A1408" w:rsidRPr="00820BE3" w:rsidRDefault="005A1408" w:rsidP="005A1408">
      <w:pPr>
        <w:pStyle w:val="ListParagraph"/>
        <w:ind w:left="1494" w:right="639"/>
        <w:rPr>
          <w:rFonts w:cs="Arial"/>
          <w:sz w:val="18"/>
          <w:szCs w:val="18"/>
        </w:rPr>
      </w:pPr>
    </w:p>
    <w:p w14:paraId="190D775B" w14:textId="77777777" w:rsidR="005A1408" w:rsidRPr="00193CA9" w:rsidRDefault="005A1408" w:rsidP="005A1408">
      <w:pPr>
        <w:pStyle w:val="ListParagraph"/>
        <w:keepNext/>
        <w:numPr>
          <w:ilvl w:val="0"/>
          <w:numId w:val="2"/>
        </w:numPr>
        <w:ind w:left="1494" w:right="639"/>
        <w:rPr>
          <w:rFonts w:cs="Arial"/>
          <w:i/>
          <w:sz w:val="18"/>
        </w:rPr>
      </w:pPr>
      <w:r w:rsidRPr="00193CA9">
        <w:rPr>
          <w:rFonts w:cs="Arial"/>
          <w:i/>
          <w:sz w:val="18"/>
        </w:rPr>
        <w:t>„Was sind die größten Herausforderungen bei der Ausübung des Züchterrechts in Bezug auf das Erntegut?</w:t>
      </w:r>
    </w:p>
    <w:p w14:paraId="34A8992E" w14:textId="77777777" w:rsidR="005A1408" w:rsidRPr="00193CA9" w:rsidRDefault="005A1408" w:rsidP="005A1408">
      <w:pPr>
        <w:pStyle w:val="ListParagraph"/>
        <w:keepNext/>
        <w:ind w:left="1494" w:right="639"/>
        <w:rPr>
          <w:rFonts w:cs="Arial"/>
          <w:sz w:val="18"/>
        </w:rPr>
      </w:pPr>
    </w:p>
    <w:p w14:paraId="43095041" w14:textId="77777777" w:rsidR="005A1408" w:rsidRPr="00193CA9" w:rsidRDefault="005A1408" w:rsidP="005A1408">
      <w:pPr>
        <w:pStyle w:val="ListParagraph"/>
        <w:keepLines/>
        <w:ind w:left="1908" w:right="639"/>
        <w:rPr>
          <w:rFonts w:cs="Arial"/>
          <w:sz w:val="18"/>
        </w:rPr>
      </w:pPr>
      <w:r w:rsidRPr="00193CA9">
        <w:rPr>
          <w:rFonts w:cs="Arial"/>
          <w:sz w:val="18"/>
        </w:rPr>
        <w:t>„</w:t>
      </w:r>
      <w:r w:rsidRPr="00CB24B7">
        <w:rPr>
          <w:rFonts w:cs="Arial"/>
          <w:sz w:val="18"/>
        </w:rPr>
        <w:t>Ein üblicher besorgniserregender Punkt</w:t>
      </w:r>
      <w:r w:rsidRPr="00193CA9">
        <w:rPr>
          <w:rFonts w:cs="Arial"/>
          <w:sz w:val="18"/>
        </w:rPr>
        <w:t xml:space="preserve"> ist der Mangel an Vorhersehbarkeit betreffend das Züchterrecht in Bezug auf das Erntegut. </w:t>
      </w:r>
    </w:p>
    <w:p w14:paraId="57589F95" w14:textId="77777777" w:rsidR="005A1408" w:rsidRPr="00193CA9" w:rsidRDefault="005A1408" w:rsidP="005A1408">
      <w:pPr>
        <w:pStyle w:val="ListParagraph"/>
        <w:keepLines/>
        <w:ind w:left="1908" w:right="639"/>
        <w:rPr>
          <w:rFonts w:cs="Arial"/>
          <w:sz w:val="18"/>
        </w:rPr>
      </w:pPr>
    </w:p>
    <w:p w14:paraId="7DEF0C63" w14:textId="77777777" w:rsidR="005A1408" w:rsidRPr="00193CA9" w:rsidRDefault="005A1408" w:rsidP="005A1408">
      <w:pPr>
        <w:pStyle w:val="ListParagraph"/>
        <w:keepLines/>
        <w:ind w:left="1908" w:right="639"/>
        <w:rPr>
          <w:rFonts w:cs="Arial"/>
          <w:sz w:val="18"/>
        </w:rPr>
      </w:pPr>
      <w:r w:rsidRPr="00193CA9">
        <w:rPr>
          <w:rFonts w:cs="Arial"/>
          <w:sz w:val="18"/>
        </w:rPr>
        <w:t xml:space="preserve">„Bei bestimmten Arten können Bäume, </w:t>
      </w:r>
      <w:r>
        <w:rPr>
          <w:rFonts w:cs="Arial"/>
          <w:sz w:val="18"/>
        </w:rPr>
        <w:t xml:space="preserve">wenn sie </w:t>
      </w:r>
      <w:r w:rsidRPr="00193CA9">
        <w:rPr>
          <w:rFonts w:cs="Arial"/>
          <w:sz w:val="18"/>
        </w:rPr>
        <w:t>einmal gepflanzt</w:t>
      </w:r>
      <w:r>
        <w:rPr>
          <w:rFonts w:cs="Arial"/>
          <w:sz w:val="18"/>
        </w:rPr>
        <w:t xml:space="preserve"> wurden</w:t>
      </w:r>
      <w:r w:rsidRPr="00193CA9">
        <w:rPr>
          <w:rFonts w:cs="Arial"/>
          <w:sz w:val="18"/>
        </w:rPr>
        <w:t>, viele Jahre lang Früchte tragen.</w:t>
      </w:r>
      <w:r>
        <w:rPr>
          <w:rFonts w:cs="Arial"/>
          <w:sz w:val="18"/>
        </w:rPr>
        <w:t xml:space="preserve"> </w:t>
      </w:r>
      <w:r w:rsidRPr="00193CA9">
        <w:rPr>
          <w:rFonts w:cs="Arial"/>
          <w:sz w:val="18"/>
        </w:rPr>
        <w:t>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14:paraId="56BB3C6E" w14:textId="77777777" w:rsidR="005A1408" w:rsidRPr="00193CA9" w:rsidRDefault="005A1408" w:rsidP="005A1408">
      <w:pPr>
        <w:pStyle w:val="ListParagraph"/>
        <w:ind w:left="1494" w:right="639"/>
        <w:rPr>
          <w:rFonts w:cs="Arial"/>
          <w:sz w:val="18"/>
        </w:rPr>
      </w:pPr>
    </w:p>
    <w:p w14:paraId="680A3B93" w14:textId="77777777" w:rsidR="005A1408" w:rsidRPr="00193CA9" w:rsidRDefault="005A1408" w:rsidP="005A1408">
      <w:pPr>
        <w:pStyle w:val="ListParagraph"/>
        <w:keepNext/>
        <w:numPr>
          <w:ilvl w:val="0"/>
          <w:numId w:val="2"/>
        </w:numPr>
        <w:ind w:left="1494" w:right="639"/>
        <w:rPr>
          <w:rFonts w:cs="Arial"/>
          <w:sz w:val="18"/>
        </w:rPr>
      </w:pPr>
      <w:r w:rsidRPr="00193CA9">
        <w:rPr>
          <w:rFonts w:cs="Arial"/>
          <w:sz w:val="18"/>
        </w:rPr>
        <w:t>„</w:t>
      </w:r>
      <w:r w:rsidRPr="00193CA9">
        <w:rPr>
          <w:rFonts w:cs="Arial"/>
          <w:i/>
          <w:sz w:val="18"/>
        </w:rPr>
        <w:t>Auf Ebene der UPOV: Welche Lösungen sehen Sie für diese Herausforderungen bei der Ausübung des Züchterrechts in Bezug auf das Erntegut?</w:t>
      </w:r>
    </w:p>
    <w:p w14:paraId="6B9C5AA7" w14:textId="77777777" w:rsidR="005A1408" w:rsidRPr="00193CA9" w:rsidRDefault="005A1408" w:rsidP="005A1408">
      <w:pPr>
        <w:pStyle w:val="ListParagraph"/>
        <w:keepNext/>
        <w:ind w:left="1494" w:right="639"/>
        <w:rPr>
          <w:rFonts w:cs="Arial"/>
          <w:sz w:val="18"/>
        </w:rPr>
      </w:pPr>
    </w:p>
    <w:p w14:paraId="684EBA38" w14:textId="77777777" w:rsidR="005A1408" w:rsidRPr="00193CA9" w:rsidRDefault="005A1408" w:rsidP="005A1408">
      <w:pPr>
        <w:pStyle w:val="ListParagraph"/>
        <w:keepLines/>
        <w:ind w:left="1908" w:right="639"/>
        <w:rPr>
          <w:rFonts w:cs="Arial"/>
          <w:sz w:val="18"/>
        </w:rPr>
      </w:pPr>
      <w:r w:rsidRPr="00193CA9">
        <w:rPr>
          <w:rFonts w:cs="Arial"/>
          <w:sz w:val="18"/>
        </w:rPr>
        <w:t xml:space="preserve">„Klare Hinweise aus den Referaten und Erörterungen, dass </w:t>
      </w:r>
      <w:r>
        <w:rPr>
          <w:rFonts w:cs="Arial"/>
          <w:sz w:val="18"/>
        </w:rPr>
        <w:t>eine</w:t>
      </w:r>
      <w:r w:rsidRPr="00193CA9">
        <w:rPr>
          <w:rFonts w:cs="Arial"/>
          <w:sz w:val="18"/>
        </w:rPr>
        <w:t xml:space="preserve"> Anleitung in den Erläuterungen zu Handlungen in Bezug auf Erntegut von einer weiteren Klärung profitieren würde.</w:t>
      </w:r>
      <w:r>
        <w:rPr>
          <w:rFonts w:cs="Arial"/>
          <w:sz w:val="18"/>
        </w:rPr>
        <w:t xml:space="preserve"> </w:t>
      </w:r>
    </w:p>
    <w:p w14:paraId="2F4AD26F" w14:textId="77777777" w:rsidR="005A1408" w:rsidRPr="00193CA9" w:rsidRDefault="005A1408" w:rsidP="005A1408">
      <w:pPr>
        <w:pStyle w:val="ListParagraph"/>
        <w:ind w:left="1908" w:right="639"/>
        <w:rPr>
          <w:rFonts w:cs="Arial"/>
          <w:sz w:val="18"/>
        </w:rPr>
      </w:pPr>
    </w:p>
    <w:p w14:paraId="6477A8DD" w14:textId="77777777" w:rsidR="005A1408" w:rsidRPr="00193CA9" w:rsidRDefault="005A1408" w:rsidP="005A1408">
      <w:pPr>
        <w:pStyle w:val="ListParagraph"/>
        <w:keepNext/>
        <w:keepLines/>
        <w:ind w:left="1908" w:right="639"/>
        <w:rPr>
          <w:rFonts w:cs="Arial"/>
          <w:sz w:val="18"/>
        </w:rPr>
      </w:pPr>
      <w:r w:rsidRPr="00193CA9">
        <w:rPr>
          <w:rFonts w:cs="Arial"/>
          <w:sz w:val="18"/>
        </w:rPr>
        <w:lastRenderedPageBreak/>
        <w:t>„Um die Entwicklung neuer Pflanzensorten zu fördern, wäre weitere Anleitung hilfreich zu:</w:t>
      </w:r>
    </w:p>
    <w:p w14:paraId="5D961D7F" w14:textId="77777777" w:rsidR="005A1408" w:rsidRPr="00193CA9" w:rsidRDefault="005A1408" w:rsidP="005A1408">
      <w:pPr>
        <w:pStyle w:val="ListParagraph"/>
        <w:keepNext/>
        <w:numPr>
          <w:ilvl w:val="2"/>
          <w:numId w:val="2"/>
        </w:numPr>
        <w:spacing w:before="120"/>
        <w:ind w:left="3352" w:right="639"/>
        <w:contextualSpacing w:val="0"/>
        <w:rPr>
          <w:rFonts w:cs="Arial"/>
          <w:sz w:val="18"/>
        </w:rPr>
      </w:pPr>
      <w:r w:rsidRPr="00193CA9">
        <w:rPr>
          <w:rFonts w:cs="Arial"/>
          <w:sz w:val="18"/>
        </w:rPr>
        <w:t>„Vermehrungsmaterial</w:t>
      </w:r>
    </w:p>
    <w:p w14:paraId="62F66A99" w14:textId="77777777" w:rsidR="005A1408" w:rsidRPr="00193CA9" w:rsidRDefault="005A1408" w:rsidP="005A1408">
      <w:pPr>
        <w:pStyle w:val="ListParagraph"/>
        <w:numPr>
          <w:ilvl w:val="2"/>
          <w:numId w:val="2"/>
        </w:numPr>
        <w:spacing w:before="120"/>
        <w:ind w:left="3352" w:right="639"/>
        <w:contextualSpacing w:val="0"/>
        <w:rPr>
          <w:rFonts w:cs="Arial"/>
          <w:sz w:val="18"/>
        </w:rPr>
      </w:pPr>
      <w:r w:rsidRPr="00193CA9">
        <w:rPr>
          <w:rFonts w:cs="Arial"/>
          <w:sz w:val="18"/>
        </w:rPr>
        <w:t>„Erntegut</w:t>
      </w:r>
    </w:p>
    <w:p w14:paraId="22646B24" w14:textId="77777777" w:rsidR="005A1408" w:rsidRPr="00193CA9" w:rsidRDefault="005A1408" w:rsidP="005A1408">
      <w:pPr>
        <w:pStyle w:val="ListParagraph"/>
        <w:numPr>
          <w:ilvl w:val="2"/>
          <w:numId w:val="2"/>
        </w:numPr>
        <w:spacing w:before="120"/>
        <w:ind w:left="3352" w:right="639"/>
        <w:contextualSpacing w:val="0"/>
        <w:rPr>
          <w:rFonts w:cs="Arial"/>
          <w:sz w:val="18"/>
        </w:rPr>
      </w:pPr>
      <w:r w:rsidRPr="00193CA9">
        <w:rPr>
          <w:rFonts w:cs="Arial"/>
          <w:sz w:val="18"/>
        </w:rPr>
        <w:t>„wirksamem vorläufigem Schutz</w:t>
      </w:r>
    </w:p>
    <w:p w14:paraId="016F0BB7" w14:textId="77777777" w:rsidR="005A1408" w:rsidRPr="00193CA9" w:rsidRDefault="005A1408" w:rsidP="005A1408">
      <w:pPr>
        <w:pStyle w:val="ListParagraph"/>
        <w:numPr>
          <w:ilvl w:val="2"/>
          <w:numId w:val="2"/>
        </w:numPr>
        <w:spacing w:before="120"/>
        <w:ind w:left="3352" w:right="639"/>
        <w:contextualSpacing w:val="0"/>
        <w:rPr>
          <w:rFonts w:cs="Arial"/>
          <w:sz w:val="18"/>
        </w:rPr>
      </w:pPr>
      <w:r w:rsidRPr="00193CA9">
        <w:rPr>
          <w:rFonts w:cs="Arial"/>
          <w:sz w:val="18"/>
        </w:rPr>
        <w:t xml:space="preserve">„dem </w:t>
      </w:r>
      <w:r>
        <w:rPr>
          <w:rFonts w:cs="Arial"/>
          <w:sz w:val="18"/>
        </w:rPr>
        <w:t>Konzept</w:t>
      </w:r>
      <w:r w:rsidRPr="00193CA9">
        <w:rPr>
          <w:rFonts w:cs="Arial"/>
          <w:sz w:val="18"/>
        </w:rPr>
        <w:t xml:space="preserve"> der ‚ungenehmigten Benutzung von Vermehrungsmaterial‘</w:t>
      </w:r>
    </w:p>
    <w:p w14:paraId="1C211179" w14:textId="77777777" w:rsidR="005A1408" w:rsidRPr="001779EB" w:rsidRDefault="005A1408" w:rsidP="005A1408">
      <w:pPr>
        <w:pStyle w:val="ListParagraph"/>
        <w:numPr>
          <w:ilvl w:val="2"/>
          <w:numId w:val="2"/>
        </w:numPr>
        <w:spacing w:before="120"/>
        <w:ind w:left="3352" w:right="639"/>
        <w:contextualSpacing w:val="0"/>
        <w:rPr>
          <w:rFonts w:cs="Arial"/>
          <w:sz w:val="18"/>
        </w:rPr>
      </w:pPr>
      <w:r w:rsidRPr="00193CA9">
        <w:rPr>
          <w:rFonts w:cs="Arial"/>
          <w:sz w:val="18"/>
        </w:rPr>
        <w:t xml:space="preserve">„der </w:t>
      </w:r>
      <w:r>
        <w:rPr>
          <w:rFonts w:cs="Arial"/>
          <w:sz w:val="18"/>
        </w:rPr>
        <w:t>Doktrin</w:t>
      </w:r>
      <w:r w:rsidRPr="00193CA9">
        <w:rPr>
          <w:rFonts w:cs="Arial"/>
          <w:sz w:val="18"/>
        </w:rPr>
        <w:t xml:space="preserve"> von der Erschöpfung der Rechte in Bezug auf die Umkehr der Beweislast“</w:t>
      </w:r>
      <w:r w:rsidRPr="00193CA9">
        <w:rPr>
          <w:rFonts w:cs="Arial"/>
        </w:rPr>
        <w:t>.</w:t>
      </w:r>
    </w:p>
    <w:p w14:paraId="37F9536C" w14:textId="77777777" w:rsidR="005A1408" w:rsidRPr="00490F37" w:rsidRDefault="005A1408" w:rsidP="005A1408">
      <w:pPr>
        <w:rPr>
          <w:rFonts w:cs="Arial"/>
          <w:sz w:val="18"/>
          <w:u w:val="single"/>
        </w:rPr>
      </w:pPr>
    </w:p>
    <w:p w14:paraId="73021612" w14:textId="77777777" w:rsidR="005A1408" w:rsidRPr="00193CA9" w:rsidRDefault="005A1408" w:rsidP="005A1408">
      <w:pPr>
        <w:tabs>
          <w:tab w:val="left" w:pos="1134"/>
        </w:tabs>
        <w:ind w:firstLine="567"/>
        <w:rPr>
          <w:rFonts w:cs="Arial"/>
          <w:u w:val="single"/>
        </w:rPr>
      </w:pPr>
      <w:r w:rsidRPr="00193CA9">
        <w:rPr>
          <w:rFonts w:cs="Arial"/>
        </w:rPr>
        <w:t xml:space="preserve">b) </w:t>
      </w:r>
      <w:r w:rsidRPr="00193CA9">
        <w:rPr>
          <w:rFonts w:cs="Arial"/>
        </w:rPr>
        <w:tab/>
      </w:r>
      <w:r w:rsidRPr="00193CA9">
        <w:t>die WG-HRV trifft sich zu einem Zeitpunkt und in einer Häufigkeit, die ihrem Mandat entsprechen, und zwar auf physischem und/oder virtuellem Wege, wie von der WG-HRV vereinbart</w:t>
      </w:r>
      <w:r w:rsidRPr="00193CA9">
        <w:rPr>
          <w:rFonts w:cs="Arial"/>
        </w:rPr>
        <w:t>;</w:t>
      </w:r>
    </w:p>
    <w:p w14:paraId="3215A774" w14:textId="77777777" w:rsidR="005A1408" w:rsidRPr="00193CA9" w:rsidRDefault="005A1408" w:rsidP="005A1408">
      <w:pPr>
        <w:tabs>
          <w:tab w:val="left" w:pos="1134"/>
        </w:tabs>
        <w:rPr>
          <w:rFonts w:cs="Arial"/>
          <w:sz w:val="18"/>
          <w:u w:val="single"/>
        </w:rPr>
      </w:pPr>
    </w:p>
    <w:p w14:paraId="03C5CAD0" w14:textId="77777777" w:rsidR="005A1408" w:rsidRPr="00193CA9" w:rsidRDefault="005A1408" w:rsidP="005A1408">
      <w:pPr>
        <w:tabs>
          <w:tab w:val="left" w:pos="1134"/>
        </w:tabs>
        <w:ind w:firstLine="567"/>
        <w:rPr>
          <w:rFonts w:cs="Arial"/>
        </w:rPr>
      </w:pPr>
      <w:r w:rsidRPr="00193CA9">
        <w:rPr>
          <w:rFonts w:cs="Arial"/>
        </w:rPr>
        <w:t xml:space="preserve">c) </w:t>
      </w:r>
      <w:r w:rsidRPr="00193CA9">
        <w:rPr>
          <w:rFonts w:cs="Arial"/>
        </w:rPr>
        <w:tab/>
      </w:r>
      <w:r w:rsidRPr="00193CA9">
        <w:t>die WG-HRV berichtet dem CAJ über den Fortschritt ihrer Arbeit und ersucht den CAJ gegebenenfalls um weitere Anleitung</w:t>
      </w:r>
      <w:r w:rsidRPr="00193CA9">
        <w:rPr>
          <w:rFonts w:cs="Arial"/>
        </w:rPr>
        <w:t>;</w:t>
      </w:r>
    </w:p>
    <w:p w14:paraId="56022D7B" w14:textId="77777777" w:rsidR="005A1408" w:rsidRPr="00193CA9" w:rsidRDefault="005A1408" w:rsidP="005A1408">
      <w:pPr>
        <w:tabs>
          <w:tab w:val="left" w:pos="1134"/>
        </w:tabs>
        <w:rPr>
          <w:rFonts w:cs="Arial"/>
          <w:sz w:val="18"/>
        </w:rPr>
      </w:pPr>
    </w:p>
    <w:p w14:paraId="2C97B00F" w14:textId="77777777" w:rsidR="005A1408" w:rsidRPr="00193CA9" w:rsidRDefault="005A1408" w:rsidP="005A1408">
      <w:pPr>
        <w:tabs>
          <w:tab w:val="left" w:pos="1134"/>
        </w:tabs>
        <w:ind w:firstLine="567"/>
        <w:rPr>
          <w:rFonts w:cs="Arial"/>
          <w:u w:val="single"/>
        </w:rPr>
      </w:pPr>
      <w:r w:rsidRPr="00193CA9">
        <w:rPr>
          <w:rFonts w:cs="Arial"/>
        </w:rPr>
        <w:t>d)</w:t>
      </w:r>
      <w:r w:rsidRPr="00193CA9">
        <w:rPr>
          <w:rFonts w:cs="Arial"/>
        </w:rPr>
        <w:tab/>
      </w:r>
      <w:r w:rsidRPr="00193CA9">
        <w:t>Dokumente der WG-HRV</w:t>
      </w:r>
      <w:r>
        <w:t xml:space="preserve"> werden</w:t>
      </w:r>
      <w:r w:rsidRPr="00193CA9">
        <w:t xml:space="preserve"> dem CAJ zur Verfügung gestellt</w:t>
      </w:r>
      <w:r w:rsidRPr="00193CA9">
        <w:rPr>
          <w:rFonts w:cs="Arial"/>
        </w:rPr>
        <w:t>.</w:t>
      </w:r>
    </w:p>
    <w:p w14:paraId="524A0A43" w14:textId="77777777" w:rsidR="005A1408" w:rsidRPr="003D1CF1" w:rsidRDefault="005A1408" w:rsidP="003D1CF1"/>
    <w:p w14:paraId="7D788BDF" w14:textId="77777777" w:rsidR="005A1408" w:rsidRPr="003D1CF1" w:rsidRDefault="005A1408" w:rsidP="003D1CF1"/>
    <w:p w14:paraId="149ADA8F" w14:textId="77777777" w:rsidR="005A1408" w:rsidRPr="00193CA9" w:rsidRDefault="005A1408" w:rsidP="005A1408">
      <w:pPr>
        <w:jc w:val="right"/>
      </w:pPr>
      <w:r w:rsidRPr="00193CA9">
        <w:rPr>
          <w:rFonts w:cs="Arial"/>
        </w:rPr>
        <w:t>[Ende der Anlage und des Dokuments]</w:t>
      </w:r>
    </w:p>
    <w:p w14:paraId="13BF4CD6" w14:textId="77777777" w:rsidR="005A1408" w:rsidRPr="00193CA9" w:rsidRDefault="005A1408" w:rsidP="005A1408"/>
    <w:p w14:paraId="2CF359A7" w14:textId="77777777" w:rsidR="005A1408" w:rsidRPr="00193CA9" w:rsidRDefault="005A1408" w:rsidP="005A1408">
      <w:pPr>
        <w:jc w:val="center"/>
      </w:pPr>
    </w:p>
    <w:p w14:paraId="09F5DA41" w14:textId="77777777" w:rsidR="005A1408" w:rsidRDefault="005A1408"/>
    <w:sectPr w:rsidR="005A1408"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89C1" w14:textId="77777777" w:rsidR="002F3168" w:rsidRDefault="002F3168" w:rsidP="005A1408">
      <w:r>
        <w:separator/>
      </w:r>
    </w:p>
  </w:endnote>
  <w:endnote w:type="continuationSeparator" w:id="0">
    <w:p w14:paraId="30F05164" w14:textId="77777777" w:rsidR="002F3168" w:rsidRDefault="002F3168" w:rsidP="005A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EEF77" w14:textId="77777777" w:rsidR="002F3168" w:rsidRDefault="002F3168" w:rsidP="005A1408">
      <w:r>
        <w:separator/>
      </w:r>
    </w:p>
  </w:footnote>
  <w:footnote w:type="continuationSeparator" w:id="0">
    <w:p w14:paraId="7C1CC344" w14:textId="77777777" w:rsidR="002F3168" w:rsidRDefault="002F3168" w:rsidP="005A1408">
      <w:r>
        <w:continuationSeparator/>
      </w:r>
    </w:p>
  </w:footnote>
  <w:footnote w:id="1">
    <w:p w14:paraId="4EEE3D37" w14:textId="77777777" w:rsidR="005A1408" w:rsidRPr="007749F5" w:rsidRDefault="005A1408" w:rsidP="005A1408">
      <w:pPr>
        <w:pStyle w:val="FootnoteText"/>
        <w:rPr>
          <w:lang w:val="de-DE"/>
        </w:rPr>
      </w:pPr>
      <w:r>
        <w:rPr>
          <w:rStyle w:val="FootnoteReference"/>
        </w:rPr>
        <w:footnoteRef/>
      </w:r>
      <w:r w:rsidRPr="00820BE3">
        <w:rPr>
          <w:lang w:val="de-DE"/>
        </w:rPr>
        <w:t xml:space="preserve"> </w:t>
      </w:r>
      <w:r w:rsidRPr="007749F5">
        <w:rPr>
          <w:lang w:val="de-DE"/>
        </w:rPr>
        <w:tab/>
      </w:r>
      <w:r w:rsidRPr="007749F5">
        <w:rPr>
          <w:snapToGrid w:val="0"/>
          <w:lang w:val="de-DE"/>
        </w:rPr>
        <w:t xml:space="preserve">Abgehalten </w:t>
      </w:r>
      <w:r>
        <w:rPr>
          <w:snapToGrid w:val="0"/>
          <w:lang w:val="de-DE"/>
        </w:rPr>
        <w:t>a</w:t>
      </w:r>
      <w:r w:rsidRPr="007749F5">
        <w:rPr>
          <w:snapToGrid w:val="0"/>
          <w:lang w:val="de-DE"/>
        </w:rPr>
        <w:t>m 30. Oktober 2019</w:t>
      </w:r>
      <w:r>
        <w:rPr>
          <w:snapToGrid w:val="0"/>
          <w:lang w:val="de-DE"/>
        </w:rPr>
        <w:t xml:space="preserve"> </w:t>
      </w:r>
      <w:r w:rsidRPr="007749F5">
        <w:rPr>
          <w:snapToGrid w:val="0"/>
          <w:lang w:val="de-DE"/>
        </w:rPr>
        <w:t>in Genf.</w:t>
      </w:r>
    </w:p>
  </w:footnote>
  <w:footnote w:id="2">
    <w:p w14:paraId="24AF3D3A" w14:textId="77777777" w:rsidR="005A1408" w:rsidRPr="00A00BF7" w:rsidRDefault="005A1408" w:rsidP="005A1408">
      <w:pPr>
        <w:pStyle w:val="FootnoteText"/>
        <w:rPr>
          <w:lang w:val="de-DE"/>
        </w:rPr>
      </w:pPr>
      <w:r>
        <w:rPr>
          <w:rStyle w:val="FootnoteReference"/>
        </w:rPr>
        <w:footnoteRef/>
      </w:r>
      <w:r w:rsidRPr="00820BE3">
        <w:rPr>
          <w:lang w:val="de-DE"/>
        </w:rPr>
        <w:t xml:space="preserve"> </w:t>
      </w:r>
      <w:r w:rsidRPr="00820BE3">
        <w:rPr>
          <w:lang w:val="de-DE"/>
        </w:rPr>
        <w:tab/>
      </w:r>
      <w:r w:rsidRPr="00A00BF7">
        <w:rPr>
          <w:lang w:val="de-DE"/>
        </w:rPr>
        <w:t>Abgehalten am 30.</w:t>
      </w:r>
      <w:r w:rsidRPr="00A00BF7">
        <w:rPr>
          <w:snapToGrid w:val="0"/>
          <w:lang w:val="de-DE"/>
        </w:rPr>
        <w:t xml:space="preserve"> Oktober 2020</w:t>
      </w:r>
      <w:r w:rsidRPr="00777D02">
        <w:rPr>
          <w:lang w:val="de-DE"/>
        </w:rPr>
        <w:t xml:space="preserve"> </w:t>
      </w:r>
      <w:r w:rsidRPr="00A00BF7">
        <w:rPr>
          <w:lang w:val="de-DE"/>
        </w:rPr>
        <w:t>auf elektronischem Wege</w:t>
      </w:r>
      <w:r w:rsidRPr="00A00BF7">
        <w:rPr>
          <w:snapToGrid w:val="0"/>
          <w:lang w:val="de-DE"/>
        </w:rPr>
        <w:t>.</w:t>
      </w:r>
    </w:p>
  </w:footnote>
  <w:footnote w:id="3">
    <w:p w14:paraId="71CC902A" w14:textId="77777777" w:rsidR="005A1408" w:rsidRPr="00820BE3" w:rsidRDefault="005A1408" w:rsidP="005A1408">
      <w:pPr>
        <w:pStyle w:val="FootnoteText"/>
        <w:rPr>
          <w:lang w:val="de-DE"/>
        </w:rPr>
      </w:pPr>
      <w:r>
        <w:rPr>
          <w:rStyle w:val="FootnoteReference"/>
        </w:rPr>
        <w:footnoteRef/>
      </w:r>
      <w:r w:rsidRPr="00820BE3">
        <w:rPr>
          <w:lang w:val="de-DE"/>
        </w:rPr>
        <w:t xml:space="preserve"> </w:t>
      </w:r>
      <w:r w:rsidRPr="00820BE3">
        <w:rPr>
          <w:lang w:val="de-DE"/>
        </w:rPr>
        <w:tab/>
      </w:r>
      <w:r>
        <w:rPr>
          <w:lang w:val="de-DE"/>
        </w:rPr>
        <w:t>A</w:t>
      </w:r>
      <w:r w:rsidRPr="00FD7BF9">
        <w:rPr>
          <w:lang w:val="de-DE"/>
        </w:rPr>
        <w:t>bgehalten</w:t>
      </w:r>
      <w:r w:rsidRPr="00A00BF7">
        <w:rPr>
          <w:lang w:val="de-DE"/>
        </w:rPr>
        <w:t xml:space="preserve"> </w:t>
      </w:r>
      <w:r>
        <w:rPr>
          <w:lang w:val="de-DE"/>
        </w:rPr>
        <w:t>a</w:t>
      </w:r>
      <w:r w:rsidRPr="00FD7BF9">
        <w:rPr>
          <w:lang w:val="de-DE"/>
        </w:rPr>
        <w:t xml:space="preserve">m </w:t>
      </w:r>
      <w:r>
        <w:rPr>
          <w:lang w:val="de-DE"/>
        </w:rPr>
        <w:t>28</w:t>
      </w:r>
      <w:r w:rsidRPr="00FD7BF9">
        <w:rPr>
          <w:lang w:val="de-DE"/>
        </w:rPr>
        <w:t>.</w:t>
      </w:r>
      <w:r w:rsidRPr="00FD7BF9">
        <w:rPr>
          <w:snapToGrid w:val="0"/>
          <w:lang w:val="de-DE"/>
        </w:rPr>
        <w:t xml:space="preserve"> Oktober 2020</w:t>
      </w:r>
      <w:r w:rsidRPr="00777D02">
        <w:rPr>
          <w:lang w:val="de-DE"/>
        </w:rPr>
        <w:t xml:space="preserve"> </w:t>
      </w:r>
      <w:r>
        <w:rPr>
          <w:lang w:val="de-DE"/>
        </w:rPr>
        <w:t>a</w:t>
      </w:r>
      <w:r w:rsidRPr="00FD7BF9">
        <w:rPr>
          <w:lang w:val="de-DE"/>
        </w:rPr>
        <w:t>uf elektronischem Weg</w:t>
      </w:r>
      <w:r>
        <w:rPr>
          <w:lang w:val="de-DE"/>
        </w:rPr>
        <w:t>e</w:t>
      </w:r>
      <w:r w:rsidRPr="00820BE3">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A101" w14:textId="77777777" w:rsidR="005A1408" w:rsidRPr="00C5280D" w:rsidRDefault="005A1408" w:rsidP="00EB048E">
    <w:pPr>
      <w:pStyle w:val="Header"/>
      <w:rPr>
        <w:rStyle w:val="PageNumber"/>
        <w:lang w:val="en-US"/>
      </w:rPr>
    </w:pPr>
    <w:r>
      <w:rPr>
        <w:rStyle w:val="PageNumber"/>
        <w:lang w:val="en-US"/>
      </w:rPr>
      <w:t>CAJ/78/5</w:t>
    </w:r>
  </w:p>
  <w:p w14:paraId="1F04860C" w14:textId="01ADA9DD" w:rsidR="005A1408" w:rsidRPr="00622E72" w:rsidRDefault="005A1408" w:rsidP="00EB048E">
    <w:pPr>
      <w:pStyle w:val="Header"/>
      <w:rPr>
        <w:lang w:val="de-DE"/>
      </w:rPr>
    </w:pPr>
    <w:r w:rsidRPr="00622E72">
      <w:rPr>
        <w:lang w:val="de-DE"/>
      </w:rPr>
      <w:t xml:space="preserve">Seite </w:t>
    </w:r>
    <w:r w:rsidRPr="00622E72">
      <w:rPr>
        <w:rStyle w:val="PageNumber"/>
        <w:lang w:val="de-DE"/>
      </w:rPr>
      <w:fldChar w:fldCharType="begin"/>
    </w:r>
    <w:r w:rsidRPr="00622E72">
      <w:rPr>
        <w:rStyle w:val="PageNumber"/>
        <w:lang w:val="de-DE"/>
      </w:rPr>
      <w:instrText xml:space="preserve"> PAGE </w:instrText>
    </w:r>
    <w:r w:rsidRPr="00622E72">
      <w:rPr>
        <w:rStyle w:val="PageNumber"/>
        <w:lang w:val="de-DE"/>
      </w:rPr>
      <w:fldChar w:fldCharType="separate"/>
    </w:r>
    <w:r w:rsidR="00B33924">
      <w:rPr>
        <w:rStyle w:val="PageNumber"/>
        <w:noProof/>
        <w:lang w:val="de-DE"/>
      </w:rPr>
      <w:t>7</w:t>
    </w:r>
    <w:r w:rsidRPr="00622E72">
      <w:rPr>
        <w:rStyle w:val="PageNumber"/>
        <w:lang w:val="de-DE"/>
      </w:rPr>
      <w:fldChar w:fldCharType="end"/>
    </w:r>
  </w:p>
  <w:p w14:paraId="0B97364E" w14:textId="77777777" w:rsidR="005A1408" w:rsidRPr="00622E72" w:rsidRDefault="005A140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458B" w14:textId="77777777" w:rsidR="00B95191" w:rsidRPr="00C5280D" w:rsidRDefault="002F3168" w:rsidP="00EB048E">
    <w:pPr>
      <w:pStyle w:val="Header"/>
      <w:rPr>
        <w:rStyle w:val="PageNumber"/>
        <w:lang w:val="en-US"/>
      </w:rPr>
    </w:pPr>
    <w:r>
      <w:rPr>
        <w:rStyle w:val="PageNumber"/>
        <w:lang w:val="en-US"/>
      </w:rPr>
      <w:t>CAJ/78/5</w:t>
    </w:r>
  </w:p>
  <w:p w14:paraId="7001B7B1" w14:textId="721DD988" w:rsidR="00B95191" w:rsidRPr="00C5280D" w:rsidRDefault="002F3168" w:rsidP="00EB048E">
    <w:pPr>
      <w:pStyle w:val="Header"/>
      <w:rPr>
        <w:lang w:val="en-US"/>
      </w:rPr>
    </w:pPr>
    <w:r>
      <w:rPr>
        <w:lang w:val="en-US"/>
      </w:rPr>
      <w:t xml:space="preserve">Anlage, </w:t>
    </w:r>
    <w:r w:rsidRPr="00C86690">
      <w:rPr>
        <w:lang w:val="de-DE"/>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3924">
      <w:rPr>
        <w:rStyle w:val="PageNumber"/>
        <w:noProof/>
        <w:lang w:val="en-US"/>
      </w:rPr>
      <w:t>2</w:t>
    </w:r>
    <w:r w:rsidRPr="00C5280D">
      <w:rPr>
        <w:rStyle w:val="PageNumber"/>
        <w:lang w:val="en-US"/>
      </w:rPr>
      <w:fldChar w:fldCharType="end"/>
    </w:r>
  </w:p>
  <w:p w14:paraId="0CF0E51C" w14:textId="77777777" w:rsidR="00B95191" w:rsidRPr="00C5280D" w:rsidRDefault="00B3392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399" w14:textId="77777777" w:rsidR="00B95191" w:rsidRPr="00AF32BD" w:rsidRDefault="002F3168" w:rsidP="001F7186">
    <w:pPr>
      <w:pStyle w:val="Header"/>
      <w:rPr>
        <w:lang w:val="en-US"/>
      </w:rPr>
    </w:pPr>
    <w:r w:rsidRPr="00AF32BD">
      <w:rPr>
        <w:lang w:val="en-US"/>
      </w:rPr>
      <w:t>CAJ/7</w:t>
    </w:r>
    <w:r>
      <w:rPr>
        <w:lang w:val="en-US"/>
      </w:rPr>
      <w:t>8/5</w:t>
    </w:r>
  </w:p>
  <w:p w14:paraId="47674E45" w14:textId="77777777" w:rsidR="00B95191" w:rsidRDefault="00B33924" w:rsidP="001F7186">
    <w:pPr>
      <w:jc w:val="center"/>
    </w:pPr>
  </w:p>
  <w:p w14:paraId="6132972A" w14:textId="77777777" w:rsidR="00B95191" w:rsidRPr="00535B8D" w:rsidRDefault="002F3168" w:rsidP="001F7186">
    <w:pPr>
      <w:jc w:val="center"/>
    </w:pPr>
    <w:r>
      <w:t xml:space="preserve">ANLAGE </w:t>
    </w:r>
  </w:p>
  <w:p w14:paraId="6CDE07E3" w14:textId="77777777" w:rsidR="00B95191" w:rsidRPr="002F0EFB" w:rsidRDefault="00B33924" w:rsidP="002F0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7C9401B8"/>
    <w:multiLevelType w:val="hybridMultilevel"/>
    <w:tmpl w:val="42D07810"/>
    <w:lvl w:ilvl="0" w:tplc="04070017">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08"/>
    <w:rsid w:val="001B2BB3"/>
    <w:rsid w:val="002F3168"/>
    <w:rsid w:val="003D1CF1"/>
    <w:rsid w:val="003F2BBC"/>
    <w:rsid w:val="00402321"/>
    <w:rsid w:val="005A1408"/>
    <w:rsid w:val="00911B0E"/>
    <w:rsid w:val="009637D0"/>
    <w:rsid w:val="00A359FC"/>
    <w:rsid w:val="00AA767D"/>
    <w:rsid w:val="00B33924"/>
    <w:rsid w:val="00FB2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94E5"/>
  <w15:chartTrackingRefBased/>
  <w15:docId w15:val="{24D3F55A-4ADF-4617-881B-F95DDA1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08"/>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3D1CF1"/>
    <w:pPr>
      <w:keepNext/>
      <w:spacing w:after="0" w:line="240" w:lineRule="auto"/>
      <w:ind w:right="567"/>
      <w:jc w:val="both"/>
      <w:outlineLvl w:val="0"/>
    </w:pPr>
    <w:rPr>
      <w:rFonts w:ascii="Arial" w:eastAsia="Times New Roman" w:hAnsi="Arial" w:cs="Times New Roman"/>
      <w:caps/>
      <w:snapToGrid w:val="0"/>
      <w:spacing w:val="-2"/>
      <w:sz w:val="20"/>
      <w:szCs w:val="18"/>
      <w:lang w:val="en-US"/>
    </w:rPr>
  </w:style>
  <w:style w:type="paragraph" w:styleId="Heading2">
    <w:name w:val="heading 2"/>
    <w:next w:val="Normal"/>
    <w:link w:val="Heading2Char"/>
    <w:autoRedefine/>
    <w:qFormat/>
    <w:rsid w:val="005A1408"/>
    <w:pPr>
      <w:keepNext/>
      <w:spacing w:after="0" w:line="240" w:lineRule="auto"/>
      <w:jc w:val="both"/>
      <w:outlineLvl w:val="1"/>
    </w:pPr>
    <w:rPr>
      <w:rFonts w:ascii="Arial" w:eastAsia="Times New Roman" w:hAnsi="Arial" w:cs="Times New Roman"/>
      <w:snapToGrid w:val="0"/>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CF1"/>
    <w:rPr>
      <w:rFonts w:ascii="Arial" w:eastAsia="Times New Roman" w:hAnsi="Arial" w:cs="Times New Roman"/>
      <w:caps/>
      <w:snapToGrid w:val="0"/>
      <w:spacing w:val="-2"/>
      <w:sz w:val="20"/>
      <w:szCs w:val="18"/>
      <w:lang w:val="en-US"/>
    </w:rPr>
  </w:style>
  <w:style w:type="character" w:customStyle="1" w:styleId="Heading2Char">
    <w:name w:val="Heading 2 Char"/>
    <w:basedOn w:val="DefaultParagraphFont"/>
    <w:link w:val="Heading2"/>
    <w:rsid w:val="005A1408"/>
    <w:rPr>
      <w:rFonts w:ascii="Arial" w:eastAsia="Times New Roman" w:hAnsi="Arial" w:cs="Times New Roman"/>
      <w:snapToGrid w:val="0"/>
      <w:sz w:val="20"/>
      <w:szCs w:val="20"/>
      <w:u w:val="single"/>
      <w:lang w:val="en-US"/>
    </w:rPr>
  </w:style>
  <w:style w:type="paragraph" w:styleId="Header">
    <w:name w:val="header"/>
    <w:link w:val="HeaderChar"/>
    <w:uiPriority w:val="99"/>
    <w:rsid w:val="005A1408"/>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uiPriority w:val="99"/>
    <w:rsid w:val="005A1408"/>
    <w:rPr>
      <w:rFonts w:ascii="Arial" w:eastAsia="Times New Roman" w:hAnsi="Arial" w:cs="Times New Roman"/>
      <w:sz w:val="20"/>
      <w:szCs w:val="20"/>
      <w:lang w:val="fr-FR"/>
    </w:rPr>
  </w:style>
  <w:style w:type="character" w:styleId="PageNumber">
    <w:name w:val="page number"/>
    <w:basedOn w:val="DefaultParagraphFont"/>
    <w:rsid w:val="005A1408"/>
    <w:rPr>
      <w:rFonts w:ascii="Arial" w:hAnsi="Arial"/>
      <w:sz w:val="20"/>
    </w:rPr>
  </w:style>
  <w:style w:type="paragraph" w:customStyle="1" w:styleId="Docoriginal">
    <w:name w:val="Doc_original"/>
    <w:basedOn w:val="Normal"/>
    <w:link w:val="DocoriginalChar"/>
    <w:rsid w:val="005A1408"/>
    <w:pPr>
      <w:spacing w:before="240" w:line="240" w:lineRule="exact"/>
      <w:contextualSpacing/>
      <w:jc w:val="left"/>
    </w:pPr>
    <w:rPr>
      <w:b/>
      <w:bCs/>
      <w:spacing w:val="10"/>
      <w:sz w:val="18"/>
    </w:rPr>
  </w:style>
  <w:style w:type="paragraph" w:customStyle="1" w:styleId="DecisionParagraphs">
    <w:name w:val="DecisionParagraphs"/>
    <w:basedOn w:val="Normal"/>
    <w:link w:val="DecisionParagraphsChar"/>
    <w:qFormat/>
    <w:rsid w:val="005A1408"/>
    <w:pPr>
      <w:tabs>
        <w:tab w:val="left" w:pos="5387"/>
        <w:tab w:val="left" w:pos="5954"/>
      </w:tabs>
      <w:ind w:left="4820"/>
    </w:pPr>
    <w:rPr>
      <w:i/>
    </w:rPr>
  </w:style>
  <w:style w:type="paragraph" w:styleId="FootnoteText">
    <w:name w:val="footnote text"/>
    <w:link w:val="FootnoteTextChar"/>
    <w:autoRedefine/>
    <w:rsid w:val="005A1408"/>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5A1408"/>
    <w:rPr>
      <w:rFonts w:ascii="Arial" w:eastAsia="Times New Roman" w:hAnsi="Arial" w:cs="Times New Roman"/>
      <w:sz w:val="16"/>
      <w:szCs w:val="20"/>
      <w:lang w:val="en-US"/>
    </w:rPr>
  </w:style>
  <w:style w:type="character" w:styleId="FootnoteReference">
    <w:name w:val="footnote reference"/>
    <w:basedOn w:val="DefaultParagraphFont"/>
    <w:rsid w:val="005A1408"/>
    <w:rPr>
      <w:vertAlign w:val="superscript"/>
    </w:rPr>
  </w:style>
  <w:style w:type="paragraph" w:customStyle="1" w:styleId="Disclaimer">
    <w:name w:val="Disclaimer"/>
    <w:next w:val="Normal"/>
    <w:qFormat/>
    <w:rsid w:val="005A1408"/>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5A1408"/>
    <w:pPr>
      <w:spacing w:before="120"/>
    </w:pPr>
    <w:rPr>
      <w:sz w:val="16"/>
    </w:rPr>
  </w:style>
  <w:style w:type="paragraph" w:customStyle="1" w:styleId="Lettrine">
    <w:name w:val="Lettrine"/>
    <w:basedOn w:val="Normal"/>
    <w:rsid w:val="005A1408"/>
    <w:pPr>
      <w:spacing w:line="340" w:lineRule="atLeast"/>
      <w:jc w:val="right"/>
    </w:pPr>
    <w:rPr>
      <w:b/>
      <w:bCs/>
      <w:sz w:val="36"/>
    </w:rPr>
  </w:style>
  <w:style w:type="paragraph" w:customStyle="1" w:styleId="Sessiontc">
    <w:name w:val="Session_tc"/>
    <w:basedOn w:val="Normal"/>
    <w:rsid w:val="005A1408"/>
    <w:pPr>
      <w:spacing w:line="280" w:lineRule="exact"/>
      <w:jc w:val="left"/>
    </w:pPr>
    <w:rPr>
      <w:b/>
      <w:bCs/>
      <w:kern w:val="28"/>
    </w:rPr>
  </w:style>
  <w:style w:type="paragraph" w:customStyle="1" w:styleId="Sessiontcplacedate">
    <w:name w:val="Session_tc_place_date"/>
    <w:basedOn w:val="Normal"/>
    <w:rsid w:val="005A1408"/>
    <w:pPr>
      <w:spacing w:before="240"/>
      <w:contextualSpacing/>
      <w:jc w:val="left"/>
    </w:pPr>
    <w:rPr>
      <w:b/>
      <w:bCs/>
      <w:kern w:val="28"/>
    </w:rPr>
  </w:style>
  <w:style w:type="paragraph" w:customStyle="1" w:styleId="Titleofdoc">
    <w:name w:val="Title_of_doc"/>
    <w:basedOn w:val="Normal"/>
    <w:link w:val="TitleofdocChar"/>
    <w:rsid w:val="005A1408"/>
    <w:pPr>
      <w:spacing w:before="600" w:after="240"/>
      <w:jc w:val="left"/>
    </w:pPr>
    <w:rPr>
      <w:b/>
      <w:caps/>
    </w:rPr>
  </w:style>
  <w:style w:type="paragraph" w:customStyle="1" w:styleId="preparedby">
    <w:name w:val="prepared_by"/>
    <w:basedOn w:val="Normal"/>
    <w:rsid w:val="005A1408"/>
    <w:pPr>
      <w:spacing w:after="240"/>
      <w:jc w:val="center"/>
    </w:pPr>
    <w:rPr>
      <w:i/>
      <w:iCs/>
    </w:rPr>
  </w:style>
  <w:style w:type="character" w:customStyle="1" w:styleId="DocoriginalChar">
    <w:name w:val="Doc_original Char"/>
    <w:basedOn w:val="DefaultParagraphFont"/>
    <w:link w:val="Docoriginal"/>
    <w:rsid w:val="005A1408"/>
    <w:rPr>
      <w:rFonts w:ascii="Arial" w:eastAsia="Times New Roman" w:hAnsi="Arial" w:cs="Times New Roman"/>
      <w:b/>
      <w:bCs/>
      <w:spacing w:val="10"/>
      <w:sz w:val="18"/>
      <w:szCs w:val="20"/>
    </w:rPr>
  </w:style>
  <w:style w:type="paragraph" w:styleId="TOC2">
    <w:name w:val="toc 2"/>
    <w:next w:val="Normal"/>
    <w:autoRedefine/>
    <w:uiPriority w:val="39"/>
    <w:rsid w:val="005A1408"/>
    <w:pPr>
      <w:tabs>
        <w:tab w:val="right" w:leader="dot" w:pos="9639"/>
      </w:tabs>
      <w:spacing w:before="60" w:after="0" w:line="240" w:lineRule="auto"/>
      <w:ind w:left="720"/>
    </w:pPr>
    <w:rPr>
      <w:rFonts w:ascii="Arial" w:eastAsia="Times New Roman" w:hAnsi="Arial" w:cs="Times New Roman"/>
      <w:sz w:val="18"/>
      <w:szCs w:val="20"/>
      <w:lang w:val="en-US"/>
    </w:rPr>
  </w:style>
  <w:style w:type="character" w:styleId="Hyperlink">
    <w:name w:val="Hyperlink"/>
    <w:basedOn w:val="DefaultParagraphFont"/>
    <w:uiPriority w:val="99"/>
    <w:rsid w:val="005A1408"/>
    <w:rPr>
      <w:rFonts w:ascii="Arial" w:hAnsi="Arial"/>
      <w:color w:val="0000FF"/>
      <w:u w:val="single"/>
    </w:rPr>
  </w:style>
  <w:style w:type="paragraph" w:styleId="TOC1">
    <w:name w:val="toc 1"/>
    <w:next w:val="Normal"/>
    <w:autoRedefine/>
    <w:uiPriority w:val="39"/>
    <w:rsid w:val="005A1408"/>
    <w:pPr>
      <w:keepNext/>
      <w:tabs>
        <w:tab w:val="right" w:leader="dot" w:pos="9639"/>
      </w:tabs>
      <w:spacing w:before="120" w:after="0" w:line="240" w:lineRule="auto"/>
    </w:pPr>
    <w:rPr>
      <w:rFonts w:ascii="Arial" w:eastAsia="Times New Roman" w:hAnsi="Arial" w:cs="Times New Roman"/>
      <w:caps/>
      <w:sz w:val="18"/>
      <w:szCs w:val="20"/>
      <w:lang w:val="en-US"/>
    </w:rPr>
  </w:style>
  <w:style w:type="paragraph" w:customStyle="1" w:styleId="Doccode">
    <w:name w:val="Doc_code"/>
    <w:qFormat/>
    <w:rsid w:val="005A1408"/>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5A1408"/>
    <w:pPr>
      <w:ind w:left="720"/>
      <w:contextualSpacing/>
    </w:pPr>
  </w:style>
  <w:style w:type="character" w:customStyle="1" w:styleId="DecisionParagraphsChar">
    <w:name w:val="DecisionParagraphs Char"/>
    <w:basedOn w:val="DefaultParagraphFont"/>
    <w:link w:val="DecisionParagraphs"/>
    <w:rsid w:val="005A1408"/>
    <w:rPr>
      <w:rFonts w:ascii="Arial" w:eastAsia="Times New Roman" w:hAnsi="Arial" w:cs="Times New Roman"/>
      <w:i/>
      <w:sz w:val="20"/>
      <w:szCs w:val="20"/>
    </w:rPr>
  </w:style>
  <w:style w:type="character" w:customStyle="1" w:styleId="TitleofdocChar">
    <w:name w:val="Title_of_doc Char"/>
    <w:basedOn w:val="DefaultParagraphFont"/>
    <w:link w:val="Titleofdoc"/>
    <w:rsid w:val="005A1408"/>
    <w:rPr>
      <w:rFonts w:ascii="Arial" w:eastAsia="Times New Roman" w:hAnsi="Arial" w:cs="Times New Roman"/>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eeds.eu/app/uploads/2019/07/11.0046-Euroseeds-position-Harvested-Material.doc-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de/details.jsp?meeting_id=63048"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SANTOS Carla Marina</cp:lastModifiedBy>
  <cp:revision>8</cp:revision>
  <cp:lastPrinted>2021-06-16T18:24:00Z</cp:lastPrinted>
  <dcterms:created xsi:type="dcterms:W3CDTF">2021-06-15T10:20:00Z</dcterms:created>
  <dcterms:modified xsi:type="dcterms:W3CDTF">2021-06-16T18:24:00Z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2b65286a-b5a3-4c84-9548-b8698608b391</vt:lpwstr>
  </property>
</Properties>
</file>