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6522"/>
        <w:gridCol w:w="3117"/>
      </w:tblGrid>
      <w:tr w:rsidR="0043467F" w:rsidRPr="003517F7" w:rsidTr="0043467F">
        <w:tc>
          <w:tcPr>
            <w:tcW w:w="6522" w:type="dxa"/>
            <w:hideMark/>
          </w:tcPr>
          <w:p w:rsidR="0043467F" w:rsidRPr="003517F7" w:rsidRDefault="0043467F" w:rsidP="00DE1BE6">
            <w:pPr>
              <w:rPr>
                <w:noProof/>
              </w:rPr>
            </w:pPr>
            <w:r w:rsidRPr="003517F7">
              <w:rPr>
                <w:noProof/>
                <w:lang w:val="en-US"/>
              </w:rPr>
              <w:drawing>
                <wp:inline distT="0" distB="0" distL="0" distR="0">
                  <wp:extent cx="9525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241300"/>
                          </a:xfrm>
                          <a:prstGeom prst="rect">
                            <a:avLst/>
                          </a:prstGeom>
                          <a:noFill/>
                          <a:ln>
                            <a:noFill/>
                          </a:ln>
                        </pic:spPr>
                      </pic:pic>
                    </a:graphicData>
                  </a:graphic>
                </wp:inline>
              </w:drawing>
            </w:r>
          </w:p>
        </w:tc>
        <w:tc>
          <w:tcPr>
            <w:tcW w:w="3117" w:type="dxa"/>
            <w:hideMark/>
          </w:tcPr>
          <w:p w:rsidR="0043467F" w:rsidRPr="003517F7" w:rsidRDefault="0043467F" w:rsidP="00DE1BE6">
            <w:pPr>
              <w:pStyle w:val="Lettrine"/>
              <w:spacing w:line="240" w:lineRule="auto"/>
              <w:rPr>
                <w:noProof/>
              </w:rPr>
            </w:pPr>
            <w:r w:rsidRPr="003517F7">
              <w:rPr>
                <w:noProof/>
              </w:rPr>
              <w:t>G</w:t>
            </w:r>
          </w:p>
        </w:tc>
      </w:tr>
      <w:tr w:rsidR="0043467F" w:rsidRPr="003517F7" w:rsidTr="0043467F">
        <w:trPr>
          <w:trHeight w:val="219"/>
        </w:trPr>
        <w:tc>
          <w:tcPr>
            <w:tcW w:w="6522" w:type="dxa"/>
            <w:hideMark/>
          </w:tcPr>
          <w:p w:rsidR="0043467F" w:rsidRPr="003517F7" w:rsidRDefault="0043467F" w:rsidP="00DE1BE6">
            <w:pPr>
              <w:pStyle w:val="upove"/>
              <w:spacing w:before="0"/>
              <w:rPr>
                <w:noProof/>
              </w:rPr>
            </w:pPr>
            <w:r w:rsidRPr="003517F7">
              <w:rPr>
                <w:noProof/>
              </w:rPr>
              <w:t>Internationaler Verband zum Schutz von Pflanzenzüchtungen</w:t>
            </w:r>
          </w:p>
        </w:tc>
        <w:tc>
          <w:tcPr>
            <w:tcW w:w="3117" w:type="dxa"/>
          </w:tcPr>
          <w:p w:rsidR="0043467F" w:rsidRPr="003517F7" w:rsidRDefault="0043467F" w:rsidP="00DE1BE6">
            <w:pPr>
              <w:rPr>
                <w:noProof/>
              </w:rPr>
            </w:pPr>
          </w:p>
        </w:tc>
      </w:tr>
    </w:tbl>
    <w:p w:rsidR="0043467F" w:rsidRPr="003517F7" w:rsidRDefault="0043467F" w:rsidP="00DE1BE6">
      <w:pPr>
        <w:rPr>
          <w:noProof/>
        </w:rPr>
      </w:pPr>
    </w:p>
    <w:p w:rsidR="0043467F" w:rsidRPr="003517F7" w:rsidRDefault="0043467F" w:rsidP="00DE1BE6">
      <w:pPr>
        <w:rPr>
          <w:noProof/>
        </w:rPr>
      </w:pPr>
    </w:p>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12"/>
        <w:gridCol w:w="3127"/>
      </w:tblGrid>
      <w:tr w:rsidR="0043467F" w:rsidRPr="003517F7" w:rsidTr="0043467F">
        <w:tc>
          <w:tcPr>
            <w:tcW w:w="6512" w:type="dxa"/>
            <w:tcBorders>
              <w:top w:val="nil"/>
              <w:left w:val="nil"/>
              <w:bottom w:val="single" w:sz="4" w:space="0" w:color="auto"/>
              <w:right w:val="nil"/>
            </w:tcBorders>
            <w:hideMark/>
          </w:tcPr>
          <w:p w:rsidR="00A373D3" w:rsidRPr="003517F7" w:rsidRDefault="00A373D3" w:rsidP="00A373D3">
            <w:pPr>
              <w:pStyle w:val="Sessiontc"/>
              <w:spacing w:line="240" w:lineRule="auto"/>
              <w:rPr>
                <w:noProof/>
              </w:rPr>
            </w:pPr>
            <w:r w:rsidRPr="003517F7">
              <w:rPr>
                <w:noProof/>
              </w:rPr>
              <w:t>Verwaltungs- und Rechtsausschuss</w:t>
            </w:r>
          </w:p>
          <w:p w:rsidR="00A373D3" w:rsidRPr="003517F7" w:rsidRDefault="00A373D3" w:rsidP="00A373D3">
            <w:pPr>
              <w:pStyle w:val="Sessiontcplacedate"/>
              <w:rPr>
                <w:noProof/>
              </w:rPr>
            </w:pPr>
            <w:r w:rsidRPr="003517F7">
              <w:rPr>
                <w:noProof/>
              </w:rPr>
              <w:t>Achtundsiebzigste Tagung</w:t>
            </w:r>
          </w:p>
          <w:p w:rsidR="0043467F" w:rsidRPr="003517F7" w:rsidRDefault="00A373D3" w:rsidP="00A373D3">
            <w:pPr>
              <w:pStyle w:val="Sessiontc"/>
              <w:spacing w:line="240" w:lineRule="auto"/>
              <w:rPr>
                <w:noProof/>
              </w:rPr>
            </w:pPr>
            <w:r w:rsidRPr="003517F7">
              <w:rPr>
                <w:noProof/>
              </w:rPr>
              <w:t>Genf, 27. Oktober 2021</w:t>
            </w:r>
          </w:p>
        </w:tc>
        <w:tc>
          <w:tcPr>
            <w:tcW w:w="3127" w:type="dxa"/>
            <w:tcBorders>
              <w:top w:val="nil"/>
              <w:left w:val="nil"/>
              <w:bottom w:val="single" w:sz="4" w:space="0" w:color="auto"/>
              <w:right w:val="nil"/>
            </w:tcBorders>
            <w:hideMark/>
          </w:tcPr>
          <w:p w:rsidR="0043467F" w:rsidRPr="003517F7" w:rsidRDefault="0043467F" w:rsidP="00DE1BE6">
            <w:pPr>
              <w:pStyle w:val="Doccode"/>
              <w:rPr>
                <w:noProof/>
              </w:rPr>
            </w:pPr>
            <w:r w:rsidRPr="003517F7">
              <w:rPr>
                <w:noProof/>
              </w:rPr>
              <w:t>CAJ/78/1</w:t>
            </w:r>
            <w:r w:rsidR="00E42D97" w:rsidRPr="003517F7">
              <w:rPr>
                <w:noProof/>
              </w:rPr>
              <w:t>3</w:t>
            </w:r>
          </w:p>
          <w:p w:rsidR="00A373D3" w:rsidRPr="003517F7" w:rsidRDefault="00A373D3" w:rsidP="00DE1BE6">
            <w:pPr>
              <w:pStyle w:val="Doccode"/>
              <w:rPr>
                <w:noProof/>
              </w:rPr>
            </w:pPr>
          </w:p>
          <w:p w:rsidR="0043467F" w:rsidRPr="003517F7" w:rsidRDefault="0043467F" w:rsidP="00DE1BE6">
            <w:pPr>
              <w:pStyle w:val="Docoriginal"/>
              <w:spacing w:before="0" w:line="240" w:lineRule="auto"/>
              <w:rPr>
                <w:noProof/>
                <w:spacing w:val="0"/>
              </w:rPr>
            </w:pPr>
            <w:r w:rsidRPr="003517F7">
              <w:rPr>
                <w:noProof/>
                <w:spacing w:val="0"/>
              </w:rPr>
              <w:t>Original:</w:t>
            </w:r>
            <w:r w:rsidR="00245396" w:rsidRPr="003517F7">
              <w:rPr>
                <w:b w:val="0"/>
                <w:noProof/>
                <w:spacing w:val="0"/>
              </w:rPr>
              <w:t xml:space="preserve">  </w:t>
            </w:r>
            <w:r w:rsidR="008A60BE" w:rsidRPr="003517F7">
              <w:rPr>
                <w:b w:val="0"/>
                <w:noProof/>
                <w:spacing w:val="0"/>
              </w:rPr>
              <w:t>englisch</w:t>
            </w:r>
          </w:p>
          <w:p w:rsidR="0043467F" w:rsidRPr="003517F7" w:rsidRDefault="0043467F" w:rsidP="00DE1BE6">
            <w:pPr>
              <w:pStyle w:val="Docoriginal"/>
              <w:spacing w:before="0" w:line="240" w:lineRule="auto"/>
              <w:rPr>
                <w:noProof/>
              </w:rPr>
            </w:pPr>
            <w:r w:rsidRPr="003517F7">
              <w:rPr>
                <w:noProof/>
                <w:spacing w:val="0"/>
              </w:rPr>
              <w:t>Datum:</w:t>
            </w:r>
            <w:r w:rsidRPr="003517F7">
              <w:rPr>
                <w:b w:val="0"/>
                <w:noProof/>
                <w:spacing w:val="0"/>
              </w:rPr>
              <w:t xml:space="preserve">  </w:t>
            </w:r>
            <w:r w:rsidR="008A60BE" w:rsidRPr="003517F7">
              <w:rPr>
                <w:b w:val="0"/>
                <w:noProof/>
                <w:spacing w:val="0"/>
              </w:rPr>
              <w:t>27</w:t>
            </w:r>
            <w:r w:rsidRPr="003517F7">
              <w:rPr>
                <w:b w:val="0"/>
                <w:noProof/>
                <w:spacing w:val="0"/>
              </w:rPr>
              <w:t>. Oktober 2021</w:t>
            </w:r>
          </w:p>
        </w:tc>
      </w:tr>
    </w:tbl>
    <w:p w:rsidR="00882F7D" w:rsidRPr="003517F7" w:rsidRDefault="00882F7D" w:rsidP="00882F7D">
      <w:pPr>
        <w:pStyle w:val="Titleofdoc0"/>
        <w:rPr>
          <w:noProof/>
        </w:rPr>
      </w:pPr>
      <w:r w:rsidRPr="003517F7">
        <w:rPr>
          <w:noProof/>
        </w:rPr>
        <w:t>BERICHT</w:t>
      </w:r>
    </w:p>
    <w:p w:rsidR="00882F7D" w:rsidRPr="003517F7" w:rsidRDefault="00882F7D" w:rsidP="00882F7D">
      <w:pPr>
        <w:pStyle w:val="preparedby1"/>
        <w:jc w:val="left"/>
        <w:rPr>
          <w:noProof/>
        </w:rPr>
      </w:pPr>
      <w:r w:rsidRPr="003517F7">
        <w:rPr>
          <w:noProof/>
        </w:rPr>
        <w:t>vom Verwaltungs- und Rechtsausschuss angenommen</w:t>
      </w:r>
    </w:p>
    <w:p w:rsidR="00882F7D" w:rsidRPr="003517F7" w:rsidRDefault="00882F7D" w:rsidP="00882F7D">
      <w:pPr>
        <w:pStyle w:val="Disclaimer"/>
        <w:rPr>
          <w:noProof/>
        </w:rPr>
      </w:pPr>
      <w:r w:rsidRPr="003517F7">
        <w:rPr>
          <w:noProof/>
        </w:rPr>
        <w:t>Haftungsausschluss:  dieses Dokument gibt nicht die Grundsätze oder eine Anleitung der UPOV wieder</w:t>
      </w:r>
    </w:p>
    <w:p w:rsidR="0067403B" w:rsidRPr="003517F7" w:rsidRDefault="0067403B" w:rsidP="0067403B">
      <w:pPr>
        <w:keepNext/>
        <w:outlineLvl w:val="1"/>
        <w:rPr>
          <w:noProof/>
          <w:u w:val="single"/>
        </w:rPr>
      </w:pPr>
      <w:r w:rsidRPr="003517F7">
        <w:rPr>
          <w:noProof/>
          <w:u w:val="single"/>
        </w:rPr>
        <w:t>Eröffnung der Tagung</w:t>
      </w:r>
    </w:p>
    <w:p w:rsidR="00923899" w:rsidRPr="003517F7" w:rsidRDefault="00923899" w:rsidP="00DE1BE6">
      <w:pPr>
        <w:rPr>
          <w:caps/>
          <w:noProof/>
          <w:snapToGrid w:val="0"/>
        </w:rPr>
      </w:pPr>
    </w:p>
    <w:p w:rsidR="008A60BE" w:rsidRPr="003517F7" w:rsidRDefault="008A60BE" w:rsidP="00DE1BE6">
      <w:pPr>
        <w:pStyle w:val="ListParagraph"/>
        <w:numPr>
          <w:ilvl w:val="0"/>
          <w:numId w:val="14"/>
        </w:numPr>
        <w:ind w:left="0" w:firstLine="0"/>
        <w:rPr>
          <w:noProof/>
        </w:rPr>
      </w:pPr>
      <w:r w:rsidRPr="003517F7">
        <w:rPr>
          <w:noProof/>
        </w:rPr>
        <w:t xml:space="preserve">Der </w:t>
      </w:r>
      <w:r w:rsidR="00923899" w:rsidRPr="003517F7">
        <w:rPr>
          <w:noProof/>
        </w:rPr>
        <w:t xml:space="preserve">Verwaltungs- und Rechtsausschuss (CAJ) </w:t>
      </w:r>
      <w:r w:rsidRPr="003517F7">
        <w:rPr>
          <w:noProof/>
        </w:rPr>
        <w:t>hielt seine achtundsiebzigste Tagung am 27. Oktober 2021 auf elektronischem Wege ab</w:t>
      </w:r>
      <w:r w:rsidR="00AE0687" w:rsidRPr="003517F7">
        <w:rPr>
          <w:noProof/>
        </w:rPr>
        <w:t>.</w:t>
      </w:r>
      <w:r w:rsidRPr="003517F7">
        <w:rPr>
          <w:noProof/>
        </w:rPr>
        <w:t xml:space="preserve"> Die List</w:t>
      </w:r>
      <w:r w:rsidR="00E42D97" w:rsidRPr="003517F7">
        <w:rPr>
          <w:noProof/>
        </w:rPr>
        <w:t>e</w:t>
      </w:r>
      <w:r w:rsidRPr="003517F7">
        <w:rPr>
          <w:noProof/>
        </w:rPr>
        <w:t xml:space="preserve"> der Teilnehmer ist in der Anlage dieses Berichts wiedergegeben.</w:t>
      </w:r>
    </w:p>
    <w:p w:rsidR="008A60BE" w:rsidRPr="003517F7" w:rsidRDefault="008A60BE" w:rsidP="00DE1BE6">
      <w:pPr>
        <w:rPr>
          <w:noProof/>
        </w:rPr>
      </w:pPr>
    </w:p>
    <w:p w:rsidR="00923899" w:rsidRPr="003517F7" w:rsidRDefault="008A60BE" w:rsidP="00DE1BE6">
      <w:pPr>
        <w:pStyle w:val="ListParagraph"/>
        <w:numPr>
          <w:ilvl w:val="0"/>
          <w:numId w:val="14"/>
        </w:numPr>
        <w:ind w:left="0" w:firstLine="0"/>
        <w:rPr>
          <w:noProof/>
        </w:rPr>
      </w:pPr>
      <w:r w:rsidRPr="003517F7">
        <w:rPr>
          <w:noProof/>
        </w:rPr>
        <w:t xml:space="preserve">Die Tagung wurde von Herrn Manuel Antonio Toro Ugalde (Chile), </w:t>
      </w:r>
      <w:r w:rsidR="00BB3F17" w:rsidRPr="003517F7">
        <w:rPr>
          <w:noProof/>
        </w:rPr>
        <w:t xml:space="preserve">Stellvertretender </w:t>
      </w:r>
      <w:r w:rsidR="00053FE6" w:rsidRPr="003517F7">
        <w:rPr>
          <w:noProof/>
        </w:rPr>
        <w:t>Vorsitzender des CAJ</w:t>
      </w:r>
      <w:r w:rsidR="00D1287E" w:rsidRPr="003517F7">
        <w:rPr>
          <w:noProof/>
        </w:rPr>
        <w:t>,</w:t>
      </w:r>
      <w:r w:rsidR="00BB3F17" w:rsidRPr="003517F7">
        <w:rPr>
          <w:noProof/>
        </w:rPr>
        <w:t xml:space="preserve"> der auf elektronischem Wege an der Tagung teilnahm</w:t>
      </w:r>
      <w:r w:rsidR="00053FE6" w:rsidRPr="003517F7">
        <w:rPr>
          <w:noProof/>
        </w:rPr>
        <w:t>, eröffnet</w:t>
      </w:r>
      <w:r w:rsidR="00BB3F17" w:rsidRPr="003517F7">
        <w:rPr>
          <w:noProof/>
        </w:rPr>
        <w:t xml:space="preserve">. Der </w:t>
      </w:r>
      <w:r w:rsidR="00E42D97" w:rsidRPr="003517F7">
        <w:rPr>
          <w:noProof/>
        </w:rPr>
        <w:t xml:space="preserve">Stellvertretende </w:t>
      </w:r>
      <w:r w:rsidR="00BB3F17" w:rsidRPr="003517F7">
        <w:rPr>
          <w:noProof/>
        </w:rPr>
        <w:t>Vorsitzende hieß die Teilnehmer willkommen.</w:t>
      </w:r>
    </w:p>
    <w:p w:rsidR="00BB3F17" w:rsidRPr="003517F7" w:rsidRDefault="00BB3F17" w:rsidP="00DE1BE6">
      <w:pPr>
        <w:rPr>
          <w:noProof/>
        </w:rPr>
      </w:pPr>
    </w:p>
    <w:p w:rsidR="00BB3F17" w:rsidRPr="003517F7" w:rsidRDefault="00BB3F17" w:rsidP="00DE1BE6">
      <w:pPr>
        <w:pStyle w:val="ListParagraph"/>
        <w:numPr>
          <w:ilvl w:val="0"/>
          <w:numId w:val="14"/>
        </w:numPr>
        <w:ind w:left="0" w:firstLine="0"/>
        <w:rPr>
          <w:noProof/>
        </w:rPr>
      </w:pPr>
      <w:r w:rsidRPr="003517F7">
        <w:rPr>
          <w:noProof/>
        </w:rPr>
        <w:t>Der CAJ nahm zur Kenntnis, dass Herr Patrick Ngwediagi aufgrund unvermeidlicher Umstände nicht in de</w:t>
      </w:r>
      <w:r w:rsidR="00053FE6" w:rsidRPr="003517F7">
        <w:rPr>
          <w:noProof/>
        </w:rPr>
        <w:t xml:space="preserve">r Lage </w:t>
      </w:r>
      <w:r w:rsidR="0045055E" w:rsidRPr="003517F7">
        <w:rPr>
          <w:noProof/>
        </w:rPr>
        <w:t>sei</w:t>
      </w:r>
      <w:r w:rsidR="00053FE6" w:rsidRPr="003517F7">
        <w:rPr>
          <w:noProof/>
        </w:rPr>
        <w:t>, dem CAJ vorzusitzen</w:t>
      </w:r>
      <w:r w:rsidR="00D1287E" w:rsidRPr="003517F7">
        <w:rPr>
          <w:noProof/>
        </w:rPr>
        <w:t>,</w:t>
      </w:r>
      <w:r w:rsidRPr="003517F7">
        <w:rPr>
          <w:noProof/>
        </w:rPr>
        <w:t xml:space="preserve"> und </w:t>
      </w:r>
      <w:r w:rsidR="00053FE6" w:rsidRPr="003517F7">
        <w:rPr>
          <w:noProof/>
        </w:rPr>
        <w:t xml:space="preserve">den Stellvertretenden Vorsitzenden des CAJ, </w:t>
      </w:r>
      <w:r w:rsidR="006633BB">
        <w:rPr>
          <w:noProof/>
        </w:rPr>
        <w:t>Herrn Manuel </w:t>
      </w:r>
      <w:r w:rsidR="0045055E" w:rsidRPr="003517F7">
        <w:rPr>
          <w:noProof/>
        </w:rPr>
        <w:t>Antonino</w:t>
      </w:r>
      <w:r w:rsidR="006633BB">
        <w:rPr>
          <w:noProof/>
        </w:rPr>
        <w:t xml:space="preserve"> </w:t>
      </w:r>
      <w:r w:rsidR="0045055E" w:rsidRPr="003517F7">
        <w:rPr>
          <w:noProof/>
        </w:rPr>
        <w:t>Toro Ugalde</w:t>
      </w:r>
      <w:r w:rsidR="00D1287E" w:rsidRPr="003517F7">
        <w:rPr>
          <w:noProof/>
        </w:rPr>
        <w:t>,</w:t>
      </w:r>
      <w:r w:rsidRPr="003517F7">
        <w:rPr>
          <w:noProof/>
        </w:rPr>
        <w:t xml:space="preserve"> </w:t>
      </w:r>
      <w:r w:rsidR="00053FE6" w:rsidRPr="003517F7">
        <w:rPr>
          <w:noProof/>
        </w:rPr>
        <w:t xml:space="preserve">ersucht </w:t>
      </w:r>
      <w:r w:rsidR="0045055E" w:rsidRPr="003517F7">
        <w:rPr>
          <w:noProof/>
        </w:rPr>
        <w:t>habe,</w:t>
      </w:r>
      <w:r w:rsidRPr="003517F7">
        <w:rPr>
          <w:noProof/>
        </w:rPr>
        <w:t xml:space="preserve"> dem CAJ vorzusitzen.</w:t>
      </w:r>
    </w:p>
    <w:p w:rsidR="00BB3F17" w:rsidRPr="003517F7" w:rsidRDefault="00BB3F17" w:rsidP="00DE1BE6">
      <w:pPr>
        <w:rPr>
          <w:noProof/>
        </w:rPr>
      </w:pPr>
    </w:p>
    <w:p w:rsidR="00BE3811" w:rsidRPr="003517F7" w:rsidRDefault="00BE3811" w:rsidP="00DE1BE6">
      <w:pPr>
        <w:rPr>
          <w:noProof/>
        </w:rPr>
      </w:pPr>
    </w:p>
    <w:p w:rsidR="00BB3F17" w:rsidRPr="003517F7" w:rsidRDefault="00BB3F17" w:rsidP="00DE1BE6">
      <w:pPr>
        <w:rPr>
          <w:noProof/>
          <w:u w:val="single"/>
        </w:rPr>
      </w:pPr>
      <w:r w:rsidRPr="003517F7">
        <w:rPr>
          <w:noProof/>
          <w:u w:val="single"/>
        </w:rPr>
        <w:t>Annahme der Tagesordnung</w:t>
      </w:r>
    </w:p>
    <w:p w:rsidR="00BB3F17" w:rsidRPr="003517F7" w:rsidRDefault="00BB3F17" w:rsidP="00DE1BE6">
      <w:pPr>
        <w:rPr>
          <w:noProof/>
        </w:rPr>
      </w:pPr>
    </w:p>
    <w:p w:rsidR="00923899" w:rsidRPr="003517F7" w:rsidRDefault="00BB3F17" w:rsidP="00DE1BE6">
      <w:pPr>
        <w:pStyle w:val="ListParagraph"/>
        <w:numPr>
          <w:ilvl w:val="0"/>
          <w:numId w:val="14"/>
        </w:numPr>
        <w:ind w:left="0" w:firstLine="0"/>
        <w:rPr>
          <w:noProof/>
          <w:spacing w:val="-2"/>
        </w:rPr>
      </w:pPr>
      <w:r w:rsidRPr="003517F7">
        <w:rPr>
          <w:noProof/>
        </w:rPr>
        <w:t xml:space="preserve">Der CAJ nahm den in Dokument </w:t>
      </w:r>
      <w:r w:rsidRPr="003517F7">
        <w:rPr>
          <w:rFonts w:cs="Arial"/>
          <w:noProof/>
        </w:rPr>
        <w:t>CAJ/78/1 Rev.2</w:t>
      </w:r>
      <w:r w:rsidRPr="003517F7">
        <w:rPr>
          <w:noProof/>
          <w:spacing w:val="-2"/>
        </w:rPr>
        <w:t xml:space="preserve"> vorgeschlagenen überarbeiteten E</w:t>
      </w:r>
      <w:r w:rsidR="00053FE6" w:rsidRPr="003517F7">
        <w:rPr>
          <w:noProof/>
          <w:spacing w:val="-2"/>
        </w:rPr>
        <w:t>ntwurf für eine Tagesordnung an</w:t>
      </w:r>
      <w:r w:rsidRPr="003517F7">
        <w:rPr>
          <w:noProof/>
          <w:spacing w:val="-2"/>
        </w:rPr>
        <w:t xml:space="preserve"> und vereinbarte, Punkt 9 „PLUTO Datenbank für Pflanzensorten“ zu verschieben und nach Punkt 12 „</w:t>
      </w:r>
      <w:r w:rsidR="00723DE3" w:rsidRPr="003517F7">
        <w:rPr>
          <w:noProof/>
          <w:spacing w:val="-2"/>
        </w:rPr>
        <w:t>Maßnahmen zur Verbesserung der Zusammenarbeit bei der Prüfung (Do</w:t>
      </w:r>
      <w:r w:rsidRPr="003517F7">
        <w:rPr>
          <w:noProof/>
          <w:spacing w:val="-2"/>
        </w:rPr>
        <w:t>kument CAJ/78/9)“ aufzuführen.</w:t>
      </w:r>
    </w:p>
    <w:p w:rsidR="00723DE3" w:rsidRPr="003517F7" w:rsidRDefault="00723DE3" w:rsidP="00DE1BE6">
      <w:pPr>
        <w:rPr>
          <w:noProof/>
          <w:spacing w:val="-2"/>
        </w:rPr>
      </w:pPr>
    </w:p>
    <w:p w:rsidR="00053FE6" w:rsidRPr="003517F7" w:rsidRDefault="00053FE6" w:rsidP="00DE1BE6">
      <w:pPr>
        <w:rPr>
          <w:noProof/>
          <w:spacing w:val="-2"/>
        </w:rPr>
      </w:pPr>
    </w:p>
    <w:p w:rsidR="00723DE3" w:rsidRPr="003517F7" w:rsidRDefault="00723DE3" w:rsidP="00DE1BE6">
      <w:pPr>
        <w:rPr>
          <w:noProof/>
          <w:spacing w:val="-2"/>
          <w:u w:val="single"/>
        </w:rPr>
      </w:pPr>
      <w:r w:rsidRPr="003517F7">
        <w:rPr>
          <w:noProof/>
          <w:spacing w:val="-2"/>
          <w:u w:val="single"/>
        </w:rPr>
        <w:t xml:space="preserve">Ergebnis der Prüfung von Dokumenten </w:t>
      </w:r>
      <w:r w:rsidR="00BF186E" w:rsidRPr="003517F7">
        <w:rPr>
          <w:noProof/>
          <w:spacing w:val="-2"/>
          <w:u w:val="single"/>
        </w:rPr>
        <w:t>auf dem Schriftweg (Dokument CAJ</w:t>
      </w:r>
      <w:r w:rsidRPr="003517F7">
        <w:rPr>
          <w:noProof/>
          <w:spacing w:val="-2"/>
          <w:u w:val="single"/>
        </w:rPr>
        <w:t>/78/12)</w:t>
      </w:r>
    </w:p>
    <w:p w:rsidR="00723DE3" w:rsidRPr="003517F7" w:rsidRDefault="00723DE3" w:rsidP="00DE1BE6">
      <w:pPr>
        <w:rPr>
          <w:noProof/>
          <w:spacing w:val="-2"/>
        </w:rPr>
      </w:pPr>
    </w:p>
    <w:p w:rsidR="00723DE3" w:rsidRPr="003517F7" w:rsidRDefault="00723DE3" w:rsidP="00DE1BE6">
      <w:pPr>
        <w:pStyle w:val="ListParagraph"/>
        <w:numPr>
          <w:ilvl w:val="0"/>
          <w:numId w:val="14"/>
        </w:numPr>
        <w:ind w:left="0" w:firstLine="0"/>
        <w:rPr>
          <w:noProof/>
          <w:spacing w:val="-2"/>
        </w:rPr>
      </w:pPr>
      <w:r w:rsidRPr="003517F7">
        <w:rPr>
          <w:noProof/>
          <w:spacing w:val="-2"/>
        </w:rPr>
        <w:t>Der CAJ prüfte Dokument CAJ/78/12</w:t>
      </w:r>
      <w:r w:rsidR="001F5989" w:rsidRPr="003517F7">
        <w:rPr>
          <w:noProof/>
          <w:spacing w:val="-2"/>
        </w:rPr>
        <w:t>.</w:t>
      </w:r>
    </w:p>
    <w:p w:rsidR="001F5989" w:rsidRPr="003517F7" w:rsidRDefault="001F5989" w:rsidP="00DE1BE6">
      <w:pPr>
        <w:pStyle w:val="ListParagraph"/>
        <w:ind w:left="0"/>
        <w:rPr>
          <w:noProof/>
          <w:spacing w:val="-2"/>
        </w:rPr>
      </w:pPr>
    </w:p>
    <w:p w:rsidR="001F5989" w:rsidRPr="003517F7" w:rsidRDefault="001F5989" w:rsidP="00DE1BE6">
      <w:pPr>
        <w:pStyle w:val="ListParagraph"/>
        <w:numPr>
          <w:ilvl w:val="0"/>
          <w:numId w:val="14"/>
        </w:numPr>
        <w:ind w:left="0" w:firstLine="0"/>
        <w:rPr>
          <w:noProof/>
          <w:spacing w:val="-2"/>
        </w:rPr>
      </w:pPr>
      <w:r w:rsidRPr="003517F7">
        <w:rPr>
          <w:noProof/>
          <w:spacing w:val="-2"/>
        </w:rPr>
        <w:t xml:space="preserve">Der CAJ nahm </w:t>
      </w:r>
      <w:r w:rsidRPr="003517F7">
        <w:rPr>
          <w:noProof/>
        </w:rPr>
        <w:t xml:space="preserve">die Billigung </w:t>
      </w:r>
      <w:r w:rsidR="00BF186E" w:rsidRPr="003517F7">
        <w:rPr>
          <w:noProof/>
        </w:rPr>
        <w:t xml:space="preserve">durch den CAJ </w:t>
      </w:r>
      <w:r w:rsidRPr="003517F7">
        <w:rPr>
          <w:noProof/>
        </w:rPr>
        <w:t xml:space="preserve">der in folgenden Dokumenten enthaltenen </w:t>
      </w:r>
      <w:r w:rsidR="00BF186E" w:rsidRPr="003517F7">
        <w:rPr>
          <w:noProof/>
        </w:rPr>
        <w:t>Entscheidungen auf dem Schriftweg vom</w:t>
      </w:r>
      <w:r w:rsidRPr="003517F7">
        <w:rPr>
          <w:noProof/>
        </w:rPr>
        <w:t xml:space="preserve"> 21. September  2021 zur Kenntnis (vgl. Dokument CAJ/78/12, Absatz 35):</w:t>
      </w:r>
    </w:p>
    <w:p w:rsidR="00923899" w:rsidRPr="003517F7" w:rsidRDefault="00923899" w:rsidP="00BE3811">
      <w:pPr>
        <w:spacing w:before="120" w:after="120"/>
        <w:ind w:firstLine="562"/>
        <w:rPr>
          <w:rFonts w:cs="Arial"/>
          <w:noProof/>
        </w:rPr>
      </w:pPr>
      <w:r w:rsidRPr="003517F7">
        <w:rPr>
          <w:noProof/>
        </w:rPr>
        <w:t>Ausarbeitung von Anleitung und Informationsmaterial (Dokument CAJ/78/3 Rev.)</w:t>
      </w:r>
    </w:p>
    <w:p w:rsidR="00245396" w:rsidRPr="003517F7" w:rsidRDefault="0055137E" w:rsidP="00BE3811">
      <w:pPr>
        <w:pStyle w:val="ListParagraph"/>
        <w:keepNext/>
        <w:ind w:left="1134"/>
        <w:contextualSpacing w:val="0"/>
        <w:rPr>
          <w:noProof/>
        </w:rPr>
      </w:pPr>
      <w:r w:rsidRPr="003517F7">
        <w:rPr>
          <w:noProof/>
        </w:rPr>
        <w:t>UPOV/INF/16:</w:t>
      </w:r>
      <w:r w:rsidRPr="003517F7">
        <w:rPr>
          <w:noProof/>
        </w:rPr>
        <w:tab/>
        <w:t xml:space="preserve">Austauschbare Software (Überarbeitung) </w:t>
      </w:r>
    </w:p>
    <w:p w:rsidR="0055137E" w:rsidRPr="003517F7" w:rsidRDefault="0055137E" w:rsidP="00BE3811">
      <w:pPr>
        <w:pStyle w:val="ListParagraph"/>
        <w:keepNext/>
        <w:spacing w:after="120"/>
        <w:ind w:left="2268" w:firstLine="567"/>
        <w:contextualSpacing w:val="0"/>
        <w:rPr>
          <w:rFonts w:cs="Angsana New"/>
          <w:noProof/>
          <w:szCs w:val="24"/>
        </w:rPr>
      </w:pPr>
      <w:r w:rsidRPr="003517F7">
        <w:rPr>
          <w:noProof/>
        </w:rPr>
        <w:t>(Dokument UPOV/INF/16/10 Draft 2)</w:t>
      </w:r>
    </w:p>
    <w:p w:rsidR="00245396" w:rsidRPr="003517F7" w:rsidRDefault="0055137E" w:rsidP="00BE3811">
      <w:pPr>
        <w:pStyle w:val="ListParagraph"/>
        <w:keepNext/>
        <w:ind w:left="2835" w:hanging="1701"/>
        <w:contextualSpacing w:val="0"/>
        <w:jc w:val="left"/>
        <w:rPr>
          <w:noProof/>
        </w:rPr>
      </w:pPr>
      <w:r w:rsidRPr="003517F7">
        <w:rPr>
          <w:noProof/>
        </w:rPr>
        <w:t>UPOV/INF/17:</w:t>
      </w:r>
      <w:r w:rsidRPr="003517F7">
        <w:rPr>
          <w:noProof/>
        </w:rPr>
        <w:tab/>
        <w:t xml:space="preserve">Richtlinien für die DNS-Profilierung: Auswahl molekularer Marker und Aufbau von Datenbanken („BMT-Richtlinien) (Überarbeitung) </w:t>
      </w:r>
    </w:p>
    <w:p w:rsidR="0055137E" w:rsidRPr="003517F7" w:rsidRDefault="00EF01E9" w:rsidP="00BE3811">
      <w:pPr>
        <w:pStyle w:val="ListParagraph"/>
        <w:keepNext/>
        <w:spacing w:after="120"/>
        <w:ind w:left="2268" w:firstLine="567"/>
        <w:contextualSpacing w:val="0"/>
        <w:jc w:val="left"/>
        <w:rPr>
          <w:rFonts w:cs="Angsana New"/>
          <w:noProof/>
          <w:szCs w:val="24"/>
        </w:rPr>
      </w:pPr>
      <w:r w:rsidRPr="003517F7">
        <w:rPr>
          <w:noProof/>
        </w:rPr>
        <w:t>(Dokument UPOV/INF/17/</w:t>
      </w:r>
      <w:r w:rsidR="0055137E" w:rsidRPr="003517F7">
        <w:rPr>
          <w:noProof/>
        </w:rPr>
        <w:t>2 Draft 6)</w:t>
      </w:r>
    </w:p>
    <w:p w:rsidR="0055137E" w:rsidRPr="003517F7" w:rsidRDefault="0055137E" w:rsidP="00BE3811">
      <w:pPr>
        <w:pStyle w:val="ListParagraph"/>
        <w:keepNext/>
        <w:spacing w:after="120"/>
        <w:ind w:left="2835" w:hanging="1701"/>
        <w:contextualSpacing w:val="0"/>
        <w:rPr>
          <w:rFonts w:cs="Angsana New"/>
          <w:noProof/>
          <w:szCs w:val="24"/>
        </w:rPr>
      </w:pPr>
      <w:r w:rsidRPr="003517F7">
        <w:rPr>
          <w:noProof/>
        </w:rPr>
        <w:t>UPOV/INF/22:</w:t>
      </w:r>
      <w:r w:rsidRPr="003517F7">
        <w:rPr>
          <w:noProof/>
        </w:rPr>
        <w:tab/>
        <w:t>Von Verbandsmitgliedern verwendete Software und Ausrüstung (Überarbeitung) (Dokument UPOV/INF/22/8 Draft 2)</w:t>
      </w:r>
    </w:p>
    <w:p w:rsidR="001C4814" w:rsidRPr="003517F7" w:rsidRDefault="0055137E" w:rsidP="00BE3811">
      <w:pPr>
        <w:pStyle w:val="ListParagraph"/>
        <w:keepNext/>
        <w:spacing w:after="120"/>
        <w:ind w:left="1134"/>
        <w:contextualSpacing w:val="0"/>
        <w:rPr>
          <w:noProof/>
        </w:rPr>
      </w:pPr>
      <w:r w:rsidRPr="003517F7">
        <w:rPr>
          <w:noProof/>
        </w:rPr>
        <w:t>UPOV/INF/23:</w:t>
      </w:r>
      <w:r w:rsidRPr="003517F7">
        <w:rPr>
          <w:noProof/>
        </w:rPr>
        <w:tab/>
        <w:t>UPOV-Code-System (Dokument UPOV/INF/23/1 Draft 3)</w:t>
      </w:r>
    </w:p>
    <w:p w:rsidR="001C4814" w:rsidRPr="003517F7" w:rsidRDefault="001C4814" w:rsidP="00BE3811">
      <w:pPr>
        <w:keepNext/>
        <w:spacing w:after="120"/>
        <w:ind w:firstLine="562"/>
        <w:rPr>
          <w:rFonts w:cs="Arial"/>
          <w:noProof/>
        </w:rPr>
      </w:pPr>
      <w:r w:rsidRPr="003517F7">
        <w:rPr>
          <w:noProof/>
        </w:rPr>
        <w:t>Erläuterungen zu Sortenbezeichnungen nach dem UPOV-</w:t>
      </w:r>
      <w:r w:rsidR="00EF01E9" w:rsidRPr="003517F7">
        <w:rPr>
          <w:noProof/>
        </w:rPr>
        <w:t>Übereinkommen (Dokument CAJ/78/</w:t>
      </w:r>
      <w:r w:rsidRPr="003517F7">
        <w:rPr>
          <w:noProof/>
        </w:rPr>
        <w:t>11)</w:t>
      </w:r>
    </w:p>
    <w:p w:rsidR="00367AE2" w:rsidRPr="003517F7" w:rsidRDefault="00367AE2" w:rsidP="00BE3811">
      <w:pPr>
        <w:pStyle w:val="ListParagraph"/>
        <w:keepNext/>
        <w:spacing w:after="120"/>
        <w:ind w:left="1138"/>
        <w:contextualSpacing w:val="0"/>
        <w:rPr>
          <w:rFonts w:cs="Angsana New"/>
          <w:noProof/>
          <w:szCs w:val="24"/>
        </w:rPr>
      </w:pPr>
      <w:r w:rsidRPr="003517F7">
        <w:rPr>
          <w:noProof/>
        </w:rPr>
        <w:t>UPOV/EXN/DEN:</w:t>
      </w:r>
      <w:r w:rsidRPr="003517F7">
        <w:rPr>
          <w:noProof/>
        </w:rPr>
        <w:tab/>
        <w:t>Erläuterungen zu Sortenbezeichnungen nach dem UPOV-Übereinkommen (Dokument UPOV/EXN/DEN/1 Draft 6)</w:t>
      </w:r>
    </w:p>
    <w:p w:rsidR="00637782" w:rsidRPr="003517F7" w:rsidRDefault="00637782" w:rsidP="00BE3811">
      <w:pPr>
        <w:ind w:firstLine="567"/>
        <w:rPr>
          <w:noProof/>
        </w:rPr>
      </w:pPr>
      <w:r w:rsidRPr="003517F7">
        <w:rPr>
          <w:noProof/>
        </w:rPr>
        <w:t>Erntegut (Dokument CAJ/78/5)</w:t>
      </w:r>
      <w:r w:rsidR="000806B9" w:rsidRPr="003517F7">
        <w:rPr>
          <w:noProof/>
        </w:rPr>
        <w:t>.</w:t>
      </w:r>
    </w:p>
    <w:p w:rsidR="0015228A" w:rsidRPr="003517F7" w:rsidRDefault="009E77BA" w:rsidP="00BE3811">
      <w:pPr>
        <w:pStyle w:val="ListParagraph"/>
        <w:numPr>
          <w:ilvl w:val="0"/>
          <w:numId w:val="14"/>
        </w:numPr>
        <w:spacing w:before="160"/>
        <w:ind w:left="0" w:firstLine="0"/>
        <w:contextualSpacing w:val="0"/>
        <w:rPr>
          <w:noProof/>
        </w:rPr>
      </w:pPr>
      <w:r w:rsidRPr="003517F7">
        <w:rPr>
          <w:noProof/>
        </w:rPr>
        <w:lastRenderedPageBreak/>
        <w:t xml:space="preserve">Der CAJ </w:t>
      </w:r>
      <w:r w:rsidR="00B72168" w:rsidRPr="003517F7">
        <w:rPr>
          <w:noProof/>
        </w:rPr>
        <w:t>nahm</w:t>
      </w:r>
      <w:r w:rsidRPr="003517F7">
        <w:rPr>
          <w:noProof/>
        </w:rPr>
        <w:t xml:space="preserve"> </w:t>
      </w:r>
      <w:r w:rsidR="0015228A" w:rsidRPr="003517F7">
        <w:rPr>
          <w:noProof/>
        </w:rPr>
        <w:t>die in Beantwortung des Rundschreibens E-21/123 vom 23. August 2021 eingegangenen Bemerkungen zu Dokument CAJ/78/5 „Erntegut“, die nicht zu einer Überarbeitung von Dokument CAJ/78/5 geführt</w:t>
      </w:r>
      <w:r w:rsidRPr="003517F7">
        <w:rPr>
          <w:noProof/>
        </w:rPr>
        <w:t xml:space="preserve"> ha</w:t>
      </w:r>
      <w:r w:rsidR="00B72168" w:rsidRPr="003517F7">
        <w:rPr>
          <w:noProof/>
        </w:rPr>
        <w:t>tten</w:t>
      </w:r>
      <w:r w:rsidRPr="003517F7">
        <w:rPr>
          <w:noProof/>
        </w:rPr>
        <w:t>,</w:t>
      </w:r>
      <w:r w:rsidR="0015228A" w:rsidRPr="003517F7">
        <w:rPr>
          <w:noProof/>
        </w:rPr>
        <w:t xml:space="preserve"> </w:t>
      </w:r>
      <w:r w:rsidRPr="003517F7">
        <w:rPr>
          <w:noProof/>
        </w:rPr>
        <w:t>zur Kenntnis</w:t>
      </w:r>
      <w:r w:rsidR="00B436B3" w:rsidRPr="003517F7">
        <w:rPr>
          <w:noProof/>
        </w:rPr>
        <w:t xml:space="preserve"> </w:t>
      </w:r>
      <w:r w:rsidRPr="003517F7">
        <w:rPr>
          <w:noProof/>
        </w:rPr>
        <w:t>(</w:t>
      </w:r>
      <w:r w:rsidR="00652783" w:rsidRPr="003517F7">
        <w:rPr>
          <w:noProof/>
        </w:rPr>
        <w:t>vgl.</w:t>
      </w:r>
      <w:r w:rsidR="00637782" w:rsidRPr="003517F7">
        <w:rPr>
          <w:noProof/>
        </w:rPr>
        <w:t xml:space="preserve"> Absatz</w:t>
      </w:r>
      <w:r w:rsidRPr="003517F7">
        <w:rPr>
          <w:noProof/>
        </w:rPr>
        <w:t xml:space="preserve"> 33</w:t>
      </w:r>
      <w:r w:rsidR="0015228A" w:rsidRPr="003517F7">
        <w:rPr>
          <w:noProof/>
        </w:rPr>
        <w:t>).</w:t>
      </w:r>
    </w:p>
    <w:p w:rsidR="009524E9" w:rsidRPr="003517F7" w:rsidRDefault="009524E9" w:rsidP="00DE1BE6">
      <w:pPr>
        <w:pStyle w:val="ListParagraph"/>
        <w:ind w:left="0"/>
        <w:rPr>
          <w:noProof/>
        </w:rPr>
      </w:pPr>
    </w:p>
    <w:p w:rsidR="00BE3811" w:rsidRPr="003517F7" w:rsidRDefault="00BE3811" w:rsidP="00DE1BE6">
      <w:pPr>
        <w:pStyle w:val="ListParagraph"/>
        <w:ind w:left="0"/>
        <w:rPr>
          <w:noProof/>
        </w:rPr>
      </w:pPr>
    </w:p>
    <w:p w:rsidR="009524E9" w:rsidRPr="003517F7" w:rsidRDefault="009524E9" w:rsidP="00DE1BE6">
      <w:pPr>
        <w:pStyle w:val="ListParagraph"/>
        <w:ind w:left="0"/>
        <w:rPr>
          <w:noProof/>
          <w:u w:val="single"/>
        </w:rPr>
      </w:pPr>
      <w:r w:rsidRPr="003517F7">
        <w:rPr>
          <w:noProof/>
          <w:u w:val="single"/>
        </w:rPr>
        <w:t>Bericht des Stellvertretenden Generalsekretärs über die Entwicklungen in der UPOV</w:t>
      </w:r>
    </w:p>
    <w:p w:rsidR="009524E9" w:rsidRPr="003517F7" w:rsidRDefault="009524E9" w:rsidP="00DE1BE6">
      <w:pPr>
        <w:pStyle w:val="ListParagraph"/>
        <w:ind w:left="0"/>
        <w:rPr>
          <w:noProof/>
        </w:rPr>
      </w:pPr>
    </w:p>
    <w:p w:rsidR="009524E9" w:rsidRPr="003517F7" w:rsidRDefault="009524E9" w:rsidP="00DE1BE6">
      <w:pPr>
        <w:pStyle w:val="ListParagraph"/>
        <w:numPr>
          <w:ilvl w:val="0"/>
          <w:numId w:val="14"/>
        </w:numPr>
        <w:ind w:left="0" w:firstLine="0"/>
        <w:rPr>
          <w:noProof/>
        </w:rPr>
      </w:pPr>
      <w:r w:rsidRPr="003517F7">
        <w:rPr>
          <w:noProof/>
        </w:rPr>
        <w:t>Der CAJ nahm zur Kenntnis, das</w:t>
      </w:r>
      <w:r w:rsidR="008633E1" w:rsidRPr="003517F7">
        <w:rPr>
          <w:noProof/>
        </w:rPr>
        <w:t>s ein Videoreferat auf Englisch,</w:t>
      </w:r>
      <w:r w:rsidRPr="003517F7">
        <w:rPr>
          <w:noProof/>
        </w:rPr>
        <w:t xml:space="preserve"> mit Untertiteln auf Englisch</w:t>
      </w:r>
      <w:r w:rsidR="00A0202E" w:rsidRPr="003517F7">
        <w:rPr>
          <w:noProof/>
        </w:rPr>
        <w:t>, F</w:t>
      </w:r>
      <w:r w:rsidRPr="003517F7">
        <w:rPr>
          <w:noProof/>
        </w:rPr>
        <w:t xml:space="preserve">ranzösisch, </w:t>
      </w:r>
      <w:r w:rsidR="00A0202E" w:rsidRPr="003517F7">
        <w:rPr>
          <w:noProof/>
        </w:rPr>
        <w:t>D</w:t>
      </w:r>
      <w:r w:rsidRPr="003517F7">
        <w:rPr>
          <w:noProof/>
        </w:rPr>
        <w:t>eutsch</w:t>
      </w:r>
      <w:r w:rsidR="00A0202E" w:rsidRPr="003517F7">
        <w:rPr>
          <w:noProof/>
        </w:rPr>
        <w:t xml:space="preserve"> und S</w:t>
      </w:r>
      <w:r w:rsidRPr="003517F7">
        <w:rPr>
          <w:noProof/>
        </w:rPr>
        <w:t>panisch</w:t>
      </w:r>
      <w:r w:rsidR="008633E1" w:rsidRPr="003517F7">
        <w:rPr>
          <w:noProof/>
        </w:rPr>
        <w:t>,</w:t>
      </w:r>
      <w:r w:rsidRPr="003517F7">
        <w:rPr>
          <w:noProof/>
        </w:rPr>
        <w:t xml:space="preserve"> vor der CAJ-Tagung auf der Webseite der CAJ/78 zur Verfügung gestellt worden sei. Eine Kopie des Refe</w:t>
      </w:r>
      <w:r w:rsidR="00652783" w:rsidRPr="003517F7">
        <w:rPr>
          <w:noProof/>
        </w:rPr>
        <w:t>rats sei in Dokument CAJ/78/INF/</w:t>
      </w:r>
      <w:r w:rsidRPr="003517F7">
        <w:rPr>
          <w:noProof/>
        </w:rPr>
        <w:t xml:space="preserve">2 enthalten.  </w:t>
      </w:r>
    </w:p>
    <w:p w:rsidR="00A0202E" w:rsidRPr="003517F7" w:rsidRDefault="00A0202E" w:rsidP="00DE1BE6">
      <w:pPr>
        <w:pStyle w:val="ListParagraph"/>
        <w:ind w:left="0"/>
        <w:rPr>
          <w:noProof/>
        </w:rPr>
      </w:pPr>
    </w:p>
    <w:p w:rsidR="00A0202E" w:rsidRPr="003517F7" w:rsidRDefault="0000532B" w:rsidP="00DE1BE6">
      <w:pPr>
        <w:pStyle w:val="ListParagraph"/>
        <w:numPr>
          <w:ilvl w:val="0"/>
          <w:numId w:val="14"/>
        </w:numPr>
        <w:ind w:left="0" w:firstLine="0"/>
        <w:rPr>
          <w:noProof/>
        </w:rPr>
      </w:pPr>
      <w:r w:rsidRPr="003517F7">
        <w:rPr>
          <w:noProof/>
        </w:rPr>
        <w:t>Der Stellvertretende Generalsekretär berichtete, dass Frau Nadia Gianoli am 1. September 2021 ihre Tätigkeit bei der UPOV im Rahmen eines Agenturvertrages aufgenommen habe, um Frau Urska Cery während ihres Mutterschaftsurlaubs zu vertreten.</w:t>
      </w:r>
    </w:p>
    <w:p w:rsidR="001F5989" w:rsidRPr="003517F7" w:rsidRDefault="001F5989" w:rsidP="00DE1BE6">
      <w:pPr>
        <w:pStyle w:val="ListParagraph"/>
        <w:ind w:left="0"/>
        <w:rPr>
          <w:noProof/>
        </w:rPr>
      </w:pPr>
    </w:p>
    <w:p w:rsidR="00BE3811" w:rsidRPr="003517F7" w:rsidRDefault="00BE3811" w:rsidP="00DE1BE6">
      <w:pPr>
        <w:pStyle w:val="ListParagraph"/>
        <w:ind w:left="0"/>
        <w:rPr>
          <w:noProof/>
        </w:rPr>
      </w:pPr>
    </w:p>
    <w:p w:rsidR="001F5989" w:rsidRPr="003517F7" w:rsidRDefault="001F5989" w:rsidP="00DE1BE6">
      <w:pPr>
        <w:pStyle w:val="ListParagraph"/>
        <w:ind w:left="0"/>
        <w:rPr>
          <w:noProof/>
          <w:u w:val="single"/>
        </w:rPr>
      </w:pPr>
      <w:r w:rsidRPr="003517F7">
        <w:rPr>
          <w:noProof/>
          <w:u w:val="single"/>
        </w:rPr>
        <w:t xml:space="preserve">Bericht </w:t>
      </w:r>
      <w:r w:rsidR="009524E9" w:rsidRPr="003517F7">
        <w:rPr>
          <w:noProof/>
          <w:u w:val="single"/>
        </w:rPr>
        <w:t>über die Entwicklungen im Technischen Ausschu</w:t>
      </w:r>
      <w:r w:rsidR="00D1287E" w:rsidRPr="003517F7">
        <w:rPr>
          <w:noProof/>
          <w:u w:val="single"/>
        </w:rPr>
        <w:t>ss</w:t>
      </w:r>
    </w:p>
    <w:p w:rsidR="009524E9" w:rsidRPr="003517F7" w:rsidRDefault="009524E9" w:rsidP="00DE1BE6">
      <w:pPr>
        <w:pStyle w:val="ListParagraph"/>
        <w:ind w:left="0"/>
        <w:rPr>
          <w:noProof/>
        </w:rPr>
      </w:pPr>
    </w:p>
    <w:p w:rsidR="001F5989" w:rsidRPr="003517F7" w:rsidRDefault="009524E9" w:rsidP="00DE1BE6">
      <w:pPr>
        <w:pStyle w:val="ListParagraph"/>
        <w:numPr>
          <w:ilvl w:val="0"/>
          <w:numId w:val="14"/>
        </w:numPr>
        <w:ind w:left="0" w:firstLine="0"/>
        <w:rPr>
          <w:noProof/>
        </w:rPr>
      </w:pPr>
      <w:r w:rsidRPr="003517F7">
        <w:rPr>
          <w:noProof/>
        </w:rPr>
        <w:t>Der CAJ</w:t>
      </w:r>
      <w:r w:rsidR="00A0202E" w:rsidRPr="003517F7">
        <w:rPr>
          <w:noProof/>
        </w:rPr>
        <w:t xml:space="preserve"> nahm die in Dokument CAJ/78/2 und im mündlichen Bericht </w:t>
      </w:r>
      <w:r w:rsidR="0045055E" w:rsidRPr="003517F7">
        <w:rPr>
          <w:noProof/>
        </w:rPr>
        <w:t xml:space="preserve">des Vorsitzenden des Technischen Ausschusses (TC), </w:t>
      </w:r>
      <w:r w:rsidR="00A0202E" w:rsidRPr="003517F7">
        <w:rPr>
          <w:noProof/>
        </w:rPr>
        <w:t>Herrn Nik</w:t>
      </w:r>
      <w:r w:rsidR="008633E1" w:rsidRPr="003517F7">
        <w:rPr>
          <w:noProof/>
        </w:rPr>
        <w:t xml:space="preserve"> Hulse</w:t>
      </w:r>
      <w:r w:rsidR="00A0202E" w:rsidRPr="003517F7">
        <w:rPr>
          <w:noProof/>
        </w:rPr>
        <w:t>,</w:t>
      </w:r>
      <w:r w:rsidR="0045055E" w:rsidRPr="003517F7">
        <w:rPr>
          <w:noProof/>
        </w:rPr>
        <w:t xml:space="preserve"> enthaltenen Informationen</w:t>
      </w:r>
      <w:r w:rsidR="00A0202E" w:rsidRPr="003517F7">
        <w:rPr>
          <w:noProof/>
        </w:rPr>
        <w:t xml:space="preserve"> zur Kenntnis.</w:t>
      </w:r>
    </w:p>
    <w:p w:rsidR="00CC1599" w:rsidRPr="003517F7" w:rsidRDefault="00CC1599" w:rsidP="00DE1BE6">
      <w:pPr>
        <w:pStyle w:val="ListParagraph"/>
        <w:ind w:left="0"/>
        <w:rPr>
          <w:noProof/>
        </w:rPr>
      </w:pPr>
    </w:p>
    <w:p w:rsidR="00BE3811" w:rsidRPr="003517F7" w:rsidRDefault="00BE3811" w:rsidP="00DE1BE6">
      <w:pPr>
        <w:pStyle w:val="ListParagraph"/>
        <w:ind w:left="0"/>
        <w:rPr>
          <w:noProof/>
        </w:rPr>
      </w:pPr>
    </w:p>
    <w:p w:rsidR="00CC1599" w:rsidRPr="003517F7" w:rsidRDefault="00BE3811" w:rsidP="00DE1BE6">
      <w:pPr>
        <w:rPr>
          <w:noProof/>
          <w:u w:val="single"/>
        </w:rPr>
      </w:pPr>
      <w:r w:rsidRPr="003517F7">
        <w:rPr>
          <w:noProof/>
          <w:u w:val="single"/>
        </w:rPr>
        <w:t xml:space="preserve">Ausarbeitung von Anleitung und Informationsmaterial </w:t>
      </w:r>
      <w:r w:rsidR="00CC1599" w:rsidRPr="003517F7">
        <w:rPr>
          <w:noProof/>
          <w:u w:val="single"/>
        </w:rPr>
        <w:t>(Dokumente CAJ/78/3</w:t>
      </w:r>
      <w:r w:rsidR="006230EF" w:rsidRPr="003517F7">
        <w:rPr>
          <w:noProof/>
          <w:u w:val="single"/>
        </w:rPr>
        <w:t xml:space="preserve"> Rev., CAJ/78/4, CAJ/78/4 Add. u</w:t>
      </w:r>
      <w:r w:rsidR="00CC1599" w:rsidRPr="003517F7">
        <w:rPr>
          <w:noProof/>
          <w:u w:val="single"/>
        </w:rPr>
        <w:t>nd CAJ/78/11)</w:t>
      </w:r>
    </w:p>
    <w:p w:rsidR="00CC1599" w:rsidRPr="003517F7" w:rsidRDefault="00CC1599" w:rsidP="00DE1BE6">
      <w:pPr>
        <w:pStyle w:val="ListParagraph"/>
        <w:ind w:left="0"/>
        <w:rPr>
          <w:noProof/>
        </w:rPr>
      </w:pPr>
    </w:p>
    <w:p w:rsidR="00A0202E" w:rsidRPr="003517F7" w:rsidRDefault="00CC1599" w:rsidP="00DE1BE6">
      <w:pPr>
        <w:pStyle w:val="ListParagraph"/>
        <w:numPr>
          <w:ilvl w:val="0"/>
          <w:numId w:val="14"/>
        </w:numPr>
        <w:ind w:left="0" w:firstLine="0"/>
        <w:rPr>
          <w:noProof/>
        </w:rPr>
      </w:pPr>
      <w:r w:rsidRPr="003517F7">
        <w:rPr>
          <w:noProof/>
        </w:rPr>
        <w:t>Der CAJ nahm zur Kenntnis, da</w:t>
      </w:r>
      <w:r w:rsidR="007B1DE7" w:rsidRPr="003517F7">
        <w:rPr>
          <w:noProof/>
        </w:rPr>
        <w:t>ss die Dokumente CAJ/78/3 Rev. u</w:t>
      </w:r>
      <w:r w:rsidRPr="003517F7">
        <w:rPr>
          <w:noProof/>
        </w:rPr>
        <w:t xml:space="preserve">nd CAJ/78/11 auf dem Schriftweg geprüft worden </w:t>
      </w:r>
      <w:r w:rsidR="0045055E" w:rsidRPr="003517F7">
        <w:rPr>
          <w:noProof/>
        </w:rPr>
        <w:t>seien</w:t>
      </w:r>
      <w:r w:rsidRPr="003517F7">
        <w:rPr>
          <w:noProof/>
        </w:rPr>
        <w:t>.</w:t>
      </w:r>
    </w:p>
    <w:p w:rsidR="00CC1599" w:rsidRPr="003517F7" w:rsidRDefault="00CC1599" w:rsidP="00DE1BE6">
      <w:pPr>
        <w:pStyle w:val="ListParagraph"/>
        <w:ind w:left="0"/>
        <w:rPr>
          <w:noProof/>
          <w:u w:val="single"/>
        </w:rPr>
      </w:pPr>
    </w:p>
    <w:p w:rsidR="00A0202E" w:rsidRPr="003517F7" w:rsidRDefault="00726BE7" w:rsidP="00DE1BE6">
      <w:pPr>
        <w:pStyle w:val="ListParagraph"/>
        <w:numPr>
          <w:ilvl w:val="0"/>
          <w:numId w:val="14"/>
        </w:numPr>
        <w:ind w:left="0" w:firstLine="0"/>
        <w:rPr>
          <w:noProof/>
        </w:rPr>
      </w:pPr>
      <w:r w:rsidRPr="003517F7">
        <w:rPr>
          <w:noProof/>
        </w:rPr>
        <w:t xml:space="preserve">Der CAJ nahm zur Kenntnis, dass die in den Dokumenten CAJ/78/3 Rev. </w:t>
      </w:r>
      <w:r w:rsidR="008633E1" w:rsidRPr="003517F7">
        <w:rPr>
          <w:noProof/>
        </w:rPr>
        <w:t>u</w:t>
      </w:r>
      <w:r w:rsidRPr="003517F7">
        <w:rPr>
          <w:noProof/>
        </w:rPr>
        <w:t xml:space="preserve">nd CAJ/78/11 </w:t>
      </w:r>
      <w:r w:rsidR="007B1DE7" w:rsidRPr="003517F7">
        <w:rPr>
          <w:noProof/>
        </w:rPr>
        <w:t xml:space="preserve">enthaltenen Entscheidungen </w:t>
      </w:r>
      <w:r w:rsidRPr="003517F7">
        <w:rPr>
          <w:noProof/>
        </w:rPr>
        <w:t xml:space="preserve">getroffen worden </w:t>
      </w:r>
      <w:r w:rsidR="007B1DE7" w:rsidRPr="003517F7">
        <w:rPr>
          <w:noProof/>
        </w:rPr>
        <w:t>seien</w:t>
      </w:r>
      <w:r w:rsidR="008633E1" w:rsidRPr="003517F7">
        <w:rPr>
          <w:noProof/>
        </w:rPr>
        <w:t>, und dass</w:t>
      </w:r>
      <w:r w:rsidR="007B1DE7" w:rsidRPr="003517F7">
        <w:rPr>
          <w:noProof/>
        </w:rPr>
        <w:t xml:space="preserve"> die nachstehenden Dokumente vom CAJ auf dem Schriftweg gebilligt worden seien</w:t>
      </w:r>
      <w:r w:rsidR="008633E1" w:rsidRPr="003517F7">
        <w:rPr>
          <w:noProof/>
        </w:rPr>
        <w:t>, wie i</w:t>
      </w:r>
      <w:r w:rsidR="007B1DE7" w:rsidRPr="003517F7">
        <w:rPr>
          <w:noProof/>
        </w:rPr>
        <w:t>n</w:t>
      </w:r>
      <w:r w:rsidR="008633E1" w:rsidRPr="003517F7">
        <w:rPr>
          <w:noProof/>
        </w:rPr>
        <w:t xml:space="preserve"> Dokument CAJ/78/12, Absatz 35,</w:t>
      </w:r>
      <w:r w:rsidR="007B1DE7" w:rsidRPr="003517F7">
        <w:rPr>
          <w:noProof/>
        </w:rPr>
        <w:t xml:space="preserve"> dargelegt</w:t>
      </w:r>
      <w:r w:rsidR="008633E1" w:rsidRPr="003517F7">
        <w:rPr>
          <w:noProof/>
        </w:rPr>
        <w:t>:</w:t>
      </w:r>
    </w:p>
    <w:p w:rsidR="008C25CB" w:rsidRPr="003517F7" w:rsidRDefault="008C25CB" w:rsidP="00DE1BE6">
      <w:pPr>
        <w:rPr>
          <w:noProof/>
        </w:rPr>
      </w:pPr>
    </w:p>
    <w:p w:rsidR="00726BE7" w:rsidRPr="003517F7" w:rsidRDefault="00726BE7" w:rsidP="00FF7FB3">
      <w:pPr>
        <w:ind w:firstLine="567"/>
        <w:rPr>
          <w:i/>
          <w:noProof/>
        </w:rPr>
      </w:pPr>
      <w:r w:rsidRPr="003517F7">
        <w:rPr>
          <w:i/>
          <w:noProof/>
        </w:rPr>
        <w:t>Informationsmaterial</w:t>
      </w:r>
    </w:p>
    <w:p w:rsidR="00726BE7" w:rsidRPr="003517F7" w:rsidRDefault="00726BE7" w:rsidP="00DE1BE6">
      <w:pPr>
        <w:rPr>
          <w:noProof/>
        </w:rPr>
      </w:pPr>
    </w:p>
    <w:p w:rsidR="00923899" w:rsidRPr="003517F7" w:rsidRDefault="008633E1" w:rsidP="00BE3811">
      <w:pPr>
        <w:pStyle w:val="ListParagraph"/>
        <w:keepNext/>
        <w:tabs>
          <w:tab w:val="left" w:pos="3960"/>
        </w:tabs>
        <w:ind w:left="3960" w:hanging="2826"/>
        <w:contextualSpacing w:val="0"/>
        <w:jc w:val="left"/>
        <w:rPr>
          <w:noProof/>
        </w:rPr>
      </w:pPr>
      <w:r w:rsidRPr="003517F7">
        <w:rPr>
          <w:noProof/>
        </w:rPr>
        <w:t>D</w:t>
      </w:r>
      <w:r w:rsidR="00726BE7" w:rsidRPr="003517F7">
        <w:rPr>
          <w:noProof/>
        </w:rPr>
        <w:t xml:space="preserve">okument </w:t>
      </w:r>
      <w:r w:rsidR="00923899" w:rsidRPr="003517F7">
        <w:rPr>
          <w:noProof/>
        </w:rPr>
        <w:t>UPOV/INF/16:</w:t>
      </w:r>
      <w:r w:rsidR="00923899" w:rsidRPr="003517F7">
        <w:rPr>
          <w:noProof/>
        </w:rPr>
        <w:tab/>
        <w:t>Austauschbare Software (Überarbeitung)</w:t>
      </w:r>
      <w:r w:rsidR="00BE3811" w:rsidRPr="003517F7">
        <w:rPr>
          <w:noProof/>
        </w:rPr>
        <w:t xml:space="preserve"> (Dokument UPOV/INF/16/10 </w:t>
      </w:r>
      <w:r w:rsidR="00637782" w:rsidRPr="003517F7">
        <w:rPr>
          <w:noProof/>
        </w:rPr>
        <w:t>Draft </w:t>
      </w:r>
      <w:r w:rsidR="00726BE7" w:rsidRPr="003517F7">
        <w:rPr>
          <w:noProof/>
        </w:rPr>
        <w:t>2</w:t>
      </w:r>
      <w:r w:rsidR="00FF7FB3" w:rsidRPr="003517F7">
        <w:rPr>
          <w:noProof/>
        </w:rPr>
        <w:t>)</w:t>
      </w:r>
    </w:p>
    <w:p w:rsidR="00FF7FB3" w:rsidRPr="003517F7" w:rsidRDefault="00FF7FB3" w:rsidP="00FF7FB3">
      <w:pPr>
        <w:pStyle w:val="ListParagraph"/>
        <w:keepNext/>
        <w:ind w:left="1134"/>
        <w:contextualSpacing w:val="0"/>
        <w:rPr>
          <w:rFonts w:cs="Angsana New"/>
          <w:noProof/>
          <w:szCs w:val="24"/>
        </w:rPr>
      </w:pPr>
    </w:p>
    <w:p w:rsidR="00505604" w:rsidRPr="003517F7" w:rsidRDefault="00726BE7" w:rsidP="00BE3811">
      <w:pPr>
        <w:pStyle w:val="ListParagraph"/>
        <w:keepNext/>
        <w:ind w:left="3960" w:hanging="2826"/>
        <w:contextualSpacing w:val="0"/>
        <w:rPr>
          <w:noProof/>
        </w:rPr>
      </w:pPr>
      <w:r w:rsidRPr="003517F7">
        <w:rPr>
          <w:noProof/>
        </w:rPr>
        <w:t xml:space="preserve">Dokument </w:t>
      </w:r>
      <w:r w:rsidR="00505604" w:rsidRPr="003517F7">
        <w:rPr>
          <w:noProof/>
        </w:rPr>
        <w:t>UPOV/INF/17:</w:t>
      </w:r>
      <w:r w:rsidR="00505604" w:rsidRPr="003517F7">
        <w:rPr>
          <w:noProof/>
        </w:rPr>
        <w:tab/>
        <w:t>Richtlinien für die DNS-Profilierung: Auswahl molekularer Marker und Aufbau von Datenbanken („BMT-Richtli</w:t>
      </w:r>
      <w:r w:rsidR="00FF7FB3" w:rsidRPr="003517F7">
        <w:rPr>
          <w:noProof/>
        </w:rPr>
        <w:t xml:space="preserve">nien) (Überarbeitung) </w:t>
      </w:r>
      <w:r w:rsidR="00EF01E9" w:rsidRPr="003517F7">
        <w:rPr>
          <w:noProof/>
        </w:rPr>
        <w:t>(Dokument UPOV/INF/17/</w:t>
      </w:r>
      <w:r w:rsidR="00FF7FB3" w:rsidRPr="003517F7">
        <w:rPr>
          <w:noProof/>
        </w:rPr>
        <w:t>2 Draft 6</w:t>
      </w:r>
      <w:r w:rsidRPr="003517F7">
        <w:rPr>
          <w:noProof/>
        </w:rPr>
        <w:t>)</w:t>
      </w:r>
    </w:p>
    <w:p w:rsidR="00FF7FB3" w:rsidRPr="003517F7" w:rsidRDefault="00FF7FB3" w:rsidP="00FF7FB3">
      <w:pPr>
        <w:pStyle w:val="ListParagraph"/>
        <w:keepNext/>
        <w:ind w:left="3402" w:hanging="2268"/>
        <w:contextualSpacing w:val="0"/>
        <w:jc w:val="left"/>
        <w:rPr>
          <w:rFonts w:cs="Angsana New"/>
          <w:noProof/>
          <w:szCs w:val="24"/>
        </w:rPr>
      </w:pPr>
    </w:p>
    <w:p w:rsidR="00923899" w:rsidRPr="003517F7" w:rsidRDefault="00726BE7" w:rsidP="00BE3811">
      <w:pPr>
        <w:pStyle w:val="ListParagraph"/>
        <w:keepNext/>
        <w:ind w:left="3960" w:hanging="2826"/>
        <w:contextualSpacing w:val="0"/>
        <w:rPr>
          <w:noProof/>
        </w:rPr>
      </w:pPr>
      <w:r w:rsidRPr="003517F7">
        <w:rPr>
          <w:noProof/>
        </w:rPr>
        <w:t xml:space="preserve">Dokument </w:t>
      </w:r>
      <w:r w:rsidR="00923899" w:rsidRPr="003517F7">
        <w:rPr>
          <w:noProof/>
        </w:rPr>
        <w:t>UPOV/INF/22:</w:t>
      </w:r>
      <w:r w:rsidR="00923899" w:rsidRPr="003517F7">
        <w:rPr>
          <w:noProof/>
        </w:rPr>
        <w:tab/>
        <w:t>Von Verbandsmitgliedern verwe</w:t>
      </w:r>
      <w:r w:rsidR="00CC1599" w:rsidRPr="003517F7">
        <w:rPr>
          <w:noProof/>
        </w:rPr>
        <w:t>ndete Software und Ausrüstung (</w:t>
      </w:r>
      <w:r w:rsidR="00CC1599" w:rsidRPr="003517F7">
        <w:rPr>
          <w:rFonts w:cs="Arial"/>
          <w:noProof/>
        </w:rPr>
        <w:t>Ü</w:t>
      </w:r>
      <w:r w:rsidR="00923899" w:rsidRPr="003517F7">
        <w:rPr>
          <w:noProof/>
        </w:rPr>
        <w:t xml:space="preserve">berarbeitung) (Dokument UPOV/INF/22/8 Draft </w:t>
      </w:r>
      <w:r w:rsidR="00FF7FB3" w:rsidRPr="003517F7">
        <w:rPr>
          <w:noProof/>
        </w:rPr>
        <w:t>2</w:t>
      </w:r>
      <w:r w:rsidR="00923899" w:rsidRPr="003517F7">
        <w:rPr>
          <w:noProof/>
        </w:rPr>
        <w:t>)</w:t>
      </w:r>
    </w:p>
    <w:p w:rsidR="00FF7FB3" w:rsidRPr="003517F7" w:rsidRDefault="00FF7FB3" w:rsidP="00FF7FB3">
      <w:pPr>
        <w:pStyle w:val="ListParagraph"/>
        <w:keepNext/>
        <w:ind w:left="1134"/>
        <w:contextualSpacing w:val="0"/>
        <w:rPr>
          <w:rFonts w:cs="Angsana New"/>
          <w:noProof/>
          <w:szCs w:val="24"/>
        </w:rPr>
      </w:pPr>
    </w:p>
    <w:p w:rsidR="00923899" w:rsidRPr="003517F7" w:rsidRDefault="00726BE7" w:rsidP="00BE3811">
      <w:pPr>
        <w:pStyle w:val="ListParagraph"/>
        <w:keepNext/>
        <w:tabs>
          <w:tab w:val="left" w:pos="3960"/>
        </w:tabs>
        <w:ind w:left="1134"/>
        <w:contextualSpacing w:val="0"/>
        <w:rPr>
          <w:rFonts w:cs="Angsana New"/>
          <w:noProof/>
          <w:szCs w:val="24"/>
        </w:rPr>
      </w:pPr>
      <w:r w:rsidRPr="003517F7">
        <w:rPr>
          <w:noProof/>
        </w:rPr>
        <w:t xml:space="preserve">Dokument </w:t>
      </w:r>
      <w:r w:rsidR="00923899" w:rsidRPr="003517F7">
        <w:rPr>
          <w:noProof/>
        </w:rPr>
        <w:t>UPOV/INF/23:</w:t>
      </w:r>
      <w:r w:rsidR="00CC1599" w:rsidRPr="003517F7">
        <w:rPr>
          <w:noProof/>
        </w:rPr>
        <w:tab/>
      </w:r>
      <w:r w:rsidR="00923899" w:rsidRPr="003517F7">
        <w:rPr>
          <w:noProof/>
        </w:rPr>
        <w:t xml:space="preserve">UPOV-Code-System </w:t>
      </w:r>
      <w:r w:rsidR="00FF7FB3" w:rsidRPr="003517F7">
        <w:rPr>
          <w:noProof/>
        </w:rPr>
        <w:t>(Dokument UPOV/INF/23/1 Draft 3</w:t>
      </w:r>
      <w:r w:rsidRPr="003517F7">
        <w:rPr>
          <w:noProof/>
        </w:rPr>
        <w:t>)</w:t>
      </w:r>
    </w:p>
    <w:p w:rsidR="00726BE7" w:rsidRPr="003517F7" w:rsidRDefault="00726BE7" w:rsidP="00FF7FB3">
      <w:pPr>
        <w:ind w:left="1134"/>
        <w:rPr>
          <w:noProof/>
        </w:rPr>
      </w:pPr>
    </w:p>
    <w:p w:rsidR="00726BE7" w:rsidRPr="003517F7" w:rsidRDefault="00726BE7" w:rsidP="00BE3811">
      <w:pPr>
        <w:ind w:firstLine="567"/>
        <w:rPr>
          <w:i/>
          <w:noProof/>
        </w:rPr>
      </w:pPr>
      <w:r w:rsidRPr="003517F7">
        <w:rPr>
          <w:i/>
          <w:noProof/>
        </w:rPr>
        <w:t>Erläuterungen</w:t>
      </w:r>
    </w:p>
    <w:p w:rsidR="00923899" w:rsidRPr="003517F7" w:rsidRDefault="00923899" w:rsidP="00DE1BE6">
      <w:pPr>
        <w:rPr>
          <w:noProof/>
        </w:rPr>
      </w:pPr>
    </w:p>
    <w:p w:rsidR="00726BE7" w:rsidRPr="003517F7" w:rsidRDefault="00FF7FB3" w:rsidP="00BE3811">
      <w:pPr>
        <w:ind w:left="3330" w:hanging="2160"/>
        <w:rPr>
          <w:noProof/>
        </w:rPr>
      </w:pPr>
      <w:r w:rsidRPr="003517F7">
        <w:rPr>
          <w:noProof/>
        </w:rPr>
        <w:t>UPOV/EXN/DEN:</w:t>
      </w:r>
      <w:r w:rsidRPr="003517F7">
        <w:rPr>
          <w:noProof/>
        </w:rPr>
        <w:tab/>
      </w:r>
      <w:r w:rsidR="00B243AF" w:rsidRPr="003517F7">
        <w:rPr>
          <w:noProof/>
        </w:rPr>
        <w:t>Erläuterungen zu Sor</w:t>
      </w:r>
      <w:r w:rsidR="00BE3811" w:rsidRPr="003517F7">
        <w:rPr>
          <w:noProof/>
        </w:rPr>
        <w:t>tenbezeichnungen nach dem UPOV</w:t>
      </w:r>
      <w:r w:rsidR="00BE3811" w:rsidRPr="003517F7">
        <w:rPr>
          <w:noProof/>
        </w:rPr>
        <w:noBreakHyphen/>
      </w:r>
      <w:r w:rsidR="00B243AF" w:rsidRPr="003517F7">
        <w:rPr>
          <w:noProof/>
        </w:rPr>
        <w:t>Übereinkommen (Dokument UPOV/EXN/DEN/1 Draft 6)</w:t>
      </w:r>
    </w:p>
    <w:p w:rsidR="00B243AF" w:rsidRPr="003517F7" w:rsidRDefault="00B243AF" w:rsidP="00DE1BE6">
      <w:pPr>
        <w:rPr>
          <w:noProof/>
        </w:rPr>
      </w:pPr>
    </w:p>
    <w:p w:rsidR="00B243AF" w:rsidRPr="003517F7" w:rsidRDefault="00B243AF" w:rsidP="00DE1BE6">
      <w:pPr>
        <w:pStyle w:val="ListParagraph"/>
        <w:numPr>
          <w:ilvl w:val="0"/>
          <w:numId w:val="14"/>
        </w:numPr>
        <w:ind w:left="0" w:firstLine="0"/>
        <w:rPr>
          <w:noProof/>
        </w:rPr>
      </w:pPr>
      <w:r w:rsidRPr="003517F7">
        <w:rPr>
          <w:noProof/>
        </w:rPr>
        <w:t xml:space="preserve">Der CAJ nahm </w:t>
      </w:r>
      <w:r w:rsidR="004C4653" w:rsidRPr="003517F7">
        <w:rPr>
          <w:noProof/>
        </w:rPr>
        <w:t xml:space="preserve">den Bericht des Verbandsbüros </w:t>
      </w:r>
      <w:r w:rsidRPr="003517F7">
        <w:rPr>
          <w:noProof/>
        </w:rPr>
        <w:t>zur Kenntnis</w:t>
      </w:r>
      <w:r w:rsidR="00CC1599" w:rsidRPr="003517F7">
        <w:rPr>
          <w:noProof/>
        </w:rPr>
        <w:t xml:space="preserve"> wonach</w:t>
      </w:r>
      <w:r w:rsidR="004C4653" w:rsidRPr="003517F7">
        <w:rPr>
          <w:noProof/>
        </w:rPr>
        <w:t xml:space="preserve"> obige Informationsmaterialien und Erläuterungen</w:t>
      </w:r>
      <w:r w:rsidR="00DD6CA9" w:rsidRPr="003517F7">
        <w:rPr>
          <w:noProof/>
        </w:rPr>
        <w:t xml:space="preserve"> vom Rat am </w:t>
      </w:r>
      <w:r w:rsidR="0027404E" w:rsidRPr="003517F7">
        <w:rPr>
          <w:noProof/>
        </w:rPr>
        <w:t xml:space="preserve">21. September 2021 auf dem Schriftweg gebilligt worden </w:t>
      </w:r>
      <w:r w:rsidR="007B1DE7" w:rsidRPr="003517F7">
        <w:rPr>
          <w:noProof/>
        </w:rPr>
        <w:t>seien</w:t>
      </w:r>
      <w:r w:rsidR="006230EF" w:rsidRPr="003517F7">
        <w:rPr>
          <w:noProof/>
        </w:rPr>
        <w:t xml:space="preserve"> (vgl. </w:t>
      </w:r>
      <w:r w:rsidR="0027404E" w:rsidRPr="003517F7">
        <w:rPr>
          <w:noProof/>
        </w:rPr>
        <w:t>Dokumen</w:t>
      </w:r>
      <w:r w:rsidR="006230EF" w:rsidRPr="003517F7">
        <w:rPr>
          <w:noProof/>
        </w:rPr>
        <w:t>t </w:t>
      </w:r>
      <w:r w:rsidR="0027404E" w:rsidRPr="003517F7">
        <w:rPr>
          <w:noProof/>
        </w:rPr>
        <w:t>C/55/12 „Ergebnis der Prüfung von Dokumenten auf dem Schriftweg“, Absätze 11 und 32).</w:t>
      </w:r>
    </w:p>
    <w:p w:rsidR="0027404E" w:rsidRPr="003517F7" w:rsidRDefault="0027404E" w:rsidP="00DE1BE6">
      <w:pPr>
        <w:rPr>
          <w:noProof/>
        </w:rPr>
      </w:pPr>
    </w:p>
    <w:p w:rsidR="0027404E" w:rsidRPr="003517F7" w:rsidRDefault="0027404E" w:rsidP="00BE3811">
      <w:pPr>
        <w:pStyle w:val="Heading4"/>
        <w:rPr>
          <w:noProof/>
        </w:rPr>
      </w:pPr>
      <w:r w:rsidRPr="003517F7">
        <w:rPr>
          <w:noProof/>
        </w:rPr>
        <w:t>UPOV/EXN/EDV: Erläuterungen zu den im Wesentlichen abgeleiteten Sorten nach der Akte von 1991 des UPOV-Übereinkommens (Dokumente CAJ/78/4, CAJ/78/4 Add. Und UPOV/EXN/EDV/3 Draft 2)</w:t>
      </w:r>
    </w:p>
    <w:p w:rsidR="0027404E" w:rsidRPr="003517F7" w:rsidRDefault="0027404E" w:rsidP="00DE1BE6">
      <w:pPr>
        <w:rPr>
          <w:noProof/>
        </w:rPr>
      </w:pPr>
    </w:p>
    <w:p w:rsidR="00011E43" w:rsidRPr="003517F7" w:rsidRDefault="00011E43" w:rsidP="00DE1BE6">
      <w:pPr>
        <w:pStyle w:val="ListParagraph"/>
        <w:numPr>
          <w:ilvl w:val="0"/>
          <w:numId w:val="14"/>
        </w:numPr>
        <w:ind w:left="0" w:firstLine="0"/>
        <w:rPr>
          <w:noProof/>
        </w:rPr>
      </w:pPr>
      <w:r w:rsidRPr="003517F7">
        <w:rPr>
          <w:noProof/>
        </w:rPr>
        <w:t>Der CAJ prüfte die Dokumente CAJ/78/</w:t>
      </w:r>
      <w:r w:rsidR="00567BC6" w:rsidRPr="003517F7">
        <w:rPr>
          <w:noProof/>
        </w:rPr>
        <w:t>4</w:t>
      </w:r>
      <w:r w:rsidRPr="003517F7">
        <w:rPr>
          <w:noProof/>
        </w:rPr>
        <w:t>, CAJ/78/4 Add. und UPOV/EXN/EDV/3 Draft 2.</w:t>
      </w:r>
    </w:p>
    <w:p w:rsidR="00011E43" w:rsidRPr="003517F7" w:rsidRDefault="00011E43" w:rsidP="00DE1BE6">
      <w:pPr>
        <w:pStyle w:val="ListParagraph"/>
        <w:ind w:left="0"/>
        <w:rPr>
          <w:noProof/>
        </w:rPr>
      </w:pPr>
    </w:p>
    <w:p w:rsidR="0027404E" w:rsidRPr="003517F7" w:rsidRDefault="00011E43" w:rsidP="006230EF">
      <w:pPr>
        <w:pStyle w:val="ListParagraph"/>
        <w:numPr>
          <w:ilvl w:val="0"/>
          <w:numId w:val="14"/>
        </w:numPr>
        <w:spacing w:after="160"/>
        <w:ind w:left="0" w:firstLine="0"/>
        <w:contextualSpacing w:val="0"/>
        <w:rPr>
          <w:noProof/>
        </w:rPr>
      </w:pPr>
      <w:r w:rsidRPr="003517F7">
        <w:rPr>
          <w:noProof/>
        </w:rPr>
        <w:t xml:space="preserve">Der CAJ nahm die Entwicklungen betreffend die Überarbeitung </w:t>
      </w:r>
      <w:r w:rsidR="007B1DE7" w:rsidRPr="003517F7">
        <w:rPr>
          <w:noProof/>
        </w:rPr>
        <w:t>von Dokument</w:t>
      </w:r>
      <w:r w:rsidRPr="003517F7">
        <w:rPr>
          <w:noProof/>
        </w:rPr>
        <w:t xml:space="preserve"> UPOV/EXN/EDV/2 „Erläuterungen zu den im Wesentlichen abgeleiteten Sorten </w:t>
      </w:r>
      <w:r w:rsidR="00BE3811" w:rsidRPr="003517F7">
        <w:rPr>
          <w:noProof/>
        </w:rPr>
        <w:t>nach der Akte von 1991 des UPOV</w:t>
      </w:r>
      <w:r w:rsidR="00BE3811" w:rsidRPr="003517F7">
        <w:rPr>
          <w:noProof/>
        </w:rPr>
        <w:noBreakHyphen/>
      </w:r>
      <w:r w:rsidRPr="003517F7">
        <w:rPr>
          <w:noProof/>
        </w:rPr>
        <w:t xml:space="preserve">Übereinkommens“ und die Arbeit der WG-EDV, wie in Dokument CAJ/78/4 berichtet, zur Kenntnis. </w:t>
      </w:r>
    </w:p>
    <w:p w:rsidR="00011E43" w:rsidRPr="003517F7" w:rsidRDefault="008633E1" w:rsidP="00DE1BE6">
      <w:pPr>
        <w:pStyle w:val="ListParagraph"/>
        <w:numPr>
          <w:ilvl w:val="0"/>
          <w:numId w:val="14"/>
        </w:numPr>
        <w:ind w:left="0" w:firstLine="0"/>
        <w:rPr>
          <w:noProof/>
        </w:rPr>
      </w:pPr>
      <w:r w:rsidRPr="003517F7">
        <w:rPr>
          <w:noProof/>
        </w:rPr>
        <w:lastRenderedPageBreak/>
        <w:t>Der CAJ nahm zur Kenntnis, dass die WG-EDV</w:t>
      </w:r>
      <w:r w:rsidR="00011E43" w:rsidRPr="003517F7">
        <w:rPr>
          <w:noProof/>
        </w:rPr>
        <w:t xml:space="preserve"> auf ihrer vierten Sitzung folgende Änderungen des Wortlauts des Dokuments UPOV/EXN/EDV/3 Draft 2 „Erläuterungen zu den im Wesentlichen abgeleiteten Sorten nach der Akte von 1991 des UPOV-Übereinkommens (Überarbeitung)“ vereinbart ha</w:t>
      </w:r>
      <w:r w:rsidR="00031577" w:rsidRPr="003517F7">
        <w:rPr>
          <w:noProof/>
        </w:rPr>
        <w:t>tte</w:t>
      </w:r>
      <w:r w:rsidR="00011E43" w:rsidRPr="003517F7">
        <w:rPr>
          <w:noProof/>
        </w:rPr>
        <w:t xml:space="preserve">: </w:t>
      </w:r>
    </w:p>
    <w:p w:rsidR="001A7AF0" w:rsidRPr="003517F7" w:rsidRDefault="001A7AF0" w:rsidP="00DE1BE6">
      <w:pPr>
        <w:rPr>
          <w:noProof/>
        </w:rPr>
      </w:pPr>
    </w:p>
    <w:tbl>
      <w:tblPr>
        <w:tblStyle w:val="TableGrid"/>
        <w:tblW w:w="0" w:type="auto"/>
        <w:tblLook w:val="04A0" w:firstRow="1" w:lastRow="0" w:firstColumn="1" w:lastColumn="0" w:noHBand="0" w:noVBand="1"/>
      </w:tblPr>
      <w:tblGrid>
        <w:gridCol w:w="4814"/>
        <w:gridCol w:w="4815"/>
      </w:tblGrid>
      <w:tr w:rsidR="001A7AF0" w:rsidRPr="003517F7" w:rsidTr="001A7AF0">
        <w:tc>
          <w:tcPr>
            <w:tcW w:w="4814" w:type="dxa"/>
            <w:shd w:val="clear" w:color="auto" w:fill="F2F2F2" w:themeFill="background1" w:themeFillShade="F2"/>
            <w:vAlign w:val="center"/>
          </w:tcPr>
          <w:p w:rsidR="001A7AF0" w:rsidRPr="003517F7" w:rsidRDefault="001A7AF0" w:rsidP="00DE1BE6">
            <w:pPr>
              <w:rPr>
                <w:rFonts w:cs="Arial"/>
                <w:noProof/>
                <w:spacing w:val="-2"/>
                <w:sz w:val="18"/>
                <w:lang w:val="de-DE"/>
              </w:rPr>
            </w:pPr>
            <w:r w:rsidRPr="003517F7">
              <w:rPr>
                <w:rFonts w:cs="Arial"/>
                <w:noProof/>
                <w:spacing w:val="-2"/>
                <w:sz w:val="18"/>
                <w:lang w:val="de-DE"/>
              </w:rPr>
              <w:t xml:space="preserve">Dokument </w:t>
            </w:r>
            <w:r w:rsidRPr="003517F7">
              <w:rPr>
                <w:noProof/>
                <w:spacing w:val="-2"/>
                <w:sz w:val="18"/>
                <w:lang w:val="de-DE"/>
              </w:rPr>
              <w:t>UPOV/EXN/EDV/3 Draft 2</w:t>
            </w:r>
          </w:p>
        </w:tc>
        <w:tc>
          <w:tcPr>
            <w:tcW w:w="4815" w:type="dxa"/>
            <w:shd w:val="clear" w:color="auto" w:fill="F2F2F2" w:themeFill="background1" w:themeFillShade="F2"/>
            <w:vAlign w:val="center"/>
          </w:tcPr>
          <w:p w:rsidR="001A7AF0" w:rsidRPr="003517F7" w:rsidRDefault="001A7AF0" w:rsidP="00DE1BE6">
            <w:pPr>
              <w:keepNext/>
              <w:rPr>
                <w:rFonts w:cs="Arial"/>
                <w:noProof/>
                <w:sz w:val="18"/>
                <w:lang w:val="de-DE"/>
              </w:rPr>
            </w:pPr>
            <w:r w:rsidRPr="003517F7">
              <w:rPr>
                <w:rFonts w:cs="Arial"/>
                <w:noProof/>
                <w:sz w:val="18"/>
                <w:lang w:val="de-DE"/>
              </w:rPr>
              <w:t>Von der WG-EDV auf ihrer vierten Sitzung vereinbarte Änderungen</w:t>
            </w:r>
          </w:p>
        </w:tc>
      </w:tr>
      <w:tr w:rsidR="001A7AF0" w:rsidRPr="003517F7" w:rsidTr="001A7AF0">
        <w:tc>
          <w:tcPr>
            <w:tcW w:w="4814" w:type="dxa"/>
          </w:tcPr>
          <w:p w:rsidR="001A7AF0" w:rsidRPr="003A6873" w:rsidRDefault="001A7AF0" w:rsidP="00DE1BE6">
            <w:pPr>
              <w:rPr>
                <w:rFonts w:cs="Arial"/>
                <w:noProof/>
                <w:spacing w:val="-2"/>
                <w:sz w:val="18"/>
                <w:lang w:val="de-DE"/>
              </w:rPr>
            </w:pPr>
            <w:r w:rsidRPr="003A6873">
              <w:rPr>
                <w:rFonts w:cs="Arial"/>
                <w:noProof/>
                <w:spacing w:val="-2"/>
                <w:sz w:val="18"/>
                <w:lang w:val="de-DE"/>
              </w:rPr>
              <w:t>Absatz 7</w:t>
            </w:r>
          </w:p>
          <w:p w:rsidR="001A7AF0" w:rsidRPr="003A6873" w:rsidRDefault="001A7AF0" w:rsidP="00DE1BE6">
            <w:pPr>
              <w:rPr>
                <w:rFonts w:cs="Arial"/>
                <w:noProof/>
                <w:spacing w:val="-2"/>
                <w:sz w:val="18"/>
                <w:lang w:val="de-DE"/>
              </w:rPr>
            </w:pPr>
          </w:p>
        </w:tc>
        <w:tc>
          <w:tcPr>
            <w:tcW w:w="4815" w:type="dxa"/>
          </w:tcPr>
          <w:p w:rsidR="007051C8" w:rsidRPr="003A6873" w:rsidRDefault="001A7AF0" w:rsidP="00DE1BE6">
            <w:pPr>
              <w:pStyle w:val="NormalWeb"/>
              <w:spacing w:before="0" w:beforeAutospacing="0" w:after="0" w:afterAutospacing="0"/>
              <w:jc w:val="both"/>
              <w:textAlignment w:val="baseline"/>
              <w:rPr>
                <w:rFonts w:eastAsia="+mn-ea"/>
                <w:noProof/>
                <w:spacing w:val="2"/>
                <w:kern w:val="24"/>
                <w:sz w:val="18"/>
                <w:szCs w:val="20"/>
                <w:lang w:val="de-DE"/>
              </w:rPr>
            </w:pPr>
            <w:r w:rsidRPr="003A6873">
              <w:rPr>
                <w:rFonts w:eastAsia="+mn-ea"/>
                <w:noProof/>
                <w:spacing w:val="2"/>
                <w:kern w:val="24"/>
                <w:sz w:val="18"/>
                <w:szCs w:val="20"/>
                <w:lang w:val="de-DE"/>
              </w:rPr>
              <w:t>“</w:t>
            </w:r>
            <w:r w:rsidR="007051C8" w:rsidRPr="003A6873">
              <w:rPr>
                <w:rFonts w:eastAsia="+mn-ea"/>
                <w:noProof/>
                <w:spacing w:val="2"/>
                <w:kern w:val="24"/>
                <w:sz w:val="18"/>
                <w:szCs w:val="20"/>
                <w:lang w:val="de-DE"/>
              </w:rPr>
              <w:t xml:space="preserve">Ein wesentliches Merkmal ist ein Merkmal, das sich aus der Ausprägung </w:t>
            </w:r>
            <w:r w:rsidR="007051C8" w:rsidRPr="003A6873">
              <w:rPr>
                <w:rFonts w:eastAsia="+mn-ea"/>
                <w:strike/>
                <w:noProof/>
                <w:spacing w:val="2"/>
                <w:kern w:val="24"/>
                <w:sz w:val="18"/>
                <w:szCs w:val="20"/>
                <w:highlight w:val="lightGray"/>
                <w:lang w:val="de-DE"/>
              </w:rPr>
              <w:t>eines oder mehrerer Gene oder anderer  vererbbarer Determinanten</w:t>
            </w:r>
            <w:r w:rsidR="007051C8" w:rsidRPr="003A6873">
              <w:rPr>
                <w:rFonts w:eastAsia="+mn-ea"/>
                <w:noProof/>
                <w:spacing w:val="2"/>
                <w:kern w:val="24"/>
                <w:sz w:val="18"/>
                <w:szCs w:val="20"/>
                <w:lang w:val="de-DE"/>
              </w:rPr>
              <w:t xml:space="preserve"> </w:t>
            </w:r>
            <w:r w:rsidR="003A6873" w:rsidRPr="003A6873">
              <w:rPr>
                <w:rFonts w:eastAsia="+mn-ea"/>
                <w:noProof/>
                <w:spacing w:val="2"/>
                <w:kern w:val="24"/>
                <w:sz w:val="18"/>
                <w:szCs w:val="20"/>
                <w:highlight w:val="lightGray"/>
                <w:u w:val="single"/>
                <w:lang w:val="de-DE"/>
              </w:rPr>
              <w:t>des Genotyps</w:t>
            </w:r>
            <w:r w:rsidR="003A6873" w:rsidRPr="003A6873">
              <w:rPr>
                <w:rFonts w:eastAsia="+mn-ea"/>
                <w:noProof/>
                <w:spacing w:val="2"/>
                <w:kern w:val="24"/>
                <w:sz w:val="18"/>
                <w:szCs w:val="20"/>
                <w:lang w:val="de-DE"/>
              </w:rPr>
              <w:t xml:space="preserve"> </w:t>
            </w:r>
            <w:r w:rsidR="007051C8" w:rsidRPr="003A6873">
              <w:rPr>
                <w:rFonts w:eastAsia="+mn-ea"/>
                <w:noProof/>
                <w:spacing w:val="2"/>
                <w:kern w:val="24"/>
                <w:sz w:val="18"/>
                <w:szCs w:val="20"/>
                <w:lang w:val="de-DE"/>
              </w:rPr>
              <w:t>ergibt und morphologische, psysiologische, agronomische</w:t>
            </w:r>
            <w:r w:rsidR="00DD6CA9" w:rsidRPr="003A6873">
              <w:rPr>
                <w:rFonts w:eastAsia="+mn-ea"/>
                <w:noProof/>
                <w:spacing w:val="2"/>
                <w:kern w:val="24"/>
                <w:sz w:val="18"/>
                <w:szCs w:val="20"/>
                <w:lang w:val="de-DE"/>
              </w:rPr>
              <w:t>, industrielle (z. B. </w:t>
            </w:r>
            <w:r w:rsidR="007051C8" w:rsidRPr="003A6873">
              <w:rPr>
                <w:rFonts w:eastAsia="+mn-ea"/>
                <w:noProof/>
                <w:spacing w:val="2"/>
                <w:kern w:val="24"/>
                <w:sz w:val="18"/>
                <w:szCs w:val="20"/>
                <w:lang w:val="de-DE"/>
              </w:rPr>
              <w:t>Öleigenschaften) und/oder biochemische Merkmale umfasst, aber nicht darauf beschränkt ist.“</w:t>
            </w:r>
          </w:p>
          <w:p w:rsidR="001A7AF0" w:rsidRPr="003A6873" w:rsidRDefault="001A7AF0" w:rsidP="00654AA1">
            <w:pPr>
              <w:pStyle w:val="NormalWeb"/>
              <w:spacing w:before="0" w:beforeAutospacing="0" w:after="0" w:afterAutospacing="0"/>
              <w:jc w:val="both"/>
              <w:textAlignment w:val="baseline"/>
              <w:rPr>
                <w:noProof/>
                <w:spacing w:val="-2"/>
                <w:sz w:val="18"/>
                <w:lang w:val="de-DE"/>
              </w:rPr>
            </w:pPr>
          </w:p>
        </w:tc>
      </w:tr>
      <w:tr w:rsidR="001A7AF0" w:rsidRPr="003517F7" w:rsidTr="001A7AF0">
        <w:tc>
          <w:tcPr>
            <w:tcW w:w="4814" w:type="dxa"/>
          </w:tcPr>
          <w:p w:rsidR="001A7AF0" w:rsidRPr="003517F7" w:rsidRDefault="001A7AF0" w:rsidP="00DE1BE6">
            <w:pPr>
              <w:rPr>
                <w:rFonts w:cs="Arial"/>
                <w:noProof/>
                <w:spacing w:val="-2"/>
                <w:sz w:val="18"/>
                <w:lang w:val="de-DE"/>
              </w:rPr>
            </w:pPr>
            <w:r w:rsidRPr="003517F7">
              <w:rPr>
                <w:rFonts w:cs="Arial"/>
                <w:noProof/>
                <w:spacing w:val="-2"/>
                <w:sz w:val="18"/>
                <w:lang w:val="de-DE"/>
              </w:rPr>
              <w:t>Abatz 8</w:t>
            </w:r>
          </w:p>
          <w:p w:rsidR="001A7AF0" w:rsidRPr="003517F7" w:rsidRDefault="001A7AF0" w:rsidP="00DE1BE6">
            <w:pPr>
              <w:rPr>
                <w:rFonts w:cs="Arial"/>
                <w:noProof/>
                <w:spacing w:val="-2"/>
                <w:sz w:val="18"/>
                <w:highlight w:val="yellow"/>
                <w:lang w:val="de-DE"/>
              </w:rPr>
            </w:pPr>
          </w:p>
        </w:tc>
        <w:tc>
          <w:tcPr>
            <w:tcW w:w="4815" w:type="dxa"/>
          </w:tcPr>
          <w:p w:rsidR="00654AA1" w:rsidRPr="003517F7" w:rsidRDefault="00654AA1" w:rsidP="00DE1BE6">
            <w:pPr>
              <w:rPr>
                <w:rFonts w:cs="Arial"/>
                <w:noProof/>
                <w:spacing w:val="-2"/>
                <w:sz w:val="18"/>
                <w:lang w:val="de-DE"/>
              </w:rPr>
            </w:pPr>
            <w:r w:rsidRPr="003517F7">
              <w:rPr>
                <w:rFonts w:cs="Arial"/>
                <w:noProof/>
                <w:spacing w:val="-2"/>
                <w:sz w:val="18"/>
                <w:lang w:val="de-DE"/>
              </w:rPr>
              <w:t xml:space="preserve">“Ein „wesentliches Merkmal“ ist ein Merkmal, das für die Sorte als Ganzes </w:t>
            </w:r>
            <w:r w:rsidRPr="003517F7">
              <w:rPr>
                <w:rFonts w:cs="Arial"/>
                <w:strike/>
                <w:noProof/>
                <w:spacing w:val="-2"/>
                <w:sz w:val="18"/>
                <w:highlight w:val="lightGray"/>
                <w:lang w:val="de-DE"/>
              </w:rPr>
              <w:t>wesentlich</w:t>
            </w:r>
            <w:r w:rsidRPr="003517F7">
              <w:rPr>
                <w:rFonts w:cs="Arial"/>
                <w:noProof/>
                <w:spacing w:val="-2"/>
                <w:sz w:val="18"/>
                <w:lang w:val="de-DE"/>
              </w:rPr>
              <w:t xml:space="preserve"> </w:t>
            </w:r>
            <w:r w:rsidRPr="003517F7">
              <w:rPr>
                <w:rFonts w:cs="Arial"/>
                <w:noProof/>
                <w:spacing w:val="-2"/>
                <w:sz w:val="18"/>
                <w:highlight w:val="lightGray"/>
                <w:u w:val="single"/>
                <w:lang w:val="de-DE"/>
              </w:rPr>
              <w:t>grundlegend</w:t>
            </w:r>
            <w:r w:rsidRPr="003517F7">
              <w:rPr>
                <w:rFonts w:cs="Arial"/>
                <w:noProof/>
                <w:spacing w:val="-2"/>
                <w:sz w:val="18"/>
                <w:lang w:val="de-DE"/>
              </w:rPr>
              <w:t xml:space="preserve"> ist. Es sollte zu den Haupteigenschaften, der Leistung oder dem Gebrauchswert der Sorte beitragen und für einen der folgenden Akteure von Bedeutung sein: Erzeuger, Verkäufer, Lieferant, Käufer, Empfänger, Nutzer des Vermehrungsmaterials und/oder des Ernteguts und/oder der direkt gewonnenen Erzeugnisse und/oder der Wertschöpfungskette.“ </w:t>
            </w:r>
          </w:p>
          <w:p w:rsidR="001A7AF0" w:rsidRPr="003517F7" w:rsidRDefault="001A7AF0" w:rsidP="00654AA1">
            <w:pPr>
              <w:rPr>
                <w:rFonts w:cs="Arial"/>
                <w:noProof/>
                <w:spacing w:val="-2"/>
                <w:sz w:val="18"/>
                <w:highlight w:val="yellow"/>
                <w:lang w:val="de-DE"/>
              </w:rPr>
            </w:pPr>
          </w:p>
        </w:tc>
      </w:tr>
      <w:tr w:rsidR="001A7AF0" w:rsidRPr="003517F7" w:rsidTr="001A7AF0">
        <w:tc>
          <w:tcPr>
            <w:tcW w:w="4814" w:type="dxa"/>
          </w:tcPr>
          <w:p w:rsidR="001A7AF0" w:rsidRPr="003517F7" w:rsidRDefault="001A7AF0" w:rsidP="00DE1BE6">
            <w:pPr>
              <w:rPr>
                <w:rFonts w:cs="Arial"/>
                <w:noProof/>
                <w:spacing w:val="-2"/>
                <w:sz w:val="18"/>
                <w:lang w:val="de-DE"/>
              </w:rPr>
            </w:pPr>
            <w:r w:rsidRPr="003517F7">
              <w:rPr>
                <w:rFonts w:cs="Arial"/>
                <w:noProof/>
                <w:spacing w:val="-2"/>
                <w:sz w:val="18"/>
                <w:lang w:val="de-DE"/>
              </w:rPr>
              <w:t>Absatz 11</w:t>
            </w:r>
          </w:p>
          <w:p w:rsidR="001A7AF0" w:rsidRPr="003517F7" w:rsidRDefault="001A7AF0" w:rsidP="00DE1BE6">
            <w:pPr>
              <w:rPr>
                <w:rFonts w:cs="Arial"/>
                <w:noProof/>
                <w:spacing w:val="-2"/>
                <w:sz w:val="18"/>
                <w:highlight w:val="yellow"/>
                <w:lang w:val="de-DE"/>
              </w:rPr>
            </w:pPr>
          </w:p>
        </w:tc>
        <w:tc>
          <w:tcPr>
            <w:tcW w:w="4815" w:type="dxa"/>
          </w:tcPr>
          <w:p w:rsidR="001A7AF0" w:rsidRPr="003517F7" w:rsidRDefault="001A7AF0" w:rsidP="00DE1BE6">
            <w:pPr>
              <w:rPr>
                <w:rFonts w:cs="Arial"/>
                <w:noProof/>
                <w:spacing w:val="-2"/>
                <w:sz w:val="18"/>
                <w:lang w:val="de-DE"/>
              </w:rPr>
            </w:pPr>
            <w:r w:rsidRPr="003517F7">
              <w:rPr>
                <w:rFonts w:cs="Arial"/>
                <w:noProof/>
                <w:spacing w:val="-2"/>
                <w:sz w:val="18"/>
                <w:lang w:val="de-DE"/>
              </w:rPr>
              <w:t>“</w:t>
            </w:r>
            <w:r w:rsidR="00654AA1" w:rsidRPr="003517F7">
              <w:rPr>
                <w:rFonts w:cs="Arial"/>
                <w:noProof/>
                <w:spacing w:val="-2"/>
                <w:sz w:val="18"/>
                <w:lang w:val="de-DE"/>
              </w:rPr>
              <w:t xml:space="preserve">Eine </w:t>
            </w:r>
            <w:r w:rsidR="00654AA1" w:rsidRPr="003517F7">
              <w:rPr>
                <w:rFonts w:cs="Arial"/>
                <w:strike/>
                <w:noProof/>
                <w:spacing w:val="-2"/>
                <w:sz w:val="18"/>
                <w:highlight w:val="lightGray"/>
                <w:lang w:val="de-DE"/>
              </w:rPr>
              <w:t>vorwiegend</w:t>
            </w:r>
            <w:r w:rsidR="00654AA1" w:rsidRPr="003517F7">
              <w:rPr>
                <w:rFonts w:cs="Arial"/>
                <w:noProof/>
                <w:spacing w:val="-2"/>
                <w:sz w:val="18"/>
                <w:u w:val="single"/>
                <w:lang w:val="de-DE"/>
              </w:rPr>
              <w:t xml:space="preserve"> </w:t>
            </w:r>
            <w:r w:rsidR="00654AA1" w:rsidRPr="003517F7">
              <w:rPr>
                <w:rFonts w:cs="Arial"/>
                <w:noProof/>
                <w:spacing w:val="-2"/>
                <w:sz w:val="18"/>
                <w:highlight w:val="lightGray"/>
                <w:u w:val="single"/>
                <w:lang w:val="de-DE"/>
              </w:rPr>
              <w:t>im wesentlichen</w:t>
            </w:r>
            <w:r w:rsidR="00654AA1" w:rsidRPr="003517F7">
              <w:rPr>
                <w:rFonts w:cs="Arial"/>
                <w:noProof/>
                <w:spacing w:val="-2"/>
                <w:sz w:val="18"/>
                <w:lang w:val="de-DE"/>
              </w:rPr>
              <w:t xml:space="preserve"> abgeleitete Sorte behält in der Regel die Ausprägung der wesentlichen Merkmale der Sorte bei, von der sie abgeleitet ist, mit Ausnahme der Unterschiede, die sich aus der/den Ableitung(en) ergeben und die auch Unterschiede in den wesentlichen Merkmalen einschließen können.</w:t>
            </w:r>
            <w:r w:rsidRPr="003517F7">
              <w:rPr>
                <w:rFonts w:cs="Arial"/>
                <w:noProof/>
                <w:spacing w:val="-2"/>
                <w:sz w:val="18"/>
                <w:lang w:val="de-DE"/>
              </w:rPr>
              <w:t>”</w:t>
            </w:r>
          </w:p>
          <w:p w:rsidR="001A7AF0" w:rsidRPr="003517F7" w:rsidRDefault="001A7AF0" w:rsidP="00DE1BE6">
            <w:pPr>
              <w:rPr>
                <w:rFonts w:cs="Arial"/>
                <w:noProof/>
                <w:spacing w:val="-2"/>
                <w:sz w:val="18"/>
                <w:highlight w:val="yellow"/>
                <w:lang w:val="de-DE"/>
              </w:rPr>
            </w:pPr>
          </w:p>
        </w:tc>
      </w:tr>
      <w:tr w:rsidR="001A7AF0" w:rsidRPr="003517F7" w:rsidTr="001A7AF0">
        <w:tc>
          <w:tcPr>
            <w:tcW w:w="4814" w:type="dxa"/>
          </w:tcPr>
          <w:p w:rsidR="001A7AF0" w:rsidRPr="003517F7" w:rsidRDefault="001A7AF0" w:rsidP="00DE1BE6">
            <w:pPr>
              <w:rPr>
                <w:rFonts w:cs="Arial"/>
                <w:noProof/>
                <w:spacing w:val="-2"/>
                <w:sz w:val="18"/>
                <w:lang w:val="de-DE"/>
              </w:rPr>
            </w:pPr>
            <w:r w:rsidRPr="003517F7">
              <w:rPr>
                <w:rFonts w:cs="Arial"/>
                <w:noProof/>
                <w:spacing w:val="-2"/>
                <w:sz w:val="18"/>
                <w:lang w:val="de-DE"/>
              </w:rPr>
              <w:t xml:space="preserve">Abbildungen 2, 3, 4, 5, Kasten 3: </w:t>
            </w:r>
          </w:p>
          <w:p w:rsidR="001A7AF0" w:rsidRPr="003517F7" w:rsidRDefault="001A7AF0" w:rsidP="00DE1BE6">
            <w:pPr>
              <w:rPr>
                <w:rFonts w:cs="Arial"/>
                <w:noProof/>
                <w:spacing w:val="-2"/>
                <w:sz w:val="18"/>
                <w:highlight w:val="yellow"/>
                <w:lang w:val="de-DE"/>
              </w:rPr>
            </w:pPr>
          </w:p>
        </w:tc>
        <w:tc>
          <w:tcPr>
            <w:tcW w:w="4815" w:type="dxa"/>
          </w:tcPr>
          <w:p w:rsidR="001A7AF0" w:rsidRPr="003517F7" w:rsidRDefault="001A7AF0" w:rsidP="00DE1BE6">
            <w:pPr>
              <w:rPr>
                <w:rFonts w:cs="Arial"/>
                <w:noProof/>
                <w:spacing w:val="-2"/>
                <w:sz w:val="18"/>
                <w:lang w:val="de-DE"/>
              </w:rPr>
            </w:pPr>
            <w:r w:rsidRPr="003517F7">
              <w:rPr>
                <w:rFonts w:cs="Arial"/>
                <w:noProof/>
                <w:spacing w:val="-2"/>
                <w:sz w:val="18"/>
                <w:lang w:val="de-DE"/>
              </w:rPr>
              <w:t xml:space="preserve">“-  </w:t>
            </w:r>
            <w:r w:rsidR="00654AA1" w:rsidRPr="003517F7">
              <w:rPr>
                <w:rFonts w:cs="Arial"/>
                <w:noProof/>
                <w:spacing w:val="-2"/>
                <w:sz w:val="18"/>
                <w:lang w:val="de-DE"/>
              </w:rPr>
              <w:t>vorwiegend abgeleitet von</w:t>
            </w:r>
            <w:r w:rsidRPr="003517F7">
              <w:rPr>
                <w:rFonts w:cs="Arial"/>
                <w:noProof/>
                <w:spacing w:val="-2"/>
                <w:sz w:val="18"/>
                <w:lang w:val="de-DE"/>
              </w:rPr>
              <w:t xml:space="preserve"> A ‘</w:t>
            </w:r>
            <w:r w:rsidRPr="003517F7">
              <w:rPr>
                <w:rFonts w:cs="Arial"/>
                <w:noProof/>
                <w:spacing w:val="-2"/>
                <w:sz w:val="18"/>
                <w:highlight w:val="lightGray"/>
                <w:u w:val="single"/>
                <w:lang w:val="de-DE"/>
              </w:rPr>
              <w:t>o</w:t>
            </w:r>
            <w:r w:rsidR="00654AA1" w:rsidRPr="003517F7">
              <w:rPr>
                <w:rFonts w:cs="Arial"/>
                <w:noProof/>
                <w:spacing w:val="-2"/>
                <w:sz w:val="18"/>
                <w:highlight w:val="lightGray"/>
                <w:u w:val="single"/>
                <w:lang w:val="de-DE"/>
              </w:rPr>
              <w:t>der</w:t>
            </w:r>
            <w:r w:rsidRPr="003517F7">
              <w:rPr>
                <w:rFonts w:cs="Arial"/>
                <w:noProof/>
                <w:spacing w:val="-2"/>
                <w:sz w:val="18"/>
                <w:highlight w:val="lightGray"/>
                <w:u w:val="single"/>
                <w:lang w:val="de-DE"/>
              </w:rPr>
              <w:t xml:space="preserve"> B</w:t>
            </w:r>
            <w:r w:rsidRPr="003517F7">
              <w:rPr>
                <w:rFonts w:cs="Arial"/>
                <w:noProof/>
                <w:spacing w:val="-2"/>
                <w:sz w:val="18"/>
                <w:lang w:val="de-DE"/>
              </w:rPr>
              <w:t>’”</w:t>
            </w:r>
          </w:p>
          <w:p w:rsidR="001A7AF0" w:rsidRPr="003517F7" w:rsidRDefault="001A7AF0" w:rsidP="00DE1BE6">
            <w:pPr>
              <w:rPr>
                <w:rFonts w:cs="Arial"/>
                <w:noProof/>
                <w:spacing w:val="-2"/>
                <w:sz w:val="18"/>
                <w:lang w:val="de-DE"/>
              </w:rPr>
            </w:pPr>
          </w:p>
        </w:tc>
      </w:tr>
      <w:tr w:rsidR="001A7AF0" w:rsidRPr="003517F7" w:rsidTr="001A7AF0">
        <w:tc>
          <w:tcPr>
            <w:tcW w:w="4814" w:type="dxa"/>
          </w:tcPr>
          <w:p w:rsidR="001A7AF0" w:rsidRPr="003517F7" w:rsidRDefault="001A7AF0" w:rsidP="00DE1BE6">
            <w:pPr>
              <w:rPr>
                <w:rFonts w:cs="Arial"/>
                <w:noProof/>
                <w:spacing w:val="-2"/>
                <w:sz w:val="18"/>
                <w:lang w:val="de-DE"/>
              </w:rPr>
            </w:pPr>
            <w:r w:rsidRPr="003517F7">
              <w:rPr>
                <w:rFonts w:cs="Arial"/>
                <w:noProof/>
                <w:spacing w:val="-2"/>
                <w:sz w:val="18"/>
                <w:lang w:val="de-DE"/>
              </w:rPr>
              <w:t>Abbildungen 2, 3, 4, 5, Kasten 6:</w:t>
            </w:r>
          </w:p>
          <w:p w:rsidR="001A7AF0" w:rsidRPr="003517F7" w:rsidRDefault="001A7AF0" w:rsidP="00DE1BE6">
            <w:pPr>
              <w:rPr>
                <w:rFonts w:cs="Arial"/>
                <w:noProof/>
                <w:spacing w:val="-2"/>
                <w:sz w:val="18"/>
                <w:highlight w:val="yellow"/>
                <w:lang w:val="de-DE"/>
              </w:rPr>
            </w:pPr>
          </w:p>
        </w:tc>
        <w:tc>
          <w:tcPr>
            <w:tcW w:w="4815" w:type="dxa"/>
          </w:tcPr>
          <w:p w:rsidR="001A7AF0" w:rsidRPr="003517F7" w:rsidRDefault="001A7AF0" w:rsidP="00DE1BE6">
            <w:pPr>
              <w:rPr>
                <w:rFonts w:cs="Arial"/>
                <w:noProof/>
                <w:spacing w:val="-2"/>
                <w:sz w:val="18"/>
                <w:lang w:val="de-DE"/>
              </w:rPr>
            </w:pPr>
            <w:r w:rsidRPr="003517F7">
              <w:rPr>
                <w:rFonts w:cs="Arial"/>
                <w:noProof/>
                <w:spacing w:val="-2"/>
                <w:sz w:val="18"/>
                <w:lang w:val="de-DE"/>
              </w:rPr>
              <w:t xml:space="preserve">“-  </w:t>
            </w:r>
            <w:r w:rsidR="00654AA1" w:rsidRPr="003517F7">
              <w:rPr>
                <w:rFonts w:cs="Arial"/>
                <w:noProof/>
                <w:spacing w:val="-2"/>
                <w:sz w:val="18"/>
                <w:lang w:val="de-DE"/>
              </w:rPr>
              <w:t>vorwiegend abgeleitet von</w:t>
            </w:r>
            <w:r w:rsidRPr="003517F7">
              <w:rPr>
                <w:rFonts w:cs="Arial"/>
                <w:noProof/>
                <w:spacing w:val="-2"/>
                <w:sz w:val="18"/>
                <w:lang w:val="de-DE"/>
              </w:rPr>
              <w:t xml:space="preserve"> A </w:t>
            </w:r>
            <w:r w:rsidRPr="003517F7">
              <w:rPr>
                <w:rFonts w:cs="Arial"/>
                <w:noProof/>
                <w:spacing w:val="-2"/>
                <w:sz w:val="18"/>
                <w:highlight w:val="lightGray"/>
                <w:lang w:val="de-DE"/>
              </w:rPr>
              <w:t>‘</w:t>
            </w:r>
            <w:r w:rsidR="00654AA1" w:rsidRPr="003517F7">
              <w:rPr>
                <w:rFonts w:cs="Arial"/>
                <w:noProof/>
                <w:spacing w:val="-2"/>
                <w:sz w:val="18"/>
                <w:highlight w:val="lightGray"/>
                <w:u w:val="single"/>
                <w:lang w:val="de-DE"/>
              </w:rPr>
              <w:t>oder</w:t>
            </w:r>
            <w:r w:rsidRPr="003517F7">
              <w:rPr>
                <w:rFonts w:cs="Arial"/>
                <w:noProof/>
                <w:spacing w:val="-2"/>
                <w:sz w:val="18"/>
                <w:highlight w:val="lightGray"/>
                <w:u w:val="single"/>
                <w:lang w:val="de-DE"/>
              </w:rPr>
              <w:t xml:space="preserve"> Z-1</w:t>
            </w:r>
            <w:r w:rsidRPr="003517F7">
              <w:rPr>
                <w:rFonts w:cs="Arial"/>
                <w:noProof/>
                <w:spacing w:val="-2"/>
                <w:sz w:val="18"/>
                <w:highlight w:val="lightGray"/>
                <w:lang w:val="de-DE"/>
              </w:rPr>
              <w:t>’</w:t>
            </w:r>
            <w:r w:rsidRPr="003517F7">
              <w:rPr>
                <w:rFonts w:cs="Arial"/>
                <w:noProof/>
                <w:spacing w:val="-2"/>
                <w:sz w:val="18"/>
                <w:lang w:val="de-DE"/>
              </w:rPr>
              <w:t>”</w:t>
            </w:r>
          </w:p>
          <w:p w:rsidR="001A7AF0" w:rsidRPr="003517F7" w:rsidRDefault="001A7AF0" w:rsidP="00DE1BE6">
            <w:pPr>
              <w:rPr>
                <w:rFonts w:cs="Arial"/>
                <w:noProof/>
                <w:spacing w:val="-2"/>
                <w:sz w:val="18"/>
                <w:lang w:val="de-DE"/>
              </w:rPr>
            </w:pPr>
          </w:p>
        </w:tc>
      </w:tr>
    </w:tbl>
    <w:p w:rsidR="00923899" w:rsidRPr="003517F7" w:rsidRDefault="00923899" w:rsidP="00DE1BE6">
      <w:pPr>
        <w:rPr>
          <w:rFonts w:cs="Arial"/>
          <w:noProof/>
          <w:spacing w:val="-2"/>
        </w:rPr>
      </w:pPr>
    </w:p>
    <w:p w:rsidR="00DB570C" w:rsidRPr="003517F7" w:rsidRDefault="00031577" w:rsidP="00DE1BE6">
      <w:pPr>
        <w:pStyle w:val="ListParagraph"/>
        <w:numPr>
          <w:ilvl w:val="0"/>
          <w:numId w:val="14"/>
        </w:numPr>
        <w:ind w:left="0" w:firstLine="0"/>
        <w:rPr>
          <w:noProof/>
        </w:rPr>
      </w:pPr>
      <w:r w:rsidRPr="003517F7">
        <w:rPr>
          <w:noProof/>
        </w:rPr>
        <w:t>Der CAJ nahm zur Kennt</w:t>
      </w:r>
      <w:r w:rsidR="00DB570C" w:rsidRPr="003517F7">
        <w:rPr>
          <w:noProof/>
        </w:rPr>
        <w:t>nis, dass die WG-EDV empfohlen hatte, dass der CAJ das Dokument UPOV/EXN/EDV/3 Draft 2 „Erläuterungen zu den im Wesentlichen abgele</w:t>
      </w:r>
      <w:r w:rsidR="0018141D">
        <w:rPr>
          <w:noProof/>
        </w:rPr>
        <w:t>iteten Sorten nach der Akte von </w:t>
      </w:r>
      <w:bookmarkStart w:id="0" w:name="_GoBack"/>
      <w:bookmarkEnd w:id="0"/>
      <w:r w:rsidR="00DB570C" w:rsidRPr="003517F7">
        <w:rPr>
          <w:noProof/>
        </w:rPr>
        <w:t>1991 des UPOV-</w:t>
      </w:r>
      <w:r w:rsidR="00E72A2B" w:rsidRPr="003517F7">
        <w:rPr>
          <w:noProof/>
        </w:rPr>
        <w:t>Übereinkommens (Überarbeitung)“,</w:t>
      </w:r>
      <w:r w:rsidR="00DB570C" w:rsidRPr="003517F7">
        <w:rPr>
          <w:noProof/>
        </w:rPr>
        <w:t xml:space="preserve"> in Verbindung mit den </w:t>
      </w:r>
      <w:r w:rsidRPr="003517F7">
        <w:rPr>
          <w:noProof/>
        </w:rPr>
        <w:t>im</w:t>
      </w:r>
      <w:r w:rsidR="00E72A2B" w:rsidRPr="003517F7">
        <w:rPr>
          <w:noProof/>
        </w:rPr>
        <w:t xml:space="preserve"> vorstehende</w:t>
      </w:r>
      <w:r w:rsidRPr="003517F7">
        <w:rPr>
          <w:noProof/>
        </w:rPr>
        <w:t>n</w:t>
      </w:r>
      <w:r w:rsidR="00E72A2B" w:rsidRPr="003517F7">
        <w:rPr>
          <w:noProof/>
        </w:rPr>
        <w:t xml:space="preserve"> Absatz dargestellten </w:t>
      </w:r>
      <w:r w:rsidR="00DB570C" w:rsidRPr="003517F7">
        <w:rPr>
          <w:noProof/>
        </w:rPr>
        <w:t>von der</w:t>
      </w:r>
      <w:r w:rsidR="00E72A2B" w:rsidRPr="003517F7">
        <w:rPr>
          <w:noProof/>
        </w:rPr>
        <w:t xml:space="preserve"> WG-EDV vereinbarten Änderungen</w:t>
      </w:r>
      <w:r w:rsidR="00DB570C" w:rsidRPr="003517F7">
        <w:rPr>
          <w:noProof/>
        </w:rPr>
        <w:t xml:space="preserve"> und den </w:t>
      </w:r>
      <w:r w:rsidR="00E72A2B" w:rsidRPr="003517F7">
        <w:rPr>
          <w:noProof/>
        </w:rPr>
        <w:t>nachstehenden</w:t>
      </w:r>
      <w:r w:rsidR="00DB570C" w:rsidRPr="003517F7">
        <w:rPr>
          <w:noProof/>
        </w:rPr>
        <w:t xml:space="preserve"> Bemerkungen, auf seiner achtungsiebzigsten Tagung prüfen solle: </w:t>
      </w:r>
    </w:p>
    <w:p w:rsidR="00DB570C" w:rsidRPr="003517F7" w:rsidRDefault="00DB570C" w:rsidP="00DE1BE6">
      <w:pPr>
        <w:pStyle w:val="ListParagraph"/>
        <w:ind w:left="0"/>
        <w:rPr>
          <w:noProof/>
        </w:rPr>
      </w:pPr>
    </w:p>
    <w:p w:rsidR="00DB570C" w:rsidRPr="003517F7" w:rsidRDefault="00BE3811" w:rsidP="00BE3811">
      <w:pPr>
        <w:pStyle w:val="ListParagraph"/>
        <w:ind w:left="0" w:firstLine="567"/>
        <w:rPr>
          <w:noProof/>
          <w:spacing w:val="-2"/>
        </w:rPr>
      </w:pPr>
      <w:r w:rsidRPr="003517F7">
        <w:rPr>
          <w:noProof/>
          <w:spacing w:val="-2"/>
        </w:rPr>
        <w:t>a)</w:t>
      </w:r>
      <w:r w:rsidRPr="003517F7">
        <w:rPr>
          <w:noProof/>
          <w:spacing w:val="-2"/>
        </w:rPr>
        <w:tab/>
      </w:r>
      <w:r w:rsidR="00DB570C" w:rsidRPr="003517F7">
        <w:rPr>
          <w:noProof/>
          <w:spacing w:val="-2"/>
        </w:rPr>
        <w:t>Die WG-EDV nahm die Bemerkungen der Delegation Spaniens in Bezug auf Dokument UPOV/EXN/EDV/3 Draft 2 zur Kenntnis u</w:t>
      </w:r>
      <w:r w:rsidR="00E72A2B" w:rsidRPr="003517F7">
        <w:rPr>
          <w:noProof/>
          <w:spacing w:val="-2"/>
        </w:rPr>
        <w:t xml:space="preserve">nd vereinbarte, dass </w:t>
      </w:r>
      <w:r w:rsidR="00040C38" w:rsidRPr="003517F7">
        <w:rPr>
          <w:noProof/>
          <w:spacing w:val="-2"/>
        </w:rPr>
        <w:t xml:space="preserve">es wichtig sei, dass </w:t>
      </w:r>
      <w:r w:rsidR="00E72A2B" w:rsidRPr="003517F7">
        <w:rPr>
          <w:noProof/>
          <w:spacing w:val="-2"/>
        </w:rPr>
        <w:t xml:space="preserve">die </w:t>
      </w:r>
      <w:r w:rsidR="00DB570C" w:rsidRPr="003517F7">
        <w:rPr>
          <w:noProof/>
          <w:spacing w:val="-2"/>
        </w:rPr>
        <w:t xml:space="preserve">Mitglieder der WG-EDV die Gelegenheit </w:t>
      </w:r>
      <w:r w:rsidR="00040C38" w:rsidRPr="003517F7">
        <w:rPr>
          <w:noProof/>
          <w:spacing w:val="-2"/>
        </w:rPr>
        <w:t>ergriffen</w:t>
      </w:r>
      <w:r w:rsidR="00DB570C" w:rsidRPr="003517F7">
        <w:rPr>
          <w:noProof/>
          <w:spacing w:val="-2"/>
        </w:rPr>
        <w:t xml:space="preserve">, diese Bemerkungen mit der Delegation Spaniens </w:t>
      </w:r>
      <w:r w:rsidR="00E72A2B" w:rsidRPr="003517F7">
        <w:rPr>
          <w:noProof/>
          <w:spacing w:val="-2"/>
        </w:rPr>
        <w:t>im Vorfeld</w:t>
      </w:r>
      <w:r w:rsidR="00DB570C" w:rsidRPr="003517F7">
        <w:rPr>
          <w:noProof/>
          <w:spacing w:val="-2"/>
        </w:rPr>
        <w:t xml:space="preserve"> der CAJ-Tagung zu erörtern; und</w:t>
      </w:r>
    </w:p>
    <w:p w:rsidR="00DB570C" w:rsidRPr="003517F7" w:rsidRDefault="00DB570C" w:rsidP="00DE1BE6">
      <w:pPr>
        <w:pStyle w:val="ListParagraph"/>
        <w:ind w:left="0"/>
        <w:rPr>
          <w:noProof/>
        </w:rPr>
      </w:pPr>
    </w:p>
    <w:p w:rsidR="00DB570C" w:rsidRPr="003517F7" w:rsidRDefault="00BE3811" w:rsidP="00BE3811">
      <w:pPr>
        <w:ind w:firstLine="567"/>
        <w:rPr>
          <w:rStyle w:val="Hyperlink"/>
          <w:color w:val="auto"/>
          <w:spacing w:val="-4"/>
          <w:u w:val="none"/>
        </w:rPr>
      </w:pPr>
      <w:r w:rsidRPr="003517F7">
        <w:rPr>
          <w:noProof/>
          <w:spacing w:val="-4"/>
        </w:rPr>
        <w:t>b)</w:t>
      </w:r>
      <w:r w:rsidRPr="003517F7">
        <w:rPr>
          <w:noProof/>
          <w:spacing w:val="-4"/>
        </w:rPr>
        <w:tab/>
      </w:r>
      <w:r w:rsidR="00DB570C" w:rsidRPr="003517F7">
        <w:rPr>
          <w:noProof/>
          <w:spacing w:val="-4"/>
        </w:rPr>
        <w:t>Der Vertreter der Vereinigung für Pflanzenzüchtung zum Nutzen der Gesellschaft (APBREBES) war nicht mit dem Wortlauf von Abschnitt II und der Aufnahm</w:t>
      </w:r>
      <w:r w:rsidRPr="003517F7">
        <w:rPr>
          <w:noProof/>
          <w:spacing w:val="-4"/>
        </w:rPr>
        <w:t>e von Abschnitt III in Dokument UPOV/EXN/EDV/3 Draft </w:t>
      </w:r>
      <w:r w:rsidR="003A5F98" w:rsidRPr="003517F7">
        <w:rPr>
          <w:noProof/>
          <w:spacing w:val="-4"/>
        </w:rPr>
        <w:t xml:space="preserve">2 </w:t>
      </w:r>
      <w:r w:rsidR="00DB570C" w:rsidRPr="003517F7">
        <w:rPr>
          <w:noProof/>
          <w:spacing w:val="-4"/>
        </w:rPr>
        <w:t>einverstanden</w:t>
      </w:r>
      <w:r w:rsidR="003A5F98" w:rsidRPr="003517F7">
        <w:rPr>
          <w:noProof/>
          <w:spacing w:val="-4"/>
        </w:rPr>
        <w:t xml:space="preserve">, wie in den Bemerkungen von APBREBES in Dokument </w:t>
      </w:r>
      <w:r w:rsidRPr="003517F7">
        <w:rPr>
          <w:noProof/>
          <w:spacing w:val="-4"/>
        </w:rPr>
        <w:t>UPOV/WG</w:t>
      </w:r>
      <w:r w:rsidRPr="003517F7">
        <w:rPr>
          <w:noProof/>
          <w:spacing w:val="-4"/>
        </w:rPr>
        <w:noBreakHyphen/>
      </w:r>
      <w:r w:rsidR="003A5F98" w:rsidRPr="003517F7">
        <w:rPr>
          <w:noProof/>
          <w:spacing w:val="-4"/>
        </w:rPr>
        <w:t>EDV/4/2 Anh</w:t>
      </w:r>
      <w:r w:rsidRPr="003517F7">
        <w:rPr>
          <w:noProof/>
          <w:spacing w:val="-4"/>
        </w:rPr>
        <w:t>ang, Anlage IV, dargelegt (vgl. </w:t>
      </w:r>
      <w:hyperlink r:id="rId9" w:history="1">
        <w:r w:rsidR="003A5F98" w:rsidRPr="003517F7">
          <w:rPr>
            <w:rStyle w:val="Hyperlink"/>
            <w:spacing w:val="-4"/>
          </w:rPr>
          <w:t>https://www.upov.int/edocs/mdocs/upov/en/wg_edv_4/upov_wg_edv_4_2.pdf</w:t>
        </w:r>
      </w:hyperlink>
      <w:r w:rsidR="003A5F98" w:rsidRPr="003517F7">
        <w:rPr>
          <w:noProof/>
          <w:spacing w:val="-4"/>
        </w:rPr>
        <w:t>)</w:t>
      </w:r>
      <w:r w:rsidR="00E72A2B" w:rsidRPr="003517F7">
        <w:rPr>
          <w:noProof/>
          <w:spacing w:val="-4"/>
        </w:rPr>
        <w:t>.</w:t>
      </w:r>
    </w:p>
    <w:p w:rsidR="00F7492E" w:rsidRPr="003517F7" w:rsidRDefault="00F7492E" w:rsidP="00DE1BE6">
      <w:pPr>
        <w:pStyle w:val="ListParagraph"/>
        <w:ind w:left="0"/>
        <w:rPr>
          <w:noProof/>
        </w:rPr>
      </w:pPr>
    </w:p>
    <w:p w:rsidR="00F7492E" w:rsidRPr="003517F7" w:rsidRDefault="00F7492E" w:rsidP="00DE1BE6">
      <w:pPr>
        <w:pStyle w:val="ListParagraph"/>
        <w:numPr>
          <w:ilvl w:val="0"/>
          <w:numId w:val="14"/>
        </w:numPr>
        <w:ind w:left="0" w:firstLine="0"/>
        <w:rPr>
          <w:noProof/>
        </w:rPr>
      </w:pPr>
      <w:r w:rsidRPr="003517F7">
        <w:rPr>
          <w:noProof/>
        </w:rPr>
        <w:t xml:space="preserve">Der CAJ billigte </w:t>
      </w:r>
      <w:r w:rsidR="00040C38" w:rsidRPr="003517F7">
        <w:rPr>
          <w:noProof/>
        </w:rPr>
        <w:t xml:space="preserve">auf seiner vierten Sitzung </w:t>
      </w:r>
      <w:r w:rsidRPr="003517F7">
        <w:rPr>
          <w:noProof/>
        </w:rPr>
        <w:t>den Wortlau</w:t>
      </w:r>
      <w:r w:rsidR="00040C38" w:rsidRPr="003517F7">
        <w:rPr>
          <w:noProof/>
        </w:rPr>
        <w:t>t</w:t>
      </w:r>
      <w:r w:rsidRPr="003517F7">
        <w:rPr>
          <w:noProof/>
        </w:rPr>
        <w:t xml:space="preserve"> in Dokument UPOV/EXN/EDV/3 Draft 2 „Erläuterungen zu den im Wesentlichen abgeleiteten Sorten na</w:t>
      </w:r>
      <w:r w:rsidR="006633BB">
        <w:rPr>
          <w:noProof/>
        </w:rPr>
        <w:t>ch der Akte von 1991 des UPOV</w:t>
      </w:r>
      <w:r w:rsidR="006633BB">
        <w:rPr>
          <w:noProof/>
        </w:rPr>
        <w:noBreakHyphen/>
      </w:r>
      <w:r w:rsidRPr="003517F7">
        <w:rPr>
          <w:noProof/>
        </w:rPr>
        <w:t>Überei</w:t>
      </w:r>
      <w:r w:rsidR="00E72A2B" w:rsidRPr="003517F7">
        <w:rPr>
          <w:noProof/>
        </w:rPr>
        <w:t>nkommens“</w:t>
      </w:r>
      <w:r w:rsidR="00040C38" w:rsidRPr="003517F7">
        <w:rPr>
          <w:noProof/>
        </w:rPr>
        <w:t>,</w:t>
      </w:r>
      <w:r w:rsidR="00E72A2B" w:rsidRPr="003517F7">
        <w:rPr>
          <w:noProof/>
        </w:rPr>
        <w:t xml:space="preserve"> mit den von der WG-ED</w:t>
      </w:r>
      <w:r w:rsidRPr="003517F7">
        <w:rPr>
          <w:noProof/>
        </w:rPr>
        <w:t xml:space="preserve">V vereinbarten Änderungen (vgl. Absatz 16 oben) und vorbehaltlich folgender zusätzlicher Änderungen: </w:t>
      </w:r>
    </w:p>
    <w:p w:rsidR="00F7492E" w:rsidRPr="003517F7" w:rsidRDefault="00F7492E" w:rsidP="00DE1BE6">
      <w:pPr>
        <w:rPr>
          <w:noProof/>
        </w:rPr>
      </w:pPr>
    </w:p>
    <w:tbl>
      <w:tblPr>
        <w:tblStyle w:val="TableGrid1"/>
        <w:tblW w:w="0" w:type="auto"/>
        <w:tblLook w:val="04A0" w:firstRow="1" w:lastRow="0" w:firstColumn="1" w:lastColumn="0" w:noHBand="0" w:noVBand="1"/>
      </w:tblPr>
      <w:tblGrid>
        <w:gridCol w:w="4658"/>
        <w:gridCol w:w="4692"/>
      </w:tblGrid>
      <w:tr w:rsidR="00F7492E" w:rsidRPr="003517F7" w:rsidTr="00226B6D">
        <w:tc>
          <w:tcPr>
            <w:tcW w:w="4658" w:type="dxa"/>
            <w:shd w:val="clear" w:color="auto" w:fill="F2F2F2"/>
            <w:vAlign w:val="center"/>
          </w:tcPr>
          <w:p w:rsidR="00F7492E" w:rsidRPr="003517F7" w:rsidRDefault="00F7492E" w:rsidP="00DE1BE6">
            <w:pPr>
              <w:rPr>
                <w:rFonts w:cs="Arial"/>
                <w:noProof/>
                <w:spacing w:val="-2"/>
                <w:sz w:val="18"/>
                <w:lang w:val="de-DE"/>
              </w:rPr>
            </w:pPr>
            <w:r w:rsidRPr="003517F7">
              <w:rPr>
                <w:rFonts w:cs="Arial"/>
                <w:noProof/>
                <w:spacing w:val="-2"/>
                <w:sz w:val="18"/>
                <w:lang w:val="de-DE"/>
              </w:rPr>
              <w:t xml:space="preserve">Document </w:t>
            </w:r>
            <w:r w:rsidRPr="003517F7">
              <w:rPr>
                <w:noProof/>
                <w:spacing w:val="-2"/>
                <w:sz w:val="18"/>
                <w:lang w:val="de-DE"/>
              </w:rPr>
              <w:t>UPOV/EXN/EDV/3 Draft 2</w:t>
            </w:r>
          </w:p>
        </w:tc>
        <w:tc>
          <w:tcPr>
            <w:tcW w:w="4692" w:type="dxa"/>
            <w:shd w:val="clear" w:color="auto" w:fill="F2F2F2"/>
            <w:vAlign w:val="center"/>
          </w:tcPr>
          <w:p w:rsidR="00F7492E" w:rsidRPr="003517F7" w:rsidRDefault="00371203" w:rsidP="00371203">
            <w:pPr>
              <w:keepNext/>
              <w:rPr>
                <w:rFonts w:cs="Arial"/>
                <w:noProof/>
                <w:sz w:val="18"/>
                <w:lang w:val="de-DE"/>
              </w:rPr>
            </w:pPr>
            <w:r w:rsidRPr="003517F7">
              <w:rPr>
                <w:rFonts w:cs="Arial"/>
                <w:noProof/>
                <w:sz w:val="18"/>
                <w:lang w:val="de-DE"/>
              </w:rPr>
              <w:t>Vom CAJ auf seiner achtundsiebzigsten Tagung vereinbarte Änderungen</w:t>
            </w:r>
          </w:p>
        </w:tc>
      </w:tr>
      <w:tr w:rsidR="00F7492E" w:rsidRPr="003517F7" w:rsidTr="00226B6D">
        <w:tc>
          <w:tcPr>
            <w:tcW w:w="4658" w:type="dxa"/>
          </w:tcPr>
          <w:p w:rsidR="00F7492E" w:rsidRPr="003517F7" w:rsidRDefault="003A6873" w:rsidP="00DE1BE6">
            <w:pPr>
              <w:rPr>
                <w:rFonts w:cs="Arial"/>
                <w:noProof/>
                <w:spacing w:val="-2"/>
                <w:sz w:val="18"/>
                <w:lang w:val="de-DE"/>
              </w:rPr>
            </w:pPr>
            <w:r w:rsidRPr="003A6873">
              <w:rPr>
                <w:rFonts w:cs="Arial"/>
                <w:noProof/>
                <w:spacing w:val="-2"/>
                <w:sz w:val="18"/>
                <w:lang w:val="de-DE"/>
              </w:rPr>
              <w:t xml:space="preserve">Absatz </w:t>
            </w:r>
            <w:r w:rsidR="00F7492E" w:rsidRPr="003517F7">
              <w:rPr>
                <w:rFonts w:cs="Arial"/>
                <w:noProof/>
                <w:spacing w:val="-2"/>
                <w:sz w:val="18"/>
                <w:lang w:val="de-DE"/>
              </w:rPr>
              <w:t>2</w:t>
            </w:r>
          </w:p>
          <w:p w:rsidR="00F7492E" w:rsidRPr="003517F7" w:rsidRDefault="00F7492E" w:rsidP="00DE1BE6">
            <w:pPr>
              <w:rPr>
                <w:rFonts w:cs="Arial"/>
                <w:noProof/>
                <w:spacing w:val="-2"/>
                <w:sz w:val="18"/>
                <w:lang w:val="de-DE"/>
              </w:rPr>
            </w:pPr>
          </w:p>
        </w:tc>
        <w:tc>
          <w:tcPr>
            <w:tcW w:w="4692" w:type="dxa"/>
          </w:tcPr>
          <w:p w:rsidR="00F7492E" w:rsidRPr="003517F7" w:rsidRDefault="00F7492E" w:rsidP="00281103">
            <w:pPr>
              <w:textAlignment w:val="baseline"/>
              <w:rPr>
                <w:rFonts w:eastAsia="Arial" w:cs="Arial"/>
                <w:noProof/>
                <w:sz w:val="18"/>
                <w:szCs w:val="18"/>
                <w:lang w:val="de-DE" w:eastAsia="es-MX"/>
              </w:rPr>
            </w:pPr>
            <w:r w:rsidRPr="003517F7">
              <w:rPr>
                <w:rFonts w:eastAsia="Arial" w:cs="Arial"/>
                <w:noProof/>
                <w:sz w:val="18"/>
                <w:szCs w:val="18"/>
                <w:lang w:val="de-DE" w:eastAsia="es-MX"/>
              </w:rPr>
              <w:t>“</w:t>
            </w:r>
            <w:r w:rsidR="00371203" w:rsidRPr="003517F7">
              <w:rPr>
                <w:rFonts w:eastAsia="Arial" w:cs="Arial"/>
                <w:noProof/>
                <w:sz w:val="18"/>
                <w:szCs w:val="18"/>
                <w:u w:val="single"/>
                <w:lang w:val="de-DE" w:eastAsia="es-MX"/>
              </w:rPr>
              <w:t>Zweck</w:t>
            </w:r>
            <w:r w:rsidR="00371203" w:rsidRPr="003517F7">
              <w:rPr>
                <w:rFonts w:eastAsia="Arial" w:cs="Arial"/>
                <w:noProof/>
                <w:sz w:val="18"/>
                <w:szCs w:val="18"/>
                <w:lang w:val="de-DE" w:eastAsia="es-MX"/>
              </w:rPr>
              <w:t xml:space="preserve"> </w:t>
            </w:r>
            <w:r w:rsidR="00371203" w:rsidRPr="003517F7">
              <w:rPr>
                <w:rFonts w:eastAsia="Arial" w:cs="Arial"/>
                <w:strike/>
                <w:noProof/>
                <w:sz w:val="18"/>
                <w:szCs w:val="18"/>
                <w:lang w:val="de-DE" w:eastAsia="es-MX"/>
              </w:rPr>
              <w:t>D</w:t>
            </w:r>
            <w:r w:rsidR="00DD6CA9" w:rsidRPr="003517F7">
              <w:rPr>
                <w:rFonts w:eastAsia="Arial" w:cs="Arial"/>
                <w:noProof/>
                <w:sz w:val="18"/>
                <w:szCs w:val="18"/>
                <w:u w:val="single"/>
                <w:lang w:val="de-DE" w:eastAsia="es-MX"/>
              </w:rPr>
              <w:t>d</w:t>
            </w:r>
            <w:r w:rsidR="00371203" w:rsidRPr="003517F7">
              <w:rPr>
                <w:rFonts w:eastAsia="Arial" w:cs="Arial"/>
                <w:noProof/>
                <w:sz w:val="18"/>
                <w:szCs w:val="18"/>
                <w:lang w:val="de-DE" w:eastAsia="es-MX"/>
              </w:rPr>
              <w:t>iese</w:t>
            </w:r>
            <w:r w:rsidR="00371203" w:rsidRPr="00281103">
              <w:rPr>
                <w:rFonts w:eastAsia="Arial" w:cs="Arial"/>
                <w:noProof/>
                <w:sz w:val="18"/>
                <w:szCs w:val="18"/>
                <w:u w:val="single"/>
                <w:lang w:val="de-DE" w:eastAsia="es-MX"/>
              </w:rPr>
              <w:t>r</w:t>
            </w:r>
            <w:r w:rsidR="00371203" w:rsidRPr="003517F7">
              <w:rPr>
                <w:rFonts w:eastAsia="Arial" w:cs="Arial"/>
                <w:noProof/>
                <w:sz w:val="18"/>
                <w:szCs w:val="18"/>
                <w:lang w:val="de-DE" w:eastAsia="es-MX"/>
              </w:rPr>
              <w:t xml:space="preserve"> Erläuterungen </w:t>
            </w:r>
            <w:r w:rsidR="00281103">
              <w:rPr>
                <w:rFonts w:eastAsia="Arial" w:cs="Arial"/>
                <w:noProof/>
                <w:sz w:val="18"/>
                <w:szCs w:val="18"/>
                <w:u w:val="single"/>
                <w:lang w:val="de-DE" w:eastAsia="es-MX"/>
              </w:rPr>
              <w:t>ist es</w:t>
            </w:r>
            <w:r w:rsidR="00371203" w:rsidRPr="00281103">
              <w:rPr>
                <w:rFonts w:eastAsia="Arial" w:cs="Arial"/>
                <w:noProof/>
                <w:sz w:val="18"/>
                <w:szCs w:val="18"/>
                <w:u w:val="single"/>
                <w:lang w:val="de-DE" w:eastAsia="es-MX"/>
              </w:rPr>
              <w:t>,</w:t>
            </w:r>
            <w:r w:rsidR="00371203" w:rsidRPr="003517F7">
              <w:rPr>
                <w:rFonts w:eastAsia="Arial" w:cs="Arial"/>
                <w:noProof/>
                <w:sz w:val="18"/>
                <w:szCs w:val="18"/>
                <w:lang w:val="de-DE" w:eastAsia="es-MX"/>
              </w:rPr>
              <w:t xml:space="preserve"> </w:t>
            </w:r>
            <w:r w:rsidR="00371203" w:rsidRPr="003517F7">
              <w:rPr>
                <w:rFonts w:eastAsia="Arial" w:cs="Arial"/>
                <w:strike/>
                <w:noProof/>
                <w:sz w:val="18"/>
                <w:szCs w:val="18"/>
                <w:lang w:val="de-DE" w:eastAsia="es-MX"/>
              </w:rPr>
              <w:t>geben</w:t>
            </w:r>
            <w:r w:rsidR="00371203" w:rsidRPr="003517F7">
              <w:rPr>
                <w:rFonts w:eastAsia="Arial" w:cs="Arial"/>
                <w:noProof/>
                <w:sz w:val="18"/>
                <w:szCs w:val="18"/>
                <w:lang w:val="de-DE" w:eastAsia="es-MX"/>
              </w:rPr>
              <w:t xml:space="preserve"> Anleitung zu ‚Im wesentlichen abgeleiteten Sorten‘ nach dem Internationalen Übereinkommen zum Schutz von Pflanzensorten (UPOV-Übereinkommen) </w:t>
            </w:r>
            <w:r w:rsidR="00371203" w:rsidRPr="003517F7">
              <w:rPr>
                <w:rFonts w:eastAsia="Arial" w:cs="Arial"/>
                <w:noProof/>
                <w:sz w:val="18"/>
                <w:szCs w:val="18"/>
                <w:u w:val="single"/>
                <w:lang w:val="de-DE" w:eastAsia="es-MX"/>
              </w:rPr>
              <w:t>zu geben</w:t>
            </w:r>
            <w:r w:rsidR="00371203" w:rsidRPr="003517F7">
              <w:rPr>
                <w:rFonts w:eastAsia="Arial" w:cs="Arial"/>
                <w:noProof/>
                <w:sz w:val="18"/>
                <w:szCs w:val="18"/>
                <w:lang w:val="de-DE" w:eastAsia="es-MX"/>
              </w:rPr>
              <w:t xml:space="preserve">. </w:t>
            </w:r>
            <w:r w:rsidR="00371203" w:rsidRPr="003517F7">
              <w:rPr>
                <w:rFonts w:eastAsia="Arial" w:cs="Arial"/>
                <w:strike/>
                <w:noProof/>
                <w:sz w:val="18"/>
                <w:szCs w:val="18"/>
                <w:lang w:val="de-DE" w:eastAsia="es-MX"/>
              </w:rPr>
              <w:t xml:space="preserve">Zweck dieser Erläuterungen ist es, Verbandsmitglieder und einschlägige Interessengruppen bei ihren Überlegungen in Angelegenheiten betreffend im </w:t>
            </w:r>
            <w:r w:rsidR="00371203" w:rsidRPr="003517F7">
              <w:rPr>
                <w:rFonts w:eastAsia="Arial" w:cs="Arial"/>
                <w:strike/>
                <w:noProof/>
                <w:sz w:val="18"/>
                <w:szCs w:val="18"/>
                <w:lang w:val="de-DE" w:eastAsia="es-MX"/>
              </w:rPr>
              <w:lastRenderedPageBreak/>
              <w:t>wesentlichen abgeleitete Sorten zu unterstützen</w:t>
            </w:r>
            <w:r w:rsidR="00371203" w:rsidRPr="003517F7">
              <w:rPr>
                <w:rFonts w:eastAsia="Arial" w:cs="Arial"/>
                <w:noProof/>
                <w:sz w:val="18"/>
                <w:szCs w:val="18"/>
                <w:lang w:val="de-DE" w:eastAsia="es-MX"/>
              </w:rPr>
              <w:t xml:space="preserve">. Die einzigen verbindlichen Verpflichtungen für die Verbandsmitglieder sind diejenigen, die im Wortlauf des UPOV-Übereinkommens selbst enthalten sind, und diese Erläuterungen dürfen nicht in einer Weise ausgelegt werden, die in Widerspruch zu der für das jeweilige Verbandsmitglied geltenden Akte steht.“ </w:t>
            </w:r>
          </w:p>
        </w:tc>
      </w:tr>
      <w:tr w:rsidR="00F7492E" w:rsidRPr="003517F7" w:rsidTr="00226B6D">
        <w:tc>
          <w:tcPr>
            <w:tcW w:w="4658" w:type="dxa"/>
          </w:tcPr>
          <w:p w:rsidR="00F7492E" w:rsidRPr="003517F7" w:rsidRDefault="003A6873" w:rsidP="00DE1BE6">
            <w:pPr>
              <w:rPr>
                <w:rFonts w:cs="Arial"/>
                <w:noProof/>
                <w:spacing w:val="-2"/>
                <w:sz w:val="18"/>
                <w:lang w:val="de-DE"/>
              </w:rPr>
            </w:pPr>
            <w:r w:rsidRPr="003A6873">
              <w:rPr>
                <w:rFonts w:cs="Arial"/>
                <w:noProof/>
                <w:spacing w:val="-2"/>
                <w:sz w:val="18"/>
                <w:lang w:val="de-DE"/>
              </w:rPr>
              <w:lastRenderedPageBreak/>
              <w:t xml:space="preserve">Absatz </w:t>
            </w:r>
            <w:r w:rsidR="00F7492E" w:rsidRPr="003517F7">
              <w:rPr>
                <w:rFonts w:cs="Arial"/>
                <w:noProof/>
                <w:spacing w:val="-2"/>
                <w:sz w:val="18"/>
                <w:lang w:val="de-DE"/>
              </w:rPr>
              <w:t>3</w:t>
            </w:r>
          </w:p>
        </w:tc>
        <w:tc>
          <w:tcPr>
            <w:tcW w:w="4692" w:type="dxa"/>
          </w:tcPr>
          <w:p w:rsidR="00F7492E" w:rsidRPr="003517F7" w:rsidRDefault="00371203" w:rsidP="00DE1BE6">
            <w:pPr>
              <w:textAlignment w:val="baseline"/>
              <w:rPr>
                <w:rFonts w:eastAsia="Arial" w:cs="Arial"/>
                <w:noProof/>
                <w:sz w:val="18"/>
                <w:szCs w:val="18"/>
                <w:lang w:val="de-DE" w:eastAsia="es-MX"/>
              </w:rPr>
            </w:pPr>
            <w:r w:rsidRPr="003517F7">
              <w:rPr>
                <w:rFonts w:eastAsia="Arial" w:cs="Arial"/>
                <w:noProof/>
                <w:sz w:val="18"/>
                <w:szCs w:val="18"/>
                <w:lang w:val="de-DE" w:eastAsia="es-MX"/>
              </w:rPr>
              <w:t xml:space="preserve">Diese Erläuterungen sind in folgende vier Abschnitte gegliedert: Abschnitt I Bestimmungen zu den im wesentlichen abgeleiteten Sorten; Abschnitt II Prüfung der im wesentlichen abgeleiteten Sorten; </w:t>
            </w:r>
            <w:r w:rsidRPr="003517F7">
              <w:rPr>
                <w:rFonts w:eastAsia="Arial" w:cs="Arial"/>
                <w:strike/>
                <w:noProof/>
                <w:sz w:val="18"/>
                <w:szCs w:val="18"/>
                <w:lang w:val="de-DE" w:eastAsia="es-MX"/>
              </w:rPr>
              <w:t>Abschnitt III Optionen für die Wahrung der Züchterrechte im Zusammenhang mit im wesentlichen abgeleiteten Sorten</w:t>
            </w:r>
            <w:r w:rsidRPr="003517F7">
              <w:rPr>
                <w:rFonts w:eastAsia="Arial" w:cs="Arial"/>
                <w:noProof/>
                <w:sz w:val="18"/>
                <w:szCs w:val="18"/>
                <w:lang w:val="de-DE" w:eastAsia="es-MX"/>
              </w:rPr>
              <w:t xml:space="preserve">; und Abschnitt </w:t>
            </w:r>
            <w:r w:rsidRPr="003517F7">
              <w:rPr>
                <w:rFonts w:eastAsia="Arial" w:cs="Arial"/>
                <w:strike/>
                <w:noProof/>
                <w:sz w:val="18"/>
                <w:szCs w:val="18"/>
                <w:lang w:val="de-DE" w:eastAsia="es-MX"/>
              </w:rPr>
              <w:t>IV</w:t>
            </w:r>
            <w:r w:rsidRPr="003517F7">
              <w:rPr>
                <w:rFonts w:eastAsia="Arial" w:cs="Arial"/>
                <w:noProof/>
                <w:sz w:val="18"/>
                <w:szCs w:val="18"/>
                <w:lang w:val="de-DE" w:eastAsia="es-MX"/>
              </w:rPr>
              <w:t xml:space="preserve"> </w:t>
            </w:r>
            <w:r w:rsidRPr="003517F7">
              <w:rPr>
                <w:rFonts w:eastAsia="Arial" w:cs="Arial"/>
                <w:noProof/>
                <w:sz w:val="18"/>
                <w:szCs w:val="18"/>
                <w:u w:val="single"/>
                <w:lang w:val="de-DE" w:eastAsia="es-MX"/>
              </w:rPr>
              <w:t>III</w:t>
            </w:r>
            <w:r w:rsidRPr="003517F7">
              <w:rPr>
                <w:rFonts w:eastAsia="Arial" w:cs="Arial"/>
                <w:noProof/>
                <w:sz w:val="18"/>
                <w:szCs w:val="18"/>
                <w:lang w:val="de-DE" w:eastAsia="es-MX"/>
              </w:rPr>
              <w:t xml:space="preserve"> Erleichterung </w:t>
            </w:r>
            <w:r w:rsidR="00E72A2B" w:rsidRPr="003517F7">
              <w:rPr>
                <w:rFonts w:eastAsia="Arial" w:cs="Arial"/>
                <w:noProof/>
                <w:sz w:val="18"/>
                <w:szCs w:val="18"/>
                <w:lang w:val="de-DE" w:eastAsia="es-MX"/>
              </w:rPr>
              <w:t>von</w:t>
            </w:r>
            <w:r w:rsidRPr="003517F7">
              <w:rPr>
                <w:rFonts w:eastAsia="Arial" w:cs="Arial"/>
                <w:noProof/>
                <w:sz w:val="18"/>
                <w:szCs w:val="18"/>
                <w:lang w:val="de-DE" w:eastAsia="es-MX"/>
              </w:rPr>
              <w:t xml:space="preserve"> Vers</w:t>
            </w:r>
            <w:r w:rsidR="00E72A2B" w:rsidRPr="003517F7">
              <w:rPr>
                <w:rFonts w:eastAsia="Arial" w:cs="Arial"/>
                <w:noProof/>
                <w:sz w:val="18"/>
                <w:szCs w:val="18"/>
                <w:lang w:val="de-DE" w:eastAsia="es-MX"/>
              </w:rPr>
              <w:t>tändnis und Umsetzung von</w:t>
            </w:r>
            <w:r w:rsidRPr="003517F7">
              <w:rPr>
                <w:rFonts w:eastAsia="Arial" w:cs="Arial"/>
                <w:noProof/>
                <w:sz w:val="18"/>
                <w:szCs w:val="18"/>
                <w:lang w:val="de-DE" w:eastAsia="es-MX"/>
              </w:rPr>
              <w:t xml:space="preserve"> im wesentlichen abgeleiteten Sorten.</w:t>
            </w:r>
          </w:p>
          <w:p w:rsidR="00F7492E" w:rsidRPr="003517F7" w:rsidRDefault="00F7492E" w:rsidP="00DE1BE6">
            <w:pPr>
              <w:textAlignment w:val="baseline"/>
              <w:rPr>
                <w:rFonts w:eastAsia="Arial" w:cs="Arial"/>
                <w:noProof/>
                <w:sz w:val="18"/>
                <w:szCs w:val="18"/>
                <w:highlight w:val="yellow"/>
                <w:lang w:val="de-DE" w:eastAsia="es-MX"/>
              </w:rPr>
            </w:pPr>
          </w:p>
        </w:tc>
      </w:tr>
      <w:tr w:rsidR="00F7492E" w:rsidRPr="003517F7" w:rsidTr="00226B6D">
        <w:tc>
          <w:tcPr>
            <w:tcW w:w="4658" w:type="dxa"/>
          </w:tcPr>
          <w:p w:rsidR="00F7492E" w:rsidRPr="003517F7" w:rsidRDefault="003A6873" w:rsidP="00DE1BE6">
            <w:pPr>
              <w:rPr>
                <w:rFonts w:cs="Arial"/>
                <w:noProof/>
                <w:spacing w:val="-2"/>
                <w:sz w:val="18"/>
                <w:lang w:val="de-DE"/>
              </w:rPr>
            </w:pPr>
            <w:r w:rsidRPr="003A6873">
              <w:rPr>
                <w:rFonts w:cs="Arial"/>
                <w:noProof/>
                <w:spacing w:val="-2"/>
                <w:sz w:val="18"/>
                <w:lang w:val="de-DE"/>
              </w:rPr>
              <w:t xml:space="preserve">Absatz </w:t>
            </w:r>
            <w:r w:rsidR="00F7492E" w:rsidRPr="003517F7">
              <w:rPr>
                <w:rFonts w:cs="Arial"/>
                <w:noProof/>
                <w:spacing w:val="-2"/>
                <w:sz w:val="18"/>
                <w:lang w:val="de-DE"/>
              </w:rPr>
              <w:t>29</w:t>
            </w:r>
          </w:p>
          <w:p w:rsidR="00F7492E" w:rsidRPr="003517F7" w:rsidRDefault="00F7492E" w:rsidP="00DE1BE6">
            <w:pPr>
              <w:rPr>
                <w:rFonts w:cs="Arial"/>
                <w:noProof/>
                <w:spacing w:val="-2"/>
                <w:sz w:val="18"/>
                <w:lang w:val="de-DE"/>
              </w:rPr>
            </w:pPr>
          </w:p>
        </w:tc>
        <w:tc>
          <w:tcPr>
            <w:tcW w:w="4692" w:type="dxa"/>
          </w:tcPr>
          <w:p w:rsidR="00F7492E" w:rsidRPr="003517F7" w:rsidRDefault="00371203" w:rsidP="00DE1BE6">
            <w:pPr>
              <w:rPr>
                <w:rFonts w:ascii="Times New Roman" w:eastAsia="Calibri" w:hAnsi="Times New Roman"/>
                <w:iCs/>
                <w:noProof/>
                <w:sz w:val="18"/>
                <w:szCs w:val="18"/>
                <w:lang w:val="de-DE"/>
              </w:rPr>
            </w:pPr>
            <w:r w:rsidRPr="003517F7">
              <w:rPr>
                <w:rFonts w:eastAsia="Calibri" w:cs="Arial"/>
                <w:iCs/>
                <w:noProof/>
                <w:sz w:val="18"/>
                <w:szCs w:val="18"/>
                <w:lang w:val="de-DE"/>
              </w:rPr>
              <w:t>Eine im wesentlichen abgeleitete Sorte ist eine Sorte und kann eine Sortenbezeichnung erfordern. Unabhängig davon, ob eine im wesentlichen abgeleitete Sorte eigenständig geschützt ist oder nicht,</w:t>
            </w:r>
            <w:r w:rsidR="007D002D" w:rsidRPr="003517F7">
              <w:rPr>
                <w:rFonts w:eastAsia="Calibri" w:cs="Arial"/>
                <w:iCs/>
                <w:noProof/>
                <w:sz w:val="18"/>
                <w:szCs w:val="18"/>
                <w:lang w:val="de-DE"/>
              </w:rPr>
              <w:t xml:space="preserve"> </w:t>
            </w:r>
            <w:r w:rsidR="003517F7" w:rsidRPr="003517F7">
              <w:rPr>
                <w:rFonts w:eastAsia="Calibri" w:cs="Arial"/>
                <w:iCs/>
                <w:strike/>
                <w:noProof/>
                <w:sz w:val="18"/>
                <w:szCs w:val="18"/>
                <w:lang w:val="de-DE"/>
              </w:rPr>
              <w:t xml:space="preserve">darf die Sortenbezeichnung </w:t>
            </w:r>
            <w:r w:rsidR="004D69BA" w:rsidRPr="003517F7">
              <w:rPr>
                <w:rFonts w:eastAsia="Calibri" w:cs="Arial"/>
                <w:iCs/>
                <w:strike/>
                <w:noProof/>
                <w:sz w:val="18"/>
                <w:szCs w:val="18"/>
                <w:lang w:val="de-DE"/>
              </w:rPr>
              <w:t>nicht mit</w:t>
            </w:r>
            <w:r w:rsidR="003517F7" w:rsidRPr="003517F7">
              <w:rPr>
                <w:rFonts w:eastAsia="Calibri" w:cs="Arial"/>
                <w:iCs/>
                <w:strike/>
                <w:noProof/>
                <w:sz w:val="18"/>
                <w:szCs w:val="18"/>
                <w:lang w:val="de-DE"/>
              </w:rPr>
              <w:t xml:space="preserve"> </w:t>
            </w:r>
            <w:r w:rsidR="003517F7" w:rsidRPr="003517F7">
              <w:rPr>
                <w:rFonts w:eastAsia="Calibri" w:cs="Arial"/>
                <w:iCs/>
                <w:noProof/>
                <w:sz w:val="18"/>
                <w:szCs w:val="18"/>
                <w:u w:val="single"/>
                <w:lang w:val="de-DE"/>
              </w:rPr>
              <w:t xml:space="preserve">sollte die für die Sorte verwendete Bezeichnung </w:t>
            </w:r>
            <w:r w:rsidR="007D002D" w:rsidRPr="003517F7">
              <w:rPr>
                <w:rFonts w:eastAsia="Calibri" w:cs="Arial"/>
                <w:iCs/>
                <w:noProof/>
                <w:sz w:val="18"/>
                <w:szCs w:val="18"/>
                <w:u w:val="single"/>
                <w:lang w:val="de-DE"/>
              </w:rPr>
              <w:t xml:space="preserve">den Erläuterungen zu Sortenbezeichnungen </w:t>
            </w:r>
            <w:r w:rsidR="00281103">
              <w:rPr>
                <w:rFonts w:eastAsia="Calibri" w:cs="Arial"/>
                <w:iCs/>
                <w:noProof/>
                <w:sz w:val="18"/>
                <w:szCs w:val="18"/>
                <w:u w:val="single"/>
                <w:lang w:val="de-DE"/>
              </w:rPr>
              <w:t>nach dem UPOV</w:t>
            </w:r>
            <w:r w:rsidR="00281103">
              <w:rPr>
                <w:rFonts w:eastAsia="Calibri" w:cs="Arial"/>
                <w:iCs/>
                <w:noProof/>
                <w:sz w:val="18"/>
                <w:szCs w:val="18"/>
                <w:u w:val="single"/>
                <w:lang w:val="de-DE"/>
              </w:rPr>
              <w:noBreakHyphen/>
            </w:r>
            <w:r w:rsidR="007D002D" w:rsidRPr="003517F7">
              <w:rPr>
                <w:rFonts w:eastAsia="Calibri" w:cs="Arial"/>
                <w:iCs/>
                <w:noProof/>
                <w:sz w:val="18"/>
                <w:szCs w:val="18"/>
                <w:u w:val="single"/>
                <w:lang w:val="de-DE"/>
              </w:rPr>
              <w:t>Übereinkommen</w:t>
            </w:r>
            <w:r w:rsidR="004D69BA" w:rsidRPr="003517F7">
              <w:rPr>
                <w:rFonts w:eastAsia="Calibri" w:cs="Arial"/>
                <w:iCs/>
                <w:noProof/>
                <w:sz w:val="18"/>
                <w:szCs w:val="18"/>
                <w:u w:val="single"/>
                <w:lang w:val="de-DE"/>
              </w:rPr>
              <w:t xml:space="preserve"> </w:t>
            </w:r>
            <w:r w:rsidR="00281103">
              <w:rPr>
                <w:rFonts w:eastAsia="Calibri" w:cs="Arial"/>
                <w:iCs/>
                <w:noProof/>
                <w:sz w:val="18"/>
                <w:szCs w:val="18"/>
                <w:u w:val="single"/>
                <w:lang w:val="de-DE"/>
              </w:rPr>
              <w:t>(Dokument </w:t>
            </w:r>
            <w:r w:rsidR="004D69BA" w:rsidRPr="003517F7">
              <w:rPr>
                <w:rFonts w:eastAsia="Calibri" w:cs="Arial"/>
                <w:iCs/>
                <w:noProof/>
                <w:sz w:val="18"/>
                <w:szCs w:val="18"/>
                <w:u w:val="single"/>
                <w:lang w:val="de-DE"/>
              </w:rPr>
              <w:t>UPOV/EXN/DEN</w:t>
            </w:r>
            <w:r w:rsidR="00281103">
              <w:rPr>
                <w:rFonts w:eastAsia="Calibri" w:cs="Arial"/>
                <w:iCs/>
                <w:noProof/>
                <w:sz w:val="18"/>
                <w:szCs w:val="18"/>
                <w:u w:val="single"/>
                <w:lang w:val="de-DE"/>
              </w:rPr>
              <w:t>)</w:t>
            </w:r>
            <w:r w:rsidR="007D002D" w:rsidRPr="003517F7">
              <w:rPr>
                <w:rFonts w:eastAsia="Calibri" w:cs="Arial"/>
                <w:iCs/>
                <w:noProof/>
                <w:sz w:val="18"/>
                <w:szCs w:val="18"/>
                <w:u w:val="single"/>
                <w:lang w:val="de-DE"/>
              </w:rPr>
              <w:t xml:space="preserve"> </w:t>
            </w:r>
            <w:r w:rsidR="004D69BA" w:rsidRPr="003517F7">
              <w:rPr>
                <w:rFonts w:eastAsia="Calibri" w:cs="Arial"/>
                <w:iCs/>
                <w:noProof/>
                <w:sz w:val="18"/>
                <w:szCs w:val="18"/>
                <w:u w:val="single"/>
                <w:lang w:val="de-DE"/>
              </w:rPr>
              <w:t xml:space="preserve">entsprechen und sich insbesondere von </w:t>
            </w:r>
            <w:r w:rsidR="004D69BA" w:rsidRPr="00281103">
              <w:rPr>
                <w:rFonts w:eastAsia="Calibri" w:cs="Arial"/>
                <w:iCs/>
                <w:noProof/>
                <w:sz w:val="18"/>
                <w:szCs w:val="18"/>
                <w:lang w:val="de-DE"/>
              </w:rPr>
              <w:t>der</w:t>
            </w:r>
            <w:r w:rsidR="004D69BA" w:rsidRPr="003517F7">
              <w:rPr>
                <w:rFonts w:eastAsia="Calibri" w:cs="Arial"/>
                <w:iCs/>
                <w:noProof/>
                <w:sz w:val="18"/>
                <w:szCs w:val="18"/>
                <w:lang w:val="de-DE"/>
              </w:rPr>
              <w:t xml:space="preserve"> Bezeichnung der Ursprungssorte </w:t>
            </w:r>
            <w:r w:rsidR="004D69BA" w:rsidRPr="003517F7">
              <w:rPr>
                <w:rFonts w:eastAsia="Calibri" w:cs="Arial"/>
                <w:iCs/>
                <w:strike/>
                <w:noProof/>
                <w:sz w:val="18"/>
                <w:szCs w:val="18"/>
                <w:lang w:val="de-DE"/>
              </w:rPr>
              <w:t>identisch sein</w:t>
            </w:r>
            <w:r w:rsidR="004D69BA" w:rsidRPr="003517F7">
              <w:rPr>
                <w:rFonts w:eastAsia="Calibri" w:cs="Arial"/>
                <w:iCs/>
                <w:noProof/>
                <w:sz w:val="18"/>
                <w:szCs w:val="18"/>
                <w:u w:val="single"/>
                <w:lang w:val="de-DE"/>
              </w:rPr>
              <w:t xml:space="preserve"> unterscheiden. </w:t>
            </w:r>
            <w:r w:rsidRPr="003517F7">
              <w:rPr>
                <w:rFonts w:eastAsia="Calibri" w:cs="Arial"/>
                <w:iCs/>
                <w:noProof/>
                <w:sz w:val="18"/>
                <w:szCs w:val="18"/>
                <w:lang w:val="de-DE"/>
              </w:rPr>
              <w:t xml:space="preserve"> </w:t>
            </w:r>
          </w:p>
          <w:p w:rsidR="00F7492E" w:rsidRPr="003517F7" w:rsidRDefault="00F7492E" w:rsidP="00DE1BE6">
            <w:pPr>
              <w:rPr>
                <w:rFonts w:cs="Arial"/>
                <w:noProof/>
                <w:spacing w:val="-2"/>
                <w:sz w:val="18"/>
                <w:szCs w:val="18"/>
                <w:highlight w:val="yellow"/>
                <w:lang w:val="de-DE"/>
              </w:rPr>
            </w:pPr>
          </w:p>
        </w:tc>
      </w:tr>
      <w:tr w:rsidR="00F7492E" w:rsidRPr="003517F7" w:rsidTr="00226B6D">
        <w:tc>
          <w:tcPr>
            <w:tcW w:w="4658" w:type="dxa"/>
          </w:tcPr>
          <w:p w:rsidR="00F7492E" w:rsidRPr="003517F7" w:rsidRDefault="003A6873" w:rsidP="00DE1BE6">
            <w:pPr>
              <w:rPr>
                <w:rFonts w:cs="Arial"/>
                <w:noProof/>
                <w:spacing w:val="-2"/>
                <w:sz w:val="18"/>
                <w:lang w:val="de-DE"/>
              </w:rPr>
            </w:pPr>
            <w:r w:rsidRPr="003A6873">
              <w:rPr>
                <w:rFonts w:cs="Arial"/>
                <w:noProof/>
                <w:spacing w:val="-2"/>
                <w:sz w:val="18"/>
                <w:lang w:val="de-DE"/>
              </w:rPr>
              <w:t xml:space="preserve">Absatz </w:t>
            </w:r>
            <w:r w:rsidR="00F7492E" w:rsidRPr="003517F7">
              <w:rPr>
                <w:rFonts w:cs="Arial"/>
                <w:noProof/>
                <w:spacing w:val="-2"/>
                <w:sz w:val="18"/>
                <w:lang w:val="de-DE"/>
              </w:rPr>
              <w:t>35</w:t>
            </w:r>
          </w:p>
          <w:p w:rsidR="00F7492E" w:rsidRPr="003517F7" w:rsidRDefault="00F7492E" w:rsidP="00DE1BE6">
            <w:pPr>
              <w:rPr>
                <w:rFonts w:cs="Arial"/>
                <w:noProof/>
                <w:spacing w:val="-2"/>
                <w:sz w:val="18"/>
                <w:lang w:val="de-DE"/>
              </w:rPr>
            </w:pPr>
          </w:p>
        </w:tc>
        <w:tc>
          <w:tcPr>
            <w:tcW w:w="4692" w:type="dxa"/>
          </w:tcPr>
          <w:p w:rsidR="00F7492E" w:rsidRPr="003517F7" w:rsidRDefault="007D002D" w:rsidP="00DE1BE6">
            <w:pPr>
              <w:rPr>
                <w:rFonts w:cs="Arial"/>
                <w:noProof/>
                <w:spacing w:val="-2"/>
                <w:sz w:val="18"/>
                <w:szCs w:val="18"/>
                <w:highlight w:val="yellow"/>
                <w:lang w:val="de-DE"/>
              </w:rPr>
            </w:pPr>
            <w:r w:rsidRPr="003517F7">
              <w:rPr>
                <w:rFonts w:cs="Arial"/>
                <w:noProof/>
                <w:spacing w:val="-2"/>
                <w:sz w:val="18"/>
                <w:szCs w:val="18"/>
                <w:lang w:val="de-DE"/>
              </w:rPr>
              <w:t>gestrichen</w:t>
            </w:r>
          </w:p>
        </w:tc>
      </w:tr>
      <w:tr w:rsidR="00F7492E" w:rsidRPr="003A6873" w:rsidTr="00226B6D">
        <w:tc>
          <w:tcPr>
            <w:tcW w:w="4658" w:type="dxa"/>
          </w:tcPr>
          <w:p w:rsidR="00F7492E" w:rsidRPr="003517F7" w:rsidRDefault="003A6873" w:rsidP="00F400D7">
            <w:pPr>
              <w:rPr>
                <w:rFonts w:cs="Arial"/>
                <w:noProof/>
                <w:spacing w:val="-2"/>
                <w:sz w:val="18"/>
                <w:highlight w:val="yellow"/>
                <w:lang w:val="de-DE"/>
              </w:rPr>
            </w:pPr>
            <w:r w:rsidRPr="003A6873">
              <w:rPr>
                <w:rFonts w:cs="Arial"/>
                <w:noProof/>
                <w:spacing w:val="-2"/>
                <w:sz w:val="18"/>
                <w:lang w:val="de-DE"/>
              </w:rPr>
              <w:t xml:space="preserve">Absatz </w:t>
            </w:r>
            <w:r w:rsidR="004D69BA" w:rsidRPr="00907345">
              <w:rPr>
                <w:rFonts w:cs="Arial"/>
                <w:noProof/>
                <w:spacing w:val="-2"/>
                <w:sz w:val="18"/>
                <w:lang w:val="de-DE"/>
              </w:rPr>
              <w:t>36</w:t>
            </w:r>
          </w:p>
        </w:tc>
        <w:tc>
          <w:tcPr>
            <w:tcW w:w="4692" w:type="dxa"/>
          </w:tcPr>
          <w:p w:rsidR="00F7492E" w:rsidRPr="00907345" w:rsidRDefault="004D69BA" w:rsidP="00DE1BE6">
            <w:pPr>
              <w:rPr>
                <w:iCs/>
                <w:noProof/>
                <w:color w:val="000000"/>
                <w:sz w:val="18"/>
                <w:szCs w:val="18"/>
                <w:lang w:val="de-DE"/>
              </w:rPr>
            </w:pPr>
            <w:r w:rsidRPr="00907345">
              <w:rPr>
                <w:iCs/>
                <w:noProof/>
                <w:color w:val="000000"/>
                <w:sz w:val="18"/>
                <w:szCs w:val="18"/>
                <w:lang w:val="de-DE"/>
              </w:rPr>
              <w:t>Die ersten beiden Sätze sind zu einem Satz zusammenzufassen und lauten</w:t>
            </w:r>
            <w:r w:rsidR="00F7492E" w:rsidRPr="00907345">
              <w:rPr>
                <w:iCs/>
                <w:noProof/>
                <w:color w:val="000000"/>
                <w:sz w:val="18"/>
                <w:szCs w:val="18"/>
                <w:lang w:val="de-DE"/>
              </w:rPr>
              <w:t>:</w:t>
            </w:r>
          </w:p>
          <w:p w:rsidR="00F7492E" w:rsidRPr="003517F7" w:rsidRDefault="00F7492E" w:rsidP="00DE1BE6">
            <w:pPr>
              <w:rPr>
                <w:iCs/>
                <w:noProof/>
                <w:color w:val="000000"/>
                <w:sz w:val="18"/>
                <w:szCs w:val="18"/>
                <w:highlight w:val="yellow"/>
                <w:lang w:val="de-DE"/>
              </w:rPr>
            </w:pPr>
          </w:p>
          <w:p w:rsidR="00F7492E" w:rsidRDefault="003A6873" w:rsidP="00F400D7">
            <w:pPr>
              <w:rPr>
                <w:iCs/>
                <w:noProof/>
                <w:color w:val="000000"/>
                <w:sz w:val="18"/>
                <w:szCs w:val="18"/>
                <w:lang w:val="de-DE"/>
              </w:rPr>
            </w:pPr>
            <w:r w:rsidRPr="003A6873">
              <w:rPr>
                <w:iCs/>
                <w:noProof/>
                <w:color w:val="000000"/>
                <w:sz w:val="18"/>
                <w:szCs w:val="18"/>
                <w:lang w:val="de-DE"/>
              </w:rPr>
              <w:t>“</w:t>
            </w:r>
            <w:r w:rsidR="00281103" w:rsidRPr="00281103">
              <w:rPr>
                <w:iCs/>
                <w:noProof/>
                <w:color w:val="000000"/>
                <w:sz w:val="18"/>
                <w:szCs w:val="18"/>
                <w:lang w:val="de-DE"/>
              </w:rPr>
              <w:t>In einigen Fällen kann gegebenenfalls vom Züchter der Urssprungssorte vorgelegte einschlägige Information über vorwiegende Ableitung und/oder über Übereinstimmung der wesentlichen Merkmale als Grundlage dafür dienen, dass der Züchter der vermeintlich im wesentlichen abgeleiteten Sorte nachweisen muss, dass seine Sorte nicht im wesentlichen von der Ursprungssorte abgeleitet ist</w:t>
            </w:r>
            <w:r w:rsidRPr="003A6873">
              <w:rPr>
                <w:iCs/>
                <w:noProof/>
                <w:color w:val="000000"/>
                <w:sz w:val="18"/>
                <w:szCs w:val="18"/>
                <w:lang w:val="de-DE"/>
              </w:rPr>
              <w:t>.</w:t>
            </w:r>
            <w:r w:rsidR="00281103">
              <w:rPr>
                <w:iCs/>
                <w:noProof/>
                <w:color w:val="000000"/>
                <w:sz w:val="18"/>
                <w:szCs w:val="18"/>
                <w:lang w:val="de-DE"/>
              </w:rPr>
              <w:t xml:space="preserve"> </w:t>
            </w:r>
            <w:r w:rsidRPr="003A6873">
              <w:rPr>
                <w:iCs/>
                <w:noProof/>
                <w:color w:val="000000"/>
                <w:sz w:val="18"/>
                <w:szCs w:val="18"/>
                <w:lang w:val="de-DE"/>
              </w:rPr>
              <w:t>[…].”</w:t>
            </w:r>
          </w:p>
          <w:p w:rsidR="003A6873" w:rsidRPr="003A6873" w:rsidRDefault="003A6873" w:rsidP="00F400D7">
            <w:pPr>
              <w:rPr>
                <w:rFonts w:cs="Arial"/>
                <w:noProof/>
                <w:spacing w:val="-2"/>
                <w:sz w:val="18"/>
                <w:szCs w:val="18"/>
                <w:highlight w:val="yellow"/>
                <w:u w:val="single"/>
                <w:lang w:val="de-DE"/>
              </w:rPr>
            </w:pPr>
          </w:p>
        </w:tc>
      </w:tr>
      <w:tr w:rsidR="00F7492E" w:rsidRPr="003517F7" w:rsidTr="00226B6D">
        <w:trPr>
          <w:trHeight w:val="559"/>
        </w:trPr>
        <w:tc>
          <w:tcPr>
            <w:tcW w:w="4658" w:type="dxa"/>
          </w:tcPr>
          <w:p w:rsidR="00F7492E" w:rsidRPr="003517F7" w:rsidRDefault="003A6873" w:rsidP="00DE1BE6">
            <w:pPr>
              <w:rPr>
                <w:rFonts w:cs="Arial"/>
                <w:noProof/>
                <w:spacing w:val="-2"/>
                <w:sz w:val="18"/>
                <w:lang w:val="de-DE"/>
              </w:rPr>
            </w:pPr>
            <w:r w:rsidRPr="003A6873">
              <w:rPr>
                <w:rFonts w:cs="Arial"/>
                <w:noProof/>
                <w:spacing w:val="-2"/>
                <w:sz w:val="18"/>
                <w:lang w:val="de-DE"/>
              </w:rPr>
              <w:t xml:space="preserve">Absatz </w:t>
            </w:r>
            <w:r w:rsidR="00F7492E" w:rsidRPr="003517F7">
              <w:rPr>
                <w:rFonts w:cs="Arial"/>
                <w:noProof/>
                <w:spacing w:val="-2"/>
                <w:sz w:val="18"/>
                <w:lang w:val="de-DE"/>
              </w:rPr>
              <w:t>37</w:t>
            </w:r>
          </w:p>
        </w:tc>
        <w:tc>
          <w:tcPr>
            <w:tcW w:w="4692" w:type="dxa"/>
          </w:tcPr>
          <w:p w:rsidR="00F7492E" w:rsidRPr="003517F7" w:rsidRDefault="007D002D" w:rsidP="00DE1BE6">
            <w:pPr>
              <w:rPr>
                <w:rFonts w:cs="Arial"/>
                <w:noProof/>
                <w:spacing w:val="-2"/>
                <w:sz w:val="18"/>
                <w:highlight w:val="yellow"/>
                <w:lang w:val="de-DE"/>
              </w:rPr>
            </w:pPr>
            <w:r w:rsidRPr="003517F7">
              <w:rPr>
                <w:rFonts w:cs="Arial"/>
                <w:noProof/>
                <w:spacing w:val="-2"/>
                <w:sz w:val="18"/>
                <w:lang w:val="de-DE"/>
              </w:rPr>
              <w:t>gestrichen</w:t>
            </w:r>
          </w:p>
        </w:tc>
      </w:tr>
      <w:tr w:rsidR="00F7492E" w:rsidRPr="003517F7" w:rsidTr="00226B6D">
        <w:tc>
          <w:tcPr>
            <w:tcW w:w="4658" w:type="dxa"/>
          </w:tcPr>
          <w:p w:rsidR="00F7492E" w:rsidRPr="003517F7" w:rsidRDefault="003A6873" w:rsidP="00DE1BE6">
            <w:pPr>
              <w:rPr>
                <w:rFonts w:cs="Arial"/>
                <w:noProof/>
                <w:spacing w:val="-2"/>
                <w:sz w:val="18"/>
                <w:lang w:val="de-DE"/>
              </w:rPr>
            </w:pPr>
            <w:r>
              <w:rPr>
                <w:rFonts w:cs="Arial"/>
                <w:spacing w:val="-2"/>
                <w:sz w:val="18"/>
                <w:lang w:val="de-DE"/>
              </w:rPr>
              <w:t xml:space="preserve">Abschnitte </w:t>
            </w:r>
            <w:r>
              <w:rPr>
                <w:rFonts w:cs="Arial"/>
                <w:noProof/>
                <w:spacing w:val="-2"/>
                <w:sz w:val="18"/>
                <w:lang w:val="de-DE"/>
              </w:rPr>
              <w:t>II u</w:t>
            </w:r>
            <w:r w:rsidR="00F7492E" w:rsidRPr="003517F7">
              <w:rPr>
                <w:rFonts w:cs="Arial"/>
                <w:noProof/>
                <w:spacing w:val="-2"/>
                <w:sz w:val="18"/>
                <w:lang w:val="de-DE"/>
              </w:rPr>
              <w:t>nd III</w:t>
            </w:r>
          </w:p>
          <w:p w:rsidR="00F7492E" w:rsidRPr="003517F7" w:rsidRDefault="00F7492E" w:rsidP="00DE1BE6">
            <w:pPr>
              <w:rPr>
                <w:rFonts w:cs="Arial"/>
                <w:noProof/>
                <w:spacing w:val="-2"/>
                <w:sz w:val="18"/>
                <w:lang w:val="de-DE"/>
              </w:rPr>
            </w:pPr>
          </w:p>
        </w:tc>
        <w:tc>
          <w:tcPr>
            <w:tcW w:w="4692" w:type="dxa"/>
          </w:tcPr>
          <w:p w:rsidR="00F7492E" w:rsidRPr="003517F7" w:rsidRDefault="004D69BA" w:rsidP="00DE1BE6">
            <w:pPr>
              <w:rPr>
                <w:rFonts w:cs="Arial"/>
                <w:noProof/>
                <w:spacing w:val="-2"/>
                <w:sz w:val="18"/>
                <w:highlight w:val="yellow"/>
                <w:lang w:val="de-DE"/>
              </w:rPr>
            </w:pPr>
            <w:r w:rsidRPr="003517F7">
              <w:rPr>
                <w:rFonts w:cs="Arial"/>
                <w:noProof/>
                <w:spacing w:val="-2"/>
                <w:sz w:val="18"/>
                <w:lang w:val="de-DE"/>
              </w:rPr>
              <w:t xml:space="preserve">Den Inhalt der Abschnitte II und II in einem einzigen Abschnitt mit den Titel von Abschnitt II zusammenfassen und das Inhaltsverzeichnis entsprechend akutalisieren.  </w:t>
            </w:r>
          </w:p>
          <w:p w:rsidR="00F7492E" w:rsidRPr="003517F7" w:rsidRDefault="00F7492E" w:rsidP="00DE1BE6">
            <w:pPr>
              <w:rPr>
                <w:rFonts w:cs="Arial"/>
                <w:noProof/>
                <w:spacing w:val="-2"/>
                <w:sz w:val="18"/>
                <w:highlight w:val="yellow"/>
                <w:lang w:val="de-DE"/>
              </w:rPr>
            </w:pPr>
          </w:p>
        </w:tc>
      </w:tr>
    </w:tbl>
    <w:p w:rsidR="00F7492E" w:rsidRPr="003517F7" w:rsidRDefault="00F7492E" w:rsidP="00DE1BE6">
      <w:pPr>
        <w:rPr>
          <w:noProof/>
        </w:rPr>
      </w:pPr>
    </w:p>
    <w:p w:rsidR="00F7492E" w:rsidRPr="003517F7" w:rsidRDefault="00F7492E" w:rsidP="00DE1BE6">
      <w:pPr>
        <w:pStyle w:val="ListParagraph"/>
        <w:numPr>
          <w:ilvl w:val="0"/>
          <w:numId w:val="14"/>
        </w:numPr>
        <w:ind w:left="0" w:firstLine="0"/>
        <w:rPr>
          <w:noProof/>
        </w:rPr>
      </w:pPr>
      <w:r w:rsidRPr="003517F7">
        <w:rPr>
          <w:noProof/>
        </w:rPr>
        <w:t>Der CAJ stimmte überein, dass die WG-EDV ihr</w:t>
      </w:r>
      <w:r w:rsidR="00FB225C" w:rsidRPr="003517F7">
        <w:rPr>
          <w:noProof/>
        </w:rPr>
        <w:t>e</w:t>
      </w:r>
      <w:r w:rsidRPr="003517F7">
        <w:rPr>
          <w:noProof/>
        </w:rPr>
        <w:t xml:space="preserve"> Arbeit erfolgreich abgeschlossen habe. </w:t>
      </w:r>
    </w:p>
    <w:p w:rsidR="00F7492E" w:rsidRPr="003517F7" w:rsidRDefault="00F7492E" w:rsidP="00DE1BE6">
      <w:pPr>
        <w:pStyle w:val="ListParagraph"/>
        <w:ind w:left="0"/>
        <w:rPr>
          <w:noProof/>
        </w:rPr>
      </w:pPr>
    </w:p>
    <w:p w:rsidR="00F7492E" w:rsidRPr="003517F7" w:rsidRDefault="00F7492E" w:rsidP="00DE1BE6">
      <w:pPr>
        <w:pStyle w:val="ListParagraph"/>
        <w:numPr>
          <w:ilvl w:val="0"/>
          <w:numId w:val="14"/>
        </w:numPr>
        <w:ind w:left="0" w:firstLine="0"/>
        <w:rPr>
          <w:noProof/>
        </w:rPr>
      </w:pPr>
      <w:r w:rsidRPr="003517F7">
        <w:rPr>
          <w:noProof/>
        </w:rPr>
        <w:t>Der CAJ billigte die vorgeschlagene Überarbeitung von</w:t>
      </w:r>
      <w:r w:rsidR="003517F7" w:rsidRPr="003517F7">
        <w:rPr>
          <w:noProof/>
        </w:rPr>
        <w:t xml:space="preserve"> Dokument UPOV/EXN/EDV/3</w:t>
      </w:r>
      <w:r w:rsidRPr="003517F7">
        <w:rPr>
          <w:noProof/>
        </w:rPr>
        <w:t xml:space="preserve"> „Erläuterungen zu den im Wesentlichen abgeleiteten Sorten nach der Akte von 1991 des UPOV-Übereinkommens“ auf</w:t>
      </w:r>
      <w:r w:rsidR="009F486D" w:rsidRPr="003517F7">
        <w:rPr>
          <w:noProof/>
        </w:rPr>
        <w:t>grund von</w:t>
      </w:r>
      <w:r w:rsidRPr="003517F7">
        <w:rPr>
          <w:noProof/>
        </w:rPr>
        <w:t xml:space="preserve"> Dokument UPOV/EXN/EDV/3 Draft 2, wie in Absatz 18 dargelegt.</w:t>
      </w:r>
      <w:r w:rsidR="003517F7" w:rsidRPr="003517F7">
        <w:rPr>
          <w:noProof/>
        </w:rPr>
        <w:t xml:space="preserve"> </w:t>
      </w:r>
    </w:p>
    <w:p w:rsidR="00F7492E" w:rsidRPr="003517F7" w:rsidRDefault="00F7492E" w:rsidP="00DE1BE6">
      <w:pPr>
        <w:pStyle w:val="ListParagraph"/>
        <w:ind w:left="0"/>
        <w:rPr>
          <w:noProof/>
        </w:rPr>
      </w:pPr>
    </w:p>
    <w:p w:rsidR="00F7492E" w:rsidRPr="003517F7" w:rsidRDefault="00F7492E" w:rsidP="00DE1BE6">
      <w:pPr>
        <w:pStyle w:val="ListParagraph"/>
        <w:numPr>
          <w:ilvl w:val="0"/>
          <w:numId w:val="14"/>
        </w:numPr>
        <w:ind w:left="0" w:firstLine="0"/>
        <w:rPr>
          <w:noProof/>
        </w:rPr>
      </w:pPr>
      <w:r w:rsidRPr="003517F7">
        <w:rPr>
          <w:noProof/>
        </w:rPr>
        <w:t xml:space="preserve">Der CAJ vereinbarte, </w:t>
      </w:r>
      <w:r w:rsidR="00FB225C" w:rsidRPr="003517F7">
        <w:rPr>
          <w:noProof/>
        </w:rPr>
        <w:t xml:space="preserve">auf obiger Basis, </w:t>
      </w:r>
      <w:r w:rsidR="009F486D" w:rsidRPr="003517F7">
        <w:rPr>
          <w:noProof/>
        </w:rPr>
        <w:t>dass ein Entwurf des vom CAJ gebilligten Dokuments UPOV/EXN/EDV/3 zwecks Billigung durch den Beratenden Ausschu</w:t>
      </w:r>
      <w:r w:rsidR="00D1287E" w:rsidRPr="003517F7">
        <w:rPr>
          <w:noProof/>
        </w:rPr>
        <w:t>ss</w:t>
      </w:r>
      <w:r w:rsidR="00FB225C" w:rsidRPr="003517F7">
        <w:rPr>
          <w:noProof/>
        </w:rPr>
        <w:t xml:space="preserve"> und Annahme durch den Rat auf dem Schriftweg</w:t>
      </w:r>
      <w:r w:rsidR="009F486D" w:rsidRPr="003517F7">
        <w:rPr>
          <w:noProof/>
        </w:rPr>
        <w:t xml:space="preserve"> verbreitet werden solle.</w:t>
      </w:r>
    </w:p>
    <w:p w:rsidR="009F486D" w:rsidRPr="003517F7" w:rsidRDefault="009F486D" w:rsidP="00DE1BE6">
      <w:pPr>
        <w:pStyle w:val="ListParagraph"/>
        <w:ind w:left="0"/>
        <w:rPr>
          <w:noProof/>
        </w:rPr>
      </w:pPr>
    </w:p>
    <w:p w:rsidR="009F486D" w:rsidRPr="003517F7" w:rsidRDefault="009F486D" w:rsidP="00DE1BE6">
      <w:pPr>
        <w:pStyle w:val="ListParagraph"/>
        <w:numPr>
          <w:ilvl w:val="0"/>
          <w:numId w:val="14"/>
        </w:numPr>
        <w:ind w:left="0" w:firstLine="0"/>
        <w:rPr>
          <w:noProof/>
        </w:rPr>
      </w:pPr>
      <w:r w:rsidRPr="003517F7">
        <w:rPr>
          <w:noProof/>
        </w:rPr>
        <w:t>Der CAJ nahm zur Kenntnis, dass das Verfahren für die Annahme auf dem Schriftweg durch den Rat von Dokument UPOV/EXN/EDV/3 dem Rat auf seiner fünfundfünfzigsten ordentlichen Tagung am 29. Oktober 2021 under Tagesordnungspunkt 16 vor</w:t>
      </w:r>
      <w:r w:rsidR="00FB225C" w:rsidRPr="003517F7">
        <w:rPr>
          <w:noProof/>
        </w:rPr>
        <w:t>schlagen</w:t>
      </w:r>
      <w:r w:rsidRPr="003517F7">
        <w:rPr>
          <w:noProof/>
        </w:rPr>
        <w:t xml:space="preserve"> werden solle.</w:t>
      </w:r>
    </w:p>
    <w:p w:rsidR="009F486D" w:rsidRDefault="009F486D" w:rsidP="00DE1BE6">
      <w:pPr>
        <w:pStyle w:val="ListParagraph"/>
        <w:ind w:left="0"/>
        <w:rPr>
          <w:noProof/>
        </w:rPr>
      </w:pPr>
    </w:p>
    <w:p w:rsidR="003E778F" w:rsidRPr="003517F7" w:rsidRDefault="003E778F" w:rsidP="00DE1BE6">
      <w:pPr>
        <w:pStyle w:val="ListParagraph"/>
        <w:ind w:left="0"/>
        <w:rPr>
          <w:noProof/>
        </w:rPr>
      </w:pPr>
    </w:p>
    <w:p w:rsidR="009F486D" w:rsidRPr="003517F7" w:rsidRDefault="009F486D" w:rsidP="006633BB">
      <w:pPr>
        <w:keepNext/>
        <w:rPr>
          <w:noProof/>
          <w:u w:val="single"/>
        </w:rPr>
      </w:pPr>
      <w:r w:rsidRPr="003517F7">
        <w:rPr>
          <w:noProof/>
          <w:u w:val="single"/>
        </w:rPr>
        <w:lastRenderedPageBreak/>
        <w:t>Erntegut (Dokumente CAJ/78/5, CAJ/78/5 Add. und CAJ/78/12)</w:t>
      </w:r>
    </w:p>
    <w:p w:rsidR="009F486D" w:rsidRPr="003517F7" w:rsidRDefault="009F486D" w:rsidP="00DE1BE6">
      <w:pPr>
        <w:pStyle w:val="ListParagraph"/>
        <w:ind w:left="0"/>
        <w:rPr>
          <w:noProof/>
        </w:rPr>
      </w:pPr>
    </w:p>
    <w:p w:rsidR="00923899" w:rsidRPr="003517F7" w:rsidRDefault="00923899" w:rsidP="00DE1BE6">
      <w:pPr>
        <w:pStyle w:val="ListParagraph"/>
        <w:numPr>
          <w:ilvl w:val="0"/>
          <w:numId w:val="14"/>
        </w:numPr>
        <w:ind w:left="0" w:firstLine="0"/>
        <w:rPr>
          <w:noProof/>
        </w:rPr>
      </w:pPr>
      <w:r w:rsidRPr="003517F7">
        <w:rPr>
          <w:noProof/>
        </w:rPr>
        <w:t xml:space="preserve">Der </w:t>
      </w:r>
      <w:r w:rsidRPr="003517F7">
        <w:rPr>
          <w:noProof/>
          <w:snapToGrid w:val="0"/>
        </w:rPr>
        <w:t>CAJ</w:t>
      </w:r>
      <w:r w:rsidRPr="003517F7">
        <w:rPr>
          <w:noProof/>
        </w:rPr>
        <w:t xml:space="preserve"> nahm zur Kenntnis, dass  </w:t>
      </w:r>
      <w:r w:rsidR="0089517A" w:rsidRPr="003517F7">
        <w:rPr>
          <w:noProof/>
        </w:rPr>
        <w:t xml:space="preserve">das </w:t>
      </w:r>
      <w:r w:rsidRPr="003517F7">
        <w:rPr>
          <w:noProof/>
        </w:rPr>
        <w:t xml:space="preserve">Dokument CAJ/78/5 </w:t>
      </w:r>
      <w:r w:rsidR="001A7AF0" w:rsidRPr="003517F7">
        <w:rPr>
          <w:noProof/>
        </w:rPr>
        <w:t xml:space="preserve">auf dem Schriftweg </w:t>
      </w:r>
      <w:r w:rsidRPr="003517F7">
        <w:rPr>
          <w:noProof/>
        </w:rPr>
        <w:t>geprüft</w:t>
      </w:r>
      <w:r w:rsidR="001A7AF0" w:rsidRPr="003517F7">
        <w:rPr>
          <w:noProof/>
        </w:rPr>
        <w:t xml:space="preserve"> worden</w:t>
      </w:r>
      <w:r w:rsidRPr="003517F7">
        <w:rPr>
          <w:noProof/>
        </w:rPr>
        <w:t xml:space="preserve"> </w:t>
      </w:r>
      <w:r w:rsidR="001A7AF0" w:rsidRPr="003517F7">
        <w:rPr>
          <w:noProof/>
        </w:rPr>
        <w:t>war</w:t>
      </w:r>
      <w:r w:rsidR="00FE1F47" w:rsidRPr="003517F7">
        <w:rPr>
          <w:noProof/>
        </w:rPr>
        <w:t>.</w:t>
      </w:r>
    </w:p>
    <w:p w:rsidR="00FE1F47" w:rsidRPr="003517F7" w:rsidRDefault="00FE1F47" w:rsidP="00DE1BE6">
      <w:pPr>
        <w:pStyle w:val="ListParagraph"/>
        <w:ind w:left="0"/>
        <w:rPr>
          <w:noProof/>
        </w:rPr>
      </w:pPr>
    </w:p>
    <w:p w:rsidR="001F32DA" w:rsidRPr="003517F7" w:rsidRDefault="001A7AF0" w:rsidP="00DE1BE6">
      <w:pPr>
        <w:pStyle w:val="ListParagraph"/>
        <w:numPr>
          <w:ilvl w:val="0"/>
          <w:numId w:val="14"/>
        </w:numPr>
        <w:ind w:left="0" w:firstLine="0"/>
        <w:rPr>
          <w:noProof/>
        </w:rPr>
      </w:pPr>
      <w:r w:rsidRPr="003517F7">
        <w:rPr>
          <w:noProof/>
          <w:snapToGrid w:val="0"/>
        </w:rPr>
        <w:t>Der CAJ nahm zur Kenn</w:t>
      </w:r>
      <w:r w:rsidR="0089517A" w:rsidRPr="003517F7">
        <w:rPr>
          <w:noProof/>
          <w:snapToGrid w:val="0"/>
        </w:rPr>
        <w:t>tnis, dass die Entscheidungen im</w:t>
      </w:r>
      <w:r w:rsidRPr="003517F7">
        <w:rPr>
          <w:noProof/>
          <w:snapToGrid w:val="0"/>
        </w:rPr>
        <w:t xml:space="preserve"> Dokument CAJ/78/5</w:t>
      </w:r>
      <w:r w:rsidR="0089517A" w:rsidRPr="003517F7">
        <w:rPr>
          <w:noProof/>
          <w:snapToGrid w:val="0"/>
        </w:rPr>
        <w:t>,</w:t>
      </w:r>
      <w:r w:rsidRPr="003517F7">
        <w:rPr>
          <w:noProof/>
          <w:snapToGrid w:val="0"/>
        </w:rPr>
        <w:t xml:space="preserve"> </w:t>
      </w:r>
      <w:r w:rsidR="008803A5" w:rsidRPr="003517F7">
        <w:rPr>
          <w:noProof/>
          <w:snapToGrid w:val="0"/>
        </w:rPr>
        <w:t>wie in</w:t>
      </w:r>
      <w:r w:rsidR="006230EF" w:rsidRPr="003517F7">
        <w:rPr>
          <w:noProof/>
          <w:snapToGrid w:val="0"/>
        </w:rPr>
        <w:t xml:space="preserve"> Dokument </w:t>
      </w:r>
      <w:r w:rsidR="006230EF" w:rsidRPr="003517F7">
        <w:rPr>
          <w:noProof/>
        </w:rPr>
        <w:t xml:space="preserve">CAJ/78/12, Absatz </w:t>
      </w:r>
      <w:r w:rsidR="006230EF" w:rsidRPr="00F400D7">
        <w:rPr>
          <w:noProof/>
        </w:rPr>
        <w:t>31</w:t>
      </w:r>
      <w:r w:rsidR="006230EF" w:rsidRPr="003517F7">
        <w:rPr>
          <w:noProof/>
        </w:rPr>
        <w:t xml:space="preserve">, </w:t>
      </w:r>
      <w:r w:rsidR="00FE1F47" w:rsidRPr="003517F7">
        <w:rPr>
          <w:noProof/>
          <w:snapToGrid w:val="0"/>
        </w:rPr>
        <w:t>dargelegt</w:t>
      </w:r>
      <w:r w:rsidR="0089517A" w:rsidRPr="003517F7">
        <w:rPr>
          <w:noProof/>
          <w:snapToGrid w:val="0"/>
        </w:rPr>
        <w:t>,</w:t>
      </w:r>
      <w:r w:rsidR="00FE1F47" w:rsidRPr="003517F7">
        <w:rPr>
          <w:noProof/>
          <w:snapToGrid w:val="0"/>
        </w:rPr>
        <w:t xml:space="preserve"> </w:t>
      </w:r>
      <w:r w:rsidRPr="003517F7">
        <w:rPr>
          <w:noProof/>
          <w:snapToGrid w:val="0"/>
        </w:rPr>
        <w:t xml:space="preserve">vom CAJ am 21. September 2021 auf dem Schriftweg </w:t>
      </w:r>
      <w:r w:rsidR="00FE1F47" w:rsidRPr="003517F7">
        <w:rPr>
          <w:noProof/>
          <w:snapToGrid w:val="0"/>
        </w:rPr>
        <w:t xml:space="preserve">wie folgt </w:t>
      </w:r>
      <w:r w:rsidRPr="003517F7">
        <w:rPr>
          <w:noProof/>
          <w:snapToGrid w:val="0"/>
        </w:rPr>
        <w:t xml:space="preserve">getroffen worden </w:t>
      </w:r>
      <w:r w:rsidR="00FE1F47" w:rsidRPr="003517F7">
        <w:rPr>
          <w:noProof/>
          <w:snapToGrid w:val="0"/>
        </w:rPr>
        <w:t>seien. Der CAJ</w:t>
      </w:r>
      <w:r w:rsidR="00923899" w:rsidRPr="003517F7">
        <w:rPr>
          <w:noProof/>
          <w:snapToGrid w:val="0"/>
        </w:rPr>
        <w:t>:</w:t>
      </w:r>
    </w:p>
    <w:p w:rsidR="001F32DA" w:rsidRPr="003E778F" w:rsidRDefault="001F32DA" w:rsidP="00DE1BE6">
      <w:pPr>
        <w:keepNext/>
        <w:keepLines/>
        <w:rPr>
          <w:noProof/>
          <w:snapToGrid w:val="0"/>
          <w:spacing w:val="-2"/>
          <w:sz w:val="18"/>
        </w:rPr>
      </w:pPr>
    </w:p>
    <w:p w:rsidR="001F32DA" w:rsidRPr="003517F7" w:rsidRDefault="001F32DA" w:rsidP="006230EF">
      <w:pPr>
        <w:keepLines/>
        <w:ind w:left="567" w:firstLine="567"/>
        <w:rPr>
          <w:noProof/>
          <w:snapToGrid w:val="0"/>
          <w:spacing w:val="-2"/>
        </w:rPr>
      </w:pPr>
      <w:r w:rsidRPr="003517F7">
        <w:rPr>
          <w:noProof/>
          <w:snapToGrid w:val="0"/>
        </w:rPr>
        <w:t xml:space="preserve">i) </w:t>
      </w:r>
      <w:r w:rsidRPr="003517F7">
        <w:rPr>
          <w:noProof/>
          <w:snapToGrid w:val="0"/>
        </w:rPr>
        <w:tab/>
        <w:t xml:space="preserve">vereinbarte, eine Überarbeitung der „Erläuterungen zu Handlungen in Bezug auf Erntegut </w:t>
      </w:r>
      <w:r w:rsidR="0089517A" w:rsidRPr="003517F7">
        <w:rPr>
          <w:noProof/>
          <w:snapToGrid w:val="0"/>
        </w:rPr>
        <w:t>nach der Akte von 1991 des UPOV-</w:t>
      </w:r>
      <w:r w:rsidRPr="003517F7">
        <w:rPr>
          <w:noProof/>
          <w:snapToGrid w:val="0"/>
        </w:rPr>
        <w:t>Übereinkommens“ (Dokument UPOV/EXN/HRV/1), „Erläuterungen zu Vermehrungsmaterial nach dem UPOV-Übereinkommen“ (UPOV/EXN/PPM/1) und „Erläuterungen zum vorläufigen Schutz nach dem UPOV-Übereinkommen“ (UPOV/EXN/PRP/2) einzuleiten;</w:t>
      </w:r>
    </w:p>
    <w:p w:rsidR="001F32DA" w:rsidRPr="003517F7" w:rsidRDefault="001F32DA" w:rsidP="006230EF">
      <w:pPr>
        <w:ind w:left="567"/>
        <w:rPr>
          <w:noProof/>
          <w:snapToGrid w:val="0"/>
          <w:spacing w:val="-2"/>
        </w:rPr>
      </w:pPr>
    </w:p>
    <w:p w:rsidR="001F32DA" w:rsidRPr="003517F7" w:rsidRDefault="001F32DA" w:rsidP="006230EF">
      <w:pPr>
        <w:ind w:left="567" w:firstLine="567"/>
        <w:rPr>
          <w:noProof/>
          <w:snapToGrid w:val="0"/>
          <w:spacing w:val="-2"/>
        </w:rPr>
      </w:pPr>
      <w:r w:rsidRPr="003517F7">
        <w:rPr>
          <w:noProof/>
          <w:snapToGrid w:val="0"/>
        </w:rPr>
        <w:t xml:space="preserve">ii) </w:t>
      </w:r>
      <w:r w:rsidRPr="003517F7">
        <w:rPr>
          <w:noProof/>
          <w:snapToGrid w:val="0"/>
        </w:rPr>
        <w:tab/>
        <w:t>vereinbarte, eine Arbeitsgruppe für Erntegut und ungenehmigte Benutzung von Vermehrungsmaterial (WG-HRV) einzurichten;</w:t>
      </w:r>
    </w:p>
    <w:p w:rsidR="001F32DA" w:rsidRPr="003517F7" w:rsidRDefault="001F32DA" w:rsidP="006230EF">
      <w:pPr>
        <w:ind w:left="567"/>
        <w:rPr>
          <w:noProof/>
          <w:snapToGrid w:val="0"/>
          <w:spacing w:val="-2"/>
        </w:rPr>
      </w:pPr>
    </w:p>
    <w:p w:rsidR="001F32DA" w:rsidRPr="003517F7" w:rsidRDefault="001F32DA" w:rsidP="006230EF">
      <w:pPr>
        <w:ind w:left="567" w:firstLine="567"/>
        <w:rPr>
          <w:noProof/>
          <w:snapToGrid w:val="0"/>
          <w:spacing w:val="-2"/>
        </w:rPr>
      </w:pPr>
      <w:r w:rsidRPr="003517F7">
        <w:rPr>
          <w:noProof/>
          <w:snapToGrid w:val="0"/>
        </w:rPr>
        <w:t xml:space="preserve">iii) </w:t>
      </w:r>
      <w:r w:rsidRPr="003517F7">
        <w:rPr>
          <w:noProof/>
          <w:snapToGrid w:val="0"/>
        </w:rPr>
        <w:tab/>
        <w:t xml:space="preserve">billigte die Aufgabendefinition (ToR) </w:t>
      </w:r>
      <w:r w:rsidR="0089517A" w:rsidRPr="003517F7">
        <w:rPr>
          <w:noProof/>
          <w:snapToGrid w:val="0"/>
        </w:rPr>
        <w:t xml:space="preserve">der WG-HRV, wie in der Anlage von </w:t>
      </w:r>
      <w:r w:rsidR="003E778F">
        <w:rPr>
          <w:noProof/>
          <w:snapToGrid w:val="0"/>
        </w:rPr>
        <w:t>Dokument </w:t>
      </w:r>
      <w:r w:rsidR="0089517A" w:rsidRPr="003517F7">
        <w:rPr>
          <w:noProof/>
          <w:snapToGrid w:val="0"/>
        </w:rPr>
        <w:t xml:space="preserve">CAJ/78/12 </w:t>
      </w:r>
      <w:r w:rsidRPr="003517F7">
        <w:rPr>
          <w:noProof/>
          <w:snapToGrid w:val="0"/>
        </w:rPr>
        <w:t xml:space="preserve">dargelegt; </w:t>
      </w:r>
    </w:p>
    <w:p w:rsidR="001F32DA" w:rsidRPr="003517F7" w:rsidRDefault="001F32DA" w:rsidP="006230EF">
      <w:pPr>
        <w:ind w:left="567"/>
        <w:rPr>
          <w:noProof/>
          <w:snapToGrid w:val="0"/>
          <w:spacing w:val="-2"/>
        </w:rPr>
      </w:pPr>
    </w:p>
    <w:p w:rsidR="001F32DA" w:rsidRPr="003E778F" w:rsidRDefault="001F32DA" w:rsidP="006230EF">
      <w:pPr>
        <w:ind w:left="567" w:firstLine="567"/>
        <w:rPr>
          <w:noProof/>
          <w:snapToGrid w:val="0"/>
          <w:spacing w:val="-4"/>
        </w:rPr>
      </w:pPr>
      <w:r w:rsidRPr="003E778F">
        <w:rPr>
          <w:noProof/>
          <w:snapToGrid w:val="0"/>
          <w:spacing w:val="-4"/>
        </w:rPr>
        <w:t xml:space="preserve">iv) </w:t>
      </w:r>
      <w:r w:rsidRPr="003E778F">
        <w:rPr>
          <w:noProof/>
          <w:snapToGrid w:val="0"/>
          <w:spacing w:val="-4"/>
        </w:rPr>
        <w:tab/>
        <w:t>ersuchte das Verbandsbüro, ein Rundschreiben herauszugeben, um Verbandsmitglieder und Beobachter des CAJ zu ersuchen, ihr Interesse an einer Teilnahme an der WG-HRV zu bekunden; und</w:t>
      </w:r>
    </w:p>
    <w:p w:rsidR="001F32DA" w:rsidRPr="003517F7" w:rsidRDefault="001F32DA" w:rsidP="006230EF">
      <w:pPr>
        <w:ind w:left="567"/>
        <w:rPr>
          <w:noProof/>
          <w:snapToGrid w:val="0"/>
          <w:spacing w:val="-2"/>
        </w:rPr>
      </w:pPr>
    </w:p>
    <w:p w:rsidR="00923899" w:rsidRPr="003517F7" w:rsidRDefault="001F32DA" w:rsidP="006230EF">
      <w:pPr>
        <w:ind w:left="567" w:firstLine="567"/>
        <w:rPr>
          <w:noProof/>
          <w:snapToGrid w:val="0"/>
          <w:spacing w:val="-2"/>
        </w:rPr>
      </w:pPr>
      <w:r w:rsidRPr="003517F7">
        <w:rPr>
          <w:noProof/>
          <w:snapToGrid w:val="0"/>
        </w:rPr>
        <w:t xml:space="preserve">v) </w:t>
      </w:r>
      <w:r w:rsidRPr="003517F7">
        <w:rPr>
          <w:noProof/>
          <w:snapToGrid w:val="0"/>
        </w:rPr>
        <w:tab/>
        <w:t>nahm zur Kenntnis, dass der CAJ auf seiner achtundsiebzigsten Tagung einen Bericht über die Antworten auf das Rundschreiben mit den Interessenbekundungen an der Mitwi</w:t>
      </w:r>
      <w:r w:rsidR="003E778F">
        <w:rPr>
          <w:noProof/>
          <w:snapToGrid w:val="0"/>
        </w:rPr>
        <w:t>rkung an der WG</w:t>
      </w:r>
      <w:r w:rsidR="003E778F">
        <w:rPr>
          <w:noProof/>
          <w:snapToGrid w:val="0"/>
        </w:rPr>
        <w:noBreakHyphen/>
      </w:r>
      <w:r w:rsidRPr="003517F7">
        <w:rPr>
          <w:noProof/>
          <w:snapToGrid w:val="0"/>
        </w:rPr>
        <w:t>HRV erhalten wird, mit einem Gesuch an den CAJ, deren Zusammensetzung und den T</w:t>
      </w:r>
      <w:r w:rsidR="0089517A" w:rsidRPr="003517F7">
        <w:rPr>
          <w:noProof/>
          <w:snapToGrid w:val="0"/>
        </w:rPr>
        <w:t>ermin für deren erste Sitzung festzulegen</w:t>
      </w:r>
      <w:r w:rsidRPr="003517F7">
        <w:rPr>
          <w:noProof/>
          <w:snapToGrid w:val="0"/>
        </w:rPr>
        <w:t>.</w:t>
      </w:r>
    </w:p>
    <w:p w:rsidR="004759EF" w:rsidRPr="003517F7" w:rsidRDefault="004759EF" w:rsidP="00DE1BE6">
      <w:pPr>
        <w:rPr>
          <w:noProof/>
          <w:snapToGrid w:val="0"/>
          <w:spacing w:val="-2"/>
        </w:rPr>
      </w:pPr>
    </w:p>
    <w:p w:rsidR="00FE1F47" w:rsidRPr="003517F7" w:rsidRDefault="00FE1F47" w:rsidP="00DE1BE6">
      <w:pPr>
        <w:pStyle w:val="ListParagraph"/>
        <w:keepLines/>
        <w:numPr>
          <w:ilvl w:val="0"/>
          <w:numId w:val="14"/>
        </w:numPr>
        <w:ind w:left="0" w:firstLine="0"/>
        <w:rPr>
          <w:noProof/>
          <w:spacing w:val="-2"/>
        </w:rPr>
      </w:pPr>
      <w:r w:rsidRPr="003517F7">
        <w:rPr>
          <w:noProof/>
        </w:rPr>
        <w:t xml:space="preserve">Der </w:t>
      </w:r>
      <w:r w:rsidRPr="003517F7">
        <w:rPr>
          <w:noProof/>
          <w:snapToGrid w:val="0"/>
        </w:rPr>
        <w:t>CAJ</w:t>
      </w:r>
      <w:r w:rsidRPr="003517F7">
        <w:rPr>
          <w:noProof/>
        </w:rPr>
        <w:t xml:space="preserve"> nahm die </w:t>
      </w:r>
      <w:r w:rsidR="00AA5D64" w:rsidRPr="003517F7">
        <w:rPr>
          <w:noProof/>
        </w:rPr>
        <w:t xml:space="preserve">in Beantwortung des </w:t>
      </w:r>
      <w:r w:rsidRPr="003517F7">
        <w:rPr>
          <w:noProof/>
          <w:snapToGrid w:val="0"/>
        </w:rPr>
        <w:t>UPOV-Rundschreiben</w:t>
      </w:r>
      <w:r w:rsidR="00AA5D64" w:rsidRPr="003517F7">
        <w:rPr>
          <w:noProof/>
          <w:snapToGrid w:val="0"/>
        </w:rPr>
        <w:t>s</w:t>
      </w:r>
      <w:r w:rsidRPr="003517F7">
        <w:rPr>
          <w:noProof/>
          <w:snapToGrid w:val="0"/>
        </w:rPr>
        <w:t xml:space="preserve"> E-21/123 vom 23. August 2021 eingegangenen Bemerkungen </w:t>
      </w:r>
      <w:r w:rsidRPr="003517F7">
        <w:rPr>
          <w:noProof/>
        </w:rPr>
        <w:t>zu Dokument CAJ/78/5</w:t>
      </w:r>
      <w:r w:rsidR="00AA5D64" w:rsidRPr="003517F7">
        <w:rPr>
          <w:noProof/>
        </w:rPr>
        <w:t xml:space="preserve"> </w:t>
      </w:r>
      <w:r w:rsidRPr="003517F7">
        <w:rPr>
          <w:noProof/>
        </w:rPr>
        <w:t>„Erntegut“, die nicht zu einer Überarbeitung von Dokument CAJ/78/5 geführt hatte</w:t>
      </w:r>
      <w:r w:rsidR="00AA5D64" w:rsidRPr="003517F7">
        <w:rPr>
          <w:noProof/>
        </w:rPr>
        <w:t>n, zur Kenntnis</w:t>
      </w:r>
      <w:r w:rsidRPr="003517F7">
        <w:rPr>
          <w:noProof/>
        </w:rPr>
        <w:t>. Die Bemerkungen und die Antwort des Vereinsbüros sind in Absatz 33 und 34</w:t>
      </w:r>
      <w:r w:rsidR="00AA5D64" w:rsidRPr="003517F7">
        <w:rPr>
          <w:noProof/>
        </w:rPr>
        <w:t xml:space="preserve"> v</w:t>
      </w:r>
      <w:r w:rsidRPr="003517F7">
        <w:rPr>
          <w:noProof/>
        </w:rPr>
        <w:t>on Dokument CAJ/78/12  (vgl. Dokument CAJ/78/12, Absatz 36) dargestellt und nachstehend wiedergegeben:</w:t>
      </w:r>
    </w:p>
    <w:p w:rsidR="00FE1F47" w:rsidRPr="003E778F" w:rsidRDefault="00FE1F47" w:rsidP="00DE1BE6">
      <w:pPr>
        <w:pStyle w:val="ListParagraph"/>
        <w:keepLines/>
        <w:ind w:left="0"/>
        <w:rPr>
          <w:noProof/>
          <w:spacing w:val="-2"/>
          <w:sz w:val="16"/>
        </w:rPr>
      </w:pPr>
    </w:p>
    <w:p w:rsidR="00FE1F47" w:rsidRPr="003517F7" w:rsidRDefault="00FE1F47" w:rsidP="00BE3811">
      <w:pPr>
        <w:keepNext/>
        <w:ind w:left="562" w:right="562"/>
        <w:outlineLvl w:val="1"/>
        <w:rPr>
          <w:noProof/>
          <w:sz w:val="18"/>
          <w:u w:val="single"/>
        </w:rPr>
      </w:pPr>
      <w:r w:rsidRPr="003517F7">
        <w:rPr>
          <w:noProof/>
          <w:sz w:val="18"/>
          <w:u w:val="single"/>
        </w:rPr>
        <w:t xml:space="preserve">“Bemerkungen der Europäischen Union </w:t>
      </w:r>
    </w:p>
    <w:p w:rsidR="00FE1F47" w:rsidRPr="003517F7" w:rsidRDefault="00FE1F47" w:rsidP="00BE3811">
      <w:pPr>
        <w:keepNext/>
        <w:ind w:left="562" w:right="562"/>
        <w:rPr>
          <w:noProof/>
          <w:sz w:val="16"/>
        </w:rPr>
      </w:pPr>
    </w:p>
    <w:p w:rsidR="00FE1F47" w:rsidRPr="003517F7" w:rsidRDefault="00FE1F47" w:rsidP="00BE3811">
      <w:pPr>
        <w:ind w:left="562" w:right="562"/>
        <w:rPr>
          <w:noProof/>
          <w:spacing w:val="-4"/>
          <w:sz w:val="18"/>
        </w:rPr>
      </w:pPr>
      <w:r w:rsidRPr="003517F7">
        <w:rPr>
          <w:noProof/>
          <w:spacing w:val="-4"/>
          <w:sz w:val="18"/>
        </w:rPr>
        <w:t>“33.</w:t>
      </w:r>
      <w:r w:rsidRPr="003517F7">
        <w:rPr>
          <w:noProof/>
          <w:spacing w:val="-4"/>
          <w:sz w:val="18"/>
        </w:rPr>
        <w:tab/>
        <w:t>In Beantwortung des Rundschreibens E-21/123 vom 23. August 2</w:t>
      </w:r>
      <w:r w:rsidR="00BE3811" w:rsidRPr="003517F7">
        <w:rPr>
          <w:noProof/>
          <w:spacing w:val="-4"/>
          <w:sz w:val="18"/>
        </w:rPr>
        <w:t>021 gingen von der Europäischen </w:t>
      </w:r>
      <w:r w:rsidRPr="003517F7">
        <w:rPr>
          <w:noProof/>
          <w:spacing w:val="-4"/>
          <w:sz w:val="18"/>
        </w:rPr>
        <w:t>Union die folgenden Bemerkungen zu Dokument CAJ/78/5 ein:”</w:t>
      </w:r>
    </w:p>
    <w:p w:rsidR="00FE1F47" w:rsidRPr="003517F7" w:rsidRDefault="00FE1F47" w:rsidP="00BE3811">
      <w:pPr>
        <w:ind w:left="562" w:right="562"/>
        <w:rPr>
          <w:noProof/>
          <w:sz w:val="18"/>
        </w:rPr>
      </w:pPr>
    </w:p>
    <w:p w:rsidR="00FE1F47" w:rsidRPr="003517F7" w:rsidRDefault="00FE1F47" w:rsidP="00BE3811">
      <w:pPr>
        <w:ind w:left="562" w:right="562"/>
        <w:rPr>
          <w:noProof/>
          <w:sz w:val="16"/>
        </w:rPr>
      </w:pPr>
      <w:r w:rsidRPr="003517F7">
        <w:rPr>
          <w:noProof/>
          <w:sz w:val="18"/>
        </w:rPr>
        <w:t>“Die EU und ihre Mitgliedstaaten möchten sich für das sehr informative Seminar über Erntegut bedanken, insbesondere im Zusammenhang mit der Rechtssache des Europäischen Gerichtshofs über Obstbäume (“Nadorcott”). Es scheint, dass in erster Linie der vorläufige Schutz und die unerlaubte Verwendung von Vermehrungsmaterial in ihrer derzeitigen Form geprüft und bewertet werden sollten. Wir möchten betonen, dass im Falle des Diebstahls von Vermehrungsmaterial in erster Linie das nationale Strafrecht Anwendung finden sollte.”</w:t>
      </w:r>
      <w:r w:rsidRPr="003517F7">
        <w:rPr>
          <w:noProof/>
          <w:sz w:val="18"/>
        </w:rPr>
        <w:cr/>
      </w:r>
    </w:p>
    <w:p w:rsidR="00FE1F47" w:rsidRPr="003517F7" w:rsidRDefault="00FE1F47" w:rsidP="00BE3811">
      <w:pPr>
        <w:keepNext/>
        <w:ind w:left="562" w:right="562"/>
        <w:rPr>
          <w:noProof/>
          <w:spacing w:val="-4"/>
          <w:sz w:val="18"/>
        </w:rPr>
      </w:pPr>
      <w:r w:rsidRPr="003517F7">
        <w:rPr>
          <w:noProof/>
          <w:spacing w:val="-4"/>
          <w:sz w:val="18"/>
        </w:rPr>
        <w:t>“34.</w:t>
      </w:r>
      <w:r w:rsidRPr="003517F7">
        <w:rPr>
          <w:noProof/>
          <w:spacing w:val="-4"/>
          <w:sz w:val="18"/>
        </w:rPr>
        <w:tab/>
        <w:t xml:space="preserve">Das Verbandsbüro schlug vor, dass die Europäische Union die oben </w:t>
      </w:r>
      <w:r w:rsidR="00BE3811" w:rsidRPr="003517F7">
        <w:rPr>
          <w:noProof/>
          <w:spacing w:val="-4"/>
          <w:sz w:val="18"/>
        </w:rPr>
        <w:t>genannten Bemerkungen in der WG</w:t>
      </w:r>
      <w:r w:rsidR="00BE3811" w:rsidRPr="003517F7">
        <w:rPr>
          <w:noProof/>
          <w:spacing w:val="-4"/>
          <w:sz w:val="18"/>
        </w:rPr>
        <w:noBreakHyphen/>
      </w:r>
      <w:r w:rsidRPr="003517F7">
        <w:rPr>
          <w:noProof/>
          <w:spacing w:val="-4"/>
          <w:sz w:val="18"/>
        </w:rPr>
        <w:t>HRV vorbringen sollte”</w:t>
      </w:r>
    </w:p>
    <w:p w:rsidR="00FE1F47" w:rsidRPr="003E778F" w:rsidRDefault="00FE1F47" w:rsidP="00DE1BE6">
      <w:pPr>
        <w:pStyle w:val="ListParagraph"/>
        <w:keepLines/>
        <w:ind w:left="0"/>
        <w:rPr>
          <w:noProof/>
          <w:spacing w:val="-2"/>
          <w:sz w:val="18"/>
        </w:rPr>
      </w:pPr>
    </w:p>
    <w:p w:rsidR="00FE1F47" w:rsidRPr="003517F7" w:rsidRDefault="00FE1F47" w:rsidP="00DE1BE6">
      <w:pPr>
        <w:pStyle w:val="ListParagraph"/>
        <w:keepLines/>
        <w:numPr>
          <w:ilvl w:val="0"/>
          <w:numId w:val="14"/>
        </w:numPr>
        <w:ind w:left="0" w:firstLine="0"/>
        <w:rPr>
          <w:noProof/>
          <w:spacing w:val="-2"/>
        </w:rPr>
      </w:pPr>
      <w:r w:rsidRPr="003517F7">
        <w:rPr>
          <w:noProof/>
          <w:spacing w:val="-2"/>
        </w:rPr>
        <w:t>Der CAJ prüfte Dokument CAJ/78/5 Add.</w:t>
      </w:r>
    </w:p>
    <w:p w:rsidR="00FE1F47" w:rsidRPr="003E778F" w:rsidRDefault="00FE1F47" w:rsidP="00DE1BE6">
      <w:pPr>
        <w:pStyle w:val="ListParagraph"/>
        <w:keepLines/>
        <w:ind w:left="0"/>
        <w:rPr>
          <w:noProof/>
          <w:spacing w:val="-2"/>
          <w:sz w:val="18"/>
        </w:rPr>
      </w:pPr>
    </w:p>
    <w:p w:rsidR="00FE1F47" w:rsidRPr="003517F7" w:rsidRDefault="00FE1F47" w:rsidP="003E778F">
      <w:pPr>
        <w:pStyle w:val="ListParagraph"/>
        <w:keepNext/>
        <w:keepLines/>
        <w:numPr>
          <w:ilvl w:val="0"/>
          <w:numId w:val="14"/>
        </w:numPr>
        <w:ind w:left="0" w:firstLine="0"/>
        <w:rPr>
          <w:noProof/>
          <w:spacing w:val="-2"/>
        </w:rPr>
      </w:pPr>
      <w:r w:rsidRPr="003517F7">
        <w:rPr>
          <w:noProof/>
          <w:spacing w:val="-2"/>
        </w:rPr>
        <w:t>Der CAJ billigte die folgende Zusammensetzung der WG-HRV:</w:t>
      </w:r>
    </w:p>
    <w:p w:rsidR="00FE1F47" w:rsidRPr="003E778F" w:rsidRDefault="00FE1F47" w:rsidP="003E778F">
      <w:pPr>
        <w:pStyle w:val="ListParagraph"/>
        <w:keepNext/>
        <w:ind w:left="0"/>
        <w:rPr>
          <w:noProof/>
          <w:spacing w:val="-2"/>
          <w:sz w:val="18"/>
        </w:rPr>
      </w:pPr>
    </w:p>
    <w:p w:rsidR="00315E64" w:rsidRPr="003E778F" w:rsidRDefault="00FE1F47" w:rsidP="003E778F">
      <w:pPr>
        <w:pStyle w:val="ListParagraph"/>
        <w:keepLines/>
        <w:ind w:left="567"/>
        <w:rPr>
          <w:noProof/>
        </w:rPr>
      </w:pPr>
      <w:r w:rsidRPr="003517F7">
        <w:rPr>
          <w:noProof/>
          <w:spacing w:val="-2"/>
        </w:rPr>
        <w:t>In Beantwortung des Rundschreibens E-21/157 bekundeten folgende Verbandsmitglieder und Beobachter i</w:t>
      </w:r>
      <w:r w:rsidR="00AA5D64" w:rsidRPr="003517F7">
        <w:rPr>
          <w:noProof/>
          <w:spacing w:val="-2"/>
        </w:rPr>
        <w:t>m CAJ Interesse an einer Mitglie</w:t>
      </w:r>
      <w:r w:rsidRPr="003517F7">
        <w:rPr>
          <w:noProof/>
          <w:spacing w:val="-2"/>
        </w:rPr>
        <w:t>dschaft in der WG-HRV: Argen</w:t>
      </w:r>
      <w:r w:rsidR="00AA5D64" w:rsidRPr="003517F7">
        <w:rPr>
          <w:noProof/>
          <w:spacing w:val="-2"/>
        </w:rPr>
        <w:t>tinien, Australien, Brasilien, C</w:t>
      </w:r>
      <w:r w:rsidRPr="003517F7">
        <w:rPr>
          <w:noProof/>
          <w:spacing w:val="-2"/>
        </w:rPr>
        <w:t>hile, China, Europäische Union, Frankreich, Japan, Niederlande, Neuseeland, Norwegen, Republik Korea, Spanien, Tschechische Republik, Vereinigtes Königreich, Vereinigte Republik T</w:t>
      </w:r>
      <w:r w:rsidR="003E778F">
        <w:rPr>
          <w:noProof/>
          <w:spacing w:val="-2"/>
        </w:rPr>
        <w:t>ansania, Vereinigte Staaten von </w:t>
      </w:r>
      <w:r w:rsidRPr="003517F7">
        <w:rPr>
          <w:noProof/>
          <w:spacing w:val="-2"/>
        </w:rPr>
        <w:t>Amerika,</w:t>
      </w:r>
      <w:r w:rsidR="00315E64" w:rsidRPr="003517F7">
        <w:rPr>
          <w:noProof/>
          <w:spacing w:val="-2"/>
        </w:rPr>
        <w:t xml:space="preserve"> </w:t>
      </w:r>
      <w:r w:rsidR="003E778F" w:rsidRPr="003E778F">
        <w:rPr>
          <w:i/>
          <w:noProof/>
        </w:rPr>
        <w:t>Association for Plant Breeding for the Benefit of Society</w:t>
      </w:r>
      <w:r w:rsidR="003E778F">
        <w:rPr>
          <w:noProof/>
        </w:rPr>
        <w:t xml:space="preserve"> (APBREBES), </w:t>
      </w:r>
      <w:r w:rsidR="003E778F" w:rsidRPr="003E778F">
        <w:rPr>
          <w:i/>
          <w:noProof/>
        </w:rPr>
        <w:t>CropLife</w:t>
      </w:r>
      <w:r w:rsidR="003E778F">
        <w:rPr>
          <w:i/>
          <w:noProof/>
        </w:rPr>
        <w:t> </w:t>
      </w:r>
      <w:r w:rsidR="003E778F" w:rsidRPr="003E778F">
        <w:rPr>
          <w:i/>
          <w:noProof/>
        </w:rPr>
        <w:t>International</w:t>
      </w:r>
      <w:r w:rsidR="003E778F">
        <w:rPr>
          <w:noProof/>
        </w:rPr>
        <w:t xml:space="preserve">, Euroseeds, Internationale Gemeinschaft der Züchter vegetativ vermehrbarer gartenbaulicher Pflanzen (CIOPORA), </w:t>
      </w:r>
      <w:r w:rsidR="003E778F" w:rsidRPr="003E778F">
        <w:rPr>
          <w:i/>
          <w:noProof/>
        </w:rPr>
        <w:t>International Seed Federation</w:t>
      </w:r>
      <w:r w:rsidR="003E778F">
        <w:rPr>
          <w:noProof/>
        </w:rPr>
        <w:t xml:space="preserve"> (ISF), Internationaler Verband des </w:t>
      </w:r>
      <w:r w:rsidR="003E778F" w:rsidRPr="003E778F">
        <w:rPr>
          <w:noProof/>
        </w:rPr>
        <w:t xml:space="preserve">Erwerbsgartenbaues (AIPH) und der </w:t>
      </w:r>
      <w:r w:rsidR="003E778F" w:rsidRPr="003E778F">
        <w:rPr>
          <w:i/>
          <w:noProof/>
        </w:rPr>
        <w:t>Seed Association of the Americas</w:t>
      </w:r>
      <w:r w:rsidR="003E778F" w:rsidRPr="003E778F">
        <w:rPr>
          <w:noProof/>
        </w:rPr>
        <w:t xml:space="preserve"> (SAA).</w:t>
      </w:r>
    </w:p>
    <w:p w:rsidR="00923899" w:rsidRPr="003517F7" w:rsidRDefault="00315E64" w:rsidP="003E778F">
      <w:pPr>
        <w:pStyle w:val="ListParagraph"/>
        <w:keepLines/>
        <w:numPr>
          <w:ilvl w:val="0"/>
          <w:numId w:val="14"/>
        </w:numPr>
        <w:spacing w:before="160"/>
        <w:ind w:left="0" w:firstLine="0"/>
        <w:contextualSpacing w:val="0"/>
        <w:rPr>
          <w:noProof/>
          <w:spacing w:val="-2"/>
        </w:rPr>
      </w:pPr>
      <w:bookmarkStart w:id="1" w:name="_Toc54097494"/>
      <w:bookmarkStart w:id="2" w:name="_Toc54097628"/>
      <w:r w:rsidRPr="003517F7">
        <w:rPr>
          <w:noProof/>
        </w:rPr>
        <w:t>Der CAJ billigte den 15. März 2022 als Termin für die erste Sitzung der WG-HRV, die auf elektronischem Wege abzuhalten sei.</w:t>
      </w:r>
    </w:p>
    <w:p w:rsidR="00315E64" w:rsidRPr="003E778F" w:rsidRDefault="00315E64" w:rsidP="003E778F"/>
    <w:p w:rsidR="00BE3811" w:rsidRPr="003E778F" w:rsidRDefault="00BE3811" w:rsidP="003E778F"/>
    <w:p w:rsidR="00315E64" w:rsidRPr="003517F7" w:rsidRDefault="00315E64" w:rsidP="00DE1BE6">
      <w:pPr>
        <w:keepLines/>
        <w:rPr>
          <w:noProof/>
          <w:spacing w:val="-2"/>
          <w:u w:val="single"/>
        </w:rPr>
      </w:pPr>
      <w:r w:rsidRPr="003517F7">
        <w:rPr>
          <w:noProof/>
          <w:spacing w:val="-2"/>
          <w:u w:val="single"/>
        </w:rPr>
        <w:lastRenderedPageBreak/>
        <w:t>Neuheit von Elternlinien im Hinblick auf die Verwertung der Hybridsorte (Dokument CAJ(78/6)</w:t>
      </w:r>
    </w:p>
    <w:p w:rsidR="00315E64" w:rsidRPr="003517F7" w:rsidRDefault="00315E64" w:rsidP="00DE1BE6">
      <w:pPr>
        <w:keepLines/>
        <w:rPr>
          <w:noProof/>
          <w:spacing w:val="-2"/>
        </w:rPr>
      </w:pPr>
    </w:p>
    <w:p w:rsidR="00315E64" w:rsidRPr="003517F7" w:rsidRDefault="00315E64" w:rsidP="00DE1BE6">
      <w:pPr>
        <w:pStyle w:val="ListParagraph"/>
        <w:keepLines/>
        <w:numPr>
          <w:ilvl w:val="0"/>
          <w:numId w:val="14"/>
        </w:numPr>
        <w:ind w:left="0" w:firstLine="0"/>
        <w:rPr>
          <w:noProof/>
          <w:spacing w:val="-2"/>
        </w:rPr>
      </w:pPr>
      <w:r w:rsidRPr="003517F7">
        <w:rPr>
          <w:noProof/>
          <w:spacing w:val="-2"/>
        </w:rPr>
        <w:t>Der CAJ prüfte Dokument CAJ/78/6.</w:t>
      </w:r>
    </w:p>
    <w:p w:rsidR="00315E64" w:rsidRPr="003517F7" w:rsidRDefault="00315E64" w:rsidP="00BE3811">
      <w:pPr>
        <w:pStyle w:val="ListParagraph"/>
        <w:ind w:left="0"/>
        <w:rPr>
          <w:noProof/>
          <w:spacing w:val="-2"/>
        </w:rPr>
      </w:pPr>
    </w:p>
    <w:p w:rsidR="00B00994" w:rsidRPr="003517F7" w:rsidRDefault="00C92C49" w:rsidP="00DE1BE6">
      <w:pPr>
        <w:pStyle w:val="ListParagraph"/>
        <w:keepLines/>
        <w:numPr>
          <w:ilvl w:val="0"/>
          <w:numId w:val="14"/>
        </w:numPr>
        <w:ind w:left="0" w:firstLine="0"/>
        <w:rPr>
          <w:noProof/>
          <w:spacing w:val="-2"/>
        </w:rPr>
      </w:pPr>
      <w:r w:rsidRPr="003517F7">
        <w:rPr>
          <w:noProof/>
          <w:spacing w:val="-2"/>
        </w:rPr>
        <w:t>Der CAJ ersuchte Verbandsmitglieder und Beobachter</w:t>
      </w:r>
      <w:r w:rsidR="009B2E20" w:rsidRPr="003517F7">
        <w:rPr>
          <w:noProof/>
          <w:spacing w:val="-2"/>
        </w:rPr>
        <w:t xml:space="preserve"> im CAJ</w:t>
      </w:r>
      <w:r w:rsidR="00B00994" w:rsidRPr="003517F7">
        <w:rPr>
          <w:noProof/>
          <w:spacing w:val="-2"/>
        </w:rPr>
        <w:t>, auf der neunungsiebzigsten Tagung des CAJ Referate über Neuheit von Elternlinien im Hinblick auf die Verwertung der Hybridsorte</w:t>
      </w:r>
      <w:r w:rsidR="009461E9" w:rsidRPr="003517F7">
        <w:rPr>
          <w:noProof/>
          <w:spacing w:val="-2"/>
        </w:rPr>
        <w:t xml:space="preserve"> zu halten</w:t>
      </w:r>
      <w:r w:rsidR="003E778F">
        <w:rPr>
          <w:noProof/>
          <w:spacing w:val="-2"/>
        </w:rPr>
        <w:t>. Nach </w:t>
      </w:r>
      <w:r w:rsidR="00B00994" w:rsidRPr="003517F7">
        <w:rPr>
          <w:noProof/>
          <w:spacing w:val="-2"/>
        </w:rPr>
        <w:t>Prüfung der Referate und Erörterungen würde der CAJ gegebenenfalls die nächsten Schritte prüfen.</w:t>
      </w:r>
    </w:p>
    <w:p w:rsidR="00B00994" w:rsidRPr="003517F7" w:rsidRDefault="00B00994" w:rsidP="00DE1BE6">
      <w:pPr>
        <w:pStyle w:val="ListParagraph"/>
        <w:ind w:left="0"/>
        <w:rPr>
          <w:noProof/>
          <w:spacing w:val="-2"/>
        </w:rPr>
      </w:pPr>
    </w:p>
    <w:p w:rsidR="00315E64" w:rsidRPr="003517F7" w:rsidRDefault="00B00994" w:rsidP="00DE1BE6">
      <w:pPr>
        <w:pStyle w:val="ListParagraph"/>
        <w:keepLines/>
        <w:numPr>
          <w:ilvl w:val="0"/>
          <w:numId w:val="14"/>
        </w:numPr>
        <w:ind w:left="0" w:firstLine="0"/>
        <w:rPr>
          <w:noProof/>
          <w:spacing w:val="-2"/>
        </w:rPr>
      </w:pPr>
      <w:r w:rsidRPr="003517F7">
        <w:rPr>
          <w:noProof/>
          <w:spacing w:val="-2"/>
        </w:rPr>
        <w:t>In Beantwortung der Bemerkungen von APREBES, brachte das Vere</w:t>
      </w:r>
      <w:r w:rsidR="009461E9" w:rsidRPr="003517F7">
        <w:rPr>
          <w:noProof/>
          <w:spacing w:val="-2"/>
        </w:rPr>
        <w:t xml:space="preserve">insbüro sein Engagement zum Ausdruck, bei der Organisation von Veranstaltungen ausgewogene Sichtweisen sicherzustellen. </w:t>
      </w:r>
      <w:r w:rsidR="003E778F">
        <w:rPr>
          <w:noProof/>
          <w:spacing w:val="-2"/>
        </w:rPr>
        <w:t>Das </w:t>
      </w:r>
      <w:r w:rsidRPr="003517F7">
        <w:rPr>
          <w:noProof/>
          <w:spacing w:val="-2"/>
        </w:rPr>
        <w:t>Vereinsbüro erinnerte daran, dass das Verfahren für die Organisation von Seminaren</w:t>
      </w:r>
      <w:r w:rsidR="00A60FB1" w:rsidRPr="003517F7">
        <w:rPr>
          <w:noProof/>
          <w:spacing w:val="-2"/>
        </w:rPr>
        <w:t xml:space="preserve"> durch das betroffene UPOV-Organ bestimmt werde, </w:t>
      </w:r>
      <w:r w:rsidR="009461E9" w:rsidRPr="003517F7">
        <w:rPr>
          <w:noProof/>
          <w:spacing w:val="-2"/>
        </w:rPr>
        <w:t xml:space="preserve">was darauf abziele, eine </w:t>
      </w:r>
      <w:r w:rsidR="00A60FB1" w:rsidRPr="003517F7">
        <w:rPr>
          <w:noProof/>
          <w:spacing w:val="-2"/>
        </w:rPr>
        <w:t xml:space="preserve">ausgewogene Veranstaltung sicherzustellen. Dieses Verfahren beinhalte üblicherweise ein Rundschreiben, in dem Mitglieder und Beobachter um Vorschläge zu Themen und Referenten sowie </w:t>
      </w:r>
      <w:r w:rsidR="009461E9" w:rsidRPr="003517F7">
        <w:rPr>
          <w:noProof/>
          <w:spacing w:val="-2"/>
        </w:rPr>
        <w:t xml:space="preserve">um </w:t>
      </w:r>
      <w:r w:rsidR="00A60FB1" w:rsidRPr="003517F7">
        <w:rPr>
          <w:noProof/>
          <w:spacing w:val="-2"/>
        </w:rPr>
        <w:t>Billigung des Programms ersucht würden.</w:t>
      </w:r>
    </w:p>
    <w:p w:rsidR="00A60FB1" w:rsidRPr="003517F7" w:rsidRDefault="00A60FB1" w:rsidP="00DE1BE6">
      <w:pPr>
        <w:pStyle w:val="ListParagraph"/>
        <w:ind w:left="0"/>
        <w:rPr>
          <w:noProof/>
          <w:spacing w:val="-2"/>
        </w:rPr>
      </w:pPr>
    </w:p>
    <w:p w:rsidR="00BE3811" w:rsidRPr="003517F7" w:rsidRDefault="00BE3811" w:rsidP="00DE1BE6">
      <w:pPr>
        <w:pStyle w:val="ListParagraph"/>
        <w:ind w:left="0"/>
        <w:rPr>
          <w:noProof/>
          <w:spacing w:val="-2"/>
        </w:rPr>
      </w:pPr>
    </w:p>
    <w:p w:rsidR="00A60FB1" w:rsidRPr="003517F7" w:rsidRDefault="00A60FB1" w:rsidP="00DE1BE6">
      <w:pPr>
        <w:keepLines/>
        <w:rPr>
          <w:noProof/>
          <w:spacing w:val="-2"/>
          <w:u w:val="single"/>
        </w:rPr>
      </w:pPr>
      <w:r w:rsidRPr="003517F7">
        <w:rPr>
          <w:noProof/>
          <w:spacing w:val="-2"/>
          <w:u w:val="single"/>
        </w:rPr>
        <w:t xml:space="preserve">PLUTO-Datenbank für Pflanzensorten (Dokument CAJ/78/7) </w:t>
      </w:r>
    </w:p>
    <w:p w:rsidR="00A60FB1" w:rsidRPr="003517F7" w:rsidRDefault="00A60FB1" w:rsidP="00DE1BE6">
      <w:pPr>
        <w:pStyle w:val="ListParagraph"/>
        <w:ind w:left="0"/>
        <w:rPr>
          <w:noProof/>
          <w:spacing w:val="-2"/>
        </w:rPr>
      </w:pPr>
    </w:p>
    <w:p w:rsidR="00A60FB1" w:rsidRPr="003517F7" w:rsidRDefault="00A60FB1" w:rsidP="00DE1BE6">
      <w:pPr>
        <w:pStyle w:val="ListParagraph"/>
        <w:keepLines/>
        <w:numPr>
          <w:ilvl w:val="0"/>
          <w:numId w:val="14"/>
        </w:numPr>
        <w:ind w:left="0" w:firstLine="0"/>
        <w:rPr>
          <w:noProof/>
          <w:spacing w:val="-2"/>
        </w:rPr>
      </w:pPr>
      <w:r w:rsidRPr="003517F7">
        <w:rPr>
          <w:noProof/>
          <w:spacing w:val="-2"/>
        </w:rPr>
        <w:t>Der CAJ prüfte Dokument</w:t>
      </w:r>
      <w:r w:rsidR="00DE1BE6" w:rsidRPr="003517F7">
        <w:rPr>
          <w:noProof/>
          <w:spacing w:val="-2"/>
        </w:rPr>
        <w:t xml:space="preserve"> CAJ/78/7</w:t>
      </w:r>
      <w:r w:rsidRPr="003517F7">
        <w:rPr>
          <w:noProof/>
          <w:spacing w:val="-2"/>
        </w:rPr>
        <w:t xml:space="preserve"> und erhielt eine Vorführ</w:t>
      </w:r>
      <w:r w:rsidR="003E778F">
        <w:rPr>
          <w:noProof/>
          <w:spacing w:val="-2"/>
        </w:rPr>
        <w:t>ung der neuen Version der PLUTO</w:t>
      </w:r>
      <w:r w:rsidR="003E778F">
        <w:rPr>
          <w:noProof/>
          <w:spacing w:val="-2"/>
        </w:rPr>
        <w:noBreakHyphen/>
      </w:r>
      <w:r w:rsidRPr="003517F7">
        <w:rPr>
          <w:noProof/>
          <w:spacing w:val="-2"/>
        </w:rPr>
        <w:t>Datenbank</w:t>
      </w:r>
      <w:r w:rsidR="00787883" w:rsidRPr="003517F7">
        <w:rPr>
          <w:noProof/>
          <w:spacing w:val="-2"/>
        </w:rPr>
        <w:t>.</w:t>
      </w:r>
    </w:p>
    <w:p w:rsidR="00787883" w:rsidRPr="003517F7" w:rsidRDefault="00787883" w:rsidP="00DE1BE6">
      <w:pPr>
        <w:pStyle w:val="ListParagraph"/>
        <w:keepLines/>
        <w:ind w:left="0"/>
        <w:rPr>
          <w:noProof/>
          <w:spacing w:val="-2"/>
        </w:rPr>
      </w:pPr>
    </w:p>
    <w:p w:rsidR="00787883" w:rsidRPr="003517F7" w:rsidRDefault="00787883" w:rsidP="00DE1BE6">
      <w:pPr>
        <w:pStyle w:val="ListParagraph"/>
        <w:keepLines/>
        <w:numPr>
          <w:ilvl w:val="0"/>
          <w:numId w:val="14"/>
        </w:numPr>
        <w:ind w:left="0" w:firstLine="0"/>
        <w:rPr>
          <w:noProof/>
          <w:spacing w:val="-2"/>
        </w:rPr>
      </w:pPr>
      <w:r w:rsidRPr="003517F7">
        <w:rPr>
          <w:noProof/>
          <w:spacing w:val="-2"/>
        </w:rPr>
        <w:t>Der CAJ nahm die Zusammenfassung der Beiträge zur PLUTO-Datenbank von 2016 bis 2021, wie in Anlage II des Dokuments CAJ/78/7 dargelegt, zur Kenntnis.</w:t>
      </w:r>
    </w:p>
    <w:p w:rsidR="00787883" w:rsidRPr="003517F7" w:rsidRDefault="00787883" w:rsidP="00DE1BE6">
      <w:pPr>
        <w:pStyle w:val="ListParagraph"/>
        <w:ind w:left="0"/>
        <w:rPr>
          <w:noProof/>
          <w:spacing w:val="-2"/>
        </w:rPr>
      </w:pPr>
    </w:p>
    <w:p w:rsidR="00787883" w:rsidRPr="003517F7" w:rsidRDefault="00787883" w:rsidP="00DE1BE6">
      <w:pPr>
        <w:pStyle w:val="ListParagraph"/>
        <w:keepLines/>
        <w:numPr>
          <w:ilvl w:val="0"/>
          <w:numId w:val="14"/>
        </w:numPr>
        <w:ind w:left="0" w:firstLine="0"/>
        <w:rPr>
          <w:noProof/>
          <w:spacing w:val="-2"/>
        </w:rPr>
      </w:pPr>
      <w:r w:rsidRPr="003517F7">
        <w:rPr>
          <w:noProof/>
          <w:spacing w:val="-2"/>
        </w:rPr>
        <w:t>Der CAJ nahm die Informationen zur Entwicklung betreffend der neuen Version der PLUTO-Date</w:t>
      </w:r>
      <w:r w:rsidR="006866EA" w:rsidRPr="003517F7">
        <w:rPr>
          <w:noProof/>
          <w:spacing w:val="-2"/>
        </w:rPr>
        <w:t>n</w:t>
      </w:r>
      <w:r w:rsidRPr="003517F7">
        <w:rPr>
          <w:noProof/>
          <w:spacing w:val="-2"/>
        </w:rPr>
        <w:t>bank</w:t>
      </w:r>
      <w:r w:rsidR="006866EA" w:rsidRPr="003517F7">
        <w:rPr>
          <w:noProof/>
          <w:spacing w:val="-2"/>
        </w:rPr>
        <w:t>,</w:t>
      </w:r>
      <w:r w:rsidRPr="003517F7">
        <w:rPr>
          <w:noProof/>
          <w:spacing w:val="-2"/>
        </w:rPr>
        <w:t xml:space="preserve"> </w:t>
      </w:r>
      <w:r w:rsidR="006866EA" w:rsidRPr="003517F7">
        <w:rPr>
          <w:noProof/>
          <w:spacing w:val="-2"/>
        </w:rPr>
        <w:t>sowie</w:t>
      </w:r>
      <w:r w:rsidRPr="003517F7">
        <w:rPr>
          <w:noProof/>
          <w:spacing w:val="-2"/>
        </w:rPr>
        <w:t xml:space="preserve"> die Einführung der neuen Version der PLUTO-Datenbank am 11. Oktober 2021</w:t>
      </w:r>
      <w:r w:rsidR="006866EA" w:rsidRPr="003517F7">
        <w:rPr>
          <w:noProof/>
          <w:spacing w:val="-2"/>
        </w:rPr>
        <w:t>,</w:t>
      </w:r>
      <w:r w:rsidRPr="003517F7">
        <w:rPr>
          <w:noProof/>
          <w:spacing w:val="-2"/>
        </w:rPr>
        <w:t xml:space="preserve"> zur Kenntnis.</w:t>
      </w:r>
    </w:p>
    <w:p w:rsidR="00787883" w:rsidRPr="003517F7" w:rsidRDefault="00787883" w:rsidP="00DE1BE6">
      <w:pPr>
        <w:pStyle w:val="ListParagraph"/>
        <w:ind w:left="0"/>
        <w:rPr>
          <w:noProof/>
          <w:spacing w:val="-2"/>
        </w:rPr>
      </w:pPr>
    </w:p>
    <w:p w:rsidR="006866EA" w:rsidRPr="003517F7" w:rsidRDefault="006866EA" w:rsidP="00DE1BE6">
      <w:pPr>
        <w:pStyle w:val="ListParagraph"/>
        <w:ind w:left="0"/>
        <w:rPr>
          <w:noProof/>
          <w:spacing w:val="-2"/>
        </w:rPr>
      </w:pPr>
    </w:p>
    <w:p w:rsidR="00787883" w:rsidRPr="003517F7" w:rsidRDefault="00787883" w:rsidP="00DE1BE6">
      <w:pPr>
        <w:keepLines/>
        <w:rPr>
          <w:noProof/>
          <w:spacing w:val="-2"/>
          <w:u w:val="single"/>
        </w:rPr>
      </w:pPr>
      <w:r w:rsidRPr="003517F7">
        <w:rPr>
          <w:noProof/>
          <w:spacing w:val="-2"/>
          <w:u w:val="single"/>
        </w:rPr>
        <w:t>UPOV-Suchinstrument für Ähnlichkeiten zum Zweck der Sortenbezeichnung (Dokument CAJ/78/8)</w:t>
      </w:r>
    </w:p>
    <w:p w:rsidR="00787883" w:rsidRPr="003517F7" w:rsidRDefault="00787883" w:rsidP="00DE1BE6">
      <w:pPr>
        <w:pStyle w:val="ListParagraph"/>
        <w:ind w:left="0"/>
        <w:rPr>
          <w:noProof/>
          <w:spacing w:val="-2"/>
        </w:rPr>
      </w:pPr>
    </w:p>
    <w:p w:rsidR="00787883" w:rsidRPr="003517F7" w:rsidRDefault="00DE1BE6" w:rsidP="00DE1BE6">
      <w:pPr>
        <w:pStyle w:val="ListParagraph"/>
        <w:keepLines/>
        <w:numPr>
          <w:ilvl w:val="0"/>
          <w:numId w:val="14"/>
        </w:numPr>
        <w:ind w:left="0" w:firstLine="0"/>
        <w:rPr>
          <w:noProof/>
          <w:spacing w:val="-2"/>
        </w:rPr>
      </w:pPr>
      <w:r w:rsidRPr="003517F7">
        <w:rPr>
          <w:noProof/>
          <w:spacing w:val="-2"/>
        </w:rPr>
        <w:t>Der CAJ prüfte Dokument CAJ/78/8.</w:t>
      </w:r>
    </w:p>
    <w:p w:rsidR="00DE1BE6" w:rsidRPr="003517F7" w:rsidRDefault="00DE1BE6" w:rsidP="00DE1BE6">
      <w:pPr>
        <w:pStyle w:val="ListParagraph"/>
        <w:keepLines/>
        <w:ind w:left="0"/>
        <w:rPr>
          <w:noProof/>
          <w:spacing w:val="-2"/>
        </w:rPr>
      </w:pPr>
    </w:p>
    <w:p w:rsidR="00DE1BE6" w:rsidRPr="003517F7" w:rsidRDefault="00DE1BE6" w:rsidP="00DE1BE6">
      <w:pPr>
        <w:pStyle w:val="ListParagraph"/>
        <w:keepLines/>
        <w:numPr>
          <w:ilvl w:val="0"/>
          <w:numId w:val="14"/>
        </w:numPr>
        <w:ind w:left="0" w:firstLine="0"/>
        <w:rPr>
          <w:noProof/>
          <w:spacing w:val="-2"/>
        </w:rPr>
      </w:pPr>
      <w:r w:rsidRPr="003517F7">
        <w:rPr>
          <w:noProof/>
          <w:spacing w:val="-2"/>
        </w:rPr>
        <w:t>Der CAJ nahm die aktuelle Lage betreffend der</w:t>
      </w:r>
      <w:r w:rsidR="007338F3" w:rsidRPr="003517F7">
        <w:rPr>
          <w:noProof/>
          <w:spacing w:val="-2"/>
        </w:rPr>
        <w:t xml:space="preserve"> möglichen Entwicklung eines UPO</w:t>
      </w:r>
      <w:r w:rsidR="003E778F">
        <w:rPr>
          <w:noProof/>
          <w:spacing w:val="-2"/>
        </w:rPr>
        <w:t>V</w:t>
      </w:r>
      <w:r w:rsidR="003E778F">
        <w:rPr>
          <w:noProof/>
          <w:spacing w:val="-2"/>
        </w:rPr>
        <w:noBreakHyphen/>
      </w:r>
      <w:r w:rsidRPr="003517F7">
        <w:rPr>
          <w:noProof/>
          <w:spacing w:val="-2"/>
        </w:rPr>
        <w:t>Suchinstruments</w:t>
      </w:r>
      <w:r w:rsidR="007338F3" w:rsidRPr="003517F7">
        <w:rPr>
          <w:noProof/>
          <w:spacing w:val="-2"/>
        </w:rPr>
        <w:t>,</w:t>
      </w:r>
      <w:r w:rsidR="008803A5" w:rsidRPr="003517F7">
        <w:rPr>
          <w:noProof/>
          <w:spacing w:val="-2"/>
        </w:rPr>
        <w:t xml:space="preserve"> wie in</w:t>
      </w:r>
      <w:r w:rsidRPr="003517F7">
        <w:rPr>
          <w:noProof/>
          <w:spacing w:val="-2"/>
        </w:rPr>
        <w:t xml:space="preserve"> Dokument CAJ/78/8, Absatz 21, berichtet</w:t>
      </w:r>
      <w:r w:rsidR="007338F3" w:rsidRPr="003517F7">
        <w:rPr>
          <w:noProof/>
          <w:spacing w:val="-2"/>
        </w:rPr>
        <w:t>,</w:t>
      </w:r>
      <w:r w:rsidRPr="003517F7">
        <w:rPr>
          <w:noProof/>
          <w:spacing w:val="-2"/>
        </w:rPr>
        <w:t xml:space="preserve"> zur Kenntnis.</w:t>
      </w:r>
    </w:p>
    <w:p w:rsidR="00DD7ADA" w:rsidRPr="003517F7" w:rsidRDefault="00DD7ADA" w:rsidP="00BE3811">
      <w:pPr>
        <w:rPr>
          <w:noProof/>
        </w:rPr>
      </w:pPr>
    </w:p>
    <w:p w:rsidR="00BE3811" w:rsidRPr="003517F7" w:rsidRDefault="00BE3811" w:rsidP="00BE3811">
      <w:pPr>
        <w:rPr>
          <w:noProof/>
        </w:rPr>
      </w:pPr>
    </w:p>
    <w:p w:rsidR="00DD7ADA" w:rsidRPr="003517F7" w:rsidRDefault="00DD7ADA" w:rsidP="00DD7ADA">
      <w:pPr>
        <w:keepLines/>
        <w:rPr>
          <w:noProof/>
          <w:spacing w:val="-2"/>
          <w:u w:val="single"/>
        </w:rPr>
      </w:pPr>
      <w:r w:rsidRPr="003517F7">
        <w:rPr>
          <w:noProof/>
          <w:spacing w:val="-2"/>
          <w:u w:val="single"/>
        </w:rPr>
        <w:t>Mögliche Anleitung zur Übernahme von DUS-Berichten, wenn die Antragsteller kein Pflanzenmaterial einreichen können (Dokument CAJ/78/10)</w:t>
      </w:r>
    </w:p>
    <w:p w:rsidR="00DD7ADA" w:rsidRPr="003517F7" w:rsidRDefault="00DD7ADA" w:rsidP="00BE3811">
      <w:pPr>
        <w:rPr>
          <w:noProof/>
        </w:rPr>
      </w:pPr>
    </w:p>
    <w:p w:rsidR="00DD7ADA" w:rsidRPr="003517F7" w:rsidRDefault="00DD7ADA" w:rsidP="00DD7ADA">
      <w:pPr>
        <w:pStyle w:val="ListParagraph"/>
        <w:keepLines/>
        <w:numPr>
          <w:ilvl w:val="0"/>
          <w:numId w:val="14"/>
        </w:numPr>
        <w:ind w:left="0" w:firstLine="0"/>
        <w:rPr>
          <w:noProof/>
          <w:spacing w:val="-2"/>
        </w:rPr>
      </w:pPr>
      <w:r w:rsidRPr="003517F7">
        <w:rPr>
          <w:noProof/>
          <w:spacing w:val="-2"/>
        </w:rPr>
        <w:t>Der CAJ prüfte Dokument CAJ/78/10.</w:t>
      </w:r>
    </w:p>
    <w:p w:rsidR="00DD7ADA" w:rsidRPr="003517F7" w:rsidRDefault="00DD7ADA" w:rsidP="00DD7ADA">
      <w:pPr>
        <w:pStyle w:val="ListParagraph"/>
        <w:keepLines/>
        <w:ind w:left="0"/>
        <w:rPr>
          <w:noProof/>
          <w:spacing w:val="-2"/>
        </w:rPr>
      </w:pPr>
    </w:p>
    <w:p w:rsidR="00B76F40" w:rsidRPr="003517F7" w:rsidRDefault="00DD7ADA" w:rsidP="00DE1BE6">
      <w:pPr>
        <w:pStyle w:val="ListParagraph"/>
        <w:keepLines/>
        <w:numPr>
          <w:ilvl w:val="0"/>
          <w:numId w:val="14"/>
        </w:numPr>
        <w:ind w:left="0" w:firstLine="0"/>
        <w:rPr>
          <w:noProof/>
          <w:spacing w:val="-2"/>
        </w:rPr>
      </w:pPr>
      <w:r w:rsidRPr="003517F7">
        <w:rPr>
          <w:noProof/>
          <w:spacing w:val="-2"/>
        </w:rPr>
        <w:t xml:space="preserve">Der CAJ nahm zur Kenntnis, dass Vorschläge </w:t>
      </w:r>
      <w:r w:rsidR="00A92E78" w:rsidRPr="003517F7">
        <w:rPr>
          <w:noProof/>
          <w:spacing w:val="-2"/>
        </w:rPr>
        <w:t>zur</w:t>
      </w:r>
      <w:r w:rsidRPr="003517F7">
        <w:rPr>
          <w:noProof/>
          <w:spacing w:val="-2"/>
        </w:rPr>
        <w:t xml:space="preserve"> Verstärkung der Zusammenarbeit und Übernahme von DUS- Prüfungsberichten</w:t>
      </w:r>
      <w:r w:rsidR="00A92E78" w:rsidRPr="003517F7">
        <w:rPr>
          <w:noProof/>
          <w:spacing w:val="-2"/>
        </w:rPr>
        <w:t xml:space="preserve"> in Dokument CAJ/78/9 „Maßnahmen zur Verbesserung der Zusammenarbeit bei der Prüfung“</w:t>
      </w:r>
      <w:r w:rsidR="00F97150" w:rsidRPr="003517F7">
        <w:rPr>
          <w:noProof/>
          <w:spacing w:val="-2"/>
        </w:rPr>
        <w:t xml:space="preserve"> dargelegt wurden</w:t>
      </w:r>
      <w:r w:rsidR="00B76F40" w:rsidRPr="003517F7">
        <w:rPr>
          <w:noProof/>
          <w:spacing w:val="-2"/>
        </w:rPr>
        <w:t>.</w:t>
      </w:r>
    </w:p>
    <w:p w:rsidR="00B76F40" w:rsidRPr="003517F7" w:rsidRDefault="00B76F40" w:rsidP="00BE3811">
      <w:pPr>
        <w:rPr>
          <w:noProof/>
        </w:rPr>
      </w:pPr>
    </w:p>
    <w:p w:rsidR="002576E4" w:rsidRPr="003517F7" w:rsidRDefault="00B76F40" w:rsidP="00226B6D">
      <w:pPr>
        <w:pStyle w:val="ListParagraph"/>
        <w:keepLines/>
        <w:numPr>
          <w:ilvl w:val="0"/>
          <w:numId w:val="14"/>
        </w:numPr>
        <w:ind w:left="0" w:firstLine="0"/>
        <w:rPr>
          <w:noProof/>
          <w:spacing w:val="-2"/>
        </w:rPr>
      </w:pPr>
      <w:r w:rsidRPr="003517F7">
        <w:rPr>
          <w:noProof/>
          <w:spacing w:val="-2"/>
        </w:rPr>
        <w:t xml:space="preserve">Der CAJ vereinbarte, mögliche „Anleitung, um Verbandsmitglieder zu ermutigen, auf freiwilliger Basis DSU-Prüfungsberichte zu übernehmen, wenn die Antragsteller aufgrund phytosanitärer oder sonstiger damit verbundener Probleme kein Pflanzenmaterial einreichten könnten, soweit dies für die betreffenden Verbandsmitglieder akzeptabel sei“ </w:t>
      </w:r>
      <w:r w:rsidR="0041154E" w:rsidRPr="003517F7">
        <w:rPr>
          <w:noProof/>
          <w:spacing w:val="-2"/>
        </w:rPr>
        <w:t>als Teil</w:t>
      </w:r>
      <w:r w:rsidR="00F97150" w:rsidRPr="003517F7">
        <w:rPr>
          <w:noProof/>
          <w:spacing w:val="-2"/>
        </w:rPr>
        <w:t xml:space="preserve"> der vom CAJ in Rahmen von Dokument CAJ/78/9 zu vereinbarenden Arbeiten </w:t>
      </w:r>
      <w:r w:rsidRPr="003517F7">
        <w:rPr>
          <w:noProof/>
          <w:spacing w:val="-2"/>
        </w:rPr>
        <w:t>aufzunehmen.</w:t>
      </w:r>
      <w:r w:rsidR="00DD7ADA" w:rsidRPr="003517F7">
        <w:rPr>
          <w:noProof/>
          <w:spacing w:val="-2"/>
        </w:rPr>
        <w:t xml:space="preserve"> </w:t>
      </w:r>
    </w:p>
    <w:p w:rsidR="00B76F40" w:rsidRPr="003517F7" w:rsidRDefault="00B76F40" w:rsidP="00BE3811">
      <w:pPr>
        <w:rPr>
          <w:noProof/>
        </w:rPr>
      </w:pPr>
    </w:p>
    <w:p w:rsidR="00BE3811" w:rsidRPr="003517F7" w:rsidRDefault="00BE3811" w:rsidP="00BE3811">
      <w:pPr>
        <w:rPr>
          <w:noProof/>
        </w:rPr>
      </w:pPr>
    </w:p>
    <w:p w:rsidR="00B76F40" w:rsidRPr="003517F7" w:rsidRDefault="00B76F40" w:rsidP="00B76F40">
      <w:pPr>
        <w:pStyle w:val="ListParagraph"/>
        <w:keepLines/>
        <w:ind w:left="0"/>
        <w:rPr>
          <w:noProof/>
          <w:spacing w:val="-2"/>
          <w:u w:val="single"/>
        </w:rPr>
      </w:pPr>
      <w:r w:rsidRPr="003517F7">
        <w:rPr>
          <w:noProof/>
          <w:spacing w:val="-2"/>
          <w:u w:val="single"/>
        </w:rPr>
        <w:t>Maßnahmen zur Verbesserung der Zusammenarbeit bei der Prüfung (</w:t>
      </w:r>
      <w:r w:rsidR="0041154E" w:rsidRPr="003517F7">
        <w:rPr>
          <w:noProof/>
          <w:spacing w:val="-2"/>
          <w:u w:val="single"/>
        </w:rPr>
        <w:t xml:space="preserve">Dokument </w:t>
      </w:r>
      <w:r w:rsidRPr="003517F7">
        <w:rPr>
          <w:noProof/>
          <w:spacing w:val="-2"/>
          <w:u w:val="single"/>
        </w:rPr>
        <w:t>CAJ/78/9)</w:t>
      </w:r>
    </w:p>
    <w:p w:rsidR="00B76F40" w:rsidRPr="003517F7" w:rsidRDefault="00B76F40" w:rsidP="00BE3811">
      <w:pPr>
        <w:rPr>
          <w:noProof/>
        </w:rPr>
      </w:pPr>
    </w:p>
    <w:p w:rsidR="00B76F40" w:rsidRPr="003517F7" w:rsidRDefault="00B76F40" w:rsidP="00226B6D">
      <w:pPr>
        <w:pStyle w:val="ListParagraph"/>
        <w:keepLines/>
        <w:numPr>
          <w:ilvl w:val="0"/>
          <w:numId w:val="14"/>
        </w:numPr>
        <w:ind w:left="0" w:firstLine="0"/>
        <w:rPr>
          <w:noProof/>
          <w:spacing w:val="-2"/>
        </w:rPr>
      </w:pPr>
      <w:r w:rsidRPr="003517F7">
        <w:rPr>
          <w:noProof/>
          <w:spacing w:val="-2"/>
        </w:rPr>
        <w:t>Der CAJ prüfte Dokument CAJ/78/9.</w:t>
      </w:r>
    </w:p>
    <w:p w:rsidR="00B76F40" w:rsidRPr="003517F7" w:rsidRDefault="00B76F40" w:rsidP="00B76F40">
      <w:pPr>
        <w:pStyle w:val="ListParagraph"/>
        <w:keepLines/>
        <w:ind w:left="0"/>
        <w:rPr>
          <w:noProof/>
          <w:spacing w:val="-2"/>
        </w:rPr>
      </w:pPr>
    </w:p>
    <w:p w:rsidR="00B76F40" w:rsidRPr="003517F7" w:rsidRDefault="00B76F40" w:rsidP="00BE3811">
      <w:pPr>
        <w:pStyle w:val="ListParagraph"/>
        <w:keepLines/>
        <w:numPr>
          <w:ilvl w:val="0"/>
          <w:numId w:val="14"/>
        </w:numPr>
        <w:ind w:left="0" w:firstLine="0"/>
        <w:rPr>
          <w:noProof/>
          <w:spacing w:val="-2"/>
        </w:rPr>
      </w:pPr>
      <w:r w:rsidRPr="003517F7">
        <w:rPr>
          <w:noProof/>
          <w:spacing w:val="-2"/>
        </w:rPr>
        <w:t xml:space="preserve">Der CAJ vereinbarte, dass die </w:t>
      </w:r>
      <w:r w:rsidR="001678F8" w:rsidRPr="003517F7">
        <w:rPr>
          <w:noProof/>
          <w:spacing w:val="-2"/>
        </w:rPr>
        <w:t xml:space="preserve"> Befragung</w:t>
      </w:r>
      <w:r w:rsidRPr="003517F7">
        <w:rPr>
          <w:noProof/>
          <w:spacing w:val="-2"/>
        </w:rPr>
        <w:t xml:space="preserve"> </w:t>
      </w:r>
      <w:r w:rsidR="00833B4A" w:rsidRPr="003517F7">
        <w:rPr>
          <w:noProof/>
          <w:spacing w:val="-2"/>
        </w:rPr>
        <w:t>die Übernahme von Prüfungsberichten, bei denen die Sortebeschreibungen nicht den Merkmalen der UPOV-Prüfungsrichtlinien entsprechen, einschließen solle.</w:t>
      </w:r>
    </w:p>
    <w:p w:rsidR="00833B4A" w:rsidRPr="003517F7" w:rsidRDefault="00833B4A" w:rsidP="00BE3811">
      <w:pPr>
        <w:rPr>
          <w:noProof/>
        </w:rPr>
      </w:pPr>
    </w:p>
    <w:p w:rsidR="00833B4A" w:rsidRPr="003517F7" w:rsidRDefault="00833B4A" w:rsidP="00226B6D">
      <w:pPr>
        <w:pStyle w:val="ListParagraph"/>
        <w:keepLines/>
        <w:numPr>
          <w:ilvl w:val="0"/>
          <w:numId w:val="14"/>
        </w:numPr>
        <w:ind w:left="0" w:firstLine="0"/>
        <w:rPr>
          <w:noProof/>
          <w:spacing w:val="-2"/>
        </w:rPr>
      </w:pPr>
      <w:r w:rsidRPr="003517F7">
        <w:rPr>
          <w:noProof/>
          <w:spacing w:val="-2"/>
        </w:rPr>
        <w:t xml:space="preserve">In Beantwortung </w:t>
      </w:r>
      <w:r w:rsidR="008803A5" w:rsidRPr="003517F7">
        <w:rPr>
          <w:noProof/>
          <w:spacing w:val="-2"/>
        </w:rPr>
        <w:t>der</w:t>
      </w:r>
      <w:r w:rsidRPr="003517F7">
        <w:rPr>
          <w:noProof/>
          <w:spacing w:val="-2"/>
        </w:rPr>
        <w:t xml:space="preserve"> Bemerkung von </w:t>
      </w:r>
      <w:r w:rsidR="0041154E" w:rsidRPr="003517F7">
        <w:rPr>
          <w:noProof/>
          <w:spacing w:val="-2"/>
        </w:rPr>
        <w:t xml:space="preserve">Seiten </w:t>
      </w:r>
      <w:r w:rsidRPr="003517F7">
        <w:rPr>
          <w:noProof/>
          <w:spacing w:val="-2"/>
        </w:rPr>
        <w:t>der Europäischen Union nahm der CAJ zur Kenntnis, dass die Erläuterungen zur „Prüfung des Antrags“</w:t>
      </w:r>
      <w:r w:rsidR="001678F8" w:rsidRPr="003517F7">
        <w:rPr>
          <w:noProof/>
          <w:spacing w:val="-2"/>
        </w:rPr>
        <w:t xml:space="preserve"> alle Optionen für </w:t>
      </w:r>
      <w:r w:rsidR="0041154E" w:rsidRPr="003517F7">
        <w:rPr>
          <w:noProof/>
          <w:spacing w:val="-2"/>
        </w:rPr>
        <w:t xml:space="preserve">die </w:t>
      </w:r>
      <w:r w:rsidR="001678F8" w:rsidRPr="003517F7">
        <w:rPr>
          <w:noProof/>
          <w:spacing w:val="-2"/>
        </w:rPr>
        <w:t xml:space="preserve">Sortenprüfung </w:t>
      </w:r>
      <w:r w:rsidR="0045055E" w:rsidRPr="003517F7">
        <w:rPr>
          <w:noProof/>
          <w:spacing w:val="-2"/>
        </w:rPr>
        <w:t>schildern</w:t>
      </w:r>
      <w:r w:rsidR="0041154E" w:rsidRPr="003517F7">
        <w:rPr>
          <w:noProof/>
          <w:spacing w:val="-2"/>
        </w:rPr>
        <w:t xml:space="preserve"> soll</w:t>
      </w:r>
      <w:r w:rsidR="003E778F">
        <w:rPr>
          <w:noProof/>
          <w:spacing w:val="-2"/>
        </w:rPr>
        <w:t>e, wie im UPOV</w:t>
      </w:r>
      <w:r w:rsidR="003E778F">
        <w:rPr>
          <w:noProof/>
          <w:spacing w:val="-2"/>
        </w:rPr>
        <w:noBreakHyphen/>
      </w:r>
      <w:r w:rsidR="001678F8" w:rsidRPr="003517F7">
        <w:rPr>
          <w:noProof/>
          <w:spacing w:val="-2"/>
        </w:rPr>
        <w:t>Übereinkommen dargelegt.</w:t>
      </w:r>
    </w:p>
    <w:p w:rsidR="001678F8" w:rsidRPr="003517F7" w:rsidRDefault="001678F8" w:rsidP="001678F8">
      <w:pPr>
        <w:pStyle w:val="ListParagraph"/>
        <w:rPr>
          <w:noProof/>
          <w:spacing w:val="-2"/>
        </w:rPr>
      </w:pPr>
    </w:p>
    <w:p w:rsidR="001678F8" w:rsidRPr="003517F7" w:rsidRDefault="001678F8" w:rsidP="00226B6D">
      <w:pPr>
        <w:pStyle w:val="ListParagraph"/>
        <w:keepLines/>
        <w:numPr>
          <w:ilvl w:val="0"/>
          <w:numId w:val="14"/>
        </w:numPr>
        <w:ind w:left="0" w:firstLine="0"/>
        <w:rPr>
          <w:noProof/>
          <w:spacing w:val="-2"/>
        </w:rPr>
      </w:pPr>
      <w:r w:rsidRPr="003517F7">
        <w:rPr>
          <w:noProof/>
          <w:spacing w:val="-2"/>
        </w:rPr>
        <w:lastRenderedPageBreak/>
        <w:t>Der CAJ vereinbarte die folgenden Maßnahmen, um politische oder rechtliche Hindernisse zu beseitigen, die der TC als die internationale Zusammenarbeit bei der DUS-Prüfung verhindernd ermittelt hatte:</w:t>
      </w:r>
    </w:p>
    <w:p w:rsidR="003E778F" w:rsidRPr="00E76087" w:rsidRDefault="003E778F" w:rsidP="003E778F">
      <w:pPr>
        <w:keepNext/>
      </w:pPr>
    </w:p>
    <w:p w:rsidR="00133199" w:rsidRPr="003E778F" w:rsidRDefault="003E778F" w:rsidP="003E778F">
      <w:pPr>
        <w:rPr>
          <w:noProof/>
          <w:spacing w:val="-2"/>
        </w:rPr>
      </w:pPr>
      <w:r>
        <w:tab/>
        <w:t xml:space="preserve">a) </w:t>
      </w:r>
      <w:r>
        <w:tab/>
      </w:r>
      <w:r w:rsidR="001678F8" w:rsidRPr="003E778F">
        <w:rPr>
          <w:noProof/>
          <w:spacing w:val="-2"/>
        </w:rPr>
        <w:t xml:space="preserve">Befragung der Verbandsmitglieder </w:t>
      </w:r>
      <w:r w:rsidR="00133199" w:rsidRPr="003E778F">
        <w:rPr>
          <w:noProof/>
          <w:spacing w:val="-2"/>
        </w:rPr>
        <w:t>zu politischen oder und rechtlichen</w:t>
      </w:r>
      <w:r w:rsidR="008803A5" w:rsidRPr="003E778F">
        <w:rPr>
          <w:noProof/>
          <w:spacing w:val="-2"/>
        </w:rPr>
        <w:t xml:space="preserve"> </w:t>
      </w:r>
      <w:r w:rsidR="00133199" w:rsidRPr="003E778F">
        <w:rPr>
          <w:noProof/>
          <w:spacing w:val="-2"/>
        </w:rPr>
        <w:t>Hindernissen, die die internationale Zusammenarbeit bei de</w:t>
      </w:r>
      <w:r w:rsidR="008803A5" w:rsidRPr="003E778F">
        <w:rPr>
          <w:noProof/>
          <w:spacing w:val="-2"/>
        </w:rPr>
        <w:t>r DUS-Prüfung verhindern könnte;</w:t>
      </w:r>
    </w:p>
    <w:p w:rsidR="003E778F" w:rsidRPr="00E76087" w:rsidRDefault="003E778F" w:rsidP="003E778F">
      <w:pPr>
        <w:keepNext/>
      </w:pPr>
    </w:p>
    <w:p w:rsidR="00133199" w:rsidRPr="003517F7" w:rsidRDefault="003E778F" w:rsidP="003E778F">
      <w:pPr>
        <w:keepLines/>
        <w:rPr>
          <w:noProof/>
          <w:spacing w:val="-2"/>
        </w:rPr>
      </w:pPr>
      <w:r>
        <w:tab/>
        <w:t xml:space="preserve">b) </w:t>
      </w:r>
      <w:r>
        <w:tab/>
        <w:t>E</w:t>
      </w:r>
      <w:r w:rsidR="00133199" w:rsidRPr="003517F7">
        <w:rPr>
          <w:noProof/>
          <w:spacing w:val="-2"/>
        </w:rPr>
        <w:t>rläuterungen zu Artikel 12 der UPOV-Übereinkunft („Prüfung des Antrags“) zu erarbeiten; und</w:t>
      </w:r>
    </w:p>
    <w:p w:rsidR="003E778F" w:rsidRPr="00E76087" w:rsidRDefault="003E778F" w:rsidP="003E778F">
      <w:pPr>
        <w:keepNext/>
      </w:pPr>
    </w:p>
    <w:p w:rsidR="00133199" w:rsidRPr="003517F7" w:rsidRDefault="003E778F" w:rsidP="003E778F">
      <w:pPr>
        <w:rPr>
          <w:noProof/>
          <w:spacing w:val="-2"/>
        </w:rPr>
      </w:pPr>
      <w:r>
        <w:tab/>
        <w:t xml:space="preserve">c) </w:t>
      </w:r>
      <w:r>
        <w:tab/>
      </w:r>
      <w:r w:rsidR="00133199" w:rsidRPr="003517F7">
        <w:rPr>
          <w:noProof/>
          <w:spacing w:val="-2"/>
        </w:rPr>
        <w:t>Züchterorganisationen ersuchen, Fragen bezüglich des Wunsc</w:t>
      </w:r>
      <w:r>
        <w:rPr>
          <w:noProof/>
          <w:spacing w:val="-2"/>
        </w:rPr>
        <w:t>hes der Züchter, bestehende DUS</w:t>
      </w:r>
      <w:r>
        <w:rPr>
          <w:noProof/>
          <w:spacing w:val="-2"/>
        </w:rPr>
        <w:noBreakHyphen/>
      </w:r>
      <w:r w:rsidR="00133199" w:rsidRPr="003517F7">
        <w:rPr>
          <w:noProof/>
          <w:spacing w:val="-2"/>
        </w:rPr>
        <w:t>Berichte zu verwenden (oder nicht) zu klären.</w:t>
      </w:r>
    </w:p>
    <w:p w:rsidR="00133199" w:rsidRPr="003517F7" w:rsidRDefault="00133199" w:rsidP="00133199">
      <w:pPr>
        <w:pStyle w:val="ListParagraph"/>
        <w:rPr>
          <w:noProof/>
          <w:spacing w:val="-2"/>
        </w:rPr>
      </w:pPr>
    </w:p>
    <w:p w:rsidR="00BE3811" w:rsidRPr="003517F7" w:rsidRDefault="00BE3811" w:rsidP="00133199">
      <w:pPr>
        <w:pStyle w:val="ListParagraph"/>
        <w:rPr>
          <w:noProof/>
          <w:spacing w:val="-2"/>
        </w:rPr>
      </w:pPr>
    </w:p>
    <w:p w:rsidR="00133199" w:rsidRPr="003517F7" w:rsidRDefault="00133199" w:rsidP="00133199">
      <w:pPr>
        <w:keepLines/>
        <w:rPr>
          <w:noProof/>
          <w:spacing w:val="-2"/>
          <w:u w:val="single"/>
        </w:rPr>
      </w:pPr>
      <w:r w:rsidRPr="003517F7">
        <w:rPr>
          <w:noProof/>
          <w:spacing w:val="-2"/>
          <w:u w:val="single"/>
        </w:rPr>
        <w:t>Angelegenheiten zur Information:</w:t>
      </w:r>
    </w:p>
    <w:p w:rsidR="001678F8" w:rsidRPr="003517F7" w:rsidRDefault="001678F8" w:rsidP="001678F8">
      <w:pPr>
        <w:pStyle w:val="ListParagraph"/>
        <w:rPr>
          <w:noProof/>
          <w:spacing w:val="-2"/>
        </w:rPr>
      </w:pPr>
    </w:p>
    <w:p w:rsidR="001678F8" w:rsidRPr="003517F7" w:rsidRDefault="00F91170" w:rsidP="00226B6D">
      <w:pPr>
        <w:pStyle w:val="ListParagraph"/>
        <w:keepLines/>
        <w:numPr>
          <w:ilvl w:val="0"/>
          <w:numId w:val="14"/>
        </w:numPr>
        <w:ind w:left="0" w:firstLine="0"/>
        <w:rPr>
          <w:noProof/>
          <w:spacing w:val="-2"/>
        </w:rPr>
      </w:pPr>
      <w:r w:rsidRPr="003517F7">
        <w:rPr>
          <w:noProof/>
          <w:spacing w:val="-2"/>
        </w:rPr>
        <w:t>Der CAJ nahm folgende Dokumente unter Punkt 13 „Angelegenheiten zur Information“ zur Kenntnis:</w:t>
      </w:r>
    </w:p>
    <w:p w:rsidR="00F91170" w:rsidRPr="003517F7" w:rsidRDefault="00F91170" w:rsidP="00F91170">
      <w:pPr>
        <w:pStyle w:val="ListParagraph"/>
        <w:keepLines/>
        <w:ind w:left="0"/>
        <w:rPr>
          <w:noProof/>
          <w:spacing w:val="-2"/>
        </w:rPr>
      </w:pPr>
    </w:p>
    <w:p w:rsidR="00F91170" w:rsidRPr="003517F7" w:rsidRDefault="00F91170" w:rsidP="00F91170">
      <w:pPr>
        <w:tabs>
          <w:tab w:val="left" w:pos="5812"/>
        </w:tabs>
        <w:ind w:left="1134" w:right="567" w:hanging="567"/>
        <w:rPr>
          <w:noProof/>
          <w:spacing w:val="-2"/>
        </w:rPr>
      </w:pPr>
      <w:r w:rsidRPr="003517F7">
        <w:rPr>
          <w:noProof/>
        </w:rPr>
        <w:t>“a)</w:t>
      </w:r>
      <w:r w:rsidRPr="003517F7">
        <w:rPr>
          <w:noProof/>
        </w:rPr>
        <w:tab/>
      </w:r>
      <w:r w:rsidR="00836B23" w:rsidRPr="003517F7">
        <w:rPr>
          <w:rFonts w:cs="Arial"/>
          <w:noProof/>
          <w:snapToGrid w:val="0"/>
          <w:spacing w:val="-2"/>
        </w:rPr>
        <w:t>UPOV-Informationsdatenbanken</w:t>
      </w:r>
      <w:r w:rsidRPr="003517F7">
        <w:rPr>
          <w:rFonts w:cs="Arial"/>
          <w:noProof/>
          <w:snapToGrid w:val="0"/>
          <w:spacing w:val="-2"/>
        </w:rPr>
        <w:t xml:space="preserve"> (</w:t>
      </w:r>
      <w:r w:rsidR="00836B23" w:rsidRPr="003517F7">
        <w:rPr>
          <w:rFonts w:cs="Arial"/>
          <w:noProof/>
          <w:snapToGrid w:val="0"/>
          <w:spacing w:val="-2"/>
        </w:rPr>
        <w:t>Dok</w:t>
      </w:r>
      <w:r w:rsidRPr="003517F7">
        <w:rPr>
          <w:rFonts w:cs="Arial"/>
          <w:noProof/>
          <w:snapToGrid w:val="0"/>
          <w:spacing w:val="-2"/>
        </w:rPr>
        <w:t>ument CAJ/78/INF/3)</w:t>
      </w:r>
    </w:p>
    <w:p w:rsidR="00F91170" w:rsidRPr="003517F7" w:rsidRDefault="00F91170" w:rsidP="00F91170">
      <w:pPr>
        <w:tabs>
          <w:tab w:val="left" w:pos="5812"/>
        </w:tabs>
        <w:ind w:left="1134" w:right="567" w:hanging="567"/>
        <w:rPr>
          <w:noProof/>
        </w:rPr>
      </w:pPr>
    </w:p>
    <w:p w:rsidR="00F91170" w:rsidRPr="003517F7" w:rsidRDefault="00F91170" w:rsidP="00F91170">
      <w:pPr>
        <w:ind w:left="1134" w:right="567" w:hanging="567"/>
        <w:rPr>
          <w:noProof/>
          <w:kern w:val="28"/>
        </w:rPr>
      </w:pPr>
      <w:r w:rsidRPr="003517F7">
        <w:rPr>
          <w:noProof/>
        </w:rPr>
        <w:t>“</w:t>
      </w:r>
      <w:r w:rsidRPr="003517F7">
        <w:rPr>
          <w:noProof/>
          <w:kern w:val="28"/>
        </w:rPr>
        <w:t>b)</w:t>
      </w:r>
      <w:r w:rsidRPr="003517F7">
        <w:rPr>
          <w:noProof/>
          <w:kern w:val="28"/>
        </w:rPr>
        <w:tab/>
      </w:r>
      <w:r w:rsidR="00836B23" w:rsidRPr="003517F7">
        <w:rPr>
          <w:noProof/>
        </w:rPr>
        <w:t>UPOV PRISMA (Doku</w:t>
      </w:r>
      <w:r w:rsidRPr="003517F7">
        <w:rPr>
          <w:noProof/>
        </w:rPr>
        <w:t>ment CAJ/78/INF/4)</w:t>
      </w:r>
    </w:p>
    <w:p w:rsidR="00F91170" w:rsidRPr="003517F7" w:rsidRDefault="00F91170" w:rsidP="00F91170">
      <w:pPr>
        <w:tabs>
          <w:tab w:val="left" w:pos="5812"/>
        </w:tabs>
        <w:ind w:left="1134" w:right="567" w:hanging="567"/>
        <w:rPr>
          <w:noProof/>
          <w:kern w:val="28"/>
        </w:rPr>
      </w:pPr>
    </w:p>
    <w:p w:rsidR="00F91170" w:rsidRPr="003517F7" w:rsidRDefault="00F91170" w:rsidP="00F91170">
      <w:pPr>
        <w:tabs>
          <w:tab w:val="left" w:pos="5812"/>
        </w:tabs>
        <w:ind w:left="1134" w:right="567" w:hanging="567"/>
        <w:rPr>
          <w:noProof/>
        </w:rPr>
      </w:pPr>
      <w:r w:rsidRPr="003517F7">
        <w:rPr>
          <w:noProof/>
        </w:rPr>
        <w:t>“</w:t>
      </w:r>
      <w:r w:rsidRPr="003517F7">
        <w:rPr>
          <w:noProof/>
          <w:kern w:val="28"/>
        </w:rPr>
        <w:t>c)</w:t>
      </w:r>
      <w:r w:rsidRPr="003517F7">
        <w:rPr>
          <w:noProof/>
          <w:kern w:val="28"/>
        </w:rPr>
        <w:tab/>
      </w:r>
      <w:r w:rsidRPr="003517F7">
        <w:rPr>
          <w:noProof/>
        </w:rPr>
        <w:t>Mole</w:t>
      </w:r>
      <w:r w:rsidR="00836B23" w:rsidRPr="003517F7">
        <w:rPr>
          <w:noProof/>
        </w:rPr>
        <w:t>kulare Verfahren</w:t>
      </w:r>
      <w:r w:rsidRPr="003517F7">
        <w:rPr>
          <w:noProof/>
        </w:rPr>
        <w:t xml:space="preserve"> (</w:t>
      </w:r>
      <w:r w:rsidR="00836B23" w:rsidRPr="003517F7">
        <w:rPr>
          <w:noProof/>
        </w:rPr>
        <w:t>D</w:t>
      </w:r>
      <w:r w:rsidRPr="003517F7">
        <w:rPr>
          <w:noProof/>
        </w:rPr>
        <w:t>o</w:t>
      </w:r>
      <w:r w:rsidR="00836B23" w:rsidRPr="003517F7">
        <w:rPr>
          <w:noProof/>
        </w:rPr>
        <w:t>k</w:t>
      </w:r>
      <w:r w:rsidRPr="003517F7">
        <w:rPr>
          <w:noProof/>
        </w:rPr>
        <w:t>ument CAJ/78/INF/5)”</w:t>
      </w:r>
    </w:p>
    <w:p w:rsidR="00836B23" w:rsidRPr="003517F7" w:rsidRDefault="00836B23" w:rsidP="00836B23">
      <w:pPr>
        <w:tabs>
          <w:tab w:val="left" w:pos="5812"/>
        </w:tabs>
        <w:ind w:right="567"/>
        <w:rPr>
          <w:noProof/>
        </w:rPr>
      </w:pPr>
    </w:p>
    <w:p w:rsidR="00BE3811" w:rsidRPr="003517F7" w:rsidRDefault="00BE3811" w:rsidP="00836B23">
      <w:pPr>
        <w:tabs>
          <w:tab w:val="left" w:pos="5812"/>
        </w:tabs>
        <w:ind w:right="567"/>
        <w:rPr>
          <w:noProof/>
        </w:rPr>
      </w:pPr>
    </w:p>
    <w:p w:rsidR="00836B23" w:rsidRPr="003517F7" w:rsidRDefault="00836B23" w:rsidP="00836B23">
      <w:pPr>
        <w:tabs>
          <w:tab w:val="left" w:pos="5812"/>
        </w:tabs>
        <w:ind w:right="567"/>
        <w:rPr>
          <w:noProof/>
          <w:kern w:val="28"/>
          <w:u w:val="single"/>
        </w:rPr>
      </w:pPr>
      <w:r w:rsidRPr="003517F7">
        <w:rPr>
          <w:noProof/>
          <w:u w:val="single"/>
        </w:rPr>
        <w:t>Programm für die neunun</w:t>
      </w:r>
      <w:r w:rsidR="00AE1985" w:rsidRPr="003517F7">
        <w:rPr>
          <w:noProof/>
          <w:u w:val="single"/>
        </w:rPr>
        <w:t>dsiebzigste</w:t>
      </w:r>
      <w:r w:rsidRPr="003517F7">
        <w:rPr>
          <w:noProof/>
          <w:u w:val="single"/>
        </w:rPr>
        <w:t xml:space="preserve"> Tagung</w:t>
      </w:r>
    </w:p>
    <w:p w:rsidR="00F91170" w:rsidRPr="003517F7" w:rsidRDefault="00F91170" w:rsidP="00F91170">
      <w:pPr>
        <w:pStyle w:val="ListParagraph"/>
        <w:keepLines/>
        <w:ind w:left="0"/>
        <w:rPr>
          <w:noProof/>
          <w:spacing w:val="-2"/>
        </w:rPr>
      </w:pPr>
      <w:r w:rsidRPr="003517F7">
        <w:rPr>
          <w:noProof/>
          <w:spacing w:val="-2"/>
        </w:rPr>
        <w:tab/>
      </w:r>
    </w:p>
    <w:p w:rsidR="00F91170" w:rsidRPr="003517F7" w:rsidRDefault="00836B23" w:rsidP="00226B6D">
      <w:pPr>
        <w:pStyle w:val="ListParagraph"/>
        <w:keepLines/>
        <w:numPr>
          <w:ilvl w:val="0"/>
          <w:numId w:val="14"/>
        </w:numPr>
        <w:ind w:left="0" w:firstLine="0"/>
        <w:rPr>
          <w:noProof/>
          <w:spacing w:val="-2"/>
        </w:rPr>
      </w:pPr>
      <w:r w:rsidRPr="003517F7">
        <w:rPr>
          <w:noProof/>
          <w:spacing w:val="-2"/>
        </w:rPr>
        <w:t xml:space="preserve">Der CAJ </w:t>
      </w:r>
      <w:r w:rsidR="008D02AB" w:rsidRPr="003517F7">
        <w:rPr>
          <w:noProof/>
          <w:spacing w:val="-2"/>
        </w:rPr>
        <w:t>vereinbarte das folgende Programm für seine neunudsiebzigste Tagung am 26. Oktober 2022:</w:t>
      </w:r>
    </w:p>
    <w:p w:rsidR="008D02AB" w:rsidRPr="003517F7" w:rsidRDefault="008D02AB" w:rsidP="008D02AB">
      <w:pPr>
        <w:keepLines/>
        <w:rPr>
          <w:noProof/>
          <w:spacing w:val="-2"/>
        </w:rPr>
      </w:pPr>
    </w:p>
    <w:p w:rsidR="008D02AB" w:rsidRPr="003517F7" w:rsidRDefault="008D02AB" w:rsidP="00BE3811">
      <w:pPr>
        <w:pStyle w:val="ListParagraph"/>
        <w:keepLines/>
        <w:numPr>
          <w:ilvl w:val="0"/>
          <w:numId w:val="19"/>
        </w:numPr>
        <w:ind w:hanging="603"/>
        <w:rPr>
          <w:noProof/>
          <w:spacing w:val="-2"/>
        </w:rPr>
      </w:pPr>
      <w:r w:rsidRPr="003517F7">
        <w:rPr>
          <w:noProof/>
          <w:spacing w:val="-2"/>
        </w:rPr>
        <w:t>Eröffnung der Tagung</w:t>
      </w:r>
    </w:p>
    <w:p w:rsidR="008D02AB" w:rsidRPr="003517F7" w:rsidRDefault="008D02AB" w:rsidP="00BE3811">
      <w:pPr>
        <w:pStyle w:val="ListParagraph"/>
        <w:keepLines/>
        <w:ind w:left="1170" w:hanging="603"/>
        <w:rPr>
          <w:noProof/>
          <w:spacing w:val="-2"/>
        </w:rPr>
      </w:pPr>
    </w:p>
    <w:p w:rsidR="008D02AB" w:rsidRPr="003517F7" w:rsidRDefault="008D02AB" w:rsidP="00BE3811">
      <w:pPr>
        <w:pStyle w:val="ListParagraph"/>
        <w:keepLines/>
        <w:numPr>
          <w:ilvl w:val="0"/>
          <w:numId w:val="19"/>
        </w:numPr>
        <w:ind w:hanging="603"/>
        <w:rPr>
          <w:noProof/>
          <w:spacing w:val="-2"/>
        </w:rPr>
      </w:pPr>
      <w:r w:rsidRPr="003517F7">
        <w:rPr>
          <w:noProof/>
          <w:spacing w:val="-2"/>
        </w:rPr>
        <w:t>Annahme der Tagesordnung</w:t>
      </w:r>
    </w:p>
    <w:p w:rsidR="008D02AB" w:rsidRPr="003517F7" w:rsidRDefault="008D02AB" w:rsidP="00BE3811">
      <w:pPr>
        <w:pStyle w:val="ListParagraph"/>
        <w:ind w:left="1170" w:hanging="603"/>
        <w:rPr>
          <w:noProof/>
          <w:spacing w:val="-2"/>
        </w:rPr>
      </w:pPr>
    </w:p>
    <w:p w:rsidR="008D02AB" w:rsidRPr="003517F7" w:rsidRDefault="008D02AB" w:rsidP="00BE3811">
      <w:pPr>
        <w:pStyle w:val="ListParagraph"/>
        <w:keepLines/>
        <w:numPr>
          <w:ilvl w:val="0"/>
          <w:numId w:val="19"/>
        </w:numPr>
        <w:ind w:hanging="603"/>
        <w:rPr>
          <w:noProof/>
          <w:spacing w:val="-2"/>
        </w:rPr>
      </w:pPr>
      <w:r w:rsidRPr="003517F7">
        <w:rPr>
          <w:noProof/>
          <w:spacing w:val="-2"/>
        </w:rPr>
        <w:t>Bericht des Stellvertretenden Generalsekretärs über die Entwicklungen in der UPOV</w:t>
      </w:r>
    </w:p>
    <w:p w:rsidR="008D02AB" w:rsidRPr="003517F7" w:rsidRDefault="008D02AB" w:rsidP="00BE3811">
      <w:pPr>
        <w:pStyle w:val="ListParagraph"/>
        <w:ind w:left="1170" w:hanging="603"/>
        <w:rPr>
          <w:noProof/>
          <w:spacing w:val="-2"/>
        </w:rPr>
      </w:pPr>
    </w:p>
    <w:p w:rsidR="008D02AB" w:rsidRPr="003517F7" w:rsidRDefault="008D02AB" w:rsidP="00BE3811">
      <w:pPr>
        <w:pStyle w:val="ListParagraph"/>
        <w:keepLines/>
        <w:numPr>
          <w:ilvl w:val="0"/>
          <w:numId w:val="19"/>
        </w:numPr>
        <w:ind w:hanging="603"/>
        <w:rPr>
          <w:noProof/>
          <w:spacing w:val="-2"/>
        </w:rPr>
      </w:pPr>
      <w:r w:rsidRPr="003517F7">
        <w:rPr>
          <w:noProof/>
          <w:spacing w:val="-2"/>
        </w:rPr>
        <w:t>Bericht über die Entwicklungen im Technischen Ausschu</w:t>
      </w:r>
      <w:r w:rsidR="00D1287E" w:rsidRPr="003517F7">
        <w:rPr>
          <w:noProof/>
          <w:spacing w:val="-2"/>
        </w:rPr>
        <w:t>ss</w:t>
      </w:r>
    </w:p>
    <w:p w:rsidR="008D02AB" w:rsidRPr="003517F7" w:rsidRDefault="008D02AB" w:rsidP="00BE3811">
      <w:pPr>
        <w:pStyle w:val="ListParagraph"/>
        <w:ind w:left="1170" w:hanging="603"/>
        <w:rPr>
          <w:noProof/>
          <w:spacing w:val="-2"/>
        </w:rPr>
      </w:pPr>
    </w:p>
    <w:p w:rsidR="00BE3811" w:rsidRPr="003517F7" w:rsidRDefault="008D02AB" w:rsidP="00BE3811">
      <w:pPr>
        <w:pStyle w:val="ListParagraph"/>
        <w:keepLines/>
        <w:numPr>
          <w:ilvl w:val="0"/>
          <w:numId w:val="19"/>
        </w:numPr>
        <w:ind w:hanging="603"/>
        <w:rPr>
          <w:noProof/>
          <w:spacing w:val="-2"/>
        </w:rPr>
      </w:pPr>
      <w:r w:rsidRPr="003517F7">
        <w:rPr>
          <w:noProof/>
          <w:spacing w:val="-2"/>
        </w:rPr>
        <w:t>Erstellung von Anleitung und Informationsmaterialien</w:t>
      </w:r>
    </w:p>
    <w:p w:rsidR="00BE3811" w:rsidRPr="003517F7" w:rsidRDefault="00BE3811" w:rsidP="00BE3811">
      <w:pPr>
        <w:pStyle w:val="ListParagraph"/>
        <w:rPr>
          <w:noProof/>
          <w:spacing w:val="-2"/>
        </w:rPr>
      </w:pPr>
    </w:p>
    <w:p w:rsidR="004C157D" w:rsidRPr="003517F7" w:rsidRDefault="00BE3811" w:rsidP="00BE3811">
      <w:pPr>
        <w:pStyle w:val="ListParagraph"/>
        <w:keepLines/>
        <w:ind w:left="1710" w:hanging="540"/>
        <w:rPr>
          <w:noProof/>
          <w:spacing w:val="-2"/>
        </w:rPr>
      </w:pPr>
      <w:r w:rsidRPr="003517F7">
        <w:rPr>
          <w:noProof/>
          <w:spacing w:val="-2"/>
        </w:rPr>
        <w:t>a)</w:t>
      </w:r>
      <w:r w:rsidRPr="003517F7">
        <w:rPr>
          <w:noProof/>
          <w:spacing w:val="-2"/>
        </w:rPr>
        <w:tab/>
      </w:r>
      <w:r w:rsidR="004C157D" w:rsidRPr="003517F7">
        <w:rPr>
          <w:noProof/>
          <w:spacing w:val="-2"/>
        </w:rPr>
        <w:t>Informationsdokumente</w:t>
      </w:r>
    </w:p>
    <w:p w:rsidR="004C157D" w:rsidRPr="003517F7" w:rsidRDefault="004C157D" w:rsidP="004C157D">
      <w:pPr>
        <w:pStyle w:val="ListParagraph"/>
        <w:keepLines/>
        <w:ind w:left="1287"/>
        <w:rPr>
          <w:noProof/>
          <w:spacing w:val="-2"/>
        </w:rPr>
      </w:pPr>
    </w:p>
    <w:p w:rsidR="004C157D" w:rsidRPr="003517F7" w:rsidRDefault="004C157D" w:rsidP="00BE3811">
      <w:pPr>
        <w:pStyle w:val="ListParagraph"/>
        <w:keepLines/>
        <w:ind w:left="1710"/>
        <w:rPr>
          <w:noProof/>
          <w:spacing w:val="-2"/>
        </w:rPr>
      </w:pPr>
      <w:r w:rsidRPr="003517F7">
        <w:rPr>
          <w:noProof/>
          <w:spacing w:val="-2"/>
        </w:rPr>
        <w:t>UPOV/INF/16</w:t>
      </w:r>
      <w:r w:rsidRPr="003517F7">
        <w:rPr>
          <w:noProof/>
          <w:spacing w:val="-2"/>
        </w:rPr>
        <w:tab/>
        <w:t>Austauschbare Software (Überarbeitung)</w:t>
      </w:r>
    </w:p>
    <w:p w:rsidR="004C157D" w:rsidRPr="003517F7" w:rsidRDefault="004C157D" w:rsidP="00BE3811">
      <w:pPr>
        <w:pStyle w:val="ListParagraph"/>
        <w:keepLines/>
        <w:ind w:left="1710"/>
        <w:rPr>
          <w:noProof/>
          <w:spacing w:val="-2"/>
        </w:rPr>
      </w:pPr>
    </w:p>
    <w:p w:rsidR="004C157D" w:rsidRPr="003517F7" w:rsidRDefault="004C157D" w:rsidP="003E778F">
      <w:pPr>
        <w:pStyle w:val="ListParagraph"/>
        <w:keepLines/>
        <w:ind w:left="3400" w:hanging="1690"/>
        <w:rPr>
          <w:noProof/>
          <w:spacing w:val="-2"/>
        </w:rPr>
      </w:pPr>
      <w:r w:rsidRPr="003517F7">
        <w:rPr>
          <w:noProof/>
          <w:spacing w:val="-2"/>
        </w:rPr>
        <w:t>UPOV/INF/22</w:t>
      </w:r>
      <w:r w:rsidRPr="003517F7">
        <w:rPr>
          <w:noProof/>
          <w:spacing w:val="-2"/>
        </w:rPr>
        <w:tab/>
        <w:t>Von Verbandsmitgliedern verwendete Software und Ausrüstung (Überarbeitung)</w:t>
      </w:r>
    </w:p>
    <w:p w:rsidR="004C157D" w:rsidRPr="003517F7" w:rsidRDefault="004C157D" w:rsidP="004C157D">
      <w:pPr>
        <w:pStyle w:val="ListParagraph"/>
        <w:keepLines/>
        <w:ind w:left="1287"/>
        <w:rPr>
          <w:noProof/>
          <w:spacing w:val="-2"/>
        </w:rPr>
      </w:pPr>
    </w:p>
    <w:p w:rsidR="004C157D" w:rsidRPr="003517F7" w:rsidRDefault="00BE3811" w:rsidP="00BE3811">
      <w:pPr>
        <w:pStyle w:val="ListParagraph"/>
        <w:keepLines/>
        <w:tabs>
          <w:tab w:val="left" w:pos="1710"/>
        </w:tabs>
        <w:ind w:left="1170"/>
        <w:rPr>
          <w:noProof/>
          <w:spacing w:val="-2"/>
        </w:rPr>
      </w:pPr>
      <w:r w:rsidRPr="003517F7">
        <w:rPr>
          <w:noProof/>
          <w:spacing w:val="-2"/>
        </w:rPr>
        <w:t>b)</w:t>
      </w:r>
      <w:r w:rsidRPr="003517F7">
        <w:rPr>
          <w:noProof/>
          <w:spacing w:val="-2"/>
        </w:rPr>
        <w:tab/>
      </w:r>
      <w:r w:rsidR="004C157D" w:rsidRPr="003517F7">
        <w:rPr>
          <w:noProof/>
          <w:spacing w:val="-2"/>
        </w:rPr>
        <w:t>Erläuterungen</w:t>
      </w:r>
    </w:p>
    <w:p w:rsidR="004C157D" w:rsidRPr="003517F7" w:rsidRDefault="004C157D" w:rsidP="004C157D">
      <w:pPr>
        <w:pStyle w:val="ListParagraph"/>
        <w:keepLines/>
        <w:ind w:left="1287"/>
        <w:rPr>
          <w:noProof/>
          <w:spacing w:val="-2"/>
        </w:rPr>
      </w:pPr>
    </w:p>
    <w:p w:rsidR="004C157D" w:rsidRPr="003517F7" w:rsidRDefault="004C157D" w:rsidP="00BE3811">
      <w:pPr>
        <w:keepLines/>
        <w:tabs>
          <w:tab w:val="left" w:pos="3420"/>
        </w:tabs>
        <w:ind w:left="3402" w:hanging="1692"/>
        <w:rPr>
          <w:noProof/>
          <w:spacing w:val="-2"/>
        </w:rPr>
      </w:pPr>
      <w:r w:rsidRPr="003517F7">
        <w:rPr>
          <w:noProof/>
          <w:spacing w:val="-2"/>
        </w:rPr>
        <w:t>UPOV/EXN/HRV</w:t>
      </w:r>
      <w:r w:rsidRPr="003517F7">
        <w:rPr>
          <w:noProof/>
          <w:spacing w:val="-2"/>
        </w:rPr>
        <w:tab/>
        <w:t>Erläuterungen zu Handlungen in bezug</w:t>
      </w:r>
      <w:r w:rsidR="003E778F">
        <w:rPr>
          <w:noProof/>
          <w:spacing w:val="-2"/>
        </w:rPr>
        <w:t xml:space="preserve"> auf Erntegut nach der Akte von </w:t>
      </w:r>
      <w:r w:rsidRPr="003517F7">
        <w:rPr>
          <w:noProof/>
          <w:spacing w:val="-2"/>
        </w:rPr>
        <w:t>1991 des UPOV-Übereinkommens</w:t>
      </w:r>
    </w:p>
    <w:p w:rsidR="004C157D" w:rsidRPr="003517F7" w:rsidRDefault="004C157D" w:rsidP="00BE3811">
      <w:pPr>
        <w:keepLines/>
        <w:ind w:left="1710"/>
        <w:rPr>
          <w:noProof/>
          <w:spacing w:val="-2"/>
        </w:rPr>
      </w:pPr>
    </w:p>
    <w:p w:rsidR="004C157D" w:rsidRPr="003517F7" w:rsidRDefault="004C157D" w:rsidP="00BE3811">
      <w:pPr>
        <w:keepLines/>
        <w:tabs>
          <w:tab w:val="left" w:pos="3420"/>
        </w:tabs>
        <w:ind w:left="3402" w:hanging="1692"/>
        <w:rPr>
          <w:noProof/>
          <w:spacing w:val="-2"/>
        </w:rPr>
      </w:pPr>
      <w:r w:rsidRPr="003517F7">
        <w:rPr>
          <w:noProof/>
          <w:spacing w:val="-2"/>
        </w:rPr>
        <w:t>UPOV/EXN/PPM</w:t>
      </w:r>
      <w:r w:rsidRPr="003517F7">
        <w:rPr>
          <w:noProof/>
          <w:spacing w:val="-2"/>
        </w:rPr>
        <w:tab/>
        <w:t>Erläuterungen zu Ve</w:t>
      </w:r>
      <w:r w:rsidR="00BE3811" w:rsidRPr="003517F7">
        <w:rPr>
          <w:noProof/>
          <w:spacing w:val="-2"/>
        </w:rPr>
        <w:t>rmehrungsmaterial nach dem UPOV</w:t>
      </w:r>
      <w:r w:rsidR="00BE3811" w:rsidRPr="003517F7">
        <w:rPr>
          <w:noProof/>
          <w:spacing w:val="-2"/>
        </w:rPr>
        <w:noBreakHyphen/>
      </w:r>
      <w:r w:rsidRPr="003517F7">
        <w:rPr>
          <w:noProof/>
          <w:spacing w:val="-2"/>
        </w:rPr>
        <w:t>Übereinkommen</w:t>
      </w:r>
    </w:p>
    <w:p w:rsidR="004C157D" w:rsidRPr="003517F7" w:rsidRDefault="004C157D" w:rsidP="00BE3811">
      <w:pPr>
        <w:keepLines/>
        <w:ind w:left="1710"/>
        <w:rPr>
          <w:noProof/>
          <w:spacing w:val="-2"/>
        </w:rPr>
      </w:pPr>
    </w:p>
    <w:p w:rsidR="004C157D" w:rsidRPr="003517F7" w:rsidRDefault="004C157D" w:rsidP="00BE3811">
      <w:pPr>
        <w:keepLines/>
        <w:tabs>
          <w:tab w:val="left" w:pos="3420"/>
        </w:tabs>
        <w:ind w:left="3402" w:hanging="1692"/>
        <w:rPr>
          <w:noProof/>
          <w:spacing w:val="-2"/>
        </w:rPr>
      </w:pPr>
      <w:r w:rsidRPr="003517F7">
        <w:rPr>
          <w:noProof/>
          <w:spacing w:val="-2"/>
        </w:rPr>
        <w:t>UPOV/EXN/PRP</w:t>
      </w:r>
      <w:r w:rsidRPr="003517F7">
        <w:rPr>
          <w:noProof/>
          <w:spacing w:val="-2"/>
        </w:rPr>
        <w:tab/>
        <w:t>Erläuterungen zum v</w:t>
      </w:r>
      <w:r w:rsidR="00BE3811" w:rsidRPr="003517F7">
        <w:rPr>
          <w:noProof/>
          <w:spacing w:val="-2"/>
        </w:rPr>
        <w:t>orläufigen Schutz nach dem UPOV</w:t>
      </w:r>
      <w:r w:rsidR="00BE3811" w:rsidRPr="003517F7">
        <w:rPr>
          <w:noProof/>
          <w:spacing w:val="-2"/>
        </w:rPr>
        <w:noBreakHyphen/>
      </w:r>
      <w:r w:rsidRPr="003517F7">
        <w:rPr>
          <w:noProof/>
          <w:spacing w:val="-2"/>
        </w:rPr>
        <w:t>Übereinkommen</w:t>
      </w:r>
    </w:p>
    <w:p w:rsidR="004C157D" w:rsidRPr="003517F7" w:rsidRDefault="004C157D" w:rsidP="00BE3811">
      <w:pPr>
        <w:keepLines/>
        <w:ind w:left="1710"/>
        <w:rPr>
          <w:noProof/>
          <w:spacing w:val="-2"/>
        </w:rPr>
      </w:pPr>
    </w:p>
    <w:p w:rsidR="004C157D" w:rsidRPr="003517F7" w:rsidRDefault="004C157D" w:rsidP="00BE3811">
      <w:pPr>
        <w:keepLines/>
        <w:tabs>
          <w:tab w:val="left" w:pos="3420"/>
        </w:tabs>
        <w:ind w:left="3402" w:hanging="1692"/>
        <w:rPr>
          <w:noProof/>
          <w:spacing w:val="-2"/>
        </w:rPr>
      </w:pPr>
      <w:r w:rsidRPr="003517F7">
        <w:rPr>
          <w:noProof/>
          <w:spacing w:val="-2"/>
        </w:rPr>
        <w:t>UPOV/EXN/DEN</w:t>
      </w:r>
      <w:r w:rsidRPr="003517F7">
        <w:rPr>
          <w:noProof/>
          <w:spacing w:val="-2"/>
        </w:rPr>
        <w:tab/>
        <w:t>Erläuterungen zu So</w:t>
      </w:r>
      <w:r w:rsidR="00BE3811" w:rsidRPr="003517F7">
        <w:rPr>
          <w:noProof/>
          <w:spacing w:val="-2"/>
        </w:rPr>
        <w:t>rtenbezeichnungen nach dem UPOV</w:t>
      </w:r>
      <w:r w:rsidR="00BE3811" w:rsidRPr="003517F7">
        <w:rPr>
          <w:noProof/>
          <w:spacing w:val="-2"/>
        </w:rPr>
        <w:noBreakHyphen/>
      </w:r>
      <w:r w:rsidRPr="003517F7">
        <w:rPr>
          <w:noProof/>
          <w:spacing w:val="-2"/>
        </w:rPr>
        <w:t>Übereinkommen</w:t>
      </w:r>
    </w:p>
    <w:p w:rsidR="004C157D" w:rsidRPr="003517F7" w:rsidRDefault="004C157D" w:rsidP="00BE3811">
      <w:pPr>
        <w:keepLines/>
        <w:ind w:left="1710"/>
        <w:rPr>
          <w:noProof/>
          <w:spacing w:val="-2"/>
        </w:rPr>
      </w:pPr>
    </w:p>
    <w:p w:rsidR="004C157D" w:rsidRPr="003517F7" w:rsidRDefault="004C157D" w:rsidP="00BE3811">
      <w:pPr>
        <w:keepLines/>
        <w:tabs>
          <w:tab w:val="left" w:pos="3420"/>
        </w:tabs>
        <w:ind w:left="1710"/>
        <w:rPr>
          <w:noProof/>
          <w:spacing w:val="-2"/>
        </w:rPr>
      </w:pPr>
      <w:r w:rsidRPr="003517F7">
        <w:rPr>
          <w:noProof/>
          <w:spacing w:val="-2"/>
        </w:rPr>
        <w:t>EPOV/EXN/</w:t>
      </w:r>
      <w:r w:rsidRPr="003517F7">
        <w:rPr>
          <w:noProof/>
          <w:kern w:val="28"/>
        </w:rPr>
        <w:t>/[  ]</w:t>
      </w:r>
      <w:r w:rsidRPr="003517F7">
        <w:rPr>
          <w:noProof/>
          <w:kern w:val="28"/>
        </w:rPr>
        <w:tab/>
        <w:t>Erläuterungen zur Prüfung des Antrags nach dem UPOV-Einkommen</w:t>
      </w:r>
    </w:p>
    <w:p w:rsidR="004C157D" w:rsidRPr="003517F7" w:rsidRDefault="004C157D" w:rsidP="004C157D">
      <w:pPr>
        <w:pStyle w:val="ListParagraph"/>
        <w:keepLines/>
        <w:ind w:left="1287"/>
        <w:rPr>
          <w:noProof/>
          <w:spacing w:val="-2"/>
        </w:rPr>
      </w:pPr>
    </w:p>
    <w:p w:rsidR="004C157D" w:rsidRPr="003517F7" w:rsidRDefault="00BE3811" w:rsidP="00BE3811">
      <w:pPr>
        <w:keepLines/>
        <w:tabs>
          <w:tab w:val="left" w:pos="1710"/>
        </w:tabs>
        <w:ind w:left="1170"/>
        <w:rPr>
          <w:noProof/>
          <w:spacing w:val="-2"/>
        </w:rPr>
      </w:pPr>
      <w:r w:rsidRPr="003517F7">
        <w:rPr>
          <w:noProof/>
          <w:spacing w:val="-2"/>
        </w:rPr>
        <w:t>c)</w:t>
      </w:r>
      <w:r w:rsidRPr="003517F7">
        <w:rPr>
          <w:noProof/>
          <w:spacing w:val="-2"/>
        </w:rPr>
        <w:tab/>
      </w:r>
      <w:r w:rsidR="004C157D" w:rsidRPr="003517F7">
        <w:rPr>
          <w:noProof/>
          <w:spacing w:val="-2"/>
        </w:rPr>
        <w:t>TGP-Dokumente</w:t>
      </w:r>
    </w:p>
    <w:p w:rsidR="004C157D" w:rsidRPr="003517F7" w:rsidRDefault="004C157D" w:rsidP="004C157D">
      <w:pPr>
        <w:pStyle w:val="ListParagraph"/>
        <w:keepLines/>
        <w:ind w:left="1287"/>
        <w:rPr>
          <w:noProof/>
          <w:spacing w:val="-2"/>
        </w:rPr>
      </w:pPr>
    </w:p>
    <w:p w:rsidR="004C157D" w:rsidRPr="003517F7" w:rsidRDefault="004C157D" w:rsidP="00BE3811">
      <w:pPr>
        <w:pStyle w:val="ListParagraph"/>
        <w:keepLines/>
        <w:ind w:left="1710"/>
        <w:rPr>
          <w:noProof/>
          <w:spacing w:val="-2"/>
        </w:rPr>
      </w:pPr>
      <w:r w:rsidRPr="003517F7">
        <w:rPr>
          <w:noProof/>
          <w:spacing w:val="-2"/>
        </w:rPr>
        <w:t>TGP/5</w:t>
      </w:r>
      <w:r w:rsidRPr="003517F7">
        <w:rPr>
          <w:noProof/>
          <w:spacing w:val="-2"/>
        </w:rPr>
        <w:tab/>
        <w:t>Erfahrung und Zusammenarbeit bei der DUS-Prüfung</w:t>
      </w:r>
    </w:p>
    <w:p w:rsidR="004C157D" w:rsidRPr="003517F7" w:rsidRDefault="004C157D" w:rsidP="00BE3811">
      <w:pPr>
        <w:pStyle w:val="ListParagraph"/>
        <w:keepLines/>
        <w:ind w:left="2835"/>
        <w:rPr>
          <w:noProof/>
          <w:spacing w:val="-2"/>
        </w:rPr>
      </w:pPr>
      <w:r w:rsidRPr="003517F7">
        <w:rPr>
          <w:noProof/>
          <w:spacing w:val="-2"/>
        </w:rPr>
        <w:lastRenderedPageBreak/>
        <w:t xml:space="preserve">Abschnitt 6: UPOV-Bericht über </w:t>
      </w:r>
      <w:r w:rsidR="00BE3811" w:rsidRPr="003517F7">
        <w:rPr>
          <w:noProof/>
          <w:spacing w:val="-2"/>
        </w:rPr>
        <w:t>die technische Prüfung und UPOV</w:t>
      </w:r>
      <w:r w:rsidR="00BE3811" w:rsidRPr="003517F7">
        <w:rPr>
          <w:noProof/>
          <w:spacing w:val="-2"/>
        </w:rPr>
        <w:noBreakHyphen/>
      </w:r>
      <w:r w:rsidRPr="003517F7">
        <w:rPr>
          <w:noProof/>
          <w:spacing w:val="-2"/>
        </w:rPr>
        <w:t>Sortenbeschreibung</w:t>
      </w:r>
    </w:p>
    <w:p w:rsidR="004C157D" w:rsidRPr="003517F7" w:rsidRDefault="004C157D" w:rsidP="004C157D">
      <w:pPr>
        <w:pStyle w:val="ListParagraph"/>
        <w:rPr>
          <w:noProof/>
          <w:spacing w:val="-2"/>
        </w:rPr>
      </w:pPr>
    </w:p>
    <w:p w:rsidR="004C157D" w:rsidRPr="003517F7" w:rsidRDefault="004C157D" w:rsidP="00203D6B">
      <w:pPr>
        <w:pStyle w:val="ListParagraph"/>
        <w:keepLines/>
        <w:numPr>
          <w:ilvl w:val="0"/>
          <w:numId w:val="19"/>
        </w:numPr>
        <w:ind w:hanging="630"/>
        <w:rPr>
          <w:noProof/>
          <w:spacing w:val="-2"/>
        </w:rPr>
      </w:pPr>
      <w:r w:rsidRPr="003517F7">
        <w:rPr>
          <w:noProof/>
          <w:spacing w:val="-2"/>
        </w:rPr>
        <w:t>Neuheit der Elternlinien im Hinblick auf die Verwertung der Hybridsorte</w:t>
      </w:r>
    </w:p>
    <w:p w:rsidR="004C157D" w:rsidRPr="003517F7" w:rsidRDefault="004C157D" w:rsidP="00203D6B">
      <w:pPr>
        <w:pStyle w:val="ListParagraph"/>
        <w:keepLines/>
        <w:ind w:left="1170" w:hanging="630"/>
        <w:rPr>
          <w:noProof/>
          <w:spacing w:val="-2"/>
        </w:rPr>
      </w:pPr>
    </w:p>
    <w:p w:rsidR="004C157D" w:rsidRPr="003517F7" w:rsidRDefault="004C157D" w:rsidP="00203D6B">
      <w:pPr>
        <w:pStyle w:val="ListParagraph"/>
        <w:keepLines/>
        <w:numPr>
          <w:ilvl w:val="0"/>
          <w:numId w:val="19"/>
        </w:numPr>
        <w:ind w:hanging="630"/>
        <w:rPr>
          <w:noProof/>
          <w:spacing w:val="-2"/>
        </w:rPr>
      </w:pPr>
      <w:r w:rsidRPr="003517F7">
        <w:rPr>
          <w:noProof/>
          <w:spacing w:val="-2"/>
        </w:rPr>
        <w:t>PLUTO-Datenbank für Pflanzensorten</w:t>
      </w:r>
    </w:p>
    <w:p w:rsidR="004C157D" w:rsidRPr="003517F7" w:rsidRDefault="004C157D" w:rsidP="00203D6B">
      <w:pPr>
        <w:pStyle w:val="ListParagraph"/>
        <w:ind w:left="1170" w:hanging="630"/>
        <w:rPr>
          <w:noProof/>
          <w:spacing w:val="-2"/>
        </w:rPr>
      </w:pPr>
    </w:p>
    <w:p w:rsidR="004C157D" w:rsidRPr="003517F7" w:rsidRDefault="004C157D" w:rsidP="00203D6B">
      <w:pPr>
        <w:pStyle w:val="ListParagraph"/>
        <w:keepLines/>
        <w:numPr>
          <w:ilvl w:val="0"/>
          <w:numId w:val="19"/>
        </w:numPr>
        <w:ind w:hanging="630"/>
        <w:rPr>
          <w:noProof/>
          <w:spacing w:val="-2"/>
        </w:rPr>
      </w:pPr>
      <w:r w:rsidRPr="003517F7">
        <w:rPr>
          <w:noProof/>
          <w:spacing w:val="-2"/>
        </w:rPr>
        <w:t>UPOV-Suchinstrument für Ähnlichkeiten zum Zweck der Sortenbezeichnung</w:t>
      </w:r>
    </w:p>
    <w:p w:rsidR="004C157D" w:rsidRPr="003517F7" w:rsidRDefault="004C157D" w:rsidP="00203D6B">
      <w:pPr>
        <w:pStyle w:val="ListParagraph"/>
        <w:ind w:left="1170" w:hanging="630"/>
        <w:rPr>
          <w:noProof/>
          <w:spacing w:val="-2"/>
        </w:rPr>
      </w:pPr>
    </w:p>
    <w:p w:rsidR="004C157D" w:rsidRPr="003517F7" w:rsidRDefault="004C157D" w:rsidP="00203D6B">
      <w:pPr>
        <w:pStyle w:val="ListParagraph"/>
        <w:keepLines/>
        <w:numPr>
          <w:ilvl w:val="0"/>
          <w:numId w:val="19"/>
        </w:numPr>
        <w:ind w:hanging="630"/>
        <w:rPr>
          <w:noProof/>
          <w:spacing w:val="-2"/>
        </w:rPr>
      </w:pPr>
      <w:r w:rsidRPr="003517F7">
        <w:rPr>
          <w:noProof/>
          <w:spacing w:val="-2"/>
        </w:rPr>
        <w:t>Maßnahmen zur Verbesserung der Zusammenarbeit bei der Prüfung</w:t>
      </w:r>
    </w:p>
    <w:p w:rsidR="004C157D" w:rsidRPr="003517F7" w:rsidRDefault="004C157D" w:rsidP="00203D6B">
      <w:pPr>
        <w:pStyle w:val="ListParagraph"/>
        <w:ind w:left="1170" w:hanging="630"/>
        <w:rPr>
          <w:noProof/>
          <w:spacing w:val="-2"/>
        </w:rPr>
      </w:pPr>
    </w:p>
    <w:p w:rsidR="004C157D" w:rsidRPr="003517F7" w:rsidRDefault="005D7A30" w:rsidP="00203D6B">
      <w:pPr>
        <w:pStyle w:val="ListParagraph"/>
        <w:keepLines/>
        <w:numPr>
          <w:ilvl w:val="0"/>
          <w:numId w:val="19"/>
        </w:numPr>
        <w:ind w:hanging="630"/>
        <w:rPr>
          <w:noProof/>
          <w:spacing w:val="-2"/>
        </w:rPr>
      </w:pPr>
      <w:r w:rsidRPr="003517F7">
        <w:rPr>
          <w:noProof/>
          <w:spacing w:val="-2"/>
        </w:rPr>
        <w:t>Angelegenheiten</w:t>
      </w:r>
      <w:r w:rsidR="004C157D" w:rsidRPr="003517F7">
        <w:rPr>
          <w:noProof/>
          <w:spacing w:val="-2"/>
        </w:rPr>
        <w:t xml:space="preserve"> zur Information*:</w:t>
      </w:r>
    </w:p>
    <w:p w:rsidR="004C157D" w:rsidRPr="003517F7" w:rsidRDefault="004C157D" w:rsidP="004C157D">
      <w:pPr>
        <w:pStyle w:val="ListParagraph"/>
        <w:rPr>
          <w:noProof/>
          <w:spacing w:val="-2"/>
        </w:rPr>
      </w:pPr>
    </w:p>
    <w:p w:rsidR="004C157D" w:rsidRPr="003517F7" w:rsidRDefault="004C157D" w:rsidP="00203D6B">
      <w:pPr>
        <w:pStyle w:val="ListParagraph"/>
        <w:keepLines/>
        <w:numPr>
          <w:ilvl w:val="0"/>
          <w:numId w:val="21"/>
        </w:numPr>
        <w:ind w:left="1710" w:hanging="540"/>
        <w:rPr>
          <w:noProof/>
          <w:spacing w:val="-2"/>
        </w:rPr>
      </w:pPr>
      <w:r w:rsidRPr="003517F7">
        <w:rPr>
          <w:noProof/>
          <w:spacing w:val="-2"/>
        </w:rPr>
        <w:t>UPOV-Informationsdatenbanken</w:t>
      </w:r>
    </w:p>
    <w:p w:rsidR="004C157D" w:rsidRPr="003517F7" w:rsidRDefault="004C157D" w:rsidP="00203D6B">
      <w:pPr>
        <w:pStyle w:val="ListParagraph"/>
        <w:keepLines/>
        <w:ind w:left="1710" w:hanging="540"/>
        <w:rPr>
          <w:noProof/>
          <w:spacing w:val="-2"/>
        </w:rPr>
      </w:pPr>
    </w:p>
    <w:p w:rsidR="004C157D" w:rsidRPr="003517F7" w:rsidRDefault="004C157D" w:rsidP="00203D6B">
      <w:pPr>
        <w:pStyle w:val="ListParagraph"/>
        <w:keepLines/>
        <w:numPr>
          <w:ilvl w:val="0"/>
          <w:numId w:val="21"/>
        </w:numPr>
        <w:ind w:left="1710" w:hanging="540"/>
        <w:rPr>
          <w:noProof/>
          <w:spacing w:val="-2"/>
        </w:rPr>
      </w:pPr>
      <w:r w:rsidRPr="003517F7">
        <w:rPr>
          <w:noProof/>
          <w:spacing w:val="-2"/>
        </w:rPr>
        <w:t>UPOV PRISMA</w:t>
      </w:r>
    </w:p>
    <w:p w:rsidR="004C157D" w:rsidRPr="003517F7" w:rsidRDefault="004C157D" w:rsidP="00203D6B">
      <w:pPr>
        <w:pStyle w:val="ListParagraph"/>
        <w:ind w:left="1710" w:hanging="540"/>
        <w:rPr>
          <w:noProof/>
          <w:spacing w:val="-2"/>
        </w:rPr>
      </w:pPr>
    </w:p>
    <w:p w:rsidR="004C157D" w:rsidRPr="003517F7" w:rsidRDefault="004C157D" w:rsidP="00203D6B">
      <w:pPr>
        <w:pStyle w:val="ListParagraph"/>
        <w:keepLines/>
        <w:numPr>
          <w:ilvl w:val="0"/>
          <w:numId w:val="21"/>
        </w:numPr>
        <w:ind w:left="1710" w:hanging="540"/>
        <w:rPr>
          <w:noProof/>
          <w:spacing w:val="-2"/>
        </w:rPr>
      </w:pPr>
      <w:r w:rsidRPr="003517F7">
        <w:rPr>
          <w:noProof/>
          <w:spacing w:val="-2"/>
        </w:rPr>
        <w:t>Molekulare Verfahren</w:t>
      </w:r>
    </w:p>
    <w:p w:rsidR="004C157D" w:rsidRPr="003517F7" w:rsidRDefault="004C157D" w:rsidP="004C157D">
      <w:pPr>
        <w:pStyle w:val="ListParagraph"/>
        <w:rPr>
          <w:noProof/>
          <w:spacing w:val="-2"/>
        </w:rPr>
      </w:pPr>
    </w:p>
    <w:p w:rsidR="004C157D" w:rsidRPr="003517F7" w:rsidRDefault="004C157D" w:rsidP="00203D6B">
      <w:pPr>
        <w:pStyle w:val="ListParagraph"/>
        <w:keepLines/>
        <w:numPr>
          <w:ilvl w:val="0"/>
          <w:numId w:val="19"/>
        </w:numPr>
        <w:ind w:hanging="630"/>
        <w:rPr>
          <w:noProof/>
          <w:spacing w:val="-2"/>
        </w:rPr>
      </w:pPr>
      <w:r w:rsidRPr="003517F7">
        <w:rPr>
          <w:noProof/>
          <w:spacing w:val="-2"/>
        </w:rPr>
        <w:t>Programm der achzigsten Tagung</w:t>
      </w:r>
    </w:p>
    <w:p w:rsidR="004C157D" w:rsidRPr="003517F7" w:rsidRDefault="004C157D" w:rsidP="00203D6B">
      <w:pPr>
        <w:pStyle w:val="ListParagraph"/>
        <w:keepLines/>
        <w:ind w:left="1170" w:hanging="540"/>
        <w:rPr>
          <w:noProof/>
          <w:spacing w:val="-2"/>
        </w:rPr>
      </w:pPr>
    </w:p>
    <w:p w:rsidR="004C157D" w:rsidRPr="003517F7" w:rsidRDefault="004C157D" w:rsidP="00203D6B">
      <w:pPr>
        <w:pStyle w:val="ListParagraph"/>
        <w:keepLines/>
        <w:numPr>
          <w:ilvl w:val="0"/>
          <w:numId w:val="19"/>
        </w:numPr>
        <w:ind w:hanging="630"/>
        <w:rPr>
          <w:noProof/>
          <w:spacing w:val="-2"/>
        </w:rPr>
      </w:pPr>
      <w:r w:rsidRPr="003517F7">
        <w:rPr>
          <w:noProof/>
          <w:spacing w:val="-2"/>
        </w:rPr>
        <w:t>Annahme des Berichts (wenn zeitlich möglich)</w:t>
      </w:r>
    </w:p>
    <w:p w:rsidR="004C157D" w:rsidRPr="003517F7" w:rsidRDefault="004C157D" w:rsidP="00203D6B">
      <w:pPr>
        <w:pStyle w:val="ListParagraph"/>
        <w:ind w:left="1170" w:hanging="630"/>
        <w:rPr>
          <w:noProof/>
          <w:spacing w:val="-2"/>
        </w:rPr>
      </w:pPr>
    </w:p>
    <w:p w:rsidR="004C157D" w:rsidRPr="003517F7" w:rsidRDefault="004C157D" w:rsidP="00203D6B">
      <w:pPr>
        <w:pStyle w:val="ListParagraph"/>
        <w:keepLines/>
        <w:numPr>
          <w:ilvl w:val="0"/>
          <w:numId w:val="19"/>
        </w:numPr>
        <w:ind w:hanging="630"/>
        <w:rPr>
          <w:noProof/>
          <w:spacing w:val="-2"/>
        </w:rPr>
      </w:pPr>
      <w:r w:rsidRPr="003517F7">
        <w:rPr>
          <w:noProof/>
          <w:spacing w:val="-2"/>
        </w:rPr>
        <w:t>Schließung der Tagung</w:t>
      </w:r>
    </w:p>
    <w:p w:rsidR="00D02FF1" w:rsidRPr="003517F7" w:rsidRDefault="00D02FF1" w:rsidP="00203D6B">
      <w:pPr>
        <w:rPr>
          <w:noProof/>
        </w:rPr>
      </w:pPr>
    </w:p>
    <w:p w:rsidR="00203D6B" w:rsidRPr="003517F7" w:rsidRDefault="00203D6B" w:rsidP="00203D6B">
      <w:pPr>
        <w:pStyle w:val="DecisionParagraphs"/>
        <w:rPr>
          <w:rFonts w:eastAsia="Calibri"/>
          <w:noProof/>
        </w:rPr>
      </w:pPr>
      <w:r w:rsidRPr="003517F7">
        <w:rPr>
          <w:noProof/>
          <w:spacing w:val="2"/>
        </w:rPr>
        <w:t>46.</w:t>
      </w:r>
      <w:r w:rsidRPr="003517F7">
        <w:rPr>
          <w:noProof/>
          <w:spacing w:val="2"/>
        </w:rPr>
        <w:tab/>
        <w:t>Dieser Bericht wurde am Schluss seiner Tagung am 27. Oktober 2021 angenommen.</w:t>
      </w:r>
    </w:p>
    <w:p w:rsidR="008B33E4" w:rsidRPr="003517F7" w:rsidRDefault="008B33E4" w:rsidP="008B33E4">
      <w:pPr>
        <w:keepLines/>
        <w:rPr>
          <w:noProof/>
          <w:spacing w:val="-2"/>
        </w:rPr>
      </w:pPr>
    </w:p>
    <w:p w:rsidR="00203D6B" w:rsidRPr="003517F7" w:rsidRDefault="00203D6B" w:rsidP="008B33E4">
      <w:pPr>
        <w:keepLines/>
        <w:rPr>
          <w:noProof/>
          <w:spacing w:val="-2"/>
        </w:rPr>
      </w:pPr>
    </w:p>
    <w:p w:rsidR="008B33E4" w:rsidRPr="003517F7" w:rsidRDefault="008B33E4" w:rsidP="008B33E4">
      <w:pPr>
        <w:jc w:val="right"/>
        <w:rPr>
          <w:noProof/>
        </w:rPr>
      </w:pPr>
      <w:r w:rsidRPr="003517F7">
        <w:rPr>
          <w:noProof/>
        </w:rPr>
        <w:t>[Anlage folgt]</w:t>
      </w:r>
    </w:p>
    <w:p w:rsidR="008B33E4" w:rsidRPr="003517F7" w:rsidRDefault="008B33E4" w:rsidP="008B33E4">
      <w:pPr>
        <w:keepLines/>
        <w:rPr>
          <w:noProof/>
          <w:spacing w:val="-2"/>
        </w:rPr>
      </w:pPr>
    </w:p>
    <w:p w:rsidR="00575525" w:rsidRPr="003517F7" w:rsidRDefault="00575525" w:rsidP="00DE1BE6">
      <w:pPr>
        <w:rPr>
          <w:noProof/>
          <w:spacing w:val="-2"/>
        </w:rPr>
      </w:pPr>
    </w:p>
    <w:p w:rsidR="00203D6B" w:rsidRPr="003517F7" w:rsidRDefault="00203D6B" w:rsidP="00DE1BE6">
      <w:pPr>
        <w:pStyle w:val="TableParagraph"/>
        <w:jc w:val="both"/>
        <w:rPr>
          <w:rFonts w:ascii="Arial" w:hAnsi="Arial"/>
          <w:noProof/>
          <w:sz w:val="20"/>
          <w:szCs w:val="20"/>
        </w:rPr>
        <w:sectPr w:rsidR="00203D6B" w:rsidRPr="003517F7" w:rsidSect="0043467F">
          <w:headerReference w:type="default" r:id="rId10"/>
          <w:pgSz w:w="11907" w:h="16840" w:code="9"/>
          <w:pgMar w:top="510" w:right="1134" w:bottom="1134" w:left="1134" w:header="510" w:footer="680" w:gutter="0"/>
          <w:pgNumType w:start="1"/>
          <w:cols w:space="720"/>
          <w:titlePg/>
        </w:sectPr>
      </w:pPr>
    </w:p>
    <w:bookmarkEnd w:id="1"/>
    <w:bookmarkEnd w:id="2"/>
    <w:p w:rsidR="00203D6B" w:rsidRPr="003517F7" w:rsidRDefault="00203D6B" w:rsidP="00203D6B">
      <w:pPr>
        <w:jc w:val="center"/>
        <w:rPr>
          <w:noProof/>
        </w:rPr>
      </w:pPr>
      <w:r w:rsidRPr="003517F7">
        <w:rPr>
          <w:noProof/>
        </w:rPr>
        <w:lastRenderedPageBreak/>
        <w:t xml:space="preserve">LISTE DES PARTICIPANTS / LIST OF PARTICIPANTS / </w:t>
      </w:r>
      <w:r w:rsidRPr="003517F7">
        <w:rPr>
          <w:noProof/>
        </w:rPr>
        <w:br/>
        <w:t>TEILNEHMERLISTE / LISTA DE PARTICIPANTES</w:t>
      </w:r>
    </w:p>
    <w:p w:rsidR="00203D6B" w:rsidRPr="003517F7" w:rsidRDefault="00203D6B" w:rsidP="00203D6B">
      <w:pPr>
        <w:jc w:val="center"/>
        <w:rPr>
          <w:noProof/>
        </w:rPr>
      </w:pPr>
    </w:p>
    <w:p w:rsidR="00203D6B" w:rsidRPr="003517F7" w:rsidRDefault="00203D6B" w:rsidP="00203D6B">
      <w:pPr>
        <w:jc w:val="center"/>
        <w:rPr>
          <w:noProof/>
        </w:rPr>
      </w:pPr>
      <w:r w:rsidRPr="003517F7">
        <w:rPr>
          <w:noProof/>
        </w:rPr>
        <w:t>(dans l’ordre alphabétique des noms français des membres /</w:t>
      </w:r>
      <w:r w:rsidRPr="003517F7">
        <w:rPr>
          <w:noProof/>
        </w:rPr>
        <w:br/>
        <w:t>in the alphabetical order of the French names of the Members /</w:t>
      </w:r>
      <w:r w:rsidRPr="003517F7">
        <w:rPr>
          <w:noProof/>
        </w:rPr>
        <w:br/>
        <w:t>in alphabetischer Reihenfolge der französischen Namen der Mitglieder /</w:t>
      </w:r>
      <w:r w:rsidRPr="003517F7">
        <w:rPr>
          <w:noProof/>
        </w:rPr>
        <w:br/>
        <w:t>por orden alfabético de los nombres en francés de los miembros)</w:t>
      </w:r>
    </w:p>
    <w:p w:rsidR="00203D6B" w:rsidRPr="0018141D" w:rsidRDefault="00203D6B" w:rsidP="00203D6B">
      <w:pPr>
        <w:pStyle w:val="plheading"/>
        <w:rPr>
          <w:noProof/>
        </w:rPr>
      </w:pPr>
      <w:r w:rsidRPr="0018141D">
        <w:rPr>
          <w:noProof/>
        </w:rPr>
        <w:t>I. MEMBRES / MEMBERS / VERBANDSMITGLIEDER / MIEMBROS</w:t>
      </w:r>
    </w:p>
    <w:p w:rsidR="00203D6B" w:rsidRPr="0018141D" w:rsidRDefault="00203D6B" w:rsidP="00203D6B">
      <w:pPr>
        <w:pStyle w:val="plcountry"/>
      </w:pPr>
      <w:r w:rsidRPr="0018141D">
        <w:t>AFRIQUE DU SUD / SOUTH AFRICA / SÜDAFRIKA / SUDÁFRICA</w:t>
      </w:r>
    </w:p>
    <w:p w:rsidR="00203D6B" w:rsidRPr="0018141D" w:rsidRDefault="00203D6B" w:rsidP="00203D6B">
      <w:pPr>
        <w:pStyle w:val="pldetails"/>
      </w:pPr>
      <w:r w:rsidRPr="0018141D">
        <w:t xml:space="preserve">Noluthando NETNOU-NKOANA (Ms.), Director, Genetic Resources, Department of Agriculture, Rural development and Land Reform, Pretoria </w:t>
      </w:r>
      <w:r w:rsidRPr="0018141D">
        <w:br/>
        <w:t>(e-mail: noluthandon@daff.gov.za)</w:t>
      </w:r>
    </w:p>
    <w:p w:rsidR="00203D6B" w:rsidRPr="00907345" w:rsidRDefault="00203D6B" w:rsidP="00203D6B">
      <w:pPr>
        <w:pStyle w:val="pldetails"/>
        <w:rPr>
          <w:lang w:val="en-US"/>
        </w:rPr>
      </w:pPr>
      <w:r w:rsidRPr="00907345">
        <w:rPr>
          <w:lang w:val="en-US"/>
        </w:rPr>
        <w:t xml:space="preserve">Elna DE BRUYN (CJ) (Ms.), Acting Registrar: PBR Act, Directorate:  Genetic Resources, Division: Plant Breeder’s Rights, Department of Agriculture, Land Reform and rural Development, Pretoria </w:t>
      </w:r>
      <w:r w:rsidRPr="00907345">
        <w:rPr>
          <w:lang w:val="en-US"/>
        </w:rPr>
        <w:br/>
        <w:t>(e-mail: elnadb@dalrrd.gov.za)</w:t>
      </w:r>
    </w:p>
    <w:p w:rsidR="00203D6B" w:rsidRPr="00907345" w:rsidRDefault="00203D6B" w:rsidP="00203D6B">
      <w:pPr>
        <w:pStyle w:val="pldetails"/>
        <w:rPr>
          <w:lang w:val="en-US"/>
        </w:rPr>
      </w:pPr>
      <w:r w:rsidRPr="00907345">
        <w:rPr>
          <w:lang w:val="en-US"/>
        </w:rPr>
        <w:t xml:space="preserve">Thapelo Martin SEKELE (Mr.), Scientist Production, Department of Agriculture, Land Reform and Rural Deveolpment, Pretoria </w:t>
      </w:r>
      <w:r w:rsidRPr="00907345">
        <w:rPr>
          <w:lang w:val="en-US"/>
        </w:rPr>
        <w:br/>
        <w:t>(e-mail: ThapeloS@dalrrd.gov.za)</w:t>
      </w:r>
    </w:p>
    <w:p w:rsidR="00203D6B" w:rsidRPr="00907345" w:rsidRDefault="00203D6B" w:rsidP="00203D6B">
      <w:pPr>
        <w:pStyle w:val="plcountry"/>
        <w:rPr>
          <w:lang w:val="en-US"/>
        </w:rPr>
      </w:pPr>
      <w:r w:rsidRPr="00907345">
        <w:rPr>
          <w:lang w:val="en-US"/>
        </w:rPr>
        <w:t>ALLEMAGNE / GERMANY / DEUTSCHLAND / ALEMANIA</w:t>
      </w:r>
    </w:p>
    <w:p w:rsidR="00203D6B" w:rsidRPr="00907345" w:rsidRDefault="00203D6B" w:rsidP="00203D6B">
      <w:pPr>
        <w:pStyle w:val="pldetails"/>
        <w:rPr>
          <w:lang w:val="en-US"/>
        </w:rPr>
      </w:pPr>
      <w:r w:rsidRPr="00907345">
        <w:rPr>
          <w:lang w:val="en-US"/>
        </w:rPr>
        <w:t xml:space="preserve">Elmar PFÜLB (Mr.), President, Federal Plant Variety Office, Bundessortenamt, Hannover </w:t>
      </w:r>
      <w:r w:rsidRPr="00907345">
        <w:rPr>
          <w:lang w:val="en-US"/>
        </w:rPr>
        <w:br/>
        <w:t>(e-mail: postfach.praesident@bundessortenamt.de)</w:t>
      </w:r>
    </w:p>
    <w:p w:rsidR="00203D6B" w:rsidRPr="00907345" w:rsidRDefault="00203D6B" w:rsidP="00203D6B">
      <w:pPr>
        <w:pStyle w:val="pldetails"/>
        <w:rPr>
          <w:lang w:val="en-US"/>
        </w:rPr>
      </w:pPr>
      <w:r w:rsidRPr="00907345">
        <w:rPr>
          <w:lang w:val="en-US"/>
        </w:rPr>
        <w:t>Cathleen FARR (Ms.), Head of Section, Legal Affairs Section, Federal Plant Variety Office, Bundessortenamt, Hannover</w:t>
      </w:r>
      <w:r w:rsidRPr="00907345">
        <w:rPr>
          <w:lang w:val="en-US"/>
        </w:rPr>
        <w:br/>
        <w:t>(e-mail: cathleen.farr@bundessortenamt.de)</w:t>
      </w:r>
    </w:p>
    <w:p w:rsidR="00203D6B" w:rsidRPr="00907345" w:rsidRDefault="00203D6B" w:rsidP="00203D6B">
      <w:pPr>
        <w:pStyle w:val="plcountry"/>
        <w:rPr>
          <w:lang w:val="es-ES"/>
        </w:rPr>
      </w:pPr>
      <w:r w:rsidRPr="00907345">
        <w:rPr>
          <w:lang w:val="es-ES"/>
        </w:rPr>
        <w:t>ARGENTINE / ARGENTINA / ARGENTINIEN / ARGENTINA</w:t>
      </w:r>
    </w:p>
    <w:p w:rsidR="00203D6B" w:rsidRPr="00907345" w:rsidRDefault="00203D6B" w:rsidP="00203D6B">
      <w:pPr>
        <w:pStyle w:val="pldetails"/>
        <w:rPr>
          <w:lang w:val="es-ES"/>
        </w:rPr>
      </w:pPr>
      <w:r w:rsidRPr="00907345">
        <w:rPr>
          <w:lang w:val="es-ES"/>
        </w:rPr>
        <w:t xml:space="preserve">María Laura VILLAMAYOR (Sra.), Coordinadora de Relaciones Institucionales e Interjurisdiccionales, Instituto Nacional de Semillas (INASE), Secretaría de Agricultura, Ganadería, Pesca y Alimentación, Buenos Aires </w:t>
      </w:r>
      <w:r w:rsidRPr="00907345">
        <w:rPr>
          <w:lang w:val="es-ES"/>
        </w:rPr>
        <w:br/>
        <w:t>(e-mail: mlvillamayor@inase.gob.ar)</w:t>
      </w:r>
    </w:p>
    <w:p w:rsidR="00203D6B" w:rsidRPr="00907345" w:rsidRDefault="00203D6B" w:rsidP="00203D6B">
      <w:pPr>
        <w:pStyle w:val="plcountry"/>
        <w:rPr>
          <w:lang w:val="en-US"/>
        </w:rPr>
      </w:pPr>
      <w:r w:rsidRPr="00907345">
        <w:rPr>
          <w:lang w:val="en-US"/>
        </w:rPr>
        <w:t>AUSTRALIE / AUSTRALIA / AUSTRALIEN / AUSTRALIA</w:t>
      </w:r>
    </w:p>
    <w:p w:rsidR="00203D6B" w:rsidRPr="00907345" w:rsidRDefault="00203D6B" w:rsidP="00203D6B">
      <w:pPr>
        <w:pStyle w:val="pldetails"/>
        <w:rPr>
          <w:lang w:val="en-US"/>
        </w:rPr>
      </w:pPr>
      <w:r w:rsidRPr="00907345">
        <w:rPr>
          <w:lang w:val="en-US"/>
        </w:rPr>
        <w:t xml:space="preserve">Edwina VANDINE (Ms.), Chief of Plant Breeders' Rights, Plant Breeder's Rights Office, IP Australia, Woden </w:t>
      </w:r>
      <w:r w:rsidRPr="00907345">
        <w:rPr>
          <w:lang w:val="en-US"/>
        </w:rPr>
        <w:br/>
        <w:t>(e-mail: edwina.vandine@ipaustralia.gov.au)</w:t>
      </w:r>
    </w:p>
    <w:p w:rsidR="00203D6B" w:rsidRPr="00907345" w:rsidRDefault="00203D6B" w:rsidP="00203D6B">
      <w:pPr>
        <w:pStyle w:val="pldetails"/>
        <w:rPr>
          <w:lang w:val="en-US"/>
        </w:rPr>
      </w:pPr>
      <w:r w:rsidRPr="00907345">
        <w:rPr>
          <w:lang w:val="en-US"/>
        </w:rPr>
        <w:t xml:space="preserve">Nik HULSE (Mr.), Director, Plant Breeder's Rights Office, IP Australia, Woden </w:t>
      </w:r>
      <w:r w:rsidRPr="00907345">
        <w:rPr>
          <w:lang w:val="en-US"/>
        </w:rPr>
        <w:br/>
        <w:t>(e-mail: nik.hulse@ipaustralia.gov.au)</w:t>
      </w:r>
    </w:p>
    <w:p w:rsidR="00203D6B" w:rsidRPr="00907345" w:rsidRDefault="00203D6B" w:rsidP="00203D6B">
      <w:pPr>
        <w:pStyle w:val="pldetails"/>
        <w:rPr>
          <w:lang w:val="en-US"/>
        </w:rPr>
      </w:pPr>
      <w:r w:rsidRPr="00907345">
        <w:rPr>
          <w:lang w:val="en-US"/>
        </w:rPr>
        <w:t>Paul GARDNER (Mr.), Director, Policy and International Affairs, IP Australia, Woden</w:t>
      </w:r>
      <w:r w:rsidRPr="00907345">
        <w:rPr>
          <w:lang w:val="en-US"/>
        </w:rPr>
        <w:br/>
        <w:t>(e-mail: paul.gardner@ipaustralia.gov.au)</w:t>
      </w:r>
    </w:p>
    <w:p w:rsidR="00203D6B" w:rsidRPr="00907345" w:rsidRDefault="00203D6B" w:rsidP="00203D6B">
      <w:pPr>
        <w:pStyle w:val="pldetails"/>
        <w:rPr>
          <w:lang w:val="en-US"/>
        </w:rPr>
      </w:pPr>
      <w:r w:rsidRPr="00907345">
        <w:rPr>
          <w:lang w:val="en-US"/>
        </w:rPr>
        <w:t>Isabel Louise WARD (Ms.), Assistant Director, IP Australia, Woden</w:t>
      </w:r>
      <w:r w:rsidRPr="00907345">
        <w:rPr>
          <w:lang w:val="en-US"/>
        </w:rPr>
        <w:br/>
        <w:t>(e-mail: Isabel.Ward@ipaustralia.gov.au)</w:t>
      </w:r>
    </w:p>
    <w:p w:rsidR="00203D6B" w:rsidRPr="0018141D" w:rsidRDefault="00203D6B" w:rsidP="00203D6B">
      <w:pPr>
        <w:pStyle w:val="plcountry"/>
      </w:pPr>
      <w:r w:rsidRPr="0018141D">
        <w:t>AUTRICHE / AUSTRIA / ÖSTERREICH / AUSTRIA</w:t>
      </w:r>
    </w:p>
    <w:p w:rsidR="00203D6B" w:rsidRPr="0018141D" w:rsidRDefault="00203D6B" w:rsidP="00203D6B">
      <w:pPr>
        <w:pStyle w:val="pldetails"/>
      </w:pPr>
      <w:r w:rsidRPr="0018141D">
        <w:t xml:space="preserve">Maximilian POCK (Mr.), Policy Officer - Plant Health, Seed and Varieties, Abteilung II/5, Pflanzliche Produkte, Bundesministerium für Landwirtschaft, Regionen und Tourismus, Vienna </w:t>
      </w:r>
      <w:r w:rsidRPr="0018141D">
        <w:br/>
        <w:t>(e-mail: maximilian.pock@bmlrt.gv.at)</w:t>
      </w:r>
    </w:p>
    <w:p w:rsidR="00203D6B" w:rsidRPr="00907345" w:rsidRDefault="00203D6B" w:rsidP="00203D6B">
      <w:pPr>
        <w:pStyle w:val="pldetails"/>
        <w:rPr>
          <w:lang w:val="en-US"/>
        </w:rPr>
      </w:pPr>
      <w:r w:rsidRPr="00907345">
        <w:rPr>
          <w:lang w:val="en-US"/>
        </w:rPr>
        <w:t xml:space="preserve">Birgit GULZ-KUSCHER (Ms.), Legal Advisor for Seed Law and Plant Variety Protection Law, Federal, Ministry for Agriculture Regions and Tourism, Vienna </w:t>
      </w:r>
      <w:r w:rsidRPr="00907345">
        <w:rPr>
          <w:lang w:val="en-US"/>
        </w:rPr>
        <w:br/>
        <w:t>(e-mail: birgit.gulz-kuscher@bmlrt.gv.at)</w:t>
      </w:r>
    </w:p>
    <w:p w:rsidR="00203D6B" w:rsidRPr="00907345" w:rsidRDefault="00203D6B" w:rsidP="00203D6B">
      <w:pPr>
        <w:pStyle w:val="plcountry"/>
        <w:rPr>
          <w:lang w:val="en-US"/>
        </w:rPr>
      </w:pPr>
      <w:r w:rsidRPr="00907345">
        <w:rPr>
          <w:lang w:val="en-US"/>
        </w:rPr>
        <w:t>BÉLARUS / BELARUS / BELARUS / BELARÚS</w:t>
      </w:r>
    </w:p>
    <w:p w:rsidR="00203D6B" w:rsidRPr="00907345" w:rsidRDefault="00203D6B" w:rsidP="00203D6B">
      <w:pPr>
        <w:pStyle w:val="pldetails"/>
        <w:rPr>
          <w:lang w:val="en-US"/>
        </w:rPr>
      </w:pPr>
      <w:r w:rsidRPr="00907345">
        <w:rPr>
          <w:lang w:val="en-US"/>
        </w:rPr>
        <w:t xml:space="preserve">Tatsiana SIAMASHKA (Ms.), Deputy Director, State Inspection for Testing and Protection of Plant Varieties, Minsk </w:t>
      </w:r>
      <w:r w:rsidRPr="00907345">
        <w:rPr>
          <w:lang w:val="en-US"/>
        </w:rPr>
        <w:br/>
        <w:t>(e-mail: belsort@mail.ru)</w:t>
      </w:r>
    </w:p>
    <w:p w:rsidR="00203D6B" w:rsidRPr="00907345" w:rsidRDefault="00203D6B" w:rsidP="00203D6B">
      <w:pPr>
        <w:pStyle w:val="pldetails"/>
        <w:rPr>
          <w:lang w:val="en-US"/>
        </w:rPr>
      </w:pPr>
      <w:r w:rsidRPr="00907345">
        <w:rPr>
          <w:lang w:val="en-US"/>
        </w:rPr>
        <w:lastRenderedPageBreak/>
        <w:t xml:space="preserve">Maryna SALADUKHA (Ms.), Deputy Head, International Cooperation Department, State Inspection for Testing and Protection of Plant Varieties, Minsk </w:t>
      </w:r>
      <w:r w:rsidRPr="00907345">
        <w:rPr>
          <w:lang w:val="en-US"/>
        </w:rPr>
        <w:br/>
        <w:t>(e-mail: belsort@mail.ru)</w:t>
      </w:r>
    </w:p>
    <w:p w:rsidR="00203D6B" w:rsidRPr="00907345" w:rsidRDefault="00203D6B" w:rsidP="00203D6B">
      <w:pPr>
        <w:pStyle w:val="plcountry"/>
        <w:rPr>
          <w:lang w:val="en-US"/>
        </w:rPr>
      </w:pPr>
      <w:r w:rsidRPr="00907345">
        <w:rPr>
          <w:lang w:val="en-US"/>
        </w:rPr>
        <w:t>BELGIQUE / BELGIUM / BELGIEN / BÉLGICA</w:t>
      </w:r>
    </w:p>
    <w:p w:rsidR="00203D6B" w:rsidRPr="00907345" w:rsidRDefault="00203D6B" w:rsidP="00203D6B">
      <w:pPr>
        <w:pStyle w:val="pldetails"/>
        <w:rPr>
          <w:lang w:val="en-US"/>
        </w:rPr>
      </w:pPr>
      <w:r w:rsidRPr="00907345">
        <w:rPr>
          <w:lang w:val="en-US"/>
        </w:rPr>
        <w:t xml:space="preserve">Shannah BOENS (Ms.), Attaché, FOD Economie, KMO, Middenstand en Energie, Algemene Directie Economische Reglementering, Dienst voor de Intellectuele Eigendom, Bruxelles </w:t>
      </w:r>
      <w:r w:rsidRPr="00907345">
        <w:rPr>
          <w:lang w:val="en-US"/>
        </w:rPr>
        <w:br/>
        <w:t>(e-mail: shannah.boens@economie.fgov.be)</w:t>
      </w:r>
    </w:p>
    <w:p w:rsidR="00203D6B" w:rsidRPr="00907345" w:rsidRDefault="00203D6B" w:rsidP="00203D6B">
      <w:pPr>
        <w:pStyle w:val="pldetails"/>
        <w:rPr>
          <w:lang w:val="fr-CH"/>
        </w:rPr>
      </w:pPr>
      <w:r w:rsidRPr="00907345">
        <w:rPr>
          <w:lang w:val="fr-CH"/>
        </w:rPr>
        <w:t xml:space="preserve">Florence BERNARD (Ms.), Attaché, Dienst voor de Intellectuele Eigendom, Bruxelles </w:t>
      </w:r>
      <w:r w:rsidRPr="00907345">
        <w:rPr>
          <w:lang w:val="fr-CH"/>
        </w:rPr>
        <w:br/>
        <w:t>(e-mail: florence.bernard@economie.fgov.be)</w:t>
      </w:r>
    </w:p>
    <w:p w:rsidR="00203D6B" w:rsidRPr="00907345" w:rsidRDefault="00203D6B" w:rsidP="00203D6B">
      <w:pPr>
        <w:pStyle w:val="plcountry"/>
        <w:rPr>
          <w:lang w:val="fr-CH"/>
        </w:rPr>
      </w:pPr>
      <w:r w:rsidRPr="00907345">
        <w:rPr>
          <w:lang w:val="fr-CH"/>
        </w:rPr>
        <w:t>BRÉSIL / BRAZIL / BRASILIEN / BRASIL</w:t>
      </w:r>
    </w:p>
    <w:p w:rsidR="00203D6B" w:rsidRPr="00907345" w:rsidRDefault="00203D6B" w:rsidP="00203D6B">
      <w:pPr>
        <w:pStyle w:val="pldetails"/>
        <w:rPr>
          <w:lang w:val="en-US"/>
        </w:rPr>
      </w:pPr>
      <w:r w:rsidRPr="00907345">
        <w:rPr>
          <w:lang w:val="en-US"/>
        </w:rPr>
        <w:t xml:space="preserve">Laís TAMANINI (Mr.), Second Secretary, Permanent Mission of Brazil to the United Nations Office and other international organizations in Geneva, Geneva </w:t>
      </w:r>
      <w:r w:rsidRPr="00907345">
        <w:rPr>
          <w:lang w:val="en-US"/>
        </w:rPr>
        <w:br/>
        <w:t>(e-mail: lais.tamanini@itamaraty.gov.br)</w:t>
      </w:r>
    </w:p>
    <w:p w:rsidR="00203D6B" w:rsidRPr="00907345" w:rsidRDefault="00203D6B" w:rsidP="00203D6B">
      <w:pPr>
        <w:pStyle w:val="pldetails"/>
        <w:rPr>
          <w:lang w:val="en-US"/>
        </w:rPr>
      </w:pPr>
      <w:r w:rsidRPr="00907345">
        <w:rPr>
          <w:lang w:val="en-US"/>
        </w:rPr>
        <w:t xml:space="preserve">Stefânia PALMA ARAUJO (Ms.), Federal Agricultural Inspector, Plant Variety Protection Office, National Plant Variety Protection Service (Serviço Nacional de Proteção de Cultivares - SNPC), Brasilia </w:t>
      </w:r>
      <w:r w:rsidRPr="00907345">
        <w:rPr>
          <w:lang w:val="en-US"/>
        </w:rPr>
        <w:br/>
        <w:t>(e-mail: stefania.araujo@agricultura.gov.br)</w:t>
      </w:r>
    </w:p>
    <w:p w:rsidR="00203D6B" w:rsidRPr="00907345" w:rsidRDefault="00203D6B" w:rsidP="00203D6B">
      <w:pPr>
        <w:pStyle w:val="plcountry"/>
        <w:rPr>
          <w:lang w:val="en-US"/>
        </w:rPr>
      </w:pPr>
      <w:r w:rsidRPr="00907345">
        <w:rPr>
          <w:lang w:val="en-US"/>
        </w:rPr>
        <w:t>BULGARIE / BULGARIA / BULGARIEN / BULGARIA</w:t>
      </w:r>
    </w:p>
    <w:p w:rsidR="00203D6B" w:rsidRPr="00907345" w:rsidRDefault="00203D6B" w:rsidP="00203D6B">
      <w:pPr>
        <w:pStyle w:val="pldetails"/>
        <w:rPr>
          <w:lang w:val="en-US"/>
        </w:rPr>
      </w:pPr>
      <w:r w:rsidRPr="00907345">
        <w:rPr>
          <w:lang w:val="en-US"/>
        </w:rPr>
        <w:t xml:space="preserve">Diliyan Rousev DIMITROV, Head of DUS Methodology Department, Executive Agency for Variety Testing, Field Inspection and Seed Control (EAVTFISC), Sofia </w:t>
      </w:r>
      <w:r w:rsidRPr="00907345">
        <w:rPr>
          <w:lang w:val="en-US"/>
        </w:rPr>
        <w:br/>
        <w:t>(e-mail: ddimitrov@iasas.government.bg)</w:t>
      </w:r>
    </w:p>
    <w:p w:rsidR="00203D6B" w:rsidRPr="00907345" w:rsidRDefault="00203D6B" w:rsidP="00203D6B">
      <w:pPr>
        <w:pStyle w:val="plcountry"/>
        <w:rPr>
          <w:lang w:val="en-US"/>
        </w:rPr>
      </w:pPr>
      <w:r w:rsidRPr="00907345">
        <w:rPr>
          <w:lang w:val="en-US"/>
        </w:rPr>
        <w:t>CANADA / CANADA / KANADA / CANADÁ</w:t>
      </w:r>
    </w:p>
    <w:p w:rsidR="00203D6B" w:rsidRPr="00907345" w:rsidRDefault="00203D6B" w:rsidP="00203D6B">
      <w:pPr>
        <w:pStyle w:val="pldetails"/>
        <w:rPr>
          <w:lang w:val="en-US"/>
        </w:rPr>
      </w:pPr>
      <w:r w:rsidRPr="00907345">
        <w:rPr>
          <w:lang w:val="en-US"/>
        </w:rPr>
        <w:t xml:space="preserve">Anthony PARKER (Mr.), Commissioner, Plant Breeders' Rights Office, Canadian Food Inspection Agency (CFIA), Ottawa </w:t>
      </w:r>
      <w:r w:rsidRPr="00907345">
        <w:rPr>
          <w:lang w:val="en-US"/>
        </w:rPr>
        <w:br/>
        <w:t>(e-mail: anthony.parker@inspection.gc.ca)</w:t>
      </w:r>
    </w:p>
    <w:p w:rsidR="00203D6B" w:rsidRPr="00907345" w:rsidRDefault="00203D6B" w:rsidP="00203D6B">
      <w:pPr>
        <w:pStyle w:val="pldetails"/>
        <w:rPr>
          <w:lang w:val="en-US"/>
        </w:rPr>
      </w:pPr>
      <w:r w:rsidRPr="00907345">
        <w:rPr>
          <w:lang w:val="en-US"/>
        </w:rPr>
        <w:t xml:space="preserve">Marc DE WIT (Mr.), Examiner, Plant Breeders' Rights Office, Canadian Food Inspection Agency (CFIA), Ottawa </w:t>
      </w:r>
      <w:r w:rsidRPr="00907345">
        <w:rPr>
          <w:lang w:val="en-US"/>
        </w:rPr>
        <w:br/>
        <w:t>(e-mail: Marc.deWit@Inspection.gc.ca)</w:t>
      </w:r>
    </w:p>
    <w:p w:rsidR="00203D6B" w:rsidRPr="00907345" w:rsidRDefault="00203D6B" w:rsidP="00203D6B">
      <w:pPr>
        <w:pStyle w:val="plcountry"/>
        <w:rPr>
          <w:lang w:val="es-ES"/>
        </w:rPr>
      </w:pPr>
      <w:r w:rsidRPr="00907345">
        <w:rPr>
          <w:lang w:val="es-ES"/>
        </w:rPr>
        <w:t>CHILI / CHILE / CHILE / CHILE</w:t>
      </w:r>
    </w:p>
    <w:p w:rsidR="00203D6B" w:rsidRPr="00907345" w:rsidRDefault="00203D6B" w:rsidP="00203D6B">
      <w:pPr>
        <w:pStyle w:val="pldetails"/>
        <w:rPr>
          <w:lang w:val="es-ES"/>
        </w:rPr>
      </w:pPr>
      <w:r w:rsidRPr="00907345">
        <w:rPr>
          <w:lang w:val="es-ES"/>
        </w:rPr>
        <w:t xml:space="preserve">Manuel Antonio TORO UGALDE (Sr.), Jefe Departamento, Registro de Variedades Protegidas, División Semillas, Servicio Agrícola y Ganadero (SAG), Santiago de Chile </w:t>
      </w:r>
      <w:r w:rsidRPr="00907345">
        <w:rPr>
          <w:lang w:val="es-ES"/>
        </w:rPr>
        <w:br/>
        <w:t xml:space="preserve">(e-mail: manuel.toro@sag.gob.cl) </w:t>
      </w:r>
    </w:p>
    <w:p w:rsidR="00203D6B" w:rsidRPr="00907345" w:rsidRDefault="00203D6B" w:rsidP="00203D6B">
      <w:pPr>
        <w:pStyle w:val="pldetails"/>
        <w:rPr>
          <w:lang w:val="es-ES"/>
        </w:rPr>
      </w:pPr>
      <w:r w:rsidRPr="00907345">
        <w:rPr>
          <w:lang w:val="es-ES"/>
        </w:rPr>
        <w:t xml:space="preserve">Alejandro Ignacio SAAVEDRA PÉREZ (Sr.), Profesional Registro de Variedades, Servicio Agrícola y Ganadero (SAG), Santiago de Chile </w:t>
      </w:r>
      <w:r w:rsidRPr="00907345">
        <w:rPr>
          <w:lang w:val="es-ES"/>
        </w:rPr>
        <w:br/>
        <w:t>(e-mail: alejandro.saavedra@sag.gob.cl)</w:t>
      </w:r>
    </w:p>
    <w:p w:rsidR="00203D6B" w:rsidRPr="00907345" w:rsidRDefault="00203D6B" w:rsidP="00203D6B">
      <w:pPr>
        <w:pStyle w:val="plcountry"/>
        <w:rPr>
          <w:lang w:val="en-US"/>
        </w:rPr>
      </w:pPr>
      <w:r w:rsidRPr="00907345">
        <w:rPr>
          <w:lang w:val="en-US"/>
        </w:rPr>
        <w:t>CHINE / CHINA / CHINA / CHINA</w:t>
      </w:r>
    </w:p>
    <w:p w:rsidR="00203D6B" w:rsidRPr="00907345" w:rsidRDefault="00203D6B" w:rsidP="00203D6B">
      <w:pPr>
        <w:pStyle w:val="pldetails"/>
        <w:rPr>
          <w:lang w:val="en-US"/>
        </w:rPr>
      </w:pPr>
      <w:r w:rsidRPr="00907345">
        <w:rPr>
          <w:lang w:val="en-US"/>
        </w:rPr>
        <w:t xml:space="preserve">Yehan CUI (Mr.), Principal Consultant, Division of Plant Variety Protection, Development Center of Science and Technology (DCST), Ministry of Agriculture and Rural Affairs (MARA), Beijing </w:t>
      </w:r>
      <w:r w:rsidRPr="00907345">
        <w:rPr>
          <w:lang w:val="en-US"/>
        </w:rPr>
        <w:br/>
        <w:t>(e-mail: cuiyehan@agri.gov.cn)</w:t>
      </w:r>
    </w:p>
    <w:p w:rsidR="00203D6B" w:rsidRPr="00907345" w:rsidRDefault="00203D6B" w:rsidP="00203D6B">
      <w:pPr>
        <w:pStyle w:val="pldetails"/>
        <w:rPr>
          <w:lang w:val="en-US"/>
        </w:rPr>
      </w:pPr>
      <w:r w:rsidRPr="00907345">
        <w:rPr>
          <w:lang w:val="en-US"/>
        </w:rPr>
        <w:t xml:space="preserve">Ruixi HAN (Mr.), Deputy Director, Division of DUS Tests, Development Center of Science and Technology (DCST), Ministry of Agriculture and Rural Affairs (MARA), Beijing </w:t>
      </w:r>
      <w:r w:rsidRPr="00907345">
        <w:rPr>
          <w:lang w:val="en-US"/>
        </w:rPr>
        <w:br/>
        <w:t>(e-mail: wudifeixue007@163.com)</w:t>
      </w:r>
    </w:p>
    <w:p w:rsidR="00203D6B" w:rsidRPr="00907345" w:rsidRDefault="00203D6B" w:rsidP="00203D6B">
      <w:pPr>
        <w:pStyle w:val="pldetails"/>
        <w:rPr>
          <w:lang w:val="en-US"/>
        </w:rPr>
      </w:pPr>
      <w:r w:rsidRPr="00907345">
        <w:rPr>
          <w:lang w:val="en-US"/>
        </w:rPr>
        <w:t xml:space="preserve">Yongqi ZHENG (Mr.), Research Professor, Laboratory of Molecular Identification of Plant Varieties, Office of Protection of New Varieties of Plants, National Forestry and Grassland Administration of China (NFGA), Beijing </w:t>
      </w:r>
      <w:r w:rsidRPr="00907345">
        <w:rPr>
          <w:lang w:val="en-US"/>
        </w:rPr>
        <w:br/>
        <w:t>(e-mail: zyq8565@126.com)</w:t>
      </w:r>
    </w:p>
    <w:p w:rsidR="00203D6B" w:rsidRPr="00907345" w:rsidRDefault="00203D6B" w:rsidP="00203D6B">
      <w:pPr>
        <w:pStyle w:val="pldetails"/>
        <w:rPr>
          <w:lang w:val="en-US"/>
        </w:rPr>
      </w:pPr>
      <w:r w:rsidRPr="00907345">
        <w:rPr>
          <w:lang w:val="en-US"/>
        </w:rPr>
        <w:t xml:space="preserve">Ping YANG (Ms.), Consultant, International Cooperation Department, China National Intellectual Property Administration (CNIPA), Beijing </w:t>
      </w:r>
      <w:r w:rsidRPr="00907345">
        <w:rPr>
          <w:lang w:val="en-US"/>
        </w:rPr>
        <w:br/>
        <w:t>(e-mail: yangping@cnipa.gov.cn)</w:t>
      </w:r>
    </w:p>
    <w:p w:rsidR="00203D6B" w:rsidRPr="00907345" w:rsidRDefault="00203D6B" w:rsidP="00203D6B">
      <w:pPr>
        <w:pStyle w:val="pldetails"/>
        <w:rPr>
          <w:lang w:val="en-US"/>
        </w:rPr>
      </w:pPr>
      <w:r w:rsidRPr="00907345">
        <w:rPr>
          <w:lang w:val="en-US"/>
        </w:rPr>
        <w:t xml:space="preserve">Chuanhong ZHANG (Ms.), Associate Research Professor, Research Institute of Forestry, Chinese Academy of Forestry, Beijing </w:t>
      </w:r>
      <w:r w:rsidRPr="00907345">
        <w:rPr>
          <w:lang w:val="en-US"/>
        </w:rPr>
        <w:br/>
        <w:t>(e-mail: zhangch@caf.ac.cn)</w:t>
      </w:r>
    </w:p>
    <w:p w:rsidR="00203D6B" w:rsidRPr="00907345" w:rsidRDefault="00203D6B" w:rsidP="00203D6B">
      <w:pPr>
        <w:pStyle w:val="pldetails"/>
        <w:rPr>
          <w:lang w:val="en-US"/>
        </w:rPr>
      </w:pPr>
      <w:r w:rsidRPr="00907345">
        <w:rPr>
          <w:lang w:val="en-US"/>
        </w:rPr>
        <w:lastRenderedPageBreak/>
        <w:t xml:space="preserve">Yifan WU (Ms.), Program Administrator, International Cooperation Department, National Intellectual Property Administration (CNIPA), Beijing </w:t>
      </w:r>
      <w:r w:rsidRPr="00907345">
        <w:rPr>
          <w:lang w:val="en-US"/>
        </w:rPr>
        <w:br/>
        <w:t>(e-mail: wuyifan_1@cnipa.gov.cn)</w:t>
      </w:r>
    </w:p>
    <w:p w:rsidR="00203D6B" w:rsidRPr="00907345" w:rsidRDefault="00203D6B" w:rsidP="00203D6B">
      <w:pPr>
        <w:pStyle w:val="pldetails"/>
        <w:rPr>
          <w:lang w:val="en-US"/>
        </w:rPr>
      </w:pPr>
      <w:r w:rsidRPr="00907345">
        <w:rPr>
          <w:lang w:val="en-US"/>
        </w:rPr>
        <w:t xml:space="preserve">Yilei HOU (Ms.), Lecturer, Beijing Forestry University, Beijing </w:t>
      </w:r>
      <w:r w:rsidRPr="00907345">
        <w:rPr>
          <w:lang w:val="en-US"/>
        </w:rPr>
        <w:br/>
        <w:t>(e-mail: houyilei427@163.com)</w:t>
      </w:r>
    </w:p>
    <w:p w:rsidR="00203D6B" w:rsidRPr="00907345" w:rsidRDefault="00203D6B" w:rsidP="00203D6B">
      <w:pPr>
        <w:pStyle w:val="pldetails"/>
        <w:rPr>
          <w:lang w:val="en-US"/>
        </w:rPr>
      </w:pPr>
      <w:r w:rsidRPr="00907345">
        <w:rPr>
          <w:lang w:val="en-US"/>
        </w:rPr>
        <w:t xml:space="preserve">Yuxia LIU (Ms.), Principal Staff Member, Division of Plant Variety Protection, Office for Protection of New Varieties of Plant, National Forestry and Grassland Administration of China (NFGA), Beijing </w:t>
      </w:r>
      <w:r w:rsidRPr="00907345">
        <w:rPr>
          <w:lang w:val="en-US"/>
        </w:rPr>
        <w:br/>
        <w:t>(e-mail: liuyuxia@cnpvp.net)</w:t>
      </w:r>
    </w:p>
    <w:p w:rsidR="00203D6B" w:rsidRPr="0018141D" w:rsidRDefault="00203D6B" w:rsidP="00203D6B">
      <w:pPr>
        <w:pStyle w:val="plcountry"/>
        <w:rPr>
          <w:lang w:val="es-ES"/>
        </w:rPr>
      </w:pPr>
      <w:r w:rsidRPr="0018141D">
        <w:rPr>
          <w:lang w:val="es-ES"/>
        </w:rPr>
        <w:t>COLOMBIE / COLOMBIA / KOLUMBIEN / COLOMBIA</w:t>
      </w:r>
    </w:p>
    <w:p w:rsidR="00203D6B" w:rsidRPr="0018141D" w:rsidRDefault="00203D6B" w:rsidP="00203D6B">
      <w:pPr>
        <w:pStyle w:val="pldetails"/>
        <w:rPr>
          <w:lang w:val="es-ES"/>
        </w:rPr>
      </w:pPr>
      <w:r w:rsidRPr="0018141D">
        <w:rPr>
          <w:lang w:val="es-ES"/>
        </w:rPr>
        <w:t xml:space="preserve">Alfonso Alberto ROSERO (Sr.), Director Técnico de Semillas, Subgerencia de Protección Vegetal, Instituto Colombiano Agropecuario (ICA), Bogotá </w:t>
      </w:r>
      <w:r w:rsidRPr="0018141D">
        <w:rPr>
          <w:lang w:val="es-ES"/>
        </w:rPr>
        <w:br/>
        <w:t>(e-mail: alberto.rosero@ica.gov.co)</w:t>
      </w:r>
    </w:p>
    <w:p w:rsidR="00203D6B" w:rsidRPr="00907345" w:rsidRDefault="00203D6B" w:rsidP="00203D6B">
      <w:pPr>
        <w:pStyle w:val="plcountry"/>
        <w:rPr>
          <w:lang w:val="en-US"/>
        </w:rPr>
      </w:pPr>
      <w:r w:rsidRPr="00907345">
        <w:rPr>
          <w:lang w:val="en-US"/>
        </w:rPr>
        <w:t>DANEMARK / DENMARK / DÄNEMARK / DINAMARCA</w:t>
      </w:r>
    </w:p>
    <w:p w:rsidR="00203D6B" w:rsidRPr="00907345" w:rsidRDefault="00203D6B" w:rsidP="00203D6B">
      <w:pPr>
        <w:pStyle w:val="pldetails"/>
        <w:rPr>
          <w:lang w:val="en-US"/>
        </w:rPr>
      </w:pPr>
      <w:r w:rsidRPr="00907345">
        <w:rPr>
          <w:lang w:val="en-US"/>
        </w:rPr>
        <w:t xml:space="preserve">Kristine Bech KLINDT (Ms.), Special Consultant, Ministry of Environment and Food of Denmark, The Danish AgriFish Agency, Copenhagen </w:t>
      </w:r>
      <w:r w:rsidRPr="00907345">
        <w:rPr>
          <w:lang w:val="en-US"/>
        </w:rPr>
        <w:br/>
        <w:t>(e-mail: krba@naturerhverv.dk)</w:t>
      </w:r>
    </w:p>
    <w:p w:rsidR="00203D6B" w:rsidRPr="00907345" w:rsidRDefault="00203D6B" w:rsidP="00203D6B">
      <w:pPr>
        <w:pStyle w:val="plcountry"/>
        <w:rPr>
          <w:lang w:val="en-US"/>
        </w:rPr>
      </w:pPr>
      <w:r w:rsidRPr="00907345">
        <w:rPr>
          <w:lang w:val="en-US"/>
        </w:rPr>
        <w:t>ÉGYPTE / EGYPT / ÄGYPTEN / EGIPTO</w:t>
      </w:r>
    </w:p>
    <w:p w:rsidR="00203D6B" w:rsidRPr="00907345" w:rsidRDefault="00203D6B" w:rsidP="00203D6B">
      <w:pPr>
        <w:pStyle w:val="pldetails"/>
        <w:rPr>
          <w:lang w:val="en-US"/>
        </w:rPr>
      </w:pPr>
      <w:r w:rsidRPr="00907345">
        <w:rPr>
          <w:lang w:val="en-US"/>
        </w:rPr>
        <w:t xml:space="preserve">Mahasen Fawaz Mohamed GAD (Ms.), General Manager, Plant Variety Protection Office, Central Administration for Seed Certification (CASC), Giza </w:t>
      </w:r>
      <w:r w:rsidRPr="00907345">
        <w:rPr>
          <w:lang w:val="en-US"/>
        </w:rPr>
        <w:br/>
        <w:t>(e-mail: mahasen.f.gad@gmail.com)</w:t>
      </w:r>
    </w:p>
    <w:p w:rsidR="00203D6B" w:rsidRPr="00907345" w:rsidRDefault="00203D6B" w:rsidP="00203D6B">
      <w:pPr>
        <w:pStyle w:val="pldetails"/>
        <w:rPr>
          <w:lang w:val="en-US"/>
        </w:rPr>
      </w:pPr>
      <w:r w:rsidRPr="00907345">
        <w:rPr>
          <w:lang w:val="en-US"/>
        </w:rPr>
        <w:t xml:space="preserve">Shymaa ABOSHOSHA (Ms.), Agronomist, Plant Variety Protection Office (PVPO), Central Administration for Seed Testing and Certification (CASC), Giza </w:t>
      </w:r>
      <w:r w:rsidRPr="00907345">
        <w:rPr>
          <w:lang w:val="en-US"/>
        </w:rPr>
        <w:br/>
        <w:t>(e-mail: sh_z9@hotmail.com)</w:t>
      </w:r>
    </w:p>
    <w:p w:rsidR="00203D6B" w:rsidRPr="00907345" w:rsidRDefault="00203D6B" w:rsidP="00203D6B">
      <w:pPr>
        <w:pStyle w:val="plcountry"/>
        <w:rPr>
          <w:lang w:val="es-ES"/>
        </w:rPr>
      </w:pPr>
      <w:r w:rsidRPr="00907345">
        <w:rPr>
          <w:lang w:val="es-ES"/>
        </w:rPr>
        <w:t>ÉQUATEUR / ECUADOR / ECUADOR / ECUADOR</w:t>
      </w:r>
    </w:p>
    <w:p w:rsidR="00203D6B" w:rsidRPr="00907345" w:rsidRDefault="00203D6B" w:rsidP="00203D6B">
      <w:pPr>
        <w:pStyle w:val="pldetails"/>
        <w:rPr>
          <w:lang w:val="es-ES"/>
        </w:rPr>
      </w:pPr>
      <w:r w:rsidRPr="00907345">
        <w:rPr>
          <w:lang w:val="es-ES"/>
        </w:rPr>
        <w:t xml:space="preserve">Paulina MOSQUERA HIDALGO (Sra.), Directora Nacional de Obtenciones Vegetales y Conocimientos Tradicionales, Servicio Nacional de Derechos Intelectuales (SENADI), Quito </w:t>
      </w:r>
      <w:r w:rsidRPr="00907345">
        <w:rPr>
          <w:lang w:val="es-ES"/>
        </w:rPr>
        <w:br/>
        <w:t>(e-mail: pcmosquera@senadi.gob.ec)</w:t>
      </w:r>
    </w:p>
    <w:p w:rsidR="00203D6B" w:rsidRPr="00907345" w:rsidRDefault="00203D6B" w:rsidP="00203D6B">
      <w:pPr>
        <w:pStyle w:val="pldetails"/>
        <w:rPr>
          <w:lang w:val="es-ES"/>
        </w:rPr>
      </w:pPr>
      <w:r w:rsidRPr="00907345">
        <w:rPr>
          <w:lang w:val="es-ES"/>
        </w:rPr>
        <w:t xml:space="preserve">Yadira YACELGA (Sra.), Delegada, Dirección Nacional de Obtenciones Vegetales, Servicio Nacional de Derechos Intelectuales, Quito </w:t>
      </w:r>
      <w:r w:rsidRPr="00907345">
        <w:rPr>
          <w:lang w:val="es-ES"/>
        </w:rPr>
        <w:br/>
        <w:t>(e-mail: yadiyacelga@gmail.com)</w:t>
      </w:r>
    </w:p>
    <w:p w:rsidR="00203D6B" w:rsidRPr="00907345" w:rsidRDefault="00203D6B" w:rsidP="00203D6B">
      <w:pPr>
        <w:pStyle w:val="plcountry"/>
        <w:rPr>
          <w:lang w:val="es-ES"/>
        </w:rPr>
      </w:pPr>
      <w:r w:rsidRPr="00907345">
        <w:rPr>
          <w:lang w:val="es-ES"/>
        </w:rPr>
        <w:t>ESPAGNE / SPAIN / SPANIEN / ESPAÑA</w:t>
      </w:r>
    </w:p>
    <w:p w:rsidR="00203D6B" w:rsidRPr="00907345" w:rsidRDefault="00203D6B" w:rsidP="00203D6B">
      <w:pPr>
        <w:pStyle w:val="pldetails"/>
        <w:rPr>
          <w:lang w:val="es-ES"/>
        </w:rPr>
      </w:pPr>
      <w:r w:rsidRPr="00907345">
        <w:rPr>
          <w:lang w:val="es-ES"/>
        </w:rPr>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907345">
        <w:rPr>
          <w:lang w:val="es-ES"/>
        </w:rPr>
        <w:br/>
        <w:t>(e-mail: nurquia@mapa.es)</w:t>
      </w:r>
    </w:p>
    <w:p w:rsidR="00203D6B" w:rsidRPr="00907345" w:rsidRDefault="00203D6B" w:rsidP="00203D6B">
      <w:pPr>
        <w:pStyle w:val="plcountry"/>
        <w:rPr>
          <w:lang w:val="en-US"/>
        </w:rPr>
      </w:pPr>
      <w:r w:rsidRPr="00907345">
        <w:rPr>
          <w:lang w:val="en-US"/>
        </w:rPr>
        <w:t>ESTONIE / ESTONIA / ESTLAND / ESTONIA</w:t>
      </w:r>
    </w:p>
    <w:p w:rsidR="00203D6B" w:rsidRPr="00907345" w:rsidRDefault="00203D6B" w:rsidP="00203D6B">
      <w:pPr>
        <w:pStyle w:val="pldetails"/>
        <w:rPr>
          <w:lang w:val="en-US"/>
        </w:rPr>
      </w:pPr>
      <w:r w:rsidRPr="00907345">
        <w:rPr>
          <w:lang w:val="en-US"/>
        </w:rPr>
        <w:t xml:space="preserve">Laima PUUR (Ms.), Counsellor, Organic Farming and Seed Department, Estonian Agricultural and Food Board, Viljandi </w:t>
      </w:r>
      <w:r w:rsidRPr="00907345">
        <w:rPr>
          <w:lang w:val="en-US"/>
        </w:rPr>
        <w:br/>
        <w:t>(e-mail: laima.puur@pta.agri.ee)</w:t>
      </w:r>
    </w:p>
    <w:p w:rsidR="00203D6B" w:rsidRPr="00907345" w:rsidRDefault="00203D6B" w:rsidP="00203D6B">
      <w:pPr>
        <w:pStyle w:val="pldetails"/>
        <w:rPr>
          <w:lang w:val="en-US"/>
        </w:rPr>
      </w:pPr>
      <w:r w:rsidRPr="00907345">
        <w:rPr>
          <w:lang w:val="en-US"/>
        </w:rPr>
        <w:t xml:space="preserve">Merjan SAVILA (Ms.), Head, Plant Material, Plant Health Department, Ministry of Rural Affairs, Tallinn </w:t>
      </w:r>
      <w:r w:rsidRPr="00907345">
        <w:rPr>
          <w:lang w:val="en-US"/>
        </w:rPr>
        <w:br/>
        <w:t>(e-mail: Marjan.Savila@agri.ee)</w:t>
      </w:r>
    </w:p>
    <w:p w:rsidR="00203D6B" w:rsidRPr="00907345" w:rsidRDefault="00203D6B" w:rsidP="00203D6B">
      <w:pPr>
        <w:pStyle w:val="plcountry"/>
        <w:rPr>
          <w:lang w:val="en-US"/>
        </w:rPr>
      </w:pPr>
      <w:r w:rsidRPr="00907345">
        <w:rPr>
          <w:lang w:val="en-US"/>
        </w:rPr>
        <w:t xml:space="preserve">ÉTATS-UNIS D'AMÉRIQUE / UNITED STATES OF AMERICA / VEREINIGTE STAATEN VON AMERIKA / </w:t>
      </w:r>
      <w:r w:rsidRPr="00907345">
        <w:rPr>
          <w:lang w:val="en-US"/>
        </w:rPr>
        <w:br/>
        <w:t>ESTADOS UNIDOS DE AMÉRICA</w:t>
      </w:r>
    </w:p>
    <w:p w:rsidR="00203D6B" w:rsidRPr="00907345" w:rsidRDefault="00203D6B" w:rsidP="00203D6B">
      <w:pPr>
        <w:pStyle w:val="pldetails"/>
        <w:rPr>
          <w:lang w:val="en-US"/>
        </w:rPr>
      </w:pPr>
      <w:r w:rsidRPr="00907345">
        <w:rPr>
          <w:lang w:val="en-US"/>
        </w:rPr>
        <w:t xml:space="preserve">Elaine WU (Ms.), Principal Counsel and Director, Office of Policy and International Affairs (OPIA), U.S. Patent and Trademark Office (USPTO), Department of Commerce, Alexandria </w:t>
      </w:r>
      <w:r w:rsidRPr="00907345">
        <w:rPr>
          <w:lang w:val="en-US"/>
        </w:rPr>
        <w:br/>
        <w:t>(e-mail: elaine.wu@uspto.gov)</w:t>
      </w:r>
    </w:p>
    <w:p w:rsidR="00203D6B" w:rsidRPr="00907345" w:rsidRDefault="00203D6B" w:rsidP="00203D6B">
      <w:pPr>
        <w:pStyle w:val="pldetails"/>
        <w:rPr>
          <w:lang w:val="en-US"/>
        </w:rPr>
      </w:pPr>
      <w:r w:rsidRPr="00907345">
        <w:rPr>
          <w:lang w:val="en-US"/>
        </w:rPr>
        <w:t xml:space="preserve">Christian HANNON (Mr.), Patent Attorney, Office of Policy and International Affairs (OPIA), U.S. Patent and Trademark Office (USPTO), Department of Commerce, Alexandria </w:t>
      </w:r>
      <w:r w:rsidRPr="00907345">
        <w:rPr>
          <w:lang w:val="en-US"/>
        </w:rPr>
        <w:br/>
        <w:t>(e-mail: christian.hannon@uspto.gov)</w:t>
      </w:r>
    </w:p>
    <w:p w:rsidR="00203D6B" w:rsidRPr="00907345" w:rsidRDefault="00203D6B" w:rsidP="00203D6B">
      <w:pPr>
        <w:pStyle w:val="pldetails"/>
        <w:rPr>
          <w:lang w:val="en-US"/>
        </w:rPr>
      </w:pPr>
      <w:r w:rsidRPr="00907345">
        <w:rPr>
          <w:lang w:val="en-US"/>
        </w:rPr>
        <w:t xml:space="preserve">Jeffery HAYNES (Mr.), Commissioner, Plant Variety Protection Office, USDA, AMS, S&amp;T, Washington D.C. </w:t>
      </w:r>
      <w:r w:rsidRPr="00907345">
        <w:rPr>
          <w:lang w:val="en-US"/>
        </w:rPr>
        <w:br/>
        <w:t>(e-mail: Jeffery.Haynes@usda.gov)</w:t>
      </w:r>
    </w:p>
    <w:p w:rsidR="00203D6B" w:rsidRPr="00907345" w:rsidRDefault="00203D6B" w:rsidP="00203D6B">
      <w:pPr>
        <w:pStyle w:val="pldetails"/>
        <w:rPr>
          <w:lang w:val="en-US"/>
        </w:rPr>
      </w:pPr>
      <w:r w:rsidRPr="00907345">
        <w:rPr>
          <w:lang w:val="en-US"/>
        </w:rPr>
        <w:lastRenderedPageBreak/>
        <w:t xml:space="preserve">Yasmine Nicole FULENA (Ms.), Intellectual Property Adviser, Permanent Mission of the United States of America to the United Nations Office and other international organizations in Geneva, Chambésy </w:t>
      </w:r>
      <w:r w:rsidRPr="00907345">
        <w:rPr>
          <w:lang w:val="en-US"/>
        </w:rPr>
        <w:br/>
        <w:t>(e-mail: fulenayn@state.gov)</w:t>
      </w:r>
    </w:p>
    <w:p w:rsidR="00203D6B" w:rsidRPr="00907345" w:rsidRDefault="00203D6B" w:rsidP="00203D6B">
      <w:pPr>
        <w:pStyle w:val="plcountry"/>
        <w:rPr>
          <w:lang w:val="en-US"/>
        </w:rPr>
      </w:pPr>
      <w:r w:rsidRPr="00907345">
        <w:rPr>
          <w:lang w:val="en-US"/>
        </w:rPr>
        <w:t xml:space="preserve">FÉDÉRATION DE RUSSIE / RUSSIAN FEDERATION / RUSSISCHE FÖDERATION / </w:t>
      </w:r>
      <w:r w:rsidRPr="00907345">
        <w:rPr>
          <w:lang w:val="en-US"/>
        </w:rPr>
        <w:br/>
        <w:t>FEDERACIÓN DE RUSIA</w:t>
      </w:r>
    </w:p>
    <w:p w:rsidR="00203D6B" w:rsidRPr="00907345" w:rsidRDefault="00203D6B" w:rsidP="00203D6B">
      <w:pPr>
        <w:pStyle w:val="pldetails"/>
        <w:rPr>
          <w:lang w:val="en-US"/>
        </w:rPr>
      </w:pPr>
      <w:r w:rsidRPr="00907345">
        <w:rPr>
          <w:lang w:val="en-US"/>
        </w:rPr>
        <w:t xml:space="preserve">Ekaterina BOYKO (Ms.), Deputy Head, Department for Methodology and International Cooperation, State Commission of the Russian Federation for Selection Achievements Test and Protection, Moscow </w:t>
      </w:r>
      <w:r w:rsidRPr="00907345">
        <w:rPr>
          <w:lang w:val="en-US"/>
        </w:rPr>
        <w:br/>
        <w:t>(e-mail: metod@gossortrf.ru)</w:t>
      </w:r>
    </w:p>
    <w:p w:rsidR="00203D6B" w:rsidRPr="00907345" w:rsidRDefault="00203D6B" w:rsidP="00203D6B">
      <w:pPr>
        <w:pStyle w:val="plcountry"/>
        <w:rPr>
          <w:lang w:val="en-US"/>
        </w:rPr>
      </w:pPr>
      <w:r w:rsidRPr="00907345">
        <w:rPr>
          <w:lang w:val="en-US"/>
        </w:rPr>
        <w:t>FINLANDE / FINLAND / FINNLAND / FINLANDIA</w:t>
      </w:r>
    </w:p>
    <w:p w:rsidR="00203D6B" w:rsidRPr="00907345" w:rsidRDefault="00203D6B" w:rsidP="00203D6B">
      <w:pPr>
        <w:pStyle w:val="pldetails"/>
        <w:rPr>
          <w:lang w:val="en-US"/>
        </w:rPr>
      </w:pPr>
      <w:r w:rsidRPr="00907345">
        <w:rPr>
          <w:lang w:val="en-US"/>
        </w:rPr>
        <w:t>Tarja Päivikki HIETARANTA (Ms.), Senior Officer, Plant Variety Registration, Finnish Food Authority, Loimaa</w:t>
      </w:r>
      <w:r w:rsidRPr="00907345">
        <w:rPr>
          <w:lang w:val="en-US"/>
        </w:rPr>
        <w:br/>
        <w:t>(e-mail: tarja.hietaranta@ruokavirasto.fi)</w:t>
      </w:r>
    </w:p>
    <w:p w:rsidR="00203D6B" w:rsidRPr="00907345" w:rsidRDefault="00203D6B" w:rsidP="00203D6B">
      <w:pPr>
        <w:pStyle w:val="plcountry"/>
        <w:rPr>
          <w:lang w:val="fr-CH"/>
        </w:rPr>
      </w:pPr>
      <w:r w:rsidRPr="00907345">
        <w:rPr>
          <w:lang w:val="fr-CH"/>
        </w:rPr>
        <w:t>FRANCE / France / FRANKREICH / FRANCIA</w:t>
      </w:r>
    </w:p>
    <w:p w:rsidR="00203D6B" w:rsidRPr="00907345" w:rsidRDefault="00203D6B" w:rsidP="00203D6B">
      <w:pPr>
        <w:pStyle w:val="pldetails"/>
        <w:rPr>
          <w:lang w:val="fr-CH"/>
        </w:rPr>
      </w:pPr>
      <w:r w:rsidRPr="00907345">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907345">
        <w:rPr>
          <w:lang w:val="fr-CH"/>
        </w:rPr>
        <w:br/>
        <w:t>(e-mail: mariem.omrani@agriculture.gouv.fr)</w:t>
      </w:r>
    </w:p>
    <w:p w:rsidR="00203D6B" w:rsidRPr="00907345" w:rsidRDefault="00203D6B" w:rsidP="00203D6B">
      <w:pPr>
        <w:pStyle w:val="pldetails"/>
        <w:rPr>
          <w:lang w:val="fr-CH"/>
        </w:rPr>
      </w:pPr>
      <w:r w:rsidRPr="00907345">
        <w:rPr>
          <w:lang w:val="fr-CH"/>
        </w:rPr>
        <w:t xml:space="preserve">Alain TRIDON (M.), Directeur Général, Groupe d'Etude et de contrôle des Variétés et des Semences (GEVES), Beaucouzé </w:t>
      </w:r>
      <w:r w:rsidRPr="00907345">
        <w:rPr>
          <w:lang w:val="fr-CH"/>
        </w:rPr>
        <w:br/>
        <w:t>(e-mail: alain.tridon@geves.fr)</w:t>
      </w:r>
    </w:p>
    <w:p w:rsidR="00203D6B" w:rsidRPr="00907345" w:rsidRDefault="00203D6B" w:rsidP="00203D6B">
      <w:pPr>
        <w:pStyle w:val="pldetails"/>
        <w:rPr>
          <w:lang w:val="fr-CH"/>
        </w:rPr>
      </w:pPr>
      <w:r w:rsidRPr="00907345">
        <w:rPr>
          <w:lang w:val="fr-CH"/>
        </w:rPr>
        <w:t xml:space="preserve">Yvane MERESSE (Mme), Responsable INOV, Groupe d'Étude et de Contrôle des Variétés et des Semences (GEVES), Beaucouzé cedex </w:t>
      </w:r>
      <w:r w:rsidRPr="00907345">
        <w:rPr>
          <w:lang w:val="fr-CH"/>
        </w:rPr>
        <w:br/>
        <w:t>(e-mail: yvane.meresse@geves.fr)</w:t>
      </w:r>
    </w:p>
    <w:p w:rsidR="00203D6B" w:rsidRPr="00907345" w:rsidRDefault="00203D6B" w:rsidP="00203D6B">
      <w:pPr>
        <w:pStyle w:val="plcountry"/>
        <w:rPr>
          <w:lang w:val="en-US"/>
        </w:rPr>
      </w:pPr>
      <w:r w:rsidRPr="00907345">
        <w:rPr>
          <w:lang w:val="en-US"/>
        </w:rPr>
        <w:t>GÉORGIE / GEORGIA / GEORGIEN / GEORGIA</w:t>
      </w:r>
    </w:p>
    <w:p w:rsidR="00203D6B" w:rsidRPr="00907345" w:rsidRDefault="00203D6B" w:rsidP="00203D6B">
      <w:pPr>
        <w:pStyle w:val="pldetails"/>
        <w:rPr>
          <w:lang w:val="en-US"/>
        </w:rPr>
      </w:pPr>
      <w:r w:rsidRPr="00907345">
        <w:rPr>
          <w:lang w:val="en-US"/>
        </w:rPr>
        <w:t xml:space="preserve">Merab KUTSIA (Mr.), Head, Department of Inventions and New Plant Varieties and Animal Breeds, National Intellectual Property Center (SAKPATENTI), Mtskheta </w:t>
      </w:r>
      <w:r w:rsidRPr="00907345">
        <w:rPr>
          <w:lang w:val="en-US"/>
        </w:rPr>
        <w:br/>
        <w:t>(e-mail: mkutsia@sakpatenti.org.ge)</w:t>
      </w:r>
    </w:p>
    <w:p w:rsidR="00203D6B" w:rsidRPr="00907345" w:rsidRDefault="00203D6B" w:rsidP="00203D6B">
      <w:pPr>
        <w:pStyle w:val="plcountry"/>
        <w:rPr>
          <w:lang w:val="en-US"/>
        </w:rPr>
      </w:pPr>
      <w:r w:rsidRPr="00907345">
        <w:rPr>
          <w:lang w:val="en-US"/>
        </w:rPr>
        <w:t>HONGRIE / HUNGARY / UNGARN / HUNGRÍA</w:t>
      </w:r>
    </w:p>
    <w:p w:rsidR="00203D6B" w:rsidRPr="00907345" w:rsidRDefault="00203D6B" w:rsidP="00203D6B">
      <w:pPr>
        <w:pStyle w:val="pldetails"/>
        <w:rPr>
          <w:lang w:val="en-US"/>
        </w:rPr>
      </w:pPr>
      <w:r w:rsidRPr="00907345">
        <w:rPr>
          <w:lang w:val="en-US"/>
        </w:rPr>
        <w:t xml:space="preserve">Katalin MIKLÓ (Ms.), Head, Patent Department, Hungarian Intellectual Property Office, Budapest </w:t>
      </w:r>
      <w:r w:rsidRPr="00907345">
        <w:rPr>
          <w:lang w:val="en-US"/>
        </w:rPr>
        <w:br/>
        <w:t>(e-mail: katalin.miklo@hipo.gov.hu)</w:t>
      </w:r>
    </w:p>
    <w:p w:rsidR="00203D6B" w:rsidRPr="00907345" w:rsidRDefault="00203D6B" w:rsidP="00203D6B">
      <w:pPr>
        <w:pStyle w:val="plcountry"/>
        <w:rPr>
          <w:lang w:val="en-US"/>
        </w:rPr>
      </w:pPr>
      <w:r w:rsidRPr="00907345">
        <w:rPr>
          <w:lang w:val="en-US"/>
        </w:rPr>
        <w:t>IRLANDE / IRELAND / IRLAND / IRLANDA</w:t>
      </w:r>
    </w:p>
    <w:p w:rsidR="00203D6B" w:rsidRPr="00907345" w:rsidRDefault="00203D6B" w:rsidP="00203D6B">
      <w:pPr>
        <w:pStyle w:val="pldetails"/>
        <w:rPr>
          <w:lang w:val="en-US"/>
        </w:rPr>
      </w:pPr>
      <w:r w:rsidRPr="00907345">
        <w:rPr>
          <w:lang w:val="en-US"/>
        </w:rPr>
        <w:t xml:space="preserve">Elizabeth HYLAND (Ms.), Agricultural Inspector, Office of the Controller of Plant Breeders Rights, Department of Agriculture, Food and the Marine, Piltown, Carrick-on-Suir </w:t>
      </w:r>
      <w:r w:rsidRPr="00907345">
        <w:rPr>
          <w:lang w:val="en-US"/>
        </w:rPr>
        <w:br/>
        <w:t>(e-mail: Elizabeth.Hyland@agriculture.gov.ie)</w:t>
      </w:r>
    </w:p>
    <w:p w:rsidR="00203D6B" w:rsidRPr="00907345" w:rsidRDefault="00203D6B" w:rsidP="00203D6B">
      <w:pPr>
        <w:pStyle w:val="plcountry"/>
        <w:rPr>
          <w:lang w:val="en-US"/>
        </w:rPr>
      </w:pPr>
      <w:r w:rsidRPr="00907345">
        <w:rPr>
          <w:lang w:val="en-US"/>
        </w:rPr>
        <w:t>ISRAËL / ISRAEL / ISRAEL / ISRAEL</w:t>
      </w:r>
    </w:p>
    <w:p w:rsidR="00203D6B" w:rsidRPr="00907345" w:rsidRDefault="00203D6B" w:rsidP="00203D6B">
      <w:pPr>
        <w:pStyle w:val="pldetails"/>
        <w:rPr>
          <w:lang w:val="en-US"/>
        </w:rPr>
      </w:pPr>
      <w:r w:rsidRPr="00907345">
        <w:rPr>
          <w:lang w:val="en-US"/>
        </w:rPr>
        <w:t xml:space="preserve">Dikla DABBY-NAOR (Ms.), Chairperson, Plant Breeders' Rights Council, Ministry of Agriculture and Rural Development, Beit-Dagan </w:t>
      </w:r>
      <w:r w:rsidRPr="00907345">
        <w:rPr>
          <w:lang w:val="en-US"/>
        </w:rPr>
        <w:br/>
        <w:t>(e-mail: diklad@moag.gov.il)</w:t>
      </w:r>
    </w:p>
    <w:p w:rsidR="00203D6B" w:rsidRPr="00907345" w:rsidRDefault="00203D6B" w:rsidP="00203D6B">
      <w:pPr>
        <w:pStyle w:val="pldetails"/>
        <w:rPr>
          <w:lang w:val="en-US"/>
        </w:rPr>
      </w:pPr>
      <w:r w:rsidRPr="00907345">
        <w:rPr>
          <w:lang w:val="en-US"/>
        </w:rPr>
        <w:t xml:space="preserve">Zipora RASABY (Ms.), PBR Coordinator, Plant Breeders' Rights Council, Ministry of Agriculture and Rural Development, Beit-Dagan </w:t>
      </w:r>
      <w:r w:rsidRPr="00907345">
        <w:rPr>
          <w:lang w:val="en-US"/>
        </w:rPr>
        <w:br/>
        <w:t>(e-mail: tsippyr@moag.gov.il)</w:t>
      </w:r>
    </w:p>
    <w:p w:rsidR="00203D6B" w:rsidRPr="00907345" w:rsidRDefault="00203D6B" w:rsidP="00203D6B">
      <w:pPr>
        <w:pStyle w:val="plcountry"/>
        <w:rPr>
          <w:lang w:val="en-US"/>
        </w:rPr>
      </w:pPr>
      <w:r w:rsidRPr="00907345">
        <w:rPr>
          <w:lang w:val="en-US"/>
        </w:rPr>
        <w:t>JAPON / JAPAN / JAPAN / JAPÓN</w:t>
      </w:r>
    </w:p>
    <w:p w:rsidR="00203D6B" w:rsidRPr="00907345" w:rsidRDefault="00203D6B" w:rsidP="00203D6B">
      <w:pPr>
        <w:pStyle w:val="pldetails"/>
        <w:rPr>
          <w:lang w:val="en-US"/>
        </w:rPr>
      </w:pPr>
      <w:r w:rsidRPr="00907345">
        <w:rPr>
          <w:lang w:val="en-US"/>
        </w:rPr>
        <w:t xml:space="preserve">Hayato FUKUI (Mr.), Director, Intellectual Property Division, Export and International Affairs Bureau, Ministry of Agriculture, Forestry and Fisheries (MAFF), Tokyo </w:t>
      </w:r>
      <w:r w:rsidRPr="00907345">
        <w:rPr>
          <w:lang w:val="en-US"/>
        </w:rPr>
        <w:br/>
        <w:t>(e-mail: hayato_fukui420@maff.go.jp)</w:t>
      </w:r>
    </w:p>
    <w:p w:rsidR="00203D6B" w:rsidRPr="00907345" w:rsidRDefault="00203D6B" w:rsidP="00203D6B">
      <w:pPr>
        <w:pStyle w:val="pldetails"/>
        <w:rPr>
          <w:lang w:val="en-US"/>
        </w:rPr>
      </w:pPr>
      <w:r w:rsidRPr="00907345">
        <w:rPr>
          <w:lang w:val="en-US"/>
        </w:rPr>
        <w:t xml:space="preserve">Teruhisa MIYAMOTO (Mr.), Deputy Director for International Affairs, Intellectual Propetry Division, Export and International Affairs Bureau, Ministry of Agriculture, Forestry and Fisheries (MAFF), Tokyo </w:t>
      </w:r>
      <w:r w:rsidRPr="00907345">
        <w:rPr>
          <w:lang w:val="en-US"/>
        </w:rPr>
        <w:br/>
        <w:t>(e-mail: teruhisa_miyamoto170@maff.go.jp)</w:t>
      </w:r>
    </w:p>
    <w:p w:rsidR="00203D6B" w:rsidRPr="00907345" w:rsidRDefault="00203D6B" w:rsidP="00203D6B">
      <w:pPr>
        <w:pStyle w:val="pldetails"/>
        <w:rPr>
          <w:lang w:val="en-US"/>
        </w:rPr>
      </w:pPr>
      <w:r w:rsidRPr="00907345">
        <w:rPr>
          <w:lang w:val="en-US"/>
        </w:rPr>
        <w:t xml:space="preserve">Ryusaku KASHIWAGI (Mr.), Chief Examiner, Plant Variety Protection Office, Intellectual Property Division, Export and International Affairs Bureau, Ministry of Agriculture, Forestry and Fisheries (MAFF), Tokyo </w:t>
      </w:r>
      <w:r w:rsidRPr="00907345">
        <w:rPr>
          <w:lang w:val="en-US"/>
        </w:rPr>
        <w:br/>
        <w:t>(e-mail: ryusaku_kashiwagi840@maff.go.jp)</w:t>
      </w:r>
    </w:p>
    <w:p w:rsidR="00203D6B" w:rsidRPr="00907345" w:rsidRDefault="00203D6B" w:rsidP="00203D6B">
      <w:pPr>
        <w:pStyle w:val="pldetails"/>
        <w:rPr>
          <w:lang w:val="en-US"/>
        </w:rPr>
      </w:pPr>
      <w:r w:rsidRPr="00907345">
        <w:rPr>
          <w:lang w:val="en-US"/>
        </w:rPr>
        <w:lastRenderedPageBreak/>
        <w:t xml:space="preserve">Daisuke FUJITSUKA (Mr.), Technical Official, Intellectual Property Division, Export and International Affairs Bureau, Ministry of Agriculture, Forestry and Fisheries (MAFF), Tokyo </w:t>
      </w:r>
      <w:r w:rsidRPr="00907345">
        <w:rPr>
          <w:lang w:val="en-US"/>
        </w:rPr>
        <w:br/>
        <w:t>(e-mail: daisuke_fujitsuka080@maff.go.jp)</w:t>
      </w:r>
    </w:p>
    <w:p w:rsidR="00203D6B" w:rsidRPr="00907345" w:rsidRDefault="00203D6B" w:rsidP="00203D6B">
      <w:pPr>
        <w:pStyle w:val="pldetails"/>
        <w:rPr>
          <w:lang w:val="en-US"/>
        </w:rPr>
      </w:pPr>
      <w:r w:rsidRPr="00907345">
        <w:rPr>
          <w:lang w:val="en-US"/>
        </w:rPr>
        <w:t xml:space="preserve">Yoshiyuki OHNO (Mr.), Examiner, Intellectual Property Division , Export and International Affairs Bureau, Ministry of Agriculture, Forestry and Fisheries (MAFF), Tokyo </w:t>
      </w:r>
      <w:r w:rsidRPr="00907345">
        <w:rPr>
          <w:lang w:val="en-US"/>
        </w:rPr>
        <w:br/>
        <w:t>(e-mail: yoshiyuki_ono300@maff.go.jp)</w:t>
      </w:r>
    </w:p>
    <w:p w:rsidR="00203D6B" w:rsidRPr="00907345" w:rsidRDefault="00203D6B" w:rsidP="00203D6B">
      <w:pPr>
        <w:pStyle w:val="plcountry"/>
        <w:rPr>
          <w:lang w:val="en-US"/>
        </w:rPr>
      </w:pPr>
      <w:r w:rsidRPr="00907345">
        <w:rPr>
          <w:lang w:val="en-US"/>
        </w:rPr>
        <w:t>LITUANIE / LITHUANIA / LITAUEN / LITUANIA</w:t>
      </w:r>
    </w:p>
    <w:p w:rsidR="00203D6B" w:rsidRPr="00907345" w:rsidRDefault="00203D6B" w:rsidP="00203D6B">
      <w:pPr>
        <w:pStyle w:val="pldetails"/>
        <w:rPr>
          <w:lang w:val="en-US"/>
        </w:rPr>
      </w:pPr>
      <w:r w:rsidRPr="00907345">
        <w:rPr>
          <w:lang w:val="en-US"/>
        </w:rPr>
        <w:t xml:space="preserve">Jovita KULIKAUSKAITE (Ms.), Acting Head, Plant Variety Division, State Plant Service under the Ministry of Agriculture (MoA), Vilnius </w:t>
      </w:r>
      <w:r w:rsidRPr="00907345">
        <w:rPr>
          <w:lang w:val="en-US"/>
        </w:rPr>
        <w:br/>
        <w:t>(e-mail: jovita.kulikauskaite@vatzum.lt)</w:t>
      </w:r>
    </w:p>
    <w:p w:rsidR="00203D6B" w:rsidRPr="00907345" w:rsidRDefault="00203D6B" w:rsidP="00203D6B">
      <w:pPr>
        <w:pStyle w:val="plcountry"/>
        <w:rPr>
          <w:lang w:val="fr-CH"/>
        </w:rPr>
      </w:pPr>
      <w:r w:rsidRPr="00907345">
        <w:rPr>
          <w:lang w:val="fr-CH"/>
        </w:rPr>
        <w:t>MAROC / MOROCCO / MAROKKO / MARRUECOS</w:t>
      </w:r>
    </w:p>
    <w:p w:rsidR="00203D6B" w:rsidRPr="00907345" w:rsidRDefault="00203D6B" w:rsidP="00203D6B">
      <w:pPr>
        <w:pStyle w:val="pldetails"/>
        <w:rPr>
          <w:lang w:val="fr-CH"/>
        </w:rPr>
      </w:pPr>
      <w:r w:rsidRPr="00907345">
        <w:rPr>
          <w:lang w:val="fr-CH"/>
        </w:rPr>
        <w:t xml:space="preserve">Ibtihaj BELMEHDI (Mme), Chef de service de contrôle des plants, Office National de Sécurité de Produits Alimentaires (ONSSA), Rabat  </w:t>
      </w:r>
      <w:r w:rsidRPr="00907345">
        <w:rPr>
          <w:lang w:val="fr-CH"/>
        </w:rPr>
        <w:br/>
        <w:t>(e-mail: ibtibelmehdi@hotmail.com)</w:t>
      </w:r>
    </w:p>
    <w:p w:rsidR="00203D6B" w:rsidRPr="0018141D" w:rsidRDefault="00203D6B" w:rsidP="00203D6B">
      <w:pPr>
        <w:pStyle w:val="plcountry"/>
        <w:rPr>
          <w:lang w:val="es-ES"/>
        </w:rPr>
      </w:pPr>
      <w:r w:rsidRPr="0018141D">
        <w:rPr>
          <w:lang w:val="es-ES"/>
        </w:rPr>
        <w:t>MEXIQUE / MEXICO / MEXIKO / MÉXICO</w:t>
      </w:r>
    </w:p>
    <w:p w:rsidR="00203D6B" w:rsidRPr="0018141D" w:rsidRDefault="00203D6B" w:rsidP="00203D6B">
      <w:pPr>
        <w:pStyle w:val="pldetails"/>
        <w:rPr>
          <w:lang w:val="es-ES"/>
        </w:rPr>
      </w:pPr>
      <w:r w:rsidRPr="0018141D">
        <w:rPr>
          <w:lang w:val="es-ES"/>
        </w:rPr>
        <w:t xml:space="preserve">Filiberto GASTELUM SERNA (Mr.), Administrative Director, Ciudad de México </w:t>
      </w:r>
      <w:r w:rsidRPr="0018141D">
        <w:rPr>
          <w:lang w:val="es-ES"/>
        </w:rPr>
        <w:br/>
        <w:t>(e-mail: filiberto.gastelum@agricultura.gob.mx)</w:t>
      </w:r>
    </w:p>
    <w:p w:rsidR="00203D6B" w:rsidRPr="00907345" w:rsidRDefault="00203D6B" w:rsidP="00203D6B">
      <w:pPr>
        <w:pStyle w:val="pldetails"/>
        <w:rPr>
          <w:lang w:val="es-ES"/>
        </w:rPr>
      </w:pPr>
      <w:r w:rsidRPr="00907345">
        <w:rPr>
          <w:lang w:val="es-ES"/>
        </w:rPr>
        <w:t xml:space="preserve">Víctor Manuel VÁSQUEZ NAVARRETE (Sr.), Director de área, Servicio Nacional de Inspección y Certificación de Semillas (SNICS), Secretaria de Agricultura y Desarrollo Rural (Agricultura), Ciudad de México </w:t>
      </w:r>
      <w:r w:rsidRPr="00907345">
        <w:rPr>
          <w:lang w:val="es-ES"/>
        </w:rPr>
        <w:br/>
        <w:t>(e-mail: victor.vasquez@agricultura.gob.mx)</w:t>
      </w:r>
    </w:p>
    <w:p w:rsidR="00203D6B" w:rsidRPr="00907345" w:rsidRDefault="00203D6B" w:rsidP="00203D6B">
      <w:pPr>
        <w:pStyle w:val="plcountry"/>
        <w:rPr>
          <w:lang w:val="en-US"/>
        </w:rPr>
      </w:pPr>
      <w:r w:rsidRPr="00907345">
        <w:rPr>
          <w:lang w:val="en-US"/>
        </w:rPr>
        <w:t>NORVÈGE / NORWAY / NORWEGEN / NORUEGA</w:t>
      </w:r>
    </w:p>
    <w:p w:rsidR="00203D6B" w:rsidRPr="00907345" w:rsidRDefault="00203D6B" w:rsidP="00203D6B">
      <w:pPr>
        <w:pStyle w:val="pldetails"/>
        <w:rPr>
          <w:lang w:val="en-US"/>
        </w:rPr>
      </w:pPr>
      <w:r w:rsidRPr="00907345">
        <w:rPr>
          <w:lang w:val="en-US"/>
        </w:rPr>
        <w:t xml:space="preserve">Pia BORG (Ms.), Senior Advisor, Norwegian Food Safety Authority, Brumunddal </w:t>
      </w:r>
      <w:r w:rsidRPr="00907345">
        <w:rPr>
          <w:lang w:val="en-US"/>
        </w:rPr>
        <w:br/>
        <w:t>(e-mail: pia.borg@mattilsynet.no)</w:t>
      </w:r>
    </w:p>
    <w:p w:rsidR="00203D6B" w:rsidRPr="00907345" w:rsidRDefault="00203D6B" w:rsidP="00203D6B">
      <w:pPr>
        <w:pStyle w:val="pldetails"/>
        <w:rPr>
          <w:lang w:val="en-US"/>
        </w:rPr>
      </w:pPr>
      <w:r w:rsidRPr="00907345">
        <w:rPr>
          <w:lang w:val="en-US"/>
        </w:rPr>
        <w:t xml:space="preserve">Elin Cecilie RANUM (Ms.), Advisor, Oslo </w:t>
      </w:r>
      <w:r w:rsidRPr="00907345">
        <w:rPr>
          <w:lang w:val="en-US"/>
        </w:rPr>
        <w:br/>
        <w:t>(e-mail: elin@utviklingsfondet.no)</w:t>
      </w:r>
    </w:p>
    <w:p w:rsidR="00203D6B" w:rsidRPr="00907345" w:rsidRDefault="00203D6B" w:rsidP="00203D6B">
      <w:pPr>
        <w:pStyle w:val="plcountry"/>
        <w:rPr>
          <w:lang w:val="en-US"/>
        </w:rPr>
      </w:pPr>
      <w:r w:rsidRPr="00907345">
        <w:rPr>
          <w:lang w:val="en-US"/>
        </w:rPr>
        <w:t>NOUVELLE-ZÉLANDE / NEW ZEALAND / NEUSEELAND / NUEVA ZELANDIA</w:t>
      </w:r>
    </w:p>
    <w:p w:rsidR="00203D6B" w:rsidRPr="00907345" w:rsidRDefault="00203D6B" w:rsidP="00203D6B">
      <w:pPr>
        <w:pStyle w:val="pldetails"/>
        <w:rPr>
          <w:lang w:val="en-US"/>
        </w:rPr>
      </w:pPr>
      <w:r w:rsidRPr="00907345">
        <w:rPr>
          <w:lang w:val="en-US"/>
        </w:rPr>
        <w:t xml:space="preserve">Christopher James BARNABY (Mr.), PVR Manager / Assistant Commissioner, Plant Variety Rights Office, Intellectual Property Office of New Zealand, Ministry of Business, Innovation and Employment, Christchurch </w:t>
      </w:r>
      <w:r w:rsidRPr="00907345">
        <w:rPr>
          <w:lang w:val="en-US"/>
        </w:rPr>
        <w:br/>
        <w:t>(e-mail: Chris.Barnaby@pvr.govt.nz)</w:t>
      </w:r>
    </w:p>
    <w:p w:rsidR="00203D6B" w:rsidRPr="0018141D" w:rsidRDefault="00203D6B" w:rsidP="00203D6B">
      <w:pPr>
        <w:pStyle w:val="plcountry"/>
        <w:rPr>
          <w:lang w:val="en-US"/>
        </w:rPr>
      </w:pPr>
      <w:r w:rsidRPr="0018141D">
        <w:rPr>
          <w:lang w:val="en-US"/>
        </w:rPr>
        <w:t xml:space="preserve">ORGANISATION AFRICAINE DE LA PROPRIÉTÉ INTELLECTUELLE / </w:t>
      </w:r>
      <w:r w:rsidRPr="0018141D">
        <w:rPr>
          <w:lang w:val="en-US"/>
        </w:rPr>
        <w:br/>
        <w:t xml:space="preserve">AFRICAN INTELLECTUAL PROPERTY ORGANIZATION / </w:t>
      </w:r>
      <w:r w:rsidRPr="0018141D">
        <w:rPr>
          <w:lang w:val="en-US"/>
        </w:rPr>
        <w:br/>
        <w:t xml:space="preserve">AFRIKANISCHE ORGANISATION FÜR GEISTIGES EIGENTUM / </w:t>
      </w:r>
      <w:r w:rsidRPr="0018141D">
        <w:rPr>
          <w:lang w:val="en-US"/>
        </w:rPr>
        <w:br/>
        <w:t>ORGANIZACIÓN AFRICANA DE LA PROPIEDAD INTELECTUAL</w:t>
      </w:r>
    </w:p>
    <w:p w:rsidR="00203D6B" w:rsidRPr="00907345" w:rsidRDefault="00203D6B" w:rsidP="00203D6B">
      <w:pPr>
        <w:pStyle w:val="pldetails"/>
        <w:rPr>
          <w:lang w:val="fr-CH"/>
        </w:rPr>
      </w:pPr>
      <w:r w:rsidRPr="00907345">
        <w:rPr>
          <w:lang w:val="fr-CH"/>
        </w:rPr>
        <w:t xml:space="preserve">Odile FOUDA KOUNOU (Mme), Chargée de la délivrance des brevets et certificats d’obtention végétale, Direction des Brevets et autres créations techniques (DBCT), Organisation africaine de la propriété intellectuelle (OAPI), Yaoundé </w:t>
      </w:r>
      <w:r w:rsidRPr="00907345">
        <w:rPr>
          <w:lang w:val="fr-CH"/>
        </w:rPr>
        <w:br/>
        <w:t>(e-mail: odile.fouda-kounou@oapi.int)</w:t>
      </w:r>
    </w:p>
    <w:p w:rsidR="00203D6B" w:rsidRPr="00907345" w:rsidRDefault="00203D6B" w:rsidP="00203D6B">
      <w:pPr>
        <w:pStyle w:val="plcountry"/>
        <w:rPr>
          <w:lang w:val="en-US"/>
        </w:rPr>
      </w:pPr>
      <w:r w:rsidRPr="00907345">
        <w:rPr>
          <w:lang w:val="en-US"/>
        </w:rPr>
        <w:t>PAYS-BAS / NETHERLANDS / NIEDERLANDE / PAÍSES BAJOS</w:t>
      </w:r>
    </w:p>
    <w:p w:rsidR="00203D6B" w:rsidRPr="00907345" w:rsidRDefault="00203D6B" w:rsidP="00203D6B">
      <w:pPr>
        <w:pStyle w:val="pldetails"/>
        <w:rPr>
          <w:lang w:val="en-US"/>
        </w:rPr>
      </w:pPr>
      <w:r w:rsidRPr="00907345">
        <w:rPr>
          <w:lang w:val="en-US"/>
        </w:rPr>
        <w:t xml:space="preserve">Marien VALSTAR (Mr.), Senior Policy Officer, Seeds and Plant Propagation Material, DG Agro, Ministry of Agriculture, Nature and Food Quality, The Hague </w:t>
      </w:r>
      <w:r w:rsidRPr="00907345">
        <w:rPr>
          <w:lang w:val="en-US"/>
        </w:rPr>
        <w:br/>
        <w:t>(e-mail: m.valstar@minlnv.nl)</w:t>
      </w:r>
    </w:p>
    <w:p w:rsidR="00203D6B" w:rsidRPr="00907345" w:rsidRDefault="00203D6B" w:rsidP="00203D6B">
      <w:pPr>
        <w:pStyle w:val="pldetails"/>
        <w:rPr>
          <w:lang w:val="en-US"/>
        </w:rPr>
      </w:pPr>
      <w:r w:rsidRPr="00907345">
        <w:rPr>
          <w:lang w:val="en-US"/>
        </w:rPr>
        <w:t xml:space="preserve">Kees Jan GROENEWOUD (Mr.), Secretary, Dutch Board for Plant Varieties (Raad voor Plantenrassen), Roelofarendsveen </w:t>
      </w:r>
      <w:r w:rsidRPr="00907345">
        <w:rPr>
          <w:lang w:val="en-US"/>
        </w:rPr>
        <w:br/>
        <w:t>(e-mail: c.j.a.groenewoud@raadvoorplantenrassen.nl)</w:t>
      </w:r>
    </w:p>
    <w:p w:rsidR="00203D6B" w:rsidRPr="00907345" w:rsidRDefault="00203D6B" w:rsidP="00203D6B">
      <w:pPr>
        <w:pStyle w:val="pldetails"/>
        <w:rPr>
          <w:lang w:val="en-US"/>
        </w:rPr>
      </w:pPr>
      <w:r w:rsidRPr="00907345">
        <w:rPr>
          <w:lang w:val="en-US"/>
        </w:rPr>
        <w:t xml:space="preserve">Bert SCHOLTE (Mr.), Head Department Variety Testing, Naktuinbouw NL, Roelofarendsveen </w:t>
      </w:r>
      <w:r w:rsidRPr="00907345">
        <w:rPr>
          <w:lang w:val="en-US"/>
        </w:rPr>
        <w:br/>
        <w:t>(e-mail: b.scholte@naktuinbouw.nl)</w:t>
      </w:r>
    </w:p>
    <w:p w:rsidR="00203D6B" w:rsidRPr="00907345" w:rsidRDefault="00203D6B" w:rsidP="00203D6B">
      <w:pPr>
        <w:pStyle w:val="plcountry"/>
        <w:rPr>
          <w:lang w:val="en-US"/>
        </w:rPr>
      </w:pPr>
      <w:r w:rsidRPr="00907345">
        <w:rPr>
          <w:lang w:val="en-US"/>
        </w:rPr>
        <w:lastRenderedPageBreak/>
        <w:t>POLOGNE / POLAND / POLEN / POLONIA</w:t>
      </w:r>
    </w:p>
    <w:p w:rsidR="00203D6B" w:rsidRPr="00907345" w:rsidRDefault="00203D6B" w:rsidP="00203D6B">
      <w:pPr>
        <w:pStyle w:val="pldetails"/>
        <w:rPr>
          <w:lang w:val="en-US"/>
        </w:rPr>
      </w:pPr>
      <w:r w:rsidRPr="00907345">
        <w:rPr>
          <w:lang w:val="en-US"/>
        </w:rPr>
        <w:t xml:space="preserve">Marcin BEHNKE (Mr.), Deputy Director General for Experimental Affairs, Research Centre for Cultivar Testing (COBORU), Slupia Wielka </w:t>
      </w:r>
      <w:r w:rsidRPr="00907345">
        <w:rPr>
          <w:lang w:val="en-US"/>
        </w:rPr>
        <w:br/>
        <w:t>(e-mail: m.behnke@coboru.gov.pl)</w:t>
      </w:r>
    </w:p>
    <w:p w:rsidR="00203D6B" w:rsidRPr="00907345" w:rsidRDefault="00203D6B" w:rsidP="00203D6B">
      <w:pPr>
        <w:pStyle w:val="pldetails"/>
        <w:rPr>
          <w:lang w:val="en-US"/>
        </w:rPr>
      </w:pPr>
      <w:r w:rsidRPr="00907345">
        <w:rPr>
          <w:lang w:val="en-US"/>
        </w:rPr>
        <w:t xml:space="preserve">Małgorzata JANISZEWSKA-MICHALSKA (Ms.), Head, Legal and Human Resources Office, Research Centre for Cultivar Testing (COBORU), Slupia Wielka </w:t>
      </w:r>
      <w:r w:rsidRPr="00907345">
        <w:rPr>
          <w:lang w:val="en-US"/>
        </w:rPr>
        <w:br/>
        <w:t>(e-mail: m.janiszewska@coboru.pl)</w:t>
      </w:r>
    </w:p>
    <w:p w:rsidR="00203D6B" w:rsidRPr="00907345" w:rsidRDefault="00203D6B" w:rsidP="00203D6B">
      <w:pPr>
        <w:pStyle w:val="pldetails"/>
        <w:rPr>
          <w:lang w:val="en-US"/>
        </w:rPr>
      </w:pPr>
      <w:r w:rsidRPr="00907345">
        <w:rPr>
          <w:lang w:val="en-US"/>
        </w:rPr>
        <w:t xml:space="preserve">Alicja RUTKOWSKA-LOS (Mrs.), Head, National Listing and Plant Breeders' Rights Protection Office, The Research Centre for Cultivar Testing (COBORU), Slupia Wielka </w:t>
      </w:r>
      <w:r w:rsidRPr="00907345">
        <w:rPr>
          <w:lang w:val="en-US"/>
        </w:rPr>
        <w:br/>
        <w:t>(e-mail: a.rutkowska-los@coboru.gov.pl)</w:t>
      </w:r>
    </w:p>
    <w:p w:rsidR="00203D6B" w:rsidRPr="00907345" w:rsidRDefault="00203D6B" w:rsidP="00203D6B">
      <w:pPr>
        <w:pStyle w:val="pldetails"/>
        <w:rPr>
          <w:lang w:val="en-US"/>
        </w:rPr>
      </w:pPr>
      <w:r w:rsidRPr="00907345">
        <w:rPr>
          <w:lang w:val="en-US"/>
        </w:rPr>
        <w:t xml:space="preserve">Marcin KRÓL (Mr.), Head, DUS Testing Department, Research Centre for Cultivar Testing (COBORU), Slupia Wielka </w:t>
      </w:r>
      <w:r w:rsidRPr="00907345">
        <w:rPr>
          <w:lang w:val="en-US"/>
        </w:rPr>
        <w:br/>
        <w:t>(e-mail: M.Krol@coboru.gov.pl)</w:t>
      </w:r>
    </w:p>
    <w:p w:rsidR="00203D6B" w:rsidRPr="00907345" w:rsidRDefault="00203D6B" w:rsidP="00203D6B">
      <w:pPr>
        <w:pStyle w:val="plcountry"/>
        <w:rPr>
          <w:lang w:val="en-US"/>
        </w:rPr>
      </w:pPr>
      <w:r w:rsidRPr="00907345">
        <w:rPr>
          <w:lang w:val="en-US"/>
        </w:rPr>
        <w:t>RÉPUBLIQUE DE CORÉE / REPUBLIC OF KOREA / REPUBLIK KOREA / REPÚBLICA DE COREA</w:t>
      </w:r>
    </w:p>
    <w:p w:rsidR="00203D6B" w:rsidRPr="00907345" w:rsidRDefault="00203D6B" w:rsidP="00203D6B">
      <w:pPr>
        <w:pStyle w:val="pldetails"/>
        <w:rPr>
          <w:lang w:val="en-US"/>
        </w:rPr>
      </w:pPr>
      <w:r w:rsidRPr="00907345">
        <w:rPr>
          <w:lang w:val="en-US"/>
        </w:rPr>
        <w:t xml:space="preserve">Hyung-Geun AHN (Mr.), Director, Plant Variety Protection Division, Korean Seed and Variety Service (KSVS), Gimcheon </w:t>
      </w:r>
      <w:r w:rsidRPr="00907345">
        <w:rPr>
          <w:lang w:val="en-US"/>
        </w:rPr>
        <w:br/>
        <w:t>(e-mail: hgahn@korea.kr)</w:t>
      </w:r>
    </w:p>
    <w:p w:rsidR="00203D6B" w:rsidRPr="00907345" w:rsidRDefault="00203D6B" w:rsidP="00203D6B">
      <w:pPr>
        <w:pStyle w:val="pldetails"/>
        <w:rPr>
          <w:lang w:val="en-US"/>
        </w:rPr>
      </w:pPr>
      <w:r w:rsidRPr="00907345">
        <w:rPr>
          <w:lang w:val="en-US"/>
        </w:rPr>
        <w:t xml:space="preserve">Yongseok JANG (Mr.), Director, Plant Variety Protection Division, National Forest Seed Variety Center (NFSV), Chungcheongbuk-do </w:t>
      </w:r>
      <w:r w:rsidRPr="00907345">
        <w:rPr>
          <w:lang w:val="en-US"/>
        </w:rPr>
        <w:br/>
        <w:t>(e-mail: mushrm@korea.kr)</w:t>
      </w:r>
    </w:p>
    <w:p w:rsidR="00203D6B" w:rsidRPr="00907345" w:rsidRDefault="00203D6B" w:rsidP="00203D6B">
      <w:pPr>
        <w:pStyle w:val="pldetails"/>
        <w:rPr>
          <w:lang w:val="en-US"/>
        </w:rPr>
      </w:pPr>
      <w:r w:rsidRPr="00907345">
        <w:rPr>
          <w:lang w:val="en-US"/>
        </w:rPr>
        <w:t xml:space="preserve">Yoon-Young KIM (Mr.), Researcher, Plant Variety Protection Division, National Forest Seed Variety Center (NFSV), Chungcheongbuk-do </w:t>
      </w:r>
      <w:r w:rsidRPr="00907345">
        <w:rPr>
          <w:lang w:val="en-US"/>
        </w:rPr>
        <w:br/>
        <w:t>(e-mail: wildflower2@korea.kr)</w:t>
      </w:r>
    </w:p>
    <w:p w:rsidR="00203D6B" w:rsidRPr="00907345" w:rsidRDefault="00203D6B" w:rsidP="00203D6B">
      <w:pPr>
        <w:pStyle w:val="pldetails"/>
        <w:rPr>
          <w:lang w:val="en-US"/>
        </w:rPr>
      </w:pPr>
      <w:r w:rsidRPr="00907345">
        <w:rPr>
          <w:lang w:val="en-US"/>
        </w:rPr>
        <w:t xml:space="preserve">Kwanghong LEE (Mr.), DUS Examiner, Korea Seed and Variety Service (KSVS), Gyeongsangbuk-do </w:t>
      </w:r>
      <w:r w:rsidRPr="00907345">
        <w:rPr>
          <w:lang w:val="en-US"/>
        </w:rPr>
        <w:br/>
        <w:t>(e-mail: grin@korea.kr)</w:t>
      </w:r>
    </w:p>
    <w:p w:rsidR="00203D6B" w:rsidRPr="00907345" w:rsidRDefault="00203D6B" w:rsidP="00203D6B">
      <w:pPr>
        <w:pStyle w:val="pldetails"/>
        <w:rPr>
          <w:lang w:val="en-US"/>
        </w:rPr>
      </w:pPr>
      <w:r w:rsidRPr="00907345">
        <w:rPr>
          <w:lang w:val="en-US"/>
        </w:rPr>
        <w:t xml:space="preserve">Chan Woong PARK (Mr.), Examiner, International Cooperation Division, Korea Seed &amp; Variety Service (KSVS), Gyeongsangbuk-do </w:t>
      </w:r>
      <w:r w:rsidRPr="00907345">
        <w:rPr>
          <w:lang w:val="en-US"/>
        </w:rPr>
        <w:br/>
        <w:t>(e-mail: chwopark@korea.kr)</w:t>
      </w:r>
    </w:p>
    <w:p w:rsidR="00203D6B" w:rsidRPr="0018141D" w:rsidRDefault="00203D6B" w:rsidP="00203D6B">
      <w:pPr>
        <w:pStyle w:val="plcountry"/>
        <w:rPr>
          <w:lang w:val="es-ES"/>
        </w:rPr>
      </w:pPr>
      <w:r w:rsidRPr="0018141D">
        <w:rPr>
          <w:lang w:val="es-ES"/>
        </w:rPr>
        <w:t xml:space="preserve">RÉPUBLIQUE Dominicaine / dominican REPUBLIC / dominikanische REPUBLIK / </w:t>
      </w:r>
      <w:r w:rsidRPr="0018141D">
        <w:rPr>
          <w:lang w:val="es-ES"/>
        </w:rPr>
        <w:br/>
        <w:t>REPÚBLICA Dominicana</w:t>
      </w:r>
    </w:p>
    <w:p w:rsidR="00203D6B" w:rsidRPr="0018141D" w:rsidRDefault="00203D6B" w:rsidP="00203D6B">
      <w:pPr>
        <w:pStyle w:val="pldetails"/>
        <w:rPr>
          <w:lang w:val="es-ES"/>
        </w:rPr>
      </w:pPr>
      <w:r w:rsidRPr="0018141D">
        <w:rPr>
          <w:lang w:val="es-ES"/>
        </w:rPr>
        <w:t xml:space="preserve">María Ayalivis GARCÍA MEDRANO (Sra.), Directora, Oficina para el Registro de Variedades y Obtenciones Vegetales (OREVADO), Ministerio de Agricultura, Santo Domingo </w:t>
      </w:r>
      <w:r w:rsidRPr="0018141D">
        <w:rPr>
          <w:lang w:val="es-ES"/>
        </w:rPr>
        <w:br/>
        <w:t>(e-mail: mgarcia@orevado.gob.do)</w:t>
      </w:r>
    </w:p>
    <w:p w:rsidR="00203D6B" w:rsidRPr="0018141D" w:rsidRDefault="00203D6B" w:rsidP="00203D6B">
      <w:pPr>
        <w:pStyle w:val="pldetails"/>
        <w:rPr>
          <w:lang w:val="es-ES"/>
        </w:rPr>
      </w:pPr>
      <w:r w:rsidRPr="0018141D">
        <w:rPr>
          <w:lang w:val="es-ES"/>
        </w:rPr>
        <w:t xml:space="preserve">Octavio Augusto BERAS-GOICO JUSTINIANO (Sr.), Encargado del Departamento Legal, Oficina de Registro de Variedades y Obtenciones Vegetales (OREVADO), Santo Domingo </w:t>
      </w:r>
      <w:r w:rsidRPr="0018141D">
        <w:rPr>
          <w:lang w:val="es-ES"/>
        </w:rPr>
        <w:br/>
        <w:t>(e-mail: ota470@gmail.com)</w:t>
      </w:r>
    </w:p>
    <w:p w:rsidR="00203D6B" w:rsidRPr="0018141D" w:rsidRDefault="00203D6B" w:rsidP="00203D6B">
      <w:pPr>
        <w:pStyle w:val="plcountry"/>
        <w:rPr>
          <w:lang w:val="es-ES"/>
        </w:rPr>
      </w:pPr>
      <w:r w:rsidRPr="0018141D">
        <w:rPr>
          <w:lang w:val="es-ES"/>
        </w:rPr>
        <w:t>RÉPUBLIQUE TCHÈQUE / CZECH REPUBLIC / TSCHECHISCHE REPUBLIK / REPÚBLICA CHECA</w:t>
      </w:r>
    </w:p>
    <w:p w:rsidR="00203D6B" w:rsidRPr="00907345" w:rsidRDefault="00203D6B" w:rsidP="00203D6B">
      <w:pPr>
        <w:pStyle w:val="pldetails"/>
        <w:rPr>
          <w:lang w:val="en-US"/>
        </w:rPr>
      </w:pPr>
      <w:r w:rsidRPr="00907345">
        <w:rPr>
          <w:lang w:val="en-US"/>
        </w:rPr>
        <w:t xml:space="preserve">Andrea POVOLNÁ (Ms.), Head of DUS Department, National Plant Variety Office, Central Institute for Supervising and Testing in Agriculture (ÚKZÚZ), Brno </w:t>
      </w:r>
      <w:r w:rsidRPr="00907345">
        <w:rPr>
          <w:lang w:val="en-US"/>
        </w:rPr>
        <w:br/>
        <w:t>(e-mail: andrea.povolna@ukzuz.cz)</w:t>
      </w:r>
    </w:p>
    <w:p w:rsidR="00203D6B" w:rsidRPr="0018141D" w:rsidRDefault="00203D6B" w:rsidP="00203D6B">
      <w:pPr>
        <w:pStyle w:val="plcountry"/>
        <w:rPr>
          <w:lang w:val="es-ES"/>
        </w:rPr>
      </w:pPr>
      <w:r w:rsidRPr="0018141D">
        <w:rPr>
          <w:lang w:val="es-ES"/>
        </w:rPr>
        <w:t xml:space="preserve">RÉPUBLIQUE-UNIE DE TANZANIE / UNITED REPUBLIC OF TANZANIA / </w:t>
      </w:r>
      <w:r w:rsidRPr="0018141D">
        <w:rPr>
          <w:lang w:val="es-ES"/>
        </w:rPr>
        <w:br/>
        <w:t>VEREINIGTE REPUBLIK TANSANIA / REPÚBLICA UNIDA DE TANZANÍA</w:t>
      </w:r>
    </w:p>
    <w:p w:rsidR="00203D6B" w:rsidRPr="00907345" w:rsidRDefault="00203D6B" w:rsidP="00203D6B">
      <w:pPr>
        <w:pStyle w:val="pldetails"/>
        <w:rPr>
          <w:lang w:val="en-US"/>
        </w:rPr>
      </w:pPr>
      <w:r w:rsidRPr="00907345">
        <w:rPr>
          <w:lang w:val="en-US"/>
        </w:rPr>
        <w:t xml:space="preserve">Twalib Mustafa NJOHOLE (Mr.), Registrar of Plant Breeders' Rights, Plant Breeders Rights' Office, Ministry of Agriculture (MoA), Dodoma </w:t>
      </w:r>
      <w:r w:rsidRPr="00907345">
        <w:rPr>
          <w:lang w:val="en-US"/>
        </w:rPr>
        <w:br/>
        <w:t>(e-mail: twalib.njohole@kilimo.go.tz)</w:t>
      </w:r>
    </w:p>
    <w:p w:rsidR="00203D6B" w:rsidRPr="00907345" w:rsidRDefault="00203D6B" w:rsidP="00203D6B">
      <w:pPr>
        <w:pStyle w:val="pldetails"/>
        <w:rPr>
          <w:lang w:val="en-US"/>
        </w:rPr>
      </w:pPr>
      <w:r w:rsidRPr="00907345">
        <w:rPr>
          <w:lang w:val="en-US"/>
        </w:rPr>
        <w:t xml:space="preserve">Dorah Herman BIVUGILE (Ms.), Research Officer, Tanzania Official Seed Certification Institute (TOSCI), Morogoro </w:t>
      </w:r>
      <w:r w:rsidRPr="00907345">
        <w:rPr>
          <w:lang w:val="en-US"/>
        </w:rPr>
        <w:br/>
        <w:t>(e-mail: info@tosci.go.tz)</w:t>
      </w:r>
    </w:p>
    <w:p w:rsidR="00203D6B" w:rsidRPr="00907345" w:rsidRDefault="00203D6B" w:rsidP="00203D6B">
      <w:pPr>
        <w:pStyle w:val="pldetails"/>
        <w:rPr>
          <w:lang w:val="en-US"/>
        </w:rPr>
      </w:pPr>
      <w:r w:rsidRPr="00907345">
        <w:rPr>
          <w:lang w:val="en-US"/>
        </w:rPr>
        <w:t xml:space="preserve">Jacqueline MBUYA MHANDO (Ms.), Principal Agricultural Officer, Ministry of Foreign Affairs and East African Cooperation, Dodoma </w:t>
      </w:r>
      <w:r w:rsidRPr="00907345">
        <w:rPr>
          <w:lang w:val="en-US"/>
        </w:rPr>
        <w:br/>
        <w:t>(e-mail: jacqueline.mbuya@nje.go.tz)</w:t>
      </w:r>
    </w:p>
    <w:p w:rsidR="00203D6B" w:rsidRPr="00907345" w:rsidRDefault="00203D6B" w:rsidP="00203D6B">
      <w:pPr>
        <w:pStyle w:val="pldetails"/>
        <w:rPr>
          <w:lang w:val="en-US"/>
        </w:rPr>
      </w:pPr>
      <w:r w:rsidRPr="00907345">
        <w:rPr>
          <w:lang w:val="en-US"/>
        </w:rPr>
        <w:lastRenderedPageBreak/>
        <w:t xml:space="preserve">Joyce Eligi MOSILE (Ms.), Agricultural Officer, Plant Breeders' Rights Office, Ministry of Agriculture (MoA), Dodoma </w:t>
      </w:r>
      <w:r w:rsidRPr="00907345">
        <w:rPr>
          <w:lang w:val="en-US"/>
        </w:rPr>
        <w:br/>
        <w:t>(e-mail: Joyce.mosile@kilimo.go.tz)</w:t>
      </w:r>
    </w:p>
    <w:p w:rsidR="00203D6B" w:rsidRPr="00907345" w:rsidRDefault="00203D6B" w:rsidP="00203D6B">
      <w:pPr>
        <w:pStyle w:val="pldetails"/>
        <w:rPr>
          <w:lang w:val="en-US"/>
        </w:rPr>
      </w:pPr>
      <w:r w:rsidRPr="00907345">
        <w:rPr>
          <w:lang w:val="en-US"/>
        </w:rPr>
        <w:t xml:space="preserve">Lawrence NDOSI (Mr.), Agricultural Officer, Plant Breeders' Rights Office, Ministry of Agriculture (MoA), Dodoma </w:t>
      </w:r>
      <w:r w:rsidRPr="00907345">
        <w:rPr>
          <w:lang w:val="en-US"/>
        </w:rPr>
        <w:br/>
        <w:t>(e-mail: lawrenceyobu@gmail.com)</w:t>
      </w:r>
    </w:p>
    <w:p w:rsidR="00203D6B" w:rsidRPr="00907345" w:rsidRDefault="00203D6B" w:rsidP="00203D6B">
      <w:pPr>
        <w:pStyle w:val="pldetails"/>
        <w:rPr>
          <w:lang w:val="en-US"/>
        </w:rPr>
      </w:pPr>
      <w:r w:rsidRPr="00907345">
        <w:rPr>
          <w:lang w:val="en-US"/>
        </w:rPr>
        <w:t xml:space="preserve">Kelvin Charles HERI (Mr.), Policy and Planning, Ministry of Agriculture (MoA), Dodoma </w:t>
      </w:r>
      <w:r w:rsidRPr="00907345">
        <w:rPr>
          <w:lang w:val="en-US"/>
        </w:rPr>
        <w:br/>
        <w:t>(e-mail: kelvin.heri@kilimo.go.tz)</w:t>
      </w:r>
    </w:p>
    <w:p w:rsidR="00203D6B" w:rsidRPr="00907345" w:rsidRDefault="00203D6B" w:rsidP="00203D6B">
      <w:pPr>
        <w:pStyle w:val="plcountry"/>
        <w:rPr>
          <w:lang w:val="en-US"/>
        </w:rPr>
      </w:pPr>
      <w:r w:rsidRPr="00907345">
        <w:rPr>
          <w:lang w:val="en-US"/>
        </w:rPr>
        <w:t>ROUMANIE / ROMANIA / RUMÄNIEN / RUMANIA</w:t>
      </w:r>
    </w:p>
    <w:p w:rsidR="00203D6B" w:rsidRPr="00907345" w:rsidRDefault="00203D6B" w:rsidP="00203D6B">
      <w:pPr>
        <w:pStyle w:val="pldetails"/>
        <w:rPr>
          <w:lang w:val="en-US"/>
        </w:rPr>
      </w:pPr>
      <w:r w:rsidRPr="00907345">
        <w:rPr>
          <w:lang w:val="en-US"/>
        </w:rPr>
        <w:t>Teodor Dan ENESCU (Mr.), Counsellor, State Institute for Variety Testing and Registration (ISTIS), Bucarest</w:t>
      </w:r>
      <w:r w:rsidRPr="00907345">
        <w:rPr>
          <w:lang w:val="en-US"/>
        </w:rPr>
        <w:br/>
        <w:t>(e-mail: enescu_teodor@istis.ro)</w:t>
      </w:r>
    </w:p>
    <w:p w:rsidR="00203D6B" w:rsidRPr="00907345" w:rsidRDefault="00203D6B" w:rsidP="00203D6B">
      <w:pPr>
        <w:pStyle w:val="plcountry"/>
        <w:rPr>
          <w:lang w:val="en-US"/>
        </w:rPr>
      </w:pPr>
      <w:r w:rsidRPr="00907345">
        <w:rPr>
          <w:lang w:val="en-US"/>
        </w:rPr>
        <w:t>ROYAUME-UNI / UNITED KINGDOM / VEREINIGTES KÖNIGREICH / REINO UNIDO</w:t>
      </w:r>
    </w:p>
    <w:p w:rsidR="00203D6B" w:rsidRPr="00907345" w:rsidRDefault="00203D6B" w:rsidP="00203D6B">
      <w:pPr>
        <w:pStyle w:val="pldetails"/>
        <w:rPr>
          <w:lang w:val="en-US"/>
        </w:rPr>
      </w:pPr>
      <w:r w:rsidRPr="00907345">
        <w:rPr>
          <w:lang w:val="en-US"/>
        </w:rPr>
        <w:t xml:space="preserve">Christina BRADLEY (Ms.), Head of Plant Varieties &amp; Seeds, Department for Environment, Food and Rural Affairs (DEFRA), London </w:t>
      </w:r>
      <w:r w:rsidRPr="00907345">
        <w:rPr>
          <w:lang w:val="en-US"/>
        </w:rPr>
        <w:br/>
        <w:t>(e-mail: Fasham-Bradley.Jobshare@defra.gov.uk)</w:t>
      </w:r>
    </w:p>
    <w:p w:rsidR="00203D6B" w:rsidRPr="00907345" w:rsidRDefault="00203D6B" w:rsidP="00203D6B">
      <w:pPr>
        <w:pStyle w:val="pldetails"/>
        <w:rPr>
          <w:lang w:val="en-US"/>
        </w:rPr>
      </w:pPr>
      <w:r w:rsidRPr="00907345">
        <w:rPr>
          <w:lang w:val="en-US"/>
        </w:rPr>
        <w:t xml:space="preserve">Helen FASHAM (Ms.), Head of Plant Varieties and Seeds, Department for Environment, Food and Rural Affairs (DEFRA), London </w:t>
      </w:r>
      <w:r w:rsidRPr="00907345">
        <w:rPr>
          <w:lang w:val="en-US"/>
        </w:rPr>
        <w:br/>
        <w:t>(e-mail: helen.fasham@defra.gov.uk)</w:t>
      </w:r>
    </w:p>
    <w:p w:rsidR="00203D6B" w:rsidRPr="00907345" w:rsidRDefault="00203D6B" w:rsidP="00203D6B">
      <w:pPr>
        <w:pStyle w:val="plcountry"/>
        <w:rPr>
          <w:lang w:val="en-US"/>
        </w:rPr>
      </w:pPr>
      <w:r w:rsidRPr="00907345">
        <w:rPr>
          <w:lang w:val="en-US"/>
        </w:rPr>
        <w:t>SERBIE / SERBIA / SERBIEN / SERBIA</w:t>
      </w:r>
    </w:p>
    <w:p w:rsidR="00203D6B" w:rsidRPr="00907345" w:rsidRDefault="00203D6B" w:rsidP="00203D6B">
      <w:pPr>
        <w:pStyle w:val="pldetails"/>
        <w:rPr>
          <w:lang w:val="en-US"/>
        </w:rPr>
      </w:pPr>
      <w:r w:rsidRPr="00907345">
        <w:rPr>
          <w:lang w:val="en-US"/>
        </w:rPr>
        <w:t xml:space="preserve">Gordana LONCAR (Ms.), Senior Adviser for Plant Variety protection, Plant Protection Directorate, Group for Plant Variety Protection and Biosafety, Ministry of Agriculture, Forestry and Water Management, Belgrade </w:t>
      </w:r>
      <w:r w:rsidRPr="00907345">
        <w:rPr>
          <w:lang w:val="en-US"/>
        </w:rPr>
        <w:br/>
        <w:t>(e-mail: gordana.loncar@minpolj.gov.rs)</w:t>
      </w:r>
    </w:p>
    <w:p w:rsidR="00203D6B" w:rsidRPr="00907345" w:rsidRDefault="00203D6B" w:rsidP="00203D6B">
      <w:pPr>
        <w:pStyle w:val="plcountry"/>
        <w:rPr>
          <w:lang w:val="en-US"/>
        </w:rPr>
      </w:pPr>
      <w:r w:rsidRPr="00907345">
        <w:rPr>
          <w:lang w:val="en-US"/>
        </w:rPr>
        <w:t>SLOVAQUIE / SLOVAKIA / SLOWAKEI / ESLOVAQUIA</w:t>
      </w:r>
    </w:p>
    <w:p w:rsidR="00203D6B" w:rsidRPr="00907345" w:rsidRDefault="00203D6B" w:rsidP="00203D6B">
      <w:pPr>
        <w:pStyle w:val="pldetails"/>
        <w:rPr>
          <w:lang w:val="en-US"/>
        </w:rPr>
      </w:pPr>
      <w:r w:rsidRPr="00907345">
        <w:rPr>
          <w:lang w:val="en-US"/>
        </w:rPr>
        <w:t xml:space="preserve">Ľubomir BASTA (Mr.), National Coordinator for the Cooperation of the Slovak Republic with UPOV, Head of DUS testing, Department of Variety Testing, Central Control and Testing Institute in Agriculture (ÚKSÚP), Bratislava </w:t>
      </w:r>
      <w:r w:rsidRPr="00907345">
        <w:rPr>
          <w:lang w:val="en-US"/>
        </w:rPr>
        <w:br/>
        <w:t>(e-mail: lubomir.basta@uksup.sk)</w:t>
      </w:r>
    </w:p>
    <w:p w:rsidR="00203D6B" w:rsidRPr="00907345" w:rsidRDefault="00203D6B" w:rsidP="00203D6B">
      <w:pPr>
        <w:pStyle w:val="plcountry"/>
        <w:rPr>
          <w:lang w:val="en-US"/>
        </w:rPr>
      </w:pPr>
      <w:r w:rsidRPr="00907345">
        <w:rPr>
          <w:lang w:val="en-US"/>
        </w:rPr>
        <w:t>SLOVÉNIE / SLOVENIA / SLOWENIEN / ESLOVENIA</w:t>
      </w:r>
    </w:p>
    <w:p w:rsidR="00203D6B" w:rsidRPr="00907345" w:rsidRDefault="00203D6B" w:rsidP="00203D6B">
      <w:pPr>
        <w:pStyle w:val="pldetails"/>
        <w:rPr>
          <w:lang w:val="en-US"/>
        </w:rPr>
      </w:pPr>
      <w:r w:rsidRPr="00907345">
        <w:rPr>
          <w:lang w:val="en-US"/>
        </w:rPr>
        <w:t>Sasa VUKSANOVIC (Mr.), Senior advisor, Ministry of Agriculture, Forestry and Food (MAFF), Ljubljana</w:t>
      </w:r>
      <w:r w:rsidRPr="00907345">
        <w:rPr>
          <w:lang w:val="en-US"/>
        </w:rPr>
        <w:br/>
        <w:t>(e-mail: Sasa.Vuksanovic@gov.si)</w:t>
      </w:r>
    </w:p>
    <w:p w:rsidR="00203D6B" w:rsidRPr="00907345" w:rsidRDefault="00203D6B" w:rsidP="00203D6B">
      <w:pPr>
        <w:pStyle w:val="pldetails"/>
        <w:rPr>
          <w:lang w:val="en-US"/>
        </w:rPr>
      </w:pPr>
      <w:r w:rsidRPr="00907345">
        <w:rPr>
          <w:lang w:val="en-US"/>
        </w:rPr>
        <w:t xml:space="preserve">Volker WACHTLER (Mr.), Political Administrator, General Secretariat, Council of the European Union, Brussels </w:t>
      </w:r>
      <w:r w:rsidRPr="00907345">
        <w:rPr>
          <w:lang w:val="en-US"/>
        </w:rPr>
        <w:br/>
        <w:t>(e-mail: volker.wachtler@consilium.europa.eu)</w:t>
      </w:r>
    </w:p>
    <w:p w:rsidR="00203D6B" w:rsidRPr="00907345" w:rsidRDefault="00203D6B" w:rsidP="00203D6B">
      <w:pPr>
        <w:pStyle w:val="plcountry"/>
        <w:rPr>
          <w:lang w:val="en-US"/>
        </w:rPr>
      </w:pPr>
      <w:r w:rsidRPr="00907345">
        <w:rPr>
          <w:lang w:val="en-US"/>
        </w:rPr>
        <w:t>SUÈDE / SWEDEN / SCHWEDEN / SUECIA</w:t>
      </w:r>
    </w:p>
    <w:p w:rsidR="00203D6B" w:rsidRPr="00907345" w:rsidRDefault="00203D6B" w:rsidP="00203D6B">
      <w:pPr>
        <w:pStyle w:val="pldetails"/>
        <w:rPr>
          <w:lang w:val="en-US"/>
        </w:rPr>
      </w:pPr>
      <w:r w:rsidRPr="00907345">
        <w:rPr>
          <w:lang w:val="en-US"/>
        </w:rPr>
        <w:t xml:space="preserve">Magnus FRANZÉN (Mr.), Deputy Head, Plant and Control Department, Swedish Board of Agriculture, Jönköping </w:t>
      </w:r>
      <w:r w:rsidRPr="00907345">
        <w:rPr>
          <w:lang w:val="en-US"/>
        </w:rPr>
        <w:br/>
        <w:t>(e-mail: magnus.franzen@jordbruksverket.se)</w:t>
      </w:r>
    </w:p>
    <w:p w:rsidR="00203D6B" w:rsidRPr="00907345" w:rsidRDefault="00203D6B" w:rsidP="00203D6B">
      <w:pPr>
        <w:pStyle w:val="plcountry"/>
        <w:rPr>
          <w:lang w:val="en-US"/>
        </w:rPr>
      </w:pPr>
      <w:r w:rsidRPr="00907345">
        <w:rPr>
          <w:lang w:val="en-US"/>
        </w:rPr>
        <w:t>SUISSE / SWITZERLAND / SCHWEIZ / SUIZA</w:t>
      </w:r>
    </w:p>
    <w:p w:rsidR="00203D6B" w:rsidRPr="00907345" w:rsidRDefault="00203D6B" w:rsidP="00203D6B">
      <w:pPr>
        <w:pStyle w:val="pldetails"/>
        <w:rPr>
          <w:lang w:val="en-US"/>
        </w:rPr>
      </w:pPr>
      <w:r w:rsidRPr="00907345">
        <w:rPr>
          <w:lang w:val="en-US"/>
        </w:rPr>
        <w:t xml:space="preserve">Manuela BRAND (Ms.), Plant Variety Rights Office, Plant Health and Varieties, Office fédéral de l'agriculture (OFAG), Bern </w:t>
      </w:r>
      <w:r w:rsidRPr="00907345">
        <w:rPr>
          <w:lang w:val="en-US"/>
        </w:rPr>
        <w:br/>
        <w:t>(e-mail: manuela.brand@blw.admin.ch)</w:t>
      </w:r>
    </w:p>
    <w:p w:rsidR="00203D6B" w:rsidRPr="003517F7" w:rsidRDefault="00203D6B" w:rsidP="00203D6B">
      <w:pPr>
        <w:pStyle w:val="pldetails"/>
      </w:pPr>
      <w:r w:rsidRPr="003517F7">
        <w:t xml:space="preserve">Eva TSCHARLAND (Frau), Juristin, Fachbereich Recht und Verfahren, Office fédéral de l'agriculture (OFAG), Bern </w:t>
      </w:r>
      <w:r w:rsidRPr="003517F7">
        <w:br/>
        <w:t>(e-mail: eva.tscharland@blw.admin.ch)</w:t>
      </w:r>
    </w:p>
    <w:p w:rsidR="00203D6B" w:rsidRPr="00907345" w:rsidRDefault="00203D6B" w:rsidP="00203D6B">
      <w:pPr>
        <w:pStyle w:val="plcountry"/>
        <w:rPr>
          <w:lang w:val="en-US"/>
        </w:rPr>
      </w:pPr>
      <w:r w:rsidRPr="00907345">
        <w:rPr>
          <w:lang w:val="en-US"/>
        </w:rPr>
        <w:t>UKRAINE / UKRAINE / UKRAINE / UCRANIA</w:t>
      </w:r>
    </w:p>
    <w:p w:rsidR="00203D6B" w:rsidRPr="00907345" w:rsidRDefault="00203D6B" w:rsidP="00203D6B">
      <w:pPr>
        <w:pStyle w:val="pldetails"/>
        <w:rPr>
          <w:lang w:val="en-US"/>
        </w:rPr>
      </w:pPr>
      <w:r w:rsidRPr="00907345">
        <w:rPr>
          <w:lang w:val="en-US"/>
        </w:rPr>
        <w:t xml:space="preserve">Evgen BOBONYCH (Mr.), Head, Legal Department, Ukrainian Institute for Plant Variety Examination, Kyiv </w:t>
      </w:r>
      <w:r w:rsidRPr="00907345">
        <w:rPr>
          <w:lang w:val="en-US"/>
        </w:rPr>
        <w:br/>
        <w:t>(e-mail: bobonicevgenij@gmail.com)</w:t>
      </w:r>
    </w:p>
    <w:p w:rsidR="00203D6B" w:rsidRPr="00907345" w:rsidRDefault="00203D6B" w:rsidP="00203D6B">
      <w:pPr>
        <w:pStyle w:val="pldetails"/>
        <w:rPr>
          <w:lang w:val="en-US"/>
        </w:rPr>
      </w:pPr>
      <w:r w:rsidRPr="00907345">
        <w:rPr>
          <w:lang w:val="en-US"/>
        </w:rPr>
        <w:t xml:space="preserve">Nataliya YAKUBENKO (Ms.), Head, Department of International Cooperation and Support of the UPOV Council Representative, Ukrainian Institute for Plant Variety Examination, Kyiv </w:t>
      </w:r>
      <w:r w:rsidRPr="00907345">
        <w:rPr>
          <w:lang w:val="en-US"/>
        </w:rPr>
        <w:br/>
        <w:t>(e-mail: nataliya.yakubenko@gmail.com)</w:t>
      </w:r>
    </w:p>
    <w:p w:rsidR="00203D6B" w:rsidRPr="00907345" w:rsidRDefault="00203D6B" w:rsidP="00203D6B">
      <w:pPr>
        <w:pStyle w:val="pldetails"/>
        <w:rPr>
          <w:lang w:val="en-US"/>
        </w:rPr>
      </w:pPr>
      <w:r w:rsidRPr="00907345">
        <w:rPr>
          <w:lang w:val="en-US"/>
        </w:rPr>
        <w:lastRenderedPageBreak/>
        <w:t xml:space="preserve">Halyna KARAZHBEI (Ms.), Head, Division of Registration of Plant Varity Rights, Ministry of Agrarian Policy and Food of Ukraine, Kyiv </w:t>
      </w:r>
      <w:r w:rsidRPr="00907345">
        <w:rPr>
          <w:lang w:val="en-US"/>
        </w:rPr>
        <w:br/>
        <w:t>(e-mail: galinakar@ukr.net)</w:t>
      </w:r>
    </w:p>
    <w:p w:rsidR="00203D6B" w:rsidRPr="00907345" w:rsidRDefault="00203D6B" w:rsidP="00203D6B">
      <w:pPr>
        <w:pStyle w:val="pldetails"/>
        <w:rPr>
          <w:lang w:val="en-US"/>
        </w:rPr>
      </w:pPr>
      <w:r w:rsidRPr="00907345">
        <w:rPr>
          <w:lang w:val="en-US"/>
        </w:rPr>
        <w:t xml:space="preserve">Polina IVASHCHENKO (Ms.), Chief Specialist, Department of International Policy, Ministry of Agrarian Policy and Food of Ukraine, Kyiv </w:t>
      </w:r>
      <w:r w:rsidRPr="00907345">
        <w:rPr>
          <w:lang w:val="en-US"/>
        </w:rPr>
        <w:br/>
        <w:t>(e-mail: polina.ivashchenko@gmail.com)</w:t>
      </w:r>
    </w:p>
    <w:p w:rsidR="00203D6B" w:rsidRPr="00907345" w:rsidRDefault="00203D6B" w:rsidP="00203D6B">
      <w:pPr>
        <w:pStyle w:val="plcountry"/>
        <w:rPr>
          <w:lang w:val="en-US"/>
        </w:rPr>
      </w:pPr>
      <w:r w:rsidRPr="00907345">
        <w:rPr>
          <w:lang w:val="en-US"/>
        </w:rPr>
        <w:t>UNION EUROPÉENNE / EUROPEAN UNION / EUROPÄISCHE UNION / UNIÓN EUROPEA</w:t>
      </w:r>
    </w:p>
    <w:p w:rsidR="00203D6B" w:rsidRPr="00907345" w:rsidRDefault="00203D6B" w:rsidP="00203D6B">
      <w:pPr>
        <w:pStyle w:val="pldetails"/>
        <w:rPr>
          <w:lang w:val="en-US"/>
        </w:rPr>
      </w:pPr>
      <w:r w:rsidRPr="00907345">
        <w:rPr>
          <w:lang w:val="en-US"/>
        </w:rPr>
        <w:t xml:space="preserve">Päivi MANNERKORPI (Ms.), Team Leader - Plant Reproductive Material, Unit G1 Plant Health, Directorate General for Health and Food Safety (DG SANTE), European Commission, Brussels </w:t>
      </w:r>
      <w:r w:rsidRPr="00907345">
        <w:rPr>
          <w:lang w:val="en-US"/>
        </w:rPr>
        <w:br/>
        <w:t>(e-mail: paivi.mannerkorpi@ec.europa.eu)</w:t>
      </w:r>
    </w:p>
    <w:p w:rsidR="00203D6B" w:rsidRPr="00907345" w:rsidRDefault="00203D6B" w:rsidP="00203D6B">
      <w:pPr>
        <w:pStyle w:val="pldetails"/>
        <w:rPr>
          <w:lang w:val="en-US"/>
        </w:rPr>
      </w:pPr>
      <w:r w:rsidRPr="00907345">
        <w:rPr>
          <w:lang w:val="en-US"/>
        </w:rPr>
        <w:t xml:space="preserve">Francesco MATTINA (Mr.), Acting President, Community Plant Variety Office (CPVO), Angers </w:t>
      </w:r>
      <w:r w:rsidRPr="00907345">
        <w:rPr>
          <w:lang w:val="en-US"/>
        </w:rPr>
        <w:br/>
        <w:t>(e-mail: mattina@cpvo.europa.eu)</w:t>
      </w:r>
    </w:p>
    <w:p w:rsidR="00203D6B" w:rsidRPr="00907345" w:rsidRDefault="00203D6B" w:rsidP="00203D6B">
      <w:pPr>
        <w:pStyle w:val="pldetails"/>
        <w:rPr>
          <w:lang w:val="en-US"/>
        </w:rPr>
      </w:pPr>
      <w:r w:rsidRPr="00907345">
        <w:rPr>
          <w:lang w:val="en-US"/>
        </w:rPr>
        <w:t xml:space="preserve">Dirk THEOBALD (Mr.), Senior Adviser, Community Plant Variety Office (CPVO), Angers </w:t>
      </w:r>
      <w:r w:rsidRPr="00907345">
        <w:rPr>
          <w:lang w:val="en-US"/>
        </w:rPr>
        <w:br/>
        <w:t>(e-mail: theobald@cpvo.europa.eu)</w:t>
      </w:r>
    </w:p>
    <w:p w:rsidR="00203D6B" w:rsidRPr="00907345" w:rsidRDefault="00203D6B" w:rsidP="00203D6B">
      <w:pPr>
        <w:pStyle w:val="pldetails"/>
        <w:rPr>
          <w:lang w:val="en-US"/>
        </w:rPr>
      </w:pPr>
      <w:r w:rsidRPr="00907345">
        <w:rPr>
          <w:lang w:val="en-US"/>
        </w:rPr>
        <w:t xml:space="preserve">Volker WACHTLER (Mr.), Political Administrator, General Secretariat, Council of the European Union, Brussels </w:t>
      </w:r>
      <w:r w:rsidRPr="00907345">
        <w:rPr>
          <w:lang w:val="en-US"/>
        </w:rPr>
        <w:br/>
        <w:t>(e-mail: volker.wachtler@consilium.europa.eu)</w:t>
      </w:r>
    </w:p>
    <w:p w:rsidR="00203D6B" w:rsidRPr="00907345" w:rsidRDefault="00203D6B" w:rsidP="00203D6B">
      <w:pPr>
        <w:pStyle w:val="pldetails"/>
        <w:rPr>
          <w:lang w:val="en-US"/>
        </w:rPr>
      </w:pPr>
      <w:r w:rsidRPr="00907345">
        <w:rPr>
          <w:lang w:val="en-US"/>
        </w:rPr>
        <w:t>Stefan HAFFKE (Mr.), Policy Officer, Directorate General for Health and Food Safety (DG SANTE), Brussels</w:t>
      </w:r>
      <w:r w:rsidRPr="00907345">
        <w:rPr>
          <w:lang w:val="en-US"/>
        </w:rPr>
        <w:br/>
        <w:t>(e-mail: stefan.haffke@ec.europa.eu)</w:t>
      </w:r>
    </w:p>
    <w:p w:rsidR="00203D6B" w:rsidRPr="00907345" w:rsidRDefault="00203D6B" w:rsidP="00203D6B">
      <w:pPr>
        <w:pStyle w:val="plcountry"/>
        <w:rPr>
          <w:lang w:val="en-US"/>
        </w:rPr>
      </w:pPr>
      <w:r w:rsidRPr="00907345">
        <w:rPr>
          <w:lang w:val="en-US"/>
        </w:rPr>
        <w:t>VIET NAM / VIETNAM / VIET NAM</w:t>
      </w:r>
    </w:p>
    <w:p w:rsidR="00203D6B" w:rsidRPr="00907345" w:rsidRDefault="00203D6B" w:rsidP="00203D6B">
      <w:pPr>
        <w:pStyle w:val="pldetails"/>
        <w:rPr>
          <w:lang w:val="en-US"/>
        </w:rPr>
      </w:pPr>
      <w:r w:rsidRPr="00907345">
        <w:rPr>
          <w:lang w:val="en-US"/>
        </w:rPr>
        <w:t xml:space="preserve">Thi Hoa TRAN (Ms.), Director, Plant Variety Protection Office (PVPO), Deputy Director General Department of Crop Production (DCP), Ministry of Agriculture and Rural Development (MARD), Hanoi </w:t>
      </w:r>
      <w:r w:rsidRPr="00907345">
        <w:rPr>
          <w:lang w:val="en-US"/>
        </w:rPr>
        <w:br/>
        <w:t>(e-mail: Hoalinh85@gmail.com)</w:t>
      </w:r>
    </w:p>
    <w:p w:rsidR="00203D6B" w:rsidRPr="00907345" w:rsidRDefault="00203D6B" w:rsidP="00203D6B">
      <w:pPr>
        <w:pStyle w:val="pldetails"/>
        <w:rPr>
          <w:lang w:val="en-US"/>
        </w:rPr>
      </w:pPr>
      <w:r w:rsidRPr="00907345">
        <w:rPr>
          <w:lang w:val="en-US"/>
        </w:rPr>
        <w:t xml:space="preserve">Ngoc Lam LE (Mr.), Counsellor, Permanent Mission of Viet Nam to the United Nations, the World Trade Organization and other International Organizations in Geneva, Geneva </w:t>
      </w:r>
      <w:r w:rsidRPr="00907345">
        <w:rPr>
          <w:lang w:val="en-US"/>
        </w:rPr>
        <w:br/>
        <w:t>(e-mail: lengoclamip@gmail.com)</w:t>
      </w:r>
    </w:p>
    <w:p w:rsidR="00203D6B" w:rsidRPr="003517F7" w:rsidRDefault="00203D6B" w:rsidP="00203D6B">
      <w:pPr>
        <w:pStyle w:val="plheading"/>
        <w:rPr>
          <w:noProof/>
        </w:rPr>
      </w:pPr>
      <w:r w:rsidRPr="003517F7">
        <w:rPr>
          <w:noProof/>
        </w:rPr>
        <w:t>II. OBSERVATEURS / OBSERVERS / BEOBACHTER / OBSERVADORES</w:t>
      </w:r>
    </w:p>
    <w:p w:rsidR="00203D6B" w:rsidRPr="003517F7" w:rsidRDefault="00203D6B" w:rsidP="00203D6B">
      <w:pPr>
        <w:pStyle w:val="plcountry"/>
      </w:pPr>
      <w:r w:rsidRPr="003517F7">
        <w:t>ALGÉRIE / ALGERIA / ALGERIEN / ARGELIA</w:t>
      </w:r>
    </w:p>
    <w:p w:rsidR="00203D6B" w:rsidRPr="00907345" w:rsidRDefault="00203D6B" w:rsidP="00203D6B">
      <w:pPr>
        <w:pStyle w:val="pldetails"/>
        <w:rPr>
          <w:lang w:val="fr-CH"/>
        </w:rPr>
      </w:pPr>
      <w:r w:rsidRPr="00907345">
        <w:rPr>
          <w:lang w:val="fr-CH"/>
        </w:rPr>
        <w:t xml:space="preserve">Naila BOUDISSA (Mme), Assistante technique, Ministère de l'agriculture et du développement rural, Alger </w:t>
      </w:r>
      <w:r w:rsidRPr="00907345">
        <w:rPr>
          <w:lang w:val="fr-CH"/>
        </w:rPr>
        <w:br/>
        <w:t>(e-mail: n.boudissa@inapi.org)</w:t>
      </w:r>
    </w:p>
    <w:p w:rsidR="00203D6B" w:rsidRPr="0018141D" w:rsidRDefault="00203D6B" w:rsidP="00203D6B">
      <w:pPr>
        <w:pStyle w:val="plcountry"/>
        <w:rPr>
          <w:lang w:val="en-US"/>
        </w:rPr>
      </w:pPr>
      <w:r w:rsidRPr="0018141D">
        <w:rPr>
          <w:lang w:val="en-US"/>
        </w:rPr>
        <w:t>KAZAKHSTAN / KAZAKHSTAN / KASACHSTAN / KAZAJSTÁN</w:t>
      </w:r>
    </w:p>
    <w:p w:rsidR="00203D6B" w:rsidRPr="0018141D" w:rsidRDefault="00203D6B" w:rsidP="00203D6B">
      <w:pPr>
        <w:pStyle w:val="pldetails"/>
        <w:rPr>
          <w:lang w:val="en-US"/>
        </w:rPr>
      </w:pPr>
      <w:r w:rsidRPr="0018141D">
        <w:rPr>
          <w:lang w:val="en-US"/>
        </w:rPr>
        <w:t xml:space="preserve">Ademi GABDOLA (Ms.), Specialist, State Commission for variety testing of agricultural crops, Nur-Sultan </w:t>
      </w:r>
      <w:r w:rsidRPr="0018141D">
        <w:rPr>
          <w:lang w:val="en-US"/>
        </w:rPr>
        <w:br/>
        <w:t>(e-mail: for_work_15@mail.ru)</w:t>
      </w:r>
    </w:p>
    <w:p w:rsidR="00203D6B" w:rsidRPr="00907345" w:rsidRDefault="00203D6B" w:rsidP="00203D6B">
      <w:pPr>
        <w:pStyle w:val="plcountry"/>
        <w:rPr>
          <w:lang w:val="en-US"/>
        </w:rPr>
      </w:pPr>
      <w:r w:rsidRPr="00907345">
        <w:rPr>
          <w:lang w:val="en-US"/>
        </w:rPr>
        <w:t>THAÏLANDE / THAILAND / THAILAND / TAILANDIA</w:t>
      </w:r>
    </w:p>
    <w:p w:rsidR="00203D6B" w:rsidRPr="00907345" w:rsidRDefault="00203D6B" w:rsidP="00203D6B">
      <w:pPr>
        <w:pStyle w:val="pldetails"/>
        <w:rPr>
          <w:lang w:val="en-US"/>
        </w:rPr>
      </w:pPr>
      <w:r w:rsidRPr="00907345">
        <w:rPr>
          <w:lang w:val="en-US"/>
        </w:rPr>
        <w:t xml:space="preserve">Kunyaporn PIPITHSANGCHAN (Ms.), Director of Genebank Research and Development Group, Biotechnology Research and Development Office, Ministry of Agriculture and Cooperatives, Rangsit </w:t>
      </w:r>
      <w:r w:rsidRPr="00907345">
        <w:rPr>
          <w:lang w:val="en-US"/>
        </w:rPr>
        <w:br/>
        <w:t>(e-mail: kunyapithsan1@gmail.com)</w:t>
      </w:r>
    </w:p>
    <w:p w:rsidR="00203D6B" w:rsidRPr="00907345" w:rsidRDefault="00203D6B" w:rsidP="00203D6B">
      <w:pPr>
        <w:pStyle w:val="plcountry"/>
        <w:rPr>
          <w:lang w:val="en-US"/>
        </w:rPr>
      </w:pPr>
      <w:r w:rsidRPr="00907345">
        <w:rPr>
          <w:lang w:val="en-US"/>
        </w:rPr>
        <w:t>ZIMBABWE / ZIMBABWE / SIMBABWE / ZIMBABWE</w:t>
      </w:r>
    </w:p>
    <w:p w:rsidR="00203D6B" w:rsidRPr="00907345" w:rsidRDefault="00203D6B" w:rsidP="00203D6B">
      <w:pPr>
        <w:pStyle w:val="pldetails"/>
        <w:rPr>
          <w:lang w:val="en-US"/>
        </w:rPr>
      </w:pPr>
      <w:r w:rsidRPr="00907345">
        <w:rPr>
          <w:lang w:val="en-US"/>
        </w:rPr>
        <w:t xml:space="preserve">Tambudzai CHIKUTUMA MUCHOKOMORI (Ms.), Principal Seed Technologist, Plant Breeders' Rights Officer, Seed Services Institute, Ministry of Lands, Agriculture, Water, Climate and Rural Resettlement, Harare </w:t>
      </w:r>
      <w:r w:rsidRPr="00907345">
        <w:rPr>
          <w:lang w:val="en-US"/>
        </w:rPr>
        <w:br/>
        <w:t>(e-mail: muchokomorit@gmail.com)</w:t>
      </w:r>
    </w:p>
    <w:p w:rsidR="00203D6B" w:rsidRPr="00907345" w:rsidRDefault="00203D6B" w:rsidP="00203D6B">
      <w:pPr>
        <w:pStyle w:val="pldetails"/>
        <w:rPr>
          <w:lang w:val="en-US"/>
        </w:rPr>
      </w:pPr>
      <w:r w:rsidRPr="00907345">
        <w:rPr>
          <w:lang w:val="en-US"/>
        </w:rPr>
        <w:t xml:space="preserve">Memory Z. Mlambo BUSAYI (Ms.), Legal Officer, Ministry of Lands, Agriculture, Fisheries, Water and Rural Resettlement, Harare </w:t>
      </w:r>
      <w:r w:rsidRPr="00907345">
        <w:rPr>
          <w:lang w:val="en-US"/>
        </w:rPr>
        <w:br/>
        <w:t>(e-mail: memory.busayi2020@gmail.com)</w:t>
      </w:r>
    </w:p>
    <w:p w:rsidR="00203D6B" w:rsidRPr="0018141D" w:rsidRDefault="00203D6B" w:rsidP="00203D6B">
      <w:pPr>
        <w:pStyle w:val="plheading"/>
        <w:rPr>
          <w:noProof/>
          <w:lang w:val="fr-CH"/>
        </w:rPr>
      </w:pPr>
      <w:r w:rsidRPr="0018141D">
        <w:rPr>
          <w:noProof/>
          <w:lang w:val="fr-CH"/>
        </w:rPr>
        <w:lastRenderedPageBreak/>
        <w:t>III. ORGANISATIONS / ORGANIZATIONS / ORGANISATIONEN / ORGANIZACIONES</w:t>
      </w:r>
    </w:p>
    <w:p w:rsidR="00203D6B" w:rsidRPr="0018141D" w:rsidRDefault="00203D6B" w:rsidP="00203D6B">
      <w:pPr>
        <w:pStyle w:val="plcountry"/>
        <w:rPr>
          <w:lang w:val="fr-CH"/>
        </w:rPr>
      </w:pPr>
      <w:r w:rsidRPr="0018141D">
        <w:rPr>
          <w:lang w:val="fr-CH"/>
        </w:rPr>
        <w:t xml:space="preserve">ASSOCIATION INTERNATIONALE DES PRODUCTEURS HORTICOLES (AIPH) / </w:t>
      </w:r>
      <w:r w:rsidRPr="0018141D">
        <w:rPr>
          <w:lang w:val="fr-CH"/>
        </w:rPr>
        <w:br/>
        <w:t xml:space="preserve">INTERNATIONAL ASSOCIATION OF HORTICULTURAL PRODUCERS (AIPH) / </w:t>
      </w:r>
      <w:r w:rsidRPr="0018141D">
        <w:rPr>
          <w:lang w:val="fr-CH"/>
        </w:rPr>
        <w:br/>
        <w:t xml:space="preserve">INTERNATIONALER VERBAND DES ERWERBSGARTENBAUES (AIPH) / </w:t>
      </w:r>
      <w:r w:rsidRPr="0018141D">
        <w:rPr>
          <w:lang w:val="fr-CH"/>
        </w:rPr>
        <w:br/>
        <w:t>ASOCIACIÓN INTERNACIONAL DE PRODUCTORES HORTÍCOLAS (AIPH)</w:t>
      </w:r>
    </w:p>
    <w:p w:rsidR="00203D6B" w:rsidRPr="00907345" w:rsidRDefault="00203D6B" w:rsidP="00203D6B">
      <w:pPr>
        <w:pStyle w:val="pldetails"/>
        <w:rPr>
          <w:lang w:val="en-US"/>
        </w:rPr>
      </w:pPr>
      <w:r w:rsidRPr="00907345">
        <w:rPr>
          <w:lang w:val="en-US"/>
        </w:rPr>
        <w:t xml:space="preserve">Mia HOPPERUS BUMA (Ms.), Secretary, Committee for Novelty Protection, International Association of Horticultural Producers (AIPH), Oxfordshire, United Kingdom </w:t>
      </w:r>
      <w:r w:rsidRPr="00907345">
        <w:rPr>
          <w:lang w:val="en-US"/>
        </w:rPr>
        <w:br/>
        <w:t>(e-mail: info@miabuma.nl)</w:t>
      </w:r>
    </w:p>
    <w:p w:rsidR="00203D6B" w:rsidRPr="00907345" w:rsidRDefault="00203D6B" w:rsidP="00203D6B">
      <w:pPr>
        <w:pStyle w:val="plcountry"/>
        <w:rPr>
          <w:lang w:val="en-US"/>
        </w:rPr>
      </w:pPr>
      <w:r w:rsidRPr="00907345">
        <w:rPr>
          <w:lang w:val="en-US"/>
        </w:rPr>
        <w:t>ASSOCIATION FOR PLANT BREEDING FOR THE BENEFIT OF SOCIETY (APBREBES)</w:t>
      </w:r>
    </w:p>
    <w:p w:rsidR="00203D6B" w:rsidRPr="00907345" w:rsidRDefault="00203D6B" w:rsidP="00203D6B">
      <w:pPr>
        <w:pStyle w:val="pldetails"/>
        <w:rPr>
          <w:lang w:val="en-US"/>
        </w:rPr>
      </w:pPr>
      <w:r w:rsidRPr="00907345">
        <w:rPr>
          <w:lang w:val="en-US"/>
        </w:rPr>
        <w:t>François MEIENBERG (Mr.), Coordinator, Association for Plant Breeding for the Benefit of Society (APBREBES), Zürich, Switzerland</w:t>
      </w:r>
      <w:r w:rsidRPr="00907345">
        <w:rPr>
          <w:lang w:val="en-US"/>
        </w:rPr>
        <w:br/>
        <w:t>(e-mail: contact@apbrebes.org)</w:t>
      </w:r>
    </w:p>
    <w:p w:rsidR="00203D6B" w:rsidRPr="00907345" w:rsidRDefault="00203D6B" w:rsidP="00203D6B">
      <w:pPr>
        <w:pStyle w:val="plcountry"/>
        <w:rPr>
          <w:lang w:val="en-US"/>
        </w:rPr>
      </w:pPr>
      <w:r w:rsidRPr="00907345">
        <w:rPr>
          <w:lang w:val="en-US"/>
        </w:rPr>
        <w:t xml:space="preserve">COMMUNAUTÉ INTERNATIONALE DES OBTENTEURS DE PLANTES HORTICOLES À REPRODUCTION ASEXUÉE (CIOPORA) / </w:t>
      </w:r>
      <w:r w:rsidRPr="00907345">
        <w:rPr>
          <w:lang w:val="en-US"/>
        </w:rPr>
        <w:br/>
        <w:t xml:space="preserve">INTERNATIONAL COMMUNITY OF BREEDERS OF ASEXUALLY REPRODUCED HORTICULTURAL PLANTS (CIOPORA) / </w:t>
      </w:r>
      <w:r w:rsidRPr="00907345">
        <w:rPr>
          <w:lang w:val="en-US"/>
        </w:rPr>
        <w:br/>
        <w:t xml:space="preserve">Internationale Gemeinschaft der Züchter vegetativ vermehrbarer gartenbaulicher Pflanzen (CIOPORA) / </w:t>
      </w:r>
      <w:r w:rsidRPr="00907345">
        <w:rPr>
          <w:lang w:val="en-US"/>
        </w:rPr>
        <w:br/>
        <w:t>Comunidad Internacional de Obtentores de Plantas Hortícolas de Reproducción Asexuada (CIOPORA)</w:t>
      </w:r>
    </w:p>
    <w:p w:rsidR="00203D6B" w:rsidRPr="00907345" w:rsidRDefault="00203D6B" w:rsidP="00203D6B">
      <w:pPr>
        <w:pStyle w:val="pldetails"/>
        <w:rPr>
          <w:lang w:val="en-US"/>
        </w:rPr>
      </w:pPr>
      <w:r w:rsidRPr="00907345">
        <w:rPr>
          <w:lang w:val="en-US"/>
        </w:rPr>
        <w:t xml:space="preserve">Edgar KRIEGER (Mr.), Secretary General, International Community of Breeders of Asexually Reproduced Horticultural Plants (CIOPORA), Hamburg, Germany </w:t>
      </w:r>
      <w:r w:rsidRPr="00907345">
        <w:rPr>
          <w:lang w:val="en-US"/>
        </w:rPr>
        <w:br/>
        <w:t>(e-mail: edgar.krieger@ciopora.org)</w:t>
      </w:r>
    </w:p>
    <w:p w:rsidR="00203D6B" w:rsidRPr="00907345" w:rsidRDefault="00203D6B" w:rsidP="00203D6B">
      <w:pPr>
        <w:pStyle w:val="pldetails"/>
        <w:rPr>
          <w:lang w:val="en-US"/>
        </w:rPr>
      </w:pPr>
      <w:r w:rsidRPr="00907345">
        <w:rPr>
          <w:lang w:val="en-US"/>
        </w:rPr>
        <w:t xml:space="preserve">Selena TRAVAGLIO (Ms.), Legal Counsel, International Community of Breeders of Asexually Reproduced Horticultural Plants (CIOPORA), Hamburg, Germany </w:t>
      </w:r>
      <w:r w:rsidRPr="00907345">
        <w:rPr>
          <w:lang w:val="en-US"/>
        </w:rPr>
        <w:br/>
        <w:t>(e-mail: Selena.Travaglio@ciopora.org)</w:t>
      </w:r>
    </w:p>
    <w:p w:rsidR="00203D6B" w:rsidRPr="00907345" w:rsidRDefault="00203D6B" w:rsidP="00203D6B">
      <w:pPr>
        <w:pStyle w:val="pldetails"/>
        <w:rPr>
          <w:lang w:val="en-US"/>
        </w:rPr>
      </w:pPr>
      <w:r w:rsidRPr="00907345">
        <w:rPr>
          <w:lang w:val="en-US"/>
        </w:rPr>
        <w:t>Dominique THÉVENON (Ms.), President - AOHE, Boad Member and Treasurer - CIOPORA, Association of European Horticultural Breeders (AOHE), Piolenc, France</w:t>
      </w:r>
      <w:r w:rsidRPr="00907345">
        <w:rPr>
          <w:lang w:val="en-US"/>
        </w:rPr>
        <w:br/>
        <w:t>(e-mail: t.dominique4@orange.fr)</w:t>
      </w:r>
    </w:p>
    <w:p w:rsidR="00203D6B" w:rsidRPr="00907345" w:rsidRDefault="00203D6B" w:rsidP="00203D6B">
      <w:pPr>
        <w:pStyle w:val="plcountry"/>
        <w:rPr>
          <w:lang w:val="en-US"/>
        </w:rPr>
      </w:pPr>
      <w:r w:rsidRPr="00907345">
        <w:rPr>
          <w:lang w:val="en-US"/>
        </w:rPr>
        <w:t>CROPLIFE INTERNATIONAL</w:t>
      </w:r>
    </w:p>
    <w:p w:rsidR="00203D6B" w:rsidRPr="00907345" w:rsidRDefault="00203D6B" w:rsidP="00203D6B">
      <w:pPr>
        <w:pStyle w:val="pldetails"/>
        <w:rPr>
          <w:lang w:val="en-US"/>
        </w:rPr>
      </w:pPr>
      <w:r w:rsidRPr="00907345">
        <w:rPr>
          <w:lang w:val="en-US"/>
        </w:rPr>
        <w:t>Marcel BRUINS (Mr.), Consultant, CropLife International, Bruxelles, Belgium</w:t>
      </w:r>
      <w:r w:rsidRPr="00907345">
        <w:rPr>
          <w:lang w:val="en-US"/>
        </w:rPr>
        <w:br/>
        <w:t>(e-mail: marcel@bruinsseedconsultancy.com)</w:t>
      </w:r>
    </w:p>
    <w:p w:rsidR="00203D6B" w:rsidRPr="00907345" w:rsidRDefault="00203D6B" w:rsidP="00203D6B">
      <w:pPr>
        <w:pStyle w:val="plcountry"/>
        <w:rPr>
          <w:lang w:val="en-US"/>
        </w:rPr>
      </w:pPr>
      <w:r w:rsidRPr="00907345">
        <w:rPr>
          <w:lang w:val="en-US"/>
        </w:rPr>
        <w:t>EUROSEEDS</w:t>
      </w:r>
    </w:p>
    <w:p w:rsidR="00203D6B" w:rsidRPr="00907345" w:rsidRDefault="00203D6B" w:rsidP="00203D6B">
      <w:pPr>
        <w:pStyle w:val="pldetails"/>
        <w:rPr>
          <w:lang w:val="en-US"/>
        </w:rPr>
      </w:pPr>
      <w:r w:rsidRPr="00907345">
        <w:rPr>
          <w:lang w:val="en-US"/>
        </w:rPr>
        <w:t>Szonja CSÖRGÖ (Ms.), Director, Intellectual Property &amp; Legal Affairs, Euroseeds, Bruxelles, Belgium</w:t>
      </w:r>
      <w:r w:rsidRPr="00907345">
        <w:rPr>
          <w:lang w:val="en-US"/>
        </w:rPr>
        <w:br/>
        <w:t>(e-mail: szonjacsorgo@euroseeds.eu)</w:t>
      </w:r>
    </w:p>
    <w:p w:rsidR="00203D6B" w:rsidRPr="00907345" w:rsidRDefault="00203D6B" w:rsidP="00203D6B">
      <w:pPr>
        <w:pStyle w:val="pldetails"/>
        <w:rPr>
          <w:lang w:val="en-US"/>
        </w:rPr>
      </w:pPr>
      <w:r w:rsidRPr="00907345">
        <w:rPr>
          <w:lang w:val="en-US"/>
        </w:rPr>
        <w:t>Catherine Chepkurui LANG'AT (Ms.), Technical Manager Plant Breeding &amp; Variety Registration, Euroseeds, Bruxelles, Belgium</w:t>
      </w:r>
      <w:r w:rsidRPr="00907345">
        <w:rPr>
          <w:lang w:val="en-US"/>
        </w:rPr>
        <w:br/>
        <w:t>(e-mail: catherinelangat@euroseeds.eu)</w:t>
      </w:r>
    </w:p>
    <w:p w:rsidR="00203D6B" w:rsidRPr="00907345" w:rsidRDefault="00203D6B" w:rsidP="00203D6B">
      <w:pPr>
        <w:pStyle w:val="plcountry"/>
        <w:rPr>
          <w:lang w:val="en-US"/>
        </w:rPr>
      </w:pPr>
      <w:r w:rsidRPr="00907345">
        <w:rPr>
          <w:lang w:val="en-US"/>
        </w:rPr>
        <w:t>INTERNATIONAL SEED FEDERATION (ISF)</w:t>
      </w:r>
    </w:p>
    <w:p w:rsidR="00203D6B" w:rsidRPr="00907345" w:rsidRDefault="00203D6B" w:rsidP="00203D6B">
      <w:pPr>
        <w:pStyle w:val="pldetails"/>
        <w:rPr>
          <w:lang w:val="en-US"/>
        </w:rPr>
      </w:pPr>
      <w:r w:rsidRPr="00907345">
        <w:rPr>
          <w:lang w:val="en-US"/>
        </w:rPr>
        <w:t>Hélène KHAN NIAZI (Ms.), International Agriculture Manager, International Seed Federation (ISF), Nyon, Switzerland</w:t>
      </w:r>
      <w:r w:rsidRPr="00907345">
        <w:rPr>
          <w:lang w:val="en-US"/>
        </w:rPr>
        <w:br/>
        <w:t>(e-mail: h.khanniazi@worldseed.org)</w:t>
      </w:r>
    </w:p>
    <w:p w:rsidR="00203D6B" w:rsidRPr="00907345" w:rsidRDefault="00203D6B" w:rsidP="00203D6B">
      <w:pPr>
        <w:pStyle w:val="pldetails"/>
        <w:rPr>
          <w:lang w:val="en-US"/>
        </w:rPr>
      </w:pPr>
      <w:r w:rsidRPr="00907345">
        <w:rPr>
          <w:lang w:val="en-US"/>
        </w:rPr>
        <w:t xml:space="preserve">Astrid M. SCHENKEVELD (Ms.), Specialist, Plant Breeder's Rights &amp; Variety Registration | Legal, Rijk Zwaan Zaadteelt en Zaadhandel B.V., De Lier, Netherlands </w:t>
      </w:r>
      <w:r w:rsidRPr="00907345">
        <w:rPr>
          <w:lang w:val="en-US"/>
        </w:rPr>
        <w:br/>
        <w:t>(e-mail: a.schenkeveld@rijkzwaan.nl)</w:t>
      </w:r>
    </w:p>
    <w:p w:rsidR="00203D6B" w:rsidRPr="00907345" w:rsidRDefault="00203D6B" w:rsidP="00203D6B">
      <w:pPr>
        <w:pStyle w:val="pldetails"/>
        <w:rPr>
          <w:lang w:val="en-US"/>
        </w:rPr>
      </w:pPr>
      <w:r w:rsidRPr="00907345">
        <w:rPr>
          <w:lang w:val="en-US"/>
        </w:rPr>
        <w:t>John Howard DUESING (Mr.), Consultant, Consulting EDV Project Manager, American Seed Trade Association (ASTA), Des Moines, United States of America</w:t>
      </w:r>
      <w:r w:rsidRPr="00907345">
        <w:rPr>
          <w:lang w:val="en-US"/>
        </w:rPr>
        <w:br/>
        <w:t>(e-mail: jhd3@mchsi.com)</w:t>
      </w:r>
    </w:p>
    <w:p w:rsidR="00203D6B" w:rsidRPr="00907345" w:rsidRDefault="00203D6B" w:rsidP="00203D6B">
      <w:pPr>
        <w:pStyle w:val="plcountry"/>
        <w:rPr>
          <w:lang w:val="en-US"/>
        </w:rPr>
      </w:pPr>
      <w:r w:rsidRPr="00907345">
        <w:rPr>
          <w:lang w:val="en-US"/>
        </w:rPr>
        <w:lastRenderedPageBreak/>
        <w:t xml:space="preserve">ORGANISATION RÉGIONALE AFRICAINE DE LA PROPRIÉTÉ INTELLECTUELLE (ARIPO) / </w:t>
      </w:r>
      <w:r w:rsidRPr="00907345">
        <w:rPr>
          <w:lang w:val="en-US"/>
        </w:rPr>
        <w:br/>
        <w:t xml:space="preserve">AFRICAN REGIONAL INTELLECTUAL PROPERTY ORGANIZATION (ARIPO) / </w:t>
      </w:r>
      <w:r w:rsidRPr="00907345">
        <w:rPr>
          <w:lang w:val="en-US"/>
        </w:rPr>
        <w:br/>
        <w:t>Afrikanische Regionalorganisation für gewerbliches Eigentum (ARIPO)</w:t>
      </w:r>
      <w:r w:rsidRPr="00907345">
        <w:rPr>
          <w:lang w:val="en-US"/>
        </w:rPr>
        <w:br/>
        <w:t>ORGANIZACIÓN REGIONAL AFRICANA DE LA PROPIEDAD INTELECTUAL (ARIPO)</w:t>
      </w:r>
    </w:p>
    <w:p w:rsidR="00203D6B" w:rsidRPr="00907345" w:rsidRDefault="00203D6B" w:rsidP="00203D6B">
      <w:pPr>
        <w:pStyle w:val="pldetails"/>
        <w:rPr>
          <w:lang w:val="en-US"/>
        </w:rPr>
      </w:pPr>
      <w:r w:rsidRPr="00907345">
        <w:rPr>
          <w:lang w:val="en-US"/>
        </w:rPr>
        <w:t xml:space="preserve">Flora Kokwihyukya MPANJU (Ms.), Head, Search and Substantive Examination, Harare, Zimbabwe </w:t>
      </w:r>
      <w:r w:rsidRPr="00907345">
        <w:rPr>
          <w:lang w:val="en-US"/>
        </w:rPr>
        <w:br/>
        <w:t>(e-mail: fmpanju@aripo.org)</w:t>
      </w:r>
    </w:p>
    <w:p w:rsidR="00203D6B" w:rsidRPr="00907345" w:rsidRDefault="00203D6B" w:rsidP="00203D6B">
      <w:pPr>
        <w:pStyle w:val="plcountry"/>
        <w:rPr>
          <w:lang w:val="en-US"/>
        </w:rPr>
      </w:pPr>
      <w:r w:rsidRPr="00907345">
        <w:rPr>
          <w:lang w:val="en-US"/>
        </w:rPr>
        <w:t>SEED ASSOCIATION OF THE AMERICAS (SAA)</w:t>
      </w:r>
    </w:p>
    <w:p w:rsidR="00203D6B" w:rsidRPr="00907345" w:rsidRDefault="00203D6B" w:rsidP="00203D6B">
      <w:pPr>
        <w:pStyle w:val="pldetails"/>
        <w:rPr>
          <w:lang w:val="en-US"/>
        </w:rPr>
      </w:pPr>
      <w:r w:rsidRPr="00907345">
        <w:rPr>
          <w:lang w:val="en-US"/>
        </w:rPr>
        <w:t>Diego A. RISSO (Mr.), Director Ejecutivo, Seed Association of the Americas (SAA), Montevideo, Uruguay</w:t>
      </w:r>
      <w:r w:rsidRPr="00907345">
        <w:rPr>
          <w:lang w:val="en-US"/>
        </w:rPr>
        <w:br/>
        <w:t>(e-mail: drisso@saaseed.org)</w:t>
      </w:r>
    </w:p>
    <w:p w:rsidR="00203D6B" w:rsidRPr="00907345" w:rsidRDefault="00203D6B" w:rsidP="00203D6B">
      <w:pPr>
        <w:pStyle w:val="pldetails"/>
        <w:rPr>
          <w:lang w:val="en-US"/>
        </w:rPr>
      </w:pPr>
      <w:r w:rsidRPr="00907345">
        <w:rPr>
          <w:lang w:val="en-US"/>
        </w:rPr>
        <w:t xml:space="preserve">Marymar BUTRUILLE (Ms.), Germplasm IP Scientist Lead, Bayer Crop Science, Ankeny, United States of America </w:t>
      </w:r>
      <w:r w:rsidRPr="00907345">
        <w:rPr>
          <w:lang w:val="en-US"/>
        </w:rPr>
        <w:br/>
        <w:t>(e-mail: marymar.butruille@bayer.com)</w:t>
      </w:r>
    </w:p>
    <w:p w:rsidR="00203D6B" w:rsidRPr="00907345" w:rsidRDefault="00203D6B" w:rsidP="00203D6B">
      <w:pPr>
        <w:pStyle w:val="plheading"/>
        <w:rPr>
          <w:rFonts w:cs="Arial"/>
          <w:noProof/>
          <w:lang w:val="en-US"/>
        </w:rPr>
      </w:pPr>
      <w:r w:rsidRPr="00907345">
        <w:rPr>
          <w:rFonts w:cs="Arial"/>
          <w:noProof/>
          <w:lang w:val="en-US"/>
        </w:rPr>
        <w:t>IV. BUREAU / OFFICER / VORSITZ / OFICINA</w:t>
      </w:r>
    </w:p>
    <w:p w:rsidR="00203D6B" w:rsidRPr="00907345" w:rsidRDefault="00203D6B" w:rsidP="00203D6B">
      <w:pPr>
        <w:pStyle w:val="pldetails"/>
        <w:rPr>
          <w:lang w:val="en-US"/>
        </w:rPr>
      </w:pPr>
      <w:r w:rsidRPr="00907345">
        <w:rPr>
          <w:lang w:val="en-US"/>
        </w:rPr>
        <w:t>Manuel Antonio TORO UGALDE (Mr.), Vice-Chair</w:t>
      </w:r>
    </w:p>
    <w:p w:rsidR="00203D6B" w:rsidRPr="00907345" w:rsidRDefault="00203D6B" w:rsidP="00203D6B">
      <w:pPr>
        <w:pStyle w:val="plheading"/>
        <w:keepLines/>
        <w:rPr>
          <w:rFonts w:cs="Arial"/>
          <w:noProof/>
          <w:lang w:val="en-US"/>
        </w:rPr>
      </w:pPr>
      <w:r w:rsidRPr="00907345">
        <w:rPr>
          <w:rFonts w:cs="Arial"/>
          <w:noProof/>
          <w:lang w:val="en-US"/>
        </w:rPr>
        <w:t>V. BUREAU DE L’UPOV / OFFICE OF UPOV / BÜRO DER UPOV / OFICINA DE LA UPOV</w:t>
      </w:r>
    </w:p>
    <w:p w:rsidR="00203D6B" w:rsidRPr="00907345" w:rsidRDefault="00203D6B" w:rsidP="00203D6B">
      <w:pPr>
        <w:pStyle w:val="pldetails"/>
        <w:keepNext/>
        <w:rPr>
          <w:lang w:val="en-US"/>
        </w:rPr>
      </w:pPr>
      <w:r w:rsidRPr="00907345">
        <w:rPr>
          <w:lang w:val="en-US"/>
        </w:rPr>
        <w:t>Peter BUTTON (Mr.), Vice Secretary-General</w:t>
      </w:r>
    </w:p>
    <w:p w:rsidR="00203D6B" w:rsidRPr="00907345" w:rsidRDefault="00203D6B" w:rsidP="00203D6B">
      <w:pPr>
        <w:pStyle w:val="pldetails"/>
        <w:keepNext/>
        <w:rPr>
          <w:lang w:val="en-US"/>
        </w:rPr>
      </w:pPr>
      <w:r w:rsidRPr="00907345">
        <w:rPr>
          <w:lang w:val="en-US"/>
        </w:rPr>
        <w:t>Yolanda HUERTA (Ms.), Legal Counsel and Director of Training and Assistance</w:t>
      </w:r>
    </w:p>
    <w:p w:rsidR="00203D6B" w:rsidRPr="00907345" w:rsidRDefault="00203D6B" w:rsidP="00203D6B">
      <w:pPr>
        <w:pStyle w:val="pldetails"/>
        <w:keepNext/>
        <w:rPr>
          <w:lang w:val="en-US"/>
        </w:rPr>
      </w:pPr>
      <w:r w:rsidRPr="00907345">
        <w:rPr>
          <w:lang w:val="en-US"/>
        </w:rPr>
        <w:t>Ben RIVOIRE (Mr.), Head of Seed Sector Cooperation and Regional Development (Africa, Arab Countries)</w:t>
      </w:r>
    </w:p>
    <w:p w:rsidR="00203D6B" w:rsidRPr="00907345" w:rsidRDefault="00203D6B" w:rsidP="00203D6B">
      <w:pPr>
        <w:pStyle w:val="pldetails"/>
        <w:keepNext/>
        <w:rPr>
          <w:lang w:val="en-US"/>
        </w:rPr>
      </w:pPr>
      <w:r w:rsidRPr="00907345">
        <w:rPr>
          <w:lang w:val="en-US"/>
        </w:rPr>
        <w:t>Leontino TAVEIRA (Mr.), Head of Technical Affairs and Regional Development (Latin America, Caribbean)</w:t>
      </w:r>
    </w:p>
    <w:p w:rsidR="00203D6B" w:rsidRPr="00907345" w:rsidRDefault="00203D6B" w:rsidP="00203D6B">
      <w:pPr>
        <w:pStyle w:val="pldetails"/>
        <w:keepNext/>
        <w:rPr>
          <w:lang w:val="en-US"/>
        </w:rPr>
      </w:pPr>
      <w:r w:rsidRPr="00907345">
        <w:rPr>
          <w:lang w:val="en-US"/>
        </w:rPr>
        <w:t>Hend MADHOUR (Ms.), IT Officer</w:t>
      </w:r>
    </w:p>
    <w:p w:rsidR="00203D6B" w:rsidRPr="00907345" w:rsidRDefault="00203D6B" w:rsidP="00203D6B">
      <w:pPr>
        <w:pStyle w:val="pldetails"/>
        <w:keepNext/>
        <w:rPr>
          <w:lang w:val="en-US"/>
        </w:rPr>
      </w:pPr>
      <w:r w:rsidRPr="00907345">
        <w:rPr>
          <w:lang w:val="en-US"/>
        </w:rPr>
        <w:t>Manabu SUZUKI (Mr.), Technical/Regional Officer (Asia)</w:t>
      </w:r>
    </w:p>
    <w:p w:rsidR="00203D6B" w:rsidRPr="00907345" w:rsidRDefault="00203D6B" w:rsidP="00203D6B">
      <w:pPr>
        <w:pStyle w:val="pldetails"/>
        <w:rPr>
          <w:lang w:val="en-US"/>
        </w:rPr>
      </w:pPr>
      <w:r w:rsidRPr="00907345">
        <w:rPr>
          <w:lang w:val="en-US"/>
        </w:rPr>
        <w:t>Amit SHARMA (Mr.), IT Support Officer</w:t>
      </w:r>
    </w:p>
    <w:p w:rsidR="00203D6B" w:rsidRPr="00907345" w:rsidRDefault="00203D6B" w:rsidP="00203D6B">
      <w:pPr>
        <w:pStyle w:val="pldetails"/>
        <w:rPr>
          <w:lang w:val="fr-CH"/>
        </w:rPr>
      </w:pPr>
      <w:r w:rsidRPr="00907345">
        <w:rPr>
          <w:lang w:val="fr-CH"/>
        </w:rPr>
        <w:t>Ariane BESSE (Ms.), Administrative Assistant</w:t>
      </w:r>
    </w:p>
    <w:p w:rsidR="00203D6B" w:rsidRPr="00907345" w:rsidRDefault="00203D6B" w:rsidP="00203D6B">
      <w:pPr>
        <w:rPr>
          <w:noProof/>
          <w:lang w:val="fr-CH"/>
        </w:rPr>
      </w:pPr>
    </w:p>
    <w:p w:rsidR="00203D6B" w:rsidRPr="00907345" w:rsidRDefault="00203D6B" w:rsidP="00203D6B">
      <w:pPr>
        <w:rPr>
          <w:noProof/>
          <w:lang w:val="fr-CH"/>
        </w:rPr>
      </w:pPr>
    </w:p>
    <w:p w:rsidR="00203D6B" w:rsidRPr="00907345" w:rsidRDefault="00203D6B" w:rsidP="00203D6B">
      <w:pPr>
        <w:keepNext/>
        <w:jc w:val="right"/>
        <w:rPr>
          <w:rFonts w:cs="Arial"/>
          <w:noProof/>
          <w:lang w:val="fr-CH"/>
        </w:rPr>
      </w:pPr>
      <w:r w:rsidRPr="00907345">
        <w:rPr>
          <w:rFonts w:cs="Arial"/>
          <w:noProof/>
          <w:lang w:val="fr-CH"/>
        </w:rPr>
        <w:t>[Fin de l’annexe et du document/</w:t>
      </w:r>
    </w:p>
    <w:p w:rsidR="00203D6B" w:rsidRPr="00907345" w:rsidRDefault="00203D6B" w:rsidP="00203D6B">
      <w:pPr>
        <w:keepNext/>
        <w:jc w:val="right"/>
        <w:rPr>
          <w:rFonts w:cs="Arial"/>
          <w:noProof/>
          <w:lang w:val="en-US"/>
        </w:rPr>
      </w:pPr>
      <w:r w:rsidRPr="00907345">
        <w:rPr>
          <w:rFonts w:cs="Arial"/>
          <w:noProof/>
          <w:lang w:val="en-US"/>
        </w:rPr>
        <w:t>End of Annex and of document/</w:t>
      </w:r>
    </w:p>
    <w:p w:rsidR="00203D6B" w:rsidRPr="003517F7" w:rsidRDefault="00203D6B" w:rsidP="00203D6B">
      <w:pPr>
        <w:keepNext/>
        <w:jc w:val="right"/>
        <w:rPr>
          <w:rFonts w:cs="Arial"/>
          <w:noProof/>
        </w:rPr>
      </w:pPr>
      <w:r w:rsidRPr="003517F7">
        <w:rPr>
          <w:rFonts w:cs="Arial"/>
          <w:noProof/>
        </w:rPr>
        <w:t>Ende der Anlage und des Dokuments/</w:t>
      </w:r>
    </w:p>
    <w:p w:rsidR="00203D6B" w:rsidRPr="00907345" w:rsidRDefault="00203D6B" w:rsidP="00203D6B">
      <w:pPr>
        <w:keepNext/>
        <w:jc w:val="right"/>
        <w:rPr>
          <w:rFonts w:cs="Arial"/>
          <w:noProof/>
          <w:lang w:val="es-ES" w:eastAsia="zh-CN"/>
        </w:rPr>
      </w:pPr>
      <w:r w:rsidRPr="00907345">
        <w:rPr>
          <w:rFonts w:cs="Arial"/>
          <w:noProof/>
          <w:lang w:val="es-ES"/>
        </w:rPr>
        <w:t>Fin del Anexo y del documento]</w:t>
      </w:r>
    </w:p>
    <w:p w:rsidR="00203D6B" w:rsidRPr="00907345" w:rsidRDefault="00203D6B" w:rsidP="00203D6B">
      <w:pPr>
        <w:jc w:val="center"/>
        <w:rPr>
          <w:noProof/>
          <w:lang w:val="es-ES"/>
        </w:rPr>
      </w:pPr>
    </w:p>
    <w:p w:rsidR="0068387F" w:rsidRPr="00907345" w:rsidRDefault="0068387F" w:rsidP="00203D6B">
      <w:pPr>
        <w:pStyle w:val="TableParagraph"/>
        <w:jc w:val="both"/>
        <w:rPr>
          <w:noProof/>
          <w:lang w:val="es-ES"/>
        </w:rPr>
      </w:pPr>
    </w:p>
    <w:sectPr w:rsidR="0068387F" w:rsidRPr="00907345" w:rsidSect="001A0014">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11" w:rsidRDefault="00BE3811" w:rsidP="006655D3">
      <w:r>
        <w:separator/>
      </w:r>
    </w:p>
    <w:p w:rsidR="00BE3811" w:rsidRDefault="00BE3811" w:rsidP="006655D3"/>
    <w:p w:rsidR="00BE3811" w:rsidRDefault="00BE3811" w:rsidP="006655D3"/>
  </w:endnote>
  <w:endnote w:type="continuationSeparator" w:id="0">
    <w:p w:rsidR="00BE3811" w:rsidRDefault="00BE3811" w:rsidP="006655D3">
      <w:r>
        <w:separator/>
      </w:r>
    </w:p>
    <w:p w:rsidR="00BE3811" w:rsidRPr="00294751" w:rsidRDefault="00BE3811">
      <w:pPr>
        <w:pStyle w:val="Footer"/>
        <w:spacing w:after="60"/>
        <w:rPr>
          <w:sz w:val="18"/>
          <w:lang w:val="fr-FR"/>
        </w:rPr>
      </w:pPr>
      <w:r w:rsidRPr="00294751">
        <w:rPr>
          <w:sz w:val="18"/>
          <w:lang w:val="fr-FR"/>
        </w:rPr>
        <w:t>[Suite de la note de la page précédente]</w:t>
      </w:r>
    </w:p>
    <w:p w:rsidR="00BE3811" w:rsidRPr="00294751" w:rsidRDefault="00BE3811" w:rsidP="006655D3">
      <w:pPr>
        <w:rPr>
          <w:lang w:val="fr-FR"/>
        </w:rPr>
      </w:pPr>
    </w:p>
    <w:p w:rsidR="00BE3811" w:rsidRPr="00294751" w:rsidRDefault="00BE3811" w:rsidP="006655D3">
      <w:pPr>
        <w:rPr>
          <w:lang w:val="fr-FR"/>
        </w:rPr>
      </w:pPr>
    </w:p>
  </w:endnote>
  <w:endnote w:type="continuationNotice" w:id="1">
    <w:p w:rsidR="00BE3811" w:rsidRPr="00294751" w:rsidRDefault="00BE3811" w:rsidP="006655D3">
      <w:pPr>
        <w:rPr>
          <w:lang w:val="fr-FR"/>
        </w:rPr>
      </w:pPr>
      <w:r w:rsidRPr="00294751">
        <w:rPr>
          <w:lang w:val="fr-FR"/>
        </w:rPr>
        <w:t>[Suite de la note page suivante]</w:t>
      </w:r>
    </w:p>
    <w:p w:rsidR="00BE3811" w:rsidRPr="00294751" w:rsidRDefault="00BE3811" w:rsidP="006655D3">
      <w:pPr>
        <w:rPr>
          <w:lang w:val="fr-FR"/>
        </w:rPr>
      </w:pPr>
    </w:p>
    <w:p w:rsidR="00BE3811" w:rsidRPr="00294751" w:rsidRDefault="00BE38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11" w:rsidRDefault="00BE3811" w:rsidP="006655D3">
      <w:r>
        <w:separator/>
      </w:r>
    </w:p>
  </w:footnote>
  <w:footnote w:type="continuationSeparator" w:id="0">
    <w:p w:rsidR="00BE3811" w:rsidRDefault="00BE3811" w:rsidP="006655D3">
      <w:r>
        <w:separator/>
      </w:r>
    </w:p>
  </w:footnote>
  <w:footnote w:type="continuationNotice" w:id="1">
    <w:p w:rsidR="00BE3811" w:rsidRPr="00AB530F" w:rsidRDefault="00BE381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11" w:rsidRPr="00C5280D" w:rsidRDefault="00BE3811" w:rsidP="0043467F">
    <w:pPr>
      <w:pStyle w:val="Header"/>
      <w:rPr>
        <w:rStyle w:val="PageNumber"/>
      </w:rPr>
    </w:pPr>
    <w:r>
      <w:rPr>
        <w:rStyle w:val="PageNumber"/>
      </w:rPr>
      <w:t>CAJ/78/12</w:t>
    </w:r>
  </w:p>
  <w:p w:rsidR="00BE3811" w:rsidRPr="00C5280D" w:rsidRDefault="00BE3811" w:rsidP="0043467F">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8141D">
      <w:rPr>
        <w:rStyle w:val="PageNumber"/>
        <w:noProof/>
      </w:rPr>
      <w:t>4</w:t>
    </w:r>
    <w:r w:rsidRPr="00C5280D">
      <w:rPr>
        <w:rStyle w:val="PageNumber"/>
      </w:rPr>
      <w:fldChar w:fldCharType="end"/>
    </w:r>
  </w:p>
  <w:p w:rsidR="00BE3811" w:rsidRDefault="00BE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61" w:rsidRPr="001A0014" w:rsidRDefault="003E778F" w:rsidP="001A0014">
    <w:pPr>
      <w:pStyle w:val="Header"/>
      <w:rPr>
        <w:rStyle w:val="PageNumber"/>
        <w:lang w:val="fr-CH"/>
      </w:rPr>
    </w:pPr>
    <w:r>
      <w:rPr>
        <w:rStyle w:val="PageNumber"/>
        <w:lang w:val="fr-CH"/>
      </w:rPr>
      <w:t>CAJ/78/13</w:t>
    </w:r>
  </w:p>
  <w:p w:rsidR="001B2B61" w:rsidRPr="001A0014" w:rsidRDefault="003E778F" w:rsidP="001A0014">
    <w:pPr>
      <w:jc w:val="center"/>
      <w:rPr>
        <w:lang w:val="fr-CH"/>
      </w:rPr>
    </w:pPr>
    <w:r w:rsidRPr="001A0014">
      <w:rPr>
        <w:lang w:val="fr-CH"/>
      </w:rPr>
      <w:t>Annexe / Annex / Anlage / Anexo</w:t>
    </w:r>
  </w:p>
  <w:p w:rsidR="001B2B61" w:rsidRDefault="003E778F" w:rsidP="001A0014">
    <w:pPr>
      <w:pStyle w:val="Header"/>
      <w:rPr>
        <w:lang w:val="en-US"/>
      </w:rPr>
    </w:pPr>
    <w:r w:rsidRPr="001A0014">
      <w:rPr>
        <w:lang w:val="fr-CH"/>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18141D">
      <w:rPr>
        <w:rStyle w:val="PageNumber"/>
        <w:noProof/>
        <w:lang w:val="en-US"/>
      </w:rPr>
      <w:t>10</w:t>
    </w:r>
    <w:r>
      <w:rPr>
        <w:rStyle w:val="PageNumber"/>
        <w:lang w:val="en-US"/>
      </w:rPr>
      <w:fldChar w:fldCharType="end"/>
    </w:r>
    <w:r>
      <w:rPr>
        <w:rFonts w:cs="Arial"/>
      </w:rPr>
      <w:t xml:space="preserve">/ Seite </w:t>
    </w:r>
    <w:r>
      <w:rPr>
        <w:rStyle w:val="PageNumber"/>
      </w:rPr>
      <w:fldChar w:fldCharType="begin"/>
    </w:r>
    <w:r>
      <w:rPr>
        <w:rStyle w:val="PageNumber"/>
      </w:rPr>
      <w:instrText xml:space="preserve"> PAGE </w:instrText>
    </w:r>
    <w:r>
      <w:rPr>
        <w:rStyle w:val="PageNumber"/>
      </w:rPr>
      <w:fldChar w:fldCharType="separate"/>
    </w:r>
    <w:r w:rsidR="0018141D">
      <w:rPr>
        <w:rStyle w:val="PageNumber"/>
        <w:noProof/>
      </w:rPr>
      <w:t>10</w:t>
    </w:r>
    <w:r>
      <w:rPr>
        <w:rStyle w:val="PageNumber"/>
      </w:rPr>
      <w:fldChar w:fldCharType="end"/>
    </w:r>
    <w:r>
      <w:rPr>
        <w:rStyle w:val="PageNumber"/>
      </w:rPr>
      <w:t xml:space="preserve"> </w:t>
    </w:r>
    <w:r>
      <w:rPr>
        <w:rFonts w:cs="Arial"/>
      </w:rPr>
      <w:t xml:space="preserve">/ página </w:t>
    </w:r>
    <w:r>
      <w:rPr>
        <w:rFonts w:cs="Arial"/>
      </w:rPr>
      <w:fldChar w:fldCharType="begin"/>
    </w:r>
    <w:r>
      <w:rPr>
        <w:rFonts w:cs="Arial"/>
      </w:rPr>
      <w:instrText xml:space="preserve"> PAGE  \* MERGEFORMAT </w:instrText>
    </w:r>
    <w:r>
      <w:rPr>
        <w:rFonts w:cs="Arial"/>
      </w:rPr>
      <w:fldChar w:fldCharType="separate"/>
    </w:r>
    <w:r w:rsidR="0018141D">
      <w:rPr>
        <w:rFonts w:cs="Arial"/>
        <w:noProof/>
      </w:rPr>
      <w:t>10</w:t>
    </w:r>
    <w:r>
      <w:rPr>
        <w:rFonts w:cs="Arial"/>
      </w:rPr>
      <w:fldChar w:fldCharType="end"/>
    </w:r>
  </w:p>
  <w:p w:rsidR="001B2B61" w:rsidRPr="00C5280D" w:rsidRDefault="0018141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61" w:rsidRPr="00BF4550" w:rsidRDefault="003E778F" w:rsidP="001A0014">
    <w:pPr>
      <w:pStyle w:val="Header"/>
      <w:rPr>
        <w:lang w:val="en-US"/>
      </w:rPr>
    </w:pPr>
    <w:r w:rsidRPr="009935C2">
      <w:rPr>
        <w:lang w:val="en-US"/>
      </w:rPr>
      <w:t>CAJ/7</w:t>
    </w:r>
    <w:r>
      <w:rPr>
        <w:lang w:val="en-US"/>
      </w:rPr>
      <w:t>8/13</w:t>
    </w:r>
  </w:p>
  <w:p w:rsidR="001B2B61" w:rsidRPr="00BF4550" w:rsidRDefault="0018141D" w:rsidP="001A0014">
    <w:pPr>
      <w:pStyle w:val="Header"/>
      <w:rPr>
        <w:lang w:val="en-US"/>
      </w:rPr>
    </w:pPr>
  </w:p>
  <w:p w:rsidR="001B2B61" w:rsidRDefault="003E778F" w:rsidP="001A0014">
    <w:pPr>
      <w:pStyle w:val="Header"/>
      <w:rPr>
        <w:lang w:val="en-US"/>
      </w:rPr>
    </w:pPr>
    <w:r>
      <w:rPr>
        <w:lang w:val="en-US"/>
      </w:rPr>
      <w:t xml:space="preserve">ANNEXE </w:t>
    </w:r>
    <w:r w:rsidRPr="002742B2">
      <w:rPr>
        <w:lang w:val="en-US"/>
      </w:rPr>
      <w:t xml:space="preserve">/ </w:t>
    </w:r>
    <w:r>
      <w:rPr>
        <w:lang w:val="en-US"/>
      </w:rPr>
      <w:t>ANNEX / ANLAGE / ANEXO</w:t>
    </w:r>
  </w:p>
  <w:p w:rsidR="001B2B61" w:rsidRDefault="0018141D" w:rsidP="001A0014">
    <w:pPr>
      <w:pStyle w:val="Header"/>
      <w:rPr>
        <w:lang w:val="en-US"/>
      </w:rPr>
    </w:pPr>
  </w:p>
  <w:p w:rsidR="001B2B61" w:rsidRPr="002742B2" w:rsidRDefault="0018141D" w:rsidP="001A00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8D7416D"/>
    <w:multiLevelType w:val="hybridMultilevel"/>
    <w:tmpl w:val="74381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9F4"/>
    <w:multiLevelType w:val="hybridMultilevel"/>
    <w:tmpl w:val="DA3CEC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F6F3F"/>
    <w:multiLevelType w:val="hybridMultilevel"/>
    <w:tmpl w:val="A3EACD0E"/>
    <w:lvl w:ilvl="0" w:tplc="8C46F10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B1E5145"/>
    <w:multiLevelType w:val="hybridMultilevel"/>
    <w:tmpl w:val="42E851FA"/>
    <w:lvl w:ilvl="0" w:tplc="C7DAA390">
      <w:start w:val="1"/>
      <w:numFmt w:val="decimal"/>
      <w:lvlText w:val="%1."/>
      <w:lvlJc w:val="left"/>
      <w:pPr>
        <w:ind w:left="11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920C20"/>
    <w:multiLevelType w:val="hybridMultilevel"/>
    <w:tmpl w:val="170A5872"/>
    <w:lvl w:ilvl="0" w:tplc="BA46A6D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942EBE"/>
    <w:multiLevelType w:val="hybridMultilevel"/>
    <w:tmpl w:val="099C1B72"/>
    <w:lvl w:ilvl="0" w:tplc="53B4ABC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3CCA417B"/>
    <w:multiLevelType w:val="hybridMultilevel"/>
    <w:tmpl w:val="F93635B0"/>
    <w:lvl w:ilvl="0" w:tplc="5B868488">
      <w:start w:val="27"/>
      <w:numFmt w:val="bullet"/>
      <w:lvlText w:val="-"/>
      <w:lvlJc w:val="left"/>
      <w:pPr>
        <w:ind w:left="924" w:hanging="360"/>
      </w:pPr>
      <w:rPr>
        <w:rFonts w:ascii="Arial" w:eastAsia="Times New Roma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49A61791"/>
    <w:multiLevelType w:val="hybridMultilevel"/>
    <w:tmpl w:val="06AAE4F2"/>
    <w:lvl w:ilvl="0" w:tplc="04090017">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8EC0BA3"/>
    <w:multiLevelType w:val="hybridMultilevel"/>
    <w:tmpl w:val="0FEC4626"/>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0376993"/>
    <w:multiLevelType w:val="hybridMultilevel"/>
    <w:tmpl w:val="6BA870DE"/>
    <w:lvl w:ilvl="0" w:tplc="51FA7D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B8C2AD6"/>
    <w:multiLevelType w:val="hybridMultilevel"/>
    <w:tmpl w:val="258A754A"/>
    <w:lvl w:ilvl="0" w:tplc="E4088ACC">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C530E"/>
    <w:multiLevelType w:val="hybridMultilevel"/>
    <w:tmpl w:val="E7263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74D92"/>
    <w:multiLevelType w:val="hybridMultilevel"/>
    <w:tmpl w:val="47F26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351B2B"/>
    <w:multiLevelType w:val="hybridMultilevel"/>
    <w:tmpl w:val="C4C675CC"/>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11"/>
  </w:num>
  <w:num w:numId="3">
    <w:abstractNumId w:val="10"/>
  </w:num>
  <w:num w:numId="4">
    <w:abstractNumId w:val="5"/>
  </w:num>
  <w:num w:numId="5">
    <w:abstractNumId w:val="3"/>
  </w:num>
  <w:num w:numId="6">
    <w:abstractNumId w:val="1"/>
  </w:num>
  <w:num w:numId="7">
    <w:abstractNumId w:val="20"/>
  </w:num>
  <w:num w:numId="8">
    <w:abstractNumId w:val="14"/>
  </w:num>
  <w:num w:numId="9">
    <w:abstractNumId w:val="19"/>
  </w:num>
  <w:num w:numId="10">
    <w:abstractNumId w:val="0"/>
  </w:num>
  <w:num w:numId="11">
    <w:abstractNumId w:val="17"/>
  </w:num>
  <w:num w:numId="12">
    <w:abstractNumId w:val="16"/>
  </w:num>
  <w:num w:numId="13">
    <w:abstractNumId w:val="9"/>
  </w:num>
  <w:num w:numId="14">
    <w:abstractNumId w:val="4"/>
  </w:num>
  <w:num w:numId="15">
    <w:abstractNumId w:val="2"/>
  </w:num>
  <w:num w:numId="16">
    <w:abstractNumId w:val="15"/>
  </w:num>
  <w:num w:numId="17">
    <w:abstractNumId w:val="12"/>
  </w:num>
  <w:num w:numId="18">
    <w:abstractNumId w:val="18"/>
  </w:num>
  <w:num w:numId="19">
    <w:abstractNumId w:val="7"/>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0532B"/>
    <w:rsid w:val="00010CF3"/>
    <w:rsid w:val="00011E27"/>
    <w:rsid w:val="00011E43"/>
    <w:rsid w:val="000148BC"/>
    <w:rsid w:val="00024AB8"/>
    <w:rsid w:val="00030854"/>
    <w:rsid w:val="00031577"/>
    <w:rsid w:val="00036028"/>
    <w:rsid w:val="00040C38"/>
    <w:rsid w:val="0004198B"/>
    <w:rsid w:val="00044642"/>
    <w:rsid w:val="000446B9"/>
    <w:rsid w:val="0004482D"/>
    <w:rsid w:val="00047323"/>
    <w:rsid w:val="00047E21"/>
    <w:rsid w:val="00050E16"/>
    <w:rsid w:val="00053FE6"/>
    <w:rsid w:val="00057E9E"/>
    <w:rsid w:val="000735E5"/>
    <w:rsid w:val="0007372F"/>
    <w:rsid w:val="000806B9"/>
    <w:rsid w:val="00085505"/>
    <w:rsid w:val="000A07C7"/>
    <w:rsid w:val="000C4E25"/>
    <w:rsid w:val="000C7021"/>
    <w:rsid w:val="000D402E"/>
    <w:rsid w:val="000D6BBC"/>
    <w:rsid w:val="000D7780"/>
    <w:rsid w:val="000E636A"/>
    <w:rsid w:val="000F2F11"/>
    <w:rsid w:val="00100A5F"/>
    <w:rsid w:val="00105929"/>
    <w:rsid w:val="00110BED"/>
    <w:rsid w:val="00110C36"/>
    <w:rsid w:val="001131D5"/>
    <w:rsid w:val="00114547"/>
    <w:rsid w:val="00133199"/>
    <w:rsid w:val="00141DB8"/>
    <w:rsid w:val="00151FE2"/>
    <w:rsid w:val="0015228A"/>
    <w:rsid w:val="001678F8"/>
    <w:rsid w:val="00172084"/>
    <w:rsid w:val="0017474A"/>
    <w:rsid w:val="001758C6"/>
    <w:rsid w:val="0018141D"/>
    <w:rsid w:val="00182B99"/>
    <w:rsid w:val="00197E5D"/>
    <w:rsid w:val="001A2D6A"/>
    <w:rsid w:val="001A6BA3"/>
    <w:rsid w:val="001A7AF0"/>
    <w:rsid w:val="001C1525"/>
    <w:rsid w:val="001C4814"/>
    <w:rsid w:val="001F32DA"/>
    <w:rsid w:val="001F5989"/>
    <w:rsid w:val="00203D6B"/>
    <w:rsid w:val="0021332C"/>
    <w:rsid w:val="00213982"/>
    <w:rsid w:val="002157FE"/>
    <w:rsid w:val="00226B6D"/>
    <w:rsid w:val="00236679"/>
    <w:rsid w:val="002370E9"/>
    <w:rsid w:val="0024416D"/>
    <w:rsid w:val="00245396"/>
    <w:rsid w:val="002576E4"/>
    <w:rsid w:val="00271911"/>
    <w:rsid w:val="00273187"/>
    <w:rsid w:val="0027404E"/>
    <w:rsid w:val="00275A3A"/>
    <w:rsid w:val="002800A0"/>
    <w:rsid w:val="002801B3"/>
    <w:rsid w:val="00281060"/>
    <w:rsid w:val="00281103"/>
    <w:rsid w:val="00285BD0"/>
    <w:rsid w:val="002940E8"/>
    <w:rsid w:val="00294751"/>
    <w:rsid w:val="002A6E50"/>
    <w:rsid w:val="002B4298"/>
    <w:rsid w:val="002B7A36"/>
    <w:rsid w:val="002C256A"/>
    <w:rsid w:val="002D16CC"/>
    <w:rsid w:val="002D3619"/>
    <w:rsid w:val="002D5226"/>
    <w:rsid w:val="002F7F4E"/>
    <w:rsid w:val="00305A7F"/>
    <w:rsid w:val="003152FE"/>
    <w:rsid w:val="00315E64"/>
    <w:rsid w:val="00327436"/>
    <w:rsid w:val="00344BD6"/>
    <w:rsid w:val="003517F7"/>
    <w:rsid w:val="0035528D"/>
    <w:rsid w:val="00361821"/>
    <w:rsid w:val="00361E9E"/>
    <w:rsid w:val="00367AE2"/>
    <w:rsid w:val="00371203"/>
    <w:rsid w:val="003753EE"/>
    <w:rsid w:val="00391896"/>
    <w:rsid w:val="003A0835"/>
    <w:rsid w:val="003A5AAF"/>
    <w:rsid w:val="003A5F98"/>
    <w:rsid w:val="003A6873"/>
    <w:rsid w:val="003B700A"/>
    <w:rsid w:val="003C3EB2"/>
    <w:rsid w:val="003C7FBE"/>
    <w:rsid w:val="003D227C"/>
    <w:rsid w:val="003D2B4D"/>
    <w:rsid w:val="003D62F4"/>
    <w:rsid w:val="003E778F"/>
    <w:rsid w:val="003F37F5"/>
    <w:rsid w:val="003F44E6"/>
    <w:rsid w:val="0040391B"/>
    <w:rsid w:val="0041154E"/>
    <w:rsid w:val="0043467F"/>
    <w:rsid w:val="00444A88"/>
    <w:rsid w:val="0045055E"/>
    <w:rsid w:val="00463B3B"/>
    <w:rsid w:val="00474DA4"/>
    <w:rsid w:val="004759EF"/>
    <w:rsid w:val="00476B4D"/>
    <w:rsid w:val="004805FA"/>
    <w:rsid w:val="00490DF9"/>
    <w:rsid w:val="004935D2"/>
    <w:rsid w:val="004B1215"/>
    <w:rsid w:val="004B1505"/>
    <w:rsid w:val="004C157D"/>
    <w:rsid w:val="004C4653"/>
    <w:rsid w:val="004D00DC"/>
    <w:rsid w:val="004D047D"/>
    <w:rsid w:val="004D628F"/>
    <w:rsid w:val="004D69BA"/>
    <w:rsid w:val="004F1E9E"/>
    <w:rsid w:val="004F305A"/>
    <w:rsid w:val="00505604"/>
    <w:rsid w:val="00512164"/>
    <w:rsid w:val="00520297"/>
    <w:rsid w:val="005338F9"/>
    <w:rsid w:val="0054281C"/>
    <w:rsid w:val="00544581"/>
    <w:rsid w:val="0055137E"/>
    <w:rsid w:val="0055268D"/>
    <w:rsid w:val="00567BC6"/>
    <w:rsid w:val="00575525"/>
    <w:rsid w:val="00575DE2"/>
    <w:rsid w:val="00576BE4"/>
    <w:rsid w:val="005779DB"/>
    <w:rsid w:val="00595E0B"/>
    <w:rsid w:val="005A400A"/>
    <w:rsid w:val="005B269D"/>
    <w:rsid w:val="005C2E97"/>
    <w:rsid w:val="005D02F0"/>
    <w:rsid w:val="005D7A30"/>
    <w:rsid w:val="005F3E59"/>
    <w:rsid w:val="005F7B92"/>
    <w:rsid w:val="00612379"/>
    <w:rsid w:val="00612E97"/>
    <w:rsid w:val="006153B6"/>
    <w:rsid w:val="0061555F"/>
    <w:rsid w:val="006230EF"/>
    <w:rsid w:val="006245ED"/>
    <w:rsid w:val="00625830"/>
    <w:rsid w:val="00627D90"/>
    <w:rsid w:val="00636CA6"/>
    <w:rsid w:val="00637782"/>
    <w:rsid w:val="00640A12"/>
    <w:rsid w:val="00641200"/>
    <w:rsid w:val="00645CA8"/>
    <w:rsid w:val="00652783"/>
    <w:rsid w:val="00654AA1"/>
    <w:rsid w:val="006633BB"/>
    <w:rsid w:val="006655D3"/>
    <w:rsid w:val="00667404"/>
    <w:rsid w:val="0067403B"/>
    <w:rsid w:val="00676ED0"/>
    <w:rsid w:val="0068387F"/>
    <w:rsid w:val="006866EA"/>
    <w:rsid w:val="00687EB4"/>
    <w:rsid w:val="00695C56"/>
    <w:rsid w:val="006A3C27"/>
    <w:rsid w:val="006A5CDE"/>
    <w:rsid w:val="006A644A"/>
    <w:rsid w:val="006B17D2"/>
    <w:rsid w:val="006C224E"/>
    <w:rsid w:val="006D780A"/>
    <w:rsid w:val="007051C8"/>
    <w:rsid w:val="00707879"/>
    <w:rsid w:val="0071271E"/>
    <w:rsid w:val="00723DE3"/>
    <w:rsid w:val="00726BE7"/>
    <w:rsid w:val="00732DEC"/>
    <w:rsid w:val="007338F3"/>
    <w:rsid w:val="00735BD5"/>
    <w:rsid w:val="007451EC"/>
    <w:rsid w:val="00751613"/>
    <w:rsid w:val="00751E8E"/>
    <w:rsid w:val="00753EE9"/>
    <w:rsid w:val="007556F6"/>
    <w:rsid w:val="00760EEF"/>
    <w:rsid w:val="00777EE5"/>
    <w:rsid w:val="00784836"/>
    <w:rsid w:val="00787883"/>
    <w:rsid w:val="0079023E"/>
    <w:rsid w:val="00794839"/>
    <w:rsid w:val="007A2854"/>
    <w:rsid w:val="007B1DE7"/>
    <w:rsid w:val="007C1D92"/>
    <w:rsid w:val="007C4CB9"/>
    <w:rsid w:val="007D002D"/>
    <w:rsid w:val="007D0B9D"/>
    <w:rsid w:val="007D19B0"/>
    <w:rsid w:val="007E0EEC"/>
    <w:rsid w:val="007E14CE"/>
    <w:rsid w:val="007F498F"/>
    <w:rsid w:val="0080679D"/>
    <w:rsid w:val="008108B0"/>
    <w:rsid w:val="00811B20"/>
    <w:rsid w:val="00812609"/>
    <w:rsid w:val="008211B5"/>
    <w:rsid w:val="0082296E"/>
    <w:rsid w:val="00824099"/>
    <w:rsid w:val="00833B4A"/>
    <w:rsid w:val="00836B23"/>
    <w:rsid w:val="00846D7C"/>
    <w:rsid w:val="008633E1"/>
    <w:rsid w:val="00867AC1"/>
    <w:rsid w:val="00871133"/>
    <w:rsid w:val="008751DE"/>
    <w:rsid w:val="008803A5"/>
    <w:rsid w:val="00882F7D"/>
    <w:rsid w:val="00890DF8"/>
    <w:rsid w:val="0089517A"/>
    <w:rsid w:val="008A0ADE"/>
    <w:rsid w:val="008A60BE"/>
    <w:rsid w:val="008A743F"/>
    <w:rsid w:val="008B33E4"/>
    <w:rsid w:val="008C0970"/>
    <w:rsid w:val="008C25CB"/>
    <w:rsid w:val="008D02AB"/>
    <w:rsid w:val="008D0BC5"/>
    <w:rsid w:val="008D2CF7"/>
    <w:rsid w:val="008F2587"/>
    <w:rsid w:val="008F4317"/>
    <w:rsid w:val="008F4B6B"/>
    <w:rsid w:val="00900C26"/>
    <w:rsid w:val="0090197F"/>
    <w:rsid w:val="00903264"/>
    <w:rsid w:val="00906DDC"/>
    <w:rsid w:val="00907345"/>
    <w:rsid w:val="00922891"/>
    <w:rsid w:val="00923899"/>
    <w:rsid w:val="00934E09"/>
    <w:rsid w:val="00936253"/>
    <w:rsid w:val="00940D46"/>
    <w:rsid w:val="009413F1"/>
    <w:rsid w:val="009461E9"/>
    <w:rsid w:val="009524E9"/>
    <w:rsid w:val="00952DD4"/>
    <w:rsid w:val="00953203"/>
    <w:rsid w:val="009561F4"/>
    <w:rsid w:val="00962FD0"/>
    <w:rsid w:val="00965AE7"/>
    <w:rsid w:val="00970A22"/>
    <w:rsid w:val="00970FED"/>
    <w:rsid w:val="0099085B"/>
    <w:rsid w:val="00992D82"/>
    <w:rsid w:val="00997029"/>
    <w:rsid w:val="009A07D8"/>
    <w:rsid w:val="009A7339"/>
    <w:rsid w:val="009B2E20"/>
    <w:rsid w:val="009B440E"/>
    <w:rsid w:val="009C164C"/>
    <w:rsid w:val="009C4316"/>
    <w:rsid w:val="009C6AC5"/>
    <w:rsid w:val="009D690D"/>
    <w:rsid w:val="009E65B6"/>
    <w:rsid w:val="009E77BA"/>
    <w:rsid w:val="009F0A51"/>
    <w:rsid w:val="009F486D"/>
    <w:rsid w:val="009F77CF"/>
    <w:rsid w:val="00A0202E"/>
    <w:rsid w:val="00A03282"/>
    <w:rsid w:val="00A24C10"/>
    <w:rsid w:val="00A25E98"/>
    <w:rsid w:val="00A373D3"/>
    <w:rsid w:val="00A42AC3"/>
    <w:rsid w:val="00A430CF"/>
    <w:rsid w:val="00A54309"/>
    <w:rsid w:val="00A60FB1"/>
    <w:rsid w:val="00A610A9"/>
    <w:rsid w:val="00A80F2A"/>
    <w:rsid w:val="00A828C4"/>
    <w:rsid w:val="00A92E78"/>
    <w:rsid w:val="00A96C33"/>
    <w:rsid w:val="00AA5D64"/>
    <w:rsid w:val="00AB2B93"/>
    <w:rsid w:val="00AB530F"/>
    <w:rsid w:val="00AB7E5B"/>
    <w:rsid w:val="00AC2883"/>
    <w:rsid w:val="00AD5D72"/>
    <w:rsid w:val="00AE0687"/>
    <w:rsid w:val="00AE0EF1"/>
    <w:rsid w:val="00AE1985"/>
    <w:rsid w:val="00AE2937"/>
    <w:rsid w:val="00B00994"/>
    <w:rsid w:val="00B07301"/>
    <w:rsid w:val="00B11F3E"/>
    <w:rsid w:val="00B17552"/>
    <w:rsid w:val="00B224DE"/>
    <w:rsid w:val="00B243AF"/>
    <w:rsid w:val="00B3011D"/>
    <w:rsid w:val="00B324D4"/>
    <w:rsid w:val="00B436B3"/>
    <w:rsid w:val="00B46575"/>
    <w:rsid w:val="00B61777"/>
    <w:rsid w:val="00B622E6"/>
    <w:rsid w:val="00B72168"/>
    <w:rsid w:val="00B74FCA"/>
    <w:rsid w:val="00B76F40"/>
    <w:rsid w:val="00B83E82"/>
    <w:rsid w:val="00B84BBD"/>
    <w:rsid w:val="00BA43FB"/>
    <w:rsid w:val="00BB3F17"/>
    <w:rsid w:val="00BC127D"/>
    <w:rsid w:val="00BC1FE6"/>
    <w:rsid w:val="00BE3811"/>
    <w:rsid w:val="00BF186E"/>
    <w:rsid w:val="00BF6D36"/>
    <w:rsid w:val="00C03C0B"/>
    <w:rsid w:val="00C061B6"/>
    <w:rsid w:val="00C2446C"/>
    <w:rsid w:val="00C36AE5"/>
    <w:rsid w:val="00C41F17"/>
    <w:rsid w:val="00C527FA"/>
    <w:rsid w:val="00C5280D"/>
    <w:rsid w:val="00C532F1"/>
    <w:rsid w:val="00C53EB3"/>
    <w:rsid w:val="00C5791C"/>
    <w:rsid w:val="00C61377"/>
    <w:rsid w:val="00C66290"/>
    <w:rsid w:val="00C72B7A"/>
    <w:rsid w:val="00C92C49"/>
    <w:rsid w:val="00C95476"/>
    <w:rsid w:val="00C973F2"/>
    <w:rsid w:val="00CA304C"/>
    <w:rsid w:val="00CA6323"/>
    <w:rsid w:val="00CA774A"/>
    <w:rsid w:val="00CB4921"/>
    <w:rsid w:val="00CC11B0"/>
    <w:rsid w:val="00CC1599"/>
    <w:rsid w:val="00CC2841"/>
    <w:rsid w:val="00CF1330"/>
    <w:rsid w:val="00CF7E36"/>
    <w:rsid w:val="00D01A19"/>
    <w:rsid w:val="00D02FF1"/>
    <w:rsid w:val="00D1287E"/>
    <w:rsid w:val="00D2079B"/>
    <w:rsid w:val="00D270E6"/>
    <w:rsid w:val="00D354EC"/>
    <w:rsid w:val="00D3708D"/>
    <w:rsid w:val="00D375A1"/>
    <w:rsid w:val="00D40426"/>
    <w:rsid w:val="00D43EA8"/>
    <w:rsid w:val="00D51385"/>
    <w:rsid w:val="00D57C96"/>
    <w:rsid w:val="00D57D18"/>
    <w:rsid w:val="00D6430D"/>
    <w:rsid w:val="00D70E65"/>
    <w:rsid w:val="00D73E3F"/>
    <w:rsid w:val="00D740AB"/>
    <w:rsid w:val="00D91203"/>
    <w:rsid w:val="00D95174"/>
    <w:rsid w:val="00D962AB"/>
    <w:rsid w:val="00DA4973"/>
    <w:rsid w:val="00DA6F36"/>
    <w:rsid w:val="00DB570C"/>
    <w:rsid w:val="00DB596E"/>
    <w:rsid w:val="00DB72FA"/>
    <w:rsid w:val="00DB7773"/>
    <w:rsid w:val="00DC00EA"/>
    <w:rsid w:val="00DC3802"/>
    <w:rsid w:val="00DD0C9D"/>
    <w:rsid w:val="00DD6208"/>
    <w:rsid w:val="00DD6CA9"/>
    <w:rsid w:val="00DD7ADA"/>
    <w:rsid w:val="00DE1BE6"/>
    <w:rsid w:val="00DF36C4"/>
    <w:rsid w:val="00DF7E99"/>
    <w:rsid w:val="00E07384"/>
    <w:rsid w:val="00E07D87"/>
    <w:rsid w:val="00E12515"/>
    <w:rsid w:val="00E249C8"/>
    <w:rsid w:val="00E30364"/>
    <w:rsid w:val="00E32F7E"/>
    <w:rsid w:val="00E42D97"/>
    <w:rsid w:val="00E44777"/>
    <w:rsid w:val="00E5267B"/>
    <w:rsid w:val="00E559F0"/>
    <w:rsid w:val="00E63C0E"/>
    <w:rsid w:val="00E72A2B"/>
    <w:rsid w:val="00E72D49"/>
    <w:rsid w:val="00E7593C"/>
    <w:rsid w:val="00E7678A"/>
    <w:rsid w:val="00E935F1"/>
    <w:rsid w:val="00E94A81"/>
    <w:rsid w:val="00EA1FFB"/>
    <w:rsid w:val="00EB048E"/>
    <w:rsid w:val="00EB4E9C"/>
    <w:rsid w:val="00EE34DF"/>
    <w:rsid w:val="00EF01E9"/>
    <w:rsid w:val="00EF2F89"/>
    <w:rsid w:val="00EF3DDD"/>
    <w:rsid w:val="00F03E98"/>
    <w:rsid w:val="00F1237A"/>
    <w:rsid w:val="00F21E88"/>
    <w:rsid w:val="00F22CBD"/>
    <w:rsid w:val="00F272F1"/>
    <w:rsid w:val="00F31412"/>
    <w:rsid w:val="00F400D7"/>
    <w:rsid w:val="00F40D59"/>
    <w:rsid w:val="00F45372"/>
    <w:rsid w:val="00F560F7"/>
    <w:rsid w:val="00F6334D"/>
    <w:rsid w:val="00F633EB"/>
    <w:rsid w:val="00F63599"/>
    <w:rsid w:val="00F71781"/>
    <w:rsid w:val="00F7492E"/>
    <w:rsid w:val="00F91170"/>
    <w:rsid w:val="00F97150"/>
    <w:rsid w:val="00FA03E0"/>
    <w:rsid w:val="00FA49AB"/>
    <w:rsid w:val="00FB225C"/>
    <w:rsid w:val="00FC5FD0"/>
    <w:rsid w:val="00FE1F47"/>
    <w:rsid w:val="00FE39C7"/>
    <w:rsid w:val="00FF1AF6"/>
    <w:rsid w:val="00FF4D07"/>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5A9D9CA"/>
  <w15:docId w15:val="{0925116C-ACA8-461E-A29E-7F2935FF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8F4317"/>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15228A"/>
    <w:pPr>
      <w:tabs>
        <w:tab w:val="right" w:leader="dot" w:pos="9639"/>
      </w:tabs>
      <w:spacing w:before="60" w:after="60"/>
      <w:ind w:left="720" w:right="432"/>
    </w:pPr>
    <w:rPr>
      <w:rFonts w:ascii="Arial" w:hAnsi="Arial"/>
      <w:sz w:val="18"/>
    </w:rPr>
  </w:style>
  <w:style w:type="paragraph" w:styleId="TOC3">
    <w:name w:val="toc 3"/>
    <w:next w:val="Normal"/>
    <w:autoRedefine/>
    <w:uiPriority w:val="39"/>
    <w:rsid w:val="0015228A"/>
    <w:pPr>
      <w:tabs>
        <w:tab w:val="right" w:leader="dot" w:pos="9639"/>
      </w:tabs>
      <w:spacing w:before="60" w:after="60"/>
      <w:ind w:left="1440" w:right="288"/>
    </w:pPr>
    <w:rPr>
      <w:rFonts w:ascii="Arial" w:hAnsi="Arial"/>
      <w:i/>
      <w:sz w:val="18"/>
    </w:rPr>
  </w:style>
  <w:style w:type="character" w:styleId="Hyperlink">
    <w:name w:val="Hyperlink"/>
    <w:basedOn w:val="DefaultParagraphFont"/>
    <w:uiPriority w:val="99"/>
    <w:rsid w:val="008F4317"/>
    <w:rPr>
      <w:noProof/>
      <w:color w:val="0000FF"/>
      <w:u w:val="single"/>
    </w:rPr>
  </w:style>
  <w:style w:type="paragraph" w:styleId="TOC4">
    <w:name w:val="toc 4"/>
    <w:next w:val="Normal"/>
    <w:autoRedefine/>
    <w:uiPriority w:val="39"/>
    <w:rsid w:val="0015228A"/>
    <w:pPr>
      <w:tabs>
        <w:tab w:val="right" w:leader="dot" w:pos="9639"/>
      </w:tabs>
      <w:spacing w:before="60" w:after="60"/>
      <w:ind w:left="2016" w:right="288"/>
    </w:pPr>
    <w:rPr>
      <w:rFonts w:ascii="Arial" w:hAnsi="Arial"/>
      <w:sz w:val="16"/>
    </w:rPr>
  </w:style>
  <w:style w:type="paragraph" w:styleId="TOC1">
    <w:name w:val="toc 1"/>
    <w:next w:val="Normal"/>
    <w:autoRedefine/>
    <w:uiPriority w:val="39"/>
    <w:rsid w:val="0015228A"/>
    <w:pPr>
      <w:tabs>
        <w:tab w:val="right" w:leader="dot" w:pos="9639"/>
      </w:tabs>
      <w:spacing w:before="120" w:after="60"/>
      <w:ind w:right="432"/>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43467F"/>
    <w:rPr>
      <w:rFonts w:ascii="Arial" w:hAnsi="Arial"/>
      <w:sz w:val="16"/>
    </w:rPr>
  </w:style>
  <w:style w:type="paragraph" w:styleId="ListParagraph">
    <w:name w:val="List Paragraph"/>
    <w:aliases w:val="auto_list_(i),List Paragraph1"/>
    <w:basedOn w:val="Normal"/>
    <w:link w:val="ListParagraphChar"/>
    <w:uiPriority w:val="34"/>
    <w:qFormat/>
    <w:rsid w:val="0092389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923899"/>
    <w:rPr>
      <w:rFonts w:ascii="Arial" w:hAnsi="Arial"/>
    </w:rPr>
  </w:style>
  <w:style w:type="paragraph" w:customStyle="1" w:styleId="Default">
    <w:name w:val="Default"/>
    <w:rsid w:val="00923899"/>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923899"/>
    <w:rPr>
      <w:rFonts w:ascii="Arial" w:hAnsi="Arial"/>
      <w:i/>
    </w:rPr>
  </w:style>
  <w:style w:type="character" w:customStyle="1" w:styleId="DecisionParagraphsChar">
    <w:name w:val="DecisionParagraphs Char"/>
    <w:basedOn w:val="DefaultParagraphFont"/>
    <w:link w:val="DecisionParagraphs"/>
    <w:rsid w:val="00923899"/>
    <w:rPr>
      <w:rFonts w:ascii="Arial" w:hAnsi="Arial"/>
      <w:i/>
    </w:rPr>
  </w:style>
  <w:style w:type="paragraph" w:customStyle="1" w:styleId="TableParagraph">
    <w:name w:val="Table Paragraph"/>
    <w:basedOn w:val="Normal"/>
    <w:uiPriority w:val="1"/>
    <w:qFormat/>
    <w:rsid w:val="00923899"/>
    <w:pPr>
      <w:widowControl w:val="0"/>
      <w:autoSpaceDE w:val="0"/>
      <w:autoSpaceDN w:val="0"/>
      <w:jc w:val="left"/>
    </w:pPr>
    <w:rPr>
      <w:rFonts w:ascii="Times New Roman" w:hAnsi="Times New Roman"/>
      <w:sz w:val="22"/>
      <w:szCs w:val="22"/>
    </w:rPr>
  </w:style>
  <w:style w:type="character" w:styleId="FollowedHyperlink">
    <w:name w:val="FollowedHyperlink"/>
    <w:basedOn w:val="DefaultParagraphFont"/>
    <w:semiHidden/>
    <w:unhideWhenUsed/>
    <w:rsid w:val="00707879"/>
    <w:rPr>
      <w:color w:val="800080" w:themeColor="followedHyperlink"/>
      <w:u w:val="single"/>
    </w:rPr>
  </w:style>
  <w:style w:type="character" w:styleId="CommentReference">
    <w:name w:val="annotation reference"/>
    <w:basedOn w:val="DefaultParagraphFont"/>
    <w:semiHidden/>
    <w:unhideWhenUsed/>
    <w:rsid w:val="008A60BE"/>
    <w:rPr>
      <w:sz w:val="16"/>
      <w:szCs w:val="16"/>
    </w:rPr>
  </w:style>
  <w:style w:type="paragraph" w:styleId="CommentText">
    <w:name w:val="annotation text"/>
    <w:basedOn w:val="Normal"/>
    <w:link w:val="CommentTextChar"/>
    <w:semiHidden/>
    <w:unhideWhenUsed/>
    <w:rsid w:val="008A60BE"/>
  </w:style>
  <w:style w:type="character" w:customStyle="1" w:styleId="CommentTextChar">
    <w:name w:val="Comment Text Char"/>
    <w:basedOn w:val="DefaultParagraphFont"/>
    <w:link w:val="CommentText"/>
    <w:semiHidden/>
    <w:rsid w:val="008A60BE"/>
    <w:rPr>
      <w:rFonts w:ascii="Arial" w:hAnsi="Arial"/>
    </w:rPr>
  </w:style>
  <w:style w:type="paragraph" w:styleId="CommentSubject">
    <w:name w:val="annotation subject"/>
    <w:basedOn w:val="CommentText"/>
    <w:next w:val="CommentText"/>
    <w:link w:val="CommentSubjectChar"/>
    <w:semiHidden/>
    <w:unhideWhenUsed/>
    <w:rsid w:val="008A60BE"/>
    <w:rPr>
      <w:b/>
      <w:bCs/>
    </w:rPr>
  </w:style>
  <w:style w:type="character" w:customStyle="1" w:styleId="CommentSubjectChar">
    <w:name w:val="Comment Subject Char"/>
    <w:basedOn w:val="CommentTextChar"/>
    <w:link w:val="CommentSubject"/>
    <w:semiHidden/>
    <w:rsid w:val="008A60BE"/>
    <w:rPr>
      <w:rFonts w:ascii="Arial" w:hAnsi="Arial"/>
      <w:b/>
      <w:bCs/>
    </w:rPr>
  </w:style>
  <w:style w:type="table" w:styleId="TableGrid">
    <w:name w:val="Table Grid"/>
    <w:basedOn w:val="TableNormal"/>
    <w:rsid w:val="001A7AF0"/>
    <w:pPr>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7AF0"/>
    <w:pPr>
      <w:spacing w:before="100" w:beforeAutospacing="1" w:after="100" w:afterAutospacing="1"/>
      <w:jc w:val="left"/>
    </w:pPr>
    <w:rPr>
      <w:rFonts w:eastAsia="Arial" w:cs="Arial"/>
      <w:szCs w:val="24"/>
      <w:lang w:val="en-US" w:eastAsia="es-MX"/>
    </w:rPr>
  </w:style>
  <w:style w:type="table" w:customStyle="1" w:styleId="TableGrid1">
    <w:name w:val="Table Grid1"/>
    <w:basedOn w:val="TableNormal"/>
    <w:next w:val="TableGrid"/>
    <w:rsid w:val="00F7492E"/>
    <w:pPr>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B33E4"/>
    <w:rPr>
      <w:rFonts w:ascii="Arial" w:hAnsi="Arial"/>
    </w:rPr>
  </w:style>
  <w:style w:type="character" w:customStyle="1" w:styleId="pldetailsChar">
    <w:name w:val="pldetails Char"/>
    <w:link w:val="pldetails"/>
    <w:locked/>
    <w:rsid w:val="008B33E4"/>
    <w:rPr>
      <w:rFonts w:ascii="Arial" w:hAnsi="Arial"/>
      <w:noProof/>
      <w:snapToGrid w:val="0"/>
    </w:rPr>
  </w:style>
  <w:style w:type="character" w:customStyle="1" w:styleId="plcountryChar">
    <w:name w:val="plcountry Char"/>
    <w:basedOn w:val="DefaultParagraphFont"/>
    <w:link w:val="plcountry"/>
    <w:rsid w:val="008B33E4"/>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178">
      <w:bodyDiv w:val="1"/>
      <w:marLeft w:val="0"/>
      <w:marRight w:val="0"/>
      <w:marTop w:val="0"/>
      <w:marBottom w:val="0"/>
      <w:divBdr>
        <w:top w:val="none" w:sz="0" w:space="0" w:color="auto"/>
        <w:left w:val="none" w:sz="0" w:space="0" w:color="auto"/>
        <w:bottom w:val="none" w:sz="0" w:space="0" w:color="auto"/>
        <w:right w:val="none" w:sz="0" w:space="0" w:color="auto"/>
      </w:divBdr>
    </w:div>
    <w:div w:id="825125568">
      <w:bodyDiv w:val="1"/>
      <w:marLeft w:val="0"/>
      <w:marRight w:val="0"/>
      <w:marTop w:val="0"/>
      <w:marBottom w:val="0"/>
      <w:divBdr>
        <w:top w:val="none" w:sz="0" w:space="0" w:color="auto"/>
        <w:left w:val="none" w:sz="0" w:space="0" w:color="auto"/>
        <w:bottom w:val="none" w:sz="0" w:space="0" w:color="auto"/>
        <w:right w:val="none" w:sz="0" w:space="0" w:color="auto"/>
      </w:divBdr>
    </w:div>
    <w:div w:id="898050422">
      <w:bodyDiv w:val="1"/>
      <w:marLeft w:val="0"/>
      <w:marRight w:val="0"/>
      <w:marTop w:val="0"/>
      <w:marBottom w:val="0"/>
      <w:divBdr>
        <w:top w:val="none" w:sz="0" w:space="0" w:color="auto"/>
        <w:left w:val="none" w:sz="0" w:space="0" w:color="auto"/>
        <w:bottom w:val="none" w:sz="0" w:space="0" w:color="auto"/>
        <w:right w:val="none" w:sz="0" w:space="0" w:color="auto"/>
      </w:divBdr>
    </w:div>
    <w:div w:id="943342928">
      <w:bodyDiv w:val="1"/>
      <w:marLeft w:val="0"/>
      <w:marRight w:val="0"/>
      <w:marTop w:val="0"/>
      <w:marBottom w:val="0"/>
      <w:divBdr>
        <w:top w:val="none" w:sz="0" w:space="0" w:color="auto"/>
        <w:left w:val="none" w:sz="0" w:space="0" w:color="auto"/>
        <w:bottom w:val="none" w:sz="0" w:space="0" w:color="auto"/>
        <w:right w:val="none" w:sz="0" w:space="0" w:color="auto"/>
      </w:divBdr>
    </w:div>
    <w:div w:id="124210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wg_edv_4/upov_wg_edv_4_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2D24-CD02-4501-BE8E-4A0505F7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18</Pages>
  <Words>6066</Words>
  <Characters>42703</Characters>
  <Application>Microsoft Office Word</Application>
  <DocSecurity>0</DocSecurity>
  <Lines>993</Lines>
  <Paragraphs>427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CAJ/78/13</vt:lpstr>
      <vt:lpstr>CAJ/78/12</vt:lpstr>
    </vt:vector>
  </TitlesOfParts>
  <Company>UPOV</Company>
  <LinksUpToDate>false</LinksUpToDate>
  <CharactersWithSpaces>48342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CAJ/78/13</dc:title>
  <dc:creator>SANCHEZ VIZCAINO GOMEZ Rosa Maria</dc:creator>
  <cp:lastModifiedBy>SANTOS Carla Marina</cp:lastModifiedBy>
  <cp:revision>37</cp:revision>
  <cp:lastPrinted>2021-10-06T12:50:00Z</cp:lastPrinted>
  <dcterms:created xsi:type="dcterms:W3CDTF">2021-11-08T16:25:00Z</dcterms:created>
  <dcterms:modified xsi:type="dcterms:W3CDTF">2021-12-23T16:20:00Z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3574f032-8da5-4c30-9630-44fce0b87153</vt:lpwstr>
  </property>
</Properties>
</file>