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4A0" w:firstRow="1" w:lastRow="0" w:firstColumn="1" w:lastColumn="0" w:noHBand="0" w:noVBand="1"/>
      </w:tblPr>
      <w:tblGrid>
        <w:gridCol w:w="6522"/>
        <w:gridCol w:w="3117"/>
      </w:tblGrid>
      <w:tr w:rsidR="0043467F" w:rsidTr="0043467F">
        <w:tc>
          <w:tcPr>
            <w:tcW w:w="6522" w:type="dxa"/>
            <w:hideMark/>
          </w:tcPr>
          <w:p w:rsidR="0043467F" w:rsidRDefault="0043467F">
            <w:r>
              <w:rPr>
                <w:noProof/>
                <w:lang w:val="en-US"/>
              </w:rPr>
              <w:drawing>
                <wp:inline distT="0" distB="0" distL="0" distR="0">
                  <wp:extent cx="9525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241300"/>
                          </a:xfrm>
                          <a:prstGeom prst="rect">
                            <a:avLst/>
                          </a:prstGeom>
                          <a:noFill/>
                          <a:ln>
                            <a:noFill/>
                          </a:ln>
                        </pic:spPr>
                      </pic:pic>
                    </a:graphicData>
                  </a:graphic>
                </wp:inline>
              </w:drawing>
            </w:r>
          </w:p>
        </w:tc>
        <w:tc>
          <w:tcPr>
            <w:tcW w:w="3117" w:type="dxa"/>
            <w:hideMark/>
          </w:tcPr>
          <w:p w:rsidR="0043467F" w:rsidRDefault="0043467F">
            <w:pPr>
              <w:pStyle w:val="Lettrine"/>
            </w:pPr>
            <w:r>
              <w:t>G</w:t>
            </w:r>
          </w:p>
        </w:tc>
      </w:tr>
      <w:tr w:rsidR="0043467F" w:rsidTr="0043467F">
        <w:trPr>
          <w:trHeight w:val="219"/>
        </w:trPr>
        <w:tc>
          <w:tcPr>
            <w:tcW w:w="6522" w:type="dxa"/>
            <w:hideMark/>
          </w:tcPr>
          <w:p w:rsidR="0043467F" w:rsidRDefault="0043467F">
            <w:pPr>
              <w:pStyle w:val="upove"/>
            </w:pPr>
            <w:r>
              <w:t>Internationaler Verband zum Schutz von Pflanzenzüchtungen</w:t>
            </w:r>
          </w:p>
        </w:tc>
        <w:tc>
          <w:tcPr>
            <w:tcW w:w="3117" w:type="dxa"/>
          </w:tcPr>
          <w:p w:rsidR="0043467F" w:rsidRDefault="0043467F"/>
        </w:tc>
      </w:tr>
    </w:tbl>
    <w:p w:rsidR="0043467F" w:rsidRDefault="0043467F" w:rsidP="0043467F"/>
    <w:p w:rsidR="0043467F" w:rsidRDefault="0043467F" w:rsidP="0043467F"/>
    <w:tbl>
      <w:tblPr>
        <w:tblW w:w="5000" w:type="pct"/>
        <w:tblBorders>
          <w:bottom w:val="single" w:sz="4" w:space="0" w:color="auto"/>
        </w:tblBorders>
        <w:tblLayout w:type="fixed"/>
        <w:tblCellMar>
          <w:top w:w="113" w:type="dxa"/>
          <w:left w:w="0" w:type="dxa"/>
          <w:bottom w:w="113" w:type="dxa"/>
          <w:right w:w="0" w:type="dxa"/>
        </w:tblCellMar>
        <w:tblLook w:val="04A0" w:firstRow="1" w:lastRow="0" w:firstColumn="1" w:lastColumn="0" w:noHBand="0" w:noVBand="1"/>
      </w:tblPr>
      <w:tblGrid>
        <w:gridCol w:w="6512"/>
        <w:gridCol w:w="3127"/>
      </w:tblGrid>
      <w:tr w:rsidR="0043467F" w:rsidTr="0043467F">
        <w:tc>
          <w:tcPr>
            <w:tcW w:w="6512" w:type="dxa"/>
            <w:tcBorders>
              <w:top w:val="nil"/>
              <w:left w:val="nil"/>
              <w:bottom w:val="single" w:sz="4" w:space="0" w:color="auto"/>
              <w:right w:val="nil"/>
            </w:tcBorders>
            <w:hideMark/>
          </w:tcPr>
          <w:p w:rsidR="0043467F" w:rsidRDefault="0043467F">
            <w:pPr>
              <w:pStyle w:val="Sessiontc"/>
              <w:spacing w:line="240" w:lineRule="auto"/>
            </w:pPr>
            <w:r>
              <w:t>Verwaltungs- und Rechtsausschuss</w:t>
            </w:r>
          </w:p>
          <w:p w:rsidR="0043467F" w:rsidRDefault="0043467F">
            <w:pPr>
              <w:pStyle w:val="Sessiontcplacedate"/>
            </w:pPr>
            <w:r>
              <w:t>Achtundsiebzigste Tagung</w:t>
            </w:r>
          </w:p>
          <w:p w:rsidR="0043467F" w:rsidRDefault="0043467F">
            <w:pPr>
              <w:pStyle w:val="Sessiontcplacedate"/>
              <w:rPr>
                <w:sz w:val="22"/>
              </w:rPr>
            </w:pPr>
            <w:r>
              <w:t>Genf, 27. Oktober 2021</w:t>
            </w:r>
          </w:p>
        </w:tc>
        <w:tc>
          <w:tcPr>
            <w:tcW w:w="3127" w:type="dxa"/>
            <w:tcBorders>
              <w:top w:val="nil"/>
              <w:left w:val="nil"/>
              <w:bottom w:val="single" w:sz="4" w:space="0" w:color="auto"/>
              <w:right w:val="nil"/>
            </w:tcBorders>
            <w:hideMark/>
          </w:tcPr>
          <w:p w:rsidR="0043467F" w:rsidRDefault="0043467F">
            <w:pPr>
              <w:pStyle w:val="Doccode"/>
            </w:pPr>
            <w:r>
              <w:t>CAJ/78/12</w:t>
            </w:r>
          </w:p>
          <w:p w:rsidR="0043467F" w:rsidRDefault="0043467F">
            <w:pPr>
              <w:pStyle w:val="Docoriginal"/>
            </w:pPr>
            <w:r>
              <w:t>Original:</w:t>
            </w:r>
            <w:r w:rsidR="00245396">
              <w:rPr>
                <w:b w:val="0"/>
              </w:rPr>
              <w:t xml:space="preserve"> deutsch</w:t>
            </w:r>
          </w:p>
          <w:p w:rsidR="0043467F" w:rsidRDefault="0043467F" w:rsidP="00E9763E">
            <w:pPr>
              <w:pStyle w:val="Docoriginal"/>
            </w:pPr>
            <w:r>
              <w:t>Datum</w:t>
            </w:r>
            <w:r w:rsidRPr="001C4814">
              <w:t>:</w:t>
            </w:r>
            <w:r w:rsidRPr="001C4814">
              <w:rPr>
                <w:b w:val="0"/>
              </w:rPr>
              <w:t xml:space="preserve"> 5. Oktober 2021</w:t>
            </w:r>
          </w:p>
        </w:tc>
      </w:tr>
    </w:tbl>
    <w:p w:rsidR="0043467F" w:rsidRDefault="0043467F" w:rsidP="0043467F">
      <w:pPr>
        <w:pStyle w:val="Titleofdoc0"/>
      </w:pPr>
      <w:r>
        <w:t>Ergebnis der Prüfung von Dokumenten auf dem Schriftweg</w:t>
      </w:r>
    </w:p>
    <w:p w:rsidR="0043467F" w:rsidRDefault="0043467F" w:rsidP="0043467F">
      <w:pPr>
        <w:pStyle w:val="preparedby1"/>
        <w:jc w:val="left"/>
      </w:pPr>
      <w:r>
        <w:t>vom Verbandsbüro erstellt</w:t>
      </w:r>
      <w:r w:rsidR="009E77BA">
        <w:t>es Dokument</w:t>
      </w:r>
    </w:p>
    <w:p w:rsidR="0043467F" w:rsidRDefault="0043467F" w:rsidP="0043467F">
      <w:pPr>
        <w:pStyle w:val="Disclaimer"/>
      </w:pPr>
      <w:r>
        <w:t>Haftungsausschluss:  dieses Dokument gibt nicht die Grundsätze oder eine Anleitung der UPOV wieder</w:t>
      </w:r>
    </w:p>
    <w:p w:rsidR="00923899" w:rsidRDefault="00923899" w:rsidP="00923899">
      <w:pPr>
        <w:keepNext/>
        <w:outlineLvl w:val="0"/>
        <w:rPr>
          <w:caps/>
          <w:snapToGrid w:val="0"/>
        </w:rPr>
      </w:pPr>
      <w:bookmarkStart w:id="0" w:name="_Toc51935380"/>
      <w:bookmarkStart w:id="1" w:name="_Toc42523410"/>
      <w:bookmarkStart w:id="2" w:name="_Toc522523019"/>
      <w:bookmarkStart w:id="3" w:name="_Toc54097476"/>
      <w:bookmarkStart w:id="4" w:name="_Toc54097589"/>
      <w:bookmarkStart w:id="5" w:name="_Toc54097610"/>
      <w:bookmarkStart w:id="6" w:name="_Toc85539486"/>
      <w:r>
        <w:rPr>
          <w:caps/>
          <w:snapToGrid w:val="0"/>
        </w:rPr>
        <w:t>ZUSAMMENFASSUNG</w:t>
      </w:r>
      <w:bookmarkEnd w:id="0"/>
      <w:bookmarkEnd w:id="1"/>
      <w:bookmarkEnd w:id="2"/>
      <w:bookmarkEnd w:id="3"/>
      <w:bookmarkEnd w:id="4"/>
      <w:bookmarkEnd w:id="5"/>
      <w:bookmarkEnd w:id="6"/>
      <w:r>
        <w:rPr>
          <w:caps/>
          <w:snapToGrid w:val="0"/>
        </w:rPr>
        <w:t xml:space="preserve"> </w:t>
      </w:r>
    </w:p>
    <w:p w:rsidR="00923899" w:rsidRPr="00C972BF" w:rsidRDefault="00923899" w:rsidP="00923899">
      <w:pPr>
        <w:rPr>
          <w:caps/>
          <w:snapToGrid w:val="0"/>
        </w:rPr>
      </w:pPr>
    </w:p>
    <w:p w:rsidR="00923899" w:rsidRPr="00C972BF" w:rsidRDefault="00923899" w:rsidP="00923899">
      <w:r w:rsidRPr="00C972BF">
        <w:fldChar w:fldCharType="begin"/>
      </w:r>
      <w:r w:rsidRPr="00C972BF">
        <w:instrText xml:space="preserve"> AUTONUM  </w:instrText>
      </w:r>
      <w:r w:rsidRPr="00C972BF">
        <w:fldChar w:fldCharType="end"/>
      </w:r>
      <w:r>
        <w:tab/>
        <w:t>Zweck dieses Dokuments ist es, über das Ergebnis der Prüfung von Dokumenten auf dem Schriftweg durch den Verwaltungs- und Rechtsausschuss (CAJ) gemäß dem vom Rat im Jahr 2021 angenommenen Verfahren</w:t>
      </w:r>
      <w:r w:rsidRPr="00E30364">
        <w:rPr>
          <w:vertAlign w:val="superscript"/>
        </w:rPr>
        <w:footnoteReference w:id="2"/>
      </w:r>
      <w:r>
        <w:t xml:space="preserve"> zu berichten</w:t>
      </w:r>
      <w:r w:rsidR="00AE0687">
        <w:t xml:space="preserve">. </w:t>
      </w:r>
    </w:p>
    <w:p w:rsidR="00923899" w:rsidRPr="00C972BF" w:rsidRDefault="00923899" w:rsidP="00923899"/>
    <w:p w:rsidR="009E77BA" w:rsidRPr="009E77BA" w:rsidRDefault="00923899" w:rsidP="009E77BA">
      <w:r w:rsidRPr="00C972BF">
        <w:fldChar w:fldCharType="begin"/>
      </w:r>
      <w:r w:rsidRPr="009E77BA">
        <w:instrText xml:space="preserve"> AUTONUM  </w:instrText>
      </w:r>
      <w:r w:rsidRPr="00C972BF">
        <w:fldChar w:fldCharType="end"/>
      </w:r>
      <w:r w:rsidRPr="009E77BA">
        <w:tab/>
      </w:r>
      <w:r w:rsidR="009E77BA" w:rsidRPr="009E77BA">
        <w:t xml:space="preserve">Der CAJ wird ersucht, die Billigung </w:t>
      </w:r>
      <w:r w:rsidR="009E77BA">
        <w:t xml:space="preserve">der in folgenden Dokumenten enthaltenen Entscheidungen </w:t>
      </w:r>
      <w:r w:rsidR="00EF01E9">
        <w:t>durch den CAJ</w:t>
      </w:r>
      <w:r w:rsidR="009E77BA" w:rsidRPr="009E77BA">
        <w:t xml:space="preserve"> auf dem Schriftweg am 21. September </w:t>
      </w:r>
      <w:r w:rsidR="009E77BA">
        <w:t>2021 zur Kenntnis zu nehmen</w:t>
      </w:r>
      <w:r w:rsidR="009E77BA" w:rsidRPr="009E77BA">
        <w:t>:</w:t>
      </w:r>
    </w:p>
    <w:p w:rsidR="00923899" w:rsidRPr="00C972BF" w:rsidRDefault="00923899" w:rsidP="00923899"/>
    <w:p w:rsidR="00923899" w:rsidRDefault="00923899" w:rsidP="00367AE2">
      <w:pPr>
        <w:spacing w:after="120"/>
        <w:ind w:left="562"/>
        <w:rPr>
          <w:rFonts w:cs="Arial"/>
        </w:rPr>
      </w:pPr>
      <w:r>
        <w:t>Ausarbeitung von Anleitung und Informationsmaterial (Dokument CAJ/78/3 Rev.)</w:t>
      </w:r>
    </w:p>
    <w:p w:rsidR="0055137E" w:rsidRPr="00A15D22" w:rsidRDefault="0055137E" w:rsidP="00E9763E">
      <w:pPr>
        <w:pStyle w:val="ListParagraph"/>
        <w:keepNext/>
        <w:spacing w:after="60"/>
        <w:ind w:left="2837" w:hanging="1699"/>
        <w:contextualSpacing w:val="0"/>
        <w:jc w:val="left"/>
        <w:rPr>
          <w:rFonts w:cs="Angsana New"/>
          <w:szCs w:val="24"/>
        </w:rPr>
      </w:pPr>
      <w:r>
        <w:t>UPOV/INF/16:</w:t>
      </w:r>
      <w:r>
        <w:tab/>
        <w:t xml:space="preserve">Austauschbare Software (Überarbeitung) </w:t>
      </w:r>
      <w:r w:rsidR="00E9763E">
        <w:br/>
      </w:r>
      <w:r>
        <w:t>(Dokument UPOV/INF/16/10 Draft 2)</w:t>
      </w:r>
    </w:p>
    <w:p w:rsidR="0055137E" w:rsidRPr="00A15D22" w:rsidRDefault="0055137E" w:rsidP="00E9763E">
      <w:pPr>
        <w:pStyle w:val="ListParagraph"/>
        <w:keepNext/>
        <w:spacing w:after="60"/>
        <w:ind w:left="2837" w:hanging="1699"/>
        <w:contextualSpacing w:val="0"/>
        <w:jc w:val="left"/>
        <w:rPr>
          <w:rFonts w:cs="Angsana New"/>
          <w:szCs w:val="24"/>
        </w:rPr>
      </w:pPr>
      <w:r>
        <w:t>UPOV/INF/17:</w:t>
      </w:r>
      <w:r>
        <w:tab/>
        <w:t>Richtlinien für die DNS-Profilierung: Auswahl molekularer Marker und Aufbau von Datenbanken („BMT-Richtlinien</w:t>
      </w:r>
      <w:r w:rsidR="00E9763E">
        <w:t>“</w:t>
      </w:r>
      <w:r>
        <w:t xml:space="preserve">) (Überarbeitung) </w:t>
      </w:r>
      <w:r w:rsidR="00E9763E">
        <w:br/>
      </w:r>
      <w:r w:rsidR="00EF01E9">
        <w:t>(Dokument UPOV/INF/17/</w:t>
      </w:r>
      <w:r>
        <w:t>2 Draft 6)</w:t>
      </w:r>
    </w:p>
    <w:p w:rsidR="0055137E" w:rsidRPr="00A15D22" w:rsidRDefault="0055137E" w:rsidP="00367AE2">
      <w:pPr>
        <w:pStyle w:val="ListParagraph"/>
        <w:keepNext/>
        <w:spacing w:after="60"/>
        <w:ind w:left="2837" w:hanging="1699"/>
        <w:contextualSpacing w:val="0"/>
        <w:rPr>
          <w:rFonts w:cs="Angsana New"/>
          <w:szCs w:val="24"/>
        </w:rPr>
      </w:pPr>
      <w:r>
        <w:t>UPOV/INF/22:</w:t>
      </w:r>
      <w:r>
        <w:tab/>
        <w:t>Von Verbandsmitgliedern verwendete Software und Ausrüstung (Überarbeitung) (Dokument UPOV/INF/22/8 Draft 2)</w:t>
      </w:r>
    </w:p>
    <w:p w:rsidR="001C4814" w:rsidRDefault="0055137E" w:rsidP="001C4814">
      <w:pPr>
        <w:pStyle w:val="ListParagraph"/>
        <w:keepNext/>
        <w:spacing w:after="60"/>
        <w:ind w:left="2837" w:hanging="1699"/>
        <w:contextualSpacing w:val="0"/>
      </w:pPr>
      <w:r>
        <w:t>UPOV/INF/23:</w:t>
      </w:r>
      <w:r>
        <w:tab/>
        <w:t>UPOV-Code-System (Dokument UPOV/INF/23/1 Draft 3)</w:t>
      </w:r>
    </w:p>
    <w:p w:rsidR="001C4814" w:rsidRPr="001C4814" w:rsidRDefault="001C4814" w:rsidP="001C4814">
      <w:pPr>
        <w:spacing w:after="120"/>
        <w:ind w:left="562"/>
        <w:rPr>
          <w:rFonts w:cs="Arial"/>
        </w:rPr>
      </w:pPr>
      <w:r>
        <w:t>Erläuterungen zu Sortenbezeichnungen nach dem UPOV-</w:t>
      </w:r>
      <w:r w:rsidR="00EF01E9">
        <w:t>Übereinkommen (Dokument CAJ/78/</w:t>
      </w:r>
      <w:r>
        <w:t>11)</w:t>
      </w:r>
    </w:p>
    <w:p w:rsidR="00367AE2" w:rsidRPr="00A15D22" w:rsidRDefault="00367AE2" w:rsidP="00367AE2">
      <w:pPr>
        <w:pStyle w:val="ListParagraph"/>
        <w:keepNext/>
        <w:spacing w:after="120"/>
        <w:ind w:left="2837" w:hanging="1699"/>
        <w:contextualSpacing w:val="0"/>
        <w:rPr>
          <w:rFonts w:cs="Angsana New"/>
          <w:szCs w:val="24"/>
        </w:rPr>
      </w:pPr>
      <w:r>
        <w:t>UPOV/EXN/DEN:</w:t>
      </w:r>
      <w:r>
        <w:tab/>
        <w:t>Erläuterungen zu Sortenbezeichnungen nach dem UPOV-Übereinkommen (Dokument UPOV/EXN/DEN/1 Draft 6)</w:t>
      </w:r>
    </w:p>
    <w:p w:rsidR="00637782" w:rsidRDefault="00637782" w:rsidP="00637782">
      <w:pPr>
        <w:ind w:left="562"/>
      </w:pPr>
      <w:r>
        <w:t>Erntegut (Dokument CAJ/78/5)</w:t>
      </w:r>
    </w:p>
    <w:p w:rsidR="009E77BA" w:rsidRPr="00E30364" w:rsidRDefault="009E77BA" w:rsidP="00637782">
      <w:pPr>
        <w:rPr>
          <w:rFonts w:cs="Arial"/>
        </w:rPr>
      </w:pPr>
    </w:p>
    <w:p w:rsidR="00923899" w:rsidRDefault="00923899" w:rsidP="00923899"/>
    <w:p w:rsidR="0015228A" w:rsidRDefault="0015228A" w:rsidP="005F3E59">
      <w:r w:rsidRPr="00367AE2">
        <w:fldChar w:fldCharType="begin"/>
      </w:r>
      <w:r w:rsidRPr="00367AE2">
        <w:instrText xml:space="preserve"> AUTONUM  </w:instrText>
      </w:r>
      <w:r w:rsidRPr="00367AE2">
        <w:fldChar w:fldCharType="end"/>
      </w:r>
      <w:r>
        <w:tab/>
      </w:r>
      <w:r w:rsidR="009E77BA">
        <w:t xml:space="preserve">Der CAJ wird ersucht, </w:t>
      </w:r>
      <w:r>
        <w:t>die in Beantwortung des Rundschreibens E-21/123 vom 23. August 2021 eingegangenen Bemerkungen zu Dokument CAJ/78/5 „Erntegut“, die nicht zu einer Überarbeitung von Dokument CAJ/78/5 geführt</w:t>
      </w:r>
      <w:r w:rsidR="009E77BA">
        <w:t xml:space="preserve"> haben,</w:t>
      </w:r>
      <w:r>
        <w:t xml:space="preserve"> </w:t>
      </w:r>
      <w:r w:rsidR="009E77BA">
        <w:t>zur Kenntnis zu nehmen (</w:t>
      </w:r>
      <w:r w:rsidR="00637782">
        <w:t xml:space="preserve">vergleiche </w:t>
      </w:r>
      <w:r w:rsidR="00637782" w:rsidRPr="00E9763E">
        <w:t>Absatz</w:t>
      </w:r>
      <w:r w:rsidR="009E77BA" w:rsidRPr="00E9763E">
        <w:t xml:space="preserve"> 33</w:t>
      </w:r>
      <w:r w:rsidRPr="00E9763E">
        <w:t>).</w:t>
      </w:r>
    </w:p>
    <w:p w:rsidR="00367AE2" w:rsidRDefault="00367AE2">
      <w:pPr>
        <w:jc w:val="left"/>
      </w:pPr>
      <w:r>
        <w:br w:type="page"/>
      </w:r>
    </w:p>
    <w:p w:rsidR="00923899" w:rsidRPr="00157E95" w:rsidRDefault="00923899" w:rsidP="00923899">
      <w:pPr>
        <w:spacing w:after="120"/>
        <w:rPr>
          <w:rFonts w:cs="Arial"/>
        </w:rPr>
      </w:pPr>
      <w:r w:rsidRPr="00157E95">
        <w:rPr>
          <w:rFonts w:cs="Arial"/>
        </w:rPr>
        <w:lastRenderedPageBreak/>
        <w:fldChar w:fldCharType="begin"/>
      </w:r>
      <w:r w:rsidRPr="00157E95">
        <w:rPr>
          <w:rFonts w:cs="Arial"/>
        </w:rPr>
        <w:instrText xml:space="preserve"> AUTONUM  </w:instrText>
      </w:r>
      <w:r w:rsidRPr="00157E95">
        <w:rPr>
          <w:rFonts w:cs="Arial"/>
        </w:rPr>
        <w:fldChar w:fldCharType="end"/>
      </w:r>
      <w:r>
        <w:tab/>
        <w:t>Der Aufbau dieses Dokuments ist wie folgt:</w:t>
      </w:r>
    </w:p>
    <w:p w:rsidR="00460F9F" w:rsidRDefault="008F4317">
      <w:pPr>
        <w:pStyle w:val="TOC1"/>
        <w:rPr>
          <w:rFonts w:asciiTheme="minorHAnsi" w:eastAsiaTheme="minorEastAsia" w:hAnsiTheme="minorHAnsi" w:cstheme="minorBidi"/>
          <w:caps w:val="0"/>
          <w:noProof/>
          <w:sz w:val="22"/>
          <w:szCs w:val="22"/>
          <w:lang w:val="en-US"/>
        </w:rPr>
      </w:pPr>
      <w:r>
        <w:fldChar w:fldCharType="begin"/>
      </w:r>
      <w:r>
        <w:instrText xml:space="preserve"> TOC \o "1-4" \h \z \u </w:instrText>
      </w:r>
      <w:r>
        <w:fldChar w:fldCharType="separate"/>
      </w:r>
      <w:hyperlink w:anchor="_Toc85539486" w:history="1">
        <w:r w:rsidR="00460F9F" w:rsidRPr="00C365AB">
          <w:rPr>
            <w:rStyle w:val="Hyperlink"/>
            <w:snapToGrid w:val="0"/>
          </w:rPr>
          <w:t>ZUSAMMENFASSUNG</w:t>
        </w:r>
        <w:r w:rsidR="00460F9F">
          <w:rPr>
            <w:noProof/>
            <w:webHidden/>
          </w:rPr>
          <w:tab/>
        </w:r>
        <w:r w:rsidR="00460F9F">
          <w:rPr>
            <w:noProof/>
            <w:webHidden/>
          </w:rPr>
          <w:fldChar w:fldCharType="begin"/>
        </w:r>
        <w:r w:rsidR="00460F9F">
          <w:rPr>
            <w:noProof/>
            <w:webHidden/>
          </w:rPr>
          <w:instrText xml:space="preserve"> PAGEREF _Toc85539486 \h </w:instrText>
        </w:r>
        <w:r w:rsidR="00460F9F">
          <w:rPr>
            <w:noProof/>
            <w:webHidden/>
          </w:rPr>
        </w:r>
        <w:r w:rsidR="00460F9F">
          <w:rPr>
            <w:noProof/>
            <w:webHidden/>
          </w:rPr>
          <w:fldChar w:fldCharType="separate"/>
        </w:r>
        <w:r w:rsidR="00460F9F">
          <w:rPr>
            <w:noProof/>
            <w:webHidden/>
          </w:rPr>
          <w:t>1</w:t>
        </w:r>
        <w:r w:rsidR="00460F9F">
          <w:rPr>
            <w:noProof/>
            <w:webHidden/>
          </w:rPr>
          <w:fldChar w:fldCharType="end"/>
        </w:r>
      </w:hyperlink>
    </w:p>
    <w:p w:rsidR="00460F9F" w:rsidRDefault="00233B9F">
      <w:pPr>
        <w:pStyle w:val="TOC1"/>
        <w:rPr>
          <w:rFonts w:asciiTheme="minorHAnsi" w:eastAsiaTheme="minorEastAsia" w:hAnsiTheme="minorHAnsi" w:cstheme="minorBidi"/>
          <w:caps w:val="0"/>
          <w:noProof/>
          <w:sz w:val="22"/>
          <w:szCs w:val="22"/>
          <w:lang w:val="en-US"/>
        </w:rPr>
      </w:pPr>
      <w:hyperlink w:anchor="_Toc85539487" w:history="1">
        <w:r w:rsidR="00460F9F" w:rsidRPr="00C365AB">
          <w:rPr>
            <w:rStyle w:val="Hyperlink"/>
          </w:rPr>
          <w:t>Hintergrund</w:t>
        </w:r>
        <w:r w:rsidR="00460F9F">
          <w:rPr>
            <w:noProof/>
            <w:webHidden/>
          </w:rPr>
          <w:tab/>
        </w:r>
        <w:r w:rsidR="00460F9F">
          <w:rPr>
            <w:noProof/>
            <w:webHidden/>
          </w:rPr>
          <w:fldChar w:fldCharType="begin"/>
        </w:r>
        <w:r w:rsidR="00460F9F">
          <w:rPr>
            <w:noProof/>
            <w:webHidden/>
          </w:rPr>
          <w:instrText xml:space="preserve"> PAGEREF _Toc85539487 \h </w:instrText>
        </w:r>
        <w:r w:rsidR="00460F9F">
          <w:rPr>
            <w:noProof/>
            <w:webHidden/>
          </w:rPr>
        </w:r>
        <w:r w:rsidR="00460F9F">
          <w:rPr>
            <w:noProof/>
            <w:webHidden/>
          </w:rPr>
          <w:fldChar w:fldCharType="separate"/>
        </w:r>
        <w:r w:rsidR="00460F9F">
          <w:rPr>
            <w:noProof/>
            <w:webHidden/>
          </w:rPr>
          <w:t>2</w:t>
        </w:r>
        <w:r w:rsidR="00460F9F">
          <w:rPr>
            <w:noProof/>
            <w:webHidden/>
          </w:rPr>
          <w:fldChar w:fldCharType="end"/>
        </w:r>
      </w:hyperlink>
    </w:p>
    <w:p w:rsidR="00460F9F" w:rsidRDefault="00233B9F">
      <w:pPr>
        <w:pStyle w:val="TOC1"/>
        <w:rPr>
          <w:rFonts w:asciiTheme="minorHAnsi" w:eastAsiaTheme="minorEastAsia" w:hAnsiTheme="minorHAnsi" w:cstheme="minorBidi"/>
          <w:caps w:val="0"/>
          <w:noProof/>
          <w:sz w:val="22"/>
          <w:szCs w:val="22"/>
          <w:lang w:val="en-US"/>
        </w:rPr>
      </w:pPr>
      <w:hyperlink w:anchor="_Toc85539488" w:history="1">
        <w:r w:rsidR="00460F9F" w:rsidRPr="00C365AB">
          <w:rPr>
            <w:rStyle w:val="Hyperlink"/>
          </w:rPr>
          <w:t>TagesordnungSPUNKT 6:  Ausarbeitung von Anleitung und Informationsmaterial (Dokument </w:t>
        </w:r>
        <w:r w:rsidR="00460F9F" w:rsidRPr="00C365AB">
          <w:rPr>
            <w:rStyle w:val="Hyperlink"/>
            <w:snapToGrid w:val="0"/>
          </w:rPr>
          <w:t>CAJ/78/3 Rev.)</w:t>
        </w:r>
        <w:r w:rsidR="00460F9F">
          <w:rPr>
            <w:noProof/>
            <w:webHidden/>
          </w:rPr>
          <w:tab/>
        </w:r>
        <w:r w:rsidR="00460F9F">
          <w:rPr>
            <w:noProof/>
            <w:webHidden/>
          </w:rPr>
          <w:fldChar w:fldCharType="begin"/>
        </w:r>
        <w:r w:rsidR="00460F9F">
          <w:rPr>
            <w:noProof/>
            <w:webHidden/>
          </w:rPr>
          <w:instrText xml:space="preserve"> PAGEREF _Toc85539488 \h </w:instrText>
        </w:r>
        <w:r w:rsidR="00460F9F">
          <w:rPr>
            <w:noProof/>
            <w:webHidden/>
          </w:rPr>
        </w:r>
        <w:r w:rsidR="00460F9F">
          <w:rPr>
            <w:noProof/>
            <w:webHidden/>
          </w:rPr>
          <w:fldChar w:fldCharType="separate"/>
        </w:r>
        <w:r w:rsidR="00460F9F">
          <w:rPr>
            <w:noProof/>
            <w:webHidden/>
          </w:rPr>
          <w:t>3</w:t>
        </w:r>
        <w:r w:rsidR="00460F9F">
          <w:rPr>
            <w:noProof/>
            <w:webHidden/>
          </w:rPr>
          <w:fldChar w:fldCharType="end"/>
        </w:r>
      </w:hyperlink>
    </w:p>
    <w:p w:rsidR="00460F9F" w:rsidRDefault="00233B9F">
      <w:pPr>
        <w:pStyle w:val="TOC2"/>
        <w:rPr>
          <w:rFonts w:asciiTheme="minorHAnsi" w:eastAsiaTheme="minorEastAsia" w:hAnsiTheme="minorHAnsi" w:cstheme="minorBidi"/>
          <w:noProof/>
          <w:sz w:val="22"/>
          <w:szCs w:val="22"/>
          <w:lang w:val="en-US"/>
        </w:rPr>
      </w:pPr>
      <w:hyperlink w:anchor="_Toc85539489" w:history="1">
        <w:r w:rsidR="00460F9F" w:rsidRPr="00C365AB">
          <w:rPr>
            <w:rStyle w:val="Hyperlink"/>
          </w:rPr>
          <w:t>Informationsmaterial</w:t>
        </w:r>
        <w:r w:rsidR="00460F9F">
          <w:rPr>
            <w:noProof/>
            <w:webHidden/>
          </w:rPr>
          <w:tab/>
        </w:r>
        <w:r w:rsidR="00460F9F">
          <w:rPr>
            <w:noProof/>
            <w:webHidden/>
          </w:rPr>
          <w:fldChar w:fldCharType="begin"/>
        </w:r>
        <w:r w:rsidR="00460F9F">
          <w:rPr>
            <w:noProof/>
            <w:webHidden/>
          </w:rPr>
          <w:instrText xml:space="preserve"> PAGEREF _Toc85539489 \h </w:instrText>
        </w:r>
        <w:r w:rsidR="00460F9F">
          <w:rPr>
            <w:noProof/>
            <w:webHidden/>
          </w:rPr>
        </w:r>
        <w:r w:rsidR="00460F9F">
          <w:rPr>
            <w:noProof/>
            <w:webHidden/>
          </w:rPr>
          <w:fldChar w:fldCharType="separate"/>
        </w:r>
        <w:r w:rsidR="00460F9F">
          <w:rPr>
            <w:noProof/>
            <w:webHidden/>
          </w:rPr>
          <w:t>3</w:t>
        </w:r>
        <w:r w:rsidR="00460F9F">
          <w:rPr>
            <w:noProof/>
            <w:webHidden/>
          </w:rPr>
          <w:fldChar w:fldCharType="end"/>
        </w:r>
      </w:hyperlink>
    </w:p>
    <w:p w:rsidR="00460F9F" w:rsidRDefault="00233B9F">
      <w:pPr>
        <w:pStyle w:val="TOC3"/>
        <w:rPr>
          <w:rFonts w:asciiTheme="minorHAnsi" w:eastAsiaTheme="minorEastAsia" w:hAnsiTheme="minorHAnsi" w:cstheme="minorBidi"/>
          <w:i w:val="0"/>
          <w:noProof/>
          <w:sz w:val="22"/>
          <w:szCs w:val="22"/>
          <w:lang w:val="en-US"/>
        </w:rPr>
      </w:pPr>
      <w:hyperlink w:anchor="_Toc85539490" w:history="1">
        <w:r w:rsidR="00460F9F" w:rsidRPr="00C365AB">
          <w:rPr>
            <w:rStyle w:val="Hyperlink"/>
          </w:rPr>
          <w:t>UPOV/INF/16: Austauschbare Software (Überarbeitung) (Dokument UPOV/INF/16/10 Draft 2)</w:t>
        </w:r>
        <w:r w:rsidR="00460F9F">
          <w:rPr>
            <w:noProof/>
            <w:webHidden/>
          </w:rPr>
          <w:tab/>
        </w:r>
        <w:r w:rsidR="00460F9F">
          <w:rPr>
            <w:noProof/>
            <w:webHidden/>
          </w:rPr>
          <w:fldChar w:fldCharType="begin"/>
        </w:r>
        <w:r w:rsidR="00460F9F">
          <w:rPr>
            <w:noProof/>
            <w:webHidden/>
          </w:rPr>
          <w:instrText xml:space="preserve"> PAGEREF _Toc85539490 \h </w:instrText>
        </w:r>
        <w:r w:rsidR="00460F9F">
          <w:rPr>
            <w:noProof/>
            <w:webHidden/>
          </w:rPr>
        </w:r>
        <w:r w:rsidR="00460F9F">
          <w:rPr>
            <w:noProof/>
            <w:webHidden/>
          </w:rPr>
          <w:fldChar w:fldCharType="separate"/>
        </w:r>
        <w:r w:rsidR="00460F9F">
          <w:rPr>
            <w:noProof/>
            <w:webHidden/>
          </w:rPr>
          <w:t>3</w:t>
        </w:r>
        <w:r w:rsidR="00460F9F">
          <w:rPr>
            <w:noProof/>
            <w:webHidden/>
          </w:rPr>
          <w:fldChar w:fldCharType="end"/>
        </w:r>
      </w:hyperlink>
    </w:p>
    <w:p w:rsidR="00460F9F" w:rsidRDefault="00233B9F">
      <w:pPr>
        <w:pStyle w:val="TOC3"/>
        <w:rPr>
          <w:rFonts w:asciiTheme="minorHAnsi" w:eastAsiaTheme="minorEastAsia" w:hAnsiTheme="minorHAnsi" w:cstheme="minorBidi"/>
          <w:i w:val="0"/>
          <w:noProof/>
          <w:sz w:val="22"/>
          <w:szCs w:val="22"/>
          <w:lang w:val="en-US"/>
        </w:rPr>
      </w:pPr>
      <w:hyperlink w:anchor="_Toc85539491" w:history="1">
        <w:r w:rsidR="00460F9F" w:rsidRPr="00C365AB">
          <w:rPr>
            <w:rStyle w:val="Hyperlink"/>
          </w:rPr>
          <w:t>UPOV/INF/17: Richtlinien für die DNS-Profilierung: Auswahl molekularer Marker und Aufbau von Datenbanken („BMT-Richtlinien“) (Überarbeitung) (Dokument UPOV/INF/17/ 2 Draft 6)</w:t>
        </w:r>
        <w:r w:rsidR="00460F9F">
          <w:rPr>
            <w:noProof/>
            <w:webHidden/>
          </w:rPr>
          <w:tab/>
        </w:r>
        <w:r w:rsidR="00460F9F">
          <w:rPr>
            <w:noProof/>
            <w:webHidden/>
          </w:rPr>
          <w:fldChar w:fldCharType="begin"/>
        </w:r>
        <w:r w:rsidR="00460F9F">
          <w:rPr>
            <w:noProof/>
            <w:webHidden/>
          </w:rPr>
          <w:instrText xml:space="preserve"> PAGEREF _Toc85539491 \h </w:instrText>
        </w:r>
        <w:r w:rsidR="00460F9F">
          <w:rPr>
            <w:noProof/>
            <w:webHidden/>
          </w:rPr>
        </w:r>
        <w:r w:rsidR="00460F9F">
          <w:rPr>
            <w:noProof/>
            <w:webHidden/>
          </w:rPr>
          <w:fldChar w:fldCharType="separate"/>
        </w:r>
        <w:r w:rsidR="00460F9F">
          <w:rPr>
            <w:noProof/>
            <w:webHidden/>
          </w:rPr>
          <w:t>3</w:t>
        </w:r>
        <w:r w:rsidR="00460F9F">
          <w:rPr>
            <w:noProof/>
            <w:webHidden/>
          </w:rPr>
          <w:fldChar w:fldCharType="end"/>
        </w:r>
      </w:hyperlink>
    </w:p>
    <w:p w:rsidR="00460F9F" w:rsidRDefault="00233B9F">
      <w:pPr>
        <w:pStyle w:val="TOC3"/>
        <w:rPr>
          <w:rFonts w:asciiTheme="minorHAnsi" w:eastAsiaTheme="minorEastAsia" w:hAnsiTheme="minorHAnsi" w:cstheme="minorBidi"/>
          <w:i w:val="0"/>
          <w:noProof/>
          <w:sz w:val="22"/>
          <w:szCs w:val="22"/>
          <w:lang w:val="en-US"/>
        </w:rPr>
      </w:pPr>
      <w:hyperlink w:anchor="_Toc85539492" w:history="1">
        <w:r w:rsidR="00460F9F" w:rsidRPr="00C365AB">
          <w:rPr>
            <w:rStyle w:val="Hyperlink"/>
          </w:rPr>
          <w:t>UPOV/INF/22: Von Verbandsmitgliedern verwendete Software und Ausrüstung (Überarbeitung) (Dokument UPOV/INF/22/8 Draft 2)</w:t>
        </w:r>
        <w:r w:rsidR="00460F9F">
          <w:rPr>
            <w:noProof/>
            <w:webHidden/>
          </w:rPr>
          <w:tab/>
        </w:r>
        <w:r w:rsidR="00460F9F">
          <w:rPr>
            <w:noProof/>
            <w:webHidden/>
          </w:rPr>
          <w:fldChar w:fldCharType="begin"/>
        </w:r>
        <w:r w:rsidR="00460F9F">
          <w:rPr>
            <w:noProof/>
            <w:webHidden/>
          </w:rPr>
          <w:instrText xml:space="preserve"> PAGEREF _Toc85539492 \h </w:instrText>
        </w:r>
        <w:r w:rsidR="00460F9F">
          <w:rPr>
            <w:noProof/>
            <w:webHidden/>
          </w:rPr>
        </w:r>
        <w:r w:rsidR="00460F9F">
          <w:rPr>
            <w:noProof/>
            <w:webHidden/>
          </w:rPr>
          <w:fldChar w:fldCharType="separate"/>
        </w:r>
        <w:r w:rsidR="00460F9F">
          <w:rPr>
            <w:noProof/>
            <w:webHidden/>
          </w:rPr>
          <w:t>4</w:t>
        </w:r>
        <w:r w:rsidR="00460F9F">
          <w:rPr>
            <w:noProof/>
            <w:webHidden/>
          </w:rPr>
          <w:fldChar w:fldCharType="end"/>
        </w:r>
      </w:hyperlink>
    </w:p>
    <w:p w:rsidR="00460F9F" w:rsidRDefault="00233B9F">
      <w:pPr>
        <w:pStyle w:val="TOC3"/>
        <w:rPr>
          <w:rFonts w:asciiTheme="minorHAnsi" w:eastAsiaTheme="minorEastAsia" w:hAnsiTheme="minorHAnsi" w:cstheme="minorBidi"/>
          <w:i w:val="0"/>
          <w:noProof/>
          <w:sz w:val="22"/>
          <w:szCs w:val="22"/>
          <w:lang w:val="en-US"/>
        </w:rPr>
      </w:pPr>
      <w:hyperlink w:anchor="_Toc85539493" w:history="1">
        <w:r w:rsidR="00460F9F" w:rsidRPr="00C365AB">
          <w:rPr>
            <w:rStyle w:val="Hyperlink"/>
          </w:rPr>
          <w:t>UPOV/INF/23: UPOV-Code-System (Dokument UPOV/INF/23/1 Draft 3)</w:t>
        </w:r>
        <w:r w:rsidR="00460F9F">
          <w:rPr>
            <w:noProof/>
            <w:webHidden/>
          </w:rPr>
          <w:tab/>
        </w:r>
        <w:r w:rsidR="00460F9F">
          <w:rPr>
            <w:noProof/>
            <w:webHidden/>
          </w:rPr>
          <w:fldChar w:fldCharType="begin"/>
        </w:r>
        <w:r w:rsidR="00460F9F">
          <w:rPr>
            <w:noProof/>
            <w:webHidden/>
          </w:rPr>
          <w:instrText xml:space="preserve"> PAGEREF _Toc85539493 \h </w:instrText>
        </w:r>
        <w:r w:rsidR="00460F9F">
          <w:rPr>
            <w:noProof/>
            <w:webHidden/>
          </w:rPr>
        </w:r>
        <w:r w:rsidR="00460F9F">
          <w:rPr>
            <w:noProof/>
            <w:webHidden/>
          </w:rPr>
          <w:fldChar w:fldCharType="separate"/>
        </w:r>
        <w:r w:rsidR="00460F9F">
          <w:rPr>
            <w:noProof/>
            <w:webHidden/>
          </w:rPr>
          <w:t>4</w:t>
        </w:r>
        <w:r w:rsidR="00460F9F">
          <w:rPr>
            <w:noProof/>
            <w:webHidden/>
          </w:rPr>
          <w:fldChar w:fldCharType="end"/>
        </w:r>
      </w:hyperlink>
    </w:p>
    <w:p w:rsidR="00460F9F" w:rsidRDefault="00233B9F">
      <w:pPr>
        <w:pStyle w:val="TOC2"/>
        <w:rPr>
          <w:rFonts w:asciiTheme="minorHAnsi" w:eastAsiaTheme="minorEastAsia" w:hAnsiTheme="minorHAnsi" w:cstheme="minorBidi"/>
          <w:noProof/>
          <w:sz w:val="22"/>
          <w:szCs w:val="22"/>
          <w:lang w:val="en-US"/>
        </w:rPr>
      </w:pPr>
      <w:hyperlink w:anchor="_Toc85539494" w:history="1">
        <w:r w:rsidR="00460F9F" w:rsidRPr="00C365AB">
          <w:rPr>
            <w:rStyle w:val="Hyperlink"/>
            <w:snapToGrid w:val="0"/>
          </w:rPr>
          <w:t>Erläuternde Anmerkungen</w:t>
        </w:r>
        <w:r w:rsidR="00460F9F">
          <w:rPr>
            <w:noProof/>
            <w:webHidden/>
          </w:rPr>
          <w:tab/>
        </w:r>
        <w:r w:rsidR="00460F9F">
          <w:rPr>
            <w:noProof/>
            <w:webHidden/>
          </w:rPr>
          <w:fldChar w:fldCharType="begin"/>
        </w:r>
        <w:r w:rsidR="00460F9F">
          <w:rPr>
            <w:noProof/>
            <w:webHidden/>
          </w:rPr>
          <w:instrText xml:space="preserve"> PAGEREF _Toc85539494 \h </w:instrText>
        </w:r>
        <w:r w:rsidR="00460F9F">
          <w:rPr>
            <w:noProof/>
            <w:webHidden/>
          </w:rPr>
        </w:r>
        <w:r w:rsidR="00460F9F">
          <w:rPr>
            <w:noProof/>
            <w:webHidden/>
          </w:rPr>
          <w:fldChar w:fldCharType="separate"/>
        </w:r>
        <w:r w:rsidR="00460F9F">
          <w:rPr>
            <w:noProof/>
            <w:webHidden/>
          </w:rPr>
          <w:t>4</w:t>
        </w:r>
        <w:r w:rsidR="00460F9F">
          <w:rPr>
            <w:noProof/>
            <w:webHidden/>
          </w:rPr>
          <w:fldChar w:fldCharType="end"/>
        </w:r>
      </w:hyperlink>
    </w:p>
    <w:p w:rsidR="00460F9F" w:rsidRDefault="00233B9F">
      <w:pPr>
        <w:pStyle w:val="TOC3"/>
        <w:rPr>
          <w:rFonts w:asciiTheme="minorHAnsi" w:eastAsiaTheme="minorEastAsia" w:hAnsiTheme="minorHAnsi" w:cstheme="minorBidi"/>
          <w:i w:val="0"/>
          <w:noProof/>
          <w:sz w:val="22"/>
          <w:szCs w:val="22"/>
          <w:lang w:val="en-US"/>
        </w:rPr>
      </w:pPr>
      <w:hyperlink w:anchor="_Toc85539495" w:history="1">
        <w:r w:rsidR="00460F9F" w:rsidRPr="00C365AB">
          <w:rPr>
            <w:rStyle w:val="Hyperlink"/>
          </w:rPr>
          <w:t>UPOV/EXN/DEN: Erläuternde Anmerkungen zu Sortenbezeichnungen nach dem UPOV-Übereinkommen (Dokument UPOV/EXN/DEN/1 Draft 6)</w:t>
        </w:r>
        <w:r w:rsidR="00460F9F">
          <w:rPr>
            <w:noProof/>
            <w:webHidden/>
          </w:rPr>
          <w:tab/>
        </w:r>
        <w:r w:rsidR="00460F9F">
          <w:rPr>
            <w:noProof/>
            <w:webHidden/>
          </w:rPr>
          <w:fldChar w:fldCharType="begin"/>
        </w:r>
        <w:r w:rsidR="00460F9F">
          <w:rPr>
            <w:noProof/>
            <w:webHidden/>
          </w:rPr>
          <w:instrText xml:space="preserve"> PAGEREF _Toc85539495 \h </w:instrText>
        </w:r>
        <w:r w:rsidR="00460F9F">
          <w:rPr>
            <w:noProof/>
            <w:webHidden/>
          </w:rPr>
        </w:r>
        <w:r w:rsidR="00460F9F">
          <w:rPr>
            <w:noProof/>
            <w:webHidden/>
          </w:rPr>
          <w:fldChar w:fldCharType="separate"/>
        </w:r>
        <w:r w:rsidR="00460F9F">
          <w:rPr>
            <w:noProof/>
            <w:webHidden/>
          </w:rPr>
          <w:t>4</w:t>
        </w:r>
        <w:r w:rsidR="00460F9F">
          <w:rPr>
            <w:noProof/>
            <w:webHidden/>
          </w:rPr>
          <w:fldChar w:fldCharType="end"/>
        </w:r>
      </w:hyperlink>
    </w:p>
    <w:p w:rsidR="00460F9F" w:rsidRDefault="00233B9F">
      <w:pPr>
        <w:pStyle w:val="TOC4"/>
        <w:rPr>
          <w:rFonts w:asciiTheme="minorHAnsi" w:eastAsiaTheme="minorEastAsia" w:hAnsiTheme="minorHAnsi" w:cstheme="minorBidi"/>
          <w:noProof/>
          <w:sz w:val="22"/>
          <w:szCs w:val="22"/>
          <w:lang w:val="en-US"/>
        </w:rPr>
      </w:pPr>
      <w:hyperlink w:anchor="_Toc85539496" w:history="1">
        <w:r w:rsidR="00460F9F" w:rsidRPr="00C365AB">
          <w:rPr>
            <w:rStyle w:val="Hyperlink"/>
          </w:rPr>
          <w:t>Erläuternde Anmerkungen zu Sortenbezeichnungen nach dem UPOV-Übereinkommen (Dokument CAJ/78/11)</w:t>
        </w:r>
        <w:r w:rsidR="00460F9F">
          <w:rPr>
            <w:noProof/>
            <w:webHidden/>
          </w:rPr>
          <w:tab/>
        </w:r>
        <w:r w:rsidR="00460F9F">
          <w:rPr>
            <w:noProof/>
            <w:webHidden/>
          </w:rPr>
          <w:fldChar w:fldCharType="begin"/>
        </w:r>
        <w:r w:rsidR="00460F9F">
          <w:rPr>
            <w:noProof/>
            <w:webHidden/>
          </w:rPr>
          <w:instrText xml:space="preserve"> PAGEREF _Toc85539496 \h </w:instrText>
        </w:r>
        <w:r w:rsidR="00460F9F">
          <w:rPr>
            <w:noProof/>
            <w:webHidden/>
          </w:rPr>
        </w:r>
        <w:r w:rsidR="00460F9F">
          <w:rPr>
            <w:noProof/>
            <w:webHidden/>
          </w:rPr>
          <w:fldChar w:fldCharType="separate"/>
        </w:r>
        <w:r w:rsidR="00460F9F">
          <w:rPr>
            <w:noProof/>
            <w:webHidden/>
          </w:rPr>
          <w:t>4</w:t>
        </w:r>
        <w:r w:rsidR="00460F9F">
          <w:rPr>
            <w:noProof/>
            <w:webHidden/>
          </w:rPr>
          <w:fldChar w:fldCharType="end"/>
        </w:r>
      </w:hyperlink>
    </w:p>
    <w:p w:rsidR="00460F9F" w:rsidRDefault="00233B9F">
      <w:pPr>
        <w:pStyle w:val="TOC3"/>
        <w:rPr>
          <w:rFonts w:asciiTheme="minorHAnsi" w:eastAsiaTheme="minorEastAsia" w:hAnsiTheme="minorHAnsi" w:cstheme="minorBidi"/>
          <w:i w:val="0"/>
          <w:noProof/>
          <w:sz w:val="22"/>
          <w:szCs w:val="22"/>
          <w:lang w:val="en-US"/>
        </w:rPr>
      </w:pPr>
      <w:hyperlink w:anchor="_Toc85539497" w:history="1">
        <w:r w:rsidR="00460F9F" w:rsidRPr="00C365AB">
          <w:rPr>
            <w:rStyle w:val="Hyperlink"/>
          </w:rPr>
          <w:t>UPOV/EXN/EDV: Erläuterungen zu den im Wesentlichen abgeleiteten Sorten nach der Akte von 1991 des UPOV-Übereinkommens (Dokumente CAJ/78/4, CAJ/78/4 Add. und UPOV/EXN/EDV/3 Draft 2)</w:t>
        </w:r>
        <w:r w:rsidR="00460F9F">
          <w:rPr>
            <w:noProof/>
            <w:webHidden/>
          </w:rPr>
          <w:tab/>
        </w:r>
        <w:r w:rsidR="00460F9F">
          <w:rPr>
            <w:noProof/>
            <w:webHidden/>
          </w:rPr>
          <w:fldChar w:fldCharType="begin"/>
        </w:r>
        <w:r w:rsidR="00460F9F">
          <w:rPr>
            <w:noProof/>
            <w:webHidden/>
          </w:rPr>
          <w:instrText xml:space="preserve"> PAGEREF _Toc85539497 \h </w:instrText>
        </w:r>
        <w:r w:rsidR="00460F9F">
          <w:rPr>
            <w:noProof/>
            <w:webHidden/>
          </w:rPr>
        </w:r>
        <w:r w:rsidR="00460F9F">
          <w:rPr>
            <w:noProof/>
            <w:webHidden/>
          </w:rPr>
          <w:fldChar w:fldCharType="separate"/>
        </w:r>
        <w:r w:rsidR="00460F9F">
          <w:rPr>
            <w:noProof/>
            <w:webHidden/>
          </w:rPr>
          <w:t>4</w:t>
        </w:r>
        <w:r w:rsidR="00460F9F">
          <w:rPr>
            <w:noProof/>
            <w:webHidden/>
          </w:rPr>
          <w:fldChar w:fldCharType="end"/>
        </w:r>
      </w:hyperlink>
    </w:p>
    <w:p w:rsidR="00460F9F" w:rsidRDefault="00233B9F">
      <w:pPr>
        <w:pStyle w:val="TOC3"/>
        <w:rPr>
          <w:rFonts w:asciiTheme="minorHAnsi" w:eastAsiaTheme="minorEastAsia" w:hAnsiTheme="minorHAnsi" w:cstheme="minorBidi"/>
          <w:i w:val="0"/>
          <w:noProof/>
          <w:sz w:val="22"/>
          <w:szCs w:val="22"/>
          <w:lang w:val="en-US"/>
        </w:rPr>
      </w:pPr>
      <w:hyperlink w:anchor="_Toc85539498" w:history="1">
        <w:r w:rsidR="00460F9F" w:rsidRPr="00C365AB">
          <w:rPr>
            <w:rStyle w:val="Hyperlink"/>
            <w:snapToGrid w:val="0"/>
          </w:rPr>
          <w:t>Erntegut</w:t>
        </w:r>
        <w:r w:rsidR="00460F9F">
          <w:rPr>
            <w:noProof/>
            <w:webHidden/>
          </w:rPr>
          <w:tab/>
        </w:r>
        <w:r w:rsidR="00460F9F">
          <w:rPr>
            <w:noProof/>
            <w:webHidden/>
          </w:rPr>
          <w:fldChar w:fldCharType="begin"/>
        </w:r>
        <w:r w:rsidR="00460F9F">
          <w:rPr>
            <w:noProof/>
            <w:webHidden/>
          </w:rPr>
          <w:instrText xml:space="preserve"> PAGEREF _Toc85539498 \h </w:instrText>
        </w:r>
        <w:r w:rsidR="00460F9F">
          <w:rPr>
            <w:noProof/>
            <w:webHidden/>
          </w:rPr>
        </w:r>
        <w:r w:rsidR="00460F9F">
          <w:rPr>
            <w:noProof/>
            <w:webHidden/>
          </w:rPr>
          <w:fldChar w:fldCharType="separate"/>
        </w:r>
        <w:r w:rsidR="00460F9F">
          <w:rPr>
            <w:noProof/>
            <w:webHidden/>
          </w:rPr>
          <w:t>4</w:t>
        </w:r>
        <w:r w:rsidR="00460F9F">
          <w:rPr>
            <w:noProof/>
            <w:webHidden/>
          </w:rPr>
          <w:fldChar w:fldCharType="end"/>
        </w:r>
      </w:hyperlink>
    </w:p>
    <w:p w:rsidR="00460F9F" w:rsidRDefault="00233B9F">
      <w:pPr>
        <w:pStyle w:val="TOC2"/>
        <w:rPr>
          <w:rFonts w:asciiTheme="minorHAnsi" w:eastAsiaTheme="minorEastAsia" w:hAnsiTheme="minorHAnsi" w:cstheme="minorBidi"/>
          <w:noProof/>
          <w:sz w:val="22"/>
          <w:szCs w:val="22"/>
          <w:lang w:val="en-US"/>
        </w:rPr>
      </w:pPr>
      <w:hyperlink w:anchor="_Toc85539499" w:history="1">
        <w:r w:rsidR="00460F9F" w:rsidRPr="00C365AB">
          <w:rPr>
            <w:rStyle w:val="Hyperlink"/>
          </w:rPr>
          <w:t>Vorläufiges Programm für die Ausarbeitung von Anleitung und Informationsmaterial</w:t>
        </w:r>
        <w:r w:rsidR="00460F9F">
          <w:rPr>
            <w:noProof/>
            <w:webHidden/>
          </w:rPr>
          <w:tab/>
        </w:r>
        <w:r w:rsidR="00460F9F">
          <w:rPr>
            <w:noProof/>
            <w:webHidden/>
          </w:rPr>
          <w:fldChar w:fldCharType="begin"/>
        </w:r>
        <w:r w:rsidR="00460F9F">
          <w:rPr>
            <w:noProof/>
            <w:webHidden/>
          </w:rPr>
          <w:instrText xml:space="preserve"> PAGEREF _Toc85539499 \h </w:instrText>
        </w:r>
        <w:r w:rsidR="00460F9F">
          <w:rPr>
            <w:noProof/>
            <w:webHidden/>
          </w:rPr>
        </w:r>
        <w:r w:rsidR="00460F9F">
          <w:rPr>
            <w:noProof/>
            <w:webHidden/>
          </w:rPr>
          <w:fldChar w:fldCharType="separate"/>
        </w:r>
        <w:r w:rsidR="00460F9F">
          <w:rPr>
            <w:noProof/>
            <w:webHidden/>
          </w:rPr>
          <w:t>5</w:t>
        </w:r>
        <w:r w:rsidR="00460F9F">
          <w:rPr>
            <w:noProof/>
            <w:webHidden/>
          </w:rPr>
          <w:fldChar w:fldCharType="end"/>
        </w:r>
      </w:hyperlink>
    </w:p>
    <w:p w:rsidR="00460F9F" w:rsidRDefault="00233B9F">
      <w:pPr>
        <w:pStyle w:val="TOC1"/>
        <w:rPr>
          <w:rFonts w:asciiTheme="minorHAnsi" w:eastAsiaTheme="minorEastAsia" w:hAnsiTheme="minorHAnsi" w:cstheme="minorBidi"/>
          <w:caps w:val="0"/>
          <w:noProof/>
          <w:sz w:val="22"/>
          <w:szCs w:val="22"/>
          <w:lang w:val="en-US"/>
        </w:rPr>
      </w:pPr>
      <w:hyperlink w:anchor="_Toc85539500" w:history="1">
        <w:r w:rsidR="00460F9F" w:rsidRPr="00C365AB">
          <w:rPr>
            <w:rStyle w:val="Hyperlink"/>
          </w:rPr>
          <w:t>TAGESORDNUNGSPUNKT 8: Erntegut (</w:t>
        </w:r>
        <w:r w:rsidR="00460F9F" w:rsidRPr="00C365AB">
          <w:rPr>
            <w:rStyle w:val="Hyperlink"/>
            <w:snapToGrid w:val="0"/>
          </w:rPr>
          <w:t>Dokument CAJ/78/5)</w:t>
        </w:r>
        <w:r w:rsidR="00460F9F">
          <w:rPr>
            <w:noProof/>
            <w:webHidden/>
          </w:rPr>
          <w:tab/>
        </w:r>
        <w:r w:rsidR="00460F9F">
          <w:rPr>
            <w:noProof/>
            <w:webHidden/>
          </w:rPr>
          <w:fldChar w:fldCharType="begin"/>
        </w:r>
        <w:r w:rsidR="00460F9F">
          <w:rPr>
            <w:noProof/>
            <w:webHidden/>
          </w:rPr>
          <w:instrText xml:space="preserve"> PAGEREF _Toc85539500 \h </w:instrText>
        </w:r>
        <w:r w:rsidR="00460F9F">
          <w:rPr>
            <w:noProof/>
            <w:webHidden/>
          </w:rPr>
        </w:r>
        <w:r w:rsidR="00460F9F">
          <w:rPr>
            <w:noProof/>
            <w:webHidden/>
          </w:rPr>
          <w:fldChar w:fldCharType="separate"/>
        </w:r>
        <w:r w:rsidR="00460F9F">
          <w:rPr>
            <w:noProof/>
            <w:webHidden/>
          </w:rPr>
          <w:t>5</w:t>
        </w:r>
        <w:r w:rsidR="00460F9F">
          <w:rPr>
            <w:noProof/>
            <w:webHidden/>
          </w:rPr>
          <w:fldChar w:fldCharType="end"/>
        </w:r>
      </w:hyperlink>
    </w:p>
    <w:p w:rsidR="00460F9F" w:rsidRDefault="00233B9F">
      <w:pPr>
        <w:pStyle w:val="TOC2"/>
        <w:rPr>
          <w:rFonts w:asciiTheme="minorHAnsi" w:eastAsiaTheme="minorEastAsia" w:hAnsiTheme="minorHAnsi" w:cstheme="minorBidi"/>
          <w:noProof/>
          <w:sz w:val="22"/>
          <w:szCs w:val="22"/>
          <w:lang w:val="en-US"/>
        </w:rPr>
      </w:pPr>
      <w:hyperlink w:anchor="_Toc85539501" w:history="1">
        <w:r w:rsidR="00460F9F" w:rsidRPr="00C365AB">
          <w:rPr>
            <w:rStyle w:val="Hyperlink"/>
          </w:rPr>
          <w:t>Bemerkungen der Europäischen Union</w:t>
        </w:r>
        <w:r w:rsidR="00460F9F">
          <w:rPr>
            <w:noProof/>
            <w:webHidden/>
          </w:rPr>
          <w:tab/>
        </w:r>
        <w:r w:rsidR="00460F9F">
          <w:rPr>
            <w:noProof/>
            <w:webHidden/>
          </w:rPr>
          <w:fldChar w:fldCharType="begin"/>
        </w:r>
        <w:r w:rsidR="00460F9F">
          <w:rPr>
            <w:noProof/>
            <w:webHidden/>
          </w:rPr>
          <w:instrText xml:space="preserve"> PAGEREF _Toc85539501 \h </w:instrText>
        </w:r>
        <w:r w:rsidR="00460F9F">
          <w:rPr>
            <w:noProof/>
            <w:webHidden/>
          </w:rPr>
        </w:r>
        <w:r w:rsidR="00460F9F">
          <w:rPr>
            <w:noProof/>
            <w:webHidden/>
          </w:rPr>
          <w:fldChar w:fldCharType="separate"/>
        </w:r>
        <w:r w:rsidR="00460F9F">
          <w:rPr>
            <w:noProof/>
            <w:webHidden/>
          </w:rPr>
          <w:t>5</w:t>
        </w:r>
        <w:r w:rsidR="00460F9F">
          <w:rPr>
            <w:noProof/>
            <w:webHidden/>
          </w:rPr>
          <w:fldChar w:fldCharType="end"/>
        </w:r>
      </w:hyperlink>
    </w:p>
    <w:p w:rsidR="00F21E88" w:rsidRPr="00F21E88" w:rsidRDefault="008F4317" w:rsidP="00F21E88">
      <w:pPr>
        <w:rPr>
          <w:rFonts w:cs="Arial"/>
        </w:rPr>
      </w:pPr>
      <w:r>
        <w:fldChar w:fldCharType="end"/>
      </w:r>
      <w:r w:rsidR="00F21E88">
        <w:t xml:space="preserve">ANLAGE: </w:t>
      </w:r>
      <w:r w:rsidR="00F21E88">
        <w:tab/>
        <w:t>AUFGABENBESCHREIBUNG DER ARBEITSGRUPPE FÜR ERNTEGUT UND UNBEFUGTE BENUTZUNG VON VERMEHRUNGSGUT</w:t>
      </w:r>
      <w:r w:rsidR="00F21E88">
        <w:rPr>
          <w:rFonts w:cs="Arial"/>
        </w:rPr>
        <w:t xml:space="preserve"> </w:t>
      </w:r>
      <w:r w:rsidR="00F21E88">
        <w:t>(WG-HRV)</w:t>
      </w:r>
    </w:p>
    <w:p w:rsidR="00923899" w:rsidRDefault="00923899" w:rsidP="00367AE2"/>
    <w:p w:rsidR="00367AE2" w:rsidRPr="00367AE2" w:rsidRDefault="00367AE2" w:rsidP="00367AE2">
      <w:pPr>
        <w:rPr>
          <w:sz w:val="16"/>
          <w:szCs w:val="16"/>
        </w:rPr>
      </w:pPr>
    </w:p>
    <w:p w:rsidR="008F4317" w:rsidRPr="003F44E6" w:rsidRDefault="008F4317" w:rsidP="003F44E6"/>
    <w:p w:rsidR="00923899" w:rsidRPr="00157E95" w:rsidRDefault="00923899" w:rsidP="008F4317">
      <w:pPr>
        <w:pStyle w:val="Heading1"/>
      </w:pPr>
      <w:bookmarkStart w:id="7" w:name="_Toc41475411"/>
      <w:bookmarkStart w:id="8" w:name="_Toc54004062"/>
      <w:bookmarkStart w:id="9" w:name="_Toc54097477"/>
      <w:bookmarkStart w:id="10" w:name="_Toc54097590"/>
      <w:bookmarkStart w:id="11" w:name="_Toc54097611"/>
      <w:bookmarkStart w:id="12" w:name="_Toc85539487"/>
      <w:r>
        <w:t>Hintergrund</w:t>
      </w:r>
      <w:bookmarkEnd w:id="7"/>
      <w:bookmarkEnd w:id="8"/>
      <w:bookmarkEnd w:id="9"/>
      <w:bookmarkEnd w:id="10"/>
      <w:bookmarkEnd w:id="11"/>
      <w:bookmarkEnd w:id="12"/>
    </w:p>
    <w:p w:rsidR="00AD5D72" w:rsidRDefault="00AD5D72" w:rsidP="00923899">
      <w:pPr>
        <w:rPr>
          <w:rFonts w:cs="Arial"/>
        </w:rPr>
      </w:pPr>
    </w:p>
    <w:p w:rsidR="00AD5D72" w:rsidRPr="00AD5D72" w:rsidRDefault="00AD5D72" w:rsidP="00AD5D72">
      <w:pPr>
        <w:rPr>
          <w:rFonts w:cs="Arial"/>
        </w:rPr>
      </w:pPr>
      <w:r>
        <w:rPr>
          <w:rFonts w:cs="Arial"/>
        </w:rPr>
        <w:fldChar w:fldCharType="begin"/>
      </w:r>
      <w:r>
        <w:rPr>
          <w:rFonts w:cs="Arial"/>
        </w:rPr>
        <w:instrText xml:space="preserve"> AUTONUM  </w:instrText>
      </w:r>
      <w:r>
        <w:rPr>
          <w:rFonts w:cs="Arial"/>
        </w:rPr>
        <w:fldChar w:fldCharType="end"/>
      </w:r>
      <w:r>
        <w:tab/>
        <w:t>Der Rat nahm das Verfahren für die UPOV-Tagungen im Oktober 2021 gemäß dem Rundschreiben E</w:t>
      </w:r>
      <w:r>
        <w:noBreakHyphen/>
        <w:t xml:space="preserve">21/063 vom 14. Mai 2021 (verfügbar auf der Website </w:t>
      </w:r>
      <w:hyperlink r:id="rId9" w:history="1">
        <w:r>
          <w:rPr>
            <w:rStyle w:val="Hyperlink"/>
          </w:rPr>
          <w:t>CAJ/78</w:t>
        </w:r>
      </w:hyperlink>
      <w:r>
        <w:t>) an</w:t>
      </w:r>
      <w:r w:rsidR="00AE0687">
        <w:t xml:space="preserve">. </w:t>
      </w:r>
      <w:r>
        <w:t xml:space="preserve">Die achtundsiebzigste Tagung des Verwaltungs- und </w:t>
      </w:r>
      <w:r w:rsidR="00EF01E9">
        <w:t>Rechtsausschusses (CAJ/78) wird</w:t>
      </w:r>
      <w:r w:rsidR="00637782">
        <w:t xml:space="preserve">) in Verbindung mit der vorherigen Prüfung bestimmter Dokumente auf dem Schriftweg </w:t>
      </w:r>
      <w:r>
        <w:t>am 27. Oktober 2021 auf elektronischem Wege abgehalten (siehe Einladungsrundschreiben E-21/071 vom 31. Mai 2021</w:t>
      </w:r>
      <w:r w:rsidR="00794839">
        <w:t>)</w:t>
      </w:r>
      <w:r>
        <w:t>.</w:t>
      </w:r>
    </w:p>
    <w:p w:rsidR="00923899" w:rsidRPr="00C972BF" w:rsidRDefault="00923899" w:rsidP="00923899"/>
    <w:p w:rsidR="00751E8E" w:rsidRDefault="00923899" w:rsidP="00505604">
      <w:pPr>
        <w:keepNext/>
        <w:rPr>
          <w:rFonts w:cs="Arial"/>
        </w:rPr>
      </w:pPr>
      <w:r w:rsidRPr="00157E95">
        <w:rPr>
          <w:rFonts w:cs="Arial"/>
        </w:rPr>
        <w:fldChar w:fldCharType="begin"/>
      </w:r>
      <w:r w:rsidRPr="00157E95">
        <w:rPr>
          <w:rFonts w:cs="Arial"/>
        </w:rPr>
        <w:instrText xml:space="preserve"> AUTONUM  </w:instrText>
      </w:r>
      <w:r w:rsidRPr="00157E95">
        <w:rPr>
          <w:rFonts w:cs="Arial"/>
        </w:rPr>
        <w:fldChar w:fldCharType="end"/>
      </w:r>
      <w:r>
        <w:tab/>
        <w:t>Nach Rücksprache mit dem Vorsitzenden des CAJ wurden folgen</w:t>
      </w:r>
      <w:r w:rsidR="00637782">
        <w:t>de D</w:t>
      </w:r>
      <w:r w:rsidR="00E9763E">
        <w:t>okumente im Rundschreiben E</w:t>
      </w:r>
      <w:r w:rsidR="00E9763E">
        <w:noBreakHyphen/>
      </w:r>
      <w:r>
        <w:t xml:space="preserve">1/087 vom 16. Juni 2021 in Dokument CAJ/78/1 (Entwurf </w:t>
      </w:r>
      <w:r w:rsidR="00E9763E">
        <w:t>einer</w:t>
      </w:r>
      <w:r>
        <w:t xml:space="preserve"> Tagesordnung) mit einem Sternchen (*) als Dokumente für das Verfahren auf dem Schriftweg, </w:t>
      </w:r>
      <w:r w:rsidR="00AE0687">
        <w:t>das vor den Anträgen auf Billigung der in den Dokumenten vorgeschlagenen Entscheidungen Gelegenheit zur Stellungnahme bis zum 15. Juli 2021 gibt,</w:t>
      </w:r>
      <w:r>
        <w:t xml:space="preserve"> gekennzeichnet:</w:t>
      </w:r>
    </w:p>
    <w:p w:rsidR="00923899" w:rsidRPr="00E6745C" w:rsidRDefault="00923899" w:rsidP="00505604">
      <w:pPr>
        <w:pStyle w:val="ListParagraph"/>
        <w:keepNext/>
        <w:spacing w:before="120" w:after="60"/>
        <w:ind w:left="567"/>
        <w:contextualSpacing w:val="0"/>
      </w:pPr>
      <w:r>
        <w:t>Ausarbeitung von Anleitung und Informationsmaterial (</w:t>
      </w:r>
      <w:r w:rsidRPr="008A288F">
        <w:t>Dokument CAJ/78/3)*</w:t>
      </w:r>
    </w:p>
    <w:p w:rsidR="00637782" w:rsidRDefault="00923899" w:rsidP="00505604">
      <w:pPr>
        <w:pStyle w:val="ListParagraph"/>
        <w:keepNext/>
        <w:spacing w:after="60"/>
        <w:ind w:left="2835" w:hanging="1701"/>
        <w:contextualSpacing w:val="0"/>
      </w:pPr>
      <w:r>
        <w:t>UPOV/INF/16:</w:t>
      </w:r>
      <w:r>
        <w:tab/>
        <w:t>Austauschbare Software (Überarbeitung)</w:t>
      </w:r>
      <w:r w:rsidR="00637782">
        <w:t xml:space="preserve"> </w:t>
      </w:r>
    </w:p>
    <w:p w:rsidR="00923899" w:rsidRPr="00A15D22" w:rsidRDefault="00637782" w:rsidP="00637782">
      <w:pPr>
        <w:pStyle w:val="ListParagraph"/>
        <w:keepNext/>
        <w:spacing w:after="60"/>
        <w:ind w:left="2835"/>
        <w:contextualSpacing w:val="0"/>
        <w:rPr>
          <w:rFonts w:cs="Angsana New"/>
          <w:szCs w:val="24"/>
        </w:rPr>
      </w:pPr>
      <w:r>
        <w:t>(Dokument UPOV/INF/16/10 Draft </w:t>
      </w:r>
      <w:r w:rsidR="00923899">
        <w:t>1)*</w:t>
      </w:r>
    </w:p>
    <w:p w:rsidR="00505604" w:rsidRPr="00A15D22" w:rsidRDefault="00505604" w:rsidP="00505604">
      <w:pPr>
        <w:pStyle w:val="ListParagraph"/>
        <w:keepNext/>
        <w:spacing w:after="60"/>
        <w:ind w:left="2835" w:hanging="1701"/>
        <w:contextualSpacing w:val="0"/>
        <w:jc w:val="left"/>
        <w:rPr>
          <w:rFonts w:cs="Angsana New"/>
          <w:szCs w:val="24"/>
        </w:rPr>
      </w:pPr>
      <w:r>
        <w:t>UPOV/INF/17:</w:t>
      </w:r>
      <w:r>
        <w:tab/>
        <w:t>Richtlinien für die DNS-Profilierung: Auswahl molekularer Marker und Aufbau von Datenbanken („BMT-Richtli</w:t>
      </w:r>
      <w:r w:rsidR="00EF01E9">
        <w:t>nien</w:t>
      </w:r>
      <w:r w:rsidR="00E9763E">
        <w:t>“</w:t>
      </w:r>
      <w:r w:rsidR="00EF01E9">
        <w:t>) (Überarbeitung) (Dokument UPOV/INF/17/</w:t>
      </w:r>
      <w:r>
        <w:t>2 Draft 6)*</w:t>
      </w:r>
    </w:p>
    <w:p w:rsidR="00923899" w:rsidRPr="00A15D22" w:rsidRDefault="00923899" w:rsidP="00505604">
      <w:pPr>
        <w:pStyle w:val="ListParagraph"/>
        <w:keepNext/>
        <w:spacing w:after="60"/>
        <w:ind w:left="2835" w:hanging="1701"/>
        <w:contextualSpacing w:val="0"/>
        <w:rPr>
          <w:rFonts w:cs="Angsana New"/>
          <w:szCs w:val="24"/>
        </w:rPr>
      </w:pPr>
      <w:r>
        <w:t>UPOV/INF/22:</w:t>
      </w:r>
      <w:r>
        <w:tab/>
        <w:t>Von Verbandsmitgliedern verwendete Software und Ausrüstung (Überarbeitung) (Dokument UPOV/INF/22/8 Draft 1)*</w:t>
      </w:r>
    </w:p>
    <w:p w:rsidR="00923899" w:rsidRPr="00A15D22" w:rsidRDefault="00923899" w:rsidP="00505604">
      <w:pPr>
        <w:pStyle w:val="ListParagraph"/>
        <w:keepNext/>
        <w:spacing w:after="60"/>
        <w:ind w:left="2835" w:hanging="1701"/>
        <w:contextualSpacing w:val="0"/>
        <w:rPr>
          <w:rFonts w:cs="Angsana New"/>
          <w:szCs w:val="24"/>
        </w:rPr>
      </w:pPr>
      <w:r>
        <w:t>UPOV/INF/23:</w:t>
      </w:r>
      <w:r>
        <w:tab/>
        <w:t>UPOV-Code-System (Dokument UPOV/INF/23/1 Draft 3)*</w:t>
      </w:r>
    </w:p>
    <w:p w:rsidR="00923899" w:rsidRPr="00293B48" w:rsidRDefault="00923899" w:rsidP="00367AE2">
      <w:pPr>
        <w:pStyle w:val="ListParagraph"/>
        <w:spacing w:before="160"/>
        <w:ind w:left="562"/>
        <w:contextualSpacing w:val="0"/>
        <w:rPr>
          <w:rFonts w:cs="Angsana New"/>
          <w:szCs w:val="24"/>
        </w:rPr>
      </w:pPr>
      <w:r>
        <w:t xml:space="preserve">Erntegut </w:t>
      </w:r>
      <w:r>
        <w:rPr>
          <w:snapToGrid w:val="0"/>
        </w:rPr>
        <w:t>(Dokument</w:t>
      </w:r>
      <w:r>
        <w:t xml:space="preserve"> CAJ/78/5)*</w:t>
      </w:r>
    </w:p>
    <w:p w:rsidR="00923899" w:rsidRPr="00C972BF" w:rsidRDefault="00923899" w:rsidP="00923899"/>
    <w:p w:rsidR="00923899" w:rsidRDefault="00923899" w:rsidP="00367AE2">
      <w:pPr>
        <w:keepNext/>
        <w:spacing w:after="120"/>
        <w:rPr>
          <w:rFonts w:cs="Arial"/>
        </w:rPr>
      </w:pPr>
      <w:r w:rsidRPr="007A68B4">
        <w:rPr>
          <w:rFonts w:cs="Arial"/>
        </w:rPr>
        <w:lastRenderedPageBreak/>
        <w:fldChar w:fldCharType="begin"/>
      </w:r>
      <w:r w:rsidRPr="007A68B4">
        <w:rPr>
          <w:rFonts w:cs="Arial"/>
        </w:rPr>
        <w:instrText xml:space="preserve"> AUTONUM  </w:instrText>
      </w:r>
      <w:r w:rsidRPr="007A68B4">
        <w:rPr>
          <w:rFonts w:cs="Arial"/>
        </w:rPr>
        <w:fldChar w:fldCharType="end"/>
      </w:r>
      <w:r>
        <w:tab/>
        <w:t>Bis zum 15. Juli 2021 gingen zu folgenden im Rundschreiben E</w:t>
      </w:r>
      <w:r>
        <w:noBreakHyphen/>
        <w:t>21/087 vom 16. Juni 2021 angeführten Dokumenten unkomplizierte Bemerkungen ein</w:t>
      </w:r>
      <w:r w:rsidR="00AE0687">
        <w:t xml:space="preserve">. </w:t>
      </w:r>
      <w:r>
        <w:t>Das Verbandsbüro behandelte die Bemerkungen in einer überarbeiteten Fassung der folgenden Dokumente mit Erläuterungen in Form von Endnoten:</w:t>
      </w:r>
    </w:p>
    <w:p w:rsidR="00923899" w:rsidRPr="00E77C81" w:rsidRDefault="00923899" w:rsidP="00923899">
      <w:pPr>
        <w:pStyle w:val="ListParagraph"/>
        <w:keepNext/>
        <w:spacing w:after="60"/>
        <w:ind w:left="567"/>
        <w:contextualSpacing w:val="0"/>
      </w:pPr>
      <w:r>
        <w:t>Ausarbeitung von Anleitung und Informationsmaterial (Dokument CAJ/78/3 Rev.)</w:t>
      </w:r>
    </w:p>
    <w:p w:rsidR="00923899" w:rsidRDefault="00923899" w:rsidP="00923899">
      <w:pPr>
        <w:pStyle w:val="ListParagraph"/>
        <w:keepNext/>
        <w:spacing w:after="60"/>
        <w:ind w:left="1134"/>
        <w:contextualSpacing w:val="0"/>
        <w:rPr>
          <w:rFonts w:cs="Arial"/>
        </w:rPr>
      </w:pPr>
      <w:r>
        <w:t xml:space="preserve">UPOV/INF/16:  Austauschbare Software (Überarbeitung) (Dokument UPOV/INF/16/10 Draft 2) </w:t>
      </w:r>
    </w:p>
    <w:p w:rsidR="00D2079B" w:rsidRPr="00E77C81" w:rsidRDefault="001A2D6A" w:rsidP="00923899">
      <w:pPr>
        <w:pStyle w:val="ListParagraph"/>
        <w:keepNext/>
        <w:spacing w:after="60"/>
        <w:ind w:left="1134"/>
        <w:contextualSpacing w:val="0"/>
        <w:rPr>
          <w:rFonts w:cs="Angsana New"/>
          <w:szCs w:val="24"/>
        </w:rPr>
      </w:pPr>
      <w:r>
        <w:t>UPOV/INF/22: Von Verbandsmitgliedern verwendete Software und Ausrüstung (Überarbeitung) (Dokument UPOV/INF/22/8 Draft 2)</w:t>
      </w:r>
    </w:p>
    <w:p w:rsidR="00923899" w:rsidRPr="00077288" w:rsidRDefault="00923899" w:rsidP="00923899"/>
    <w:p w:rsidR="00923899" w:rsidRPr="00A03282" w:rsidRDefault="00923899" w:rsidP="00923899">
      <w:pPr>
        <w:keepNext/>
        <w:spacing w:after="120"/>
        <w:rPr>
          <w:rFonts w:cs="Arial"/>
        </w:rPr>
      </w:pPr>
      <w:r w:rsidRPr="00A03282">
        <w:rPr>
          <w:rFonts w:cs="Arial"/>
        </w:rPr>
        <w:fldChar w:fldCharType="begin"/>
      </w:r>
      <w:r w:rsidRPr="00A03282">
        <w:rPr>
          <w:rFonts w:cs="Arial"/>
        </w:rPr>
        <w:instrText xml:space="preserve"> AUTONUM  </w:instrText>
      </w:r>
      <w:r w:rsidRPr="00A03282">
        <w:rPr>
          <w:rFonts w:cs="Arial"/>
        </w:rPr>
        <w:fldChar w:fldCharType="end"/>
      </w:r>
      <w:r>
        <w:tab/>
        <w:t>In dem Rundschreiben E-21/123 vom 23. August 2021 wurde der CAJ ersucht, die in den folgenden Dokumenten enthaltene(n) vorgeschlagene(n) Entscheidung(en) innerhalb von 30 Tagen (</w:t>
      </w:r>
      <w:r w:rsidR="00AE0687">
        <w:t>d. h.</w:t>
      </w:r>
      <w:r w:rsidR="00EF01E9">
        <w:t xml:space="preserve"> bis zum 21. </w:t>
      </w:r>
      <w:r>
        <w:t>September 2021) zu billigen</w:t>
      </w:r>
      <w:r w:rsidR="00AE0687">
        <w:t xml:space="preserve">: </w:t>
      </w:r>
    </w:p>
    <w:p w:rsidR="00923899" w:rsidRPr="00A03282" w:rsidRDefault="00923899" w:rsidP="000735E5">
      <w:pPr>
        <w:pStyle w:val="ListParagraph"/>
        <w:spacing w:after="120"/>
        <w:ind w:left="567"/>
        <w:contextualSpacing w:val="0"/>
        <w:rPr>
          <w:rFonts w:cs="Arial"/>
        </w:rPr>
      </w:pPr>
      <w:r>
        <w:t>Ausarbeitung von Anleitung und Informationsmaterial (Dokument CAJ/78/3 Rev.)</w:t>
      </w:r>
    </w:p>
    <w:p w:rsidR="00AD5D72" w:rsidRPr="00A03282" w:rsidRDefault="00923899" w:rsidP="00367AE2">
      <w:pPr>
        <w:pStyle w:val="ListParagraph"/>
        <w:ind w:left="562"/>
        <w:contextualSpacing w:val="0"/>
        <w:rPr>
          <w:rFonts w:cs="Angsana New"/>
        </w:rPr>
      </w:pPr>
      <w:r>
        <w:t xml:space="preserve">Erntegut </w:t>
      </w:r>
      <w:r>
        <w:rPr>
          <w:snapToGrid w:val="0"/>
        </w:rPr>
        <w:t>(Dokument</w:t>
      </w:r>
      <w:r>
        <w:t xml:space="preserve"> CAJ/78/5)</w:t>
      </w:r>
    </w:p>
    <w:p w:rsidR="00923899" w:rsidRPr="00A03282" w:rsidRDefault="00923899" w:rsidP="00923899">
      <w:pPr>
        <w:ind w:left="1134" w:hanging="1134"/>
        <w:rPr>
          <w:rFonts w:cs="Arial"/>
        </w:rPr>
      </w:pPr>
    </w:p>
    <w:p w:rsidR="000735E5" w:rsidRPr="00A03282" w:rsidRDefault="000735E5" w:rsidP="000735E5">
      <w:pPr>
        <w:keepNext/>
        <w:spacing w:after="120"/>
        <w:rPr>
          <w:rFonts w:cs="Arial"/>
        </w:rPr>
      </w:pPr>
      <w:r w:rsidRPr="00A03282">
        <w:rPr>
          <w:rFonts w:cs="Arial"/>
        </w:rPr>
        <w:fldChar w:fldCharType="begin"/>
      </w:r>
      <w:r w:rsidRPr="00A03282">
        <w:rPr>
          <w:rFonts w:cs="Arial"/>
        </w:rPr>
        <w:instrText xml:space="preserve"> AUTONUM  </w:instrText>
      </w:r>
      <w:r w:rsidRPr="00A03282">
        <w:rPr>
          <w:rFonts w:cs="Arial"/>
        </w:rPr>
        <w:fldChar w:fldCharType="end"/>
      </w:r>
      <w:r>
        <w:tab/>
        <w:t xml:space="preserve">Rundschreiben E-21/123 vom 23. August 2021 enthielt auch die in Dokument CAJ/78/1 (Entwurf </w:t>
      </w:r>
      <w:r w:rsidR="008A288F">
        <w:t>einer</w:t>
      </w:r>
      <w:r>
        <w:t xml:space="preserve"> Tagesordnung) mit zwei Sternchen (**) gekennzeichneten Dokumente, die auf dem Schriftweg gemäß dem von dem betreffenden UPOV-Organ vereinbarten spezifischen Verfahren zu prüfen sind</w:t>
      </w:r>
      <w:r w:rsidR="00AE0687">
        <w:t xml:space="preserve">. </w:t>
      </w:r>
      <w:r>
        <w:t>Der CAJ wurde ersucht, die in den folgenden Dokumenten enthaltene(n) vorgeschlagene(n) Entscheidung(en) innerhalb von 30 Tagen (</w:t>
      </w:r>
      <w:r w:rsidR="00AE0687">
        <w:t>d. h.</w:t>
      </w:r>
      <w:r>
        <w:t xml:space="preserve"> bis zum 21. September 2021) zu billigen</w:t>
      </w:r>
      <w:r w:rsidR="00AE0687">
        <w:t xml:space="preserve">: </w:t>
      </w:r>
    </w:p>
    <w:p w:rsidR="000735E5" w:rsidRPr="00A03282" w:rsidRDefault="000735E5" w:rsidP="00367AE2">
      <w:pPr>
        <w:spacing w:after="120"/>
        <w:ind w:left="562"/>
        <w:rPr>
          <w:rFonts w:cs="Arial"/>
        </w:rPr>
      </w:pPr>
      <w:r>
        <w:t>Erläuterungen zu Sortenbezeichnungen nach dem UPOV-Übereinkommen (Dokument CAJ/78/11)**</w:t>
      </w:r>
    </w:p>
    <w:p w:rsidR="000735E5" w:rsidRPr="00A03282" w:rsidRDefault="000735E5" w:rsidP="000735E5">
      <w:pPr>
        <w:ind w:left="567"/>
        <w:jc w:val="left"/>
        <w:rPr>
          <w:rFonts w:cs="Arial"/>
        </w:rPr>
      </w:pPr>
      <w:r>
        <w:t>Erläuterungen zu Sortenbezeichnungen nach dem UPOV-Übereinkommen (Dokument UPOV/EXN/DEN/1 Draft 6)**</w:t>
      </w:r>
    </w:p>
    <w:p w:rsidR="000735E5" w:rsidRPr="00A03282" w:rsidRDefault="000735E5" w:rsidP="00923899">
      <w:pPr>
        <w:ind w:left="1134" w:hanging="1134"/>
        <w:rPr>
          <w:rFonts w:cs="Arial"/>
        </w:rPr>
      </w:pPr>
    </w:p>
    <w:p w:rsidR="00E44777" w:rsidRPr="00640A12" w:rsidRDefault="00923899" w:rsidP="00923899">
      <w:pPr>
        <w:rPr>
          <w:rFonts w:cs="Arial"/>
        </w:rPr>
      </w:pPr>
      <w:r w:rsidRPr="00A03282">
        <w:rPr>
          <w:rFonts w:cs="Arial"/>
        </w:rPr>
        <w:fldChar w:fldCharType="begin"/>
      </w:r>
      <w:r w:rsidRPr="00A03282">
        <w:rPr>
          <w:rFonts w:cs="Arial"/>
        </w:rPr>
        <w:instrText xml:space="preserve"> AUTONUM  </w:instrText>
      </w:r>
      <w:r w:rsidRPr="00A03282">
        <w:rPr>
          <w:rFonts w:cs="Arial"/>
        </w:rPr>
        <w:fldChar w:fldCharType="end"/>
      </w:r>
      <w:r>
        <w:tab/>
        <w:t>Da bis zum 21. September 2021 keine Einwände eingegangen sind, wird davon ausgegangen, dass die entsprechenden Entscheidungen in den unter den Nummern 8 und 9 genannten Dokumenten auf dem Schriftweg getroffen wurden</w:t>
      </w:r>
      <w:r w:rsidR="00AE0687">
        <w:t xml:space="preserve">. Die vom CAJ am 21. September 2021 auf dem Schriftweg getroffenen Entscheidungen sind in den folgenden </w:t>
      </w:r>
      <w:r w:rsidR="00AE0687" w:rsidRPr="008A288F">
        <w:t>Absätzen 12 bis 31 gemäß den Punkten in Dokument CAJ/78/1 Rev. (revidierter Entwurf einer Tagesordnung) wiedergegeben.</w:t>
      </w:r>
      <w:r w:rsidR="00AE0687">
        <w:t xml:space="preserve"> </w:t>
      </w:r>
    </w:p>
    <w:p w:rsidR="00923899" w:rsidRPr="00640A12" w:rsidRDefault="00923899" w:rsidP="00923899"/>
    <w:p w:rsidR="00E44777" w:rsidRPr="00640A12" w:rsidRDefault="00E44777" w:rsidP="00923899"/>
    <w:p w:rsidR="00E44777" w:rsidRPr="00640A12" w:rsidRDefault="00E44777" w:rsidP="00923899"/>
    <w:p w:rsidR="00923899" w:rsidRPr="00640A12" w:rsidRDefault="00923899" w:rsidP="00922891">
      <w:pPr>
        <w:pStyle w:val="Heading1"/>
        <w:rPr>
          <w:kern w:val="28"/>
        </w:rPr>
      </w:pPr>
      <w:bookmarkStart w:id="13" w:name="_Toc54097478"/>
      <w:bookmarkStart w:id="14" w:name="_Toc54097612"/>
      <w:bookmarkStart w:id="15" w:name="_Toc85539488"/>
      <w:r>
        <w:t>Tagesordnung</w:t>
      </w:r>
      <w:r w:rsidR="00F21E88">
        <w:t>SPUNKT 6</w:t>
      </w:r>
      <w:r w:rsidR="00637782">
        <w:t>:  Ausarbeitung von Anleitung</w:t>
      </w:r>
      <w:r>
        <w:t xml:space="preserve"> und Informationsmaterial</w:t>
      </w:r>
      <w:bookmarkEnd w:id="13"/>
      <w:bookmarkEnd w:id="14"/>
      <w:r>
        <w:t xml:space="preserve"> (Dokument </w:t>
      </w:r>
      <w:r>
        <w:rPr>
          <w:snapToGrid w:val="0"/>
        </w:rPr>
        <w:t>CAJ/78/3 Rev.)</w:t>
      </w:r>
      <w:bookmarkEnd w:id="15"/>
    </w:p>
    <w:p w:rsidR="00923899" w:rsidRPr="00640A12" w:rsidRDefault="00923899" w:rsidP="00922891">
      <w:pPr>
        <w:keepNext/>
      </w:pPr>
    </w:p>
    <w:p w:rsidR="00923899" w:rsidRPr="00640A12" w:rsidRDefault="00923899" w:rsidP="00923899">
      <w:pPr>
        <w:keepNext/>
        <w:rPr>
          <w:snapToGrid w:val="0"/>
        </w:rPr>
      </w:pPr>
      <w:r w:rsidRPr="00640A12">
        <w:fldChar w:fldCharType="begin"/>
      </w:r>
      <w:r w:rsidRPr="00640A12">
        <w:instrText xml:space="preserve"> AUTONUM  </w:instrText>
      </w:r>
      <w:r w:rsidRPr="00640A12">
        <w:fldChar w:fldCharType="end"/>
      </w:r>
      <w:r>
        <w:tab/>
      </w:r>
      <w:r>
        <w:rPr>
          <w:snapToGrid w:val="0"/>
        </w:rPr>
        <w:t>Der CAJ prüfte das Dokument CAJ/78/3 Rev.</w:t>
      </w:r>
    </w:p>
    <w:p w:rsidR="00923899" w:rsidRPr="00640A12" w:rsidRDefault="00923899" w:rsidP="005C2E97"/>
    <w:p w:rsidR="00923899" w:rsidRPr="00640A12" w:rsidRDefault="00923899" w:rsidP="005C2E97"/>
    <w:p w:rsidR="00923899" w:rsidRPr="00640A12" w:rsidRDefault="00923899" w:rsidP="00923899">
      <w:pPr>
        <w:pStyle w:val="Heading2"/>
        <w:rPr>
          <w:rFonts w:cs="Arial"/>
        </w:rPr>
      </w:pPr>
      <w:bookmarkStart w:id="16" w:name="_Toc54097479"/>
      <w:bookmarkStart w:id="17" w:name="_Toc54097613"/>
      <w:bookmarkStart w:id="18" w:name="_Toc85539489"/>
      <w:r>
        <w:t>Informationsmaterial</w:t>
      </w:r>
      <w:bookmarkEnd w:id="16"/>
      <w:bookmarkEnd w:id="17"/>
      <w:bookmarkEnd w:id="18"/>
    </w:p>
    <w:p w:rsidR="00923899" w:rsidRPr="00640A12" w:rsidRDefault="00923899" w:rsidP="00923899">
      <w:pPr>
        <w:keepNext/>
        <w:outlineLvl w:val="1"/>
        <w:rPr>
          <w:rFonts w:eastAsiaTheme="minorEastAsia" w:cs="Arial"/>
          <w:u w:val="single"/>
        </w:rPr>
      </w:pPr>
    </w:p>
    <w:p w:rsidR="00923899" w:rsidRPr="00A03282" w:rsidRDefault="00923899" w:rsidP="00923899">
      <w:pPr>
        <w:pStyle w:val="Heading3"/>
        <w:rPr>
          <w:rFonts w:cs="Arial"/>
        </w:rPr>
      </w:pPr>
      <w:bookmarkStart w:id="19" w:name="_Toc54004069"/>
      <w:bookmarkStart w:id="20" w:name="_Toc54097480"/>
      <w:bookmarkStart w:id="21" w:name="_Toc54097614"/>
      <w:bookmarkStart w:id="22" w:name="_Toc85539490"/>
      <w:r>
        <w:t>UPOV/INF/16: Austauschbare Software (Überarbeitung) (Dokument UPOV/INF/16/10 Draft 2)</w:t>
      </w:r>
      <w:bookmarkEnd w:id="19"/>
      <w:bookmarkEnd w:id="20"/>
      <w:bookmarkEnd w:id="21"/>
      <w:bookmarkEnd w:id="22"/>
    </w:p>
    <w:p w:rsidR="00923899" w:rsidRPr="00A03282" w:rsidRDefault="00923899" w:rsidP="00923899">
      <w:pPr>
        <w:keepNext/>
        <w:rPr>
          <w:rFonts w:cs="Arial"/>
        </w:rPr>
      </w:pPr>
    </w:p>
    <w:p w:rsidR="00923899" w:rsidRPr="00640A12" w:rsidRDefault="00923899" w:rsidP="00923899">
      <w:pPr>
        <w:keepLines/>
        <w:rPr>
          <w:rFonts w:eastAsia="SimSun" w:cs="Arial"/>
          <w:snapToGrid w:val="0"/>
        </w:rPr>
      </w:pPr>
      <w:r w:rsidRPr="008A288F">
        <w:rPr>
          <w:rFonts w:eastAsia="SimSun" w:cs="Arial"/>
          <w:snapToGrid w:val="0"/>
        </w:rPr>
        <w:fldChar w:fldCharType="begin"/>
      </w:r>
      <w:r w:rsidRPr="008A288F">
        <w:rPr>
          <w:rFonts w:eastAsia="SimSun" w:cs="Arial"/>
          <w:snapToGrid w:val="0"/>
        </w:rPr>
        <w:instrText xml:space="preserve"> AUTONUM  </w:instrText>
      </w:r>
      <w:r w:rsidRPr="008A288F">
        <w:rPr>
          <w:rFonts w:eastAsia="SimSun" w:cs="Arial"/>
          <w:snapToGrid w:val="0"/>
        </w:rPr>
        <w:fldChar w:fldCharType="end"/>
      </w:r>
      <w:r w:rsidRPr="008A288F">
        <w:rPr>
          <w:snapToGrid w:val="0"/>
        </w:rPr>
        <w:tab/>
        <w:t>Der CAJ</w:t>
      </w:r>
      <w:r>
        <w:rPr>
          <w:snapToGrid w:val="0"/>
        </w:rPr>
        <w:t xml:space="preserve"> </w:t>
      </w:r>
      <w:r>
        <w:t xml:space="preserve">billigte </w:t>
      </w:r>
      <w:r>
        <w:rPr>
          <w:snapToGrid w:val="0"/>
        </w:rPr>
        <w:t xml:space="preserve">die vorgeschlagene Überarbeitung des Dokuments UPOV/INF/16/9 „Austauschbare Software“ auf der Grundlage des Dokuments UPOV/INF/16/10 Draft 2. </w:t>
      </w:r>
    </w:p>
    <w:p w:rsidR="00923899" w:rsidRPr="00640A12" w:rsidRDefault="00923899" w:rsidP="00923899">
      <w:pPr>
        <w:rPr>
          <w:rFonts w:eastAsia="SimSun" w:cs="Arial"/>
          <w:snapToGrid w:val="0"/>
          <w:lang w:eastAsia="ja-JP"/>
        </w:rPr>
      </w:pPr>
    </w:p>
    <w:p w:rsidR="00923899" w:rsidRPr="00640A12" w:rsidRDefault="00923899" w:rsidP="00923899">
      <w:pPr>
        <w:keepLines/>
        <w:rPr>
          <w:rFonts w:cs="Arial"/>
          <w:spacing w:val="-4"/>
        </w:rPr>
      </w:pPr>
      <w:r w:rsidRPr="00640A12">
        <w:rPr>
          <w:rFonts w:cs="Arial"/>
        </w:rPr>
        <w:fldChar w:fldCharType="begin"/>
      </w:r>
      <w:r w:rsidRPr="00640A12">
        <w:rPr>
          <w:rFonts w:cs="Arial"/>
        </w:rPr>
        <w:instrText xml:space="preserve"> AUTONUM  </w:instrText>
      </w:r>
      <w:r w:rsidRPr="00640A12">
        <w:rPr>
          <w:rFonts w:cs="Arial"/>
        </w:rPr>
        <w:fldChar w:fldCharType="end"/>
      </w:r>
      <w:r>
        <w:tab/>
      </w:r>
      <w:r w:rsidR="00AE0687">
        <w:t xml:space="preserve">Der CAJ vereinbarte, dass der Rat ersucht werden solle, im Jahre 2021 die Überarbeitungen des </w:t>
      </w:r>
      <w:r w:rsidR="00AE0687">
        <w:rPr>
          <w:snapToGrid w:val="0"/>
        </w:rPr>
        <w:t>Dokuments UPOV/INF/16/10 „</w:t>
      </w:r>
      <w:r w:rsidR="00AE0687">
        <w:t>Austauschbare Software</w:t>
      </w:r>
      <w:r w:rsidR="00AE0687">
        <w:rPr>
          <w:snapToGrid w:val="0"/>
        </w:rPr>
        <w:t xml:space="preserve">“, wie in Dokument </w:t>
      </w:r>
      <w:r w:rsidR="00AE0687">
        <w:t>UPOV/INF/16/10 </w:t>
      </w:r>
      <w:r w:rsidR="00AE0687">
        <w:rPr>
          <w:snapToGrid w:val="0"/>
        </w:rPr>
        <w:t>Draft 2 vorgelegt,</w:t>
      </w:r>
      <w:r w:rsidR="00AE0687">
        <w:t xml:space="preserve"> anzunehmen. </w:t>
      </w:r>
    </w:p>
    <w:p w:rsidR="00953203" w:rsidRPr="00640A12" w:rsidRDefault="00953203" w:rsidP="00953203">
      <w:pPr>
        <w:pStyle w:val="Heading3"/>
        <w:rPr>
          <w:rFonts w:cs="Arial"/>
        </w:rPr>
      </w:pPr>
    </w:p>
    <w:p w:rsidR="00953203" w:rsidRPr="00640A12" w:rsidRDefault="00953203" w:rsidP="00B74FCA">
      <w:pPr>
        <w:pStyle w:val="Heading3"/>
        <w:rPr>
          <w:rFonts w:cs="Arial"/>
        </w:rPr>
      </w:pPr>
      <w:bookmarkStart w:id="23" w:name="_Toc85539491"/>
      <w:r>
        <w:t>UPOV/INF/17: Richtlinien für die DNS-Profilierung: Auswahl molekularer Marker und Aufbau von Datenbanken („BMT-Richtlinien“) (Überarbeitung) (Dokument UPOV/INF/17/ 2 Draft 6)</w:t>
      </w:r>
      <w:bookmarkEnd w:id="23"/>
    </w:p>
    <w:p w:rsidR="00953203" w:rsidRPr="00640A12" w:rsidRDefault="00953203" w:rsidP="00953203">
      <w:pPr>
        <w:keepNext/>
        <w:rPr>
          <w:rFonts w:cs="Arial"/>
        </w:rPr>
      </w:pPr>
    </w:p>
    <w:p w:rsidR="00953203" w:rsidRPr="00640A12" w:rsidRDefault="00953203" w:rsidP="00953203">
      <w:pPr>
        <w:keepLines/>
        <w:rPr>
          <w:rFonts w:eastAsia="SimSun" w:cs="Arial"/>
          <w:snapToGrid w:val="0"/>
        </w:rPr>
      </w:pPr>
      <w:r w:rsidRPr="00640A12">
        <w:rPr>
          <w:rFonts w:eastAsia="SimSun" w:cs="Arial"/>
          <w:snapToGrid w:val="0"/>
        </w:rPr>
        <w:fldChar w:fldCharType="begin"/>
      </w:r>
      <w:r w:rsidRPr="00640A12">
        <w:rPr>
          <w:rFonts w:eastAsia="SimSun" w:cs="Arial"/>
          <w:snapToGrid w:val="0"/>
        </w:rPr>
        <w:instrText xml:space="preserve"> AUTONUM  </w:instrText>
      </w:r>
      <w:r w:rsidRPr="00640A12">
        <w:rPr>
          <w:rFonts w:eastAsia="SimSun" w:cs="Arial"/>
          <w:snapToGrid w:val="0"/>
        </w:rPr>
        <w:fldChar w:fldCharType="end"/>
      </w:r>
      <w:r>
        <w:rPr>
          <w:snapToGrid w:val="0"/>
        </w:rPr>
        <w:tab/>
        <w:t xml:space="preserve">Der CAJ </w:t>
      </w:r>
      <w:r>
        <w:t xml:space="preserve">billigte </w:t>
      </w:r>
      <w:r>
        <w:rPr>
          <w:snapToGrid w:val="0"/>
        </w:rPr>
        <w:t>die Überarbeitung von Dokument UPOV/INF/17/1</w:t>
      </w:r>
      <w:r w:rsidR="008A288F">
        <w:t>: „Richtlinien für die DNS</w:t>
      </w:r>
      <w:r w:rsidR="008A288F">
        <w:noBreakHyphen/>
      </w:r>
      <w:r>
        <w:t>Profilierung: Auswahl molekularer Marker und Aufbau von Datenbanken (</w:t>
      </w:r>
      <w:r w:rsidR="00EB001D">
        <w:t>‚</w:t>
      </w:r>
      <w:r>
        <w:t>BMT-Richtlinien</w:t>
      </w:r>
      <w:r w:rsidR="00EB001D">
        <w:t>‘</w:t>
      </w:r>
      <w:r>
        <w:t>)</w:t>
      </w:r>
      <w:r w:rsidR="008A288F">
        <w:t>“</w:t>
      </w:r>
      <w:r>
        <w:t xml:space="preserve"> </w:t>
      </w:r>
      <w:r>
        <w:rPr>
          <w:snapToGrid w:val="0"/>
        </w:rPr>
        <w:t>auf der Grundlage des Dokuments UPOV/INF/17/2 Draft 6</w:t>
      </w:r>
      <w:r w:rsidR="00AE0687">
        <w:rPr>
          <w:snapToGrid w:val="0"/>
        </w:rPr>
        <w:t xml:space="preserve">. </w:t>
      </w:r>
    </w:p>
    <w:p w:rsidR="00953203" w:rsidRPr="00640A12" w:rsidRDefault="00953203" w:rsidP="00953203">
      <w:pPr>
        <w:rPr>
          <w:rFonts w:eastAsia="SimSun" w:cs="Arial"/>
          <w:snapToGrid w:val="0"/>
          <w:lang w:eastAsia="ja-JP"/>
        </w:rPr>
      </w:pPr>
    </w:p>
    <w:p w:rsidR="00953203" w:rsidRPr="00640A12" w:rsidRDefault="00953203" w:rsidP="00953203">
      <w:pPr>
        <w:keepLines/>
        <w:rPr>
          <w:rFonts w:cs="Arial"/>
          <w:spacing w:val="-4"/>
        </w:rPr>
      </w:pPr>
      <w:r w:rsidRPr="00640A12">
        <w:rPr>
          <w:rFonts w:cs="Arial"/>
        </w:rPr>
        <w:fldChar w:fldCharType="begin"/>
      </w:r>
      <w:r w:rsidRPr="00640A12">
        <w:rPr>
          <w:rFonts w:cs="Arial"/>
        </w:rPr>
        <w:instrText xml:space="preserve"> AUTONUM  </w:instrText>
      </w:r>
      <w:r w:rsidRPr="00640A12">
        <w:rPr>
          <w:rFonts w:cs="Arial"/>
        </w:rPr>
        <w:fldChar w:fldCharType="end"/>
      </w:r>
      <w:r>
        <w:tab/>
        <w:t xml:space="preserve">Der CAJ vereinbarte, dass der Rat ersucht werden solle, im Jahr 2021 die Überarbeitungen des </w:t>
      </w:r>
      <w:r>
        <w:rPr>
          <w:snapToGrid w:val="0"/>
        </w:rPr>
        <w:t>Dokuments UPOV/INF/17/2 „</w:t>
      </w:r>
      <w:r>
        <w:t>R</w:t>
      </w:r>
      <w:r w:rsidR="008A288F">
        <w:t>ichtlinien für DNS-Profilierung</w:t>
      </w:r>
      <w:r>
        <w:t xml:space="preserve">: Auswahl molekularer Marker und Aufbau von Datenbanken </w:t>
      </w:r>
      <w:r w:rsidR="00B85754">
        <w:t>(‚BMT-Richtlinien‘)</w:t>
      </w:r>
      <w:r w:rsidR="008A288F">
        <w:t>“</w:t>
      </w:r>
      <w:r w:rsidR="00D43EA8">
        <w:t xml:space="preserve"> anzunehmen</w:t>
      </w:r>
      <w:r w:rsidR="00AE0687">
        <w:t>,</w:t>
      </w:r>
      <w:r>
        <w:rPr>
          <w:snapToGrid w:val="0"/>
        </w:rPr>
        <w:t xml:space="preserve"> wie in Dokument</w:t>
      </w:r>
      <w:r>
        <w:t xml:space="preserve"> UPOV/INF/17/2 </w:t>
      </w:r>
      <w:r>
        <w:rPr>
          <w:snapToGrid w:val="0"/>
        </w:rPr>
        <w:t>Draft 6</w:t>
      </w:r>
      <w:r>
        <w:t xml:space="preserve"> dargelegt</w:t>
      </w:r>
      <w:r w:rsidR="00D43EA8">
        <w:t>:</w:t>
      </w:r>
    </w:p>
    <w:p w:rsidR="00923899" w:rsidRPr="00640A12" w:rsidRDefault="00923899" w:rsidP="00923899">
      <w:pPr>
        <w:rPr>
          <w:rFonts w:cs="Arial"/>
        </w:rPr>
      </w:pPr>
    </w:p>
    <w:p w:rsidR="00923899" w:rsidRPr="00640A12" w:rsidRDefault="00923899" w:rsidP="00923899">
      <w:pPr>
        <w:pStyle w:val="Heading3"/>
        <w:rPr>
          <w:rFonts w:cs="Arial"/>
        </w:rPr>
      </w:pPr>
      <w:bookmarkStart w:id="24" w:name="_Toc54004070"/>
      <w:bookmarkStart w:id="25" w:name="_Toc54097481"/>
      <w:bookmarkStart w:id="26" w:name="_Toc54097615"/>
      <w:bookmarkStart w:id="27" w:name="_Toc85539492"/>
      <w:r>
        <w:t>UPOV/INF/22: Von Verbandsmitgliedern verwendete Software und Ausrüstung (Überarbeitung</w:t>
      </w:r>
      <w:r w:rsidR="00AE0687">
        <w:t>) (</w:t>
      </w:r>
      <w:r>
        <w:t>Dokument UPOV/INF/22/8 Draft 2)</w:t>
      </w:r>
      <w:bookmarkEnd w:id="24"/>
      <w:bookmarkEnd w:id="25"/>
      <w:bookmarkEnd w:id="26"/>
      <w:bookmarkEnd w:id="27"/>
    </w:p>
    <w:p w:rsidR="00923899" w:rsidRPr="00640A12" w:rsidRDefault="00923899" w:rsidP="00923899">
      <w:pPr>
        <w:keepNext/>
        <w:rPr>
          <w:rFonts w:cs="Arial"/>
        </w:rPr>
      </w:pPr>
    </w:p>
    <w:p w:rsidR="00923899" w:rsidRPr="00640A12" w:rsidRDefault="00923899" w:rsidP="00923899">
      <w:pPr>
        <w:keepLines/>
        <w:rPr>
          <w:rFonts w:eastAsia="SimSun" w:cs="Arial"/>
          <w:snapToGrid w:val="0"/>
        </w:rPr>
      </w:pPr>
      <w:r w:rsidRPr="00640A12">
        <w:rPr>
          <w:rFonts w:eastAsia="SimSun" w:cs="Arial"/>
          <w:snapToGrid w:val="0"/>
        </w:rPr>
        <w:fldChar w:fldCharType="begin"/>
      </w:r>
      <w:r w:rsidRPr="00640A12">
        <w:rPr>
          <w:rFonts w:eastAsia="SimSun" w:cs="Arial"/>
          <w:snapToGrid w:val="0"/>
        </w:rPr>
        <w:instrText xml:space="preserve"> AUTONUM  </w:instrText>
      </w:r>
      <w:r w:rsidRPr="00640A12">
        <w:rPr>
          <w:rFonts w:eastAsia="SimSun" w:cs="Arial"/>
          <w:snapToGrid w:val="0"/>
        </w:rPr>
        <w:fldChar w:fldCharType="end"/>
      </w:r>
      <w:r>
        <w:rPr>
          <w:snapToGrid w:val="0"/>
        </w:rPr>
        <w:tab/>
        <w:t xml:space="preserve">Der </w:t>
      </w:r>
      <w:r w:rsidR="00AE0687">
        <w:rPr>
          <w:snapToGrid w:val="0"/>
        </w:rPr>
        <w:t xml:space="preserve">CAJ </w:t>
      </w:r>
      <w:r w:rsidR="00AE0687">
        <w:t>billigte</w:t>
      </w:r>
      <w:r>
        <w:t xml:space="preserve"> </w:t>
      </w:r>
      <w:r>
        <w:rPr>
          <w:snapToGrid w:val="0"/>
        </w:rPr>
        <w:t>auf der Grundlage von Dokument UPOV/INF/22/8 Draft 2 die Überarbeitung von Dokument UPOV/INF/22</w:t>
      </w:r>
      <w:r w:rsidR="00EF3DDD">
        <w:rPr>
          <w:snapToGrid w:val="0"/>
        </w:rPr>
        <w:t>/7</w:t>
      </w:r>
      <w:r>
        <w:rPr>
          <w:snapToGrid w:val="0"/>
        </w:rPr>
        <w:t xml:space="preserve"> „Von Verbandsmitgliedern verwendete Software und Ausrüstung“</w:t>
      </w:r>
      <w:r w:rsidR="00AE0687">
        <w:rPr>
          <w:snapToGrid w:val="0"/>
        </w:rPr>
        <w:t xml:space="preserve">. </w:t>
      </w:r>
    </w:p>
    <w:p w:rsidR="00923899" w:rsidRPr="00640A12" w:rsidRDefault="00923899" w:rsidP="00923899">
      <w:pPr>
        <w:rPr>
          <w:rFonts w:eastAsia="SimSun" w:cs="Arial"/>
          <w:snapToGrid w:val="0"/>
          <w:lang w:eastAsia="ja-JP"/>
        </w:rPr>
      </w:pPr>
    </w:p>
    <w:p w:rsidR="00923899" w:rsidRPr="00640A12" w:rsidRDefault="00923899" w:rsidP="00923899">
      <w:pPr>
        <w:keepLines/>
        <w:rPr>
          <w:rFonts w:cs="Arial"/>
        </w:rPr>
      </w:pPr>
      <w:r w:rsidRPr="00640A12">
        <w:rPr>
          <w:rFonts w:cs="Arial"/>
        </w:rPr>
        <w:fldChar w:fldCharType="begin"/>
      </w:r>
      <w:r w:rsidRPr="00640A12">
        <w:rPr>
          <w:rFonts w:cs="Arial"/>
        </w:rPr>
        <w:instrText xml:space="preserve"> AUTONUM  </w:instrText>
      </w:r>
      <w:r w:rsidRPr="00640A12">
        <w:rPr>
          <w:rFonts w:cs="Arial"/>
        </w:rPr>
        <w:fldChar w:fldCharType="end"/>
      </w:r>
      <w:r>
        <w:tab/>
        <w:t>Der CAJ vereinbarte, dass der Ra</w:t>
      </w:r>
      <w:r w:rsidR="00C61377">
        <w:t>t ersucht werden solle, im Jahr</w:t>
      </w:r>
      <w:r>
        <w:t xml:space="preserve"> 2021 die Überarbeitung des </w:t>
      </w:r>
      <w:r>
        <w:rPr>
          <w:snapToGrid w:val="0"/>
        </w:rPr>
        <w:t xml:space="preserve">Dokuments UPOV/INF/22/8 „Von Verbandsmitgliedern verwendete Software und Ausrüstung“, wie in Dokument </w:t>
      </w:r>
      <w:r>
        <w:t>UPOV/INF/22/8 </w:t>
      </w:r>
      <w:r>
        <w:rPr>
          <w:snapToGrid w:val="0"/>
        </w:rPr>
        <w:t>Draft 2</w:t>
      </w:r>
      <w:r>
        <w:t xml:space="preserve"> dargelegt, anzunehmen. </w:t>
      </w:r>
    </w:p>
    <w:p w:rsidR="00923899" w:rsidRPr="00640A12" w:rsidRDefault="00923899" w:rsidP="00676ED0"/>
    <w:p w:rsidR="00923899" w:rsidRPr="00640A12" w:rsidRDefault="00923899" w:rsidP="00640A12">
      <w:pPr>
        <w:pStyle w:val="Heading3"/>
        <w:keepLines/>
        <w:rPr>
          <w:rFonts w:cs="Arial"/>
        </w:rPr>
      </w:pPr>
      <w:bookmarkStart w:id="28" w:name="_Toc54097482"/>
      <w:bookmarkStart w:id="29" w:name="_Toc54097616"/>
      <w:bookmarkStart w:id="30" w:name="_Toc85539493"/>
      <w:r>
        <w:t>UPOV/INF/23: UPOV-Code-System (Dokument UPOV/INF/23/1 Draft 3)</w:t>
      </w:r>
      <w:bookmarkEnd w:id="28"/>
      <w:bookmarkEnd w:id="29"/>
      <w:bookmarkEnd w:id="30"/>
    </w:p>
    <w:p w:rsidR="00923899" w:rsidRPr="00640A12" w:rsidRDefault="00923899" w:rsidP="00640A12">
      <w:pPr>
        <w:keepNext/>
        <w:keepLines/>
        <w:rPr>
          <w:rFonts w:cs="Arial"/>
        </w:rPr>
      </w:pPr>
    </w:p>
    <w:p w:rsidR="00676ED0" w:rsidRPr="00640A12" w:rsidRDefault="00676ED0" w:rsidP="00640A12">
      <w:pPr>
        <w:keepNext/>
        <w:keepLines/>
        <w:rPr>
          <w:rFonts w:eastAsia="SimSun" w:cs="Arial"/>
          <w:snapToGrid w:val="0"/>
          <w:spacing w:val="-2"/>
        </w:rPr>
      </w:pPr>
      <w:r w:rsidRPr="00640A12">
        <w:rPr>
          <w:rFonts w:eastAsia="SimSun" w:cs="Arial"/>
          <w:snapToGrid w:val="0"/>
        </w:rPr>
        <w:fldChar w:fldCharType="begin"/>
      </w:r>
      <w:r w:rsidRPr="00640A12">
        <w:rPr>
          <w:rFonts w:eastAsia="SimSun" w:cs="Arial"/>
          <w:snapToGrid w:val="0"/>
        </w:rPr>
        <w:instrText xml:space="preserve"> AUTONUM  </w:instrText>
      </w:r>
      <w:r w:rsidRPr="00640A12">
        <w:rPr>
          <w:rFonts w:eastAsia="SimSun" w:cs="Arial"/>
          <w:snapToGrid w:val="0"/>
        </w:rPr>
        <w:fldChar w:fldCharType="end"/>
      </w:r>
      <w:r>
        <w:rPr>
          <w:snapToGrid w:val="0"/>
        </w:rPr>
        <w:tab/>
        <w:t xml:space="preserve">Der CAJ </w:t>
      </w:r>
      <w:r>
        <w:t xml:space="preserve">billigte </w:t>
      </w:r>
      <w:r>
        <w:rPr>
          <w:snapToGrid w:val="0"/>
        </w:rPr>
        <w:t>die Überarbeitung des Dokuments UPOV/INF/23 „UPOV-Code-System“ auf der Grundlage des Dokuments UPOV/INF/23/1 Draft 3</w:t>
      </w:r>
      <w:r w:rsidR="00AE0687">
        <w:rPr>
          <w:snapToGrid w:val="0"/>
        </w:rPr>
        <w:t xml:space="preserve">. </w:t>
      </w:r>
    </w:p>
    <w:p w:rsidR="00367AE2" w:rsidRPr="00640A12" w:rsidRDefault="00367AE2" w:rsidP="00367AE2">
      <w:pPr>
        <w:rPr>
          <w:rFonts w:eastAsia="SimSun"/>
        </w:rPr>
      </w:pPr>
    </w:p>
    <w:p w:rsidR="00676ED0" w:rsidRDefault="00676ED0" w:rsidP="00640A12">
      <w:pPr>
        <w:rPr>
          <w:rFonts w:cs="Arial"/>
        </w:rPr>
      </w:pPr>
      <w:r w:rsidRPr="00640A12">
        <w:rPr>
          <w:rFonts w:cs="Arial"/>
        </w:rPr>
        <w:fldChar w:fldCharType="begin"/>
      </w:r>
      <w:r w:rsidRPr="00640A12">
        <w:rPr>
          <w:rFonts w:cs="Arial"/>
        </w:rPr>
        <w:instrText xml:space="preserve"> AUTONUM  </w:instrText>
      </w:r>
      <w:r w:rsidRPr="00640A12">
        <w:rPr>
          <w:rFonts w:cs="Arial"/>
        </w:rPr>
        <w:fldChar w:fldCharType="end"/>
      </w:r>
      <w:r>
        <w:tab/>
        <w:t xml:space="preserve">Der CAJ vereinbarte, dass der Rat ersucht werden solle, im Jahre 2021 die Überarbeitung des </w:t>
      </w:r>
      <w:r>
        <w:rPr>
          <w:snapToGrid w:val="0"/>
        </w:rPr>
        <w:t xml:space="preserve">Dokuments UPOV/INF/23 „UPOV-Code-System“, wie in Dokument </w:t>
      </w:r>
      <w:r>
        <w:t>UPOV/INF/23/1 </w:t>
      </w:r>
      <w:r>
        <w:rPr>
          <w:snapToGrid w:val="0"/>
        </w:rPr>
        <w:t>Draft 3</w:t>
      </w:r>
      <w:r w:rsidR="00F633EB">
        <w:t xml:space="preserve"> dar</w:t>
      </w:r>
      <w:r>
        <w:t xml:space="preserve">gelegt, anzunehmen. </w:t>
      </w:r>
    </w:p>
    <w:p w:rsidR="00640A12" w:rsidRDefault="00640A12" w:rsidP="00640A12">
      <w:pPr>
        <w:rPr>
          <w:rFonts w:cs="Arial"/>
        </w:rPr>
      </w:pPr>
    </w:p>
    <w:p w:rsidR="00640A12" w:rsidRPr="00640A12" w:rsidRDefault="00640A12" w:rsidP="00640A12">
      <w:pPr>
        <w:rPr>
          <w:rFonts w:cs="Arial"/>
        </w:rPr>
      </w:pPr>
    </w:p>
    <w:p w:rsidR="00953203" w:rsidRPr="00970A22" w:rsidRDefault="00953203" w:rsidP="00953203">
      <w:pPr>
        <w:pStyle w:val="Heading2"/>
        <w:rPr>
          <w:rFonts w:cs="Arial"/>
          <w:snapToGrid w:val="0"/>
        </w:rPr>
      </w:pPr>
      <w:bookmarkStart w:id="31" w:name="_Toc54004066"/>
      <w:bookmarkStart w:id="32" w:name="_Toc54090408"/>
      <w:bookmarkStart w:id="33" w:name="_Toc54097483"/>
      <w:bookmarkStart w:id="34" w:name="_Toc54097617"/>
      <w:bookmarkStart w:id="35" w:name="_Toc85539494"/>
      <w:r>
        <w:rPr>
          <w:snapToGrid w:val="0"/>
        </w:rPr>
        <w:t>Erläuternde Anmerkungen</w:t>
      </w:r>
      <w:bookmarkEnd w:id="31"/>
      <w:bookmarkEnd w:id="32"/>
      <w:bookmarkEnd w:id="33"/>
      <w:bookmarkEnd w:id="34"/>
      <w:bookmarkEnd w:id="35"/>
      <w:r>
        <w:rPr>
          <w:snapToGrid w:val="0"/>
        </w:rPr>
        <w:t xml:space="preserve"> </w:t>
      </w:r>
    </w:p>
    <w:p w:rsidR="00953203" w:rsidRPr="00970A22" w:rsidRDefault="00953203" w:rsidP="00953203">
      <w:pPr>
        <w:keepNext/>
        <w:rPr>
          <w:rFonts w:cs="Arial"/>
        </w:rPr>
      </w:pPr>
    </w:p>
    <w:p w:rsidR="00953203" w:rsidRPr="00970A22" w:rsidRDefault="00953203" w:rsidP="00953203">
      <w:pPr>
        <w:pStyle w:val="Heading3"/>
        <w:rPr>
          <w:rFonts w:cs="Arial"/>
          <w:kern w:val="28"/>
        </w:rPr>
      </w:pPr>
      <w:bookmarkStart w:id="36" w:name="_Toc54004067"/>
      <w:bookmarkStart w:id="37" w:name="_Toc54090409"/>
      <w:bookmarkStart w:id="38" w:name="_Toc54097484"/>
      <w:bookmarkStart w:id="39" w:name="_Toc54097618"/>
      <w:bookmarkStart w:id="40" w:name="_Toc85539495"/>
      <w:r>
        <w:t>UPOV/EXN/DEN: Erläuternde Anmerkungen zu Sortenbezeichnungen nach dem UPOV-Übereinkommen (Dokument UPOV/EXN/DEN/1 Draft 6)</w:t>
      </w:r>
      <w:bookmarkEnd w:id="36"/>
      <w:bookmarkEnd w:id="37"/>
      <w:bookmarkEnd w:id="38"/>
      <w:bookmarkEnd w:id="39"/>
      <w:bookmarkEnd w:id="40"/>
    </w:p>
    <w:p w:rsidR="00953203" w:rsidRPr="00970A22" w:rsidRDefault="00953203" w:rsidP="00953203">
      <w:pPr>
        <w:keepNext/>
        <w:rPr>
          <w:rFonts w:cs="Arial"/>
          <w:lang w:eastAsia="fr-FR"/>
        </w:rPr>
      </w:pPr>
    </w:p>
    <w:p w:rsidR="00676ED0" w:rsidRPr="00970A22" w:rsidRDefault="00676ED0" w:rsidP="00676ED0">
      <w:pPr>
        <w:rPr>
          <w:rFonts w:cs="Arial"/>
          <w:spacing w:val="-2"/>
        </w:rPr>
      </w:pPr>
      <w:r w:rsidRPr="00970A22">
        <w:rPr>
          <w:rFonts w:cs="Arial"/>
        </w:rPr>
        <w:fldChar w:fldCharType="begin"/>
      </w:r>
      <w:r w:rsidRPr="00970A22">
        <w:rPr>
          <w:rFonts w:cs="Arial"/>
        </w:rPr>
        <w:instrText xml:space="preserve"> AUTONUM  </w:instrText>
      </w:r>
      <w:r w:rsidRPr="00970A22">
        <w:rPr>
          <w:rFonts w:cs="Arial"/>
        </w:rPr>
        <w:fldChar w:fldCharType="end"/>
      </w:r>
      <w:r>
        <w:tab/>
        <w:t xml:space="preserve">Der </w:t>
      </w:r>
      <w:r w:rsidR="00AE0687">
        <w:rPr>
          <w:snapToGrid w:val="0"/>
        </w:rPr>
        <w:t xml:space="preserve">CAJ </w:t>
      </w:r>
      <w:r w:rsidR="00AE0687">
        <w:t>nahm</w:t>
      </w:r>
      <w:r>
        <w:t xml:space="preserve"> zur Kenntnis, dass Angelegenheiten betreffend </w:t>
      </w:r>
      <w:r w:rsidR="00B85754">
        <w:t>Sortenbezeichnungen in Dokument </w:t>
      </w:r>
      <w:r>
        <w:t>CAJ/78/11 geprüft wurden.</w:t>
      </w:r>
    </w:p>
    <w:p w:rsidR="00923899" w:rsidRDefault="00923899" w:rsidP="00923899">
      <w:pPr>
        <w:rPr>
          <w:rFonts w:cs="Arial"/>
        </w:rPr>
      </w:pPr>
    </w:p>
    <w:p w:rsidR="0004482D" w:rsidRPr="008F4317" w:rsidRDefault="0004482D" w:rsidP="008F4317">
      <w:pPr>
        <w:pStyle w:val="Heading4"/>
      </w:pPr>
      <w:bookmarkStart w:id="41" w:name="_Toc85539496"/>
      <w:r>
        <w:t>Erläuternde Anmerkungen zu Sortenbezeichnungen nach d</w:t>
      </w:r>
      <w:r w:rsidR="001A6BA3">
        <w:t>em UPOV-Übereinkommen (Dokument </w:t>
      </w:r>
      <w:r>
        <w:t>CAJ/78/11)</w:t>
      </w:r>
      <w:bookmarkEnd w:id="41"/>
    </w:p>
    <w:p w:rsidR="0004482D" w:rsidRDefault="0004482D" w:rsidP="0004482D">
      <w:pPr>
        <w:keepNext/>
        <w:rPr>
          <w:rFonts w:cs="Arial"/>
          <w:lang w:eastAsia="fr-FR"/>
        </w:rPr>
      </w:pPr>
    </w:p>
    <w:p w:rsidR="00D740AB" w:rsidRPr="00174343" w:rsidRDefault="00D740AB" w:rsidP="00D740AB">
      <w:pPr>
        <w:keepNext/>
        <w:rPr>
          <w:snapToGrid w:val="0"/>
        </w:rPr>
      </w:pPr>
      <w:r w:rsidRPr="00CB28A3">
        <w:fldChar w:fldCharType="begin"/>
      </w:r>
      <w:r w:rsidRPr="00CB28A3">
        <w:instrText xml:space="preserve"> AUTONUM  </w:instrText>
      </w:r>
      <w:r w:rsidRPr="00CB28A3">
        <w:fldChar w:fldCharType="end"/>
      </w:r>
      <w:r>
        <w:tab/>
      </w:r>
      <w:r>
        <w:rPr>
          <w:snapToGrid w:val="0"/>
        </w:rPr>
        <w:t>Der CAJ prüfte das Dokument CAJ/78/11.</w:t>
      </w:r>
    </w:p>
    <w:p w:rsidR="00D740AB" w:rsidRPr="00970A22" w:rsidRDefault="00D740AB" w:rsidP="0004482D">
      <w:pPr>
        <w:keepNext/>
        <w:rPr>
          <w:rFonts w:cs="Arial"/>
          <w:lang w:eastAsia="fr-FR"/>
        </w:rPr>
      </w:pPr>
    </w:p>
    <w:p w:rsidR="0004482D" w:rsidRDefault="0004482D" w:rsidP="0004482D">
      <w:pPr>
        <w:rPr>
          <w:rFonts w:cs="Arial"/>
        </w:rPr>
      </w:pPr>
      <w:r w:rsidRPr="00970A22">
        <w:rPr>
          <w:rFonts w:cs="Arial"/>
        </w:rPr>
        <w:fldChar w:fldCharType="begin"/>
      </w:r>
      <w:r w:rsidRPr="00970A22">
        <w:rPr>
          <w:rFonts w:cs="Arial"/>
        </w:rPr>
        <w:instrText xml:space="preserve"> AUTONUM  </w:instrText>
      </w:r>
      <w:r w:rsidRPr="00970A22">
        <w:rPr>
          <w:rFonts w:cs="Arial"/>
        </w:rPr>
        <w:fldChar w:fldCharType="end"/>
      </w:r>
      <w:r>
        <w:tab/>
        <w:t xml:space="preserve">Der </w:t>
      </w:r>
      <w:r>
        <w:rPr>
          <w:snapToGrid w:val="0"/>
        </w:rPr>
        <w:t>CAJ</w:t>
      </w:r>
      <w:r>
        <w:t xml:space="preserve"> nahm die Entwicklungen bezüglich der Überarbeitung des Dokuments UPOV/INF/12/5 „Erläuterungen zu Sortenbezeichnungen nach dem UPOV-Übereinkommen“, wie in Dokument CAJ/78/11 berichtet, zur Kenntnis.</w:t>
      </w:r>
    </w:p>
    <w:p w:rsidR="0004482D" w:rsidRPr="0004482D" w:rsidRDefault="0004482D" w:rsidP="0004482D">
      <w:pPr>
        <w:rPr>
          <w:rFonts w:cs="Arial"/>
        </w:rPr>
      </w:pPr>
    </w:p>
    <w:p w:rsidR="0004482D" w:rsidRDefault="0004482D" w:rsidP="0004482D">
      <w:pPr>
        <w:rPr>
          <w:rFonts w:cs="Arial"/>
        </w:rPr>
      </w:pPr>
      <w:r w:rsidRPr="00970A22">
        <w:rPr>
          <w:rFonts w:cs="Arial"/>
        </w:rPr>
        <w:fldChar w:fldCharType="begin"/>
      </w:r>
      <w:r w:rsidRPr="00970A22">
        <w:rPr>
          <w:rFonts w:cs="Arial"/>
        </w:rPr>
        <w:instrText xml:space="preserve"> AUTONUM  </w:instrText>
      </w:r>
      <w:r w:rsidRPr="00970A22">
        <w:rPr>
          <w:rFonts w:cs="Arial"/>
        </w:rPr>
        <w:fldChar w:fldCharType="end"/>
      </w:r>
      <w:r>
        <w:tab/>
        <w:t xml:space="preserve">Der </w:t>
      </w:r>
      <w:r>
        <w:rPr>
          <w:snapToGrid w:val="0"/>
        </w:rPr>
        <w:t>CAJ</w:t>
      </w:r>
      <w:r>
        <w:t xml:space="preserve"> nahm die in Beantwortung des Rundschreibens E</w:t>
      </w:r>
      <w:r>
        <w:noBreakHyphen/>
        <w:t>21/106 vom 9. Juli 2021 eingegangenen Bemerkungen zu Dokument UPOV/EXN/DEN/1 Draft 5, das in Anlage II des Dokuments CAJ/78/11 wiedergegeben ist, und die in Dokument UPOV/EXN/DEN/1 Draft 6 vorgenommenen Änderungen in Reaktion auf diese Bemerkungen zur Kenntnis.</w:t>
      </w:r>
    </w:p>
    <w:p w:rsidR="0004482D" w:rsidRPr="0004482D" w:rsidRDefault="0004482D" w:rsidP="0004482D">
      <w:pPr>
        <w:rPr>
          <w:rFonts w:cs="Arial"/>
        </w:rPr>
      </w:pPr>
    </w:p>
    <w:p w:rsidR="0004482D" w:rsidRPr="0004482D" w:rsidRDefault="0004482D" w:rsidP="0004482D">
      <w:pPr>
        <w:keepLines/>
        <w:rPr>
          <w:rFonts w:eastAsia="SimSun" w:cs="Arial"/>
          <w:snapToGrid w:val="0"/>
          <w:spacing w:val="-2"/>
        </w:rPr>
      </w:pPr>
      <w:r w:rsidRPr="0004482D">
        <w:rPr>
          <w:rFonts w:eastAsia="SimSun" w:cs="Arial"/>
          <w:snapToGrid w:val="0"/>
        </w:rPr>
        <w:fldChar w:fldCharType="begin"/>
      </w:r>
      <w:r w:rsidRPr="0004482D">
        <w:rPr>
          <w:rFonts w:eastAsia="SimSun" w:cs="Arial"/>
          <w:snapToGrid w:val="0"/>
        </w:rPr>
        <w:instrText xml:space="preserve"> AUTONUM  </w:instrText>
      </w:r>
      <w:r w:rsidRPr="0004482D">
        <w:rPr>
          <w:rFonts w:eastAsia="SimSun" w:cs="Arial"/>
          <w:snapToGrid w:val="0"/>
        </w:rPr>
        <w:fldChar w:fldCharType="end"/>
      </w:r>
      <w:r>
        <w:rPr>
          <w:snapToGrid w:val="0"/>
        </w:rPr>
        <w:tab/>
        <w:t xml:space="preserve">Der CAJ </w:t>
      </w:r>
      <w:r>
        <w:t xml:space="preserve">billigte </w:t>
      </w:r>
      <w:r>
        <w:rPr>
          <w:snapToGrid w:val="0"/>
        </w:rPr>
        <w:t>die Überarbeitung von Dokument</w:t>
      </w:r>
      <w:r>
        <w:t xml:space="preserve"> UPOV/EXN/DEN „Erläuterungen zu Sortenbezeichnungen nach dem UPOV-Übereinkommen“</w:t>
      </w:r>
      <w:r w:rsidR="00B85754">
        <w:t xml:space="preserve"> auf der Grundlage von Dokument </w:t>
      </w:r>
      <w:r>
        <w:t>UPOV/EXN/DEN/1 Draft 6</w:t>
      </w:r>
      <w:r w:rsidR="00AE0687">
        <w:rPr>
          <w:snapToGrid w:val="0"/>
        </w:rPr>
        <w:t xml:space="preserve">. </w:t>
      </w:r>
    </w:p>
    <w:p w:rsidR="0004482D" w:rsidRPr="0004482D" w:rsidRDefault="0004482D" w:rsidP="0004482D">
      <w:pPr>
        <w:rPr>
          <w:rFonts w:cs="Arial"/>
        </w:rPr>
      </w:pPr>
    </w:p>
    <w:p w:rsidR="0004482D" w:rsidRPr="005C2E97" w:rsidRDefault="0004482D" w:rsidP="0004482D">
      <w:pPr>
        <w:keepLines/>
        <w:rPr>
          <w:rFonts w:cs="Arial"/>
        </w:rPr>
      </w:pPr>
      <w:r w:rsidRPr="0004482D">
        <w:rPr>
          <w:rFonts w:cs="Arial"/>
        </w:rPr>
        <w:fldChar w:fldCharType="begin"/>
      </w:r>
      <w:r w:rsidRPr="0004482D">
        <w:rPr>
          <w:rFonts w:cs="Arial"/>
        </w:rPr>
        <w:instrText xml:space="preserve"> AUTONUM  </w:instrText>
      </w:r>
      <w:r w:rsidRPr="0004482D">
        <w:rPr>
          <w:rFonts w:cs="Arial"/>
        </w:rPr>
        <w:fldChar w:fldCharType="end"/>
      </w:r>
      <w:r>
        <w:tab/>
      </w:r>
      <w:r w:rsidR="00AE0687">
        <w:t>Der CAJ vereinbarte, dass der Ra</w:t>
      </w:r>
      <w:r w:rsidR="00D43EA8">
        <w:t>t ersucht werden solle, im Jahr</w:t>
      </w:r>
      <w:r w:rsidR="00AE0687">
        <w:t xml:space="preserve"> 2021 die Überarbeitung des Dokuments UPOV/EXN/DEN/1 </w:t>
      </w:r>
      <w:r w:rsidR="00AE0687">
        <w:rPr>
          <w:snapToGrid w:val="0"/>
        </w:rPr>
        <w:t>„</w:t>
      </w:r>
      <w:r w:rsidR="00AE0687">
        <w:t>Erläuterungen zu Sortenbezeichnungen nach dem UPOV-Übereinkommen</w:t>
      </w:r>
      <w:r w:rsidR="00AE0687">
        <w:rPr>
          <w:snapToGrid w:val="0"/>
        </w:rPr>
        <w:t xml:space="preserve">“, wie in Dokument </w:t>
      </w:r>
      <w:r w:rsidR="00AE0687">
        <w:t xml:space="preserve">UPOV/EXN/DEN/1 Draft 6 </w:t>
      </w:r>
      <w:r w:rsidR="00AE0687">
        <w:rPr>
          <w:snapToGrid w:val="0"/>
        </w:rPr>
        <w:t>dargelegt,</w:t>
      </w:r>
      <w:r w:rsidR="00AE0687">
        <w:t xml:space="preserve"> anzunehmen. </w:t>
      </w:r>
    </w:p>
    <w:p w:rsidR="0004482D" w:rsidRPr="00970A22" w:rsidRDefault="0004482D" w:rsidP="00923899">
      <w:pPr>
        <w:rPr>
          <w:rFonts w:cs="Arial"/>
        </w:rPr>
      </w:pPr>
    </w:p>
    <w:p w:rsidR="008F2587" w:rsidRPr="00970A22" w:rsidRDefault="008F2587" w:rsidP="008F2587">
      <w:pPr>
        <w:pStyle w:val="Heading3"/>
        <w:rPr>
          <w:rFonts w:cs="Arial"/>
          <w:kern w:val="28"/>
        </w:rPr>
      </w:pPr>
      <w:bookmarkStart w:id="42" w:name="_Toc85539497"/>
      <w:r>
        <w:t>UPOV/EXN/EDV: Erläuterungen zu den im Wesentlichen abgeleiteten Sorten nach der Akte von 1991 des UPOV-Übereinkommens (Dokumente CAJ/78/4, C</w:t>
      </w:r>
      <w:r w:rsidR="00A25E98">
        <w:t xml:space="preserve">AJ/78/4 Add. und UPOV/EXN/EDV/3 </w:t>
      </w:r>
      <w:r>
        <w:t>Draft 2)</w:t>
      </w:r>
      <w:bookmarkEnd w:id="42"/>
    </w:p>
    <w:p w:rsidR="00923899" w:rsidRPr="00970A22" w:rsidRDefault="00923899" w:rsidP="00923899">
      <w:pPr>
        <w:rPr>
          <w:rFonts w:cs="Arial"/>
        </w:rPr>
      </w:pPr>
    </w:p>
    <w:p w:rsidR="00923899" w:rsidRPr="00970A22" w:rsidRDefault="00923899" w:rsidP="00923899">
      <w:pPr>
        <w:rPr>
          <w:rFonts w:cs="Arial"/>
          <w:spacing w:val="-2"/>
        </w:rPr>
      </w:pPr>
      <w:r w:rsidRPr="00970A22">
        <w:rPr>
          <w:rFonts w:cs="Arial"/>
        </w:rPr>
        <w:fldChar w:fldCharType="begin"/>
      </w:r>
      <w:r w:rsidRPr="00970A22">
        <w:rPr>
          <w:rFonts w:cs="Arial"/>
        </w:rPr>
        <w:instrText xml:space="preserve"> AUTONUM  </w:instrText>
      </w:r>
      <w:r w:rsidRPr="00970A22">
        <w:rPr>
          <w:rFonts w:cs="Arial"/>
        </w:rPr>
        <w:fldChar w:fldCharType="end"/>
      </w:r>
      <w:r>
        <w:tab/>
        <w:t xml:space="preserve">Der </w:t>
      </w:r>
      <w:r w:rsidR="00AE0687">
        <w:rPr>
          <w:snapToGrid w:val="0"/>
        </w:rPr>
        <w:t xml:space="preserve">CAJ </w:t>
      </w:r>
      <w:r w:rsidR="00AE0687">
        <w:t>nahm</w:t>
      </w:r>
      <w:r>
        <w:t xml:space="preserve"> zur Kenntnis, dass Angelegenheiten betreffend im Wesentlichen abgeleitete Sorten vom CAJ auf seiner achtundsiebzigsten Tagung geprüft werden würden.</w:t>
      </w:r>
    </w:p>
    <w:p w:rsidR="00923899" w:rsidRPr="00970A22" w:rsidRDefault="00923899" w:rsidP="00923899">
      <w:pPr>
        <w:rPr>
          <w:rFonts w:cs="Arial"/>
        </w:rPr>
      </w:pPr>
    </w:p>
    <w:p w:rsidR="00953203" w:rsidRPr="00970A22" w:rsidRDefault="00953203" w:rsidP="00923899">
      <w:pPr>
        <w:rPr>
          <w:rFonts w:cs="Arial"/>
        </w:rPr>
      </w:pPr>
    </w:p>
    <w:p w:rsidR="00923899" w:rsidRPr="00970A22" w:rsidRDefault="00923899" w:rsidP="00923899">
      <w:pPr>
        <w:pStyle w:val="Heading3"/>
        <w:rPr>
          <w:rFonts w:cs="Arial"/>
          <w:i w:val="0"/>
          <w:snapToGrid w:val="0"/>
          <w:u w:val="single"/>
        </w:rPr>
      </w:pPr>
      <w:bookmarkStart w:id="43" w:name="_Toc51935399"/>
      <w:bookmarkStart w:id="44" w:name="_Toc85539498"/>
      <w:r>
        <w:rPr>
          <w:i w:val="0"/>
          <w:snapToGrid w:val="0"/>
          <w:u w:val="single"/>
        </w:rPr>
        <w:t>Erntegut</w:t>
      </w:r>
      <w:bookmarkEnd w:id="43"/>
      <w:bookmarkEnd w:id="44"/>
      <w:r>
        <w:rPr>
          <w:i w:val="0"/>
          <w:snapToGrid w:val="0"/>
          <w:u w:val="single"/>
        </w:rPr>
        <w:t xml:space="preserve"> </w:t>
      </w:r>
    </w:p>
    <w:p w:rsidR="00923899" w:rsidRPr="00970A22" w:rsidRDefault="00923899" w:rsidP="00923899">
      <w:pPr>
        <w:rPr>
          <w:rFonts w:cs="Arial"/>
        </w:rPr>
      </w:pPr>
    </w:p>
    <w:p w:rsidR="00923899" w:rsidRPr="00970A22" w:rsidRDefault="00923899" w:rsidP="00923899">
      <w:pPr>
        <w:rPr>
          <w:rFonts w:cs="Arial"/>
          <w:spacing w:val="-2"/>
        </w:rPr>
      </w:pPr>
      <w:r w:rsidRPr="00970A22">
        <w:rPr>
          <w:rFonts w:cs="Arial"/>
        </w:rPr>
        <w:fldChar w:fldCharType="begin"/>
      </w:r>
      <w:r w:rsidRPr="00970A22">
        <w:rPr>
          <w:rFonts w:cs="Arial"/>
        </w:rPr>
        <w:instrText xml:space="preserve"> AUTONUM  </w:instrText>
      </w:r>
      <w:r w:rsidRPr="00970A22">
        <w:rPr>
          <w:rFonts w:cs="Arial"/>
        </w:rPr>
        <w:fldChar w:fldCharType="end"/>
      </w:r>
      <w:r>
        <w:tab/>
      </w:r>
      <w:r w:rsidRPr="00753E4B">
        <w:t xml:space="preserve">Der </w:t>
      </w:r>
      <w:r w:rsidRPr="00753E4B">
        <w:rPr>
          <w:snapToGrid w:val="0"/>
        </w:rPr>
        <w:t>CAJ</w:t>
      </w:r>
      <w:r w:rsidRPr="00753E4B">
        <w:t xml:space="preserve"> nahm zur Kenntnis, dass Angelegenheiten betreffend Erntegut in Dokument CAJ/78/5 geprüft wurden.</w:t>
      </w:r>
    </w:p>
    <w:p w:rsidR="00923899" w:rsidRPr="00970A22" w:rsidRDefault="00923899" w:rsidP="00923899">
      <w:pPr>
        <w:rPr>
          <w:rFonts w:cs="Arial"/>
        </w:rPr>
      </w:pPr>
    </w:p>
    <w:p w:rsidR="00923899" w:rsidRPr="00970A22" w:rsidRDefault="00923899" w:rsidP="00923899">
      <w:pPr>
        <w:rPr>
          <w:rFonts w:cs="Arial"/>
        </w:rPr>
      </w:pPr>
      <w:bookmarkStart w:id="45" w:name="_Toc522523025"/>
      <w:bookmarkStart w:id="46" w:name="_Toc14799995"/>
      <w:bookmarkStart w:id="47" w:name="_Toc51935401"/>
    </w:p>
    <w:p w:rsidR="00923899" w:rsidRPr="00970A22" w:rsidRDefault="00923899" w:rsidP="00923899">
      <w:pPr>
        <w:pStyle w:val="Heading2"/>
        <w:rPr>
          <w:rFonts w:cs="Arial"/>
        </w:rPr>
      </w:pPr>
      <w:bookmarkStart w:id="48" w:name="_Toc85539499"/>
      <w:r>
        <w:t>V</w:t>
      </w:r>
      <w:r w:rsidR="00637782">
        <w:t>orläufiges Programm für die Ausarbeitung von Anleitung und Informationsmaterial</w:t>
      </w:r>
      <w:bookmarkEnd w:id="45"/>
      <w:bookmarkEnd w:id="46"/>
      <w:bookmarkEnd w:id="47"/>
      <w:bookmarkEnd w:id="48"/>
    </w:p>
    <w:p w:rsidR="00923899" w:rsidRPr="00970A22" w:rsidRDefault="00923899" w:rsidP="00923899">
      <w:pPr>
        <w:rPr>
          <w:rFonts w:cs="Arial"/>
        </w:rPr>
      </w:pPr>
    </w:p>
    <w:p w:rsidR="00923899" w:rsidRPr="00970A22" w:rsidRDefault="00923899" w:rsidP="00923899">
      <w:pPr>
        <w:tabs>
          <w:tab w:val="left" w:pos="567"/>
        </w:tabs>
        <w:rPr>
          <w:rFonts w:eastAsiaTheme="minorEastAsia" w:cs="Arial"/>
        </w:rPr>
      </w:pPr>
      <w:r w:rsidRPr="00970A22">
        <w:rPr>
          <w:rFonts w:cs="Arial"/>
        </w:rPr>
        <w:fldChar w:fldCharType="begin"/>
      </w:r>
      <w:r w:rsidRPr="00970A22">
        <w:rPr>
          <w:rFonts w:cs="Arial"/>
        </w:rPr>
        <w:instrText xml:space="preserve"> AUTONUM  </w:instrText>
      </w:r>
      <w:r w:rsidRPr="00970A22">
        <w:rPr>
          <w:rFonts w:cs="Arial"/>
        </w:rPr>
        <w:fldChar w:fldCharType="end"/>
      </w:r>
      <w:r>
        <w:tab/>
        <w:t xml:space="preserve">Der CAJ billigte das Programm für die Ausarbeitung von Informationsmaterialien, wie in der Anlage zu Dokument CAJ/78/3 Rev. </w:t>
      </w:r>
      <w:r w:rsidR="00AE0687">
        <w:t>vorgeschlagen.</w:t>
      </w:r>
    </w:p>
    <w:p w:rsidR="00923899" w:rsidRPr="00970A22" w:rsidRDefault="00923899" w:rsidP="00923899">
      <w:pPr>
        <w:tabs>
          <w:tab w:val="left" w:pos="567"/>
        </w:tabs>
        <w:rPr>
          <w:rFonts w:eastAsiaTheme="minorEastAsia" w:cs="Arial"/>
        </w:rPr>
      </w:pPr>
    </w:p>
    <w:p w:rsidR="00923899" w:rsidRPr="00970A22" w:rsidRDefault="00923899" w:rsidP="00923899"/>
    <w:p w:rsidR="00923899" w:rsidRPr="00970A22" w:rsidRDefault="00923899" w:rsidP="00923899"/>
    <w:p w:rsidR="00923899" w:rsidRPr="00970A22" w:rsidRDefault="00923899" w:rsidP="002576E4">
      <w:pPr>
        <w:pStyle w:val="Heading1"/>
      </w:pPr>
      <w:bookmarkStart w:id="49" w:name="_Toc54097493"/>
      <w:bookmarkStart w:id="50" w:name="_Toc54097627"/>
      <w:bookmarkStart w:id="51" w:name="_Toc85539500"/>
      <w:r>
        <w:t>TAGESORDNUNGSPUNKT 8: Erntegut (</w:t>
      </w:r>
      <w:bookmarkEnd w:id="49"/>
      <w:bookmarkEnd w:id="50"/>
      <w:r>
        <w:rPr>
          <w:snapToGrid w:val="0"/>
        </w:rPr>
        <w:t>Dokument CAJ/78/5)</w:t>
      </w:r>
      <w:bookmarkEnd w:id="51"/>
    </w:p>
    <w:p w:rsidR="00923899" w:rsidRPr="00970A22" w:rsidRDefault="00923899" w:rsidP="002576E4">
      <w:pPr>
        <w:keepNext/>
        <w:ind w:left="567" w:hanging="567"/>
        <w:jc w:val="left"/>
      </w:pPr>
    </w:p>
    <w:p w:rsidR="00923899" w:rsidRPr="00970A22" w:rsidRDefault="00923899" w:rsidP="002576E4">
      <w:pPr>
        <w:ind w:left="567" w:hanging="567"/>
        <w:jc w:val="left"/>
        <w:rPr>
          <w:snapToGrid w:val="0"/>
        </w:rPr>
      </w:pPr>
      <w:r w:rsidRPr="00970A22">
        <w:fldChar w:fldCharType="begin"/>
      </w:r>
      <w:r w:rsidRPr="00970A22">
        <w:instrText xml:space="preserve"> AUTONUM  </w:instrText>
      </w:r>
      <w:r w:rsidRPr="00970A22">
        <w:fldChar w:fldCharType="end"/>
      </w:r>
      <w:r>
        <w:tab/>
      </w:r>
      <w:r>
        <w:rPr>
          <w:snapToGrid w:val="0"/>
        </w:rPr>
        <w:t>Der CAJ prüfte das Dokument CAJ/78/5.</w:t>
      </w:r>
    </w:p>
    <w:p w:rsidR="00923899" w:rsidRPr="00970A22" w:rsidRDefault="00923899" w:rsidP="002576E4">
      <w:pPr>
        <w:ind w:left="567" w:hanging="567"/>
      </w:pPr>
    </w:p>
    <w:p w:rsidR="003F44E6" w:rsidRPr="00753E4B" w:rsidRDefault="003F44E6" w:rsidP="002576E4">
      <w:r w:rsidRPr="00970A22">
        <w:fldChar w:fldCharType="begin"/>
      </w:r>
      <w:r w:rsidRPr="00970A22">
        <w:instrText xml:space="preserve"> AUTONUM  </w:instrText>
      </w:r>
      <w:r w:rsidRPr="00970A22">
        <w:fldChar w:fldCharType="end"/>
      </w:r>
      <w:r>
        <w:tab/>
        <w:t xml:space="preserve">Der </w:t>
      </w:r>
      <w:r>
        <w:rPr>
          <w:snapToGrid w:val="0"/>
        </w:rPr>
        <w:t xml:space="preserve">CAJ nahm die Entwicklungen betreffend Erntegut und ungenehmigte Benutzung von Vermehrungsmaterial, einschließlich der maßgeblichen Angelegenheiten bezüglich des „Seminars zum Züchterrecht in Bezug auf Erntegut“, wie in Absätzen 4 bis 16 </w:t>
      </w:r>
      <w:r w:rsidR="00753E4B">
        <w:rPr>
          <w:snapToGrid w:val="0"/>
        </w:rPr>
        <w:t>von Dokument CAJ/78/5</w:t>
      </w:r>
      <w:r>
        <w:rPr>
          <w:snapToGrid w:val="0"/>
        </w:rPr>
        <w:t xml:space="preserve"> dargelegt, zur </w:t>
      </w:r>
      <w:r w:rsidRPr="00753E4B">
        <w:rPr>
          <w:snapToGrid w:val="0"/>
        </w:rPr>
        <w:t xml:space="preserve">Kenntnis. </w:t>
      </w:r>
    </w:p>
    <w:p w:rsidR="00923899" w:rsidRPr="00753E4B" w:rsidRDefault="00923899" w:rsidP="002576E4"/>
    <w:p w:rsidR="001F32DA" w:rsidRPr="00970A22" w:rsidRDefault="00923899" w:rsidP="002576E4">
      <w:pPr>
        <w:keepNext/>
        <w:keepLines/>
        <w:rPr>
          <w:snapToGrid w:val="0"/>
          <w:spacing w:val="-2"/>
        </w:rPr>
      </w:pPr>
      <w:r w:rsidRPr="00753E4B">
        <w:fldChar w:fldCharType="begin"/>
      </w:r>
      <w:r w:rsidRPr="00753E4B">
        <w:instrText xml:space="preserve"> AUTONUM  </w:instrText>
      </w:r>
      <w:r w:rsidRPr="00753E4B">
        <w:fldChar w:fldCharType="end"/>
      </w:r>
      <w:r w:rsidRPr="00753E4B">
        <w:tab/>
        <w:t xml:space="preserve">Der </w:t>
      </w:r>
      <w:r w:rsidRPr="00753E4B">
        <w:rPr>
          <w:snapToGrid w:val="0"/>
        </w:rPr>
        <w:t>CAJ billigte die Vorschläge für ein Verfahren zur Überarbeitung einer maßgeblichen Anleitung wie folgt:</w:t>
      </w:r>
    </w:p>
    <w:p w:rsidR="001F32DA" w:rsidRPr="00970A22" w:rsidRDefault="001F32DA" w:rsidP="002576E4">
      <w:pPr>
        <w:keepNext/>
        <w:keepLines/>
        <w:rPr>
          <w:snapToGrid w:val="0"/>
          <w:spacing w:val="-2"/>
        </w:rPr>
      </w:pPr>
    </w:p>
    <w:p w:rsidR="001F32DA" w:rsidRPr="00970A22" w:rsidRDefault="001F32DA" w:rsidP="002576E4">
      <w:pPr>
        <w:keepLines/>
        <w:ind w:left="567" w:firstLine="567"/>
        <w:rPr>
          <w:snapToGrid w:val="0"/>
          <w:spacing w:val="-2"/>
        </w:rPr>
      </w:pPr>
      <w:r>
        <w:rPr>
          <w:snapToGrid w:val="0"/>
        </w:rPr>
        <w:t xml:space="preserve">i) </w:t>
      </w:r>
      <w:r>
        <w:rPr>
          <w:snapToGrid w:val="0"/>
        </w:rPr>
        <w:tab/>
        <w:t>er vereinbarte, eine Überarbeitung der „Erläuterungen zu Handlungen in Bezug auf Erntegut nach der Akte von 1991 des UPOV Übereinkommens“ (Dokument UPOV/EXN/HRV/1), „Erläuterungen zu Vermehrungsmaterial nach dem UPOV-Übereinkommen“ (UPOV/EXN/PPM/1) und „Erläuterungen zum vorläufigen Schutz nach dem UPOV-Übereinkommen“ (UPOV/EXN/PRP/2) einzuleiten;</w:t>
      </w:r>
    </w:p>
    <w:p w:rsidR="001F32DA" w:rsidRPr="00970A22" w:rsidRDefault="001F32DA" w:rsidP="002576E4">
      <w:pPr>
        <w:ind w:left="567"/>
        <w:rPr>
          <w:snapToGrid w:val="0"/>
          <w:spacing w:val="-2"/>
        </w:rPr>
      </w:pPr>
    </w:p>
    <w:p w:rsidR="001F32DA" w:rsidRPr="00970A22" w:rsidRDefault="001F32DA" w:rsidP="002576E4">
      <w:pPr>
        <w:ind w:left="567" w:firstLine="567"/>
        <w:rPr>
          <w:snapToGrid w:val="0"/>
          <w:spacing w:val="-2"/>
        </w:rPr>
      </w:pPr>
      <w:r>
        <w:rPr>
          <w:snapToGrid w:val="0"/>
        </w:rPr>
        <w:t xml:space="preserve">ii) </w:t>
      </w:r>
      <w:r>
        <w:rPr>
          <w:snapToGrid w:val="0"/>
        </w:rPr>
        <w:tab/>
        <w:t>er vereinbarte, eine Arbeitsgruppe für Erntegut und ungenehmigte Benutzung von Vermehrungsmaterial (WG-HRV) einzurichten;</w:t>
      </w:r>
    </w:p>
    <w:p w:rsidR="001F32DA" w:rsidRPr="00970A22" w:rsidRDefault="001F32DA" w:rsidP="002576E4">
      <w:pPr>
        <w:ind w:left="567"/>
        <w:rPr>
          <w:snapToGrid w:val="0"/>
          <w:spacing w:val="-2"/>
        </w:rPr>
      </w:pPr>
    </w:p>
    <w:p w:rsidR="001F32DA" w:rsidRPr="00970A22" w:rsidRDefault="001F32DA" w:rsidP="002576E4">
      <w:pPr>
        <w:ind w:left="567" w:firstLine="567"/>
        <w:rPr>
          <w:snapToGrid w:val="0"/>
          <w:spacing w:val="-2"/>
        </w:rPr>
      </w:pPr>
      <w:r>
        <w:rPr>
          <w:snapToGrid w:val="0"/>
        </w:rPr>
        <w:t xml:space="preserve">iii) </w:t>
      </w:r>
      <w:r>
        <w:rPr>
          <w:snapToGrid w:val="0"/>
        </w:rPr>
        <w:tab/>
        <w:t xml:space="preserve">er billigte die Aufgabendefinition (ToR) der WG-HRV, wie in der Anlage dieses Dokuments dargelegt; </w:t>
      </w:r>
    </w:p>
    <w:p w:rsidR="001F32DA" w:rsidRPr="00970A22" w:rsidRDefault="001F32DA" w:rsidP="002576E4">
      <w:pPr>
        <w:ind w:left="567"/>
        <w:rPr>
          <w:snapToGrid w:val="0"/>
          <w:spacing w:val="-2"/>
        </w:rPr>
      </w:pPr>
    </w:p>
    <w:p w:rsidR="001F32DA" w:rsidRPr="00970A22" w:rsidRDefault="001F32DA" w:rsidP="002576E4">
      <w:pPr>
        <w:ind w:left="567" w:firstLine="567"/>
        <w:rPr>
          <w:snapToGrid w:val="0"/>
          <w:spacing w:val="-2"/>
        </w:rPr>
      </w:pPr>
      <w:r>
        <w:rPr>
          <w:snapToGrid w:val="0"/>
        </w:rPr>
        <w:t xml:space="preserve">iv) </w:t>
      </w:r>
      <w:r>
        <w:rPr>
          <w:snapToGrid w:val="0"/>
        </w:rPr>
        <w:tab/>
        <w:t>er ersuchte das Verbandsbüro, ein Rundschreiben herauszugeben, um Verbandsmitglieder und Beobachter des CAJ zu ersuchen, ihr Interesse an einer Teilnahme an der WG-HRV zu bekunden; und</w:t>
      </w:r>
    </w:p>
    <w:p w:rsidR="001F32DA" w:rsidRPr="00970A22" w:rsidRDefault="001F32DA" w:rsidP="002576E4">
      <w:pPr>
        <w:ind w:left="567"/>
        <w:rPr>
          <w:snapToGrid w:val="0"/>
          <w:spacing w:val="-2"/>
        </w:rPr>
      </w:pPr>
    </w:p>
    <w:p w:rsidR="00923899" w:rsidRDefault="001F32DA" w:rsidP="002576E4">
      <w:pPr>
        <w:ind w:left="567" w:firstLine="567"/>
        <w:rPr>
          <w:snapToGrid w:val="0"/>
          <w:spacing w:val="-2"/>
        </w:rPr>
      </w:pPr>
      <w:r>
        <w:rPr>
          <w:snapToGrid w:val="0"/>
        </w:rPr>
        <w:t xml:space="preserve">v) </w:t>
      </w:r>
      <w:r>
        <w:rPr>
          <w:snapToGrid w:val="0"/>
        </w:rPr>
        <w:tab/>
        <w:t>er nahm zur Kenntnis, dass der CAJ auf seiner achtundsiebzigsten Tagung einen Bericht über die Antworten auf das Rundschreiben mit den Interessenbekundungen an der Mitwirkung an der WG-HRV erhalten wird, mit einem Gesuch an den CAJ, deren Zusammensetzung und den Termin für deren erste Sitzung zu vereinbaren.</w:t>
      </w:r>
    </w:p>
    <w:p w:rsidR="004759EF" w:rsidRDefault="004759EF" w:rsidP="002576E4">
      <w:pPr>
        <w:ind w:left="567" w:firstLine="567"/>
        <w:rPr>
          <w:snapToGrid w:val="0"/>
          <w:spacing w:val="-2"/>
        </w:rPr>
      </w:pPr>
    </w:p>
    <w:p w:rsidR="00923899" w:rsidRDefault="004759EF" w:rsidP="002576E4">
      <w:pPr>
        <w:keepLines/>
        <w:rPr>
          <w:spacing w:val="-2"/>
        </w:rPr>
      </w:pPr>
      <w:r>
        <w:rPr>
          <w:snapToGrid w:val="0"/>
        </w:rPr>
        <w:fldChar w:fldCharType="begin"/>
      </w:r>
      <w:r>
        <w:rPr>
          <w:snapToGrid w:val="0"/>
        </w:rPr>
        <w:instrText xml:space="preserve"> AUTONUM  </w:instrText>
      </w:r>
      <w:r>
        <w:rPr>
          <w:snapToGrid w:val="0"/>
        </w:rPr>
        <w:fldChar w:fldCharType="end"/>
      </w:r>
      <w:r>
        <w:rPr>
          <w:snapToGrid w:val="0"/>
        </w:rPr>
        <w:tab/>
        <w:t>In Übereinstimmung mit dem obigen Ersuchen des CAJ wurde das UPOV-Rundschreiben E-21/157 vom 23. September 2021 mit einer Aufforderung an die Verbandsmitglieder und Beobachter des CAJ herausgegeben, bis zum 22. Oktober 2021 ihr Interesse an einer Mitgliedschaft in der WG-HRV zu bekunden</w:t>
      </w:r>
      <w:bookmarkStart w:id="52" w:name="_Toc54097494"/>
      <w:bookmarkStart w:id="53" w:name="_Toc54097628"/>
      <w:r w:rsidR="00AE0687">
        <w:rPr>
          <w:snapToGrid w:val="0"/>
        </w:rPr>
        <w:t xml:space="preserve">. </w:t>
      </w:r>
      <w:r>
        <w:rPr>
          <w:snapToGrid w:val="0"/>
        </w:rPr>
        <w:t xml:space="preserve">Der CAJ wird auf seiner achtundsiebzigsten Tagung </w:t>
      </w:r>
      <w:r>
        <w:t xml:space="preserve">ersucht werden, </w:t>
      </w:r>
      <w:r w:rsidR="00AE0687">
        <w:t>den Bericht</w:t>
      </w:r>
      <w:r>
        <w:t xml:space="preserve"> über die Antworten auf das Rundschreiben mit den Interessenbekundungen an der Mitwirkung an der WG-HRV, mit einem Gesuch an den CAJ</w:t>
      </w:r>
      <w:r>
        <w:rPr>
          <w:snapToGrid w:val="0"/>
        </w:rPr>
        <w:t xml:space="preserve">, deren Zusammensetzung und den Termin für deren erste Sitzung zu vereinbaren, wie in Dokument CAJ/78/5 Add. </w:t>
      </w:r>
      <w:r w:rsidR="001A6BA3">
        <w:rPr>
          <w:snapToGrid w:val="0"/>
        </w:rPr>
        <w:t>d</w:t>
      </w:r>
      <w:r>
        <w:rPr>
          <w:snapToGrid w:val="0"/>
        </w:rPr>
        <w:t>argelegt</w:t>
      </w:r>
      <w:r w:rsidR="00CA6323">
        <w:rPr>
          <w:snapToGrid w:val="0"/>
        </w:rPr>
        <w:t>,</w:t>
      </w:r>
      <w:r w:rsidR="00D43EA8">
        <w:rPr>
          <w:snapToGrid w:val="0"/>
        </w:rPr>
        <w:t xml:space="preserve"> zu prüfen</w:t>
      </w:r>
      <w:r>
        <w:t xml:space="preserve">. </w:t>
      </w:r>
    </w:p>
    <w:p w:rsidR="002576E4" w:rsidRDefault="002576E4" w:rsidP="00575525">
      <w:pPr>
        <w:rPr>
          <w:spacing w:val="-2"/>
        </w:rPr>
      </w:pPr>
    </w:p>
    <w:p w:rsidR="00575525" w:rsidRDefault="00575525" w:rsidP="00575525">
      <w:pPr>
        <w:rPr>
          <w:spacing w:val="-2"/>
        </w:rPr>
      </w:pPr>
    </w:p>
    <w:p w:rsidR="00575525" w:rsidRDefault="004B1505" w:rsidP="00575525">
      <w:pPr>
        <w:pStyle w:val="Heading2"/>
      </w:pPr>
      <w:bookmarkStart w:id="54" w:name="_Toc85539501"/>
      <w:r>
        <w:t xml:space="preserve">Bemerkungen der </w:t>
      </w:r>
      <w:r w:rsidR="00575525">
        <w:t>Europäische</w:t>
      </w:r>
      <w:r w:rsidR="00D43EA8">
        <w:t>n</w:t>
      </w:r>
      <w:r w:rsidR="00575525">
        <w:t xml:space="preserve"> Union</w:t>
      </w:r>
      <w:bookmarkEnd w:id="54"/>
    </w:p>
    <w:p w:rsidR="00575525" w:rsidRDefault="00575525" w:rsidP="00575525">
      <w:pPr>
        <w:rPr>
          <w:spacing w:val="-2"/>
        </w:rPr>
      </w:pPr>
    </w:p>
    <w:p w:rsidR="002576E4" w:rsidRPr="00A03282" w:rsidRDefault="002576E4" w:rsidP="002576E4">
      <w:pPr>
        <w:pStyle w:val="TableParagraph"/>
        <w:keepNext/>
        <w:keepLines/>
        <w:jc w:val="both"/>
        <w:rPr>
          <w:rFonts w:ascii="Arial" w:hAnsi="Arial"/>
          <w:spacing w:val="-2"/>
          <w:sz w:val="20"/>
          <w:szCs w:val="20"/>
        </w:rPr>
      </w:pPr>
      <w:r w:rsidRPr="00753E4B">
        <w:rPr>
          <w:rFonts w:ascii="Arial" w:hAnsi="Arial"/>
          <w:sz w:val="20"/>
        </w:rPr>
        <w:fldChar w:fldCharType="begin"/>
      </w:r>
      <w:r w:rsidRPr="00753E4B">
        <w:rPr>
          <w:rFonts w:ascii="Arial" w:hAnsi="Arial"/>
          <w:sz w:val="20"/>
        </w:rPr>
        <w:instrText xml:space="preserve"> AUTONUM  </w:instrText>
      </w:r>
      <w:r w:rsidRPr="00753E4B">
        <w:rPr>
          <w:rFonts w:ascii="Arial" w:hAnsi="Arial"/>
          <w:sz w:val="20"/>
        </w:rPr>
        <w:fldChar w:fldCharType="end"/>
      </w:r>
      <w:r w:rsidRPr="00753E4B">
        <w:rPr>
          <w:rFonts w:ascii="Arial" w:hAnsi="Arial"/>
          <w:sz w:val="20"/>
        </w:rPr>
        <w:tab/>
        <w:t>In Beantwor</w:t>
      </w:r>
      <w:r>
        <w:rPr>
          <w:rFonts w:ascii="Arial" w:hAnsi="Arial"/>
          <w:sz w:val="20"/>
        </w:rPr>
        <w:t>tung des Rundschreibens E-21/123 vom 23. August 2021 gingen von der Europäischen Union die folgenden Bemerkungen zu Dokument CAJ/78/5 ein:</w:t>
      </w:r>
    </w:p>
    <w:p w:rsidR="002576E4" w:rsidRPr="00A03282" w:rsidRDefault="002576E4" w:rsidP="002576E4">
      <w:pPr>
        <w:pStyle w:val="TableParagraph"/>
        <w:keepNext/>
        <w:keepLines/>
        <w:ind w:left="562" w:right="562"/>
        <w:rPr>
          <w:rFonts w:ascii="Arial" w:hAnsi="Arial" w:cs="Arial"/>
          <w:sz w:val="20"/>
          <w:szCs w:val="18"/>
        </w:rPr>
      </w:pPr>
    </w:p>
    <w:p w:rsidR="002576E4" w:rsidRPr="00A03282" w:rsidRDefault="002576E4" w:rsidP="002576E4">
      <w:pPr>
        <w:pStyle w:val="TableParagraph"/>
        <w:ind w:left="562" w:right="562"/>
        <w:jc w:val="both"/>
        <w:rPr>
          <w:rFonts w:ascii="Arial" w:hAnsi="Arial" w:cs="Arial"/>
          <w:spacing w:val="-4"/>
          <w:sz w:val="18"/>
          <w:szCs w:val="18"/>
        </w:rPr>
      </w:pPr>
      <w:r>
        <w:rPr>
          <w:rFonts w:ascii="Arial" w:hAnsi="Arial"/>
          <w:sz w:val="18"/>
        </w:rPr>
        <w:t>„Die EU und ihre Mitgliedstaaten möchten sich für das sehr informative Seminar über Erntegut bedanken, insbesondere im Zusammenhang mit der Rechtssache des Europäischen Gerichtshofs über Obstbäume („Nadorcott“). Es scheint, dass in erster Linie der vorläufige Schutz und die unerlaubte Verwendung von Vermehrungsmaterial in ihrer derzeitigen Form geprüft und bewertet werden sollten. Wir möchten betonen, dass im Falle des Diebstahls von Vermehrungsmaterial in erster Linie das nationale Strafrecht Anwendung finden sollte.“</w:t>
      </w:r>
    </w:p>
    <w:p w:rsidR="002576E4" w:rsidRPr="00A03282" w:rsidRDefault="002576E4" w:rsidP="002576E4">
      <w:pPr>
        <w:pStyle w:val="TableParagraph"/>
        <w:ind w:right="90"/>
        <w:jc w:val="both"/>
        <w:rPr>
          <w:rFonts w:ascii="Arial" w:hAnsi="Arial"/>
          <w:sz w:val="20"/>
          <w:szCs w:val="20"/>
        </w:rPr>
      </w:pPr>
    </w:p>
    <w:p w:rsidR="002576E4" w:rsidRDefault="002576E4" w:rsidP="00233B9F">
      <w:pPr>
        <w:pStyle w:val="TableParagraph"/>
        <w:keepLines/>
        <w:jc w:val="both"/>
        <w:rPr>
          <w:rFonts w:ascii="Arial" w:hAnsi="Arial"/>
          <w:sz w:val="20"/>
        </w:rPr>
      </w:pPr>
      <w:r w:rsidRPr="00A03282">
        <w:rPr>
          <w:rFonts w:ascii="Arial" w:hAnsi="Arial"/>
          <w:sz w:val="20"/>
        </w:rPr>
        <w:lastRenderedPageBreak/>
        <w:fldChar w:fldCharType="begin"/>
      </w:r>
      <w:r w:rsidRPr="00A03282">
        <w:rPr>
          <w:rFonts w:ascii="Arial" w:hAnsi="Arial"/>
          <w:sz w:val="20"/>
        </w:rPr>
        <w:instrText xml:space="preserve"> AUTONUM  </w:instrText>
      </w:r>
      <w:r w:rsidRPr="00A03282">
        <w:rPr>
          <w:rFonts w:ascii="Arial" w:hAnsi="Arial"/>
          <w:sz w:val="20"/>
        </w:rPr>
        <w:fldChar w:fldCharType="end"/>
      </w:r>
      <w:r>
        <w:rPr>
          <w:rFonts w:ascii="Arial" w:hAnsi="Arial"/>
          <w:sz w:val="20"/>
        </w:rPr>
        <w:tab/>
        <w:t>Das Verbandsbüro schlug vo</w:t>
      </w:r>
      <w:bookmarkStart w:id="55" w:name="_GoBack"/>
      <w:bookmarkEnd w:id="55"/>
      <w:r>
        <w:rPr>
          <w:rFonts w:ascii="Arial" w:hAnsi="Arial"/>
          <w:sz w:val="20"/>
        </w:rPr>
        <w:t>r, dass die Europäische Union die oben genannten Bemerkungen in der WG</w:t>
      </w:r>
      <w:r>
        <w:rPr>
          <w:rFonts w:ascii="Arial" w:hAnsi="Arial"/>
          <w:sz w:val="20"/>
        </w:rPr>
        <w:noBreakHyphen/>
        <w:t>HRV vorbringen sollte.</w:t>
      </w:r>
    </w:p>
    <w:p w:rsidR="004B1505" w:rsidRDefault="004B1505" w:rsidP="002576E4">
      <w:pPr>
        <w:pStyle w:val="TableParagraph"/>
        <w:jc w:val="both"/>
        <w:rPr>
          <w:rFonts w:ascii="Arial" w:hAnsi="Arial"/>
          <w:sz w:val="20"/>
          <w:szCs w:val="20"/>
        </w:rPr>
      </w:pPr>
    </w:p>
    <w:p w:rsidR="0040391B" w:rsidRPr="004B1505" w:rsidRDefault="004B1505" w:rsidP="0040391B">
      <w:pPr>
        <w:pStyle w:val="DecisionParagraphs"/>
      </w:pPr>
      <w:r w:rsidRPr="002C4A30">
        <w:rPr>
          <w:i w:val="0"/>
          <w:lang w:eastAsia="zh-CN"/>
        </w:rPr>
        <w:fldChar w:fldCharType="begin"/>
      </w:r>
      <w:r w:rsidRPr="0040391B">
        <w:rPr>
          <w:lang w:eastAsia="zh-CN"/>
        </w:rPr>
        <w:instrText xml:space="preserve"> AUTONUM  </w:instrText>
      </w:r>
      <w:r w:rsidRPr="002C4A30">
        <w:rPr>
          <w:i w:val="0"/>
          <w:lang w:eastAsia="zh-CN"/>
        </w:rPr>
        <w:fldChar w:fldCharType="end"/>
      </w:r>
      <w:r w:rsidR="0040391B">
        <w:tab/>
        <w:t>Der CAJ wird ersucht, die Billigung der in den folgenden Dokumenten enthaltenen Entscheidungen auf dem Schriftweg vom 21. September 2021 zur Kenntnis zu nehmen:</w:t>
      </w:r>
    </w:p>
    <w:p w:rsidR="0040391B" w:rsidRPr="0040391B" w:rsidRDefault="0040391B" w:rsidP="0040391B">
      <w:pPr>
        <w:pStyle w:val="DecisionParagraphs"/>
      </w:pPr>
    </w:p>
    <w:p w:rsidR="0040391B" w:rsidRPr="004B1505" w:rsidRDefault="0040391B" w:rsidP="0040391B">
      <w:pPr>
        <w:pStyle w:val="DecisionParagraphs"/>
        <w:spacing w:after="120"/>
        <w:ind w:left="4824"/>
      </w:pPr>
      <w:r>
        <w:tab/>
        <w:t>Ausarbeitung von Anleitung und Informationsmaterial (Dokument CAJ/78/3 Rev.);</w:t>
      </w:r>
    </w:p>
    <w:p w:rsidR="0040391B" w:rsidRPr="004B1505" w:rsidRDefault="0040391B" w:rsidP="0040391B">
      <w:pPr>
        <w:tabs>
          <w:tab w:val="left" w:pos="5387"/>
          <w:tab w:val="left" w:pos="5954"/>
        </w:tabs>
        <w:spacing w:after="120"/>
        <w:ind w:left="5400"/>
        <w:rPr>
          <w:i/>
        </w:rPr>
      </w:pPr>
      <w:r>
        <w:rPr>
          <w:i/>
        </w:rPr>
        <w:tab/>
        <w:t>UPOV/INF/16:</w:t>
      </w:r>
      <w:r>
        <w:rPr>
          <w:i/>
        </w:rPr>
        <w:tab/>
        <w:t>Austauschbare Software (Überarbeitung) (Dokument UPOV/INF</w:t>
      </w:r>
      <w:r w:rsidR="00CA6323">
        <w:rPr>
          <w:i/>
        </w:rPr>
        <w:t>/16/10 </w:t>
      </w:r>
      <w:r>
        <w:rPr>
          <w:i/>
        </w:rPr>
        <w:t>Draft 2)</w:t>
      </w:r>
    </w:p>
    <w:p w:rsidR="0040391B" w:rsidRPr="004B1505" w:rsidRDefault="0040391B" w:rsidP="0040391B">
      <w:pPr>
        <w:tabs>
          <w:tab w:val="left" w:pos="5387"/>
          <w:tab w:val="left" w:pos="5954"/>
        </w:tabs>
        <w:spacing w:after="120"/>
        <w:ind w:left="5400"/>
        <w:rPr>
          <w:i/>
        </w:rPr>
      </w:pPr>
      <w:r>
        <w:rPr>
          <w:i/>
        </w:rPr>
        <w:tab/>
        <w:t>UPOV/INF/17:</w:t>
      </w:r>
      <w:r>
        <w:rPr>
          <w:i/>
        </w:rPr>
        <w:tab/>
        <w:t>Richtlinien für die DNS</w:t>
      </w:r>
      <w:r>
        <w:rPr>
          <w:i/>
        </w:rPr>
        <w:noBreakHyphen/>
        <w:t>Profilierung: Auswahl molekularer Marker und Aufbau von Datenbanken (</w:t>
      </w:r>
      <w:r w:rsidR="00753E4B">
        <w:rPr>
          <w:i/>
        </w:rPr>
        <w:t>„BMT</w:t>
      </w:r>
      <w:r w:rsidR="00753E4B">
        <w:rPr>
          <w:i/>
        </w:rPr>
        <w:noBreakHyphen/>
      </w:r>
      <w:r>
        <w:rPr>
          <w:i/>
        </w:rPr>
        <w:t>Richtlin</w:t>
      </w:r>
      <w:r w:rsidR="00D6430D">
        <w:rPr>
          <w:i/>
        </w:rPr>
        <w:t>ien“) (Überarbeitung) (Dokument </w:t>
      </w:r>
      <w:r>
        <w:rPr>
          <w:i/>
        </w:rPr>
        <w:t>UPOV/INF/17/2 Draft 6)</w:t>
      </w:r>
    </w:p>
    <w:p w:rsidR="0040391B" w:rsidRPr="004B1505" w:rsidRDefault="0040391B" w:rsidP="0040391B">
      <w:pPr>
        <w:tabs>
          <w:tab w:val="left" w:pos="5387"/>
          <w:tab w:val="left" w:pos="5954"/>
        </w:tabs>
        <w:spacing w:after="120"/>
        <w:ind w:left="5400"/>
        <w:rPr>
          <w:i/>
        </w:rPr>
      </w:pPr>
      <w:r>
        <w:rPr>
          <w:i/>
        </w:rPr>
        <w:tab/>
        <w:t>UPOV/INF/22:</w:t>
      </w:r>
      <w:r>
        <w:rPr>
          <w:i/>
        </w:rPr>
        <w:tab/>
        <w:t>Von Verbandsmitgliedern verwendete Software und Ausrüstung (Überarb</w:t>
      </w:r>
      <w:r w:rsidR="00D6430D">
        <w:rPr>
          <w:i/>
        </w:rPr>
        <w:t>eitung) (Dokument UPOV/INF/22/8 </w:t>
      </w:r>
      <w:r>
        <w:rPr>
          <w:i/>
        </w:rPr>
        <w:t>Draft 2)</w:t>
      </w:r>
    </w:p>
    <w:p w:rsidR="0040391B" w:rsidRPr="004B1505" w:rsidRDefault="0040391B" w:rsidP="0040391B">
      <w:pPr>
        <w:tabs>
          <w:tab w:val="left" w:pos="5387"/>
          <w:tab w:val="left" w:pos="5954"/>
        </w:tabs>
        <w:spacing w:after="120"/>
        <w:ind w:left="5400"/>
        <w:rPr>
          <w:i/>
        </w:rPr>
      </w:pPr>
      <w:r>
        <w:rPr>
          <w:i/>
        </w:rPr>
        <w:tab/>
        <w:t>UPOV/INF/23:</w:t>
      </w:r>
      <w:r>
        <w:rPr>
          <w:i/>
        </w:rPr>
        <w:tab/>
        <w:t>UPOV-Code-System (Dokument UPOV/INF/23/1 Draft 3)</w:t>
      </w:r>
    </w:p>
    <w:p w:rsidR="0040391B" w:rsidRPr="004B1505" w:rsidRDefault="0040391B" w:rsidP="0040391B">
      <w:pPr>
        <w:keepNext/>
        <w:tabs>
          <w:tab w:val="left" w:pos="5387"/>
          <w:tab w:val="left" w:pos="5954"/>
        </w:tabs>
        <w:spacing w:after="120"/>
        <w:ind w:left="4824"/>
        <w:rPr>
          <w:i/>
        </w:rPr>
      </w:pPr>
      <w:r>
        <w:rPr>
          <w:i/>
        </w:rPr>
        <w:tab/>
        <w:t>Erläuterungen zu Sortenbezeichnungen nach dem UPOV-Übereinkommen (Dokument CAJ/78/11)</w:t>
      </w:r>
    </w:p>
    <w:p w:rsidR="0040391B" w:rsidRPr="004B1505" w:rsidRDefault="0040391B" w:rsidP="0040391B">
      <w:pPr>
        <w:keepLines/>
        <w:tabs>
          <w:tab w:val="left" w:pos="5387"/>
          <w:tab w:val="left" w:pos="5954"/>
        </w:tabs>
        <w:spacing w:after="120"/>
        <w:ind w:left="5400"/>
        <w:rPr>
          <w:i/>
        </w:rPr>
      </w:pPr>
      <w:r>
        <w:rPr>
          <w:i/>
        </w:rPr>
        <w:tab/>
        <w:t>UPOV/EXN/DEN:</w:t>
      </w:r>
      <w:r>
        <w:rPr>
          <w:i/>
        </w:rPr>
        <w:tab/>
        <w:t>Erläuterungen zu So</w:t>
      </w:r>
      <w:r w:rsidR="00753E4B">
        <w:rPr>
          <w:i/>
        </w:rPr>
        <w:t>rtenbezeichnungen nach dem UPOV</w:t>
      </w:r>
      <w:r w:rsidR="00753E4B">
        <w:rPr>
          <w:i/>
        </w:rPr>
        <w:noBreakHyphen/>
      </w:r>
      <w:r>
        <w:rPr>
          <w:i/>
        </w:rPr>
        <w:t>Überein</w:t>
      </w:r>
      <w:r w:rsidR="00CA6323">
        <w:rPr>
          <w:i/>
        </w:rPr>
        <w:t>kommen (Dokument </w:t>
      </w:r>
      <w:r w:rsidR="00D6430D">
        <w:rPr>
          <w:i/>
        </w:rPr>
        <w:t>UPOV/EXN/DEN/1 </w:t>
      </w:r>
      <w:r>
        <w:rPr>
          <w:i/>
        </w:rPr>
        <w:t>Draft 6)</w:t>
      </w:r>
    </w:p>
    <w:p w:rsidR="0040391B" w:rsidRPr="004B1505" w:rsidRDefault="0040391B" w:rsidP="0040391B">
      <w:pPr>
        <w:tabs>
          <w:tab w:val="left" w:pos="5387"/>
          <w:tab w:val="left" w:pos="5954"/>
        </w:tabs>
        <w:spacing w:after="120"/>
        <w:ind w:left="4820"/>
        <w:rPr>
          <w:i/>
        </w:rPr>
      </w:pPr>
      <w:r>
        <w:rPr>
          <w:i/>
        </w:rPr>
        <w:tab/>
        <w:t>Erntegut (Dokument CAJ/78/5).</w:t>
      </w:r>
    </w:p>
    <w:p w:rsidR="0040391B" w:rsidRPr="0040391B" w:rsidRDefault="0040391B" w:rsidP="0040391B">
      <w:pPr>
        <w:tabs>
          <w:tab w:val="left" w:pos="5387"/>
          <w:tab w:val="left" w:pos="5954"/>
        </w:tabs>
        <w:ind w:left="4820"/>
        <w:rPr>
          <w:i/>
        </w:rPr>
      </w:pPr>
    </w:p>
    <w:p w:rsidR="0040391B" w:rsidRPr="004B1505" w:rsidRDefault="0040391B" w:rsidP="0040391B">
      <w:pPr>
        <w:pStyle w:val="DecisionParagraphs"/>
        <w:rPr>
          <w:spacing w:val="2"/>
        </w:rPr>
      </w:pPr>
      <w:r w:rsidRPr="00334DE0">
        <w:fldChar w:fldCharType="begin"/>
      </w:r>
      <w:r w:rsidRPr="004B1505">
        <w:instrText xml:space="preserve"> AUTONUM  </w:instrText>
      </w:r>
      <w:r w:rsidRPr="00334DE0">
        <w:fldChar w:fldCharType="end"/>
      </w:r>
      <w:r>
        <w:tab/>
        <w:t xml:space="preserve">Der CAJ wird ersucht, die in Beantwortung des Rundschreibens E-21/123 vom 23. August 2021 eingegangenen Bemerkungen zu Dokument CAJ/78/5 „Erntegut“, die nicht zu einer Überarbeitung von Dokument CAJ/78/5 geführt haben, zur Kenntnis zu nehmen (vergleiche </w:t>
      </w:r>
      <w:r w:rsidRPr="00753E4B">
        <w:t>Absatz 33).</w:t>
      </w:r>
    </w:p>
    <w:p w:rsidR="004B1505" w:rsidRPr="0040391B" w:rsidRDefault="004B1505" w:rsidP="0040391B">
      <w:pPr>
        <w:pStyle w:val="DecisionParagraphs"/>
        <w:rPr>
          <w:spacing w:val="2"/>
        </w:rPr>
      </w:pPr>
    </w:p>
    <w:p w:rsidR="004B1505" w:rsidRPr="0040391B" w:rsidRDefault="004B1505" w:rsidP="002576E4">
      <w:pPr>
        <w:pStyle w:val="TableParagraph"/>
        <w:jc w:val="both"/>
        <w:rPr>
          <w:rFonts w:ascii="Arial" w:hAnsi="Arial"/>
          <w:sz w:val="20"/>
          <w:szCs w:val="20"/>
        </w:rPr>
      </w:pPr>
    </w:p>
    <w:p w:rsidR="002576E4" w:rsidRPr="0040391B" w:rsidRDefault="002576E4" w:rsidP="004759EF">
      <w:pPr>
        <w:keepNext/>
        <w:keepLines/>
        <w:ind w:left="567"/>
        <w:rPr>
          <w:spacing w:val="-2"/>
        </w:rPr>
      </w:pPr>
    </w:p>
    <w:bookmarkEnd w:id="52"/>
    <w:bookmarkEnd w:id="53"/>
    <w:p w:rsidR="0043467F" w:rsidRPr="0040391B" w:rsidRDefault="0043467F" w:rsidP="0043467F">
      <w:pPr>
        <w:rPr>
          <w:spacing w:val="-2"/>
        </w:rPr>
      </w:pPr>
    </w:p>
    <w:p w:rsidR="0068387F" w:rsidRDefault="0043467F" w:rsidP="00970A22">
      <w:pPr>
        <w:jc w:val="right"/>
        <w:sectPr w:rsidR="0068387F" w:rsidSect="0043467F">
          <w:headerReference w:type="default" r:id="rId10"/>
          <w:pgSz w:w="11907" w:h="16840" w:code="9"/>
          <w:pgMar w:top="510" w:right="1134" w:bottom="1134" w:left="1134" w:header="510" w:footer="680" w:gutter="0"/>
          <w:pgNumType w:start="1"/>
          <w:cols w:space="720"/>
          <w:titlePg/>
        </w:sectPr>
      </w:pPr>
      <w:r>
        <w:t>[Anlage folgt]</w:t>
      </w:r>
    </w:p>
    <w:p w:rsidR="00903264" w:rsidRDefault="00903264" w:rsidP="0068387F">
      <w:pPr>
        <w:jc w:val="center"/>
      </w:pPr>
    </w:p>
    <w:p w:rsidR="0068387F" w:rsidRDefault="0068387F" w:rsidP="0068387F">
      <w:pPr>
        <w:jc w:val="center"/>
        <w:rPr>
          <w:rFonts w:cs="Arial"/>
        </w:rPr>
      </w:pPr>
      <w:r>
        <w:t xml:space="preserve">AUFGABENBESCHREIBUNG DER ARBEITSGRUPPE FÜR </w:t>
      </w:r>
    </w:p>
    <w:p w:rsidR="0068387F" w:rsidRPr="00E65BE1" w:rsidRDefault="0068387F" w:rsidP="0068387F">
      <w:pPr>
        <w:jc w:val="center"/>
        <w:rPr>
          <w:rFonts w:cs="Arial"/>
        </w:rPr>
      </w:pPr>
      <w:r>
        <w:t>ERNTEGUT UND UNBEFUGTE BENUTZUNG VON VERMEHRUNGSGUT</w:t>
      </w:r>
    </w:p>
    <w:p w:rsidR="0068387F" w:rsidRPr="001F7186" w:rsidRDefault="0068387F" w:rsidP="0068387F">
      <w:pPr>
        <w:jc w:val="center"/>
      </w:pPr>
      <w:r>
        <w:t>(WG-HRV)</w:t>
      </w:r>
    </w:p>
    <w:p w:rsidR="0068387F" w:rsidRDefault="0068387F" w:rsidP="0068387F">
      <w:pPr>
        <w:tabs>
          <w:tab w:val="left" w:pos="284"/>
          <w:tab w:val="left" w:pos="851"/>
        </w:tabs>
        <w:autoSpaceDE w:val="0"/>
        <w:autoSpaceDN w:val="0"/>
        <w:adjustRightInd w:val="0"/>
        <w:jc w:val="center"/>
        <w:rPr>
          <w:i/>
        </w:rPr>
      </w:pPr>
      <w:r>
        <w:rPr>
          <w:i/>
        </w:rPr>
        <w:t xml:space="preserve">vom </w:t>
      </w:r>
      <w:r>
        <w:rPr>
          <w:i/>
          <w:color w:val="000000"/>
        </w:rPr>
        <w:t xml:space="preserve">Verwaltungs- und Rechtsausschuss </w:t>
      </w:r>
      <w:r>
        <w:rPr>
          <w:i/>
        </w:rPr>
        <w:t>am 21. September 2021</w:t>
      </w:r>
      <w:r w:rsidR="00463B3B">
        <w:rPr>
          <w:i/>
        </w:rPr>
        <w:t xml:space="preserve"> </w:t>
      </w:r>
      <w:r w:rsidR="00151FE2">
        <w:rPr>
          <w:i/>
        </w:rPr>
        <w:t>gebilligt</w:t>
      </w:r>
    </w:p>
    <w:p w:rsidR="0068387F" w:rsidRPr="001F7186" w:rsidRDefault="0068387F" w:rsidP="0068387F"/>
    <w:p w:rsidR="00151FE2" w:rsidRPr="00193CA9" w:rsidRDefault="00151FE2" w:rsidP="00151FE2">
      <w:bookmarkStart w:id="56" w:name="_Toc47557368"/>
      <w:bookmarkStart w:id="57" w:name="_Toc48316464"/>
      <w:r w:rsidRPr="00193CA9">
        <w:t>ZWECK:</w:t>
      </w:r>
      <w:bookmarkEnd w:id="56"/>
      <w:bookmarkEnd w:id="57"/>
      <w:r w:rsidRPr="00193CA9">
        <w:t xml:space="preserve"> </w:t>
      </w:r>
    </w:p>
    <w:p w:rsidR="00151FE2" w:rsidRPr="00193CA9" w:rsidRDefault="00151FE2" w:rsidP="00151FE2">
      <w:pPr>
        <w:contextualSpacing/>
        <w:rPr>
          <w:rFonts w:cs="Arial"/>
          <w:sz w:val="18"/>
        </w:rPr>
      </w:pPr>
    </w:p>
    <w:p w:rsidR="00151FE2" w:rsidRPr="00193CA9" w:rsidRDefault="00151FE2" w:rsidP="00151FE2">
      <w:pPr>
        <w:contextualSpacing/>
        <w:rPr>
          <w:rFonts w:cs="Arial"/>
        </w:rPr>
      </w:pPr>
      <w:r w:rsidRPr="00193CA9">
        <w:rPr>
          <w:rFonts w:eastAsiaTheme="minorEastAsia" w:cs="Arial"/>
          <w:snapToGrid w:val="0"/>
        </w:rPr>
        <w:t xml:space="preserve">Zweck der WG-HRV ist es, eine Überarbeitung der „Erläuterungen zu Handlungen in Bezug auf Erntegut nach der Akte von 1991 des UPOV Übereinkommens“ (Dokument UPOV/EXN/HRV/1), „Erläuterungen zu Vermehrungsmaterial nach dem </w:t>
      </w:r>
      <w:r w:rsidR="00AE0687" w:rsidRPr="00193CA9">
        <w:rPr>
          <w:rFonts w:eastAsiaTheme="minorEastAsia" w:cs="Arial"/>
          <w:snapToGrid w:val="0"/>
        </w:rPr>
        <w:t>UPOV-Übereinkommen</w:t>
      </w:r>
      <w:r w:rsidRPr="00193CA9">
        <w:rPr>
          <w:rFonts w:eastAsiaTheme="minorEastAsia" w:cs="Arial"/>
          <w:snapToGrid w:val="0"/>
        </w:rPr>
        <w:t xml:space="preserve">“ (UPOV/EXN/PPM/1) und „Erläuterungen zum vorläufigen Schutz nach dem UPOV-Übereinkommen“ (UPOV/EXN/PRP/2) zur Prüfung durch den Verwaltungs- und Rechtsauschuss </w:t>
      </w:r>
      <w:r>
        <w:rPr>
          <w:rFonts w:eastAsiaTheme="minorEastAsia" w:cs="Arial"/>
          <w:snapToGrid w:val="0"/>
        </w:rPr>
        <w:t xml:space="preserve">(CAJ) </w:t>
      </w:r>
      <w:r w:rsidRPr="00193CA9">
        <w:rPr>
          <w:rFonts w:eastAsiaTheme="minorEastAsia" w:cs="Arial"/>
          <w:snapToGrid w:val="0"/>
        </w:rPr>
        <w:t>auszuarbeiten</w:t>
      </w:r>
      <w:r w:rsidRPr="00193CA9">
        <w:rPr>
          <w:rFonts w:cs="Arial"/>
        </w:rPr>
        <w:t>.</w:t>
      </w:r>
    </w:p>
    <w:p w:rsidR="00151FE2" w:rsidRPr="00193CA9" w:rsidRDefault="00151FE2" w:rsidP="00151FE2">
      <w:pPr>
        <w:rPr>
          <w:sz w:val="18"/>
          <w:szCs w:val="18"/>
        </w:rPr>
      </w:pPr>
    </w:p>
    <w:p w:rsidR="00151FE2" w:rsidRPr="00193CA9" w:rsidRDefault="00151FE2" w:rsidP="00151FE2">
      <w:pPr>
        <w:rPr>
          <w:sz w:val="18"/>
          <w:szCs w:val="18"/>
        </w:rPr>
      </w:pPr>
    </w:p>
    <w:p w:rsidR="00151FE2" w:rsidRPr="00193CA9" w:rsidRDefault="00151FE2" w:rsidP="00151FE2">
      <w:pPr>
        <w:rPr>
          <w:sz w:val="18"/>
          <w:szCs w:val="18"/>
        </w:rPr>
      </w:pPr>
    </w:p>
    <w:p w:rsidR="00151FE2" w:rsidRPr="00193CA9" w:rsidRDefault="00151FE2" w:rsidP="00151FE2">
      <w:bookmarkStart w:id="58" w:name="_Toc47557369"/>
      <w:bookmarkStart w:id="59" w:name="_Toc48316465"/>
      <w:r w:rsidRPr="00193CA9">
        <w:t>ZUSAMMENSETZUNG:</w:t>
      </w:r>
      <w:bookmarkEnd w:id="58"/>
      <w:bookmarkEnd w:id="59"/>
    </w:p>
    <w:p w:rsidR="00151FE2" w:rsidRPr="00193CA9" w:rsidRDefault="00151FE2" w:rsidP="00151FE2">
      <w:pPr>
        <w:rPr>
          <w:rFonts w:cs="Arial"/>
          <w:sz w:val="18"/>
          <w:szCs w:val="18"/>
        </w:rPr>
      </w:pPr>
    </w:p>
    <w:p w:rsidR="00151FE2" w:rsidRPr="00193CA9" w:rsidRDefault="00151FE2" w:rsidP="00151FE2">
      <w:pPr>
        <w:tabs>
          <w:tab w:val="left" w:pos="1080"/>
        </w:tabs>
        <w:ind w:firstLine="567"/>
        <w:rPr>
          <w:rFonts w:cs="Arial"/>
          <w:color w:val="000000"/>
        </w:rPr>
      </w:pPr>
      <w:r w:rsidRPr="00193CA9">
        <w:rPr>
          <w:rFonts w:cs="Arial"/>
        </w:rPr>
        <w:t>a)</w:t>
      </w:r>
      <w:r w:rsidRPr="00193CA9">
        <w:rPr>
          <w:rFonts w:cs="Arial"/>
        </w:rPr>
        <w:tab/>
      </w:r>
      <w:r>
        <w:rPr>
          <w:rFonts w:cs="Arial"/>
        </w:rPr>
        <w:t xml:space="preserve">wäre </w:t>
      </w:r>
      <w:r w:rsidRPr="00193CA9">
        <w:rPr>
          <w:rFonts w:cs="Arial"/>
        </w:rPr>
        <w:t>aus den vom CAJ vereinbarten Verbandsmitgliedern und Beobachtern</w:t>
      </w:r>
      <w:r>
        <w:rPr>
          <w:rFonts w:cs="Arial"/>
        </w:rPr>
        <w:t xml:space="preserve"> </w:t>
      </w:r>
      <w:r w:rsidRPr="00193CA9">
        <w:rPr>
          <w:rFonts w:cs="Arial"/>
        </w:rPr>
        <w:t>zusammengesetzt</w:t>
      </w:r>
      <w:r w:rsidRPr="00193CA9">
        <w:rPr>
          <w:rFonts w:cs="Arial"/>
          <w:color w:val="000000"/>
        </w:rPr>
        <w:t xml:space="preserve">; </w:t>
      </w:r>
    </w:p>
    <w:p w:rsidR="00151FE2" w:rsidRPr="00193CA9" w:rsidRDefault="00151FE2" w:rsidP="00151FE2">
      <w:pPr>
        <w:tabs>
          <w:tab w:val="left" w:pos="1080"/>
        </w:tabs>
        <w:rPr>
          <w:rFonts w:cs="Arial"/>
          <w:sz w:val="18"/>
          <w:szCs w:val="18"/>
        </w:rPr>
      </w:pPr>
    </w:p>
    <w:p w:rsidR="00151FE2" w:rsidRPr="00193CA9" w:rsidRDefault="00151FE2" w:rsidP="00151FE2">
      <w:pPr>
        <w:tabs>
          <w:tab w:val="left" w:pos="1080"/>
        </w:tabs>
        <w:ind w:firstLine="567"/>
        <w:rPr>
          <w:rFonts w:cs="Arial"/>
        </w:rPr>
      </w:pPr>
      <w:r w:rsidRPr="00193CA9">
        <w:rPr>
          <w:rFonts w:cs="Arial"/>
        </w:rPr>
        <w:t>b)</w:t>
      </w:r>
      <w:r w:rsidRPr="00193CA9">
        <w:rPr>
          <w:rFonts w:cs="Arial"/>
        </w:rPr>
        <w:tab/>
      </w:r>
      <w:r w:rsidRPr="00193CA9">
        <w:t xml:space="preserve">anderen Verbandsmitgliedern stünde es frei, an </w:t>
      </w:r>
      <w:r>
        <w:t>jeglicher</w:t>
      </w:r>
      <w:r w:rsidRPr="00193CA9">
        <w:t xml:space="preserve"> Sitzung der WG-HRV teilzunehmen und</w:t>
      </w:r>
      <w:r>
        <w:t xml:space="preserve"> Bemerkungen abzugeben, wenn erwünscht</w:t>
      </w:r>
      <w:r w:rsidRPr="00193CA9">
        <w:rPr>
          <w:rFonts w:cs="Arial"/>
        </w:rPr>
        <w:t>;</w:t>
      </w:r>
    </w:p>
    <w:p w:rsidR="00151FE2" w:rsidRPr="00193CA9" w:rsidRDefault="00151FE2" w:rsidP="00151FE2">
      <w:pPr>
        <w:tabs>
          <w:tab w:val="left" w:pos="1080"/>
        </w:tabs>
        <w:rPr>
          <w:rFonts w:cs="Arial"/>
          <w:sz w:val="18"/>
          <w:szCs w:val="18"/>
        </w:rPr>
      </w:pPr>
    </w:p>
    <w:p w:rsidR="00151FE2" w:rsidRPr="00193CA9" w:rsidRDefault="00151FE2" w:rsidP="00151FE2">
      <w:pPr>
        <w:tabs>
          <w:tab w:val="left" w:pos="1080"/>
        </w:tabs>
        <w:ind w:firstLine="567"/>
        <w:rPr>
          <w:rFonts w:cs="Arial"/>
        </w:rPr>
      </w:pPr>
      <w:r w:rsidRPr="00193CA9">
        <w:rPr>
          <w:rFonts w:cs="Arial"/>
        </w:rPr>
        <w:t>c)</w:t>
      </w:r>
      <w:r w:rsidRPr="00193CA9">
        <w:rPr>
          <w:rFonts w:cs="Arial"/>
        </w:rPr>
        <w:tab/>
      </w:r>
      <w:r w:rsidRPr="00193CA9">
        <w:t>die WG-HRV würde auf den CAJ zurückkommen, wenn die WG-HRV empfehle</w:t>
      </w:r>
      <w:r>
        <w:t>n würde</w:t>
      </w:r>
      <w:r w:rsidRPr="00193CA9">
        <w:t>, weitere Beobachter oder Sachverständige zu einer ihrer Sitzungen einzuladen</w:t>
      </w:r>
      <w:r>
        <w:t>;</w:t>
      </w:r>
      <w:r w:rsidRPr="00193CA9">
        <w:t xml:space="preserve"> </w:t>
      </w:r>
      <w:r w:rsidR="00AE0687" w:rsidRPr="00193CA9">
        <w:t>und</w:t>
      </w:r>
      <w:r w:rsidR="00AE0687">
        <w:rPr>
          <w:rFonts w:cs="Arial"/>
        </w:rPr>
        <w:t xml:space="preserve"> </w:t>
      </w:r>
    </w:p>
    <w:p w:rsidR="00151FE2" w:rsidRPr="00193CA9" w:rsidRDefault="00151FE2" w:rsidP="00151FE2">
      <w:pPr>
        <w:rPr>
          <w:rFonts w:cs="Arial"/>
          <w:sz w:val="18"/>
          <w:szCs w:val="18"/>
        </w:rPr>
      </w:pPr>
    </w:p>
    <w:p w:rsidR="00151FE2" w:rsidRPr="00193CA9" w:rsidRDefault="00151FE2" w:rsidP="00151FE2">
      <w:pPr>
        <w:tabs>
          <w:tab w:val="left" w:pos="1080"/>
        </w:tabs>
        <w:ind w:firstLine="567"/>
        <w:rPr>
          <w:rFonts w:cs="Arial"/>
        </w:rPr>
      </w:pPr>
      <w:r w:rsidRPr="00193CA9">
        <w:rPr>
          <w:rFonts w:cs="Arial"/>
        </w:rPr>
        <w:t>d)</w:t>
      </w:r>
      <w:r w:rsidRPr="00193CA9">
        <w:rPr>
          <w:rFonts w:cs="Arial"/>
        </w:rPr>
        <w:tab/>
      </w:r>
      <w:r w:rsidRPr="00193CA9">
        <w:t xml:space="preserve">Sitzungen </w:t>
      </w:r>
      <w:r>
        <w:t xml:space="preserve">würden </w:t>
      </w:r>
      <w:r w:rsidRPr="00193CA9">
        <w:t>unter dem Vorsitz des Stellvertretenden Generalsekretärs</w:t>
      </w:r>
      <w:r>
        <w:t xml:space="preserve"> abgehalten</w:t>
      </w:r>
      <w:r w:rsidRPr="00193CA9">
        <w:rPr>
          <w:rFonts w:cs="Arial"/>
        </w:rPr>
        <w:t>.</w:t>
      </w:r>
    </w:p>
    <w:p w:rsidR="00151FE2" w:rsidRPr="00193CA9" w:rsidRDefault="00151FE2" w:rsidP="00151FE2">
      <w:pPr>
        <w:rPr>
          <w:sz w:val="18"/>
        </w:rPr>
      </w:pPr>
    </w:p>
    <w:p w:rsidR="00151FE2" w:rsidRPr="00193CA9" w:rsidRDefault="00151FE2" w:rsidP="00151FE2">
      <w:pPr>
        <w:rPr>
          <w:sz w:val="18"/>
        </w:rPr>
      </w:pPr>
    </w:p>
    <w:p w:rsidR="00151FE2" w:rsidRPr="00193CA9" w:rsidRDefault="00151FE2" w:rsidP="00151FE2">
      <w:pPr>
        <w:rPr>
          <w:sz w:val="18"/>
        </w:rPr>
      </w:pPr>
    </w:p>
    <w:p w:rsidR="00151FE2" w:rsidRPr="00193CA9" w:rsidRDefault="00151FE2" w:rsidP="00151FE2">
      <w:bookmarkStart w:id="60" w:name="_Toc47557370"/>
      <w:bookmarkStart w:id="61" w:name="_Toc48316466"/>
      <w:r w:rsidRPr="00193CA9">
        <w:t>MODUS OPERANDI:</w:t>
      </w:r>
      <w:bookmarkEnd w:id="60"/>
      <w:bookmarkEnd w:id="61"/>
    </w:p>
    <w:p w:rsidR="00151FE2" w:rsidRPr="00193CA9" w:rsidRDefault="00151FE2" w:rsidP="00151FE2">
      <w:pPr>
        <w:rPr>
          <w:rFonts w:cs="Arial"/>
          <w:sz w:val="18"/>
          <w:szCs w:val="18"/>
          <w:u w:val="single"/>
        </w:rPr>
      </w:pPr>
    </w:p>
    <w:p w:rsidR="00151FE2" w:rsidRPr="00193CA9" w:rsidRDefault="00151FE2" w:rsidP="00151FE2">
      <w:pPr>
        <w:tabs>
          <w:tab w:val="left" w:pos="1080"/>
        </w:tabs>
        <w:ind w:firstLine="630"/>
        <w:rPr>
          <w:rFonts w:cs="Arial"/>
        </w:rPr>
      </w:pPr>
      <w:r w:rsidRPr="00193CA9">
        <w:rPr>
          <w:rFonts w:cs="Arial"/>
        </w:rPr>
        <w:t xml:space="preserve">a) </w:t>
      </w:r>
      <w:r w:rsidRPr="00193CA9">
        <w:rPr>
          <w:rFonts w:cs="Arial"/>
        </w:rPr>
        <w:tab/>
      </w:r>
      <w:r w:rsidRPr="00193CA9">
        <w:t xml:space="preserve">bei der Ausarbeitung der Überarbeitung der Dokumente UPOV/EXN/HRV/1, UPOV/EXN/PPM/1 und UPOV/EXN/PRP/2 soll die WG-HRV die in den Antworten auf das UPOV-Rundschreiben E-19/232 genannten Angelegenheiten und insbesondere die </w:t>
      </w:r>
      <w:r>
        <w:t>Schlussworte</w:t>
      </w:r>
      <w:r w:rsidRPr="00193CA9">
        <w:t xml:space="preserve"> auf dem Seminar 2021 </w:t>
      </w:r>
      <w:r>
        <w:t>zum</w:t>
      </w:r>
      <w:r w:rsidRPr="00193CA9">
        <w:t xml:space="preserve"> Züchterrecht in Bezug auf Erntegut berücksichtigen</w:t>
      </w:r>
      <w:r w:rsidRPr="00193CA9">
        <w:rPr>
          <w:rFonts w:cs="Arial"/>
        </w:rPr>
        <w:t>:</w:t>
      </w:r>
    </w:p>
    <w:p w:rsidR="00151FE2" w:rsidRPr="00193CA9" w:rsidRDefault="00151FE2" w:rsidP="00151FE2">
      <w:pPr>
        <w:keepNext/>
        <w:ind w:left="927"/>
        <w:rPr>
          <w:rFonts w:cs="Arial"/>
          <w:sz w:val="18"/>
        </w:rPr>
      </w:pPr>
    </w:p>
    <w:p w:rsidR="00151FE2" w:rsidRPr="00193CA9" w:rsidRDefault="00151FE2" w:rsidP="00151FE2">
      <w:pPr>
        <w:pStyle w:val="ListParagraph"/>
        <w:keepNext/>
        <w:numPr>
          <w:ilvl w:val="0"/>
          <w:numId w:val="13"/>
        </w:numPr>
        <w:ind w:left="1494" w:right="639"/>
        <w:rPr>
          <w:rFonts w:cs="Arial"/>
          <w:i/>
          <w:sz w:val="18"/>
        </w:rPr>
      </w:pPr>
      <w:r w:rsidRPr="00193CA9">
        <w:rPr>
          <w:rFonts w:cs="Arial"/>
          <w:i/>
          <w:sz w:val="18"/>
        </w:rPr>
        <w:t xml:space="preserve">„Wie wirkt sich das Fehlen eines wirksamen Schutzes von Erntegut auf die </w:t>
      </w:r>
      <w:r>
        <w:rPr>
          <w:rFonts w:cs="Arial"/>
          <w:i/>
          <w:sz w:val="18"/>
        </w:rPr>
        <w:t>Züchter</w:t>
      </w:r>
      <w:r w:rsidRPr="00193CA9">
        <w:rPr>
          <w:rFonts w:cs="Arial"/>
          <w:i/>
          <w:sz w:val="18"/>
        </w:rPr>
        <w:t xml:space="preserve"> und Verbraucher aus?</w:t>
      </w:r>
    </w:p>
    <w:p w:rsidR="00151FE2" w:rsidRPr="00193CA9" w:rsidRDefault="00151FE2" w:rsidP="00151FE2">
      <w:pPr>
        <w:pStyle w:val="ListParagraph"/>
        <w:keepNext/>
        <w:ind w:left="1494" w:right="639"/>
        <w:rPr>
          <w:rFonts w:cs="Arial"/>
          <w:sz w:val="18"/>
        </w:rPr>
      </w:pPr>
    </w:p>
    <w:p w:rsidR="00151FE2" w:rsidRPr="00820BE3" w:rsidRDefault="00151FE2" w:rsidP="00151FE2">
      <w:pPr>
        <w:pStyle w:val="ListParagraph"/>
        <w:keepLines/>
        <w:ind w:left="1908" w:right="639"/>
        <w:rPr>
          <w:rFonts w:cs="Arial"/>
          <w:sz w:val="18"/>
          <w:szCs w:val="18"/>
        </w:rPr>
      </w:pPr>
      <w:r w:rsidRPr="00820BE3">
        <w:rPr>
          <w:rFonts w:cs="Arial"/>
          <w:sz w:val="18"/>
          <w:szCs w:val="18"/>
        </w:rPr>
        <w:t>Auf dem Seminar wurden Beweise dafür vorgelegt, dass das Fehlen eines wirksamen Schutzes für neue Sorten von Obstbäumen vor der Erteilung von Züchterrechten die frühzeitige Einführung neuer und verbesserter Sorten hemmen könnte, wodurch der Nutzen dieser Sorten für Züchter und Verbraucher und somit für die Gesellschaft als Ganzes verringert würde. Wenn die Züchter keinen wirksamen Schutz haben, so dass sich die Investitionen in die Züchtung auszahlen, werden außerdem möglicherweise überhaupt keine verbesserten Sorten entwickelt.</w:t>
      </w:r>
    </w:p>
    <w:p w:rsidR="00151FE2" w:rsidRPr="00820BE3" w:rsidRDefault="00151FE2" w:rsidP="00151FE2">
      <w:pPr>
        <w:pStyle w:val="ListParagraph"/>
        <w:ind w:left="1494" w:right="639"/>
        <w:rPr>
          <w:rFonts w:cs="Arial"/>
          <w:sz w:val="18"/>
          <w:szCs w:val="18"/>
        </w:rPr>
      </w:pPr>
    </w:p>
    <w:p w:rsidR="00151FE2" w:rsidRPr="00193CA9" w:rsidRDefault="00151FE2" w:rsidP="00151FE2">
      <w:pPr>
        <w:pStyle w:val="ListParagraph"/>
        <w:keepNext/>
        <w:numPr>
          <w:ilvl w:val="0"/>
          <w:numId w:val="13"/>
        </w:numPr>
        <w:ind w:left="1494" w:right="639"/>
        <w:rPr>
          <w:rFonts w:cs="Arial"/>
          <w:i/>
          <w:sz w:val="18"/>
        </w:rPr>
      </w:pPr>
      <w:r w:rsidRPr="00193CA9">
        <w:rPr>
          <w:rFonts w:cs="Arial"/>
          <w:i/>
          <w:sz w:val="18"/>
        </w:rPr>
        <w:t>Was sind die größten Herausforderungen bei der Ausübung des Züchterrechts in Bezug auf das Erntegut?</w:t>
      </w:r>
    </w:p>
    <w:p w:rsidR="00151FE2" w:rsidRPr="00193CA9" w:rsidRDefault="00151FE2" w:rsidP="00151FE2">
      <w:pPr>
        <w:pStyle w:val="ListParagraph"/>
        <w:keepNext/>
        <w:ind w:left="1494" w:right="639"/>
        <w:rPr>
          <w:rFonts w:cs="Arial"/>
          <w:sz w:val="18"/>
        </w:rPr>
      </w:pPr>
    </w:p>
    <w:p w:rsidR="00151FE2" w:rsidRPr="00193CA9" w:rsidRDefault="00151FE2" w:rsidP="00151FE2">
      <w:pPr>
        <w:pStyle w:val="ListParagraph"/>
        <w:keepLines/>
        <w:ind w:left="1908" w:right="639"/>
        <w:rPr>
          <w:rFonts w:cs="Arial"/>
          <w:sz w:val="18"/>
        </w:rPr>
      </w:pPr>
      <w:r w:rsidRPr="00CB24B7">
        <w:rPr>
          <w:rFonts w:cs="Arial"/>
          <w:sz w:val="18"/>
        </w:rPr>
        <w:t>Ein üblicher besorgniserregender Punkt</w:t>
      </w:r>
      <w:r w:rsidRPr="00193CA9">
        <w:rPr>
          <w:rFonts w:cs="Arial"/>
          <w:sz w:val="18"/>
        </w:rPr>
        <w:t xml:space="preserve"> ist der Mangel an Vorhersehbarkeit betreffend das Züchterrecht in Bezug auf das Erntegut. </w:t>
      </w:r>
    </w:p>
    <w:p w:rsidR="00151FE2" w:rsidRPr="00193CA9" w:rsidRDefault="00151FE2" w:rsidP="00151FE2">
      <w:pPr>
        <w:pStyle w:val="ListParagraph"/>
        <w:keepLines/>
        <w:ind w:left="1908" w:right="639"/>
        <w:rPr>
          <w:rFonts w:cs="Arial"/>
          <w:sz w:val="18"/>
        </w:rPr>
      </w:pPr>
    </w:p>
    <w:p w:rsidR="00151FE2" w:rsidRPr="00193CA9" w:rsidRDefault="00151FE2" w:rsidP="00151FE2">
      <w:pPr>
        <w:pStyle w:val="ListParagraph"/>
        <w:keepLines/>
        <w:ind w:left="1908" w:right="639"/>
        <w:rPr>
          <w:rFonts w:cs="Arial"/>
          <w:sz w:val="18"/>
        </w:rPr>
      </w:pPr>
      <w:r w:rsidRPr="00193CA9">
        <w:rPr>
          <w:rFonts w:cs="Arial"/>
          <w:sz w:val="18"/>
        </w:rPr>
        <w:t xml:space="preserve">Bei bestimmten Arten können Bäume, </w:t>
      </w:r>
      <w:r>
        <w:rPr>
          <w:rFonts w:cs="Arial"/>
          <w:sz w:val="18"/>
        </w:rPr>
        <w:t xml:space="preserve">wenn sie </w:t>
      </w:r>
      <w:r w:rsidRPr="00193CA9">
        <w:rPr>
          <w:rFonts w:cs="Arial"/>
          <w:sz w:val="18"/>
        </w:rPr>
        <w:t>einmal gepflanzt</w:t>
      </w:r>
      <w:r>
        <w:rPr>
          <w:rFonts w:cs="Arial"/>
          <w:sz w:val="18"/>
        </w:rPr>
        <w:t xml:space="preserve"> wurden</w:t>
      </w:r>
      <w:r w:rsidRPr="00193CA9">
        <w:rPr>
          <w:rFonts w:cs="Arial"/>
          <w:sz w:val="18"/>
        </w:rPr>
        <w:t>, viele Jahre lang Früchte tragen.</w:t>
      </w:r>
      <w:r>
        <w:rPr>
          <w:rFonts w:cs="Arial"/>
          <w:sz w:val="18"/>
        </w:rPr>
        <w:t xml:space="preserve"> </w:t>
      </w:r>
      <w:r w:rsidRPr="00193CA9">
        <w:rPr>
          <w:rFonts w:cs="Arial"/>
          <w:sz w:val="18"/>
        </w:rPr>
        <w:t>Daher kann ein minimaler Umfang des vorläufigen Schutzes und/oder eine enge Auslegung des Begriffs „ungenehmigte Benutzung von Vermehrungsmaterial“ dem Züchter möglicherweise nicht die Mittel zur Ausübung und Durchsetzung seines Rechts in Bezug auf den Anbau der Pflanzen und die Erzeugung und den Verkauf der Früchte bieten.</w:t>
      </w:r>
    </w:p>
    <w:p w:rsidR="00151FE2" w:rsidRPr="00193CA9" w:rsidRDefault="00151FE2" w:rsidP="00151FE2">
      <w:pPr>
        <w:pStyle w:val="ListParagraph"/>
        <w:ind w:left="1494" w:right="639"/>
        <w:rPr>
          <w:rFonts w:cs="Arial"/>
          <w:sz w:val="18"/>
        </w:rPr>
      </w:pPr>
    </w:p>
    <w:p w:rsidR="00151FE2" w:rsidRPr="00193CA9" w:rsidRDefault="00151FE2" w:rsidP="00151FE2">
      <w:pPr>
        <w:pStyle w:val="ListParagraph"/>
        <w:keepNext/>
        <w:numPr>
          <w:ilvl w:val="0"/>
          <w:numId w:val="13"/>
        </w:numPr>
        <w:ind w:left="1494" w:right="639"/>
        <w:rPr>
          <w:rFonts w:cs="Arial"/>
          <w:sz w:val="18"/>
        </w:rPr>
      </w:pPr>
      <w:r w:rsidRPr="00193CA9">
        <w:rPr>
          <w:rFonts w:cs="Arial"/>
          <w:i/>
          <w:sz w:val="18"/>
        </w:rPr>
        <w:lastRenderedPageBreak/>
        <w:t>Auf Ebene der UPOV: Welche Lösungen sehen Sie für diese Herausforderungen bei der Ausübung des Züchterrechts in Bezug auf das Erntegut?</w:t>
      </w:r>
    </w:p>
    <w:p w:rsidR="00151FE2" w:rsidRPr="00193CA9" w:rsidRDefault="00151FE2" w:rsidP="00151FE2">
      <w:pPr>
        <w:pStyle w:val="ListParagraph"/>
        <w:keepNext/>
        <w:ind w:left="1494" w:right="639"/>
        <w:rPr>
          <w:rFonts w:cs="Arial"/>
          <w:sz w:val="18"/>
        </w:rPr>
      </w:pPr>
    </w:p>
    <w:p w:rsidR="00151FE2" w:rsidRPr="00193CA9" w:rsidRDefault="00151FE2" w:rsidP="00151FE2">
      <w:pPr>
        <w:pStyle w:val="ListParagraph"/>
        <w:keepLines/>
        <w:ind w:left="1908" w:right="639"/>
        <w:rPr>
          <w:rFonts w:cs="Arial"/>
          <w:sz w:val="18"/>
        </w:rPr>
      </w:pPr>
      <w:r w:rsidRPr="00193CA9">
        <w:rPr>
          <w:rFonts w:cs="Arial"/>
          <w:sz w:val="18"/>
        </w:rPr>
        <w:t xml:space="preserve">Klare Hinweise aus den Referaten und Erörterungen, dass </w:t>
      </w:r>
      <w:r>
        <w:rPr>
          <w:rFonts w:cs="Arial"/>
          <w:sz w:val="18"/>
        </w:rPr>
        <w:t>eine</w:t>
      </w:r>
      <w:r w:rsidRPr="00193CA9">
        <w:rPr>
          <w:rFonts w:cs="Arial"/>
          <w:sz w:val="18"/>
        </w:rPr>
        <w:t xml:space="preserve"> Anleitung in den Erläuterungen zu Handlungen in Bezug auf Erntegut von einer weiteren Klärung profitieren würde.</w:t>
      </w:r>
      <w:r>
        <w:rPr>
          <w:rFonts w:cs="Arial"/>
          <w:sz w:val="18"/>
        </w:rPr>
        <w:t xml:space="preserve"> </w:t>
      </w:r>
    </w:p>
    <w:p w:rsidR="00151FE2" w:rsidRPr="00193CA9" w:rsidRDefault="00151FE2" w:rsidP="00151FE2">
      <w:pPr>
        <w:pStyle w:val="ListParagraph"/>
        <w:ind w:left="1908" w:right="639"/>
        <w:rPr>
          <w:rFonts w:cs="Arial"/>
          <w:sz w:val="18"/>
        </w:rPr>
      </w:pPr>
    </w:p>
    <w:p w:rsidR="00151FE2" w:rsidRPr="00193CA9" w:rsidRDefault="00151FE2" w:rsidP="00151FE2">
      <w:pPr>
        <w:pStyle w:val="ListParagraph"/>
        <w:keepNext/>
        <w:keepLines/>
        <w:ind w:left="1908" w:right="639"/>
        <w:rPr>
          <w:rFonts w:cs="Arial"/>
          <w:sz w:val="18"/>
        </w:rPr>
      </w:pPr>
      <w:r w:rsidRPr="00193CA9">
        <w:rPr>
          <w:rFonts w:cs="Arial"/>
          <w:sz w:val="18"/>
        </w:rPr>
        <w:t>Um die Entwicklung neuer Pflanzensorten zu fördern, wäre weitere Anleitung hilfreich zu:</w:t>
      </w:r>
    </w:p>
    <w:p w:rsidR="00151FE2" w:rsidRPr="00193CA9" w:rsidRDefault="00151FE2" w:rsidP="00151FE2">
      <w:pPr>
        <w:pStyle w:val="ListParagraph"/>
        <w:keepNext/>
        <w:numPr>
          <w:ilvl w:val="2"/>
          <w:numId w:val="13"/>
        </w:numPr>
        <w:spacing w:before="120"/>
        <w:ind w:left="3352" w:right="639"/>
        <w:contextualSpacing w:val="0"/>
        <w:rPr>
          <w:rFonts w:cs="Arial"/>
          <w:sz w:val="18"/>
        </w:rPr>
      </w:pPr>
      <w:r w:rsidRPr="00193CA9">
        <w:rPr>
          <w:rFonts w:cs="Arial"/>
          <w:sz w:val="18"/>
        </w:rPr>
        <w:t>Vermehrungsmaterial</w:t>
      </w:r>
    </w:p>
    <w:p w:rsidR="00151FE2" w:rsidRPr="00193CA9" w:rsidRDefault="00151FE2" w:rsidP="00151FE2">
      <w:pPr>
        <w:pStyle w:val="ListParagraph"/>
        <w:numPr>
          <w:ilvl w:val="2"/>
          <w:numId w:val="13"/>
        </w:numPr>
        <w:spacing w:before="120"/>
        <w:ind w:left="3352" w:right="639"/>
        <w:contextualSpacing w:val="0"/>
        <w:rPr>
          <w:rFonts w:cs="Arial"/>
          <w:sz w:val="18"/>
        </w:rPr>
      </w:pPr>
      <w:r w:rsidRPr="00193CA9">
        <w:rPr>
          <w:rFonts w:cs="Arial"/>
          <w:sz w:val="18"/>
        </w:rPr>
        <w:t>Erntegut</w:t>
      </w:r>
    </w:p>
    <w:p w:rsidR="00151FE2" w:rsidRPr="00193CA9" w:rsidRDefault="00151FE2" w:rsidP="00151FE2">
      <w:pPr>
        <w:pStyle w:val="ListParagraph"/>
        <w:numPr>
          <w:ilvl w:val="2"/>
          <w:numId w:val="13"/>
        </w:numPr>
        <w:spacing w:before="120"/>
        <w:ind w:left="3352" w:right="639"/>
        <w:contextualSpacing w:val="0"/>
        <w:rPr>
          <w:rFonts w:cs="Arial"/>
          <w:sz w:val="18"/>
        </w:rPr>
      </w:pPr>
      <w:r w:rsidRPr="00193CA9">
        <w:rPr>
          <w:rFonts w:cs="Arial"/>
          <w:sz w:val="18"/>
        </w:rPr>
        <w:t>wirksamem vorläufigem Schutz</w:t>
      </w:r>
    </w:p>
    <w:p w:rsidR="00151FE2" w:rsidRPr="00193CA9" w:rsidRDefault="00151FE2" w:rsidP="00151FE2">
      <w:pPr>
        <w:pStyle w:val="ListParagraph"/>
        <w:numPr>
          <w:ilvl w:val="2"/>
          <w:numId w:val="13"/>
        </w:numPr>
        <w:spacing w:before="120"/>
        <w:ind w:left="3352" w:right="639"/>
        <w:contextualSpacing w:val="0"/>
        <w:rPr>
          <w:rFonts w:cs="Arial"/>
          <w:sz w:val="18"/>
        </w:rPr>
      </w:pPr>
      <w:r w:rsidRPr="00193CA9">
        <w:rPr>
          <w:rFonts w:cs="Arial"/>
          <w:sz w:val="18"/>
        </w:rPr>
        <w:t xml:space="preserve">dem </w:t>
      </w:r>
      <w:r>
        <w:rPr>
          <w:rFonts w:cs="Arial"/>
          <w:sz w:val="18"/>
        </w:rPr>
        <w:t>Konzept</w:t>
      </w:r>
      <w:r w:rsidRPr="00193CA9">
        <w:rPr>
          <w:rFonts w:cs="Arial"/>
          <w:sz w:val="18"/>
        </w:rPr>
        <w:t xml:space="preserve"> der ‚ungenehmigten Benutzung von Vermehrungsmaterial‘</w:t>
      </w:r>
    </w:p>
    <w:p w:rsidR="00151FE2" w:rsidRPr="001779EB" w:rsidRDefault="00151FE2" w:rsidP="00151FE2">
      <w:pPr>
        <w:pStyle w:val="ListParagraph"/>
        <w:numPr>
          <w:ilvl w:val="2"/>
          <w:numId w:val="13"/>
        </w:numPr>
        <w:spacing w:before="120"/>
        <w:ind w:left="3352" w:right="639"/>
        <w:contextualSpacing w:val="0"/>
        <w:rPr>
          <w:rFonts w:cs="Arial"/>
          <w:sz w:val="18"/>
        </w:rPr>
      </w:pPr>
      <w:r w:rsidRPr="00193CA9">
        <w:rPr>
          <w:rFonts w:cs="Arial"/>
          <w:sz w:val="18"/>
        </w:rPr>
        <w:t xml:space="preserve">der </w:t>
      </w:r>
      <w:r>
        <w:rPr>
          <w:rFonts w:cs="Arial"/>
          <w:sz w:val="18"/>
        </w:rPr>
        <w:t>Doktrin</w:t>
      </w:r>
      <w:r w:rsidRPr="00193CA9">
        <w:rPr>
          <w:rFonts w:cs="Arial"/>
          <w:sz w:val="18"/>
        </w:rPr>
        <w:t xml:space="preserve"> von der Erschöpfung der Rechte in Bezug auf die Umkehr der Beweislast“</w:t>
      </w:r>
      <w:r w:rsidRPr="00193CA9">
        <w:rPr>
          <w:rFonts w:cs="Arial"/>
        </w:rPr>
        <w:t>.</w:t>
      </w:r>
    </w:p>
    <w:p w:rsidR="00151FE2" w:rsidRPr="00490F37" w:rsidRDefault="00151FE2" w:rsidP="00151FE2">
      <w:pPr>
        <w:rPr>
          <w:rFonts w:cs="Arial"/>
          <w:sz w:val="18"/>
          <w:u w:val="single"/>
        </w:rPr>
      </w:pPr>
    </w:p>
    <w:p w:rsidR="00151FE2" w:rsidRPr="00193CA9" w:rsidRDefault="00151FE2" w:rsidP="00151FE2">
      <w:pPr>
        <w:tabs>
          <w:tab w:val="left" w:pos="1134"/>
        </w:tabs>
        <w:ind w:firstLine="567"/>
        <w:rPr>
          <w:rFonts w:cs="Arial"/>
          <w:u w:val="single"/>
        </w:rPr>
      </w:pPr>
      <w:r w:rsidRPr="00193CA9">
        <w:rPr>
          <w:rFonts w:cs="Arial"/>
        </w:rPr>
        <w:t xml:space="preserve">b) </w:t>
      </w:r>
      <w:r w:rsidRPr="00193CA9">
        <w:rPr>
          <w:rFonts w:cs="Arial"/>
        </w:rPr>
        <w:tab/>
      </w:r>
      <w:r w:rsidRPr="00193CA9">
        <w:t>die WG-HRV trifft sich zu einem Zeitpunkt und in einer Häufigkeit, die ihrem Mandat entsprechen, und zwar auf physischem und/oder virtuellem Wege, wie von der WG-HRV vereinbart</w:t>
      </w:r>
      <w:r w:rsidRPr="00193CA9">
        <w:rPr>
          <w:rFonts w:cs="Arial"/>
        </w:rPr>
        <w:t>;</w:t>
      </w:r>
    </w:p>
    <w:p w:rsidR="00151FE2" w:rsidRPr="00193CA9" w:rsidRDefault="00151FE2" w:rsidP="00151FE2">
      <w:pPr>
        <w:tabs>
          <w:tab w:val="left" w:pos="1134"/>
        </w:tabs>
        <w:rPr>
          <w:rFonts w:cs="Arial"/>
          <w:sz w:val="18"/>
          <w:u w:val="single"/>
        </w:rPr>
      </w:pPr>
    </w:p>
    <w:p w:rsidR="00151FE2" w:rsidRPr="00193CA9" w:rsidRDefault="00151FE2" w:rsidP="00151FE2">
      <w:pPr>
        <w:tabs>
          <w:tab w:val="left" w:pos="1134"/>
        </w:tabs>
        <w:ind w:firstLine="567"/>
        <w:rPr>
          <w:rFonts w:cs="Arial"/>
        </w:rPr>
      </w:pPr>
      <w:r w:rsidRPr="00193CA9">
        <w:rPr>
          <w:rFonts w:cs="Arial"/>
        </w:rPr>
        <w:t xml:space="preserve">c) </w:t>
      </w:r>
      <w:r w:rsidRPr="00193CA9">
        <w:rPr>
          <w:rFonts w:cs="Arial"/>
        </w:rPr>
        <w:tab/>
      </w:r>
      <w:r w:rsidRPr="00193CA9">
        <w:t>die WG-HRV berichtet dem CAJ über den Fortschritt ihrer Arbeit und ersucht den CAJ gegebenenfalls um weitere Anleitung</w:t>
      </w:r>
      <w:r w:rsidRPr="00193CA9">
        <w:rPr>
          <w:rFonts w:cs="Arial"/>
        </w:rPr>
        <w:t>;</w:t>
      </w:r>
    </w:p>
    <w:p w:rsidR="00151FE2" w:rsidRPr="00193CA9" w:rsidRDefault="00151FE2" w:rsidP="00151FE2">
      <w:pPr>
        <w:tabs>
          <w:tab w:val="left" w:pos="1134"/>
        </w:tabs>
        <w:rPr>
          <w:rFonts w:cs="Arial"/>
          <w:sz w:val="18"/>
        </w:rPr>
      </w:pPr>
    </w:p>
    <w:p w:rsidR="00151FE2" w:rsidRPr="00193CA9" w:rsidRDefault="00151FE2" w:rsidP="00151FE2">
      <w:pPr>
        <w:tabs>
          <w:tab w:val="left" w:pos="1134"/>
        </w:tabs>
        <w:ind w:firstLine="567"/>
        <w:rPr>
          <w:rFonts w:cs="Arial"/>
          <w:u w:val="single"/>
        </w:rPr>
      </w:pPr>
      <w:r w:rsidRPr="00193CA9">
        <w:rPr>
          <w:rFonts w:cs="Arial"/>
        </w:rPr>
        <w:t>d)</w:t>
      </w:r>
      <w:r w:rsidRPr="00193CA9">
        <w:rPr>
          <w:rFonts w:cs="Arial"/>
        </w:rPr>
        <w:tab/>
      </w:r>
      <w:r w:rsidRPr="00193CA9">
        <w:t>Dokumente der WG-HRV</w:t>
      </w:r>
      <w:r>
        <w:t xml:space="preserve"> werden</w:t>
      </w:r>
      <w:r w:rsidRPr="00193CA9">
        <w:t xml:space="preserve"> dem CAJ zur Verfügung gestellt</w:t>
      </w:r>
      <w:r w:rsidRPr="00193CA9">
        <w:rPr>
          <w:rFonts w:cs="Arial"/>
        </w:rPr>
        <w:t>.</w:t>
      </w:r>
    </w:p>
    <w:p w:rsidR="0068387F" w:rsidRPr="00151FE2" w:rsidRDefault="0068387F" w:rsidP="0068387F"/>
    <w:p w:rsidR="0068387F" w:rsidRPr="00151FE2" w:rsidRDefault="0068387F" w:rsidP="0068387F"/>
    <w:p w:rsidR="0068387F" w:rsidRPr="006B61FB" w:rsidRDefault="0068387F" w:rsidP="0068387F">
      <w:pPr>
        <w:tabs>
          <w:tab w:val="left" w:pos="284"/>
          <w:tab w:val="left" w:pos="851"/>
        </w:tabs>
        <w:autoSpaceDE w:val="0"/>
        <w:autoSpaceDN w:val="0"/>
        <w:adjustRightInd w:val="0"/>
        <w:jc w:val="right"/>
        <w:rPr>
          <w:rFonts w:cs="Angsana New"/>
          <w:i/>
          <w:szCs w:val="24"/>
        </w:rPr>
      </w:pPr>
      <w:r>
        <w:t>[Ende der Anlage und des Dokuments]</w:t>
      </w:r>
    </w:p>
    <w:p w:rsidR="00050E16" w:rsidRDefault="00050E16" w:rsidP="009B440E">
      <w:pPr>
        <w:jc w:val="left"/>
      </w:pPr>
    </w:p>
    <w:p w:rsidR="0068387F" w:rsidRDefault="0068387F" w:rsidP="009B440E">
      <w:pPr>
        <w:jc w:val="left"/>
      </w:pPr>
    </w:p>
    <w:p w:rsidR="0068387F" w:rsidRPr="00C5280D" w:rsidRDefault="0068387F" w:rsidP="009B440E">
      <w:pPr>
        <w:jc w:val="left"/>
      </w:pPr>
    </w:p>
    <w:sectPr w:rsidR="0068387F" w:rsidRPr="00C5280D" w:rsidSect="0043467F">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02E" w:rsidRDefault="000D402E" w:rsidP="006655D3">
      <w:r>
        <w:separator/>
      </w:r>
    </w:p>
    <w:p w:rsidR="000D402E" w:rsidRDefault="000D402E" w:rsidP="006655D3"/>
    <w:p w:rsidR="000D402E" w:rsidRDefault="000D402E" w:rsidP="006655D3"/>
  </w:endnote>
  <w:endnote w:type="continuationSeparator" w:id="0">
    <w:p w:rsidR="000D402E" w:rsidRDefault="000D402E" w:rsidP="006655D3">
      <w:r>
        <w:separator/>
      </w:r>
    </w:p>
    <w:p w:rsidR="000D402E" w:rsidRPr="00294751" w:rsidRDefault="000D402E">
      <w:pPr>
        <w:pStyle w:val="Footer"/>
        <w:spacing w:after="60"/>
        <w:rPr>
          <w:sz w:val="18"/>
          <w:lang w:val="fr-FR"/>
        </w:rPr>
      </w:pPr>
      <w:r w:rsidRPr="00294751">
        <w:rPr>
          <w:sz w:val="18"/>
          <w:lang w:val="fr-FR"/>
        </w:rPr>
        <w:t>[Suite de la note de la page précédente]</w:t>
      </w:r>
    </w:p>
    <w:p w:rsidR="000D402E" w:rsidRPr="00294751" w:rsidRDefault="000D402E" w:rsidP="006655D3">
      <w:pPr>
        <w:rPr>
          <w:lang w:val="fr-FR"/>
        </w:rPr>
      </w:pPr>
    </w:p>
    <w:p w:rsidR="000D402E" w:rsidRPr="00294751" w:rsidRDefault="000D402E" w:rsidP="006655D3">
      <w:pPr>
        <w:rPr>
          <w:lang w:val="fr-FR"/>
        </w:rPr>
      </w:pPr>
    </w:p>
  </w:endnote>
  <w:endnote w:type="continuationNotice" w:id="1">
    <w:p w:rsidR="000D402E" w:rsidRPr="00294751" w:rsidRDefault="000D402E" w:rsidP="006655D3">
      <w:pPr>
        <w:rPr>
          <w:lang w:val="fr-FR"/>
        </w:rPr>
      </w:pPr>
      <w:r w:rsidRPr="00294751">
        <w:rPr>
          <w:lang w:val="fr-FR"/>
        </w:rPr>
        <w:t>[Suite de la note page suivante]</w:t>
      </w:r>
    </w:p>
    <w:p w:rsidR="000D402E" w:rsidRPr="00294751" w:rsidRDefault="000D402E" w:rsidP="006655D3">
      <w:pPr>
        <w:rPr>
          <w:lang w:val="fr-FR"/>
        </w:rPr>
      </w:pPr>
    </w:p>
    <w:p w:rsidR="000D402E" w:rsidRPr="00294751" w:rsidRDefault="000D402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altName w:val="Arial Unicode MS"/>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02E" w:rsidRDefault="000D402E" w:rsidP="006655D3">
      <w:r>
        <w:separator/>
      </w:r>
    </w:p>
  </w:footnote>
  <w:footnote w:type="continuationSeparator" w:id="0">
    <w:p w:rsidR="000D402E" w:rsidRDefault="000D402E" w:rsidP="006655D3">
      <w:r>
        <w:separator/>
      </w:r>
    </w:p>
  </w:footnote>
  <w:footnote w:type="continuationNotice" w:id="1">
    <w:p w:rsidR="000D402E" w:rsidRPr="00AB530F" w:rsidRDefault="000D402E" w:rsidP="00AB530F">
      <w:pPr>
        <w:pStyle w:val="Footer"/>
      </w:pPr>
    </w:p>
  </w:footnote>
  <w:footnote w:id="2">
    <w:p w:rsidR="0099085B" w:rsidRDefault="0099085B" w:rsidP="00923899">
      <w:pPr>
        <w:pStyle w:val="FootnoteText"/>
      </w:pPr>
      <w:r>
        <w:rPr>
          <w:rStyle w:val="FootnoteReference"/>
        </w:rPr>
        <w:footnoteRef/>
      </w:r>
      <w:r>
        <w:t xml:space="preserve"> </w:t>
      </w:r>
      <w:r>
        <w:tab/>
        <w:t>Das Verfahren für die Prüfung von Dokumenten auf dem Schriftweg ist im Rundschreiben E-21/063 vom 14. Mai 2021</w:t>
      </w:r>
      <w:r w:rsidR="00637782">
        <w:t xml:space="preserve"> dargelegt</w:t>
      </w:r>
      <w:r>
        <w:t xml:space="preserve"> (verfügbar auf den We</w:t>
      </w:r>
      <w:r w:rsidR="00637782">
        <w:t>bseiten TC/57, CAJ/78 und C/55)</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85B" w:rsidRPr="00C5280D" w:rsidRDefault="0099085B" w:rsidP="0043467F">
    <w:pPr>
      <w:pStyle w:val="Header"/>
      <w:rPr>
        <w:rStyle w:val="PageNumber"/>
      </w:rPr>
    </w:pPr>
    <w:r>
      <w:rPr>
        <w:rStyle w:val="PageNumber"/>
      </w:rPr>
      <w:t>CAJ/78/12</w:t>
    </w:r>
  </w:p>
  <w:p w:rsidR="0099085B" w:rsidRPr="00C5280D" w:rsidRDefault="0099085B" w:rsidP="0043467F">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233B9F">
      <w:rPr>
        <w:rStyle w:val="PageNumber"/>
        <w:noProof/>
      </w:rPr>
      <w:t>6</w:t>
    </w:r>
    <w:r w:rsidRPr="00C5280D">
      <w:rPr>
        <w:rStyle w:val="PageNumber"/>
      </w:rPr>
      <w:fldChar w:fldCharType="end"/>
    </w:r>
  </w:p>
  <w:p w:rsidR="0099085B" w:rsidRDefault="009908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87F" w:rsidRPr="00C5280D" w:rsidRDefault="0068387F" w:rsidP="0043467F">
    <w:pPr>
      <w:pStyle w:val="Header"/>
      <w:rPr>
        <w:rStyle w:val="PageNumber"/>
      </w:rPr>
    </w:pPr>
    <w:r>
      <w:rPr>
        <w:rStyle w:val="PageNumber"/>
      </w:rPr>
      <w:t>CAJ/78/12</w:t>
    </w:r>
  </w:p>
  <w:p w:rsidR="0068387F" w:rsidRPr="00C5280D" w:rsidRDefault="0068387F" w:rsidP="0043467F">
    <w:pPr>
      <w:pStyle w:val="Header"/>
    </w:pPr>
    <w:r>
      <w:t xml:space="preserve">Anlage, 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233B9F">
      <w:rPr>
        <w:rStyle w:val="PageNumber"/>
        <w:noProof/>
      </w:rPr>
      <w:t>2</w:t>
    </w:r>
    <w:r w:rsidRPr="00C5280D">
      <w:rPr>
        <w:rStyle w:val="PageNumber"/>
      </w:rPr>
      <w:fldChar w:fldCharType="end"/>
    </w:r>
  </w:p>
  <w:p w:rsidR="0068387F" w:rsidRDefault="006838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87F" w:rsidRPr="00C5280D" w:rsidRDefault="0068387F" w:rsidP="0068387F">
    <w:pPr>
      <w:pStyle w:val="Header"/>
      <w:rPr>
        <w:rStyle w:val="PageNumber"/>
      </w:rPr>
    </w:pPr>
    <w:r>
      <w:rPr>
        <w:rStyle w:val="PageNumber"/>
      </w:rPr>
      <w:t>CAJ/78/12</w:t>
    </w:r>
  </w:p>
  <w:p w:rsidR="0068387F" w:rsidRDefault="0068387F" w:rsidP="0068387F">
    <w:pPr>
      <w:pStyle w:val="Header"/>
    </w:pPr>
  </w:p>
  <w:p w:rsidR="0068387F" w:rsidRDefault="0068387F">
    <w:pPr>
      <w:pStyle w:val="Header"/>
    </w:pPr>
    <w:r>
      <w:t>ANLAGE</w:t>
    </w:r>
  </w:p>
  <w:p w:rsidR="0068387F" w:rsidRDefault="00683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2"/>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52692E"/>
    <w:multiLevelType w:val="hybridMultilevel"/>
    <w:tmpl w:val="3426261A"/>
    <w:lvl w:ilvl="0" w:tplc="326E2E38">
      <w:start w:val="2"/>
      <w:numFmt w:val="bullet"/>
      <w:lvlText w:val="-"/>
      <w:lvlJc w:val="left"/>
      <w:pPr>
        <w:ind w:left="1287" w:hanging="360"/>
      </w:pPr>
      <w:rPr>
        <w:rFonts w:ascii="Arial" w:eastAsia="Times New Roman" w:hAnsi="Arial" w:cs="Aria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A1E4FE3"/>
    <w:multiLevelType w:val="hybridMultilevel"/>
    <w:tmpl w:val="6A8ACC92"/>
    <w:lvl w:ilvl="0" w:tplc="326E2E3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91409"/>
    <w:multiLevelType w:val="hybridMultilevel"/>
    <w:tmpl w:val="442CB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3F1BC0"/>
    <w:multiLevelType w:val="hybridMultilevel"/>
    <w:tmpl w:val="A3DA5076"/>
    <w:lvl w:ilvl="0" w:tplc="62DE48D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C942EBE"/>
    <w:multiLevelType w:val="hybridMultilevel"/>
    <w:tmpl w:val="099C1B72"/>
    <w:lvl w:ilvl="0" w:tplc="53B4ABC4">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6" w15:restartNumberingAfterBreak="0">
    <w:nsid w:val="3CCA417B"/>
    <w:multiLevelType w:val="hybridMultilevel"/>
    <w:tmpl w:val="F93635B0"/>
    <w:lvl w:ilvl="0" w:tplc="5B868488">
      <w:start w:val="27"/>
      <w:numFmt w:val="bullet"/>
      <w:lvlText w:val="-"/>
      <w:lvlJc w:val="left"/>
      <w:pPr>
        <w:ind w:left="924" w:hanging="360"/>
      </w:pPr>
      <w:rPr>
        <w:rFonts w:ascii="Arial" w:eastAsia="Times New Roman"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7" w15:restartNumberingAfterBreak="0">
    <w:nsid w:val="55642A7E"/>
    <w:multiLevelType w:val="hybridMultilevel"/>
    <w:tmpl w:val="7E02972A"/>
    <w:lvl w:ilvl="0" w:tplc="9196C7D2">
      <w:start w:val="1"/>
      <w:numFmt w:val="lowerLetter"/>
      <w:lvlText w:val="(%1)"/>
      <w:lvlJc w:val="left"/>
      <w:pPr>
        <w:ind w:left="1143" w:hanging="5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58EC0BA3"/>
    <w:multiLevelType w:val="hybridMultilevel"/>
    <w:tmpl w:val="0FEC4626"/>
    <w:lvl w:ilvl="0" w:tplc="326E2E38">
      <w:start w:val="2"/>
      <w:numFmt w:val="bullet"/>
      <w:lvlText w:val="-"/>
      <w:lvlJc w:val="left"/>
      <w:pPr>
        <w:ind w:left="1287" w:hanging="360"/>
      </w:pPr>
      <w:rPr>
        <w:rFonts w:ascii="Arial" w:eastAsia="Times New Roman" w:hAnsi="Arial" w:cs="Arial" w:hint="default"/>
      </w:rPr>
    </w:lvl>
    <w:lvl w:ilvl="1" w:tplc="04090005">
      <w:start w:val="1"/>
      <w:numFmt w:val="bullet"/>
      <w:lvlText w:val=""/>
      <w:lvlJc w:val="left"/>
      <w:pPr>
        <w:ind w:left="2007" w:hanging="360"/>
      </w:pPr>
      <w:rPr>
        <w:rFonts w:ascii="Wingdings" w:hAnsi="Wingdings"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61FC5D2C"/>
    <w:multiLevelType w:val="hybridMultilevel"/>
    <w:tmpl w:val="66986286"/>
    <w:lvl w:ilvl="0" w:tplc="2084F234">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6B8C2AD6"/>
    <w:multiLevelType w:val="hybridMultilevel"/>
    <w:tmpl w:val="258A754A"/>
    <w:lvl w:ilvl="0" w:tplc="E4088ACC">
      <w:start w:val="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074D92"/>
    <w:multiLevelType w:val="hybridMultilevel"/>
    <w:tmpl w:val="47F2696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E351B2B"/>
    <w:multiLevelType w:val="hybridMultilevel"/>
    <w:tmpl w:val="C4C675CC"/>
    <w:lvl w:ilvl="0" w:tplc="326E2E38">
      <w:start w:val="2"/>
      <w:numFmt w:val="bullet"/>
      <w:lvlText w:val="-"/>
      <w:lvlJc w:val="left"/>
      <w:pPr>
        <w:ind w:left="1287" w:hanging="360"/>
      </w:pPr>
      <w:rPr>
        <w:rFonts w:ascii="Arial" w:eastAsia="Times New Roman" w:hAnsi="Arial" w:cs="Arial" w:hint="default"/>
      </w:rPr>
    </w:lvl>
    <w:lvl w:ilvl="1" w:tplc="326E2E38">
      <w:start w:val="2"/>
      <w:numFmt w:val="bullet"/>
      <w:lvlText w:val="-"/>
      <w:lvlJc w:val="left"/>
      <w:pPr>
        <w:ind w:left="2007" w:hanging="360"/>
      </w:pPr>
      <w:rPr>
        <w:rFonts w:ascii="Arial" w:eastAsia="Times New Roman" w:hAnsi="Arial" w:cs="Aria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7"/>
  </w:num>
  <w:num w:numId="2">
    <w:abstractNumId w:val="6"/>
  </w:num>
  <w:num w:numId="3">
    <w:abstractNumId w:val="5"/>
  </w:num>
  <w:num w:numId="4">
    <w:abstractNumId w:val="3"/>
  </w:num>
  <w:num w:numId="5">
    <w:abstractNumId w:val="2"/>
  </w:num>
  <w:num w:numId="6">
    <w:abstractNumId w:val="1"/>
  </w:num>
  <w:num w:numId="7">
    <w:abstractNumId w:val="12"/>
  </w:num>
  <w:num w:numId="8">
    <w:abstractNumId w:val="8"/>
  </w:num>
  <w:num w:numId="9">
    <w:abstractNumId w:val="11"/>
  </w:num>
  <w:num w:numId="10">
    <w:abstractNumId w:val="0"/>
  </w:num>
  <w:num w:numId="11">
    <w:abstractNumId w:val="10"/>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de-DE"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4CE"/>
    <w:rsid w:val="00010CF3"/>
    <w:rsid w:val="00011E27"/>
    <w:rsid w:val="000148BC"/>
    <w:rsid w:val="00024AB8"/>
    <w:rsid w:val="00030854"/>
    <w:rsid w:val="00036028"/>
    <w:rsid w:val="0003687F"/>
    <w:rsid w:val="0004198B"/>
    <w:rsid w:val="00044642"/>
    <w:rsid w:val="000446B9"/>
    <w:rsid w:val="0004482D"/>
    <w:rsid w:val="00047E21"/>
    <w:rsid w:val="00050E16"/>
    <w:rsid w:val="00057E9E"/>
    <w:rsid w:val="000735E5"/>
    <w:rsid w:val="0007372F"/>
    <w:rsid w:val="00085505"/>
    <w:rsid w:val="000A07C7"/>
    <w:rsid w:val="000C4E25"/>
    <w:rsid w:val="000C7021"/>
    <w:rsid w:val="000D402E"/>
    <w:rsid w:val="000D6BBC"/>
    <w:rsid w:val="000D7780"/>
    <w:rsid w:val="000E636A"/>
    <w:rsid w:val="000F2F11"/>
    <w:rsid w:val="00100A5F"/>
    <w:rsid w:val="00105929"/>
    <w:rsid w:val="00110BED"/>
    <w:rsid w:val="00110C36"/>
    <w:rsid w:val="001131D5"/>
    <w:rsid w:val="00114547"/>
    <w:rsid w:val="00141DB8"/>
    <w:rsid w:val="00151FE2"/>
    <w:rsid w:val="0015228A"/>
    <w:rsid w:val="00172084"/>
    <w:rsid w:val="0017474A"/>
    <w:rsid w:val="001758C6"/>
    <w:rsid w:val="00182B99"/>
    <w:rsid w:val="00197E5D"/>
    <w:rsid w:val="001A2D6A"/>
    <w:rsid w:val="001A6BA3"/>
    <w:rsid w:val="001C1525"/>
    <w:rsid w:val="001C4814"/>
    <w:rsid w:val="001F32DA"/>
    <w:rsid w:val="0021332C"/>
    <w:rsid w:val="00213982"/>
    <w:rsid w:val="002157FE"/>
    <w:rsid w:val="00233B9F"/>
    <w:rsid w:val="00236679"/>
    <w:rsid w:val="002370E9"/>
    <w:rsid w:val="0024416D"/>
    <w:rsid w:val="00245396"/>
    <w:rsid w:val="002576E4"/>
    <w:rsid w:val="00271911"/>
    <w:rsid w:val="00273187"/>
    <w:rsid w:val="00275A3A"/>
    <w:rsid w:val="002800A0"/>
    <w:rsid w:val="002801B3"/>
    <w:rsid w:val="00281060"/>
    <w:rsid w:val="00285BD0"/>
    <w:rsid w:val="002940E8"/>
    <w:rsid w:val="00294751"/>
    <w:rsid w:val="002A6E50"/>
    <w:rsid w:val="002B4298"/>
    <w:rsid w:val="002B7A36"/>
    <w:rsid w:val="002C256A"/>
    <w:rsid w:val="002D3619"/>
    <w:rsid w:val="002D5226"/>
    <w:rsid w:val="002F7F4E"/>
    <w:rsid w:val="00305A7F"/>
    <w:rsid w:val="003152FE"/>
    <w:rsid w:val="00327436"/>
    <w:rsid w:val="00344BD6"/>
    <w:rsid w:val="0035528D"/>
    <w:rsid w:val="00361821"/>
    <w:rsid w:val="00361E9E"/>
    <w:rsid w:val="00367AE2"/>
    <w:rsid w:val="003753EE"/>
    <w:rsid w:val="00391896"/>
    <w:rsid w:val="003A0835"/>
    <w:rsid w:val="003A5AAF"/>
    <w:rsid w:val="003B700A"/>
    <w:rsid w:val="003C3EB2"/>
    <w:rsid w:val="003C7FBE"/>
    <w:rsid w:val="003D227C"/>
    <w:rsid w:val="003D2B4D"/>
    <w:rsid w:val="003F37F5"/>
    <w:rsid w:val="003F44E6"/>
    <w:rsid w:val="0040391B"/>
    <w:rsid w:val="0043467F"/>
    <w:rsid w:val="00444A88"/>
    <w:rsid w:val="00460F9F"/>
    <w:rsid w:val="00463B3B"/>
    <w:rsid w:val="00474DA4"/>
    <w:rsid w:val="004759EF"/>
    <w:rsid w:val="00476B4D"/>
    <w:rsid w:val="004805FA"/>
    <w:rsid w:val="004935D2"/>
    <w:rsid w:val="004B1215"/>
    <w:rsid w:val="004B1505"/>
    <w:rsid w:val="004D00DC"/>
    <w:rsid w:val="004D047D"/>
    <w:rsid w:val="004D628F"/>
    <w:rsid w:val="004F1E9E"/>
    <w:rsid w:val="004F305A"/>
    <w:rsid w:val="00505604"/>
    <w:rsid w:val="00512164"/>
    <w:rsid w:val="00520297"/>
    <w:rsid w:val="005338F9"/>
    <w:rsid w:val="0054281C"/>
    <w:rsid w:val="00544581"/>
    <w:rsid w:val="0055137E"/>
    <w:rsid w:val="0055268D"/>
    <w:rsid w:val="00575525"/>
    <w:rsid w:val="00575DE2"/>
    <w:rsid w:val="00576BE4"/>
    <w:rsid w:val="005779DB"/>
    <w:rsid w:val="00595E0B"/>
    <w:rsid w:val="005A400A"/>
    <w:rsid w:val="005B269D"/>
    <w:rsid w:val="005C2E97"/>
    <w:rsid w:val="005D02F0"/>
    <w:rsid w:val="005F3E59"/>
    <w:rsid w:val="005F7B92"/>
    <w:rsid w:val="00612379"/>
    <w:rsid w:val="00612E97"/>
    <w:rsid w:val="006153B6"/>
    <w:rsid w:val="0061555F"/>
    <w:rsid w:val="006245ED"/>
    <w:rsid w:val="00627D90"/>
    <w:rsid w:val="00636CA6"/>
    <w:rsid w:val="00637782"/>
    <w:rsid w:val="00640A12"/>
    <w:rsid w:val="00641200"/>
    <w:rsid w:val="00645CA8"/>
    <w:rsid w:val="006655D3"/>
    <w:rsid w:val="00667404"/>
    <w:rsid w:val="00676ED0"/>
    <w:rsid w:val="0068387F"/>
    <w:rsid w:val="00687EB4"/>
    <w:rsid w:val="00695C56"/>
    <w:rsid w:val="006A3C27"/>
    <w:rsid w:val="006A5CDE"/>
    <w:rsid w:val="006A644A"/>
    <w:rsid w:val="006B17D2"/>
    <w:rsid w:val="006C224E"/>
    <w:rsid w:val="006D780A"/>
    <w:rsid w:val="00707879"/>
    <w:rsid w:val="0071271E"/>
    <w:rsid w:val="00732DEC"/>
    <w:rsid w:val="00735BD5"/>
    <w:rsid w:val="007451EC"/>
    <w:rsid w:val="00751613"/>
    <w:rsid w:val="00751E8E"/>
    <w:rsid w:val="00753E4B"/>
    <w:rsid w:val="00753EE9"/>
    <w:rsid w:val="007556F6"/>
    <w:rsid w:val="00760EEF"/>
    <w:rsid w:val="00777EE5"/>
    <w:rsid w:val="00784836"/>
    <w:rsid w:val="0079023E"/>
    <w:rsid w:val="00794839"/>
    <w:rsid w:val="007A2854"/>
    <w:rsid w:val="007C1D92"/>
    <w:rsid w:val="007C4CB9"/>
    <w:rsid w:val="007D0B9D"/>
    <w:rsid w:val="007D19B0"/>
    <w:rsid w:val="007E0EEC"/>
    <w:rsid w:val="007E14CE"/>
    <w:rsid w:val="007F498F"/>
    <w:rsid w:val="0080679D"/>
    <w:rsid w:val="008108B0"/>
    <w:rsid w:val="00811B20"/>
    <w:rsid w:val="00812609"/>
    <w:rsid w:val="008211B5"/>
    <w:rsid w:val="0082296E"/>
    <w:rsid w:val="00824099"/>
    <w:rsid w:val="00846D7C"/>
    <w:rsid w:val="00867AC1"/>
    <w:rsid w:val="00871133"/>
    <w:rsid w:val="008751DE"/>
    <w:rsid w:val="00890DF8"/>
    <w:rsid w:val="008A0ADE"/>
    <w:rsid w:val="008A288F"/>
    <w:rsid w:val="008A743F"/>
    <w:rsid w:val="008C0970"/>
    <w:rsid w:val="008D0BC5"/>
    <w:rsid w:val="008D2CF7"/>
    <w:rsid w:val="008F2587"/>
    <w:rsid w:val="008F4317"/>
    <w:rsid w:val="008F4B6B"/>
    <w:rsid w:val="00900C26"/>
    <w:rsid w:val="0090197F"/>
    <w:rsid w:val="00903264"/>
    <w:rsid w:val="00906DDC"/>
    <w:rsid w:val="00922891"/>
    <w:rsid w:val="00923899"/>
    <w:rsid w:val="00934E09"/>
    <w:rsid w:val="00936253"/>
    <w:rsid w:val="00940D46"/>
    <w:rsid w:val="009413F1"/>
    <w:rsid w:val="00952DD4"/>
    <w:rsid w:val="00953203"/>
    <w:rsid w:val="009561F4"/>
    <w:rsid w:val="00962FD0"/>
    <w:rsid w:val="00965AE7"/>
    <w:rsid w:val="00970A22"/>
    <w:rsid w:val="00970FED"/>
    <w:rsid w:val="0099085B"/>
    <w:rsid w:val="00992D82"/>
    <w:rsid w:val="00997029"/>
    <w:rsid w:val="009A07D8"/>
    <w:rsid w:val="009A7339"/>
    <w:rsid w:val="009B440E"/>
    <w:rsid w:val="009C6AC5"/>
    <w:rsid w:val="009D690D"/>
    <w:rsid w:val="009E65B6"/>
    <w:rsid w:val="009E77BA"/>
    <w:rsid w:val="009F0A51"/>
    <w:rsid w:val="009F77CF"/>
    <w:rsid w:val="00A03282"/>
    <w:rsid w:val="00A24C10"/>
    <w:rsid w:val="00A25E98"/>
    <w:rsid w:val="00A42AC3"/>
    <w:rsid w:val="00A430CF"/>
    <w:rsid w:val="00A54309"/>
    <w:rsid w:val="00A610A9"/>
    <w:rsid w:val="00A80F2A"/>
    <w:rsid w:val="00A96C33"/>
    <w:rsid w:val="00AB2B93"/>
    <w:rsid w:val="00AB530F"/>
    <w:rsid w:val="00AB7E5B"/>
    <w:rsid w:val="00AC2883"/>
    <w:rsid w:val="00AD5D72"/>
    <w:rsid w:val="00AE0687"/>
    <w:rsid w:val="00AE0EF1"/>
    <w:rsid w:val="00AE2937"/>
    <w:rsid w:val="00B07301"/>
    <w:rsid w:val="00B11F3E"/>
    <w:rsid w:val="00B224DE"/>
    <w:rsid w:val="00B324D4"/>
    <w:rsid w:val="00B46575"/>
    <w:rsid w:val="00B61777"/>
    <w:rsid w:val="00B622E6"/>
    <w:rsid w:val="00B74FCA"/>
    <w:rsid w:val="00B83E82"/>
    <w:rsid w:val="00B84BBD"/>
    <w:rsid w:val="00B85754"/>
    <w:rsid w:val="00BA43FB"/>
    <w:rsid w:val="00BC127D"/>
    <w:rsid w:val="00BC1FE6"/>
    <w:rsid w:val="00C03C0B"/>
    <w:rsid w:val="00C061B6"/>
    <w:rsid w:val="00C2446C"/>
    <w:rsid w:val="00C36AE5"/>
    <w:rsid w:val="00C41F17"/>
    <w:rsid w:val="00C527FA"/>
    <w:rsid w:val="00C5280D"/>
    <w:rsid w:val="00C53EB3"/>
    <w:rsid w:val="00C5791C"/>
    <w:rsid w:val="00C61377"/>
    <w:rsid w:val="00C66290"/>
    <w:rsid w:val="00C72B7A"/>
    <w:rsid w:val="00C95476"/>
    <w:rsid w:val="00C973F2"/>
    <w:rsid w:val="00CA304C"/>
    <w:rsid w:val="00CA6323"/>
    <w:rsid w:val="00CA774A"/>
    <w:rsid w:val="00CB4921"/>
    <w:rsid w:val="00CC11B0"/>
    <w:rsid w:val="00CC2841"/>
    <w:rsid w:val="00CF1330"/>
    <w:rsid w:val="00CF7E36"/>
    <w:rsid w:val="00D2079B"/>
    <w:rsid w:val="00D270E6"/>
    <w:rsid w:val="00D354EC"/>
    <w:rsid w:val="00D3708D"/>
    <w:rsid w:val="00D375A1"/>
    <w:rsid w:val="00D40426"/>
    <w:rsid w:val="00D43EA8"/>
    <w:rsid w:val="00D57C96"/>
    <w:rsid w:val="00D57D18"/>
    <w:rsid w:val="00D6430D"/>
    <w:rsid w:val="00D70E65"/>
    <w:rsid w:val="00D73E3F"/>
    <w:rsid w:val="00D740AB"/>
    <w:rsid w:val="00D91203"/>
    <w:rsid w:val="00D95174"/>
    <w:rsid w:val="00DA4973"/>
    <w:rsid w:val="00DA6F36"/>
    <w:rsid w:val="00DB596E"/>
    <w:rsid w:val="00DB72FA"/>
    <w:rsid w:val="00DB7773"/>
    <w:rsid w:val="00DC00EA"/>
    <w:rsid w:val="00DC3802"/>
    <w:rsid w:val="00DD6208"/>
    <w:rsid w:val="00DF36C4"/>
    <w:rsid w:val="00DF7E99"/>
    <w:rsid w:val="00E07384"/>
    <w:rsid w:val="00E07D87"/>
    <w:rsid w:val="00E12515"/>
    <w:rsid w:val="00E249C8"/>
    <w:rsid w:val="00E30364"/>
    <w:rsid w:val="00E32F7E"/>
    <w:rsid w:val="00E44777"/>
    <w:rsid w:val="00E5267B"/>
    <w:rsid w:val="00E559F0"/>
    <w:rsid w:val="00E63C0E"/>
    <w:rsid w:val="00E72D49"/>
    <w:rsid w:val="00E7593C"/>
    <w:rsid w:val="00E7678A"/>
    <w:rsid w:val="00E935F1"/>
    <w:rsid w:val="00E94A81"/>
    <w:rsid w:val="00E9763E"/>
    <w:rsid w:val="00EA1FFB"/>
    <w:rsid w:val="00EB001D"/>
    <w:rsid w:val="00EB048E"/>
    <w:rsid w:val="00EB4E9C"/>
    <w:rsid w:val="00EE34DF"/>
    <w:rsid w:val="00EF01E9"/>
    <w:rsid w:val="00EF2F89"/>
    <w:rsid w:val="00EF3DDD"/>
    <w:rsid w:val="00F03E98"/>
    <w:rsid w:val="00F1237A"/>
    <w:rsid w:val="00F21E88"/>
    <w:rsid w:val="00F22CBD"/>
    <w:rsid w:val="00F272F1"/>
    <w:rsid w:val="00F31412"/>
    <w:rsid w:val="00F40D59"/>
    <w:rsid w:val="00F45372"/>
    <w:rsid w:val="00F560F7"/>
    <w:rsid w:val="00F6334D"/>
    <w:rsid w:val="00F633EB"/>
    <w:rsid w:val="00F63599"/>
    <w:rsid w:val="00F71781"/>
    <w:rsid w:val="00FA49AB"/>
    <w:rsid w:val="00FC5FD0"/>
    <w:rsid w:val="00FE39C7"/>
    <w:rsid w:val="00FF1AF6"/>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D4F9EAF-4B42-48F2-B595-94D98642B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8F4317"/>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en-US" w:bidi="ar-SA"/>
    </w:rPr>
  </w:style>
  <w:style w:type="paragraph" w:styleId="TOC2">
    <w:name w:val="toc 2"/>
    <w:next w:val="Normal"/>
    <w:autoRedefine/>
    <w:uiPriority w:val="39"/>
    <w:rsid w:val="0015228A"/>
    <w:pPr>
      <w:tabs>
        <w:tab w:val="right" w:leader="dot" w:pos="9639"/>
      </w:tabs>
      <w:spacing w:before="60" w:after="60"/>
      <w:ind w:left="720" w:right="432"/>
    </w:pPr>
    <w:rPr>
      <w:rFonts w:ascii="Arial" w:hAnsi="Arial"/>
      <w:sz w:val="18"/>
    </w:rPr>
  </w:style>
  <w:style w:type="paragraph" w:styleId="TOC3">
    <w:name w:val="toc 3"/>
    <w:next w:val="Normal"/>
    <w:autoRedefine/>
    <w:uiPriority w:val="39"/>
    <w:rsid w:val="0015228A"/>
    <w:pPr>
      <w:tabs>
        <w:tab w:val="right" w:leader="dot" w:pos="9639"/>
      </w:tabs>
      <w:spacing w:before="60" w:after="60"/>
      <w:ind w:left="1440" w:right="288"/>
    </w:pPr>
    <w:rPr>
      <w:rFonts w:ascii="Arial" w:hAnsi="Arial"/>
      <w:i/>
      <w:sz w:val="18"/>
    </w:rPr>
  </w:style>
  <w:style w:type="character" w:styleId="Hyperlink">
    <w:name w:val="Hyperlink"/>
    <w:basedOn w:val="DefaultParagraphFont"/>
    <w:uiPriority w:val="99"/>
    <w:rsid w:val="008F4317"/>
    <w:rPr>
      <w:noProof/>
      <w:color w:val="0000FF"/>
      <w:u w:val="single"/>
    </w:rPr>
  </w:style>
  <w:style w:type="paragraph" w:styleId="TOC4">
    <w:name w:val="toc 4"/>
    <w:next w:val="Normal"/>
    <w:autoRedefine/>
    <w:uiPriority w:val="39"/>
    <w:rsid w:val="0015228A"/>
    <w:pPr>
      <w:tabs>
        <w:tab w:val="right" w:leader="dot" w:pos="9639"/>
      </w:tabs>
      <w:spacing w:before="60" w:after="60"/>
      <w:ind w:left="2016" w:right="288"/>
    </w:pPr>
    <w:rPr>
      <w:rFonts w:ascii="Arial" w:hAnsi="Arial"/>
      <w:sz w:val="16"/>
    </w:rPr>
  </w:style>
  <w:style w:type="paragraph" w:styleId="TOC1">
    <w:name w:val="toc 1"/>
    <w:next w:val="Normal"/>
    <w:autoRedefine/>
    <w:uiPriority w:val="39"/>
    <w:rsid w:val="0015228A"/>
    <w:pPr>
      <w:tabs>
        <w:tab w:val="right" w:leader="dot" w:pos="9639"/>
      </w:tabs>
      <w:spacing w:before="120" w:after="60"/>
      <w:ind w:right="432"/>
    </w:pPr>
    <w:rPr>
      <w:rFonts w:ascii="Arial" w:hAnsi="Arial"/>
      <w:caps/>
      <w:sz w:val="18"/>
    </w:rPr>
  </w:style>
  <w:style w:type="paragraph" w:styleId="TOC5">
    <w:name w:val="toc 5"/>
    <w:next w:val="Normal"/>
    <w:autoRedefine/>
    <w:uiPriority w:val="39"/>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43467F"/>
    <w:rPr>
      <w:rFonts w:ascii="Arial" w:hAnsi="Arial"/>
      <w:sz w:val="16"/>
    </w:rPr>
  </w:style>
  <w:style w:type="paragraph" w:styleId="ListParagraph">
    <w:name w:val="List Paragraph"/>
    <w:aliases w:val="auto_list_(i),List Paragraph1"/>
    <w:basedOn w:val="Normal"/>
    <w:link w:val="ListParagraphChar"/>
    <w:uiPriority w:val="34"/>
    <w:qFormat/>
    <w:rsid w:val="00923899"/>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923899"/>
    <w:rPr>
      <w:rFonts w:ascii="Arial" w:hAnsi="Arial"/>
    </w:rPr>
  </w:style>
  <w:style w:type="paragraph" w:customStyle="1" w:styleId="Default">
    <w:name w:val="Default"/>
    <w:rsid w:val="00923899"/>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rsid w:val="00923899"/>
    <w:rPr>
      <w:rFonts w:ascii="Arial" w:hAnsi="Arial"/>
      <w:i/>
    </w:rPr>
  </w:style>
  <w:style w:type="character" w:customStyle="1" w:styleId="DecisionParagraphsChar">
    <w:name w:val="DecisionParagraphs Char"/>
    <w:basedOn w:val="DefaultParagraphFont"/>
    <w:link w:val="DecisionParagraphs"/>
    <w:rsid w:val="00923899"/>
    <w:rPr>
      <w:rFonts w:ascii="Arial" w:hAnsi="Arial"/>
      <w:i/>
    </w:rPr>
  </w:style>
  <w:style w:type="paragraph" w:customStyle="1" w:styleId="TableParagraph">
    <w:name w:val="Table Paragraph"/>
    <w:basedOn w:val="Normal"/>
    <w:uiPriority w:val="1"/>
    <w:qFormat/>
    <w:rsid w:val="00923899"/>
    <w:pPr>
      <w:widowControl w:val="0"/>
      <w:autoSpaceDE w:val="0"/>
      <w:autoSpaceDN w:val="0"/>
      <w:jc w:val="left"/>
    </w:pPr>
    <w:rPr>
      <w:rFonts w:ascii="Times New Roman" w:hAnsi="Times New Roman"/>
      <w:sz w:val="22"/>
      <w:szCs w:val="22"/>
    </w:rPr>
  </w:style>
  <w:style w:type="character" w:styleId="FollowedHyperlink">
    <w:name w:val="FollowedHyperlink"/>
    <w:basedOn w:val="DefaultParagraphFont"/>
    <w:semiHidden/>
    <w:unhideWhenUsed/>
    <w:rsid w:val="007078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178">
      <w:bodyDiv w:val="1"/>
      <w:marLeft w:val="0"/>
      <w:marRight w:val="0"/>
      <w:marTop w:val="0"/>
      <w:marBottom w:val="0"/>
      <w:divBdr>
        <w:top w:val="none" w:sz="0" w:space="0" w:color="auto"/>
        <w:left w:val="none" w:sz="0" w:space="0" w:color="auto"/>
        <w:bottom w:val="none" w:sz="0" w:space="0" w:color="auto"/>
        <w:right w:val="none" w:sz="0" w:space="0" w:color="auto"/>
      </w:divBdr>
    </w:div>
    <w:div w:id="825125568">
      <w:bodyDiv w:val="1"/>
      <w:marLeft w:val="0"/>
      <w:marRight w:val="0"/>
      <w:marTop w:val="0"/>
      <w:marBottom w:val="0"/>
      <w:divBdr>
        <w:top w:val="none" w:sz="0" w:space="0" w:color="auto"/>
        <w:left w:val="none" w:sz="0" w:space="0" w:color="auto"/>
        <w:bottom w:val="none" w:sz="0" w:space="0" w:color="auto"/>
        <w:right w:val="none" w:sz="0" w:space="0" w:color="auto"/>
      </w:divBdr>
    </w:div>
    <w:div w:id="898050422">
      <w:bodyDiv w:val="1"/>
      <w:marLeft w:val="0"/>
      <w:marRight w:val="0"/>
      <w:marTop w:val="0"/>
      <w:marBottom w:val="0"/>
      <w:divBdr>
        <w:top w:val="none" w:sz="0" w:space="0" w:color="auto"/>
        <w:left w:val="none" w:sz="0" w:space="0" w:color="auto"/>
        <w:bottom w:val="none" w:sz="0" w:space="0" w:color="auto"/>
        <w:right w:val="none" w:sz="0" w:space="0" w:color="auto"/>
      </w:divBdr>
    </w:div>
    <w:div w:id="943342928">
      <w:bodyDiv w:val="1"/>
      <w:marLeft w:val="0"/>
      <w:marRight w:val="0"/>
      <w:marTop w:val="0"/>
      <w:marBottom w:val="0"/>
      <w:divBdr>
        <w:top w:val="none" w:sz="0" w:space="0" w:color="auto"/>
        <w:left w:val="none" w:sz="0" w:space="0" w:color="auto"/>
        <w:bottom w:val="none" w:sz="0" w:space="0" w:color="auto"/>
        <w:right w:val="none" w:sz="0" w:space="0" w:color="auto"/>
      </w:divBdr>
    </w:div>
    <w:div w:id="1242106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meetings/de/details.jsp?meeting_id=6059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4131A-BDDF-4753-BA74-865151E4D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3056</Words>
  <Characters>17424</Characters>
  <Application>Microsoft Office Word</Application>
  <DocSecurity>0</DocSecurity>
  <Lines>145</Lines>
  <Paragraphs>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CAJ/78/12</vt:lpstr>
      <vt:lpstr>CAJ/78/12</vt:lpstr>
    </vt:vector>
  </TitlesOfParts>
  <Company>UPOV</Company>
  <LinksUpToDate>false</LinksUpToDate>
  <CharactersWithSpaces>20440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CAJ/78/12</dc:title>
  <dc:creator>SANCHEZ VIZCAINO GOMEZ Rosa Maria</dc:creator>
  <cp:lastModifiedBy>SANTOS Carla Marina</cp:lastModifiedBy>
  <cp:revision>6</cp:revision>
  <cp:lastPrinted>2021-10-06T12:50:00Z</cp:lastPrinted>
  <dcterms:created xsi:type="dcterms:W3CDTF">2021-10-08T09:17:00Z</dcterms:created>
  <dcterms:modified xsi:type="dcterms:W3CDTF">2021-10-21T07:27:00Z</dcterms:modified>
</cp:coreProperties>
</file>