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04D48">
        <w:tc>
          <w:tcPr>
            <w:tcW w:w="6522" w:type="dxa"/>
          </w:tcPr>
          <w:p w:rsidR="00904D48" w:rsidRDefault="0007796C">
            <w:pPr>
              <w:rPr>
                <w:szCs w:val="24"/>
                <w:lang w:val="de-DE"/>
              </w:rPr>
            </w:pPr>
            <w:r>
              <w:rPr>
                <w:noProof/>
                <w:szCs w:val="24"/>
                <w:lang w:eastAsia="en-US"/>
              </w:rPr>
              <w:drawing>
                <wp:inline distT="0" distB="0" distL="0" distR="0">
                  <wp:extent cx="942975" cy="238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p>
        </w:tc>
        <w:tc>
          <w:tcPr>
            <w:tcW w:w="3117" w:type="dxa"/>
          </w:tcPr>
          <w:p w:rsidR="00904D48" w:rsidRDefault="00904D48">
            <w:pPr>
              <w:pStyle w:val="Lettrine"/>
              <w:rPr>
                <w:bCs w:val="0"/>
                <w:szCs w:val="24"/>
                <w:lang w:val="de-DE"/>
              </w:rPr>
            </w:pPr>
            <w:r>
              <w:rPr>
                <w:bCs w:val="0"/>
                <w:noProof/>
                <w:szCs w:val="24"/>
                <w:lang w:val="de-DE"/>
              </w:rPr>
              <w:t>G</w:t>
            </w:r>
          </w:p>
        </w:tc>
      </w:tr>
      <w:tr w:rsidR="00904D48" w:rsidRPr="00E957E1">
        <w:trPr>
          <w:trHeight w:val="219"/>
        </w:trPr>
        <w:tc>
          <w:tcPr>
            <w:tcW w:w="6522" w:type="dxa"/>
          </w:tcPr>
          <w:p w:rsidR="00904D48" w:rsidRDefault="00904D48">
            <w:pPr>
              <w:pStyle w:val="upove"/>
              <w:rPr>
                <w:szCs w:val="24"/>
                <w:lang w:val="de-CH"/>
              </w:rPr>
            </w:pPr>
            <w:r>
              <w:rPr>
                <w:szCs w:val="24"/>
                <w:lang w:val="de-CH"/>
              </w:rPr>
              <w:t>Internationaler Verband zum Schutz von Pflanzenzüchtungen</w:t>
            </w:r>
          </w:p>
        </w:tc>
        <w:tc>
          <w:tcPr>
            <w:tcW w:w="3117" w:type="dxa"/>
          </w:tcPr>
          <w:p w:rsidR="00904D48" w:rsidRDefault="00904D48">
            <w:pPr>
              <w:rPr>
                <w:szCs w:val="24"/>
                <w:lang w:val="de-DE"/>
              </w:rPr>
            </w:pPr>
          </w:p>
        </w:tc>
      </w:tr>
    </w:tbl>
    <w:p w:rsidR="00904D48" w:rsidRDefault="00904D48">
      <w:pPr>
        <w:rPr>
          <w:szCs w:val="24"/>
          <w:lang w:val="de-DE"/>
        </w:rPr>
      </w:pPr>
    </w:p>
    <w:p w:rsidR="00904D48" w:rsidRDefault="00904D48">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04D48" w:rsidRPr="00E957E1">
        <w:tc>
          <w:tcPr>
            <w:tcW w:w="6512" w:type="dxa"/>
            <w:tcBorders>
              <w:bottom w:val="single" w:sz="4" w:space="0" w:color="auto"/>
            </w:tcBorders>
          </w:tcPr>
          <w:p w:rsidR="00904D48" w:rsidRDefault="00904D48">
            <w:pPr>
              <w:pStyle w:val="Sessiontc"/>
              <w:spacing w:line="240" w:lineRule="auto"/>
              <w:rPr>
                <w:bCs w:val="0"/>
                <w:szCs w:val="24"/>
                <w:lang w:val="de-DE"/>
              </w:rPr>
            </w:pPr>
            <w:r>
              <w:rPr>
                <w:bCs w:val="0"/>
                <w:szCs w:val="24"/>
                <w:lang w:val="de-CH"/>
              </w:rPr>
              <w:t>Verwaltungs- und Rechtsausschuß</w:t>
            </w:r>
          </w:p>
          <w:p w:rsidR="00904D48" w:rsidRDefault="00904D48">
            <w:pPr>
              <w:pStyle w:val="Sessiontcplacedate"/>
              <w:rPr>
                <w:bCs w:val="0"/>
                <w:szCs w:val="24"/>
              </w:rPr>
            </w:pPr>
            <w:r>
              <w:rPr>
                <w:bCs w:val="0"/>
                <w:szCs w:val="24"/>
                <w:lang w:val="de-CH"/>
              </w:rPr>
              <w:t>Siebenundsiebzigste Tagung</w:t>
            </w:r>
            <w:r>
              <w:rPr>
                <w:bCs w:val="0"/>
                <w:szCs w:val="24"/>
                <w:lang w:val="de-CH"/>
              </w:rPr>
              <w:br/>
              <w:t>Genf, 28. Oktober 2020</w:t>
            </w:r>
          </w:p>
        </w:tc>
        <w:tc>
          <w:tcPr>
            <w:tcW w:w="3127" w:type="dxa"/>
            <w:tcBorders>
              <w:bottom w:val="single" w:sz="4" w:space="0" w:color="auto"/>
            </w:tcBorders>
          </w:tcPr>
          <w:p w:rsidR="00904D48" w:rsidRDefault="00904D48">
            <w:pPr>
              <w:pStyle w:val="Doccode"/>
              <w:rPr>
                <w:bCs w:val="0"/>
                <w:szCs w:val="24"/>
                <w:lang w:val="de-DE"/>
              </w:rPr>
            </w:pPr>
            <w:r>
              <w:rPr>
                <w:bCs w:val="0"/>
                <w:szCs w:val="24"/>
                <w:lang w:val="de-CH"/>
              </w:rPr>
              <w:t>CAJ/77/4</w:t>
            </w:r>
          </w:p>
          <w:p w:rsidR="00904D48" w:rsidRDefault="00904D48">
            <w:pPr>
              <w:pStyle w:val="Docoriginal"/>
              <w:rPr>
                <w:bCs w:val="0"/>
                <w:szCs w:val="24"/>
                <w:lang w:val="de-DE"/>
              </w:rPr>
            </w:pPr>
            <w:r>
              <w:rPr>
                <w:bCs w:val="0"/>
                <w:szCs w:val="24"/>
                <w:lang w:val="de-CH"/>
              </w:rPr>
              <w:t>Original:</w:t>
            </w:r>
            <w:r>
              <w:rPr>
                <w:b w:val="0"/>
                <w:bCs w:val="0"/>
                <w:spacing w:val="0"/>
                <w:szCs w:val="24"/>
                <w:lang w:val="de-DE"/>
              </w:rPr>
              <w:t xml:space="preserve">  </w:t>
            </w:r>
            <w:r>
              <w:rPr>
                <w:b w:val="0"/>
                <w:bCs w:val="0"/>
                <w:spacing w:val="0"/>
                <w:szCs w:val="24"/>
                <w:lang w:val="de-CH"/>
              </w:rPr>
              <w:t>Englisch</w:t>
            </w:r>
          </w:p>
          <w:p w:rsidR="00904D48" w:rsidRDefault="00904D48">
            <w:pPr>
              <w:pStyle w:val="Docoriginal"/>
              <w:rPr>
                <w:bCs w:val="0"/>
                <w:szCs w:val="24"/>
                <w:lang w:val="de-CH"/>
              </w:rPr>
            </w:pPr>
            <w:r>
              <w:rPr>
                <w:bCs w:val="0"/>
                <w:szCs w:val="24"/>
                <w:lang w:val="de-CH"/>
              </w:rPr>
              <w:t>Datum</w:t>
            </w:r>
            <w:r w:rsidRPr="00B5291F">
              <w:rPr>
                <w:bCs w:val="0"/>
                <w:szCs w:val="24"/>
                <w:lang w:val="de-CH"/>
              </w:rPr>
              <w:t>:</w:t>
            </w:r>
            <w:r w:rsidRPr="00B5291F">
              <w:rPr>
                <w:b w:val="0"/>
                <w:bCs w:val="0"/>
                <w:spacing w:val="0"/>
                <w:szCs w:val="24"/>
                <w:lang w:val="de-DE"/>
              </w:rPr>
              <w:t xml:space="preserve">  </w:t>
            </w:r>
            <w:r w:rsidR="00B5291F" w:rsidRPr="00B5291F">
              <w:rPr>
                <w:b w:val="0"/>
                <w:bCs w:val="0"/>
                <w:spacing w:val="0"/>
                <w:szCs w:val="24"/>
                <w:lang w:val="de-CH"/>
              </w:rPr>
              <w:t>18</w:t>
            </w:r>
            <w:r w:rsidRPr="00B5291F">
              <w:rPr>
                <w:b w:val="0"/>
                <w:bCs w:val="0"/>
                <w:spacing w:val="0"/>
                <w:szCs w:val="24"/>
                <w:lang w:val="de-CH"/>
              </w:rPr>
              <w:t>. August 2020</w:t>
            </w:r>
          </w:p>
        </w:tc>
      </w:tr>
      <w:tr w:rsidR="00904D48" w:rsidRPr="00E957E1">
        <w:tc>
          <w:tcPr>
            <w:tcW w:w="6512" w:type="dxa"/>
            <w:tcBorders>
              <w:top w:val="single" w:sz="4" w:space="0" w:color="auto"/>
              <w:bottom w:val="single" w:sz="4" w:space="0" w:color="auto"/>
            </w:tcBorders>
          </w:tcPr>
          <w:p w:rsidR="00904D48" w:rsidRDefault="00904D48">
            <w:pPr>
              <w:jc w:val="left"/>
              <w:rPr>
                <w:szCs w:val="24"/>
                <w:lang w:val="de-CH"/>
              </w:rPr>
            </w:pPr>
            <w:r>
              <w:rPr>
                <w:b/>
                <w:i/>
                <w:kern w:val="28"/>
                <w:szCs w:val="24"/>
                <w:lang w:val="de-CH"/>
              </w:rPr>
              <w:t>auf dem Schriftweg zu prüfen</w:t>
            </w:r>
          </w:p>
        </w:tc>
        <w:tc>
          <w:tcPr>
            <w:tcW w:w="3127" w:type="dxa"/>
            <w:tcBorders>
              <w:top w:val="single" w:sz="4" w:space="0" w:color="auto"/>
              <w:bottom w:val="single" w:sz="4" w:space="0" w:color="auto"/>
            </w:tcBorders>
          </w:tcPr>
          <w:p w:rsidR="00904D48" w:rsidRDefault="00904D48">
            <w:pPr>
              <w:jc w:val="left"/>
              <w:rPr>
                <w:b/>
                <w:spacing w:val="10"/>
                <w:sz w:val="18"/>
                <w:szCs w:val="24"/>
                <w:lang w:val="de-DE"/>
              </w:rPr>
            </w:pPr>
          </w:p>
        </w:tc>
      </w:tr>
    </w:tbl>
    <w:p w:rsidR="00904D48" w:rsidRDefault="00904D48">
      <w:pPr>
        <w:pStyle w:val="Titleofdoc0"/>
        <w:rPr>
          <w:szCs w:val="24"/>
          <w:lang w:val="de-DE"/>
        </w:rPr>
      </w:pPr>
      <w:bookmarkStart w:id="0" w:name="Prepared"/>
      <w:bookmarkStart w:id="1" w:name="TitleOfDoc"/>
      <w:r>
        <w:rPr>
          <w:szCs w:val="24"/>
          <w:lang w:val="de-CH"/>
        </w:rPr>
        <w:t>Im wesentlichen abgeleitete Sorten</w:t>
      </w:r>
    </w:p>
    <w:bookmarkEnd w:id="0"/>
    <w:bookmarkEnd w:id="1"/>
    <w:p w:rsidR="00904D48" w:rsidRDefault="00904D48">
      <w:pPr>
        <w:pStyle w:val="preparedby1"/>
        <w:jc w:val="left"/>
        <w:rPr>
          <w:iCs w:val="0"/>
          <w:szCs w:val="24"/>
          <w:lang w:val="de-DE"/>
        </w:rPr>
      </w:pPr>
      <w:r>
        <w:rPr>
          <w:iCs w:val="0"/>
          <w:szCs w:val="24"/>
          <w:lang w:val="de-CH"/>
        </w:rPr>
        <w:t>Vom Verbandsbüro erstelltes Dokument</w:t>
      </w:r>
    </w:p>
    <w:p w:rsidR="00904D48" w:rsidRDefault="00904D48">
      <w:pPr>
        <w:pStyle w:val="Disclaimer"/>
        <w:rPr>
          <w:iCs w:val="0"/>
          <w:szCs w:val="24"/>
          <w:lang w:val="de-DE"/>
        </w:rPr>
      </w:pPr>
      <w:r>
        <w:rPr>
          <w:iCs w:val="0"/>
          <w:szCs w:val="24"/>
          <w:lang w:val="de-CH"/>
        </w:rPr>
        <w:t>Haftungsausschluß:</w:t>
      </w:r>
      <w:r>
        <w:rPr>
          <w:iCs w:val="0"/>
          <w:szCs w:val="24"/>
          <w:lang w:val="de-DE"/>
        </w:rPr>
        <w:t xml:space="preserve">  </w:t>
      </w:r>
      <w:r>
        <w:rPr>
          <w:iCs w:val="0"/>
          <w:szCs w:val="24"/>
          <w:lang w:val="de-CH"/>
        </w:rPr>
        <w:t>dieses Dokument gibt nicht die Grundsätze oder eine Anleitung der UPOV wieder</w:t>
      </w:r>
    </w:p>
    <w:p w:rsidR="00904D48" w:rsidRDefault="00904D48">
      <w:pPr>
        <w:keepNext/>
        <w:outlineLvl w:val="0"/>
        <w:rPr>
          <w:caps/>
          <w:szCs w:val="24"/>
          <w:lang w:val="de-DE"/>
        </w:rPr>
      </w:pPr>
      <w:bookmarkStart w:id="2" w:name="_Toc48897864"/>
      <w:r>
        <w:rPr>
          <w:caps/>
          <w:szCs w:val="24"/>
          <w:lang w:val="de-CH"/>
        </w:rPr>
        <w:t>ZUSAMMENFASSUNG</w:t>
      </w:r>
      <w:bookmarkEnd w:id="2"/>
    </w:p>
    <w:p w:rsidR="00904D48" w:rsidRPr="00160B43" w:rsidRDefault="00904D48">
      <w:pPr>
        <w:keepNext/>
        <w:outlineLvl w:val="0"/>
        <w:rPr>
          <w:b/>
          <w:caps/>
          <w:sz w:val="18"/>
          <w:szCs w:val="24"/>
          <w:lang w:val="de-DE"/>
        </w:rPr>
      </w:pPr>
    </w:p>
    <w:p w:rsidR="00904D48" w:rsidRDefault="00904D48">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Zweck dieses Dokuments ist es, Vorschläge zur Prüfung durch den Verwaltungs- und Rechtsausschuß (CAJ) gemäß den Antworten auf das UPOV-Rundschreiben E-20/093 vom 9. Juli 2020 vorzulegen und den CAJ zu ersuchen, die Arbeitsgruppe für im wesentlichen abgeleitete Sorten (WG-EDV) zu bilden, die Aufgabendefinition und die Zusammensetzung der WG-EDV zu billigen und einen Termin für die erste Sitzung der WG-EDV zu prüfen.</w:t>
      </w:r>
    </w:p>
    <w:p w:rsidR="00904D48" w:rsidRPr="00160B43" w:rsidRDefault="00904D48">
      <w:pPr>
        <w:jc w:val="left"/>
        <w:rPr>
          <w:sz w:val="18"/>
          <w:szCs w:val="24"/>
          <w:lang w:val="de-DE"/>
        </w:rPr>
      </w:pPr>
    </w:p>
    <w:p w:rsidR="00904D48" w:rsidRDefault="00904D48">
      <w:pPr>
        <w:jc w:val="lef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wird ersucht,</w:t>
      </w:r>
    </w:p>
    <w:p w:rsidR="00904D48" w:rsidRPr="00160B43" w:rsidRDefault="00904D48">
      <w:pPr>
        <w:rPr>
          <w:sz w:val="18"/>
          <w:szCs w:val="24"/>
          <w:lang w:val="de-DE"/>
        </w:rPr>
      </w:pPr>
    </w:p>
    <w:p w:rsidR="00904D48" w:rsidRDefault="00904D48">
      <w:pPr>
        <w:rPr>
          <w:szCs w:val="24"/>
          <w:lang w:val="de-DE"/>
        </w:rPr>
      </w:pPr>
      <w:r>
        <w:rPr>
          <w:szCs w:val="24"/>
          <w:lang w:val="de-DE"/>
        </w:rPr>
        <w:tab/>
      </w:r>
      <w:r>
        <w:rPr>
          <w:szCs w:val="24"/>
          <w:lang w:val="de-CH"/>
        </w:rPr>
        <w:t>a)</w:t>
      </w:r>
      <w:r>
        <w:rPr>
          <w:szCs w:val="24"/>
          <w:lang w:val="de-DE"/>
        </w:rPr>
        <w:tab/>
      </w:r>
      <w:r>
        <w:rPr>
          <w:szCs w:val="24"/>
          <w:lang w:val="de-CH"/>
        </w:rPr>
        <w:t xml:space="preserve">die WG-EDV zu bilden und die Aufgabendefinition der WG-EDV, wie in Anlage II dieses Dokuments dargelegt, in Verbindung mit den geänderten „Grundsatzfragen in Zusammenhang mit Brauch und Praxis der Züchter“ in Anlage I dieses Dokuments zu </w:t>
      </w:r>
      <w:r w:rsidR="007D2993">
        <w:rPr>
          <w:szCs w:val="24"/>
          <w:lang w:val="de-CH"/>
        </w:rPr>
        <w:t>billige</w:t>
      </w:r>
      <w:r>
        <w:rPr>
          <w:szCs w:val="24"/>
          <w:lang w:val="de-CH"/>
        </w:rPr>
        <w:t>n;</w:t>
      </w:r>
    </w:p>
    <w:p w:rsidR="00904D48" w:rsidRPr="00160B43" w:rsidRDefault="00904D48">
      <w:pPr>
        <w:rPr>
          <w:sz w:val="18"/>
          <w:szCs w:val="24"/>
          <w:lang w:val="de-DE"/>
        </w:rPr>
      </w:pPr>
    </w:p>
    <w:p w:rsidR="00904D48" w:rsidRDefault="00904D48">
      <w:pPr>
        <w:rPr>
          <w:szCs w:val="24"/>
          <w:lang w:val="de-DE"/>
        </w:rPr>
      </w:pPr>
      <w:r>
        <w:rPr>
          <w:szCs w:val="24"/>
          <w:lang w:val="de-DE"/>
        </w:rPr>
        <w:tab/>
      </w:r>
      <w:r>
        <w:rPr>
          <w:szCs w:val="24"/>
          <w:lang w:val="de-CH"/>
        </w:rPr>
        <w:t>b)</w:t>
      </w:r>
      <w:r>
        <w:rPr>
          <w:szCs w:val="24"/>
          <w:lang w:val="de-DE"/>
        </w:rPr>
        <w:tab/>
      </w:r>
      <w:r>
        <w:rPr>
          <w:szCs w:val="24"/>
          <w:lang w:val="de-CH"/>
        </w:rPr>
        <w:t xml:space="preserve">die Zusammensetzung der WG-EDV, wie in Absatz 15 dargelegt, zu </w:t>
      </w:r>
      <w:r w:rsidR="007D2993">
        <w:rPr>
          <w:szCs w:val="24"/>
          <w:lang w:val="de-CH"/>
        </w:rPr>
        <w:t>billigen</w:t>
      </w:r>
      <w:r>
        <w:rPr>
          <w:szCs w:val="24"/>
          <w:lang w:val="de-CH"/>
        </w:rPr>
        <w:t>;</w:t>
      </w:r>
    </w:p>
    <w:p w:rsidR="00904D48" w:rsidRPr="00160B43" w:rsidRDefault="00904D48">
      <w:pPr>
        <w:rPr>
          <w:sz w:val="18"/>
          <w:szCs w:val="24"/>
          <w:lang w:val="de-DE"/>
        </w:rPr>
      </w:pPr>
    </w:p>
    <w:p w:rsidR="00904D48" w:rsidRPr="00160B43" w:rsidRDefault="00904D48">
      <w:pPr>
        <w:rPr>
          <w:spacing w:val="-4"/>
          <w:szCs w:val="24"/>
          <w:lang w:val="de-DE"/>
        </w:rPr>
      </w:pPr>
      <w:r w:rsidRPr="00160B43">
        <w:rPr>
          <w:spacing w:val="-4"/>
          <w:szCs w:val="24"/>
          <w:lang w:val="de-DE"/>
        </w:rPr>
        <w:tab/>
      </w:r>
      <w:r w:rsidRPr="00160B43">
        <w:rPr>
          <w:spacing w:val="-4"/>
          <w:szCs w:val="24"/>
          <w:lang w:val="de-CH"/>
        </w:rPr>
        <w:t>c)</w:t>
      </w:r>
      <w:r w:rsidRPr="00160B43">
        <w:rPr>
          <w:spacing w:val="-4"/>
          <w:szCs w:val="24"/>
          <w:lang w:val="de-DE"/>
        </w:rPr>
        <w:tab/>
      </w:r>
      <w:r w:rsidRPr="00160B43">
        <w:rPr>
          <w:spacing w:val="-4"/>
          <w:szCs w:val="24"/>
          <w:lang w:val="de-CH"/>
        </w:rPr>
        <w:t xml:space="preserve">den vorläufigen Termin für die erste Sitzung der WG-EDV, wie in Absatz 16 dargelegt, zu </w:t>
      </w:r>
      <w:r w:rsidR="007D2993" w:rsidRPr="00160B43">
        <w:rPr>
          <w:spacing w:val="-4"/>
          <w:szCs w:val="24"/>
          <w:lang w:val="de-CH"/>
        </w:rPr>
        <w:t>billigen</w:t>
      </w:r>
      <w:r w:rsidRPr="00160B43">
        <w:rPr>
          <w:spacing w:val="-4"/>
          <w:szCs w:val="24"/>
          <w:lang w:val="de-CH"/>
        </w:rPr>
        <w:t>; und</w:t>
      </w:r>
    </w:p>
    <w:p w:rsidR="00904D48" w:rsidRPr="00160B43" w:rsidRDefault="00904D48">
      <w:pPr>
        <w:rPr>
          <w:sz w:val="18"/>
          <w:szCs w:val="24"/>
          <w:lang w:val="de-DE"/>
        </w:rPr>
      </w:pPr>
    </w:p>
    <w:p w:rsidR="00904D48" w:rsidRDefault="00904D48">
      <w:pPr>
        <w:rPr>
          <w:szCs w:val="24"/>
          <w:lang w:val="de-DE"/>
        </w:rPr>
      </w:pPr>
      <w:r>
        <w:rPr>
          <w:szCs w:val="24"/>
          <w:lang w:val="de-DE"/>
        </w:rPr>
        <w:tab/>
      </w:r>
      <w:r>
        <w:rPr>
          <w:szCs w:val="24"/>
          <w:lang w:val="de-CH"/>
        </w:rPr>
        <w:t>d)</w:t>
      </w:r>
      <w:r>
        <w:rPr>
          <w:szCs w:val="24"/>
          <w:lang w:val="de-DE"/>
        </w:rPr>
        <w:tab/>
      </w:r>
      <w:r>
        <w:rPr>
          <w:szCs w:val="24"/>
          <w:lang w:val="de-CH"/>
        </w:rPr>
        <w:t xml:space="preserve">die WG-EDV zu ersuchen, </w:t>
      </w:r>
      <w:r w:rsidR="000F7A1E">
        <w:rPr>
          <w:szCs w:val="24"/>
          <w:lang w:val="de-CH"/>
        </w:rPr>
        <w:t xml:space="preserve">auf ihrer ersten Sitzung </w:t>
      </w:r>
      <w:r>
        <w:rPr>
          <w:szCs w:val="24"/>
          <w:lang w:val="de-CH"/>
        </w:rPr>
        <w:t>einen Zeitplan für ihre Arbeit zur Prüfung durch den CAJ auf seiner Tagung im Jahre 2021 vorzuschlagen.</w:t>
      </w:r>
    </w:p>
    <w:p w:rsidR="00904D48" w:rsidRPr="00160B43" w:rsidRDefault="00904D48">
      <w:pPr>
        <w:rPr>
          <w:sz w:val="18"/>
          <w:szCs w:val="24"/>
          <w:lang w:val="de-DE"/>
        </w:rPr>
      </w:pPr>
    </w:p>
    <w:p w:rsidR="00904D48" w:rsidRDefault="00904D48">
      <w:pPr>
        <w:jc w:val="left"/>
        <w:rPr>
          <w:color w:val="000000"/>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Aufbau dieses Dokuments ist nachstehend zusammengefasst:</w:t>
      </w:r>
    </w:p>
    <w:p w:rsidR="00904D48" w:rsidRPr="00160B43" w:rsidRDefault="00904D48">
      <w:pPr>
        <w:rPr>
          <w:sz w:val="18"/>
          <w:szCs w:val="24"/>
          <w:lang w:val="de-DE"/>
        </w:rPr>
      </w:pPr>
    </w:p>
    <w:p w:rsidR="00FD5D02" w:rsidRDefault="00904D48">
      <w:pPr>
        <w:pStyle w:val="TOC1"/>
        <w:rPr>
          <w:rFonts w:asciiTheme="minorHAnsi" w:eastAsiaTheme="minorEastAsia" w:hAnsiTheme="minorHAnsi" w:cstheme="minorBidi"/>
          <w:caps w:val="0"/>
          <w:noProof/>
          <w:snapToGrid/>
          <w:sz w:val="22"/>
          <w:szCs w:val="22"/>
          <w:lang w:eastAsia="en-US"/>
        </w:rPr>
      </w:pPr>
      <w:r>
        <w:rPr>
          <w:szCs w:val="24"/>
          <w:lang w:val="de-DE"/>
        </w:rPr>
        <w:fldChar w:fldCharType="begin"/>
      </w:r>
      <w:r>
        <w:rPr>
          <w:szCs w:val="24"/>
          <w:lang w:val="de-DE"/>
        </w:rPr>
        <w:instrText xml:space="preserve"> TOC \o "1-3" \h \z \u </w:instrText>
      </w:r>
      <w:r>
        <w:rPr>
          <w:szCs w:val="24"/>
          <w:lang w:val="de-DE"/>
        </w:rPr>
        <w:fldChar w:fldCharType="separate"/>
      </w:r>
      <w:hyperlink w:anchor="_Toc48897864" w:history="1">
        <w:r w:rsidR="00FD5D02" w:rsidRPr="00531975">
          <w:rPr>
            <w:rStyle w:val="Hyperlink"/>
            <w:noProof/>
            <w:lang w:val="de-CH"/>
          </w:rPr>
          <w:t>ZUSAMMENFASSUNG</w:t>
        </w:r>
        <w:r w:rsidR="00FD5D02">
          <w:rPr>
            <w:noProof/>
            <w:webHidden/>
          </w:rPr>
          <w:tab/>
        </w:r>
        <w:r w:rsidR="00FD5D02">
          <w:rPr>
            <w:noProof/>
            <w:webHidden/>
          </w:rPr>
          <w:fldChar w:fldCharType="begin"/>
        </w:r>
        <w:r w:rsidR="00FD5D02">
          <w:rPr>
            <w:noProof/>
            <w:webHidden/>
          </w:rPr>
          <w:instrText xml:space="preserve"> PAGEREF _Toc48897864 \h </w:instrText>
        </w:r>
        <w:r w:rsidR="00FD5D02">
          <w:rPr>
            <w:noProof/>
            <w:webHidden/>
          </w:rPr>
        </w:r>
        <w:r w:rsidR="00FD5D02">
          <w:rPr>
            <w:noProof/>
            <w:webHidden/>
          </w:rPr>
          <w:fldChar w:fldCharType="separate"/>
        </w:r>
        <w:r w:rsidR="007B394A">
          <w:rPr>
            <w:noProof/>
            <w:webHidden/>
          </w:rPr>
          <w:t>1</w:t>
        </w:r>
        <w:r w:rsidR="00FD5D02">
          <w:rPr>
            <w:noProof/>
            <w:webHidden/>
          </w:rPr>
          <w:fldChar w:fldCharType="end"/>
        </w:r>
      </w:hyperlink>
    </w:p>
    <w:p w:rsidR="00FD5D02" w:rsidRDefault="00E957E1">
      <w:pPr>
        <w:pStyle w:val="TOC1"/>
        <w:rPr>
          <w:rFonts w:asciiTheme="minorHAnsi" w:eastAsiaTheme="minorEastAsia" w:hAnsiTheme="minorHAnsi" w:cstheme="minorBidi"/>
          <w:caps w:val="0"/>
          <w:noProof/>
          <w:snapToGrid/>
          <w:sz w:val="22"/>
          <w:szCs w:val="22"/>
          <w:lang w:eastAsia="en-US"/>
        </w:rPr>
      </w:pPr>
      <w:hyperlink w:anchor="_Toc48897865" w:history="1">
        <w:r w:rsidR="00FD5D02" w:rsidRPr="00531975">
          <w:rPr>
            <w:rStyle w:val="Hyperlink"/>
            <w:noProof/>
            <w:lang w:val="de-CH"/>
          </w:rPr>
          <w:t>Hintergrund</w:t>
        </w:r>
        <w:r w:rsidR="00FD5D02">
          <w:rPr>
            <w:noProof/>
            <w:webHidden/>
          </w:rPr>
          <w:tab/>
        </w:r>
        <w:r w:rsidR="00FD5D02">
          <w:rPr>
            <w:noProof/>
            <w:webHidden/>
          </w:rPr>
          <w:fldChar w:fldCharType="begin"/>
        </w:r>
        <w:r w:rsidR="00FD5D02">
          <w:rPr>
            <w:noProof/>
            <w:webHidden/>
          </w:rPr>
          <w:instrText xml:space="preserve"> PAGEREF _Toc48897865 \h </w:instrText>
        </w:r>
        <w:r w:rsidR="00FD5D02">
          <w:rPr>
            <w:noProof/>
            <w:webHidden/>
          </w:rPr>
        </w:r>
        <w:r w:rsidR="00FD5D02">
          <w:rPr>
            <w:noProof/>
            <w:webHidden/>
          </w:rPr>
          <w:fldChar w:fldCharType="separate"/>
        </w:r>
        <w:r w:rsidR="007B394A">
          <w:rPr>
            <w:noProof/>
            <w:webHidden/>
          </w:rPr>
          <w:t>2</w:t>
        </w:r>
        <w:r w:rsidR="00FD5D02">
          <w:rPr>
            <w:noProof/>
            <w:webHidden/>
          </w:rPr>
          <w:fldChar w:fldCharType="end"/>
        </w:r>
      </w:hyperlink>
    </w:p>
    <w:p w:rsidR="00FD5D02" w:rsidRDefault="00E957E1">
      <w:pPr>
        <w:pStyle w:val="TOC1"/>
        <w:rPr>
          <w:rFonts w:asciiTheme="minorHAnsi" w:eastAsiaTheme="minorEastAsia" w:hAnsiTheme="minorHAnsi" w:cstheme="minorBidi"/>
          <w:caps w:val="0"/>
          <w:noProof/>
          <w:snapToGrid/>
          <w:sz w:val="22"/>
          <w:szCs w:val="22"/>
          <w:lang w:eastAsia="en-US"/>
        </w:rPr>
      </w:pPr>
      <w:hyperlink w:anchor="_Toc48897866" w:history="1">
        <w:r w:rsidR="00FD5D02" w:rsidRPr="00531975">
          <w:rPr>
            <w:rStyle w:val="Hyperlink"/>
            <w:noProof/>
            <w:lang w:val="de-CH"/>
          </w:rPr>
          <w:t>VERFAHREN FÜR DIE ÜBERARBEITUNG DER IN DOKUMENT UPOV/EXN/EDV/2 „Erläuterungen zu den im wesentlichen abgeleiteten Sorten nach der Akte von 1991 des UPOV-Übereinkommens“ ENTHALTENEN ANLEITUNG ZU DEN IM WESENTLICHEN ABGELEITETEN SORTEN</w:t>
        </w:r>
        <w:r w:rsidR="00FD5D02">
          <w:rPr>
            <w:noProof/>
            <w:webHidden/>
          </w:rPr>
          <w:tab/>
        </w:r>
        <w:r w:rsidR="00FD5D02">
          <w:rPr>
            <w:noProof/>
            <w:webHidden/>
          </w:rPr>
          <w:fldChar w:fldCharType="begin"/>
        </w:r>
        <w:r w:rsidR="00FD5D02">
          <w:rPr>
            <w:noProof/>
            <w:webHidden/>
          </w:rPr>
          <w:instrText xml:space="preserve"> PAGEREF _Toc48897866 \h </w:instrText>
        </w:r>
        <w:r w:rsidR="00FD5D02">
          <w:rPr>
            <w:noProof/>
            <w:webHidden/>
          </w:rPr>
        </w:r>
        <w:r w:rsidR="00FD5D02">
          <w:rPr>
            <w:noProof/>
            <w:webHidden/>
          </w:rPr>
          <w:fldChar w:fldCharType="separate"/>
        </w:r>
        <w:r w:rsidR="007B394A">
          <w:rPr>
            <w:noProof/>
            <w:webHidden/>
          </w:rPr>
          <w:t>3</w:t>
        </w:r>
        <w:r w:rsidR="00FD5D02">
          <w:rPr>
            <w:noProof/>
            <w:webHidden/>
          </w:rPr>
          <w:fldChar w:fldCharType="end"/>
        </w:r>
      </w:hyperlink>
    </w:p>
    <w:p w:rsidR="00FD5D02" w:rsidRDefault="00E957E1">
      <w:pPr>
        <w:pStyle w:val="TOC2"/>
        <w:rPr>
          <w:rFonts w:asciiTheme="minorHAnsi" w:eastAsiaTheme="minorEastAsia" w:hAnsiTheme="minorHAnsi" w:cstheme="minorBidi"/>
          <w:noProof/>
          <w:snapToGrid/>
          <w:sz w:val="22"/>
          <w:szCs w:val="22"/>
          <w:lang w:eastAsia="en-US"/>
        </w:rPr>
      </w:pPr>
      <w:hyperlink w:anchor="_Toc48897867" w:history="1">
        <w:r w:rsidR="00FD5D02" w:rsidRPr="00531975">
          <w:rPr>
            <w:rStyle w:val="Hyperlink"/>
            <w:noProof/>
            <w:lang w:val="de-CH"/>
          </w:rPr>
          <w:t>Entwicklungen seit der sechsundsiebzigsten Tagung des CAJ</w:t>
        </w:r>
        <w:r w:rsidR="00FD5D02">
          <w:rPr>
            <w:noProof/>
            <w:webHidden/>
          </w:rPr>
          <w:tab/>
        </w:r>
        <w:r w:rsidR="00FD5D02">
          <w:rPr>
            <w:noProof/>
            <w:webHidden/>
          </w:rPr>
          <w:fldChar w:fldCharType="begin"/>
        </w:r>
        <w:r w:rsidR="00FD5D02">
          <w:rPr>
            <w:noProof/>
            <w:webHidden/>
          </w:rPr>
          <w:instrText xml:space="preserve"> PAGEREF _Toc48897867 \h </w:instrText>
        </w:r>
        <w:r w:rsidR="00FD5D02">
          <w:rPr>
            <w:noProof/>
            <w:webHidden/>
          </w:rPr>
        </w:r>
        <w:r w:rsidR="00FD5D02">
          <w:rPr>
            <w:noProof/>
            <w:webHidden/>
          </w:rPr>
          <w:fldChar w:fldCharType="separate"/>
        </w:r>
        <w:r w:rsidR="007B394A">
          <w:rPr>
            <w:noProof/>
            <w:webHidden/>
          </w:rPr>
          <w:t>3</w:t>
        </w:r>
        <w:r w:rsidR="00FD5D02">
          <w:rPr>
            <w:noProof/>
            <w:webHidden/>
          </w:rPr>
          <w:fldChar w:fldCharType="end"/>
        </w:r>
      </w:hyperlink>
    </w:p>
    <w:p w:rsidR="00FD5D02" w:rsidRDefault="00E957E1">
      <w:pPr>
        <w:pStyle w:val="TOC2"/>
        <w:rPr>
          <w:rFonts w:asciiTheme="minorHAnsi" w:eastAsiaTheme="minorEastAsia" w:hAnsiTheme="minorHAnsi" w:cstheme="minorBidi"/>
          <w:noProof/>
          <w:snapToGrid/>
          <w:sz w:val="22"/>
          <w:szCs w:val="22"/>
          <w:lang w:eastAsia="en-US"/>
        </w:rPr>
      </w:pPr>
      <w:hyperlink w:anchor="_Toc48897868" w:history="1">
        <w:r w:rsidR="00FD5D02" w:rsidRPr="00531975">
          <w:rPr>
            <w:rStyle w:val="Hyperlink"/>
            <w:noProof/>
            <w:lang w:val="de-CH"/>
          </w:rPr>
          <w:t>UPOV-Rundschreiben E-19/232 und E-19/233 vom 23. Dezember 2019</w:t>
        </w:r>
        <w:r w:rsidR="00FD5D02">
          <w:rPr>
            <w:noProof/>
            <w:webHidden/>
          </w:rPr>
          <w:tab/>
        </w:r>
        <w:r w:rsidR="00FD5D02">
          <w:rPr>
            <w:noProof/>
            <w:webHidden/>
          </w:rPr>
          <w:fldChar w:fldCharType="begin"/>
        </w:r>
        <w:r w:rsidR="00FD5D02">
          <w:rPr>
            <w:noProof/>
            <w:webHidden/>
          </w:rPr>
          <w:instrText xml:space="preserve"> PAGEREF _Toc48897868 \h </w:instrText>
        </w:r>
        <w:r w:rsidR="00FD5D02">
          <w:rPr>
            <w:noProof/>
            <w:webHidden/>
          </w:rPr>
        </w:r>
        <w:r w:rsidR="00FD5D02">
          <w:rPr>
            <w:noProof/>
            <w:webHidden/>
          </w:rPr>
          <w:fldChar w:fldCharType="separate"/>
        </w:r>
        <w:r w:rsidR="007B394A">
          <w:rPr>
            <w:noProof/>
            <w:webHidden/>
          </w:rPr>
          <w:t>3</w:t>
        </w:r>
        <w:r w:rsidR="00FD5D02">
          <w:rPr>
            <w:noProof/>
            <w:webHidden/>
          </w:rPr>
          <w:fldChar w:fldCharType="end"/>
        </w:r>
      </w:hyperlink>
    </w:p>
    <w:p w:rsidR="00FD5D02" w:rsidRDefault="00E957E1">
      <w:pPr>
        <w:pStyle w:val="TOC2"/>
        <w:rPr>
          <w:rFonts w:asciiTheme="minorHAnsi" w:eastAsiaTheme="minorEastAsia" w:hAnsiTheme="minorHAnsi" w:cstheme="minorBidi"/>
          <w:noProof/>
          <w:snapToGrid/>
          <w:sz w:val="22"/>
          <w:szCs w:val="22"/>
          <w:lang w:eastAsia="en-US"/>
        </w:rPr>
      </w:pPr>
      <w:hyperlink w:anchor="_Toc48897869" w:history="1">
        <w:r w:rsidR="00FD5D02" w:rsidRPr="00531975">
          <w:rPr>
            <w:rStyle w:val="Hyperlink"/>
            <w:noProof/>
            <w:lang w:val="de-CH"/>
          </w:rPr>
          <w:t>UPOV-Rundschreiben E-20/093 vom 9. Juli 2020</w:t>
        </w:r>
        <w:r w:rsidR="00FD5D02">
          <w:rPr>
            <w:noProof/>
            <w:webHidden/>
          </w:rPr>
          <w:tab/>
        </w:r>
        <w:r w:rsidR="00FD5D02">
          <w:rPr>
            <w:noProof/>
            <w:webHidden/>
          </w:rPr>
          <w:fldChar w:fldCharType="begin"/>
        </w:r>
        <w:r w:rsidR="00FD5D02">
          <w:rPr>
            <w:noProof/>
            <w:webHidden/>
          </w:rPr>
          <w:instrText xml:space="preserve"> PAGEREF _Toc48897869 \h </w:instrText>
        </w:r>
        <w:r w:rsidR="00FD5D02">
          <w:rPr>
            <w:noProof/>
            <w:webHidden/>
          </w:rPr>
        </w:r>
        <w:r w:rsidR="00FD5D02">
          <w:rPr>
            <w:noProof/>
            <w:webHidden/>
          </w:rPr>
          <w:fldChar w:fldCharType="separate"/>
        </w:r>
        <w:r w:rsidR="007B394A">
          <w:rPr>
            <w:noProof/>
            <w:webHidden/>
          </w:rPr>
          <w:t>3</w:t>
        </w:r>
        <w:r w:rsidR="00FD5D02">
          <w:rPr>
            <w:noProof/>
            <w:webHidden/>
          </w:rPr>
          <w:fldChar w:fldCharType="end"/>
        </w:r>
      </w:hyperlink>
    </w:p>
    <w:p w:rsidR="00FD5D02" w:rsidRDefault="00E957E1">
      <w:pPr>
        <w:pStyle w:val="TOC3"/>
        <w:rPr>
          <w:rFonts w:asciiTheme="minorHAnsi" w:eastAsiaTheme="minorEastAsia" w:hAnsiTheme="minorHAnsi" w:cstheme="minorBidi"/>
          <w:i w:val="0"/>
          <w:noProof/>
          <w:snapToGrid/>
          <w:sz w:val="22"/>
          <w:szCs w:val="22"/>
          <w:lang w:val="en-US" w:eastAsia="en-US"/>
        </w:rPr>
      </w:pPr>
      <w:hyperlink w:anchor="_Toc48897870" w:history="1">
        <w:r w:rsidR="00FD5D02" w:rsidRPr="00531975">
          <w:rPr>
            <w:rStyle w:val="Hyperlink"/>
            <w:noProof/>
            <w:lang w:val="de-CH"/>
          </w:rPr>
          <w:t>Grundsatzfragen in Zusammenhang mit Brauch und Praxis der Züchter</w:t>
        </w:r>
        <w:r w:rsidR="00FD5D02">
          <w:rPr>
            <w:noProof/>
            <w:webHidden/>
          </w:rPr>
          <w:tab/>
        </w:r>
        <w:r w:rsidR="00FD5D02">
          <w:rPr>
            <w:noProof/>
            <w:webHidden/>
          </w:rPr>
          <w:fldChar w:fldCharType="begin"/>
        </w:r>
        <w:r w:rsidR="00FD5D02">
          <w:rPr>
            <w:noProof/>
            <w:webHidden/>
          </w:rPr>
          <w:instrText xml:space="preserve"> PAGEREF _Toc48897870 \h </w:instrText>
        </w:r>
        <w:r w:rsidR="00FD5D02">
          <w:rPr>
            <w:noProof/>
            <w:webHidden/>
          </w:rPr>
        </w:r>
        <w:r w:rsidR="00FD5D02">
          <w:rPr>
            <w:noProof/>
            <w:webHidden/>
          </w:rPr>
          <w:fldChar w:fldCharType="separate"/>
        </w:r>
        <w:r w:rsidR="007B394A">
          <w:rPr>
            <w:noProof/>
            <w:webHidden/>
          </w:rPr>
          <w:t>3</w:t>
        </w:r>
        <w:r w:rsidR="00FD5D02">
          <w:rPr>
            <w:noProof/>
            <w:webHidden/>
          </w:rPr>
          <w:fldChar w:fldCharType="end"/>
        </w:r>
      </w:hyperlink>
    </w:p>
    <w:p w:rsidR="00FD5D02" w:rsidRDefault="00E957E1">
      <w:pPr>
        <w:pStyle w:val="TOC3"/>
        <w:rPr>
          <w:rFonts w:asciiTheme="minorHAnsi" w:eastAsiaTheme="minorEastAsia" w:hAnsiTheme="minorHAnsi" w:cstheme="minorBidi"/>
          <w:i w:val="0"/>
          <w:noProof/>
          <w:snapToGrid/>
          <w:sz w:val="22"/>
          <w:szCs w:val="22"/>
          <w:lang w:val="en-US" w:eastAsia="en-US"/>
        </w:rPr>
      </w:pPr>
      <w:hyperlink w:anchor="_Toc48897871" w:history="1">
        <w:r w:rsidR="00FD5D02" w:rsidRPr="00531975">
          <w:rPr>
            <w:rStyle w:val="Hyperlink"/>
            <w:noProof/>
            <w:lang w:val="de-CH"/>
          </w:rPr>
          <w:t>Aufgabendefinition der Arbeitsgruppe für im wesentlichen abgeleitete Sorten (WG-EDV)</w:t>
        </w:r>
        <w:r w:rsidR="00FD5D02">
          <w:rPr>
            <w:noProof/>
            <w:webHidden/>
          </w:rPr>
          <w:tab/>
        </w:r>
        <w:r w:rsidR="00FD5D02">
          <w:rPr>
            <w:noProof/>
            <w:webHidden/>
          </w:rPr>
          <w:fldChar w:fldCharType="begin"/>
        </w:r>
        <w:r w:rsidR="00FD5D02">
          <w:rPr>
            <w:noProof/>
            <w:webHidden/>
          </w:rPr>
          <w:instrText xml:space="preserve"> PAGEREF _Toc48897871 \h </w:instrText>
        </w:r>
        <w:r w:rsidR="00FD5D02">
          <w:rPr>
            <w:noProof/>
            <w:webHidden/>
          </w:rPr>
        </w:r>
        <w:r w:rsidR="00FD5D02">
          <w:rPr>
            <w:noProof/>
            <w:webHidden/>
          </w:rPr>
          <w:fldChar w:fldCharType="separate"/>
        </w:r>
        <w:r w:rsidR="007B394A">
          <w:rPr>
            <w:noProof/>
            <w:webHidden/>
          </w:rPr>
          <w:t>4</w:t>
        </w:r>
        <w:r w:rsidR="00FD5D02">
          <w:rPr>
            <w:noProof/>
            <w:webHidden/>
          </w:rPr>
          <w:fldChar w:fldCharType="end"/>
        </w:r>
      </w:hyperlink>
    </w:p>
    <w:p w:rsidR="00FD5D02" w:rsidRDefault="00E957E1">
      <w:pPr>
        <w:pStyle w:val="TOC3"/>
        <w:rPr>
          <w:rFonts w:asciiTheme="minorHAnsi" w:eastAsiaTheme="minorEastAsia" w:hAnsiTheme="minorHAnsi" w:cstheme="minorBidi"/>
          <w:i w:val="0"/>
          <w:noProof/>
          <w:snapToGrid/>
          <w:sz w:val="22"/>
          <w:szCs w:val="22"/>
          <w:lang w:val="en-US" w:eastAsia="en-US"/>
        </w:rPr>
      </w:pPr>
      <w:hyperlink w:anchor="_Toc48897872" w:history="1">
        <w:r w:rsidR="00FD5D02" w:rsidRPr="00531975">
          <w:rPr>
            <w:rStyle w:val="Hyperlink"/>
            <w:noProof/>
            <w:lang w:val="de-CH"/>
          </w:rPr>
          <w:t>Zusammensetzung der WG-EDV</w:t>
        </w:r>
        <w:r w:rsidR="00FD5D02">
          <w:rPr>
            <w:noProof/>
            <w:webHidden/>
          </w:rPr>
          <w:tab/>
        </w:r>
        <w:r w:rsidR="00FD5D02">
          <w:rPr>
            <w:noProof/>
            <w:webHidden/>
          </w:rPr>
          <w:fldChar w:fldCharType="begin"/>
        </w:r>
        <w:r w:rsidR="00FD5D02">
          <w:rPr>
            <w:noProof/>
            <w:webHidden/>
          </w:rPr>
          <w:instrText xml:space="preserve"> PAGEREF _Toc48897872 \h </w:instrText>
        </w:r>
        <w:r w:rsidR="00FD5D02">
          <w:rPr>
            <w:noProof/>
            <w:webHidden/>
          </w:rPr>
        </w:r>
        <w:r w:rsidR="00FD5D02">
          <w:rPr>
            <w:noProof/>
            <w:webHidden/>
          </w:rPr>
          <w:fldChar w:fldCharType="separate"/>
        </w:r>
        <w:r w:rsidR="007B394A">
          <w:rPr>
            <w:noProof/>
            <w:webHidden/>
          </w:rPr>
          <w:t>4</w:t>
        </w:r>
        <w:r w:rsidR="00FD5D02">
          <w:rPr>
            <w:noProof/>
            <w:webHidden/>
          </w:rPr>
          <w:fldChar w:fldCharType="end"/>
        </w:r>
      </w:hyperlink>
    </w:p>
    <w:p w:rsidR="00FD5D02" w:rsidRDefault="00E957E1">
      <w:pPr>
        <w:pStyle w:val="TOC3"/>
        <w:rPr>
          <w:rFonts w:asciiTheme="minorHAnsi" w:eastAsiaTheme="minorEastAsia" w:hAnsiTheme="minorHAnsi" w:cstheme="minorBidi"/>
          <w:i w:val="0"/>
          <w:noProof/>
          <w:snapToGrid/>
          <w:sz w:val="22"/>
          <w:szCs w:val="22"/>
          <w:lang w:val="en-US" w:eastAsia="en-US"/>
        </w:rPr>
      </w:pPr>
      <w:hyperlink w:anchor="_Toc48897873" w:history="1">
        <w:r w:rsidR="00FD5D02" w:rsidRPr="00531975">
          <w:rPr>
            <w:rStyle w:val="Hyperlink"/>
            <w:noProof/>
            <w:lang w:val="de-CH"/>
          </w:rPr>
          <w:t>Vorläufiger Termin für die erste Sitzung der WG-EDV</w:t>
        </w:r>
        <w:r w:rsidR="00FD5D02">
          <w:rPr>
            <w:noProof/>
            <w:webHidden/>
          </w:rPr>
          <w:tab/>
        </w:r>
        <w:r w:rsidR="00FD5D02">
          <w:rPr>
            <w:noProof/>
            <w:webHidden/>
          </w:rPr>
          <w:fldChar w:fldCharType="begin"/>
        </w:r>
        <w:r w:rsidR="00FD5D02">
          <w:rPr>
            <w:noProof/>
            <w:webHidden/>
          </w:rPr>
          <w:instrText xml:space="preserve"> PAGEREF _Toc48897873 \h </w:instrText>
        </w:r>
        <w:r w:rsidR="00FD5D02">
          <w:rPr>
            <w:noProof/>
            <w:webHidden/>
          </w:rPr>
        </w:r>
        <w:r w:rsidR="00FD5D02">
          <w:rPr>
            <w:noProof/>
            <w:webHidden/>
          </w:rPr>
          <w:fldChar w:fldCharType="separate"/>
        </w:r>
        <w:r w:rsidR="007B394A">
          <w:rPr>
            <w:noProof/>
            <w:webHidden/>
          </w:rPr>
          <w:t>4</w:t>
        </w:r>
        <w:r w:rsidR="00FD5D02">
          <w:rPr>
            <w:noProof/>
            <w:webHidden/>
          </w:rPr>
          <w:fldChar w:fldCharType="end"/>
        </w:r>
      </w:hyperlink>
    </w:p>
    <w:p w:rsidR="00904D48" w:rsidRPr="00FD5D02" w:rsidRDefault="00904D48">
      <w:pPr>
        <w:pStyle w:val="TOC3"/>
        <w:rPr>
          <w:sz w:val="16"/>
          <w:szCs w:val="24"/>
          <w:lang w:val="de-DE"/>
        </w:rPr>
      </w:pPr>
      <w:r>
        <w:rPr>
          <w:szCs w:val="24"/>
          <w:lang w:val="de-DE"/>
        </w:rPr>
        <w:fldChar w:fldCharType="end"/>
      </w:r>
    </w:p>
    <w:p w:rsidR="00904D48" w:rsidRPr="00160B43" w:rsidRDefault="00904D48">
      <w:pPr>
        <w:spacing w:before="120" w:after="120"/>
        <w:ind w:left="1134" w:hanging="1134"/>
        <w:rPr>
          <w:szCs w:val="24"/>
          <w:lang w:val="de-DE"/>
        </w:rPr>
      </w:pPr>
      <w:r w:rsidRPr="00160B43">
        <w:rPr>
          <w:spacing w:val="-2"/>
          <w:sz w:val="18"/>
          <w:szCs w:val="24"/>
          <w:lang w:val="de-CH"/>
        </w:rPr>
        <w:t>ANLAGE I</w:t>
      </w:r>
      <w:r w:rsidRPr="00160B43">
        <w:rPr>
          <w:spacing w:val="-2"/>
          <w:sz w:val="18"/>
          <w:szCs w:val="24"/>
          <w:lang w:val="de-DE"/>
        </w:rPr>
        <w:tab/>
      </w:r>
      <w:r w:rsidRPr="00160B43">
        <w:rPr>
          <w:spacing w:val="-2"/>
          <w:sz w:val="18"/>
          <w:szCs w:val="24"/>
          <w:lang w:val="de-CH"/>
        </w:rPr>
        <w:t>GRUNDSATZFRAGEN IN ZUSAMMENHANG MIT BRAUCH UND PRAXIS DER ZÜCHTER</w:t>
      </w:r>
    </w:p>
    <w:p w:rsidR="00904D48" w:rsidRPr="00160B43" w:rsidRDefault="00904D48">
      <w:pPr>
        <w:tabs>
          <w:tab w:val="left" w:pos="1134"/>
        </w:tabs>
        <w:ind w:firstLine="360"/>
        <w:rPr>
          <w:szCs w:val="24"/>
          <w:lang w:val="de-DE"/>
        </w:rPr>
      </w:pPr>
      <w:r w:rsidRPr="00160B43">
        <w:rPr>
          <w:szCs w:val="24"/>
          <w:lang w:val="de-DE"/>
        </w:rPr>
        <w:tab/>
      </w:r>
      <w:r w:rsidRPr="00160B43">
        <w:rPr>
          <w:szCs w:val="24"/>
          <w:lang w:val="de-CH"/>
        </w:rPr>
        <w:t>Anhang I:</w:t>
      </w:r>
      <w:r w:rsidR="00897040" w:rsidRPr="00160B43">
        <w:rPr>
          <w:szCs w:val="24"/>
          <w:lang w:val="de-CH"/>
        </w:rPr>
        <w:tab/>
      </w:r>
      <w:r w:rsidRPr="00160B43">
        <w:rPr>
          <w:szCs w:val="24"/>
          <w:lang w:val="de-CH"/>
        </w:rPr>
        <w:t>Grundsatzfragen</w:t>
      </w:r>
    </w:p>
    <w:p w:rsidR="00904D48" w:rsidRPr="00160B43" w:rsidRDefault="00904D48">
      <w:pPr>
        <w:ind w:firstLine="360"/>
        <w:rPr>
          <w:szCs w:val="24"/>
          <w:lang w:val="de-DE"/>
        </w:rPr>
      </w:pPr>
      <w:r w:rsidRPr="00160B43">
        <w:rPr>
          <w:szCs w:val="24"/>
          <w:lang w:val="de-DE"/>
        </w:rPr>
        <w:tab/>
      </w:r>
      <w:r w:rsidRPr="00160B43">
        <w:rPr>
          <w:szCs w:val="24"/>
          <w:lang w:val="de-DE"/>
        </w:rPr>
        <w:tab/>
      </w:r>
      <w:r w:rsidRPr="00160B43">
        <w:rPr>
          <w:szCs w:val="24"/>
          <w:lang w:val="de-CH"/>
        </w:rPr>
        <w:t>Anhang II:</w:t>
      </w:r>
      <w:r w:rsidR="00897040" w:rsidRPr="00160B43">
        <w:rPr>
          <w:szCs w:val="24"/>
          <w:lang w:val="de-CH"/>
        </w:rPr>
        <w:tab/>
      </w:r>
      <w:r w:rsidRPr="00160B43">
        <w:rPr>
          <w:szCs w:val="24"/>
          <w:lang w:val="de-CH"/>
        </w:rPr>
        <w:t>Brauch und Praxis der Züchter</w:t>
      </w:r>
    </w:p>
    <w:p w:rsidR="00904D48" w:rsidRDefault="00904D48">
      <w:pPr>
        <w:spacing w:before="120" w:after="120"/>
        <w:ind w:left="1134" w:hanging="1134"/>
        <w:rPr>
          <w:szCs w:val="24"/>
          <w:lang w:val="de-DE"/>
        </w:rPr>
      </w:pPr>
      <w:r w:rsidRPr="00160B43">
        <w:rPr>
          <w:sz w:val="18"/>
          <w:szCs w:val="24"/>
          <w:lang w:val="de-CH"/>
        </w:rPr>
        <w:t>ANLAGE II</w:t>
      </w:r>
      <w:r w:rsidRPr="00160B43">
        <w:rPr>
          <w:sz w:val="18"/>
          <w:szCs w:val="24"/>
          <w:lang w:val="de-DE"/>
        </w:rPr>
        <w:tab/>
      </w:r>
      <w:r w:rsidRPr="00160B43">
        <w:rPr>
          <w:sz w:val="18"/>
          <w:szCs w:val="24"/>
          <w:lang w:val="de-CH"/>
        </w:rPr>
        <w:t>ENTWURF EINER AUFGABENDEFINITION DER ARBEITSGRUPPE FÜR IM WESENTLICHEN ABGELEITETE</w:t>
      </w:r>
      <w:r>
        <w:rPr>
          <w:sz w:val="18"/>
          <w:szCs w:val="24"/>
          <w:lang w:val="de-CH"/>
        </w:rPr>
        <w:t xml:space="preserve"> SORTEN (WG-EDV)</w:t>
      </w:r>
      <w:r>
        <w:rPr>
          <w:sz w:val="18"/>
          <w:szCs w:val="24"/>
          <w:lang w:val="de-DE"/>
        </w:rPr>
        <w:t xml:space="preserve"> </w:t>
      </w:r>
      <w:r>
        <w:rPr>
          <w:sz w:val="18"/>
          <w:szCs w:val="24"/>
          <w:lang w:val="de-DE"/>
        </w:rPr>
        <w:br w:type="page"/>
      </w:r>
    </w:p>
    <w:p w:rsidR="00904D48" w:rsidRDefault="00904D48">
      <w:pPr>
        <w:pStyle w:val="Heading1"/>
        <w:rPr>
          <w:szCs w:val="24"/>
          <w:lang w:val="de-DE"/>
        </w:rPr>
      </w:pPr>
      <w:bookmarkStart w:id="3" w:name="_Toc48897865"/>
      <w:r>
        <w:rPr>
          <w:szCs w:val="24"/>
          <w:lang w:val="de-CH"/>
        </w:rPr>
        <w:lastRenderedPageBreak/>
        <w:t>Hintergrund</w:t>
      </w:r>
      <w:bookmarkEnd w:id="3"/>
    </w:p>
    <w:p w:rsidR="00904D48" w:rsidRDefault="00904D48">
      <w:pPr>
        <w:keepNext/>
        <w:jc w:val="left"/>
        <w:rPr>
          <w:szCs w:val="24"/>
          <w:u w:val="single"/>
          <w:lang w:val="de-DE"/>
        </w:rPr>
      </w:pPr>
    </w:p>
    <w:p w:rsidR="00904D48" w:rsidRPr="000F7A1E" w:rsidRDefault="00904D48">
      <w:pPr>
        <w:keepNext/>
        <w:autoSpaceDE w:val="0"/>
        <w:autoSpaceDN w:val="0"/>
        <w:adjustRightInd w:val="0"/>
        <w:rPr>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sidRPr="000F7A1E">
        <w:rPr>
          <w:spacing w:val="-2"/>
          <w:szCs w:val="24"/>
          <w:lang w:val="de-CH"/>
        </w:rPr>
        <w:t>Der Verwaltungs- und Rechtsausschuß (CAJ) vereinbarte auf seiner sechsundsiebzigsten Tagung am 30. Oktober 2019 in Genf die Angelegenheiten in den folgenden Absätzen (vergleiche nachstehende Auszüge aus Dokument CAJ/76/9 „Bericht“, Absätze 9 bis 14).</w:t>
      </w:r>
      <w:r w:rsidRPr="000F7A1E">
        <w:rPr>
          <w:spacing w:val="-2"/>
          <w:szCs w:val="24"/>
          <w:lang w:val="de-DE"/>
        </w:rPr>
        <w:t xml:space="preserve"> </w:t>
      </w:r>
    </w:p>
    <w:p w:rsidR="00904D48" w:rsidRPr="000F7A1E" w:rsidRDefault="00904D48">
      <w:pPr>
        <w:keepNext/>
        <w:tabs>
          <w:tab w:val="left" w:pos="284"/>
          <w:tab w:val="left" w:pos="851"/>
        </w:tabs>
        <w:autoSpaceDE w:val="0"/>
        <w:autoSpaceDN w:val="0"/>
        <w:adjustRightInd w:val="0"/>
        <w:rPr>
          <w:szCs w:val="24"/>
          <w:lang w:val="de-DE"/>
        </w:rPr>
      </w:pPr>
    </w:p>
    <w:p w:rsidR="00904D48" w:rsidRPr="000F7A1E" w:rsidRDefault="00904D48">
      <w:pPr>
        <w:keepNext/>
        <w:ind w:left="567" w:right="567"/>
        <w:rPr>
          <w:szCs w:val="24"/>
          <w:lang w:val="de-DE"/>
        </w:rPr>
      </w:pPr>
      <w:r w:rsidRPr="007D2993">
        <w:rPr>
          <w:sz w:val="18"/>
          <w:szCs w:val="24"/>
          <w:lang w:val="de-CH"/>
        </w:rPr>
        <w:t>„</w:t>
      </w:r>
      <w:r w:rsidRPr="000F7A1E">
        <w:rPr>
          <w:sz w:val="18"/>
          <w:szCs w:val="24"/>
          <w:u w:val="single"/>
          <w:lang w:val="de-CH"/>
        </w:rPr>
        <w:t>Im wesentlichen abgeleitete Sorten</w:t>
      </w:r>
    </w:p>
    <w:p w:rsidR="00904D48" w:rsidRPr="000F7A1E" w:rsidRDefault="00904D48">
      <w:pPr>
        <w:keepNext/>
        <w:tabs>
          <w:tab w:val="left" w:pos="284"/>
          <w:tab w:val="left" w:pos="567"/>
          <w:tab w:val="left" w:pos="851"/>
        </w:tabs>
        <w:autoSpaceDE w:val="0"/>
        <w:autoSpaceDN w:val="0"/>
        <w:adjustRightInd w:val="0"/>
        <w:ind w:left="567" w:right="567"/>
        <w:rPr>
          <w:sz w:val="18"/>
          <w:szCs w:val="24"/>
          <w:lang w:val="de-DE"/>
        </w:rPr>
      </w:pPr>
    </w:p>
    <w:p w:rsidR="00904D48" w:rsidRPr="000F7A1E" w:rsidRDefault="00904D48">
      <w:pPr>
        <w:tabs>
          <w:tab w:val="left" w:pos="567"/>
          <w:tab w:val="left" w:pos="1134"/>
        </w:tabs>
        <w:ind w:left="567" w:right="567"/>
        <w:rPr>
          <w:sz w:val="18"/>
          <w:szCs w:val="24"/>
          <w:lang w:val="de-DE"/>
        </w:rPr>
      </w:pPr>
      <w:r w:rsidRPr="007D2993">
        <w:rPr>
          <w:sz w:val="18"/>
          <w:szCs w:val="24"/>
          <w:lang w:val="de-DE"/>
        </w:rPr>
        <w:t>„</w:t>
      </w:r>
      <w:r w:rsidRPr="000F7A1E">
        <w:rPr>
          <w:sz w:val="18"/>
          <w:szCs w:val="24"/>
          <w:lang w:val="de-DE"/>
        </w:rPr>
        <w:t>9.</w:t>
      </w:r>
      <w:r w:rsidRPr="000F7A1E">
        <w:rPr>
          <w:sz w:val="18"/>
          <w:szCs w:val="24"/>
          <w:lang w:val="de-DE"/>
        </w:rPr>
        <w:tab/>
      </w:r>
      <w:r w:rsidRPr="000F7A1E">
        <w:rPr>
          <w:sz w:val="18"/>
          <w:szCs w:val="24"/>
          <w:lang w:val="de-CH"/>
        </w:rPr>
        <w:t>Der CAJ prüfte Dokument CAJ/76/3.</w:t>
      </w:r>
    </w:p>
    <w:p w:rsidR="00904D48" w:rsidRPr="000F7A1E" w:rsidRDefault="00904D48">
      <w:pPr>
        <w:tabs>
          <w:tab w:val="left" w:pos="567"/>
        </w:tabs>
        <w:ind w:left="567" w:right="567"/>
        <w:rPr>
          <w:sz w:val="18"/>
          <w:szCs w:val="24"/>
          <w:lang w:val="de-DE"/>
        </w:rPr>
      </w:pPr>
    </w:p>
    <w:p w:rsidR="00904D48" w:rsidRPr="000F7A1E" w:rsidRDefault="007D2993">
      <w:pPr>
        <w:tabs>
          <w:tab w:val="left" w:pos="567"/>
        </w:tabs>
        <w:ind w:left="567" w:right="567"/>
        <w:rPr>
          <w:sz w:val="18"/>
          <w:szCs w:val="24"/>
          <w:lang w:val="de-DE"/>
        </w:rPr>
      </w:pPr>
      <w:r w:rsidRPr="007D2993">
        <w:rPr>
          <w:sz w:val="18"/>
          <w:szCs w:val="24"/>
          <w:lang w:val="de-DE"/>
        </w:rPr>
        <w:t>„</w:t>
      </w:r>
      <w:r w:rsidR="00904D48" w:rsidRPr="000F7A1E">
        <w:rPr>
          <w:sz w:val="18"/>
          <w:szCs w:val="24"/>
          <w:lang w:val="de-DE"/>
        </w:rPr>
        <w:t>10.</w:t>
      </w:r>
      <w:r w:rsidR="00904D48" w:rsidRPr="000F7A1E">
        <w:rPr>
          <w:sz w:val="18"/>
          <w:szCs w:val="24"/>
          <w:lang w:val="de-DE"/>
        </w:rPr>
        <w:tab/>
      </w:r>
      <w:r w:rsidR="00904D48" w:rsidRPr="000F7A1E">
        <w:rPr>
          <w:sz w:val="18"/>
          <w:szCs w:val="24"/>
          <w:lang w:val="de-CH"/>
        </w:rPr>
        <w:t>Der CAJ nahm die Hintergrundinformationen und Entwicklungen betreffend im wesentlichen abgeleitete Sorten zur Kenntnis, einschließlich wichtige Angelegenheiten in Zusammenhang mit dem „Seminar über die Auswirkungen der Politik bezüglich der im wesentlichen abgeleiteten Sorten auf die Züchtungsstrategie“, wie in den Absätzen 4 bis 15 von Dokument CAJ/76/3 dargelegt.</w:t>
      </w:r>
    </w:p>
    <w:p w:rsidR="00904D48" w:rsidRPr="000F7A1E" w:rsidRDefault="00904D48">
      <w:pPr>
        <w:tabs>
          <w:tab w:val="left" w:pos="567"/>
        </w:tabs>
        <w:ind w:left="567" w:right="567"/>
        <w:rPr>
          <w:sz w:val="18"/>
          <w:szCs w:val="24"/>
          <w:lang w:val="de-DE"/>
        </w:rPr>
      </w:pPr>
    </w:p>
    <w:p w:rsidR="00904D48" w:rsidRPr="000F7A1E" w:rsidRDefault="007D2993">
      <w:pPr>
        <w:tabs>
          <w:tab w:val="left" w:pos="567"/>
        </w:tabs>
        <w:ind w:left="567" w:right="567"/>
        <w:rPr>
          <w:sz w:val="18"/>
          <w:szCs w:val="24"/>
          <w:lang w:val="de-DE"/>
        </w:rPr>
      </w:pPr>
      <w:r w:rsidRPr="007D2993">
        <w:rPr>
          <w:sz w:val="18"/>
          <w:szCs w:val="24"/>
          <w:lang w:val="de-DE"/>
        </w:rPr>
        <w:t>„</w:t>
      </w:r>
      <w:r w:rsidR="00904D48" w:rsidRPr="000F7A1E">
        <w:rPr>
          <w:sz w:val="18"/>
          <w:szCs w:val="24"/>
          <w:lang w:val="de-DE"/>
        </w:rPr>
        <w:t>11.</w:t>
      </w:r>
      <w:r w:rsidR="00904D48" w:rsidRPr="000F7A1E">
        <w:rPr>
          <w:sz w:val="18"/>
          <w:szCs w:val="24"/>
          <w:lang w:val="de-DE"/>
        </w:rPr>
        <w:tab/>
      </w:r>
      <w:r w:rsidR="00904D48" w:rsidRPr="000F7A1E">
        <w:rPr>
          <w:sz w:val="18"/>
          <w:szCs w:val="24"/>
          <w:lang w:val="de-CH"/>
        </w:rPr>
        <w:t>Der CAJ nahm die Informationen über die Referate zur Kenntnis und nahm die folgende mündliche Zusammenfassung durch den Vorsitzenden des CAJ bezüglich des Ergebnisses des „Seminars über die Auswirkungen der Politik bezüglich der im wesentlichen abgeleiteten Sorten auf die Züchtungsstrategie“ vom Morgen des 30. Oktober 2019 zur Kenntnis:</w:t>
      </w:r>
    </w:p>
    <w:p w:rsidR="00904D48" w:rsidRPr="000F7A1E" w:rsidRDefault="00904D48">
      <w:pPr>
        <w:tabs>
          <w:tab w:val="left" w:pos="567"/>
        </w:tabs>
        <w:ind w:left="360" w:right="567"/>
        <w:rPr>
          <w:sz w:val="18"/>
          <w:szCs w:val="24"/>
          <w:lang w:val="de-DE"/>
        </w:rPr>
      </w:pPr>
    </w:p>
    <w:p w:rsidR="00904D48" w:rsidRPr="007D2993" w:rsidRDefault="00904D48">
      <w:pPr>
        <w:pStyle w:val="ListParagraph"/>
        <w:numPr>
          <w:ilvl w:val="0"/>
          <w:numId w:val="12"/>
        </w:numPr>
        <w:tabs>
          <w:tab w:val="left" w:pos="567"/>
        </w:tabs>
        <w:ind w:left="1276" w:right="567"/>
        <w:rPr>
          <w:rFonts w:cs="Arial"/>
          <w:sz w:val="18"/>
          <w:szCs w:val="18"/>
          <w:lang w:val="de-DE"/>
        </w:rPr>
      </w:pPr>
      <w:r w:rsidRPr="007D2993">
        <w:rPr>
          <w:rFonts w:cs="Arial"/>
          <w:sz w:val="18"/>
          <w:szCs w:val="18"/>
          <w:lang w:val="de-CH"/>
        </w:rPr>
        <w:t>„</w:t>
      </w:r>
      <w:r w:rsidR="007D2993" w:rsidRPr="007D2993">
        <w:rPr>
          <w:rFonts w:cs="Arial"/>
          <w:color w:val="333333"/>
          <w:sz w:val="18"/>
          <w:szCs w:val="18"/>
          <w:shd w:val="clear" w:color="auto" w:fill="FFFFFF"/>
          <w:lang w:val="de-CH"/>
        </w:rPr>
        <w:t>‚</w:t>
      </w:r>
      <w:r w:rsidRPr="007D2993">
        <w:rPr>
          <w:rFonts w:cs="Arial"/>
          <w:sz w:val="18"/>
          <w:szCs w:val="18"/>
          <w:lang w:val="de-CH"/>
        </w:rPr>
        <w:t>Es scheint offensichtlich, daß die aktuelle Anleitung der UPOV nicht die Praxis der Züchter in bezug auf das Verständnis von im wesentlichen abgeleiteten Sorten widerspiegelt</w:t>
      </w:r>
      <w:r w:rsidRPr="007D2993">
        <w:rPr>
          <w:rFonts w:cs="Arial"/>
          <w:sz w:val="18"/>
          <w:szCs w:val="18"/>
          <w:lang w:val="de-DE"/>
        </w:rPr>
        <w:t xml:space="preserve"> </w:t>
      </w:r>
    </w:p>
    <w:p w:rsidR="00904D48" w:rsidRPr="007D2993" w:rsidRDefault="00904D48">
      <w:pPr>
        <w:tabs>
          <w:tab w:val="left" w:pos="567"/>
        </w:tabs>
        <w:ind w:left="1276" w:right="567"/>
        <w:rPr>
          <w:rFonts w:cs="Arial"/>
          <w:sz w:val="18"/>
          <w:szCs w:val="18"/>
          <w:lang w:val="de-DE"/>
        </w:rPr>
      </w:pPr>
    </w:p>
    <w:p w:rsidR="00904D48" w:rsidRPr="007D2993" w:rsidRDefault="00904D48">
      <w:pPr>
        <w:pStyle w:val="ListParagraph"/>
        <w:numPr>
          <w:ilvl w:val="0"/>
          <w:numId w:val="12"/>
        </w:numPr>
        <w:tabs>
          <w:tab w:val="left" w:pos="567"/>
        </w:tabs>
        <w:ind w:left="1276" w:right="567"/>
        <w:rPr>
          <w:rFonts w:cs="Arial"/>
          <w:sz w:val="18"/>
          <w:szCs w:val="18"/>
          <w:lang w:val="de-DE"/>
        </w:rPr>
      </w:pPr>
      <w:r w:rsidRPr="007D2993">
        <w:rPr>
          <w:rFonts w:cs="Arial"/>
          <w:sz w:val="18"/>
          <w:szCs w:val="18"/>
          <w:lang w:val="de-CH"/>
        </w:rPr>
        <w:t>„</w:t>
      </w:r>
      <w:r w:rsidR="007D2993" w:rsidRPr="007D2993">
        <w:rPr>
          <w:rFonts w:cs="Arial"/>
          <w:color w:val="333333"/>
          <w:sz w:val="18"/>
          <w:szCs w:val="18"/>
          <w:shd w:val="clear" w:color="auto" w:fill="FFFFFF"/>
          <w:lang w:val="de-CH"/>
        </w:rPr>
        <w:t>‚</w:t>
      </w:r>
      <w:r w:rsidRPr="007D2993">
        <w:rPr>
          <w:rFonts w:cs="Arial"/>
          <w:sz w:val="18"/>
          <w:szCs w:val="18"/>
          <w:lang w:val="de-CH"/>
        </w:rPr>
        <w:t>Bei der Entwicklung der Pflanzenzüchtungstechniken sind neue Gelegenheiten/Anreize für die Entwicklung vorwiegend abgeleiteter Sorten aus Ursprungssorten entstanden, die schneller und günstiger sind</w:t>
      </w:r>
    </w:p>
    <w:p w:rsidR="00904D48" w:rsidRPr="007D2993" w:rsidRDefault="00904D48">
      <w:pPr>
        <w:tabs>
          <w:tab w:val="left" w:pos="567"/>
        </w:tabs>
        <w:ind w:left="1276" w:right="567"/>
        <w:rPr>
          <w:rFonts w:cs="Arial"/>
          <w:sz w:val="18"/>
          <w:szCs w:val="18"/>
          <w:lang w:val="de-DE"/>
        </w:rPr>
      </w:pPr>
    </w:p>
    <w:p w:rsidR="00904D48" w:rsidRPr="007D2993" w:rsidRDefault="00904D48">
      <w:pPr>
        <w:pStyle w:val="ListParagraph"/>
        <w:numPr>
          <w:ilvl w:val="0"/>
          <w:numId w:val="12"/>
        </w:numPr>
        <w:tabs>
          <w:tab w:val="left" w:pos="567"/>
        </w:tabs>
        <w:ind w:left="1276" w:right="567"/>
        <w:rPr>
          <w:rFonts w:cs="Arial"/>
          <w:spacing w:val="-4"/>
          <w:sz w:val="18"/>
          <w:szCs w:val="18"/>
          <w:lang w:val="de-DE"/>
        </w:rPr>
      </w:pPr>
      <w:r w:rsidRPr="007D2993">
        <w:rPr>
          <w:rFonts w:cs="Arial"/>
          <w:sz w:val="18"/>
          <w:szCs w:val="18"/>
          <w:lang w:val="de-CH"/>
        </w:rPr>
        <w:t>„</w:t>
      </w:r>
      <w:r w:rsidR="007D2993" w:rsidRPr="007D2993">
        <w:rPr>
          <w:rFonts w:cs="Arial"/>
          <w:color w:val="333333"/>
          <w:sz w:val="18"/>
          <w:szCs w:val="18"/>
          <w:shd w:val="clear" w:color="auto" w:fill="FFFFFF"/>
          <w:lang w:val="de-CH"/>
        </w:rPr>
        <w:t>‚</w:t>
      </w:r>
      <w:r w:rsidRPr="007D2993">
        <w:rPr>
          <w:rFonts w:cs="Arial"/>
          <w:sz w:val="18"/>
          <w:szCs w:val="18"/>
          <w:lang w:val="de-CH"/>
        </w:rPr>
        <w:t>Es gibt klare Hinweise aus den Referaten und Erörterungen, daß das Verständnis und die Umsetzung des Konzepts der im wesentlichen abgeleiteten Sorten die Züchterstrategien beeinflussen – es ist daher wesentlich, daß die Anleitung der UPOV darauf ausgerichtet ist, den Nutzen für die Gesellschaft auf ein Höchstmaß zu steigern, indem der Fortschritt bei der Züchtung auf ein Höchstmaß gesteigert wird.</w:t>
      </w:r>
      <w:r w:rsidR="007D2993" w:rsidRPr="007D2993">
        <w:rPr>
          <w:rFonts w:cs="Arial"/>
          <w:color w:val="333333"/>
          <w:sz w:val="18"/>
          <w:szCs w:val="18"/>
          <w:shd w:val="clear" w:color="auto" w:fill="FFFFFF"/>
          <w:lang w:val="de-CH"/>
        </w:rPr>
        <w:t>‘</w:t>
      </w:r>
    </w:p>
    <w:p w:rsidR="00904D48" w:rsidRPr="000F7A1E" w:rsidRDefault="00904D48">
      <w:pPr>
        <w:tabs>
          <w:tab w:val="left" w:pos="567"/>
        </w:tabs>
        <w:ind w:left="360" w:right="567"/>
        <w:rPr>
          <w:spacing w:val="-4"/>
          <w:sz w:val="18"/>
          <w:szCs w:val="24"/>
          <w:lang w:val="de-DE"/>
        </w:rPr>
      </w:pPr>
    </w:p>
    <w:p w:rsidR="00904D48" w:rsidRPr="000F7A1E" w:rsidRDefault="007D2993">
      <w:pPr>
        <w:tabs>
          <w:tab w:val="left" w:pos="567"/>
        </w:tabs>
        <w:ind w:left="567" w:right="567"/>
        <w:rPr>
          <w:spacing w:val="-4"/>
          <w:sz w:val="18"/>
          <w:szCs w:val="24"/>
          <w:lang w:val="de-DE"/>
        </w:rPr>
      </w:pPr>
      <w:r w:rsidRPr="007D2993">
        <w:rPr>
          <w:sz w:val="18"/>
          <w:szCs w:val="24"/>
          <w:lang w:val="de-DE"/>
        </w:rPr>
        <w:t>„</w:t>
      </w:r>
      <w:r w:rsidR="00904D48" w:rsidRPr="000F7A1E">
        <w:rPr>
          <w:spacing w:val="-4"/>
          <w:sz w:val="18"/>
          <w:szCs w:val="24"/>
          <w:lang w:val="de-DE"/>
        </w:rPr>
        <w:t>12.</w:t>
      </w:r>
      <w:r w:rsidR="00904D48" w:rsidRPr="000F7A1E">
        <w:rPr>
          <w:spacing w:val="-4"/>
          <w:sz w:val="18"/>
          <w:szCs w:val="24"/>
          <w:lang w:val="de-DE"/>
        </w:rPr>
        <w:tab/>
      </w:r>
      <w:r w:rsidR="00904D48" w:rsidRPr="000F7A1E">
        <w:rPr>
          <w:sz w:val="18"/>
          <w:szCs w:val="24"/>
          <w:lang w:val="de-CH"/>
        </w:rPr>
        <w:t xml:space="preserve">Auf Grundlage der Ergebnisse des Seminars über im wesentlichen abgeleitete Sorten vereinbarte der CAJ, daß die „Erläuterungen zu den im wesentlichen abgeleiteten Sorten nach der Akte von 1991 des UPOV-Übereinkommens“ (Dokument UPOV/EXN/EDV/2) überarbeitet werden sollen. </w:t>
      </w:r>
      <w:r w:rsidR="00904D48" w:rsidRPr="000F7A1E">
        <w:rPr>
          <w:spacing w:val="-4"/>
          <w:sz w:val="18"/>
          <w:szCs w:val="24"/>
          <w:lang w:val="de-CH"/>
        </w:rPr>
        <w:t>Das Verbandsbüro würde als ersten Schritt:</w:t>
      </w:r>
    </w:p>
    <w:p w:rsidR="00904D48" w:rsidRPr="000F7A1E" w:rsidRDefault="00904D48">
      <w:pPr>
        <w:tabs>
          <w:tab w:val="left" w:pos="567"/>
        </w:tabs>
        <w:ind w:left="360" w:right="567"/>
        <w:rPr>
          <w:spacing w:val="-4"/>
          <w:sz w:val="18"/>
          <w:szCs w:val="24"/>
          <w:lang w:val="de-DE"/>
        </w:rPr>
      </w:pPr>
    </w:p>
    <w:p w:rsidR="00904D48" w:rsidRPr="000F7A1E" w:rsidRDefault="00904D48">
      <w:pPr>
        <w:ind w:left="1134" w:right="567" w:firstLine="567"/>
        <w:rPr>
          <w:szCs w:val="24"/>
          <w:lang w:val="de-DE"/>
        </w:rPr>
      </w:pPr>
      <w:r w:rsidRPr="000F7A1E">
        <w:rPr>
          <w:spacing w:val="-4"/>
          <w:sz w:val="18"/>
          <w:szCs w:val="24"/>
          <w:lang w:val="de-CH"/>
        </w:rPr>
        <w:t>„a)</w:t>
      </w:r>
      <w:r w:rsidRPr="000F7A1E">
        <w:rPr>
          <w:spacing w:val="-4"/>
          <w:sz w:val="18"/>
          <w:szCs w:val="24"/>
          <w:lang w:val="de-DE"/>
        </w:rPr>
        <w:tab/>
      </w:r>
      <w:r w:rsidRPr="000F7A1E">
        <w:rPr>
          <w:spacing w:val="-4"/>
          <w:sz w:val="18"/>
          <w:szCs w:val="24"/>
          <w:lang w:val="de-CH"/>
        </w:rPr>
        <w:t>Mitglieder und Beobachter ersuchen, Beiträge zu Grundsatzfragen auf dem Schriftweg zu leisten;</w:t>
      </w:r>
    </w:p>
    <w:p w:rsidR="00904D48" w:rsidRPr="000F7A1E" w:rsidRDefault="00904D48">
      <w:pPr>
        <w:ind w:left="1134" w:right="567" w:firstLine="567"/>
        <w:rPr>
          <w:spacing w:val="-4"/>
          <w:sz w:val="18"/>
          <w:szCs w:val="24"/>
          <w:lang w:val="de-DE"/>
        </w:rPr>
      </w:pPr>
    </w:p>
    <w:p w:rsidR="00904D48" w:rsidRPr="000F7A1E" w:rsidRDefault="00904D48">
      <w:pPr>
        <w:ind w:left="1134" w:right="567" w:firstLine="567"/>
        <w:rPr>
          <w:szCs w:val="24"/>
          <w:lang w:val="de-DE"/>
        </w:rPr>
      </w:pPr>
      <w:r w:rsidRPr="000F7A1E">
        <w:rPr>
          <w:spacing w:val="-4"/>
          <w:sz w:val="18"/>
          <w:szCs w:val="24"/>
          <w:lang w:val="de-CH"/>
        </w:rPr>
        <w:t>„b)</w:t>
      </w:r>
      <w:r w:rsidRPr="000F7A1E">
        <w:rPr>
          <w:spacing w:val="-4"/>
          <w:sz w:val="18"/>
          <w:szCs w:val="24"/>
          <w:lang w:val="de-DE"/>
        </w:rPr>
        <w:tab/>
      </w:r>
      <w:r w:rsidRPr="000F7A1E">
        <w:rPr>
          <w:spacing w:val="-4"/>
          <w:sz w:val="18"/>
          <w:szCs w:val="24"/>
          <w:lang w:val="de-CH"/>
        </w:rPr>
        <w:t>Züchter ersuchen, Informationen über Brauch und Praxis betreffend im wesentlichen abgeleitete Sorten zu erteilen; und</w:t>
      </w:r>
    </w:p>
    <w:p w:rsidR="00904D48" w:rsidRPr="000F7A1E" w:rsidRDefault="00904D48">
      <w:pPr>
        <w:ind w:left="1134" w:right="567" w:firstLine="567"/>
        <w:rPr>
          <w:spacing w:val="-4"/>
          <w:sz w:val="18"/>
          <w:szCs w:val="24"/>
          <w:lang w:val="de-DE"/>
        </w:rPr>
      </w:pPr>
    </w:p>
    <w:p w:rsidR="00904D48" w:rsidRPr="000F7A1E" w:rsidRDefault="00904D48">
      <w:pPr>
        <w:ind w:left="1134" w:right="567" w:firstLine="567"/>
        <w:rPr>
          <w:spacing w:val="-4"/>
          <w:szCs w:val="24"/>
          <w:lang w:val="de-DE"/>
        </w:rPr>
      </w:pPr>
      <w:r w:rsidRPr="000F7A1E">
        <w:rPr>
          <w:spacing w:val="-4"/>
          <w:sz w:val="18"/>
          <w:szCs w:val="24"/>
          <w:lang w:val="de-CH"/>
        </w:rPr>
        <w:t>„c)</w:t>
      </w:r>
      <w:r w:rsidRPr="000F7A1E">
        <w:rPr>
          <w:spacing w:val="-4"/>
          <w:sz w:val="18"/>
          <w:szCs w:val="24"/>
          <w:lang w:val="de-DE"/>
        </w:rPr>
        <w:tab/>
      </w:r>
      <w:r w:rsidRPr="000F7A1E">
        <w:rPr>
          <w:sz w:val="18"/>
          <w:szCs w:val="24"/>
          <w:lang w:val="de-CH"/>
        </w:rPr>
        <w:t xml:space="preserve">basierend auf den Antworten zu a) und b) eine vorläufige Analyse über Angelegenheiten und Praktiken betreffend im wesentlichen abgeleitete Sorten vorbereiten und eine Aufgabendefinition für eine Arbeitsgruppe für im wesentlichen abgeleitete Sorten erstellen, die dem CAJ für Bemerkungen auf dem Schriftweg vorgelegt würde. </w:t>
      </w:r>
    </w:p>
    <w:p w:rsidR="00904D48" w:rsidRPr="000F7A1E" w:rsidRDefault="00904D48">
      <w:pPr>
        <w:tabs>
          <w:tab w:val="left" w:pos="567"/>
        </w:tabs>
        <w:ind w:left="567" w:right="567"/>
        <w:rPr>
          <w:sz w:val="18"/>
          <w:szCs w:val="24"/>
          <w:lang w:val="de-DE"/>
        </w:rPr>
      </w:pPr>
    </w:p>
    <w:p w:rsidR="00904D48" w:rsidRPr="000F7A1E" w:rsidRDefault="007D2993">
      <w:pPr>
        <w:tabs>
          <w:tab w:val="left" w:pos="567"/>
        </w:tabs>
        <w:ind w:left="567" w:right="567"/>
        <w:rPr>
          <w:sz w:val="18"/>
          <w:szCs w:val="24"/>
          <w:lang w:val="de-DE"/>
        </w:rPr>
      </w:pPr>
      <w:r w:rsidRPr="007D2993">
        <w:rPr>
          <w:sz w:val="18"/>
          <w:szCs w:val="24"/>
          <w:lang w:val="de-DE"/>
        </w:rPr>
        <w:t>„</w:t>
      </w:r>
      <w:r w:rsidR="00904D48" w:rsidRPr="000F7A1E">
        <w:rPr>
          <w:spacing w:val="-4"/>
          <w:sz w:val="18"/>
          <w:szCs w:val="24"/>
          <w:lang w:val="de-DE"/>
        </w:rPr>
        <w:t>13.</w:t>
      </w:r>
      <w:r w:rsidR="00904D48" w:rsidRPr="000F7A1E">
        <w:rPr>
          <w:spacing w:val="-4"/>
          <w:sz w:val="18"/>
          <w:szCs w:val="24"/>
          <w:lang w:val="de-DE"/>
        </w:rPr>
        <w:tab/>
      </w:r>
      <w:r w:rsidR="00904D48" w:rsidRPr="000F7A1E">
        <w:rPr>
          <w:sz w:val="18"/>
          <w:szCs w:val="24"/>
          <w:lang w:val="de-CH"/>
        </w:rPr>
        <w:t>Auf obiger Grundlage würde das Verbandsbüro ein Dokument vorbereiten, das dem CAJ auf seiner siebenundsiebzigsten Tagung am 28. Oktober 2020 zur Prüfung vorgelegt würde.</w:t>
      </w:r>
    </w:p>
    <w:p w:rsidR="00904D48" w:rsidRPr="000F7A1E" w:rsidRDefault="00904D48">
      <w:pPr>
        <w:tabs>
          <w:tab w:val="left" w:pos="284"/>
          <w:tab w:val="left" w:pos="567"/>
          <w:tab w:val="left" w:pos="851"/>
        </w:tabs>
        <w:autoSpaceDE w:val="0"/>
        <w:autoSpaceDN w:val="0"/>
        <w:adjustRightInd w:val="0"/>
        <w:ind w:right="567"/>
        <w:rPr>
          <w:sz w:val="18"/>
          <w:szCs w:val="24"/>
          <w:lang w:val="de-DE"/>
        </w:rPr>
      </w:pPr>
    </w:p>
    <w:p w:rsidR="00904D48" w:rsidRPr="000F7A1E" w:rsidRDefault="007D2993">
      <w:pPr>
        <w:keepLines/>
        <w:ind w:left="567" w:right="567"/>
        <w:rPr>
          <w:szCs w:val="24"/>
          <w:lang w:val="de-DE"/>
        </w:rPr>
      </w:pPr>
      <w:r w:rsidRPr="007D2993">
        <w:rPr>
          <w:sz w:val="18"/>
          <w:szCs w:val="24"/>
          <w:lang w:val="de-DE"/>
        </w:rPr>
        <w:t>„</w:t>
      </w:r>
      <w:r w:rsidR="00904D48" w:rsidRPr="000F7A1E">
        <w:rPr>
          <w:spacing w:val="-2"/>
          <w:sz w:val="18"/>
          <w:szCs w:val="24"/>
          <w:lang w:val="de-DE"/>
        </w:rPr>
        <w:t>14</w:t>
      </w:r>
      <w:r w:rsidR="00904D48" w:rsidRPr="000F7A1E">
        <w:rPr>
          <w:spacing w:val="-2"/>
          <w:sz w:val="18"/>
          <w:szCs w:val="24"/>
          <w:lang w:val="de-DE"/>
        </w:rPr>
        <w:tab/>
      </w:r>
      <w:r w:rsidR="00904D48" w:rsidRPr="000F7A1E">
        <w:rPr>
          <w:spacing w:val="-2"/>
          <w:sz w:val="18"/>
          <w:szCs w:val="24"/>
          <w:lang w:val="de-CH"/>
        </w:rPr>
        <w:t>Der CAJ nahm zur Kenntnis, daß es keine Entwicklungen betreffend ein etwaiges Treffen des Verbandsbüros mit der Internationalen Gemeinschaft der Züchter vegetativ vermehrbarer Zier- und Obstpflanzen (CIOPORA), dem Internationalen Saatgutverband (ISF) und der Weltorganisation für geistiges Eigentum (WIPO) gegeben habe, um die mögliche Rolle der UPOV bei alternativen Streitbeilegungsmechanismen für Angelegenheiten betreffend im wesentlichen abgeleitete Sorten, einschließlich der Bereitstellung von Sachverständigen für Angelegenheiten von im wesentlichen abgeleiteten Sorten, zu erkunden, und nahm zur Kenntnis, daß das Verbandsbüro diese Angelegenheit nicht weiter verfolgen würde, sofern sich die Umstände nicht ändern.</w:t>
      </w:r>
      <w:r w:rsidR="00904D48" w:rsidRPr="000F7A1E">
        <w:rPr>
          <w:sz w:val="18"/>
          <w:szCs w:val="24"/>
          <w:lang w:val="de-CH"/>
        </w:rPr>
        <w:t>“</w:t>
      </w:r>
    </w:p>
    <w:p w:rsidR="00904D48" w:rsidRDefault="00904D48">
      <w:pPr>
        <w:rPr>
          <w:szCs w:val="24"/>
          <w:lang w:val="de-DE"/>
        </w:rPr>
      </w:pPr>
    </w:p>
    <w:p w:rsidR="00904D48" w:rsidRDefault="00904D48">
      <w:pPr>
        <w:pStyle w:val="Heading1"/>
        <w:rPr>
          <w:szCs w:val="24"/>
          <w:lang w:val="de-DE"/>
        </w:rPr>
      </w:pPr>
    </w:p>
    <w:p w:rsidR="00904D48" w:rsidRDefault="00897040">
      <w:pPr>
        <w:rPr>
          <w:szCs w:val="24"/>
          <w:lang w:val="de-DE"/>
        </w:rPr>
      </w:pPr>
      <w:r>
        <w:rPr>
          <w:szCs w:val="24"/>
          <w:lang w:val="de-DE"/>
        </w:rPr>
        <w:br w:type="page"/>
      </w:r>
    </w:p>
    <w:p w:rsidR="00904D48" w:rsidRDefault="00904D48">
      <w:pPr>
        <w:pStyle w:val="Heading1"/>
        <w:rPr>
          <w:szCs w:val="24"/>
          <w:lang w:val="de-DE"/>
        </w:rPr>
      </w:pPr>
      <w:bookmarkStart w:id="4" w:name="_Toc48897866"/>
      <w:r>
        <w:rPr>
          <w:szCs w:val="24"/>
          <w:lang w:val="de-CH"/>
        </w:rPr>
        <w:lastRenderedPageBreak/>
        <w:t>VERFAHREN FÜR DIE ÜBERARBEITUNG DER IN DOKUMENT UPOV/EXN/EDV/2 „Erläuterungen zu den im wesentlichen abgeleiteten Sorten nach der Akte von 1991 des UPOV-Übereinkommens“ ENTHALTENEN ANLEITUNG ZU DEN IM WESENTLICHEN ABGELEITETEN SORTEN</w:t>
      </w:r>
      <w:bookmarkEnd w:id="4"/>
    </w:p>
    <w:p w:rsidR="00904D48" w:rsidRDefault="00904D48">
      <w:pPr>
        <w:rPr>
          <w:szCs w:val="24"/>
          <w:lang w:val="de-DE"/>
        </w:rPr>
      </w:pPr>
    </w:p>
    <w:p w:rsidR="00904D48" w:rsidRDefault="00904D48">
      <w:pPr>
        <w:pStyle w:val="Heading2"/>
        <w:rPr>
          <w:szCs w:val="24"/>
          <w:lang w:val="de-DE"/>
        </w:rPr>
      </w:pPr>
      <w:bookmarkStart w:id="5" w:name="_Toc48897867"/>
      <w:r>
        <w:rPr>
          <w:szCs w:val="24"/>
          <w:lang w:val="de-CH"/>
        </w:rPr>
        <w:t>Entwicklungen seit der sechsundsiebzigsten Tagung des CAJ</w:t>
      </w:r>
      <w:bookmarkEnd w:id="5"/>
    </w:p>
    <w:p w:rsidR="00904D48" w:rsidRDefault="00904D48">
      <w:pPr>
        <w:rPr>
          <w:szCs w:val="24"/>
          <w:highlight w:val="cyan"/>
          <w:lang w:val="de-DE"/>
        </w:rPr>
      </w:pPr>
    </w:p>
    <w:p w:rsidR="00904D48" w:rsidRDefault="00904D48">
      <w:pPr>
        <w:autoSpaceDE w:val="0"/>
        <w:autoSpaceDN w:val="0"/>
        <w:adjustRightInd w:val="0"/>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Gemäß dem vom CAJ vereinbarten Verfahren für die Überarbeitung des Dokuments UPOV/EXN/EDV/2 (vergleiche </w:t>
      </w:r>
      <w:r>
        <w:rPr>
          <w:spacing w:val="-2"/>
          <w:szCs w:val="24"/>
          <w:lang w:val="de-CH"/>
        </w:rPr>
        <w:t>„</w:t>
      </w:r>
      <w:r>
        <w:rPr>
          <w:szCs w:val="24"/>
          <w:lang w:val="de-CH"/>
        </w:rPr>
        <w:t>Hintergrund“, oben) sind nachstehend die Entwicklungen seit der sechsundsiebzigsten Tagung des CAJ wiedergegeben.</w:t>
      </w:r>
    </w:p>
    <w:p w:rsidR="00904D48" w:rsidRDefault="00904D48">
      <w:pPr>
        <w:ind w:firstLine="567"/>
        <w:rPr>
          <w:szCs w:val="24"/>
          <w:lang w:val="de-DE"/>
        </w:rPr>
      </w:pPr>
    </w:p>
    <w:p w:rsidR="00904D48" w:rsidRDefault="00904D48">
      <w:pPr>
        <w:rPr>
          <w:szCs w:val="24"/>
          <w:lang w:val="de-DE"/>
        </w:rPr>
      </w:pPr>
    </w:p>
    <w:p w:rsidR="00904D48" w:rsidRDefault="00904D48">
      <w:pPr>
        <w:pStyle w:val="Heading2"/>
        <w:rPr>
          <w:szCs w:val="24"/>
          <w:lang w:val="de-DE"/>
        </w:rPr>
      </w:pPr>
      <w:bookmarkStart w:id="6" w:name="_Toc48897868"/>
      <w:r>
        <w:rPr>
          <w:szCs w:val="24"/>
          <w:lang w:val="de-CH"/>
        </w:rPr>
        <w:t>UPOV-Rundschreiben E-19/232 und E-19/233 vom 23. Dezember 2019</w:t>
      </w:r>
      <w:bookmarkEnd w:id="6"/>
    </w:p>
    <w:p w:rsidR="00904D48" w:rsidRPr="00745DB9" w:rsidRDefault="00904D48">
      <w:pPr>
        <w:keepNext/>
        <w:autoSpaceDE w:val="0"/>
        <w:autoSpaceDN w:val="0"/>
        <w:adjustRightInd w:val="0"/>
        <w:jc w:val="left"/>
        <w:rPr>
          <w:spacing w:val="2"/>
          <w:szCs w:val="24"/>
          <w:lang w:val="de-DE"/>
        </w:rPr>
      </w:pPr>
    </w:p>
    <w:p w:rsidR="00904D48" w:rsidRPr="00745DB9" w:rsidRDefault="00904D48">
      <w:pPr>
        <w:keepLines/>
        <w:rPr>
          <w:spacing w:val="2"/>
          <w:szCs w:val="24"/>
          <w:lang w:val="de-DE"/>
        </w:rPr>
      </w:pPr>
      <w:r w:rsidRPr="00745DB9">
        <w:rPr>
          <w:spacing w:val="2"/>
          <w:szCs w:val="24"/>
          <w:lang w:val="de-DE"/>
        </w:rPr>
        <w:fldChar w:fldCharType="begin"/>
      </w:r>
      <w:r w:rsidRPr="00745DB9">
        <w:rPr>
          <w:spacing w:val="2"/>
          <w:szCs w:val="24"/>
          <w:lang w:val="de-DE"/>
        </w:rPr>
        <w:instrText xml:space="preserve"> AUTONUM  </w:instrText>
      </w:r>
      <w:r w:rsidRPr="00745DB9">
        <w:rPr>
          <w:spacing w:val="2"/>
          <w:szCs w:val="24"/>
          <w:lang w:val="de-DE"/>
        </w:rPr>
        <w:fldChar w:fldCharType="end"/>
      </w:r>
      <w:r w:rsidRPr="00745DB9">
        <w:rPr>
          <w:spacing w:val="2"/>
          <w:szCs w:val="24"/>
          <w:lang w:val="de-DE"/>
        </w:rPr>
        <w:tab/>
      </w:r>
      <w:r w:rsidRPr="00745DB9">
        <w:rPr>
          <w:spacing w:val="2"/>
          <w:szCs w:val="24"/>
          <w:lang w:val="de-CH"/>
        </w:rPr>
        <w:t>Am 23. Dezember 2019 richtete das Verbandsbüro die Rundschreiben E-19/232 und E-19/233 an die Mitglieder und Beobachter mit dem Ersuchen, Beiträge zu Grundsatzfragen auf dem Schriftweg zu leisten und die Züchter zu ersuchen, Informationen zu Grundsatzfragen und über Brauch und Praxis betreffend im wesentlichen abgeleitete Sorten zu erteilen.</w:t>
      </w:r>
      <w:r w:rsidRPr="00745DB9">
        <w:rPr>
          <w:spacing w:val="2"/>
          <w:szCs w:val="24"/>
          <w:lang w:val="de-DE"/>
        </w:rPr>
        <w:t xml:space="preserve"> </w:t>
      </w:r>
      <w:r w:rsidRPr="00745DB9">
        <w:rPr>
          <w:spacing w:val="2"/>
          <w:szCs w:val="24"/>
          <w:lang w:val="de-CH"/>
        </w:rPr>
        <w:t>Die folgenden Verbandsmitglieder und Beobachter leisteten Beiträge:</w:t>
      </w:r>
      <w:r w:rsidRPr="00745DB9">
        <w:rPr>
          <w:spacing w:val="2"/>
          <w:szCs w:val="24"/>
          <w:lang w:val="de-DE"/>
        </w:rPr>
        <w:t xml:space="preserve"> </w:t>
      </w:r>
      <w:r w:rsidR="00745DB9" w:rsidRPr="00745DB9">
        <w:rPr>
          <w:spacing w:val="2"/>
          <w:szCs w:val="24"/>
          <w:lang w:val="de-CH"/>
        </w:rPr>
        <w:t>Deutschland, Europäische Union,</w:t>
      </w:r>
      <w:r w:rsidRPr="00745DB9">
        <w:rPr>
          <w:spacing w:val="2"/>
          <w:szCs w:val="24"/>
          <w:lang w:val="de-CH"/>
        </w:rPr>
        <w:t xml:space="preserve"> Japan, Russische Föderation, </w:t>
      </w:r>
      <w:r w:rsidR="00745DB9" w:rsidRPr="00745DB9">
        <w:rPr>
          <w:spacing w:val="2"/>
          <w:szCs w:val="24"/>
          <w:lang w:val="de-CH"/>
        </w:rPr>
        <w:t xml:space="preserve">Schweden, </w:t>
      </w:r>
      <w:r w:rsidRPr="00745DB9">
        <w:rPr>
          <w:spacing w:val="2"/>
          <w:szCs w:val="24"/>
          <w:lang w:val="de-CH"/>
        </w:rPr>
        <w:t xml:space="preserve">Südafrika, </w:t>
      </w:r>
      <w:r w:rsidR="00745DB9">
        <w:rPr>
          <w:i/>
          <w:spacing w:val="2"/>
          <w:szCs w:val="24"/>
          <w:lang w:val="de-CH"/>
        </w:rPr>
        <w:t>African </w:t>
      </w:r>
      <w:r w:rsidR="00745DB9" w:rsidRPr="00745DB9">
        <w:rPr>
          <w:i/>
          <w:spacing w:val="2"/>
          <w:szCs w:val="24"/>
          <w:lang w:val="de-CH"/>
        </w:rPr>
        <w:t>Seed</w:t>
      </w:r>
      <w:r w:rsidR="00745DB9" w:rsidRPr="00745DB9">
        <w:rPr>
          <w:spacing w:val="2"/>
          <w:szCs w:val="24"/>
          <w:lang w:val="de-CH"/>
        </w:rPr>
        <w:t xml:space="preserve"> </w:t>
      </w:r>
      <w:r w:rsidR="00745DB9" w:rsidRPr="00745DB9">
        <w:rPr>
          <w:i/>
          <w:spacing w:val="2"/>
          <w:szCs w:val="24"/>
          <w:lang w:val="de-CH"/>
        </w:rPr>
        <w:t>Trade Association</w:t>
      </w:r>
      <w:r w:rsidR="00745DB9" w:rsidRPr="00745DB9">
        <w:rPr>
          <w:spacing w:val="2"/>
          <w:szCs w:val="24"/>
          <w:lang w:val="de-CH"/>
        </w:rPr>
        <w:t xml:space="preserve"> (AFSTA) (Afrikanischer </w:t>
      </w:r>
      <w:r w:rsidRPr="00745DB9">
        <w:rPr>
          <w:spacing w:val="2"/>
          <w:szCs w:val="24"/>
          <w:lang w:val="de-CH"/>
        </w:rPr>
        <w:t xml:space="preserve">Saatguthandelsverband), </w:t>
      </w:r>
      <w:r w:rsidR="00745DB9" w:rsidRPr="00745DB9">
        <w:rPr>
          <w:i/>
          <w:spacing w:val="2"/>
          <w:szCs w:val="24"/>
          <w:lang w:val="de-CH"/>
        </w:rPr>
        <w:t>Asia and Pacific Seed Association</w:t>
      </w:r>
      <w:r w:rsidR="00745DB9" w:rsidRPr="00745DB9">
        <w:rPr>
          <w:spacing w:val="2"/>
          <w:szCs w:val="24"/>
          <w:lang w:val="de-CH"/>
        </w:rPr>
        <w:t xml:space="preserve"> (APSA) (</w:t>
      </w:r>
      <w:r w:rsidRPr="00745DB9">
        <w:rPr>
          <w:spacing w:val="2"/>
          <w:szCs w:val="24"/>
          <w:lang w:val="de-CH"/>
        </w:rPr>
        <w:t>Saatgutvereinigung für Asien u</w:t>
      </w:r>
      <w:r w:rsidR="00745DB9" w:rsidRPr="00745DB9">
        <w:rPr>
          <w:spacing w:val="2"/>
          <w:szCs w:val="24"/>
          <w:lang w:val="de-CH"/>
        </w:rPr>
        <w:t xml:space="preserve">nd den Pazifik), </w:t>
      </w:r>
      <w:r w:rsidR="00745DB9" w:rsidRPr="00745DB9">
        <w:rPr>
          <w:i/>
          <w:spacing w:val="2"/>
          <w:szCs w:val="24"/>
          <w:lang w:val="de-CH"/>
        </w:rPr>
        <w:t>CropLife International</w:t>
      </w:r>
      <w:r w:rsidRPr="00745DB9">
        <w:rPr>
          <w:spacing w:val="2"/>
          <w:szCs w:val="24"/>
          <w:lang w:val="de-CH"/>
        </w:rPr>
        <w:t>, Euroseeds, Internationaler Verband des Erwerbsgartenbaues (AIPH), Internationale Gemeinschaft der Züchter vegetativ vermehrbarer Zier- und Obstpfla</w:t>
      </w:r>
      <w:r w:rsidR="00745DB9" w:rsidRPr="00745DB9">
        <w:rPr>
          <w:spacing w:val="2"/>
          <w:szCs w:val="24"/>
          <w:lang w:val="de-CH"/>
        </w:rPr>
        <w:t xml:space="preserve">nzen (CIOPORA), </w:t>
      </w:r>
      <w:r w:rsidR="00745DB9" w:rsidRPr="00745DB9">
        <w:rPr>
          <w:i/>
          <w:spacing w:val="2"/>
          <w:szCs w:val="24"/>
          <w:lang w:val="de-CH"/>
        </w:rPr>
        <w:t>International Seed Federation</w:t>
      </w:r>
      <w:r w:rsidR="00745DB9" w:rsidRPr="00745DB9">
        <w:rPr>
          <w:spacing w:val="2"/>
          <w:szCs w:val="24"/>
          <w:lang w:val="de-CH"/>
        </w:rPr>
        <w:t xml:space="preserve"> </w:t>
      </w:r>
      <w:r w:rsidRPr="00745DB9">
        <w:rPr>
          <w:spacing w:val="2"/>
          <w:szCs w:val="24"/>
          <w:lang w:val="de-CH"/>
        </w:rPr>
        <w:t xml:space="preserve">(ISF) und </w:t>
      </w:r>
      <w:r w:rsidR="00D87905">
        <w:rPr>
          <w:i/>
          <w:spacing w:val="2"/>
          <w:szCs w:val="24"/>
          <w:lang w:val="de-CH"/>
        </w:rPr>
        <w:t>Seed </w:t>
      </w:r>
      <w:r w:rsidR="00745DB9" w:rsidRPr="00745DB9">
        <w:rPr>
          <w:i/>
          <w:spacing w:val="2"/>
          <w:szCs w:val="24"/>
          <w:lang w:val="de-CH"/>
        </w:rPr>
        <w:t>Association of the Americas</w:t>
      </w:r>
      <w:r w:rsidR="00745DB9" w:rsidRPr="00745DB9">
        <w:rPr>
          <w:spacing w:val="2"/>
          <w:szCs w:val="24"/>
          <w:lang w:val="de-CH"/>
        </w:rPr>
        <w:t xml:space="preserve"> (SAA</w:t>
      </w:r>
      <w:r w:rsidRPr="00745DB9">
        <w:rPr>
          <w:spacing w:val="2"/>
          <w:szCs w:val="24"/>
          <w:lang w:val="de-CH"/>
        </w:rPr>
        <w:t>).</w:t>
      </w:r>
      <w:r w:rsidRPr="00745DB9">
        <w:rPr>
          <w:spacing w:val="2"/>
          <w:szCs w:val="24"/>
          <w:lang w:val="de-DE"/>
        </w:rPr>
        <w:t xml:space="preserve"> </w:t>
      </w:r>
      <w:r w:rsidRPr="00745DB9">
        <w:rPr>
          <w:spacing w:val="2"/>
          <w:szCs w:val="24"/>
          <w:lang w:val="de-CH"/>
        </w:rPr>
        <w:t>Die Beiträge der Verbandsmitglieder und Beobachter in Antwort auf die Rundschreiben E-19/232 und E-19/233 können unter dem folgenden Link eingesehen werden</w:t>
      </w:r>
      <w:r w:rsidR="006A412E">
        <w:rPr>
          <w:spacing w:val="2"/>
          <w:szCs w:val="24"/>
          <w:lang w:val="de-CH"/>
        </w:rPr>
        <w:t xml:space="preserve"> </w:t>
      </w:r>
      <w:hyperlink r:id="rId9" w:history="1">
        <w:r w:rsidR="006A412E" w:rsidRPr="00921F6A">
          <w:rPr>
            <w:rStyle w:val="Hyperlink"/>
            <w:spacing w:val="2"/>
            <w:szCs w:val="24"/>
            <w:lang w:val="de-CH"/>
          </w:rPr>
          <w:t>https://www.upov.int/meetings/en/pages/caj77/contributions.html</w:t>
        </w:r>
      </w:hyperlink>
      <w:r w:rsidRPr="00745DB9">
        <w:rPr>
          <w:spacing w:val="2"/>
          <w:szCs w:val="24"/>
          <w:lang w:val="de-CH"/>
        </w:rPr>
        <w:t>.</w:t>
      </w:r>
    </w:p>
    <w:p w:rsidR="00904D48" w:rsidRDefault="00904D48">
      <w:pPr>
        <w:autoSpaceDE w:val="0"/>
        <w:autoSpaceDN w:val="0"/>
        <w:adjustRightInd w:val="0"/>
        <w:rPr>
          <w:szCs w:val="24"/>
          <w:lang w:val="de-DE"/>
        </w:rPr>
      </w:pPr>
    </w:p>
    <w:p w:rsidR="00904D48" w:rsidRDefault="00904D48">
      <w:pPr>
        <w:jc w:val="left"/>
        <w:rPr>
          <w:szCs w:val="24"/>
          <w:lang w:val="de-DE"/>
        </w:rPr>
      </w:pPr>
    </w:p>
    <w:p w:rsidR="00904D48" w:rsidRDefault="00904D48">
      <w:pPr>
        <w:pStyle w:val="Heading2"/>
        <w:rPr>
          <w:szCs w:val="24"/>
          <w:lang w:val="de-DE"/>
        </w:rPr>
      </w:pPr>
      <w:bookmarkStart w:id="7" w:name="_Toc48897869"/>
      <w:r>
        <w:rPr>
          <w:szCs w:val="24"/>
          <w:lang w:val="de-CH"/>
        </w:rPr>
        <w:t>UPOV-Rundschreiben E-20/093 vom 9. Juli 2020</w:t>
      </w:r>
      <w:bookmarkEnd w:id="7"/>
    </w:p>
    <w:p w:rsidR="00904D48" w:rsidRDefault="00904D48">
      <w:pPr>
        <w:rPr>
          <w:szCs w:val="24"/>
          <w:lang w:val="de-DE"/>
        </w:rPr>
      </w:pPr>
    </w:p>
    <w:p w:rsidR="00904D48" w:rsidRDefault="00904D48">
      <w:pPr>
        <w:rPr>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Auf der Grundlage der Antworten auf die Rundschreiben E-19/232 und E-19/233 versandte das Verbandsbüro das Rundschreiben E- 20/093 vom 9. Juli 2020 und ersuchte den CAJ:</w:t>
      </w:r>
    </w:p>
    <w:p w:rsidR="00904D48" w:rsidRDefault="00904D48">
      <w:pPr>
        <w:rPr>
          <w:szCs w:val="24"/>
          <w:lang w:val="de-DE"/>
        </w:rPr>
      </w:pPr>
    </w:p>
    <w:p w:rsidR="00904D48" w:rsidRDefault="00904D48" w:rsidP="000F7A1E">
      <w:pPr>
        <w:pStyle w:val="ListParagraph"/>
        <w:numPr>
          <w:ilvl w:val="0"/>
          <w:numId w:val="11"/>
        </w:numPr>
        <w:autoSpaceDE w:val="0"/>
        <w:autoSpaceDN w:val="0"/>
        <w:adjustRightInd w:val="0"/>
        <w:rPr>
          <w:szCs w:val="24"/>
          <w:lang w:val="de-DE"/>
        </w:rPr>
      </w:pPr>
      <w:r>
        <w:rPr>
          <w:szCs w:val="24"/>
          <w:lang w:val="de-CH"/>
        </w:rPr>
        <w:t xml:space="preserve">sich über den Entwurf einer Aufgabendefinition für eine Arbeitsgruppe für im wesentlichen abgeleitete Sorten (WG-EDV), </w:t>
      </w:r>
      <w:r w:rsidRPr="00745DB9">
        <w:rPr>
          <w:szCs w:val="24"/>
          <w:lang w:val="de-CH"/>
        </w:rPr>
        <w:t>wie in Anlage II des Rundschreibens E-20/093</w:t>
      </w:r>
      <w:r w:rsidR="000F7A1E">
        <w:rPr>
          <w:szCs w:val="24"/>
          <w:lang w:val="de-CH"/>
        </w:rPr>
        <w:t xml:space="preserve"> </w:t>
      </w:r>
      <w:r>
        <w:rPr>
          <w:szCs w:val="24"/>
          <w:lang w:val="de-CH"/>
        </w:rPr>
        <w:t>dargelegt, zu äußern;</w:t>
      </w:r>
    </w:p>
    <w:p w:rsidR="00904D48" w:rsidRDefault="00904D48">
      <w:pPr>
        <w:pStyle w:val="ListParagraph"/>
        <w:autoSpaceDE w:val="0"/>
        <w:autoSpaceDN w:val="0"/>
        <w:adjustRightInd w:val="0"/>
        <w:ind w:left="1143"/>
        <w:rPr>
          <w:szCs w:val="24"/>
          <w:lang w:val="de-DE"/>
        </w:rPr>
      </w:pPr>
    </w:p>
    <w:p w:rsidR="00904D48" w:rsidRDefault="00904D48">
      <w:pPr>
        <w:pStyle w:val="ListParagraph"/>
        <w:numPr>
          <w:ilvl w:val="0"/>
          <w:numId w:val="11"/>
        </w:numPr>
        <w:rPr>
          <w:szCs w:val="24"/>
          <w:lang w:val="de-DE"/>
        </w:rPr>
      </w:pPr>
      <w:r>
        <w:rPr>
          <w:szCs w:val="24"/>
          <w:lang w:val="de-CH"/>
        </w:rPr>
        <w:t xml:space="preserve">sich über die vorläufige Analyse der Angelegenheiten und Praktiken betreffend im wesentlichen abgeleitete Sorten in </w:t>
      </w:r>
      <w:r w:rsidRPr="00745DB9">
        <w:rPr>
          <w:szCs w:val="24"/>
          <w:lang w:val="de-CH"/>
        </w:rPr>
        <w:t>Anlage III des Rundschreibens E- 20/093 zu äußern</w:t>
      </w:r>
      <w:r>
        <w:rPr>
          <w:szCs w:val="24"/>
          <w:lang w:val="de-CH"/>
        </w:rPr>
        <w:t xml:space="preserve">, welche auf der Grundlage der von Verbandsmitgliedern und Beobachtern eingereichten Beiträge in Antwort auf die Rundschreiben E-19/232 </w:t>
      </w:r>
      <w:r w:rsidR="000F7A1E">
        <w:rPr>
          <w:szCs w:val="24"/>
          <w:lang w:val="de-CH"/>
        </w:rPr>
        <w:t>und</w:t>
      </w:r>
      <w:r>
        <w:rPr>
          <w:szCs w:val="24"/>
          <w:lang w:val="de-CH"/>
        </w:rPr>
        <w:t xml:space="preserve"> E-19/233 vom 23. Dezember 2019 vorbereitet wurden; </w:t>
      </w:r>
    </w:p>
    <w:p w:rsidR="00904D48" w:rsidRDefault="00904D48">
      <w:pPr>
        <w:pStyle w:val="ListParagraph"/>
        <w:ind w:left="1143"/>
        <w:rPr>
          <w:szCs w:val="24"/>
          <w:lang w:val="de-DE"/>
        </w:rPr>
      </w:pPr>
    </w:p>
    <w:p w:rsidR="00904D48" w:rsidRDefault="00904D48">
      <w:pPr>
        <w:pStyle w:val="ListParagraph"/>
        <w:numPr>
          <w:ilvl w:val="0"/>
          <w:numId w:val="11"/>
        </w:numPr>
        <w:autoSpaceDE w:val="0"/>
        <w:autoSpaceDN w:val="0"/>
        <w:adjustRightInd w:val="0"/>
        <w:rPr>
          <w:szCs w:val="24"/>
          <w:lang w:val="de-DE"/>
        </w:rPr>
      </w:pPr>
      <w:r>
        <w:rPr>
          <w:szCs w:val="24"/>
          <w:lang w:val="de-CH"/>
        </w:rPr>
        <w:t>die Verbandsmitglieder und Beobachter im CAJ zu ersuchen, ihr Interesse, Mitglied der WG-EDV zu werden, zu bekunden.</w:t>
      </w:r>
    </w:p>
    <w:p w:rsidR="00904D48" w:rsidRDefault="00904D48">
      <w:pPr>
        <w:pStyle w:val="ListParagraph"/>
        <w:rPr>
          <w:szCs w:val="24"/>
          <w:lang w:val="de-DE"/>
        </w:rPr>
      </w:pPr>
    </w:p>
    <w:p w:rsidR="00904D48" w:rsidRDefault="00904D48">
      <w:pPr>
        <w:autoSpaceDE w:val="0"/>
        <w:autoSpaceDN w:val="0"/>
        <w:adjustRightInd w:val="0"/>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Die nachstehenden Abschnitte enthalten Vorschläge zur Prüfung durch den CAJ gemäß den Antworten auf das UPOV-Rundschreiben E-20/093. Diese Vorschläge werden das Ersuchen des CAJ enthalten, die aktualisierte Fassung der Grundsatzfragen in Zusammenhang mit Brauch und Praxis der Züchter zu prüfen, die Aufgabendefinition und die Zusammensetzung der WG-EDV zu billigen und einen vorläufigen Termin für die erste Sitzung der WG-EDV festzulegen.</w:t>
      </w:r>
    </w:p>
    <w:p w:rsidR="00904D48" w:rsidRDefault="00904D48">
      <w:pPr>
        <w:rPr>
          <w:szCs w:val="24"/>
          <w:lang w:val="de-DE"/>
        </w:rPr>
      </w:pPr>
    </w:p>
    <w:p w:rsidR="00904D48" w:rsidRDefault="00904D48">
      <w:pPr>
        <w:pStyle w:val="Heading3"/>
        <w:rPr>
          <w:szCs w:val="24"/>
          <w:lang w:val="de-DE"/>
        </w:rPr>
      </w:pPr>
      <w:bookmarkStart w:id="8" w:name="_Toc48897870"/>
      <w:r>
        <w:rPr>
          <w:szCs w:val="24"/>
          <w:lang w:val="de-CH"/>
        </w:rPr>
        <w:t>Grundsatzfragen in Zusammenhang mit Brauch und Praxis der Züchter</w:t>
      </w:r>
      <w:bookmarkEnd w:id="8"/>
    </w:p>
    <w:p w:rsidR="00904D48" w:rsidRDefault="00904D48">
      <w:pPr>
        <w:rPr>
          <w:szCs w:val="24"/>
          <w:lang w:val="de-DE"/>
        </w:rPr>
      </w:pPr>
    </w:p>
    <w:p w:rsidR="00904D48" w:rsidRDefault="00904D48">
      <w:pPr>
        <w:rPr>
          <w:szCs w:val="24"/>
          <w:lang w:val="de-DE"/>
        </w:rPr>
      </w:pPr>
      <w:r>
        <w:rPr>
          <w:spacing w:val="-2"/>
          <w:szCs w:val="24"/>
          <w:lang w:val="de-DE"/>
        </w:rPr>
        <w:fldChar w:fldCharType="begin"/>
      </w:r>
      <w:r>
        <w:rPr>
          <w:spacing w:val="-2"/>
          <w:szCs w:val="24"/>
          <w:lang w:val="de-DE"/>
        </w:rPr>
        <w:instrText xml:space="preserve"> AUTONUM  </w:instrText>
      </w:r>
      <w:r>
        <w:rPr>
          <w:spacing w:val="-2"/>
          <w:szCs w:val="24"/>
          <w:lang w:val="de-DE"/>
        </w:rPr>
        <w:fldChar w:fldCharType="end"/>
      </w:r>
      <w:r>
        <w:rPr>
          <w:spacing w:val="-2"/>
          <w:szCs w:val="24"/>
          <w:lang w:val="de-DE"/>
        </w:rPr>
        <w:tab/>
      </w:r>
      <w:r>
        <w:rPr>
          <w:szCs w:val="24"/>
          <w:lang w:val="de-CH"/>
        </w:rPr>
        <w:t xml:space="preserve">In Beantwortung des Rundschreibens E-20/093 übermittelte folgendes Verbandsmitglied und folgende Beobachter im CAJ Bemerkungen zu den in Anlage III des Rundschreibens E-20/093 dargelegten Grundsatzfragen in Zusammenhang mit Brauch und Praxis der Züchter: Vereinigte Staaten von Amerika, AIPH und ein gemeinsamer Beitrag von AFSTA, APSA, CIOPORA, </w:t>
      </w:r>
      <w:r w:rsidRPr="00D87905">
        <w:rPr>
          <w:i/>
          <w:szCs w:val="24"/>
          <w:lang w:val="de-CH"/>
        </w:rPr>
        <w:t>CropLife International</w:t>
      </w:r>
      <w:r>
        <w:rPr>
          <w:szCs w:val="24"/>
          <w:lang w:val="de-CH"/>
        </w:rPr>
        <w:t xml:space="preserve">, Euroseeds, ISF und SAA. Diese Beiträge in Antwort auf das Rundschreiben E-20/093 können unter </w:t>
      </w:r>
      <w:hyperlink r:id="rId10" w:history="1">
        <w:r w:rsidR="00A26A88" w:rsidRPr="00921F6A">
          <w:rPr>
            <w:rStyle w:val="Hyperlink"/>
            <w:szCs w:val="24"/>
            <w:lang w:val="de-CH"/>
          </w:rPr>
          <w:t>https://www.upov.int/meetings/de/pages/caj77/e_20_093.html</w:t>
        </w:r>
      </w:hyperlink>
      <w:r w:rsidR="00A26A88">
        <w:rPr>
          <w:szCs w:val="24"/>
          <w:lang w:val="de-CH"/>
        </w:rPr>
        <w:t xml:space="preserve"> </w:t>
      </w:r>
      <w:r>
        <w:rPr>
          <w:szCs w:val="24"/>
          <w:lang w:val="de-CH"/>
        </w:rPr>
        <w:t>eingesehen werden.</w:t>
      </w:r>
    </w:p>
    <w:p w:rsidR="00904D48" w:rsidRDefault="00904D48">
      <w:pPr>
        <w:rPr>
          <w:szCs w:val="24"/>
          <w:lang w:val="de-DE"/>
        </w:rPr>
      </w:pPr>
    </w:p>
    <w:p w:rsidR="00904D48" w:rsidRDefault="00904D48" w:rsidP="006A412E">
      <w:pPr>
        <w:keepLines/>
        <w:rPr>
          <w:szCs w:val="24"/>
          <w:lang w:val="de-DE"/>
        </w:rPr>
      </w:pPr>
      <w:r>
        <w:rPr>
          <w:szCs w:val="24"/>
          <w:lang w:val="de-DE"/>
        </w:rPr>
        <w:lastRenderedPageBreak/>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Die Vorschläge, die die eingegangenen Bemerkungen zu den Grundsatzfragen in Zusammenhang mit Brauch und Praxis der Züchter in Anlage III des Rundschreibens E- 20/093 wiedergeben, werden im manuellen Überarbeitungsmodus vorgelegt </w:t>
      </w:r>
      <w:r w:rsidRPr="00D87905">
        <w:rPr>
          <w:szCs w:val="24"/>
          <w:lang w:val="de-CH"/>
        </w:rPr>
        <w:t>und in Anlage I dieses Dokuments</w:t>
      </w:r>
      <w:r>
        <w:rPr>
          <w:szCs w:val="24"/>
          <w:lang w:val="de-CH"/>
        </w:rPr>
        <w:t xml:space="preserve"> in Grau hervorgehoben. Die Querverweise auf die Angelegenheiten im Unterabschnitt „Allgemeine Angelegenheiten“ in Anhang I, Anlage I, wurden aktualisiert, um die neue Nummerierung gemäß den Bemerkungen und den in Antwort auf das Rundschreiben E-20/093 erhaltenen neuen Fragen wiederzugeben. Im Unterabschn</w:t>
      </w:r>
      <w:r w:rsidR="000F7A1E">
        <w:rPr>
          <w:szCs w:val="24"/>
          <w:lang w:val="de-CH"/>
        </w:rPr>
        <w:t>itt „Angelegenheiten betreffend</w:t>
      </w:r>
      <w:r>
        <w:rPr>
          <w:szCs w:val="24"/>
          <w:lang w:val="de-CH"/>
        </w:rPr>
        <w:t xml:space="preserve"> spezifische Aspekte der aktuellen Erläuterungen“ in Anhang I, Anlage I wurden die Nummern der Fragen in der früheren Fassung zur besseren Übersichtlichkeit in eckigen Klammern beibehalten.</w:t>
      </w:r>
    </w:p>
    <w:p w:rsidR="00904D48" w:rsidRPr="00AB0E01" w:rsidRDefault="00904D48">
      <w:pPr>
        <w:jc w:val="left"/>
        <w:rPr>
          <w:sz w:val="18"/>
          <w:szCs w:val="24"/>
          <w:lang w:val="de-DE"/>
        </w:rPr>
      </w:pPr>
    </w:p>
    <w:p w:rsidR="00904D48" w:rsidRDefault="00904D48">
      <w:pPr>
        <w:pStyle w:val="Heading3"/>
        <w:rPr>
          <w:szCs w:val="24"/>
          <w:lang w:val="de-DE"/>
        </w:rPr>
      </w:pPr>
      <w:bookmarkStart w:id="9" w:name="_Toc48897871"/>
      <w:r>
        <w:rPr>
          <w:szCs w:val="24"/>
          <w:lang w:val="de-CH"/>
        </w:rPr>
        <w:t>Aufgabendefinition der Arbeitsgruppe für im wesentlichen abgeleitete Sorten (WG-EDV)</w:t>
      </w:r>
      <w:bookmarkEnd w:id="9"/>
    </w:p>
    <w:p w:rsidR="00904D48" w:rsidRPr="00AB0E01" w:rsidRDefault="00904D48">
      <w:pPr>
        <w:rPr>
          <w:sz w:val="18"/>
          <w:szCs w:val="24"/>
          <w:lang w:val="de-DE"/>
        </w:rPr>
      </w:pPr>
    </w:p>
    <w:p w:rsidR="00904D48" w:rsidRPr="00AB0E01" w:rsidRDefault="00904D48">
      <w:pPr>
        <w:rPr>
          <w:spacing w:val="-4"/>
          <w:szCs w:val="24"/>
          <w:lang w:val="de-DE"/>
        </w:rPr>
      </w:pPr>
      <w:r w:rsidRPr="00AB0E01">
        <w:rPr>
          <w:spacing w:val="-4"/>
          <w:szCs w:val="24"/>
          <w:lang w:val="de-DE"/>
        </w:rPr>
        <w:fldChar w:fldCharType="begin"/>
      </w:r>
      <w:r w:rsidRPr="00AB0E01">
        <w:rPr>
          <w:spacing w:val="-4"/>
          <w:szCs w:val="24"/>
          <w:lang w:val="de-DE"/>
        </w:rPr>
        <w:instrText xml:space="preserve"> AUTONUM  </w:instrText>
      </w:r>
      <w:r w:rsidRPr="00AB0E01">
        <w:rPr>
          <w:spacing w:val="-4"/>
          <w:szCs w:val="24"/>
          <w:lang w:val="de-DE"/>
        </w:rPr>
        <w:fldChar w:fldCharType="end"/>
      </w:r>
      <w:r w:rsidRPr="00AB0E01">
        <w:rPr>
          <w:spacing w:val="-4"/>
          <w:szCs w:val="24"/>
          <w:lang w:val="de-DE"/>
        </w:rPr>
        <w:tab/>
      </w:r>
      <w:r w:rsidRPr="00AB0E01">
        <w:rPr>
          <w:spacing w:val="-4"/>
          <w:szCs w:val="24"/>
          <w:lang w:val="de-CH"/>
        </w:rPr>
        <w:t>Den Antworten auf das Rundschreiben E-20/093 zufolge gab es keine Vorschläge zur Änderung des Textes im Entwurf einer Aufgabendefinition für eine Arbeitsgruppe für im wese</w:t>
      </w:r>
      <w:r w:rsidR="00AB0E01" w:rsidRPr="00AB0E01">
        <w:rPr>
          <w:spacing w:val="-4"/>
          <w:szCs w:val="24"/>
          <w:lang w:val="de-CH"/>
        </w:rPr>
        <w:t>ntlichen abgeleitete Sorten (WG</w:t>
      </w:r>
      <w:r w:rsidR="00AB0E01" w:rsidRPr="00AB0E01">
        <w:rPr>
          <w:spacing w:val="-4"/>
          <w:szCs w:val="24"/>
          <w:lang w:val="de-CH"/>
        </w:rPr>
        <w:noBreakHyphen/>
      </w:r>
      <w:r w:rsidRPr="00AB0E01">
        <w:rPr>
          <w:spacing w:val="-4"/>
          <w:szCs w:val="24"/>
          <w:lang w:val="de-CH"/>
        </w:rPr>
        <w:t>EDV), der in Anhang II des Rundschreibens E- 20/093 enthalten ist und in Anhang II dieses Dokuments wiedergegeben wird</w:t>
      </w:r>
      <w:r w:rsidR="007D2993" w:rsidRPr="00AB0E01">
        <w:rPr>
          <w:spacing w:val="-4"/>
          <w:szCs w:val="24"/>
          <w:lang w:val="de-CH"/>
        </w:rPr>
        <w:t>.</w:t>
      </w:r>
    </w:p>
    <w:p w:rsidR="00904D48" w:rsidRPr="00AB0E01" w:rsidRDefault="00904D48">
      <w:pPr>
        <w:rPr>
          <w:sz w:val="18"/>
          <w:szCs w:val="24"/>
          <w:lang w:val="de-DE"/>
        </w:rPr>
      </w:pPr>
    </w:p>
    <w:p w:rsidR="00904D48" w:rsidRDefault="00904D48">
      <w:pPr>
        <w:rPr>
          <w:sz w:val="18"/>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In den Bemerkungen der Europäischen Union und im gemeinsamen Beitrag von AFSTA, APSA, CIOPORA, </w:t>
      </w:r>
      <w:r w:rsidRPr="00D87905">
        <w:rPr>
          <w:i/>
          <w:szCs w:val="24"/>
          <w:lang w:val="de-CH"/>
        </w:rPr>
        <w:t>CropLife International</w:t>
      </w:r>
      <w:r>
        <w:rPr>
          <w:szCs w:val="24"/>
          <w:lang w:val="de-CH"/>
        </w:rPr>
        <w:t>, Euroseeds, ISF und SAA wurde vorgeschlagen, einen vorläufigen Zeitplan für die Arbeit der WG-EDV aufzunehmen.</w:t>
      </w:r>
    </w:p>
    <w:p w:rsidR="00904D48" w:rsidRPr="00AB0E01" w:rsidRDefault="00904D48">
      <w:pPr>
        <w:rPr>
          <w:sz w:val="18"/>
          <w:szCs w:val="24"/>
          <w:lang w:val="de-DE"/>
        </w:rPr>
      </w:pPr>
    </w:p>
    <w:p w:rsidR="00904D48" w:rsidRDefault="00904D48">
      <w:pPr>
        <w:keepNext/>
        <w:tabs>
          <w:tab w:val="left" w:pos="567"/>
        </w:tab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In bezug auf die obigen Bemerkungen sieht der Abschnitt „Modus Operandi“ der Aufgabendefinition (Absatz c)) folgendes vor:</w:t>
      </w:r>
    </w:p>
    <w:p w:rsidR="00904D48" w:rsidRPr="00AB0E01" w:rsidRDefault="00904D48">
      <w:pPr>
        <w:keepNext/>
        <w:tabs>
          <w:tab w:val="left" w:pos="1134"/>
        </w:tabs>
        <w:rPr>
          <w:sz w:val="18"/>
          <w:szCs w:val="24"/>
          <w:u w:val="single"/>
          <w:lang w:val="de-DE"/>
        </w:rPr>
      </w:pPr>
    </w:p>
    <w:p w:rsidR="00904D48" w:rsidRDefault="00904D48">
      <w:pPr>
        <w:tabs>
          <w:tab w:val="left" w:pos="1134"/>
        </w:tabs>
        <w:ind w:left="567" w:right="567"/>
        <w:rPr>
          <w:sz w:val="18"/>
          <w:szCs w:val="24"/>
          <w:lang w:val="de-DE"/>
        </w:rPr>
      </w:pPr>
      <w:r>
        <w:rPr>
          <w:sz w:val="18"/>
          <w:szCs w:val="24"/>
          <w:lang w:val="de-CH"/>
        </w:rPr>
        <w:t>„die WG-EDV wird dem CAJ nach jeder Sitzung der WG-EDV über den Fortschritt ihrer Arbeit berichten und gegebenenfalls um weitere Anleitung durch den CAJ ersuchen;“</w:t>
      </w:r>
    </w:p>
    <w:p w:rsidR="00904D48" w:rsidRPr="00AB0E01" w:rsidRDefault="00904D48">
      <w:pPr>
        <w:pStyle w:val="ListParagraph"/>
        <w:tabs>
          <w:tab w:val="left" w:pos="1134"/>
        </w:tabs>
        <w:ind w:left="1143"/>
        <w:rPr>
          <w:sz w:val="18"/>
          <w:szCs w:val="24"/>
          <w:lang w:val="de-DE"/>
        </w:rPr>
      </w:pPr>
    </w:p>
    <w:p w:rsidR="00904D48" w:rsidRDefault="00904D48">
      <w:pPr>
        <w:tabs>
          <w:tab w:val="left" w:pos="567"/>
        </w:tab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Es wird vorgeschlagen, daß der CAJ die WG-EDV ersucht, einen indikativen Zeitplan zu prüfen, sobald sie Gelegenheit hatte, zusammenzutreten und ihr Mandat in Übereinstimmung mit der Aufgabendefinition zu prüfen. Der indikative Zeitplan könnte in den Bericht der WG-EDV an den CAJ über den Fortschritt ihrer Arbeit aufgenommen werden.</w:t>
      </w:r>
    </w:p>
    <w:p w:rsidR="00904D48" w:rsidRPr="00AB0E01" w:rsidRDefault="00904D48">
      <w:pPr>
        <w:rPr>
          <w:sz w:val="18"/>
          <w:szCs w:val="24"/>
          <w:lang w:val="de-DE"/>
        </w:rPr>
      </w:pPr>
    </w:p>
    <w:p w:rsidR="00904D48" w:rsidRDefault="00904D48">
      <w:pPr>
        <w:pStyle w:val="Heading3"/>
        <w:rPr>
          <w:szCs w:val="24"/>
          <w:lang w:val="de-DE"/>
        </w:rPr>
      </w:pPr>
      <w:bookmarkStart w:id="10" w:name="_Toc48897872"/>
      <w:r>
        <w:rPr>
          <w:szCs w:val="24"/>
          <w:lang w:val="de-CH"/>
        </w:rPr>
        <w:t>Zusammensetzung der WG-EDV</w:t>
      </w:r>
      <w:bookmarkEnd w:id="10"/>
    </w:p>
    <w:p w:rsidR="00904D48" w:rsidRPr="00AB0E01" w:rsidRDefault="00904D48">
      <w:pPr>
        <w:rPr>
          <w:sz w:val="18"/>
          <w:szCs w:val="24"/>
          <w:lang w:val="de-DE"/>
        </w:rPr>
      </w:pPr>
    </w:p>
    <w:p w:rsidR="00904D48" w:rsidRPr="00D87905" w:rsidRDefault="00904D48">
      <w:pPr>
        <w:rPr>
          <w:spacing w:val="-2"/>
          <w:szCs w:val="24"/>
          <w:lang w:val="de-CH"/>
        </w:rPr>
      </w:pPr>
      <w:r w:rsidRPr="00D87905">
        <w:rPr>
          <w:spacing w:val="-2"/>
          <w:szCs w:val="24"/>
          <w:lang w:val="de-DE"/>
        </w:rPr>
        <w:fldChar w:fldCharType="begin"/>
      </w:r>
      <w:r w:rsidRPr="00D87905">
        <w:rPr>
          <w:spacing w:val="-2"/>
          <w:szCs w:val="24"/>
          <w:lang w:val="de-DE"/>
        </w:rPr>
        <w:instrText xml:space="preserve"> AUTONUM  </w:instrText>
      </w:r>
      <w:r w:rsidRPr="00D87905">
        <w:rPr>
          <w:spacing w:val="-2"/>
          <w:szCs w:val="24"/>
          <w:lang w:val="de-DE"/>
        </w:rPr>
        <w:fldChar w:fldCharType="end"/>
      </w:r>
      <w:r w:rsidRPr="00D87905">
        <w:rPr>
          <w:spacing w:val="-2"/>
          <w:szCs w:val="24"/>
          <w:lang w:val="de-DE"/>
        </w:rPr>
        <w:tab/>
      </w:r>
      <w:r w:rsidRPr="00D87905">
        <w:rPr>
          <w:spacing w:val="-2"/>
          <w:szCs w:val="24"/>
          <w:lang w:val="de-CH"/>
        </w:rPr>
        <w:t>In Antwort auf das Rundschreiben E-20/093 bekundeten folgende Verbandsmitglieder und Beobachter im CAJ Interesse an einer Mitgliedschaft in der WG-EDV: Australien, Brasili</w:t>
      </w:r>
      <w:r w:rsidR="00D87905" w:rsidRPr="00D87905">
        <w:rPr>
          <w:spacing w:val="-2"/>
          <w:szCs w:val="24"/>
          <w:lang w:val="de-CH"/>
        </w:rPr>
        <w:t>en, Chile, Ecuador, Europäische </w:t>
      </w:r>
      <w:r w:rsidRPr="00D87905">
        <w:rPr>
          <w:spacing w:val="-2"/>
          <w:szCs w:val="24"/>
          <w:lang w:val="de-CH"/>
        </w:rPr>
        <w:t>Union, Frankreich, Japan, Kenia, Schweden</w:t>
      </w:r>
      <w:r w:rsidR="00D87905" w:rsidRPr="00D87905">
        <w:rPr>
          <w:spacing w:val="-2"/>
          <w:szCs w:val="24"/>
          <w:lang w:val="de-CH"/>
        </w:rPr>
        <w:t>, Vereinigte Republik Tansania, Vereinigte </w:t>
      </w:r>
      <w:r w:rsidRPr="00D87905">
        <w:rPr>
          <w:spacing w:val="-2"/>
          <w:szCs w:val="24"/>
          <w:lang w:val="de-CH"/>
        </w:rPr>
        <w:t>St</w:t>
      </w:r>
      <w:r w:rsidR="00D87905" w:rsidRPr="00D87905">
        <w:rPr>
          <w:spacing w:val="-2"/>
          <w:szCs w:val="24"/>
          <w:lang w:val="de-CH"/>
        </w:rPr>
        <w:t>aaten </w:t>
      </w:r>
      <w:r w:rsidRPr="00D87905">
        <w:rPr>
          <w:spacing w:val="-2"/>
          <w:szCs w:val="24"/>
          <w:lang w:val="de-CH"/>
        </w:rPr>
        <w:t xml:space="preserve">von Amerika, APSA, </w:t>
      </w:r>
      <w:r w:rsidR="00D87905" w:rsidRPr="00D87905">
        <w:rPr>
          <w:i/>
          <w:spacing w:val="-2"/>
          <w:szCs w:val="24"/>
          <w:lang w:val="de-CH"/>
        </w:rPr>
        <w:t>Association for Plant Breeding for the Benefit of Society</w:t>
      </w:r>
      <w:r w:rsidR="00D87905" w:rsidRPr="00D87905">
        <w:rPr>
          <w:spacing w:val="-2"/>
          <w:szCs w:val="24"/>
          <w:lang w:val="de-CH"/>
        </w:rPr>
        <w:t xml:space="preserve"> (APBREBES), CIOPORA, </w:t>
      </w:r>
      <w:r w:rsidR="00D87905" w:rsidRPr="00D87905">
        <w:rPr>
          <w:i/>
          <w:spacing w:val="-2"/>
          <w:szCs w:val="24"/>
          <w:lang w:val="de-CH"/>
        </w:rPr>
        <w:t>CropLife </w:t>
      </w:r>
      <w:r w:rsidRPr="00D87905">
        <w:rPr>
          <w:i/>
          <w:spacing w:val="-2"/>
          <w:szCs w:val="24"/>
          <w:lang w:val="de-CH"/>
        </w:rPr>
        <w:t>International</w:t>
      </w:r>
      <w:r w:rsidRPr="00D87905">
        <w:rPr>
          <w:spacing w:val="-2"/>
          <w:szCs w:val="24"/>
          <w:lang w:val="de-CH"/>
        </w:rPr>
        <w:t xml:space="preserve">, Euroseeds, ISF und SAA. </w:t>
      </w:r>
    </w:p>
    <w:p w:rsidR="00904D48" w:rsidRPr="00AB0E01" w:rsidRDefault="00904D48">
      <w:pPr>
        <w:rPr>
          <w:sz w:val="18"/>
          <w:szCs w:val="24"/>
          <w:lang w:val="de-DE"/>
        </w:rPr>
      </w:pPr>
    </w:p>
    <w:p w:rsidR="00904D48" w:rsidRDefault="00904D48">
      <w:pPr>
        <w:pStyle w:val="Heading3"/>
        <w:rPr>
          <w:szCs w:val="24"/>
          <w:lang w:val="de-DE"/>
        </w:rPr>
      </w:pPr>
      <w:bookmarkStart w:id="11" w:name="_Toc48897873"/>
      <w:r>
        <w:rPr>
          <w:i w:val="0"/>
          <w:szCs w:val="24"/>
          <w:lang w:val="de-CH"/>
        </w:rPr>
        <w:t>Vorläufiger Termin für die erste Sitzung der WG-EDV</w:t>
      </w:r>
      <w:bookmarkEnd w:id="11"/>
    </w:p>
    <w:p w:rsidR="00904D48" w:rsidRPr="00AB0E01" w:rsidRDefault="00904D48">
      <w:pPr>
        <w:jc w:val="left"/>
        <w:rPr>
          <w:sz w:val="18"/>
          <w:szCs w:val="24"/>
          <w:lang w:val="de-DE"/>
        </w:rPr>
      </w:pPr>
    </w:p>
    <w:p w:rsidR="00904D48" w:rsidRDefault="00904D48">
      <w:pPr>
        <w:rPr>
          <w:szCs w:val="24"/>
          <w:lang w:val="de-DE"/>
        </w:rPr>
      </w:pPr>
      <w:r w:rsidRPr="00D87905">
        <w:rPr>
          <w:spacing w:val="-2"/>
          <w:szCs w:val="24"/>
          <w:lang w:val="de-DE"/>
        </w:rPr>
        <w:fldChar w:fldCharType="begin"/>
      </w:r>
      <w:r w:rsidRPr="00D87905">
        <w:rPr>
          <w:spacing w:val="-2"/>
          <w:szCs w:val="24"/>
          <w:lang w:val="de-DE"/>
        </w:rPr>
        <w:instrText xml:space="preserve"> AUTONUM  </w:instrText>
      </w:r>
      <w:r w:rsidRPr="00D87905">
        <w:rPr>
          <w:spacing w:val="-2"/>
          <w:szCs w:val="24"/>
          <w:lang w:val="de-DE"/>
        </w:rPr>
        <w:fldChar w:fldCharType="end"/>
      </w:r>
      <w:r w:rsidRPr="00D87905">
        <w:rPr>
          <w:spacing w:val="-2"/>
          <w:szCs w:val="24"/>
          <w:lang w:val="de-DE"/>
        </w:rPr>
        <w:tab/>
      </w:r>
      <w:r w:rsidRPr="00D87905">
        <w:rPr>
          <w:szCs w:val="24"/>
          <w:lang w:val="de-CH"/>
        </w:rPr>
        <w:t xml:space="preserve">Angesichts der Schwierigkeit, in diesen Zeiten physische Sitzungen zu organisieren, und unter Berücksichtigung der Tatsache, daß die UPOV-Tagungen im Oktober 2020 in Form virtueller Tagungen stattfinden werden, wird vorgeschlagen, die erste Sitzung der WG-EDV in Form einer virtuellen Tagung am </w:t>
      </w:r>
      <w:r w:rsidR="00D87905" w:rsidRPr="00D87905">
        <w:rPr>
          <w:szCs w:val="24"/>
          <w:lang w:val="de-CH"/>
        </w:rPr>
        <w:t>8. </w:t>
      </w:r>
      <w:r w:rsidRPr="00D87905">
        <w:rPr>
          <w:szCs w:val="24"/>
          <w:lang w:val="de-CH"/>
        </w:rPr>
        <w:t>Dezember 2020 abzuhalten</w:t>
      </w:r>
      <w:r>
        <w:rPr>
          <w:szCs w:val="24"/>
          <w:lang w:val="de-CH"/>
        </w:rPr>
        <w:t>.</w:t>
      </w:r>
    </w:p>
    <w:p w:rsidR="00904D48" w:rsidRPr="00AB0E01" w:rsidRDefault="00904D48">
      <w:pPr>
        <w:rPr>
          <w:sz w:val="18"/>
          <w:szCs w:val="24"/>
          <w:lang w:val="de-DE"/>
        </w:rPr>
      </w:pPr>
    </w:p>
    <w:p w:rsidR="00904D48" w:rsidRDefault="00904D48">
      <w:pPr>
        <w:pStyle w:val="DecisionParagraph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wird ersucht,</w:t>
      </w:r>
    </w:p>
    <w:p w:rsidR="00904D48" w:rsidRPr="00AB0E01" w:rsidRDefault="00904D48">
      <w:pPr>
        <w:pStyle w:val="DecisionParagraphs"/>
        <w:ind w:left="0"/>
        <w:rPr>
          <w:sz w:val="18"/>
          <w:szCs w:val="24"/>
          <w:lang w:val="de-DE"/>
        </w:rPr>
      </w:pPr>
    </w:p>
    <w:p w:rsidR="00904D48" w:rsidRDefault="00904D48">
      <w:pPr>
        <w:pStyle w:val="DecisionParagraphs"/>
        <w:rPr>
          <w:szCs w:val="24"/>
          <w:lang w:val="de-DE"/>
        </w:rPr>
      </w:pPr>
      <w:r>
        <w:rPr>
          <w:szCs w:val="24"/>
          <w:lang w:val="de-DE"/>
        </w:rPr>
        <w:tab/>
      </w:r>
      <w:r>
        <w:rPr>
          <w:szCs w:val="24"/>
          <w:lang w:val="de-CH"/>
        </w:rPr>
        <w:t>a)</w:t>
      </w:r>
      <w:r>
        <w:rPr>
          <w:szCs w:val="24"/>
          <w:lang w:val="de-DE"/>
        </w:rPr>
        <w:tab/>
      </w:r>
      <w:r>
        <w:rPr>
          <w:szCs w:val="24"/>
          <w:lang w:val="de-CH"/>
        </w:rPr>
        <w:t xml:space="preserve">die WG-EDV zu bilden und die Aufgabendefinition der WG-EDV, wie in Anlage II dieses Dokuments dargelegt, in Verbindung mit den geänderten „Grundsatzfragen in Zusammenhang mit Brauch und Praxis der Züchter“ in Anlage I dieses Dokuments zu </w:t>
      </w:r>
      <w:r w:rsidR="007D2993">
        <w:rPr>
          <w:szCs w:val="24"/>
          <w:lang w:val="de-CH"/>
        </w:rPr>
        <w:t>billigen</w:t>
      </w:r>
      <w:r>
        <w:rPr>
          <w:szCs w:val="24"/>
          <w:lang w:val="de-CH"/>
        </w:rPr>
        <w:t>;</w:t>
      </w:r>
    </w:p>
    <w:p w:rsidR="00904D48" w:rsidRPr="00AB0E01" w:rsidRDefault="00904D48">
      <w:pPr>
        <w:pStyle w:val="DecisionParagraphs"/>
        <w:rPr>
          <w:sz w:val="18"/>
          <w:szCs w:val="24"/>
          <w:lang w:val="de-DE"/>
        </w:rPr>
      </w:pPr>
    </w:p>
    <w:p w:rsidR="00904D48" w:rsidRPr="00E957E1" w:rsidRDefault="00904D48">
      <w:pPr>
        <w:pStyle w:val="DecisionParagraphs"/>
        <w:rPr>
          <w:szCs w:val="24"/>
          <w:lang w:val="de-DE"/>
        </w:rPr>
      </w:pPr>
      <w:r>
        <w:rPr>
          <w:szCs w:val="24"/>
          <w:lang w:val="de-DE"/>
        </w:rPr>
        <w:tab/>
      </w:r>
      <w:r>
        <w:rPr>
          <w:szCs w:val="24"/>
          <w:lang w:val="de-CH"/>
        </w:rPr>
        <w:t>b)</w:t>
      </w:r>
      <w:r>
        <w:rPr>
          <w:szCs w:val="24"/>
          <w:lang w:val="de-DE"/>
        </w:rPr>
        <w:tab/>
      </w:r>
      <w:r>
        <w:rPr>
          <w:szCs w:val="24"/>
          <w:lang w:val="de-CH"/>
        </w:rPr>
        <w:t xml:space="preserve">die Zusammensetzung der WG-EDV, wie in </w:t>
      </w:r>
      <w:r w:rsidRPr="00E957E1">
        <w:rPr>
          <w:szCs w:val="24"/>
          <w:lang w:val="de-CH"/>
        </w:rPr>
        <w:t xml:space="preserve">Absatz 15 dargelegt, zu </w:t>
      </w:r>
      <w:r w:rsidR="007D2993" w:rsidRPr="00E957E1">
        <w:rPr>
          <w:szCs w:val="24"/>
          <w:lang w:val="de-CH"/>
        </w:rPr>
        <w:t>billigen</w:t>
      </w:r>
      <w:r w:rsidRPr="00E957E1">
        <w:rPr>
          <w:szCs w:val="24"/>
          <w:lang w:val="de-CH"/>
        </w:rPr>
        <w:t>;</w:t>
      </w:r>
    </w:p>
    <w:p w:rsidR="00904D48" w:rsidRPr="00E957E1" w:rsidRDefault="00904D48">
      <w:pPr>
        <w:pStyle w:val="DecisionParagraphs"/>
        <w:rPr>
          <w:sz w:val="18"/>
          <w:szCs w:val="24"/>
          <w:lang w:val="de-DE"/>
        </w:rPr>
      </w:pPr>
    </w:p>
    <w:p w:rsidR="00904D48" w:rsidRPr="00AB0E01" w:rsidRDefault="00904D48">
      <w:pPr>
        <w:pStyle w:val="DecisionParagraphs"/>
        <w:rPr>
          <w:spacing w:val="-4"/>
          <w:szCs w:val="24"/>
          <w:lang w:val="de-DE"/>
        </w:rPr>
      </w:pPr>
      <w:r w:rsidRPr="00E957E1">
        <w:rPr>
          <w:spacing w:val="-4"/>
          <w:szCs w:val="24"/>
          <w:lang w:val="de-DE"/>
        </w:rPr>
        <w:tab/>
      </w:r>
      <w:r w:rsidRPr="00E957E1">
        <w:rPr>
          <w:spacing w:val="-4"/>
          <w:szCs w:val="24"/>
          <w:lang w:val="de-CH"/>
        </w:rPr>
        <w:t>c)</w:t>
      </w:r>
      <w:r w:rsidRPr="00E957E1">
        <w:rPr>
          <w:spacing w:val="-4"/>
          <w:szCs w:val="24"/>
          <w:lang w:val="de-DE"/>
        </w:rPr>
        <w:tab/>
      </w:r>
      <w:r w:rsidRPr="00E957E1">
        <w:rPr>
          <w:spacing w:val="-4"/>
          <w:szCs w:val="24"/>
          <w:lang w:val="de-CH"/>
        </w:rPr>
        <w:t>den vorläufigen Termin für die erste Sitzung der WG-EDV, wie in Absatz 16 dargelegt</w:t>
      </w:r>
      <w:r w:rsidRPr="00AB0E01">
        <w:rPr>
          <w:spacing w:val="-4"/>
          <w:szCs w:val="24"/>
          <w:lang w:val="de-CH"/>
        </w:rPr>
        <w:t xml:space="preserve">, zu </w:t>
      </w:r>
      <w:r w:rsidR="007D2993" w:rsidRPr="00AB0E01">
        <w:rPr>
          <w:spacing w:val="-4"/>
          <w:szCs w:val="24"/>
          <w:lang w:val="de-CH"/>
        </w:rPr>
        <w:t>billigen</w:t>
      </w:r>
      <w:r w:rsidRPr="00AB0E01">
        <w:rPr>
          <w:spacing w:val="-4"/>
          <w:szCs w:val="24"/>
          <w:lang w:val="de-CH"/>
        </w:rPr>
        <w:t>; und</w:t>
      </w:r>
    </w:p>
    <w:p w:rsidR="00904D48" w:rsidRPr="00AB0E01" w:rsidRDefault="00904D48">
      <w:pPr>
        <w:pStyle w:val="DecisionParagraphs"/>
        <w:rPr>
          <w:sz w:val="18"/>
          <w:szCs w:val="24"/>
          <w:lang w:val="de-DE"/>
        </w:rPr>
      </w:pPr>
    </w:p>
    <w:p w:rsidR="00904D48" w:rsidRDefault="00904D48">
      <w:pPr>
        <w:pStyle w:val="DecisionParagraphs"/>
        <w:rPr>
          <w:szCs w:val="24"/>
          <w:lang w:val="de-DE"/>
        </w:rPr>
      </w:pPr>
      <w:r>
        <w:rPr>
          <w:szCs w:val="24"/>
          <w:lang w:val="de-DE"/>
        </w:rPr>
        <w:tab/>
      </w:r>
      <w:r>
        <w:rPr>
          <w:szCs w:val="24"/>
          <w:lang w:val="de-CH"/>
        </w:rPr>
        <w:t>d)</w:t>
      </w:r>
      <w:r>
        <w:rPr>
          <w:szCs w:val="24"/>
          <w:lang w:val="de-DE"/>
        </w:rPr>
        <w:tab/>
      </w:r>
      <w:r>
        <w:rPr>
          <w:szCs w:val="24"/>
          <w:lang w:val="de-CH"/>
        </w:rPr>
        <w:t>die WG-EDV zu ersuchen, auf ihrer ersten Sitzung einen Zeitplan für ihre Arbeit zur Prüfung durch den CAJ auf seiner Tagung im Jahre 2021 vorzuschlagen.</w:t>
      </w:r>
    </w:p>
    <w:p w:rsidR="00904D48" w:rsidRDefault="00AB0E01" w:rsidP="0027240E">
      <w:pPr>
        <w:jc w:val="right"/>
        <w:rPr>
          <w:szCs w:val="24"/>
          <w:lang w:val="de-DE"/>
        </w:rPr>
      </w:pPr>
      <w:r>
        <w:rPr>
          <w:noProof/>
          <w:snapToGrid/>
          <w:szCs w:val="24"/>
          <w:lang w:eastAsia="en-US"/>
        </w:rPr>
        <mc:AlternateContent>
          <mc:Choice Requires="wps">
            <w:drawing>
              <wp:anchor distT="0" distB="0" distL="114300" distR="114300" simplePos="0" relativeHeight="251659264" behindDoc="0" locked="0" layoutInCell="1" allowOverlap="1">
                <wp:simplePos x="0" y="0"/>
                <wp:positionH relativeFrom="column">
                  <wp:posOffset>5099685</wp:posOffset>
                </wp:positionH>
                <wp:positionV relativeFrom="paragraph">
                  <wp:posOffset>179070</wp:posOffset>
                </wp:positionV>
                <wp:extent cx="1114425" cy="2952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114425" cy="295275"/>
                        </a:xfrm>
                        <a:prstGeom prst="rect">
                          <a:avLst/>
                        </a:prstGeom>
                        <a:noFill/>
                        <a:ln w="6350">
                          <a:noFill/>
                        </a:ln>
                      </wps:spPr>
                      <wps:txbx>
                        <w:txbxContent>
                          <w:p w:rsidR="00AB0E01" w:rsidRDefault="00AB0E01" w:rsidP="00AB0E01">
                            <w:pPr>
                              <w:jc w:val="right"/>
                            </w:pPr>
                            <w:r>
                              <w:rPr>
                                <w:szCs w:val="24"/>
                                <w:lang w:val="de-CH"/>
                              </w:rPr>
                              <w:t>[Anlage I folgt]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1.55pt;margin-top:14.1pt;width:87.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" filled="f" stroked="f" strokeweight=".5pt">
                <v:textbox>
                  <w:txbxContent>
                    <w:p w:rsidR="00AB0E01" w:rsidRDefault="00AB0E01" w:rsidP="00AB0E01">
                      <w:pPr>
                        <w:jc w:val="right"/>
                      </w:pPr>
                      <w:r>
                        <w:rPr>
                          <w:szCs w:val="24"/>
                          <w:lang w:val="de-CH"/>
                        </w:rPr>
                        <w:t>[Anlage I folgt</w:t>
                      </w:r>
                      <w:r>
                        <w:rPr>
                          <w:szCs w:val="24"/>
                          <w:lang w:val="de-CH"/>
                        </w:rPr>
                        <w:t>]</w:t>
                      </w:r>
                    </w:p>
                  </w:txbxContent>
                </v:textbox>
              </v:shape>
            </w:pict>
          </mc:Fallback>
        </mc:AlternateContent>
      </w:r>
    </w:p>
    <w:p w:rsidR="00904D48" w:rsidRDefault="00904D48">
      <w:pPr>
        <w:jc w:val="left"/>
        <w:rPr>
          <w:szCs w:val="24"/>
          <w:lang w:val="de-DE"/>
        </w:rPr>
        <w:sectPr w:rsidR="00904D48" w:rsidSect="00160B43">
          <w:headerReference w:type="default" r:id="rId11"/>
          <w:pgSz w:w="11907" w:h="16840" w:code="9"/>
          <w:pgMar w:top="454" w:right="1134" w:bottom="907" w:left="1134" w:header="510" w:footer="680" w:gutter="0"/>
          <w:cols w:space="720"/>
          <w:titlePg/>
        </w:sectPr>
      </w:pPr>
    </w:p>
    <w:p w:rsidR="00904D48" w:rsidRDefault="00904D48">
      <w:pPr>
        <w:jc w:val="center"/>
        <w:rPr>
          <w:szCs w:val="24"/>
          <w:lang w:val="de-DE"/>
        </w:rPr>
      </w:pPr>
      <w:r>
        <w:rPr>
          <w:szCs w:val="24"/>
          <w:lang w:val="de-CH"/>
        </w:rPr>
        <w:lastRenderedPageBreak/>
        <w:t>GRUNDSATZFRAGEN IN ZUSAMMENHANG MIT BRAUCH UND PRAXIS DER ZÜCHTER</w:t>
      </w:r>
    </w:p>
    <w:p w:rsidR="00904D48" w:rsidRDefault="00904D48">
      <w:pPr>
        <w:ind w:left="-142"/>
        <w:jc w:val="center"/>
        <w:rPr>
          <w:szCs w:val="24"/>
          <w:lang w:val="de-DE"/>
        </w:rPr>
      </w:pPr>
    </w:p>
    <w:p w:rsidR="00904D48" w:rsidRDefault="00904D48">
      <w:pPr>
        <w:ind w:left="-142"/>
        <w:jc w:val="center"/>
        <w:rPr>
          <w:szCs w:val="24"/>
          <w:lang w:val="de-DE"/>
        </w:rPr>
      </w:pPr>
    </w:p>
    <w:p w:rsidR="00904D48" w:rsidRDefault="00904D48">
      <w:pPr>
        <w:rPr>
          <w:szCs w:val="24"/>
          <w:lang w:val="de-DE"/>
        </w:rPr>
      </w:pPr>
      <w:r>
        <w:rPr>
          <w:szCs w:val="24"/>
          <w:lang w:val="de-CH"/>
        </w:rPr>
        <w:t>Diese Anlage enthält folgendes:</w:t>
      </w:r>
    </w:p>
    <w:p w:rsidR="00904D48" w:rsidRDefault="00904D48">
      <w:pPr>
        <w:rPr>
          <w:szCs w:val="24"/>
          <w:lang w:val="de-DE"/>
        </w:rPr>
      </w:pPr>
    </w:p>
    <w:p w:rsidR="00904D48" w:rsidRDefault="00904D48">
      <w:pPr>
        <w:tabs>
          <w:tab w:val="left" w:pos="1134"/>
        </w:tabs>
        <w:ind w:firstLine="360"/>
        <w:rPr>
          <w:szCs w:val="24"/>
          <w:lang w:val="de-DE"/>
        </w:rPr>
      </w:pPr>
      <w:r>
        <w:rPr>
          <w:szCs w:val="24"/>
          <w:lang w:val="de-CH"/>
        </w:rPr>
        <w:t>a)</w:t>
      </w:r>
      <w:r>
        <w:rPr>
          <w:szCs w:val="24"/>
          <w:lang w:val="de-DE"/>
        </w:rPr>
        <w:tab/>
      </w:r>
      <w:r>
        <w:rPr>
          <w:szCs w:val="24"/>
          <w:lang w:val="de-CH"/>
        </w:rPr>
        <w:t>Anhang I:</w:t>
      </w:r>
      <w:r w:rsidR="00897040">
        <w:rPr>
          <w:szCs w:val="24"/>
          <w:lang w:val="de-CH"/>
        </w:rPr>
        <w:tab/>
      </w:r>
      <w:r>
        <w:rPr>
          <w:szCs w:val="24"/>
          <w:lang w:val="de-CH"/>
        </w:rPr>
        <w:t>Grundsatzfragen; und</w:t>
      </w:r>
    </w:p>
    <w:p w:rsidR="00904D48" w:rsidRDefault="00904D48">
      <w:pPr>
        <w:ind w:left="720"/>
        <w:contextualSpacing/>
        <w:rPr>
          <w:szCs w:val="24"/>
          <w:lang w:val="de-DE"/>
        </w:rPr>
      </w:pPr>
    </w:p>
    <w:p w:rsidR="00904D48" w:rsidRDefault="00904D48">
      <w:pPr>
        <w:ind w:firstLine="360"/>
        <w:rPr>
          <w:szCs w:val="24"/>
          <w:lang w:val="de-DE"/>
        </w:rPr>
      </w:pPr>
      <w:r>
        <w:rPr>
          <w:szCs w:val="24"/>
          <w:lang w:val="de-CH"/>
        </w:rPr>
        <w:t>b)</w:t>
      </w:r>
      <w:r>
        <w:rPr>
          <w:szCs w:val="24"/>
          <w:lang w:val="de-DE"/>
        </w:rPr>
        <w:tab/>
      </w:r>
      <w:r w:rsidR="00897040">
        <w:rPr>
          <w:szCs w:val="24"/>
          <w:lang w:val="de-DE"/>
        </w:rPr>
        <w:tab/>
      </w:r>
      <w:r>
        <w:rPr>
          <w:szCs w:val="24"/>
          <w:lang w:val="de-CH"/>
        </w:rPr>
        <w:t>Anhang II:</w:t>
      </w:r>
      <w:r w:rsidR="00897040">
        <w:rPr>
          <w:szCs w:val="24"/>
          <w:lang w:val="de-CH"/>
        </w:rPr>
        <w:tab/>
      </w:r>
      <w:r>
        <w:rPr>
          <w:szCs w:val="24"/>
          <w:lang w:val="de-CH"/>
        </w:rPr>
        <w:t>Brauch und Praxis der Züchter</w:t>
      </w:r>
    </w:p>
    <w:p w:rsidR="00904D48" w:rsidRDefault="00904D48">
      <w:pPr>
        <w:rPr>
          <w:szCs w:val="24"/>
          <w:lang w:val="de-DE"/>
        </w:rPr>
      </w:pPr>
    </w:p>
    <w:p w:rsidR="00904D48" w:rsidRDefault="00904D48">
      <w:pPr>
        <w:jc w:val="left"/>
        <w:rPr>
          <w:szCs w:val="24"/>
          <w:lang w:val="de-DE"/>
        </w:rPr>
      </w:pPr>
    </w:p>
    <w:p w:rsidR="00904D48" w:rsidRDefault="00904D48">
      <w:pPr>
        <w:jc w:val="left"/>
        <w:rPr>
          <w:szCs w:val="24"/>
          <w:lang w:val="de-DE"/>
        </w:rPr>
      </w:pPr>
    </w:p>
    <w:p w:rsidR="00904D48" w:rsidRDefault="00904D48">
      <w:pPr>
        <w:jc w:val="right"/>
        <w:rPr>
          <w:szCs w:val="24"/>
          <w:lang w:val="de-DE"/>
        </w:rPr>
      </w:pPr>
      <w:r>
        <w:rPr>
          <w:szCs w:val="24"/>
          <w:lang w:val="de-CH"/>
        </w:rPr>
        <w:t>[Anhang I folgt]</w:t>
      </w:r>
    </w:p>
    <w:p w:rsidR="00904D48" w:rsidRDefault="00904D48">
      <w:pPr>
        <w:autoSpaceDE w:val="0"/>
        <w:autoSpaceDN w:val="0"/>
        <w:contextualSpacing/>
        <w:rPr>
          <w:i/>
          <w:spacing w:val="-2"/>
          <w:szCs w:val="24"/>
          <w:highlight w:val="lightGray"/>
          <w:lang w:val="de-DE"/>
        </w:rPr>
      </w:pPr>
    </w:p>
    <w:p w:rsidR="00904D48" w:rsidRDefault="00904D48">
      <w:pPr>
        <w:autoSpaceDE w:val="0"/>
        <w:autoSpaceDN w:val="0"/>
        <w:contextualSpacing/>
        <w:rPr>
          <w:szCs w:val="24"/>
          <w:lang w:val="de-DE"/>
        </w:rPr>
      </w:pPr>
    </w:p>
    <w:p w:rsidR="00904D48" w:rsidRDefault="00904D48">
      <w:pPr>
        <w:autoSpaceDE w:val="0"/>
        <w:autoSpaceDN w:val="0"/>
        <w:contextualSpacing/>
        <w:rPr>
          <w:szCs w:val="24"/>
          <w:lang w:val="de-DE"/>
        </w:rPr>
      </w:pPr>
    </w:p>
    <w:p w:rsidR="00904D48" w:rsidRDefault="00904D48">
      <w:pPr>
        <w:autoSpaceDE w:val="0"/>
        <w:autoSpaceDN w:val="0"/>
        <w:contextualSpacing/>
        <w:rPr>
          <w:szCs w:val="24"/>
          <w:lang w:val="de-DE"/>
        </w:rPr>
      </w:pPr>
    </w:p>
    <w:p w:rsidR="00904D48" w:rsidRDefault="00904D48">
      <w:pPr>
        <w:autoSpaceDE w:val="0"/>
        <w:autoSpaceDN w:val="0"/>
        <w:contextualSpacing/>
        <w:rPr>
          <w:szCs w:val="24"/>
          <w:lang w:val="de-DE"/>
        </w:rPr>
      </w:pPr>
    </w:p>
    <w:p w:rsidR="00904D48" w:rsidRDefault="00904D48">
      <w:pPr>
        <w:rPr>
          <w:szCs w:val="24"/>
          <w:lang w:val="de-DE"/>
        </w:rPr>
      </w:pPr>
    </w:p>
    <w:p w:rsidR="00904D48" w:rsidRDefault="00904D48">
      <w:pPr>
        <w:rPr>
          <w:szCs w:val="24"/>
          <w:lang w:val="de-DE"/>
        </w:rPr>
      </w:pPr>
    </w:p>
    <w:p w:rsidR="00904D48" w:rsidRDefault="00904D48">
      <w:pPr>
        <w:rPr>
          <w:szCs w:val="24"/>
          <w:lang w:val="de-DE"/>
        </w:rPr>
      </w:pPr>
    </w:p>
    <w:p w:rsidR="00904D48" w:rsidRDefault="00904D48">
      <w:pPr>
        <w:rPr>
          <w:szCs w:val="24"/>
          <w:lang w:val="de-DE"/>
        </w:rPr>
      </w:pPr>
    </w:p>
    <w:p w:rsidR="00904D48" w:rsidRDefault="00904D48">
      <w:pPr>
        <w:jc w:val="left"/>
        <w:rPr>
          <w:szCs w:val="24"/>
          <w:lang w:val="de-DE"/>
        </w:rPr>
        <w:sectPr w:rsidR="00904D48">
          <w:headerReference w:type="first" r:id="rId12"/>
          <w:pgSz w:w="11907" w:h="16840" w:code="9"/>
          <w:pgMar w:top="567" w:right="1134" w:bottom="567" w:left="1134" w:header="510" w:footer="624" w:gutter="0"/>
          <w:cols w:space="720"/>
          <w:titlePg/>
          <w:docGrid w:linePitch="272"/>
        </w:sectPr>
      </w:pPr>
    </w:p>
    <w:p w:rsidR="00904D48" w:rsidRDefault="00904D48">
      <w:pPr>
        <w:jc w:val="center"/>
        <w:rPr>
          <w:szCs w:val="24"/>
          <w:lang w:val="de-DE"/>
        </w:rPr>
      </w:pPr>
      <w:r>
        <w:rPr>
          <w:szCs w:val="24"/>
          <w:lang w:val="de-CH"/>
        </w:rPr>
        <w:lastRenderedPageBreak/>
        <w:t>GRUNDSATZFRAGEN</w:t>
      </w:r>
    </w:p>
    <w:p w:rsidR="00904D48" w:rsidRDefault="00904D48">
      <w:pPr>
        <w:rPr>
          <w:szCs w:val="24"/>
          <w:lang w:val="de-DE"/>
        </w:rPr>
      </w:pPr>
    </w:p>
    <w:p w:rsidR="00904D48" w:rsidRDefault="00904D48">
      <w:pPr>
        <w:rPr>
          <w:szCs w:val="24"/>
          <w:lang w:val="de-DE"/>
        </w:rPr>
      </w:pPr>
      <w:r>
        <w:rPr>
          <w:szCs w:val="24"/>
          <w:lang w:val="de-CH"/>
        </w:rPr>
        <w:t>ALLGEMEINE ANGELEGENHEITEN</w:t>
      </w:r>
      <w:r w:rsidR="005346BA">
        <w:rPr>
          <w:rStyle w:val="FootnoteReference"/>
          <w:szCs w:val="24"/>
          <w:lang w:val="de-CH"/>
        </w:rPr>
        <w:footnoteReference w:id="2"/>
      </w:r>
    </w:p>
    <w:p w:rsidR="00904D48" w:rsidRDefault="00904D48">
      <w:pPr>
        <w:rPr>
          <w:szCs w:val="24"/>
          <w:lang w:val="de-DE"/>
        </w:rPr>
      </w:pPr>
    </w:p>
    <w:p w:rsidR="004A7CD0" w:rsidRDefault="00904D48" w:rsidP="004A7CD0">
      <w:pPr>
        <w:tabs>
          <w:tab w:val="left" w:pos="1134"/>
        </w:tabs>
        <w:ind w:firstLine="567"/>
        <w:rPr>
          <w:szCs w:val="24"/>
          <w:lang w:val="de-DE"/>
        </w:rPr>
      </w:pPr>
      <w:r>
        <w:rPr>
          <w:szCs w:val="24"/>
          <w:lang w:val="de-CH"/>
        </w:rPr>
        <w:t>a)</w:t>
      </w:r>
      <w:r>
        <w:rPr>
          <w:szCs w:val="24"/>
          <w:lang w:val="de-DE"/>
        </w:rPr>
        <w:tab/>
      </w:r>
      <w:r w:rsidR="004A7CD0">
        <w:rPr>
          <w:szCs w:val="24"/>
          <w:lang w:val="de-CH"/>
        </w:rPr>
        <w:t>Die Rolle des Konzepts der im wesentlichen abgeleiteten Sorten, „den Nutzen für die Gesellschaft auf ein Höchstmaß zu steigern, indem der Fortschritt bei der Züchtung auf ein Höchstmaß gesteigert wird“ (vergleiche Zusammenfassung des Vorsitzenden des CAJ betreffend die Ergebnisse des „Seminars über die Auswirkungen der Politik bezüglich der im wesentlichen abgeleiteten Sorten auf die Züchtungsstrategie“, Dokument CAJ/76/9 „Bericht“, Absatz 11), und im besonderen:</w:t>
      </w:r>
    </w:p>
    <w:p w:rsidR="00904D48" w:rsidRDefault="00904D48">
      <w:pPr>
        <w:tabs>
          <w:tab w:val="left" w:pos="1134"/>
        </w:tabs>
        <w:ind w:firstLine="567"/>
        <w:rPr>
          <w:szCs w:val="24"/>
          <w:lang w:val="de-DE"/>
        </w:rPr>
      </w:pPr>
    </w:p>
    <w:p w:rsidR="00904D48" w:rsidRDefault="00904D48">
      <w:pPr>
        <w:tabs>
          <w:tab w:val="left" w:pos="567"/>
        </w:tabs>
        <w:ind w:left="567"/>
        <w:contextualSpacing/>
        <w:rPr>
          <w:szCs w:val="24"/>
          <w:lang w:val="de-DE"/>
        </w:rPr>
      </w:pPr>
    </w:p>
    <w:p w:rsidR="00904D48" w:rsidRDefault="00904D48">
      <w:pPr>
        <w:tabs>
          <w:tab w:val="left" w:pos="1701"/>
        </w:tabs>
        <w:ind w:left="1701" w:hanging="567"/>
        <w:rPr>
          <w:szCs w:val="24"/>
          <w:lang w:val="de-DE"/>
        </w:rPr>
      </w:pPr>
      <w:r>
        <w:rPr>
          <w:szCs w:val="24"/>
          <w:lang w:val="de-CH"/>
        </w:rPr>
        <w:t>i)</w:t>
      </w:r>
      <w:r>
        <w:rPr>
          <w:szCs w:val="24"/>
          <w:lang w:val="de-DE"/>
        </w:rPr>
        <w:tab/>
      </w:r>
      <w:r w:rsidR="004A7CD0">
        <w:rPr>
          <w:szCs w:val="24"/>
          <w:lang w:val="de-CH"/>
        </w:rPr>
        <w:t xml:space="preserve">die Schaffung von Anreizen für die Züchter, die genetische Vielfalt zu nutzen </w:t>
      </w:r>
      <w:r>
        <w:rPr>
          <w:spacing w:val="-2"/>
          <w:szCs w:val="24"/>
          <w:lang w:val="de-CH"/>
        </w:rPr>
        <w:t>(vergleiche Punkte 5, 6, Praktiken 4, 9, 24);</w:t>
      </w:r>
    </w:p>
    <w:p w:rsidR="00904D48" w:rsidRDefault="00904D48">
      <w:pPr>
        <w:tabs>
          <w:tab w:val="left" w:pos="1701"/>
        </w:tabs>
        <w:ind w:left="1701" w:hanging="567"/>
        <w:contextualSpacing/>
        <w:rPr>
          <w:szCs w:val="24"/>
          <w:lang w:val="de-DE"/>
        </w:rPr>
      </w:pPr>
    </w:p>
    <w:p w:rsidR="00904D48" w:rsidRDefault="00904D48">
      <w:pPr>
        <w:tabs>
          <w:tab w:val="left" w:pos="1701"/>
        </w:tabs>
        <w:ind w:left="1701" w:hanging="567"/>
        <w:contextualSpacing/>
        <w:rPr>
          <w:szCs w:val="24"/>
          <w:lang w:val="de-DE"/>
        </w:rPr>
      </w:pPr>
      <w:r>
        <w:rPr>
          <w:szCs w:val="24"/>
          <w:lang w:val="de-CH"/>
        </w:rPr>
        <w:t>ii)</w:t>
      </w:r>
      <w:r>
        <w:rPr>
          <w:szCs w:val="24"/>
          <w:lang w:val="de-DE"/>
        </w:rPr>
        <w:tab/>
      </w:r>
      <w:r w:rsidR="004A7CD0">
        <w:rPr>
          <w:szCs w:val="24"/>
          <w:lang w:val="de-CH"/>
        </w:rPr>
        <w:t xml:space="preserve">die vorwiegende Ableitung als Schlüsselelement des Konzepts der im wesentlichen abgeleiteten Sorten anzusehen </w:t>
      </w:r>
      <w:r>
        <w:rPr>
          <w:szCs w:val="24"/>
          <w:lang w:val="de-CH"/>
        </w:rPr>
        <w:t>(vergleiche Punkte 29, 32, 50, 51, 54, 60, Praktiken 6, 7, 22 und 23);</w:t>
      </w:r>
    </w:p>
    <w:p w:rsidR="00904D48" w:rsidRDefault="00904D48">
      <w:pPr>
        <w:tabs>
          <w:tab w:val="left" w:pos="1701"/>
        </w:tabs>
        <w:ind w:left="1701" w:hanging="567"/>
        <w:contextualSpacing/>
        <w:rPr>
          <w:szCs w:val="24"/>
          <w:lang w:val="de-DE"/>
        </w:rPr>
      </w:pPr>
    </w:p>
    <w:p w:rsidR="00904D48" w:rsidRDefault="00904D48">
      <w:pPr>
        <w:tabs>
          <w:tab w:val="left" w:pos="1701"/>
        </w:tabs>
        <w:ind w:left="1701" w:hanging="567"/>
        <w:rPr>
          <w:szCs w:val="24"/>
          <w:lang w:val="de-DE"/>
        </w:rPr>
      </w:pPr>
      <w:r>
        <w:rPr>
          <w:szCs w:val="24"/>
          <w:lang w:val="de-CH"/>
        </w:rPr>
        <w:t>iii)</w:t>
      </w:r>
      <w:r>
        <w:rPr>
          <w:szCs w:val="24"/>
          <w:lang w:val="de-DE"/>
        </w:rPr>
        <w:tab/>
      </w:r>
      <w:r w:rsidR="004A7CD0">
        <w:rPr>
          <w:szCs w:val="24"/>
          <w:lang w:val="de-CH"/>
        </w:rPr>
        <w:t xml:space="preserve">ob Mutanten als im wesentlichen abgeleitete Sorten anzusehen sind </w:t>
      </w:r>
      <w:r>
        <w:rPr>
          <w:szCs w:val="24"/>
          <w:lang w:val="de-CH"/>
        </w:rPr>
        <w:t>(vergleiche Punkte 18, 21, 25, 29, 32, 64, Praktiken 10, 11, 13, 15);</w:t>
      </w:r>
    </w:p>
    <w:p w:rsidR="00904D48" w:rsidRDefault="00904D48">
      <w:pPr>
        <w:tabs>
          <w:tab w:val="left" w:pos="1701"/>
        </w:tabs>
        <w:ind w:left="1701" w:hanging="567"/>
        <w:rPr>
          <w:szCs w:val="24"/>
          <w:lang w:val="de-DE"/>
        </w:rPr>
      </w:pPr>
    </w:p>
    <w:p w:rsidR="00904D48" w:rsidRDefault="00E17CC0" w:rsidP="00E17CC0">
      <w:pPr>
        <w:tabs>
          <w:tab w:val="left" w:pos="1843"/>
        </w:tabs>
        <w:ind w:left="1701" w:hanging="567"/>
        <w:contextualSpacing/>
        <w:rPr>
          <w:szCs w:val="24"/>
          <w:lang w:val="de-DE"/>
        </w:rPr>
      </w:pPr>
      <w:r>
        <w:rPr>
          <w:szCs w:val="24"/>
          <w:lang w:val="de-CH"/>
        </w:rPr>
        <w:t>iv)</w:t>
      </w:r>
      <w:r>
        <w:rPr>
          <w:szCs w:val="24"/>
          <w:lang w:val="de-CH"/>
        </w:rPr>
        <w:tab/>
      </w:r>
      <w:r w:rsidR="004A7CD0">
        <w:rPr>
          <w:szCs w:val="24"/>
          <w:lang w:val="de-CH"/>
        </w:rPr>
        <w:t xml:space="preserve">ob „mit Ausnahme der sich aus der Ableitung ergebenden Unterschiede“ in dem Übereinkommen so verstanden werden sollte, dass es keinen Grenzwert für den Umfang an Unterschieden, die zwischen der Ursprungssorte und der im wesentlichen abgeleiteten Sorte bestehen können, gibt (z. B. durch Strahlung entstandene Mutanten) </w:t>
      </w:r>
      <w:r w:rsidR="00904D48">
        <w:rPr>
          <w:szCs w:val="24"/>
          <w:lang w:val="de-CH"/>
        </w:rPr>
        <w:t>(vergleiche Punkte 16, 17, 18);</w:t>
      </w:r>
    </w:p>
    <w:p w:rsidR="00904D48" w:rsidRDefault="00904D48">
      <w:pPr>
        <w:tabs>
          <w:tab w:val="left" w:pos="1701"/>
        </w:tabs>
        <w:ind w:left="1134"/>
        <w:rPr>
          <w:szCs w:val="24"/>
          <w:lang w:val="de-DE"/>
        </w:rPr>
      </w:pPr>
    </w:p>
    <w:p w:rsidR="00904D48" w:rsidRDefault="00904D48">
      <w:pPr>
        <w:tabs>
          <w:tab w:val="left" w:pos="1701"/>
        </w:tabs>
        <w:ind w:left="1701" w:hanging="567"/>
        <w:rPr>
          <w:szCs w:val="24"/>
          <w:lang w:val="de-DE"/>
        </w:rPr>
      </w:pPr>
      <w:r>
        <w:rPr>
          <w:szCs w:val="24"/>
          <w:lang w:val="de-CH"/>
        </w:rPr>
        <w:t>v)</w:t>
      </w:r>
      <w:r>
        <w:rPr>
          <w:szCs w:val="24"/>
          <w:lang w:val="de-DE"/>
        </w:rPr>
        <w:tab/>
      </w:r>
      <w:r w:rsidR="009C73D6">
        <w:rPr>
          <w:szCs w:val="24"/>
          <w:lang w:val="de-CH"/>
        </w:rPr>
        <w:t>die Rolle der DNS-Analyse und der genetischen Schwellenwerte bei der Beurteilung der genetischen Übereinstimmung mit der Ursprungssorte.</w:t>
      </w:r>
      <w:r w:rsidR="009C73D6">
        <w:rPr>
          <w:szCs w:val="24"/>
          <w:lang w:val="de-DE"/>
        </w:rPr>
        <w:t xml:space="preserve"> </w:t>
      </w:r>
      <w:r w:rsidR="009C73D6">
        <w:rPr>
          <w:szCs w:val="24"/>
          <w:lang w:val="de-CH"/>
        </w:rPr>
        <w:t>Wie viele Rückkreuzungen sollten berücksichtigt werden?</w:t>
      </w:r>
      <w:r>
        <w:rPr>
          <w:szCs w:val="24"/>
          <w:lang w:val="de-DE"/>
        </w:rPr>
        <w:t xml:space="preserve"> </w:t>
      </w:r>
      <w:r>
        <w:rPr>
          <w:szCs w:val="24"/>
          <w:lang w:val="de-CH"/>
        </w:rPr>
        <w:t>(vergleiche Punkte 31, 51, 54, 60, 64, Praktiken 22, 23, 28); und</w:t>
      </w:r>
    </w:p>
    <w:p w:rsidR="00904D48" w:rsidRDefault="00904D48">
      <w:pPr>
        <w:tabs>
          <w:tab w:val="left" w:pos="1701"/>
        </w:tabs>
        <w:ind w:left="1134"/>
        <w:rPr>
          <w:szCs w:val="24"/>
          <w:lang w:val="de-DE"/>
        </w:rPr>
      </w:pPr>
    </w:p>
    <w:p w:rsidR="00904D48" w:rsidRDefault="00904D48">
      <w:pPr>
        <w:tabs>
          <w:tab w:val="left" w:pos="1701"/>
        </w:tabs>
        <w:ind w:left="1701" w:hanging="567"/>
        <w:rPr>
          <w:szCs w:val="24"/>
          <w:lang w:val="de-DE"/>
        </w:rPr>
      </w:pPr>
      <w:r>
        <w:rPr>
          <w:szCs w:val="24"/>
          <w:lang w:val="de-CH"/>
        </w:rPr>
        <w:t>vi)</w:t>
      </w:r>
      <w:r>
        <w:rPr>
          <w:szCs w:val="24"/>
          <w:lang w:val="de-DE"/>
        </w:rPr>
        <w:tab/>
      </w:r>
      <w:r w:rsidR="009C73D6">
        <w:rPr>
          <w:szCs w:val="24"/>
          <w:lang w:val="de-CH"/>
        </w:rPr>
        <w:t xml:space="preserve">die Auswirkungen der modernen Züchtungsverfahren auf das Konzept der im wesentlichen abgeleiteten Sorten „Bei der Entwicklung der Pflanzenzüchtungstechniken sind neue Gelegenheiten/Anreize für die Entwicklung vorwiegend abgeleiteter Sorten aus Ursprungssorten entstanden, die schneller und günstiger sind“ (vergleiche Entwurf einer Aufgabendefinition über das Ergebnis des Seminars über im wesentlichen abgeleitete Sorten von 2019 sowie Punkte </w:t>
      </w:r>
      <w:r>
        <w:rPr>
          <w:szCs w:val="24"/>
          <w:lang w:val="de-CH"/>
        </w:rPr>
        <w:t>9, 22, 27, 30, 31, 3</w:t>
      </w:r>
      <w:r w:rsidR="00E17CC0">
        <w:rPr>
          <w:szCs w:val="24"/>
          <w:lang w:val="de-CH"/>
        </w:rPr>
        <w:t>2</w:t>
      </w:r>
      <w:r>
        <w:rPr>
          <w:szCs w:val="24"/>
          <w:lang w:val="de-CH"/>
        </w:rPr>
        <w:t>, 3</w:t>
      </w:r>
      <w:r w:rsidR="00E17CC0">
        <w:rPr>
          <w:szCs w:val="24"/>
          <w:lang w:val="de-CH"/>
        </w:rPr>
        <w:t>3</w:t>
      </w:r>
      <w:r>
        <w:rPr>
          <w:szCs w:val="24"/>
          <w:lang w:val="de-CH"/>
        </w:rPr>
        <w:t>, 64, Praktiken 5, 9);</w:t>
      </w:r>
    </w:p>
    <w:p w:rsidR="00904D48" w:rsidRDefault="00904D48">
      <w:pPr>
        <w:tabs>
          <w:tab w:val="left" w:pos="1701"/>
        </w:tabs>
        <w:ind w:left="1134"/>
        <w:contextualSpacing/>
        <w:rPr>
          <w:szCs w:val="24"/>
          <w:lang w:val="de-DE"/>
        </w:rPr>
      </w:pPr>
    </w:p>
    <w:p w:rsidR="00904D48" w:rsidRDefault="00904D48">
      <w:pPr>
        <w:tabs>
          <w:tab w:val="left" w:pos="1701"/>
        </w:tabs>
        <w:ind w:left="1701" w:hanging="567"/>
        <w:rPr>
          <w:szCs w:val="24"/>
          <w:lang w:val="de-DE"/>
        </w:rPr>
      </w:pPr>
      <w:r>
        <w:rPr>
          <w:szCs w:val="24"/>
          <w:lang w:val="de-CH"/>
        </w:rPr>
        <w:t>vii)</w:t>
      </w:r>
      <w:r>
        <w:rPr>
          <w:szCs w:val="24"/>
          <w:lang w:val="de-DE"/>
        </w:rPr>
        <w:tab/>
      </w:r>
      <w:r w:rsidR="009C73D6">
        <w:rPr>
          <w:szCs w:val="24"/>
          <w:lang w:val="de-CH"/>
        </w:rPr>
        <w:t>was sollte für eine im wesentlichen abgeleitete Sorte als erforderlich für die Übereinstimmung mit den wesentlichen Merkmalen der Ursprungssorte angesehen werden?</w:t>
      </w:r>
      <w:r>
        <w:rPr>
          <w:szCs w:val="24"/>
          <w:lang w:val="de-DE"/>
        </w:rPr>
        <w:t xml:space="preserve"> </w:t>
      </w:r>
      <w:r>
        <w:rPr>
          <w:szCs w:val="24"/>
          <w:lang w:val="de-CH"/>
        </w:rPr>
        <w:t xml:space="preserve">(vergleiche Punkte 11, 13, </w:t>
      </w:r>
      <w:r w:rsidR="00E17CC0">
        <w:rPr>
          <w:szCs w:val="24"/>
          <w:lang w:val="de-CH"/>
        </w:rPr>
        <w:t xml:space="preserve">15, </w:t>
      </w:r>
      <w:r>
        <w:rPr>
          <w:szCs w:val="24"/>
          <w:lang w:val="de-CH"/>
        </w:rPr>
        <w:t>52, 57);</w:t>
      </w:r>
      <w:r>
        <w:rPr>
          <w:szCs w:val="24"/>
          <w:lang w:val="de-DE"/>
        </w:rPr>
        <w:t xml:space="preserve"> </w:t>
      </w:r>
    </w:p>
    <w:p w:rsidR="00904D48" w:rsidRDefault="00904D48">
      <w:pPr>
        <w:rPr>
          <w:szCs w:val="24"/>
          <w:lang w:val="de-DE"/>
        </w:rPr>
      </w:pPr>
    </w:p>
    <w:p w:rsidR="00904D48" w:rsidRDefault="00904D48">
      <w:pPr>
        <w:tabs>
          <w:tab w:val="left" w:pos="1134"/>
        </w:tabs>
        <w:ind w:firstLine="567"/>
        <w:rPr>
          <w:szCs w:val="24"/>
          <w:lang w:val="de-DE"/>
        </w:rPr>
      </w:pPr>
      <w:r>
        <w:rPr>
          <w:szCs w:val="24"/>
          <w:lang w:val="de-CH"/>
        </w:rPr>
        <w:t>b)</w:t>
      </w:r>
      <w:r>
        <w:rPr>
          <w:szCs w:val="24"/>
          <w:lang w:val="de-DE"/>
        </w:rPr>
        <w:tab/>
      </w:r>
      <w:r w:rsidR="009C73D6">
        <w:rPr>
          <w:szCs w:val="24"/>
          <w:lang w:val="de-CH"/>
        </w:rPr>
        <w:t xml:space="preserve">Sicherzustellen, dass die Anleitung zu im wesentlichen abgeleiteten Sorten eine klärende Rolle spielt, Streitfälle verhindert und den Züchter der geschützten Ursprungssorte dabei unterstützt, eine angemessene Vergütung zu erlangen oder angemessene Vereinbarungen mit dem Züchter einer im wesentlichen abgeleiteten Sorte zu vereinbaren (z. B. gegenseitige Lizenzvereinbarungen) </w:t>
      </w:r>
      <w:r w:rsidR="00AB0E01">
        <w:rPr>
          <w:szCs w:val="24"/>
          <w:lang w:val="de-CH"/>
        </w:rPr>
        <w:t>(vergleiche Punkte </w:t>
      </w:r>
      <w:r>
        <w:rPr>
          <w:szCs w:val="24"/>
          <w:lang w:val="de-CH"/>
        </w:rPr>
        <w:t>5, 6, 7, 8, 10, 19, 20, 55, Praktik </w:t>
      </w:r>
      <w:r w:rsidR="00E17CC0">
        <w:rPr>
          <w:szCs w:val="24"/>
          <w:lang w:val="de-CH"/>
        </w:rPr>
        <w:t>21</w:t>
      </w:r>
      <w:r>
        <w:rPr>
          <w:szCs w:val="24"/>
          <w:lang w:val="de-CH"/>
        </w:rPr>
        <w:t>) und im besonderen:</w:t>
      </w:r>
      <w:r>
        <w:rPr>
          <w:szCs w:val="24"/>
          <w:lang w:val="de-DE"/>
        </w:rPr>
        <w:t xml:space="preserve"> </w:t>
      </w:r>
    </w:p>
    <w:p w:rsidR="00904D48" w:rsidRDefault="00904D48">
      <w:pPr>
        <w:tabs>
          <w:tab w:val="left" w:pos="1701"/>
        </w:tabs>
        <w:ind w:left="1134"/>
        <w:rPr>
          <w:szCs w:val="24"/>
          <w:lang w:val="de-DE"/>
        </w:rPr>
      </w:pPr>
    </w:p>
    <w:p w:rsidR="00904D48" w:rsidRDefault="00904D48">
      <w:pPr>
        <w:tabs>
          <w:tab w:val="left" w:pos="1701"/>
        </w:tabs>
        <w:ind w:left="1701" w:hanging="567"/>
        <w:contextualSpacing/>
        <w:rPr>
          <w:szCs w:val="24"/>
          <w:lang w:val="de-DE"/>
        </w:rPr>
      </w:pPr>
      <w:r>
        <w:rPr>
          <w:szCs w:val="24"/>
          <w:lang w:val="de-CH"/>
        </w:rPr>
        <w:t>i)</w:t>
      </w:r>
      <w:r>
        <w:rPr>
          <w:szCs w:val="24"/>
          <w:lang w:val="de-DE"/>
        </w:rPr>
        <w:tab/>
      </w:r>
      <w:r w:rsidR="009C73D6">
        <w:rPr>
          <w:szCs w:val="24"/>
          <w:lang w:val="de-CH"/>
        </w:rPr>
        <w:t>wie eine klare und nutzerfreundliche Anleitung in Gerichts-, Schiedsgerichts- und Schlichtungsfällen unterstützend wirken könnte?</w:t>
      </w:r>
      <w:r w:rsidR="009C73D6">
        <w:rPr>
          <w:szCs w:val="24"/>
          <w:lang w:val="de-DE"/>
        </w:rPr>
        <w:t xml:space="preserve"> </w:t>
      </w:r>
      <w:r>
        <w:rPr>
          <w:szCs w:val="24"/>
          <w:lang w:val="de-CH"/>
        </w:rPr>
        <w:t>(vergleiche Punkte 7, 53, 54, 61, 64, 65, Praktiken 18, 21);</w:t>
      </w:r>
    </w:p>
    <w:p w:rsidR="00904D48" w:rsidRDefault="00904D48">
      <w:pPr>
        <w:tabs>
          <w:tab w:val="left" w:pos="1701"/>
        </w:tabs>
        <w:ind w:left="1701" w:hanging="567"/>
        <w:contextualSpacing/>
        <w:rPr>
          <w:szCs w:val="24"/>
          <w:lang w:val="de-DE"/>
        </w:rPr>
      </w:pPr>
    </w:p>
    <w:p w:rsidR="00904D48" w:rsidRDefault="00904D48">
      <w:pPr>
        <w:tabs>
          <w:tab w:val="left" w:pos="1134"/>
        </w:tabs>
        <w:ind w:left="1701" w:hanging="567"/>
        <w:rPr>
          <w:szCs w:val="24"/>
          <w:lang w:val="de-DE"/>
        </w:rPr>
      </w:pPr>
      <w:r>
        <w:rPr>
          <w:szCs w:val="24"/>
          <w:lang w:val="de-CH"/>
        </w:rPr>
        <w:t>ii)</w:t>
      </w:r>
      <w:r>
        <w:rPr>
          <w:szCs w:val="24"/>
          <w:lang w:val="de-DE"/>
        </w:rPr>
        <w:tab/>
      </w:r>
      <w:r>
        <w:rPr>
          <w:szCs w:val="24"/>
          <w:lang w:val="de-CH"/>
        </w:rPr>
        <w:t>die Rolle der DNS-Analyse und der molekularen Marker bei der Verminderung der Beweislast des Züchters der geschützten Ursprungssorte bei der Beurteilung der im wesentlichen abgeleiteten Sorten (vergleiche Punkte 54, 58, 60, 64, Praxis 17);</w:t>
      </w:r>
    </w:p>
    <w:p w:rsidR="00904D48" w:rsidRDefault="00904D48">
      <w:pPr>
        <w:tabs>
          <w:tab w:val="left" w:pos="1701"/>
        </w:tabs>
        <w:ind w:left="1701" w:hanging="567"/>
        <w:rPr>
          <w:szCs w:val="24"/>
          <w:lang w:val="de-DE"/>
        </w:rPr>
      </w:pPr>
    </w:p>
    <w:p w:rsidR="00904D48" w:rsidRDefault="00904D48">
      <w:pPr>
        <w:tabs>
          <w:tab w:val="left" w:pos="1701"/>
        </w:tabs>
        <w:ind w:left="1701" w:hanging="567"/>
        <w:rPr>
          <w:szCs w:val="24"/>
          <w:lang w:val="de-DE"/>
        </w:rPr>
      </w:pPr>
      <w:r>
        <w:rPr>
          <w:szCs w:val="24"/>
          <w:lang w:val="de-CH"/>
        </w:rPr>
        <w:lastRenderedPageBreak/>
        <w:t>iii)</w:t>
      </w:r>
      <w:r>
        <w:rPr>
          <w:szCs w:val="24"/>
          <w:lang w:val="de-DE"/>
        </w:rPr>
        <w:tab/>
      </w:r>
      <w:r>
        <w:rPr>
          <w:szCs w:val="24"/>
          <w:lang w:val="de-CH"/>
        </w:rPr>
        <w:t xml:space="preserve">ob </w:t>
      </w:r>
      <w:r>
        <w:rPr>
          <w:strike/>
          <w:szCs w:val="24"/>
          <w:highlight w:val="lightGray"/>
          <w:lang w:val="de-CH"/>
        </w:rPr>
        <w:t>die Rolle der</w:t>
      </w:r>
      <w:r>
        <w:rPr>
          <w:szCs w:val="24"/>
          <w:lang w:val="de-CH"/>
        </w:rPr>
        <w:t xml:space="preserve"> Sortenämter oder ihre</w:t>
      </w:r>
      <w:r>
        <w:rPr>
          <w:strike/>
          <w:szCs w:val="24"/>
          <w:highlight w:val="lightGray"/>
          <w:lang w:val="de-CH"/>
        </w:rPr>
        <w:t>r</w:t>
      </w:r>
      <w:r>
        <w:rPr>
          <w:szCs w:val="24"/>
          <w:lang w:val="de-CH"/>
        </w:rPr>
        <w:t xml:space="preserve"> Sachverständigen bei der Beurteilung von im wesentlichen abgeleiteten Sorten </w:t>
      </w:r>
      <w:r>
        <w:rPr>
          <w:szCs w:val="24"/>
          <w:highlight w:val="lightGray"/>
          <w:u w:val="single"/>
          <w:lang w:val="de-CH"/>
        </w:rPr>
        <w:t>eine Rolle haben sollen oder nicht</w:t>
      </w:r>
      <w:r>
        <w:rPr>
          <w:szCs w:val="24"/>
          <w:lang w:val="de-CH"/>
        </w:rPr>
        <w:t xml:space="preserve"> (</w:t>
      </w:r>
      <w:r w:rsidR="00E17CC0">
        <w:rPr>
          <w:szCs w:val="24"/>
          <w:lang w:val="de-CH"/>
        </w:rPr>
        <w:t xml:space="preserve">vergleiche Punkte 41, 53, 65, </w:t>
      </w:r>
      <w:r>
        <w:rPr>
          <w:szCs w:val="24"/>
          <w:lang w:val="de-CH"/>
        </w:rPr>
        <w:t>Praxis 21); und</w:t>
      </w:r>
    </w:p>
    <w:p w:rsidR="00904D48" w:rsidRDefault="00904D48">
      <w:pPr>
        <w:tabs>
          <w:tab w:val="left" w:pos="1701"/>
        </w:tabs>
        <w:ind w:left="1701" w:hanging="567"/>
        <w:rPr>
          <w:szCs w:val="24"/>
          <w:lang w:val="de-DE"/>
        </w:rPr>
      </w:pPr>
    </w:p>
    <w:p w:rsidR="00904D48" w:rsidRDefault="00904D48">
      <w:pPr>
        <w:tabs>
          <w:tab w:val="left" w:pos="1701"/>
        </w:tabs>
        <w:ind w:left="1701" w:hanging="567"/>
        <w:rPr>
          <w:szCs w:val="24"/>
          <w:lang w:val="de-DE"/>
        </w:rPr>
      </w:pPr>
      <w:r>
        <w:rPr>
          <w:szCs w:val="24"/>
          <w:lang w:val="de-CH"/>
        </w:rPr>
        <w:t>iv)</w:t>
      </w:r>
      <w:r>
        <w:rPr>
          <w:szCs w:val="24"/>
          <w:lang w:val="de-DE"/>
        </w:rPr>
        <w:tab/>
      </w:r>
      <w:r>
        <w:rPr>
          <w:szCs w:val="24"/>
          <w:lang w:val="de-CH"/>
        </w:rPr>
        <w:t xml:space="preserve">ob </w:t>
      </w:r>
      <w:r w:rsidRPr="00AB0E01">
        <w:rPr>
          <w:szCs w:val="24"/>
          <w:highlight w:val="lightGray"/>
          <w:u w:val="single"/>
          <w:lang w:val="de-CH"/>
        </w:rPr>
        <w:t>es für</w:t>
      </w:r>
      <w:r>
        <w:rPr>
          <w:szCs w:val="24"/>
          <w:lang w:val="de-CH"/>
        </w:rPr>
        <w:t xml:space="preserve"> das Antragsformblatt für ein Züchterrecht </w:t>
      </w:r>
      <w:r w:rsidRPr="00AB0E01">
        <w:rPr>
          <w:szCs w:val="24"/>
          <w:highlight w:val="lightGray"/>
          <w:u w:val="single"/>
          <w:lang w:val="de-CH"/>
        </w:rPr>
        <w:t>angemessen wäre,</w:t>
      </w:r>
      <w:r>
        <w:rPr>
          <w:szCs w:val="24"/>
          <w:lang w:val="de-CH"/>
        </w:rPr>
        <w:t xml:space="preserve"> die Offenlegung von Informationen über Angelegenheiten betreffend im wesentlichen abgeleitete Sorten </w:t>
      </w:r>
      <w:r>
        <w:rPr>
          <w:szCs w:val="24"/>
          <w:highlight w:val="lightGray"/>
          <w:u w:val="single"/>
          <w:lang w:val="de-CH"/>
        </w:rPr>
        <w:t>auf freiwilliger Basis</w:t>
      </w:r>
      <w:r>
        <w:rPr>
          <w:szCs w:val="24"/>
          <w:lang w:val="de-CH"/>
        </w:rPr>
        <w:t xml:space="preserve"> zu erleichtern </w:t>
      </w:r>
      <w:r>
        <w:rPr>
          <w:strike/>
          <w:szCs w:val="24"/>
          <w:highlight w:val="lightGray"/>
          <w:lang w:val="de-CH"/>
        </w:rPr>
        <w:t>sollte</w:t>
      </w:r>
      <w:r w:rsidR="00AB0E01">
        <w:rPr>
          <w:szCs w:val="24"/>
          <w:lang w:val="de-CH"/>
        </w:rPr>
        <w:t xml:space="preserve"> (vergleiche Punkte 38, 39, </w:t>
      </w:r>
      <w:r>
        <w:rPr>
          <w:szCs w:val="24"/>
          <w:lang w:val="de-CH"/>
        </w:rPr>
        <w:t xml:space="preserve">40, 41, </w:t>
      </w:r>
      <w:r w:rsidR="00AB0E01">
        <w:rPr>
          <w:szCs w:val="24"/>
          <w:lang w:val="de-CH"/>
        </w:rPr>
        <w:t xml:space="preserve">59, </w:t>
      </w:r>
      <w:r>
        <w:rPr>
          <w:szCs w:val="24"/>
          <w:lang w:val="de-CH"/>
        </w:rPr>
        <w:t>Praxis 21).</w:t>
      </w:r>
    </w:p>
    <w:p w:rsidR="00904D48" w:rsidRDefault="00904D48">
      <w:pPr>
        <w:rPr>
          <w:b/>
          <w:szCs w:val="24"/>
          <w:lang w:val="de-DE"/>
        </w:rPr>
      </w:pPr>
    </w:p>
    <w:p w:rsidR="00904D48" w:rsidRDefault="00904D48">
      <w:pPr>
        <w:rPr>
          <w:b/>
          <w:szCs w:val="24"/>
          <w:lang w:val="de-DE"/>
        </w:rPr>
      </w:pPr>
    </w:p>
    <w:p w:rsidR="00904D48" w:rsidRDefault="00904D48">
      <w:pPr>
        <w:jc w:val="left"/>
        <w:rPr>
          <w:b/>
          <w:szCs w:val="24"/>
          <w:lang w:val="de-DE"/>
        </w:rPr>
      </w:pPr>
      <w:r>
        <w:rPr>
          <w:b/>
          <w:szCs w:val="24"/>
          <w:lang w:val="de-DE"/>
        </w:rPr>
        <w:br w:type="page"/>
      </w:r>
    </w:p>
    <w:p w:rsidR="00904D48" w:rsidRDefault="00904D48">
      <w:pPr>
        <w:jc w:val="left"/>
        <w:rPr>
          <w:szCs w:val="24"/>
          <w:lang w:val="de-DE"/>
        </w:rPr>
      </w:pPr>
      <w:r>
        <w:rPr>
          <w:szCs w:val="24"/>
          <w:lang w:val="de-CH"/>
        </w:rPr>
        <w:lastRenderedPageBreak/>
        <w:t>ANGLEGENHEITEN BETREFFEND SPEZIFISCHE ASPEKTE DER AKTUELLEN ERLÄUTERUNGEN</w:t>
      </w:r>
    </w:p>
    <w:p w:rsidR="00904D48" w:rsidRDefault="00904D48">
      <w:pPr>
        <w:keepNext/>
        <w:rPr>
          <w:szCs w:val="24"/>
          <w:lang w:val="de-DE"/>
        </w:rPr>
      </w:pPr>
    </w:p>
    <w:tbl>
      <w:tblPr>
        <w:tblW w:w="998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0A0" w:firstRow="1" w:lastRow="0" w:firstColumn="1" w:lastColumn="0" w:noHBand="0" w:noVBand="0"/>
      </w:tblPr>
      <w:tblGrid>
        <w:gridCol w:w="1305"/>
        <w:gridCol w:w="7155"/>
        <w:gridCol w:w="1513"/>
        <w:gridCol w:w="10"/>
      </w:tblGrid>
      <w:tr w:rsidR="00904D48">
        <w:trPr>
          <w:gridAfter w:val="1"/>
          <w:wAfter w:w="10" w:type="dxa"/>
          <w:cantSplit/>
        </w:trPr>
        <w:tc>
          <w:tcPr>
            <w:tcW w:w="1305" w:type="dxa"/>
          </w:tcPr>
          <w:p w:rsidR="00904D48" w:rsidRDefault="00904D48">
            <w:pPr>
              <w:rPr>
                <w:szCs w:val="24"/>
                <w:lang w:val="de-DE"/>
              </w:rPr>
            </w:pPr>
          </w:p>
        </w:tc>
        <w:tc>
          <w:tcPr>
            <w:tcW w:w="7155" w:type="dxa"/>
          </w:tcPr>
          <w:p w:rsidR="00904D48" w:rsidRDefault="00904D48">
            <w:pPr>
              <w:jc w:val="left"/>
              <w:rPr>
                <w:szCs w:val="24"/>
              </w:rPr>
            </w:pPr>
            <w:r>
              <w:rPr>
                <w:szCs w:val="24"/>
                <w:lang w:val="de-CH"/>
              </w:rPr>
              <w:t>VORWORT</w:t>
            </w:r>
          </w:p>
        </w:tc>
        <w:tc>
          <w:tcPr>
            <w:tcW w:w="1513" w:type="dxa"/>
          </w:tcPr>
          <w:p w:rsidR="00904D48" w:rsidRDefault="00904D48">
            <w:pPr>
              <w:jc w:val="left"/>
              <w:rPr>
                <w:szCs w:val="24"/>
              </w:rPr>
            </w:pPr>
            <w:r>
              <w:rPr>
                <w:i/>
                <w:szCs w:val="24"/>
                <w:lang w:val="de-CH"/>
              </w:rPr>
              <w:t>Beiträge von</w:t>
            </w:r>
          </w:p>
        </w:tc>
      </w:tr>
      <w:tr w:rsidR="00904D48">
        <w:trPr>
          <w:gridAfter w:val="1"/>
          <w:wAfter w:w="10" w:type="dxa"/>
          <w:cantSplit/>
        </w:trPr>
        <w:tc>
          <w:tcPr>
            <w:tcW w:w="1305" w:type="dxa"/>
          </w:tcPr>
          <w:p w:rsidR="00904D48" w:rsidRDefault="00904D48">
            <w:pPr>
              <w:rPr>
                <w:szCs w:val="24"/>
              </w:rPr>
            </w:pPr>
            <w:r>
              <w:rPr>
                <w:i/>
                <w:szCs w:val="24"/>
                <w:lang w:val="de-CH"/>
              </w:rPr>
              <w:t>Punkt 1</w:t>
            </w:r>
          </w:p>
        </w:tc>
        <w:tc>
          <w:tcPr>
            <w:tcW w:w="7155" w:type="dxa"/>
          </w:tcPr>
          <w:p w:rsidR="00904D48" w:rsidRDefault="00904D48">
            <w:pPr>
              <w:jc w:val="left"/>
              <w:rPr>
                <w:szCs w:val="24"/>
                <w:lang w:val="de-CH"/>
              </w:rPr>
            </w:pPr>
            <w:r>
              <w:rPr>
                <w:i/>
                <w:szCs w:val="24"/>
                <w:lang w:val="de-CH"/>
              </w:rPr>
              <w:t>zu prüfen, ob der Verweis auf die „Resolution zu Artikel 14 Absatz 5“ der Diplomatischen Konferenz von 1991 erforderlich ist</w:t>
            </w:r>
          </w:p>
        </w:tc>
        <w:tc>
          <w:tcPr>
            <w:tcW w:w="1513" w:type="dxa"/>
          </w:tcPr>
          <w:p w:rsidR="00904D48" w:rsidRDefault="00904D48">
            <w:pPr>
              <w:jc w:val="left"/>
              <w:rPr>
                <w:szCs w:val="24"/>
              </w:rPr>
            </w:pPr>
            <w:r>
              <w:rPr>
                <w:i/>
                <w:szCs w:val="24"/>
                <w:lang w:val="de-CH"/>
              </w:rPr>
              <w:t>RU</w:t>
            </w:r>
          </w:p>
        </w:tc>
      </w:tr>
      <w:tr w:rsidR="00904D48">
        <w:trPr>
          <w:gridAfter w:val="1"/>
          <w:wAfter w:w="10" w:type="dxa"/>
          <w:cantSplit/>
        </w:trPr>
        <w:tc>
          <w:tcPr>
            <w:tcW w:w="1305" w:type="dxa"/>
          </w:tcPr>
          <w:p w:rsidR="00904D48" w:rsidRDefault="00904D48">
            <w:pPr>
              <w:rPr>
                <w:szCs w:val="24"/>
              </w:rPr>
            </w:pPr>
            <w:r>
              <w:rPr>
                <w:i/>
                <w:szCs w:val="24"/>
                <w:lang w:val="de-CH"/>
              </w:rPr>
              <w:t>Punkt 2</w:t>
            </w:r>
          </w:p>
        </w:tc>
        <w:tc>
          <w:tcPr>
            <w:tcW w:w="7155" w:type="dxa"/>
          </w:tcPr>
          <w:p w:rsidR="00904D48" w:rsidRDefault="00904D48">
            <w:pPr>
              <w:jc w:val="left"/>
              <w:rPr>
                <w:szCs w:val="24"/>
                <w:lang w:val="de-CH"/>
              </w:rPr>
            </w:pPr>
            <w:r>
              <w:rPr>
                <w:i/>
                <w:szCs w:val="24"/>
                <w:lang w:val="de-CH"/>
              </w:rPr>
              <w:t>zu prüfen, ob der Text im Vorwort zu überarbeiten und zu kürzen ist, um Wiederholungen zu vermeiden</w:t>
            </w:r>
          </w:p>
        </w:tc>
        <w:tc>
          <w:tcPr>
            <w:tcW w:w="1513" w:type="dxa"/>
          </w:tcPr>
          <w:p w:rsidR="00904D48" w:rsidRDefault="00904D48">
            <w:pPr>
              <w:jc w:val="left"/>
              <w:rPr>
                <w:szCs w:val="24"/>
              </w:rPr>
            </w:pPr>
            <w:r>
              <w:rPr>
                <w:i/>
                <w:szCs w:val="24"/>
                <w:lang w:val="de-CH"/>
              </w:rPr>
              <w:t>RU</w:t>
            </w:r>
          </w:p>
        </w:tc>
      </w:tr>
      <w:tr w:rsidR="00904D48">
        <w:trPr>
          <w:gridAfter w:val="1"/>
          <w:wAfter w:w="10" w:type="dxa"/>
          <w:cantSplit/>
        </w:trPr>
        <w:tc>
          <w:tcPr>
            <w:tcW w:w="1305" w:type="dxa"/>
          </w:tcPr>
          <w:p w:rsidR="00904D48" w:rsidRDefault="00904D48">
            <w:pPr>
              <w:rPr>
                <w:i/>
                <w:szCs w:val="24"/>
                <w:lang w:val="de-DE"/>
              </w:rPr>
            </w:pPr>
          </w:p>
        </w:tc>
        <w:tc>
          <w:tcPr>
            <w:tcW w:w="7155" w:type="dxa"/>
          </w:tcPr>
          <w:p w:rsidR="00904D48" w:rsidRDefault="00904D48">
            <w:pPr>
              <w:jc w:val="left"/>
              <w:rPr>
                <w:i/>
                <w:szCs w:val="24"/>
                <w:lang w:val="de-DE"/>
              </w:rPr>
            </w:pPr>
          </w:p>
        </w:tc>
        <w:tc>
          <w:tcPr>
            <w:tcW w:w="1513" w:type="dxa"/>
          </w:tcPr>
          <w:p w:rsidR="00904D48" w:rsidRDefault="00904D48">
            <w:pPr>
              <w:jc w:val="left"/>
              <w:rPr>
                <w:i/>
                <w:szCs w:val="24"/>
                <w:lang w:val="de-DE"/>
              </w:rPr>
            </w:pPr>
          </w:p>
        </w:tc>
      </w:tr>
      <w:tr w:rsidR="00904D48" w:rsidRPr="00E957E1">
        <w:trPr>
          <w:gridAfter w:val="1"/>
          <w:wAfter w:w="10" w:type="dxa"/>
          <w:cantSplit/>
        </w:trPr>
        <w:tc>
          <w:tcPr>
            <w:tcW w:w="1305" w:type="dxa"/>
          </w:tcPr>
          <w:p w:rsidR="00904D48" w:rsidRDefault="00904D48">
            <w:pPr>
              <w:rPr>
                <w:i/>
                <w:szCs w:val="24"/>
                <w:lang w:val="de-DE"/>
              </w:rPr>
            </w:pPr>
          </w:p>
        </w:tc>
        <w:tc>
          <w:tcPr>
            <w:tcW w:w="7155" w:type="dxa"/>
          </w:tcPr>
          <w:p w:rsidR="00904D48" w:rsidRDefault="00904D48">
            <w:pPr>
              <w:jc w:val="left"/>
              <w:rPr>
                <w:szCs w:val="24"/>
                <w:lang w:val="de-DE"/>
              </w:rPr>
            </w:pPr>
            <w:r>
              <w:rPr>
                <w:szCs w:val="24"/>
                <w:lang w:val="de-CH"/>
              </w:rPr>
              <w:t>ABSCHNITT I:</w:t>
            </w:r>
            <w:r>
              <w:rPr>
                <w:szCs w:val="24"/>
                <w:lang w:val="de-DE"/>
              </w:rPr>
              <w:t xml:space="preserve">  </w:t>
            </w:r>
            <w:r>
              <w:rPr>
                <w:szCs w:val="24"/>
                <w:lang w:val="de-CH"/>
              </w:rPr>
              <w:t>BESTIMMUNGEN ZU DEN IM WESENTLICH</w:t>
            </w:r>
            <w:r w:rsidR="000F7A1E">
              <w:rPr>
                <w:szCs w:val="24"/>
                <w:lang w:val="de-CH"/>
              </w:rPr>
              <w:t>EN</w:t>
            </w:r>
            <w:r>
              <w:rPr>
                <w:szCs w:val="24"/>
                <w:lang w:val="de-CH"/>
              </w:rPr>
              <w:t xml:space="preserve"> ABGELEITETEN SORTEN</w:t>
            </w:r>
          </w:p>
          <w:p w:rsidR="00904D48" w:rsidRDefault="00904D48">
            <w:pPr>
              <w:jc w:val="left"/>
              <w:rPr>
                <w:szCs w:val="24"/>
                <w:lang w:val="de-DE"/>
              </w:rPr>
            </w:pPr>
          </w:p>
        </w:tc>
        <w:tc>
          <w:tcPr>
            <w:tcW w:w="1513" w:type="dxa"/>
          </w:tcPr>
          <w:p w:rsidR="00904D48" w:rsidRDefault="00904D48">
            <w:pPr>
              <w:jc w:val="left"/>
              <w:rPr>
                <w:i/>
                <w:szCs w:val="24"/>
                <w:lang w:val="de-DE"/>
              </w:rPr>
            </w:pPr>
          </w:p>
        </w:tc>
      </w:tr>
      <w:tr w:rsidR="00904D48" w:rsidRPr="00E957E1">
        <w:trPr>
          <w:gridAfter w:val="1"/>
          <w:wAfter w:w="10" w:type="dxa"/>
          <w:cantSplit/>
        </w:trPr>
        <w:tc>
          <w:tcPr>
            <w:tcW w:w="1305" w:type="dxa"/>
          </w:tcPr>
          <w:p w:rsidR="00904D48" w:rsidRDefault="00904D48">
            <w:pPr>
              <w:rPr>
                <w:i/>
                <w:szCs w:val="24"/>
                <w:lang w:val="de-DE"/>
              </w:rPr>
            </w:pPr>
          </w:p>
        </w:tc>
        <w:tc>
          <w:tcPr>
            <w:tcW w:w="7155" w:type="dxa"/>
          </w:tcPr>
          <w:p w:rsidR="00904D48" w:rsidRDefault="00904D48">
            <w:pPr>
              <w:jc w:val="left"/>
              <w:rPr>
                <w:szCs w:val="24"/>
                <w:lang w:val="de-DE"/>
              </w:rPr>
            </w:pPr>
            <w:r>
              <w:rPr>
                <w:szCs w:val="24"/>
                <w:lang w:val="de-CH"/>
              </w:rPr>
              <w:t>a)</w:t>
            </w:r>
            <w:r>
              <w:rPr>
                <w:szCs w:val="24"/>
                <w:lang w:val="de-DE"/>
              </w:rPr>
              <w:tab/>
            </w:r>
            <w:r>
              <w:rPr>
                <w:szCs w:val="24"/>
                <w:lang w:val="de-CH"/>
              </w:rPr>
              <w:t>Entsprechende Bestimmungen der Akte von 1991 des UPOV-Übereinkommens</w:t>
            </w:r>
          </w:p>
          <w:p w:rsidR="00904D48" w:rsidRDefault="00904D48">
            <w:pPr>
              <w:jc w:val="left"/>
              <w:rPr>
                <w:i/>
                <w:szCs w:val="24"/>
                <w:lang w:val="de-DE"/>
              </w:rPr>
            </w:pPr>
          </w:p>
        </w:tc>
        <w:tc>
          <w:tcPr>
            <w:tcW w:w="1513" w:type="dxa"/>
          </w:tcPr>
          <w:p w:rsidR="00904D48" w:rsidRDefault="00904D48">
            <w:pPr>
              <w:jc w:val="left"/>
              <w:rPr>
                <w:i/>
                <w:szCs w:val="24"/>
                <w:lang w:val="de-DE"/>
              </w:rPr>
            </w:pPr>
          </w:p>
        </w:tc>
      </w:tr>
      <w:tr w:rsidR="00904D48">
        <w:trPr>
          <w:gridAfter w:val="1"/>
          <w:wAfter w:w="10" w:type="dxa"/>
          <w:cantSplit/>
        </w:trPr>
        <w:tc>
          <w:tcPr>
            <w:tcW w:w="1305" w:type="dxa"/>
          </w:tcPr>
          <w:p w:rsidR="00904D48" w:rsidRDefault="00904D48">
            <w:pPr>
              <w:rPr>
                <w:szCs w:val="24"/>
              </w:rPr>
            </w:pPr>
            <w:r>
              <w:rPr>
                <w:i/>
                <w:szCs w:val="24"/>
                <w:lang w:val="de-CH"/>
              </w:rPr>
              <w:t>Punkt 3</w:t>
            </w:r>
          </w:p>
        </w:tc>
        <w:tc>
          <w:tcPr>
            <w:tcW w:w="7155" w:type="dxa"/>
          </w:tcPr>
          <w:p w:rsidR="00904D48" w:rsidRDefault="00283184">
            <w:pPr>
              <w:jc w:val="left"/>
              <w:rPr>
                <w:szCs w:val="24"/>
                <w:lang w:val="de-CH"/>
              </w:rPr>
            </w:pPr>
            <w:r>
              <w:rPr>
                <w:i/>
                <w:szCs w:val="24"/>
                <w:lang w:val="de-CH"/>
              </w:rPr>
              <w:t>zu prüfen, ob die Bestimmungen von Artikel 14 Absatz 5 Ziffern ii) und iii) der Akte von 1991 und diejenigen in der Fußnote gestrichen werden sollten (Seite 4).</w:t>
            </w:r>
          </w:p>
        </w:tc>
        <w:tc>
          <w:tcPr>
            <w:tcW w:w="1513" w:type="dxa"/>
          </w:tcPr>
          <w:p w:rsidR="00904D48" w:rsidRDefault="00904D48">
            <w:pPr>
              <w:jc w:val="left"/>
              <w:rPr>
                <w:szCs w:val="24"/>
              </w:rPr>
            </w:pPr>
            <w:r>
              <w:rPr>
                <w:i/>
                <w:szCs w:val="24"/>
                <w:lang w:val="de-CH"/>
              </w:rPr>
              <w:t>RU</w:t>
            </w:r>
          </w:p>
        </w:tc>
      </w:tr>
      <w:tr w:rsidR="00904D48">
        <w:trPr>
          <w:gridAfter w:val="1"/>
          <w:wAfter w:w="10" w:type="dxa"/>
          <w:cantSplit/>
        </w:trPr>
        <w:tc>
          <w:tcPr>
            <w:tcW w:w="1305" w:type="dxa"/>
          </w:tcPr>
          <w:p w:rsidR="00904D48" w:rsidRDefault="00904D48">
            <w:pPr>
              <w:rPr>
                <w:szCs w:val="24"/>
              </w:rPr>
            </w:pPr>
            <w:r>
              <w:rPr>
                <w:i/>
                <w:szCs w:val="24"/>
                <w:lang w:val="de-CH"/>
              </w:rPr>
              <w:t>Punkt 4</w:t>
            </w:r>
          </w:p>
        </w:tc>
        <w:tc>
          <w:tcPr>
            <w:tcW w:w="7155" w:type="dxa"/>
          </w:tcPr>
          <w:p w:rsidR="00904D48" w:rsidRDefault="00904D48">
            <w:pPr>
              <w:jc w:val="left"/>
              <w:rPr>
                <w:szCs w:val="24"/>
                <w:lang w:val="de-CH"/>
              </w:rPr>
            </w:pPr>
            <w:r>
              <w:rPr>
                <w:i/>
                <w:szCs w:val="24"/>
                <w:lang w:val="de-CH"/>
              </w:rPr>
              <w:t>zu prüfen, die entsprechenden Bestimmungen zu den im wesentlichen abgeleiteten Sorten nicht in die Unterabschnitte a) und b) aufzuteilen</w:t>
            </w:r>
          </w:p>
        </w:tc>
        <w:tc>
          <w:tcPr>
            <w:tcW w:w="1513" w:type="dxa"/>
          </w:tcPr>
          <w:p w:rsidR="00904D48" w:rsidRDefault="00904D48">
            <w:pPr>
              <w:jc w:val="left"/>
              <w:rPr>
                <w:szCs w:val="24"/>
              </w:rPr>
            </w:pPr>
            <w:r>
              <w:rPr>
                <w:i/>
                <w:szCs w:val="24"/>
                <w:lang w:val="de-CH"/>
              </w:rPr>
              <w:t>RU</w:t>
            </w:r>
          </w:p>
        </w:tc>
      </w:tr>
      <w:tr w:rsidR="00904D48" w:rsidRPr="00E957E1">
        <w:trPr>
          <w:gridAfter w:val="1"/>
          <w:wAfter w:w="10" w:type="dxa"/>
          <w:cantSplit/>
        </w:trPr>
        <w:tc>
          <w:tcPr>
            <w:tcW w:w="1305" w:type="dxa"/>
          </w:tcPr>
          <w:p w:rsidR="00904D48" w:rsidRDefault="00904D48">
            <w:pPr>
              <w:rPr>
                <w:szCs w:val="24"/>
              </w:rPr>
            </w:pPr>
            <w:r>
              <w:rPr>
                <w:i/>
                <w:strike/>
                <w:szCs w:val="24"/>
                <w:highlight w:val="lightGray"/>
                <w:lang w:val="de-CH"/>
              </w:rPr>
              <w:t>Punkt 5</w:t>
            </w:r>
          </w:p>
        </w:tc>
        <w:tc>
          <w:tcPr>
            <w:tcW w:w="7155" w:type="dxa"/>
          </w:tcPr>
          <w:p w:rsidR="00904D48" w:rsidRDefault="00904D48">
            <w:pPr>
              <w:jc w:val="left"/>
              <w:rPr>
                <w:szCs w:val="24"/>
                <w:lang w:val="de-CH"/>
              </w:rPr>
            </w:pPr>
            <w:r>
              <w:rPr>
                <w:i/>
                <w:strike/>
                <w:szCs w:val="24"/>
                <w:highlight w:val="lightGray"/>
                <w:lang w:val="de-CH"/>
              </w:rPr>
              <w:t xml:space="preserve">zu untersuchen, wie die Überarbeitung der Erläuterungen den folgenden Punkt behandeln könnte „Relativ </w:t>
            </w:r>
            <w:r w:rsidR="000F7A1E">
              <w:rPr>
                <w:i/>
                <w:strike/>
                <w:szCs w:val="24"/>
                <w:highlight w:val="lightGray"/>
                <w:lang w:val="de-CH"/>
              </w:rPr>
              <w:t>kleine</w:t>
            </w:r>
            <w:r>
              <w:rPr>
                <w:i/>
                <w:strike/>
                <w:szCs w:val="24"/>
                <w:highlight w:val="lightGray"/>
                <w:lang w:val="de-CH"/>
              </w:rPr>
              <w:t xml:space="preserve"> Änderungen können enorme Auswirkungen auf den Inhaber des Rechts an der Ursprungssorte haben. „Auf dem Gebiet von Pflanzenarten ist diese Grundsatzfrage von erheblicher wirtschaftlicher Bedeutung, insbesondere im Gartenbau und in der Blumenzucht, wo jede neue Sorte - sei es eine Mutation oder Erzeugung - über Nacht zu einem Bestseller werden und einen Marktanteil erobern kann, der so groß ist wie der des Sortenrechtsinhabers für die Ursprungssorte“. Diese Realität erfordert eine wirksame Durchsetzung der </w:t>
            </w:r>
            <w:r>
              <w:rPr>
                <w:i/>
                <w:strike/>
                <w:spacing w:val="1"/>
                <w:szCs w:val="24"/>
                <w:highlight w:val="lightGray"/>
                <w:lang w:val="de-CH"/>
              </w:rPr>
              <w:t>Rechte des geistigen Eigentums, da die Innovationsanreize ansonsten verschwinden könnten</w:t>
            </w:r>
            <w:r>
              <w:rPr>
                <w:i/>
                <w:strike/>
                <w:szCs w:val="24"/>
                <w:highlight w:val="lightGray"/>
                <w:lang w:val="de-CH"/>
              </w:rPr>
              <w:t>“</w:t>
            </w:r>
            <w:r>
              <w:rPr>
                <w:i/>
                <w:strike/>
                <w:spacing w:val="1"/>
                <w:szCs w:val="24"/>
                <w:highlight w:val="lightGray"/>
                <w:lang w:val="de-CH"/>
              </w:rPr>
              <w:t>.</w:t>
            </w:r>
            <w:r>
              <w:rPr>
                <w:i/>
                <w:strike/>
                <w:szCs w:val="24"/>
                <w:highlight w:val="lightGray"/>
                <w:lang w:val="de-DE"/>
              </w:rPr>
              <w:t xml:space="preserve"> </w:t>
            </w:r>
          </w:p>
        </w:tc>
        <w:tc>
          <w:tcPr>
            <w:tcW w:w="1513" w:type="dxa"/>
          </w:tcPr>
          <w:p w:rsidR="00904D48" w:rsidRDefault="00904D48">
            <w:pPr>
              <w:jc w:val="left"/>
              <w:rPr>
                <w:szCs w:val="24"/>
                <w:lang w:val="de-DE"/>
              </w:rPr>
            </w:pPr>
            <w:r>
              <w:rPr>
                <w:i/>
                <w:strike/>
                <w:szCs w:val="24"/>
                <w:highlight w:val="lightGray"/>
                <w:lang w:val="de-CH"/>
              </w:rPr>
              <w:t>AIPH</w:t>
            </w:r>
            <w:r>
              <w:rPr>
                <w:i/>
                <w:strike/>
                <w:szCs w:val="24"/>
                <w:lang w:val="de-DE"/>
              </w:rPr>
              <w:t xml:space="preserve"> </w:t>
            </w:r>
          </w:p>
          <w:p w:rsidR="00904D48" w:rsidRDefault="00904D48">
            <w:pPr>
              <w:jc w:val="left"/>
              <w:rPr>
                <w:szCs w:val="24"/>
                <w:lang w:val="de-CH"/>
              </w:rPr>
            </w:pPr>
            <w:r>
              <w:rPr>
                <w:i/>
                <w:szCs w:val="24"/>
                <w:highlight w:val="lightGray"/>
                <w:u w:val="single"/>
                <w:lang w:val="de-CH"/>
              </w:rPr>
              <w:t>Antrag auf Streichung durch den AIPH</w:t>
            </w:r>
          </w:p>
        </w:tc>
      </w:tr>
      <w:tr w:rsidR="00904D48">
        <w:trPr>
          <w:gridAfter w:val="1"/>
          <w:wAfter w:w="10" w:type="dxa"/>
          <w:cantSplit/>
        </w:trPr>
        <w:tc>
          <w:tcPr>
            <w:tcW w:w="1305" w:type="dxa"/>
          </w:tcPr>
          <w:p w:rsidR="00904D48" w:rsidRDefault="00904D48">
            <w:pPr>
              <w:rPr>
                <w:szCs w:val="24"/>
              </w:rPr>
            </w:pPr>
            <w:r>
              <w:rPr>
                <w:i/>
                <w:szCs w:val="24"/>
                <w:lang w:val="de-CH"/>
              </w:rPr>
              <w:t>Punkt 5 [6]</w:t>
            </w:r>
            <w:r>
              <w:rPr>
                <w:i/>
                <w:szCs w:val="24"/>
                <w:lang w:val="de-DE"/>
              </w:rPr>
              <w:t xml:space="preserve"> </w:t>
            </w:r>
          </w:p>
        </w:tc>
        <w:tc>
          <w:tcPr>
            <w:tcW w:w="7155" w:type="dxa"/>
          </w:tcPr>
          <w:p w:rsidR="00904D48" w:rsidRDefault="00904D48">
            <w:pPr>
              <w:jc w:val="left"/>
              <w:rPr>
                <w:szCs w:val="24"/>
                <w:lang w:val="de-CH"/>
              </w:rPr>
            </w:pPr>
            <w:r>
              <w:rPr>
                <w:i/>
                <w:szCs w:val="24"/>
                <w:lang w:val="de-CH"/>
              </w:rPr>
              <w:t>den durch die Züchter ermittelten Punkt in der Umfrage zu behandeln, da</w:t>
            </w:r>
            <w:r w:rsidR="000F7A1E">
              <w:rPr>
                <w:i/>
                <w:szCs w:val="24"/>
                <w:lang w:val="de-CH"/>
              </w:rPr>
              <w:t>ss</w:t>
            </w:r>
            <w:r>
              <w:rPr>
                <w:i/>
                <w:szCs w:val="24"/>
                <w:lang w:val="de-CH"/>
              </w:rPr>
              <w:t xml:space="preserve"> „50% der Befragten die Wirksamkeit der Bestimmung zu den im wesentlichen abgeleiteten Sorten zur Sicherstellung der erforderlichen Vergütung für den Züchter der Ursprungssorte als nicht vorhanden oder gering einstufen“.</w:t>
            </w:r>
          </w:p>
        </w:tc>
        <w:tc>
          <w:tcPr>
            <w:tcW w:w="1513" w:type="dxa"/>
          </w:tcPr>
          <w:p w:rsidR="00904D48" w:rsidRDefault="00904D48">
            <w:pPr>
              <w:jc w:val="left"/>
              <w:rPr>
                <w:szCs w:val="24"/>
              </w:rPr>
            </w:pPr>
            <w:r>
              <w:rPr>
                <w:i/>
                <w:szCs w:val="24"/>
                <w:lang w:val="de-CH"/>
              </w:rPr>
              <w:t>Gemeinsamer Beitrag von Züchtern</w:t>
            </w:r>
          </w:p>
        </w:tc>
      </w:tr>
      <w:tr w:rsidR="00904D48" w:rsidRPr="00E957E1">
        <w:trPr>
          <w:gridAfter w:val="1"/>
          <w:wAfter w:w="10" w:type="dxa"/>
          <w:cantSplit/>
        </w:trPr>
        <w:tc>
          <w:tcPr>
            <w:tcW w:w="1305" w:type="dxa"/>
          </w:tcPr>
          <w:p w:rsidR="00904D48" w:rsidRDefault="00904D48">
            <w:pPr>
              <w:rPr>
                <w:szCs w:val="24"/>
              </w:rPr>
            </w:pPr>
            <w:r>
              <w:rPr>
                <w:i/>
                <w:szCs w:val="24"/>
                <w:lang w:val="de-CH"/>
              </w:rPr>
              <w:t>Punkt 6 [7]</w:t>
            </w:r>
          </w:p>
        </w:tc>
        <w:tc>
          <w:tcPr>
            <w:tcW w:w="7155" w:type="dxa"/>
          </w:tcPr>
          <w:p w:rsidR="00904D48" w:rsidRDefault="00904D48">
            <w:pPr>
              <w:jc w:val="left"/>
              <w:rPr>
                <w:szCs w:val="24"/>
                <w:lang w:val="de-CH"/>
              </w:rPr>
            </w:pPr>
            <w:r>
              <w:rPr>
                <w:i/>
                <w:szCs w:val="24"/>
                <w:lang w:val="de-CH"/>
              </w:rPr>
              <w:t>den Umfang des Konzepts der im wesentlichen abgeleiteten Sorten in Zusammenhang mit der folgenden Grundsatzfrage zu prüfen „Für eine große Gruppe der Befragten hat sich die Bestimmung zu den im wesentlichen abgeleiteten Sorten als wertvoll erweisen, obwohl offensichtlich ist, da</w:t>
            </w:r>
            <w:r w:rsidR="002375F3">
              <w:rPr>
                <w:i/>
                <w:szCs w:val="24"/>
                <w:lang w:val="de-CH"/>
              </w:rPr>
              <w:t>ss</w:t>
            </w:r>
            <w:r>
              <w:rPr>
                <w:i/>
                <w:szCs w:val="24"/>
                <w:lang w:val="de-CH"/>
              </w:rPr>
              <w:t xml:space="preserve"> weitere Abklärungen erforderlich sind. Jeder Versuch, ihren Wert durch eine Einschränkung ihres Geltungsbereichs oder anderweitig zu verringern, würde den züchterischen Anreiz für Kreuzungen stark gefährden und könnte möglicherweise zu einer Verringerung </w:t>
            </w:r>
            <w:r w:rsidR="002375F3">
              <w:rPr>
                <w:i/>
                <w:szCs w:val="24"/>
                <w:lang w:val="de-CH"/>
              </w:rPr>
              <w:t>der Züchtungsarbeit</w:t>
            </w:r>
            <w:r>
              <w:rPr>
                <w:i/>
                <w:szCs w:val="24"/>
                <w:lang w:val="de-CH"/>
              </w:rPr>
              <w:t>, der genetischen Variation und der Biodiversität führen.</w:t>
            </w:r>
            <w:r>
              <w:rPr>
                <w:i/>
                <w:szCs w:val="24"/>
                <w:lang w:val="de-DE"/>
              </w:rPr>
              <w:t xml:space="preserve"> </w:t>
            </w:r>
            <w:r>
              <w:rPr>
                <w:i/>
                <w:szCs w:val="24"/>
                <w:lang w:val="de-CH"/>
              </w:rPr>
              <w:t>Dies wird schließlich zu einer geringeren Anzahl von Sorten für die Nutzer führen, was das gesamte UPOV-System gefährden könnte“.</w:t>
            </w:r>
          </w:p>
        </w:tc>
        <w:tc>
          <w:tcPr>
            <w:tcW w:w="1513" w:type="dxa"/>
          </w:tcPr>
          <w:p w:rsidR="00904D48" w:rsidRDefault="00904D48">
            <w:pPr>
              <w:jc w:val="left"/>
              <w:rPr>
                <w:szCs w:val="24"/>
                <w:lang w:val="de-CH"/>
              </w:rPr>
            </w:pPr>
            <w:r>
              <w:rPr>
                <w:i/>
                <w:szCs w:val="24"/>
                <w:lang w:val="de-CH"/>
              </w:rPr>
              <w:t>Gemeinsamer Beitrag von Züchtern, AIPH</w:t>
            </w:r>
          </w:p>
        </w:tc>
      </w:tr>
      <w:tr w:rsidR="00904D48" w:rsidRPr="00E957E1">
        <w:trPr>
          <w:gridAfter w:val="1"/>
          <w:wAfter w:w="10" w:type="dxa"/>
          <w:cantSplit/>
        </w:trPr>
        <w:tc>
          <w:tcPr>
            <w:tcW w:w="1305" w:type="dxa"/>
          </w:tcPr>
          <w:p w:rsidR="00904D48" w:rsidRDefault="00904D48">
            <w:pPr>
              <w:rPr>
                <w:szCs w:val="24"/>
              </w:rPr>
            </w:pPr>
            <w:r>
              <w:rPr>
                <w:i/>
                <w:szCs w:val="24"/>
                <w:lang w:val="de-CH"/>
              </w:rPr>
              <w:t>Punkt 7 [8]</w:t>
            </w:r>
          </w:p>
        </w:tc>
        <w:tc>
          <w:tcPr>
            <w:tcW w:w="7155" w:type="dxa"/>
          </w:tcPr>
          <w:p w:rsidR="00904D48" w:rsidRDefault="00904D48">
            <w:pPr>
              <w:jc w:val="left"/>
              <w:rPr>
                <w:szCs w:val="24"/>
                <w:lang w:val="de-CH"/>
              </w:rPr>
            </w:pPr>
            <w:r>
              <w:rPr>
                <w:i/>
                <w:szCs w:val="24"/>
                <w:lang w:val="de-CH"/>
              </w:rPr>
              <w:t xml:space="preserve">zu prüfen, wie den Bedürfnissen von </w:t>
            </w:r>
            <w:r w:rsidR="002375F3">
              <w:rPr>
                <w:i/>
                <w:szCs w:val="24"/>
                <w:lang w:val="de-CH"/>
              </w:rPr>
              <w:t>kleinen</w:t>
            </w:r>
            <w:r>
              <w:rPr>
                <w:i/>
                <w:szCs w:val="24"/>
                <w:lang w:val="de-CH"/>
              </w:rPr>
              <w:t xml:space="preserve"> Unternehmen in folgender Bemerkung Rechnung </w:t>
            </w:r>
            <w:r w:rsidR="00E17CC0">
              <w:rPr>
                <w:i/>
                <w:szCs w:val="24"/>
                <w:lang w:val="de-CH"/>
              </w:rPr>
              <w:t xml:space="preserve">getragen </w:t>
            </w:r>
            <w:r>
              <w:rPr>
                <w:i/>
                <w:szCs w:val="24"/>
                <w:lang w:val="de-CH"/>
              </w:rPr>
              <w:t>werden kann „kleine Unternehmen stellen fest, da</w:t>
            </w:r>
            <w:r w:rsidR="002375F3">
              <w:rPr>
                <w:i/>
                <w:szCs w:val="24"/>
                <w:lang w:val="de-CH"/>
              </w:rPr>
              <w:t>ss</w:t>
            </w:r>
            <w:r>
              <w:rPr>
                <w:i/>
                <w:szCs w:val="24"/>
                <w:lang w:val="de-CH"/>
              </w:rPr>
              <w:t xml:space="preserve"> es für sie schwierig ist, sich ein Gesamtbild von der Entwicklung des Konzepts der im wesentlichen abgeleiteten Sorten zu machen(Auslegung der UPOV-Erläuterungen, Gerichtsverfahren mit unterschiedlichen Ergebnissen).</w:t>
            </w:r>
            <w:r>
              <w:rPr>
                <w:i/>
                <w:szCs w:val="24"/>
                <w:lang w:val="de-DE"/>
              </w:rPr>
              <w:t xml:space="preserve"> </w:t>
            </w:r>
            <w:r>
              <w:rPr>
                <w:i/>
                <w:szCs w:val="24"/>
                <w:lang w:val="de-CH"/>
              </w:rPr>
              <w:t>Vielleicht könnten sie von klarerer Anleitung / einfacherem Erläuterungsmaterial der UPOV profitieren“.</w:t>
            </w:r>
          </w:p>
        </w:tc>
        <w:tc>
          <w:tcPr>
            <w:tcW w:w="1513" w:type="dxa"/>
          </w:tcPr>
          <w:p w:rsidR="00904D48" w:rsidRDefault="00904D48">
            <w:pPr>
              <w:jc w:val="left"/>
              <w:rPr>
                <w:szCs w:val="24"/>
                <w:lang w:val="de-CH"/>
              </w:rPr>
            </w:pPr>
            <w:r>
              <w:rPr>
                <w:i/>
                <w:szCs w:val="24"/>
                <w:lang w:val="de-CH"/>
              </w:rPr>
              <w:t>Gemeinsamer Beitrag von Züchtern, AIPH</w:t>
            </w:r>
          </w:p>
        </w:tc>
      </w:tr>
      <w:tr w:rsidR="00904D48">
        <w:trPr>
          <w:gridAfter w:val="1"/>
          <w:wAfter w:w="10" w:type="dxa"/>
          <w:cantSplit/>
        </w:trPr>
        <w:tc>
          <w:tcPr>
            <w:tcW w:w="1305" w:type="dxa"/>
          </w:tcPr>
          <w:p w:rsidR="00904D48" w:rsidRDefault="00904D48">
            <w:pPr>
              <w:rPr>
                <w:szCs w:val="24"/>
              </w:rPr>
            </w:pPr>
            <w:r>
              <w:rPr>
                <w:i/>
                <w:szCs w:val="24"/>
                <w:highlight w:val="lightGray"/>
                <w:u w:val="single"/>
                <w:lang w:val="de-CH"/>
              </w:rPr>
              <w:t>Punkt 8</w:t>
            </w:r>
            <w:r>
              <w:rPr>
                <w:i/>
                <w:szCs w:val="24"/>
                <w:u w:val="single"/>
                <w:lang w:val="de-DE"/>
              </w:rPr>
              <w:t xml:space="preserve"> </w:t>
            </w:r>
          </w:p>
        </w:tc>
        <w:tc>
          <w:tcPr>
            <w:tcW w:w="7155" w:type="dxa"/>
          </w:tcPr>
          <w:p w:rsidR="00904D48" w:rsidRDefault="00904D48">
            <w:pPr>
              <w:jc w:val="left"/>
              <w:rPr>
                <w:szCs w:val="24"/>
                <w:lang w:val="de-CH"/>
              </w:rPr>
            </w:pPr>
            <w:r>
              <w:rPr>
                <w:i/>
                <w:szCs w:val="24"/>
                <w:highlight w:val="lightGray"/>
                <w:u w:val="single"/>
                <w:lang w:val="de-CH"/>
              </w:rPr>
              <w:t xml:space="preserve">die Rolle des </w:t>
            </w:r>
            <w:r w:rsidRPr="00904D48">
              <w:rPr>
                <w:i/>
                <w:szCs w:val="24"/>
                <w:highlight w:val="lightGray"/>
                <w:u w:val="single"/>
                <w:lang w:val="de-CH"/>
              </w:rPr>
              <w:t xml:space="preserve">Konzepts der im wesentlichen abgeleiteten Sorten in Verbindung mit der folgenden Grundsatzfrage zu prüfen: </w:t>
            </w:r>
            <w:r w:rsidRPr="00E17CC0">
              <w:rPr>
                <w:i/>
                <w:szCs w:val="24"/>
                <w:highlight w:val="lightGray"/>
                <w:u w:val="single"/>
                <w:lang w:val="de-CH"/>
              </w:rPr>
              <w:t>„</w:t>
            </w:r>
            <w:r w:rsidRPr="00904D48">
              <w:rPr>
                <w:i/>
                <w:szCs w:val="24"/>
                <w:highlight w:val="lightGray"/>
                <w:u w:val="single"/>
                <w:lang w:val="de-CH"/>
              </w:rPr>
              <w:t>Ohne gute Grundsätze für die im wesentlichen abgeleiteten Sorten wird der Wert des PVR-Systems erheblich geringer sein. Der Schutz würde durch eine eingeschränkte Lizenzpolitik angestrebt, bei der die neuen Sorten für Kleinbauern möglicherweise nicht mehr verfügbar sind</w:t>
            </w:r>
            <w:r w:rsidR="00E17CC0">
              <w:rPr>
                <w:i/>
                <w:szCs w:val="24"/>
                <w:highlight w:val="lightGray"/>
                <w:u w:val="single"/>
                <w:lang w:val="de-CH"/>
              </w:rPr>
              <w:t>.</w:t>
            </w:r>
            <w:r w:rsidRPr="00904D48">
              <w:rPr>
                <w:i/>
                <w:szCs w:val="24"/>
                <w:highlight w:val="lightGray"/>
                <w:lang w:val="de-CH"/>
              </w:rPr>
              <w:t>“</w:t>
            </w:r>
          </w:p>
        </w:tc>
        <w:tc>
          <w:tcPr>
            <w:tcW w:w="1513" w:type="dxa"/>
          </w:tcPr>
          <w:p w:rsidR="00904D48" w:rsidRDefault="00904D48">
            <w:pPr>
              <w:jc w:val="left"/>
              <w:rPr>
                <w:szCs w:val="24"/>
              </w:rPr>
            </w:pPr>
            <w:r>
              <w:rPr>
                <w:i/>
                <w:szCs w:val="24"/>
                <w:highlight w:val="lightGray"/>
                <w:u w:val="single"/>
                <w:lang w:val="de-CH"/>
              </w:rPr>
              <w:t>AIPH</w:t>
            </w:r>
          </w:p>
        </w:tc>
      </w:tr>
      <w:tr w:rsidR="00904D48" w:rsidRPr="00E957E1">
        <w:trPr>
          <w:gridAfter w:val="1"/>
          <w:wAfter w:w="10" w:type="dxa"/>
          <w:cantSplit/>
        </w:trPr>
        <w:tc>
          <w:tcPr>
            <w:tcW w:w="1305" w:type="dxa"/>
          </w:tcPr>
          <w:p w:rsidR="00904D48" w:rsidRDefault="00904D48">
            <w:pPr>
              <w:rPr>
                <w:i/>
                <w:szCs w:val="24"/>
                <w:lang w:val="de-DE"/>
              </w:rPr>
            </w:pPr>
          </w:p>
        </w:tc>
        <w:tc>
          <w:tcPr>
            <w:tcW w:w="7155" w:type="dxa"/>
          </w:tcPr>
          <w:p w:rsidR="00904D48" w:rsidRDefault="00904D48">
            <w:pPr>
              <w:jc w:val="left"/>
              <w:rPr>
                <w:szCs w:val="24"/>
                <w:lang w:val="de-DE"/>
              </w:rPr>
            </w:pPr>
            <w:r>
              <w:rPr>
                <w:szCs w:val="24"/>
                <w:lang w:val="de-CH"/>
              </w:rPr>
              <w:t>b)     Begriffsbestimmung einer im wesentlichen abgeleiteten Sorte</w:t>
            </w:r>
          </w:p>
          <w:p w:rsidR="00904D48" w:rsidRDefault="00904D48">
            <w:pPr>
              <w:jc w:val="left"/>
              <w:rPr>
                <w:szCs w:val="24"/>
                <w:lang w:val="de-DE"/>
              </w:rPr>
            </w:pPr>
          </w:p>
        </w:tc>
        <w:tc>
          <w:tcPr>
            <w:tcW w:w="1513" w:type="dxa"/>
          </w:tcPr>
          <w:p w:rsidR="00904D48" w:rsidRDefault="00904D48">
            <w:pPr>
              <w:jc w:val="left"/>
              <w:rPr>
                <w:i/>
                <w:szCs w:val="24"/>
                <w:lang w:val="de-DE"/>
              </w:rPr>
            </w:pPr>
          </w:p>
        </w:tc>
      </w:tr>
      <w:tr w:rsidR="00904D48">
        <w:trPr>
          <w:gridAfter w:val="1"/>
          <w:wAfter w:w="10" w:type="dxa"/>
          <w:cantSplit/>
        </w:trPr>
        <w:tc>
          <w:tcPr>
            <w:tcW w:w="1305" w:type="dxa"/>
          </w:tcPr>
          <w:p w:rsidR="00904D48" w:rsidRDefault="00904D48">
            <w:pPr>
              <w:rPr>
                <w:szCs w:val="24"/>
              </w:rPr>
            </w:pPr>
            <w:r>
              <w:rPr>
                <w:i/>
                <w:szCs w:val="24"/>
                <w:lang w:val="de-CH"/>
              </w:rPr>
              <w:t>Punkt 9</w:t>
            </w:r>
          </w:p>
        </w:tc>
        <w:tc>
          <w:tcPr>
            <w:tcW w:w="7155" w:type="dxa"/>
          </w:tcPr>
          <w:p w:rsidR="00904D48" w:rsidRDefault="00904D48">
            <w:pPr>
              <w:jc w:val="left"/>
              <w:rPr>
                <w:szCs w:val="24"/>
                <w:lang w:val="de-CH"/>
              </w:rPr>
            </w:pPr>
            <w:r>
              <w:rPr>
                <w:i/>
                <w:szCs w:val="24"/>
                <w:lang w:val="de-CH"/>
              </w:rPr>
              <w:t>zu prüfen, ob Innovationen in der Pflanzenzüchtung wie das Editieren von Genomen in die/das [Begriffsbestimmung einer im wesentlichen abgeleiteten Sorte]/[Konzept der im wesentlichen abgeleiteten Sorten] aufgenommen werden sollten.</w:t>
            </w:r>
          </w:p>
        </w:tc>
        <w:tc>
          <w:tcPr>
            <w:tcW w:w="1513" w:type="dxa"/>
          </w:tcPr>
          <w:p w:rsidR="00904D48" w:rsidRDefault="00904D48">
            <w:pPr>
              <w:jc w:val="left"/>
              <w:rPr>
                <w:szCs w:val="24"/>
              </w:rPr>
            </w:pPr>
            <w:r>
              <w:rPr>
                <w:i/>
                <w:szCs w:val="24"/>
                <w:lang w:val="de-CH"/>
              </w:rPr>
              <w:t>ZA</w:t>
            </w:r>
          </w:p>
        </w:tc>
      </w:tr>
      <w:tr w:rsidR="00904D48" w:rsidRPr="00E957E1">
        <w:trPr>
          <w:gridAfter w:val="1"/>
          <w:wAfter w:w="10" w:type="dxa"/>
          <w:cantSplit/>
        </w:trPr>
        <w:tc>
          <w:tcPr>
            <w:tcW w:w="1305" w:type="dxa"/>
          </w:tcPr>
          <w:p w:rsidR="00904D48" w:rsidRDefault="00904D48">
            <w:pPr>
              <w:rPr>
                <w:szCs w:val="24"/>
              </w:rPr>
            </w:pPr>
            <w:r>
              <w:rPr>
                <w:i/>
                <w:strike/>
                <w:szCs w:val="24"/>
                <w:highlight w:val="lightGray"/>
                <w:lang w:val="de-CH"/>
              </w:rPr>
              <w:t>Punkt 10</w:t>
            </w:r>
          </w:p>
        </w:tc>
        <w:tc>
          <w:tcPr>
            <w:tcW w:w="7155" w:type="dxa"/>
          </w:tcPr>
          <w:p w:rsidR="00904D48" w:rsidRDefault="00904D48">
            <w:pPr>
              <w:jc w:val="left"/>
              <w:rPr>
                <w:szCs w:val="24"/>
                <w:lang w:val="de-CH"/>
              </w:rPr>
            </w:pPr>
            <w:r>
              <w:rPr>
                <w:i/>
                <w:strike/>
                <w:szCs w:val="24"/>
                <w:highlight w:val="lightGray"/>
                <w:lang w:val="de-CH"/>
              </w:rPr>
              <w:t>die Notwendigkeit eines klaren Konzepts der im wesentlichen abgeleiteten Sorten unter Berücksichtigung der folgenden Entwicklung der DNS-Technologie (Neue genetische (Züchtungs-) Techniken) zu behandeln „Diese Technologien ermöglichen eine schnellere Züchtung und machen es nachfolgenden Züchtern wohl einfacher, eine neue abgeleitete Sorte zu entwickeln.</w:t>
            </w:r>
            <w:r>
              <w:rPr>
                <w:i/>
                <w:strike/>
                <w:szCs w:val="24"/>
                <w:highlight w:val="lightGray"/>
                <w:lang w:val="de-DE"/>
              </w:rPr>
              <w:t xml:space="preserve"> </w:t>
            </w:r>
            <w:r>
              <w:rPr>
                <w:i/>
                <w:strike/>
                <w:szCs w:val="24"/>
                <w:highlight w:val="lightGray"/>
                <w:lang w:val="de-CH"/>
              </w:rPr>
              <w:t>Eine relativ kleine genetische Variation könnte ausreichen, um die DUS-Anforderungen für eine neue im wesentlichen abgeleitete Sorte zu erfüllen, während das Produkt in Wirklichkeit mehr oder weniger dasselbe bliebe.</w:t>
            </w:r>
            <w:r>
              <w:rPr>
                <w:i/>
                <w:strike/>
                <w:szCs w:val="24"/>
                <w:highlight w:val="lightGray"/>
                <w:lang w:val="de-DE"/>
              </w:rPr>
              <w:t xml:space="preserve"> </w:t>
            </w:r>
            <w:r>
              <w:rPr>
                <w:i/>
                <w:strike/>
                <w:szCs w:val="24"/>
                <w:highlight w:val="lightGray"/>
                <w:lang w:val="de-CH"/>
              </w:rPr>
              <w:t>In Ländern mit einer geringen Wahrung der Züchterrechte oder in Ländern, die immer noch Mitglied der Akte von 1978 sind (wo das Konzept der im wesentlichen abgeleiteten Sorten fehlt), könnten […] Züchter […](Inhaber der Ursprungssorte) leer ausgehen und ihre langfristigen Investitionen gefährdet sein.“</w:t>
            </w:r>
          </w:p>
        </w:tc>
        <w:tc>
          <w:tcPr>
            <w:tcW w:w="1513" w:type="dxa"/>
          </w:tcPr>
          <w:p w:rsidR="00904D48" w:rsidRDefault="00904D48">
            <w:pPr>
              <w:jc w:val="left"/>
              <w:rPr>
                <w:i/>
                <w:strike/>
                <w:szCs w:val="24"/>
                <w:highlight w:val="lightGray"/>
                <w:lang w:val="de-DE"/>
              </w:rPr>
            </w:pPr>
            <w:r>
              <w:rPr>
                <w:i/>
                <w:strike/>
                <w:szCs w:val="24"/>
                <w:highlight w:val="lightGray"/>
                <w:lang w:val="de-CH"/>
              </w:rPr>
              <w:t>AIPH</w:t>
            </w:r>
          </w:p>
          <w:p w:rsidR="00904D48" w:rsidRDefault="00904D48">
            <w:pPr>
              <w:jc w:val="left"/>
              <w:rPr>
                <w:szCs w:val="24"/>
                <w:lang w:val="de-CH"/>
              </w:rPr>
            </w:pPr>
            <w:r>
              <w:rPr>
                <w:i/>
                <w:szCs w:val="24"/>
                <w:highlight w:val="lightGray"/>
                <w:u w:val="single"/>
                <w:lang w:val="de-CH"/>
              </w:rPr>
              <w:t>Antrag auf Streichung durch den AIPH</w:t>
            </w:r>
          </w:p>
        </w:tc>
      </w:tr>
      <w:tr w:rsidR="00904D48" w:rsidRPr="00E957E1">
        <w:trPr>
          <w:gridAfter w:val="1"/>
          <w:wAfter w:w="10" w:type="dxa"/>
          <w:cantSplit/>
        </w:trPr>
        <w:tc>
          <w:tcPr>
            <w:tcW w:w="1305" w:type="dxa"/>
          </w:tcPr>
          <w:p w:rsidR="00904D48" w:rsidRPr="00AB0E01" w:rsidRDefault="00904D48">
            <w:pPr>
              <w:rPr>
                <w:spacing w:val="-2"/>
                <w:szCs w:val="24"/>
              </w:rPr>
            </w:pPr>
            <w:r w:rsidRPr="00AB0E01">
              <w:rPr>
                <w:i/>
                <w:spacing w:val="-2"/>
                <w:szCs w:val="24"/>
                <w:lang w:val="de-CH"/>
              </w:rPr>
              <w:t>Punkt 10 [11]</w:t>
            </w:r>
          </w:p>
        </w:tc>
        <w:tc>
          <w:tcPr>
            <w:tcW w:w="7155" w:type="dxa"/>
          </w:tcPr>
          <w:p w:rsidR="00904D48" w:rsidRDefault="00904D48">
            <w:pPr>
              <w:jc w:val="left"/>
              <w:rPr>
                <w:szCs w:val="24"/>
                <w:lang w:val="de-CH"/>
              </w:rPr>
            </w:pPr>
            <w:r>
              <w:rPr>
                <w:i/>
                <w:szCs w:val="24"/>
                <w:lang w:val="de-CH"/>
              </w:rPr>
              <w:t xml:space="preserve">zu prüfen, wie Klarheit und Gewissheit in </w:t>
            </w:r>
            <w:r w:rsidR="002375F3">
              <w:rPr>
                <w:i/>
                <w:szCs w:val="24"/>
                <w:lang w:val="de-CH"/>
              </w:rPr>
              <w:t>B</w:t>
            </w:r>
            <w:r>
              <w:rPr>
                <w:i/>
                <w:szCs w:val="24"/>
                <w:lang w:val="de-CH"/>
              </w:rPr>
              <w:t>ezug auf folgenden Punkt geschaffen werden kann „die Befragten merken an, da</w:t>
            </w:r>
            <w:r w:rsidR="002375F3">
              <w:rPr>
                <w:i/>
                <w:szCs w:val="24"/>
                <w:lang w:val="de-CH"/>
              </w:rPr>
              <w:t>ss</w:t>
            </w:r>
            <w:r>
              <w:rPr>
                <w:i/>
                <w:szCs w:val="24"/>
                <w:lang w:val="de-CH"/>
              </w:rPr>
              <w:t xml:space="preserve"> weitere Klarstellungen zum Konzept, zu den genetischen Schwellenwerten oder zu wesentlichen Merkmalen zu begrüßen wären. Darüber hinaus wurden Bedenken hinsichtlich der verschiedenen Auslegungen darüber geäußert, wie das Konzept der im wesentlichen abgeleiteten Sorten in den verschiedenen Rechtsordnungen anzuwenden ist“.</w:t>
            </w:r>
          </w:p>
        </w:tc>
        <w:tc>
          <w:tcPr>
            <w:tcW w:w="1513" w:type="dxa"/>
          </w:tcPr>
          <w:p w:rsidR="00904D48" w:rsidRDefault="00904D48">
            <w:pPr>
              <w:jc w:val="left"/>
              <w:rPr>
                <w:szCs w:val="24"/>
                <w:lang w:val="de-CH"/>
              </w:rPr>
            </w:pPr>
            <w:r>
              <w:rPr>
                <w:i/>
                <w:szCs w:val="24"/>
                <w:lang w:val="de-CH"/>
              </w:rPr>
              <w:t>Gemeinsamer Beitrag von Züchtern, AIPH</w:t>
            </w:r>
          </w:p>
        </w:tc>
      </w:tr>
      <w:tr w:rsidR="00904D48" w:rsidRPr="00E957E1">
        <w:trPr>
          <w:gridAfter w:val="1"/>
          <w:wAfter w:w="10" w:type="dxa"/>
          <w:cantSplit/>
        </w:trPr>
        <w:tc>
          <w:tcPr>
            <w:tcW w:w="1305" w:type="dxa"/>
          </w:tcPr>
          <w:p w:rsidR="00904D48" w:rsidRPr="00AB0E01" w:rsidRDefault="00904D48">
            <w:pPr>
              <w:rPr>
                <w:i/>
                <w:spacing w:val="-2"/>
                <w:szCs w:val="24"/>
                <w:lang w:val="de-DE"/>
              </w:rPr>
            </w:pPr>
          </w:p>
        </w:tc>
        <w:tc>
          <w:tcPr>
            <w:tcW w:w="7155" w:type="dxa"/>
          </w:tcPr>
          <w:p w:rsidR="00904D48" w:rsidRDefault="00904D48">
            <w:pPr>
              <w:jc w:val="left"/>
              <w:rPr>
                <w:i/>
                <w:szCs w:val="24"/>
                <w:lang w:val="de-DE"/>
              </w:rPr>
            </w:pPr>
            <w:r>
              <w:rPr>
                <w:i/>
                <w:szCs w:val="24"/>
                <w:lang w:val="de-CH"/>
              </w:rPr>
              <w:t>Vorwiegende Ableitung von der Ursprungssorte (Artikel 14 Absatz 5 Buchstabe b Ziffer i)</w:t>
            </w:r>
          </w:p>
          <w:p w:rsidR="00904D48" w:rsidRDefault="00904D48">
            <w:pPr>
              <w:ind w:left="565" w:hanging="283"/>
              <w:jc w:val="left"/>
              <w:rPr>
                <w:i/>
                <w:szCs w:val="24"/>
                <w:lang w:val="de-DE"/>
              </w:rPr>
            </w:pPr>
          </w:p>
        </w:tc>
        <w:tc>
          <w:tcPr>
            <w:tcW w:w="1513" w:type="dxa"/>
          </w:tcPr>
          <w:p w:rsidR="00904D48" w:rsidRDefault="00904D48">
            <w:pPr>
              <w:jc w:val="left"/>
              <w:rPr>
                <w:i/>
                <w:szCs w:val="24"/>
                <w:lang w:val="de-DE"/>
              </w:rPr>
            </w:pPr>
          </w:p>
        </w:tc>
      </w:tr>
      <w:tr w:rsidR="00904D48">
        <w:trPr>
          <w:gridAfter w:val="1"/>
          <w:wAfter w:w="10" w:type="dxa"/>
          <w:cantSplit/>
        </w:trPr>
        <w:tc>
          <w:tcPr>
            <w:tcW w:w="1305" w:type="dxa"/>
          </w:tcPr>
          <w:p w:rsidR="00904D48" w:rsidRPr="00AB0E01" w:rsidRDefault="00904D48">
            <w:pPr>
              <w:rPr>
                <w:spacing w:val="-2"/>
                <w:szCs w:val="24"/>
              </w:rPr>
            </w:pPr>
            <w:r w:rsidRPr="00AB0E01">
              <w:rPr>
                <w:i/>
                <w:spacing w:val="-2"/>
                <w:szCs w:val="24"/>
                <w:lang w:val="de-CH"/>
              </w:rPr>
              <w:t>Punkt 11 [12]</w:t>
            </w:r>
          </w:p>
        </w:tc>
        <w:tc>
          <w:tcPr>
            <w:tcW w:w="7155" w:type="dxa"/>
          </w:tcPr>
          <w:p w:rsidR="00904D48" w:rsidRDefault="00904D48">
            <w:pPr>
              <w:jc w:val="left"/>
              <w:rPr>
                <w:szCs w:val="24"/>
                <w:lang w:val="de-CH"/>
              </w:rPr>
            </w:pPr>
            <w:r>
              <w:rPr>
                <w:i/>
                <w:szCs w:val="24"/>
                <w:lang w:val="de-CH"/>
              </w:rPr>
              <w:t>die Begriffe in Artikel 14 Absatz 5 Buchstabe b) Ziffer i) betreffend „unter Beibehaltung der sich aus dem Genotyp und der Kombination von Genotypen ergebenden Ausprägung der wesentlichen Merkmale“ klarzustellen</w:t>
            </w:r>
          </w:p>
        </w:tc>
        <w:tc>
          <w:tcPr>
            <w:tcW w:w="1513" w:type="dxa"/>
          </w:tcPr>
          <w:p w:rsidR="00904D48" w:rsidRDefault="00904D48">
            <w:pPr>
              <w:jc w:val="left"/>
              <w:rPr>
                <w:szCs w:val="24"/>
              </w:rPr>
            </w:pPr>
            <w:r>
              <w:rPr>
                <w:i/>
                <w:szCs w:val="24"/>
                <w:lang w:val="de-CH"/>
              </w:rPr>
              <w:t>EU</w:t>
            </w:r>
          </w:p>
        </w:tc>
      </w:tr>
      <w:tr w:rsidR="00904D48">
        <w:trPr>
          <w:gridAfter w:val="1"/>
          <w:wAfter w:w="10" w:type="dxa"/>
          <w:cantSplit/>
        </w:trPr>
        <w:tc>
          <w:tcPr>
            <w:tcW w:w="1305" w:type="dxa"/>
          </w:tcPr>
          <w:p w:rsidR="00904D48" w:rsidRPr="00AB0E01" w:rsidRDefault="00904D48">
            <w:pPr>
              <w:rPr>
                <w:spacing w:val="-2"/>
                <w:szCs w:val="24"/>
              </w:rPr>
            </w:pPr>
            <w:r w:rsidRPr="00AB0E01">
              <w:rPr>
                <w:i/>
                <w:spacing w:val="-2"/>
                <w:szCs w:val="24"/>
                <w:lang w:val="de-CH"/>
              </w:rPr>
              <w:t>Punkt 12 [13]</w:t>
            </w:r>
          </w:p>
        </w:tc>
        <w:tc>
          <w:tcPr>
            <w:tcW w:w="7155" w:type="dxa"/>
          </w:tcPr>
          <w:p w:rsidR="00904D48" w:rsidRDefault="00904D48">
            <w:pPr>
              <w:jc w:val="left"/>
              <w:rPr>
                <w:szCs w:val="24"/>
                <w:lang w:val="de-CH"/>
              </w:rPr>
            </w:pPr>
            <w:r>
              <w:rPr>
                <w:i/>
                <w:szCs w:val="24"/>
                <w:lang w:val="de-CH"/>
              </w:rPr>
              <w:t>die Erläuterungen in den Absätzen 4 und 5 klarzustellen</w:t>
            </w:r>
          </w:p>
        </w:tc>
        <w:tc>
          <w:tcPr>
            <w:tcW w:w="1513" w:type="dxa"/>
          </w:tcPr>
          <w:p w:rsidR="00904D48" w:rsidRDefault="00904D48">
            <w:pPr>
              <w:jc w:val="left"/>
              <w:rPr>
                <w:szCs w:val="24"/>
              </w:rPr>
            </w:pPr>
            <w:r>
              <w:rPr>
                <w:i/>
                <w:szCs w:val="24"/>
                <w:lang w:val="de-CH"/>
              </w:rPr>
              <w:t>RU</w:t>
            </w:r>
          </w:p>
        </w:tc>
      </w:tr>
      <w:tr w:rsidR="00904D48">
        <w:trPr>
          <w:gridAfter w:val="1"/>
          <w:wAfter w:w="10" w:type="dxa"/>
          <w:cantSplit/>
        </w:trPr>
        <w:tc>
          <w:tcPr>
            <w:tcW w:w="1305" w:type="dxa"/>
          </w:tcPr>
          <w:p w:rsidR="00904D48" w:rsidRPr="00AB0E01" w:rsidRDefault="00904D48">
            <w:pPr>
              <w:rPr>
                <w:spacing w:val="-2"/>
                <w:szCs w:val="24"/>
              </w:rPr>
            </w:pPr>
            <w:r w:rsidRPr="00AB0E01">
              <w:rPr>
                <w:i/>
                <w:spacing w:val="-2"/>
                <w:szCs w:val="24"/>
                <w:lang w:val="de-CH"/>
              </w:rPr>
              <w:t>Punkt 13 [14]</w:t>
            </w:r>
          </w:p>
        </w:tc>
        <w:tc>
          <w:tcPr>
            <w:tcW w:w="7155" w:type="dxa"/>
          </w:tcPr>
          <w:p w:rsidR="00904D48" w:rsidRDefault="00904D48">
            <w:pPr>
              <w:jc w:val="left"/>
              <w:rPr>
                <w:szCs w:val="24"/>
                <w:lang w:val="de-CH"/>
              </w:rPr>
            </w:pPr>
            <w:r>
              <w:rPr>
                <w:i/>
                <w:szCs w:val="24"/>
                <w:lang w:val="de-CH"/>
              </w:rPr>
              <w:t xml:space="preserve">den Begriff der wesentlichen Merkmale </w:t>
            </w:r>
            <w:r w:rsidR="002375F3">
              <w:rPr>
                <w:i/>
                <w:szCs w:val="24"/>
                <w:lang w:val="de-CH"/>
              </w:rPr>
              <w:t>klarzustellen</w:t>
            </w:r>
            <w:r>
              <w:rPr>
                <w:i/>
                <w:szCs w:val="24"/>
                <w:lang w:val="de-CH"/>
              </w:rPr>
              <w:t xml:space="preserve"> und ob sie in </w:t>
            </w:r>
            <w:r w:rsidR="002375F3">
              <w:rPr>
                <w:i/>
                <w:szCs w:val="24"/>
                <w:lang w:val="de-CH"/>
              </w:rPr>
              <w:t>B</w:t>
            </w:r>
            <w:r>
              <w:rPr>
                <w:i/>
                <w:szCs w:val="24"/>
                <w:lang w:val="de-CH"/>
              </w:rPr>
              <w:t>ezug zu den DUS-Merkmalen stehen oder nicht (vergleiche Absatz 6)</w:t>
            </w:r>
          </w:p>
        </w:tc>
        <w:tc>
          <w:tcPr>
            <w:tcW w:w="1513" w:type="dxa"/>
          </w:tcPr>
          <w:p w:rsidR="00904D48" w:rsidRDefault="00904D48">
            <w:pPr>
              <w:jc w:val="left"/>
              <w:rPr>
                <w:szCs w:val="24"/>
              </w:rPr>
            </w:pPr>
            <w:r>
              <w:rPr>
                <w:i/>
                <w:szCs w:val="24"/>
                <w:lang w:val="de-CH"/>
              </w:rPr>
              <w:t>RU, ZA</w:t>
            </w:r>
          </w:p>
        </w:tc>
      </w:tr>
      <w:tr w:rsidR="00904D48" w:rsidRPr="00E957E1">
        <w:trPr>
          <w:gridAfter w:val="1"/>
          <w:wAfter w:w="10" w:type="dxa"/>
          <w:cantSplit/>
        </w:trPr>
        <w:tc>
          <w:tcPr>
            <w:tcW w:w="1305" w:type="dxa"/>
          </w:tcPr>
          <w:p w:rsidR="00904D48" w:rsidRPr="00AB0E01" w:rsidRDefault="00904D48">
            <w:pPr>
              <w:rPr>
                <w:i/>
                <w:spacing w:val="-2"/>
                <w:szCs w:val="24"/>
                <w:lang w:val="de-DE"/>
              </w:rPr>
            </w:pPr>
          </w:p>
        </w:tc>
        <w:tc>
          <w:tcPr>
            <w:tcW w:w="7155" w:type="dxa"/>
          </w:tcPr>
          <w:p w:rsidR="00904D48" w:rsidRDefault="00904D48">
            <w:pPr>
              <w:jc w:val="left"/>
              <w:rPr>
                <w:i/>
                <w:szCs w:val="24"/>
                <w:lang w:val="de-DE"/>
              </w:rPr>
            </w:pPr>
            <w:r>
              <w:rPr>
                <w:i/>
                <w:szCs w:val="24"/>
                <w:lang w:val="de-CH"/>
              </w:rPr>
              <w:t>Unterscheidet sich deutlich von der Ursprungssorte (Artikel 14 Absatz 5 Buchstabe b) Ziffer ii)</w:t>
            </w:r>
          </w:p>
          <w:p w:rsidR="00904D48" w:rsidRDefault="00904D48">
            <w:pPr>
              <w:jc w:val="left"/>
              <w:rPr>
                <w:i/>
                <w:szCs w:val="24"/>
                <w:lang w:val="de-DE"/>
              </w:rPr>
            </w:pPr>
          </w:p>
        </w:tc>
        <w:tc>
          <w:tcPr>
            <w:tcW w:w="1513" w:type="dxa"/>
          </w:tcPr>
          <w:p w:rsidR="00904D48" w:rsidRDefault="00904D48">
            <w:pPr>
              <w:jc w:val="left"/>
              <w:rPr>
                <w:i/>
                <w:szCs w:val="24"/>
                <w:lang w:val="de-DE"/>
              </w:rPr>
            </w:pPr>
          </w:p>
        </w:tc>
      </w:tr>
      <w:tr w:rsidR="00904D48">
        <w:trPr>
          <w:gridAfter w:val="1"/>
          <w:wAfter w:w="10" w:type="dxa"/>
          <w:cantSplit/>
        </w:trPr>
        <w:tc>
          <w:tcPr>
            <w:tcW w:w="1305" w:type="dxa"/>
          </w:tcPr>
          <w:p w:rsidR="00904D48" w:rsidRPr="00AB0E01" w:rsidRDefault="00904D48">
            <w:pPr>
              <w:rPr>
                <w:spacing w:val="-2"/>
                <w:szCs w:val="24"/>
              </w:rPr>
            </w:pPr>
            <w:r w:rsidRPr="00AB0E01">
              <w:rPr>
                <w:i/>
                <w:spacing w:val="-2"/>
                <w:szCs w:val="24"/>
                <w:lang w:val="de-CH"/>
              </w:rPr>
              <w:t>Punkt 14 [15]</w:t>
            </w:r>
          </w:p>
        </w:tc>
        <w:tc>
          <w:tcPr>
            <w:tcW w:w="7155" w:type="dxa"/>
          </w:tcPr>
          <w:p w:rsidR="00904D48" w:rsidRDefault="00283184">
            <w:pPr>
              <w:jc w:val="left"/>
              <w:rPr>
                <w:szCs w:val="24"/>
                <w:lang w:val="de-CH"/>
              </w:rPr>
            </w:pPr>
            <w:r>
              <w:rPr>
                <w:i/>
                <w:szCs w:val="24"/>
                <w:lang w:val="de-CH"/>
              </w:rPr>
              <w:t xml:space="preserve">den Begriff </w:t>
            </w:r>
            <w:r>
              <w:rPr>
                <w:szCs w:val="24"/>
                <w:lang w:val="de-CH"/>
              </w:rPr>
              <w:t>„</w:t>
            </w:r>
            <w:r>
              <w:rPr>
                <w:i/>
                <w:szCs w:val="24"/>
                <w:lang w:val="de-CH"/>
              </w:rPr>
              <w:t>deutlich unterscheidbar“ in Artikel 14 Absatz 5 Buchstabe b) Ziffer ii) zu klären und zu prüfen, ob der Verweis auf Artikel 14 Absatz 5 Buchstabe a) Ziffer ii) in Absatz 7 von Belang ist</w:t>
            </w:r>
          </w:p>
        </w:tc>
        <w:tc>
          <w:tcPr>
            <w:tcW w:w="1513" w:type="dxa"/>
          </w:tcPr>
          <w:p w:rsidR="00904D48" w:rsidRDefault="00904D48">
            <w:pPr>
              <w:jc w:val="left"/>
              <w:rPr>
                <w:szCs w:val="24"/>
              </w:rPr>
            </w:pPr>
            <w:r>
              <w:rPr>
                <w:i/>
                <w:szCs w:val="24"/>
                <w:lang w:val="de-CH"/>
              </w:rPr>
              <w:t>SE, RU</w:t>
            </w:r>
            <w:r>
              <w:rPr>
                <w:i/>
                <w:szCs w:val="24"/>
                <w:lang w:val="de-DE"/>
              </w:rPr>
              <w:t xml:space="preserve"> </w:t>
            </w:r>
          </w:p>
        </w:tc>
      </w:tr>
      <w:tr w:rsidR="00904D48" w:rsidRPr="00E957E1">
        <w:trPr>
          <w:cantSplit/>
        </w:trPr>
        <w:tc>
          <w:tcPr>
            <w:tcW w:w="1305" w:type="dxa"/>
          </w:tcPr>
          <w:p w:rsidR="00904D48" w:rsidRPr="00AB0E01" w:rsidRDefault="00904D48">
            <w:pPr>
              <w:rPr>
                <w:i/>
                <w:spacing w:val="-2"/>
                <w:szCs w:val="24"/>
                <w:lang w:val="de-DE"/>
              </w:rPr>
            </w:pPr>
          </w:p>
        </w:tc>
        <w:tc>
          <w:tcPr>
            <w:tcW w:w="7155" w:type="dxa"/>
          </w:tcPr>
          <w:p w:rsidR="00904D48" w:rsidRDefault="00904D48">
            <w:pPr>
              <w:jc w:val="left"/>
              <w:rPr>
                <w:i/>
                <w:szCs w:val="24"/>
                <w:lang w:val="de-DE"/>
              </w:rPr>
            </w:pPr>
            <w:r>
              <w:rPr>
                <w:i/>
                <w:szCs w:val="24"/>
                <w:lang w:val="de-CH"/>
              </w:rPr>
              <w:t>Übereinstimmung mit der Ursprungssorte in der Ausprägung der wesentlichen Merkmale (Artikel 14 Absatz 5 Buchstabe a) Ziffer iii))</w:t>
            </w:r>
          </w:p>
          <w:p w:rsidR="00904D48" w:rsidRDefault="00904D48">
            <w:pPr>
              <w:jc w:val="left"/>
              <w:rPr>
                <w:i/>
                <w:szCs w:val="24"/>
                <w:highlight w:val="yellow"/>
                <w:lang w:val="de-DE"/>
              </w:rPr>
            </w:pPr>
          </w:p>
        </w:tc>
        <w:tc>
          <w:tcPr>
            <w:tcW w:w="1523" w:type="dxa"/>
            <w:gridSpan w:val="2"/>
          </w:tcPr>
          <w:p w:rsidR="00904D48" w:rsidRDefault="00904D48">
            <w:pPr>
              <w:jc w:val="left"/>
              <w:rPr>
                <w:i/>
                <w:szCs w:val="24"/>
                <w:lang w:val="de-DE"/>
              </w:rPr>
            </w:pP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15 [16]</w:t>
            </w:r>
          </w:p>
        </w:tc>
        <w:tc>
          <w:tcPr>
            <w:tcW w:w="7155" w:type="dxa"/>
          </w:tcPr>
          <w:p w:rsidR="00904D48" w:rsidRDefault="00904D48">
            <w:pPr>
              <w:jc w:val="left"/>
              <w:rPr>
                <w:szCs w:val="24"/>
                <w:lang w:val="de-CH"/>
              </w:rPr>
            </w:pPr>
            <w:r>
              <w:rPr>
                <w:i/>
                <w:szCs w:val="24"/>
                <w:lang w:val="de-CH"/>
              </w:rPr>
              <w:t>zu bestimmen, wie viele Unterschiede für eine im wesentlichen abgeleitete Sorte erforderlich sind und wie bedeutend diese Unterschiede sein müssen, damit eine im wesentlichen abgeleitete Sorte „im wesentlichen“ mit der Ursprungsorte übereinstimmt</w:t>
            </w:r>
          </w:p>
        </w:tc>
        <w:tc>
          <w:tcPr>
            <w:tcW w:w="1523" w:type="dxa"/>
            <w:gridSpan w:val="2"/>
          </w:tcPr>
          <w:p w:rsidR="00904D48" w:rsidRDefault="00904D48">
            <w:pPr>
              <w:jc w:val="left"/>
              <w:rPr>
                <w:szCs w:val="24"/>
              </w:rPr>
            </w:pPr>
            <w:r>
              <w:rPr>
                <w:i/>
                <w:szCs w:val="24"/>
                <w:lang w:val="de-CH"/>
              </w:rPr>
              <w:t>EU, ZA</w:t>
            </w:r>
          </w:p>
        </w:tc>
      </w:tr>
      <w:tr w:rsidR="00904D48">
        <w:trPr>
          <w:cantSplit/>
        </w:trPr>
        <w:tc>
          <w:tcPr>
            <w:tcW w:w="1305" w:type="dxa"/>
          </w:tcPr>
          <w:p w:rsidR="00904D48" w:rsidRPr="00AB0E01" w:rsidRDefault="00904D48">
            <w:pPr>
              <w:rPr>
                <w:i/>
                <w:spacing w:val="-2"/>
                <w:szCs w:val="24"/>
                <w:lang w:val="de-DE"/>
              </w:rPr>
            </w:pPr>
            <w:r w:rsidRPr="00AB0E01">
              <w:rPr>
                <w:i/>
                <w:spacing w:val="-2"/>
                <w:szCs w:val="24"/>
                <w:lang w:val="de-CH"/>
              </w:rPr>
              <w:t>Punkt 16 [17]</w:t>
            </w:r>
          </w:p>
          <w:p w:rsidR="00904D48" w:rsidRPr="00AB0E01" w:rsidRDefault="00904D48">
            <w:pPr>
              <w:rPr>
                <w:i/>
                <w:spacing w:val="-2"/>
                <w:szCs w:val="24"/>
                <w:lang w:val="de-DE"/>
              </w:rPr>
            </w:pPr>
          </w:p>
        </w:tc>
        <w:tc>
          <w:tcPr>
            <w:tcW w:w="7155" w:type="dxa"/>
          </w:tcPr>
          <w:p w:rsidR="00904D48" w:rsidRDefault="00904D48">
            <w:pPr>
              <w:jc w:val="left"/>
              <w:rPr>
                <w:szCs w:val="24"/>
                <w:lang w:val="de-CH"/>
              </w:rPr>
            </w:pPr>
            <w:r>
              <w:rPr>
                <w:i/>
                <w:szCs w:val="24"/>
                <w:lang w:val="de-CH"/>
              </w:rPr>
              <w:t>zu prüfen, ob der Satz „einen oder sehr wenige Unterschiede“ in Absatz 10 zu streichen ist</w:t>
            </w:r>
            <w:r>
              <w:rPr>
                <w:i/>
                <w:szCs w:val="24"/>
                <w:lang w:val="de-DE"/>
              </w:rPr>
              <w:t xml:space="preserve"> </w:t>
            </w:r>
          </w:p>
        </w:tc>
        <w:tc>
          <w:tcPr>
            <w:tcW w:w="1523" w:type="dxa"/>
            <w:gridSpan w:val="2"/>
          </w:tcPr>
          <w:p w:rsidR="00904D48" w:rsidRDefault="00904D48">
            <w:pPr>
              <w:jc w:val="left"/>
              <w:rPr>
                <w:szCs w:val="24"/>
              </w:rPr>
            </w:pPr>
            <w:r>
              <w:rPr>
                <w:i/>
                <w:szCs w:val="24"/>
                <w:lang w:val="de-CH"/>
              </w:rPr>
              <w:t>EU</w:t>
            </w: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17 [18]</w:t>
            </w:r>
          </w:p>
        </w:tc>
        <w:tc>
          <w:tcPr>
            <w:tcW w:w="7155" w:type="dxa"/>
          </w:tcPr>
          <w:p w:rsidR="00904D48" w:rsidRDefault="00904D48">
            <w:pPr>
              <w:jc w:val="left"/>
              <w:rPr>
                <w:szCs w:val="24"/>
                <w:lang w:val="de-CH"/>
              </w:rPr>
            </w:pPr>
            <w:r>
              <w:rPr>
                <w:i/>
                <w:szCs w:val="24"/>
                <w:lang w:val="de-CH"/>
              </w:rPr>
              <w:t xml:space="preserve">die Bedeutung von „abgesehen von den sich aus der Anleitung ergebenden Unterschieden“ </w:t>
            </w:r>
            <w:r w:rsidR="002375F3">
              <w:rPr>
                <w:i/>
                <w:szCs w:val="24"/>
                <w:lang w:val="de-CH"/>
              </w:rPr>
              <w:t>klarzustellen</w:t>
            </w:r>
            <w:r>
              <w:rPr>
                <w:i/>
                <w:szCs w:val="24"/>
                <w:lang w:val="de-CH"/>
              </w:rPr>
              <w:t xml:space="preserve"> und ob es Unterschiede geben kann, die sich nicht aus einer Ableitung ergeben</w:t>
            </w:r>
          </w:p>
        </w:tc>
        <w:tc>
          <w:tcPr>
            <w:tcW w:w="1523" w:type="dxa"/>
            <w:gridSpan w:val="2"/>
          </w:tcPr>
          <w:p w:rsidR="00904D48" w:rsidRDefault="00904D48">
            <w:pPr>
              <w:jc w:val="left"/>
              <w:rPr>
                <w:szCs w:val="24"/>
              </w:rPr>
            </w:pPr>
            <w:r>
              <w:rPr>
                <w:i/>
                <w:szCs w:val="24"/>
                <w:lang w:val="de-CH"/>
              </w:rPr>
              <w:t>ZA</w:t>
            </w:r>
          </w:p>
        </w:tc>
      </w:tr>
      <w:tr w:rsidR="00904D48">
        <w:trPr>
          <w:cantSplit/>
        </w:trPr>
        <w:tc>
          <w:tcPr>
            <w:tcW w:w="1305" w:type="dxa"/>
          </w:tcPr>
          <w:p w:rsidR="00904D48" w:rsidRPr="00AB0E01" w:rsidRDefault="00904D48">
            <w:pPr>
              <w:rPr>
                <w:spacing w:val="-2"/>
                <w:szCs w:val="24"/>
              </w:rPr>
            </w:pPr>
            <w:r w:rsidRPr="00AB0E01">
              <w:rPr>
                <w:i/>
                <w:spacing w:val="-2"/>
                <w:szCs w:val="24"/>
                <w:lang w:val="de-CH"/>
              </w:rPr>
              <w:lastRenderedPageBreak/>
              <w:t>Punkt 18 [19]</w:t>
            </w:r>
          </w:p>
        </w:tc>
        <w:tc>
          <w:tcPr>
            <w:tcW w:w="7155" w:type="dxa"/>
          </w:tcPr>
          <w:p w:rsidR="00904D48" w:rsidRDefault="00904D48">
            <w:pPr>
              <w:jc w:val="left"/>
              <w:rPr>
                <w:szCs w:val="24"/>
                <w:lang w:val="de-CH"/>
              </w:rPr>
            </w:pPr>
            <w:r>
              <w:rPr>
                <w:i/>
                <w:szCs w:val="24"/>
                <w:lang w:val="de-CH"/>
              </w:rPr>
              <w:t>zu prüfen, wodurch sich ein Grenzwert für die Anzahl von Unterschieden zur Feststellung, ob es sich bei einer Sorte um eine im wesentlichen abgeleitete Sorte handelt oder nicht, rechtfertigt, wenn der Wortlaut „abgesehen von den sich aus der Ableitung ergebenden Unterschieden“ „setzen keinen Grenzwert für den Umfang an Unterschieden, die bestehen können“ lautet (z. B. durch Strahlung entstandene Mutanten) (vergleiche Absatz 9)</w:t>
            </w:r>
          </w:p>
        </w:tc>
        <w:tc>
          <w:tcPr>
            <w:tcW w:w="1523" w:type="dxa"/>
            <w:gridSpan w:val="2"/>
          </w:tcPr>
          <w:p w:rsidR="00904D48" w:rsidRDefault="00904D48">
            <w:pPr>
              <w:jc w:val="left"/>
              <w:rPr>
                <w:szCs w:val="24"/>
              </w:rPr>
            </w:pPr>
            <w:r>
              <w:rPr>
                <w:i/>
                <w:szCs w:val="24"/>
                <w:lang w:val="de-CH"/>
              </w:rPr>
              <w:t>ZA</w:t>
            </w: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19 [20]</w:t>
            </w:r>
          </w:p>
        </w:tc>
        <w:tc>
          <w:tcPr>
            <w:tcW w:w="7155" w:type="dxa"/>
          </w:tcPr>
          <w:p w:rsidR="00904D48" w:rsidRDefault="00904D48">
            <w:pPr>
              <w:jc w:val="left"/>
              <w:rPr>
                <w:szCs w:val="24"/>
                <w:lang w:val="de-CH"/>
              </w:rPr>
            </w:pPr>
            <w:r>
              <w:rPr>
                <w:i/>
                <w:szCs w:val="24"/>
                <w:lang w:val="de-CH"/>
              </w:rPr>
              <w:t>die Erläuterungen in den Absätzen 8 bis 11 zu prüfen, um eine klare Anleitung zu den Bestimmungen in Artikel 14 Absatz 5 Buchstabe b) Ziffer iii) zu geben</w:t>
            </w:r>
          </w:p>
        </w:tc>
        <w:tc>
          <w:tcPr>
            <w:tcW w:w="1523" w:type="dxa"/>
            <w:gridSpan w:val="2"/>
          </w:tcPr>
          <w:p w:rsidR="00904D48" w:rsidRDefault="00904D48">
            <w:pPr>
              <w:jc w:val="left"/>
              <w:rPr>
                <w:szCs w:val="24"/>
              </w:rPr>
            </w:pPr>
            <w:r>
              <w:rPr>
                <w:i/>
                <w:szCs w:val="24"/>
                <w:lang w:val="de-CH"/>
              </w:rPr>
              <w:t>RU</w:t>
            </w: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20 [21]</w:t>
            </w:r>
          </w:p>
        </w:tc>
        <w:tc>
          <w:tcPr>
            <w:tcW w:w="7155" w:type="dxa"/>
          </w:tcPr>
          <w:p w:rsidR="00904D48" w:rsidRDefault="00904D48">
            <w:pPr>
              <w:jc w:val="left"/>
              <w:rPr>
                <w:szCs w:val="24"/>
                <w:lang w:val="de-CH"/>
              </w:rPr>
            </w:pPr>
            <w:r>
              <w:rPr>
                <w:i/>
                <w:szCs w:val="24"/>
                <w:lang w:val="de-CH"/>
              </w:rPr>
              <w:t xml:space="preserve">zu prüfen, wie Gewissheit in Verbindung mit folgendem Punkt geschaffen werden kann „das Bestehen einer im wesentlichen abgeleiteten Sorte ist manchmal schwer zu beweisen, und es besteht Unsicherheit aufgrund der mangelnden Klarheit über das Konzept der im wesentlichen abgeleiteten Sorten und darüber, was die unveränderte Ausprägung von wesentlichen Merkmalen für eine bestimmte Pflanze bedeutet.“ </w:t>
            </w:r>
          </w:p>
        </w:tc>
        <w:tc>
          <w:tcPr>
            <w:tcW w:w="1523" w:type="dxa"/>
            <w:gridSpan w:val="2"/>
          </w:tcPr>
          <w:p w:rsidR="00904D48" w:rsidRDefault="00904D48">
            <w:pPr>
              <w:jc w:val="left"/>
              <w:rPr>
                <w:szCs w:val="24"/>
              </w:rPr>
            </w:pPr>
            <w:r>
              <w:rPr>
                <w:i/>
                <w:szCs w:val="24"/>
                <w:lang w:val="de-CH"/>
              </w:rPr>
              <w:t>Gemeinsamer Beitrag von Züchtern</w:t>
            </w:r>
          </w:p>
        </w:tc>
      </w:tr>
      <w:tr w:rsidR="00904D48" w:rsidRPr="00E957E1">
        <w:trPr>
          <w:cantSplit/>
        </w:trPr>
        <w:tc>
          <w:tcPr>
            <w:tcW w:w="1305" w:type="dxa"/>
          </w:tcPr>
          <w:p w:rsidR="00904D48" w:rsidRPr="00AB0E01" w:rsidRDefault="00904D48">
            <w:pPr>
              <w:rPr>
                <w:spacing w:val="-2"/>
                <w:szCs w:val="24"/>
              </w:rPr>
            </w:pPr>
            <w:r w:rsidRPr="00AB0E01">
              <w:rPr>
                <w:i/>
                <w:spacing w:val="-2"/>
                <w:szCs w:val="24"/>
                <w:lang w:val="de-CH"/>
              </w:rPr>
              <w:t>Punkt 21 [22]</w:t>
            </w:r>
          </w:p>
        </w:tc>
        <w:tc>
          <w:tcPr>
            <w:tcW w:w="7155" w:type="dxa"/>
          </w:tcPr>
          <w:p w:rsidR="00904D48" w:rsidRDefault="00904D48">
            <w:pPr>
              <w:jc w:val="left"/>
              <w:rPr>
                <w:szCs w:val="24"/>
                <w:lang w:val="de-CH"/>
              </w:rPr>
            </w:pPr>
            <w:r>
              <w:rPr>
                <w:i/>
                <w:szCs w:val="24"/>
                <w:lang w:val="de-CH"/>
              </w:rPr>
              <w:t>zu prüfen, wie folgender Punkt geklärt werden kann „Die Befragten sehen, da</w:t>
            </w:r>
            <w:r w:rsidR="002375F3">
              <w:rPr>
                <w:i/>
                <w:szCs w:val="24"/>
                <w:lang w:val="de-CH"/>
              </w:rPr>
              <w:t>ss</w:t>
            </w:r>
            <w:r>
              <w:rPr>
                <w:i/>
                <w:szCs w:val="24"/>
                <w:lang w:val="de-CH"/>
              </w:rPr>
              <w:t xml:space="preserve"> das Konzept der im wesentlichen abgeleiteten Sorten der UPOV einen Weg darstellt, Streitigkeiten zwischen Züchtern im voraus zu lösen.</w:t>
            </w:r>
            <w:r>
              <w:rPr>
                <w:i/>
                <w:szCs w:val="24"/>
                <w:lang w:val="de-DE"/>
              </w:rPr>
              <w:t xml:space="preserve"> </w:t>
            </w:r>
            <w:r>
              <w:rPr>
                <w:i/>
                <w:szCs w:val="24"/>
                <w:lang w:val="de-CH"/>
              </w:rPr>
              <w:t>Die jüngste UPOV-Erläuterungen zu im wesentlichen abgeleiteten Sorten (2017) sorgten hingegen für Verwirrung unter den Züchtern, vor allem dann, wenn es bedeuten würde, da</w:t>
            </w:r>
            <w:r w:rsidR="002375F3">
              <w:rPr>
                <w:i/>
                <w:szCs w:val="24"/>
                <w:lang w:val="de-CH"/>
              </w:rPr>
              <w:t>ss</w:t>
            </w:r>
            <w:r>
              <w:rPr>
                <w:i/>
                <w:szCs w:val="24"/>
                <w:lang w:val="de-CH"/>
              </w:rPr>
              <w:t xml:space="preserve"> Mutanten von geschützten Ursprungssorten nicht mehr länger als im wesentlichen abgeleitete Sorten angesehen werden.“ </w:t>
            </w:r>
          </w:p>
        </w:tc>
        <w:tc>
          <w:tcPr>
            <w:tcW w:w="1523" w:type="dxa"/>
            <w:gridSpan w:val="2"/>
          </w:tcPr>
          <w:p w:rsidR="00904D48" w:rsidRDefault="00904D48">
            <w:pPr>
              <w:jc w:val="left"/>
              <w:rPr>
                <w:szCs w:val="24"/>
                <w:lang w:val="de-CH"/>
              </w:rPr>
            </w:pPr>
            <w:r>
              <w:rPr>
                <w:i/>
                <w:szCs w:val="24"/>
                <w:lang w:val="de-CH"/>
              </w:rPr>
              <w:t>Gemeinsamer Beitrag von Züchtern, AIPH</w:t>
            </w:r>
          </w:p>
        </w:tc>
      </w:tr>
      <w:tr w:rsidR="00904D48" w:rsidRPr="00E957E1">
        <w:trPr>
          <w:cantSplit/>
        </w:trPr>
        <w:tc>
          <w:tcPr>
            <w:tcW w:w="1305" w:type="dxa"/>
          </w:tcPr>
          <w:p w:rsidR="00904D48" w:rsidRPr="00AB0E01" w:rsidRDefault="00904D48">
            <w:pPr>
              <w:rPr>
                <w:i/>
                <w:spacing w:val="-2"/>
                <w:szCs w:val="24"/>
                <w:lang w:val="de-DE"/>
              </w:rPr>
            </w:pPr>
          </w:p>
        </w:tc>
        <w:tc>
          <w:tcPr>
            <w:tcW w:w="7155" w:type="dxa"/>
          </w:tcPr>
          <w:p w:rsidR="00904D48" w:rsidRDefault="00904D48">
            <w:pPr>
              <w:jc w:val="left"/>
              <w:rPr>
                <w:i/>
                <w:szCs w:val="24"/>
                <w:lang w:val="de-DE"/>
              </w:rPr>
            </w:pPr>
            <w:r>
              <w:rPr>
                <w:i/>
                <w:szCs w:val="24"/>
                <w:lang w:val="de-CH"/>
              </w:rPr>
              <w:t>Beispiele für die Möglichkeiten, wie eine im wesentlichen abgeleitete Sorte gewonnen werden kann (Artikel 14 Absatz 5 Buchstabe c) - Absätze 12 und 13</w:t>
            </w:r>
          </w:p>
          <w:p w:rsidR="00904D48" w:rsidRDefault="00904D48">
            <w:pPr>
              <w:jc w:val="left"/>
              <w:rPr>
                <w:i/>
                <w:szCs w:val="24"/>
                <w:lang w:val="de-DE"/>
              </w:rPr>
            </w:pPr>
          </w:p>
        </w:tc>
        <w:tc>
          <w:tcPr>
            <w:tcW w:w="1523" w:type="dxa"/>
            <w:gridSpan w:val="2"/>
          </w:tcPr>
          <w:p w:rsidR="00904D48" w:rsidRDefault="00904D48">
            <w:pPr>
              <w:jc w:val="left"/>
              <w:rPr>
                <w:i/>
                <w:szCs w:val="24"/>
                <w:lang w:val="de-DE"/>
              </w:rPr>
            </w:pP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22 [23]</w:t>
            </w:r>
          </w:p>
        </w:tc>
        <w:tc>
          <w:tcPr>
            <w:tcW w:w="7155" w:type="dxa"/>
          </w:tcPr>
          <w:p w:rsidR="00904D48" w:rsidRDefault="00904D48">
            <w:pPr>
              <w:jc w:val="left"/>
              <w:rPr>
                <w:szCs w:val="24"/>
                <w:lang w:val="de-CH"/>
              </w:rPr>
            </w:pPr>
            <w:r>
              <w:rPr>
                <w:i/>
                <w:szCs w:val="24"/>
                <w:lang w:val="de-CH"/>
              </w:rPr>
              <w:t>zu prüfen, den Begriff ‚künstliche Mutante‘ in Zusammenhang mit den „Techniken des Editierens von Genomen“ zu erläutern</w:t>
            </w:r>
          </w:p>
        </w:tc>
        <w:tc>
          <w:tcPr>
            <w:tcW w:w="1523" w:type="dxa"/>
            <w:gridSpan w:val="2"/>
          </w:tcPr>
          <w:p w:rsidR="00904D48" w:rsidRDefault="00904D48">
            <w:pPr>
              <w:jc w:val="left"/>
              <w:rPr>
                <w:szCs w:val="24"/>
              </w:rPr>
            </w:pPr>
            <w:r>
              <w:rPr>
                <w:i/>
                <w:szCs w:val="24"/>
                <w:lang w:val="de-CH"/>
              </w:rPr>
              <w:t>SE</w:t>
            </w: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23 [24]</w:t>
            </w:r>
          </w:p>
        </w:tc>
        <w:tc>
          <w:tcPr>
            <w:tcW w:w="7155" w:type="dxa"/>
          </w:tcPr>
          <w:p w:rsidR="00904D48" w:rsidRDefault="00283184">
            <w:pPr>
              <w:jc w:val="left"/>
              <w:rPr>
                <w:szCs w:val="24"/>
                <w:lang w:val="de-CH"/>
              </w:rPr>
            </w:pPr>
            <w:r>
              <w:rPr>
                <w:i/>
                <w:szCs w:val="24"/>
                <w:lang w:val="de-CH"/>
              </w:rPr>
              <w:t>die Notwendigkeit zu prüfen, den Wortlaut von Artikel 14, Absatz 5 Buchstabe c) in Absatz 12 beizubehalten, da dieser bereits in Abschnitt I Buchstabe a) enthalten ist</w:t>
            </w:r>
          </w:p>
        </w:tc>
        <w:tc>
          <w:tcPr>
            <w:tcW w:w="1523" w:type="dxa"/>
            <w:gridSpan w:val="2"/>
          </w:tcPr>
          <w:p w:rsidR="00904D48" w:rsidRDefault="00904D48">
            <w:pPr>
              <w:jc w:val="left"/>
              <w:rPr>
                <w:szCs w:val="24"/>
              </w:rPr>
            </w:pPr>
            <w:r>
              <w:rPr>
                <w:i/>
                <w:szCs w:val="24"/>
                <w:lang w:val="de-CH"/>
              </w:rPr>
              <w:t>RU</w:t>
            </w: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24 [25]</w:t>
            </w:r>
          </w:p>
        </w:tc>
        <w:tc>
          <w:tcPr>
            <w:tcW w:w="7155" w:type="dxa"/>
          </w:tcPr>
          <w:p w:rsidR="00904D48" w:rsidRDefault="002375F3">
            <w:pPr>
              <w:jc w:val="left"/>
              <w:rPr>
                <w:szCs w:val="24"/>
                <w:lang w:val="de-CH"/>
              </w:rPr>
            </w:pPr>
            <w:r>
              <w:rPr>
                <w:i/>
                <w:szCs w:val="24"/>
                <w:lang w:val="de-CH"/>
              </w:rPr>
              <w:t>z</w:t>
            </w:r>
            <w:r w:rsidR="00904D48">
              <w:rPr>
                <w:i/>
                <w:szCs w:val="24"/>
                <w:lang w:val="de-CH"/>
              </w:rPr>
              <w:t>u prüfen, ob der erste Satz in Absatz 13 beibehalten werden sollte und ob der zweite Satz überarbeitet werden muss, um zu erläutern, da</w:t>
            </w:r>
            <w:r>
              <w:rPr>
                <w:i/>
                <w:szCs w:val="24"/>
                <w:lang w:val="de-CH"/>
              </w:rPr>
              <w:t>ss</w:t>
            </w:r>
            <w:r w:rsidR="00904D48">
              <w:rPr>
                <w:i/>
                <w:szCs w:val="24"/>
                <w:lang w:val="de-CH"/>
              </w:rPr>
              <w:t xml:space="preserve"> „zum Beispiel“ in Artikel 14 Absatz 5 Buchstabe c) bedeutet, da</w:t>
            </w:r>
            <w:r>
              <w:rPr>
                <w:i/>
                <w:szCs w:val="24"/>
                <w:lang w:val="de-CH"/>
              </w:rPr>
              <w:t>ss</w:t>
            </w:r>
            <w:r w:rsidR="00904D48">
              <w:rPr>
                <w:i/>
                <w:szCs w:val="24"/>
                <w:lang w:val="de-CH"/>
              </w:rPr>
              <w:t xml:space="preserve"> es sich um Beispiele handelt, die nicht die Möglichkeit ausschließen, da</w:t>
            </w:r>
            <w:r>
              <w:rPr>
                <w:i/>
                <w:szCs w:val="24"/>
                <w:lang w:val="de-CH"/>
              </w:rPr>
              <w:t>ss</w:t>
            </w:r>
            <w:r w:rsidR="00904D48">
              <w:rPr>
                <w:i/>
                <w:szCs w:val="24"/>
                <w:lang w:val="de-CH"/>
              </w:rPr>
              <w:t xml:space="preserve"> eine im wesentlichen abgeleitete Sorte auf andere Weise gewonnen werden kann.</w:t>
            </w:r>
          </w:p>
        </w:tc>
        <w:tc>
          <w:tcPr>
            <w:tcW w:w="1523" w:type="dxa"/>
            <w:gridSpan w:val="2"/>
          </w:tcPr>
          <w:p w:rsidR="00904D48" w:rsidRDefault="00904D48">
            <w:pPr>
              <w:jc w:val="left"/>
              <w:rPr>
                <w:szCs w:val="24"/>
              </w:rPr>
            </w:pPr>
            <w:r>
              <w:rPr>
                <w:i/>
                <w:szCs w:val="24"/>
                <w:lang w:val="de-CH"/>
              </w:rPr>
              <w:t>RU</w:t>
            </w:r>
          </w:p>
        </w:tc>
      </w:tr>
      <w:tr w:rsidR="00904D48">
        <w:trPr>
          <w:cantSplit/>
        </w:trPr>
        <w:tc>
          <w:tcPr>
            <w:tcW w:w="1305" w:type="dxa"/>
          </w:tcPr>
          <w:p w:rsidR="00904D48" w:rsidRPr="00AB0E01" w:rsidRDefault="00904D48">
            <w:pPr>
              <w:keepNext/>
              <w:rPr>
                <w:i/>
                <w:spacing w:val="-2"/>
                <w:szCs w:val="24"/>
                <w:lang w:val="de-DE"/>
              </w:rPr>
            </w:pPr>
          </w:p>
        </w:tc>
        <w:tc>
          <w:tcPr>
            <w:tcW w:w="7155" w:type="dxa"/>
          </w:tcPr>
          <w:p w:rsidR="00904D48" w:rsidRDefault="00904D48">
            <w:pPr>
              <w:keepNext/>
              <w:jc w:val="left"/>
              <w:rPr>
                <w:i/>
                <w:szCs w:val="24"/>
                <w:lang w:val="de-DE"/>
              </w:rPr>
            </w:pPr>
            <w:r>
              <w:rPr>
                <w:i/>
                <w:szCs w:val="24"/>
                <w:lang w:val="de-CH"/>
              </w:rPr>
              <w:t>Züchtungsverfahren</w:t>
            </w:r>
          </w:p>
          <w:p w:rsidR="00904D48" w:rsidRDefault="00904D48">
            <w:pPr>
              <w:keepNext/>
              <w:jc w:val="left"/>
              <w:rPr>
                <w:i/>
                <w:szCs w:val="24"/>
                <w:lang w:val="de-DE"/>
              </w:rPr>
            </w:pPr>
          </w:p>
        </w:tc>
        <w:tc>
          <w:tcPr>
            <w:tcW w:w="1523" w:type="dxa"/>
            <w:gridSpan w:val="2"/>
          </w:tcPr>
          <w:p w:rsidR="00904D48" w:rsidRDefault="00904D48">
            <w:pPr>
              <w:keepNext/>
              <w:jc w:val="left"/>
              <w:rPr>
                <w:i/>
                <w:szCs w:val="24"/>
                <w:lang w:val="de-DE"/>
              </w:rPr>
            </w:pP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25 [26]</w:t>
            </w:r>
          </w:p>
        </w:tc>
        <w:tc>
          <w:tcPr>
            <w:tcW w:w="7155" w:type="dxa"/>
          </w:tcPr>
          <w:p w:rsidR="00904D48" w:rsidRDefault="00904D48">
            <w:pPr>
              <w:spacing w:after="60"/>
              <w:ind w:right="567"/>
              <w:jc w:val="left"/>
              <w:rPr>
                <w:szCs w:val="24"/>
                <w:lang w:val="de-CH"/>
              </w:rPr>
            </w:pPr>
            <w:r>
              <w:rPr>
                <w:i/>
                <w:szCs w:val="24"/>
                <w:lang w:val="de-CH"/>
              </w:rPr>
              <w:t xml:space="preserve">die Notwendigkeit zu prüfen, den zweiten Satz von Absatz 15 zu überarbeiten „[...]. </w:t>
            </w:r>
            <w:r w:rsidR="002375F3" w:rsidRPr="002375F3">
              <w:rPr>
                <w:i/>
                <w:szCs w:val="24"/>
                <w:lang w:val="de-CH"/>
              </w:rPr>
              <w:t>Beispielsweise kann die genetische Veränderung zu einer Mutante führen, welche die Ausprägung der wesentlichen Merkmale, die sich aus dem Genotyp der Ursprungssorte ergeben, nicht mehr aufweist</w:t>
            </w:r>
            <w:r>
              <w:rPr>
                <w:i/>
                <w:szCs w:val="24"/>
                <w:lang w:val="de-CH"/>
              </w:rPr>
              <w:t>.“</w:t>
            </w:r>
            <w:r>
              <w:rPr>
                <w:i/>
                <w:szCs w:val="24"/>
                <w:lang w:val="de-DE"/>
              </w:rPr>
              <w:t xml:space="preserve"> </w:t>
            </w:r>
          </w:p>
        </w:tc>
        <w:tc>
          <w:tcPr>
            <w:tcW w:w="1523" w:type="dxa"/>
            <w:gridSpan w:val="2"/>
          </w:tcPr>
          <w:p w:rsidR="00904D48" w:rsidRDefault="00904D48">
            <w:pPr>
              <w:jc w:val="left"/>
              <w:rPr>
                <w:szCs w:val="24"/>
              </w:rPr>
            </w:pPr>
            <w:r>
              <w:rPr>
                <w:i/>
                <w:szCs w:val="24"/>
                <w:lang w:val="de-CH"/>
              </w:rPr>
              <w:t>DE</w:t>
            </w: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26 [27]</w:t>
            </w:r>
          </w:p>
        </w:tc>
        <w:tc>
          <w:tcPr>
            <w:tcW w:w="7155" w:type="dxa"/>
          </w:tcPr>
          <w:p w:rsidR="00904D48" w:rsidRDefault="00904D48">
            <w:pPr>
              <w:spacing w:after="60"/>
              <w:ind w:right="567"/>
              <w:jc w:val="left"/>
              <w:rPr>
                <w:szCs w:val="24"/>
                <w:lang w:val="de-CH"/>
              </w:rPr>
            </w:pPr>
            <w:r>
              <w:rPr>
                <w:i/>
                <w:szCs w:val="24"/>
                <w:lang w:val="de-CH"/>
              </w:rPr>
              <w:t xml:space="preserve">die folgende Überarbeitung </w:t>
            </w:r>
            <w:r w:rsidR="00A511D2">
              <w:rPr>
                <w:i/>
                <w:szCs w:val="24"/>
                <w:lang w:val="de-CH"/>
              </w:rPr>
              <w:t>von Absatz 1</w:t>
            </w:r>
            <w:r>
              <w:rPr>
                <w:i/>
                <w:szCs w:val="24"/>
                <w:lang w:val="de-CH"/>
              </w:rPr>
              <w:t>5 zu prüfen: „Die genetische Veränderung kann zwar zu einer Mutante führen, welche die Ausprägung der wesentlichen Merkmale, die sich aus dem Genotyp der Ursprungssorte ergeben, nicht mehr aufweist, doch bei Punktmutationen ist dies selten der Fall.“</w:t>
            </w:r>
          </w:p>
        </w:tc>
        <w:tc>
          <w:tcPr>
            <w:tcW w:w="1523" w:type="dxa"/>
            <w:gridSpan w:val="2"/>
          </w:tcPr>
          <w:p w:rsidR="00904D48" w:rsidRDefault="00904D48">
            <w:pPr>
              <w:jc w:val="left"/>
              <w:rPr>
                <w:szCs w:val="24"/>
              </w:rPr>
            </w:pPr>
            <w:r>
              <w:rPr>
                <w:i/>
                <w:szCs w:val="24"/>
                <w:lang w:val="de-CH"/>
              </w:rPr>
              <w:t>SE</w:t>
            </w: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27 [28]</w:t>
            </w:r>
          </w:p>
        </w:tc>
        <w:tc>
          <w:tcPr>
            <w:tcW w:w="7155" w:type="dxa"/>
          </w:tcPr>
          <w:p w:rsidR="00904D48" w:rsidRDefault="00904D48">
            <w:pPr>
              <w:jc w:val="left"/>
              <w:rPr>
                <w:szCs w:val="24"/>
                <w:lang w:val="de-CH"/>
              </w:rPr>
            </w:pPr>
            <w:r>
              <w:rPr>
                <w:i/>
                <w:szCs w:val="24"/>
                <w:lang w:val="de-CH"/>
              </w:rPr>
              <w:t>zu prüfen, ob das angewandte Züchtungsverfahren keine Auswirkungen auf das Konzept der im wesentlichen abgeleiteten Sorten haben sollte</w:t>
            </w:r>
            <w:r>
              <w:rPr>
                <w:i/>
                <w:szCs w:val="24"/>
                <w:lang w:val="de-DE"/>
              </w:rPr>
              <w:t xml:space="preserve"> </w:t>
            </w:r>
          </w:p>
        </w:tc>
        <w:tc>
          <w:tcPr>
            <w:tcW w:w="1523" w:type="dxa"/>
            <w:gridSpan w:val="2"/>
          </w:tcPr>
          <w:p w:rsidR="00904D48" w:rsidRDefault="00904D48">
            <w:pPr>
              <w:jc w:val="left"/>
              <w:rPr>
                <w:szCs w:val="24"/>
              </w:rPr>
            </w:pPr>
            <w:r>
              <w:rPr>
                <w:i/>
                <w:szCs w:val="24"/>
                <w:lang w:val="de-CH"/>
              </w:rPr>
              <w:t>ZA</w:t>
            </w: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28 [29]</w:t>
            </w:r>
          </w:p>
        </w:tc>
        <w:tc>
          <w:tcPr>
            <w:tcW w:w="7155" w:type="dxa"/>
          </w:tcPr>
          <w:p w:rsidR="00904D48" w:rsidRDefault="00904D48">
            <w:pPr>
              <w:jc w:val="left"/>
              <w:rPr>
                <w:szCs w:val="24"/>
                <w:lang w:val="de-CH"/>
              </w:rPr>
            </w:pPr>
            <w:r>
              <w:rPr>
                <w:i/>
                <w:szCs w:val="24"/>
                <w:lang w:val="de-CH"/>
              </w:rPr>
              <w:t>die Notwendigkeit zu prüfen, den Inhalt der Absätze 14 und 15 zu klären, um das Verfahren zur Bestimmung von im wesentlichen abgeleiteten Sorten zu erleichtern</w:t>
            </w:r>
          </w:p>
        </w:tc>
        <w:tc>
          <w:tcPr>
            <w:tcW w:w="1523" w:type="dxa"/>
            <w:gridSpan w:val="2"/>
          </w:tcPr>
          <w:p w:rsidR="00904D48" w:rsidRDefault="00904D48">
            <w:pPr>
              <w:jc w:val="left"/>
              <w:rPr>
                <w:szCs w:val="24"/>
              </w:rPr>
            </w:pPr>
            <w:r>
              <w:rPr>
                <w:i/>
                <w:szCs w:val="24"/>
                <w:lang w:val="de-CH"/>
              </w:rPr>
              <w:t>RU</w:t>
            </w: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29 [30]</w:t>
            </w:r>
          </w:p>
        </w:tc>
        <w:tc>
          <w:tcPr>
            <w:tcW w:w="7155" w:type="dxa"/>
          </w:tcPr>
          <w:p w:rsidR="00904D48" w:rsidRDefault="00A511D2">
            <w:pPr>
              <w:jc w:val="left"/>
              <w:rPr>
                <w:szCs w:val="24"/>
                <w:lang w:val="de-CH"/>
              </w:rPr>
            </w:pPr>
            <w:r w:rsidRPr="00A511D2">
              <w:rPr>
                <w:i/>
                <w:szCs w:val="24"/>
                <w:lang w:val="de-CH"/>
              </w:rPr>
              <w:t>die folgenden Vorschläge in Bezug auf Mutanten zu prüfen: a) in den meisten Fällen handelt es sich bei Mutanten um im wesentlichen abgeleitete Sorten; b) Mutanten sind immer überwiegend abgeleitet; c) die Mutante ist vollständig von der Ursprungssorte abgeleitet</w:t>
            </w:r>
            <w:r w:rsidR="00904D48">
              <w:rPr>
                <w:i/>
                <w:szCs w:val="24"/>
                <w:lang w:val="de-CH"/>
              </w:rPr>
              <w:t>.</w:t>
            </w:r>
          </w:p>
        </w:tc>
        <w:tc>
          <w:tcPr>
            <w:tcW w:w="1523" w:type="dxa"/>
            <w:gridSpan w:val="2"/>
          </w:tcPr>
          <w:p w:rsidR="00904D48" w:rsidRDefault="00904D48">
            <w:pPr>
              <w:jc w:val="left"/>
              <w:rPr>
                <w:szCs w:val="24"/>
              </w:rPr>
            </w:pPr>
            <w:r>
              <w:rPr>
                <w:i/>
                <w:szCs w:val="24"/>
                <w:lang w:val="de-CH"/>
              </w:rPr>
              <w:t>EU</w:t>
            </w:r>
          </w:p>
        </w:tc>
      </w:tr>
      <w:tr w:rsidR="00904D48">
        <w:trPr>
          <w:cantSplit/>
        </w:trPr>
        <w:tc>
          <w:tcPr>
            <w:tcW w:w="1305" w:type="dxa"/>
          </w:tcPr>
          <w:p w:rsidR="00904D48" w:rsidRPr="00AB0E01" w:rsidRDefault="00904D48">
            <w:pPr>
              <w:rPr>
                <w:spacing w:val="-2"/>
                <w:szCs w:val="24"/>
              </w:rPr>
            </w:pPr>
            <w:r w:rsidRPr="00AB0E01">
              <w:rPr>
                <w:i/>
                <w:spacing w:val="-2"/>
                <w:szCs w:val="24"/>
                <w:lang w:val="de-CH"/>
              </w:rPr>
              <w:lastRenderedPageBreak/>
              <w:t>Punkt 30 [31]</w:t>
            </w:r>
          </w:p>
        </w:tc>
        <w:tc>
          <w:tcPr>
            <w:tcW w:w="7155" w:type="dxa"/>
          </w:tcPr>
          <w:p w:rsidR="00904D48" w:rsidRDefault="00A511D2">
            <w:pPr>
              <w:jc w:val="left"/>
              <w:rPr>
                <w:szCs w:val="24"/>
                <w:lang w:val="de-CH"/>
              </w:rPr>
            </w:pPr>
            <w:r w:rsidRPr="00BE7986">
              <w:rPr>
                <w:i/>
                <w:szCs w:val="24"/>
                <w:lang w:val="de-CH"/>
              </w:rPr>
              <w:t>zu prüfen, ob zu einem gemeinsamen Verständnis der Mutagenese und der verschiedenen Arten von Mutagenesetechniken gelangt werden kann (z. B. spontane oder induzierte Mutagenese, die eine einzelne oder mehrere Mutationen hervorruft)</w:t>
            </w:r>
          </w:p>
        </w:tc>
        <w:tc>
          <w:tcPr>
            <w:tcW w:w="1523" w:type="dxa"/>
            <w:gridSpan w:val="2"/>
          </w:tcPr>
          <w:p w:rsidR="00904D48" w:rsidRDefault="00904D48">
            <w:pPr>
              <w:jc w:val="left"/>
              <w:rPr>
                <w:szCs w:val="24"/>
              </w:rPr>
            </w:pPr>
            <w:r>
              <w:rPr>
                <w:i/>
                <w:szCs w:val="24"/>
                <w:lang w:val="de-CH"/>
              </w:rPr>
              <w:t>EU</w:t>
            </w: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31 [32]</w:t>
            </w:r>
          </w:p>
        </w:tc>
        <w:tc>
          <w:tcPr>
            <w:tcW w:w="7155" w:type="dxa"/>
          </w:tcPr>
          <w:p w:rsidR="00904D48" w:rsidRPr="00904D48" w:rsidRDefault="00A511D2">
            <w:pPr>
              <w:jc w:val="left"/>
              <w:rPr>
                <w:szCs w:val="24"/>
                <w:lang w:val="de-CH"/>
              </w:rPr>
            </w:pPr>
            <w:r w:rsidRPr="00BE7986">
              <w:rPr>
                <w:i/>
                <w:szCs w:val="24"/>
                <w:lang w:val="de-CH"/>
              </w:rPr>
              <w:t>in Bezug auf die Rückkreuzung zu prüfen, ob Schwellenwerte definiert werden können, um eine vorwiegende Ableitung festzustellen und die Beweislast umzukehren, was bei Mutanten möglicherweise nicht der Fall ist „Der Unterschied zwischen Rückkreuzung und Mutation besteht darin, dass es im Falle der Rückkreuzung zwei Elternsorten gibt, die jeweils ihr Genom liefern. Um eine Einschränkung der Züchterausnahme zu vermeiden, ist es daher besonders wichtig, eine Grenze bezüglich der Vereinbarkeit zu ziehen. Dies kann durch die Verwendung der Terminologie „wiederholte Rückkreuzung“ geschehen. Es sollte auch festgehalten werden, dass in Bezug auf wiederholte Rückkreuzungen die Beschränkung auf „einen oder sehr wenige Unterschiede“ ein wichtiger Grundsatz für die Beurteilung der Vereinbarkeit bleiben würde</w:t>
            </w:r>
            <w:r>
              <w:rPr>
                <w:i/>
                <w:szCs w:val="24"/>
                <w:lang w:val="de-CH"/>
              </w:rPr>
              <w:t>.</w:t>
            </w:r>
            <w:r w:rsidRPr="00BE7986">
              <w:rPr>
                <w:i/>
                <w:szCs w:val="24"/>
                <w:lang w:val="de-CH"/>
              </w:rPr>
              <w:t>“ (vergleiche auch Punkt 17)</w:t>
            </w:r>
            <w:r w:rsidRPr="00BE7986">
              <w:rPr>
                <w:i/>
                <w:szCs w:val="24"/>
                <w:lang w:val="de-DE"/>
              </w:rPr>
              <w:t xml:space="preserve"> </w:t>
            </w:r>
          </w:p>
        </w:tc>
        <w:tc>
          <w:tcPr>
            <w:tcW w:w="1523" w:type="dxa"/>
            <w:gridSpan w:val="2"/>
          </w:tcPr>
          <w:p w:rsidR="00904D48" w:rsidRDefault="00904D48">
            <w:pPr>
              <w:jc w:val="left"/>
              <w:rPr>
                <w:szCs w:val="24"/>
              </w:rPr>
            </w:pPr>
            <w:r>
              <w:rPr>
                <w:i/>
                <w:szCs w:val="24"/>
                <w:lang w:val="de-CH"/>
              </w:rPr>
              <w:t>EU</w:t>
            </w: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32 [33]</w:t>
            </w:r>
          </w:p>
        </w:tc>
        <w:tc>
          <w:tcPr>
            <w:tcW w:w="7155" w:type="dxa"/>
          </w:tcPr>
          <w:p w:rsidR="00A511D2" w:rsidRDefault="00A511D2" w:rsidP="004A7CD0">
            <w:pPr>
              <w:jc w:val="left"/>
              <w:rPr>
                <w:szCs w:val="24"/>
                <w:lang w:val="de-CH"/>
              </w:rPr>
            </w:pPr>
            <w:r>
              <w:rPr>
                <w:i/>
                <w:szCs w:val="24"/>
                <w:lang w:val="de-CH"/>
              </w:rPr>
              <w:t>zu prüfen, ob die Anwendung neuer Züchtungsverfahren (z. B. gezielte Mutagenese) in allen Fällen zu der Schlussfolgerung führen sollte, dass die Sorte überwiegend von der Ursprungssorte abgeleitet ist.</w:t>
            </w:r>
          </w:p>
          <w:p w:rsidR="00A511D2" w:rsidRDefault="00A511D2" w:rsidP="004A7CD0">
            <w:pPr>
              <w:jc w:val="left"/>
              <w:rPr>
                <w:i/>
                <w:szCs w:val="24"/>
                <w:lang w:val="de-CH"/>
              </w:rPr>
            </w:pPr>
          </w:p>
        </w:tc>
        <w:tc>
          <w:tcPr>
            <w:tcW w:w="1523" w:type="dxa"/>
            <w:gridSpan w:val="2"/>
          </w:tcPr>
          <w:p w:rsidR="00A511D2" w:rsidRDefault="00A511D2">
            <w:pPr>
              <w:jc w:val="left"/>
              <w:rPr>
                <w:szCs w:val="24"/>
              </w:rPr>
            </w:pPr>
            <w:r>
              <w:rPr>
                <w:i/>
                <w:szCs w:val="24"/>
                <w:lang w:val="de-CH"/>
              </w:rPr>
              <w:t>EU</w:t>
            </w: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33 [34]</w:t>
            </w:r>
          </w:p>
        </w:tc>
        <w:tc>
          <w:tcPr>
            <w:tcW w:w="7155" w:type="dxa"/>
          </w:tcPr>
          <w:p w:rsidR="00A511D2" w:rsidRDefault="00A511D2" w:rsidP="004A7CD0">
            <w:pPr>
              <w:jc w:val="left"/>
              <w:rPr>
                <w:szCs w:val="24"/>
                <w:lang w:val="de-CH"/>
              </w:rPr>
            </w:pPr>
            <w:r>
              <w:rPr>
                <w:i/>
                <w:szCs w:val="24"/>
                <w:lang w:val="de-CH"/>
              </w:rPr>
              <w:t>zu prüfen, ob eine ausführlichere Erläuterung der Begriffe „somaklonale Abweicher“ und „Auslese eines Abweichers in einem Pflanzenbestand“ vorgelegt werden kann, da diese Begriffe nur den Ursprung einer natürlichen oder künstlichen Mutante</w:t>
            </w:r>
            <w:r>
              <w:rPr>
                <w:szCs w:val="24"/>
                <w:lang w:val="de-CH"/>
              </w:rPr>
              <w:t xml:space="preserve"> </w:t>
            </w:r>
            <w:r>
              <w:rPr>
                <w:i/>
                <w:szCs w:val="24"/>
                <w:lang w:val="de-CH"/>
              </w:rPr>
              <w:t>angeben</w:t>
            </w:r>
          </w:p>
        </w:tc>
        <w:tc>
          <w:tcPr>
            <w:tcW w:w="1523" w:type="dxa"/>
            <w:gridSpan w:val="2"/>
          </w:tcPr>
          <w:p w:rsidR="00A511D2" w:rsidRDefault="00A511D2">
            <w:pPr>
              <w:jc w:val="left"/>
              <w:rPr>
                <w:szCs w:val="24"/>
              </w:rPr>
            </w:pPr>
            <w:r>
              <w:rPr>
                <w:i/>
                <w:szCs w:val="24"/>
                <w:lang w:val="de-CH"/>
              </w:rPr>
              <w:t>DE</w:t>
            </w:r>
          </w:p>
        </w:tc>
      </w:tr>
      <w:tr w:rsidR="00904D48">
        <w:trPr>
          <w:cantSplit/>
        </w:trPr>
        <w:tc>
          <w:tcPr>
            <w:tcW w:w="1305" w:type="dxa"/>
          </w:tcPr>
          <w:p w:rsidR="00904D48" w:rsidRPr="00AB0E01" w:rsidRDefault="00904D48">
            <w:pPr>
              <w:rPr>
                <w:i/>
                <w:spacing w:val="-2"/>
                <w:szCs w:val="24"/>
                <w:lang w:val="de-DE"/>
              </w:rPr>
            </w:pPr>
          </w:p>
        </w:tc>
        <w:tc>
          <w:tcPr>
            <w:tcW w:w="7155" w:type="dxa"/>
          </w:tcPr>
          <w:p w:rsidR="00904D48" w:rsidRDefault="00904D48">
            <w:pPr>
              <w:jc w:val="left"/>
              <w:rPr>
                <w:i/>
                <w:szCs w:val="24"/>
                <w:lang w:val="de-DE"/>
              </w:rPr>
            </w:pPr>
            <w:r>
              <w:rPr>
                <w:i/>
                <w:szCs w:val="24"/>
                <w:lang w:val="de-CH"/>
              </w:rPr>
              <w:t>Direkte und indirekte Ableitung</w:t>
            </w:r>
          </w:p>
          <w:p w:rsidR="00904D48" w:rsidRDefault="00904D48">
            <w:pPr>
              <w:jc w:val="left"/>
              <w:rPr>
                <w:i/>
                <w:szCs w:val="24"/>
                <w:lang w:val="de-DE"/>
              </w:rPr>
            </w:pPr>
          </w:p>
        </w:tc>
        <w:tc>
          <w:tcPr>
            <w:tcW w:w="1523" w:type="dxa"/>
            <w:gridSpan w:val="2"/>
          </w:tcPr>
          <w:p w:rsidR="00904D48" w:rsidRDefault="00904D48">
            <w:pPr>
              <w:jc w:val="left"/>
              <w:rPr>
                <w:i/>
                <w:szCs w:val="24"/>
                <w:lang w:val="de-DE"/>
              </w:rPr>
            </w:pP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34 [35]</w:t>
            </w:r>
          </w:p>
        </w:tc>
        <w:tc>
          <w:tcPr>
            <w:tcW w:w="7155" w:type="dxa"/>
          </w:tcPr>
          <w:p w:rsidR="00A511D2" w:rsidRDefault="00A511D2" w:rsidP="004A7CD0">
            <w:pPr>
              <w:jc w:val="left"/>
              <w:rPr>
                <w:szCs w:val="24"/>
                <w:lang w:val="de-CH"/>
              </w:rPr>
            </w:pPr>
            <w:r>
              <w:rPr>
                <w:i/>
                <w:szCs w:val="24"/>
                <w:lang w:val="de-CH"/>
              </w:rPr>
              <w:t>Abbildung 2 zu verbessern, um klarzustellen, dass ‚Z‘ deutlich von ‚A‘ unterscheidbar ist, aber auch deutlich von ‚B‘ bis ‚Y‘ unterscheidbar ist.</w:t>
            </w:r>
          </w:p>
        </w:tc>
        <w:tc>
          <w:tcPr>
            <w:tcW w:w="1523" w:type="dxa"/>
            <w:gridSpan w:val="2"/>
          </w:tcPr>
          <w:p w:rsidR="00A511D2" w:rsidRDefault="00A511D2">
            <w:pPr>
              <w:jc w:val="left"/>
              <w:rPr>
                <w:szCs w:val="24"/>
              </w:rPr>
            </w:pPr>
            <w:r>
              <w:rPr>
                <w:i/>
                <w:szCs w:val="24"/>
                <w:lang w:val="de-CH"/>
              </w:rPr>
              <w:t>DE</w:t>
            </w: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35 [36]</w:t>
            </w:r>
          </w:p>
        </w:tc>
        <w:tc>
          <w:tcPr>
            <w:tcW w:w="7155" w:type="dxa"/>
          </w:tcPr>
          <w:p w:rsidR="00A511D2" w:rsidRDefault="00A511D2" w:rsidP="004A7CD0">
            <w:pPr>
              <w:jc w:val="left"/>
              <w:rPr>
                <w:szCs w:val="24"/>
                <w:lang w:val="de-CH"/>
              </w:rPr>
            </w:pPr>
            <w:r>
              <w:rPr>
                <w:i/>
                <w:szCs w:val="24"/>
                <w:lang w:val="de-CH"/>
              </w:rPr>
              <w:t>die folgende Bemerkung zu prüfen: „Obwohl das Schema in Abbildung 2 theoretisch und rechtlich korrekt ist, kann daraus geschlossen werden, dass die spätere Ableitung die Wahrscheinlichkeit verringert, dass im wesentlichen abgeleitete Sorten, die ‚weiter entfernt‘ von der Ursprungssorte A sind, die Ausprägung wesentlicher Merkmale von ‚A‘ beibehalten und/oder in wesentlichen Merkmalen mit ‚A‘ übereinstimmen.“</w:t>
            </w:r>
          </w:p>
        </w:tc>
        <w:tc>
          <w:tcPr>
            <w:tcW w:w="1523" w:type="dxa"/>
            <w:gridSpan w:val="2"/>
          </w:tcPr>
          <w:p w:rsidR="00A511D2" w:rsidRDefault="00A511D2">
            <w:pPr>
              <w:jc w:val="left"/>
              <w:rPr>
                <w:szCs w:val="24"/>
              </w:rPr>
            </w:pPr>
            <w:r>
              <w:rPr>
                <w:i/>
                <w:szCs w:val="24"/>
                <w:lang w:val="de-CH"/>
              </w:rPr>
              <w:t>SE</w:t>
            </w:r>
          </w:p>
        </w:tc>
      </w:tr>
      <w:tr w:rsidR="00904D48">
        <w:trPr>
          <w:cantSplit/>
        </w:trPr>
        <w:tc>
          <w:tcPr>
            <w:tcW w:w="1305" w:type="dxa"/>
          </w:tcPr>
          <w:p w:rsidR="00904D48" w:rsidRPr="00AB0E01" w:rsidRDefault="00904D48">
            <w:pPr>
              <w:rPr>
                <w:spacing w:val="-2"/>
                <w:szCs w:val="24"/>
              </w:rPr>
            </w:pPr>
            <w:r w:rsidRPr="00AB0E01">
              <w:rPr>
                <w:i/>
                <w:spacing w:val="-2"/>
                <w:szCs w:val="24"/>
                <w:lang w:val="de-CH"/>
              </w:rPr>
              <w:t>Punkt 36 [37]</w:t>
            </w:r>
          </w:p>
        </w:tc>
        <w:tc>
          <w:tcPr>
            <w:tcW w:w="7155" w:type="dxa"/>
          </w:tcPr>
          <w:p w:rsidR="00904D48" w:rsidRDefault="00A511D2">
            <w:pPr>
              <w:jc w:val="left"/>
              <w:rPr>
                <w:szCs w:val="24"/>
                <w:lang w:val="de-CH"/>
              </w:rPr>
            </w:pPr>
            <w:r>
              <w:rPr>
                <w:i/>
                <w:szCs w:val="24"/>
                <w:lang w:val="de-CH"/>
              </w:rPr>
              <w:t>die Absätze 17, 18 und 19 zu überprüfen, um Wiederholungen zu vermeiden</w:t>
            </w:r>
          </w:p>
        </w:tc>
        <w:tc>
          <w:tcPr>
            <w:tcW w:w="1523" w:type="dxa"/>
            <w:gridSpan w:val="2"/>
          </w:tcPr>
          <w:p w:rsidR="00904D48" w:rsidRDefault="00904D48">
            <w:pPr>
              <w:jc w:val="left"/>
              <w:rPr>
                <w:szCs w:val="24"/>
              </w:rPr>
            </w:pPr>
            <w:r>
              <w:rPr>
                <w:i/>
                <w:szCs w:val="24"/>
                <w:lang w:val="de-CH"/>
              </w:rPr>
              <w:t>RU</w:t>
            </w:r>
          </w:p>
        </w:tc>
      </w:tr>
      <w:tr w:rsidR="00904D48" w:rsidRPr="00E957E1">
        <w:trPr>
          <w:cantSplit/>
        </w:trPr>
        <w:tc>
          <w:tcPr>
            <w:tcW w:w="1305" w:type="dxa"/>
          </w:tcPr>
          <w:p w:rsidR="00904D48" w:rsidRPr="00AB0E01" w:rsidRDefault="00904D48">
            <w:pPr>
              <w:keepNext/>
              <w:rPr>
                <w:i/>
                <w:spacing w:val="-2"/>
                <w:szCs w:val="24"/>
                <w:lang w:val="de-DE"/>
              </w:rPr>
            </w:pPr>
          </w:p>
        </w:tc>
        <w:tc>
          <w:tcPr>
            <w:tcW w:w="7155" w:type="dxa"/>
          </w:tcPr>
          <w:p w:rsidR="00904D48" w:rsidRDefault="00904D48">
            <w:pPr>
              <w:keepNext/>
              <w:jc w:val="left"/>
              <w:rPr>
                <w:szCs w:val="24"/>
                <w:lang w:val="de-DE"/>
              </w:rPr>
            </w:pPr>
            <w:r>
              <w:rPr>
                <w:szCs w:val="24"/>
                <w:lang w:val="de-CH"/>
              </w:rPr>
              <w:t>c)</w:t>
            </w:r>
            <w:r>
              <w:rPr>
                <w:szCs w:val="24"/>
                <w:lang w:val="de-DE"/>
              </w:rPr>
              <w:tab/>
            </w:r>
            <w:r>
              <w:rPr>
                <w:szCs w:val="24"/>
                <w:lang w:val="de-CH"/>
              </w:rPr>
              <w:t>Inhalt des Züchterrechts in bezug auf Ursprungssorten und im wesentlichen abgeleitete Sorten</w:t>
            </w:r>
          </w:p>
          <w:p w:rsidR="00904D48" w:rsidRDefault="00904D48">
            <w:pPr>
              <w:keepNext/>
              <w:jc w:val="left"/>
              <w:rPr>
                <w:i/>
                <w:szCs w:val="24"/>
                <w:lang w:val="de-DE"/>
              </w:rPr>
            </w:pPr>
          </w:p>
        </w:tc>
        <w:tc>
          <w:tcPr>
            <w:tcW w:w="1523" w:type="dxa"/>
            <w:gridSpan w:val="2"/>
          </w:tcPr>
          <w:p w:rsidR="00904D48" w:rsidRDefault="00904D48">
            <w:pPr>
              <w:keepNext/>
              <w:jc w:val="left"/>
              <w:rPr>
                <w:i/>
                <w:szCs w:val="24"/>
                <w:lang w:val="de-DE"/>
              </w:rPr>
            </w:pP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37 [38]</w:t>
            </w:r>
          </w:p>
        </w:tc>
        <w:tc>
          <w:tcPr>
            <w:tcW w:w="7155" w:type="dxa"/>
          </w:tcPr>
          <w:p w:rsidR="00A511D2" w:rsidRDefault="00A511D2" w:rsidP="004A7CD0">
            <w:pPr>
              <w:jc w:val="left"/>
              <w:rPr>
                <w:szCs w:val="24"/>
                <w:lang w:val="de-DE"/>
              </w:rPr>
            </w:pPr>
            <w:r>
              <w:rPr>
                <w:i/>
                <w:szCs w:val="24"/>
                <w:lang w:val="de-CH"/>
              </w:rPr>
              <w:t>zu prüfen, ob dem Züchter der geschützten Ursprungssorte gleichzeitig mit dem Züchter der im wesentlichen abgeleiteten Sorten ein Züchterrecht erteilt werden sollte, ohne dass eine zusätzliche Prüfung durch die Behörde erforderlich ist, und dass die Erteilung des Züchterrechts für die im wesentlichen abgeleiteten Sorten nicht von zusätzlichen Bedingungen abhängt, ausgenommen von der Bezeichnung einer Sortenbezeichnung für die im wesentlichen abgeleiteten Sorten und der Erfüllung der Formalitäten und der Zahlung der anfallenden Gebühren.</w:t>
            </w:r>
            <w:r>
              <w:rPr>
                <w:i/>
                <w:szCs w:val="24"/>
                <w:lang w:val="de-DE"/>
              </w:rPr>
              <w:t xml:space="preserve"> </w:t>
            </w:r>
          </w:p>
          <w:p w:rsidR="00A511D2" w:rsidRDefault="00A511D2" w:rsidP="004A7CD0">
            <w:pPr>
              <w:jc w:val="left"/>
              <w:rPr>
                <w:i/>
                <w:szCs w:val="24"/>
                <w:lang w:val="de-DE"/>
              </w:rPr>
            </w:pPr>
          </w:p>
        </w:tc>
        <w:tc>
          <w:tcPr>
            <w:tcW w:w="1523" w:type="dxa"/>
            <w:gridSpan w:val="2"/>
          </w:tcPr>
          <w:p w:rsidR="00A511D2" w:rsidRDefault="00A511D2">
            <w:pPr>
              <w:jc w:val="left"/>
              <w:rPr>
                <w:szCs w:val="24"/>
              </w:rPr>
            </w:pPr>
            <w:r>
              <w:rPr>
                <w:i/>
                <w:szCs w:val="24"/>
                <w:lang w:val="de-CH"/>
              </w:rPr>
              <w:t>RU</w:t>
            </w: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38 [39]</w:t>
            </w:r>
          </w:p>
        </w:tc>
        <w:tc>
          <w:tcPr>
            <w:tcW w:w="7155" w:type="dxa"/>
          </w:tcPr>
          <w:p w:rsidR="00A511D2" w:rsidRDefault="00A511D2" w:rsidP="004A7CD0">
            <w:pPr>
              <w:jc w:val="left"/>
              <w:rPr>
                <w:szCs w:val="24"/>
                <w:lang w:val="de-CH"/>
              </w:rPr>
            </w:pPr>
            <w:r>
              <w:rPr>
                <w:i/>
                <w:szCs w:val="24"/>
                <w:lang w:val="de-CH"/>
              </w:rPr>
              <w:t>zu prüfen, ob Informationen über den Ursprung der Sorte im Antragsformblatt angegeben werden und nicht als Geschäftsgeheimnis gelten sollen</w:t>
            </w:r>
          </w:p>
        </w:tc>
        <w:tc>
          <w:tcPr>
            <w:tcW w:w="1523" w:type="dxa"/>
            <w:gridSpan w:val="2"/>
          </w:tcPr>
          <w:p w:rsidR="00A511D2" w:rsidRDefault="00A511D2">
            <w:pPr>
              <w:jc w:val="left"/>
              <w:rPr>
                <w:szCs w:val="24"/>
              </w:rPr>
            </w:pPr>
            <w:r>
              <w:rPr>
                <w:i/>
                <w:szCs w:val="24"/>
                <w:lang w:val="de-CH"/>
              </w:rPr>
              <w:t>RU</w:t>
            </w:r>
          </w:p>
        </w:tc>
      </w:tr>
      <w:tr w:rsidR="00904D48">
        <w:trPr>
          <w:cantSplit/>
        </w:trPr>
        <w:tc>
          <w:tcPr>
            <w:tcW w:w="1305" w:type="dxa"/>
          </w:tcPr>
          <w:p w:rsidR="00904D48" w:rsidRPr="00AB0E01" w:rsidRDefault="00904D48">
            <w:pPr>
              <w:rPr>
                <w:spacing w:val="-2"/>
                <w:szCs w:val="24"/>
              </w:rPr>
            </w:pPr>
            <w:r w:rsidRPr="00AB0E01">
              <w:rPr>
                <w:i/>
                <w:spacing w:val="-2"/>
                <w:szCs w:val="24"/>
                <w:lang w:val="de-CH"/>
              </w:rPr>
              <w:lastRenderedPageBreak/>
              <w:t>Punkt 39 [40]</w:t>
            </w:r>
          </w:p>
        </w:tc>
        <w:tc>
          <w:tcPr>
            <w:tcW w:w="7155" w:type="dxa"/>
          </w:tcPr>
          <w:p w:rsidR="00A511D2" w:rsidRPr="00F03548" w:rsidRDefault="00A511D2" w:rsidP="00A511D2">
            <w:pPr>
              <w:pStyle w:val="ListParagraph"/>
              <w:numPr>
                <w:ilvl w:val="0"/>
                <w:numId w:val="29"/>
              </w:numPr>
              <w:jc w:val="left"/>
              <w:rPr>
                <w:spacing w:val="-2"/>
                <w:szCs w:val="24"/>
                <w:lang w:val="de-DE"/>
              </w:rPr>
            </w:pPr>
            <w:r w:rsidRPr="00F03548">
              <w:rPr>
                <w:i/>
                <w:spacing w:val="-2"/>
                <w:szCs w:val="24"/>
                <w:lang w:val="de-CH"/>
              </w:rPr>
              <w:t>zu prüfen, ob die Antragsformblätter geändert werden sollten, um offenzulegen, von welcher Sorte eine Sorte abgeleitet wurde, welches die Ableitung war, was die wesentlichen Merkmale der ursprünglich geschützten Sorte sind und was die wesentlichen Merkmale der abgeleiteten Sorte sind.</w:t>
            </w:r>
          </w:p>
          <w:p w:rsidR="00A511D2" w:rsidRPr="00F03548" w:rsidRDefault="00A511D2" w:rsidP="00A511D2">
            <w:pPr>
              <w:jc w:val="left"/>
              <w:rPr>
                <w:i/>
                <w:spacing w:val="-2"/>
                <w:szCs w:val="24"/>
                <w:lang w:val="de-DE"/>
              </w:rPr>
            </w:pPr>
          </w:p>
          <w:p w:rsidR="00A511D2" w:rsidRPr="00F03548" w:rsidRDefault="00A511D2" w:rsidP="00A511D2">
            <w:pPr>
              <w:pStyle w:val="ListParagraph"/>
              <w:numPr>
                <w:ilvl w:val="0"/>
                <w:numId w:val="29"/>
              </w:numPr>
              <w:jc w:val="left"/>
              <w:rPr>
                <w:i/>
                <w:spacing w:val="-2"/>
                <w:szCs w:val="24"/>
                <w:lang w:val="de-DE"/>
              </w:rPr>
            </w:pPr>
            <w:r w:rsidRPr="00F03548">
              <w:rPr>
                <w:i/>
                <w:spacing w:val="-2"/>
                <w:szCs w:val="24"/>
                <w:lang w:val="de-CH"/>
              </w:rPr>
              <w:t>zu prüfen, ob der obige Vorschlag für die Änderung des Antragsformblatts die Grundlage für den Züchter der geschützten Ursprungssorte bilden könnte, dem Antrag auf der Grundlage zu widersprechen, dass der Antragsteller es versäumt hat, zuzugeben oder zu vereinbaren, dass die Sorte eine im wesentlichen abgeleitete Sorte ist,</w:t>
            </w:r>
          </w:p>
          <w:p w:rsidR="00A511D2" w:rsidRPr="00F03548" w:rsidRDefault="00A511D2" w:rsidP="00A511D2">
            <w:pPr>
              <w:jc w:val="left"/>
              <w:rPr>
                <w:i/>
                <w:spacing w:val="-2"/>
                <w:szCs w:val="24"/>
                <w:lang w:val="de-DE"/>
              </w:rPr>
            </w:pPr>
          </w:p>
          <w:p w:rsidR="00904D48" w:rsidRDefault="00A511D2">
            <w:pPr>
              <w:numPr>
                <w:ilvl w:val="0"/>
                <w:numId w:val="21"/>
              </w:numPr>
              <w:contextualSpacing/>
              <w:jc w:val="left"/>
              <w:rPr>
                <w:szCs w:val="24"/>
                <w:lang w:val="de-CH"/>
              </w:rPr>
            </w:pPr>
            <w:r w:rsidRPr="00F03548">
              <w:rPr>
                <w:i/>
                <w:spacing w:val="-2"/>
                <w:szCs w:val="24"/>
                <w:lang w:val="de-CH"/>
              </w:rPr>
              <w:t>zu prüfen, ob das oben erwähnte Einspruchsverfahren die Grundlage dafür liefern könnte, dass die Kandidatensorte bis zur endgültigen gegenteiligen Entscheidung der Züchterrechtsbehörde als im wesentlichen abgeleitet angesehen wird.</w:t>
            </w:r>
          </w:p>
        </w:tc>
        <w:tc>
          <w:tcPr>
            <w:tcW w:w="1523" w:type="dxa"/>
            <w:gridSpan w:val="2"/>
          </w:tcPr>
          <w:p w:rsidR="00904D48" w:rsidRDefault="00904D48">
            <w:pPr>
              <w:jc w:val="left"/>
              <w:rPr>
                <w:szCs w:val="24"/>
              </w:rPr>
            </w:pPr>
            <w:r>
              <w:rPr>
                <w:i/>
                <w:szCs w:val="24"/>
                <w:lang w:val="de-CH"/>
              </w:rPr>
              <w:t>ZA</w:t>
            </w:r>
          </w:p>
        </w:tc>
      </w:tr>
      <w:tr w:rsidR="00904D48">
        <w:trPr>
          <w:cantSplit/>
        </w:trPr>
        <w:tc>
          <w:tcPr>
            <w:tcW w:w="1305" w:type="dxa"/>
          </w:tcPr>
          <w:p w:rsidR="00904D48" w:rsidRPr="00AB0E01" w:rsidRDefault="00904D48">
            <w:pPr>
              <w:rPr>
                <w:spacing w:val="-2"/>
                <w:szCs w:val="24"/>
              </w:rPr>
            </w:pPr>
            <w:r w:rsidRPr="00AB0E01">
              <w:rPr>
                <w:i/>
                <w:spacing w:val="-2"/>
                <w:szCs w:val="24"/>
                <w:highlight w:val="lightGray"/>
                <w:u w:val="single"/>
                <w:lang w:val="de-CH"/>
              </w:rPr>
              <w:t>Punkt 40</w:t>
            </w:r>
            <w:r w:rsidRPr="00AB0E01">
              <w:rPr>
                <w:i/>
                <w:spacing w:val="-2"/>
                <w:szCs w:val="24"/>
                <w:highlight w:val="lightGray"/>
                <w:u w:val="single"/>
                <w:lang w:val="de-DE"/>
              </w:rPr>
              <w:t xml:space="preserve"> </w:t>
            </w:r>
          </w:p>
        </w:tc>
        <w:tc>
          <w:tcPr>
            <w:tcW w:w="7155" w:type="dxa"/>
          </w:tcPr>
          <w:p w:rsidR="00904D48" w:rsidRDefault="00904D48">
            <w:pPr>
              <w:contextualSpacing/>
              <w:jc w:val="left"/>
              <w:rPr>
                <w:szCs w:val="24"/>
                <w:lang w:val="de-CH"/>
              </w:rPr>
            </w:pPr>
            <w:r>
              <w:rPr>
                <w:i/>
                <w:szCs w:val="24"/>
                <w:highlight w:val="lightGray"/>
                <w:u w:val="single"/>
                <w:lang w:val="de-CH"/>
              </w:rPr>
              <w:t>zu prüfen, da</w:t>
            </w:r>
            <w:r w:rsidR="00E17CC0">
              <w:rPr>
                <w:i/>
                <w:szCs w:val="24"/>
                <w:highlight w:val="lightGray"/>
                <w:u w:val="single"/>
                <w:lang w:val="de-CH"/>
              </w:rPr>
              <w:t>ss</w:t>
            </w:r>
            <w:r>
              <w:rPr>
                <w:i/>
                <w:szCs w:val="24"/>
                <w:highlight w:val="lightGray"/>
                <w:u w:val="single"/>
                <w:lang w:val="de-CH"/>
              </w:rPr>
              <w:t xml:space="preserve"> es nicht angebracht wäre, irgendeine Anforderung für eine Offenbarungsvoraussetzung über die Herkunft der Sorte zu erörtern, die in die Erläuterungen zu im wesentlichen abgeleiteten Sorten aufzunehmen wäre.</w:t>
            </w:r>
          </w:p>
        </w:tc>
        <w:tc>
          <w:tcPr>
            <w:tcW w:w="1523" w:type="dxa"/>
            <w:gridSpan w:val="2"/>
          </w:tcPr>
          <w:p w:rsidR="00904D48" w:rsidRDefault="00904D48">
            <w:pPr>
              <w:jc w:val="left"/>
              <w:rPr>
                <w:szCs w:val="24"/>
              </w:rPr>
            </w:pPr>
            <w:r>
              <w:rPr>
                <w:i/>
                <w:szCs w:val="24"/>
                <w:highlight w:val="lightGray"/>
                <w:u w:val="single"/>
                <w:lang w:val="de-CH"/>
              </w:rPr>
              <w:t>US</w:t>
            </w:r>
          </w:p>
        </w:tc>
      </w:tr>
      <w:tr w:rsidR="00904D48" w:rsidRPr="00F03548">
        <w:trPr>
          <w:cantSplit/>
        </w:trPr>
        <w:tc>
          <w:tcPr>
            <w:tcW w:w="1305" w:type="dxa"/>
          </w:tcPr>
          <w:p w:rsidR="00904D48" w:rsidRPr="00AB0E01" w:rsidRDefault="00904D48">
            <w:pPr>
              <w:rPr>
                <w:spacing w:val="-2"/>
                <w:szCs w:val="24"/>
              </w:rPr>
            </w:pPr>
            <w:r w:rsidRPr="00AB0E01">
              <w:rPr>
                <w:i/>
                <w:spacing w:val="-2"/>
                <w:szCs w:val="24"/>
                <w:highlight w:val="lightGray"/>
                <w:u w:val="single"/>
                <w:lang w:val="de-CH"/>
              </w:rPr>
              <w:t>Punkt 41</w:t>
            </w:r>
          </w:p>
        </w:tc>
        <w:tc>
          <w:tcPr>
            <w:tcW w:w="7155" w:type="dxa"/>
          </w:tcPr>
          <w:p w:rsidR="00904D48" w:rsidRDefault="00904D48" w:rsidP="00F03548">
            <w:pPr>
              <w:tabs>
                <w:tab w:val="left" w:pos="4313"/>
              </w:tabs>
              <w:contextualSpacing/>
              <w:jc w:val="left"/>
              <w:rPr>
                <w:szCs w:val="24"/>
                <w:highlight w:val="lightGray"/>
                <w:lang w:val="de-DE"/>
              </w:rPr>
            </w:pPr>
            <w:r>
              <w:rPr>
                <w:i/>
                <w:szCs w:val="24"/>
                <w:highlight w:val="lightGray"/>
                <w:u w:val="single"/>
                <w:lang w:val="de-CH"/>
              </w:rPr>
              <w:t>zu prüfen, da</w:t>
            </w:r>
            <w:r w:rsidR="00E17CC0">
              <w:rPr>
                <w:i/>
                <w:szCs w:val="24"/>
                <w:highlight w:val="lightGray"/>
                <w:u w:val="single"/>
                <w:lang w:val="de-CH"/>
              </w:rPr>
              <w:t>ss</w:t>
            </w:r>
            <w:r>
              <w:rPr>
                <w:i/>
                <w:szCs w:val="24"/>
                <w:highlight w:val="lightGray"/>
                <w:u w:val="single"/>
                <w:lang w:val="de-CH"/>
              </w:rPr>
              <w:t xml:space="preserve"> es nicht angebracht wäre, a) </w:t>
            </w:r>
            <w:r>
              <w:rPr>
                <w:i/>
                <w:szCs w:val="24"/>
                <w:highlight w:val="lightGray"/>
                <w:u w:val="single"/>
                <w:lang w:val="de-DE"/>
              </w:rPr>
              <w:tab/>
            </w:r>
            <w:r>
              <w:rPr>
                <w:i/>
                <w:szCs w:val="24"/>
                <w:highlight w:val="lightGray"/>
                <w:u w:val="single"/>
                <w:lang w:val="de-CH"/>
              </w:rPr>
              <w:t>Prüfungspraktiken bei nationalen oder regionalen Sortenschutzämtern anzuordnen</w:t>
            </w:r>
          </w:p>
          <w:p w:rsidR="00904D48" w:rsidRDefault="00904D48" w:rsidP="00F03548">
            <w:pPr>
              <w:tabs>
                <w:tab w:val="left" w:pos="911"/>
              </w:tabs>
              <w:contextualSpacing/>
              <w:jc w:val="left"/>
              <w:rPr>
                <w:szCs w:val="24"/>
                <w:lang w:val="de-CH"/>
              </w:rPr>
            </w:pPr>
            <w:r>
              <w:rPr>
                <w:i/>
                <w:szCs w:val="24"/>
                <w:highlight w:val="lightGray"/>
                <w:u w:val="single"/>
                <w:lang w:val="de-CH"/>
              </w:rPr>
              <w:t>und b)</w:t>
            </w:r>
            <w:r w:rsidR="00F03548">
              <w:rPr>
                <w:i/>
                <w:szCs w:val="24"/>
                <w:highlight w:val="lightGray"/>
                <w:u w:val="single"/>
                <w:lang w:val="de-DE"/>
              </w:rPr>
              <w:tab/>
            </w:r>
            <w:r>
              <w:rPr>
                <w:i/>
                <w:szCs w:val="24"/>
                <w:highlight w:val="lightGray"/>
                <w:u w:val="single"/>
                <w:lang w:val="de-CH"/>
              </w:rPr>
              <w:t>da</w:t>
            </w:r>
            <w:r w:rsidR="00E17CC0">
              <w:rPr>
                <w:i/>
                <w:szCs w:val="24"/>
                <w:highlight w:val="lightGray"/>
                <w:u w:val="single"/>
                <w:lang w:val="de-CH"/>
              </w:rPr>
              <w:t>ss</w:t>
            </w:r>
            <w:r>
              <w:rPr>
                <w:i/>
                <w:szCs w:val="24"/>
                <w:highlight w:val="lightGray"/>
                <w:u w:val="single"/>
                <w:lang w:val="de-CH"/>
              </w:rPr>
              <w:t xml:space="preserve"> die Arbeitsgruppe Antragsformulare oder Verfahren erstellt, die bestimmte Informationen erfordern</w:t>
            </w:r>
          </w:p>
        </w:tc>
        <w:tc>
          <w:tcPr>
            <w:tcW w:w="1523" w:type="dxa"/>
            <w:gridSpan w:val="2"/>
          </w:tcPr>
          <w:p w:rsidR="00904D48" w:rsidRPr="00F03548" w:rsidRDefault="00904D48">
            <w:pPr>
              <w:jc w:val="left"/>
              <w:rPr>
                <w:szCs w:val="24"/>
                <w:highlight w:val="lightGray"/>
                <w:lang w:val="de-DE"/>
              </w:rPr>
            </w:pPr>
            <w:r>
              <w:rPr>
                <w:i/>
                <w:szCs w:val="24"/>
                <w:highlight w:val="lightGray"/>
                <w:u w:val="single"/>
                <w:lang w:val="de-CH"/>
              </w:rPr>
              <w:t>US</w:t>
            </w:r>
          </w:p>
        </w:tc>
      </w:tr>
      <w:tr w:rsidR="00A511D2">
        <w:trPr>
          <w:cantSplit/>
        </w:trPr>
        <w:tc>
          <w:tcPr>
            <w:tcW w:w="1305" w:type="dxa"/>
          </w:tcPr>
          <w:p w:rsidR="00A511D2" w:rsidRPr="00F03548" w:rsidRDefault="00A511D2">
            <w:pPr>
              <w:rPr>
                <w:spacing w:val="-2"/>
                <w:szCs w:val="24"/>
                <w:lang w:val="de-DE"/>
              </w:rPr>
            </w:pPr>
            <w:r w:rsidRPr="00AB0E01">
              <w:rPr>
                <w:i/>
                <w:spacing w:val="-2"/>
                <w:szCs w:val="24"/>
                <w:lang w:val="de-CH"/>
              </w:rPr>
              <w:t>Punkt 42 [41]</w:t>
            </w:r>
          </w:p>
        </w:tc>
        <w:tc>
          <w:tcPr>
            <w:tcW w:w="7155" w:type="dxa"/>
          </w:tcPr>
          <w:p w:rsidR="00A511D2" w:rsidRPr="00F03548" w:rsidRDefault="00A511D2" w:rsidP="004A7CD0">
            <w:pPr>
              <w:jc w:val="left"/>
              <w:rPr>
                <w:spacing w:val="-2"/>
                <w:szCs w:val="24"/>
                <w:lang w:val="de-CH"/>
              </w:rPr>
            </w:pPr>
            <w:r w:rsidRPr="00F03548">
              <w:rPr>
                <w:i/>
                <w:spacing w:val="-2"/>
                <w:szCs w:val="24"/>
                <w:lang w:val="de-CH"/>
              </w:rPr>
              <w:t>zu prüfen, ob die UPOV und die UPOV-Mitglieder Vorschriften für die gesetzliche Eintragung des Rechts des Züchters der ursprünglich geschützten Sorte in Bezug auf die im wesentlichen abgeleiteten Sorten und Optionen für die Ausübung dieses Rechts entwickeln sollten (vergleiche Vorschlag in Punkt 28).</w:t>
            </w:r>
          </w:p>
        </w:tc>
        <w:tc>
          <w:tcPr>
            <w:tcW w:w="1523" w:type="dxa"/>
            <w:gridSpan w:val="2"/>
          </w:tcPr>
          <w:p w:rsidR="00A511D2" w:rsidRDefault="00A511D2">
            <w:pPr>
              <w:jc w:val="left"/>
              <w:rPr>
                <w:szCs w:val="24"/>
              </w:rPr>
            </w:pPr>
            <w:r>
              <w:rPr>
                <w:i/>
                <w:szCs w:val="24"/>
                <w:lang w:val="de-CH"/>
              </w:rPr>
              <w:t>RU</w:t>
            </w: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43 [42]</w:t>
            </w:r>
          </w:p>
        </w:tc>
        <w:tc>
          <w:tcPr>
            <w:tcW w:w="7155" w:type="dxa"/>
          </w:tcPr>
          <w:p w:rsidR="00A511D2" w:rsidRPr="00F03548" w:rsidRDefault="00A511D2" w:rsidP="004A7CD0">
            <w:pPr>
              <w:jc w:val="left"/>
              <w:rPr>
                <w:i/>
                <w:spacing w:val="-2"/>
                <w:szCs w:val="24"/>
                <w:lang w:val="de-CH"/>
              </w:rPr>
            </w:pPr>
            <w:r w:rsidRPr="00F03548">
              <w:rPr>
                <w:i/>
                <w:spacing w:val="-2"/>
                <w:szCs w:val="24"/>
                <w:lang w:val="de-CH"/>
              </w:rPr>
              <w:t>zu prüfen, ob nach Abbildung 4 hinzugefügt werden soll, dass der Züchter der geschützten abgeleiteten Sorte eine Genehmigung für den gewerbsmäßigen Vertrieb der im wesentlichen abgeleiteten Sorten in Form einer ausschließlichen Lizenz vom Züchter der geschützten Ursprungssorte erlangen kann</w:t>
            </w:r>
          </w:p>
        </w:tc>
        <w:tc>
          <w:tcPr>
            <w:tcW w:w="1523" w:type="dxa"/>
            <w:gridSpan w:val="2"/>
          </w:tcPr>
          <w:p w:rsidR="00A511D2" w:rsidRDefault="00A511D2">
            <w:pPr>
              <w:jc w:val="left"/>
              <w:rPr>
                <w:szCs w:val="24"/>
              </w:rPr>
            </w:pPr>
            <w:r>
              <w:rPr>
                <w:i/>
                <w:szCs w:val="24"/>
                <w:lang w:val="de-CH"/>
              </w:rPr>
              <w:t>RU</w:t>
            </w:r>
          </w:p>
        </w:tc>
      </w:tr>
      <w:tr w:rsidR="00904D48">
        <w:trPr>
          <w:cantSplit/>
        </w:trPr>
        <w:tc>
          <w:tcPr>
            <w:tcW w:w="1305" w:type="dxa"/>
          </w:tcPr>
          <w:p w:rsidR="00904D48" w:rsidRPr="00AB0E01" w:rsidRDefault="00904D48">
            <w:pPr>
              <w:rPr>
                <w:spacing w:val="-2"/>
                <w:szCs w:val="24"/>
              </w:rPr>
            </w:pPr>
            <w:r w:rsidRPr="00AB0E01">
              <w:rPr>
                <w:i/>
                <w:spacing w:val="-2"/>
                <w:szCs w:val="24"/>
                <w:highlight w:val="lightGray"/>
                <w:u w:val="single"/>
                <w:lang w:val="de-CH"/>
              </w:rPr>
              <w:t>Punkt 44</w:t>
            </w:r>
          </w:p>
        </w:tc>
        <w:tc>
          <w:tcPr>
            <w:tcW w:w="7155" w:type="dxa"/>
          </w:tcPr>
          <w:p w:rsidR="00904D48" w:rsidRDefault="00904D48">
            <w:pPr>
              <w:jc w:val="left"/>
              <w:rPr>
                <w:szCs w:val="24"/>
                <w:lang w:val="de-CH"/>
              </w:rPr>
            </w:pPr>
            <w:r>
              <w:rPr>
                <w:i/>
                <w:szCs w:val="24"/>
                <w:highlight w:val="lightGray"/>
                <w:u w:val="single"/>
                <w:lang w:val="de-CH"/>
              </w:rPr>
              <w:t>die Aufnahme einer Anleitung für die Sortenbezeichnung für eine ungeschützte im wesentlichen abgeleitete Sorte zu prüfen, wonach eine im wesentlichen abgeleitete Sorte nicht dieselbe Sortenbezeichnung wie ihre Ursprungssorte haben darf.</w:t>
            </w:r>
          </w:p>
        </w:tc>
        <w:tc>
          <w:tcPr>
            <w:tcW w:w="1523" w:type="dxa"/>
            <w:gridSpan w:val="2"/>
          </w:tcPr>
          <w:p w:rsidR="00904D48" w:rsidRDefault="00904D48">
            <w:pPr>
              <w:jc w:val="left"/>
              <w:rPr>
                <w:i/>
                <w:szCs w:val="24"/>
                <w:u w:val="single"/>
                <w:lang w:val="de-DE"/>
              </w:rPr>
            </w:pPr>
            <w:r>
              <w:rPr>
                <w:i/>
                <w:szCs w:val="24"/>
                <w:highlight w:val="lightGray"/>
                <w:u w:val="single"/>
                <w:lang w:val="de-CH"/>
              </w:rPr>
              <w:t>Gemeinsamer Beitrag von Züchtern</w:t>
            </w:r>
          </w:p>
          <w:p w:rsidR="00904D48" w:rsidRDefault="00904D48">
            <w:pPr>
              <w:jc w:val="left"/>
              <w:rPr>
                <w:i/>
                <w:szCs w:val="24"/>
                <w:lang w:val="de-DE"/>
              </w:rPr>
            </w:pPr>
          </w:p>
        </w:tc>
      </w:tr>
      <w:tr w:rsidR="00904D48">
        <w:trPr>
          <w:cantSplit/>
        </w:trPr>
        <w:tc>
          <w:tcPr>
            <w:tcW w:w="1305" w:type="dxa"/>
          </w:tcPr>
          <w:p w:rsidR="00904D48" w:rsidRPr="00AB0E01" w:rsidRDefault="00904D48">
            <w:pPr>
              <w:rPr>
                <w:spacing w:val="-2"/>
                <w:szCs w:val="24"/>
              </w:rPr>
            </w:pPr>
            <w:r w:rsidRPr="00AB0E01">
              <w:rPr>
                <w:i/>
                <w:spacing w:val="-2"/>
                <w:szCs w:val="24"/>
                <w:highlight w:val="lightGray"/>
                <w:u w:val="single"/>
                <w:lang w:val="de-CH"/>
              </w:rPr>
              <w:t>Punkt 45</w:t>
            </w:r>
          </w:p>
        </w:tc>
        <w:tc>
          <w:tcPr>
            <w:tcW w:w="7155" w:type="dxa"/>
          </w:tcPr>
          <w:p w:rsidR="00904D48" w:rsidRDefault="00904D48">
            <w:pPr>
              <w:jc w:val="left"/>
              <w:rPr>
                <w:szCs w:val="24"/>
                <w:lang w:val="de-CH"/>
              </w:rPr>
            </w:pPr>
            <w:r>
              <w:rPr>
                <w:i/>
                <w:szCs w:val="24"/>
                <w:highlight w:val="lightGray"/>
                <w:u w:val="single"/>
                <w:lang w:val="de-CH"/>
              </w:rPr>
              <w:t>zu prüfen, ob die Sortenschutzbehörde ersucht werden könnte, zu bestätigen, da</w:t>
            </w:r>
            <w:r w:rsidR="00E17CC0" w:rsidRPr="00E17CC0">
              <w:rPr>
                <w:i/>
                <w:szCs w:val="24"/>
                <w:highlight w:val="lightGray"/>
                <w:u w:val="single"/>
                <w:lang w:val="de-CH"/>
              </w:rPr>
              <w:t>ss</w:t>
            </w:r>
            <w:r w:rsidRPr="00E17CC0">
              <w:rPr>
                <w:i/>
                <w:szCs w:val="24"/>
                <w:highlight w:val="lightGray"/>
                <w:u w:val="single"/>
                <w:lang w:val="de-CH"/>
              </w:rPr>
              <w:t xml:space="preserve"> </w:t>
            </w:r>
            <w:r>
              <w:rPr>
                <w:i/>
                <w:szCs w:val="24"/>
                <w:highlight w:val="lightGray"/>
                <w:u w:val="single"/>
                <w:lang w:val="de-CH"/>
              </w:rPr>
              <w:t>eine im wesentlichen abgeleitete Sorte von der Ursprungssorte unterscheidbar ist,"</w:t>
            </w:r>
          </w:p>
        </w:tc>
        <w:tc>
          <w:tcPr>
            <w:tcW w:w="1523" w:type="dxa"/>
            <w:gridSpan w:val="2"/>
          </w:tcPr>
          <w:p w:rsidR="00904D48" w:rsidRDefault="00904D48">
            <w:pPr>
              <w:jc w:val="left"/>
              <w:rPr>
                <w:szCs w:val="24"/>
                <w:lang w:val="de-CH"/>
              </w:rPr>
            </w:pPr>
            <w:r>
              <w:rPr>
                <w:i/>
                <w:szCs w:val="24"/>
                <w:highlight w:val="lightGray"/>
                <w:u w:val="single"/>
                <w:lang w:val="de-CH"/>
              </w:rPr>
              <w:t>Gemeinsamer Beitrag von Züchtern</w:t>
            </w:r>
          </w:p>
        </w:tc>
      </w:tr>
      <w:tr w:rsidR="00904D48" w:rsidRPr="00E957E1">
        <w:trPr>
          <w:cantSplit/>
        </w:trPr>
        <w:tc>
          <w:tcPr>
            <w:tcW w:w="1305" w:type="dxa"/>
          </w:tcPr>
          <w:p w:rsidR="00904D48" w:rsidRPr="00AB0E01" w:rsidRDefault="00904D48">
            <w:pPr>
              <w:rPr>
                <w:i/>
                <w:spacing w:val="-2"/>
                <w:szCs w:val="24"/>
                <w:lang w:val="de-DE"/>
              </w:rPr>
            </w:pPr>
          </w:p>
        </w:tc>
        <w:tc>
          <w:tcPr>
            <w:tcW w:w="7155" w:type="dxa"/>
          </w:tcPr>
          <w:p w:rsidR="00904D48" w:rsidRDefault="00904D48">
            <w:pPr>
              <w:jc w:val="left"/>
              <w:rPr>
                <w:szCs w:val="24"/>
                <w:lang w:val="de-DE"/>
              </w:rPr>
            </w:pPr>
            <w:r>
              <w:rPr>
                <w:szCs w:val="24"/>
                <w:lang w:val="de-CH"/>
              </w:rPr>
              <w:t>d)</w:t>
            </w:r>
            <w:r>
              <w:rPr>
                <w:szCs w:val="24"/>
                <w:lang w:val="de-DE"/>
              </w:rPr>
              <w:t xml:space="preserve"> </w:t>
            </w:r>
            <w:r>
              <w:rPr>
                <w:szCs w:val="24"/>
                <w:lang w:val="de-DE"/>
              </w:rPr>
              <w:tab/>
            </w:r>
            <w:r>
              <w:rPr>
                <w:szCs w:val="24"/>
                <w:lang w:val="de-CH"/>
              </w:rPr>
              <w:t>Territorialität des Schutzes von Ursprungssorten und im wesentlichen abgeleiteten Sorten</w:t>
            </w:r>
          </w:p>
          <w:p w:rsidR="00904D48" w:rsidRDefault="00904D48">
            <w:pPr>
              <w:jc w:val="left"/>
              <w:rPr>
                <w:i/>
                <w:szCs w:val="24"/>
                <w:lang w:val="de-DE"/>
              </w:rPr>
            </w:pPr>
          </w:p>
        </w:tc>
        <w:tc>
          <w:tcPr>
            <w:tcW w:w="1523" w:type="dxa"/>
            <w:gridSpan w:val="2"/>
          </w:tcPr>
          <w:p w:rsidR="00904D48" w:rsidRDefault="00904D48">
            <w:pPr>
              <w:jc w:val="left"/>
              <w:rPr>
                <w:i/>
                <w:szCs w:val="24"/>
                <w:lang w:val="de-DE"/>
              </w:rPr>
            </w:pP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46 [43]</w:t>
            </w:r>
          </w:p>
        </w:tc>
        <w:tc>
          <w:tcPr>
            <w:tcW w:w="7155" w:type="dxa"/>
          </w:tcPr>
          <w:p w:rsidR="00A511D2" w:rsidRDefault="00A511D2" w:rsidP="004A7CD0">
            <w:pPr>
              <w:jc w:val="left"/>
              <w:rPr>
                <w:szCs w:val="24"/>
                <w:lang w:val="de-CH"/>
              </w:rPr>
            </w:pPr>
            <w:r>
              <w:rPr>
                <w:i/>
                <w:szCs w:val="24"/>
                <w:lang w:val="de-CH"/>
              </w:rPr>
              <w:t>zu prüfen, ob in Absatz [24] der Begriff „in dem betreffenden Hoheitsgebiet“ durch „... in demselben Hoheitsgebiet“ ersetzt werden soll, um klarzustellen, dass das Hoheitsgebiet, auf welches das Züchterrecht für die Ursprungssorte anwendbar ist, für die Ursprungssorte und die im wesentlichen abgeleitete Sorte dasselbe sein sollte.</w:t>
            </w:r>
          </w:p>
        </w:tc>
        <w:tc>
          <w:tcPr>
            <w:tcW w:w="1523" w:type="dxa"/>
            <w:gridSpan w:val="2"/>
          </w:tcPr>
          <w:p w:rsidR="00A511D2" w:rsidRDefault="00A511D2">
            <w:pPr>
              <w:jc w:val="left"/>
              <w:rPr>
                <w:szCs w:val="24"/>
              </w:rPr>
            </w:pPr>
            <w:r>
              <w:rPr>
                <w:i/>
                <w:szCs w:val="24"/>
                <w:lang w:val="de-CH"/>
              </w:rPr>
              <w:t>RU</w:t>
            </w: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47 [44]</w:t>
            </w:r>
          </w:p>
        </w:tc>
        <w:tc>
          <w:tcPr>
            <w:tcW w:w="7155" w:type="dxa"/>
          </w:tcPr>
          <w:p w:rsidR="00A511D2" w:rsidRPr="00BA299F" w:rsidRDefault="00A511D2" w:rsidP="004A7CD0">
            <w:pPr>
              <w:jc w:val="left"/>
              <w:rPr>
                <w:szCs w:val="24"/>
                <w:lang w:val="de-CH"/>
              </w:rPr>
            </w:pPr>
            <w:r>
              <w:rPr>
                <w:i/>
                <w:szCs w:val="24"/>
                <w:lang w:val="de-CH"/>
              </w:rPr>
              <w:t xml:space="preserve">zu prüfen, ob am Ende von Absatz [24] folgender Wortlaut hinzugefügt werden soll: „Im Falle einer Diskrepanz zwischen dem Schutzgebiet der Ursprungssorte und demjenigen der abgeleiteten Sorten wird das Züchterrecht für die Ursprungssorte auf eingeführtes Material der abgeleiteten Sorte im Schutzgebiet der Ursprungssorte erweitert“. </w:t>
            </w:r>
          </w:p>
        </w:tc>
        <w:tc>
          <w:tcPr>
            <w:tcW w:w="1523" w:type="dxa"/>
            <w:gridSpan w:val="2"/>
          </w:tcPr>
          <w:p w:rsidR="00A511D2" w:rsidRDefault="00A511D2">
            <w:pPr>
              <w:jc w:val="left"/>
              <w:rPr>
                <w:szCs w:val="24"/>
              </w:rPr>
            </w:pPr>
            <w:r>
              <w:rPr>
                <w:i/>
                <w:szCs w:val="24"/>
                <w:lang w:val="de-CH"/>
              </w:rPr>
              <w:t>RU</w:t>
            </w:r>
          </w:p>
        </w:tc>
      </w:tr>
      <w:tr w:rsidR="00904D48" w:rsidRPr="00E957E1">
        <w:trPr>
          <w:cantSplit/>
        </w:trPr>
        <w:tc>
          <w:tcPr>
            <w:tcW w:w="1305" w:type="dxa"/>
          </w:tcPr>
          <w:p w:rsidR="00904D48" w:rsidRPr="00AB0E01" w:rsidRDefault="00904D48">
            <w:pPr>
              <w:keepNext/>
              <w:rPr>
                <w:i/>
                <w:spacing w:val="-2"/>
                <w:szCs w:val="24"/>
                <w:lang w:val="de-DE"/>
              </w:rPr>
            </w:pPr>
          </w:p>
        </w:tc>
        <w:tc>
          <w:tcPr>
            <w:tcW w:w="7155" w:type="dxa"/>
          </w:tcPr>
          <w:p w:rsidR="00904D48" w:rsidRDefault="00904D48">
            <w:pPr>
              <w:keepNext/>
              <w:jc w:val="left"/>
              <w:rPr>
                <w:szCs w:val="24"/>
                <w:lang w:val="de-DE"/>
              </w:rPr>
            </w:pPr>
            <w:r>
              <w:rPr>
                <w:szCs w:val="24"/>
                <w:lang w:val="de-CH"/>
              </w:rPr>
              <w:t>e)</w:t>
            </w:r>
            <w:r>
              <w:rPr>
                <w:szCs w:val="24"/>
                <w:lang w:val="de-DE"/>
              </w:rPr>
              <w:tab/>
            </w:r>
            <w:r>
              <w:rPr>
                <w:szCs w:val="24"/>
                <w:lang w:val="de-CH"/>
              </w:rPr>
              <w:t>Übergang von einer früheren Akte zur Akte von 1991 des UPOV-Übereinkommens</w:t>
            </w:r>
          </w:p>
          <w:p w:rsidR="00904D48" w:rsidRDefault="00904D48">
            <w:pPr>
              <w:keepNext/>
              <w:jc w:val="left"/>
              <w:rPr>
                <w:szCs w:val="24"/>
                <w:lang w:val="de-DE"/>
              </w:rPr>
            </w:pPr>
          </w:p>
        </w:tc>
        <w:tc>
          <w:tcPr>
            <w:tcW w:w="1523" w:type="dxa"/>
            <w:gridSpan w:val="2"/>
          </w:tcPr>
          <w:p w:rsidR="00904D48" w:rsidRDefault="00904D48">
            <w:pPr>
              <w:keepNext/>
              <w:jc w:val="left"/>
              <w:rPr>
                <w:i/>
                <w:szCs w:val="24"/>
                <w:lang w:val="de-DE"/>
              </w:rPr>
            </w:pP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48 [45]</w:t>
            </w:r>
          </w:p>
        </w:tc>
        <w:tc>
          <w:tcPr>
            <w:tcW w:w="7155" w:type="dxa"/>
          </w:tcPr>
          <w:p w:rsidR="00A511D2" w:rsidRPr="00A65EE2" w:rsidRDefault="00A511D2" w:rsidP="004A7CD0">
            <w:pPr>
              <w:jc w:val="left"/>
              <w:rPr>
                <w:szCs w:val="24"/>
                <w:lang w:val="de-CH"/>
              </w:rPr>
            </w:pPr>
            <w:r w:rsidRPr="00A65EE2">
              <w:rPr>
                <w:i/>
                <w:szCs w:val="24"/>
                <w:lang w:val="de-CH"/>
              </w:rPr>
              <w:t>zu prüfen, ob Absatz [25], wie folgt geändert werden sollte:</w:t>
            </w:r>
          </w:p>
          <w:p w:rsidR="00A511D2" w:rsidRPr="00A65EE2" w:rsidRDefault="00A511D2" w:rsidP="004A7CD0">
            <w:pPr>
              <w:jc w:val="left"/>
              <w:rPr>
                <w:i/>
                <w:szCs w:val="24"/>
                <w:lang w:val="de-CH"/>
              </w:rPr>
            </w:pPr>
          </w:p>
          <w:p w:rsidR="00A511D2" w:rsidRPr="00A65EE2" w:rsidRDefault="00A511D2" w:rsidP="004A7CD0">
            <w:pPr>
              <w:jc w:val="left"/>
              <w:rPr>
                <w:szCs w:val="24"/>
                <w:lang w:val="de-CH"/>
              </w:rPr>
            </w:pPr>
            <w:r w:rsidRPr="00A65EE2">
              <w:rPr>
                <w:i/>
                <w:szCs w:val="24"/>
                <w:lang w:val="de-CH"/>
              </w:rPr>
              <w:t>„Verbandsmitglieder, die ihre Rechtsvorschriften gemäß der Akte von 1991 des UPOV-Übereinkommens ändern, sollten die Bestimmungen von Artikel 14 Absatz 5 auf allgemein bekannte Sorten ausweiten“</w:t>
            </w:r>
          </w:p>
          <w:p w:rsidR="00A511D2" w:rsidRPr="00A65EE2" w:rsidRDefault="00A511D2" w:rsidP="004A7CD0">
            <w:pPr>
              <w:jc w:val="left"/>
              <w:rPr>
                <w:i/>
                <w:szCs w:val="24"/>
                <w:lang w:val="de-CH"/>
              </w:rPr>
            </w:pPr>
          </w:p>
          <w:p w:rsidR="00A511D2" w:rsidRDefault="00A511D2" w:rsidP="004A7CD0">
            <w:pPr>
              <w:jc w:val="left"/>
              <w:rPr>
                <w:szCs w:val="24"/>
                <w:lang w:val="de-CH"/>
              </w:rPr>
            </w:pPr>
            <w:r>
              <w:rPr>
                <w:i/>
                <w:szCs w:val="24"/>
                <w:lang w:val="de-CH"/>
              </w:rPr>
              <w:t>Verbandsmitglieder, die durch die Akte von 1991 gebunden sind, müssen die Bestimmungen von Artikel 14 Absatz 5 ungeachtet des Datums der Erteilung des Züchterrechts auf alle geschützten Sorten anwenden.</w:t>
            </w:r>
          </w:p>
        </w:tc>
        <w:tc>
          <w:tcPr>
            <w:tcW w:w="1523" w:type="dxa"/>
            <w:gridSpan w:val="2"/>
          </w:tcPr>
          <w:p w:rsidR="00A511D2" w:rsidRDefault="00A511D2">
            <w:pPr>
              <w:jc w:val="left"/>
              <w:rPr>
                <w:szCs w:val="24"/>
              </w:rPr>
            </w:pPr>
            <w:r>
              <w:rPr>
                <w:i/>
                <w:szCs w:val="24"/>
                <w:lang w:val="de-CH"/>
              </w:rPr>
              <w:t>RU</w:t>
            </w: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49 [46]</w:t>
            </w:r>
          </w:p>
        </w:tc>
        <w:tc>
          <w:tcPr>
            <w:tcW w:w="7155" w:type="dxa"/>
          </w:tcPr>
          <w:p w:rsidR="00A511D2" w:rsidRPr="00BE7986" w:rsidRDefault="00A511D2" w:rsidP="004A7CD0">
            <w:pPr>
              <w:jc w:val="left"/>
              <w:rPr>
                <w:i/>
                <w:szCs w:val="24"/>
                <w:lang w:val="de-CH"/>
              </w:rPr>
            </w:pPr>
            <w:r w:rsidRPr="00BE7986">
              <w:rPr>
                <w:i/>
                <w:szCs w:val="24"/>
                <w:lang w:val="de-CH"/>
              </w:rPr>
              <w:t>zu prüfen, Absatz [26] zu streichen</w:t>
            </w:r>
          </w:p>
        </w:tc>
        <w:tc>
          <w:tcPr>
            <w:tcW w:w="1523" w:type="dxa"/>
            <w:gridSpan w:val="2"/>
          </w:tcPr>
          <w:p w:rsidR="00A511D2" w:rsidRDefault="00A511D2">
            <w:pPr>
              <w:jc w:val="left"/>
              <w:rPr>
                <w:szCs w:val="24"/>
              </w:rPr>
            </w:pPr>
            <w:r>
              <w:rPr>
                <w:i/>
                <w:szCs w:val="24"/>
                <w:lang w:val="de-CH"/>
              </w:rPr>
              <w:t>RU</w:t>
            </w:r>
          </w:p>
        </w:tc>
      </w:tr>
      <w:tr w:rsidR="00A511D2">
        <w:trPr>
          <w:cantSplit/>
        </w:trPr>
        <w:tc>
          <w:tcPr>
            <w:tcW w:w="1305" w:type="dxa"/>
          </w:tcPr>
          <w:p w:rsidR="00A511D2" w:rsidRPr="00AB0E01" w:rsidRDefault="00A511D2">
            <w:pPr>
              <w:rPr>
                <w:i/>
                <w:spacing w:val="-2"/>
                <w:szCs w:val="24"/>
                <w:lang w:val="de-DE"/>
              </w:rPr>
            </w:pPr>
          </w:p>
        </w:tc>
        <w:tc>
          <w:tcPr>
            <w:tcW w:w="7155" w:type="dxa"/>
          </w:tcPr>
          <w:p w:rsidR="00A511D2" w:rsidRDefault="00A511D2">
            <w:pPr>
              <w:jc w:val="left"/>
              <w:rPr>
                <w:i/>
                <w:szCs w:val="24"/>
                <w:lang w:val="de-DE"/>
              </w:rPr>
            </w:pPr>
          </w:p>
        </w:tc>
        <w:tc>
          <w:tcPr>
            <w:tcW w:w="1523" w:type="dxa"/>
            <w:gridSpan w:val="2"/>
          </w:tcPr>
          <w:p w:rsidR="00A511D2" w:rsidRDefault="00A511D2">
            <w:pPr>
              <w:jc w:val="left"/>
              <w:rPr>
                <w:i/>
                <w:szCs w:val="24"/>
                <w:lang w:val="de-DE"/>
              </w:rPr>
            </w:pPr>
          </w:p>
        </w:tc>
      </w:tr>
      <w:tr w:rsidR="00A511D2" w:rsidRPr="00E957E1">
        <w:trPr>
          <w:cantSplit/>
        </w:trPr>
        <w:tc>
          <w:tcPr>
            <w:tcW w:w="1305" w:type="dxa"/>
          </w:tcPr>
          <w:p w:rsidR="00A511D2" w:rsidRPr="00AB0E01" w:rsidRDefault="00A511D2">
            <w:pPr>
              <w:rPr>
                <w:i/>
                <w:spacing w:val="-2"/>
                <w:szCs w:val="24"/>
                <w:lang w:val="de-DE"/>
              </w:rPr>
            </w:pPr>
          </w:p>
        </w:tc>
        <w:tc>
          <w:tcPr>
            <w:tcW w:w="7155" w:type="dxa"/>
          </w:tcPr>
          <w:p w:rsidR="00A511D2" w:rsidRDefault="00A511D2">
            <w:pPr>
              <w:jc w:val="left"/>
              <w:rPr>
                <w:szCs w:val="24"/>
                <w:lang w:val="de-DE"/>
              </w:rPr>
            </w:pPr>
            <w:r>
              <w:rPr>
                <w:szCs w:val="24"/>
                <w:lang w:val="de-CH"/>
              </w:rPr>
              <w:t>ABSCHNITT II:</w:t>
            </w:r>
            <w:r>
              <w:rPr>
                <w:szCs w:val="24"/>
                <w:lang w:val="de-DE"/>
              </w:rPr>
              <w:t xml:space="preserve">  </w:t>
            </w:r>
            <w:r>
              <w:rPr>
                <w:szCs w:val="24"/>
                <w:lang w:val="de-CH"/>
              </w:rPr>
              <w:t>PRÜFUNG DER IM WESENTLICHEN ABGELEITETEN SORTEN</w:t>
            </w:r>
          </w:p>
          <w:p w:rsidR="00A511D2" w:rsidRDefault="00A511D2">
            <w:pPr>
              <w:jc w:val="left"/>
              <w:rPr>
                <w:szCs w:val="24"/>
                <w:highlight w:val="yellow"/>
                <w:lang w:val="de-DE"/>
              </w:rPr>
            </w:pPr>
          </w:p>
        </w:tc>
        <w:tc>
          <w:tcPr>
            <w:tcW w:w="1523" w:type="dxa"/>
            <w:gridSpan w:val="2"/>
          </w:tcPr>
          <w:p w:rsidR="00A511D2" w:rsidRDefault="00A511D2">
            <w:pPr>
              <w:jc w:val="left"/>
              <w:rPr>
                <w:i/>
                <w:szCs w:val="24"/>
                <w:lang w:val="de-DE"/>
              </w:rPr>
            </w:pP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50 [47]</w:t>
            </w:r>
          </w:p>
        </w:tc>
        <w:tc>
          <w:tcPr>
            <w:tcW w:w="7155" w:type="dxa"/>
          </w:tcPr>
          <w:p w:rsidR="00A511D2" w:rsidRPr="00BE7986" w:rsidRDefault="00A511D2" w:rsidP="004A7CD0">
            <w:pPr>
              <w:jc w:val="left"/>
              <w:rPr>
                <w:szCs w:val="24"/>
                <w:lang w:val="de-CH"/>
              </w:rPr>
            </w:pPr>
            <w:r w:rsidRPr="00BE7986">
              <w:rPr>
                <w:i/>
                <w:szCs w:val="24"/>
                <w:lang w:val="de-CH"/>
              </w:rPr>
              <w:t>zu prüfen, ob die vorwiegende Ableitung von einer Ursprungssorte, bestätigt durch eine hohe genotypische Übereinstimmung, eine wichtige Voraussetzung zur Bestimmung einer im wesentlichen abgeleiteten Sorte sein könnte.</w:t>
            </w:r>
          </w:p>
        </w:tc>
        <w:tc>
          <w:tcPr>
            <w:tcW w:w="1523" w:type="dxa"/>
            <w:gridSpan w:val="2"/>
          </w:tcPr>
          <w:p w:rsidR="00A511D2" w:rsidRDefault="00A511D2">
            <w:pPr>
              <w:jc w:val="left"/>
              <w:rPr>
                <w:szCs w:val="24"/>
              </w:rPr>
            </w:pPr>
            <w:r>
              <w:rPr>
                <w:i/>
                <w:szCs w:val="24"/>
                <w:lang w:val="de-CH"/>
              </w:rPr>
              <w:t>EU</w:t>
            </w: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51 [48]</w:t>
            </w:r>
          </w:p>
        </w:tc>
        <w:tc>
          <w:tcPr>
            <w:tcW w:w="7155" w:type="dxa"/>
          </w:tcPr>
          <w:p w:rsidR="00A511D2" w:rsidRDefault="00A511D2" w:rsidP="004A7CD0">
            <w:pPr>
              <w:jc w:val="left"/>
              <w:rPr>
                <w:szCs w:val="24"/>
                <w:lang w:val="de-CH"/>
              </w:rPr>
            </w:pPr>
            <w:r>
              <w:rPr>
                <w:i/>
                <w:szCs w:val="24"/>
                <w:lang w:val="de-CH"/>
              </w:rPr>
              <w:t>Die Rolle der DNS-Analyse für die Bestimmung der Anforderung von „vorwiegend abgeleitet“ mit genetischen Schwellenwerten zu untersuchen.</w:t>
            </w:r>
          </w:p>
        </w:tc>
        <w:tc>
          <w:tcPr>
            <w:tcW w:w="1523" w:type="dxa"/>
            <w:gridSpan w:val="2"/>
          </w:tcPr>
          <w:p w:rsidR="00A511D2" w:rsidRDefault="00A511D2">
            <w:pPr>
              <w:jc w:val="left"/>
              <w:rPr>
                <w:szCs w:val="24"/>
              </w:rPr>
            </w:pPr>
            <w:r>
              <w:rPr>
                <w:i/>
                <w:szCs w:val="24"/>
                <w:lang w:val="de-CH"/>
              </w:rPr>
              <w:t>EU</w:t>
            </w: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52 [49]</w:t>
            </w:r>
          </w:p>
        </w:tc>
        <w:tc>
          <w:tcPr>
            <w:tcW w:w="7155" w:type="dxa"/>
          </w:tcPr>
          <w:p w:rsidR="00A511D2" w:rsidRPr="00F03548" w:rsidRDefault="00A511D2" w:rsidP="004A7CD0">
            <w:pPr>
              <w:jc w:val="left"/>
              <w:rPr>
                <w:spacing w:val="-4"/>
                <w:szCs w:val="24"/>
                <w:lang w:val="de-CH"/>
              </w:rPr>
            </w:pPr>
            <w:r w:rsidRPr="00F03548">
              <w:rPr>
                <w:i/>
                <w:spacing w:val="-4"/>
                <w:szCs w:val="24"/>
                <w:lang w:val="de-CH"/>
              </w:rPr>
              <w:t>zu prüfen, ob für die Vereinbarkeit sowohl der Genotyp als auch der Phänotyp in Betracht gezogen werden sollte, und zu untersuchen, ob ein Richter Zugang zum Zuchtbuch und zu Informationen über phänotypische Ähnlichkeiten haben könnte, um zu entscheiden, ob eine Sorte eine im wesentlichen abgeleitete Sorte ist.</w:t>
            </w:r>
          </w:p>
        </w:tc>
        <w:tc>
          <w:tcPr>
            <w:tcW w:w="1523" w:type="dxa"/>
            <w:gridSpan w:val="2"/>
          </w:tcPr>
          <w:p w:rsidR="00A511D2" w:rsidRDefault="00A511D2">
            <w:pPr>
              <w:jc w:val="left"/>
              <w:rPr>
                <w:szCs w:val="24"/>
              </w:rPr>
            </w:pPr>
            <w:r>
              <w:rPr>
                <w:i/>
                <w:szCs w:val="24"/>
                <w:lang w:val="de-CH"/>
              </w:rPr>
              <w:t>EU</w:t>
            </w:r>
          </w:p>
        </w:tc>
      </w:tr>
      <w:tr w:rsidR="00A511D2">
        <w:trPr>
          <w:cantSplit/>
        </w:trPr>
        <w:tc>
          <w:tcPr>
            <w:tcW w:w="1305" w:type="dxa"/>
          </w:tcPr>
          <w:p w:rsidR="00A511D2" w:rsidRPr="00AB0E01" w:rsidRDefault="00A511D2">
            <w:pPr>
              <w:rPr>
                <w:spacing w:val="-2"/>
                <w:szCs w:val="24"/>
              </w:rPr>
            </w:pPr>
            <w:r w:rsidRPr="00AB0E01">
              <w:rPr>
                <w:i/>
                <w:spacing w:val="-2"/>
                <w:szCs w:val="24"/>
                <w:lang w:val="de-CH"/>
              </w:rPr>
              <w:t>Punkt 53 [50]</w:t>
            </w:r>
          </w:p>
        </w:tc>
        <w:tc>
          <w:tcPr>
            <w:tcW w:w="7155" w:type="dxa"/>
          </w:tcPr>
          <w:p w:rsidR="00A511D2" w:rsidRDefault="00A511D2" w:rsidP="004A7CD0">
            <w:pPr>
              <w:jc w:val="left"/>
              <w:rPr>
                <w:i/>
                <w:szCs w:val="24"/>
                <w:lang w:val="de-DE"/>
              </w:rPr>
            </w:pPr>
            <w:r>
              <w:rPr>
                <w:i/>
                <w:szCs w:val="24"/>
                <w:lang w:val="de-CH"/>
              </w:rPr>
              <w:t>zu prüfen, ob das Konzept in Dokument UPOV/EXN/EDV/1, Absatz 15, wieder in die Anleitung aufgenommen werden sollte, dass die Entscheidung, ob eine Sorte eine im wesentlichen abgeleitete Sorte ist:</w:t>
            </w:r>
          </w:p>
          <w:p w:rsidR="00A511D2" w:rsidRDefault="00A511D2" w:rsidP="004A7CD0">
            <w:pPr>
              <w:jc w:val="left"/>
              <w:rPr>
                <w:i/>
                <w:szCs w:val="24"/>
                <w:lang w:val="de-DE"/>
              </w:rPr>
            </w:pPr>
          </w:p>
          <w:p w:rsidR="00A511D2" w:rsidRDefault="00A511D2" w:rsidP="00A511D2">
            <w:pPr>
              <w:pStyle w:val="ListParagraph"/>
              <w:numPr>
                <w:ilvl w:val="0"/>
                <w:numId w:val="30"/>
              </w:numPr>
              <w:ind w:hanging="497"/>
              <w:jc w:val="left"/>
              <w:rPr>
                <w:i/>
                <w:szCs w:val="24"/>
                <w:lang w:val="de-CH"/>
              </w:rPr>
            </w:pPr>
            <w:r>
              <w:rPr>
                <w:i/>
                <w:szCs w:val="24"/>
                <w:lang w:val="de-CH"/>
              </w:rPr>
              <w:t>durch die Industrie und am Ende durch ein Schiedsgerichtsverfahren oder durch Gerichte erfolgen sollte;</w:t>
            </w:r>
          </w:p>
          <w:p w:rsidR="00A511D2" w:rsidRDefault="00A511D2" w:rsidP="004A7CD0">
            <w:pPr>
              <w:pStyle w:val="ListParagraph"/>
              <w:ind w:hanging="497"/>
              <w:jc w:val="left"/>
              <w:rPr>
                <w:i/>
                <w:szCs w:val="24"/>
                <w:lang w:val="de-CH"/>
              </w:rPr>
            </w:pPr>
          </w:p>
          <w:p w:rsidR="00A511D2" w:rsidRDefault="00A511D2" w:rsidP="00A511D2">
            <w:pPr>
              <w:pStyle w:val="ListParagraph"/>
              <w:numPr>
                <w:ilvl w:val="0"/>
                <w:numId w:val="30"/>
              </w:numPr>
              <w:ind w:hanging="497"/>
              <w:jc w:val="left"/>
              <w:rPr>
                <w:szCs w:val="24"/>
                <w:lang w:val="de-CH"/>
              </w:rPr>
            </w:pPr>
            <w:r>
              <w:rPr>
                <w:i/>
                <w:szCs w:val="24"/>
                <w:lang w:val="de-CH"/>
              </w:rPr>
              <w:t>die Erteilungsbehörden nicht die Rolle der Streitbeilegung spielen sollten;</w:t>
            </w:r>
          </w:p>
          <w:p w:rsidR="00A511D2" w:rsidRDefault="00A511D2" w:rsidP="004A7CD0">
            <w:pPr>
              <w:ind w:hanging="497"/>
              <w:jc w:val="left"/>
              <w:rPr>
                <w:i/>
                <w:szCs w:val="24"/>
                <w:lang w:val="de-CH"/>
              </w:rPr>
            </w:pPr>
          </w:p>
          <w:p w:rsidR="00A511D2" w:rsidRDefault="00A511D2" w:rsidP="00A511D2">
            <w:pPr>
              <w:pStyle w:val="ListParagraph"/>
              <w:numPr>
                <w:ilvl w:val="0"/>
                <w:numId w:val="30"/>
              </w:numPr>
              <w:ind w:hanging="497"/>
              <w:jc w:val="left"/>
              <w:rPr>
                <w:i/>
                <w:szCs w:val="24"/>
                <w:lang w:val="de-DE"/>
              </w:rPr>
            </w:pPr>
            <w:r>
              <w:rPr>
                <w:i/>
                <w:szCs w:val="24"/>
                <w:lang w:val="de-CH"/>
              </w:rPr>
              <w:t>es dem Inhaber eines Züchterrechts obliegt, sein Recht zu verteidigen;</w:t>
            </w:r>
          </w:p>
          <w:p w:rsidR="00A511D2" w:rsidRDefault="00A511D2" w:rsidP="004A7CD0">
            <w:pPr>
              <w:ind w:hanging="497"/>
              <w:jc w:val="left"/>
              <w:rPr>
                <w:i/>
                <w:szCs w:val="24"/>
                <w:lang w:val="de-DE"/>
              </w:rPr>
            </w:pPr>
          </w:p>
          <w:p w:rsidR="00A511D2" w:rsidRPr="00A65EE2" w:rsidRDefault="00A511D2" w:rsidP="00A511D2">
            <w:pPr>
              <w:pStyle w:val="ListParagraph"/>
              <w:numPr>
                <w:ilvl w:val="0"/>
                <w:numId w:val="30"/>
              </w:numPr>
              <w:ind w:hanging="497"/>
              <w:jc w:val="left"/>
              <w:rPr>
                <w:szCs w:val="24"/>
                <w:lang w:val="de-CH"/>
              </w:rPr>
            </w:pPr>
            <w:r>
              <w:rPr>
                <w:i/>
                <w:szCs w:val="24"/>
                <w:lang w:val="de-CH"/>
              </w:rPr>
              <w:t>Sachverständige von Sortenprüfungsämtern von Gerichten als Sachverständige herangezogen werden können.</w:t>
            </w:r>
          </w:p>
        </w:tc>
        <w:tc>
          <w:tcPr>
            <w:tcW w:w="1523" w:type="dxa"/>
            <w:gridSpan w:val="2"/>
          </w:tcPr>
          <w:p w:rsidR="00A511D2" w:rsidRDefault="00A511D2">
            <w:pPr>
              <w:jc w:val="left"/>
              <w:rPr>
                <w:szCs w:val="24"/>
              </w:rPr>
            </w:pPr>
            <w:r>
              <w:rPr>
                <w:i/>
                <w:szCs w:val="24"/>
                <w:lang w:val="de-CH"/>
              </w:rPr>
              <w:t>EU</w:t>
            </w:r>
          </w:p>
        </w:tc>
      </w:tr>
      <w:tr w:rsidR="004A7CD0">
        <w:trPr>
          <w:cantSplit/>
        </w:trPr>
        <w:tc>
          <w:tcPr>
            <w:tcW w:w="1305" w:type="dxa"/>
          </w:tcPr>
          <w:p w:rsidR="004A7CD0" w:rsidRPr="00AB0E01" w:rsidRDefault="004A7CD0">
            <w:pPr>
              <w:rPr>
                <w:spacing w:val="-2"/>
                <w:szCs w:val="24"/>
              </w:rPr>
            </w:pPr>
            <w:r w:rsidRPr="00AB0E01">
              <w:rPr>
                <w:i/>
                <w:spacing w:val="-2"/>
                <w:szCs w:val="24"/>
                <w:lang w:val="de-CH"/>
              </w:rPr>
              <w:t>Punkt 54 [51]</w:t>
            </w:r>
          </w:p>
        </w:tc>
        <w:tc>
          <w:tcPr>
            <w:tcW w:w="7155" w:type="dxa"/>
          </w:tcPr>
          <w:p w:rsidR="004A7CD0" w:rsidRPr="00F03548" w:rsidRDefault="004A7CD0" w:rsidP="004A7CD0">
            <w:pPr>
              <w:jc w:val="left"/>
              <w:rPr>
                <w:i/>
                <w:spacing w:val="-4"/>
                <w:szCs w:val="24"/>
                <w:lang w:val="de-CH"/>
              </w:rPr>
            </w:pPr>
            <w:r w:rsidRPr="00F03548">
              <w:rPr>
                <w:i/>
                <w:spacing w:val="-4"/>
                <w:szCs w:val="24"/>
                <w:lang w:val="de-CH"/>
              </w:rPr>
              <w:t>folgendes über die Rolle der von der Industrie entwickelten Positionspapiere für einige Arten zu prüfen:</w:t>
            </w:r>
          </w:p>
          <w:p w:rsidR="004A7CD0" w:rsidRPr="00F03548" w:rsidRDefault="004A7CD0" w:rsidP="004A7CD0">
            <w:pPr>
              <w:jc w:val="left"/>
              <w:rPr>
                <w:i/>
                <w:spacing w:val="-4"/>
                <w:szCs w:val="24"/>
                <w:lang w:val="de-CH"/>
              </w:rPr>
            </w:pPr>
          </w:p>
          <w:p w:rsidR="004A7CD0" w:rsidRPr="00F03548" w:rsidRDefault="004A7CD0" w:rsidP="004A7CD0">
            <w:pPr>
              <w:pStyle w:val="ListParagraph"/>
              <w:numPr>
                <w:ilvl w:val="0"/>
                <w:numId w:val="31"/>
              </w:numPr>
              <w:ind w:hanging="497"/>
              <w:jc w:val="left"/>
              <w:rPr>
                <w:spacing w:val="-4"/>
                <w:szCs w:val="24"/>
                <w:lang w:val="de-CH"/>
              </w:rPr>
            </w:pPr>
            <w:r w:rsidRPr="00F03548">
              <w:rPr>
                <w:i/>
                <w:spacing w:val="-4"/>
                <w:szCs w:val="24"/>
                <w:lang w:val="de-CH"/>
              </w:rPr>
              <w:t>solche Papiere enthalten Schwellenwerte für genetische Ähnlichkeiten, die eine Änderung der Beweislast dafür auslösen könnten, ob eine Sorte überwiegend abgeleitet ist;</w:t>
            </w:r>
          </w:p>
          <w:p w:rsidR="004A7CD0" w:rsidRPr="00F03548" w:rsidRDefault="004A7CD0" w:rsidP="004A7CD0">
            <w:pPr>
              <w:ind w:hanging="497"/>
              <w:jc w:val="left"/>
              <w:rPr>
                <w:i/>
                <w:spacing w:val="-4"/>
                <w:szCs w:val="24"/>
                <w:lang w:val="de-CH"/>
              </w:rPr>
            </w:pPr>
          </w:p>
          <w:p w:rsidR="004A7CD0" w:rsidRPr="00F03548" w:rsidRDefault="004A7CD0" w:rsidP="004A7CD0">
            <w:pPr>
              <w:pStyle w:val="ListParagraph"/>
              <w:numPr>
                <w:ilvl w:val="0"/>
                <w:numId w:val="31"/>
              </w:numPr>
              <w:ind w:hanging="497"/>
              <w:jc w:val="left"/>
              <w:rPr>
                <w:spacing w:val="-4"/>
                <w:szCs w:val="24"/>
                <w:lang w:val="de-CH"/>
              </w:rPr>
            </w:pPr>
            <w:r w:rsidRPr="00F03548">
              <w:rPr>
                <w:i/>
                <w:spacing w:val="-4"/>
                <w:szCs w:val="24"/>
                <w:lang w:val="de-CH"/>
              </w:rPr>
              <w:t>solche Papiere enthalten keine Schwellenwerte bezüglich der Frage, wie viele Merkmale bei der Prüfung, ob eine Sorte eine im wesentlichen abgeleitete Sorte ist, ähnlich/unterschiedlich sein müssen;</w:t>
            </w:r>
          </w:p>
          <w:p w:rsidR="004A7CD0" w:rsidRPr="00F03548" w:rsidRDefault="004A7CD0" w:rsidP="004A7CD0">
            <w:pPr>
              <w:pStyle w:val="ListParagraph"/>
              <w:ind w:hanging="497"/>
              <w:jc w:val="left"/>
              <w:rPr>
                <w:i/>
                <w:spacing w:val="-4"/>
                <w:szCs w:val="24"/>
                <w:lang w:val="de-CH"/>
              </w:rPr>
            </w:pPr>
          </w:p>
          <w:p w:rsidR="004A7CD0" w:rsidRPr="00F03548" w:rsidRDefault="004A7CD0" w:rsidP="004A7CD0">
            <w:pPr>
              <w:pStyle w:val="ListParagraph"/>
              <w:numPr>
                <w:ilvl w:val="0"/>
                <w:numId w:val="31"/>
              </w:numPr>
              <w:ind w:hanging="497"/>
              <w:jc w:val="left"/>
              <w:rPr>
                <w:i/>
                <w:szCs w:val="24"/>
                <w:lang w:val="de-CH"/>
              </w:rPr>
            </w:pPr>
            <w:r w:rsidRPr="00F03548">
              <w:rPr>
                <w:i/>
                <w:spacing w:val="-4"/>
                <w:szCs w:val="24"/>
                <w:lang w:val="de-CH"/>
              </w:rPr>
              <w:t>ein Gericht ist nicht an solche Papiere gebunden, kann aber die Umsetzungspraxis bei der Beurteilung eines bestimmten Falles berücksichtigen.</w:t>
            </w:r>
          </w:p>
        </w:tc>
        <w:tc>
          <w:tcPr>
            <w:tcW w:w="1523" w:type="dxa"/>
            <w:gridSpan w:val="2"/>
          </w:tcPr>
          <w:p w:rsidR="004A7CD0" w:rsidRDefault="004A7CD0">
            <w:pPr>
              <w:jc w:val="left"/>
              <w:rPr>
                <w:szCs w:val="24"/>
              </w:rPr>
            </w:pPr>
            <w:r>
              <w:rPr>
                <w:i/>
                <w:szCs w:val="24"/>
                <w:lang w:val="de-CH"/>
              </w:rPr>
              <w:t>EU</w:t>
            </w:r>
          </w:p>
        </w:tc>
      </w:tr>
      <w:tr w:rsidR="004A7CD0">
        <w:trPr>
          <w:cantSplit/>
        </w:trPr>
        <w:tc>
          <w:tcPr>
            <w:tcW w:w="1305" w:type="dxa"/>
          </w:tcPr>
          <w:p w:rsidR="004A7CD0" w:rsidRPr="00AB0E01" w:rsidRDefault="004A7CD0">
            <w:pPr>
              <w:rPr>
                <w:spacing w:val="-2"/>
                <w:szCs w:val="24"/>
              </w:rPr>
            </w:pPr>
            <w:r w:rsidRPr="00AB0E01">
              <w:rPr>
                <w:i/>
                <w:spacing w:val="-2"/>
                <w:szCs w:val="24"/>
                <w:lang w:val="de-CH"/>
              </w:rPr>
              <w:t>Punkt 55 [52]</w:t>
            </w:r>
          </w:p>
        </w:tc>
        <w:tc>
          <w:tcPr>
            <w:tcW w:w="7155" w:type="dxa"/>
          </w:tcPr>
          <w:p w:rsidR="004A7CD0" w:rsidRDefault="004A7CD0" w:rsidP="004A7CD0">
            <w:pPr>
              <w:jc w:val="left"/>
              <w:rPr>
                <w:i/>
                <w:szCs w:val="24"/>
                <w:lang w:val="de-CH"/>
              </w:rPr>
            </w:pPr>
            <w:r>
              <w:rPr>
                <w:i/>
                <w:szCs w:val="24"/>
                <w:lang w:val="de-CH"/>
              </w:rPr>
              <w:t>zu untersuchen, ob eine Notwendigkeit für eine klarere Erläuterung und Kriterien zur Identifizierung einer im wesentlichen abgeleiteten Sorte erforderlich sind, um unn</w:t>
            </w:r>
            <w:r w:rsidR="00F03548">
              <w:rPr>
                <w:i/>
                <w:szCs w:val="24"/>
                <w:lang w:val="de-CH"/>
              </w:rPr>
              <w:t>ötige Rechtsfälle zu vermeiden.</w:t>
            </w:r>
          </w:p>
        </w:tc>
        <w:tc>
          <w:tcPr>
            <w:tcW w:w="1523" w:type="dxa"/>
            <w:gridSpan w:val="2"/>
          </w:tcPr>
          <w:p w:rsidR="004A7CD0" w:rsidRDefault="004A7CD0">
            <w:pPr>
              <w:jc w:val="left"/>
              <w:rPr>
                <w:szCs w:val="24"/>
              </w:rPr>
            </w:pPr>
            <w:r>
              <w:rPr>
                <w:i/>
                <w:szCs w:val="24"/>
                <w:lang w:val="de-CH"/>
              </w:rPr>
              <w:t>JP</w:t>
            </w:r>
          </w:p>
        </w:tc>
      </w:tr>
      <w:tr w:rsidR="004A7CD0">
        <w:trPr>
          <w:cantSplit/>
        </w:trPr>
        <w:tc>
          <w:tcPr>
            <w:tcW w:w="1305" w:type="dxa"/>
          </w:tcPr>
          <w:p w:rsidR="004A7CD0" w:rsidRPr="00AB0E01" w:rsidRDefault="004A7CD0">
            <w:pPr>
              <w:rPr>
                <w:spacing w:val="-2"/>
                <w:szCs w:val="24"/>
              </w:rPr>
            </w:pPr>
            <w:r w:rsidRPr="00AB0E01">
              <w:rPr>
                <w:i/>
                <w:spacing w:val="-2"/>
                <w:szCs w:val="24"/>
                <w:lang w:val="de-CH"/>
              </w:rPr>
              <w:lastRenderedPageBreak/>
              <w:t>Punkt 56 [53]</w:t>
            </w:r>
          </w:p>
        </w:tc>
        <w:tc>
          <w:tcPr>
            <w:tcW w:w="7155" w:type="dxa"/>
          </w:tcPr>
          <w:p w:rsidR="004A7CD0" w:rsidRDefault="004A7CD0" w:rsidP="004A7CD0">
            <w:pPr>
              <w:jc w:val="left"/>
              <w:rPr>
                <w:i/>
                <w:szCs w:val="24"/>
                <w:lang w:val="de-DE"/>
              </w:rPr>
            </w:pPr>
            <w:r>
              <w:rPr>
                <w:i/>
                <w:szCs w:val="24"/>
                <w:lang w:val="de-CH"/>
              </w:rPr>
              <w:t>zu prüfen, ob:</w:t>
            </w:r>
          </w:p>
          <w:p w:rsidR="004A7CD0" w:rsidRPr="00F03548" w:rsidRDefault="004A7CD0" w:rsidP="004A7CD0">
            <w:pPr>
              <w:jc w:val="left"/>
              <w:rPr>
                <w:i/>
                <w:sz w:val="14"/>
                <w:szCs w:val="24"/>
                <w:lang w:val="de-DE"/>
              </w:rPr>
            </w:pPr>
          </w:p>
          <w:p w:rsidR="004A7CD0" w:rsidRDefault="004A7CD0" w:rsidP="004A7CD0">
            <w:pPr>
              <w:pStyle w:val="ListParagraph"/>
              <w:numPr>
                <w:ilvl w:val="0"/>
                <w:numId w:val="32"/>
              </w:numPr>
              <w:ind w:hanging="497"/>
              <w:jc w:val="left"/>
              <w:rPr>
                <w:i/>
                <w:szCs w:val="24"/>
                <w:lang w:val="de-DE"/>
              </w:rPr>
            </w:pPr>
            <w:r>
              <w:rPr>
                <w:i/>
                <w:szCs w:val="24"/>
                <w:lang w:val="de-CH"/>
              </w:rPr>
              <w:t>in seltenen Gerichtsfällen und nur dann, wenn die Parteien nicht einverstanden sind, zusätzliches Fachwissen über den Ursprung einer neuen im wesentlichen abgeleiteten Sorte erforderlich ist;</w:t>
            </w:r>
          </w:p>
          <w:p w:rsidR="004A7CD0" w:rsidRPr="00F03548" w:rsidRDefault="004A7CD0" w:rsidP="004A7CD0">
            <w:pPr>
              <w:pStyle w:val="ListParagraph"/>
              <w:ind w:hanging="497"/>
              <w:jc w:val="left"/>
              <w:rPr>
                <w:i/>
                <w:sz w:val="14"/>
                <w:szCs w:val="24"/>
                <w:lang w:val="de-DE"/>
              </w:rPr>
            </w:pPr>
          </w:p>
          <w:p w:rsidR="004A7CD0" w:rsidRDefault="004A7CD0" w:rsidP="004A7CD0">
            <w:pPr>
              <w:pStyle w:val="ListParagraph"/>
              <w:numPr>
                <w:ilvl w:val="0"/>
                <w:numId w:val="32"/>
              </w:numPr>
              <w:ind w:hanging="497"/>
              <w:jc w:val="left"/>
              <w:rPr>
                <w:i/>
                <w:szCs w:val="24"/>
                <w:lang w:val="de-DE"/>
              </w:rPr>
            </w:pPr>
            <w:r>
              <w:rPr>
                <w:i/>
                <w:szCs w:val="24"/>
                <w:lang w:val="de-CH"/>
              </w:rPr>
              <w:t>die Verfahren für die Beurteilung in diesen Gerichtsfällen von der Methode zur Feststellung des Ursprungs und den Bedingungen des gewerbsmäßigen Vertriebs abhängen sollen;</w:t>
            </w:r>
          </w:p>
          <w:p w:rsidR="004A7CD0" w:rsidRPr="00F03548" w:rsidRDefault="00F03548" w:rsidP="00F03548">
            <w:pPr>
              <w:tabs>
                <w:tab w:val="left" w:pos="927"/>
              </w:tabs>
              <w:ind w:hanging="497"/>
              <w:jc w:val="left"/>
              <w:rPr>
                <w:i/>
                <w:sz w:val="14"/>
                <w:szCs w:val="24"/>
                <w:lang w:val="de-DE"/>
              </w:rPr>
            </w:pPr>
            <w:r>
              <w:rPr>
                <w:i/>
                <w:szCs w:val="24"/>
                <w:lang w:val="de-DE"/>
              </w:rPr>
              <w:t xml:space="preserve"> </w:t>
            </w:r>
            <w:r>
              <w:rPr>
                <w:i/>
                <w:szCs w:val="24"/>
                <w:lang w:val="de-DE"/>
              </w:rPr>
              <w:tab/>
            </w:r>
            <w:r w:rsidRPr="00F03548">
              <w:rPr>
                <w:i/>
                <w:sz w:val="12"/>
                <w:szCs w:val="24"/>
                <w:lang w:val="de-DE"/>
              </w:rPr>
              <w:tab/>
            </w:r>
            <w:r w:rsidRPr="00F03548">
              <w:rPr>
                <w:i/>
                <w:sz w:val="8"/>
                <w:szCs w:val="24"/>
                <w:lang w:val="de-DE"/>
              </w:rPr>
              <w:t xml:space="preserve"> </w:t>
            </w:r>
          </w:p>
          <w:p w:rsidR="004A7CD0" w:rsidRDefault="004A7CD0" w:rsidP="004A7CD0">
            <w:pPr>
              <w:pStyle w:val="ListParagraph"/>
              <w:numPr>
                <w:ilvl w:val="0"/>
                <w:numId w:val="32"/>
              </w:numPr>
              <w:ind w:hanging="497"/>
              <w:jc w:val="left"/>
              <w:rPr>
                <w:szCs w:val="24"/>
                <w:lang w:val="de-CH"/>
              </w:rPr>
            </w:pPr>
            <w:r>
              <w:rPr>
                <w:i/>
                <w:szCs w:val="24"/>
                <w:lang w:val="de-CH"/>
              </w:rPr>
              <w:t>die Beilegung einer solchen Streitigkeit zwischen den Parteien in Übereinstimmung mit dem anwendbaren Recht zu betrachten ist.</w:t>
            </w:r>
          </w:p>
        </w:tc>
        <w:tc>
          <w:tcPr>
            <w:tcW w:w="1523" w:type="dxa"/>
            <w:gridSpan w:val="2"/>
          </w:tcPr>
          <w:p w:rsidR="004A7CD0" w:rsidRDefault="004A7CD0">
            <w:pPr>
              <w:jc w:val="left"/>
              <w:rPr>
                <w:szCs w:val="24"/>
              </w:rPr>
            </w:pPr>
            <w:r>
              <w:rPr>
                <w:i/>
                <w:szCs w:val="24"/>
                <w:lang w:val="de-CH"/>
              </w:rPr>
              <w:t>RU</w:t>
            </w:r>
          </w:p>
        </w:tc>
      </w:tr>
      <w:tr w:rsidR="004A7CD0">
        <w:trPr>
          <w:cantSplit/>
        </w:trPr>
        <w:tc>
          <w:tcPr>
            <w:tcW w:w="1305" w:type="dxa"/>
          </w:tcPr>
          <w:p w:rsidR="004A7CD0" w:rsidRPr="00AB0E01" w:rsidRDefault="004A7CD0">
            <w:pPr>
              <w:rPr>
                <w:spacing w:val="-2"/>
                <w:szCs w:val="24"/>
              </w:rPr>
            </w:pPr>
            <w:r w:rsidRPr="00AB0E01">
              <w:rPr>
                <w:i/>
                <w:spacing w:val="-2"/>
                <w:szCs w:val="24"/>
                <w:lang w:val="de-CH"/>
              </w:rPr>
              <w:t>Punkt 57 [54]</w:t>
            </w:r>
          </w:p>
        </w:tc>
        <w:tc>
          <w:tcPr>
            <w:tcW w:w="7155" w:type="dxa"/>
          </w:tcPr>
          <w:p w:rsidR="004A7CD0" w:rsidRPr="00F03548" w:rsidRDefault="004A7CD0" w:rsidP="004A7CD0">
            <w:pPr>
              <w:jc w:val="left"/>
              <w:rPr>
                <w:szCs w:val="24"/>
                <w:lang w:val="de-CH"/>
              </w:rPr>
            </w:pPr>
            <w:r>
              <w:rPr>
                <w:i/>
                <w:szCs w:val="24"/>
                <w:lang w:val="de-CH"/>
              </w:rPr>
              <w:t>zur Kenntnis zu nehmen, dass die Anleitung keinen Mechanismus vorsieht, um zu bestimmen, ob eine Sorte eine im wesentlichen abgeleitete Sorte ist oder nicht; und sich daher bewusst zu sein, dass es problematisch ist, das Konzept der im Wesentlichen abgeleiteten Sorten zu erstellen und seine Bestimmung von einer unbestimmten Anzahl von Unterschieden in nicht definierten wesentlichen Merkmalen abhängig zu machen und dann die Bestimmung davon Züchtern mit konkurrierenden Interessen zu überlassen“.</w:t>
            </w:r>
          </w:p>
        </w:tc>
        <w:tc>
          <w:tcPr>
            <w:tcW w:w="1523" w:type="dxa"/>
            <w:gridSpan w:val="2"/>
          </w:tcPr>
          <w:p w:rsidR="004A7CD0" w:rsidRDefault="004A7CD0">
            <w:pPr>
              <w:jc w:val="left"/>
              <w:rPr>
                <w:szCs w:val="24"/>
              </w:rPr>
            </w:pPr>
            <w:r>
              <w:rPr>
                <w:i/>
                <w:szCs w:val="24"/>
                <w:lang w:val="de-CH"/>
              </w:rPr>
              <w:t>ZA</w:t>
            </w:r>
          </w:p>
        </w:tc>
      </w:tr>
      <w:tr w:rsidR="004A7CD0">
        <w:trPr>
          <w:cantSplit/>
        </w:trPr>
        <w:tc>
          <w:tcPr>
            <w:tcW w:w="1305" w:type="dxa"/>
          </w:tcPr>
          <w:p w:rsidR="004A7CD0" w:rsidRPr="00AB0E01" w:rsidRDefault="004A7CD0">
            <w:pPr>
              <w:rPr>
                <w:spacing w:val="-2"/>
                <w:szCs w:val="24"/>
              </w:rPr>
            </w:pPr>
            <w:r w:rsidRPr="00AB0E01">
              <w:rPr>
                <w:i/>
                <w:spacing w:val="-2"/>
                <w:szCs w:val="24"/>
                <w:lang w:val="de-CH"/>
              </w:rPr>
              <w:t>Punkt 58 [55]</w:t>
            </w:r>
          </w:p>
        </w:tc>
        <w:tc>
          <w:tcPr>
            <w:tcW w:w="7155" w:type="dxa"/>
          </w:tcPr>
          <w:p w:rsidR="004A7CD0" w:rsidRPr="00F03548" w:rsidRDefault="004A7CD0" w:rsidP="004A7CD0">
            <w:pPr>
              <w:jc w:val="left"/>
              <w:rPr>
                <w:spacing w:val="-2"/>
                <w:szCs w:val="24"/>
                <w:lang w:val="de-CH"/>
              </w:rPr>
            </w:pPr>
            <w:r w:rsidRPr="00F03548">
              <w:rPr>
                <w:i/>
                <w:spacing w:val="-2"/>
                <w:szCs w:val="24"/>
                <w:lang w:val="de-CH"/>
              </w:rPr>
              <w:t>zu prüfen, wie die Beweislast des Züchters der geschützten Ursprungssorte zu behandeln ist, insbesondere die Verantwortung und die Rechtskosten, eine Bestimmung als im wesentlichen von einer Sorte „erzwungen“ zu machen, die zugegebenermaßen überwiegend von der geschützten Ursprungssorte abgeleitet wurde, und dies häufig unter Umständen, unter denen die abgeleitete Sorte im Wettbewerb mit der Ursprungssorte gewerbsmäßig vertrieben wird und dem Züchter der Ursprungssorte irreparablen Schaden zufügt.</w:t>
            </w:r>
          </w:p>
        </w:tc>
        <w:tc>
          <w:tcPr>
            <w:tcW w:w="1523" w:type="dxa"/>
            <w:gridSpan w:val="2"/>
          </w:tcPr>
          <w:p w:rsidR="004A7CD0" w:rsidRDefault="004A7CD0">
            <w:pPr>
              <w:jc w:val="left"/>
              <w:rPr>
                <w:szCs w:val="24"/>
              </w:rPr>
            </w:pPr>
            <w:r>
              <w:rPr>
                <w:i/>
                <w:szCs w:val="24"/>
                <w:lang w:val="de-CH"/>
              </w:rPr>
              <w:t>ZA</w:t>
            </w:r>
          </w:p>
        </w:tc>
      </w:tr>
      <w:tr w:rsidR="004A7CD0">
        <w:trPr>
          <w:cantSplit/>
        </w:trPr>
        <w:tc>
          <w:tcPr>
            <w:tcW w:w="1305" w:type="dxa"/>
          </w:tcPr>
          <w:p w:rsidR="004A7CD0" w:rsidRPr="00AB0E01" w:rsidRDefault="004A7CD0">
            <w:pPr>
              <w:rPr>
                <w:spacing w:val="-2"/>
                <w:szCs w:val="24"/>
              </w:rPr>
            </w:pPr>
            <w:r w:rsidRPr="00AB0E01">
              <w:rPr>
                <w:i/>
                <w:spacing w:val="-2"/>
                <w:szCs w:val="24"/>
                <w:lang w:val="de-CH"/>
              </w:rPr>
              <w:t>Punkt 59 [56]</w:t>
            </w:r>
          </w:p>
        </w:tc>
        <w:tc>
          <w:tcPr>
            <w:tcW w:w="7155" w:type="dxa"/>
          </w:tcPr>
          <w:p w:rsidR="004A7CD0" w:rsidRPr="00F03548" w:rsidRDefault="004A7CD0" w:rsidP="004A7CD0">
            <w:pPr>
              <w:jc w:val="left"/>
              <w:rPr>
                <w:i/>
                <w:spacing w:val="-2"/>
                <w:szCs w:val="24"/>
                <w:lang w:val="de-CH"/>
              </w:rPr>
            </w:pPr>
            <w:r w:rsidRPr="00F03548">
              <w:rPr>
                <w:i/>
                <w:spacing w:val="-2"/>
                <w:szCs w:val="24"/>
                <w:lang w:val="de-CH"/>
              </w:rPr>
              <w:t>zu prüfen, ob Abschnitt II durch folgenden neuen Abschnitt II ersetzt werden soll“</w:t>
            </w:r>
          </w:p>
          <w:p w:rsidR="004A7CD0" w:rsidRPr="00F03548" w:rsidRDefault="004A7CD0" w:rsidP="004A7CD0">
            <w:pPr>
              <w:jc w:val="left"/>
              <w:rPr>
                <w:i/>
                <w:spacing w:val="-2"/>
                <w:sz w:val="16"/>
                <w:szCs w:val="24"/>
                <w:lang w:val="de-CH"/>
              </w:rPr>
            </w:pPr>
          </w:p>
          <w:p w:rsidR="004A7CD0" w:rsidRPr="00F03548" w:rsidRDefault="004A7CD0" w:rsidP="004A7CD0">
            <w:pPr>
              <w:jc w:val="left"/>
              <w:rPr>
                <w:i/>
                <w:spacing w:val="-2"/>
                <w:szCs w:val="24"/>
                <w:lang w:val="de-CH"/>
              </w:rPr>
            </w:pPr>
            <w:r w:rsidRPr="00F03548">
              <w:rPr>
                <w:i/>
                <w:spacing w:val="-2"/>
                <w:szCs w:val="24"/>
                <w:lang w:val="de-CH"/>
              </w:rPr>
              <w:t>Abschnitt II „Eintragung der Ausdehnung der Rechte der geschützten Ursprungssorte auf im wesentlichen abgeleitete Sorten“</w:t>
            </w:r>
          </w:p>
          <w:p w:rsidR="004A7CD0" w:rsidRPr="00F03548" w:rsidRDefault="004A7CD0" w:rsidP="004A7CD0">
            <w:pPr>
              <w:jc w:val="left"/>
              <w:rPr>
                <w:i/>
                <w:spacing w:val="-2"/>
                <w:sz w:val="16"/>
                <w:szCs w:val="24"/>
                <w:lang w:val="de-DE"/>
              </w:rPr>
            </w:pPr>
          </w:p>
          <w:p w:rsidR="004A7CD0" w:rsidRPr="00F03548" w:rsidRDefault="004A7CD0" w:rsidP="004A7CD0">
            <w:pPr>
              <w:jc w:val="left"/>
              <w:rPr>
                <w:spacing w:val="-2"/>
                <w:szCs w:val="24"/>
                <w:lang w:val="de-CH"/>
              </w:rPr>
            </w:pPr>
            <w:r w:rsidRPr="00F03548">
              <w:rPr>
                <w:i/>
                <w:spacing w:val="-2"/>
                <w:szCs w:val="24"/>
                <w:lang w:val="de-CH"/>
              </w:rPr>
              <w:t>„Der Antragsteller (Züchter) hat in den Antragsunterlagen (dem Antragsformblatt) für die Erteilung des Züchterrechts oder in den Antragsunterlagen (dem Antragsformblatt) für die Aufnahme der Sorte in die Nationale Liste die Geschichte der Züchtung (Erzeugung) der Sorte anzugeben. Im Stadium der vorläufigen Prüfung des Antrags prüft die zuständige Behörde des Verbandsmitglieds die Vollständigkeit der Informationen über die neue Sorte und verlangt gegebenenfalls zusätzliche Informationen.</w:t>
            </w:r>
          </w:p>
          <w:p w:rsidR="004A7CD0" w:rsidRPr="00F03548" w:rsidRDefault="004A7CD0" w:rsidP="004A7CD0">
            <w:pPr>
              <w:jc w:val="left"/>
              <w:rPr>
                <w:i/>
                <w:spacing w:val="-2"/>
                <w:sz w:val="16"/>
                <w:szCs w:val="24"/>
                <w:lang w:val="de-CH"/>
              </w:rPr>
            </w:pPr>
          </w:p>
          <w:p w:rsidR="004A7CD0" w:rsidRPr="00F03548" w:rsidRDefault="004A7CD0" w:rsidP="004A7CD0">
            <w:pPr>
              <w:jc w:val="left"/>
              <w:rPr>
                <w:i/>
                <w:spacing w:val="-2"/>
                <w:szCs w:val="24"/>
                <w:lang w:val="de-CH"/>
              </w:rPr>
            </w:pPr>
            <w:r w:rsidRPr="00F03548">
              <w:rPr>
                <w:i/>
                <w:spacing w:val="-2"/>
                <w:szCs w:val="24"/>
                <w:lang w:val="de-CH"/>
              </w:rPr>
              <w:t>„Ein Gesuch um Bestimmung der Sorte in die Kategorie 'im wesentlichen abgeleitete Sorten' und um Bezeichnung der [</w:t>
            </w:r>
            <w:r w:rsidRPr="00F03548">
              <w:rPr>
                <w:i/>
                <w:strike/>
                <w:spacing w:val="-2"/>
                <w:szCs w:val="24"/>
                <w:lang w:val="de-CH"/>
              </w:rPr>
              <w:t>Ursprungs-</w:t>
            </w:r>
            <w:r w:rsidRPr="00F03548">
              <w:rPr>
                <w:i/>
                <w:spacing w:val="-2"/>
                <w:szCs w:val="24"/>
                <w:lang w:val="de-CH"/>
              </w:rPr>
              <w:t>] Sorte wird von der Behörde aufgrund der Informationen über den Ursprung der Sorte und die DUS-Prüfung vorbereitet und im Amtsblatt veröffentlicht.</w:t>
            </w:r>
          </w:p>
          <w:p w:rsidR="004A7CD0" w:rsidRPr="00F03548" w:rsidRDefault="004A7CD0" w:rsidP="004A7CD0">
            <w:pPr>
              <w:jc w:val="left"/>
              <w:rPr>
                <w:i/>
                <w:spacing w:val="-2"/>
                <w:sz w:val="16"/>
                <w:szCs w:val="24"/>
                <w:lang w:val="de-CH"/>
              </w:rPr>
            </w:pPr>
          </w:p>
          <w:p w:rsidR="004A7CD0" w:rsidRPr="00F03548" w:rsidRDefault="004A7CD0" w:rsidP="004A7CD0">
            <w:pPr>
              <w:jc w:val="left"/>
              <w:rPr>
                <w:i/>
                <w:spacing w:val="-4"/>
                <w:szCs w:val="24"/>
                <w:lang w:val="de-CH"/>
              </w:rPr>
            </w:pPr>
            <w:r w:rsidRPr="00F03548">
              <w:rPr>
                <w:i/>
                <w:spacing w:val="-4"/>
                <w:szCs w:val="24"/>
                <w:lang w:val="de-CH"/>
              </w:rPr>
              <w:t>„Bemerkungen zu den Antragsmaterialien, die innerhalb von sechs Monaten nach der Veröffentlichung eingereicht werden, sind mit den Beteiligten zu vereinbaren.</w:t>
            </w:r>
          </w:p>
          <w:p w:rsidR="004A7CD0" w:rsidRPr="00F03548" w:rsidRDefault="004A7CD0" w:rsidP="004A7CD0">
            <w:pPr>
              <w:jc w:val="left"/>
              <w:rPr>
                <w:i/>
                <w:spacing w:val="-2"/>
                <w:sz w:val="16"/>
                <w:szCs w:val="24"/>
                <w:lang w:val="de-CH"/>
              </w:rPr>
            </w:pPr>
          </w:p>
          <w:p w:rsidR="004A7CD0" w:rsidRPr="00F03548" w:rsidRDefault="004A7CD0" w:rsidP="004A7CD0">
            <w:pPr>
              <w:jc w:val="left"/>
              <w:rPr>
                <w:i/>
                <w:spacing w:val="-2"/>
                <w:szCs w:val="24"/>
                <w:lang w:val="de-DE"/>
              </w:rPr>
            </w:pPr>
            <w:r w:rsidRPr="00F03548">
              <w:rPr>
                <w:i/>
                <w:spacing w:val="-2"/>
                <w:szCs w:val="24"/>
                <w:lang w:val="de-CH"/>
              </w:rPr>
              <w:t>„Die Entscheidung der zuständigen Behörde bezüglich der Bestimmung der Sorte zur Kategorie der im wesentlichen abgeleiteten Sorten und der Bezeichnung der [</w:t>
            </w:r>
            <w:r w:rsidRPr="00F03548">
              <w:rPr>
                <w:i/>
                <w:strike/>
                <w:spacing w:val="-2"/>
                <w:szCs w:val="24"/>
                <w:lang w:val="de-CH"/>
              </w:rPr>
              <w:t>Ursprungs-</w:t>
            </w:r>
            <w:r w:rsidRPr="00F03548">
              <w:rPr>
                <w:i/>
                <w:spacing w:val="-2"/>
                <w:szCs w:val="24"/>
                <w:lang w:val="de-CH"/>
              </w:rPr>
              <w:t>] Sorte kann gemäß der nationalen Gesetzgebung angefochten werden.</w:t>
            </w:r>
          </w:p>
          <w:p w:rsidR="004A7CD0" w:rsidRPr="00F03548" w:rsidRDefault="004A7CD0" w:rsidP="004A7CD0">
            <w:pPr>
              <w:jc w:val="left"/>
              <w:rPr>
                <w:i/>
                <w:spacing w:val="-2"/>
                <w:sz w:val="16"/>
                <w:szCs w:val="24"/>
                <w:lang w:val="de-DE"/>
              </w:rPr>
            </w:pPr>
            <w:r w:rsidRPr="00F03548">
              <w:rPr>
                <w:i/>
                <w:spacing w:val="-2"/>
                <w:szCs w:val="24"/>
                <w:lang w:val="de-DE"/>
              </w:rPr>
              <w:t xml:space="preserve"> </w:t>
            </w:r>
          </w:p>
          <w:p w:rsidR="004A7CD0" w:rsidRPr="00F03548" w:rsidRDefault="004A7CD0" w:rsidP="004A7CD0">
            <w:pPr>
              <w:jc w:val="left"/>
              <w:rPr>
                <w:i/>
                <w:spacing w:val="-2"/>
                <w:szCs w:val="24"/>
                <w:lang w:val="de-DE"/>
              </w:rPr>
            </w:pPr>
            <w:r w:rsidRPr="00F03548">
              <w:rPr>
                <w:i/>
                <w:spacing w:val="-2"/>
                <w:szCs w:val="24"/>
                <w:lang w:val="de-CH"/>
              </w:rPr>
              <w:t>„Im Falle des Schutzes der Ursprungssorte im Hoheitsgebiet des Verbandsmitglieds ersucht die zuständige Behörde darum, bei der Eintragung des Züchterrechts für die im wesentlichen abgeleiteten Sorten eine Lizenzvereinbarung mit dem Züchter der Ursprungssorte über die Bedingungen für den gewerbsmäßigen Vertrieb des Vermehrungsmaterials der im wesentlichen abgeleiteten Sorten vorzulegen.</w:t>
            </w:r>
          </w:p>
          <w:p w:rsidR="004A7CD0" w:rsidRPr="00F03548" w:rsidRDefault="004A7CD0" w:rsidP="004A7CD0">
            <w:pPr>
              <w:jc w:val="left"/>
              <w:rPr>
                <w:i/>
                <w:spacing w:val="-2"/>
                <w:sz w:val="16"/>
                <w:szCs w:val="24"/>
                <w:lang w:val="de-DE"/>
              </w:rPr>
            </w:pPr>
          </w:p>
          <w:p w:rsidR="004A7CD0" w:rsidRDefault="004A7CD0" w:rsidP="00F03548">
            <w:pPr>
              <w:jc w:val="left"/>
              <w:rPr>
                <w:i/>
                <w:szCs w:val="24"/>
                <w:highlight w:val="yellow"/>
                <w:lang w:val="de-CH"/>
              </w:rPr>
            </w:pPr>
            <w:r w:rsidRPr="00F03548">
              <w:rPr>
                <w:i/>
                <w:spacing w:val="-2"/>
                <w:szCs w:val="24"/>
                <w:lang w:val="de-CH"/>
              </w:rPr>
              <w:t xml:space="preserve">„Die wechselseitige Beziehung zwischen im wesentlichen abgeleiteten Sorten (durch Privatrecht geschützt und ungeschützt) und der geschützten Ursprungssorte wird von der zuständigen Behörde durch die Veröffentlichung der Informationen über die im eigenen Hoheitsgebiet verwendeten Sorten, einschließlich der UPOV-Website, </w:t>
            </w:r>
            <w:r w:rsidRPr="00F03548">
              <w:rPr>
                <w:i/>
                <w:spacing w:val="-2"/>
                <w:szCs w:val="24"/>
                <w:lang w:val="de-DE"/>
              </w:rPr>
              <w:t>widerspiegelt</w:t>
            </w:r>
            <w:r w:rsidRPr="00F03548">
              <w:rPr>
                <w:i/>
                <w:spacing w:val="-2"/>
                <w:szCs w:val="24"/>
                <w:lang w:val="de-CH"/>
              </w:rPr>
              <w:t>.</w:t>
            </w:r>
          </w:p>
        </w:tc>
        <w:tc>
          <w:tcPr>
            <w:tcW w:w="1523" w:type="dxa"/>
            <w:gridSpan w:val="2"/>
          </w:tcPr>
          <w:p w:rsidR="004A7CD0" w:rsidRDefault="004A7CD0">
            <w:pPr>
              <w:jc w:val="left"/>
              <w:rPr>
                <w:szCs w:val="24"/>
              </w:rPr>
            </w:pPr>
            <w:r>
              <w:rPr>
                <w:i/>
                <w:szCs w:val="24"/>
                <w:lang w:val="de-CH"/>
              </w:rPr>
              <w:t>RU</w:t>
            </w:r>
          </w:p>
        </w:tc>
      </w:tr>
      <w:tr w:rsidR="004A7CD0">
        <w:trPr>
          <w:cantSplit/>
        </w:trPr>
        <w:tc>
          <w:tcPr>
            <w:tcW w:w="1305" w:type="dxa"/>
          </w:tcPr>
          <w:p w:rsidR="004A7CD0" w:rsidRPr="00AB0E01" w:rsidRDefault="004A7CD0">
            <w:pPr>
              <w:rPr>
                <w:spacing w:val="-2"/>
                <w:szCs w:val="24"/>
              </w:rPr>
            </w:pPr>
            <w:r w:rsidRPr="00AB0E01">
              <w:rPr>
                <w:i/>
                <w:spacing w:val="-2"/>
                <w:szCs w:val="24"/>
                <w:lang w:val="de-CH"/>
              </w:rPr>
              <w:lastRenderedPageBreak/>
              <w:t>Punkt 60 [57]</w:t>
            </w:r>
          </w:p>
        </w:tc>
        <w:tc>
          <w:tcPr>
            <w:tcW w:w="7155" w:type="dxa"/>
          </w:tcPr>
          <w:p w:rsidR="004A7CD0" w:rsidRDefault="004A7CD0" w:rsidP="004A7CD0">
            <w:pPr>
              <w:jc w:val="left"/>
              <w:rPr>
                <w:szCs w:val="24"/>
                <w:lang w:val="de-CH"/>
              </w:rPr>
            </w:pPr>
            <w:r>
              <w:rPr>
                <w:i/>
                <w:szCs w:val="24"/>
                <w:lang w:val="de-CH"/>
              </w:rPr>
              <w:t>zu prüfen, ob die „Initiativen aus dem Privatsektor, welche die Arbeit der Züchter bewerten,“ gefördert und weiter entwickelt werden sollten (vergleiche Punkt 51 oben)</w:t>
            </w:r>
          </w:p>
        </w:tc>
        <w:tc>
          <w:tcPr>
            <w:tcW w:w="1523" w:type="dxa"/>
            <w:gridSpan w:val="2"/>
          </w:tcPr>
          <w:p w:rsidR="004A7CD0" w:rsidRDefault="004A7CD0">
            <w:pPr>
              <w:jc w:val="left"/>
              <w:rPr>
                <w:szCs w:val="24"/>
              </w:rPr>
            </w:pPr>
            <w:r>
              <w:rPr>
                <w:i/>
                <w:szCs w:val="24"/>
                <w:lang w:val="de-CH"/>
              </w:rPr>
              <w:t>Gemeinsamer Beitrag von Züchtern</w:t>
            </w:r>
          </w:p>
        </w:tc>
      </w:tr>
      <w:tr w:rsidR="004A7CD0">
        <w:trPr>
          <w:cantSplit/>
        </w:trPr>
        <w:tc>
          <w:tcPr>
            <w:tcW w:w="1305" w:type="dxa"/>
          </w:tcPr>
          <w:p w:rsidR="004A7CD0" w:rsidRPr="00AB0E01" w:rsidRDefault="004A7CD0">
            <w:pPr>
              <w:rPr>
                <w:spacing w:val="-2"/>
                <w:szCs w:val="24"/>
              </w:rPr>
            </w:pPr>
            <w:r w:rsidRPr="00AB0E01">
              <w:rPr>
                <w:i/>
                <w:spacing w:val="-2"/>
                <w:szCs w:val="24"/>
                <w:lang w:val="de-CH"/>
              </w:rPr>
              <w:t>Punkt 61 [58]</w:t>
            </w:r>
          </w:p>
        </w:tc>
        <w:tc>
          <w:tcPr>
            <w:tcW w:w="7155" w:type="dxa"/>
          </w:tcPr>
          <w:p w:rsidR="004A7CD0" w:rsidRDefault="004A7CD0" w:rsidP="004A7CD0">
            <w:pPr>
              <w:jc w:val="left"/>
              <w:rPr>
                <w:szCs w:val="24"/>
                <w:lang w:val="de-CH"/>
              </w:rPr>
            </w:pPr>
            <w:r>
              <w:rPr>
                <w:i/>
                <w:szCs w:val="24"/>
                <w:lang w:val="de-CH"/>
              </w:rPr>
              <w:t>„das Interesse der von den Wirtschaftsverbänden eingeführten alternativen Streitbeilegungsverfahren“ zu prüfen</w:t>
            </w:r>
          </w:p>
        </w:tc>
        <w:tc>
          <w:tcPr>
            <w:tcW w:w="1523" w:type="dxa"/>
            <w:gridSpan w:val="2"/>
          </w:tcPr>
          <w:p w:rsidR="004A7CD0" w:rsidRDefault="004A7CD0">
            <w:pPr>
              <w:jc w:val="left"/>
              <w:rPr>
                <w:szCs w:val="24"/>
              </w:rPr>
            </w:pPr>
            <w:r>
              <w:rPr>
                <w:i/>
                <w:szCs w:val="24"/>
                <w:lang w:val="de-CH"/>
              </w:rPr>
              <w:t>Gemeinsamer Beitrag von Züchtern</w:t>
            </w:r>
          </w:p>
        </w:tc>
      </w:tr>
      <w:tr w:rsidR="00A511D2">
        <w:trPr>
          <w:cantSplit/>
        </w:trPr>
        <w:tc>
          <w:tcPr>
            <w:tcW w:w="1305" w:type="dxa"/>
          </w:tcPr>
          <w:p w:rsidR="00A511D2" w:rsidRPr="00AB0E01" w:rsidRDefault="00A511D2">
            <w:pPr>
              <w:rPr>
                <w:spacing w:val="-2"/>
                <w:szCs w:val="24"/>
              </w:rPr>
            </w:pPr>
            <w:r w:rsidRPr="00AB0E01">
              <w:rPr>
                <w:i/>
                <w:spacing w:val="-2"/>
                <w:szCs w:val="24"/>
                <w:highlight w:val="lightGray"/>
                <w:u w:val="single"/>
                <w:lang w:val="de-CH"/>
              </w:rPr>
              <w:t>Punkt 62</w:t>
            </w:r>
          </w:p>
        </w:tc>
        <w:tc>
          <w:tcPr>
            <w:tcW w:w="7155" w:type="dxa"/>
          </w:tcPr>
          <w:p w:rsidR="00A511D2" w:rsidRPr="00F03548" w:rsidRDefault="00A511D2">
            <w:pPr>
              <w:jc w:val="left"/>
              <w:rPr>
                <w:i/>
                <w:szCs w:val="24"/>
                <w:highlight w:val="lightGray"/>
                <w:u w:val="single"/>
                <w:lang w:val="de-CH"/>
              </w:rPr>
            </w:pPr>
            <w:r>
              <w:rPr>
                <w:i/>
                <w:szCs w:val="24"/>
                <w:highlight w:val="lightGray"/>
                <w:u w:val="single"/>
                <w:lang w:val="de-CH"/>
              </w:rPr>
              <w:t>zu prüfen, daß eine Vereinheitlichung der genetischen Schwellenwerte für im wesentlichen abgeleitete Sorten für die internationale Gemeinschaft nützlich sein könnte, die UPOV-Mitglieder letztlich jedoch gleichzeitig alle derartigen genetischen Beweise für im wesentlichen abgeleitete Sorten in Übereinstimmung mit ihren eigenen Beweisregimen bewerten sollten.</w:t>
            </w:r>
          </w:p>
        </w:tc>
        <w:tc>
          <w:tcPr>
            <w:tcW w:w="1523" w:type="dxa"/>
            <w:gridSpan w:val="2"/>
          </w:tcPr>
          <w:p w:rsidR="00A511D2" w:rsidRDefault="00A511D2">
            <w:pPr>
              <w:jc w:val="left"/>
              <w:rPr>
                <w:szCs w:val="24"/>
              </w:rPr>
            </w:pPr>
            <w:r>
              <w:rPr>
                <w:i/>
                <w:szCs w:val="24"/>
                <w:highlight w:val="lightGray"/>
                <w:u w:val="single"/>
                <w:lang w:val="de-CH"/>
              </w:rPr>
              <w:t>US</w:t>
            </w:r>
          </w:p>
        </w:tc>
      </w:tr>
      <w:tr w:rsidR="00A511D2">
        <w:trPr>
          <w:cantSplit/>
        </w:trPr>
        <w:tc>
          <w:tcPr>
            <w:tcW w:w="1305" w:type="dxa"/>
          </w:tcPr>
          <w:p w:rsidR="00A511D2" w:rsidRPr="00AB0E01" w:rsidRDefault="00A511D2">
            <w:pPr>
              <w:rPr>
                <w:spacing w:val="-2"/>
                <w:szCs w:val="24"/>
              </w:rPr>
            </w:pPr>
            <w:r w:rsidRPr="00AB0E01">
              <w:rPr>
                <w:i/>
                <w:spacing w:val="-2"/>
                <w:szCs w:val="24"/>
                <w:highlight w:val="lightGray"/>
                <w:u w:val="single"/>
                <w:lang w:val="de-CH"/>
              </w:rPr>
              <w:t>Punkt 63</w:t>
            </w:r>
          </w:p>
        </w:tc>
        <w:tc>
          <w:tcPr>
            <w:tcW w:w="7155" w:type="dxa"/>
          </w:tcPr>
          <w:p w:rsidR="00A511D2" w:rsidRDefault="00A511D2">
            <w:pPr>
              <w:jc w:val="left"/>
              <w:rPr>
                <w:szCs w:val="24"/>
                <w:lang w:val="de-CH"/>
              </w:rPr>
            </w:pPr>
            <w:r>
              <w:rPr>
                <w:i/>
                <w:szCs w:val="24"/>
                <w:highlight w:val="lightGray"/>
                <w:u w:val="single"/>
                <w:lang w:val="de-CH"/>
              </w:rPr>
              <w:t>zu prüfen, ob „Unterstützung für bestimmte Beispiele von im wesentlichen abgeleiten Sorten gefunden werden kann, entweder in der Rechtsprechung der Rechtsordnungen der Mitglieder oder in anderen Bereichen des Konsenses, welche die Gruppe auf Grundlage der im Vertragstext verwendeten Begriffe (z. B. ‘überwiegend abgeleitet’ , ‘sich deutlich von der der Ursprungssorte unterscheidet’ und/oder ‘hinsichtlich der Ausprägung der wesentlichen Merkmale mit der Ursprungssorte übereinstimmt’ usw.) ausarbeiten kann.“</w:t>
            </w:r>
          </w:p>
        </w:tc>
        <w:tc>
          <w:tcPr>
            <w:tcW w:w="1523" w:type="dxa"/>
            <w:gridSpan w:val="2"/>
          </w:tcPr>
          <w:p w:rsidR="00A511D2" w:rsidRDefault="00A511D2">
            <w:pPr>
              <w:jc w:val="left"/>
              <w:rPr>
                <w:szCs w:val="24"/>
                <w:lang w:val="de-DE"/>
              </w:rPr>
            </w:pPr>
            <w:r>
              <w:rPr>
                <w:i/>
                <w:szCs w:val="24"/>
                <w:highlight w:val="lightGray"/>
                <w:u w:val="single"/>
                <w:lang w:val="de-DE"/>
              </w:rPr>
              <w:t>US</w:t>
            </w:r>
          </w:p>
        </w:tc>
      </w:tr>
      <w:tr w:rsidR="00A511D2">
        <w:trPr>
          <w:cantSplit/>
        </w:trPr>
        <w:tc>
          <w:tcPr>
            <w:tcW w:w="1305" w:type="dxa"/>
          </w:tcPr>
          <w:p w:rsidR="00A511D2" w:rsidRPr="00AB0E01" w:rsidRDefault="00A511D2">
            <w:pPr>
              <w:rPr>
                <w:spacing w:val="-2"/>
                <w:szCs w:val="24"/>
                <w:lang w:val="de-DE"/>
              </w:rPr>
            </w:pPr>
            <w:r w:rsidRPr="00AB0E01">
              <w:rPr>
                <w:i/>
                <w:spacing w:val="-2"/>
                <w:szCs w:val="24"/>
                <w:highlight w:val="lightGray"/>
                <w:u w:val="single"/>
                <w:lang w:val="de-DE"/>
              </w:rPr>
              <w:t>Punkt 64</w:t>
            </w:r>
          </w:p>
        </w:tc>
        <w:tc>
          <w:tcPr>
            <w:tcW w:w="7155" w:type="dxa"/>
          </w:tcPr>
          <w:p w:rsidR="00A511D2" w:rsidRPr="00F03548" w:rsidRDefault="00A511D2">
            <w:pPr>
              <w:jc w:val="left"/>
              <w:rPr>
                <w:spacing w:val="-2"/>
                <w:szCs w:val="24"/>
                <w:lang w:val="de-CH"/>
              </w:rPr>
            </w:pPr>
            <w:r w:rsidRPr="00F03548">
              <w:rPr>
                <w:i/>
                <w:spacing w:val="-2"/>
                <w:szCs w:val="24"/>
                <w:highlight w:val="lightGray"/>
                <w:u w:val="single"/>
                <w:lang w:val="de-CH"/>
              </w:rPr>
              <w:t>zu prüfen, da</w:t>
            </w:r>
            <w:r w:rsidR="00E17CC0" w:rsidRPr="00F03548">
              <w:rPr>
                <w:i/>
                <w:spacing w:val="-2"/>
                <w:szCs w:val="24"/>
                <w:highlight w:val="lightGray"/>
                <w:u w:val="single"/>
                <w:lang w:val="de-CH"/>
              </w:rPr>
              <w:t>ss</w:t>
            </w:r>
            <w:r w:rsidRPr="00F03548">
              <w:rPr>
                <w:i/>
                <w:spacing w:val="-2"/>
                <w:szCs w:val="24"/>
                <w:highlight w:val="lightGray"/>
                <w:u w:val="single"/>
                <w:lang w:val="de-CH"/>
              </w:rPr>
              <w:t xml:space="preserve"> „der Prozess der Festlegung von nützlichen Schwellenwerten für die Beurteilung der genetischen Übereinstimmung von allen interessierten UPOV-Mitgliedern und Interessenvertretern gemeinsam festgelegt werden sollte. Die Kosten und Auswirkungen auf kleine und mittelgroße Einheiten sollten in Betracht gezogen werden (d. h. sind die Kosten für genetische Tests so unerschwinglich, daß kleine Züchter keinen Zugang zu der Technologie haben).</w:t>
            </w:r>
            <w:r w:rsidRPr="00F03548">
              <w:rPr>
                <w:i/>
                <w:spacing w:val="-2"/>
                <w:szCs w:val="24"/>
                <w:highlight w:val="lightGray"/>
                <w:u w:val="single"/>
                <w:lang w:val="de-DE"/>
              </w:rPr>
              <w:t xml:space="preserve"> </w:t>
            </w:r>
            <w:r w:rsidRPr="00F03548">
              <w:rPr>
                <w:i/>
                <w:spacing w:val="-2"/>
                <w:szCs w:val="24"/>
                <w:highlight w:val="lightGray"/>
                <w:u w:val="single"/>
                <w:lang w:val="de-CH"/>
              </w:rPr>
              <w:t xml:space="preserve">Darüber hinaus sollte die Arbeitsgruppe prüfen, ob bestimmte Klassen von Züchtungsverfahren prima facie (aber widerlegbar) einen Fall von </w:t>
            </w:r>
            <w:r w:rsidR="00E17CC0" w:rsidRPr="00F03548">
              <w:rPr>
                <w:i/>
                <w:spacing w:val="-2"/>
                <w:szCs w:val="24"/>
                <w:highlight w:val="lightGray"/>
                <w:u w:val="single"/>
                <w:lang w:val="de-CH"/>
              </w:rPr>
              <w:t>‘</w:t>
            </w:r>
            <w:r w:rsidRPr="00F03548">
              <w:rPr>
                <w:i/>
                <w:spacing w:val="-2"/>
                <w:szCs w:val="24"/>
                <w:highlight w:val="lightGray"/>
                <w:u w:val="single"/>
                <w:lang w:val="de-CH"/>
              </w:rPr>
              <w:t>vorwiegende Ableitungen</w:t>
            </w:r>
            <w:r w:rsidR="00E17CC0" w:rsidRPr="00F03548">
              <w:rPr>
                <w:i/>
                <w:spacing w:val="-2"/>
                <w:szCs w:val="24"/>
                <w:highlight w:val="lightGray"/>
                <w:u w:val="single"/>
                <w:lang w:val="de-CH"/>
              </w:rPr>
              <w:t xml:space="preserve">’ </w:t>
            </w:r>
            <w:r w:rsidRPr="00F03548">
              <w:rPr>
                <w:i/>
                <w:spacing w:val="-2"/>
                <w:szCs w:val="24"/>
                <w:highlight w:val="lightGray"/>
                <w:u w:val="single"/>
                <w:lang w:val="de-CH"/>
              </w:rPr>
              <w:t>auslösen sollten.</w:t>
            </w:r>
            <w:r w:rsidRPr="00F03548">
              <w:rPr>
                <w:i/>
                <w:spacing w:val="-2"/>
                <w:szCs w:val="24"/>
                <w:highlight w:val="lightGray"/>
                <w:u w:val="single"/>
                <w:lang w:val="de-DE"/>
              </w:rPr>
              <w:t xml:space="preserve"> </w:t>
            </w:r>
            <w:r w:rsidRPr="00F03548">
              <w:rPr>
                <w:i/>
                <w:spacing w:val="-2"/>
                <w:szCs w:val="24"/>
                <w:highlight w:val="lightGray"/>
                <w:u w:val="single"/>
                <w:lang w:val="de-CH"/>
              </w:rPr>
              <w:t>Solche Klassen von Techniken könnten unter anderem die Ableitung von Mutanten durch Strahlung, Point Gene Edits oder andere Techniken beinhalten, aber nicht darauf beschränkt sein.“</w:t>
            </w:r>
          </w:p>
        </w:tc>
        <w:tc>
          <w:tcPr>
            <w:tcW w:w="1523" w:type="dxa"/>
            <w:gridSpan w:val="2"/>
          </w:tcPr>
          <w:p w:rsidR="00A511D2" w:rsidRDefault="00A511D2">
            <w:pPr>
              <w:jc w:val="left"/>
              <w:rPr>
                <w:szCs w:val="24"/>
              </w:rPr>
            </w:pPr>
            <w:r>
              <w:rPr>
                <w:i/>
                <w:szCs w:val="24"/>
                <w:highlight w:val="lightGray"/>
                <w:u w:val="single"/>
                <w:lang w:val="de-CH"/>
              </w:rPr>
              <w:t>US</w:t>
            </w:r>
          </w:p>
        </w:tc>
      </w:tr>
      <w:tr w:rsidR="00A511D2">
        <w:trPr>
          <w:cantSplit/>
        </w:trPr>
        <w:tc>
          <w:tcPr>
            <w:tcW w:w="1305" w:type="dxa"/>
          </w:tcPr>
          <w:p w:rsidR="00A511D2" w:rsidRPr="00AB0E01" w:rsidRDefault="00A511D2">
            <w:pPr>
              <w:rPr>
                <w:spacing w:val="-2"/>
                <w:szCs w:val="24"/>
                <w:highlight w:val="lightGray"/>
                <w:lang w:val="de-DE"/>
              </w:rPr>
            </w:pPr>
            <w:r w:rsidRPr="00AB0E01">
              <w:rPr>
                <w:i/>
                <w:spacing w:val="-2"/>
                <w:szCs w:val="24"/>
                <w:highlight w:val="lightGray"/>
                <w:u w:val="single"/>
                <w:lang w:val="de-DE"/>
              </w:rPr>
              <w:t>Punkt 65</w:t>
            </w:r>
          </w:p>
        </w:tc>
        <w:tc>
          <w:tcPr>
            <w:tcW w:w="7155" w:type="dxa"/>
          </w:tcPr>
          <w:p w:rsidR="00A511D2" w:rsidRDefault="00A511D2">
            <w:pPr>
              <w:jc w:val="left"/>
              <w:rPr>
                <w:szCs w:val="24"/>
                <w:lang w:val="de-CH"/>
              </w:rPr>
            </w:pPr>
            <w:r>
              <w:rPr>
                <w:i/>
                <w:szCs w:val="24"/>
                <w:highlight w:val="lightGray"/>
                <w:u w:val="single"/>
                <w:lang w:val="de-CH"/>
              </w:rPr>
              <w:t>zu prüfen, da</w:t>
            </w:r>
            <w:r w:rsidR="00E17CC0">
              <w:rPr>
                <w:i/>
                <w:szCs w:val="24"/>
                <w:highlight w:val="lightGray"/>
                <w:u w:val="single"/>
                <w:lang w:val="de-CH"/>
              </w:rPr>
              <w:t>ss</w:t>
            </w:r>
            <w:r>
              <w:rPr>
                <w:i/>
                <w:szCs w:val="24"/>
                <w:highlight w:val="lightGray"/>
                <w:u w:val="single"/>
                <w:lang w:val="de-CH"/>
              </w:rPr>
              <w:t xml:space="preserve"> </w:t>
            </w:r>
            <w:r>
              <w:rPr>
                <w:i/>
                <w:szCs w:val="24"/>
                <w:highlight w:val="lightGray"/>
                <w:lang w:val="de-CH"/>
              </w:rPr>
              <w:t>„</w:t>
            </w:r>
            <w:r>
              <w:rPr>
                <w:i/>
                <w:szCs w:val="24"/>
                <w:highlight w:val="lightGray"/>
                <w:u w:val="single"/>
                <w:lang w:val="de-CH"/>
              </w:rPr>
              <w:t xml:space="preserve">endgültige Bestimmungen von im wesentlichen abgeleiteten Sorten am besten den nationalen Gerichten oder einem Schiedsverfahren überlassen werden sollten. </w:t>
            </w:r>
            <w:r>
              <w:rPr>
                <w:i/>
                <w:szCs w:val="24"/>
                <w:highlight w:val="lightGray"/>
                <w:u w:val="single"/>
                <w:lang w:val="de-DE"/>
              </w:rPr>
              <w:t xml:space="preserve">Jede Entscheidung der Erteilungsbehörde über im wesentlichen abgeleitete Sorten könnte als widerlegbarer Beweis für eine im wesentlichen abgeleitete Sorte vor nationalen Gerichten oder in einem Schlichtungsverfahren verwendet werden. </w:t>
            </w:r>
            <w:r>
              <w:rPr>
                <w:i/>
                <w:szCs w:val="24"/>
                <w:highlight w:val="lightGray"/>
                <w:u w:val="single"/>
                <w:lang w:val="de-CH"/>
              </w:rPr>
              <w:t>Jedoch [...] schreibt die Akte von 1991 des Übereinkommens den Ämtern nicht vor, Bestimmungen von im wesentlichen abgeleiteten Sorten durchzuführen, und die Arbeitsgruppe kann nicht als Mittel zur Schaffung eines solchen Erfordernisses dienen.“</w:t>
            </w:r>
          </w:p>
        </w:tc>
        <w:tc>
          <w:tcPr>
            <w:tcW w:w="1523" w:type="dxa"/>
            <w:gridSpan w:val="2"/>
          </w:tcPr>
          <w:p w:rsidR="00A511D2" w:rsidRDefault="00A511D2">
            <w:pPr>
              <w:jc w:val="left"/>
              <w:rPr>
                <w:szCs w:val="24"/>
              </w:rPr>
            </w:pPr>
            <w:r>
              <w:rPr>
                <w:i/>
                <w:szCs w:val="24"/>
                <w:highlight w:val="lightGray"/>
                <w:u w:val="single"/>
                <w:lang w:val="de-CH"/>
              </w:rPr>
              <w:t>US</w:t>
            </w:r>
          </w:p>
        </w:tc>
      </w:tr>
    </w:tbl>
    <w:p w:rsidR="00904D48" w:rsidRDefault="00904D48">
      <w:pPr>
        <w:jc w:val="right"/>
        <w:rPr>
          <w:szCs w:val="24"/>
          <w:lang w:val="de-DE"/>
        </w:rPr>
      </w:pPr>
    </w:p>
    <w:p w:rsidR="00904D48" w:rsidRDefault="00904D48">
      <w:pPr>
        <w:jc w:val="right"/>
        <w:rPr>
          <w:szCs w:val="24"/>
          <w:lang w:val="de-DE"/>
        </w:rPr>
      </w:pPr>
    </w:p>
    <w:p w:rsidR="00904D48" w:rsidRDefault="00904D48">
      <w:pPr>
        <w:jc w:val="right"/>
        <w:rPr>
          <w:szCs w:val="24"/>
          <w:lang w:val="de-DE"/>
        </w:rPr>
      </w:pPr>
      <w:r>
        <w:rPr>
          <w:szCs w:val="24"/>
          <w:lang w:val="de-CH"/>
        </w:rPr>
        <w:t>[Anhang II folgt]</w:t>
      </w:r>
    </w:p>
    <w:p w:rsidR="00904D48" w:rsidRDefault="00904D48">
      <w:pPr>
        <w:keepNext/>
        <w:jc w:val="center"/>
        <w:rPr>
          <w:szCs w:val="24"/>
          <w:lang w:val="de-DE"/>
        </w:rPr>
      </w:pPr>
    </w:p>
    <w:p w:rsidR="00904D48" w:rsidRDefault="00904D48">
      <w:pPr>
        <w:keepNext/>
        <w:jc w:val="center"/>
        <w:rPr>
          <w:szCs w:val="24"/>
          <w:lang w:val="de-DE"/>
        </w:rPr>
        <w:sectPr w:rsidR="00904D48">
          <w:headerReference w:type="default" r:id="rId13"/>
          <w:headerReference w:type="first" r:id="rId14"/>
          <w:pgSz w:w="11907" w:h="16840" w:code="9"/>
          <w:pgMar w:top="510" w:right="1134" w:bottom="993" w:left="1134" w:header="510" w:footer="624" w:gutter="0"/>
          <w:pgNumType w:start="1"/>
          <w:cols w:space="720"/>
          <w:titlePg/>
        </w:sectPr>
      </w:pPr>
    </w:p>
    <w:p w:rsidR="00904D48" w:rsidRDefault="00904D48">
      <w:pPr>
        <w:jc w:val="center"/>
        <w:rPr>
          <w:szCs w:val="24"/>
          <w:lang w:val="de-DE"/>
        </w:rPr>
      </w:pPr>
      <w:r>
        <w:rPr>
          <w:szCs w:val="24"/>
          <w:lang w:val="de-DE"/>
        </w:rPr>
        <w:lastRenderedPageBreak/>
        <w:t>BRAUCH UND PRAXIS DER ZÜCHTER</w:t>
      </w:r>
    </w:p>
    <w:p w:rsidR="00904D48" w:rsidRDefault="00904D48">
      <w:pPr>
        <w:keepNext/>
        <w:jc w:val="center"/>
        <w:rPr>
          <w:szCs w:val="24"/>
          <w:lang w:val="de-CH"/>
        </w:rPr>
      </w:pPr>
    </w:p>
    <w:p w:rsidR="00F03548" w:rsidRDefault="00F03548">
      <w:pPr>
        <w:keepNext/>
        <w:jc w:val="center"/>
        <w:rPr>
          <w:szCs w:val="24"/>
          <w:lang w:val="de-CH"/>
        </w:rPr>
      </w:pPr>
    </w:p>
    <w:p w:rsidR="004A7CD0" w:rsidRPr="00F03548" w:rsidRDefault="004A7CD0" w:rsidP="004A7CD0">
      <w:pPr>
        <w:keepNext/>
        <w:rPr>
          <w:spacing w:val="-4"/>
          <w:szCs w:val="24"/>
          <w:lang w:val="de-CH"/>
        </w:rPr>
      </w:pPr>
      <w:r w:rsidRPr="00F03548">
        <w:rPr>
          <w:spacing w:val="-4"/>
          <w:szCs w:val="24"/>
          <w:lang w:val="de-CH"/>
        </w:rPr>
        <w:t>In Antwort auf das Rundschreiben E-233 mit dem Ersuchen, Informationen über Bräuche und Praktiken der Züchter betreffend im wesentlichen abgeleitete Sorten zu erteilen, gingen beim Verbandsbüro folgende Beiträge ein:</w:t>
      </w:r>
    </w:p>
    <w:p w:rsidR="004A7CD0" w:rsidRDefault="004A7CD0" w:rsidP="004A7CD0">
      <w:pPr>
        <w:keepNext/>
        <w:rPr>
          <w:szCs w:val="24"/>
          <w:lang w:val="de-CH"/>
        </w:rPr>
      </w:pPr>
    </w:p>
    <w:p w:rsidR="004A7CD0" w:rsidRDefault="004A7CD0" w:rsidP="004A7CD0">
      <w:pPr>
        <w:tabs>
          <w:tab w:val="left" w:pos="1134"/>
        </w:tabs>
        <w:ind w:firstLine="567"/>
        <w:rPr>
          <w:szCs w:val="24"/>
          <w:lang w:val="de-CH"/>
        </w:rPr>
      </w:pPr>
      <w:r w:rsidRPr="00A65EE2">
        <w:rPr>
          <w:szCs w:val="24"/>
          <w:lang w:val="de-CH"/>
        </w:rPr>
        <w:t>a)</w:t>
      </w:r>
      <w:r w:rsidRPr="00A65EE2">
        <w:rPr>
          <w:szCs w:val="24"/>
          <w:lang w:val="de-CH"/>
        </w:rPr>
        <w:tab/>
        <w:t xml:space="preserve">am 9. </w:t>
      </w:r>
      <w:r>
        <w:rPr>
          <w:szCs w:val="24"/>
          <w:lang w:val="de-CH"/>
        </w:rPr>
        <w:t xml:space="preserve">April ein gemeinsamer Beitrag des </w:t>
      </w:r>
      <w:r>
        <w:rPr>
          <w:i/>
          <w:szCs w:val="24"/>
          <w:lang w:val="de-CH"/>
        </w:rPr>
        <w:t>International Seed Federation</w:t>
      </w:r>
      <w:r>
        <w:rPr>
          <w:szCs w:val="24"/>
          <w:lang w:val="de-CH"/>
        </w:rPr>
        <w:t xml:space="preserve"> (ISF), der Internationalen Gemeinschaft der Züchter vegetativ vermehrbarer </w:t>
      </w:r>
      <w:r w:rsidRPr="009625B6">
        <w:rPr>
          <w:lang w:val="de-DE"/>
        </w:rPr>
        <w:t>gartenbaulicher Pflanzen</w:t>
      </w:r>
      <w:r w:rsidRPr="009625B6">
        <w:rPr>
          <w:szCs w:val="24"/>
          <w:lang w:val="de-DE"/>
        </w:rPr>
        <w:t xml:space="preserve"> </w:t>
      </w:r>
      <w:r>
        <w:rPr>
          <w:szCs w:val="24"/>
          <w:lang w:val="de-CH"/>
        </w:rPr>
        <w:t xml:space="preserve">(CIOPORA), </w:t>
      </w:r>
      <w:r w:rsidRPr="0027537E">
        <w:rPr>
          <w:i/>
          <w:szCs w:val="24"/>
          <w:lang w:val="de-CH"/>
        </w:rPr>
        <w:t>Crop</w:t>
      </w:r>
      <w:r w:rsidR="00F03548">
        <w:rPr>
          <w:i/>
          <w:szCs w:val="24"/>
          <w:lang w:val="de-CH"/>
        </w:rPr>
        <w:t>Life </w:t>
      </w:r>
      <w:r w:rsidRPr="0027537E">
        <w:rPr>
          <w:i/>
          <w:szCs w:val="24"/>
          <w:lang w:val="de-CH"/>
        </w:rPr>
        <w:t>International</w:t>
      </w:r>
      <w:r>
        <w:rPr>
          <w:szCs w:val="24"/>
          <w:lang w:val="de-CH"/>
        </w:rPr>
        <w:t xml:space="preserve">, Euroseeds, </w:t>
      </w:r>
      <w:r w:rsidRPr="0014101A">
        <w:rPr>
          <w:i/>
          <w:szCs w:val="24"/>
          <w:lang w:val="de-DE"/>
        </w:rPr>
        <w:t>Asia and Pacific Seed Association</w:t>
      </w:r>
      <w:r w:rsidRPr="0014101A">
        <w:rPr>
          <w:szCs w:val="24"/>
          <w:lang w:val="de-DE"/>
        </w:rPr>
        <w:t xml:space="preserve"> </w:t>
      </w:r>
      <w:r w:rsidRPr="009625B6">
        <w:rPr>
          <w:szCs w:val="24"/>
          <w:lang w:val="de-DE"/>
        </w:rPr>
        <w:t>(APSA)</w:t>
      </w:r>
      <w:r>
        <w:rPr>
          <w:szCs w:val="24"/>
          <w:lang w:val="de-DE"/>
        </w:rPr>
        <w:t xml:space="preserve"> (</w:t>
      </w:r>
      <w:r w:rsidRPr="009625B6">
        <w:rPr>
          <w:szCs w:val="24"/>
          <w:lang w:val="de-DE"/>
        </w:rPr>
        <w:t>Saatgutvereinigung für Asien und den Pazifik</w:t>
      </w:r>
      <w:r>
        <w:rPr>
          <w:szCs w:val="24"/>
          <w:lang w:val="de-DE"/>
        </w:rPr>
        <w:t>)</w:t>
      </w:r>
      <w:r>
        <w:rPr>
          <w:szCs w:val="24"/>
          <w:lang w:val="de-CH"/>
        </w:rPr>
        <w:t xml:space="preserve">, Afrikanischer Saatguthandelsverband (AFSTA) und </w:t>
      </w:r>
      <w:r>
        <w:rPr>
          <w:i/>
          <w:szCs w:val="24"/>
          <w:lang w:val="de-CH"/>
        </w:rPr>
        <w:t xml:space="preserve">Seed Association of the Americas </w:t>
      </w:r>
      <w:r>
        <w:rPr>
          <w:szCs w:val="24"/>
          <w:lang w:val="de-CH"/>
        </w:rPr>
        <w:t xml:space="preserve">(SAA) sowie die Umfrage mit dem </w:t>
      </w:r>
      <w:r>
        <w:rPr>
          <w:i/>
          <w:szCs w:val="24"/>
          <w:lang w:val="de-CH"/>
        </w:rPr>
        <w:t>„</w:t>
      </w:r>
      <w:r>
        <w:rPr>
          <w:szCs w:val="24"/>
          <w:lang w:val="de-CH"/>
        </w:rPr>
        <w:t>Kurzbericht betreffend im wesentlichen abgeleitete Sorten mit Ergebnissen und Bemerkungen von 98 Akteuren, die in verschiedenen Bereichen von Argar-, Zier-, Obst- und Gemüsepflanzen und auf verschiedenen Kontinenten tätig sind</w:t>
      </w:r>
      <w:r>
        <w:rPr>
          <w:i/>
          <w:szCs w:val="24"/>
          <w:lang w:val="de-CH"/>
        </w:rPr>
        <w:t>“</w:t>
      </w:r>
      <w:r>
        <w:rPr>
          <w:szCs w:val="24"/>
          <w:lang w:val="de-CH"/>
        </w:rPr>
        <w:t xml:space="preserve"> (gemeinsamer Beitrag der Züchter);</w:t>
      </w:r>
    </w:p>
    <w:p w:rsidR="004A7CD0" w:rsidRDefault="004A7CD0" w:rsidP="004A7CD0">
      <w:pPr>
        <w:tabs>
          <w:tab w:val="left" w:pos="1134"/>
        </w:tabs>
        <w:ind w:firstLine="567"/>
        <w:rPr>
          <w:szCs w:val="24"/>
          <w:lang w:val="de-CH"/>
        </w:rPr>
      </w:pPr>
    </w:p>
    <w:p w:rsidR="004A7CD0" w:rsidRDefault="004A7CD0" w:rsidP="004A7CD0">
      <w:pPr>
        <w:tabs>
          <w:tab w:val="left" w:pos="1134"/>
        </w:tabs>
        <w:ind w:firstLine="567"/>
        <w:rPr>
          <w:szCs w:val="24"/>
          <w:lang w:val="de-CH"/>
        </w:rPr>
      </w:pPr>
      <w:r w:rsidRPr="00A65EE2">
        <w:rPr>
          <w:szCs w:val="24"/>
          <w:lang w:val="de-CH"/>
        </w:rPr>
        <w:t>b)</w:t>
      </w:r>
      <w:r w:rsidRPr="00A65EE2">
        <w:rPr>
          <w:szCs w:val="24"/>
          <w:lang w:val="de-CH"/>
        </w:rPr>
        <w:tab/>
        <w:t xml:space="preserve">am 27. </w:t>
      </w:r>
      <w:r>
        <w:rPr>
          <w:szCs w:val="24"/>
          <w:lang w:val="de-CH"/>
        </w:rPr>
        <w:t>Mai 2020 ein Beitrag des Internationalen Verbands des Erwerbsgartenbaues (AIPH), der seine Unterstützung für bestimmte Erkenntnisse in der oben unter Punkt a) genannten Umfrage zum Ausdruck brachte.</w:t>
      </w:r>
    </w:p>
    <w:p w:rsidR="004A7CD0" w:rsidRDefault="004A7CD0" w:rsidP="004A7CD0">
      <w:pPr>
        <w:rPr>
          <w:szCs w:val="24"/>
          <w:lang w:val="de-CH"/>
        </w:rPr>
      </w:pPr>
    </w:p>
    <w:p w:rsidR="004A7CD0" w:rsidRPr="00A65EE2" w:rsidRDefault="004A7CD0" w:rsidP="004A7CD0">
      <w:pPr>
        <w:rPr>
          <w:szCs w:val="24"/>
          <w:lang w:val="de-CH"/>
        </w:rPr>
      </w:pPr>
      <w:r>
        <w:rPr>
          <w:szCs w:val="24"/>
          <w:lang w:val="de-CH"/>
        </w:rPr>
        <w:t xml:space="preserve">Die folgende Tabelle enthält relevante Auszüge aus der Umfrage (vergleiche a) oben). In der Tabelle wird ebenfalls veranschaulicht, wenn der Beitrag des AIPH Unterstützung für die Erkenntnisse in der Umfrage des gemeinsamen Beitrags der Züchter zum Ausdruck brachte. </w:t>
      </w:r>
    </w:p>
    <w:p w:rsidR="00904D48" w:rsidRDefault="00904D48">
      <w:pPr>
        <w:jc w:val="center"/>
        <w:rPr>
          <w:szCs w:val="24"/>
          <w:lang w:val="de-DE"/>
        </w:rPr>
      </w:pPr>
    </w:p>
    <w:p w:rsidR="00904D48" w:rsidRDefault="00904D48">
      <w:pPr>
        <w:jc w:val="center"/>
        <w:rPr>
          <w:szCs w:val="24"/>
          <w:lang w:val="de-DE"/>
        </w:rPr>
      </w:pPr>
    </w:p>
    <w:p w:rsidR="00904D48" w:rsidRDefault="00904D48">
      <w:pPr>
        <w:jc w:val="center"/>
        <w:rPr>
          <w:szCs w:val="24"/>
          <w:lang w:val="de-DE"/>
        </w:rPr>
      </w:pPr>
      <w:r>
        <w:rPr>
          <w:szCs w:val="24"/>
          <w:lang w:val="de-DE"/>
        </w:rPr>
        <w:t>BRAUCH UND PRAXIS DER ZÜCHTER</w:t>
      </w:r>
    </w:p>
    <w:p w:rsidR="00904D48" w:rsidRDefault="00904D48">
      <w:pPr>
        <w:jc w:val="center"/>
        <w:rPr>
          <w:szCs w:val="24"/>
          <w:lang w:val="de-DE"/>
        </w:rPr>
      </w:pPr>
      <w:r>
        <w:rPr>
          <w:szCs w:val="24"/>
          <w:lang w:val="de-DE"/>
        </w:rPr>
        <w:t>BETREFFEND SPEZIFISCHE ASPEKTE DER AKTUELLEN ERLÄUTERUNGEN</w:t>
      </w:r>
    </w:p>
    <w:p w:rsidR="00904D48" w:rsidRDefault="00904D48">
      <w:pPr>
        <w:jc w:val="center"/>
        <w:rPr>
          <w:szCs w:val="24"/>
          <w:lang w:val="de-DE"/>
        </w:rPr>
      </w:pPr>
    </w:p>
    <w:tbl>
      <w:tblPr>
        <w:tblW w:w="102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0A0" w:firstRow="1" w:lastRow="0" w:firstColumn="1" w:lastColumn="0" w:noHBand="0" w:noVBand="0"/>
      </w:tblPr>
      <w:tblGrid>
        <w:gridCol w:w="1305"/>
        <w:gridCol w:w="8930"/>
      </w:tblGrid>
      <w:tr w:rsidR="00904D48" w:rsidRPr="00E957E1">
        <w:trPr>
          <w:cantSplit/>
          <w:tblHeader/>
        </w:trPr>
        <w:tc>
          <w:tcPr>
            <w:tcW w:w="1305" w:type="dxa"/>
          </w:tcPr>
          <w:p w:rsidR="00904D48" w:rsidRDefault="00904D48">
            <w:pPr>
              <w:keepNext/>
              <w:rPr>
                <w:szCs w:val="24"/>
                <w:lang w:val="de-DE"/>
              </w:rPr>
            </w:pPr>
          </w:p>
        </w:tc>
        <w:tc>
          <w:tcPr>
            <w:tcW w:w="8930" w:type="dxa"/>
            <w:shd w:val="clear" w:color="auto" w:fill="EAF1DD"/>
          </w:tcPr>
          <w:p w:rsidR="004A7CD0" w:rsidRPr="00A65EE2" w:rsidRDefault="004A7CD0" w:rsidP="004A7CD0">
            <w:pPr>
              <w:keepNext/>
              <w:rPr>
                <w:i/>
                <w:szCs w:val="24"/>
                <w:lang w:val="de-CH"/>
              </w:rPr>
            </w:pPr>
            <w:r w:rsidRPr="00A65EE2">
              <w:rPr>
                <w:i/>
                <w:szCs w:val="24"/>
                <w:lang w:val="de-CH"/>
              </w:rPr>
              <w:t>Gemeinsamer Beitrag von ISF, CIOPORA, CropLife International, Euroseeds, APSA, AFSTA, SAA.</w:t>
            </w:r>
          </w:p>
          <w:p w:rsidR="004A7CD0" w:rsidRPr="00A65EE2" w:rsidRDefault="004A7CD0" w:rsidP="004A7CD0">
            <w:pPr>
              <w:keepNext/>
              <w:rPr>
                <w:i/>
                <w:szCs w:val="24"/>
                <w:lang w:val="de-CH"/>
              </w:rPr>
            </w:pPr>
          </w:p>
          <w:p w:rsidR="00904D48" w:rsidRDefault="004A7CD0" w:rsidP="004A7CD0">
            <w:pPr>
              <w:keepNext/>
              <w:rPr>
                <w:szCs w:val="24"/>
                <w:lang w:val="de-DE"/>
              </w:rPr>
            </w:pPr>
            <w:r>
              <w:rPr>
                <w:szCs w:val="24"/>
                <w:lang w:val="de-CH"/>
              </w:rPr>
              <w:t>Ein Sternchen (</w:t>
            </w:r>
            <w:r>
              <w:rPr>
                <w:i/>
                <w:szCs w:val="24"/>
                <w:lang w:val="de-CH"/>
              </w:rPr>
              <w:t>„</w:t>
            </w:r>
            <w:r>
              <w:rPr>
                <w:szCs w:val="24"/>
                <w:lang w:val="de-CH"/>
              </w:rPr>
              <w:t>*</w:t>
            </w:r>
            <w:r>
              <w:rPr>
                <w:i/>
                <w:szCs w:val="24"/>
                <w:lang w:val="de-CH"/>
              </w:rPr>
              <w:t>“</w:t>
            </w:r>
            <w:r>
              <w:rPr>
                <w:szCs w:val="24"/>
                <w:lang w:val="de-CH"/>
              </w:rPr>
              <w:t>) in der linken Spalte bedeutet, dass der gemeinsame Beitrag vom AIPH unterstützt wird.</w:t>
            </w:r>
          </w:p>
        </w:tc>
      </w:tr>
      <w:tr w:rsidR="00904D48">
        <w:trPr>
          <w:cantSplit/>
        </w:trPr>
        <w:tc>
          <w:tcPr>
            <w:tcW w:w="1305" w:type="dxa"/>
          </w:tcPr>
          <w:p w:rsidR="00904D48" w:rsidRDefault="00904D48">
            <w:pPr>
              <w:rPr>
                <w:i/>
                <w:szCs w:val="24"/>
                <w:lang w:val="de-DE"/>
              </w:rPr>
            </w:pPr>
          </w:p>
        </w:tc>
        <w:tc>
          <w:tcPr>
            <w:tcW w:w="8930" w:type="dxa"/>
          </w:tcPr>
          <w:p w:rsidR="00904D48" w:rsidRDefault="00904D48">
            <w:pPr>
              <w:rPr>
                <w:szCs w:val="24"/>
                <w:lang w:val="de-DE"/>
              </w:rPr>
            </w:pPr>
            <w:r>
              <w:rPr>
                <w:szCs w:val="24"/>
                <w:lang w:val="de-DE"/>
              </w:rPr>
              <w:t>VORWORT</w:t>
            </w:r>
          </w:p>
          <w:p w:rsidR="00904D48" w:rsidRDefault="00904D48">
            <w:pPr>
              <w:rPr>
                <w:szCs w:val="24"/>
                <w:lang w:val="de-DE"/>
              </w:rPr>
            </w:pPr>
            <w:r>
              <w:rPr>
                <w:szCs w:val="24"/>
                <w:lang w:val="de-DE"/>
              </w:rPr>
              <w:t xml:space="preserve"> </w:t>
            </w:r>
          </w:p>
        </w:tc>
      </w:tr>
      <w:tr w:rsidR="004A7CD0" w:rsidRPr="00E957E1">
        <w:trPr>
          <w:cantSplit/>
        </w:trPr>
        <w:tc>
          <w:tcPr>
            <w:tcW w:w="1305" w:type="dxa"/>
          </w:tcPr>
          <w:p w:rsidR="004A7CD0" w:rsidRDefault="004A7CD0">
            <w:pPr>
              <w:rPr>
                <w:i/>
                <w:szCs w:val="24"/>
                <w:lang w:val="de-DE"/>
              </w:rPr>
            </w:pPr>
          </w:p>
        </w:tc>
        <w:tc>
          <w:tcPr>
            <w:tcW w:w="8930" w:type="dxa"/>
          </w:tcPr>
          <w:p w:rsidR="004A7CD0" w:rsidRDefault="004A7CD0" w:rsidP="004A7CD0">
            <w:pPr>
              <w:rPr>
                <w:szCs w:val="24"/>
                <w:lang w:val="de-DE"/>
              </w:rPr>
            </w:pPr>
            <w:r>
              <w:rPr>
                <w:szCs w:val="24"/>
                <w:lang w:val="de-CH"/>
              </w:rPr>
              <w:t>ABSCHNITT I:  BESTIMMUNGEN ZU DEN IM WESENTLICH ABGELEITETEN SORTEN</w:t>
            </w:r>
          </w:p>
          <w:p w:rsidR="004A7CD0" w:rsidRDefault="004A7CD0" w:rsidP="004A7CD0">
            <w:pPr>
              <w:rPr>
                <w:szCs w:val="24"/>
                <w:lang w:val="de-DE"/>
              </w:rPr>
            </w:pPr>
          </w:p>
        </w:tc>
      </w:tr>
      <w:tr w:rsidR="004A7CD0" w:rsidRPr="00E957E1">
        <w:trPr>
          <w:cantSplit/>
        </w:trPr>
        <w:tc>
          <w:tcPr>
            <w:tcW w:w="1305" w:type="dxa"/>
          </w:tcPr>
          <w:p w:rsidR="004A7CD0" w:rsidRDefault="004A7CD0">
            <w:pPr>
              <w:rPr>
                <w:i/>
                <w:szCs w:val="24"/>
                <w:lang w:val="de-DE"/>
              </w:rPr>
            </w:pPr>
          </w:p>
        </w:tc>
        <w:tc>
          <w:tcPr>
            <w:tcW w:w="8930" w:type="dxa"/>
          </w:tcPr>
          <w:p w:rsidR="004A7CD0" w:rsidRDefault="004A7CD0" w:rsidP="004A7CD0">
            <w:pPr>
              <w:rPr>
                <w:szCs w:val="24"/>
                <w:lang w:val="de-DE"/>
              </w:rPr>
            </w:pPr>
            <w:r w:rsidRPr="00A65EE2">
              <w:rPr>
                <w:szCs w:val="24"/>
                <w:lang w:val="de-CH"/>
              </w:rPr>
              <w:t>a)</w:t>
            </w:r>
            <w:r w:rsidRPr="00A65EE2">
              <w:rPr>
                <w:szCs w:val="24"/>
                <w:lang w:val="de-CH"/>
              </w:rPr>
              <w:tab/>
            </w:r>
            <w:r>
              <w:rPr>
                <w:szCs w:val="24"/>
                <w:lang w:val="de-CH"/>
              </w:rPr>
              <w:t>Entsprechende Bestimmungen der Akte von 1991 des UPOV-Übereinkommens</w:t>
            </w:r>
          </w:p>
          <w:p w:rsidR="004A7CD0" w:rsidRDefault="004A7CD0" w:rsidP="004A7CD0">
            <w:pPr>
              <w:jc w:val="left"/>
              <w:rPr>
                <w:i/>
                <w:szCs w:val="24"/>
                <w:lang w:val="de-DE"/>
              </w:rPr>
            </w:pPr>
          </w:p>
        </w:tc>
      </w:tr>
      <w:tr w:rsidR="004A7CD0" w:rsidRPr="00E957E1">
        <w:trPr>
          <w:cantSplit/>
        </w:trPr>
        <w:tc>
          <w:tcPr>
            <w:tcW w:w="1305" w:type="dxa"/>
          </w:tcPr>
          <w:p w:rsidR="004A7CD0" w:rsidRDefault="004A7CD0">
            <w:pPr>
              <w:rPr>
                <w:szCs w:val="24"/>
                <w:lang w:val="de-DE"/>
              </w:rPr>
            </w:pPr>
            <w:r>
              <w:rPr>
                <w:i/>
                <w:szCs w:val="24"/>
                <w:lang w:val="de-DE"/>
              </w:rPr>
              <w:t>Praxis 1</w:t>
            </w:r>
          </w:p>
        </w:tc>
        <w:tc>
          <w:tcPr>
            <w:tcW w:w="8930" w:type="dxa"/>
          </w:tcPr>
          <w:p w:rsidR="004A7CD0" w:rsidRPr="00A65EE2" w:rsidRDefault="004A7CD0" w:rsidP="004A7CD0">
            <w:pPr>
              <w:jc w:val="left"/>
              <w:rPr>
                <w:szCs w:val="24"/>
                <w:lang w:val="de-CH"/>
              </w:rPr>
            </w:pPr>
            <w:r>
              <w:rPr>
                <w:i/>
                <w:szCs w:val="24"/>
                <w:lang w:val="de-CH"/>
              </w:rPr>
              <w:t>„Die Mehrheit der Befragten (80%) anerkannte die präventive und klärende Wirkung der Bestimmung zu den im wesentlichen abgeleiteten Sorten der Akte von 1991 des UPOV-Übereinkommens im Hinblick auf Entwicklung und gewerbsmäßigen Vertrieb überwiegend abgeleiteter Sorten ohne Vereinbarung“.</w:t>
            </w:r>
          </w:p>
        </w:tc>
      </w:tr>
      <w:tr w:rsidR="004A7CD0" w:rsidRPr="00E957E1">
        <w:trPr>
          <w:cantSplit/>
        </w:trPr>
        <w:tc>
          <w:tcPr>
            <w:tcW w:w="1305" w:type="dxa"/>
          </w:tcPr>
          <w:p w:rsidR="004A7CD0" w:rsidRDefault="004A7CD0">
            <w:pPr>
              <w:rPr>
                <w:szCs w:val="24"/>
                <w:lang w:val="de-DE"/>
              </w:rPr>
            </w:pPr>
            <w:r>
              <w:rPr>
                <w:i/>
                <w:szCs w:val="24"/>
                <w:lang w:val="de-DE"/>
              </w:rPr>
              <w:t>Praxis 2</w:t>
            </w:r>
          </w:p>
        </w:tc>
        <w:tc>
          <w:tcPr>
            <w:tcW w:w="8930" w:type="dxa"/>
          </w:tcPr>
          <w:p w:rsidR="004A7CD0" w:rsidRDefault="004A7CD0" w:rsidP="004A7CD0">
            <w:pPr>
              <w:jc w:val="left"/>
              <w:rPr>
                <w:szCs w:val="24"/>
                <w:lang w:val="de-CH"/>
              </w:rPr>
            </w:pPr>
            <w:r>
              <w:rPr>
                <w:i/>
                <w:szCs w:val="24"/>
                <w:lang w:val="de-CH"/>
              </w:rPr>
              <w:t>„Sie [die Bestimmung zu den im wesentlichen abgeleiteten Sorten] hat die Züchtungsunternehmen veranlasst, ihre Praktiken zu überwachen, und es gab eine Selbstregulierung der Praktiken“.</w:t>
            </w:r>
          </w:p>
        </w:tc>
      </w:tr>
      <w:tr w:rsidR="004A7CD0" w:rsidRPr="00E957E1">
        <w:trPr>
          <w:cantSplit/>
        </w:trPr>
        <w:tc>
          <w:tcPr>
            <w:tcW w:w="1305" w:type="dxa"/>
          </w:tcPr>
          <w:p w:rsidR="004A7CD0" w:rsidRDefault="004A7CD0">
            <w:pPr>
              <w:rPr>
                <w:szCs w:val="24"/>
                <w:lang w:val="de-DE"/>
              </w:rPr>
            </w:pPr>
            <w:r>
              <w:rPr>
                <w:i/>
                <w:szCs w:val="24"/>
                <w:lang w:val="de-DE"/>
              </w:rPr>
              <w:t>Praxis 3</w:t>
            </w:r>
          </w:p>
        </w:tc>
        <w:tc>
          <w:tcPr>
            <w:tcW w:w="8930" w:type="dxa"/>
          </w:tcPr>
          <w:p w:rsidR="004A7CD0" w:rsidRDefault="004A7CD0" w:rsidP="004A7CD0">
            <w:pPr>
              <w:jc w:val="left"/>
              <w:rPr>
                <w:szCs w:val="24"/>
                <w:lang w:val="de-CH"/>
              </w:rPr>
            </w:pPr>
            <w:r>
              <w:rPr>
                <w:i/>
                <w:szCs w:val="24"/>
                <w:lang w:val="de-CH"/>
              </w:rPr>
              <w:t xml:space="preserve">„Einige Züchter erwähnen, dass das Konzept der im wesentlichen abgeleiteten Sorten die Entwicklung und den gewerbsmäßigen Vertrieb im wesentlichen abgeleiteter Sorten nicht verhindert, sondern reguliert. Das Auftreten von spontanen Mutanten kann ohnehin nicht verhindert werden“. </w:t>
            </w:r>
          </w:p>
        </w:tc>
      </w:tr>
      <w:tr w:rsidR="004A7CD0" w:rsidRPr="00E957E1">
        <w:trPr>
          <w:cantSplit/>
        </w:trPr>
        <w:tc>
          <w:tcPr>
            <w:tcW w:w="1305" w:type="dxa"/>
          </w:tcPr>
          <w:p w:rsidR="004A7CD0" w:rsidRDefault="004A7CD0">
            <w:pPr>
              <w:rPr>
                <w:szCs w:val="24"/>
                <w:lang w:val="de-DE"/>
              </w:rPr>
            </w:pPr>
            <w:r>
              <w:rPr>
                <w:i/>
                <w:szCs w:val="24"/>
                <w:lang w:val="de-DE"/>
              </w:rPr>
              <w:t>Praxis 4</w:t>
            </w:r>
            <w:r>
              <w:rPr>
                <w:b/>
                <w:i/>
                <w:szCs w:val="24"/>
                <w:lang w:val="de-DE"/>
              </w:rPr>
              <w:t>*</w:t>
            </w:r>
          </w:p>
        </w:tc>
        <w:tc>
          <w:tcPr>
            <w:tcW w:w="8930" w:type="dxa"/>
          </w:tcPr>
          <w:p w:rsidR="004A7CD0" w:rsidRPr="00A65EE2" w:rsidRDefault="004A7CD0" w:rsidP="004A7CD0">
            <w:pPr>
              <w:jc w:val="left"/>
              <w:rPr>
                <w:szCs w:val="24"/>
                <w:lang w:val="de-CH"/>
              </w:rPr>
            </w:pPr>
            <w:r>
              <w:rPr>
                <w:i/>
                <w:szCs w:val="24"/>
                <w:lang w:val="de-CH"/>
              </w:rPr>
              <w:t xml:space="preserve">„Es wurde auch angemerkt, dass das Konzept der im wesentlichen abgeleiteten Sorten die Biodiversität nicht einschränkt, sondern sie vielmehr erhöht, da die Züchter einen Anreiz erhalten, mit breiterem Keimplasma zu arbeiten, wenn sie die Entwicklung einer im wesentlichen abgeleiteten Sorten vermeiden wollen.“ </w:t>
            </w:r>
          </w:p>
        </w:tc>
      </w:tr>
      <w:tr w:rsidR="004A7CD0" w:rsidRPr="00E957E1">
        <w:trPr>
          <w:cantSplit/>
        </w:trPr>
        <w:tc>
          <w:tcPr>
            <w:tcW w:w="1305" w:type="dxa"/>
          </w:tcPr>
          <w:p w:rsidR="004A7CD0" w:rsidRDefault="004A7CD0">
            <w:pPr>
              <w:rPr>
                <w:i/>
                <w:szCs w:val="24"/>
                <w:lang w:val="de-DE"/>
              </w:rPr>
            </w:pPr>
            <w:r>
              <w:rPr>
                <w:i/>
                <w:szCs w:val="24"/>
                <w:lang w:val="de-DE"/>
              </w:rPr>
              <w:t>Praxis 5</w:t>
            </w:r>
            <w:r>
              <w:rPr>
                <w:b/>
                <w:i/>
                <w:szCs w:val="24"/>
                <w:lang w:val="de-DE"/>
              </w:rPr>
              <w:t>*</w:t>
            </w:r>
          </w:p>
          <w:p w:rsidR="004A7CD0" w:rsidRDefault="004A7CD0">
            <w:pPr>
              <w:rPr>
                <w:i/>
                <w:szCs w:val="24"/>
                <w:highlight w:val="green"/>
                <w:lang w:val="de-DE"/>
              </w:rPr>
            </w:pPr>
          </w:p>
        </w:tc>
        <w:tc>
          <w:tcPr>
            <w:tcW w:w="8930" w:type="dxa"/>
          </w:tcPr>
          <w:p w:rsidR="004A7CD0" w:rsidRDefault="004A7CD0" w:rsidP="004A7CD0">
            <w:pPr>
              <w:jc w:val="left"/>
              <w:rPr>
                <w:szCs w:val="24"/>
                <w:lang w:val="de-CH"/>
              </w:rPr>
            </w:pPr>
            <w:r>
              <w:rPr>
                <w:i/>
                <w:szCs w:val="24"/>
                <w:lang w:val="de-CH"/>
              </w:rPr>
              <w:t>„Die Änderung eines oder mehrerer Merkmale einer Ursprungssorte, zum Beispiel durch die neuesten Züchtungsmethoden, führt nicht automatisch dazu, dass die neue Sorte nicht mehr in den Geltungsbereich der im wesentlichen abgeleiteten Sorten fällt;“</w:t>
            </w:r>
          </w:p>
        </w:tc>
      </w:tr>
      <w:tr w:rsidR="00904D48" w:rsidRPr="00E957E1">
        <w:trPr>
          <w:cantSplit/>
        </w:trPr>
        <w:tc>
          <w:tcPr>
            <w:tcW w:w="1305" w:type="dxa"/>
          </w:tcPr>
          <w:p w:rsidR="00904D48" w:rsidRDefault="00904D48">
            <w:pPr>
              <w:rPr>
                <w:i/>
                <w:szCs w:val="24"/>
                <w:lang w:val="de-DE"/>
              </w:rPr>
            </w:pPr>
          </w:p>
        </w:tc>
        <w:tc>
          <w:tcPr>
            <w:tcW w:w="8930" w:type="dxa"/>
          </w:tcPr>
          <w:p w:rsidR="00904D48" w:rsidRDefault="00904D48">
            <w:pPr>
              <w:jc w:val="left"/>
              <w:rPr>
                <w:i/>
                <w:szCs w:val="24"/>
                <w:lang w:val="de-DE"/>
              </w:rPr>
            </w:pPr>
          </w:p>
        </w:tc>
      </w:tr>
      <w:tr w:rsidR="00904D48" w:rsidRPr="00E957E1">
        <w:trPr>
          <w:cantSplit/>
        </w:trPr>
        <w:tc>
          <w:tcPr>
            <w:tcW w:w="1305" w:type="dxa"/>
          </w:tcPr>
          <w:p w:rsidR="00904D48" w:rsidRDefault="00904D48">
            <w:pPr>
              <w:rPr>
                <w:i/>
                <w:szCs w:val="24"/>
                <w:lang w:val="de-DE"/>
              </w:rPr>
            </w:pPr>
          </w:p>
        </w:tc>
        <w:tc>
          <w:tcPr>
            <w:tcW w:w="8930" w:type="dxa"/>
          </w:tcPr>
          <w:p w:rsidR="00904D48" w:rsidRDefault="00904D48">
            <w:pPr>
              <w:rPr>
                <w:i/>
                <w:szCs w:val="24"/>
                <w:lang w:val="de-DE"/>
              </w:rPr>
            </w:pPr>
            <w:r>
              <w:rPr>
                <w:i/>
                <w:szCs w:val="24"/>
                <w:lang w:val="de-DE"/>
              </w:rPr>
              <w:t>Vorwiegende Ableitung von der Ursprungssorte (Artikel 14 Absatz 5 Buchstabe b Ziffer i)</w:t>
            </w:r>
          </w:p>
          <w:p w:rsidR="00904D48" w:rsidRDefault="00904D48">
            <w:pPr>
              <w:jc w:val="left"/>
              <w:rPr>
                <w:i/>
                <w:szCs w:val="24"/>
                <w:lang w:val="de-DE"/>
              </w:rPr>
            </w:pPr>
          </w:p>
        </w:tc>
      </w:tr>
      <w:tr w:rsidR="004A7CD0" w:rsidRPr="00E957E1">
        <w:trPr>
          <w:cantSplit/>
        </w:trPr>
        <w:tc>
          <w:tcPr>
            <w:tcW w:w="1305" w:type="dxa"/>
          </w:tcPr>
          <w:p w:rsidR="004A7CD0" w:rsidRDefault="004A7CD0">
            <w:pPr>
              <w:rPr>
                <w:szCs w:val="24"/>
                <w:lang w:val="de-DE"/>
              </w:rPr>
            </w:pPr>
            <w:r>
              <w:rPr>
                <w:i/>
                <w:szCs w:val="24"/>
                <w:lang w:val="de-DE"/>
              </w:rPr>
              <w:lastRenderedPageBreak/>
              <w:t>Praxis 6</w:t>
            </w:r>
          </w:p>
        </w:tc>
        <w:tc>
          <w:tcPr>
            <w:tcW w:w="8930" w:type="dxa"/>
          </w:tcPr>
          <w:p w:rsidR="004A7CD0" w:rsidRDefault="004A7CD0" w:rsidP="004A7CD0">
            <w:pPr>
              <w:rPr>
                <w:szCs w:val="24"/>
                <w:lang w:val="de-CH"/>
              </w:rPr>
            </w:pPr>
            <w:r>
              <w:rPr>
                <w:i/>
                <w:szCs w:val="24"/>
                <w:lang w:val="de-CH"/>
              </w:rPr>
              <w:t>„Es ist unerheblich, ob das/die Merkmal(e), in welchem/n sich die im wesentlichen abgeleitete Sorte von der geschützten Ursprungssorte unterscheidet, von wirtschaftlicher, agronomischer oder gesellschaftlicher Bedeutung, wesentlich oder geringfügig ist/sind. Die Grundsätze für im wesentlichen abgeleitete Sorten bleiben die gleichen, und die vorwiegende Ableitung von einer Ursprungssorte ist eine wichtige Voraussetzung dafür, dass eine Sorte als im wesentlichen abgeleitete Sorten angesehen werden kann.“</w:t>
            </w:r>
          </w:p>
        </w:tc>
      </w:tr>
      <w:tr w:rsidR="004A7CD0" w:rsidRPr="00E957E1">
        <w:trPr>
          <w:cantSplit/>
        </w:trPr>
        <w:tc>
          <w:tcPr>
            <w:tcW w:w="1305" w:type="dxa"/>
          </w:tcPr>
          <w:p w:rsidR="004A7CD0" w:rsidRDefault="004A7CD0">
            <w:pPr>
              <w:rPr>
                <w:i/>
                <w:szCs w:val="24"/>
                <w:lang w:val="de-DE"/>
              </w:rPr>
            </w:pPr>
          </w:p>
        </w:tc>
        <w:tc>
          <w:tcPr>
            <w:tcW w:w="8930" w:type="dxa"/>
          </w:tcPr>
          <w:p w:rsidR="004A7CD0" w:rsidRDefault="004A7CD0" w:rsidP="004A7CD0">
            <w:pPr>
              <w:rPr>
                <w:i/>
                <w:szCs w:val="24"/>
                <w:lang w:val="de-DE"/>
              </w:rPr>
            </w:pPr>
            <w:r>
              <w:rPr>
                <w:i/>
                <w:szCs w:val="24"/>
                <w:lang w:val="de-CH"/>
              </w:rPr>
              <w:t>Unterscheidet sich deutlich von der Ursprungssorte (Artikel 14 Absatz 5 Buchstabe b) Ziffer ii)</w:t>
            </w:r>
          </w:p>
          <w:p w:rsidR="004A7CD0" w:rsidRDefault="004A7CD0" w:rsidP="004A7CD0">
            <w:pPr>
              <w:jc w:val="left"/>
              <w:rPr>
                <w:i/>
                <w:szCs w:val="24"/>
                <w:lang w:val="de-DE"/>
              </w:rPr>
            </w:pPr>
          </w:p>
        </w:tc>
      </w:tr>
      <w:tr w:rsidR="004A7CD0" w:rsidRPr="00E957E1">
        <w:trPr>
          <w:cantSplit/>
        </w:trPr>
        <w:tc>
          <w:tcPr>
            <w:tcW w:w="1305" w:type="dxa"/>
          </w:tcPr>
          <w:p w:rsidR="004A7CD0" w:rsidRDefault="004A7CD0">
            <w:pPr>
              <w:rPr>
                <w:i/>
                <w:szCs w:val="24"/>
                <w:lang w:val="de-DE"/>
              </w:rPr>
            </w:pPr>
          </w:p>
        </w:tc>
        <w:tc>
          <w:tcPr>
            <w:tcW w:w="8930" w:type="dxa"/>
          </w:tcPr>
          <w:p w:rsidR="004A7CD0" w:rsidRDefault="004A7CD0" w:rsidP="004A7CD0">
            <w:pPr>
              <w:keepNext/>
              <w:rPr>
                <w:i/>
                <w:szCs w:val="24"/>
                <w:lang w:val="de-DE"/>
              </w:rPr>
            </w:pPr>
            <w:r>
              <w:rPr>
                <w:i/>
                <w:szCs w:val="24"/>
                <w:lang w:val="de-CH"/>
              </w:rPr>
              <w:t>Übereinstimmung mit der Ursprungssorte in der Ausprägung der wesentlichen Merkmale (Artikel 14 Absatz 5 Buchstabe b) Ziffer iii))</w:t>
            </w:r>
          </w:p>
          <w:p w:rsidR="004A7CD0" w:rsidRDefault="004A7CD0" w:rsidP="004A7CD0">
            <w:pPr>
              <w:keepNext/>
              <w:rPr>
                <w:i/>
                <w:szCs w:val="24"/>
                <w:lang w:val="de-DE"/>
              </w:rPr>
            </w:pPr>
          </w:p>
        </w:tc>
      </w:tr>
      <w:tr w:rsidR="004A7CD0" w:rsidRPr="00E957E1">
        <w:trPr>
          <w:cantSplit/>
        </w:trPr>
        <w:tc>
          <w:tcPr>
            <w:tcW w:w="1305" w:type="dxa"/>
          </w:tcPr>
          <w:p w:rsidR="004A7CD0" w:rsidRDefault="004A7CD0">
            <w:pPr>
              <w:rPr>
                <w:szCs w:val="24"/>
                <w:lang w:val="de-DE"/>
              </w:rPr>
            </w:pPr>
            <w:r>
              <w:rPr>
                <w:i/>
                <w:szCs w:val="24"/>
                <w:lang w:val="de-DE"/>
              </w:rPr>
              <w:t>Praxis 7</w:t>
            </w:r>
            <w:r>
              <w:rPr>
                <w:b/>
                <w:i/>
                <w:szCs w:val="24"/>
                <w:lang w:val="de-DE"/>
              </w:rPr>
              <w:t>*</w:t>
            </w:r>
          </w:p>
        </w:tc>
        <w:tc>
          <w:tcPr>
            <w:tcW w:w="8930" w:type="dxa"/>
          </w:tcPr>
          <w:p w:rsidR="004A7CD0" w:rsidRDefault="004A7CD0" w:rsidP="004A7CD0">
            <w:pPr>
              <w:rPr>
                <w:szCs w:val="24"/>
                <w:lang w:val="de-CH"/>
              </w:rPr>
            </w:pPr>
            <w:r>
              <w:rPr>
                <w:i/>
                <w:szCs w:val="24"/>
                <w:lang w:val="de-CH"/>
              </w:rPr>
              <w:t>„[Eine] überwiegende Mehrheit der Befragten erklärte, es spiele keine Rolle, ob das/die Merkmal(e), in welchem/n sich die im wesentlichen abgeleitete Sorte von der geschützten Ursprungssorte unterscheidet, von wirtschaftlicher, agronomischer oder gesellschaftlicher Bedeutung ist/(sind). Sie betonten, dass sie, solange es sich um eine vorwiegend abgeleitete Sorte von der Ursprungssorte handelt, „abgeleitet von“ bleibt und als im wesentlichen abgeleitet Sorte behandelt werden sollte.“</w:t>
            </w:r>
          </w:p>
        </w:tc>
      </w:tr>
      <w:tr w:rsidR="004A7CD0" w:rsidRPr="00E957E1">
        <w:trPr>
          <w:cantSplit/>
        </w:trPr>
        <w:tc>
          <w:tcPr>
            <w:tcW w:w="1305" w:type="dxa"/>
          </w:tcPr>
          <w:p w:rsidR="004A7CD0" w:rsidRDefault="004A7CD0">
            <w:pPr>
              <w:rPr>
                <w:szCs w:val="24"/>
                <w:lang w:val="de-DE"/>
              </w:rPr>
            </w:pPr>
            <w:r>
              <w:rPr>
                <w:i/>
                <w:szCs w:val="24"/>
                <w:lang w:val="de-DE"/>
              </w:rPr>
              <w:t>Praxis 8</w:t>
            </w:r>
          </w:p>
        </w:tc>
        <w:tc>
          <w:tcPr>
            <w:tcW w:w="8930" w:type="dxa"/>
          </w:tcPr>
          <w:p w:rsidR="004A7CD0" w:rsidRDefault="004A7CD0" w:rsidP="004A7CD0">
            <w:pPr>
              <w:rPr>
                <w:szCs w:val="24"/>
                <w:lang w:val="de-CH"/>
              </w:rPr>
            </w:pPr>
            <w:r>
              <w:rPr>
                <w:i/>
                <w:szCs w:val="24"/>
                <w:lang w:val="de-CH"/>
              </w:rPr>
              <w:t>„Einige Unternehmen geben an, dass die Qualität der Merkmale bei der Aufnahme von Verhandlungen wichtig ist, da der Entwickler der im wesentlichen abgeleiteten Sorte mit einer bedeutenderen Eigenschaft einen größeren Anteil der Lizenzgebühren verlangen kann“</w:t>
            </w:r>
          </w:p>
        </w:tc>
      </w:tr>
      <w:tr w:rsidR="004A7CD0" w:rsidRPr="00E957E1">
        <w:trPr>
          <w:cantSplit/>
        </w:trPr>
        <w:tc>
          <w:tcPr>
            <w:tcW w:w="1305" w:type="dxa"/>
          </w:tcPr>
          <w:p w:rsidR="004A7CD0" w:rsidRDefault="004A7CD0">
            <w:pPr>
              <w:rPr>
                <w:szCs w:val="24"/>
                <w:lang w:val="de-DE"/>
              </w:rPr>
            </w:pPr>
            <w:r>
              <w:rPr>
                <w:i/>
                <w:szCs w:val="24"/>
                <w:lang w:val="de-DE"/>
              </w:rPr>
              <w:t>Praxis 9</w:t>
            </w:r>
            <w:r>
              <w:rPr>
                <w:b/>
                <w:i/>
                <w:szCs w:val="24"/>
                <w:lang w:val="de-DE"/>
              </w:rPr>
              <w:t>*</w:t>
            </w:r>
          </w:p>
        </w:tc>
        <w:tc>
          <w:tcPr>
            <w:tcW w:w="8930" w:type="dxa"/>
          </w:tcPr>
          <w:p w:rsidR="004A7CD0" w:rsidRDefault="004A7CD0" w:rsidP="004A7CD0">
            <w:pPr>
              <w:rPr>
                <w:szCs w:val="24"/>
                <w:lang w:val="de-CH"/>
              </w:rPr>
            </w:pPr>
            <w:r>
              <w:rPr>
                <w:i/>
                <w:szCs w:val="24"/>
                <w:lang w:val="de-CH"/>
              </w:rPr>
              <w:t>„Fast alle antwortenden Unternehmen (mehr als 90%) halten es für negativ oder sehr negativ, wenn Sorten, die mit den neuesten Züchtungsmethoden (wie CRISPR-Cas 9 oder anderen rekombinanten DNS-Technologien) entwickelt wurden und sich in mindestens einem Merkmal von der geschützten Ursprungssorte unterscheiden, nicht als im wesentlichen abgeleitete Sorten angesehen werden. Sie sind der Meinung, dass dies den Nutzern dieser neuen Technologien ein sehr einfaches Mittel zur Übernahme von Sorten in die Hand geben würde, was den Anreiz zur Entwicklung neuer Sorten verringern würde. Es wird erwartet, dass dies die Entwicklung der segregierenden Variation und damit den genetischen Gewinn verringern wird.“</w:t>
            </w:r>
          </w:p>
        </w:tc>
      </w:tr>
      <w:tr w:rsidR="004A7CD0" w:rsidRPr="00E957E1">
        <w:trPr>
          <w:cantSplit/>
        </w:trPr>
        <w:tc>
          <w:tcPr>
            <w:tcW w:w="1305" w:type="dxa"/>
          </w:tcPr>
          <w:p w:rsidR="004A7CD0" w:rsidRDefault="004A7CD0">
            <w:pPr>
              <w:rPr>
                <w:szCs w:val="24"/>
                <w:lang w:val="de-DE"/>
              </w:rPr>
            </w:pPr>
            <w:r>
              <w:rPr>
                <w:i/>
                <w:szCs w:val="24"/>
                <w:lang w:val="de-DE"/>
              </w:rPr>
              <w:t>Praxis 10</w:t>
            </w:r>
          </w:p>
        </w:tc>
        <w:tc>
          <w:tcPr>
            <w:tcW w:w="8930" w:type="dxa"/>
          </w:tcPr>
          <w:p w:rsidR="004A7CD0" w:rsidRDefault="004A7CD0" w:rsidP="004A7CD0">
            <w:pPr>
              <w:jc w:val="left"/>
              <w:rPr>
                <w:szCs w:val="24"/>
                <w:lang w:val="de-CH"/>
              </w:rPr>
            </w:pPr>
            <w:r>
              <w:rPr>
                <w:i/>
                <w:szCs w:val="24"/>
                <w:lang w:val="de-CH"/>
              </w:rPr>
              <w:t>„Einige Züchter erwähnen, dass das Konzept der im wesentlichen abgeleiteten Sorten die Entwicklung und den gewerbsmäßigen Vertrieb im wesentlichen abgeleiteter Sorten nicht verhindert, sondern reguliert. Das Auftreten von spontanen Mutanten kann ohnehin nicht verhindert werden. Einige Züchter erwähnen, dass niemand den gewerbsmäßigen Vertrieb einer wirklich wertvollen Mutante verhindern wird, aber dass das Konzept der im wesentlichen abgeleiteten Sorten sicherstellen kann, dass niemand in der Branche durch eine Vielzahl von instabilen oder minderwertigen Mutanten, die auf den Markt gebracht werden, geschädigt wird.“</w:t>
            </w:r>
          </w:p>
        </w:tc>
      </w:tr>
      <w:tr w:rsidR="004A7CD0" w:rsidRPr="00E957E1">
        <w:trPr>
          <w:cantSplit/>
        </w:trPr>
        <w:tc>
          <w:tcPr>
            <w:tcW w:w="1305" w:type="dxa"/>
          </w:tcPr>
          <w:p w:rsidR="004A7CD0" w:rsidRDefault="004A7CD0">
            <w:pPr>
              <w:rPr>
                <w:i/>
                <w:szCs w:val="24"/>
                <w:lang w:val="de-DE"/>
              </w:rPr>
            </w:pPr>
          </w:p>
        </w:tc>
        <w:tc>
          <w:tcPr>
            <w:tcW w:w="8930" w:type="dxa"/>
          </w:tcPr>
          <w:p w:rsidR="004A7CD0" w:rsidRDefault="004A7CD0" w:rsidP="004A7CD0">
            <w:pPr>
              <w:jc w:val="left"/>
              <w:rPr>
                <w:i/>
                <w:szCs w:val="24"/>
                <w:lang w:val="de-DE"/>
              </w:rPr>
            </w:pPr>
            <w:r>
              <w:rPr>
                <w:i/>
                <w:szCs w:val="24"/>
                <w:lang w:val="de-CH"/>
              </w:rPr>
              <w:t>Beispiele für die Möglichkeiten, wie eine im wesentlichen abgeleitete Sorte gewonnen werden kann (Artikel 14 Absatz 5 Buchstabe c).</w:t>
            </w:r>
          </w:p>
          <w:p w:rsidR="004A7CD0" w:rsidRDefault="004A7CD0" w:rsidP="004A7CD0">
            <w:pPr>
              <w:jc w:val="left"/>
              <w:rPr>
                <w:i/>
                <w:szCs w:val="24"/>
                <w:lang w:val="de-DE"/>
              </w:rPr>
            </w:pPr>
          </w:p>
        </w:tc>
      </w:tr>
      <w:tr w:rsidR="004A7CD0" w:rsidRPr="00E957E1">
        <w:trPr>
          <w:cantSplit/>
        </w:trPr>
        <w:tc>
          <w:tcPr>
            <w:tcW w:w="1305" w:type="dxa"/>
          </w:tcPr>
          <w:p w:rsidR="004A7CD0" w:rsidRDefault="004A7CD0">
            <w:pPr>
              <w:rPr>
                <w:szCs w:val="24"/>
                <w:lang w:val="de-DE"/>
              </w:rPr>
            </w:pPr>
            <w:r>
              <w:rPr>
                <w:i/>
                <w:szCs w:val="24"/>
                <w:lang w:val="de-DE"/>
              </w:rPr>
              <w:t xml:space="preserve">Praxis 11 </w:t>
            </w:r>
          </w:p>
        </w:tc>
        <w:tc>
          <w:tcPr>
            <w:tcW w:w="8930" w:type="dxa"/>
          </w:tcPr>
          <w:p w:rsidR="004A7CD0" w:rsidRPr="00847B1A" w:rsidRDefault="004A7CD0" w:rsidP="004A7CD0">
            <w:pPr>
              <w:jc w:val="left"/>
              <w:rPr>
                <w:i/>
                <w:szCs w:val="24"/>
                <w:lang w:val="de-DE"/>
              </w:rPr>
            </w:pPr>
            <w:r w:rsidRPr="00847B1A">
              <w:rPr>
                <w:i/>
                <w:szCs w:val="24"/>
                <w:lang w:val="de-CH"/>
              </w:rPr>
              <w:t>„Falls Züchter Fälle von Mutation oder Sport entdecken (z. B. in Zier- oder Obstarten) gibt es in vielen Fällen Verträge, welche eine entsprechende Berichterstattung verlangen.“</w:t>
            </w:r>
          </w:p>
          <w:p w:rsidR="004A7CD0" w:rsidRPr="00847B1A" w:rsidRDefault="004A7CD0" w:rsidP="004A7CD0">
            <w:pPr>
              <w:jc w:val="left"/>
              <w:rPr>
                <w:i/>
                <w:szCs w:val="24"/>
                <w:lang w:val="de-DE"/>
              </w:rPr>
            </w:pPr>
          </w:p>
          <w:p w:rsidR="004A7CD0" w:rsidRPr="00847B1A" w:rsidRDefault="004A7CD0" w:rsidP="004A7CD0">
            <w:pPr>
              <w:jc w:val="left"/>
              <w:rPr>
                <w:szCs w:val="24"/>
                <w:lang w:val="de-CH"/>
              </w:rPr>
            </w:pPr>
            <w:r w:rsidRPr="00847B1A">
              <w:rPr>
                <w:i/>
                <w:szCs w:val="24"/>
                <w:lang w:val="de-CH"/>
              </w:rPr>
              <w:t>„Manche Unternehmen berichten, dass sie Verträge mit den Züchtern für den Fall haben, dass es zu spontanen Mutationen kommt.“</w:t>
            </w:r>
            <w:r w:rsidRPr="00847B1A">
              <w:rPr>
                <w:i/>
                <w:szCs w:val="24"/>
                <w:lang w:val="de-DE"/>
              </w:rPr>
              <w:t xml:space="preserve"> </w:t>
            </w:r>
          </w:p>
        </w:tc>
      </w:tr>
      <w:tr w:rsidR="004A7CD0" w:rsidRPr="00E957E1">
        <w:trPr>
          <w:cantSplit/>
        </w:trPr>
        <w:tc>
          <w:tcPr>
            <w:tcW w:w="1305" w:type="dxa"/>
          </w:tcPr>
          <w:p w:rsidR="004A7CD0" w:rsidRDefault="004A7CD0">
            <w:pPr>
              <w:rPr>
                <w:szCs w:val="24"/>
                <w:lang w:val="de-DE"/>
              </w:rPr>
            </w:pPr>
            <w:r>
              <w:rPr>
                <w:i/>
                <w:szCs w:val="24"/>
                <w:lang w:val="de-DE"/>
              </w:rPr>
              <w:t>Praxis 12</w:t>
            </w:r>
          </w:p>
        </w:tc>
        <w:tc>
          <w:tcPr>
            <w:tcW w:w="8930" w:type="dxa"/>
          </w:tcPr>
          <w:p w:rsidR="004A7CD0" w:rsidRPr="00847B1A" w:rsidRDefault="004A7CD0" w:rsidP="004A7CD0">
            <w:pPr>
              <w:jc w:val="left"/>
              <w:rPr>
                <w:szCs w:val="24"/>
                <w:lang w:val="de-CH"/>
              </w:rPr>
            </w:pPr>
            <w:r w:rsidRPr="00847B1A">
              <w:rPr>
                <w:i/>
                <w:szCs w:val="24"/>
                <w:lang w:val="de-CH"/>
              </w:rPr>
              <w:t>„Andere Unternehmen verfolgen den Grundsatz, selbst keine im wesentlichen abgeleitete Sorten zu entwickeln“</w:t>
            </w:r>
          </w:p>
        </w:tc>
      </w:tr>
      <w:tr w:rsidR="004A7CD0" w:rsidRPr="00E957E1">
        <w:trPr>
          <w:cantSplit/>
        </w:trPr>
        <w:tc>
          <w:tcPr>
            <w:tcW w:w="1305" w:type="dxa"/>
          </w:tcPr>
          <w:p w:rsidR="004A7CD0" w:rsidRDefault="004A7CD0">
            <w:pPr>
              <w:rPr>
                <w:szCs w:val="24"/>
                <w:lang w:val="de-DE"/>
              </w:rPr>
            </w:pPr>
            <w:r>
              <w:rPr>
                <w:i/>
                <w:szCs w:val="24"/>
                <w:lang w:val="de-DE"/>
              </w:rPr>
              <w:t>Praxis 13</w:t>
            </w:r>
          </w:p>
        </w:tc>
        <w:tc>
          <w:tcPr>
            <w:tcW w:w="8930" w:type="dxa"/>
          </w:tcPr>
          <w:p w:rsidR="004A7CD0" w:rsidRPr="00847B1A" w:rsidRDefault="004A7CD0" w:rsidP="004A7CD0">
            <w:pPr>
              <w:jc w:val="left"/>
              <w:rPr>
                <w:szCs w:val="24"/>
                <w:lang w:val="de-CH"/>
              </w:rPr>
            </w:pPr>
            <w:r w:rsidRPr="00847B1A">
              <w:rPr>
                <w:i/>
                <w:szCs w:val="24"/>
                <w:lang w:val="de-CH"/>
              </w:rPr>
              <w:t xml:space="preserve">„In Bezug auf spontan auftretende Mutanten, die in Zier- und Obstkulturen meist auf dem Betriebsgelände der Züchter auftreten, antworten viele Züchter, </w:t>
            </w:r>
            <w:r>
              <w:rPr>
                <w:i/>
                <w:szCs w:val="24"/>
                <w:lang w:val="de-CH"/>
              </w:rPr>
              <w:t xml:space="preserve">dass ihre Politik darin besteht, eine Einigung über den gewerbsmäßigen Vertrieb der im wesentlichen abgeleiteten Sorten zu finden, wenn dadurch, </w:t>
            </w:r>
            <w:r w:rsidRPr="00847B1A">
              <w:rPr>
                <w:i/>
                <w:szCs w:val="24"/>
                <w:lang w:val="de-CH"/>
              </w:rPr>
              <w:t>dass</w:t>
            </w:r>
            <w:r>
              <w:rPr>
                <w:i/>
                <w:szCs w:val="24"/>
                <w:lang w:val="de-CH"/>
              </w:rPr>
              <w:t xml:space="preserve"> diese Mutante auf den Markt gebracht wird, ein Mehrwert erzielt werden kann</w:t>
            </w:r>
            <w:r w:rsidRPr="00847B1A">
              <w:rPr>
                <w:i/>
                <w:szCs w:val="24"/>
                <w:lang w:val="de-CH"/>
              </w:rPr>
              <w:t>.“</w:t>
            </w:r>
          </w:p>
        </w:tc>
      </w:tr>
      <w:tr w:rsidR="004A7CD0">
        <w:trPr>
          <w:cantSplit/>
        </w:trPr>
        <w:tc>
          <w:tcPr>
            <w:tcW w:w="1305" w:type="dxa"/>
          </w:tcPr>
          <w:p w:rsidR="004A7CD0" w:rsidRDefault="004A7CD0">
            <w:pPr>
              <w:rPr>
                <w:i/>
                <w:szCs w:val="24"/>
                <w:lang w:val="de-DE"/>
              </w:rPr>
            </w:pPr>
          </w:p>
        </w:tc>
        <w:tc>
          <w:tcPr>
            <w:tcW w:w="8930" w:type="dxa"/>
          </w:tcPr>
          <w:p w:rsidR="004A7CD0" w:rsidRDefault="004A7CD0" w:rsidP="004A7CD0">
            <w:pPr>
              <w:rPr>
                <w:i/>
                <w:szCs w:val="24"/>
                <w:lang w:val="de-DE"/>
              </w:rPr>
            </w:pPr>
            <w:r>
              <w:rPr>
                <w:i/>
                <w:szCs w:val="24"/>
                <w:lang w:val="de-CH"/>
              </w:rPr>
              <w:t>Züchtungsverfahren</w:t>
            </w:r>
          </w:p>
          <w:p w:rsidR="004A7CD0" w:rsidRDefault="004A7CD0" w:rsidP="004A7CD0">
            <w:pPr>
              <w:jc w:val="left"/>
              <w:rPr>
                <w:i/>
                <w:szCs w:val="24"/>
                <w:lang w:val="de-DE"/>
              </w:rPr>
            </w:pPr>
          </w:p>
        </w:tc>
      </w:tr>
      <w:tr w:rsidR="004A7CD0">
        <w:trPr>
          <w:cantSplit/>
        </w:trPr>
        <w:tc>
          <w:tcPr>
            <w:tcW w:w="1305" w:type="dxa"/>
          </w:tcPr>
          <w:p w:rsidR="004A7CD0" w:rsidRDefault="004A7CD0">
            <w:pPr>
              <w:rPr>
                <w:i/>
                <w:szCs w:val="24"/>
                <w:lang w:val="de-DE"/>
              </w:rPr>
            </w:pPr>
          </w:p>
        </w:tc>
        <w:tc>
          <w:tcPr>
            <w:tcW w:w="8930" w:type="dxa"/>
          </w:tcPr>
          <w:p w:rsidR="004A7CD0" w:rsidRDefault="004A7CD0" w:rsidP="004A7CD0">
            <w:pPr>
              <w:rPr>
                <w:i/>
                <w:szCs w:val="24"/>
                <w:lang w:val="de-DE"/>
              </w:rPr>
            </w:pPr>
            <w:r>
              <w:rPr>
                <w:i/>
                <w:szCs w:val="24"/>
                <w:lang w:val="de-CH"/>
              </w:rPr>
              <w:t>Direkte und indirekte Ableitung</w:t>
            </w:r>
          </w:p>
          <w:p w:rsidR="004A7CD0" w:rsidRDefault="004A7CD0" w:rsidP="004A7CD0">
            <w:pPr>
              <w:jc w:val="left"/>
              <w:rPr>
                <w:i/>
                <w:szCs w:val="24"/>
                <w:lang w:val="de-DE"/>
              </w:rPr>
            </w:pPr>
          </w:p>
        </w:tc>
      </w:tr>
      <w:tr w:rsidR="004A7CD0" w:rsidRPr="00E957E1" w:rsidTr="00BB7850">
        <w:trPr>
          <w:cantSplit/>
          <w:trHeight w:val="348"/>
        </w:trPr>
        <w:tc>
          <w:tcPr>
            <w:tcW w:w="1305" w:type="dxa"/>
          </w:tcPr>
          <w:p w:rsidR="004A7CD0" w:rsidRPr="00F03548" w:rsidRDefault="004A7CD0">
            <w:pPr>
              <w:rPr>
                <w:i/>
                <w:spacing w:val="-2"/>
                <w:szCs w:val="24"/>
                <w:lang w:val="de-DE"/>
              </w:rPr>
            </w:pPr>
          </w:p>
        </w:tc>
        <w:tc>
          <w:tcPr>
            <w:tcW w:w="8930" w:type="dxa"/>
          </w:tcPr>
          <w:p w:rsidR="004A7CD0" w:rsidRPr="00F03548" w:rsidRDefault="004A7CD0" w:rsidP="004A7CD0">
            <w:pPr>
              <w:rPr>
                <w:spacing w:val="-2"/>
                <w:szCs w:val="24"/>
                <w:lang w:val="de-DE"/>
              </w:rPr>
            </w:pPr>
            <w:r w:rsidRPr="00F03548">
              <w:rPr>
                <w:spacing w:val="-2"/>
                <w:szCs w:val="24"/>
                <w:lang w:val="de-DE"/>
              </w:rPr>
              <w:t>c)</w:t>
            </w:r>
            <w:r w:rsidRPr="00F03548">
              <w:rPr>
                <w:spacing w:val="-2"/>
                <w:szCs w:val="24"/>
                <w:lang w:val="de-DE"/>
              </w:rPr>
              <w:tab/>
            </w:r>
            <w:r w:rsidRPr="00F03548">
              <w:rPr>
                <w:spacing w:val="-2"/>
                <w:szCs w:val="24"/>
                <w:lang w:val="de-CH"/>
              </w:rPr>
              <w:t>Inhalt des Züchterrechts in Bezug auf Ursprungssorten und im wesentlichen abgeleitete Sorten</w:t>
            </w:r>
          </w:p>
          <w:p w:rsidR="004A7CD0" w:rsidRPr="00F03548" w:rsidRDefault="00F03548" w:rsidP="00F03548">
            <w:pPr>
              <w:jc w:val="left"/>
              <w:rPr>
                <w:i/>
                <w:spacing w:val="-2"/>
                <w:szCs w:val="24"/>
                <w:lang w:val="de-DE"/>
              </w:rPr>
            </w:pPr>
            <w:r w:rsidRPr="00BB7850">
              <w:rPr>
                <w:i/>
                <w:spacing w:val="-2"/>
                <w:sz w:val="14"/>
                <w:szCs w:val="24"/>
                <w:lang w:val="de-DE"/>
              </w:rPr>
              <w:t xml:space="preserve"> </w:t>
            </w:r>
          </w:p>
        </w:tc>
      </w:tr>
      <w:tr w:rsidR="004A7CD0" w:rsidRPr="00E957E1" w:rsidTr="00BB7850">
        <w:trPr>
          <w:cantSplit/>
          <w:trHeight w:val="328"/>
        </w:trPr>
        <w:tc>
          <w:tcPr>
            <w:tcW w:w="1305" w:type="dxa"/>
          </w:tcPr>
          <w:p w:rsidR="004A7CD0" w:rsidRDefault="004A7CD0">
            <w:pPr>
              <w:rPr>
                <w:i/>
                <w:szCs w:val="24"/>
                <w:lang w:val="de-DE"/>
              </w:rPr>
            </w:pPr>
          </w:p>
        </w:tc>
        <w:tc>
          <w:tcPr>
            <w:tcW w:w="8930" w:type="dxa"/>
          </w:tcPr>
          <w:p w:rsidR="004A7CD0" w:rsidRDefault="004A7CD0" w:rsidP="004A7CD0">
            <w:pPr>
              <w:rPr>
                <w:szCs w:val="24"/>
                <w:lang w:val="de-DE"/>
              </w:rPr>
            </w:pPr>
            <w:r>
              <w:rPr>
                <w:szCs w:val="24"/>
                <w:lang w:val="de-CH"/>
              </w:rPr>
              <w:t xml:space="preserve">d) </w:t>
            </w:r>
            <w:r>
              <w:rPr>
                <w:szCs w:val="24"/>
                <w:lang w:val="de-CH"/>
              </w:rPr>
              <w:tab/>
              <w:t>Territorialität des Schutzes von Ursprungssorten und im wesentlichen abgeleiteten Sorten</w:t>
            </w:r>
          </w:p>
          <w:p w:rsidR="004A7CD0" w:rsidRDefault="00F03548" w:rsidP="00F03548">
            <w:pPr>
              <w:jc w:val="left"/>
              <w:rPr>
                <w:i/>
                <w:szCs w:val="24"/>
                <w:lang w:val="de-DE"/>
              </w:rPr>
            </w:pPr>
            <w:r w:rsidRPr="00F03548">
              <w:rPr>
                <w:i/>
                <w:sz w:val="16"/>
                <w:szCs w:val="24"/>
                <w:lang w:val="de-DE"/>
              </w:rPr>
              <w:t xml:space="preserve"> </w:t>
            </w:r>
          </w:p>
        </w:tc>
      </w:tr>
      <w:tr w:rsidR="004A7CD0" w:rsidRPr="00E957E1" w:rsidTr="00BB7850">
        <w:trPr>
          <w:cantSplit/>
          <w:trHeight w:val="350"/>
        </w:trPr>
        <w:tc>
          <w:tcPr>
            <w:tcW w:w="1305" w:type="dxa"/>
          </w:tcPr>
          <w:p w:rsidR="004A7CD0" w:rsidRDefault="004A7CD0">
            <w:pPr>
              <w:rPr>
                <w:i/>
                <w:szCs w:val="24"/>
                <w:lang w:val="de-DE"/>
              </w:rPr>
            </w:pPr>
          </w:p>
        </w:tc>
        <w:tc>
          <w:tcPr>
            <w:tcW w:w="8930" w:type="dxa"/>
          </w:tcPr>
          <w:p w:rsidR="004A7CD0" w:rsidRDefault="004A7CD0" w:rsidP="004A7CD0">
            <w:pPr>
              <w:jc w:val="left"/>
              <w:rPr>
                <w:szCs w:val="24"/>
                <w:lang w:val="de-CH"/>
              </w:rPr>
            </w:pPr>
            <w:r>
              <w:rPr>
                <w:szCs w:val="24"/>
                <w:lang w:val="de-CH"/>
              </w:rPr>
              <w:t>e)</w:t>
            </w:r>
            <w:r>
              <w:rPr>
                <w:szCs w:val="24"/>
                <w:lang w:val="de-CH"/>
              </w:rPr>
              <w:tab/>
              <w:t>Übergang von einer früheren Akte zur Akte von 1991 des UPOV-Übereinkommens</w:t>
            </w:r>
          </w:p>
          <w:p w:rsidR="00F03548" w:rsidRDefault="00F03548" w:rsidP="00F03548">
            <w:pPr>
              <w:jc w:val="left"/>
              <w:rPr>
                <w:szCs w:val="24"/>
                <w:lang w:val="de-CH"/>
              </w:rPr>
            </w:pPr>
            <w:r w:rsidRPr="00F03548">
              <w:rPr>
                <w:sz w:val="16"/>
                <w:szCs w:val="24"/>
                <w:lang w:val="de-CH"/>
              </w:rPr>
              <w:t xml:space="preserve"> </w:t>
            </w:r>
          </w:p>
        </w:tc>
      </w:tr>
      <w:tr w:rsidR="004A7CD0" w:rsidRPr="00E957E1">
        <w:trPr>
          <w:cantSplit/>
        </w:trPr>
        <w:tc>
          <w:tcPr>
            <w:tcW w:w="1305" w:type="dxa"/>
          </w:tcPr>
          <w:p w:rsidR="004A7CD0" w:rsidRDefault="004A7CD0">
            <w:pPr>
              <w:rPr>
                <w:i/>
                <w:szCs w:val="24"/>
                <w:lang w:val="de-DE"/>
              </w:rPr>
            </w:pPr>
          </w:p>
        </w:tc>
        <w:tc>
          <w:tcPr>
            <w:tcW w:w="8930" w:type="dxa"/>
          </w:tcPr>
          <w:p w:rsidR="004A7CD0" w:rsidRDefault="004A7CD0" w:rsidP="004A7CD0">
            <w:pPr>
              <w:jc w:val="left"/>
              <w:rPr>
                <w:szCs w:val="24"/>
                <w:lang w:val="de-DE"/>
              </w:rPr>
            </w:pPr>
          </w:p>
        </w:tc>
      </w:tr>
      <w:tr w:rsidR="004A7CD0" w:rsidRPr="00E957E1">
        <w:trPr>
          <w:cantSplit/>
        </w:trPr>
        <w:tc>
          <w:tcPr>
            <w:tcW w:w="1305" w:type="dxa"/>
          </w:tcPr>
          <w:p w:rsidR="004A7CD0" w:rsidRDefault="004A7CD0">
            <w:pPr>
              <w:rPr>
                <w:i/>
                <w:szCs w:val="24"/>
                <w:lang w:val="de-DE"/>
              </w:rPr>
            </w:pPr>
          </w:p>
        </w:tc>
        <w:tc>
          <w:tcPr>
            <w:tcW w:w="8930" w:type="dxa"/>
          </w:tcPr>
          <w:p w:rsidR="004A7CD0" w:rsidRDefault="004A7CD0" w:rsidP="004A7CD0">
            <w:pPr>
              <w:jc w:val="left"/>
              <w:rPr>
                <w:szCs w:val="24"/>
                <w:lang w:val="de-CH"/>
              </w:rPr>
            </w:pPr>
            <w:r>
              <w:rPr>
                <w:szCs w:val="24"/>
                <w:lang w:val="de-CH"/>
              </w:rPr>
              <w:t>ABSCHNITT II:  PRÜFUNG DER IM WESENTLICHEN ABGELEITETEN SORTEN</w:t>
            </w:r>
          </w:p>
        </w:tc>
      </w:tr>
      <w:tr w:rsidR="004A7CD0" w:rsidRPr="00E957E1">
        <w:trPr>
          <w:cantSplit/>
        </w:trPr>
        <w:tc>
          <w:tcPr>
            <w:tcW w:w="1305" w:type="dxa"/>
          </w:tcPr>
          <w:p w:rsidR="004A7CD0" w:rsidRDefault="004A7CD0">
            <w:pPr>
              <w:rPr>
                <w:szCs w:val="24"/>
                <w:lang w:val="de-DE"/>
              </w:rPr>
            </w:pPr>
            <w:r>
              <w:rPr>
                <w:i/>
                <w:szCs w:val="24"/>
                <w:lang w:val="de-DE"/>
              </w:rPr>
              <w:t>Praxis 14</w:t>
            </w:r>
          </w:p>
        </w:tc>
        <w:tc>
          <w:tcPr>
            <w:tcW w:w="8930" w:type="dxa"/>
          </w:tcPr>
          <w:p w:rsidR="004A7CD0" w:rsidRDefault="004A7CD0" w:rsidP="004A7CD0">
            <w:pPr>
              <w:jc w:val="left"/>
              <w:rPr>
                <w:szCs w:val="24"/>
                <w:lang w:val="de-CH"/>
              </w:rPr>
            </w:pPr>
            <w:r>
              <w:rPr>
                <w:i/>
                <w:szCs w:val="24"/>
                <w:lang w:val="de-CH"/>
              </w:rPr>
              <w:t>„Einige derer, die sich geäußert haben, erklären, dass es bei der Entwicklung von im wesentlichen abgeleiteten Sorten durch Dritte möglich war, sich mit den Dritten zu einigen und einen Vergleich bzw. eine Lizenzvereinbarung zu schliessen.</w:t>
            </w:r>
          </w:p>
        </w:tc>
      </w:tr>
      <w:tr w:rsidR="004A7CD0" w:rsidRPr="00E957E1">
        <w:trPr>
          <w:cantSplit/>
        </w:trPr>
        <w:tc>
          <w:tcPr>
            <w:tcW w:w="1305" w:type="dxa"/>
          </w:tcPr>
          <w:p w:rsidR="004A7CD0" w:rsidRDefault="004A7CD0">
            <w:pPr>
              <w:rPr>
                <w:szCs w:val="24"/>
                <w:lang w:val="de-DE"/>
              </w:rPr>
            </w:pPr>
            <w:r>
              <w:rPr>
                <w:i/>
                <w:szCs w:val="24"/>
                <w:lang w:val="de-DE"/>
              </w:rPr>
              <w:t>Praxis 15</w:t>
            </w:r>
          </w:p>
        </w:tc>
        <w:tc>
          <w:tcPr>
            <w:tcW w:w="8930" w:type="dxa"/>
          </w:tcPr>
          <w:p w:rsidR="004A7CD0" w:rsidRDefault="004A7CD0" w:rsidP="004A7CD0">
            <w:pPr>
              <w:spacing w:after="60"/>
              <w:rPr>
                <w:szCs w:val="24"/>
                <w:lang w:val="de-CH"/>
              </w:rPr>
            </w:pPr>
            <w:r w:rsidRPr="00A65EE2">
              <w:rPr>
                <w:i/>
                <w:szCs w:val="24"/>
                <w:lang w:val="de-CH"/>
              </w:rPr>
              <w:t>„</w:t>
            </w:r>
            <w:r w:rsidRPr="00847B1A">
              <w:rPr>
                <w:i/>
                <w:szCs w:val="24"/>
                <w:lang w:val="de-CH"/>
              </w:rPr>
              <w:t>Viele Unternehmen berichten, dass sie Sorten anderer Züchter überwachen, einige tun dies mit Hilfe der DNS-Analyse. Manche Unternehmen berichten, dass sie Verträge mit den Züchtern für den Fall haben, dass es zu spontanen Mutationen kommt. Andere Unternehmen verfolgen den Grundsatz, selbst keine im wesentlichen abgeleiteten Sorten zu entwickeln. Einige Unternehmen sehen keine Notwendigkeit für eine Richtlinie, da im wesentlichen abgeleitete Sorten in ihren Kulturen kein Thema sind, oder sie erwägen, in naher Zukunft eine Richtlinie zu entwickeln. In Bezug auf</w:t>
            </w:r>
            <w:r>
              <w:rPr>
                <w:i/>
                <w:szCs w:val="24"/>
                <w:lang w:val="de-CH"/>
              </w:rPr>
              <w:t xml:space="preserve"> spontan auftretende Mutanten, die in Zier- und Obstkulturen meist auf dem Betriebsgelände der Züchter auftreten, antworten viele Züchter, dass ihre Politik darin besteht, eine Einigung über den gewerbsmäßigen Vertrieb der im wesentlichen abgeleiteten Sorten zu finden, wenn dadurch, </w:t>
            </w:r>
            <w:r w:rsidRPr="00847B1A">
              <w:rPr>
                <w:i/>
                <w:szCs w:val="24"/>
                <w:lang w:val="de-CH"/>
              </w:rPr>
              <w:t>dass</w:t>
            </w:r>
            <w:r>
              <w:rPr>
                <w:i/>
                <w:szCs w:val="24"/>
                <w:lang w:val="de-CH"/>
              </w:rPr>
              <w:t xml:space="preserve"> diese Mutante auf den Markt gebracht wird, ein Mehrwert erzielt werden kann</w:t>
            </w:r>
            <w:r w:rsidRPr="00847B1A">
              <w:rPr>
                <w:i/>
                <w:szCs w:val="24"/>
                <w:lang w:val="de-CH"/>
              </w:rPr>
              <w:t>.“</w:t>
            </w:r>
          </w:p>
        </w:tc>
      </w:tr>
      <w:tr w:rsidR="004A7CD0" w:rsidRPr="00E957E1">
        <w:trPr>
          <w:cantSplit/>
        </w:trPr>
        <w:tc>
          <w:tcPr>
            <w:tcW w:w="1305" w:type="dxa"/>
          </w:tcPr>
          <w:p w:rsidR="004A7CD0" w:rsidRDefault="004A7CD0">
            <w:pPr>
              <w:rPr>
                <w:szCs w:val="24"/>
                <w:lang w:val="de-DE"/>
              </w:rPr>
            </w:pPr>
            <w:r>
              <w:rPr>
                <w:i/>
                <w:szCs w:val="24"/>
                <w:lang w:val="de-DE"/>
              </w:rPr>
              <w:t>Praxis 16</w:t>
            </w:r>
          </w:p>
        </w:tc>
        <w:tc>
          <w:tcPr>
            <w:tcW w:w="8930" w:type="dxa"/>
          </w:tcPr>
          <w:p w:rsidR="004A7CD0" w:rsidRPr="00F03548" w:rsidRDefault="004A7CD0" w:rsidP="004A7CD0">
            <w:pPr>
              <w:jc w:val="left"/>
              <w:rPr>
                <w:spacing w:val="-4"/>
                <w:szCs w:val="24"/>
                <w:lang w:val="de-CH"/>
              </w:rPr>
            </w:pPr>
            <w:r w:rsidRPr="00F03548">
              <w:rPr>
                <w:i/>
                <w:spacing w:val="-4"/>
                <w:szCs w:val="24"/>
                <w:lang w:val="de-CH"/>
              </w:rPr>
              <w:t>„Viele Unternehmen führen diesbezüglich eine Überwachung durch, manchmal mit Hilfe von molekularen Markern. 42% der Befragten erklärten, dass ihr Unternehmen Sorten von Dritten ermittelt hat, die potentielle im wesentlichen abgeleitete Sorten ihrer eigenen geschützten Sorten sind“</w:t>
            </w:r>
          </w:p>
        </w:tc>
      </w:tr>
      <w:tr w:rsidR="004A7CD0" w:rsidRPr="00E957E1">
        <w:trPr>
          <w:cantSplit/>
        </w:trPr>
        <w:tc>
          <w:tcPr>
            <w:tcW w:w="1305" w:type="dxa"/>
          </w:tcPr>
          <w:p w:rsidR="004A7CD0" w:rsidRDefault="004A7CD0">
            <w:pPr>
              <w:rPr>
                <w:szCs w:val="24"/>
                <w:lang w:val="de-DE"/>
              </w:rPr>
            </w:pPr>
            <w:r>
              <w:rPr>
                <w:i/>
                <w:szCs w:val="24"/>
                <w:lang w:val="de-DE"/>
              </w:rPr>
              <w:t>Praxis 17</w:t>
            </w:r>
          </w:p>
        </w:tc>
        <w:tc>
          <w:tcPr>
            <w:tcW w:w="8930" w:type="dxa"/>
          </w:tcPr>
          <w:p w:rsidR="004A7CD0" w:rsidRPr="00F03548" w:rsidRDefault="004A7CD0" w:rsidP="004A7CD0">
            <w:pPr>
              <w:jc w:val="left"/>
              <w:rPr>
                <w:spacing w:val="-2"/>
                <w:szCs w:val="24"/>
                <w:lang w:val="de-CH"/>
              </w:rPr>
            </w:pPr>
            <w:r w:rsidRPr="00F03548">
              <w:rPr>
                <w:i/>
                <w:spacing w:val="-2"/>
                <w:szCs w:val="24"/>
                <w:lang w:val="de-CH"/>
              </w:rPr>
              <w:t>„Die meisten Befragten sind der Ansicht, dass die Bedingungen (Schwellenwert, Protokolle usw. ...) für die Klassifizierung von Sorten als im wesentlichen abgeleitete Sorten von den Züchtern oder zumindest unter Beteiligung von Züchtern, die mit den Pflanzen vertraut sind, vorzugsweise auf globaler Ebene entwickelt werden sollten, um Unterschiede von Land zu Land zu vermeiden. Einige sind der Meinung, dass auch unabhängige Behörden in diese Arbeit einbezogen werden sollten“</w:t>
            </w:r>
          </w:p>
        </w:tc>
      </w:tr>
      <w:tr w:rsidR="004A7CD0" w:rsidRPr="00E957E1">
        <w:trPr>
          <w:cantSplit/>
        </w:trPr>
        <w:tc>
          <w:tcPr>
            <w:tcW w:w="1305" w:type="dxa"/>
          </w:tcPr>
          <w:p w:rsidR="004A7CD0" w:rsidRDefault="004A7CD0">
            <w:pPr>
              <w:rPr>
                <w:szCs w:val="24"/>
                <w:lang w:val="de-DE"/>
              </w:rPr>
            </w:pPr>
            <w:r>
              <w:rPr>
                <w:i/>
                <w:szCs w:val="24"/>
                <w:lang w:val="de-DE"/>
              </w:rPr>
              <w:t>Praxis 18</w:t>
            </w:r>
          </w:p>
        </w:tc>
        <w:tc>
          <w:tcPr>
            <w:tcW w:w="8930" w:type="dxa"/>
          </w:tcPr>
          <w:p w:rsidR="004A7CD0" w:rsidRDefault="004A7CD0" w:rsidP="004A7CD0">
            <w:pPr>
              <w:jc w:val="left"/>
              <w:rPr>
                <w:szCs w:val="24"/>
                <w:lang w:val="de-CH"/>
              </w:rPr>
            </w:pPr>
            <w:r>
              <w:rPr>
                <w:i/>
                <w:szCs w:val="24"/>
                <w:lang w:val="de-CH"/>
              </w:rPr>
              <w:t>„Einige Saatgutzüchter sind der Ansicht, dass ein Schwellenwert für im wesentlichen abgeleitete Sorten für den Sektor wichtig ist, erklären jedoch, dass die Möglichkeit bestehen sollte, rechtliche Schritte einzuleiten und eine endgültige Entscheidung durch eine unabhängige Stelle (z. B. ein Gericht) zu erlangen.“</w:t>
            </w:r>
          </w:p>
        </w:tc>
      </w:tr>
      <w:tr w:rsidR="004A7CD0" w:rsidRPr="00E957E1">
        <w:trPr>
          <w:cantSplit/>
        </w:trPr>
        <w:tc>
          <w:tcPr>
            <w:tcW w:w="1305" w:type="dxa"/>
          </w:tcPr>
          <w:p w:rsidR="004A7CD0" w:rsidRDefault="004A7CD0">
            <w:pPr>
              <w:rPr>
                <w:szCs w:val="24"/>
                <w:lang w:val="de-DE"/>
              </w:rPr>
            </w:pPr>
            <w:r>
              <w:rPr>
                <w:i/>
                <w:szCs w:val="24"/>
                <w:lang w:val="de-DE"/>
              </w:rPr>
              <w:t>Praxis 19</w:t>
            </w:r>
          </w:p>
        </w:tc>
        <w:tc>
          <w:tcPr>
            <w:tcW w:w="8930" w:type="dxa"/>
          </w:tcPr>
          <w:p w:rsidR="004A7CD0" w:rsidRDefault="004A7CD0" w:rsidP="004A7CD0">
            <w:pPr>
              <w:jc w:val="left"/>
              <w:rPr>
                <w:szCs w:val="24"/>
                <w:lang w:val="de-CH"/>
              </w:rPr>
            </w:pPr>
            <w:r>
              <w:rPr>
                <w:i/>
                <w:szCs w:val="24"/>
                <w:lang w:val="de-CH"/>
              </w:rPr>
              <w:t>„Einige meinten, diese Frage sei nicht so einfach zu beantworten. Entweder weil einige der Meinung waren, dass eine unabhängige Behörde besser in der Lage wäre, objektiv zwischen einer im wesentlichen abgeleiteten Sorte und den normalen Nachkommen aus Standardkreuzungen zu unterscheiden; oder weil einige der Ansicht waren, dass die Interessen zwischen Züchtern der Ursprungssorten und Entwicklern von im wesentlichen abgeleiteten Sorten offensichtlich unterschiedlich sein werden.“</w:t>
            </w:r>
          </w:p>
        </w:tc>
      </w:tr>
      <w:tr w:rsidR="004A7CD0" w:rsidRPr="00E957E1">
        <w:trPr>
          <w:cantSplit/>
        </w:trPr>
        <w:tc>
          <w:tcPr>
            <w:tcW w:w="1305" w:type="dxa"/>
          </w:tcPr>
          <w:p w:rsidR="004A7CD0" w:rsidRDefault="004A7CD0">
            <w:pPr>
              <w:rPr>
                <w:szCs w:val="24"/>
                <w:lang w:val="de-DE"/>
              </w:rPr>
            </w:pPr>
            <w:r>
              <w:rPr>
                <w:i/>
                <w:szCs w:val="24"/>
                <w:lang w:val="de-DE"/>
              </w:rPr>
              <w:t>Praxis 20</w:t>
            </w:r>
            <w:r>
              <w:rPr>
                <w:b/>
                <w:i/>
                <w:szCs w:val="24"/>
                <w:lang w:val="de-DE"/>
              </w:rPr>
              <w:t>*</w:t>
            </w:r>
          </w:p>
        </w:tc>
        <w:tc>
          <w:tcPr>
            <w:tcW w:w="8930" w:type="dxa"/>
          </w:tcPr>
          <w:p w:rsidR="004A7CD0" w:rsidRDefault="004A7CD0" w:rsidP="004A7CD0">
            <w:pPr>
              <w:jc w:val="left"/>
              <w:rPr>
                <w:szCs w:val="24"/>
                <w:lang w:val="de-CH"/>
              </w:rPr>
            </w:pPr>
            <w:r>
              <w:rPr>
                <w:i/>
                <w:szCs w:val="24"/>
                <w:lang w:val="de-CH"/>
              </w:rPr>
              <w:t>„Die meisten Unternehmen bevorzugen Entscheidungen durch Gerichte oder Schiedsgerichte, aber einige sehen auch eine Rolle für die Sortenschutzbehörden in Bezug auf technische Fragen.</w:t>
            </w:r>
          </w:p>
        </w:tc>
      </w:tr>
      <w:tr w:rsidR="004A7CD0" w:rsidRPr="00E957E1">
        <w:trPr>
          <w:cantSplit/>
        </w:trPr>
        <w:tc>
          <w:tcPr>
            <w:tcW w:w="1305" w:type="dxa"/>
          </w:tcPr>
          <w:p w:rsidR="004A7CD0" w:rsidRDefault="004A7CD0">
            <w:pPr>
              <w:rPr>
                <w:szCs w:val="24"/>
                <w:lang w:val="de-DE"/>
              </w:rPr>
            </w:pPr>
            <w:r>
              <w:rPr>
                <w:i/>
                <w:szCs w:val="24"/>
                <w:lang w:val="de-DE"/>
              </w:rPr>
              <w:t>Praxis 21</w:t>
            </w:r>
          </w:p>
        </w:tc>
        <w:tc>
          <w:tcPr>
            <w:tcW w:w="8930" w:type="dxa"/>
          </w:tcPr>
          <w:p w:rsidR="004A7CD0" w:rsidRDefault="004A7CD0" w:rsidP="004A7CD0">
            <w:pPr>
              <w:jc w:val="left"/>
              <w:rPr>
                <w:szCs w:val="24"/>
                <w:lang w:val="de-CH"/>
              </w:rPr>
            </w:pPr>
            <w:r>
              <w:rPr>
                <w:i/>
                <w:szCs w:val="24"/>
                <w:lang w:val="de-CH"/>
              </w:rPr>
              <w:t>„</w:t>
            </w:r>
            <w:r w:rsidRPr="00BB7850">
              <w:rPr>
                <w:i/>
                <w:spacing w:val="-2"/>
                <w:szCs w:val="24"/>
                <w:lang w:val="de-CH"/>
              </w:rPr>
              <w:t>Es wird oft erwähnt, dass von den Sortenschutzbehörden erwartet wird, dass sie über bessere (technische) Kenntnisse verfügen als Gerichte und/oder Schiedsrichter, je nach der spezifischen Situation des Landes. Daher kann die Beteiligung von Sortenschutzbehörden als Sachverständige in einem Gericht oder einem Schiedsgericht wertvoll sein. Einige würden es gerne sehen, dass die Sortenschutzbehörden während des Antragsverfahrens (das voraussichtlich kostengünstiger als ein Gerichtsverfahren sein wird) eine Entscheidung über den potentiellen Status einer im wesentlichen abgeleitete Sorte treffen, an die sich ein Gerichts- oder Schiedsgerichtsverfahren anschließen könnte. Andere sind der Meinung, dass die Sortenschutzbehörden unabhängig bleiben und sich in einem Streitfall zwischen Unternehmen nicht für eine Seite entscheiden sollten. Darüber hinaus werden in einem Rechtsstreit viele Fragen aufgeworfen werden, die juristische Sachkenntnisse erfordern und über die Kenntnisse einer Sortenschutzbehörde hinausgehen, wie z. B. die Gültigkeit des Titels (der Titel), die Rechtsverletzungen, die Haftung und die Höhe der Entschädigung“.</w:t>
            </w:r>
          </w:p>
        </w:tc>
      </w:tr>
      <w:tr w:rsidR="004A7CD0" w:rsidRPr="00E957E1">
        <w:trPr>
          <w:cantSplit/>
        </w:trPr>
        <w:tc>
          <w:tcPr>
            <w:tcW w:w="1305" w:type="dxa"/>
          </w:tcPr>
          <w:p w:rsidR="004A7CD0" w:rsidRDefault="004A7CD0">
            <w:pPr>
              <w:rPr>
                <w:szCs w:val="24"/>
                <w:lang w:val="de-DE"/>
              </w:rPr>
            </w:pPr>
            <w:r>
              <w:rPr>
                <w:i/>
                <w:szCs w:val="24"/>
                <w:lang w:val="de-DE"/>
              </w:rPr>
              <w:lastRenderedPageBreak/>
              <w:t>Praxis 22</w:t>
            </w:r>
          </w:p>
        </w:tc>
        <w:tc>
          <w:tcPr>
            <w:tcW w:w="8930" w:type="dxa"/>
          </w:tcPr>
          <w:p w:rsidR="004A7CD0" w:rsidRPr="00BB7850" w:rsidRDefault="004A7CD0" w:rsidP="004A7CD0">
            <w:pPr>
              <w:jc w:val="left"/>
              <w:rPr>
                <w:spacing w:val="-2"/>
                <w:szCs w:val="24"/>
                <w:lang w:val="de-CH"/>
              </w:rPr>
            </w:pPr>
            <w:r w:rsidRPr="00BB7850">
              <w:rPr>
                <w:i/>
                <w:spacing w:val="-2"/>
                <w:szCs w:val="24"/>
                <w:lang w:val="de-CH"/>
              </w:rPr>
              <w:t>„Viele Befragte aus dem Saatgutsektor gaben an, dass sie die von der Saatgutindustrie entwickelten Instrumente nutzen, um Streitigkeiten zu verhindern und deren Beilegung zu unterstützen</w:t>
            </w:r>
            <w:r w:rsidRPr="00BB7850">
              <w:rPr>
                <w:spacing w:val="-2"/>
                <w:szCs w:val="24"/>
                <w:lang w:val="de-CH"/>
              </w:rPr>
              <w:t>.</w:t>
            </w:r>
          </w:p>
        </w:tc>
      </w:tr>
      <w:tr w:rsidR="004A7CD0" w:rsidRPr="00E957E1">
        <w:trPr>
          <w:cantSplit/>
        </w:trPr>
        <w:tc>
          <w:tcPr>
            <w:tcW w:w="1305" w:type="dxa"/>
          </w:tcPr>
          <w:p w:rsidR="004A7CD0" w:rsidRDefault="004A7CD0">
            <w:pPr>
              <w:rPr>
                <w:szCs w:val="24"/>
                <w:lang w:val="de-DE"/>
              </w:rPr>
            </w:pPr>
            <w:r>
              <w:rPr>
                <w:i/>
                <w:szCs w:val="24"/>
                <w:lang w:val="de-DE"/>
              </w:rPr>
              <w:t>Praxis 23</w:t>
            </w:r>
          </w:p>
        </w:tc>
        <w:tc>
          <w:tcPr>
            <w:tcW w:w="8930" w:type="dxa"/>
          </w:tcPr>
          <w:p w:rsidR="004A7CD0" w:rsidRPr="00A65EE2" w:rsidRDefault="004A7CD0" w:rsidP="004A7CD0">
            <w:pPr>
              <w:jc w:val="left"/>
              <w:rPr>
                <w:szCs w:val="24"/>
                <w:lang w:val="de-CH"/>
              </w:rPr>
            </w:pPr>
            <w:r w:rsidRPr="00A65EE2">
              <w:rPr>
                <w:i/>
                <w:szCs w:val="24"/>
                <w:lang w:val="de-CH"/>
              </w:rPr>
              <w:t>„Der ISF und Euroseeds haben Richtlinien zu im wesentlichen abgeleiteten Sorten entwickelt, die genetische Schwellenwerte für mehrjähriges Weidelgras, Mais, Raps, Baumwolle, Salat und Kartoffeln festlegen.</w:t>
            </w:r>
          </w:p>
          <w:p w:rsidR="004A7CD0" w:rsidRPr="004A7CD0" w:rsidRDefault="00E957E1" w:rsidP="004A7CD0">
            <w:pPr>
              <w:rPr>
                <w:lang w:val="de-CH"/>
              </w:rPr>
            </w:pPr>
            <w:hyperlink r:id="rId15" w:anchor="essential-derivation" w:history="1">
              <w:r w:rsidR="004A7CD0" w:rsidRPr="004A7CD0">
                <w:rPr>
                  <w:rStyle w:val="Hyperlink"/>
                  <w:lang w:val="de-CH"/>
                </w:rPr>
                <w:t>https://www.worldseed.org/our-work/trade-rules/#essential-derivation</w:t>
              </w:r>
            </w:hyperlink>
            <w:r w:rsidR="004A7CD0" w:rsidRPr="004A7CD0">
              <w:rPr>
                <w:lang w:val="de-CH"/>
              </w:rPr>
              <w:t xml:space="preserve"> </w:t>
            </w:r>
          </w:p>
          <w:p w:rsidR="004A7CD0" w:rsidRPr="00A65EE2" w:rsidRDefault="00E957E1" w:rsidP="004A7CD0">
            <w:pPr>
              <w:spacing w:after="60"/>
              <w:rPr>
                <w:lang w:val="de-CH"/>
              </w:rPr>
            </w:pPr>
            <w:hyperlink r:id="rId16" w:history="1">
              <w:r w:rsidR="004A7CD0" w:rsidRPr="004A7CD0">
                <w:rPr>
                  <w:rStyle w:val="Hyperlink"/>
                  <w:lang w:val="de-CH"/>
                </w:rPr>
                <w:t>https://www.euroseeds.eu/app/uploads/2019/07/12.0838.pdf</w:t>
              </w:r>
            </w:hyperlink>
            <w:r w:rsidR="004A7CD0" w:rsidRPr="004A7CD0">
              <w:rPr>
                <w:lang w:val="de-CH"/>
              </w:rPr>
              <w:t>”</w:t>
            </w:r>
            <w:r w:rsidR="004A7CD0" w:rsidRPr="00A65EE2">
              <w:rPr>
                <w:i/>
                <w:lang w:val="de-CH"/>
              </w:rPr>
              <w:t xml:space="preserve"> </w:t>
            </w:r>
          </w:p>
        </w:tc>
      </w:tr>
      <w:tr w:rsidR="004A7CD0" w:rsidRPr="00E957E1">
        <w:trPr>
          <w:cantSplit/>
        </w:trPr>
        <w:tc>
          <w:tcPr>
            <w:tcW w:w="1305" w:type="dxa"/>
          </w:tcPr>
          <w:p w:rsidR="004A7CD0" w:rsidRDefault="004A7CD0">
            <w:pPr>
              <w:rPr>
                <w:szCs w:val="24"/>
                <w:lang w:val="de-DE"/>
              </w:rPr>
            </w:pPr>
            <w:r>
              <w:rPr>
                <w:i/>
                <w:szCs w:val="24"/>
                <w:lang w:val="de-DE"/>
              </w:rPr>
              <w:t>Praxis 24</w:t>
            </w:r>
          </w:p>
        </w:tc>
        <w:tc>
          <w:tcPr>
            <w:tcW w:w="8930" w:type="dxa"/>
          </w:tcPr>
          <w:p w:rsidR="004A7CD0" w:rsidRDefault="004A7CD0" w:rsidP="004A7CD0">
            <w:pPr>
              <w:jc w:val="left"/>
              <w:rPr>
                <w:szCs w:val="24"/>
                <w:lang w:val="de-CH"/>
              </w:rPr>
            </w:pPr>
            <w:r>
              <w:rPr>
                <w:szCs w:val="24"/>
                <w:lang w:val="de-CH"/>
              </w:rPr>
              <w:t>„82% der Befragten erklärten, dass ihr Unternehmen nicht aktiv Sorten entwickelt, die potentielle im wesentlichen abgeleitete Sorten von geschützten Sorten anderer Unternehmen sind.</w:t>
            </w:r>
          </w:p>
          <w:p w:rsidR="004A7CD0" w:rsidRDefault="004A7CD0" w:rsidP="004A7CD0">
            <w:pPr>
              <w:jc w:val="left"/>
              <w:rPr>
                <w:szCs w:val="24"/>
                <w:lang w:val="de-CH"/>
              </w:rPr>
            </w:pPr>
            <w:r>
              <w:rPr>
                <w:szCs w:val="24"/>
                <w:lang w:val="de-CH"/>
              </w:rPr>
              <w:t>Die überwiegende Mehrheit der Züchter versucht, die Entwicklung von im wesentlichen abgeleiteten Sorten zu vermeiden, indem sie beispielsweise mit ihrem eigenen Material arbeiten, wenn sie Mutagenese-Züchtungen durchführen, oder indem sie Kreuzungen durchführen, wenn sie mit Material von Konkurrenten arbeiten. Einige merken jedoch an, dass es nicht der Zweck ist, die Entwicklung von im wesentlichen abgeleiteten Sorten absolut zu vermeiden, und sie erwähnen, dass sie bei Bedarf einen Dialog mit dem Inhaber der Ursprungssorte aufnehmen“.</w:t>
            </w:r>
          </w:p>
        </w:tc>
      </w:tr>
      <w:tr w:rsidR="004A7CD0" w:rsidRPr="00E957E1">
        <w:trPr>
          <w:cantSplit/>
        </w:trPr>
        <w:tc>
          <w:tcPr>
            <w:tcW w:w="1305" w:type="dxa"/>
          </w:tcPr>
          <w:p w:rsidR="004A7CD0" w:rsidRDefault="004A7CD0">
            <w:pPr>
              <w:rPr>
                <w:szCs w:val="24"/>
                <w:lang w:val="de-DE"/>
              </w:rPr>
            </w:pPr>
            <w:r>
              <w:rPr>
                <w:i/>
                <w:szCs w:val="24"/>
                <w:lang w:val="de-DE"/>
              </w:rPr>
              <w:t>Praxis 25</w:t>
            </w:r>
          </w:p>
        </w:tc>
        <w:tc>
          <w:tcPr>
            <w:tcW w:w="8930" w:type="dxa"/>
          </w:tcPr>
          <w:p w:rsidR="004A7CD0" w:rsidRDefault="004A7CD0" w:rsidP="004A7CD0">
            <w:pPr>
              <w:jc w:val="left"/>
              <w:rPr>
                <w:i/>
                <w:szCs w:val="24"/>
                <w:lang w:val="de-DE"/>
              </w:rPr>
            </w:pPr>
            <w:r>
              <w:rPr>
                <w:i/>
                <w:szCs w:val="24"/>
                <w:lang w:val="de-CH"/>
              </w:rPr>
              <w:t>„Einige merken an, dass sie die Entwicklung von im wesentlichen abgeleiteten Sorten durch Dritte nicht aktiv überwachen.“</w:t>
            </w:r>
          </w:p>
        </w:tc>
      </w:tr>
      <w:tr w:rsidR="004A7CD0" w:rsidRPr="00E957E1">
        <w:trPr>
          <w:cantSplit/>
        </w:trPr>
        <w:tc>
          <w:tcPr>
            <w:tcW w:w="1305" w:type="dxa"/>
          </w:tcPr>
          <w:p w:rsidR="004A7CD0" w:rsidRDefault="004A7CD0">
            <w:pPr>
              <w:rPr>
                <w:szCs w:val="24"/>
                <w:lang w:val="de-DE"/>
              </w:rPr>
            </w:pPr>
            <w:r>
              <w:rPr>
                <w:i/>
                <w:szCs w:val="24"/>
                <w:lang w:val="de-DE"/>
              </w:rPr>
              <w:t>Praxis 26</w:t>
            </w:r>
          </w:p>
        </w:tc>
        <w:tc>
          <w:tcPr>
            <w:tcW w:w="8930" w:type="dxa"/>
          </w:tcPr>
          <w:p w:rsidR="004A7CD0" w:rsidRPr="00847B1A" w:rsidRDefault="004A7CD0" w:rsidP="004A7CD0">
            <w:pPr>
              <w:rPr>
                <w:szCs w:val="24"/>
                <w:lang w:val="de-CH"/>
              </w:rPr>
            </w:pPr>
            <w:r w:rsidRPr="00847B1A">
              <w:rPr>
                <w:i/>
                <w:szCs w:val="24"/>
                <w:lang w:val="de-CH"/>
              </w:rPr>
              <w:t>„Die Mehrheit der Befragten hat keine Geschäftspolitik für den Umgang mit Fragen in Zusammenhang mit im wesentlichen abgeleiteten Sorten“</w:t>
            </w:r>
          </w:p>
        </w:tc>
      </w:tr>
      <w:tr w:rsidR="004A7CD0" w:rsidRPr="00E957E1">
        <w:trPr>
          <w:cantSplit/>
        </w:trPr>
        <w:tc>
          <w:tcPr>
            <w:tcW w:w="1305" w:type="dxa"/>
          </w:tcPr>
          <w:p w:rsidR="004A7CD0" w:rsidRDefault="004A7CD0">
            <w:pPr>
              <w:rPr>
                <w:szCs w:val="24"/>
                <w:lang w:val="de-DE"/>
              </w:rPr>
            </w:pPr>
            <w:r>
              <w:rPr>
                <w:i/>
                <w:szCs w:val="24"/>
                <w:lang w:val="de-DE"/>
              </w:rPr>
              <w:t>Praxis 27</w:t>
            </w:r>
          </w:p>
        </w:tc>
        <w:tc>
          <w:tcPr>
            <w:tcW w:w="8930" w:type="dxa"/>
          </w:tcPr>
          <w:p w:rsidR="004A7CD0" w:rsidRDefault="004A7CD0" w:rsidP="004A7CD0">
            <w:pPr>
              <w:rPr>
                <w:szCs w:val="24"/>
                <w:lang w:val="de-CH"/>
              </w:rPr>
            </w:pPr>
            <w:r>
              <w:rPr>
                <w:i/>
                <w:szCs w:val="24"/>
                <w:lang w:val="de-CH"/>
              </w:rPr>
              <w:t>„Viele Unternehmen haben ihren Züchtern intern Anweisungen gegeben, um die Herstellung von im wesentlichen abgeleiteten Sorten zu vermeiden, entweder indem sie Pflanzenmaterial anderer Züchter nur für die Herstellung von Kreuzungen verwenden oder indem sie Mutationszüchtung nur mit eigenem Material durchführen.“</w:t>
            </w:r>
          </w:p>
        </w:tc>
      </w:tr>
      <w:tr w:rsidR="004A7CD0" w:rsidRPr="00E957E1">
        <w:trPr>
          <w:cantSplit/>
        </w:trPr>
        <w:tc>
          <w:tcPr>
            <w:tcW w:w="1305" w:type="dxa"/>
          </w:tcPr>
          <w:p w:rsidR="004A7CD0" w:rsidRDefault="004A7CD0">
            <w:pPr>
              <w:rPr>
                <w:szCs w:val="24"/>
                <w:lang w:val="de-DE"/>
              </w:rPr>
            </w:pPr>
            <w:r>
              <w:rPr>
                <w:i/>
                <w:szCs w:val="24"/>
                <w:lang w:val="de-DE"/>
              </w:rPr>
              <w:t>Praxis 28</w:t>
            </w:r>
          </w:p>
        </w:tc>
        <w:tc>
          <w:tcPr>
            <w:tcW w:w="8930" w:type="dxa"/>
          </w:tcPr>
          <w:p w:rsidR="004A7CD0" w:rsidRDefault="004A7CD0" w:rsidP="004A7CD0">
            <w:pPr>
              <w:rPr>
                <w:szCs w:val="24"/>
                <w:lang w:val="de-CH"/>
              </w:rPr>
            </w:pPr>
            <w:r>
              <w:rPr>
                <w:i/>
                <w:szCs w:val="24"/>
                <w:lang w:val="de-CH"/>
              </w:rPr>
              <w:t>„Einige Unternehmen, die mit Hybridpflanzen arbeiten, berichten von Anweisungen, nicht zu viele Rückkreuzungen vorzunehmen und zu prüfen, ob die neue Sorte ausreichend unterscheidbar ist.</w:t>
            </w:r>
            <w:r>
              <w:rPr>
                <w:szCs w:val="24"/>
                <w:lang w:val="de-CH"/>
              </w:rPr>
              <w:t xml:space="preserve"> </w:t>
            </w:r>
            <w:r>
              <w:rPr>
                <w:i/>
                <w:szCs w:val="24"/>
                <w:lang w:val="de-CH"/>
              </w:rPr>
              <w:t>Einige Züchter berichten, dass sich ihre Mitarbeiter des Problems bewusst sind, obwohl sie keine schriftliche Anweisung haben.“</w:t>
            </w:r>
          </w:p>
        </w:tc>
      </w:tr>
    </w:tbl>
    <w:p w:rsidR="00904D48" w:rsidRDefault="00904D48">
      <w:pPr>
        <w:rPr>
          <w:szCs w:val="24"/>
          <w:lang w:val="de-DE"/>
        </w:rPr>
      </w:pPr>
    </w:p>
    <w:p w:rsidR="00904D48" w:rsidRDefault="00904D48">
      <w:pPr>
        <w:rPr>
          <w:szCs w:val="24"/>
          <w:lang w:val="de-DE"/>
        </w:rPr>
      </w:pPr>
    </w:p>
    <w:p w:rsidR="00904D48" w:rsidRDefault="00904D48">
      <w:pPr>
        <w:jc w:val="right"/>
        <w:rPr>
          <w:szCs w:val="24"/>
          <w:lang w:val="de-DE"/>
        </w:rPr>
      </w:pPr>
      <w:r>
        <w:rPr>
          <w:szCs w:val="24"/>
          <w:lang w:val="de-DE"/>
        </w:rPr>
        <w:t>[Anlage II folgt]</w:t>
      </w:r>
    </w:p>
    <w:p w:rsidR="00904D48" w:rsidRDefault="00904D48">
      <w:pPr>
        <w:rPr>
          <w:szCs w:val="24"/>
          <w:lang w:val="de-DE"/>
        </w:rPr>
      </w:pPr>
    </w:p>
    <w:p w:rsidR="00904D48" w:rsidRDefault="00904D48">
      <w:pPr>
        <w:rPr>
          <w:szCs w:val="24"/>
          <w:lang w:val="de-DE"/>
        </w:rPr>
      </w:pPr>
    </w:p>
    <w:p w:rsidR="00904D48" w:rsidRDefault="00904D48">
      <w:pPr>
        <w:rPr>
          <w:szCs w:val="24"/>
          <w:lang w:val="de-DE"/>
        </w:rPr>
        <w:sectPr w:rsidR="00904D48">
          <w:headerReference w:type="default" r:id="rId17"/>
          <w:headerReference w:type="first" r:id="rId18"/>
          <w:pgSz w:w="11907" w:h="16840" w:code="9"/>
          <w:pgMar w:top="510" w:right="1134" w:bottom="993" w:left="1134" w:header="510" w:footer="624" w:gutter="0"/>
          <w:pgNumType w:start="1"/>
          <w:cols w:space="720"/>
          <w:titlePg/>
        </w:sectPr>
      </w:pPr>
    </w:p>
    <w:p w:rsidR="00904D48" w:rsidRPr="00BB7850" w:rsidRDefault="00904D48">
      <w:pPr>
        <w:jc w:val="center"/>
        <w:rPr>
          <w:sz w:val="18"/>
          <w:szCs w:val="24"/>
          <w:lang w:val="de-DE"/>
        </w:rPr>
      </w:pPr>
    </w:p>
    <w:p w:rsidR="00904D48" w:rsidRDefault="00904D48">
      <w:pPr>
        <w:jc w:val="center"/>
        <w:rPr>
          <w:szCs w:val="24"/>
          <w:lang w:val="de-DE"/>
        </w:rPr>
      </w:pPr>
      <w:r>
        <w:rPr>
          <w:szCs w:val="24"/>
          <w:lang w:val="de-DE"/>
        </w:rPr>
        <w:t>ENTWURF EINER AUFGABENDEFINITION DER ARBEITSGRUPPE FÜR IM WESENTLICHEN ABGELEITETE SORTEN</w:t>
      </w:r>
    </w:p>
    <w:p w:rsidR="00904D48" w:rsidRDefault="00904D48">
      <w:pPr>
        <w:jc w:val="center"/>
        <w:rPr>
          <w:szCs w:val="24"/>
          <w:lang w:val="de-DE"/>
        </w:rPr>
      </w:pPr>
      <w:r>
        <w:rPr>
          <w:szCs w:val="24"/>
          <w:lang w:val="de-DE"/>
        </w:rPr>
        <w:t>(WG-EDV)</w:t>
      </w:r>
    </w:p>
    <w:p w:rsidR="00904D48" w:rsidRPr="00BB7850" w:rsidRDefault="00904D48">
      <w:pPr>
        <w:jc w:val="center"/>
        <w:rPr>
          <w:sz w:val="18"/>
          <w:szCs w:val="24"/>
          <w:lang w:val="de-DE"/>
        </w:rPr>
      </w:pPr>
    </w:p>
    <w:p w:rsidR="00904D48" w:rsidRDefault="00904D48">
      <w:pPr>
        <w:jc w:val="center"/>
        <w:rPr>
          <w:szCs w:val="24"/>
          <w:lang w:val="de-DE"/>
        </w:rPr>
      </w:pPr>
      <w:r>
        <w:rPr>
          <w:szCs w:val="24"/>
          <w:lang w:val="de-DE"/>
        </w:rPr>
        <w:t>[</w:t>
      </w:r>
      <w:r w:rsidR="00717091">
        <w:rPr>
          <w:szCs w:val="24"/>
          <w:lang w:val="de-DE"/>
        </w:rPr>
        <w:t>Wiedergeben</w:t>
      </w:r>
      <w:r>
        <w:rPr>
          <w:szCs w:val="24"/>
          <w:lang w:val="de-DE"/>
        </w:rPr>
        <w:t xml:space="preserve"> aus Anhang II des Rundschreibens E-20/093 vom 9. Juli 2020 – Änderungen sind im manuellen Überarbeitungsmodus vorgelegt und in Grau hervorgehoben]</w:t>
      </w:r>
    </w:p>
    <w:p w:rsidR="00904D48" w:rsidRPr="00BB7850" w:rsidRDefault="00904D48">
      <w:pPr>
        <w:jc w:val="center"/>
        <w:rPr>
          <w:sz w:val="18"/>
          <w:szCs w:val="24"/>
          <w:lang w:val="de-DE"/>
        </w:rPr>
      </w:pPr>
    </w:p>
    <w:p w:rsidR="00904D48" w:rsidRPr="00BB7850" w:rsidRDefault="00904D48">
      <w:pPr>
        <w:jc w:val="center"/>
        <w:rPr>
          <w:sz w:val="18"/>
          <w:szCs w:val="24"/>
          <w:lang w:val="de-DE"/>
        </w:rPr>
      </w:pPr>
    </w:p>
    <w:p w:rsidR="00904D48" w:rsidRDefault="00904D48">
      <w:pPr>
        <w:rPr>
          <w:szCs w:val="24"/>
          <w:lang w:val="de-DE"/>
        </w:rPr>
      </w:pPr>
      <w:r>
        <w:rPr>
          <w:szCs w:val="24"/>
          <w:lang w:val="de-DE"/>
        </w:rPr>
        <w:t xml:space="preserve">ZWECK: </w:t>
      </w:r>
    </w:p>
    <w:p w:rsidR="00904D48" w:rsidRPr="00BB7850" w:rsidRDefault="00904D48">
      <w:pPr>
        <w:pStyle w:val="ListParagraph"/>
        <w:ind w:left="0"/>
        <w:rPr>
          <w:sz w:val="18"/>
          <w:szCs w:val="24"/>
          <w:lang w:val="de-DE"/>
        </w:rPr>
      </w:pPr>
    </w:p>
    <w:p w:rsidR="00904D48" w:rsidRDefault="00904D48">
      <w:pPr>
        <w:pStyle w:val="ListParagraph"/>
        <w:ind w:left="0"/>
        <w:rPr>
          <w:szCs w:val="24"/>
          <w:lang w:val="de-DE"/>
        </w:rPr>
      </w:pPr>
      <w:r>
        <w:rPr>
          <w:szCs w:val="24"/>
          <w:lang w:val="de-DE"/>
        </w:rPr>
        <w:t xml:space="preserve">Der Zweck der WG-EDV besteht darin, einen Entwurf einer Überarbeitung der „Erläuterungen zu den im wesentlichen abgeleiteten Sorten nach der Akte von 1991 des UPOV-Übereinkommens“ (Dokument UPOV/EXN/EDV/2) zur Prüfung durch den Verwaltungs- und Rechtsausschuß vorzubereiten. </w:t>
      </w:r>
    </w:p>
    <w:p w:rsidR="00904D48" w:rsidRPr="00BB7850" w:rsidRDefault="00904D48">
      <w:pPr>
        <w:rPr>
          <w:sz w:val="18"/>
          <w:szCs w:val="24"/>
          <w:lang w:val="de-DE"/>
        </w:rPr>
      </w:pPr>
    </w:p>
    <w:p w:rsidR="00904D48" w:rsidRPr="00BB7850" w:rsidRDefault="00904D48">
      <w:pPr>
        <w:rPr>
          <w:sz w:val="18"/>
          <w:szCs w:val="24"/>
          <w:lang w:val="de-DE"/>
        </w:rPr>
      </w:pPr>
    </w:p>
    <w:p w:rsidR="00904D48" w:rsidRPr="00BB7850" w:rsidRDefault="00904D48">
      <w:pPr>
        <w:rPr>
          <w:sz w:val="18"/>
          <w:szCs w:val="24"/>
          <w:lang w:val="de-DE"/>
        </w:rPr>
      </w:pPr>
    </w:p>
    <w:p w:rsidR="00904D48" w:rsidRDefault="00904D48">
      <w:pPr>
        <w:rPr>
          <w:szCs w:val="24"/>
          <w:lang w:val="de-DE"/>
        </w:rPr>
      </w:pPr>
      <w:r>
        <w:rPr>
          <w:szCs w:val="24"/>
          <w:lang w:val="de-DE"/>
        </w:rPr>
        <w:t>ZUSAMMENSETZUNG:</w:t>
      </w:r>
    </w:p>
    <w:p w:rsidR="00904D48" w:rsidRPr="00BB7850" w:rsidRDefault="00904D48">
      <w:pPr>
        <w:rPr>
          <w:sz w:val="18"/>
          <w:szCs w:val="24"/>
          <w:lang w:val="de-DE"/>
        </w:rPr>
      </w:pPr>
    </w:p>
    <w:p w:rsidR="00904D48" w:rsidRDefault="00904D48">
      <w:pPr>
        <w:ind w:firstLine="567"/>
        <w:rPr>
          <w:szCs w:val="24"/>
          <w:lang w:val="de-DE"/>
        </w:rPr>
      </w:pPr>
      <w:r>
        <w:rPr>
          <w:szCs w:val="24"/>
          <w:lang w:val="de-DE"/>
        </w:rPr>
        <w:t>a)</w:t>
      </w:r>
      <w:r>
        <w:rPr>
          <w:szCs w:val="24"/>
          <w:lang w:val="de-DE"/>
        </w:rPr>
        <w:tab/>
        <w:t>soll sich aus den Verbandsmitgliedern und den vom CAJ genehmigten Beobachtern zusammensetzen;</w:t>
      </w:r>
      <w:r>
        <w:rPr>
          <w:color w:val="000000"/>
          <w:szCs w:val="24"/>
          <w:lang w:val="de-DE"/>
        </w:rPr>
        <w:t xml:space="preserve"> </w:t>
      </w:r>
    </w:p>
    <w:p w:rsidR="00904D48" w:rsidRPr="00BB7850" w:rsidRDefault="00904D48">
      <w:pPr>
        <w:rPr>
          <w:sz w:val="18"/>
          <w:szCs w:val="24"/>
          <w:lang w:val="de-DE"/>
        </w:rPr>
      </w:pPr>
    </w:p>
    <w:p w:rsidR="00904D48" w:rsidRDefault="00904D48">
      <w:pPr>
        <w:ind w:firstLine="567"/>
        <w:rPr>
          <w:szCs w:val="24"/>
          <w:lang w:val="de-DE"/>
        </w:rPr>
      </w:pPr>
      <w:r>
        <w:rPr>
          <w:szCs w:val="24"/>
          <w:lang w:val="de-DE"/>
        </w:rPr>
        <w:t>b)</w:t>
      </w:r>
      <w:r>
        <w:rPr>
          <w:szCs w:val="24"/>
          <w:lang w:val="de-DE"/>
        </w:rPr>
        <w:tab/>
        <w:t>anderen Verbandsmitgliedern stünde es nach Wunsch frei, an einer Sitzung der WG-EDV teilzunehmen und gegebenenfalls Bemerkungen abzugeben;</w:t>
      </w:r>
    </w:p>
    <w:p w:rsidR="00904D48" w:rsidRPr="00BB7850" w:rsidRDefault="00904D48">
      <w:pPr>
        <w:rPr>
          <w:sz w:val="18"/>
          <w:szCs w:val="24"/>
          <w:lang w:val="de-DE"/>
        </w:rPr>
      </w:pPr>
    </w:p>
    <w:p w:rsidR="00904D48" w:rsidRDefault="00904D48">
      <w:pPr>
        <w:ind w:firstLine="567"/>
        <w:rPr>
          <w:szCs w:val="24"/>
          <w:lang w:val="de-DE"/>
        </w:rPr>
      </w:pPr>
      <w:r>
        <w:rPr>
          <w:szCs w:val="24"/>
          <w:lang w:val="de-DE"/>
        </w:rPr>
        <w:t>c)</w:t>
      </w:r>
      <w:r>
        <w:rPr>
          <w:szCs w:val="24"/>
          <w:lang w:val="de-DE"/>
        </w:rPr>
        <w:tab/>
        <w:t>die WG-EDV würde sich wieder an den CAJ wenden, falls die WG-EDV empfehlen sollte, andere Beobachter oder Sachverständige zu einer ihrer Sitzungen einzuladen; und</w:t>
      </w:r>
    </w:p>
    <w:p w:rsidR="00904D48" w:rsidRPr="00BB7850" w:rsidRDefault="00904D48">
      <w:pPr>
        <w:rPr>
          <w:sz w:val="18"/>
          <w:szCs w:val="24"/>
          <w:lang w:val="de-DE"/>
        </w:rPr>
      </w:pPr>
    </w:p>
    <w:p w:rsidR="00904D48" w:rsidRDefault="00904D48">
      <w:pPr>
        <w:tabs>
          <w:tab w:val="left" w:pos="1134"/>
        </w:tabs>
        <w:ind w:firstLine="567"/>
        <w:rPr>
          <w:szCs w:val="24"/>
          <w:lang w:val="de-DE"/>
        </w:rPr>
      </w:pPr>
      <w:r>
        <w:rPr>
          <w:szCs w:val="24"/>
          <w:lang w:val="de-DE"/>
        </w:rPr>
        <w:t>d)</w:t>
      </w:r>
      <w:r>
        <w:rPr>
          <w:szCs w:val="24"/>
          <w:lang w:val="de-DE"/>
        </w:rPr>
        <w:tab/>
        <w:t>der Stellvertretende Generalsekretär würde den Vorsitz über die Sitzungen führen.</w:t>
      </w:r>
    </w:p>
    <w:p w:rsidR="00904D48" w:rsidRPr="00BB7850" w:rsidRDefault="00904D48">
      <w:pPr>
        <w:rPr>
          <w:sz w:val="18"/>
          <w:szCs w:val="24"/>
          <w:lang w:val="de-DE"/>
        </w:rPr>
      </w:pPr>
    </w:p>
    <w:p w:rsidR="00904D48" w:rsidRPr="00BB7850" w:rsidRDefault="00904D48">
      <w:pPr>
        <w:rPr>
          <w:sz w:val="18"/>
          <w:szCs w:val="24"/>
          <w:lang w:val="de-DE"/>
        </w:rPr>
      </w:pPr>
    </w:p>
    <w:p w:rsidR="00904D48" w:rsidRPr="00BB7850" w:rsidRDefault="00904D48">
      <w:pPr>
        <w:rPr>
          <w:sz w:val="18"/>
          <w:szCs w:val="24"/>
          <w:lang w:val="de-DE"/>
        </w:rPr>
      </w:pPr>
    </w:p>
    <w:p w:rsidR="00904D48" w:rsidRDefault="00904D48">
      <w:pPr>
        <w:rPr>
          <w:szCs w:val="24"/>
          <w:lang w:val="de-DE"/>
        </w:rPr>
      </w:pPr>
      <w:r>
        <w:rPr>
          <w:szCs w:val="24"/>
          <w:lang w:val="de-DE"/>
        </w:rPr>
        <w:t>MODUS OPERANDI:</w:t>
      </w:r>
    </w:p>
    <w:p w:rsidR="00904D48" w:rsidRPr="00BB7850" w:rsidRDefault="00904D48">
      <w:pPr>
        <w:rPr>
          <w:sz w:val="18"/>
          <w:szCs w:val="24"/>
          <w:u w:val="single"/>
          <w:lang w:val="de-DE"/>
        </w:rPr>
      </w:pPr>
    </w:p>
    <w:p w:rsidR="00904D48" w:rsidRDefault="00904D48">
      <w:pPr>
        <w:ind w:firstLine="360"/>
        <w:rPr>
          <w:szCs w:val="24"/>
          <w:lang w:val="de-DE"/>
        </w:rPr>
      </w:pPr>
      <w:r>
        <w:rPr>
          <w:szCs w:val="24"/>
          <w:lang w:val="de-DE"/>
        </w:rPr>
        <w:t xml:space="preserve">a) </w:t>
      </w:r>
      <w:r>
        <w:rPr>
          <w:szCs w:val="24"/>
          <w:lang w:val="de-DE"/>
        </w:rPr>
        <w:tab/>
        <w:t>bei der Vorbereitung des Entwurfs einer Überarbeitung von Dokument UPOV/EXN/EDV/2 wird die WG-EDV:</w:t>
      </w:r>
    </w:p>
    <w:p w:rsidR="00904D48" w:rsidRPr="00BB7850" w:rsidRDefault="00904D48">
      <w:pPr>
        <w:rPr>
          <w:sz w:val="18"/>
          <w:szCs w:val="24"/>
          <w:lang w:val="de-DE"/>
        </w:rPr>
      </w:pPr>
    </w:p>
    <w:p w:rsidR="00904D48" w:rsidRDefault="00717091" w:rsidP="00717091">
      <w:pPr>
        <w:pStyle w:val="ListParagraph"/>
        <w:tabs>
          <w:tab w:val="left" w:pos="1701"/>
        </w:tabs>
        <w:ind w:left="1701" w:hanging="567"/>
        <w:rPr>
          <w:szCs w:val="24"/>
          <w:lang w:val="de-DE"/>
        </w:rPr>
      </w:pPr>
      <w:r>
        <w:rPr>
          <w:szCs w:val="24"/>
          <w:lang w:val="de-DE"/>
        </w:rPr>
        <w:t>i)</w:t>
      </w:r>
      <w:r>
        <w:rPr>
          <w:szCs w:val="24"/>
          <w:lang w:val="de-DE"/>
        </w:rPr>
        <w:tab/>
      </w:r>
      <w:r w:rsidR="00904D48">
        <w:rPr>
          <w:szCs w:val="24"/>
          <w:lang w:val="de-DE"/>
        </w:rPr>
        <w:t>die Ergebnisse des Seminars über die Auswirkungen der Politik bezüglich der im wesentlichen abgeleiteten Sorten von 2019 auf die Züchtungsstrategie prüfen:</w:t>
      </w:r>
    </w:p>
    <w:p w:rsidR="00904D48" w:rsidRPr="00BB7850" w:rsidRDefault="00904D48" w:rsidP="00717091">
      <w:pPr>
        <w:pStyle w:val="ListParagraph"/>
        <w:tabs>
          <w:tab w:val="left" w:pos="1701"/>
        </w:tabs>
        <w:ind w:left="1701"/>
        <w:rPr>
          <w:rFonts w:ascii="Times New Roman" w:hAnsi="Times New Roman"/>
          <w:sz w:val="18"/>
          <w:szCs w:val="24"/>
          <w:lang w:val="de-DE"/>
        </w:rPr>
      </w:pPr>
    </w:p>
    <w:p w:rsidR="00904D48" w:rsidRDefault="00904D48" w:rsidP="00717091">
      <w:pPr>
        <w:pStyle w:val="ListParagraph"/>
        <w:ind w:left="1701"/>
        <w:rPr>
          <w:szCs w:val="24"/>
          <w:lang w:val="de-DE"/>
        </w:rPr>
      </w:pPr>
      <w:r>
        <w:rPr>
          <w:szCs w:val="24"/>
          <w:lang w:val="de-DE"/>
        </w:rPr>
        <w:t>„- Nachweise, daß die derzeitige Anleitung der UPOV nicht die Praxis der Züchter in bezug auf das Verständnis von im wesentlichen abgeleiteten Sorten widerspiegelt;</w:t>
      </w:r>
    </w:p>
    <w:p w:rsidR="00904D48" w:rsidRPr="00BB7850" w:rsidRDefault="00904D48" w:rsidP="00717091">
      <w:pPr>
        <w:pStyle w:val="ListParagraph"/>
        <w:ind w:left="1701"/>
        <w:rPr>
          <w:sz w:val="18"/>
          <w:szCs w:val="24"/>
          <w:lang w:val="de-DE"/>
        </w:rPr>
      </w:pPr>
    </w:p>
    <w:p w:rsidR="00904D48" w:rsidRDefault="00904D48" w:rsidP="00717091">
      <w:pPr>
        <w:pStyle w:val="ListParagraph"/>
        <w:ind w:left="1701"/>
        <w:rPr>
          <w:szCs w:val="24"/>
          <w:lang w:val="de-DE"/>
        </w:rPr>
      </w:pPr>
      <w:r>
        <w:rPr>
          <w:szCs w:val="24"/>
          <w:lang w:val="de-DE"/>
        </w:rPr>
        <w:t xml:space="preserve"> „- Bei der Entwicklung der Pflanzenzüchtungstechniken sind neue Gelegenheiten/Anreize für die Entwicklung vorwiegend abgeleiteter Sorten aus Ursprungssorten entstanden, die schneller und günstiger sind;</w:t>
      </w:r>
    </w:p>
    <w:p w:rsidR="00904D48" w:rsidRPr="00BB7850" w:rsidRDefault="00904D48" w:rsidP="00717091">
      <w:pPr>
        <w:pStyle w:val="ListParagraph"/>
        <w:ind w:left="1701" w:hanging="567"/>
        <w:rPr>
          <w:sz w:val="18"/>
          <w:szCs w:val="24"/>
          <w:lang w:val="de-DE"/>
        </w:rPr>
      </w:pPr>
    </w:p>
    <w:p w:rsidR="00904D48" w:rsidRDefault="00904D48" w:rsidP="00717091">
      <w:pPr>
        <w:ind w:left="1701"/>
        <w:rPr>
          <w:szCs w:val="24"/>
          <w:lang w:val="de-DE"/>
        </w:rPr>
      </w:pPr>
      <w:r>
        <w:rPr>
          <w:szCs w:val="24"/>
          <w:lang w:val="de-DE"/>
        </w:rPr>
        <w:t>„- Es gibt klare Hinweise aus den Referaten und Erörterungen, daß das Verständnis und die Umsetzung des Konzepts der im wesentlichen abgeleiteten Sorten die Züchterstrategien beeinflussen – es ist daher wesentlich, daß die Anleitung der UPOV darauf ausgerichtet ist, den Nutzen für die Gesellschaft auf ein Höchstmaß zu steigern, indem der Fortschritt bei der Züchtung auf ein Höchstmaß gesteigert wird.“; und</w:t>
      </w:r>
    </w:p>
    <w:p w:rsidR="00904D48" w:rsidRPr="00BB7850" w:rsidRDefault="00904D48" w:rsidP="00717091">
      <w:pPr>
        <w:ind w:left="1644" w:firstLine="1134"/>
        <w:rPr>
          <w:sz w:val="18"/>
          <w:szCs w:val="24"/>
          <w:lang w:val="de-DE"/>
        </w:rPr>
      </w:pPr>
    </w:p>
    <w:p w:rsidR="00904D48" w:rsidRDefault="00717091" w:rsidP="00717091">
      <w:pPr>
        <w:pStyle w:val="ListParagraph"/>
        <w:ind w:left="1701" w:hanging="567"/>
        <w:rPr>
          <w:szCs w:val="24"/>
          <w:lang w:val="de-DE"/>
        </w:rPr>
      </w:pPr>
      <w:r>
        <w:rPr>
          <w:szCs w:val="24"/>
          <w:lang w:val="de-DE"/>
        </w:rPr>
        <w:t>ii)</w:t>
      </w:r>
      <w:r>
        <w:rPr>
          <w:szCs w:val="24"/>
          <w:lang w:val="de-DE"/>
        </w:rPr>
        <w:tab/>
      </w:r>
      <w:r w:rsidR="00904D48">
        <w:rPr>
          <w:szCs w:val="24"/>
          <w:lang w:val="de-DE"/>
        </w:rPr>
        <w:t xml:space="preserve">die Grundsatzfragen in Zusammenhang mit Brauch und Praxis der Züchter, wie in der Anlage </w:t>
      </w:r>
      <w:r w:rsidR="00904D48" w:rsidRPr="00E957E1">
        <w:rPr>
          <w:szCs w:val="24"/>
          <w:highlight w:val="lightGray"/>
          <w:u w:val="single"/>
          <w:lang w:val="de-DE"/>
        </w:rPr>
        <w:t>I d</w:t>
      </w:r>
      <w:r w:rsidR="00904D48">
        <w:rPr>
          <w:szCs w:val="24"/>
          <w:highlight w:val="lightGray"/>
          <w:u w:val="single"/>
          <w:lang w:val="de-DE"/>
        </w:rPr>
        <w:t>ieses Dokuments</w:t>
      </w:r>
      <w:r w:rsidR="00904D48">
        <w:rPr>
          <w:szCs w:val="24"/>
          <w:lang w:val="de-DE"/>
        </w:rPr>
        <w:t xml:space="preserve"> </w:t>
      </w:r>
      <w:r w:rsidR="00904D48">
        <w:rPr>
          <w:strike/>
          <w:szCs w:val="24"/>
          <w:highlight w:val="lightGray"/>
          <w:lang w:val="de-DE"/>
        </w:rPr>
        <w:t>III dieses Rundschreibens</w:t>
      </w:r>
      <w:r w:rsidR="00904D48">
        <w:rPr>
          <w:szCs w:val="24"/>
          <w:lang w:val="de-DE"/>
        </w:rPr>
        <w:t xml:space="preserve">dargelegt, prüfen; </w:t>
      </w:r>
    </w:p>
    <w:p w:rsidR="00904D48" w:rsidRPr="00BB7850" w:rsidRDefault="00904D48">
      <w:pPr>
        <w:rPr>
          <w:sz w:val="18"/>
          <w:szCs w:val="24"/>
          <w:u w:val="single"/>
          <w:lang w:val="de-DE"/>
        </w:rPr>
      </w:pPr>
      <w:bookmarkStart w:id="12" w:name="_GoBack"/>
      <w:bookmarkEnd w:id="12"/>
    </w:p>
    <w:p w:rsidR="00904D48" w:rsidRDefault="00904D48">
      <w:pPr>
        <w:tabs>
          <w:tab w:val="left" w:pos="1134"/>
        </w:tabs>
        <w:ind w:firstLine="567"/>
        <w:rPr>
          <w:szCs w:val="24"/>
          <w:u w:val="single"/>
          <w:lang w:val="de-DE"/>
        </w:rPr>
      </w:pPr>
      <w:r>
        <w:rPr>
          <w:szCs w:val="24"/>
          <w:lang w:val="de-DE"/>
        </w:rPr>
        <w:t xml:space="preserve">b) </w:t>
      </w:r>
      <w:r>
        <w:rPr>
          <w:szCs w:val="24"/>
          <w:lang w:val="de-DE"/>
        </w:rPr>
        <w:tab/>
        <w:t>die WG-EDV wird zu einem Zeitpunkt und mit einer Häufigkeit in physischer oder virtueller Form zusammenzutreten, die es erlauben, ihr Mandat zu erfüllen, wie von der WG-EDV vereinbart;</w:t>
      </w:r>
    </w:p>
    <w:p w:rsidR="00904D48" w:rsidRPr="00BB7850" w:rsidRDefault="00904D48">
      <w:pPr>
        <w:tabs>
          <w:tab w:val="left" w:pos="1134"/>
        </w:tabs>
        <w:rPr>
          <w:sz w:val="18"/>
          <w:szCs w:val="24"/>
          <w:u w:val="single"/>
          <w:lang w:val="de-DE"/>
        </w:rPr>
      </w:pPr>
    </w:p>
    <w:p w:rsidR="00904D48" w:rsidRDefault="00904D48">
      <w:pPr>
        <w:tabs>
          <w:tab w:val="left" w:pos="1134"/>
        </w:tabs>
        <w:ind w:firstLine="567"/>
        <w:rPr>
          <w:szCs w:val="24"/>
          <w:lang w:val="de-DE"/>
        </w:rPr>
      </w:pPr>
      <w:r>
        <w:rPr>
          <w:szCs w:val="24"/>
          <w:lang w:val="de-DE"/>
        </w:rPr>
        <w:t xml:space="preserve">c) </w:t>
      </w:r>
      <w:r>
        <w:rPr>
          <w:szCs w:val="24"/>
          <w:lang w:val="de-DE"/>
        </w:rPr>
        <w:tab/>
        <w:t>die WG-EDV wird dem CAJ nach jeder Sitzung der WG-EDV über den Fortschritt ihrer Arbeit berichten und gegebenenfalls um weitere Anleitung durch den CAJ ersuchen;</w:t>
      </w:r>
    </w:p>
    <w:p w:rsidR="00904D48" w:rsidRPr="00BB7850" w:rsidRDefault="00904D48">
      <w:pPr>
        <w:tabs>
          <w:tab w:val="left" w:pos="1134"/>
        </w:tabs>
        <w:rPr>
          <w:sz w:val="18"/>
          <w:szCs w:val="24"/>
          <w:lang w:val="de-DE"/>
        </w:rPr>
      </w:pPr>
    </w:p>
    <w:p w:rsidR="00904D48" w:rsidRDefault="00904D48">
      <w:pPr>
        <w:tabs>
          <w:tab w:val="left" w:pos="1134"/>
        </w:tabs>
        <w:ind w:firstLine="567"/>
        <w:rPr>
          <w:szCs w:val="24"/>
          <w:u w:val="single"/>
          <w:lang w:val="de-DE"/>
        </w:rPr>
      </w:pPr>
      <w:r>
        <w:rPr>
          <w:szCs w:val="24"/>
          <w:lang w:val="de-DE"/>
        </w:rPr>
        <w:t>d)</w:t>
      </w:r>
      <w:r>
        <w:rPr>
          <w:szCs w:val="24"/>
          <w:lang w:val="de-DE"/>
        </w:rPr>
        <w:tab/>
        <w:t>dem CAJ werden die WG-EDV-Dokumente zur Verfügung gestellt.</w:t>
      </w:r>
    </w:p>
    <w:p w:rsidR="00904D48" w:rsidRPr="009902ED" w:rsidRDefault="00904D48">
      <w:pPr>
        <w:tabs>
          <w:tab w:val="left" w:pos="1134"/>
        </w:tabs>
        <w:rPr>
          <w:sz w:val="14"/>
          <w:szCs w:val="24"/>
          <w:lang w:val="de-DE"/>
        </w:rPr>
      </w:pPr>
    </w:p>
    <w:p w:rsidR="00BB7850" w:rsidRPr="009902ED" w:rsidRDefault="00BB7850">
      <w:pPr>
        <w:tabs>
          <w:tab w:val="left" w:pos="1134"/>
        </w:tabs>
        <w:rPr>
          <w:sz w:val="18"/>
          <w:szCs w:val="24"/>
          <w:lang w:val="de-DE"/>
        </w:rPr>
      </w:pPr>
    </w:p>
    <w:p w:rsidR="00904D48" w:rsidRDefault="00904D48" w:rsidP="00BB7850">
      <w:pPr>
        <w:jc w:val="right"/>
        <w:rPr>
          <w:szCs w:val="24"/>
          <w:lang w:val="de-DE"/>
        </w:rPr>
      </w:pPr>
      <w:r>
        <w:rPr>
          <w:szCs w:val="24"/>
          <w:lang w:val="de-DE"/>
        </w:rPr>
        <w:t>[Ende der Anlage II und des Dokuments]</w:t>
      </w:r>
    </w:p>
    <w:sectPr w:rsidR="00904D48" w:rsidSect="009902ED">
      <w:headerReference w:type="first" r:id="rId19"/>
      <w:pgSz w:w="11907" w:h="16840" w:code="9"/>
      <w:pgMar w:top="510" w:right="1134" w:bottom="851" w:left="1134" w:header="510" w:footer="6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DB9" w:rsidRDefault="00745DB9">
      <w:pPr>
        <w:rPr>
          <w:szCs w:val="24"/>
        </w:rPr>
      </w:pPr>
      <w:r>
        <w:rPr>
          <w:szCs w:val="24"/>
        </w:rPr>
        <w:separator/>
      </w:r>
    </w:p>
    <w:p w:rsidR="00745DB9" w:rsidRDefault="00745DB9">
      <w:pPr>
        <w:rPr>
          <w:szCs w:val="24"/>
        </w:rPr>
      </w:pPr>
    </w:p>
    <w:p w:rsidR="00745DB9" w:rsidRDefault="00745DB9">
      <w:pPr>
        <w:rPr>
          <w:szCs w:val="24"/>
        </w:rPr>
      </w:pPr>
    </w:p>
  </w:endnote>
  <w:endnote w:type="continuationSeparator" w:id="0">
    <w:p w:rsidR="00745DB9" w:rsidRDefault="00745DB9">
      <w:pPr>
        <w:rPr>
          <w:szCs w:val="24"/>
        </w:rPr>
      </w:pPr>
      <w:r>
        <w:rPr>
          <w:szCs w:val="24"/>
        </w:rPr>
        <w:separator/>
      </w:r>
    </w:p>
    <w:p w:rsidR="00745DB9" w:rsidRDefault="00745DB9">
      <w:pPr>
        <w:pStyle w:val="Footer"/>
        <w:spacing w:after="60"/>
        <w:rPr>
          <w:sz w:val="18"/>
          <w:szCs w:val="24"/>
          <w:lang w:val="fr-FR"/>
        </w:rPr>
      </w:pPr>
      <w:r>
        <w:rPr>
          <w:noProof/>
          <w:sz w:val="18"/>
          <w:szCs w:val="24"/>
          <w:lang w:val="fr-FR"/>
        </w:rPr>
        <w:t>[Suite de la note de la page précédente]</w:t>
      </w:r>
    </w:p>
    <w:p w:rsidR="00745DB9" w:rsidRDefault="00745DB9">
      <w:pPr>
        <w:rPr>
          <w:szCs w:val="24"/>
          <w:lang w:val="fr-FR"/>
        </w:rPr>
      </w:pPr>
    </w:p>
    <w:p w:rsidR="00745DB9" w:rsidRDefault="00745DB9">
      <w:pPr>
        <w:rPr>
          <w:szCs w:val="24"/>
          <w:lang w:val="fr-FR"/>
        </w:rPr>
      </w:pPr>
    </w:p>
  </w:endnote>
  <w:endnote w:type="continuationNotice" w:id="1">
    <w:p w:rsidR="00745DB9" w:rsidRDefault="00745DB9">
      <w:pPr>
        <w:rPr>
          <w:szCs w:val="24"/>
          <w:lang w:val="fr-FR"/>
        </w:rPr>
      </w:pPr>
      <w:r>
        <w:rPr>
          <w:noProof/>
          <w:szCs w:val="24"/>
          <w:lang w:val="fr-FR"/>
        </w:rPr>
        <w:t>[Suite de la note page suivante]</w:t>
      </w:r>
    </w:p>
    <w:p w:rsidR="00745DB9" w:rsidRDefault="00745DB9">
      <w:pPr>
        <w:rPr>
          <w:szCs w:val="24"/>
          <w:lang w:val="fr-FR"/>
        </w:rPr>
      </w:pPr>
    </w:p>
    <w:p w:rsidR="00745DB9" w:rsidRDefault="00745DB9">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DB9" w:rsidRDefault="00745DB9">
      <w:pPr>
        <w:rPr>
          <w:szCs w:val="24"/>
        </w:rPr>
      </w:pPr>
      <w:r>
        <w:rPr>
          <w:szCs w:val="24"/>
        </w:rPr>
        <w:separator/>
      </w:r>
    </w:p>
  </w:footnote>
  <w:footnote w:type="continuationSeparator" w:id="0">
    <w:p w:rsidR="00745DB9" w:rsidRDefault="00745DB9">
      <w:pPr>
        <w:rPr>
          <w:szCs w:val="24"/>
        </w:rPr>
      </w:pPr>
      <w:r>
        <w:rPr>
          <w:szCs w:val="24"/>
        </w:rPr>
        <w:separator/>
      </w:r>
    </w:p>
  </w:footnote>
  <w:footnote w:type="continuationNotice" w:id="1">
    <w:p w:rsidR="00745DB9" w:rsidRDefault="00745DB9">
      <w:pPr>
        <w:pStyle w:val="Footer"/>
        <w:rPr>
          <w:szCs w:val="24"/>
        </w:rPr>
      </w:pPr>
    </w:p>
  </w:footnote>
  <w:footnote w:id="2">
    <w:p w:rsidR="00745DB9" w:rsidRPr="0083610E" w:rsidRDefault="00745DB9" w:rsidP="005346BA">
      <w:pPr>
        <w:rPr>
          <w:lang w:val="de-CH"/>
        </w:rPr>
      </w:pPr>
      <w:r>
        <w:rPr>
          <w:rStyle w:val="FootnoteReference"/>
        </w:rPr>
        <w:footnoteRef/>
      </w:r>
      <w:r w:rsidR="00AB0E01">
        <w:rPr>
          <w:lang w:val="de-CH"/>
        </w:rPr>
        <w:tab/>
      </w:r>
      <w:r>
        <w:rPr>
          <w:sz w:val="16"/>
          <w:lang w:val="de-CH"/>
        </w:rPr>
        <w:t>Die Querverweise auf die Angelegenheiten im Unterabschnitt „Allgemeine Angelegenheiten“ wurden aktualisiert, um die neue Nummerierung gemäß den Bemerkungen und den in Antwort auf das Rundschreiben E-20/093 erhaltenen neuen Fragen wiederzugeben. Im Unterabschnitt „Angelegenheiten betreffend spezifische Aspekte der aktuellen Erläuterungen wurden die Nummern der Fragen in der früheren Fassung zur besseren Übersichtlichkeit in eckigen Klammern beibehalten.</w:t>
      </w:r>
    </w:p>
    <w:p w:rsidR="00745DB9" w:rsidRPr="005346BA" w:rsidRDefault="00745DB9">
      <w:pPr>
        <w:pStyle w:val="FootnoteText"/>
        <w:rPr>
          <w:lang w:val="de-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B9" w:rsidRDefault="00745DB9">
    <w:pPr>
      <w:pStyle w:val="Header"/>
      <w:rPr>
        <w:rStyle w:val="PageNumber"/>
        <w:szCs w:val="24"/>
        <w:lang w:val="en-US"/>
      </w:rPr>
    </w:pPr>
    <w:r>
      <w:rPr>
        <w:rStyle w:val="PageNumber"/>
        <w:noProof/>
        <w:szCs w:val="24"/>
        <w:lang w:val="en-US"/>
      </w:rPr>
      <w:t>CAJ/77/4</w:t>
    </w:r>
  </w:p>
  <w:p w:rsidR="00745DB9" w:rsidRDefault="00745DB9">
    <w:pPr>
      <w:pStyle w:val="Header"/>
      <w:rPr>
        <w:szCs w:val="24"/>
        <w:lang w:val="en-US"/>
      </w:rPr>
    </w:pPr>
    <w:proofErr w:type="spellStart"/>
    <w:r>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E957E1">
      <w:rPr>
        <w:rStyle w:val="PageNumber"/>
        <w:noProof/>
        <w:szCs w:val="24"/>
        <w:lang w:val="en-US"/>
      </w:rPr>
      <w:t>4</w:t>
    </w:r>
    <w:r>
      <w:rPr>
        <w:rStyle w:val="PageNumber"/>
        <w:szCs w:val="24"/>
        <w:lang w:val="en-US"/>
      </w:rPr>
      <w:fldChar w:fldCharType="end"/>
    </w:r>
  </w:p>
  <w:p w:rsidR="00745DB9" w:rsidRDefault="00745DB9">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B9" w:rsidRDefault="00745DB9">
    <w:pPr>
      <w:pStyle w:val="Header"/>
      <w:rPr>
        <w:szCs w:val="24"/>
      </w:rPr>
    </w:pPr>
    <w:r>
      <w:rPr>
        <w:noProof/>
        <w:szCs w:val="24"/>
      </w:rPr>
      <w:t>CAJ/77/4</w:t>
    </w:r>
  </w:p>
  <w:p w:rsidR="00745DB9" w:rsidRDefault="00745DB9">
    <w:pPr>
      <w:pStyle w:val="Header"/>
      <w:rPr>
        <w:szCs w:val="24"/>
      </w:rPr>
    </w:pPr>
  </w:p>
  <w:p w:rsidR="00745DB9" w:rsidRDefault="00745DB9">
    <w:pPr>
      <w:pStyle w:val="Header"/>
      <w:rPr>
        <w:szCs w:val="24"/>
      </w:rPr>
    </w:pPr>
    <w:r>
      <w:rPr>
        <w:noProof/>
        <w:szCs w:val="24"/>
      </w:rPr>
      <w:t>ANLAGE I</w:t>
    </w:r>
  </w:p>
  <w:p w:rsidR="00745DB9" w:rsidRDefault="00745DB9">
    <w:pPr>
      <w:pStyle w:val="Header"/>
      <w:rPr>
        <w:szCs w:val="24"/>
      </w:rPr>
    </w:pPr>
  </w:p>
  <w:p w:rsidR="00745DB9" w:rsidRDefault="00745DB9">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B9" w:rsidRDefault="00745DB9">
    <w:pPr>
      <w:pStyle w:val="Header"/>
      <w:rPr>
        <w:rStyle w:val="PageNumber"/>
        <w:szCs w:val="24"/>
        <w:lang w:val="de-CH"/>
      </w:rPr>
    </w:pPr>
    <w:r>
      <w:rPr>
        <w:rStyle w:val="PageNumber"/>
        <w:noProof/>
        <w:szCs w:val="24"/>
        <w:lang w:val="de-CH"/>
      </w:rPr>
      <w:t>CAJ/77/4</w:t>
    </w:r>
  </w:p>
  <w:p w:rsidR="00745DB9" w:rsidRDefault="00745DB9">
    <w:pPr>
      <w:jc w:val="center"/>
      <w:rPr>
        <w:szCs w:val="24"/>
        <w:lang w:val="de-CH"/>
      </w:rPr>
    </w:pPr>
    <w:r>
      <w:rPr>
        <w:szCs w:val="24"/>
        <w:lang w:val="de-CH"/>
      </w:rPr>
      <w:t xml:space="preserve">Anlage I, Anhang I, Seite </w:t>
    </w:r>
    <w:r>
      <w:rPr>
        <w:rStyle w:val="PageNumber"/>
        <w:szCs w:val="24"/>
        <w:lang w:val="de-CH"/>
      </w:rPr>
      <w:fldChar w:fldCharType="begin"/>
    </w:r>
    <w:r>
      <w:rPr>
        <w:rStyle w:val="PageNumber"/>
        <w:szCs w:val="24"/>
        <w:lang w:val="de-CH"/>
      </w:rPr>
      <w:instrText xml:space="preserve"> PAGE </w:instrText>
    </w:r>
    <w:r>
      <w:rPr>
        <w:rStyle w:val="PageNumber"/>
        <w:szCs w:val="24"/>
        <w:lang w:val="de-CH"/>
      </w:rPr>
      <w:fldChar w:fldCharType="separate"/>
    </w:r>
    <w:r w:rsidR="00E957E1">
      <w:rPr>
        <w:rStyle w:val="PageNumber"/>
        <w:noProof/>
        <w:szCs w:val="24"/>
        <w:lang w:val="de-CH"/>
      </w:rPr>
      <w:t>10</w:t>
    </w:r>
    <w:r>
      <w:rPr>
        <w:rStyle w:val="PageNumber"/>
        <w:szCs w:val="24"/>
        <w:lang w:val="de-CH"/>
      </w:rPr>
      <w:fldChar w:fldCharType="end"/>
    </w:r>
  </w:p>
  <w:p w:rsidR="00745DB9" w:rsidRDefault="00745DB9">
    <w:pPr>
      <w:rPr>
        <w:szCs w:val="24"/>
        <w:lang w:val="de-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B9" w:rsidRDefault="00745DB9">
    <w:pPr>
      <w:pStyle w:val="Header"/>
      <w:rPr>
        <w:szCs w:val="24"/>
        <w:lang w:val="de-CH"/>
      </w:rPr>
    </w:pPr>
    <w:r>
      <w:rPr>
        <w:noProof/>
        <w:szCs w:val="24"/>
        <w:lang w:val="de-CH"/>
      </w:rPr>
      <w:t>CAJ/77/4</w:t>
    </w:r>
  </w:p>
  <w:p w:rsidR="00745DB9" w:rsidRDefault="00745DB9">
    <w:pPr>
      <w:pStyle w:val="Header"/>
      <w:rPr>
        <w:szCs w:val="24"/>
        <w:lang w:val="de-CH"/>
      </w:rPr>
    </w:pPr>
  </w:p>
  <w:p w:rsidR="00745DB9" w:rsidRDefault="00745DB9">
    <w:pPr>
      <w:jc w:val="center"/>
      <w:rPr>
        <w:szCs w:val="24"/>
        <w:lang w:val="de-CH"/>
      </w:rPr>
    </w:pPr>
    <w:r>
      <w:rPr>
        <w:noProof/>
        <w:szCs w:val="24"/>
        <w:lang w:val="de-CH"/>
      </w:rPr>
      <w:t>ANLAGE I, ANHANG I</w:t>
    </w:r>
  </w:p>
  <w:p w:rsidR="00745DB9" w:rsidRDefault="00745DB9">
    <w:pPr>
      <w:pStyle w:val="Header"/>
      <w:rPr>
        <w:szCs w:val="24"/>
        <w:lang w:val="de-CH"/>
      </w:rPr>
    </w:pPr>
  </w:p>
  <w:p w:rsidR="00745DB9" w:rsidRDefault="00745DB9">
    <w:pPr>
      <w:pStyle w:val="Header"/>
      <w:rPr>
        <w:szCs w:val="24"/>
        <w:lang w:val="de-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B9" w:rsidRPr="00904D48" w:rsidRDefault="00745DB9">
    <w:pPr>
      <w:pStyle w:val="Header"/>
      <w:rPr>
        <w:rStyle w:val="PageNumber"/>
        <w:szCs w:val="24"/>
        <w:lang w:val="de-CH"/>
      </w:rPr>
    </w:pPr>
    <w:r w:rsidRPr="00904D48">
      <w:rPr>
        <w:rStyle w:val="PageNumber"/>
        <w:noProof/>
        <w:szCs w:val="24"/>
        <w:lang w:val="de-CH"/>
      </w:rPr>
      <w:t>CAJ/77/4</w:t>
    </w:r>
  </w:p>
  <w:p w:rsidR="00745DB9" w:rsidRDefault="00745DB9">
    <w:pPr>
      <w:jc w:val="center"/>
      <w:rPr>
        <w:szCs w:val="24"/>
        <w:lang w:val="de-CH"/>
      </w:rPr>
    </w:pPr>
    <w:r>
      <w:rPr>
        <w:szCs w:val="24"/>
        <w:lang w:val="de-CH"/>
      </w:rPr>
      <w:t xml:space="preserve">Anlage I, Anhang II, Seite </w:t>
    </w:r>
    <w:r>
      <w:rPr>
        <w:rStyle w:val="PageNumber"/>
        <w:szCs w:val="24"/>
        <w:lang w:val="de-CH"/>
      </w:rPr>
      <w:fldChar w:fldCharType="begin"/>
    </w:r>
    <w:r>
      <w:rPr>
        <w:rStyle w:val="PageNumber"/>
        <w:szCs w:val="24"/>
        <w:lang w:val="de-CH"/>
      </w:rPr>
      <w:instrText xml:space="preserve"> PAGE </w:instrText>
    </w:r>
    <w:r>
      <w:rPr>
        <w:rStyle w:val="PageNumber"/>
        <w:szCs w:val="24"/>
        <w:lang w:val="de-CH"/>
      </w:rPr>
      <w:fldChar w:fldCharType="separate"/>
    </w:r>
    <w:r w:rsidR="00E957E1">
      <w:rPr>
        <w:rStyle w:val="PageNumber"/>
        <w:noProof/>
        <w:szCs w:val="24"/>
        <w:lang w:val="de-CH"/>
      </w:rPr>
      <w:t>4</w:t>
    </w:r>
    <w:r>
      <w:rPr>
        <w:rStyle w:val="PageNumber"/>
        <w:szCs w:val="24"/>
        <w:lang w:val="de-CH"/>
      </w:rPr>
      <w:fldChar w:fldCharType="end"/>
    </w:r>
  </w:p>
  <w:p w:rsidR="00745DB9" w:rsidRDefault="00745DB9">
    <w:pPr>
      <w:rPr>
        <w:szCs w:val="24"/>
        <w:lang w:val="de-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B9" w:rsidRDefault="00745DB9">
    <w:pPr>
      <w:pStyle w:val="Header"/>
      <w:rPr>
        <w:szCs w:val="24"/>
        <w:lang w:val="de-CH"/>
      </w:rPr>
    </w:pPr>
    <w:r>
      <w:rPr>
        <w:noProof/>
        <w:szCs w:val="24"/>
        <w:lang w:val="de-CH"/>
      </w:rPr>
      <w:t>CAJ/77/4</w:t>
    </w:r>
  </w:p>
  <w:p w:rsidR="00745DB9" w:rsidRDefault="00745DB9">
    <w:pPr>
      <w:jc w:val="center"/>
      <w:rPr>
        <w:szCs w:val="24"/>
        <w:lang w:val="de-CH"/>
      </w:rPr>
    </w:pPr>
  </w:p>
  <w:p w:rsidR="00745DB9" w:rsidRDefault="00745DB9">
    <w:pPr>
      <w:jc w:val="center"/>
      <w:rPr>
        <w:szCs w:val="24"/>
        <w:lang w:val="de-CH"/>
      </w:rPr>
    </w:pPr>
    <w:r>
      <w:rPr>
        <w:noProof/>
        <w:szCs w:val="24"/>
        <w:lang w:val="de-CH"/>
      </w:rPr>
      <w:t>ANLAGE I, ANHANG II</w:t>
    </w:r>
  </w:p>
  <w:p w:rsidR="00745DB9" w:rsidRDefault="00745DB9">
    <w:pPr>
      <w:pStyle w:val="Header"/>
      <w:rPr>
        <w:szCs w:val="24"/>
        <w:lang w:val="de-CH"/>
      </w:rPr>
    </w:pPr>
  </w:p>
  <w:p w:rsidR="00745DB9" w:rsidRDefault="00745DB9">
    <w:pPr>
      <w:pStyle w:val="Header"/>
      <w:rPr>
        <w:szCs w:val="24"/>
        <w:lang w:val="de-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B9" w:rsidRDefault="00745DB9">
    <w:pPr>
      <w:pStyle w:val="Header"/>
      <w:rPr>
        <w:szCs w:val="24"/>
      </w:rPr>
    </w:pPr>
    <w:r>
      <w:rPr>
        <w:noProof/>
        <w:szCs w:val="24"/>
      </w:rPr>
      <w:t>CAJ/77/4</w:t>
    </w:r>
  </w:p>
  <w:p w:rsidR="00745DB9" w:rsidRDefault="00745DB9">
    <w:pPr>
      <w:jc w:val="center"/>
      <w:rPr>
        <w:szCs w:val="24"/>
      </w:rPr>
    </w:pPr>
  </w:p>
  <w:p w:rsidR="00745DB9" w:rsidRDefault="00745DB9">
    <w:pPr>
      <w:jc w:val="center"/>
      <w:rPr>
        <w:szCs w:val="24"/>
      </w:rPr>
    </w:pPr>
    <w:r>
      <w:rPr>
        <w:noProof/>
        <w:szCs w:val="24"/>
      </w:rPr>
      <w:t>ANLAGE II</w:t>
    </w:r>
  </w:p>
  <w:p w:rsidR="00745DB9" w:rsidRDefault="00745DB9">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E296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8847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78F7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0A5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3EB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E679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9010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D0CA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0682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EC7B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D3D18"/>
    <w:multiLevelType w:val="hybridMultilevel"/>
    <w:tmpl w:val="1C9E5454"/>
    <w:lvl w:ilvl="0" w:tplc="BE8A24AC">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06B9B"/>
    <w:multiLevelType w:val="hybridMultilevel"/>
    <w:tmpl w:val="2E968C6E"/>
    <w:lvl w:ilvl="0" w:tplc="4CFE27A2">
      <w:start w:val="4"/>
      <w:numFmt w:val="lowerRoman"/>
      <w:lvlText w:val="%1)"/>
      <w:lvlJc w:val="right"/>
      <w:pPr>
        <w:tabs>
          <w:tab w:val="num" w:pos="567"/>
        </w:tabs>
        <w:ind w:left="1778"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2" w15:restartNumberingAfterBreak="0">
    <w:nsid w:val="0CA714CD"/>
    <w:multiLevelType w:val="hybridMultilevel"/>
    <w:tmpl w:val="E7DC905A"/>
    <w:lvl w:ilvl="0" w:tplc="4C6C4F58">
      <w:start w:val="1"/>
      <w:numFmt w:val="none"/>
      <w:lvlText w:val="ii)"/>
      <w:lvlJc w:val="right"/>
      <w:pPr>
        <w:tabs>
          <w:tab w:val="num" w:pos="-284"/>
        </w:tabs>
        <w:ind w:left="927"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DFD460C"/>
    <w:multiLevelType w:val="hybridMultilevel"/>
    <w:tmpl w:val="7F567D70"/>
    <w:lvl w:ilvl="0" w:tplc="C30E9E60">
      <w:start w:val="1"/>
      <w:numFmt w:val="lowerLetter"/>
      <w:lvlText w:val="%1)"/>
      <w:lvlJc w:val="left"/>
      <w:pPr>
        <w:tabs>
          <w:tab w:val="num" w:pos="927"/>
        </w:tabs>
        <w:ind w:left="927" w:hanging="360"/>
      </w:pPr>
      <w:rPr>
        <w:i/>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14" w15:restartNumberingAfterBreak="0">
    <w:nsid w:val="138473A3"/>
    <w:multiLevelType w:val="hybridMultilevel"/>
    <w:tmpl w:val="E4BA4006"/>
    <w:lvl w:ilvl="0" w:tplc="4CFE27A2">
      <w:start w:val="4"/>
      <w:numFmt w:val="lowerRoman"/>
      <w:lvlText w:val="%1)"/>
      <w:lvlJc w:val="right"/>
      <w:pPr>
        <w:tabs>
          <w:tab w:val="num" w:pos="-284"/>
        </w:tabs>
        <w:ind w:left="927"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44E323E"/>
    <w:multiLevelType w:val="hybridMultilevel"/>
    <w:tmpl w:val="F8323A64"/>
    <w:lvl w:ilvl="0" w:tplc="B9FA630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C843750"/>
    <w:multiLevelType w:val="hybridMultilevel"/>
    <w:tmpl w:val="6A2A663C"/>
    <w:lvl w:ilvl="0" w:tplc="7304033C">
      <w:start w:val="2"/>
      <w:numFmt w:val="lowerLetter"/>
      <w:lvlText w:val="%1)"/>
      <w:lvlJc w:val="left"/>
      <w:pPr>
        <w:tabs>
          <w:tab w:val="num" w:pos="207"/>
        </w:tabs>
        <w:ind w:left="1114" w:hanging="547"/>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D6B49FF"/>
    <w:multiLevelType w:val="multilevel"/>
    <w:tmpl w:val="D23013A4"/>
    <w:lvl w:ilvl="0">
      <w:start w:val="4"/>
      <w:numFmt w:val="lowerRoman"/>
      <w:lvlText w:val="%1)"/>
      <w:lvlJc w:val="right"/>
      <w:pPr>
        <w:tabs>
          <w:tab w:val="num" w:pos="-284"/>
        </w:tabs>
        <w:ind w:left="927"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DBE2C1A"/>
    <w:multiLevelType w:val="multilevel"/>
    <w:tmpl w:val="F8323A64"/>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1E554F88"/>
    <w:multiLevelType w:val="hybridMultilevel"/>
    <w:tmpl w:val="A1EEA240"/>
    <w:lvl w:ilvl="0" w:tplc="4C6C4F58">
      <w:start w:val="1"/>
      <w:numFmt w:val="none"/>
      <w:lvlText w:val="ii)"/>
      <w:lvlJc w:val="right"/>
      <w:pPr>
        <w:tabs>
          <w:tab w:val="num" w:pos="-284"/>
        </w:tabs>
        <w:ind w:left="927"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215A41AC"/>
    <w:multiLevelType w:val="hybridMultilevel"/>
    <w:tmpl w:val="5DECC3F8"/>
    <w:lvl w:ilvl="0" w:tplc="6D34072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5266AD6"/>
    <w:multiLevelType w:val="hybridMultilevel"/>
    <w:tmpl w:val="D23013A4"/>
    <w:lvl w:ilvl="0" w:tplc="4CFE27A2">
      <w:start w:val="4"/>
      <w:numFmt w:val="lowerRoman"/>
      <w:lvlText w:val="%1)"/>
      <w:lvlJc w:val="right"/>
      <w:pPr>
        <w:tabs>
          <w:tab w:val="num" w:pos="-284"/>
        </w:tabs>
        <w:ind w:left="927"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2702297F"/>
    <w:multiLevelType w:val="hybridMultilevel"/>
    <w:tmpl w:val="68760C84"/>
    <w:lvl w:ilvl="0" w:tplc="4BC2AAAE">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28173B47"/>
    <w:multiLevelType w:val="hybridMultilevel"/>
    <w:tmpl w:val="C81C5542"/>
    <w:lvl w:ilvl="0" w:tplc="4CFE27A2">
      <w:start w:val="4"/>
      <w:numFmt w:val="lowerRoman"/>
      <w:lvlText w:val="%1)"/>
      <w:lvlJc w:val="right"/>
      <w:pPr>
        <w:tabs>
          <w:tab w:val="num" w:pos="-284"/>
        </w:tabs>
        <w:ind w:left="927"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2A8A3335"/>
    <w:multiLevelType w:val="hybridMultilevel"/>
    <w:tmpl w:val="8F6C8E92"/>
    <w:lvl w:ilvl="0" w:tplc="040C0017">
      <w:start w:val="1"/>
      <w:numFmt w:val="lowerLetter"/>
      <w:lvlText w:val="%1)"/>
      <w:lvlJc w:val="left"/>
      <w:pPr>
        <w:tabs>
          <w:tab w:val="num" w:pos="927"/>
        </w:tabs>
        <w:ind w:left="927" w:hanging="360"/>
      </w:p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25" w15:restartNumberingAfterBreak="0">
    <w:nsid w:val="2AA23C2F"/>
    <w:multiLevelType w:val="hybridMultilevel"/>
    <w:tmpl w:val="CBE83A24"/>
    <w:lvl w:ilvl="0" w:tplc="F880CC5A">
      <w:start w:val="2"/>
      <w:numFmt w:val="lowerLetter"/>
      <w:lvlText w:val="%1)"/>
      <w:lvlJc w:val="left"/>
      <w:pPr>
        <w:tabs>
          <w:tab w:val="num" w:pos="207"/>
        </w:tabs>
        <w:ind w:left="1114" w:hanging="547"/>
      </w:pPr>
      <w:rPr>
        <w:rFonts w:cs="Times New Roman" w:hint="default"/>
        <w:i/>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ADA228B"/>
    <w:multiLevelType w:val="multilevel"/>
    <w:tmpl w:val="9886D89C"/>
    <w:lvl w:ilvl="0">
      <w:start w:val="1"/>
      <w:numFmt w:val="none"/>
      <w:lvlText w:val="i)"/>
      <w:lvlJc w:val="right"/>
      <w:pPr>
        <w:tabs>
          <w:tab w:val="num" w:pos="-284"/>
        </w:tabs>
        <w:ind w:left="927"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FD12F87"/>
    <w:multiLevelType w:val="multilevel"/>
    <w:tmpl w:val="67FA5CFE"/>
    <w:lvl w:ilvl="0">
      <w:start w:val="4"/>
      <w:numFmt w:val="lowerRoman"/>
      <w:lvlText w:val="(%1)"/>
      <w:lvlJc w:val="left"/>
      <w:pPr>
        <w:ind w:left="2138" w:hanging="720"/>
      </w:pPr>
      <w:rPr>
        <w:rFonts w:cs="Times New Roman" w:hint="default"/>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8" w15:restartNumberingAfterBreak="0">
    <w:nsid w:val="35646FAF"/>
    <w:multiLevelType w:val="hybridMultilevel"/>
    <w:tmpl w:val="B59A4532"/>
    <w:lvl w:ilvl="0" w:tplc="040C0017">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9" w15:restartNumberingAfterBreak="0">
    <w:nsid w:val="388B7499"/>
    <w:multiLevelType w:val="multilevel"/>
    <w:tmpl w:val="C5644080"/>
    <w:lvl w:ilvl="0">
      <w:start w:val="1"/>
      <w:numFmt w:val="lowerLetter"/>
      <w:lvlText w:val="(%1)"/>
      <w:lvlJc w:val="left"/>
      <w:pPr>
        <w:ind w:left="1143" w:hanging="576"/>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30" w15:restartNumberingAfterBreak="0">
    <w:nsid w:val="3C96144B"/>
    <w:multiLevelType w:val="hybridMultilevel"/>
    <w:tmpl w:val="8FA08E8A"/>
    <w:lvl w:ilvl="0" w:tplc="7304033C">
      <w:start w:val="2"/>
      <w:numFmt w:val="lowerLetter"/>
      <w:lvlText w:val="%1)"/>
      <w:lvlJc w:val="left"/>
      <w:pPr>
        <w:tabs>
          <w:tab w:val="num" w:pos="207"/>
        </w:tabs>
        <w:ind w:left="1114" w:hanging="547"/>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E5C0190"/>
    <w:multiLevelType w:val="multilevel"/>
    <w:tmpl w:val="A1EEA240"/>
    <w:lvl w:ilvl="0">
      <w:start w:val="1"/>
      <w:numFmt w:val="none"/>
      <w:lvlText w:val="ii)"/>
      <w:lvlJc w:val="right"/>
      <w:pPr>
        <w:tabs>
          <w:tab w:val="num" w:pos="-284"/>
        </w:tabs>
        <w:ind w:left="927"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2CA7923"/>
    <w:multiLevelType w:val="hybridMultilevel"/>
    <w:tmpl w:val="C16E0F62"/>
    <w:lvl w:ilvl="0" w:tplc="8D940DEC">
      <w:start w:val="1"/>
      <w:numFmt w:val="lowerLetter"/>
      <w:lvlText w:val="%1)"/>
      <w:lvlJc w:val="left"/>
      <w:pPr>
        <w:tabs>
          <w:tab w:val="num" w:pos="927"/>
        </w:tabs>
        <w:ind w:left="927" w:hanging="360"/>
      </w:pPr>
      <w:rPr>
        <w:i/>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33" w15:restartNumberingAfterBreak="0">
    <w:nsid w:val="49421B53"/>
    <w:multiLevelType w:val="multilevel"/>
    <w:tmpl w:val="68760C84"/>
    <w:lvl w:ilvl="0">
      <w:start w:val="1"/>
      <w:numFmt w:val="lowerLetter"/>
      <w:lvlText w:val="(%1)"/>
      <w:lvlJc w:val="left"/>
      <w:pPr>
        <w:ind w:left="720" w:hanging="360"/>
      </w:pPr>
      <w:rPr>
        <w:rFonts w:cs="Aria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559B53BC"/>
    <w:multiLevelType w:val="multilevel"/>
    <w:tmpl w:val="5DECC3F8"/>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59F6711E"/>
    <w:multiLevelType w:val="multilevel"/>
    <w:tmpl w:val="BFFEE91C"/>
    <w:lvl w:ilvl="0">
      <w:start w:val="1"/>
      <w:numFmt w:val="lowerRoman"/>
      <w:lvlText w:val="(%1)"/>
      <w:lvlJc w:val="left"/>
      <w:pPr>
        <w:ind w:left="1287" w:hanging="72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36" w15:restartNumberingAfterBreak="0">
    <w:nsid w:val="5AE01D0C"/>
    <w:multiLevelType w:val="multilevel"/>
    <w:tmpl w:val="E4BA4006"/>
    <w:lvl w:ilvl="0">
      <w:start w:val="4"/>
      <w:numFmt w:val="lowerRoman"/>
      <w:lvlText w:val="%1)"/>
      <w:lvlJc w:val="right"/>
      <w:pPr>
        <w:tabs>
          <w:tab w:val="num" w:pos="-284"/>
        </w:tabs>
        <w:ind w:left="927"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E604D6B"/>
    <w:multiLevelType w:val="hybridMultilevel"/>
    <w:tmpl w:val="DBF4B92A"/>
    <w:lvl w:ilvl="0" w:tplc="4CFE27A2">
      <w:start w:val="4"/>
      <w:numFmt w:val="lowerRoman"/>
      <w:lvlText w:val="%1)"/>
      <w:lvlJc w:val="right"/>
      <w:pPr>
        <w:tabs>
          <w:tab w:val="num" w:pos="-284"/>
        </w:tabs>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8" w15:restartNumberingAfterBreak="0">
    <w:nsid w:val="5FE76377"/>
    <w:multiLevelType w:val="multilevel"/>
    <w:tmpl w:val="A1EEA240"/>
    <w:lvl w:ilvl="0">
      <w:start w:val="1"/>
      <w:numFmt w:val="none"/>
      <w:lvlText w:val="ii)"/>
      <w:lvlJc w:val="right"/>
      <w:pPr>
        <w:tabs>
          <w:tab w:val="num" w:pos="-284"/>
        </w:tabs>
        <w:ind w:left="927" w:hanging="36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05275B8"/>
    <w:multiLevelType w:val="multilevel"/>
    <w:tmpl w:val="E5F8EAD8"/>
    <w:lvl w:ilvl="0">
      <w:start w:val="2"/>
      <w:numFmt w:val="lowerLetter"/>
      <w:lvlText w:val="%1)"/>
      <w:lvlJc w:val="left"/>
      <w:pPr>
        <w:tabs>
          <w:tab w:val="num" w:pos="207"/>
        </w:tabs>
        <w:ind w:left="1114" w:hanging="547"/>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40" w15:restartNumberingAfterBreak="0">
    <w:nsid w:val="65AD693F"/>
    <w:multiLevelType w:val="hybridMultilevel"/>
    <w:tmpl w:val="ED0EE1FE"/>
    <w:lvl w:ilvl="0" w:tplc="7304033C">
      <w:start w:val="2"/>
      <w:numFmt w:val="lowerLetter"/>
      <w:lvlText w:val="%1)"/>
      <w:lvlJc w:val="left"/>
      <w:pPr>
        <w:tabs>
          <w:tab w:val="num" w:pos="207"/>
        </w:tabs>
        <w:ind w:left="1114" w:hanging="547"/>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0105704"/>
    <w:multiLevelType w:val="hybridMultilevel"/>
    <w:tmpl w:val="DECCEB64"/>
    <w:lvl w:ilvl="0" w:tplc="040C0017">
      <w:start w:val="1"/>
      <w:numFmt w:val="lowerLetter"/>
      <w:lvlText w:val="%1)"/>
      <w:lvlJc w:val="left"/>
      <w:pPr>
        <w:tabs>
          <w:tab w:val="num" w:pos="927"/>
        </w:tabs>
        <w:ind w:left="927" w:hanging="360"/>
      </w:p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42" w15:restartNumberingAfterBreak="0">
    <w:nsid w:val="71691ECF"/>
    <w:multiLevelType w:val="hybridMultilevel"/>
    <w:tmpl w:val="7BBC5FEC"/>
    <w:lvl w:ilvl="0" w:tplc="7FD81F9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BA35C6E"/>
    <w:multiLevelType w:val="multilevel"/>
    <w:tmpl w:val="7BBC5FEC"/>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7F664F50"/>
    <w:multiLevelType w:val="hybridMultilevel"/>
    <w:tmpl w:val="F3D270DC"/>
    <w:lvl w:ilvl="0" w:tplc="4CFE27A2">
      <w:start w:val="4"/>
      <w:numFmt w:val="lowerRoman"/>
      <w:lvlText w:val="%1)"/>
      <w:lvlJc w:val="right"/>
      <w:pPr>
        <w:tabs>
          <w:tab w:val="num" w:pos="-284"/>
        </w:tabs>
        <w:ind w:left="927"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0"/>
  </w:num>
  <w:num w:numId="13">
    <w:abstractNumId w:val="42"/>
  </w:num>
  <w:num w:numId="14">
    <w:abstractNumId w:val="22"/>
  </w:num>
  <w:num w:numId="15">
    <w:abstractNumId w:val="20"/>
  </w:num>
  <w:num w:numId="16">
    <w:abstractNumId w:val="15"/>
  </w:num>
  <w:num w:numId="17">
    <w:abstractNumId w:val="11"/>
  </w:num>
  <w:num w:numId="18">
    <w:abstractNumId w:val="37"/>
  </w:num>
  <w:num w:numId="19">
    <w:abstractNumId w:val="29"/>
  </w:num>
  <w:num w:numId="20">
    <w:abstractNumId w:val="43"/>
  </w:num>
  <w:num w:numId="21">
    <w:abstractNumId w:val="30"/>
  </w:num>
  <w:num w:numId="22">
    <w:abstractNumId w:val="33"/>
  </w:num>
  <w:num w:numId="23">
    <w:abstractNumId w:val="40"/>
  </w:num>
  <w:num w:numId="24">
    <w:abstractNumId w:val="34"/>
  </w:num>
  <w:num w:numId="25">
    <w:abstractNumId w:val="16"/>
  </w:num>
  <w:num w:numId="26">
    <w:abstractNumId w:val="18"/>
  </w:num>
  <w:num w:numId="27">
    <w:abstractNumId w:val="25"/>
  </w:num>
  <w:num w:numId="28">
    <w:abstractNumId w:val="39"/>
  </w:num>
  <w:num w:numId="29">
    <w:abstractNumId w:val="41"/>
  </w:num>
  <w:num w:numId="30">
    <w:abstractNumId w:val="32"/>
  </w:num>
  <w:num w:numId="31">
    <w:abstractNumId w:val="13"/>
  </w:num>
  <w:num w:numId="32">
    <w:abstractNumId w:val="24"/>
  </w:num>
  <w:num w:numId="33">
    <w:abstractNumId w:val="27"/>
  </w:num>
  <w:num w:numId="34">
    <w:abstractNumId w:val="35"/>
  </w:num>
  <w:num w:numId="35">
    <w:abstractNumId w:val="23"/>
  </w:num>
  <w:num w:numId="36">
    <w:abstractNumId w:val="14"/>
  </w:num>
  <w:num w:numId="37">
    <w:abstractNumId w:val="36"/>
  </w:num>
  <w:num w:numId="38">
    <w:abstractNumId w:val="44"/>
  </w:num>
  <w:num w:numId="39">
    <w:abstractNumId w:val="21"/>
  </w:num>
  <w:num w:numId="40">
    <w:abstractNumId w:val="17"/>
  </w:num>
  <w:num w:numId="41">
    <w:abstractNumId w:val="12"/>
  </w:num>
  <w:num w:numId="42">
    <w:abstractNumId w:val="26"/>
  </w:num>
  <w:num w:numId="43">
    <w:abstractNumId w:val="19"/>
  </w:num>
  <w:num w:numId="44">
    <w:abstractNumId w:val="38"/>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A"/>
    <w:rsid w:val="00010CF3"/>
    <w:rsid w:val="00011E27"/>
    <w:rsid w:val="000148BC"/>
    <w:rsid w:val="000247EB"/>
    <w:rsid w:val="00024AB8"/>
    <w:rsid w:val="00030854"/>
    <w:rsid w:val="00036028"/>
    <w:rsid w:val="00044642"/>
    <w:rsid w:val="000446B9"/>
    <w:rsid w:val="00047E21"/>
    <w:rsid w:val="00050E16"/>
    <w:rsid w:val="00070E1A"/>
    <w:rsid w:val="0007796C"/>
    <w:rsid w:val="00085505"/>
    <w:rsid w:val="000C4E25"/>
    <w:rsid w:val="000C7021"/>
    <w:rsid w:val="000D6BBC"/>
    <w:rsid w:val="000D7780"/>
    <w:rsid w:val="000E3631"/>
    <w:rsid w:val="000E636A"/>
    <w:rsid w:val="000F2F11"/>
    <w:rsid w:val="000F7A1E"/>
    <w:rsid w:val="001037BD"/>
    <w:rsid w:val="00105929"/>
    <w:rsid w:val="00110BED"/>
    <w:rsid w:val="00110C36"/>
    <w:rsid w:val="001131D5"/>
    <w:rsid w:val="00141DB8"/>
    <w:rsid w:val="001438E2"/>
    <w:rsid w:val="001519EF"/>
    <w:rsid w:val="00160B43"/>
    <w:rsid w:val="001704D2"/>
    <w:rsid w:val="001704EE"/>
    <w:rsid w:val="00172084"/>
    <w:rsid w:val="00173DE9"/>
    <w:rsid w:val="0017474A"/>
    <w:rsid w:val="001758C6"/>
    <w:rsid w:val="0017763C"/>
    <w:rsid w:val="00182B99"/>
    <w:rsid w:val="00192F50"/>
    <w:rsid w:val="00192FD7"/>
    <w:rsid w:val="001A1D10"/>
    <w:rsid w:val="001C1525"/>
    <w:rsid w:val="001C365A"/>
    <w:rsid w:val="001C664F"/>
    <w:rsid w:val="001C7E9C"/>
    <w:rsid w:val="001E01A8"/>
    <w:rsid w:val="001E260E"/>
    <w:rsid w:val="0021332C"/>
    <w:rsid w:val="00213982"/>
    <w:rsid w:val="00217A17"/>
    <w:rsid w:val="00222830"/>
    <w:rsid w:val="002375F3"/>
    <w:rsid w:val="00241C58"/>
    <w:rsid w:val="0024416D"/>
    <w:rsid w:val="00261F65"/>
    <w:rsid w:val="00271911"/>
    <w:rsid w:val="0027240E"/>
    <w:rsid w:val="002800A0"/>
    <w:rsid w:val="002801B3"/>
    <w:rsid w:val="00280887"/>
    <w:rsid w:val="00281060"/>
    <w:rsid w:val="00283184"/>
    <w:rsid w:val="0028771A"/>
    <w:rsid w:val="0029161F"/>
    <w:rsid w:val="002940E8"/>
    <w:rsid w:val="00294751"/>
    <w:rsid w:val="002A6E50"/>
    <w:rsid w:val="002B37C6"/>
    <w:rsid w:val="002B4298"/>
    <w:rsid w:val="002B6CAA"/>
    <w:rsid w:val="002B7989"/>
    <w:rsid w:val="002B7A36"/>
    <w:rsid w:val="002C256A"/>
    <w:rsid w:val="002D406E"/>
    <w:rsid w:val="0030105A"/>
    <w:rsid w:val="00305A7F"/>
    <w:rsid w:val="003152FE"/>
    <w:rsid w:val="00317F58"/>
    <w:rsid w:val="00327436"/>
    <w:rsid w:val="00327B7E"/>
    <w:rsid w:val="00331C30"/>
    <w:rsid w:val="00344BD6"/>
    <w:rsid w:val="003471E2"/>
    <w:rsid w:val="0035528D"/>
    <w:rsid w:val="00361821"/>
    <w:rsid w:val="00361E9E"/>
    <w:rsid w:val="00365DC1"/>
    <w:rsid w:val="0037797B"/>
    <w:rsid w:val="003C78C5"/>
    <w:rsid w:val="003C7FBE"/>
    <w:rsid w:val="003D227C"/>
    <w:rsid w:val="003D2B4D"/>
    <w:rsid w:val="003D53DD"/>
    <w:rsid w:val="003E0384"/>
    <w:rsid w:val="003F1D03"/>
    <w:rsid w:val="003F20EC"/>
    <w:rsid w:val="003F2C59"/>
    <w:rsid w:val="003F7B9A"/>
    <w:rsid w:val="00412816"/>
    <w:rsid w:val="00435542"/>
    <w:rsid w:val="0043742D"/>
    <w:rsid w:val="00444A88"/>
    <w:rsid w:val="00454621"/>
    <w:rsid w:val="00454DF7"/>
    <w:rsid w:val="00467A67"/>
    <w:rsid w:val="00474DA4"/>
    <w:rsid w:val="00476B4D"/>
    <w:rsid w:val="004805FA"/>
    <w:rsid w:val="004935D2"/>
    <w:rsid w:val="004958E1"/>
    <w:rsid w:val="004A7CD0"/>
    <w:rsid w:val="004B1215"/>
    <w:rsid w:val="004B7763"/>
    <w:rsid w:val="004D047D"/>
    <w:rsid w:val="004E6564"/>
    <w:rsid w:val="004F1E9E"/>
    <w:rsid w:val="004F305A"/>
    <w:rsid w:val="00512164"/>
    <w:rsid w:val="005201A3"/>
    <w:rsid w:val="00520297"/>
    <w:rsid w:val="005237E9"/>
    <w:rsid w:val="00527057"/>
    <w:rsid w:val="00530A26"/>
    <w:rsid w:val="005338F9"/>
    <w:rsid w:val="005346BA"/>
    <w:rsid w:val="00535B8D"/>
    <w:rsid w:val="0053777F"/>
    <w:rsid w:val="0054281C"/>
    <w:rsid w:val="00544581"/>
    <w:rsid w:val="00552579"/>
    <w:rsid w:val="0055268D"/>
    <w:rsid w:val="00563E79"/>
    <w:rsid w:val="00576BE4"/>
    <w:rsid w:val="005779DB"/>
    <w:rsid w:val="005A400A"/>
    <w:rsid w:val="005C3AAB"/>
    <w:rsid w:val="005F3C19"/>
    <w:rsid w:val="005F7B92"/>
    <w:rsid w:val="00612379"/>
    <w:rsid w:val="00614DED"/>
    <w:rsid w:val="006153B6"/>
    <w:rsid w:val="0061555F"/>
    <w:rsid w:val="006209B0"/>
    <w:rsid w:val="00626561"/>
    <w:rsid w:val="00626AE0"/>
    <w:rsid w:val="00634B66"/>
    <w:rsid w:val="00636CA6"/>
    <w:rsid w:val="00641200"/>
    <w:rsid w:val="00645CA8"/>
    <w:rsid w:val="006613E8"/>
    <w:rsid w:val="00661F8A"/>
    <w:rsid w:val="006655D3"/>
    <w:rsid w:val="006661C0"/>
    <w:rsid w:val="00667404"/>
    <w:rsid w:val="00687EB4"/>
    <w:rsid w:val="00690876"/>
    <w:rsid w:val="00695C56"/>
    <w:rsid w:val="006A412E"/>
    <w:rsid w:val="006A5CDE"/>
    <w:rsid w:val="006A644A"/>
    <w:rsid w:val="006B17D2"/>
    <w:rsid w:val="006C224E"/>
    <w:rsid w:val="006D780A"/>
    <w:rsid w:val="006E3B8F"/>
    <w:rsid w:val="006E4164"/>
    <w:rsid w:val="0071039F"/>
    <w:rsid w:val="0071271E"/>
    <w:rsid w:val="00717091"/>
    <w:rsid w:val="0071748E"/>
    <w:rsid w:val="00726D31"/>
    <w:rsid w:val="00732DEC"/>
    <w:rsid w:val="00735BD5"/>
    <w:rsid w:val="007436E9"/>
    <w:rsid w:val="007451EC"/>
    <w:rsid w:val="00745DB9"/>
    <w:rsid w:val="00747AFC"/>
    <w:rsid w:val="00751613"/>
    <w:rsid w:val="00753EE9"/>
    <w:rsid w:val="007556F6"/>
    <w:rsid w:val="00760EEF"/>
    <w:rsid w:val="00774E48"/>
    <w:rsid w:val="00776B40"/>
    <w:rsid w:val="00777EE5"/>
    <w:rsid w:val="00783AE3"/>
    <w:rsid w:val="00784037"/>
    <w:rsid w:val="00784836"/>
    <w:rsid w:val="00786736"/>
    <w:rsid w:val="0079023E"/>
    <w:rsid w:val="00792877"/>
    <w:rsid w:val="007A2854"/>
    <w:rsid w:val="007B1F80"/>
    <w:rsid w:val="007B394A"/>
    <w:rsid w:val="007C1D92"/>
    <w:rsid w:val="007C4CB9"/>
    <w:rsid w:val="007D0B9D"/>
    <w:rsid w:val="007D19B0"/>
    <w:rsid w:val="007D2993"/>
    <w:rsid w:val="007F112C"/>
    <w:rsid w:val="007F498F"/>
    <w:rsid w:val="0080175F"/>
    <w:rsid w:val="0080679D"/>
    <w:rsid w:val="00807CA3"/>
    <w:rsid w:val="008108B0"/>
    <w:rsid w:val="00811B20"/>
    <w:rsid w:val="00812609"/>
    <w:rsid w:val="00815738"/>
    <w:rsid w:val="008211B5"/>
    <w:rsid w:val="0082296E"/>
    <w:rsid w:val="00824099"/>
    <w:rsid w:val="00843FED"/>
    <w:rsid w:val="00846D7C"/>
    <w:rsid w:val="0086029E"/>
    <w:rsid w:val="0086567B"/>
    <w:rsid w:val="00867AC1"/>
    <w:rsid w:val="00870347"/>
    <w:rsid w:val="00870603"/>
    <w:rsid w:val="008713BF"/>
    <w:rsid w:val="00890DF8"/>
    <w:rsid w:val="00897040"/>
    <w:rsid w:val="008A1FAB"/>
    <w:rsid w:val="008A2862"/>
    <w:rsid w:val="008A729B"/>
    <w:rsid w:val="008A743F"/>
    <w:rsid w:val="008B3D4F"/>
    <w:rsid w:val="008C0970"/>
    <w:rsid w:val="008D0BC5"/>
    <w:rsid w:val="008D2CF7"/>
    <w:rsid w:val="008D33D7"/>
    <w:rsid w:val="00900C26"/>
    <w:rsid w:val="0090197F"/>
    <w:rsid w:val="00903264"/>
    <w:rsid w:val="00904D48"/>
    <w:rsid w:val="00905BEC"/>
    <w:rsid w:val="00906DDC"/>
    <w:rsid w:val="00934E09"/>
    <w:rsid w:val="00936253"/>
    <w:rsid w:val="00940D46"/>
    <w:rsid w:val="00952DD4"/>
    <w:rsid w:val="00965AE7"/>
    <w:rsid w:val="00970FED"/>
    <w:rsid w:val="00972F06"/>
    <w:rsid w:val="009902ED"/>
    <w:rsid w:val="00992D82"/>
    <w:rsid w:val="00997029"/>
    <w:rsid w:val="009A7339"/>
    <w:rsid w:val="009B440E"/>
    <w:rsid w:val="009C27B8"/>
    <w:rsid w:val="009C40DE"/>
    <w:rsid w:val="009C73D6"/>
    <w:rsid w:val="009D1D6A"/>
    <w:rsid w:val="009D690D"/>
    <w:rsid w:val="009E425E"/>
    <w:rsid w:val="009E51EB"/>
    <w:rsid w:val="009E65B6"/>
    <w:rsid w:val="009E6AA4"/>
    <w:rsid w:val="009F4EBC"/>
    <w:rsid w:val="009F7591"/>
    <w:rsid w:val="009F77CF"/>
    <w:rsid w:val="00A0552E"/>
    <w:rsid w:val="00A073CC"/>
    <w:rsid w:val="00A1281C"/>
    <w:rsid w:val="00A176AE"/>
    <w:rsid w:val="00A24C10"/>
    <w:rsid w:val="00A24F4D"/>
    <w:rsid w:val="00A26A88"/>
    <w:rsid w:val="00A42AC3"/>
    <w:rsid w:val="00A430CF"/>
    <w:rsid w:val="00A50570"/>
    <w:rsid w:val="00A511D2"/>
    <w:rsid w:val="00A54309"/>
    <w:rsid w:val="00A54C47"/>
    <w:rsid w:val="00A805B4"/>
    <w:rsid w:val="00A80F2A"/>
    <w:rsid w:val="00AB0E01"/>
    <w:rsid w:val="00AB2B93"/>
    <w:rsid w:val="00AB530F"/>
    <w:rsid w:val="00AB7E5B"/>
    <w:rsid w:val="00AC2883"/>
    <w:rsid w:val="00AE0EF1"/>
    <w:rsid w:val="00AE2937"/>
    <w:rsid w:val="00AF32BD"/>
    <w:rsid w:val="00AF500F"/>
    <w:rsid w:val="00B07301"/>
    <w:rsid w:val="00B109F9"/>
    <w:rsid w:val="00B11F3E"/>
    <w:rsid w:val="00B224DE"/>
    <w:rsid w:val="00B324D4"/>
    <w:rsid w:val="00B33DF7"/>
    <w:rsid w:val="00B44CE4"/>
    <w:rsid w:val="00B46575"/>
    <w:rsid w:val="00B5291F"/>
    <w:rsid w:val="00B603F0"/>
    <w:rsid w:val="00B61777"/>
    <w:rsid w:val="00B622E6"/>
    <w:rsid w:val="00B76359"/>
    <w:rsid w:val="00B84BBD"/>
    <w:rsid w:val="00B8536C"/>
    <w:rsid w:val="00B95F42"/>
    <w:rsid w:val="00BA43FB"/>
    <w:rsid w:val="00BB7850"/>
    <w:rsid w:val="00BC127D"/>
    <w:rsid w:val="00BC1FE6"/>
    <w:rsid w:val="00BC44F5"/>
    <w:rsid w:val="00BD09DC"/>
    <w:rsid w:val="00BD26C6"/>
    <w:rsid w:val="00BE31F6"/>
    <w:rsid w:val="00BF446F"/>
    <w:rsid w:val="00C03FAB"/>
    <w:rsid w:val="00C061B6"/>
    <w:rsid w:val="00C119CB"/>
    <w:rsid w:val="00C2446C"/>
    <w:rsid w:val="00C36AE5"/>
    <w:rsid w:val="00C374E0"/>
    <w:rsid w:val="00C41F17"/>
    <w:rsid w:val="00C527FA"/>
    <w:rsid w:val="00C5280D"/>
    <w:rsid w:val="00C53EB3"/>
    <w:rsid w:val="00C559EF"/>
    <w:rsid w:val="00C5791C"/>
    <w:rsid w:val="00C651CE"/>
    <w:rsid w:val="00C66290"/>
    <w:rsid w:val="00C713F2"/>
    <w:rsid w:val="00C72B7A"/>
    <w:rsid w:val="00C92861"/>
    <w:rsid w:val="00C973F2"/>
    <w:rsid w:val="00CA304C"/>
    <w:rsid w:val="00CA774A"/>
    <w:rsid w:val="00CB1510"/>
    <w:rsid w:val="00CC11B0"/>
    <w:rsid w:val="00CC2841"/>
    <w:rsid w:val="00CF1330"/>
    <w:rsid w:val="00CF257C"/>
    <w:rsid w:val="00CF7E36"/>
    <w:rsid w:val="00D33801"/>
    <w:rsid w:val="00D369F1"/>
    <w:rsid w:val="00D3708D"/>
    <w:rsid w:val="00D40426"/>
    <w:rsid w:val="00D41769"/>
    <w:rsid w:val="00D432C2"/>
    <w:rsid w:val="00D5799A"/>
    <w:rsid w:val="00D57C96"/>
    <w:rsid w:val="00D57D18"/>
    <w:rsid w:val="00D71C35"/>
    <w:rsid w:val="00D77A10"/>
    <w:rsid w:val="00D84B91"/>
    <w:rsid w:val="00D87905"/>
    <w:rsid w:val="00D87CCA"/>
    <w:rsid w:val="00D91203"/>
    <w:rsid w:val="00D9180A"/>
    <w:rsid w:val="00D95174"/>
    <w:rsid w:val="00DA4973"/>
    <w:rsid w:val="00DA6F36"/>
    <w:rsid w:val="00DB51B4"/>
    <w:rsid w:val="00DB596E"/>
    <w:rsid w:val="00DB7773"/>
    <w:rsid w:val="00DC00EA"/>
    <w:rsid w:val="00DC0C46"/>
    <w:rsid w:val="00DC3802"/>
    <w:rsid w:val="00DD6208"/>
    <w:rsid w:val="00DE498C"/>
    <w:rsid w:val="00DE6156"/>
    <w:rsid w:val="00DF7311"/>
    <w:rsid w:val="00E07C77"/>
    <w:rsid w:val="00E07D87"/>
    <w:rsid w:val="00E12738"/>
    <w:rsid w:val="00E12DAD"/>
    <w:rsid w:val="00E17CC0"/>
    <w:rsid w:val="00E249C8"/>
    <w:rsid w:val="00E32F7E"/>
    <w:rsid w:val="00E5267B"/>
    <w:rsid w:val="00E559F0"/>
    <w:rsid w:val="00E63C0E"/>
    <w:rsid w:val="00E72D49"/>
    <w:rsid w:val="00E7593C"/>
    <w:rsid w:val="00E7678A"/>
    <w:rsid w:val="00E935F1"/>
    <w:rsid w:val="00E94A81"/>
    <w:rsid w:val="00E957E1"/>
    <w:rsid w:val="00EA1FFB"/>
    <w:rsid w:val="00EB048E"/>
    <w:rsid w:val="00EB4E9C"/>
    <w:rsid w:val="00EB5764"/>
    <w:rsid w:val="00EC6EF1"/>
    <w:rsid w:val="00ED30BD"/>
    <w:rsid w:val="00ED7939"/>
    <w:rsid w:val="00EE3296"/>
    <w:rsid w:val="00EE34DF"/>
    <w:rsid w:val="00EE5B03"/>
    <w:rsid w:val="00EF2F89"/>
    <w:rsid w:val="00F03548"/>
    <w:rsid w:val="00F03E98"/>
    <w:rsid w:val="00F1237A"/>
    <w:rsid w:val="00F22CBD"/>
    <w:rsid w:val="00F268DD"/>
    <w:rsid w:val="00F272F1"/>
    <w:rsid w:val="00F31412"/>
    <w:rsid w:val="00F45372"/>
    <w:rsid w:val="00F55A8A"/>
    <w:rsid w:val="00F560F7"/>
    <w:rsid w:val="00F57AE1"/>
    <w:rsid w:val="00F6334D"/>
    <w:rsid w:val="00F63599"/>
    <w:rsid w:val="00FA49AB"/>
    <w:rsid w:val="00FB7515"/>
    <w:rsid w:val="00FD5D02"/>
    <w:rsid w:val="00FD6F1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B3E12A-2EEB-4DE0-B4FA-58E2BCAE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caption" w:lock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uiPriority="99"/>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HTMLPreformattedChar"/>
    <w:qFormat/>
    <w:pPr>
      <w:jc w:val="both"/>
    </w:pPr>
    <w:rPr>
      <w:rFonts w:ascii="Arial" w:hAnsi="Arial"/>
      <w:snapToGrid w:val="0"/>
      <w:lang w:eastAsia="fr-FR"/>
    </w:rPr>
  </w:style>
  <w:style w:type="paragraph" w:styleId="Heading1">
    <w:name w:val="heading 1"/>
    <w:basedOn w:val="Normal"/>
    <w:next w:val="Normal"/>
    <w:autoRedefine/>
    <w:qFormat/>
    <w:pPr>
      <w:keepNext/>
      <w:jc w:val="lef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6">
    <w:name w:val="heading 6"/>
    <w:basedOn w:val="Normal"/>
    <w:next w:val="Normal"/>
    <w:qFormat/>
    <w:pPr>
      <w:outlineLvl w:val="5"/>
    </w:pPr>
    <w:rPr>
      <w:lang w:val="es-ES_tradnl"/>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basedOn w:val="Normal"/>
    <w:autoRedefine/>
    <w:pPr>
      <w:spacing w:before="60"/>
      <w:ind w:left="567" w:hanging="567"/>
    </w:pPr>
    <w:rPr>
      <w:sz w:val="16"/>
    </w:rPr>
  </w:style>
  <w:style w:type="character" w:styleId="FootnoteReference">
    <w:name w:val="footnote reference"/>
    <w:basedOn w:val="DefaultParagraphFont"/>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pPr>
      <w:spacing w:before="60"/>
      <w:jc w:val="center"/>
    </w:pPr>
    <w:rPr>
      <w:b/>
    </w:rPr>
  </w:style>
  <w:style w:type="paragraph" w:customStyle="1" w:styleId="Organizer">
    <w:name w:val="Organizer"/>
    <w:basedOn w:val="Normal"/>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tyle>
  <w:style w:type="paragraph" w:styleId="EndnoteText">
    <w:name w:val="endnote text"/>
    <w:basedOn w:val="Normal"/>
  </w:style>
  <w:style w:type="character" w:styleId="EndnoteReference">
    <w:name w:val="endnote reference"/>
    <w:basedOn w:val="DefaultParagraphFont"/>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pPr>
      <w:spacing w:before="60"/>
      <w:ind w:left="1276"/>
    </w:pPr>
    <w:rPr>
      <w:b/>
      <w:sz w:val="22"/>
    </w:rPr>
  </w:style>
  <w:style w:type="paragraph" w:styleId="Date">
    <w:name w:val="Date"/>
    <w:basedOn w:val="Normal"/>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styleId="TOC2">
    <w:name w:val="toc 2"/>
    <w:basedOn w:val="Normal"/>
    <w:next w:val="Normal"/>
    <w:autoRedefine/>
    <w:uiPriority w:val="39"/>
    <w:rsid w:val="00F268DD"/>
    <w:pPr>
      <w:tabs>
        <w:tab w:val="right" w:leader="dot" w:pos="9639"/>
      </w:tabs>
      <w:spacing w:before="60" w:after="60"/>
      <w:ind w:left="284" w:right="851"/>
      <w:jc w:val="left"/>
    </w:pPr>
    <w:rPr>
      <w:sz w:val="18"/>
    </w:rPr>
  </w:style>
  <w:style w:type="paragraph" w:styleId="TOC3">
    <w:name w:val="toc 3"/>
    <w:basedOn w:val="Normal"/>
    <w:next w:val="Normal"/>
    <w:autoRedefine/>
    <w:uiPriority w:val="39"/>
    <w:rsid w:val="00F268DD"/>
    <w:pPr>
      <w:tabs>
        <w:tab w:val="right" w:leader="dot" w:pos="9639"/>
      </w:tabs>
      <w:spacing w:before="60"/>
      <w:ind w:left="567" w:right="851"/>
    </w:pPr>
    <w:rPr>
      <w:i/>
      <w:sz w:val="18"/>
      <w:lang w:val="fr-FR"/>
    </w:rPr>
  </w:style>
  <w:style w:type="character" w:styleId="Hyperlink">
    <w:name w:val="Hyperlink"/>
    <w:basedOn w:val="DefaultParagraphFont"/>
    <w:uiPriority w:val="99"/>
    <w:rPr>
      <w:rFonts w:ascii="Arial" w:hAnsi="Arial" w:cs="Times New Roman"/>
      <w:color w:val="0000FF"/>
      <w:u w:val="single"/>
    </w:rPr>
  </w:style>
  <w:style w:type="paragraph" w:styleId="TOC4">
    <w:name w:val="toc 4"/>
    <w:basedOn w:val="Normal"/>
    <w:next w:val="Normal"/>
    <w:autoRedefine/>
    <w:pPr>
      <w:tabs>
        <w:tab w:val="right" w:leader="dot" w:pos="9639"/>
      </w:tabs>
      <w:spacing w:after="120"/>
      <w:ind w:left="738" w:right="851" w:hanging="284"/>
      <w:jc w:val="left"/>
    </w:pPr>
    <w:rPr>
      <w:i/>
      <w:sz w:val="18"/>
      <w:lang w:val="fr-FR"/>
    </w:rPr>
  </w:style>
  <w:style w:type="paragraph" w:styleId="TOC1">
    <w:name w:val="toc 1"/>
    <w:basedOn w:val="Normal"/>
    <w:next w:val="Normal"/>
    <w:autoRedefine/>
    <w:uiPriority w:val="39"/>
    <w:rsid w:val="00F268DD"/>
    <w:pPr>
      <w:tabs>
        <w:tab w:val="right" w:leader="dot" w:pos="9639"/>
      </w:tabs>
      <w:spacing w:after="120"/>
    </w:pPr>
    <w:rPr>
      <w:caps/>
      <w:sz w:val="18"/>
    </w:rPr>
  </w:style>
  <w:style w:type="paragraph" w:styleId="TOC5">
    <w:name w:val="toc 5"/>
    <w:basedOn w:val="Normal"/>
    <w:next w:val="Normal"/>
    <w:autoRedefine/>
    <w:pPr>
      <w:tabs>
        <w:tab w:val="right" w:leader="dot" w:pos="9639"/>
      </w:tabs>
      <w:spacing w:after="120"/>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character" w:customStyle="1" w:styleId="DecisionParagraphsChar">
    <w:name w:val="DecisionParagraphs Char"/>
    <w:basedOn w:val="DefaultParagraphFont"/>
    <w:locked/>
    <w:rPr>
      <w:rFonts w:ascii="Arial" w:hAnsi="Arial" w:cs="Times New Roman"/>
      <w:i/>
    </w:rPr>
  </w:style>
  <w:style w:type="paragraph" w:styleId="ListParagraph">
    <w:name w:val="List Paragraph"/>
    <w:basedOn w:val="Normal"/>
    <w:qFormat/>
    <w:pPr>
      <w:ind w:left="720"/>
      <w:contextualSpacing/>
    </w:pPr>
  </w:style>
  <w:style w:type="character" w:customStyle="1" w:styleId="Heading1Char">
    <w:name w:val="Heading 1 Char"/>
    <w:basedOn w:val="DefaultParagraphFont"/>
    <w:locked/>
    <w:rPr>
      <w:rFonts w:ascii="Arial" w:hAnsi="Arial" w:cs="Times New Roman"/>
      <w:caps/>
      <w:lang w:val="en-US" w:bidi="ar-SA"/>
    </w:rPr>
  </w:style>
  <w:style w:type="character" w:customStyle="1" w:styleId="Heading6Char">
    <w:name w:val="Heading 6 Char"/>
    <w:basedOn w:val="DefaultParagraphFont"/>
    <w:locked/>
    <w:rPr>
      <w:rFonts w:ascii="Arial" w:hAnsi="Arial" w:cs="Times New Roman"/>
      <w:lang w:val="es-ES_tradnl"/>
    </w:rPr>
  </w:style>
  <w:style w:type="character" w:customStyle="1" w:styleId="Heading7Char">
    <w:name w:val="Heading 7 Char"/>
    <w:basedOn w:val="DefaultParagraphFont"/>
    <w:locked/>
    <w:rPr>
      <w:rFonts w:ascii="Arial" w:hAnsi="Arial" w:cs="Times New Roman"/>
      <w:sz w:val="24"/>
      <w:szCs w:val="24"/>
    </w:rPr>
  </w:style>
  <w:style w:type="character" w:customStyle="1" w:styleId="Heading8Char">
    <w:name w:val="Heading 8 Char"/>
    <w:basedOn w:val="DefaultParagraphFont"/>
    <w:locked/>
    <w:rPr>
      <w:rFonts w:ascii="Arial" w:hAnsi="Arial" w:cs="Times New Roman"/>
      <w:u w:val="single"/>
    </w:rPr>
  </w:style>
  <w:style w:type="paragraph" w:styleId="NormalWeb">
    <w:name w:val="Normal (Web)"/>
    <w:basedOn w:val="Normal"/>
    <w:pPr>
      <w:spacing w:before="100" w:beforeAutospacing="1" w:after="100" w:afterAutospacing="1"/>
      <w:jc w:val="left"/>
    </w:pPr>
    <w:rPr>
      <w:szCs w:val="24"/>
    </w:rPr>
  </w:style>
  <w:style w:type="paragraph" w:customStyle="1" w:styleId="pdflink">
    <w:name w:val="pdflink"/>
    <w:basedOn w:val="Normal"/>
    <w:next w:val="Normal"/>
    <w:rPr>
      <w:color w:val="800000"/>
      <w:u w:val="words"/>
    </w:rPr>
  </w:style>
  <w:style w:type="paragraph" w:customStyle="1" w:styleId="Draft">
    <w:name w:val="Draft"/>
    <w:basedOn w:val="Normal"/>
    <w:next w:val="preparedby"/>
    <w:pPr>
      <w:spacing w:before="720" w:after="480"/>
      <w:jc w:val="center"/>
    </w:pPr>
    <w:rPr>
      <w:caps/>
      <w:sz w:val="28"/>
    </w:rPr>
  </w:style>
  <w:style w:type="paragraph" w:customStyle="1" w:styleId="quote1">
    <w:name w:val="quote1"/>
    <w:basedOn w:val="Normal"/>
    <w:semiHidden/>
    <w:pPr>
      <w:ind w:left="567" w:right="565" w:firstLine="567"/>
    </w:pPr>
    <w:rPr>
      <w:sz w:val="22"/>
      <w:szCs w:val="22"/>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semiHidden/>
    <w:pPr>
      <w:ind w:left="1200"/>
    </w:pPr>
  </w:style>
  <w:style w:type="paragraph" w:styleId="BodyTextIndent">
    <w:name w:val="Body Text Indent"/>
    <w:basedOn w:val="Normal"/>
    <w:pPr>
      <w:ind w:left="567"/>
    </w:pPr>
    <w:rPr>
      <w:lang w:val="es-ES_tradnl"/>
    </w:rPr>
  </w:style>
  <w:style w:type="character" w:customStyle="1" w:styleId="BodyTextIndentChar">
    <w:name w:val="Body Text Indent Char"/>
    <w:basedOn w:val="DefaultParagraphFont"/>
    <w:locked/>
    <w:rPr>
      <w:rFonts w:ascii="Arial" w:hAnsi="Arial" w:cs="Times New Roman"/>
      <w:lang w:val="es-ES_tradnl"/>
    </w:rPr>
  </w:style>
  <w:style w:type="paragraph" w:customStyle="1" w:styleId="twpcheck">
    <w:name w:val="twpcheck"/>
    <w:basedOn w:val="Normal"/>
    <w:pPr>
      <w:spacing w:before="80" w:after="80"/>
      <w:jc w:val="left"/>
    </w:pPr>
    <w:rPr>
      <w:rFonts w:cs="Arial"/>
      <w:sz w:val="16"/>
      <w:szCs w:val="16"/>
    </w:rPr>
  </w:style>
  <w:style w:type="paragraph" w:customStyle="1" w:styleId="DecisionInvitingPara">
    <w:name w:val="Decision Inviting Para."/>
    <w:basedOn w:val="Normal"/>
    <w:pPr>
      <w:ind w:left="4536"/>
    </w:pPr>
    <w:rPr>
      <w:i/>
      <w:lang w:val="es-ES_tradnl"/>
    </w:rPr>
  </w:style>
  <w:style w:type="paragraph" w:customStyle="1" w:styleId="Enttepair">
    <w:name w:val="Entête_pair"/>
    <w:basedOn w:val="Normal"/>
    <w:next w:val="Normal"/>
    <w:pPr>
      <w:pBdr>
        <w:bottom w:val="single" w:sz="4" w:space="1" w:color="auto"/>
      </w:pBdr>
      <w:jc w:val="left"/>
    </w:pPr>
    <w:rPr>
      <w:szCs w:val="24"/>
    </w:rPr>
  </w:style>
  <w:style w:type="paragraph" w:customStyle="1" w:styleId="Entteimpair">
    <w:name w:val="Entête_impair"/>
    <w:basedOn w:val="Normal"/>
    <w:next w:val="Normal"/>
    <w:pPr>
      <w:pBdr>
        <w:bottom w:val="single" w:sz="4" w:space="1" w:color="auto"/>
      </w:pBdr>
      <w:jc w:val="right"/>
    </w:pPr>
  </w:style>
  <w:style w:type="table" w:styleId="TableGrid">
    <w:name w:val="Table Grid"/>
    <w:basedOn w:val="TableNormal"/>
    <w:pPr>
      <w:jc w:val="both"/>
    </w:pPr>
    <w:rPr>
      <w:snapToGrid w:val="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semiHidden/>
  </w:style>
  <w:style w:type="character" w:customStyle="1" w:styleId="E-mailSignatureChar">
    <w:name w:val="E-mail Signature Char"/>
    <w:basedOn w:val="DefaultParagraphFont"/>
    <w:semiHidden/>
    <w:locked/>
    <w:rPr>
      <w:rFonts w:ascii="Arial" w:hAnsi="Arial" w:cs="Times New Roman"/>
    </w:rPr>
  </w:style>
  <w:style w:type="character" w:styleId="Emphasis">
    <w:name w:val="Emphasis"/>
    <w:basedOn w:val="DefaultParagraphFont"/>
    <w:qFormat/>
    <w:rPr>
      <w:rFonts w:cs="Times New Roman"/>
      <w:i/>
      <w:iCs/>
    </w:rPr>
  </w:style>
  <w:style w:type="paragraph" w:styleId="EnvelopeAddress">
    <w:name w:val="envelope address"/>
    <w:basedOn w:val="Normal"/>
    <w:semiHidden/>
    <w:pPr>
      <w:framePr w:w="7920" w:h="1980" w:hRule="exact" w:hSpace="180" w:wrap="auto" w:hAnchor="page" w:xAlign="center" w:yAlign="bottom"/>
      <w:ind w:left="2880"/>
    </w:pPr>
    <w:rPr>
      <w:rFonts w:cs="Arial"/>
      <w:szCs w:val="24"/>
    </w:rPr>
  </w:style>
  <w:style w:type="paragraph" w:styleId="EnvelopeReturn">
    <w:name w:val="envelope return"/>
    <w:basedOn w:val="Normal"/>
    <w:semiHidden/>
    <w:rPr>
      <w:rFonts w:cs="Arial"/>
    </w:rPr>
  </w:style>
  <w:style w:type="character" w:styleId="HTMLAcronym">
    <w:name w:val="HTML Acronym"/>
    <w:basedOn w:val="DefaultParagraphFont"/>
    <w:semiHidden/>
    <w:rPr>
      <w:rFonts w:cs="Times New Roman"/>
    </w:rPr>
  </w:style>
  <w:style w:type="paragraph" w:styleId="HTMLAddress">
    <w:name w:val="HTML Address"/>
    <w:basedOn w:val="Normal"/>
    <w:semiHidden/>
    <w:rPr>
      <w:i/>
      <w:iCs/>
    </w:rPr>
  </w:style>
  <w:style w:type="character" w:customStyle="1" w:styleId="HTMLAddressChar">
    <w:name w:val="HTML Address Char"/>
    <w:basedOn w:val="DefaultParagraphFont"/>
    <w:semiHidden/>
    <w:locked/>
    <w:rPr>
      <w:rFonts w:ascii="Arial" w:hAnsi="Arial" w:cs="Times New Roman"/>
      <w:i/>
      <w:iCs/>
    </w:rPr>
  </w:style>
  <w:style w:type="character" w:styleId="HTMLCite">
    <w:name w:val="HTML Cite"/>
    <w:basedOn w:val="DefaultParagraphFont"/>
    <w:semiHidden/>
    <w:rPr>
      <w:rFonts w:cs="Times New Roman"/>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rFonts w:cs="Times New Roman"/>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customStyle="1" w:styleId="HTMLPreformattedChar">
    <w:name w:val="HTML Preformatted Char"/>
    <w:basedOn w:val="DefaultParagraphFont"/>
    <w:semiHidden/>
    <w:locked/>
    <w:rPr>
      <w:rFonts w:ascii="Courier New" w:hAnsi="Courier New" w:cs="Courier New"/>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rFonts w:cs="Times New Roman"/>
      <w:i/>
      <w:iCs/>
    </w:rPr>
  </w:style>
  <w:style w:type="character" w:styleId="LineNumber">
    <w:name w:val="line number"/>
    <w:basedOn w:val="DefaultParagraphFont"/>
    <w:semiHidden/>
    <w:rPr>
      <w:rFonts w:cs="Times New Roman"/>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rPr>
      <w:bCs/>
      <w:szCs w:val="24"/>
      <w:lang w:val="es-ES"/>
    </w:rPr>
  </w:style>
  <w:style w:type="paragraph" w:styleId="ListBullet2">
    <w:name w:val="List Bullet 2"/>
    <w:basedOn w:val="Normal"/>
    <w:semiHidden/>
    <w:pPr>
      <w:tabs>
        <w:tab w:val="num" w:pos="720"/>
      </w:tabs>
      <w:ind w:left="720" w:hanging="360"/>
    </w:pPr>
  </w:style>
  <w:style w:type="paragraph" w:styleId="ListBullet3">
    <w:name w:val="List Bullet 3"/>
    <w:basedOn w:val="Normal"/>
    <w:semiHidden/>
    <w:pPr>
      <w:tabs>
        <w:tab w:val="num" w:pos="1080"/>
      </w:tabs>
      <w:ind w:left="1080" w:hanging="360"/>
    </w:pPr>
  </w:style>
  <w:style w:type="paragraph" w:styleId="ListBullet4">
    <w:name w:val="List Bullet 4"/>
    <w:basedOn w:val="Normal"/>
    <w:semiHidden/>
    <w:pPr>
      <w:tabs>
        <w:tab w:val="num" w:pos="1440"/>
      </w:tabs>
      <w:ind w:left="1440" w:hanging="360"/>
    </w:pPr>
  </w:style>
  <w:style w:type="paragraph" w:styleId="ListBullet5">
    <w:name w:val="List Bullet 5"/>
    <w:basedOn w:val="Normal"/>
    <w:semiHidden/>
    <w:pPr>
      <w:tabs>
        <w:tab w:val="num" w:pos="1800"/>
      </w:tabs>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semiHidden/>
    <w:locked/>
    <w:rPr>
      <w:rFonts w:ascii="Arial" w:hAnsi="Arial" w:cs="Arial"/>
      <w:sz w:val="24"/>
      <w:szCs w:val="24"/>
      <w:shd w:val="pct20" w:color="auto" w:fill="auto"/>
    </w:rPr>
  </w:style>
  <w:style w:type="paragraph" w:styleId="NoteHeading">
    <w:name w:val="Note Heading"/>
    <w:basedOn w:val="Normal"/>
    <w:next w:val="Normal"/>
    <w:semiHidden/>
  </w:style>
  <w:style w:type="character" w:customStyle="1" w:styleId="NoteHeadingChar">
    <w:name w:val="Note Heading Char"/>
    <w:basedOn w:val="DefaultParagraphFont"/>
    <w:semiHidden/>
    <w:locked/>
    <w:rPr>
      <w:rFonts w:ascii="Arial" w:hAnsi="Arial" w:cs="Times New Roman"/>
    </w:rPr>
  </w:style>
  <w:style w:type="paragraph" w:styleId="Salutation">
    <w:name w:val="Salutation"/>
    <w:basedOn w:val="Normal"/>
    <w:next w:val="Normal"/>
  </w:style>
  <w:style w:type="character" w:customStyle="1" w:styleId="SalutationChar">
    <w:name w:val="Salutation Char"/>
    <w:basedOn w:val="DefaultParagraphFont"/>
    <w:locked/>
    <w:rPr>
      <w:rFonts w:ascii="Arial" w:hAnsi="Arial" w:cs="Times New Roman"/>
    </w:rPr>
  </w:style>
  <w:style w:type="character" w:styleId="Strong">
    <w:name w:val="Strong"/>
    <w:basedOn w:val="DefaultParagraphFont"/>
    <w:qFormat/>
    <w:rPr>
      <w:rFonts w:cs="Times New Roman"/>
      <w:b/>
      <w:bCs/>
    </w:rPr>
  </w:style>
  <w:style w:type="paragraph" w:styleId="Subtitle">
    <w:name w:val="Subtitle"/>
    <w:basedOn w:val="Normal"/>
    <w:qFormat/>
    <w:pPr>
      <w:spacing w:after="60"/>
      <w:jc w:val="center"/>
      <w:outlineLvl w:val="1"/>
    </w:pPr>
    <w:rPr>
      <w:rFonts w:cs="Arial"/>
      <w:szCs w:val="24"/>
    </w:rPr>
  </w:style>
  <w:style w:type="character" w:customStyle="1" w:styleId="SubtitleChar">
    <w:name w:val="Subtitle Char"/>
    <w:basedOn w:val="DefaultParagraphFont"/>
    <w:locked/>
    <w:rPr>
      <w:rFonts w:ascii="Arial" w:hAnsi="Arial" w:cs="Arial"/>
      <w:sz w:val="24"/>
      <w:szCs w:val="24"/>
    </w:rPr>
  </w:style>
  <w:style w:type="table" w:styleId="Table3Deffects1">
    <w:name w:val="Table 3D effects 1"/>
    <w:basedOn w:val="TableNormal"/>
    <w:semiHidden/>
    <w:pPr>
      <w:jc w:val="both"/>
    </w:pPr>
    <w:rPr>
      <w:snapToGrid w:val="0"/>
      <w:lang w:val="fr-FR" w:eastAsia="fr-FR"/>
    </w:rPr>
    <w:tblPr/>
    <w:tcPr>
      <w:shd w:val="solid" w:color="C0C0C0" w:fill="FFFFFF"/>
    </w:tcPr>
  </w:style>
  <w:style w:type="table" w:styleId="Table3Deffects2">
    <w:name w:val="Table 3D effects 2"/>
    <w:basedOn w:val="TableNormal"/>
    <w:semiHidden/>
    <w:pPr>
      <w:jc w:val="both"/>
    </w:pPr>
    <w:rPr>
      <w:snapToGrid w:val="0"/>
      <w:lang w:val="fr-FR" w:eastAsia="fr-FR"/>
    </w:rPr>
    <w:tblPr/>
    <w:tcPr>
      <w:shd w:val="solid" w:color="C0C0C0" w:fill="FFFFFF"/>
    </w:tcPr>
  </w:style>
  <w:style w:type="table" w:styleId="Table3Deffects3">
    <w:name w:val="Table 3D effects 3"/>
    <w:basedOn w:val="TableNormal"/>
    <w:semiHidden/>
    <w:pPr>
      <w:jc w:val="both"/>
    </w:pPr>
    <w:rPr>
      <w:snapToGrid w:val="0"/>
      <w:lang w:val="fr-FR" w:eastAsia="fr-FR"/>
    </w:rPr>
    <w:tblPr/>
  </w:style>
  <w:style w:type="table" w:styleId="TableClassic1">
    <w:name w:val="Table Classic 1"/>
    <w:basedOn w:val="TableNormal"/>
    <w:semiHidden/>
    <w:pPr>
      <w:jc w:val="both"/>
    </w:pPr>
    <w:rPr>
      <w:snapToGrid w:val="0"/>
      <w:lang w:val="fr-FR" w:eastAsia="fr-FR"/>
    </w:rPr>
    <w:tblPr>
      <w:tblBorders>
        <w:top w:val="single" w:sz="12" w:space="0" w:color="000000"/>
        <w:bottom w:val="single" w:sz="12" w:space="0" w:color="000000"/>
      </w:tblBorders>
    </w:tblPr>
  </w:style>
  <w:style w:type="table" w:styleId="TableClassic2">
    <w:name w:val="Table Classic 2"/>
    <w:basedOn w:val="TableNormal"/>
    <w:semiHidden/>
    <w:pPr>
      <w:jc w:val="both"/>
    </w:pPr>
    <w:rPr>
      <w:snapToGrid w:val="0"/>
      <w:lang w:val="fr-FR" w:eastAsia="fr-FR"/>
    </w:rPr>
    <w:tblPr>
      <w:tblBorders>
        <w:top w:val="single" w:sz="12" w:space="0" w:color="000000"/>
        <w:bottom w:val="single" w:sz="12" w:space="0" w:color="000000"/>
      </w:tblBorders>
    </w:tblPr>
  </w:style>
  <w:style w:type="table" w:styleId="TableClassic3">
    <w:name w:val="Table Classic 3"/>
    <w:basedOn w:val="TableNormal"/>
    <w:semiHidden/>
    <w:pPr>
      <w:jc w:val="both"/>
    </w:pPr>
    <w:rPr>
      <w:snapToGrid w:val="0"/>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pPr>
      <w:jc w:val="both"/>
    </w:pPr>
    <w:rPr>
      <w:snapToGrid w:val="0"/>
      <w:lang w:val="fr-FR" w:eastAsia="fr-FR"/>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pPr>
      <w:jc w:val="both"/>
    </w:pPr>
    <w:rPr>
      <w:snapToGrid w:val="0"/>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pPr>
      <w:jc w:val="both"/>
    </w:pPr>
    <w:rPr>
      <w:snapToGrid w:val="0"/>
      <w:lang w:val="fr-FR" w:eastAsia="fr-FR"/>
    </w:rPr>
    <w:tblPr>
      <w:tblBorders>
        <w:bottom w:val="single" w:sz="12" w:space="0" w:color="000000"/>
      </w:tblBorders>
    </w:tblPr>
    <w:tcPr>
      <w:shd w:val="pct20" w:color="FFFF00" w:fill="FFFFFF"/>
    </w:tcPr>
  </w:style>
  <w:style w:type="table" w:styleId="TableColorful3">
    <w:name w:val="Table Colorful 3"/>
    <w:basedOn w:val="TableNormal"/>
    <w:semiHidden/>
    <w:pPr>
      <w:jc w:val="both"/>
    </w:pPr>
    <w:rPr>
      <w:snapToGrid w:val="0"/>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pPr>
      <w:jc w:val="both"/>
    </w:pPr>
    <w:rPr>
      <w:b/>
      <w:bCs/>
      <w:snapToGrid w:val="0"/>
      <w:lang w:val="fr-FR" w:eastAsia="fr-FR"/>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pPr>
      <w:jc w:val="both"/>
    </w:pPr>
    <w:rPr>
      <w:b/>
      <w:bCs/>
      <w:snapToGrid w:val="0"/>
      <w:lang w:val="fr-FR" w:eastAsia="fr-FR"/>
    </w:rPr>
    <w:tblPr/>
  </w:style>
  <w:style w:type="table" w:styleId="TableColumns3">
    <w:name w:val="Table Columns 3"/>
    <w:basedOn w:val="TableNormal"/>
    <w:semiHidden/>
    <w:pPr>
      <w:jc w:val="both"/>
    </w:pPr>
    <w:rPr>
      <w:b/>
      <w:bCs/>
      <w:snapToGrid w:val="0"/>
      <w:lang w:val="fr-FR" w:eastAsia="fr-FR"/>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pPr>
      <w:jc w:val="both"/>
    </w:pPr>
    <w:rPr>
      <w:snapToGrid w:val="0"/>
      <w:lang w:val="fr-FR" w:eastAsia="fr-FR"/>
    </w:rPr>
    <w:tblPr/>
  </w:style>
  <w:style w:type="table" w:styleId="TableColumns5">
    <w:name w:val="Table Columns 5"/>
    <w:basedOn w:val="TableNormal"/>
    <w:semiHidden/>
    <w:pPr>
      <w:jc w:val="both"/>
    </w:pPr>
    <w:rPr>
      <w:snapToGrid w:val="0"/>
      <w:lang w:val="fr-FR" w:eastAsia="fr-FR"/>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pPr>
      <w:jc w:val="both"/>
    </w:pPr>
    <w:rPr>
      <w:snapToGrid w:val="0"/>
      <w:lang w:val="fr-FR" w:eastAsia="fr-FR"/>
    </w:rPr>
    <w:tblPr>
      <w:tblBorders>
        <w:insideH w:val="single" w:sz="18" w:space="0" w:color="FFFFFF"/>
        <w:insideV w:val="single" w:sz="18" w:space="0" w:color="FFFFFF"/>
      </w:tblBorders>
    </w:tblPr>
  </w:style>
  <w:style w:type="table" w:styleId="TableElegant">
    <w:name w:val="Table Elegant"/>
    <w:basedOn w:val="TableNormal"/>
    <w:semiHidden/>
    <w:pPr>
      <w:jc w:val="both"/>
    </w:pPr>
    <w:rPr>
      <w:snapToGrid w:val="0"/>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pPr>
      <w:jc w:val="both"/>
    </w:pPr>
    <w:rPr>
      <w:snapToGrid w:val="0"/>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pPr>
      <w:jc w:val="both"/>
    </w:pPr>
    <w:rPr>
      <w:snapToGrid w:val="0"/>
      <w:lang w:val="fr-FR" w:eastAsia="fr-FR"/>
    </w:rPr>
    <w:tblPr>
      <w:tblBorders>
        <w:insideH w:val="single" w:sz="6" w:space="0" w:color="000000"/>
        <w:insideV w:val="single" w:sz="6" w:space="0" w:color="000000"/>
      </w:tblBorders>
    </w:tblPr>
  </w:style>
  <w:style w:type="table" w:styleId="TableGrid3">
    <w:name w:val="Table Grid 3"/>
    <w:basedOn w:val="TableNormal"/>
    <w:semiHidden/>
    <w:pPr>
      <w:jc w:val="both"/>
    </w:pPr>
    <w:rPr>
      <w:snapToGrid w:val="0"/>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pPr>
      <w:jc w:val="both"/>
    </w:pPr>
    <w:rPr>
      <w:snapToGrid w:val="0"/>
      <w:lang w:val="fr-FR" w:eastAsia="fr-FR"/>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pPr>
      <w:jc w:val="both"/>
    </w:pPr>
    <w:rPr>
      <w:snapToGrid w:val="0"/>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pPr>
      <w:jc w:val="both"/>
    </w:pPr>
    <w:rPr>
      <w:snapToGrid w:val="0"/>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pPr>
      <w:jc w:val="both"/>
    </w:pPr>
    <w:rPr>
      <w:b/>
      <w:bCs/>
      <w:snapToGrid w:val="0"/>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pPr>
      <w:jc w:val="both"/>
    </w:pPr>
    <w:rPr>
      <w:snapToGrid w:val="0"/>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pPr>
      <w:jc w:val="both"/>
    </w:pPr>
    <w:rPr>
      <w:snapToGrid w:val="0"/>
      <w:lang w:val="fr-FR" w:eastAsia="fr-FR"/>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pPr>
      <w:jc w:val="both"/>
    </w:pPr>
    <w:rPr>
      <w:snapToGrid w:val="0"/>
      <w:lang w:val="fr-FR" w:eastAsia="fr-FR"/>
    </w:rPr>
    <w:tblPr>
      <w:tblBorders>
        <w:bottom w:val="single" w:sz="12" w:space="0" w:color="808080"/>
      </w:tblBorders>
    </w:tblPr>
  </w:style>
  <w:style w:type="table" w:styleId="TableList3">
    <w:name w:val="Table List 3"/>
    <w:basedOn w:val="TableNormal"/>
    <w:semiHidden/>
    <w:pPr>
      <w:jc w:val="both"/>
    </w:pPr>
    <w:rPr>
      <w:snapToGrid w:val="0"/>
      <w:lang w:val="fr-FR" w:eastAsia="fr-FR"/>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pPr>
      <w:jc w:val="both"/>
    </w:pPr>
    <w:rPr>
      <w:snapToGrid w:val="0"/>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pPr>
      <w:jc w:val="both"/>
    </w:pPr>
    <w:rPr>
      <w:snapToGrid w:val="0"/>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pPr>
      <w:jc w:val="both"/>
    </w:pPr>
    <w:rPr>
      <w:snapToGrid w:val="0"/>
      <w:lang w:val="fr-FR" w:eastAsia="fr-FR"/>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pPr>
      <w:jc w:val="both"/>
    </w:pPr>
    <w:rPr>
      <w:snapToGrid w:val="0"/>
      <w:lang w:val="fr-FR" w:eastAsia="fr-FR"/>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pPr>
      <w:jc w:val="both"/>
    </w:pPr>
    <w:rPr>
      <w:snapToGrid w:val="0"/>
      <w:lang w:val="fr-FR" w:eastAsia="fr-FR"/>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pPr>
      <w:jc w:val="both"/>
    </w:pPr>
    <w:rPr>
      <w:snapToGrid w:val="0"/>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pPr>
      <w:jc w:val="both"/>
    </w:pPr>
    <w:rPr>
      <w:snapToGrid w:val="0"/>
      <w:lang w:val="fr-FR" w:eastAsia="fr-FR"/>
    </w:rPr>
    <w:tblPr>
      <w:tblBorders>
        <w:top w:val="single" w:sz="12" w:space="0" w:color="008000"/>
        <w:bottom w:val="single" w:sz="12" w:space="0" w:color="008000"/>
      </w:tblBorders>
    </w:tblPr>
  </w:style>
  <w:style w:type="table" w:styleId="TableSimple2">
    <w:name w:val="Table Simple 2"/>
    <w:basedOn w:val="TableNormal"/>
    <w:semiHidden/>
    <w:pPr>
      <w:jc w:val="both"/>
    </w:pPr>
    <w:rPr>
      <w:snapToGrid w:val="0"/>
      <w:lang w:val="fr-FR" w:eastAsia="fr-FR"/>
    </w:rPr>
    <w:tblPr/>
  </w:style>
  <w:style w:type="table" w:styleId="TableSimple3">
    <w:name w:val="Table Simple 3"/>
    <w:basedOn w:val="TableNormal"/>
    <w:semiHidden/>
    <w:pPr>
      <w:jc w:val="both"/>
    </w:pPr>
    <w:rPr>
      <w:snapToGrid w:val="0"/>
      <w:lang w:val="fr-FR" w:eastAsia="fr-FR"/>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pPr>
      <w:jc w:val="both"/>
    </w:pPr>
    <w:rPr>
      <w:snapToGrid w:val="0"/>
      <w:lang w:val="fr-FR" w:eastAsia="fr-FR"/>
    </w:rPr>
    <w:tblPr/>
  </w:style>
  <w:style w:type="table" w:styleId="TableSubtle2">
    <w:name w:val="Table Subtle 2"/>
    <w:basedOn w:val="TableNormal"/>
    <w:semiHidden/>
    <w:pPr>
      <w:jc w:val="both"/>
    </w:pPr>
    <w:rPr>
      <w:snapToGrid w:val="0"/>
      <w:lang w:val="fr-FR" w:eastAsia="fr-FR"/>
    </w:rPr>
    <w:tblPr>
      <w:tblBorders>
        <w:left w:val="single" w:sz="6" w:space="0" w:color="000000"/>
        <w:right w:val="single" w:sz="6" w:space="0" w:color="000000"/>
      </w:tblBorders>
    </w:tblPr>
  </w:style>
  <w:style w:type="table" w:styleId="TableTheme">
    <w:name w:val="Table Theme"/>
    <w:basedOn w:val="TableNormal"/>
    <w:semiHidden/>
    <w:pPr>
      <w:jc w:val="both"/>
    </w:pPr>
    <w:rPr>
      <w:snapToGrid w:val="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jc w:val="both"/>
    </w:pPr>
    <w:rPr>
      <w:snapToGrid w:val="0"/>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pPr>
      <w:jc w:val="both"/>
    </w:pPr>
    <w:rPr>
      <w:snapToGrid w:val="0"/>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pPr>
      <w:jc w:val="both"/>
    </w:pPr>
    <w:rPr>
      <w:snapToGrid w:val="0"/>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basedOn w:val="DefaultParagraphFont"/>
    <w:rPr>
      <w:rFonts w:cs="Times New Roman"/>
      <w:color w:val="606420"/>
      <w:u w:val="single"/>
    </w:rPr>
  </w:style>
  <w:style w:type="paragraph" w:styleId="BlockText">
    <w:name w:val="Block Text"/>
    <w:basedOn w:val="Normal"/>
    <w:pPr>
      <w:ind w:left="567" w:right="566"/>
    </w:pPr>
    <w:rPr>
      <w:sz w:val="22"/>
    </w:rPr>
  </w:style>
  <w:style w:type="paragraph" w:styleId="Caption">
    <w:name w:val="caption"/>
    <w:basedOn w:val="Normal"/>
    <w:next w:val="Normal"/>
    <w:qFormat/>
    <w:pPr>
      <w:framePr w:w="11102" w:hSpace="181" w:wrap="around" w:vAnchor="page" w:hAnchor="page" w:x="438" w:y="15985"/>
      <w:jc w:val="center"/>
    </w:pPr>
    <w:rPr>
      <w:b/>
    </w:rPr>
  </w:style>
  <w:style w:type="paragraph" w:styleId="CommentText">
    <w:name w:val="annotation text"/>
    <w:basedOn w:val="Normal"/>
    <w:semiHidden/>
    <w:rPr>
      <w:sz w:val="22"/>
      <w:lang w:val="es-ES_tradnl"/>
    </w:rPr>
  </w:style>
  <w:style w:type="character" w:customStyle="1" w:styleId="CommentTextChar">
    <w:name w:val="Comment Text Char"/>
    <w:basedOn w:val="DefaultParagraphFont"/>
    <w:semiHidden/>
    <w:locked/>
    <w:rPr>
      <w:rFonts w:ascii="Arial" w:hAnsi="Arial" w:cs="Times New Roman"/>
      <w:sz w:val="22"/>
      <w:lang w:val="es-ES_tradnl"/>
    </w:rPr>
  </w:style>
  <w:style w:type="paragraph" w:customStyle="1" w:styleId="Committee">
    <w:name w:val="Committee"/>
    <w:basedOn w:val="Title"/>
    <w:rPr>
      <w:caps w:val="0"/>
    </w:rPr>
  </w:style>
  <w:style w:type="paragraph" w:customStyle="1" w:styleId="n">
    <w:name w:val="n"/>
    <w:basedOn w:val="Header"/>
  </w:style>
  <w:style w:type="paragraph" w:customStyle="1" w:styleId="TitleofSection">
    <w:name w:val="Title of Section"/>
    <w:basedOn w:val="TitleofDoc"/>
    <w:pPr>
      <w:spacing w:before="120" w:after="120"/>
    </w:pPr>
    <w:rPr>
      <w:b/>
      <w:caps w:val="0"/>
    </w:rPr>
  </w:style>
  <w:style w:type="paragraph" w:customStyle="1" w:styleId="TOCAnnex">
    <w:name w:val="TOC Annex"/>
    <w:basedOn w:val="Normal"/>
    <w:pPr>
      <w:tabs>
        <w:tab w:val="right" w:pos="9061"/>
      </w:tabs>
      <w:spacing w:before="240" w:after="120"/>
      <w:ind w:left="1021" w:right="567" w:hanging="1021"/>
      <w:jc w:val="left"/>
      <w:outlineLvl w:val="0"/>
    </w:pPr>
    <w:rPr>
      <w:b/>
      <w:noProof/>
      <w:sz w:val="22"/>
      <w:szCs w:val="22"/>
      <w:lang w:val="fr-FR"/>
    </w:rPr>
  </w:style>
  <w:style w:type="paragraph" w:customStyle="1" w:styleId="Chapter">
    <w:name w:val="Chapter"/>
    <w:basedOn w:val="Normal"/>
    <w:semiHidden/>
    <w:pPr>
      <w:jc w:val="center"/>
    </w:pPr>
    <w:rPr>
      <w:b/>
      <w:caps/>
      <w:szCs w:val="24"/>
    </w:rPr>
  </w:style>
  <w:style w:type="paragraph" w:customStyle="1" w:styleId="Notetoarticle">
    <w:name w:val="Note to article"/>
    <w:basedOn w:val="Normal"/>
    <w:semiHidden/>
  </w:style>
  <w:style w:type="paragraph" w:styleId="PlainText">
    <w:name w:val="Plain Text"/>
    <w:basedOn w:val="Normal"/>
    <w:rPr>
      <w:rFonts w:ascii="Courier New" w:hAnsi="Courier New" w:cs="Courier New"/>
    </w:rPr>
  </w:style>
  <w:style w:type="character" w:customStyle="1" w:styleId="PlainTextChar">
    <w:name w:val="Plain Text Char"/>
    <w:basedOn w:val="DefaultParagraphFont"/>
    <w:locked/>
    <w:rPr>
      <w:rFonts w:ascii="Courier New" w:hAnsi="Courier New" w:cs="Courier New"/>
      <w:lang w:val="x-none"/>
    </w:rPr>
  </w:style>
  <w:style w:type="table" w:customStyle="1" w:styleId="TableGrid10">
    <w:name w:val="Table Grid1"/>
    <w:rPr>
      <w:snapToGrid w:val="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Pr>
      <w:rFonts w:cs="Times New Roman"/>
      <w:sz w:val="16"/>
      <w:szCs w:val="16"/>
    </w:rPr>
  </w:style>
  <w:style w:type="paragraph" w:styleId="CommentSubject">
    <w:name w:val="annotation subject"/>
    <w:basedOn w:val="CommentText"/>
    <w:next w:val="CommentText"/>
    <w:semiHidden/>
    <w:rPr>
      <w:b/>
      <w:bCs/>
      <w:sz w:val="20"/>
      <w:lang w:val="en-US"/>
    </w:rPr>
  </w:style>
  <w:style w:type="character" w:customStyle="1" w:styleId="CommentSubjectChar">
    <w:name w:val="Comment Subject Char"/>
    <w:basedOn w:val="CommentTextChar"/>
    <w:semiHidden/>
    <w:locked/>
    <w:rPr>
      <w:rFonts w:ascii="Arial" w:hAnsi="Arial" w:cs="Times New Roman"/>
      <w:b/>
      <w:bCs/>
      <w:sz w:val="22"/>
      <w:lang w:val="es-ES_tradnl"/>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euroseeds.eu/app/uploads/2019/07/12.083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orldseed.org/our-work/trade-rules/" TargetMode="External"/><Relationship Id="rId10" Type="http://schemas.openxmlformats.org/officeDocument/2006/relationships/hyperlink" Target="https://www.upov.int/meetings/de/pages/caj77/e_20_093.html"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upov.int/meetings/en/pages/caj77/contributions.html"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6B573-D682-43AA-9FF2-17B750ED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20</Pages>
  <Words>8212</Words>
  <Characters>53237</Characters>
  <Application>Microsoft Office Word</Application>
  <DocSecurity>0</DocSecurity>
  <Lines>443</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CAJ/77/4</vt:lpstr>
      <vt:lpstr>CAJ/77/4</vt:lpstr>
    </vt:vector>
  </TitlesOfParts>
  <Company>UPOV</Company>
  <LinksUpToDate>false</LinksUpToDate>
  <CharactersWithSpaces>61327</CharactersWithSpaces>
  <SharedDoc>false</SharedDoc>
  <HLinks>
    <vt:vector size="78" baseType="variant">
      <vt:variant>
        <vt:i4>30</vt:i4>
      </vt:variant>
      <vt:variant>
        <vt:i4>103</vt:i4>
      </vt:variant>
      <vt:variant>
        <vt:i4>0</vt:i4>
      </vt:variant>
      <vt:variant>
        <vt:i4>5</vt:i4>
      </vt:variant>
      <vt:variant>
        <vt:lpwstr>https://www.euroseeds.eu/app/uploads/2019/07/12.0838.pdf</vt:lpwstr>
      </vt:variant>
      <vt:variant>
        <vt:lpwstr/>
      </vt:variant>
      <vt:variant>
        <vt:i4>2818098</vt:i4>
      </vt:variant>
      <vt:variant>
        <vt:i4>100</vt:i4>
      </vt:variant>
      <vt:variant>
        <vt:i4>0</vt:i4>
      </vt:variant>
      <vt:variant>
        <vt:i4>5</vt:i4>
      </vt:variant>
      <vt:variant>
        <vt:lpwstr>https://www.worldseed.org/our-work/trade-rules/</vt:lpwstr>
      </vt:variant>
      <vt:variant>
        <vt:lpwstr>essential-derivation</vt:lpwstr>
      </vt:variant>
      <vt:variant>
        <vt:i4>4063355</vt:i4>
      </vt:variant>
      <vt:variant>
        <vt:i4>75</vt:i4>
      </vt:variant>
      <vt:variant>
        <vt:i4>0</vt:i4>
      </vt:variant>
      <vt:variant>
        <vt:i4>5</vt:i4>
      </vt:variant>
      <vt:variant>
        <vt:lpwstr>https://www.upov.int/meetings/en/pages/caj77/contributions.html</vt:lpwstr>
      </vt:variant>
      <vt:variant>
        <vt:lpwstr/>
      </vt:variant>
      <vt:variant>
        <vt:i4>1703993</vt:i4>
      </vt:variant>
      <vt:variant>
        <vt:i4>62</vt:i4>
      </vt:variant>
      <vt:variant>
        <vt:i4>0</vt:i4>
      </vt:variant>
      <vt:variant>
        <vt:i4>5</vt:i4>
      </vt:variant>
      <vt:variant>
        <vt:lpwstr/>
      </vt:variant>
      <vt:variant>
        <vt:lpwstr>_Toc48822572</vt:lpwstr>
      </vt:variant>
      <vt:variant>
        <vt:i4>1638457</vt:i4>
      </vt:variant>
      <vt:variant>
        <vt:i4>56</vt:i4>
      </vt:variant>
      <vt:variant>
        <vt:i4>0</vt:i4>
      </vt:variant>
      <vt:variant>
        <vt:i4>5</vt:i4>
      </vt:variant>
      <vt:variant>
        <vt:lpwstr/>
      </vt:variant>
      <vt:variant>
        <vt:lpwstr>_Toc48822571</vt:lpwstr>
      </vt:variant>
      <vt:variant>
        <vt:i4>1572921</vt:i4>
      </vt:variant>
      <vt:variant>
        <vt:i4>50</vt:i4>
      </vt:variant>
      <vt:variant>
        <vt:i4>0</vt:i4>
      </vt:variant>
      <vt:variant>
        <vt:i4>5</vt:i4>
      </vt:variant>
      <vt:variant>
        <vt:lpwstr/>
      </vt:variant>
      <vt:variant>
        <vt:lpwstr>_Toc48822570</vt:lpwstr>
      </vt:variant>
      <vt:variant>
        <vt:i4>1114168</vt:i4>
      </vt:variant>
      <vt:variant>
        <vt:i4>44</vt:i4>
      </vt:variant>
      <vt:variant>
        <vt:i4>0</vt:i4>
      </vt:variant>
      <vt:variant>
        <vt:i4>5</vt:i4>
      </vt:variant>
      <vt:variant>
        <vt:lpwstr/>
      </vt:variant>
      <vt:variant>
        <vt:lpwstr>_Toc48822569</vt:lpwstr>
      </vt:variant>
      <vt:variant>
        <vt:i4>1048632</vt:i4>
      </vt:variant>
      <vt:variant>
        <vt:i4>38</vt:i4>
      </vt:variant>
      <vt:variant>
        <vt:i4>0</vt:i4>
      </vt:variant>
      <vt:variant>
        <vt:i4>5</vt:i4>
      </vt:variant>
      <vt:variant>
        <vt:lpwstr/>
      </vt:variant>
      <vt:variant>
        <vt:lpwstr>_Toc48822568</vt:lpwstr>
      </vt:variant>
      <vt:variant>
        <vt:i4>2031672</vt:i4>
      </vt:variant>
      <vt:variant>
        <vt:i4>32</vt:i4>
      </vt:variant>
      <vt:variant>
        <vt:i4>0</vt:i4>
      </vt:variant>
      <vt:variant>
        <vt:i4>5</vt:i4>
      </vt:variant>
      <vt:variant>
        <vt:lpwstr/>
      </vt:variant>
      <vt:variant>
        <vt:lpwstr>_Toc48822567</vt:lpwstr>
      </vt:variant>
      <vt:variant>
        <vt:i4>1966136</vt:i4>
      </vt:variant>
      <vt:variant>
        <vt:i4>26</vt:i4>
      </vt:variant>
      <vt:variant>
        <vt:i4>0</vt:i4>
      </vt:variant>
      <vt:variant>
        <vt:i4>5</vt:i4>
      </vt:variant>
      <vt:variant>
        <vt:lpwstr/>
      </vt:variant>
      <vt:variant>
        <vt:lpwstr>_Toc48822566</vt:lpwstr>
      </vt:variant>
      <vt:variant>
        <vt:i4>1900600</vt:i4>
      </vt:variant>
      <vt:variant>
        <vt:i4>20</vt:i4>
      </vt:variant>
      <vt:variant>
        <vt:i4>0</vt:i4>
      </vt:variant>
      <vt:variant>
        <vt:i4>5</vt:i4>
      </vt:variant>
      <vt:variant>
        <vt:lpwstr/>
      </vt:variant>
      <vt:variant>
        <vt:lpwstr>_Toc48822565</vt:lpwstr>
      </vt:variant>
      <vt:variant>
        <vt:i4>1835064</vt:i4>
      </vt:variant>
      <vt:variant>
        <vt:i4>14</vt:i4>
      </vt:variant>
      <vt:variant>
        <vt:i4>0</vt:i4>
      </vt:variant>
      <vt:variant>
        <vt:i4>5</vt:i4>
      </vt:variant>
      <vt:variant>
        <vt:lpwstr/>
      </vt:variant>
      <vt:variant>
        <vt:lpwstr>_Toc48822564</vt:lpwstr>
      </vt:variant>
      <vt:variant>
        <vt:i4>1769528</vt:i4>
      </vt:variant>
      <vt:variant>
        <vt:i4>8</vt:i4>
      </vt:variant>
      <vt:variant>
        <vt:i4>0</vt:i4>
      </vt:variant>
      <vt:variant>
        <vt:i4>5</vt:i4>
      </vt:variant>
      <vt:variant>
        <vt:lpwstr/>
      </vt:variant>
      <vt:variant>
        <vt:lpwstr>_Toc48822563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CAJ/77/4</dc:title>
  <dc:subject/>
  <dc:creator>SANTOS Carla Marina</dc:creator>
  <cp:keywords/>
  <dc:description/>
  <cp:lastModifiedBy>HUERTA-CASADO Yolanda</cp:lastModifiedBy>
  <cp:revision>16</cp:revision>
  <cp:lastPrinted>2020-08-20T13:30:00Z</cp:lastPrinted>
  <dcterms:created xsi:type="dcterms:W3CDTF">2020-08-21T05:45:00Z</dcterms:created>
  <dcterms:modified xsi:type="dcterms:W3CDTF">2020-08-21T11:09:00Z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5effecf9-d298-433b-b470-e6703f3b6ea0</vt:lpwstr>
  </property>
</Properties>
</file>