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F14D14" w:rsidRPr="009D2776" w:rsidTr="0094624A">
        <w:tc>
          <w:tcPr>
            <w:tcW w:w="6522" w:type="dxa"/>
          </w:tcPr>
          <w:p w:rsidR="00F14D14" w:rsidRPr="009D2776" w:rsidRDefault="00F14D14" w:rsidP="0094624A">
            <w:pPr>
              <w:rPr>
                <w:rFonts w:cs="Arial"/>
              </w:rPr>
            </w:pPr>
            <w:r w:rsidRPr="009D2776">
              <w:rPr>
                <w:rFonts w:cs="Arial"/>
                <w:noProof/>
                <w:lang w:val="en-US"/>
              </w:rPr>
              <w:drawing>
                <wp:inline distT="0" distB="0" distL="0" distR="0" wp14:anchorId="7D27631F" wp14:editId="6B129305">
                  <wp:extent cx="952031" cy="244054"/>
                  <wp:effectExtent l="0" t="0" r="635"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F14D14" w:rsidRPr="009D2776" w:rsidRDefault="00F14D14" w:rsidP="0094624A">
            <w:pPr>
              <w:pStyle w:val="Lettrine"/>
              <w:rPr>
                <w:rFonts w:cs="Arial"/>
              </w:rPr>
            </w:pPr>
            <w:r w:rsidRPr="009D2776">
              <w:rPr>
                <w:rFonts w:cs="Arial"/>
              </w:rPr>
              <w:t>G</w:t>
            </w:r>
          </w:p>
        </w:tc>
      </w:tr>
      <w:tr w:rsidR="00F14D14" w:rsidRPr="009D2776" w:rsidTr="0094624A">
        <w:trPr>
          <w:trHeight w:val="219"/>
        </w:trPr>
        <w:tc>
          <w:tcPr>
            <w:tcW w:w="6522" w:type="dxa"/>
          </w:tcPr>
          <w:p w:rsidR="00F14D14" w:rsidRPr="009D2776" w:rsidRDefault="00F14D14" w:rsidP="0094624A">
            <w:pPr>
              <w:pStyle w:val="upove"/>
              <w:rPr>
                <w:rFonts w:cs="Arial"/>
              </w:rPr>
            </w:pPr>
            <w:r w:rsidRPr="009D2776">
              <w:rPr>
                <w:rFonts w:cs="Arial"/>
              </w:rPr>
              <w:t>Internationaler Verband zum Schutz von Pflanzenzüchtungen</w:t>
            </w:r>
          </w:p>
        </w:tc>
        <w:tc>
          <w:tcPr>
            <w:tcW w:w="3117" w:type="dxa"/>
          </w:tcPr>
          <w:p w:rsidR="00F14D14" w:rsidRPr="009D2776" w:rsidRDefault="00F14D14" w:rsidP="0094624A">
            <w:pPr>
              <w:rPr>
                <w:rFonts w:cs="Arial"/>
              </w:rPr>
            </w:pPr>
          </w:p>
        </w:tc>
      </w:tr>
    </w:tbl>
    <w:p w:rsidR="00F14D14" w:rsidRPr="009D2776" w:rsidRDefault="00F14D14" w:rsidP="00F14D14">
      <w:pPr>
        <w:rPr>
          <w:rFonts w:cs="Arial"/>
        </w:rPr>
      </w:pPr>
    </w:p>
    <w:p w:rsidR="00F14D14" w:rsidRPr="009D2776" w:rsidRDefault="00F14D14" w:rsidP="00F14D14">
      <w:pPr>
        <w:rPr>
          <w:rFonts w:cs="Aria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F14D14" w:rsidRPr="009D2776" w:rsidTr="0094624A">
        <w:tc>
          <w:tcPr>
            <w:tcW w:w="6512" w:type="dxa"/>
          </w:tcPr>
          <w:p w:rsidR="00F14D14" w:rsidRPr="009D2776" w:rsidRDefault="00F14D14" w:rsidP="0094624A">
            <w:pPr>
              <w:pStyle w:val="Sessiontcplacedate"/>
              <w:rPr>
                <w:rFonts w:cs="Arial"/>
                <w:sz w:val="22"/>
              </w:rPr>
            </w:pPr>
          </w:p>
        </w:tc>
        <w:tc>
          <w:tcPr>
            <w:tcW w:w="3127" w:type="dxa"/>
          </w:tcPr>
          <w:p w:rsidR="00F14D14" w:rsidRPr="005E1757" w:rsidRDefault="0094624A" w:rsidP="0094624A">
            <w:pPr>
              <w:pStyle w:val="Doccode"/>
              <w:rPr>
                <w:rFonts w:cs="Arial"/>
                <w:lang w:val="de-CH"/>
              </w:rPr>
            </w:pPr>
            <w:r w:rsidRPr="005E1757">
              <w:rPr>
                <w:rFonts w:cs="Arial"/>
                <w:lang w:val="de-DE"/>
              </w:rPr>
              <w:t>TGP/</w:t>
            </w:r>
            <w:r w:rsidR="00EC713D" w:rsidRPr="005E1757">
              <w:rPr>
                <w:rFonts w:cs="Arial"/>
                <w:lang w:val="de-DE"/>
              </w:rPr>
              <w:t>10</w:t>
            </w:r>
            <w:r w:rsidR="00CE3015" w:rsidRPr="005E1757">
              <w:rPr>
                <w:rFonts w:cs="Arial"/>
                <w:lang w:val="de-DE"/>
              </w:rPr>
              <w:t>/</w:t>
            </w:r>
            <w:r w:rsidR="00EC713D" w:rsidRPr="005E1757">
              <w:rPr>
                <w:rFonts w:cs="Arial"/>
                <w:lang w:val="de-DE"/>
              </w:rPr>
              <w:t>2</w:t>
            </w:r>
            <w:r w:rsidR="00F14D14" w:rsidRPr="005E1757">
              <w:rPr>
                <w:rFonts w:cs="Arial"/>
                <w:lang w:val="de-DE"/>
              </w:rPr>
              <w:t xml:space="preserve"> </w:t>
            </w:r>
            <w:proofErr w:type="spellStart"/>
            <w:r w:rsidR="00F14D14" w:rsidRPr="005E1757">
              <w:rPr>
                <w:rFonts w:cs="Arial"/>
                <w:lang w:val="de-DE"/>
              </w:rPr>
              <w:t>Draft</w:t>
            </w:r>
            <w:proofErr w:type="spellEnd"/>
            <w:r w:rsidR="00F14D14" w:rsidRPr="005E1757">
              <w:rPr>
                <w:rFonts w:cs="Arial"/>
                <w:lang w:val="de-DE"/>
              </w:rPr>
              <w:t xml:space="preserve"> </w:t>
            </w:r>
            <w:r w:rsidR="00EC713D" w:rsidRPr="005E1757">
              <w:rPr>
                <w:rFonts w:cs="Arial"/>
                <w:lang w:val="de-DE"/>
              </w:rPr>
              <w:t>1</w:t>
            </w:r>
          </w:p>
          <w:p w:rsidR="00F14D14" w:rsidRPr="005E1757" w:rsidRDefault="00F14D14" w:rsidP="0094624A">
            <w:pPr>
              <w:pStyle w:val="Docoriginal"/>
              <w:rPr>
                <w:rFonts w:cs="Arial"/>
              </w:rPr>
            </w:pPr>
            <w:r w:rsidRPr="005E1757">
              <w:rPr>
                <w:rFonts w:cs="Arial"/>
              </w:rPr>
              <w:t>Original:</w:t>
            </w:r>
            <w:r w:rsidRPr="005E1757">
              <w:rPr>
                <w:rFonts w:cs="Arial"/>
                <w:b w:val="0"/>
                <w:spacing w:val="0"/>
              </w:rPr>
              <w:t xml:space="preserve">  </w:t>
            </w:r>
            <w:r w:rsidR="00CE3015" w:rsidRPr="005E1757">
              <w:rPr>
                <w:rFonts w:cs="Arial"/>
                <w:b w:val="0"/>
                <w:spacing w:val="0"/>
              </w:rPr>
              <w:t>Englisch</w:t>
            </w:r>
          </w:p>
          <w:p w:rsidR="00F14D14" w:rsidRPr="009D2776" w:rsidRDefault="00F14D14" w:rsidP="005E1757">
            <w:pPr>
              <w:pStyle w:val="Docoriginal"/>
              <w:rPr>
                <w:rFonts w:cs="Arial"/>
              </w:rPr>
            </w:pPr>
            <w:r w:rsidRPr="005E1757">
              <w:rPr>
                <w:rFonts w:cs="Arial"/>
              </w:rPr>
              <w:t>Datum:</w:t>
            </w:r>
            <w:r w:rsidRPr="005E1757">
              <w:rPr>
                <w:rFonts w:cs="Arial"/>
                <w:b w:val="0"/>
                <w:spacing w:val="0"/>
              </w:rPr>
              <w:t xml:space="preserve">  </w:t>
            </w:r>
            <w:r w:rsidR="003D113B" w:rsidRPr="005E1757">
              <w:rPr>
                <w:rFonts w:cs="Arial"/>
                <w:b w:val="0"/>
                <w:spacing w:val="0"/>
              </w:rPr>
              <w:t>1</w:t>
            </w:r>
            <w:r w:rsidR="00EC713D" w:rsidRPr="005E1757">
              <w:rPr>
                <w:rFonts w:cs="Arial"/>
                <w:b w:val="0"/>
                <w:spacing w:val="0"/>
              </w:rPr>
              <w:t xml:space="preserve">. </w:t>
            </w:r>
            <w:r w:rsidR="005E1757" w:rsidRPr="005E1757">
              <w:rPr>
                <w:rFonts w:cs="Arial"/>
                <w:b w:val="0"/>
                <w:spacing w:val="0"/>
              </w:rPr>
              <w:t xml:space="preserve">August </w:t>
            </w:r>
            <w:r w:rsidR="00EC713D" w:rsidRPr="005E1757">
              <w:rPr>
                <w:rFonts w:cs="Arial"/>
                <w:b w:val="0"/>
                <w:spacing w:val="0"/>
              </w:rPr>
              <w:t>2019</w:t>
            </w:r>
          </w:p>
        </w:tc>
      </w:tr>
    </w:tbl>
    <w:p w:rsidR="00F14D14" w:rsidRPr="009D2776" w:rsidRDefault="00F14D14" w:rsidP="00F14D14">
      <w:pPr>
        <w:rPr>
          <w:rFonts w:cs="Arial"/>
        </w:rPr>
      </w:pPr>
      <w:bookmarkStart w:id="0" w:name="TitleOfDoc"/>
      <w:bookmarkStart w:id="1" w:name="Prepared"/>
      <w:bookmarkEnd w:id="0"/>
      <w:bookmarkEnd w:id="1"/>
    </w:p>
    <w:p w:rsidR="00F14D14" w:rsidRPr="009D2776" w:rsidRDefault="00F14D14" w:rsidP="00F14D14">
      <w:pPr>
        <w:rPr>
          <w:rFonts w:cs="Arial"/>
        </w:rPr>
      </w:pPr>
    </w:p>
    <w:p w:rsidR="00F14D14" w:rsidRPr="009D2776" w:rsidRDefault="00F14D14" w:rsidP="00F14D14">
      <w:pPr>
        <w:rPr>
          <w:rFonts w:cs="Arial"/>
        </w:rPr>
      </w:pPr>
    </w:p>
    <w:tbl>
      <w:tblPr>
        <w:tblW w:w="5000" w:type="pct"/>
        <w:tblBorders>
          <w:bottom w:val="single" w:sz="4" w:space="0" w:color="auto"/>
        </w:tblBorders>
        <w:shd w:val="clear" w:color="auto" w:fill="D9D9D9" w:themeFill="background1" w:themeFillShade="D9"/>
        <w:tblLayout w:type="fixed"/>
        <w:tblCellMar>
          <w:top w:w="57" w:type="dxa"/>
          <w:left w:w="0" w:type="dxa"/>
          <w:bottom w:w="57" w:type="dxa"/>
          <w:right w:w="0" w:type="dxa"/>
        </w:tblCellMar>
        <w:tblLook w:val="0000" w:firstRow="0" w:lastRow="0" w:firstColumn="0" w:lastColumn="0" w:noHBand="0" w:noVBand="0"/>
      </w:tblPr>
      <w:tblGrid>
        <w:gridCol w:w="9629"/>
      </w:tblGrid>
      <w:tr w:rsidR="00F14D14" w:rsidRPr="009D2776" w:rsidTr="0094624A">
        <w:tc>
          <w:tcPr>
            <w:tcW w:w="964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F14D14" w:rsidRPr="009D2776" w:rsidRDefault="00F14D14" w:rsidP="0094624A">
            <w:pPr>
              <w:jc w:val="center"/>
              <w:rPr>
                <w:rFonts w:cs="Arial"/>
                <w:b/>
              </w:rPr>
            </w:pPr>
            <w:r w:rsidRPr="009D2776">
              <w:rPr>
                <w:rFonts w:cs="Arial"/>
                <w:b/>
              </w:rPr>
              <w:t>ENTWURF</w:t>
            </w:r>
          </w:p>
          <w:p w:rsidR="00F14D14" w:rsidRPr="009D2776" w:rsidRDefault="00F14D14" w:rsidP="0094624A">
            <w:pPr>
              <w:jc w:val="center"/>
              <w:rPr>
                <w:rFonts w:cs="Arial"/>
              </w:rPr>
            </w:pPr>
            <w:r w:rsidRPr="009D2776">
              <w:rPr>
                <w:rFonts w:cs="Arial"/>
                <w:b/>
              </w:rPr>
              <w:t>(ÜBERARBEITUNG)</w:t>
            </w:r>
          </w:p>
        </w:tc>
      </w:tr>
    </w:tbl>
    <w:p w:rsidR="00C97B91" w:rsidRPr="009D2776" w:rsidRDefault="00C97B91" w:rsidP="0094624A">
      <w:pPr>
        <w:pStyle w:val="TitleofDoc"/>
        <w:rPr>
          <w:rFonts w:cs="Arial"/>
        </w:rPr>
      </w:pPr>
    </w:p>
    <w:p w:rsidR="00C97B91" w:rsidRPr="009D2776" w:rsidRDefault="00C97B91" w:rsidP="0094624A">
      <w:pPr>
        <w:pStyle w:val="TitleofDoc"/>
        <w:rPr>
          <w:rFonts w:cs="Arial"/>
        </w:rPr>
      </w:pPr>
    </w:p>
    <w:p w:rsidR="00C97B91" w:rsidRPr="009D2776" w:rsidRDefault="00C97B91" w:rsidP="0094624A">
      <w:pPr>
        <w:pStyle w:val="TitleofDoc"/>
        <w:rPr>
          <w:rFonts w:cs="Arial"/>
        </w:rPr>
      </w:pPr>
    </w:p>
    <w:p w:rsidR="0094624A" w:rsidRPr="009D2776" w:rsidRDefault="0094624A" w:rsidP="0094624A">
      <w:pPr>
        <w:pStyle w:val="TitleofDoc"/>
        <w:rPr>
          <w:rFonts w:cs="Arial"/>
        </w:rPr>
      </w:pPr>
      <w:r w:rsidRPr="009D2776">
        <w:rPr>
          <w:rFonts w:cs="Arial"/>
        </w:rPr>
        <w:t>Verbundenes Dokument</w:t>
      </w:r>
      <w:r w:rsidR="00C97B91" w:rsidRPr="009D2776">
        <w:rPr>
          <w:rFonts w:cs="Arial"/>
        </w:rPr>
        <w:t xml:space="preserve"> </w:t>
      </w:r>
      <w:r w:rsidRPr="009D2776">
        <w:rPr>
          <w:rFonts w:cs="Arial"/>
        </w:rPr>
        <w:t>zur</w:t>
      </w:r>
    </w:p>
    <w:p w:rsidR="00C97B91" w:rsidRPr="009D2776" w:rsidRDefault="0094624A" w:rsidP="0094624A">
      <w:pPr>
        <w:pStyle w:val="TitleofDoc"/>
        <w:rPr>
          <w:rFonts w:cs="Arial"/>
        </w:rPr>
      </w:pPr>
      <w:r w:rsidRPr="009D2776">
        <w:rPr>
          <w:rFonts w:cs="Arial"/>
        </w:rPr>
        <w:t>Allgemeinen Einführung zur Prüfung auf</w:t>
      </w:r>
      <w:r w:rsidR="00C97B91" w:rsidRPr="009D2776">
        <w:rPr>
          <w:rFonts w:cs="Arial"/>
        </w:rPr>
        <w:t xml:space="preserve"> </w:t>
      </w:r>
      <w:r w:rsidRPr="009D2776">
        <w:rPr>
          <w:rFonts w:cs="Arial"/>
        </w:rPr>
        <w:t xml:space="preserve">Unterscheidbarkeit, Homogenität und Beständigkeit </w:t>
      </w:r>
    </w:p>
    <w:p w:rsidR="0094624A" w:rsidRPr="009D2776" w:rsidRDefault="0094624A" w:rsidP="0094624A">
      <w:pPr>
        <w:pStyle w:val="TitleofDoc"/>
        <w:rPr>
          <w:rFonts w:cs="Arial"/>
        </w:rPr>
      </w:pPr>
      <w:r w:rsidRPr="009D2776">
        <w:rPr>
          <w:rFonts w:cs="Arial"/>
        </w:rPr>
        <w:t>und zur</w:t>
      </w:r>
      <w:r w:rsidR="00C97B91" w:rsidRPr="009D2776">
        <w:rPr>
          <w:rFonts w:cs="Arial"/>
        </w:rPr>
        <w:t xml:space="preserve"> </w:t>
      </w:r>
      <w:r w:rsidRPr="009D2776">
        <w:rPr>
          <w:rFonts w:cs="Arial"/>
        </w:rPr>
        <w:t>Erarbeitung harmonisierter Beschreibungen von neuen Pflanzensorten (Dokument TG/1/3)</w:t>
      </w:r>
    </w:p>
    <w:p w:rsidR="00F14D14" w:rsidRPr="009D2776" w:rsidRDefault="00930A12" w:rsidP="00930A12">
      <w:pPr>
        <w:pStyle w:val="Titleofdoc0"/>
        <w:rPr>
          <w:rFonts w:ascii="Arial" w:hAnsi="Arial" w:cs="Arial"/>
        </w:rPr>
      </w:pPr>
      <w:r w:rsidRPr="009D2776">
        <w:rPr>
          <w:rFonts w:ascii="Arial" w:hAnsi="Arial" w:cs="Arial"/>
        </w:rPr>
        <w:t>Dokument TGP/</w:t>
      </w:r>
      <w:r w:rsidR="00EC713D" w:rsidRPr="009D2776">
        <w:rPr>
          <w:rFonts w:ascii="Arial" w:hAnsi="Arial" w:cs="Arial"/>
        </w:rPr>
        <w:t>10</w:t>
      </w:r>
      <w:r w:rsidRPr="009D2776">
        <w:rPr>
          <w:rFonts w:ascii="Arial" w:hAnsi="Arial" w:cs="Arial"/>
        </w:rPr>
        <w:br/>
      </w:r>
      <w:r w:rsidRPr="009D2776">
        <w:rPr>
          <w:rFonts w:ascii="Arial" w:hAnsi="Arial" w:cs="Arial"/>
        </w:rPr>
        <w:br/>
      </w:r>
      <w:r w:rsidR="00EC713D" w:rsidRPr="009D2776">
        <w:rPr>
          <w:rFonts w:ascii="Arial" w:hAnsi="Arial" w:cs="Arial"/>
        </w:rPr>
        <w:t>PRÜFUNG DER HOMOGENITÄT</w:t>
      </w:r>
    </w:p>
    <w:p w:rsidR="00F14D14" w:rsidRPr="009D2776" w:rsidRDefault="00F14D14" w:rsidP="00F14D14">
      <w:pPr>
        <w:pStyle w:val="preparedby1"/>
        <w:jc w:val="left"/>
        <w:rPr>
          <w:rFonts w:cs="Arial"/>
        </w:rPr>
      </w:pPr>
      <w:r w:rsidRPr="009D2776">
        <w:rPr>
          <w:rFonts w:cs="Arial"/>
        </w:rPr>
        <w:t>vom Verbandsbüro erstelltes Dokument</w:t>
      </w:r>
    </w:p>
    <w:p w:rsidR="00EC713D" w:rsidRPr="009D2776" w:rsidRDefault="00F14D14" w:rsidP="00F17B50">
      <w:pPr>
        <w:pStyle w:val="preparedby1"/>
        <w:jc w:val="left"/>
        <w:rPr>
          <w:rFonts w:cs="Arial"/>
        </w:rPr>
      </w:pPr>
      <w:r w:rsidRPr="009D2776">
        <w:rPr>
          <w:rFonts w:cs="Arial"/>
        </w:rPr>
        <w:t xml:space="preserve">zu prüfen </w:t>
      </w:r>
    </w:p>
    <w:p w:rsidR="00F17B50" w:rsidRPr="009D2776" w:rsidRDefault="00F17B50" w:rsidP="00F17B50">
      <w:pPr>
        <w:pStyle w:val="preparedby1"/>
        <w:jc w:val="left"/>
        <w:rPr>
          <w:rFonts w:cs="Arial"/>
        </w:rPr>
      </w:pPr>
      <w:r w:rsidRPr="009D2776">
        <w:rPr>
          <w:rFonts w:cs="Arial"/>
        </w:rPr>
        <w:t xml:space="preserve">vom </w:t>
      </w:r>
      <w:r w:rsidR="00EC713D" w:rsidRPr="009D2776">
        <w:rPr>
          <w:rFonts w:cs="Arial"/>
        </w:rPr>
        <w:t>Technischen Ausschuss</w:t>
      </w:r>
      <w:r w:rsidRPr="009D2776">
        <w:rPr>
          <w:rFonts w:cs="Arial"/>
        </w:rPr>
        <w:t xml:space="preserve"> auf seiner </w:t>
      </w:r>
      <w:r w:rsidR="00EC713D" w:rsidRPr="009D2776">
        <w:rPr>
          <w:rFonts w:cs="Arial"/>
        </w:rPr>
        <w:t xml:space="preserve">fünfundfünfzigsten </w:t>
      </w:r>
      <w:r w:rsidRPr="009D2776">
        <w:rPr>
          <w:rFonts w:cs="Arial"/>
        </w:rPr>
        <w:t>Tagung</w:t>
      </w:r>
      <w:r w:rsidRPr="009D2776">
        <w:rPr>
          <w:rFonts w:cs="Arial"/>
        </w:rPr>
        <w:br/>
        <w:t xml:space="preserve">am </w:t>
      </w:r>
      <w:r w:rsidR="00EC713D" w:rsidRPr="009D2776">
        <w:rPr>
          <w:rFonts w:cs="Arial"/>
        </w:rPr>
        <w:t xml:space="preserve">28. und 29. Oktober 2019 </w:t>
      </w:r>
      <w:r w:rsidRPr="009D2776">
        <w:rPr>
          <w:rFonts w:cs="Arial"/>
        </w:rPr>
        <w:t>in Genf</w:t>
      </w:r>
      <w:r w:rsidR="00EC713D" w:rsidRPr="009D2776">
        <w:rPr>
          <w:rFonts w:cs="Arial"/>
        </w:rPr>
        <w:t>,</w:t>
      </w:r>
    </w:p>
    <w:p w:rsidR="00EC713D" w:rsidRPr="009D2776" w:rsidRDefault="00EC713D" w:rsidP="00F17B50">
      <w:pPr>
        <w:pStyle w:val="preparedby1"/>
        <w:jc w:val="left"/>
        <w:rPr>
          <w:rFonts w:cs="Arial"/>
        </w:rPr>
      </w:pPr>
      <w:r w:rsidRPr="009D2776">
        <w:rPr>
          <w:rFonts w:cs="Arial"/>
        </w:rPr>
        <w:t>vom Verwaltungs- und Rechtsausschuss auf seiner sechsundsiebzigsten Tagung</w:t>
      </w:r>
      <w:r w:rsidRPr="009D2776">
        <w:rPr>
          <w:rFonts w:cs="Arial"/>
        </w:rPr>
        <w:br/>
        <w:t>am 30. Oktober 2019 in Genf</w:t>
      </w:r>
    </w:p>
    <w:p w:rsidR="00EC713D" w:rsidRPr="009D2776" w:rsidRDefault="00EC713D" w:rsidP="00F17B50">
      <w:pPr>
        <w:pStyle w:val="preparedby1"/>
        <w:jc w:val="left"/>
        <w:rPr>
          <w:rFonts w:cs="Arial"/>
        </w:rPr>
      </w:pPr>
      <w:r w:rsidRPr="009D2776">
        <w:rPr>
          <w:rFonts w:cs="Arial"/>
        </w:rPr>
        <w:t>und</w:t>
      </w:r>
    </w:p>
    <w:p w:rsidR="00EC713D" w:rsidRPr="009D2776" w:rsidRDefault="00EC713D" w:rsidP="00F17B50">
      <w:pPr>
        <w:pStyle w:val="preparedby1"/>
        <w:jc w:val="left"/>
        <w:rPr>
          <w:rFonts w:cs="Arial"/>
        </w:rPr>
      </w:pPr>
      <w:r w:rsidRPr="009D2776">
        <w:rPr>
          <w:rFonts w:cs="Arial"/>
        </w:rPr>
        <w:t>vom Rat auf seiner dreiundfünfzigsten ordentlichen Tagung</w:t>
      </w:r>
      <w:r w:rsidRPr="009D2776">
        <w:rPr>
          <w:rFonts w:cs="Arial"/>
        </w:rPr>
        <w:br/>
        <w:t>am 1. November 2019 in Genf</w:t>
      </w:r>
    </w:p>
    <w:p w:rsidR="00F14D14" w:rsidRPr="009D2776" w:rsidRDefault="00F14D14" w:rsidP="00F14D14">
      <w:pPr>
        <w:pStyle w:val="Disclaimer"/>
        <w:rPr>
          <w:rFonts w:cs="Arial"/>
        </w:rPr>
      </w:pPr>
      <w:r w:rsidRPr="009D2776">
        <w:rPr>
          <w:rFonts w:cs="Arial"/>
        </w:rPr>
        <w:t>Haftungsausschluss: dieses Dokument gibt nicht die Grundsätze oder eine Anleitung der UPOV wieder</w:t>
      </w:r>
    </w:p>
    <w:p w:rsidR="00F14D14" w:rsidRPr="009D2776" w:rsidRDefault="00F14D14" w:rsidP="00F14D14">
      <w:pPr>
        <w:rPr>
          <w:rFonts w:cs="Arial"/>
        </w:rPr>
      </w:pPr>
    </w:p>
    <w:p w:rsidR="00D70798" w:rsidRPr="009D2776" w:rsidRDefault="00D70798">
      <w:pPr>
        <w:jc w:val="left"/>
        <w:rPr>
          <w:rFonts w:cs="Arial"/>
        </w:rPr>
      </w:pPr>
    </w:p>
    <w:p w:rsidR="000E2B2C" w:rsidRPr="009D2776" w:rsidRDefault="00D70798" w:rsidP="000E2B2C">
      <w:pPr>
        <w:tabs>
          <w:tab w:val="right" w:pos="9639"/>
        </w:tabs>
        <w:spacing w:after="240"/>
        <w:jc w:val="left"/>
        <w:rPr>
          <w:rFonts w:cs="Arial"/>
          <w:u w:val="single"/>
        </w:rPr>
      </w:pPr>
      <w:r w:rsidRPr="009D2776">
        <w:rPr>
          <w:rFonts w:cs="Arial"/>
        </w:rPr>
        <w:br w:type="page"/>
      </w:r>
      <w:r w:rsidR="000E2B2C" w:rsidRPr="009D2776">
        <w:rPr>
          <w:rFonts w:cs="Arial"/>
          <w:u w:val="single"/>
        </w:rPr>
        <w:lastRenderedPageBreak/>
        <w:t>INHALTSVERZEICHNIS</w:t>
      </w:r>
      <w:r w:rsidR="000E2B2C" w:rsidRPr="009D2776">
        <w:rPr>
          <w:rFonts w:cs="Arial"/>
        </w:rPr>
        <w:tab/>
      </w:r>
      <w:r w:rsidR="000E2B2C" w:rsidRPr="009D2776">
        <w:rPr>
          <w:rFonts w:cs="Arial"/>
          <w:u w:val="single"/>
        </w:rPr>
        <w:t>SEITE</w:t>
      </w:r>
    </w:p>
    <w:p w:rsidR="005E1757" w:rsidRDefault="000E2B2C">
      <w:pPr>
        <w:pStyle w:val="TOC1"/>
        <w:rPr>
          <w:rFonts w:asciiTheme="minorHAnsi" w:eastAsiaTheme="minorEastAsia" w:hAnsiTheme="minorHAnsi" w:cstheme="minorBidi"/>
          <w:b w:val="0"/>
          <w:caps w:val="0"/>
          <w:sz w:val="22"/>
          <w:szCs w:val="22"/>
        </w:rPr>
      </w:pPr>
      <w:r w:rsidRPr="009D2776">
        <w:rPr>
          <w:rFonts w:cs="Arial"/>
        </w:rPr>
        <w:fldChar w:fldCharType="begin"/>
      </w:r>
      <w:r w:rsidRPr="009D2776">
        <w:rPr>
          <w:rFonts w:cs="Arial"/>
        </w:rPr>
        <w:instrText xml:space="preserve"> TOC \o "1-3" \h \z \u </w:instrText>
      </w:r>
      <w:r w:rsidRPr="009D2776">
        <w:rPr>
          <w:rFonts w:cs="Arial"/>
        </w:rPr>
        <w:fldChar w:fldCharType="separate"/>
      </w:r>
      <w:hyperlink w:anchor="_Toc15561033" w:history="1">
        <w:r w:rsidR="005E1757" w:rsidRPr="0080086B">
          <w:rPr>
            <w:rStyle w:val="Hyperlink"/>
            <w:rFonts w:cs="Arial"/>
          </w:rPr>
          <w:t>ABSCHNITT 1:</w:t>
        </w:r>
        <w:r w:rsidR="005E1757">
          <w:rPr>
            <w:rFonts w:asciiTheme="minorHAnsi" w:eastAsiaTheme="minorEastAsia" w:hAnsiTheme="minorHAnsi" w:cstheme="minorBidi"/>
            <w:b w:val="0"/>
            <w:caps w:val="0"/>
            <w:sz w:val="22"/>
            <w:szCs w:val="22"/>
          </w:rPr>
          <w:tab/>
        </w:r>
        <w:r w:rsidR="005E1757" w:rsidRPr="0080086B">
          <w:rPr>
            <w:rStyle w:val="Hyperlink"/>
            <w:rFonts w:cs="Arial"/>
          </w:rPr>
          <w:t>EINLEITUNG</w:t>
        </w:r>
        <w:r w:rsidR="005E1757">
          <w:rPr>
            <w:webHidden/>
          </w:rPr>
          <w:tab/>
        </w:r>
        <w:r w:rsidR="005E1757">
          <w:rPr>
            <w:webHidden/>
          </w:rPr>
          <w:fldChar w:fldCharType="begin"/>
        </w:r>
        <w:r w:rsidR="005E1757">
          <w:rPr>
            <w:webHidden/>
          </w:rPr>
          <w:instrText xml:space="preserve"> PAGEREF _Toc15561033 \h </w:instrText>
        </w:r>
        <w:r w:rsidR="005E1757">
          <w:rPr>
            <w:webHidden/>
          </w:rPr>
        </w:r>
        <w:r w:rsidR="005E1757">
          <w:rPr>
            <w:webHidden/>
          </w:rPr>
          <w:fldChar w:fldCharType="separate"/>
        </w:r>
        <w:r w:rsidR="005E1757">
          <w:rPr>
            <w:webHidden/>
          </w:rPr>
          <w:t>3</w:t>
        </w:r>
        <w:r w:rsidR="005E1757">
          <w:rPr>
            <w:webHidden/>
          </w:rPr>
          <w:fldChar w:fldCharType="end"/>
        </w:r>
      </w:hyperlink>
    </w:p>
    <w:p w:rsidR="005E1757" w:rsidRDefault="005E1757">
      <w:pPr>
        <w:pStyle w:val="TOC1"/>
        <w:rPr>
          <w:rFonts w:asciiTheme="minorHAnsi" w:eastAsiaTheme="minorEastAsia" w:hAnsiTheme="minorHAnsi" w:cstheme="minorBidi"/>
          <w:b w:val="0"/>
          <w:caps w:val="0"/>
          <w:sz w:val="22"/>
          <w:szCs w:val="22"/>
        </w:rPr>
      </w:pPr>
      <w:hyperlink w:anchor="_Toc15561034" w:history="1">
        <w:r w:rsidRPr="0080086B">
          <w:rPr>
            <w:rStyle w:val="Hyperlink"/>
            <w:rFonts w:cs="Arial"/>
          </w:rPr>
          <w:t>abschnitt 2:</w:t>
        </w:r>
        <w:r>
          <w:rPr>
            <w:rFonts w:asciiTheme="minorHAnsi" w:eastAsiaTheme="minorEastAsia" w:hAnsiTheme="minorHAnsi" w:cstheme="minorBidi"/>
            <w:b w:val="0"/>
            <w:caps w:val="0"/>
            <w:sz w:val="22"/>
            <w:szCs w:val="22"/>
          </w:rPr>
          <w:tab/>
        </w:r>
        <w:r w:rsidRPr="0080086B">
          <w:rPr>
            <w:rStyle w:val="Hyperlink"/>
            <w:rFonts w:cs="Arial"/>
          </w:rPr>
          <w:t>Variation in DER AUSPRÄGUNG DER MERKMALE INNERHALB VON SORTEN</w:t>
        </w:r>
        <w:r>
          <w:rPr>
            <w:webHidden/>
          </w:rPr>
          <w:tab/>
        </w:r>
        <w:r>
          <w:rPr>
            <w:webHidden/>
          </w:rPr>
          <w:fldChar w:fldCharType="begin"/>
        </w:r>
        <w:r>
          <w:rPr>
            <w:webHidden/>
          </w:rPr>
          <w:instrText xml:space="preserve"> PAGEREF _Toc15561034 \h </w:instrText>
        </w:r>
        <w:r>
          <w:rPr>
            <w:webHidden/>
          </w:rPr>
        </w:r>
        <w:r>
          <w:rPr>
            <w:webHidden/>
          </w:rPr>
          <w:fldChar w:fldCharType="separate"/>
        </w:r>
        <w:r>
          <w:rPr>
            <w:webHidden/>
          </w:rPr>
          <w:t>4</w:t>
        </w:r>
        <w:r>
          <w:rPr>
            <w:webHidden/>
          </w:rPr>
          <w:fldChar w:fldCharType="end"/>
        </w:r>
      </w:hyperlink>
    </w:p>
    <w:p w:rsidR="005E1757" w:rsidRDefault="005E1757">
      <w:pPr>
        <w:pStyle w:val="TOC2"/>
        <w:rPr>
          <w:rFonts w:asciiTheme="minorHAnsi" w:eastAsiaTheme="minorEastAsia" w:hAnsiTheme="minorHAnsi" w:cstheme="minorBidi"/>
          <w:smallCaps w:val="0"/>
          <w:sz w:val="22"/>
          <w:szCs w:val="22"/>
        </w:rPr>
      </w:pPr>
      <w:hyperlink w:anchor="_Toc15561035" w:history="1">
        <w:r w:rsidRPr="0080086B">
          <w:rPr>
            <w:rStyle w:val="Hyperlink"/>
            <w:rFonts w:cs="Arial"/>
            <w:lang w:val="de-DE"/>
          </w:rPr>
          <w:t>2.1</w:t>
        </w:r>
        <w:r>
          <w:rPr>
            <w:rFonts w:asciiTheme="minorHAnsi" w:eastAsiaTheme="minorEastAsia" w:hAnsiTheme="minorHAnsi" w:cstheme="minorBidi"/>
            <w:smallCaps w:val="0"/>
            <w:sz w:val="22"/>
            <w:szCs w:val="22"/>
          </w:rPr>
          <w:tab/>
        </w:r>
        <w:r w:rsidRPr="0080086B">
          <w:rPr>
            <w:rStyle w:val="Hyperlink"/>
            <w:rFonts w:cs="Arial"/>
            <w:lang w:val="de-DE"/>
          </w:rPr>
          <w:t>Einleitung</w:t>
        </w:r>
        <w:r>
          <w:rPr>
            <w:webHidden/>
          </w:rPr>
          <w:tab/>
        </w:r>
        <w:r>
          <w:rPr>
            <w:webHidden/>
          </w:rPr>
          <w:fldChar w:fldCharType="begin"/>
        </w:r>
        <w:r>
          <w:rPr>
            <w:webHidden/>
          </w:rPr>
          <w:instrText xml:space="preserve"> PAGEREF _Toc15561035 \h </w:instrText>
        </w:r>
        <w:r>
          <w:rPr>
            <w:webHidden/>
          </w:rPr>
        </w:r>
        <w:r>
          <w:rPr>
            <w:webHidden/>
          </w:rPr>
          <w:fldChar w:fldCharType="separate"/>
        </w:r>
        <w:r>
          <w:rPr>
            <w:webHidden/>
          </w:rPr>
          <w:t>4</w:t>
        </w:r>
        <w:r>
          <w:rPr>
            <w:webHidden/>
          </w:rPr>
          <w:fldChar w:fldCharType="end"/>
        </w:r>
      </w:hyperlink>
    </w:p>
    <w:p w:rsidR="005E1757" w:rsidRDefault="005E1757">
      <w:pPr>
        <w:pStyle w:val="TOC2"/>
        <w:rPr>
          <w:rFonts w:asciiTheme="minorHAnsi" w:eastAsiaTheme="minorEastAsia" w:hAnsiTheme="minorHAnsi" w:cstheme="minorBidi"/>
          <w:smallCaps w:val="0"/>
          <w:sz w:val="22"/>
          <w:szCs w:val="22"/>
        </w:rPr>
      </w:pPr>
      <w:hyperlink w:anchor="_Toc15561036" w:history="1">
        <w:r w:rsidRPr="0080086B">
          <w:rPr>
            <w:rStyle w:val="Hyperlink"/>
            <w:rFonts w:cs="Arial"/>
            <w:lang w:val="de-DE"/>
          </w:rPr>
          <w:t>2.2</w:t>
        </w:r>
        <w:r>
          <w:rPr>
            <w:rFonts w:asciiTheme="minorHAnsi" w:eastAsiaTheme="minorEastAsia" w:hAnsiTheme="minorHAnsi" w:cstheme="minorBidi"/>
            <w:smallCaps w:val="0"/>
            <w:sz w:val="22"/>
            <w:szCs w:val="22"/>
          </w:rPr>
          <w:tab/>
        </w:r>
        <w:r w:rsidRPr="0080086B">
          <w:rPr>
            <w:rStyle w:val="Hyperlink"/>
            <w:rFonts w:cs="Arial"/>
            <w:lang w:val="de-DE"/>
          </w:rPr>
          <w:t>Ausprägungstyp des Merkmals</w:t>
        </w:r>
        <w:r>
          <w:rPr>
            <w:webHidden/>
          </w:rPr>
          <w:tab/>
        </w:r>
        <w:r>
          <w:rPr>
            <w:webHidden/>
          </w:rPr>
          <w:fldChar w:fldCharType="begin"/>
        </w:r>
        <w:r>
          <w:rPr>
            <w:webHidden/>
          </w:rPr>
          <w:instrText xml:space="preserve"> PAGEREF _Toc15561036 \h </w:instrText>
        </w:r>
        <w:r>
          <w:rPr>
            <w:webHidden/>
          </w:rPr>
        </w:r>
        <w:r>
          <w:rPr>
            <w:webHidden/>
          </w:rPr>
          <w:fldChar w:fldCharType="separate"/>
        </w:r>
        <w:r>
          <w:rPr>
            <w:webHidden/>
          </w:rPr>
          <w:t>4</w:t>
        </w:r>
        <w:r>
          <w:rPr>
            <w:webHidden/>
          </w:rPr>
          <w:fldChar w:fldCharType="end"/>
        </w:r>
      </w:hyperlink>
    </w:p>
    <w:p w:rsidR="005E1757" w:rsidRDefault="005E1757">
      <w:pPr>
        <w:pStyle w:val="TOC2"/>
        <w:rPr>
          <w:rFonts w:asciiTheme="minorHAnsi" w:eastAsiaTheme="minorEastAsia" w:hAnsiTheme="minorHAnsi" w:cstheme="minorBidi"/>
          <w:smallCaps w:val="0"/>
          <w:sz w:val="22"/>
          <w:szCs w:val="22"/>
        </w:rPr>
      </w:pPr>
      <w:hyperlink w:anchor="_Toc15561037" w:history="1">
        <w:r w:rsidRPr="0080086B">
          <w:rPr>
            <w:rStyle w:val="Hyperlink"/>
            <w:rFonts w:cs="Arial"/>
            <w:lang w:val="de-DE"/>
          </w:rPr>
          <w:t>2.3</w:t>
        </w:r>
        <w:r>
          <w:rPr>
            <w:rFonts w:asciiTheme="minorHAnsi" w:eastAsiaTheme="minorEastAsia" w:hAnsiTheme="minorHAnsi" w:cstheme="minorBidi"/>
            <w:smallCaps w:val="0"/>
            <w:sz w:val="22"/>
            <w:szCs w:val="22"/>
          </w:rPr>
          <w:tab/>
        </w:r>
        <w:r w:rsidRPr="0080086B">
          <w:rPr>
            <w:rStyle w:val="Hyperlink"/>
            <w:rFonts w:cs="Arial"/>
            <w:lang w:val="de-DE"/>
          </w:rPr>
          <w:t>Besonderheiten der Vermehrung der Sorte</w:t>
        </w:r>
        <w:r>
          <w:rPr>
            <w:webHidden/>
          </w:rPr>
          <w:tab/>
        </w:r>
        <w:r>
          <w:rPr>
            <w:webHidden/>
          </w:rPr>
          <w:fldChar w:fldCharType="begin"/>
        </w:r>
        <w:r>
          <w:rPr>
            <w:webHidden/>
          </w:rPr>
          <w:instrText xml:space="preserve"> PAGEREF _Toc15561037 \h </w:instrText>
        </w:r>
        <w:r>
          <w:rPr>
            <w:webHidden/>
          </w:rPr>
        </w:r>
        <w:r>
          <w:rPr>
            <w:webHidden/>
          </w:rPr>
          <w:fldChar w:fldCharType="separate"/>
        </w:r>
        <w:r>
          <w:rPr>
            <w:webHidden/>
          </w:rPr>
          <w:t>4</w:t>
        </w:r>
        <w:r>
          <w:rPr>
            <w:webHidden/>
          </w:rPr>
          <w:fldChar w:fldCharType="end"/>
        </w:r>
      </w:hyperlink>
    </w:p>
    <w:p w:rsidR="005E1757" w:rsidRDefault="005E1757">
      <w:pPr>
        <w:pStyle w:val="TOC2"/>
        <w:rPr>
          <w:rFonts w:asciiTheme="minorHAnsi" w:eastAsiaTheme="minorEastAsia" w:hAnsiTheme="minorHAnsi" w:cstheme="minorBidi"/>
          <w:smallCaps w:val="0"/>
          <w:sz w:val="22"/>
          <w:szCs w:val="22"/>
        </w:rPr>
      </w:pPr>
      <w:hyperlink w:anchor="_Toc15561038" w:history="1">
        <w:r w:rsidRPr="0080086B">
          <w:rPr>
            <w:rStyle w:val="Hyperlink"/>
            <w:rFonts w:cs="Arial"/>
            <w:lang w:val="de-DE"/>
          </w:rPr>
          <w:t>2.4</w:t>
        </w:r>
        <w:r>
          <w:rPr>
            <w:rFonts w:asciiTheme="minorHAnsi" w:eastAsiaTheme="minorEastAsia" w:hAnsiTheme="minorHAnsi" w:cstheme="minorBidi"/>
            <w:smallCaps w:val="0"/>
            <w:sz w:val="22"/>
            <w:szCs w:val="22"/>
          </w:rPr>
          <w:tab/>
        </w:r>
        <w:r w:rsidRPr="0080086B">
          <w:rPr>
            <w:rStyle w:val="Hyperlink"/>
            <w:rFonts w:cs="Arial"/>
            <w:lang w:val="de-DE"/>
          </w:rPr>
          <w:t>Aufspaltende Merkmale</w:t>
        </w:r>
        <w:r>
          <w:rPr>
            <w:webHidden/>
          </w:rPr>
          <w:tab/>
        </w:r>
        <w:r>
          <w:rPr>
            <w:webHidden/>
          </w:rPr>
          <w:fldChar w:fldCharType="begin"/>
        </w:r>
        <w:r>
          <w:rPr>
            <w:webHidden/>
          </w:rPr>
          <w:instrText xml:space="preserve"> PAGEREF _Toc15561038 \h </w:instrText>
        </w:r>
        <w:r>
          <w:rPr>
            <w:webHidden/>
          </w:rPr>
        </w:r>
        <w:r>
          <w:rPr>
            <w:webHidden/>
          </w:rPr>
          <w:fldChar w:fldCharType="separate"/>
        </w:r>
        <w:r>
          <w:rPr>
            <w:webHidden/>
          </w:rPr>
          <w:t>5</w:t>
        </w:r>
        <w:r>
          <w:rPr>
            <w:webHidden/>
          </w:rPr>
          <w:fldChar w:fldCharType="end"/>
        </w:r>
      </w:hyperlink>
    </w:p>
    <w:p w:rsidR="005E1757" w:rsidRDefault="005E1757">
      <w:pPr>
        <w:pStyle w:val="TOC2"/>
        <w:rPr>
          <w:rFonts w:asciiTheme="minorHAnsi" w:eastAsiaTheme="minorEastAsia" w:hAnsiTheme="minorHAnsi" w:cstheme="minorBidi"/>
          <w:smallCaps w:val="0"/>
          <w:sz w:val="22"/>
          <w:szCs w:val="22"/>
        </w:rPr>
      </w:pPr>
      <w:hyperlink w:anchor="_Toc15561039" w:history="1">
        <w:r w:rsidRPr="0080086B">
          <w:rPr>
            <w:rStyle w:val="Hyperlink"/>
            <w:rFonts w:cs="Arial"/>
            <w:lang w:val="de-DE"/>
          </w:rPr>
          <w:t>2.5</w:t>
        </w:r>
        <w:r>
          <w:rPr>
            <w:rFonts w:asciiTheme="minorHAnsi" w:eastAsiaTheme="minorEastAsia" w:hAnsiTheme="minorHAnsi" w:cstheme="minorBidi"/>
            <w:smallCaps w:val="0"/>
            <w:sz w:val="22"/>
            <w:szCs w:val="22"/>
          </w:rPr>
          <w:tab/>
        </w:r>
        <w:r w:rsidRPr="0080086B">
          <w:rPr>
            <w:rStyle w:val="Hyperlink"/>
            <w:rFonts w:cs="Arial"/>
            <w:lang w:val="de-DE"/>
          </w:rPr>
          <w:t>Zusammenfassung</w:t>
        </w:r>
        <w:r>
          <w:rPr>
            <w:webHidden/>
          </w:rPr>
          <w:tab/>
        </w:r>
        <w:r>
          <w:rPr>
            <w:webHidden/>
          </w:rPr>
          <w:fldChar w:fldCharType="begin"/>
        </w:r>
        <w:r>
          <w:rPr>
            <w:webHidden/>
          </w:rPr>
          <w:instrText xml:space="preserve"> PAGEREF _Toc15561039 \h </w:instrText>
        </w:r>
        <w:r>
          <w:rPr>
            <w:webHidden/>
          </w:rPr>
        </w:r>
        <w:r>
          <w:rPr>
            <w:webHidden/>
          </w:rPr>
          <w:fldChar w:fldCharType="separate"/>
        </w:r>
        <w:r>
          <w:rPr>
            <w:webHidden/>
          </w:rPr>
          <w:t>5</w:t>
        </w:r>
        <w:r>
          <w:rPr>
            <w:webHidden/>
          </w:rPr>
          <w:fldChar w:fldCharType="end"/>
        </w:r>
      </w:hyperlink>
    </w:p>
    <w:p w:rsidR="005E1757" w:rsidRDefault="005E1757">
      <w:pPr>
        <w:pStyle w:val="TOC1"/>
        <w:rPr>
          <w:rFonts w:asciiTheme="minorHAnsi" w:eastAsiaTheme="minorEastAsia" w:hAnsiTheme="minorHAnsi" w:cstheme="minorBidi"/>
          <w:b w:val="0"/>
          <w:caps w:val="0"/>
          <w:sz w:val="22"/>
          <w:szCs w:val="22"/>
        </w:rPr>
      </w:pPr>
      <w:hyperlink w:anchor="_Toc15561040" w:history="1">
        <w:r w:rsidRPr="0080086B">
          <w:rPr>
            <w:rStyle w:val="Hyperlink"/>
            <w:rFonts w:cs="Arial"/>
          </w:rPr>
          <w:t>ABSCHNITT 3:</w:t>
        </w:r>
        <w:r>
          <w:rPr>
            <w:rFonts w:asciiTheme="minorHAnsi" w:eastAsiaTheme="minorEastAsia" w:hAnsiTheme="minorHAnsi" w:cstheme="minorBidi"/>
            <w:b w:val="0"/>
            <w:caps w:val="0"/>
            <w:sz w:val="22"/>
            <w:szCs w:val="22"/>
          </w:rPr>
          <w:tab/>
        </w:r>
        <w:r w:rsidRPr="0080086B">
          <w:rPr>
            <w:rStyle w:val="Hyperlink"/>
            <w:rFonts w:cs="Arial"/>
          </w:rPr>
          <w:t>MethodE ZUR ERFASSUNG VON MERKMALEN</w:t>
        </w:r>
        <w:r>
          <w:rPr>
            <w:webHidden/>
          </w:rPr>
          <w:tab/>
        </w:r>
        <w:r>
          <w:rPr>
            <w:webHidden/>
          </w:rPr>
          <w:fldChar w:fldCharType="begin"/>
        </w:r>
        <w:r>
          <w:rPr>
            <w:webHidden/>
          </w:rPr>
          <w:instrText xml:space="preserve"> PAGEREF _Toc15561040 \h </w:instrText>
        </w:r>
        <w:r>
          <w:rPr>
            <w:webHidden/>
          </w:rPr>
        </w:r>
        <w:r>
          <w:rPr>
            <w:webHidden/>
          </w:rPr>
          <w:fldChar w:fldCharType="separate"/>
        </w:r>
        <w:r>
          <w:rPr>
            <w:webHidden/>
          </w:rPr>
          <w:t>7</w:t>
        </w:r>
        <w:r>
          <w:rPr>
            <w:webHidden/>
          </w:rPr>
          <w:fldChar w:fldCharType="end"/>
        </w:r>
      </w:hyperlink>
    </w:p>
    <w:p w:rsidR="005E1757" w:rsidRDefault="005E1757">
      <w:pPr>
        <w:pStyle w:val="TOC2"/>
        <w:rPr>
          <w:rFonts w:asciiTheme="minorHAnsi" w:eastAsiaTheme="minorEastAsia" w:hAnsiTheme="minorHAnsi" w:cstheme="minorBidi"/>
          <w:smallCaps w:val="0"/>
          <w:sz w:val="22"/>
          <w:szCs w:val="22"/>
        </w:rPr>
      </w:pPr>
      <w:hyperlink w:anchor="_Toc15561041" w:history="1">
        <w:r w:rsidRPr="0080086B">
          <w:rPr>
            <w:rStyle w:val="Hyperlink"/>
            <w:rFonts w:cs="Arial"/>
            <w:lang w:val="de-DE"/>
          </w:rPr>
          <w:t>3.1</w:t>
        </w:r>
        <w:r>
          <w:rPr>
            <w:rFonts w:asciiTheme="minorHAnsi" w:eastAsiaTheme="minorEastAsia" w:hAnsiTheme="minorHAnsi" w:cstheme="minorBidi"/>
            <w:smallCaps w:val="0"/>
            <w:sz w:val="22"/>
            <w:szCs w:val="22"/>
          </w:rPr>
          <w:tab/>
        </w:r>
        <w:r w:rsidRPr="0080086B">
          <w:rPr>
            <w:rStyle w:val="Hyperlink"/>
            <w:rFonts w:cs="Arial"/>
            <w:lang w:val="de-DE"/>
          </w:rPr>
          <w:t>Abweicherverfahren</w:t>
        </w:r>
        <w:r>
          <w:rPr>
            <w:webHidden/>
          </w:rPr>
          <w:tab/>
        </w:r>
        <w:r>
          <w:rPr>
            <w:webHidden/>
          </w:rPr>
          <w:fldChar w:fldCharType="begin"/>
        </w:r>
        <w:r>
          <w:rPr>
            <w:webHidden/>
          </w:rPr>
          <w:instrText xml:space="preserve"> PAGEREF _Toc15561041 \h </w:instrText>
        </w:r>
        <w:r>
          <w:rPr>
            <w:webHidden/>
          </w:rPr>
        </w:r>
        <w:r>
          <w:rPr>
            <w:webHidden/>
          </w:rPr>
          <w:fldChar w:fldCharType="separate"/>
        </w:r>
        <w:r>
          <w:rPr>
            <w:webHidden/>
          </w:rPr>
          <w:t>7</w:t>
        </w:r>
        <w:r>
          <w:rPr>
            <w:webHidden/>
          </w:rPr>
          <w:fldChar w:fldCharType="end"/>
        </w:r>
      </w:hyperlink>
    </w:p>
    <w:p w:rsidR="005E1757" w:rsidRDefault="005E1757">
      <w:pPr>
        <w:pStyle w:val="TOC2"/>
        <w:rPr>
          <w:rFonts w:asciiTheme="minorHAnsi" w:eastAsiaTheme="minorEastAsia" w:hAnsiTheme="minorHAnsi" w:cstheme="minorBidi"/>
          <w:smallCaps w:val="0"/>
          <w:sz w:val="22"/>
          <w:szCs w:val="22"/>
        </w:rPr>
      </w:pPr>
      <w:hyperlink w:anchor="_Toc15561042" w:history="1">
        <w:r w:rsidRPr="0080086B">
          <w:rPr>
            <w:rStyle w:val="Hyperlink"/>
            <w:rFonts w:cs="Arial"/>
            <w:lang w:val="de-DE"/>
          </w:rPr>
          <w:t>3.2</w:t>
        </w:r>
        <w:r>
          <w:rPr>
            <w:rFonts w:asciiTheme="minorHAnsi" w:eastAsiaTheme="minorEastAsia" w:hAnsiTheme="minorHAnsi" w:cstheme="minorBidi"/>
            <w:smallCaps w:val="0"/>
            <w:sz w:val="22"/>
            <w:szCs w:val="22"/>
          </w:rPr>
          <w:tab/>
        </w:r>
        <w:r w:rsidRPr="0080086B">
          <w:rPr>
            <w:rStyle w:val="Hyperlink"/>
            <w:rFonts w:cs="Arial"/>
            <w:lang w:val="de-DE"/>
          </w:rPr>
          <w:t>Verfahren der Standardabweichungen</w:t>
        </w:r>
        <w:r>
          <w:rPr>
            <w:webHidden/>
          </w:rPr>
          <w:tab/>
        </w:r>
        <w:r>
          <w:rPr>
            <w:webHidden/>
          </w:rPr>
          <w:fldChar w:fldCharType="begin"/>
        </w:r>
        <w:r>
          <w:rPr>
            <w:webHidden/>
          </w:rPr>
          <w:instrText xml:space="preserve"> PAGEREF _Toc15561042 \h </w:instrText>
        </w:r>
        <w:r>
          <w:rPr>
            <w:webHidden/>
          </w:rPr>
        </w:r>
        <w:r>
          <w:rPr>
            <w:webHidden/>
          </w:rPr>
          <w:fldChar w:fldCharType="separate"/>
        </w:r>
        <w:r>
          <w:rPr>
            <w:webHidden/>
          </w:rPr>
          <w:t>7</w:t>
        </w:r>
        <w:r>
          <w:rPr>
            <w:webHidden/>
          </w:rPr>
          <w:fldChar w:fldCharType="end"/>
        </w:r>
      </w:hyperlink>
    </w:p>
    <w:p w:rsidR="005E1757" w:rsidRDefault="005E1757">
      <w:pPr>
        <w:pStyle w:val="TOC1"/>
        <w:rPr>
          <w:rFonts w:asciiTheme="minorHAnsi" w:eastAsiaTheme="minorEastAsia" w:hAnsiTheme="minorHAnsi" w:cstheme="minorBidi"/>
          <w:b w:val="0"/>
          <w:caps w:val="0"/>
          <w:sz w:val="22"/>
          <w:szCs w:val="22"/>
        </w:rPr>
      </w:pPr>
      <w:hyperlink w:anchor="_Toc15561043" w:history="1">
        <w:r w:rsidRPr="0080086B">
          <w:rPr>
            <w:rStyle w:val="Hyperlink"/>
            <w:rFonts w:cs="Arial"/>
          </w:rPr>
          <w:t>ABSCHNITT 4:</w:t>
        </w:r>
        <w:r>
          <w:rPr>
            <w:rFonts w:asciiTheme="minorHAnsi" w:eastAsiaTheme="minorEastAsia" w:hAnsiTheme="minorHAnsi" w:cstheme="minorBidi"/>
            <w:b w:val="0"/>
            <w:caps w:val="0"/>
            <w:sz w:val="22"/>
            <w:szCs w:val="22"/>
          </w:rPr>
          <w:tab/>
        </w:r>
        <w:r w:rsidRPr="0080086B">
          <w:rPr>
            <w:rStyle w:val="Hyperlink"/>
            <w:rFonts w:cs="Arial"/>
            <w:spacing w:val="-2"/>
          </w:rPr>
          <w:t>PRÜFUNG DER HOMOGENITÄT mittels ABWEICHERn</w:t>
        </w:r>
        <w:r>
          <w:rPr>
            <w:webHidden/>
          </w:rPr>
          <w:tab/>
        </w:r>
        <w:r>
          <w:rPr>
            <w:webHidden/>
          </w:rPr>
          <w:fldChar w:fldCharType="begin"/>
        </w:r>
        <w:r>
          <w:rPr>
            <w:webHidden/>
          </w:rPr>
          <w:instrText xml:space="preserve"> PAGEREF _Toc15561043 \h </w:instrText>
        </w:r>
        <w:r>
          <w:rPr>
            <w:webHidden/>
          </w:rPr>
        </w:r>
        <w:r>
          <w:rPr>
            <w:webHidden/>
          </w:rPr>
          <w:fldChar w:fldCharType="separate"/>
        </w:r>
        <w:r>
          <w:rPr>
            <w:webHidden/>
          </w:rPr>
          <w:t>8</w:t>
        </w:r>
        <w:r>
          <w:rPr>
            <w:webHidden/>
          </w:rPr>
          <w:fldChar w:fldCharType="end"/>
        </w:r>
      </w:hyperlink>
    </w:p>
    <w:p w:rsidR="005E1757" w:rsidRDefault="005E1757">
      <w:pPr>
        <w:pStyle w:val="TOC2"/>
        <w:rPr>
          <w:rFonts w:asciiTheme="minorHAnsi" w:eastAsiaTheme="minorEastAsia" w:hAnsiTheme="minorHAnsi" w:cstheme="minorBidi"/>
          <w:smallCaps w:val="0"/>
          <w:sz w:val="22"/>
          <w:szCs w:val="22"/>
        </w:rPr>
      </w:pPr>
      <w:hyperlink w:anchor="_Toc15561044" w:history="1">
        <w:r w:rsidRPr="0080086B">
          <w:rPr>
            <w:rStyle w:val="Hyperlink"/>
            <w:rFonts w:cs="Arial"/>
            <w:lang w:val="de-DE"/>
          </w:rPr>
          <w:t>4.1</w:t>
        </w:r>
        <w:r>
          <w:rPr>
            <w:rFonts w:asciiTheme="minorHAnsi" w:eastAsiaTheme="minorEastAsia" w:hAnsiTheme="minorHAnsi" w:cstheme="minorBidi"/>
            <w:smallCaps w:val="0"/>
            <w:sz w:val="22"/>
            <w:szCs w:val="22"/>
          </w:rPr>
          <w:tab/>
        </w:r>
        <w:r w:rsidRPr="0080086B">
          <w:rPr>
            <w:rStyle w:val="Hyperlink"/>
            <w:rFonts w:cs="Arial"/>
            <w:lang w:val="de-DE"/>
          </w:rPr>
          <w:t>Einleitung</w:t>
        </w:r>
        <w:r>
          <w:rPr>
            <w:webHidden/>
          </w:rPr>
          <w:tab/>
        </w:r>
        <w:r>
          <w:rPr>
            <w:webHidden/>
          </w:rPr>
          <w:fldChar w:fldCharType="begin"/>
        </w:r>
        <w:r>
          <w:rPr>
            <w:webHidden/>
          </w:rPr>
          <w:instrText xml:space="preserve"> PAGEREF _Toc15561044 \h </w:instrText>
        </w:r>
        <w:r>
          <w:rPr>
            <w:webHidden/>
          </w:rPr>
        </w:r>
        <w:r>
          <w:rPr>
            <w:webHidden/>
          </w:rPr>
          <w:fldChar w:fldCharType="separate"/>
        </w:r>
        <w:r>
          <w:rPr>
            <w:webHidden/>
          </w:rPr>
          <w:t>8</w:t>
        </w:r>
        <w:r>
          <w:rPr>
            <w:webHidden/>
          </w:rPr>
          <w:fldChar w:fldCharType="end"/>
        </w:r>
      </w:hyperlink>
    </w:p>
    <w:p w:rsidR="005E1757" w:rsidRDefault="005E1757">
      <w:pPr>
        <w:pStyle w:val="TOC2"/>
        <w:rPr>
          <w:rFonts w:asciiTheme="minorHAnsi" w:eastAsiaTheme="minorEastAsia" w:hAnsiTheme="minorHAnsi" w:cstheme="minorBidi"/>
          <w:smallCaps w:val="0"/>
          <w:sz w:val="22"/>
          <w:szCs w:val="22"/>
        </w:rPr>
      </w:pPr>
      <w:hyperlink w:anchor="_Toc15561045" w:history="1">
        <w:r w:rsidRPr="0080086B">
          <w:rPr>
            <w:rStyle w:val="Hyperlink"/>
            <w:rFonts w:cs="Arial"/>
            <w:lang w:val="de-DE"/>
          </w:rPr>
          <w:t>4.2</w:t>
        </w:r>
        <w:r>
          <w:rPr>
            <w:rFonts w:asciiTheme="minorHAnsi" w:eastAsiaTheme="minorEastAsia" w:hAnsiTheme="minorHAnsi" w:cstheme="minorBidi"/>
            <w:smallCaps w:val="0"/>
            <w:sz w:val="22"/>
            <w:szCs w:val="22"/>
          </w:rPr>
          <w:tab/>
        </w:r>
        <w:r w:rsidRPr="0080086B">
          <w:rPr>
            <w:rStyle w:val="Hyperlink"/>
            <w:rFonts w:cs="Arial"/>
            <w:lang w:val="de-DE"/>
          </w:rPr>
          <w:t>Bestimmung von Abweichern durch visuelle Erfassung</w:t>
        </w:r>
        <w:r>
          <w:rPr>
            <w:webHidden/>
          </w:rPr>
          <w:tab/>
        </w:r>
        <w:r>
          <w:rPr>
            <w:webHidden/>
          </w:rPr>
          <w:fldChar w:fldCharType="begin"/>
        </w:r>
        <w:r>
          <w:rPr>
            <w:webHidden/>
          </w:rPr>
          <w:instrText xml:space="preserve"> PAGEREF _Toc15561045 \h </w:instrText>
        </w:r>
        <w:r>
          <w:rPr>
            <w:webHidden/>
          </w:rPr>
        </w:r>
        <w:r>
          <w:rPr>
            <w:webHidden/>
          </w:rPr>
          <w:fldChar w:fldCharType="separate"/>
        </w:r>
        <w:r>
          <w:rPr>
            <w:webHidden/>
          </w:rPr>
          <w:t>8</w:t>
        </w:r>
        <w:r>
          <w:rPr>
            <w:webHidden/>
          </w:rPr>
          <w:fldChar w:fldCharType="end"/>
        </w:r>
      </w:hyperlink>
    </w:p>
    <w:p w:rsidR="005E1757" w:rsidRDefault="005E1757">
      <w:pPr>
        <w:pStyle w:val="TOC3"/>
        <w:rPr>
          <w:rFonts w:asciiTheme="minorHAnsi" w:eastAsiaTheme="minorEastAsia" w:hAnsiTheme="minorHAnsi" w:cstheme="minorBidi"/>
          <w:i w:val="0"/>
          <w:sz w:val="22"/>
          <w:szCs w:val="22"/>
          <w:lang w:val="en-US"/>
        </w:rPr>
      </w:pPr>
      <w:hyperlink w:anchor="_Toc15561046" w:history="1">
        <w:r w:rsidRPr="0080086B">
          <w:rPr>
            <w:rStyle w:val="Hyperlink"/>
            <w:rFonts w:cs="Arial"/>
            <w:lang w:val="de-DE"/>
          </w:rPr>
          <w:t>4.2.1</w:t>
        </w:r>
        <w:r>
          <w:rPr>
            <w:rFonts w:asciiTheme="minorHAnsi" w:eastAsiaTheme="minorEastAsia" w:hAnsiTheme="minorHAnsi" w:cstheme="minorBidi"/>
            <w:i w:val="0"/>
            <w:sz w:val="22"/>
            <w:szCs w:val="22"/>
            <w:lang w:val="en-US"/>
          </w:rPr>
          <w:tab/>
        </w:r>
        <w:r w:rsidRPr="0080086B">
          <w:rPr>
            <w:rStyle w:val="Hyperlink"/>
            <w:rFonts w:cs="Arial"/>
            <w:lang w:val="de-DE"/>
          </w:rPr>
          <w:t>Einleitung</w:t>
        </w:r>
        <w:r>
          <w:rPr>
            <w:webHidden/>
          </w:rPr>
          <w:tab/>
        </w:r>
        <w:r>
          <w:rPr>
            <w:webHidden/>
          </w:rPr>
          <w:fldChar w:fldCharType="begin"/>
        </w:r>
        <w:r>
          <w:rPr>
            <w:webHidden/>
          </w:rPr>
          <w:instrText xml:space="preserve"> PAGEREF _Toc15561046 \h </w:instrText>
        </w:r>
        <w:r>
          <w:rPr>
            <w:webHidden/>
          </w:rPr>
        </w:r>
        <w:r>
          <w:rPr>
            <w:webHidden/>
          </w:rPr>
          <w:fldChar w:fldCharType="separate"/>
        </w:r>
        <w:r>
          <w:rPr>
            <w:webHidden/>
          </w:rPr>
          <w:t>8</w:t>
        </w:r>
        <w:r>
          <w:rPr>
            <w:webHidden/>
          </w:rPr>
          <w:fldChar w:fldCharType="end"/>
        </w:r>
      </w:hyperlink>
    </w:p>
    <w:p w:rsidR="005E1757" w:rsidRDefault="005E1757">
      <w:pPr>
        <w:pStyle w:val="TOC3"/>
        <w:rPr>
          <w:rFonts w:asciiTheme="minorHAnsi" w:eastAsiaTheme="minorEastAsia" w:hAnsiTheme="minorHAnsi" w:cstheme="minorBidi"/>
          <w:i w:val="0"/>
          <w:sz w:val="22"/>
          <w:szCs w:val="22"/>
          <w:lang w:val="en-US"/>
        </w:rPr>
      </w:pPr>
      <w:hyperlink w:anchor="_Toc15561047" w:history="1">
        <w:r w:rsidRPr="0080086B">
          <w:rPr>
            <w:rStyle w:val="Hyperlink"/>
            <w:rFonts w:cs="Arial"/>
            <w:lang w:val="de-DE"/>
          </w:rPr>
          <w:t>4.2.2</w:t>
        </w:r>
        <w:r>
          <w:rPr>
            <w:rFonts w:asciiTheme="minorHAnsi" w:eastAsiaTheme="minorEastAsia" w:hAnsiTheme="minorHAnsi" w:cstheme="minorBidi"/>
            <w:i w:val="0"/>
            <w:sz w:val="22"/>
            <w:szCs w:val="22"/>
            <w:lang w:val="en-US"/>
          </w:rPr>
          <w:tab/>
        </w:r>
        <w:r w:rsidRPr="0080086B">
          <w:rPr>
            <w:rStyle w:val="Hyperlink"/>
            <w:rFonts w:cs="Arial"/>
            <w:lang w:val="de-DE"/>
          </w:rPr>
          <w:t>Anleitung für die Bestimmung von Abweichern</w:t>
        </w:r>
        <w:r>
          <w:rPr>
            <w:webHidden/>
          </w:rPr>
          <w:tab/>
        </w:r>
        <w:r>
          <w:rPr>
            <w:webHidden/>
          </w:rPr>
          <w:fldChar w:fldCharType="begin"/>
        </w:r>
        <w:r>
          <w:rPr>
            <w:webHidden/>
          </w:rPr>
          <w:instrText xml:space="preserve"> PAGEREF _Toc15561047 \h </w:instrText>
        </w:r>
        <w:r>
          <w:rPr>
            <w:webHidden/>
          </w:rPr>
        </w:r>
        <w:r>
          <w:rPr>
            <w:webHidden/>
          </w:rPr>
          <w:fldChar w:fldCharType="separate"/>
        </w:r>
        <w:r>
          <w:rPr>
            <w:webHidden/>
          </w:rPr>
          <w:t>8</w:t>
        </w:r>
        <w:r>
          <w:rPr>
            <w:webHidden/>
          </w:rPr>
          <w:fldChar w:fldCharType="end"/>
        </w:r>
      </w:hyperlink>
    </w:p>
    <w:p w:rsidR="005E1757" w:rsidRDefault="005E1757">
      <w:pPr>
        <w:pStyle w:val="TOC3"/>
        <w:rPr>
          <w:rFonts w:asciiTheme="minorHAnsi" w:eastAsiaTheme="minorEastAsia" w:hAnsiTheme="minorHAnsi" w:cstheme="minorBidi"/>
          <w:i w:val="0"/>
          <w:sz w:val="22"/>
          <w:szCs w:val="22"/>
          <w:lang w:val="en-US"/>
        </w:rPr>
      </w:pPr>
      <w:hyperlink w:anchor="_Toc15561048" w:history="1">
        <w:r w:rsidRPr="0080086B">
          <w:rPr>
            <w:rStyle w:val="Hyperlink"/>
            <w:rFonts w:cs="Arial"/>
            <w:lang w:val="de-DE"/>
          </w:rPr>
          <w:t>4.2.3</w:t>
        </w:r>
        <w:r>
          <w:rPr>
            <w:rFonts w:asciiTheme="minorHAnsi" w:eastAsiaTheme="minorEastAsia" w:hAnsiTheme="minorHAnsi" w:cstheme="minorBidi"/>
            <w:i w:val="0"/>
            <w:sz w:val="22"/>
            <w:szCs w:val="22"/>
            <w:lang w:val="en-US"/>
          </w:rPr>
          <w:tab/>
        </w:r>
        <w:r w:rsidRPr="0080086B">
          <w:rPr>
            <w:rStyle w:val="Hyperlink"/>
            <w:rFonts w:cs="Arial"/>
            <w:lang w:val="de-DE"/>
          </w:rPr>
          <w:t>Untersuchung von Pflanzen mit atypischer Ausprägung</w:t>
        </w:r>
        <w:r>
          <w:rPr>
            <w:webHidden/>
          </w:rPr>
          <w:tab/>
        </w:r>
        <w:r>
          <w:rPr>
            <w:webHidden/>
          </w:rPr>
          <w:fldChar w:fldCharType="begin"/>
        </w:r>
        <w:r>
          <w:rPr>
            <w:webHidden/>
          </w:rPr>
          <w:instrText xml:space="preserve"> PAGEREF _Toc15561048 \h </w:instrText>
        </w:r>
        <w:r>
          <w:rPr>
            <w:webHidden/>
          </w:rPr>
        </w:r>
        <w:r>
          <w:rPr>
            <w:webHidden/>
          </w:rPr>
          <w:fldChar w:fldCharType="separate"/>
        </w:r>
        <w:r>
          <w:rPr>
            <w:webHidden/>
          </w:rPr>
          <w:t>9</w:t>
        </w:r>
        <w:r>
          <w:rPr>
            <w:webHidden/>
          </w:rPr>
          <w:fldChar w:fldCharType="end"/>
        </w:r>
      </w:hyperlink>
    </w:p>
    <w:p w:rsidR="005E1757" w:rsidRDefault="005E1757">
      <w:pPr>
        <w:pStyle w:val="TOC2"/>
        <w:rPr>
          <w:rFonts w:asciiTheme="minorHAnsi" w:eastAsiaTheme="minorEastAsia" w:hAnsiTheme="minorHAnsi" w:cstheme="minorBidi"/>
          <w:smallCaps w:val="0"/>
          <w:sz w:val="22"/>
          <w:szCs w:val="22"/>
        </w:rPr>
      </w:pPr>
      <w:hyperlink w:anchor="_Toc15561049" w:history="1">
        <w:r w:rsidRPr="0080086B">
          <w:rPr>
            <w:rStyle w:val="Hyperlink"/>
            <w:rFonts w:cs="Arial"/>
            <w:lang w:val="de-DE"/>
          </w:rPr>
          <w:t>4.3</w:t>
        </w:r>
        <w:r>
          <w:rPr>
            <w:rFonts w:asciiTheme="minorHAnsi" w:eastAsiaTheme="minorEastAsia" w:hAnsiTheme="minorHAnsi" w:cstheme="minorBidi"/>
            <w:smallCaps w:val="0"/>
            <w:sz w:val="22"/>
            <w:szCs w:val="22"/>
          </w:rPr>
          <w:tab/>
        </w:r>
        <w:r w:rsidRPr="0080086B">
          <w:rPr>
            <w:rStyle w:val="Hyperlink"/>
            <w:rFonts w:cs="Arial"/>
            <w:lang w:val="de-DE"/>
          </w:rPr>
          <w:t>Bestimmung von Abweichern mittels Messungen</w:t>
        </w:r>
        <w:r>
          <w:rPr>
            <w:webHidden/>
          </w:rPr>
          <w:tab/>
        </w:r>
        <w:r>
          <w:rPr>
            <w:webHidden/>
          </w:rPr>
          <w:fldChar w:fldCharType="begin"/>
        </w:r>
        <w:r>
          <w:rPr>
            <w:webHidden/>
          </w:rPr>
          <w:instrText xml:space="preserve"> PAGEREF _Toc15561049 \h </w:instrText>
        </w:r>
        <w:r>
          <w:rPr>
            <w:webHidden/>
          </w:rPr>
        </w:r>
        <w:r>
          <w:rPr>
            <w:webHidden/>
          </w:rPr>
          <w:fldChar w:fldCharType="separate"/>
        </w:r>
        <w:r>
          <w:rPr>
            <w:webHidden/>
          </w:rPr>
          <w:t>9</w:t>
        </w:r>
        <w:r>
          <w:rPr>
            <w:webHidden/>
          </w:rPr>
          <w:fldChar w:fldCharType="end"/>
        </w:r>
      </w:hyperlink>
    </w:p>
    <w:p w:rsidR="005E1757" w:rsidRDefault="005E1757">
      <w:pPr>
        <w:pStyle w:val="TOC2"/>
        <w:rPr>
          <w:rFonts w:asciiTheme="minorHAnsi" w:eastAsiaTheme="minorEastAsia" w:hAnsiTheme="minorHAnsi" w:cstheme="minorBidi"/>
          <w:smallCaps w:val="0"/>
          <w:sz w:val="22"/>
          <w:szCs w:val="22"/>
        </w:rPr>
      </w:pPr>
      <w:hyperlink w:anchor="_Toc15561050" w:history="1">
        <w:r w:rsidRPr="0080086B">
          <w:rPr>
            <w:rStyle w:val="Hyperlink"/>
            <w:rFonts w:cs="Arial"/>
            <w:lang w:val="de-DE"/>
          </w:rPr>
          <w:t>4.4</w:t>
        </w:r>
        <w:r>
          <w:rPr>
            <w:rFonts w:asciiTheme="minorHAnsi" w:eastAsiaTheme="minorEastAsia" w:hAnsiTheme="minorHAnsi" w:cstheme="minorBidi"/>
            <w:smallCaps w:val="0"/>
            <w:sz w:val="22"/>
            <w:szCs w:val="22"/>
          </w:rPr>
          <w:tab/>
        </w:r>
        <w:r w:rsidRPr="0080086B">
          <w:rPr>
            <w:rStyle w:val="Hyperlink"/>
            <w:rFonts w:cs="Arial"/>
            <w:lang w:val="de-DE"/>
          </w:rPr>
          <w:t>Zulässige Anzahl Abweicher</w:t>
        </w:r>
        <w:r>
          <w:rPr>
            <w:webHidden/>
          </w:rPr>
          <w:tab/>
        </w:r>
        <w:r>
          <w:rPr>
            <w:webHidden/>
          </w:rPr>
          <w:fldChar w:fldCharType="begin"/>
        </w:r>
        <w:r>
          <w:rPr>
            <w:webHidden/>
          </w:rPr>
          <w:instrText xml:space="preserve"> PAGEREF _Toc15561050 \h </w:instrText>
        </w:r>
        <w:r>
          <w:rPr>
            <w:webHidden/>
          </w:rPr>
        </w:r>
        <w:r>
          <w:rPr>
            <w:webHidden/>
          </w:rPr>
          <w:fldChar w:fldCharType="separate"/>
        </w:r>
        <w:r>
          <w:rPr>
            <w:webHidden/>
          </w:rPr>
          <w:t>9</w:t>
        </w:r>
        <w:r>
          <w:rPr>
            <w:webHidden/>
          </w:rPr>
          <w:fldChar w:fldCharType="end"/>
        </w:r>
      </w:hyperlink>
    </w:p>
    <w:p w:rsidR="005E1757" w:rsidRDefault="005E1757">
      <w:pPr>
        <w:pStyle w:val="TOC3"/>
        <w:rPr>
          <w:rFonts w:asciiTheme="minorHAnsi" w:eastAsiaTheme="minorEastAsia" w:hAnsiTheme="minorHAnsi" w:cstheme="minorBidi"/>
          <w:i w:val="0"/>
          <w:sz w:val="22"/>
          <w:szCs w:val="22"/>
          <w:lang w:val="en-US"/>
        </w:rPr>
      </w:pPr>
      <w:hyperlink w:anchor="_Toc15561051" w:history="1">
        <w:r w:rsidRPr="0080086B">
          <w:rPr>
            <w:rStyle w:val="Hyperlink"/>
            <w:rFonts w:cs="Arial"/>
            <w:lang w:val="de-DE"/>
          </w:rPr>
          <w:t>4.4.1</w:t>
        </w:r>
        <w:r>
          <w:rPr>
            <w:rFonts w:asciiTheme="minorHAnsi" w:eastAsiaTheme="minorEastAsia" w:hAnsiTheme="minorHAnsi" w:cstheme="minorBidi"/>
            <w:i w:val="0"/>
            <w:sz w:val="22"/>
            <w:szCs w:val="22"/>
            <w:lang w:val="en-US"/>
          </w:rPr>
          <w:tab/>
        </w:r>
        <w:r w:rsidRPr="0080086B">
          <w:rPr>
            <w:rStyle w:val="Hyperlink"/>
            <w:rFonts w:cs="Arial"/>
            <w:lang w:val="de-DE"/>
          </w:rPr>
          <w:t>Selbstbefruchtende, vegetativ vermehrte und Einfachhybridsorten</w:t>
        </w:r>
        <w:r>
          <w:rPr>
            <w:webHidden/>
          </w:rPr>
          <w:tab/>
        </w:r>
        <w:r>
          <w:rPr>
            <w:webHidden/>
          </w:rPr>
          <w:fldChar w:fldCharType="begin"/>
        </w:r>
        <w:r>
          <w:rPr>
            <w:webHidden/>
          </w:rPr>
          <w:instrText xml:space="preserve"> PAGEREF _Toc15561051 \h </w:instrText>
        </w:r>
        <w:r>
          <w:rPr>
            <w:webHidden/>
          </w:rPr>
        </w:r>
        <w:r>
          <w:rPr>
            <w:webHidden/>
          </w:rPr>
          <w:fldChar w:fldCharType="separate"/>
        </w:r>
        <w:r>
          <w:rPr>
            <w:webHidden/>
          </w:rPr>
          <w:t>9</w:t>
        </w:r>
        <w:r>
          <w:rPr>
            <w:webHidden/>
          </w:rPr>
          <w:fldChar w:fldCharType="end"/>
        </w:r>
      </w:hyperlink>
    </w:p>
    <w:p w:rsidR="005E1757" w:rsidRDefault="005E1757">
      <w:pPr>
        <w:pStyle w:val="TOC3"/>
        <w:rPr>
          <w:rFonts w:asciiTheme="minorHAnsi" w:eastAsiaTheme="minorEastAsia" w:hAnsiTheme="minorHAnsi" w:cstheme="minorBidi"/>
          <w:i w:val="0"/>
          <w:sz w:val="22"/>
          <w:szCs w:val="22"/>
          <w:lang w:val="en-US"/>
        </w:rPr>
      </w:pPr>
      <w:hyperlink w:anchor="_Toc15561052" w:history="1">
        <w:r w:rsidRPr="0080086B">
          <w:rPr>
            <w:rStyle w:val="Hyperlink"/>
            <w:rFonts w:cs="Arial"/>
            <w:lang w:val="de-DE"/>
          </w:rPr>
          <w:t>4.4.2</w:t>
        </w:r>
        <w:r>
          <w:rPr>
            <w:rFonts w:asciiTheme="minorHAnsi" w:eastAsiaTheme="minorEastAsia" w:hAnsiTheme="minorHAnsi" w:cstheme="minorBidi"/>
            <w:i w:val="0"/>
            <w:sz w:val="22"/>
            <w:szCs w:val="22"/>
            <w:lang w:val="en-US"/>
          </w:rPr>
          <w:tab/>
        </w:r>
        <w:r w:rsidRPr="0080086B">
          <w:rPr>
            <w:rStyle w:val="Hyperlink"/>
            <w:rFonts w:cs="Arial"/>
            <w:lang w:val="de-DE"/>
          </w:rPr>
          <w:t>Fremdbefruchtende Sorten</w:t>
        </w:r>
        <w:r>
          <w:rPr>
            <w:webHidden/>
          </w:rPr>
          <w:tab/>
        </w:r>
        <w:r>
          <w:rPr>
            <w:webHidden/>
          </w:rPr>
          <w:fldChar w:fldCharType="begin"/>
        </w:r>
        <w:r>
          <w:rPr>
            <w:webHidden/>
          </w:rPr>
          <w:instrText xml:space="preserve"> PAGEREF _Toc15561052 \h </w:instrText>
        </w:r>
        <w:r>
          <w:rPr>
            <w:webHidden/>
          </w:rPr>
        </w:r>
        <w:r>
          <w:rPr>
            <w:webHidden/>
          </w:rPr>
          <w:fldChar w:fldCharType="separate"/>
        </w:r>
        <w:r>
          <w:rPr>
            <w:webHidden/>
          </w:rPr>
          <w:t>10</w:t>
        </w:r>
        <w:r>
          <w:rPr>
            <w:webHidden/>
          </w:rPr>
          <w:fldChar w:fldCharType="end"/>
        </w:r>
      </w:hyperlink>
    </w:p>
    <w:p w:rsidR="005E1757" w:rsidRDefault="005E1757">
      <w:pPr>
        <w:pStyle w:val="TOC2"/>
        <w:rPr>
          <w:rFonts w:asciiTheme="minorHAnsi" w:eastAsiaTheme="minorEastAsia" w:hAnsiTheme="minorHAnsi" w:cstheme="minorBidi"/>
          <w:smallCaps w:val="0"/>
          <w:sz w:val="22"/>
          <w:szCs w:val="22"/>
        </w:rPr>
      </w:pPr>
      <w:hyperlink w:anchor="_Toc15561053" w:history="1">
        <w:r w:rsidRPr="0080086B">
          <w:rPr>
            <w:rStyle w:val="Hyperlink"/>
            <w:rFonts w:cs="Arial"/>
            <w:lang w:val="de-DE"/>
          </w:rPr>
          <w:t>4.5</w:t>
        </w:r>
        <w:r>
          <w:rPr>
            <w:rFonts w:asciiTheme="minorHAnsi" w:eastAsiaTheme="minorEastAsia" w:hAnsiTheme="minorHAnsi" w:cstheme="minorBidi"/>
            <w:smallCaps w:val="0"/>
            <w:sz w:val="22"/>
            <w:szCs w:val="22"/>
          </w:rPr>
          <w:tab/>
        </w:r>
        <w:r w:rsidRPr="0080086B">
          <w:rPr>
            <w:rStyle w:val="Hyperlink"/>
            <w:rFonts w:cs="Arial"/>
            <w:lang w:val="de-DE"/>
          </w:rPr>
          <w:t>Festlegung von Standards für neue Typen und Arten</w:t>
        </w:r>
        <w:r>
          <w:rPr>
            <w:webHidden/>
          </w:rPr>
          <w:tab/>
        </w:r>
        <w:r>
          <w:rPr>
            <w:webHidden/>
          </w:rPr>
          <w:fldChar w:fldCharType="begin"/>
        </w:r>
        <w:r>
          <w:rPr>
            <w:webHidden/>
          </w:rPr>
          <w:instrText xml:space="preserve"> PAGEREF _Toc15561053 \h </w:instrText>
        </w:r>
        <w:r>
          <w:rPr>
            <w:webHidden/>
          </w:rPr>
        </w:r>
        <w:r>
          <w:rPr>
            <w:webHidden/>
          </w:rPr>
          <w:fldChar w:fldCharType="separate"/>
        </w:r>
        <w:r>
          <w:rPr>
            <w:webHidden/>
          </w:rPr>
          <w:t>10</w:t>
        </w:r>
        <w:r>
          <w:rPr>
            <w:webHidden/>
          </w:rPr>
          <w:fldChar w:fldCharType="end"/>
        </w:r>
      </w:hyperlink>
    </w:p>
    <w:p w:rsidR="005E1757" w:rsidRDefault="005E1757">
      <w:pPr>
        <w:pStyle w:val="TOC2"/>
        <w:rPr>
          <w:rFonts w:asciiTheme="minorHAnsi" w:eastAsiaTheme="minorEastAsia" w:hAnsiTheme="minorHAnsi" w:cstheme="minorBidi"/>
          <w:smallCaps w:val="0"/>
          <w:sz w:val="22"/>
          <w:szCs w:val="22"/>
        </w:rPr>
      </w:pPr>
      <w:hyperlink w:anchor="_Toc15561054" w:history="1">
        <w:r w:rsidRPr="0080086B">
          <w:rPr>
            <w:rStyle w:val="Hyperlink"/>
            <w:b/>
          </w:rPr>
          <w:t>4.6</w:t>
        </w:r>
        <w:r>
          <w:rPr>
            <w:rFonts w:asciiTheme="minorHAnsi" w:eastAsiaTheme="minorEastAsia" w:hAnsiTheme="minorHAnsi" w:cstheme="minorBidi"/>
            <w:smallCaps w:val="0"/>
            <w:sz w:val="22"/>
            <w:szCs w:val="22"/>
          </w:rPr>
          <w:tab/>
        </w:r>
        <w:r w:rsidRPr="0080086B">
          <w:rPr>
            <w:rStyle w:val="Hyperlink"/>
            <w:b/>
          </w:rPr>
          <w:t>Prüfung der Homogenität anhand von Abweichern aufgrund von mehr als einer Wachstumsperiode</w:t>
        </w:r>
        <w:r>
          <w:rPr>
            <w:webHidden/>
          </w:rPr>
          <w:tab/>
        </w:r>
        <w:r>
          <w:rPr>
            <w:webHidden/>
          </w:rPr>
          <w:fldChar w:fldCharType="begin"/>
        </w:r>
        <w:r>
          <w:rPr>
            <w:webHidden/>
          </w:rPr>
          <w:instrText xml:space="preserve"> PAGEREF _Toc15561054 \h </w:instrText>
        </w:r>
        <w:r>
          <w:rPr>
            <w:webHidden/>
          </w:rPr>
        </w:r>
        <w:r>
          <w:rPr>
            <w:webHidden/>
          </w:rPr>
          <w:fldChar w:fldCharType="separate"/>
        </w:r>
        <w:r>
          <w:rPr>
            <w:webHidden/>
          </w:rPr>
          <w:t>11</w:t>
        </w:r>
        <w:r>
          <w:rPr>
            <w:webHidden/>
          </w:rPr>
          <w:fldChar w:fldCharType="end"/>
        </w:r>
      </w:hyperlink>
    </w:p>
    <w:p w:rsidR="005E1757" w:rsidRDefault="005E1757">
      <w:pPr>
        <w:pStyle w:val="TOC3"/>
        <w:rPr>
          <w:rFonts w:asciiTheme="minorHAnsi" w:eastAsiaTheme="minorEastAsia" w:hAnsiTheme="minorHAnsi" w:cstheme="minorBidi"/>
          <w:i w:val="0"/>
          <w:sz w:val="22"/>
          <w:szCs w:val="22"/>
          <w:lang w:val="en-US"/>
        </w:rPr>
      </w:pPr>
      <w:hyperlink w:anchor="_Toc15561055" w:history="1">
        <w:r w:rsidRPr="0080086B">
          <w:rPr>
            <w:rStyle w:val="Hyperlink"/>
          </w:rPr>
          <w:t>4.6.3</w:t>
        </w:r>
        <w:r>
          <w:rPr>
            <w:rFonts w:asciiTheme="minorHAnsi" w:eastAsiaTheme="minorEastAsia" w:hAnsiTheme="minorHAnsi" w:cstheme="minorBidi"/>
            <w:i w:val="0"/>
            <w:sz w:val="22"/>
            <w:szCs w:val="22"/>
            <w:lang w:val="en-US"/>
          </w:rPr>
          <w:tab/>
        </w:r>
        <w:r w:rsidRPr="0080086B">
          <w:rPr>
            <w:rStyle w:val="Hyperlink"/>
          </w:rPr>
          <w:t>Ansatz 1: Dritte Wachstumsperiode im Fall widersprüchlicher Ergebnisse</w:t>
        </w:r>
        <w:r>
          <w:rPr>
            <w:webHidden/>
          </w:rPr>
          <w:tab/>
        </w:r>
        <w:r>
          <w:rPr>
            <w:webHidden/>
          </w:rPr>
          <w:fldChar w:fldCharType="begin"/>
        </w:r>
        <w:r>
          <w:rPr>
            <w:webHidden/>
          </w:rPr>
          <w:instrText xml:space="preserve"> PAGEREF _Toc15561055 \h </w:instrText>
        </w:r>
        <w:r>
          <w:rPr>
            <w:webHidden/>
          </w:rPr>
        </w:r>
        <w:r>
          <w:rPr>
            <w:webHidden/>
          </w:rPr>
          <w:fldChar w:fldCharType="separate"/>
        </w:r>
        <w:r>
          <w:rPr>
            <w:webHidden/>
          </w:rPr>
          <w:t>11</w:t>
        </w:r>
        <w:r>
          <w:rPr>
            <w:webHidden/>
          </w:rPr>
          <w:fldChar w:fldCharType="end"/>
        </w:r>
      </w:hyperlink>
    </w:p>
    <w:p w:rsidR="005E1757" w:rsidRDefault="005E1757">
      <w:pPr>
        <w:pStyle w:val="TOC3"/>
        <w:rPr>
          <w:rFonts w:asciiTheme="minorHAnsi" w:eastAsiaTheme="minorEastAsia" w:hAnsiTheme="minorHAnsi" w:cstheme="minorBidi"/>
          <w:i w:val="0"/>
          <w:sz w:val="22"/>
          <w:szCs w:val="22"/>
          <w:lang w:val="en-US"/>
        </w:rPr>
      </w:pPr>
      <w:hyperlink w:anchor="_Toc15561056" w:history="1">
        <w:r w:rsidRPr="0080086B">
          <w:rPr>
            <w:rStyle w:val="Hyperlink"/>
          </w:rPr>
          <w:t>4.6.4</w:t>
        </w:r>
        <w:r>
          <w:rPr>
            <w:rFonts w:asciiTheme="minorHAnsi" w:eastAsiaTheme="minorEastAsia" w:hAnsiTheme="minorHAnsi" w:cstheme="minorBidi"/>
            <w:i w:val="0"/>
            <w:sz w:val="22"/>
            <w:szCs w:val="22"/>
            <w:lang w:val="en-US"/>
          </w:rPr>
          <w:tab/>
        </w:r>
        <w:r w:rsidRPr="0080086B">
          <w:rPr>
            <w:rStyle w:val="Hyperlink"/>
          </w:rPr>
          <w:t>Ansatz 2: Kombination der Ergebnisse aus zwei Wachstumsperioden im Fall widersprüchlicher Ergebnisse</w:t>
        </w:r>
        <w:r>
          <w:rPr>
            <w:webHidden/>
          </w:rPr>
          <w:tab/>
        </w:r>
        <w:r>
          <w:rPr>
            <w:webHidden/>
          </w:rPr>
          <w:fldChar w:fldCharType="begin"/>
        </w:r>
        <w:r>
          <w:rPr>
            <w:webHidden/>
          </w:rPr>
          <w:instrText xml:space="preserve"> PAGEREF _Toc15561056 \h </w:instrText>
        </w:r>
        <w:r>
          <w:rPr>
            <w:webHidden/>
          </w:rPr>
        </w:r>
        <w:r>
          <w:rPr>
            <w:webHidden/>
          </w:rPr>
          <w:fldChar w:fldCharType="separate"/>
        </w:r>
        <w:r>
          <w:rPr>
            <w:webHidden/>
          </w:rPr>
          <w:t>11</w:t>
        </w:r>
        <w:r>
          <w:rPr>
            <w:webHidden/>
          </w:rPr>
          <w:fldChar w:fldCharType="end"/>
        </w:r>
      </w:hyperlink>
    </w:p>
    <w:p w:rsidR="005E1757" w:rsidRDefault="005E1757">
      <w:pPr>
        <w:pStyle w:val="TOC3"/>
        <w:rPr>
          <w:rFonts w:asciiTheme="minorHAnsi" w:eastAsiaTheme="minorEastAsia" w:hAnsiTheme="minorHAnsi" w:cstheme="minorBidi"/>
          <w:i w:val="0"/>
          <w:sz w:val="22"/>
          <w:szCs w:val="22"/>
          <w:lang w:val="en-US"/>
        </w:rPr>
      </w:pPr>
      <w:hyperlink w:anchor="_Toc15561057" w:history="1">
        <w:r w:rsidRPr="0080086B">
          <w:rPr>
            <w:rStyle w:val="Hyperlink"/>
          </w:rPr>
          <w:t>4.6.5</w:t>
        </w:r>
        <w:r>
          <w:rPr>
            <w:rFonts w:asciiTheme="minorHAnsi" w:eastAsiaTheme="minorEastAsia" w:hAnsiTheme="minorHAnsi" w:cstheme="minorBidi"/>
            <w:i w:val="0"/>
            <w:sz w:val="22"/>
            <w:szCs w:val="22"/>
            <w:lang w:val="en-US"/>
          </w:rPr>
          <w:tab/>
        </w:r>
        <w:r w:rsidRPr="0080086B">
          <w:rPr>
            <w:rStyle w:val="Hyperlink"/>
            <w:bCs/>
          </w:rPr>
          <w:t>Ansatz 3: Kombination der Ergebnisse aus zwei Wachstumsperioden</w:t>
        </w:r>
        <w:r>
          <w:rPr>
            <w:webHidden/>
          </w:rPr>
          <w:tab/>
        </w:r>
        <w:r>
          <w:rPr>
            <w:webHidden/>
          </w:rPr>
          <w:fldChar w:fldCharType="begin"/>
        </w:r>
        <w:r>
          <w:rPr>
            <w:webHidden/>
          </w:rPr>
          <w:instrText xml:space="preserve"> PAGEREF _Toc15561057 \h </w:instrText>
        </w:r>
        <w:r>
          <w:rPr>
            <w:webHidden/>
          </w:rPr>
        </w:r>
        <w:r>
          <w:rPr>
            <w:webHidden/>
          </w:rPr>
          <w:fldChar w:fldCharType="separate"/>
        </w:r>
        <w:r>
          <w:rPr>
            <w:webHidden/>
          </w:rPr>
          <w:t>11</w:t>
        </w:r>
        <w:r>
          <w:rPr>
            <w:webHidden/>
          </w:rPr>
          <w:fldChar w:fldCharType="end"/>
        </w:r>
      </w:hyperlink>
    </w:p>
    <w:p w:rsidR="005E1757" w:rsidRDefault="005E1757">
      <w:pPr>
        <w:pStyle w:val="TOC2"/>
        <w:rPr>
          <w:rFonts w:asciiTheme="minorHAnsi" w:eastAsiaTheme="minorEastAsia" w:hAnsiTheme="minorHAnsi" w:cstheme="minorBidi"/>
          <w:smallCaps w:val="0"/>
          <w:sz w:val="22"/>
          <w:szCs w:val="22"/>
        </w:rPr>
      </w:pPr>
      <w:hyperlink w:anchor="_Toc15561058" w:history="1">
        <w:r w:rsidRPr="0080086B">
          <w:rPr>
            <w:rStyle w:val="Hyperlink"/>
            <w:b/>
          </w:rPr>
          <w:t>4.7</w:t>
        </w:r>
        <w:r>
          <w:rPr>
            <w:rFonts w:asciiTheme="minorHAnsi" w:eastAsiaTheme="minorEastAsia" w:hAnsiTheme="minorHAnsi" w:cstheme="minorBidi"/>
            <w:smallCaps w:val="0"/>
            <w:sz w:val="22"/>
            <w:szCs w:val="22"/>
          </w:rPr>
          <w:tab/>
        </w:r>
        <w:r w:rsidRPr="0080086B">
          <w:rPr>
            <w:rStyle w:val="Hyperlink"/>
            <w:b/>
          </w:rPr>
          <w:t>Prüfung der Homogenität anhand von Abweichern aufgrund von Unterproben in einer Prüfung / einem Versuch</w:t>
        </w:r>
        <w:r>
          <w:rPr>
            <w:webHidden/>
          </w:rPr>
          <w:tab/>
        </w:r>
        <w:r>
          <w:rPr>
            <w:webHidden/>
          </w:rPr>
          <w:fldChar w:fldCharType="begin"/>
        </w:r>
        <w:r>
          <w:rPr>
            <w:webHidden/>
          </w:rPr>
          <w:instrText xml:space="preserve"> PAGEREF _Toc15561058 \h </w:instrText>
        </w:r>
        <w:r>
          <w:rPr>
            <w:webHidden/>
          </w:rPr>
        </w:r>
        <w:r>
          <w:rPr>
            <w:webHidden/>
          </w:rPr>
          <w:fldChar w:fldCharType="separate"/>
        </w:r>
        <w:r>
          <w:rPr>
            <w:webHidden/>
          </w:rPr>
          <w:t>12</w:t>
        </w:r>
        <w:r>
          <w:rPr>
            <w:webHidden/>
          </w:rPr>
          <w:fldChar w:fldCharType="end"/>
        </w:r>
      </w:hyperlink>
    </w:p>
    <w:p w:rsidR="005E1757" w:rsidRDefault="005E1757">
      <w:pPr>
        <w:pStyle w:val="TOC3"/>
        <w:rPr>
          <w:rFonts w:asciiTheme="minorHAnsi" w:eastAsiaTheme="minorEastAsia" w:hAnsiTheme="minorHAnsi" w:cstheme="minorBidi"/>
          <w:i w:val="0"/>
          <w:sz w:val="22"/>
          <w:szCs w:val="22"/>
          <w:lang w:val="en-US"/>
        </w:rPr>
      </w:pPr>
      <w:hyperlink w:anchor="_Toc15561059" w:history="1">
        <w:r w:rsidRPr="0080086B">
          <w:rPr>
            <w:rStyle w:val="Hyperlink"/>
          </w:rPr>
          <w:t>4.7.1</w:t>
        </w:r>
        <w:r>
          <w:rPr>
            <w:rFonts w:asciiTheme="minorHAnsi" w:eastAsiaTheme="minorEastAsia" w:hAnsiTheme="minorHAnsi" w:cstheme="minorBidi"/>
            <w:i w:val="0"/>
            <w:sz w:val="22"/>
            <w:szCs w:val="22"/>
            <w:lang w:val="en-US"/>
          </w:rPr>
          <w:tab/>
        </w:r>
        <w:r w:rsidRPr="0080086B">
          <w:rPr>
            <w:rStyle w:val="Hyperlink"/>
          </w:rPr>
          <w:t>Ansatz: Verwendung von Unterproben als erster Prüfungsschritt</w:t>
        </w:r>
        <w:r>
          <w:rPr>
            <w:webHidden/>
          </w:rPr>
          <w:tab/>
        </w:r>
        <w:r>
          <w:rPr>
            <w:webHidden/>
          </w:rPr>
          <w:fldChar w:fldCharType="begin"/>
        </w:r>
        <w:r>
          <w:rPr>
            <w:webHidden/>
          </w:rPr>
          <w:instrText xml:space="preserve"> PAGEREF _Toc15561059 \h </w:instrText>
        </w:r>
        <w:r>
          <w:rPr>
            <w:webHidden/>
          </w:rPr>
        </w:r>
        <w:r>
          <w:rPr>
            <w:webHidden/>
          </w:rPr>
          <w:fldChar w:fldCharType="separate"/>
        </w:r>
        <w:r>
          <w:rPr>
            <w:webHidden/>
          </w:rPr>
          <w:t>12</w:t>
        </w:r>
        <w:r>
          <w:rPr>
            <w:webHidden/>
          </w:rPr>
          <w:fldChar w:fldCharType="end"/>
        </w:r>
      </w:hyperlink>
    </w:p>
    <w:p w:rsidR="005E1757" w:rsidRDefault="005E1757">
      <w:pPr>
        <w:pStyle w:val="TOC2"/>
        <w:rPr>
          <w:rFonts w:asciiTheme="minorHAnsi" w:eastAsiaTheme="minorEastAsia" w:hAnsiTheme="minorHAnsi" w:cstheme="minorBidi"/>
          <w:smallCaps w:val="0"/>
          <w:sz w:val="22"/>
          <w:szCs w:val="22"/>
        </w:rPr>
      </w:pPr>
      <w:hyperlink w:anchor="_Toc15561060" w:history="1">
        <w:r w:rsidRPr="0080086B">
          <w:rPr>
            <w:rStyle w:val="Hyperlink"/>
            <w:rFonts w:cs="Arial"/>
            <w:lang w:val="de-DE"/>
          </w:rPr>
          <w:t>4.8</w:t>
        </w:r>
        <w:r>
          <w:rPr>
            <w:rFonts w:asciiTheme="minorHAnsi" w:eastAsiaTheme="minorEastAsia" w:hAnsiTheme="minorHAnsi" w:cstheme="minorBidi"/>
            <w:smallCaps w:val="0"/>
            <w:sz w:val="22"/>
            <w:szCs w:val="22"/>
          </w:rPr>
          <w:tab/>
        </w:r>
        <w:r w:rsidRPr="0080086B">
          <w:rPr>
            <w:rStyle w:val="Hyperlink"/>
            <w:rFonts w:cs="Arial"/>
            <w:lang w:val="de-DE"/>
          </w:rPr>
          <w:t>Pflanzen, die nicht als Abweicher angesehen werden</w:t>
        </w:r>
        <w:r>
          <w:rPr>
            <w:webHidden/>
          </w:rPr>
          <w:tab/>
        </w:r>
        <w:r>
          <w:rPr>
            <w:webHidden/>
          </w:rPr>
          <w:fldChar w:fldCharType="begin"/>
        </w:r>
        <w:r>
          <w:rPr>
            <w:webHidden/>
          </w:rPr>
          <w:instrText xml:space="preserve"> PAGEREF _Toc15561060 \h </w:instrText>
        </w:r>
        <w:r>
          <w:rPr>
            <w:webHidden/>
          </w:rPr>
        </w:r>
        <w:r>
          <w:rPr>
            <w:webHidden/>
          </w:rPr>
          <w:fldChar w:fldCharType="separate"/>
        </w:r>
        <w:r>
          <w:rPr>
            <w:webHidden/>
          </w:rPr>
          <w:t>13</w:t>
        </w:r>
        <w:r>
          <w:rPr>
            <w:webHidden/>
          </w:rPr>
          <w:fldChar w:fldCharType="end"/>
        </w:r>
      </w:hyperlink>
    </w:p>
    <w:p w:rsidR="005E1757" w:rsidRDefault="005E1757">
      <w:pPr>
        <w:pStyle w:val="TOC3"/>
        <w:rPr>
          <w:rFonts w:asciiTheme="minorHAnsi" w:eastAsiaTheme="minorEastAsia" w:hAnsiTheme="minorHAnsi" w:cstheme="minorBidi"/>
          <w:i w:val="0"/>
          <w:sz w:val="22"/>
          <w:szCs w:val="22"/>
          <w:lang w:val="en-US"/>
        </w:rPr>
      </w:pPr>
      <w:hyperlink w:anchor="_Toc15561061" w:history="1">
        <w:r w:rsidRPr="0080086B">
          <w:rPr>
            <w:rStyle w:val="Hyperlink"/>
            <w:rFonts w:cs="Arial"/>
            <w:lang w:val="de-DE"/>
          </w:rPr>
          <w:t>4.8.1</w:t>
        </w:r>
        <w:r>
          <w:rPr>
            <w:rFonts w:asciiTheme="minorHAnsi" w:eastAsiaTheme="minorEastAsia" w:hAnsiTheme="minorHAnsi" w:cstheme="minorBidi"/>
            <w:i w:val="0"/>
            <w:sz w:val="22"/>
            <w:szCs w:val="22"/>
            <w:lang w:val="en-US"/>
          </w:rPr>
          <w:tab/>
        </w:r>
        <w:r w:rsidRPr="0080086B">
          <w:rPr>
            <w:rStyle w:val="Hyperlink"/>
            <w:rFonts w:cs="Arial"/>
            <w:lang w:val="de-DE"/>
          </w:rPr>
          <w:t>Atypische Pflanzen, die nicht als Abweicher angesehen werden</w:t>
        </w:r>
        <w:r>
          <w:rPr>
            <w:webHidden/>
          </w:rPr>
          <w:tab/>
        </w:r>
        <w:r>
          <w:rPr>
            <w:webHidden/>
          </w:rPr>
          <w:fldChar w:fldCharType="begin"/>
        </w:r>
        <w:r>
          <w:rPr>
            <w:webHidden/>
          </w:rPr>
          <w:instrText xml:space="preserve"> PAGEREF _Toc15561061 \h </w:instrText>
        </w:r>
        <w:r>
          <w:rPr>
            <w:webHidden/>
          </w:rPr>
        </w:r>
        <w:r>
          <w:rPr>
            <w:webHidden/>
          </w:rPr>
          <w:fldChar w:fldCharType="separate"/>
        </w:r>
        <w:r>
          <w:rPr>
            <w:webHidden/>
          </w:rPr>
          <w:t>13</w:t>
        </w:r>
        <w:r>
          <w:rPr>
            <w:webHidden/>
          </w:rPr>
          <w:fldChar w:fldCharType="end"/>
        </w:r>
      </w:hyperlink>
    </w:p>
    <w:p w:rsidR="005E1757" w:rsidRDefault="005E1757">
      <w:pPr>
        <w:pStyle w:val="TOC3"/>
        <w:rPr>
          <w:rFonts w:asciiTheme="minorHAnsi" w:eastAsiaTheme="minorEastAsia" w:hAnsiTheme="minorHAnsi" w:cstheme="minorBidi"/>
          <w:i w:val="0"/>
          <w:sz w:val="22"/>
          <w:szCs w:val="22"/>
          <w:lang w:val="en-US"/>
        </w:rPr>
      </w:pPr>
      <w:hyperlink w:anchor="_Toc15561062" w:history="1">
        <w:r w:rsidRPr="0080086B">
          <w:rPr>
            <w:rStyle w:val="Hyperlink"/>
            <w:rFonts w:cs="Arial"/>
            <w:lang w:val="de-DE"/>
          </w:rPr>
          <w:t>4.8.2</w:t>
        </w:r>
        <w:r>
          <w:rPr>
            <w:rFonts w:asciiTheme="minorHAnsi" w:eastAsiaTheme="minorEastAsia" w:hAnsiTheme="minorHAnsi" w:cstheme="minorBidi"/>
            <w:i w:val="0"/>
            <w:sz w:val="22"/>
            <w:szCs w:val="22"/>
            <w:lang w:val="en-US"/>
          </w:rPr>
          <w:tab/>
        </w:r>
        <w:r w:rsidRPr="0080086B">
          <w:rPr>
            <w:rStyle w:val="Hyperlink"/>
            <w:rFonts w:cs="Arial"/>
            <w:lang w:val="de-DE"/>
          </w:rPr>
          <w:t>Variation innerhalb einer Pflanze, die keine Abweicherpflanze angibt</w:t>
        </w:r>
        <w:r>
          <w:rPr>
            <w:webHidden/>
          </w:rPr>
          <w:tab/>
        </w:r>
        <w:r>
          <w:rPr>
            <w:webHidden/>
          </w:rPr>
          <w:fldChar w:fldCharType="begin"/>
        </w:r>
        <w:r>
          <w:rPr>
            <w:webHidden/>
          </w:rPr>
          <w:instrText xml:space="preserve"> PAGEREF _Toc15561062 \h </w:instrText>
        </w:r>
        <w:r>
          <w:rPr>
            <w:webHidden/>
          </w:rPr>
        </w:r>
        <w:r>
          <w:rPr>
            <w:webHidden/>
          </w:rPr>
          <w:fldChar w:fldCharType="separate"/>
        </w:r>
        <w:r>
          <w:rPr>
            <w:webHidden/>
          </w:rPr>
          <w:t>13</w:t>
        </w:r>
        <w:r>
          <w:rPr>
            <w:webHidden/>
          </w:rPr>
          <w:fldChar w:fldCharType="end"/>
        </w:r>
      </w:hyperlink>
    </w:p>
    <w:p w:rsidR="005E1757" w:rsidRDefault="005E1757">
      <w:pPr>
        <w:pStyle w:val="TOC3"/>
        <w:rPr>
          <w:rFonts w:asciiTheme="minorHAnsi" w:eastAsiaTheme="minorEastAsia" w:hAnsiTheme="minorHAnsi" w:cstheme="minorBidi"/>
          <w:i w:val="0"/>
          <w:sz w:val="22"/>
          <w:szCs w:val="22"/>
          <w:lang w:val="en-US"/>
        </w:rPr>
      </w:pPr>
      <w:hyperlink w:anchor="_Toc15561063" w:history="1">
        <w:r w:rsidRPr="0080086B">
          <w:rPr>
            <w:rStyle w:val="Hyperlink"/>
            <w:rFonts w:cs="Arial"/>
            <w:lang w:val="de-DE"/>
          </w:rPr>
          <w:t>4.8.3</w:t>
        </w:r>
        <w:r>
          <w:rPr>
            <w:rFonts w:asciiTheme="minorHAnsi" w:eastAsiaTheme="minorEastAsia" w:hAnsiTheme="minorHAnsi" w:cstheme="minorBidi"/>
            <w:i w:val="0"/>
            <w:sz w:val="22"/>
            <w:szCs w:val="22"/>
            <w:lang w:val="en-US"/>
          </w:rPr>
          <w:tab/>
        </w:r>
        <w:r w:rsidRPr="0080086B">
          <w:rPr>
            <w:rStyle w:val="Hyperlink"/>
            <w:rFonts w:cs="Arial"/>
            <w:lang w:val="de-DE"/>
          </w:rPr>
          <w:t>Weitere Untersuchungen</w:t>
        </w:r>
        <w:r>
          <w:rPr>
            <w:webHidden/>
          </w:rPr>
          <w:tab/>
        </w:r>
        <w:r>
          <w:rPr>
            <w:webHidden/>
          </w:rPr>
          <w:fldChar w:fldCharType="begin"/>
        </w:r>
        <w:r>
          <w:rPr>
            <w:webHidden/>
          </w:rPr>
          <w:instrText xml:space="preserve"> PAGEREF _Toc15561063 \h </w:instrText>
        </w:r>
        <w:r>
          <w:rPr>
            <w:webHidden/>
          </w:rPr>
        </w:r>
        <w:r>
          <w:rPr>
            <w:webHidden/>
          </w:rPr>
          <w:fldChar w:fldCharType="separate"/>
        </w:r>
        <w:r>
          <w:rPr>
            <w:webHidden/>
          </w:rPr>
          <w:t>14</w:t>
        </w:r>
        <w:r>
          <w:rPr>
            <w:webHidden/>
          </w:rPr>
          <w:fldChar w:fldCharType="end"/>
        </w:r>
      </w:hyperlink>
    </w:p>
    <w:p w:rsidR="005E1757" w:rsidRDefault="005E1757">
      <w:pPr>
        <w:pStyle w:val="TOC1"/>
        <w:rPr>
          <w:rFonts w:asciiTheme="minorHAnsi" w:eastAsiaTheme="minorEastAsia" w:hAnsiTheme="minorHAnsi" w:cstheme="minorBidi"/>
          <w:b w:val="0"/>
          <w:caps w:val="0"/>
          <w:sz w:val="22"/>
          <w:szCs w:val="22"/>
        </w:rPr>
      </w:pPr>
      <w:hyperlink w:anchor="_Toc15561064" w:history="1">
        <w:r w:rsidRPr="0080086B">
          <w:rPr>
            <w:rStyle w:val="Hyperlink"/>
            <w:rFonts w:cs="Arial"/>
          </w:rPr>
          <w:t>ABSCHNITT 5:</w:t>
        </w:r>
        <w:r>
          <w:rPr>
            <w:rFonts w:asciiTheme="minorHAnsi" w:eastAsiaTheme="minorEastAsia" w:hAnsiTheme="minorHAnsi" w:cstheme="minorBidi"/>
            <w:b w:val="0"/>
            <w:caps w:val="0"/>
            <w:sz w:val="22"/>
            <w:szCs w:val="22"/>
          </w:rPr>
          <w:tab/>
        </w:r>
        <w:r w:rsidRPr="0080086B">
          <w:rPr>
            <w:rStyle w:val="Hyperlink"/>
            <w:rFonts w:cs="Arial"/>
          </w:rPr>
          <w:t>PRÜFUNG DER HOMOGENITÄT mittels standard-ABWEICHUNGEN</w:t>
        </w:r>
        <w:r>
          <w:rPr>
            <w:webHidden/>
          </w:rPr>
          <w:tab/>
        </w:r>
        <w:r>
          <w:rPr>
            <w:webHidden/>
          </w:rPr>
          <w:fldChar w:fldCharType="begin"/>
        </w:r>
        <w:r>
          <w:rPr>
            <w:webHidden/>
          </w:rPr>
          <w:instrText xml:space="preserve"> PAGEREF _Toc15561064 \h </w:instrText>
        </w:r>
        <w:r>
          <w:rPr>
            <w:webHidden/>
          </w:rPr>
        </w:r>
        <w:r>
          <w:rPr>
            <w:webHidden/>
          </w:rPr>
          <w:fldChar w:fldCharType="separate"/>
        </w:r>
        <w:r>
          <w:rPr>
            <w:webHidden/>
          </w:rPr>
          <w:t>15</w:t>
        </w:r>
        <w:r>
          <w:rPr>
            <w:webHidden/>
          </w:rPr>
          <w:fldChar w:fldCharType="end"/>
        </w:r>
      </w:hyperlink>
    </w:p>
    <w:p w:rsidR="005E1757" w:rsidRDefault="005E1757">
      <w:pPr>
        <w:pStyle w:val="TOC2"/>
        <w:rPr>
          <w:rFonts w:asciiTheme="minorHAnsi" w:eastAsiaTheme="minorEastAsia" w:hAnsiTheme="minorHAnsi" w:cstheme="minorBidi"/>
          <w:smallCaps w:val="0"/>
          <w:sz w:val="22"/>
          <w:szCs w:val="22"/>
        </w:rPr>
      </w:pPr>
      <w:hyperlink w:anchor="_Toc15561065" w:history="1">
        <w:r w:rsidRPr="0080086B">
          <w:rPr>
            <w:rStyle w:val="Hyperlink"/>
            <w:rFonts w:cs="Arial"/>
            <w:lang w:val="de-DE"/>
          </w:rPr>
          <w:t>5.1</w:t>
        </w:r>
        <w:r>
          <w:rPr>
            <w:rFonts w:asciiTheme="minorHAnsi" w:eastAsiaTheme="minorEastAsia" w:hAnsiTheme="minorHAnsi" w:cstheme="minorBidi"/>
            <w:smallCaps w:val="0"/>
            <w:sz w:val="22"/>
            <w:szCs w:val="22"/>
          </w:rPr>
          <w:tab/>
        </w:r>
        <w:r w:rsidRPr="0080086B">
          <w:rPr>
            <w:rStyle w:val="Hyperlink"/>
            <w:rFonts w:cs="Arial"/>
            <w:lang w:val="de-DE"/>
          </w:rPr>
          <w:t>Einleitung</w:t>
        </w:r>
        <w:r>
          <w:rPr>
            <w:webHidden/>
          </w:rPr>
          <w:tab/>
        </w:r>
        <w:r>
          <w:rPr>
            <w:webHidden/>
          </w:rPr>
          <w:fldChar w:fldCharType="begin"/>
        </w:r>
        <w:r>
          <w:rPr>
            <w:webHidden/>
          </w:rPr>
          <w:instrText xml:space="preserve"> PAGEREF _Toc15561065 \h </w:instrText>
        </w:r>
        <w:r>
          <w:rPr>
            <w:webHidden/>
          </w:rPr>
        </w:r>
        <w:r>
          <w:rPr>
            <w:webHidden/>
          </w:rPr>
          <w:fldChar w:fldCharType="separate"/>
        </w:r>
        <w:r>
          <w:rPr>
            <w:webHidden/>
          </w:rPr>
          <w:t>15</w:t>
        </w:r>
        <w:r>
          <w:rPr>
            <w:webHidden/>
          </w:rPr>
          <w:fldChar w:fldCharType="end"/>
        </w:r>
      </w:hyperlink>
    </w:p>
    <w:p w:rsidR="005E1757" w:rsidRDefault="005E1757">
      <w:pPr>
        <w:pStyle w:val="TOC2"/>
        <w:rPr>
          <w:rFonts w:asciiTheme="minorHAnsi" w:eastAsiaTheme="minorEastAsia" w:hAnsiTheme="minorHAnsi" w:cstheme="minorBidi"/>
          <w:smallCaps w:val="0"/>
          <w:sz w:val="22"/>
          <w:szCs w:val="22"/>
        </w:rPr>
      </w:pPr>
      <w:hyperlink w:anchor="_Toc15561066" w:history="1">
        <w:r w:rsidRPr="0080086B">
          <w:rPr>
            <w:rStyle w:val="Hyperlink"/>
            <w:rFonts w:cs="Arial"/>
            <w:lang w:val="de-DE"/>
          </w:rPr>
          <w:t>5.2</w:t>
        </w:r>
        <w:r>
          <w:rPr>
            <w:rFonts w:asciiTheme="minorHAnsi" w:eastAsiaTheme="minorEastAsia" w:hAnsiTheme="minorHAnsi" w:cstheme="minorBidi"/>
            <w:smallCaps w:val="0"/>
            <w:sz w:val="22"/>
            <w:szCs w:val="22"/>
          </w:rPr>
          <w:tab/>
        </w:r>
        <w:r w:rsidRPr="0080086B">
          <w:rPr>
            <w:rStyle w:val="Hyperlink"/>
            <w:rFonts w:cs="Arial"/>
            <w:lang w:val="de-DE"/>
          </w:rPr>
          <w:t>Bestimmung des zulässigen Variationsniveaus</w:t>
        </w:r>
        <w:r>
          <w:rPr>
            <w:webHidden/>
          </w:rPr>
          <w:tab/>
        </w:r>
        <w:r>
          <w:rPr>
            <w:webHidden/>
          </w:rPr>
          <w:fldChar w:fldCharType="begin"/>
        </w:r>
        <w:r>
          <w:rPr>
            <w:webHidden/>
          </w:rPr>
          <w:instrText xml:space="preserve"> PAGEREF _Toc15561066 \h </w:instrText>
        </w:r>
        <w:r>
          <w:rPr>
            <w:webHidden/>
          </w:rPr>
        </w:r>
        <w:r>
          <w:rPr>
            <w:webHidden/>
          </w:rPr>
          <w:fldChar w:fldCharType="separate"/>
        </w:r>
        <w:r>
          <w:rPr>
            <w:webHidden/>
          </w:rPr>
          <w:t>15</w:t>
        </w:r>
        <w:r>
          <w:rPr>
            <w:webHidden/>
          </w:rPr>
          <w:fldChar w:fldCharType="end"/>
        </w:r>
      </w:hyperlink>
    </w:p>
    <w:p w:rsidR="005E1757" w:rsidRDefault="005E1757">
      <w:pPr>
        <w:pStyle w:val="TOC2"/>
        <w:rPr>
          <w:rFonts w:asciiTheme="minorHAnsi" w:eastAsiaTheme="minorEastAsia" w:hAnsiTheme="minorHAnsi" w:cstheme="minorBidi"/>
          <w:smallCaps w:val="0"/>
          <w:sz w:val="22"/>
          <w:szCs w:val="22"/>
        </w:rPr>
      </w:pPr>
      <w:hyperlink w:anchor="_Toc15561067" w:history="1">
        <w:r w:rsidRPr="0080086B">
          <w:rPr>
            <w:rStyle w:val="Hyperlink"/>
            <w:rFonts w:cs="Arial"/>
            <w:lang w:val="de-DE"/>
          </w:rPr>
          <w:t>5.3</w:t>
        </w:r>
        <w:r>
          <w:rPr>
            <w:rFonts w:asciiTheme="minorHAnsi" w:eastAsiaTheme="minorEastAsia" w:hAnsiTheme="minorHAnsi" w:cstheme="minorBidi"/>
            <w:smallCaps w:val="0"/>
            <w:sz w:val="22"/>
            <w:szCs w:val="22"/>
          </w:rPr>
          <w:tab/>
        </w:r>
        <w:r w:rsidRPr="0080086B">
          <w:rPr>
            <w:rStyle w:val="Hyperlink"/>
            <w:rFonts w:cs="Arial"/>
            <w:lang w:val="de-DE"/>
          </w:rPr>
          <w:t>Festlegung von Standards für neue Typen und Arten</w:t>
        </w:r>
        <w:r>
          <w:rPr>
            <w:webHidden/>
          </w:rPr>
          <w:tab/>
        </w:r>
        <w:r>
          <w:rPr>
            <w:webHidden/>
          </w:rPr>
          <w:fldChar w:fldCharType="begin"/>
        </w:r>
        <w:r>
          <w:rPr>
            <w:webHidden/>
          </w:rPr>
          <w:instrText xml:space="preserve"> PAGEREF _Toc15561067 \h </w:instrText>
        </w:r>
        <w:r>
          <w:rPr>
            <w:webHidden/>
          </w:rPr>
        </w:r>
        <w:r>
          <w:rPr>
            <w:webHidden/>
          </w:rPr>
          <w:fldChar w:fldCharType="separate"/>
        </w:r>
        <w:r>
          <w:rPr>
            <w:webHidden/>
          </w:rPr>
          <w:t>15</w:t>
        </w:r>
        <w:r>
          <w:rPr>
            <w:webHidden/>
          </w:rPr>
          <w:fldChar w:fldCharType="end"/>
        </w:r>
      </w:hyperlink>
    </w:p>
    <w:p w:rsidR="005E1757" w:rsidRDefault="005E1757">
      <w:pPr>
        <w:pStyle w:val="TOC1"/>
        <w:rPr>
          <w:rFonts w:asciiTheme="minorHAnsi" w:eastAsiaTheme="minorEastAsia" w:hAnsiTheme="minorHAnsi" w:cstheme="minorBidi"/>
          <w:b w:val="0"/>
          <w:caps w:val="0"/>
          <w:sz w:val="22"/>
          <w:szCs w:val="22"/>
        </w:rPr>
      </w:pPr>
      <w:hyperlink w:anchor="_Toc15561068" w:history="1">
        <w:r w:rsidRPr="0080086B">
          <w:rPr>
            <w:rStyle w:val="Hyperlink"/>
            <w:rFonts w:cs="Arial"/>
          </w:rPr>
          <w:t>ABSCHNITT 6:</w:t>
        </w:r>
        <w:r>
          <w:rPr>
            <w:rFonts w:asciiTheme="minorHAnsi" w:eastAsiaTheme="minorEastAsia" w:hAnsiTheme="minorHAnsi" w:cstheme="minorBidi"/>
            <w:b w:val="0"/>
            <w:caps w:val="0"/>
            <w:sz w:val="22"/>
            <w:szCs w:val="22"/>
          </w:rPr>
          <w:tab/>
        </w:r>
        <w:r w:rsidRPr="0080086B">
          <w:rPr>
            <w:rStyle w:val="Hyperlink"/>
            <w:rFonts w:cs="Arial"/>
          </w:rPr>
          <w:t>kombination aller erfassungen an einer Sorte</w:t>
        </w:r>
        <w:r>
          <w:rPr>
            <w:webHidden/>
          </w:rPr>
          <w:tab/>
        </w:r>
        <w:r>
          <w:rPr>
            <w:webHidden/>
          </w:rPr>
          <w:fldChar w:fldCharType="begin"/>
        </w:r>
        <w:r>
          <w:rPr>
            <w:webHidden/>
          </w:rPr>
          <w:instrText xml:space="preserve"> PAGEREF _Toc15561068 \h </w:instrText>
        </w:r>
        <w:r>
          <w:rPr>
            <w:webHidden/>
          </w:rPr>
        </w:r>
        <w:r>
          <w:rPr>
            <w:webHidden/>
          </w:rPr>
          <w:fldChar w:fldCharType="separate"/>
        </w:r>
        <w:r>
          <w:rPr>
            <w:webHidden/>
          </w:rPr>
          <w:t>16</w:t>
        </w:r>
        <w:r>
          <w:rPr>
            <w:webHidden/>
          </w:rPr>
          <w:fldChar w:fldCharType="end"/>
        </w:r>
      </w:hyperlink>
    </w:p>
    <w:p w:rsidR="005E1757" w:rsidRDefault="005E1757">
      <w:pPr>
        <w:pStyle w:val="TOC2"/>
        <w:rPr>
          <w:rFonts w:asciiTheme="minorHAnsi" w:eastAsiaTheme="minorEastAsia" w:hAnsiTheme="minorHAnsi" w:cstheme="minorBidi"/>
          <w:smallCaps w:val="0"/>
          <w:sz w:val="22"/>
          <w:szCs w:val="22"/>
        </w:rPr>
      </w:pPr>
      <w:hyperlink w:anchor="_Toc15561069" w:history="1">
        <w:r w:rsidRPr="0080086B">
          <w:rPr>
            <w:rStyle w:val="Hyperlink"/>
            <w:rFonts w:cs="Arial"/>
            <w:lang w:val="de-DE"/>
          </w:rPr>
          <w:t>6.1</w:t>
        </w:r>
        <w:r>
          <w:rPr>
            <w:rFonts w:asciiTheme="minorHAnsi" w:eastAsiaTheme="minorEastAsia" w:hAnsiTheme="minorHAnsi" w:cstheme="minorBidi"/>
            <w:smallCaps w:val="0"/>
            <w:sz w:val="22"/>
            <w:szCs w:val="22"/>
          </w:rPr>
          <w:tab/>
        </w:r>
        <w:r w:rsidRPr="0080086B">
          <w:rPr>
            <w:rStyle w:val="Hyperlink"/>
            <w:rFonts w:cs="Arial"/>
            <w:lang w:val="de-DE"/>
          </w:rPr>
          <w:t>Einleitung</w:t>
        </w:r>
        <w:r>
          <w:rPr>
            <w:webHidden/>
          </w:rPr>
          <w:tab/>
        </w:r>
        <w:r>
          <w:rPr>
            <w:webHidden/>
          </w:rPr>
          <w:fldChar w:fldCharType="begin"/>
        </w:r>
        <w:r>
          <w:rPr>
            <w:webHidden/>
          </w:rPr>
          <w:instrText xml:space="preserve"> PAGEREF _Toc15561069 \h </w:instrText>
        </w:r>
        <w:r>
          <w:rPr>
            <w:webHidden/>
          </w:rPr>
        </w:r>
        <w:r>
          <w:rPr>
            <w:webHidden/>
          </w:rPr>
          <w:fldChar w:fldCharType="separate"/>
        </w:r>
        <w:r>
          <w:rPr>
            <w:webHidden/>
          </w:rPr>
          <w:t>16</w:t>
        </w:r>
        <w:r>
          <w:rPr>
            <w:webHidden/>
          </w:rPr>
          <w:fldChar w:fldCharType="end"/>
        </w:r>
      </w:hyperlink>
    </w:p>
    <w:p w:rsidR="005E1757" w:rsidRDefault="005E1757">
      <w:pPr>
        <w:pStyle w:val="TOC2"/>
        <w:rPr>
          <w:rFonts w:asciiTheme="minorHAnsi" w:eastAsiaTheme="minorEastAsia" w:hAnsiTheme="minorHAnsi" w:cstheme="minorBidi"/>
          <w:smallCaps w:val="0"/>
          <w:sz w:val="22"/>
          <w:szCs w:val="22"/>
        </w:rPr>
      </w:pPr>
      <w:hyperlink w:anchor="_Toc15561070" w:history="1">
        <w:r w:rsidRPr="0080086B">
          <w:rPr>
            <w:rStyle w:val="Hyperlink"/>
            <w:rFonts w:cs="Arial"/>
            <w:lang w:val="de-DE"/>
          </w:rPr>
          <w:t>6.2</w:t>
        </w:r>
        <w:r>
          <w:rPr>
            <w:rFonts w:asciiTheme="minorHAnsi" w:eastAsiaTheme="minorEastAsia" w:hAnsiTheme="minorHAnsi" w:cstheme="minorBidi"/>
            <w:smallCaps w:val="0"/>
            <w:sz w:val="22"/>
            <w:szCs w:val="22"/>
          </w:rPr>
          <w:tab/>
        </w:r>
        <w:r w:rsidRPr="0080086B">
          <w:rPr>
            <w:rStyle w:val="Hyperlink"/>
            <w:rFonts w:cs="Arial"/>
            <w:lang w:val="de-DE"/>
          </w:rPr>
          <w:t>Nur Abweicher: Alle Merkmale werden an ein und derselben Stichprobe erfasst</w:t>
        </w:r>
        <w:r>
          <w:rPr>
            <w:webHidden/>
          </w:rPr>
          <w:tab/>
        </w:r>
        <w:r>
          <w:rPr>
            <w:webHidden/>
          </w:rPr>
          <w:fldChar w:fldCharType="begin"/>
        </w:r>
        <w:r>
          <w:rPr>
            <w:webHidden/>
          </w:rPr>
          <w:instrText xml:space="preserve"> PAGEREF _Toc15561070 \h </w:instrText>
        </w:r>
        <w:r>
          <w:rPr>
            <w:webHidden/>
          </w:rPr>
        </w:r>
        <w:r>
          <w:rPr>
            <w:webHidden/>
          </w:rPr>
          <w:fldChar w:fldCharType="separate"/>
        </w:r>
        <w:r>
          <w:rPr>
            <w:webHidden/>
          </w:rPr>
          <w:t>16</w:t>
        </w:r>
        <w:r>
          <w:rPr>
            <w:webHidden/>
          </w:rPr>
          <w:fldChar w:fldCharType="end"/>
        </w:r>
      </w:hyperlink>
    </w:p>
    <w:p w:rsidR="005E1757" w:rsidRDefault="005E1757">
      <w:pPr>
        <w:pStyle w:val="TOC2"/>
        <w:rPr>
          <w:rFonts w:asciiTheme="minorHAnsi" w:eastAsiaTheme="minorEastAsia" w:hAnsiTheme="minorHAnsi" w:cstheme="minorBidi"/>
          <w:smallCaps w:val="0"/>
          <w:sz w:val="22"/>
          <w:szCs w:val="22"/>
        </w:rPr>
      </w:pPr>
      <w:hyperlink w:anchor="_Toc15561071" w:history="1">
        <w:r w:rsidRPr="0080086B">
          <w:rPr>
            <w:rStyle w:val="Hyperlink"/>
            <w:rFonts w:cs="Arial"/>
            <w:lang w:val="de-DE"/>
          </w:rPr>
          <w:t>6.3</w:t>
        </w:r>
        <w:r>
          <w:rPr>
            <w:rFonts w:asciiTheme="minorHAnsi" w:eastAsiaTheme="minorEastAsia" w:hAnsiTheme="minorHAnsi" w:cstheme="minorBidi"/>
            <w:smallCaps w:val="0"/>
            <w:sz w:val="22"/>
            <w:szCs w:val="22"/>
          </w:rPr>
          <w:tab/>
        </w:r>
        <w:r w:rsidRPr="0080086B">
          <w:rPr>
            <w:rStyle w:val="Hyperlink"/>
            <w:rFonts w:cs="Arial"/>
            <w:lang w:val="de-DE"/>
          </w:rPr>
          <w:t>Nur Abweicher: An verschiedenen Proben erfasste Merkmale</w:t>
        </w:r>
        <w:r>
          <w:rPr>
            <w:webHidden/>
          </w:rPr>
          <w:tab/>
        </w:r>
        <w:r>
          <w:rPr>
            <w:webHidden/>
          </w:rPr>
          <w:fldChar w:fldCharType="begin"/>
        </w:r>
        <w:r>
          <w:rPr>
            <w:webHidden/>
          </w:rPr>
          <w:instrText xml:space="preserve"> PAGEREF _Toc15561071 \h </w:instrText>
        </w:r>
        <w:r>
          <w:rPr>
            <w:webHidden/>
          </w:rPr>
        </w:r>
        <w:r>
          <w:rPr>
            <w:webHidden/>
          </w:rPr>
          <w:fldChar w:fldCharType="separate"/>
        </w:r>
        <w:r>
          <w:rPr>
            <w:webHidden/>
          </w:rPr>
          <w:t>16</w:t>
        </w:r>
        <w:r>
          <w:rPr>
            <w:webHidden/>
          </w:rPr>
          <w:fldChar w:fldCharType="end"/>
        </w:r>
      </w:hyperlink>
    </w:p>
    <w:p w:rsidR="005E1757" w:rsidRDefault="005E1757">
      <w:pPr>
        <w:pStyle w:val="TOC2"/>
        <w:rPr>
          <w:rFonts w:asciiTheme="minorHAnsi" w:eastAsiaTheme="minorEastAsia" w:hAnsiTheme="minorHAnsi" w:cstheme="minorBidi"/>
          <w:smallCaps w:val="0"/>
          <w:sz w:val="22"/>
          <w:szCs w:val="22"/>
        </w:rPr>
      </w:pPr>
      <w:hyperlink w:anchor="_Toc15561072" w:history="1">
        <w:r w:rsidRPr="0080086B">
          <w:rPr>
            <w:rStyle w:val="Hyperlink"/>
            <w:rFonts w:cs="Arial"/>
            <w:lang w:val="de-DE"/>
          </w:rPr>
          <w:t>6.4</w:t>
        </w:r>
        <w:r>
          <w:rPr>
            <w:rFonts w:asciiTheme="minorHAnsi" w:eastAsiaTheme="minorEastAsia" w:hAnsiTheme="minorHAnsi" w:cstheme="minorBidi"/>
            <w:smallCaps w:val="0"/>
            <w:sz w:val="22"/>
            <w:szCs w:val="22"/>
          </w:rPr>
          <w:tab/>
        </w:r>
        <w:r w:rsidRPr="0080086B">
          <w:rPr>
            <w:rStyle w:val="Hyperlink"/>
            <w:rFonts w:cs="Arial"/>
            <w:lang w:val="de-DE"/>
          </w:rPr>
          <w:t>Abweicher und Standardabweichungen</w:t>
        </w:r>
        <w:r>
          <w:rPr>
            <w:webHidden/>
          </w:rPr>
          <w:tab/>
        </w:r>
        <w:r>
          <w:rPr>
            <w:webHidden/>
          </w:rPr>
          <w:fldChar w:fldCharType="begin"/>
        </w:r>
        <w:r>
          <w:rPr>
            <w:webHidden/>
          </w:rPr>
          <w:instrText xml:space="preserve"> PAGEREF _Toc15561072 \h </w:instrText>
        </w:r>
        <w:r>
          <w:rPr>
            <w:webHidden/>
          </w:rPr>
        </w:r>
        <w:r>
          <w:rPr>
            <w:webHidden/>
          </w:rPr>
          <w:fldChar w:fldCharType="separate"/>
        </w:r>
        <w:r>
          <w:rPr>
            <w:webHidden/>
          </w:rPr>
          <w:t>16</w:t>
        </w:r>
        <w:r>
          <w:rPr>
            <w:webHidden/>
          </w:rPr>
          <w:fldChar w:fldCharType="end"/>
        </w:r>
      </w:hyperlink>
    </w:p>
    <w:p w:rsidR="000E2B2C" w:rsidRPr="009D2776" w:rsidRDefault="000E2B2C" w:rsidP="000E2B2C">
      <w:pPr>
        <w:rPr>
          <w:rFonts w:cs="Arial"/>
        </w:rPr>
      </w:pPr>
      <w:r w:rsidRPr="009D2776">
        <w:rPr>
          <w:rFonts w:cs="Arial"/>
        </w:rPr>
        <w:fldChar w:fldCharType="end"/>
      </w:r>
      <w:bookmarkStart w:id="2" w:name="_GoBack"/>
      <w:bookmarkEnd w:id="2"/>
    </w:p>
    <w:p w:rsidR="000E2B2C" w:rsidRPr="009D2776" w:rsidRDefault="000E2B2C" w:rsidP="000E2B2C">
      <w:pPr>
        <w:pStyle w:val="Heading1"/>
        <w:rPr>
          <w:rFonts w:ascii="Arial" w:hAnsi="Arial" w:cs="Arial"/>
        </w:rPr>
      </w:pPr>
      <w:r w:rsidRPr="009D2776">
        <w:rPr>
          <w:rFonts w:ascii="Arial" w:hAnsi="Arial" w:cs="Arial"/>
        </w:rPr>
        <w:br w:type="page"/>
      </w:r>
      <w:bookmarkStart w:id="3" w:name="_Toc127103703"/>
      <w:bookmarkStart w:id="4" w:name="_Toc127699452"/>
      <w:bookmarkStart w:id="5" w:name="_Toc127780600"/>
      <w:bookmarkStart w:id="6" w:name="_Toc127781934"/>
      <w:bookmarkStart w:id="7" w:name="_Toc138650097"/>
      <w:bookmarkStart w:id="8" w:name="_Toc138653628"/>
      <w:bookmarkStart w:id="9" w:name="_Toc159754466"/>
      <w:bookmarkStart w:id="10" w:name="_Toc159810483"/>
      <w:bookmarkStart w:id="11" w:name="_Toc161028370"/>
      <w:bookmarkStart w:id="12" w:name="_Toc189539586"/>
      <w:bookmarkStart w:id="13" w:name="_Toc15561033"/>
      <w:r w:rsidRPr="009D2776">
        <w:rPr>
          <w:rFonts w:ascii="Arial" w:hAnsi="Arial" w:cs="Arial"/>
        </w:rPr>
        <w:lastRenderedPageBreak/>
        <w:t>ABSCHNITT 1:</w:t>
      </w:r>
      <w:r w:rsidRPr="009D2776">
        <w:rPr>
          <w:rFonts w:ascii="Arial" w:hAnsi="Arial" w:cs="Arial"/>
        </w:rPr>
        <w:tab/>
        <w:t>EINLEITUNG</w:t>
      </w:r>
      <w:bookmarkEnd w:id="3"/>
      <w:bookmarkEnd w:id="4"/>
      <w:bookmarkEnd w:id="5"/>
      <w:bookmarkEnd w:id="6"/>
      <w:bookmarkEnd w:id="7"/>
      <w:bookmarkEnd w:id="8"/>
      <w:bookmarkEnd w:id="9"/>
      <w:bookmarkEnd w:id="10"/>
      <w:bookmarkEnd w:id="11"/>
      <w:bookmarkEnd w:id="12"/>
      <w:bookmarkEnd w:id="13"/>
    </w:p>
    <w:p w:rsidR="000E2B2C" w:rsidRPr="009D2776" w:rsidRDefault="000E2B2C" w:rsidP="000E2B2C">
      <w:pPr>
        <w:rPr>
          <w:rFonts w:cs="Arial"/>
        </w:rPr>
      </w:pPr>
      <w:r w:rsidRPr="009D2776">
        <w:rPr>
          <w:rFonts w:cs="Arial"/>
        </w:rPr>
        <w:t>1.1</w:t>
      </w:r>
      <w:r w:rsidRPr="009D2776">
        <w:rPr>
          <w:rFonts w:cs="Arial"/>
        </w:rPr>
        <w:tab/>
        <w:t>Gemäß Artikel 6 Absatz 1 Buchstabe c der Akte von 1961/1972 und 1978 des UPOV</w:t>
      </w:r>
      <w:r w:rsidRPr="009D2776">
        <w:rPr>
          <w:rFonts w:cs="Arial"/>
        </w:rPr>
        <w:noBreakHyphen/>
        <w:t>Übereinkommens wird eine Sorte als homogen angesehen, wenn sie „hinreichend homogen ist; dabei ist den Besonderheiten ihrer generativen oder vegetativen Vermehrung Rechnung zu tragen“. Artikel 8 der Akte von 1991 sieht eine Sorte als homogen an, „wenn sie hinreichend einheitlich in ihren maßgebenden Merkmalen ist, abgesehen von Abweichungen, die aufgrund der Besonderheiten ihrer Vermehrung zu erwarten sind“.</w:t>
      </w:r>
    </w:p>
    <w:p w:rsidR="000E2B2C" w:rsidRPr="009D2776" w:rsidRDefault="000E2B2C" w:rsidP="000E2B2C">
      <w:pPr>
        <w:rPr>
          <w:rFonts w:cs="Arial"/>
        </w:rPr>
      </w:pPr>
    </w:p>
    <w:p w:rsidR="000E2B2C" w:rsidRPr="009D2776" w:rsidRDefault="000E2B2C" w:rsidP="000E2B2C">
      <w:pPr>
        <w:rPr>
          <w:rFonts w:cs="Arial"/>
        </w:rPr>
      </w:pPr>
      <w:r w:rsidRPr="009D2776">
        <w:rPr>
          <w:rFonts w:cs="Arial"/>
        </w:rPr>
        <w:t>1.2</w:t>
      </w:r>
      <w:r w:rsidRPr="009D2776">
        <w:rPr>
          <w:rFonts w:cs="Arial"/>
        </w:rPr>
        <w:tab/>
        <w:t>Die „Allgemeine Einführung zur Prüfung auf Unterscheidbarkeit, Homogenität und Beständigkeit und zur Erarbeitung harmonisierter Beschreibungen von neuen Pflanzensorten“ (Dokument TG/1/3), nachstehend die „Allgemeine Einführung“, Kapitel 6.2, stellt klar: „Die maßgebenden Merkmale einer Sorte umfassen mindestens alle Merkmale, die für die DUS</w:t>
      </w:r>
      <w:r w:rsidRPr="009D2776">
        <w:rPr>
          <w:rFonts w:cs="Arial"/>
        </w:rPr>
        <w:noBreakHyphen/>
        <w:t>Prüfung verwendet werden oder die zum Zeitpunkt der Erteilung des Schutzes für diese Sorte in der Sortenbeschreibung enthalten sind. Daher können alle offensichtlichen Merkmale als maßgebend betrachtet werden, ungeachtet dessen, ob sie in den Prüfungsrichtlinien erscheinen oder nicht.“ Daher obliegt es der Behörde zu entscheiden, welche anderen Merkmale, die für die Homogenität und Beständigkeit ebenfalls geprüft werden müssen, sie zusätzlich zu den in den UPOV-Prüfungsrichtlinien oder in den nationalen Richtlinien enthaltenen Merkmalen in ihre Unterscheidbarkeitsprüfung einbeziehen kann.</w:t>
      </w:r>
    </w:p>
    <w:p w:rsidR="000E2B2C" w:rsidRPr="009D2776" w:rsidRDefault="000E2B2C" w:rsidP="000E2B2C">
      <w:pPr>
        <w:rPr>
          <w:rFonts w:cs="Arial"/>
        </w:rPr>
      </w:pPr>
    </w:p>
    <w:p w:rsidR="000E2B2C" w:rsidRPr="009D2776" w:rsidRDefault="000E2B2C" w:rsidP="000E2B2C">
      <w:pPr>
        <w:rPr>
          <w:rFonts w:cs="Arial"/>
          <w:sz w:val="22"/>
        </w:rPr>
      </w:pPr>
      <w:r w:rsidRPr="009D2776">
        <w:rPr>
          <w:rFonts w:cs="Arial"/>
        </w:rPr>
        <w:t>1.3</w:t>
      </w:r>
      <w:r w:rsidRPr="009D2776">
        <w:rPr>
          <w:rFonts w:cs="Arial"/>
        </w:rPr>
        <w:tab/>
        <w:t>Dieses Dokument legt dar, wie die Variation bei der Ausprägung der maßgebenden Merkmale innerhalb von Sorten als Grundlage für die Prüfung der Homogenität benutzt wird, und vermittelt einen Überblick über die beiden hauptsächlichen Vorgehensweisen zur Prüfung der Homogenität, nämlich Abweicher und Standardabweichungen. Einzelheiten zu einigen der Verfahren, die bei diesem Vorgehen angewandt werden, sind in Dokument TGP/8, „Prüfungsanlage und Verfahren für die Prüfung der Unterscheidbarkeit, der Homogenität und der Beständigkeit“ (Dokument TGP/8), enthalten, und in den entsprechenden Abschnitten dieses Dokuments sind Querverweise angegeben.</w:t>
      </w:r>
    </w:p>
    <w:p w:rsidR="000E2B2C" w:rsidRPr="009D2776" w:rsidRDefault="000E2B2C" w:rsidP="000E2B2C">
      <w:pPr>
        <w:rPr>
          <w:rFonts w:cs="Arial"/>
        </w:rPr>
      </w:pPr>
    </w:p>
    <w:p w:rsidR="000E2B2C" w:rsidRPr="009D2776" w:rsidRDefault="000E2B2C" w:rsidP="000E2B2C">
      <w:pPr>
        <w:rPr>
          <w:rFonts w:cs="Arial"/>
        </w:rPr>
      </w:pPr>
    </w:p>
    <w:p w:rsidR="000E2B2C" w:rsidRPr="009D2776" w:rsidRDefault="000E2B2C" w:rsidP="000E2B2C">
      <w:pPr>
        <w:rPr>
          <w:rFonts w:cs="Arial"/>
        </w:rPr>
      </w:pPr>
    </w:p>
    <w:p w:rsidR="000E2B2C" w:rsidRPr="009D2776" w:rsidRDefault="000E2B2C" w:rsidP="000E2B2C">
      <w:pPr>
        <w:pStyle w:val="Heading1"/>
        <w:rPr>
          <w:rFonts w:ascii="Arial" w:hAnsi="Arial" w:cs="Arial"/>
        </w:rPr>
      </w:pPr>
      <w:r w:rsidRPr="009D2776">
        <w:rPr>
          <w:rFonts w:ascii="Arial" w:hAnsi="Arial" w:cs="Arial"/>
          <w:i/>
          <w:caps w:val="0"/>
        </w:rPr>
        <w:br w:type="page"/>
      </w:r>
      <w:bookmarkStart w:id="14" w:name="_Toc127103704"/>
      <w:bookmarkStart w:id="15" w:name="_Toc127699453"/>
      <w:bookmarkStart w:id="16" w:name="_Toc127780601"/>
      <w:bookmarkStart w:id="17" w:name="_Toc127781935"/>
      <w:bookmarkStart w:id="18" w:name="_Toc138650098"/>
      <w:bookmarkStart w:id="19" w:name="_Toc138653629"/>
      <w:bookmarkStart w:id="20" w:name="_Toc159754467"/>
      <w:bookmarkStart w:id="21" w:name="_Toc159810484"/>
      <w:bookmarkStart w:id="22" w:name="_Toc161028371"/>
      <w:bookmarkStart w:id="23" w:name="_Toc189539587"/>
      <w:bookmarkStart w:id="24" w:name="_Toc15561034"/>
      <w:r w:rsidRPr="009D2776">
        <w:rPr>
          <w:rFonts w:ascii="Arial" w:hAnsi="Arial" w:cs="Arial"/>
        </w:rPr>
        <w:lastRenderedPageBreak/>
        <w:t>abschnitt 2:</w:t>
      </w:r>
      <w:r w:rsidRPr="009D2776">
        <w:rPr>
          <w:rFonts w:ascii="Arial" w:hAnsi="Arial" w:cs="Arial"/>
        </w:rPr>
        <w:tab/>
        <w:t>Variation in DER AUSPRÄGUNG DER MERKMALE</w:t>
      </w:r>
      <w:bookmarkEnd w:id="14"/>
      <w:bookmarkEnd w:id="15"/>
      <w:bookmarkEnd w:id="16"/>
      <w:bookmarkEnd w:id="17"/>
      <w:bookmarkEnd w:id="18"/>
      <w:bookmarkEnd w:id="19"/>
      <w:bookmarkEnd w:id="20"/>
      <w:bookmarkEnd w:id="21"/>
      <w:bookmarkEnd w:id="22"/>
      <w:bookmarkEnd w:id="23"/>
      <w:r w:rsidRPr="009D2776">
        <w:rPr>
          <w:rFonts w:ascii="Arial" w:hAnsi="Arial" w:cs="Arial"/>
        </w:rPr>
        <w:t xml:space="preserve"> INNERHALB VON SORTEN</w:t>
      </w:r>
      <w:bookmarkEnd w:id="24"/>
    </w:p>
    <w:p w:rsidR="000E2B2C" w:rsidRPr="009D2776" w:rsidRDefault="000E2B2C" w:rsidP="000E2B2C">
      <w:pPr>
        <w:pStyle w:val="Heading2"/>
        <w:rPr>
          <w:rFonts w:cs="Arial"/>
          <w:lang w:val="de-DE"/>
        </w:rPr>
      </w:pPr>
      <w:bookmarkStart w:id="25" w:name="_Toc127103705"/>
      <w:bookmarkStart w:id="26" w:name="_Toc127699454"/>
      <w:bookmarkStart w:id="27" w:name="_Toc127780602"/>
      <w:bookmarkStart w:id="28" w:name="_Toc127781936"/>
      <w:bookmarkStart w:id="29" w:name="_Toc138650099"/>
      <w:bookmarkStart w:id="30" w:name="_Toc138653630"/>
      <w:bookmarkStart w:id="31" w:name="_Toc159754468"/>
      <w:bookmarkStart w:id="32" w:name="_Toc159810485"/>
      <w:bookmarkStart w:id="33" w:name="_Toc161028372"/>
      <w:bookmarkStart w:id="34" w:name="_Toc189539588"/>
      <w:bookmarkStart w:id="35" w:name="_Toc15561035"/>
      <w:r w:rsidRPr="009D2776">
        <w:rPr>
          <w:rFonts w:cs="Arial"/>
          <w:lang w:val="de-DE"/>
        </w:rPr>
        <w:t>2.1</w:t>
      </w:r>
      <w:r w:rsidRPr="009D2776">
        <w:rPr>
          <w:rFonts w:cs="Arial"/>
          <w:lang w:val="de-DE"/>
        </w:rPr>
        <w:tab/>
        <w:t>Einleitung</w:t>
      </w:r>
      <w:bookmarkEnd w:id="25"/>
      <w:bookmarkEnd w:id="26"/>
      <w:bookmarkEnd w:id="27"/>
      <w:bookmarkEnd w:id="28"/>
      <w:bookmarkEnd w:id="29"/>
      <w:bookmarkEnd w:id="30"/>
      <w:bookmarkEnd w:id="31"/>
      <w:bookmarkEnd w:id="32"/>
      <w:bookmarkEnd w:id="33"/>
      <w:bookmarkEnd w:id="34"/>
      <w:bookmarkEnd w:id="35"/>
    </w:p>
    <w:p w:rsidR="000E2B2C" w:rsidRPr="009D2776" w:rsidRDefault="000E2B2C" w:rsidP="000E2B2C">
      <w:pPr>
        <w:rPr>
          <w:rFonts w:cs="Arial"/>
        </w:rPr>
      </w:pPr>
      <w:r w:rsidRPr="009D2776">
        <w:rPr>
          <w:rFonts w:cs="Arial"/>
        </w:rPr>
        <w:t xml:space="preserve">Die Variation in der Ausprägung der maßgebenden Merkmale innerhalb von Sorten bildet die Grundlage für die Prüfung der Homogenität. Diese Variation weist sowohl genetische Komponenten als auch Umweltkomponenten (z B. Temperatur, Licht, Boden usw.) auf. Das Niveau der umweltbedingten Variation hängt von der Wechselwirkung zwischen den einzelnen Pflanzen und der Umwelt ab und wird vom Ausprägungstyp des Merkmals </w:t>
      </w:r>
      <w:r w:rsidR="009912DD" w:rsidRPr="009D2776">
        <w:rPr>
          <w:rFonts w:cs="Arial"/>
        </w:rPr>
        <w:t>beeinflusst</w:t>
      </w:r>
      <w:r w:rsidRPr="009D2776">
        <w:rPr>
          <w:rFonts w:cs="Arial"/>
        </w:rPr>
        <w:t>. Die genetische Komponente ist hauptsächlich durch die Besonderheiten der Vermehrung bedingt.</w:t>
      </w:r>
    </w:p>
    <w:p w:rsidR="000E2B2C" w:rsidRPr="009D2776" w:rsidRDefault="000E2B2C" w:rsidP="000E2B2C">
      <w:pPr>
        <w:pStyle w:val="EndnoteText"/>
        <w:rPr>
          <w:rFonts w:cs="Arial"/>
        </w:rPr>
      </w:pPr>
    </w:p>
    <w:p w:rsidR="000E2B2C" w:rsidRPr="009D2776" w:rsidRDefault="000E2B2C" w:rsidP="000E2B2C">
      <w:pPr>
        <w:pStyle w:val="Heading2"/>
        <w:rPr>
          <w:rFonts w:cs="Arial"/>
          <w:lang w:val="de-DE"/>
        </w:rPr>
      </w:pPr>
      <w:bookmarkStart w:id="36" w:name="_Toc127103706"/>
      <w:bookmarkStart w:id="37" w:name="_Toc127699455"/>
      <w:bookmarkStart w:id="38" w:name="_Toc127780603"/>
      <w:bookmarkStart w:id="39" w:name="_Toc127781937"/>
      <w:bookmarkStart w:id="40" w:name="_Toc138650100"/>
      <w:bookmarkStart w:id="41" w:name="_Toc138653631"/>
      <w:bookmarkStart w:id="42" w:name="_Toc159754469"/>
      <w:bookmarkStart w:id="43" w:name="_Toc159810486"/>
      <w:bookmarkStart w:id="44" w:name="_Toc161028373"/>
      <w:bookmarkStart w:id="45" w:name="_Toc189539589"/>
      <w:bookmarkStart w:id="46" w:name="_Toc15561036"/>
      <w:r w:rsidRPr="009D2776">
        <w:rPr>
          <w:rFonts w:cs="Arial"/>
          <w:lang w:val="de-DE"/>
        </w:rPr>
        <w:t>2.2</w:t>
      </w:r>
      <w:r w:rsidRPr="009D2776">
        <w:rPr>
          <w:rFonts w:cs="Arial"/>
          <w:lang w:val="de-DE"/>
        </w:rPr>
        <w:tab/>
        <w:t>Ausprägungstyp des Merkmals</w:t>
      </w:r>
      <w:bookmarkEnd w:id="36"/>
      <w:bookmarkEnd w:id="37"/>
      <w:bookmarkEnd w:id="38"/>
      <w:bookmarkEnd w:id="39"/>
      <w:bookmarkEnd w:id="40"/>
      <w:bookmarkEnd w:id="41"/>
      <w:bookmarkEnd w:id="42"/>
      <w:bookmarkEnd w:id="43"/>
      <w:bookmarkEnd w:id="44"/>
      <w:bookmarkEnd w:id="45"/>
      <w:bookmarkEnd w:id="46"/>
    </w:p>
    <w:p w:rsidR="000E2B2C" w:rsidRPr="009D2776" w:rsidRDefault="000E2B2C" w:rsidP="000E2B2C">
      <w:pPr>
        <w:pStyle w:val="EndnoteText"/>
        <w:tabs>
          <w:tab w:val="num" w:pos="567"/>
        </w:tabs>
        <w:rPr>
          <w:rFonts w:cs="Arial"/>
        </w:rPr>
      </w:pPr>
      <w:r w:rsidRPr="009D2776">
        <w:rPr>
          <w:rFonts w:cs="Arial"/>
        </w:rPr>
        <w:t xml:space="preserve">Bei quantitativen und pseudoqualitativen Merkmalen kann das Niveau der umweltbedingten Variation von Art zu Art und von Merkmal zu Merkmal verschieden sein. In der Regel werden die Ausprägungsstufen der qualitativen Merkmale von der Umwelt nicht </w:t>
      </w:r>
      <w:r w:rsidR="009912DD" w:rsidRPr="009D2776">
        <w:rPr>
          <w:rFonts w:cs="Arial"/>
        </w:rPr>
        <w:t>beeinflusst</w:t>
      </w:r>
      <w:r w:rsidRPr="009D2776">
        <w:rPr>
          <w:rFonts w:cs="Arial"/>
        </w:rPr>
        <w:t>.</w:t>
      </w:r>
    </w:p>
    <w:p w:rsidR="000E2B2C" w:rsidRPr="009D2776" w:rsidRDefault="000E2B2C" w:rsidP="000E2B2C">
      <w:pPr>
        <w:pStyle w:val="EndnoteText"/>
        <w:rPr>
          <w:rFonts w:cs="Arial"/>
        </w:rPr>
      </w:pPr>
    </w:p>
    <w:p w:rsidR="000E2B2C" w:rsidRPr="009D2776" w:rsidRDefault="000E2B2C" w:rsidP="000E2B2C">
      <w:pPr>
        <w:pStyle w:val="Heading2"/>
        <w:rPr>
          <w:rFonts w:cs="Arial"/>
          <w:lang w:val="de-DE"/>
        </w:rPr>
      </w:pPr>
      <w:bookmarkStart w:id="47" w:name="_Toc127103707"/>
      <w:bookmarkStart w:id="48" w:name="_Toc127699456"/>
      <w:bookmarkStart w:id="49" w:name="_Toc127780604"/>
      <w:bookmarkStart w:id="50" w:name="_Toc127781938"/>
      <w:bookmarkStart w:id="51" w:name="_Toc138650101"/>
      <w:bookmarkStart w:id="52" w:name="_Toc138653632"/>
      <w:bookmarkStart w:id="53" w:name="_Toc159754470"/>
      <w:bookmarkStart w:id="54" w:name="_Toc159810487"/>
      <w:bookmarkStart w:id="55" w:name="_Toc161028374"/>
      <w:bookmarkStart w:id="56" w:name="_Toc189539590"/>
      <w:bookmarkStart w:id="57" w:name="_Toc15561037"/>
      <w:r w:rsidRPr="009D2776">
        <w:rPr>
          <w:rFonts w:cs="Arial"/>
          <w:lang w:val="de-DE"/>
        </w:rPr>
        <w:t>2.3</w:t>
      </w:r>
      <w:r w:rsidRPr="009D2776">
        <w:rPr>
          <w:rFonts w:cs="Arial"/>
          <w:lang w:val="de-DE"/>
        </w:rPr>
        <w:tab/>
        <w:t>Besonderheiten der Vermehrung der Sorte</w:t>
      </w:r>
      <w:bookmarkEnd w:id="47"/>
      <w:bookmarkEnd w:id="48"/>
      <w:bookmarkEnd w:id="49"/>
      <w:bookmarkEnd w:id="50"/>
      <w:bookmarkEnd w:id="51"/>
      <w:bookmarkEnd w:id="52"/>
      <w:bookmarkEnd w:id="53"/>
      <w:bookmarkEnd w:id="54"/>
      <w:bookmarkEnd w:id="55"/>
      <w:bookmarkEnd w:id="56"/>
      <w:bookmarkEnd w:id="57"/>
    </w:p>
    <w:p w:rsidR="000E2B2C" w:rsidRPr="009D2776" w:rsidRDefault="000E2B2C" w:rsidP="000E2B2C">
      <w:pPr>
        <w:rPr>
          <w:rFonts w:cs="Arial"/>
        </w:rPr>
      </w:pPr>
      <w:r w:rsidRPr="009D2776">
        <w:rPr>
          <w:rFonts w:cs="Arial"/>
        </w:rPr>
        <w:t>2.3.1</w:t>
      </w:r>
      <w:r w:rsidRPr="009D2776">
        <w:rPr>
          <w:rFonts w:cs="Arial"/>
        </w:rPr>
        <w:tab/>
        <w:t xml:space="preserve">In </w:t>
      </w:r>
      <w:r w:rsidR="009912DD" w:rsidRPr="009D2776">
        <w:rPr>
          <w:rFonts w:cs="Arial"/>
        </w:rPr>
        <w:t>Bezug</w:t>
      </w:r>
      <w:r w:rsidRPr="009D2776">
        <w:rPr>
          <w:rFonts w:cs="Arial"/>
        </w:rPr>
        <w:t xml:space="preserve"> auf die genetische Variation und die Besonderheiten der Vermehrung einer Sorte,</w:t>
      </w:r>
    </w:p>
    <w:p w:rsidR="000E2B2C" w:rsidRPr="009D2776" w:rsidRDefault="000E2B2C" w:rsidP="000E2B2C">
      <w:pPr>
        <w:rPr>
          <w:rFonts w:cs="Arial"/>
        </w:rPr>
      </w:pPr>
    </w:p>
    <w:p w:rsidR="000E2B2C" w:rsidRPr="009D2776" w:rsidRDefault="000E2B2C" w:rsidP="000E2B2C">
      <w:pPr>
        <w:tabs>
          <w:tab w:val="left" w:pos="1418"/>
        </w:tabs>
        <w:ind w:firstLine="851"/>
        <w:rPr>
          <w:rFonts w:cs="Arial"/>
        </w:rPr>
      </w:pPr>
      <w:r w:rsidRPr="009D2776">
        <w:rPr>
          <w:rFonts w:cs="Arial"/>
        </w:rPr>
        <w:t>a)</w:t>
      </w:r>
      <w:r w:rsidRPr="009D2776">
        <w:rPr>
          <w:rFonts w:cs="Arial"/>
        </w:rPr>
        <w:tab/>
        <w:t>wird bei vegetativ vermehrten Sorten und eindeutig selbstbefruchtenden Sorten eine geringere genetische Variation erwartet. Die Variation in der Ausprägung der Merkmale innerhalb dieser Sorten sollte vorwiegend aus Umwelteinflüssen resultieren;</w:t>
      </w:r>
    </w:p>
    <w:p w:rsidR="000E2B2C" w:rsidRPr="009D2776" w:rsidRDefault="000E2B2C" w:rsidP="000E2B2C">
      <w:pPr>
        <w:tabs>
          <w:tab w:val="left" w:pos="1418"/>
        </w:tabs>
        <w:ind w:firstLine="851"/>
        <w:rPr>
          <w:rFonts w:cs="Arial"/>
        </w:rPr>
      </w:pPr>
    </w:p>
    <w:p w:rsidR="000E2B2C" w:rsidRPr="009D2776" w:rsidRDefault="000E2B2C" w:rsidP="000E2B2C">
      <w:pPr>
        <w:tabs>
          <w:tab w:val="left" w:pos="1418"/>
        </w:tabs>
        <w:ind w:firstLine="851"/>
        <w:rPr>
          <w:rFonts w:cs="Arial"/>
        </w:rPr>
      </w:pPr>
      <w:r w:rsidRPr="009D2776">
        <w:rPr>
          <w:rFonts w:cs="Arial"/>
        </w:rPr>
        <w:t>b)</w:t>
      </w:r>
      <w:r w:rsidRPr="009D2776">
        <w:rPr>
          <w:rFonts w:cs="Arial"/>
        </w:rPr>
        <w:tab/>
        <w:t xml:space="preserve">wird bei überwiegend selbstbefruchtenden Sorten eine geringe genetische Variation aufgrund eines gewissen Maßes an Fremdbefruchtung akzeptiert,  doch sollte die Variation der Ausprägung der Merkmale innerhalb dieser Sorten vorwiegend umweltbedingt sein. Bei überwiegend selbstbefruchtenden Sorten kann eine stärkere Variation als bei vegetativ vermehrten und eindeutig selbstbefruchtenden Sorten toleriert werden; </w:t>
      </w:r>
    </w:p>
    <w:p w:rsidR="000E2B2C" w:rsidRPr="009D2776" w:rsidRDefault="000E2B2C" w:rsidP="000E2B2C">
      <w:pPr>
        <w:tabs>
          <w:tab w:val="left" w:pos="1418"/>
        </w:tabs>
        <w:ind w:firstLine="851"/>
        <w:rPr>
          <w:rFonts w:cs="Arial"/>
        </w:rPr>
      </w:pPr>
    </w:p>
    <w:p w:rsidR="000E2B2C" w:rsidRPr="009D2776" w:rsidRDefault="000E2B2C" w:rsidP="000E2B2C">
      <w:pPr>
        <w:tabs>
          <w:tab w:val="left" w:pos="1418"/>
        </w:tabs>
        <w:ind w:firstLine="851"/>
        <w:rPr>
          <w:rFonts w:cs="Arial"/>
        </w:rPr>
      </w:pPr>
      <w:r w:rsidRPr="009D2776">
        <w:rPr>
          <w:rFonts w:cs="Arial"/>
        </w:rPr>
        <w:t>c)</w:t>
      </w:r>
      <w:r w:rsidRPr="009D2776">
        <w:rPr>
          <w:rFonts w:cs="Arial"/>
        </w:rPr>
        <w:tab/>
        <w:t xml:space="preserve">wird bei fremdbefruchtenden Sorten (einschließlich synthetischer Sorten) eine höhere genetische Variation als bei vegetativ vermehrten und selbstbefruchtenden Sorten erwartet. Die Variation der Ausprägung der Merkmale innerhalb dieser Sorten ergibt sich sowohl aus genetischen als auch aus Umweltkomponenten. Das Gesamtniveau der Variation ist daher in der Regel bei fremdbefruchtenden und synthetischen Sorten höher als bei vegetativ vermehrten und eindeutig selbstbefruchtenden Sorten; </w:t>
      </w:r>
    </w:p>
    <w:p w:rsidR="000E2B2C" w:rsidRPr="009D2776" w:rsidRDefault="000E2B2C" w:rsidP="000E2B2C">
      <w:pPr>
        <w:tabs>
          <w:tab w:val="left" w:pos="1418"/>
        </w:tabs>
        <w:ind w:firstLine="851"/>
        <w:rPr>
          <w:rFonts w:cs="Arial"/>
        </w:rPr>
      </w:pPr>
    </w:p>
    <w:p w:rsidR="000E2B2C" w:rsidRPr="009D2776" w:rsidRDefault="000E2B2C" w:rsidP="000E2B2C">
      <w:pPr>
        <w:tabs>
          <w:tab w:val="left" w:pos="1418"/>
        </w:tabs>
        <w:ind w:firstLine="851"/>
        <w:rPr>
          <w:rFonts w:cs="Arial"/>
        </w:rPr>
      </w:pPr>
      <w:r w:rsidRPr="009D2776">
        <w:rPr>
          <w:rFonts w:cs="Arial"/>
        </w:rPr>
        <w:t>d)</w:t>
      </w:r>
      <w:r w:rsidRPr="009D2776">
        <w:rPr>
          <w:rFonts w:cs="Arial"/>
        </w:rPr>
        <w:tab/>
        <w:t>hängt die genetische Variation innerhalb von Hybridsorten vom Typ der Hybride (Einfach- oder Mehrfachhybride), vom Niveau der genetischen Variation der Elternlinien (Inzuchtlinien oder sonstige) und vom System zur Erzeugung von Hybridsaatgut (mechanische Emaskulation, System der männlichen Sterilität usw.) ab. Die Toleranzgrenzen für die Homogenität von Hybridsorten werden gemäß der spezifischen Situation gesetzt, die sich aus genetischen und Umwelteinflüssen auf die Variation der Ausprägung der Merkmale ergibt.</w:t>
      </w:r>
    </w:p>
    <w:p w:rsidR="000E2B2C" w:rsidRPr="009D2776" w:rsidRDefault="000E2B2C" w:rsidP="000E2B2C">
      <w:pPr>
        <w:rPr>
          <w:rFonts w:cs="Arial"/>
        </w:rPr>
      </w:pPr>
    </w:p>
    <w:p w:rsidR="000E2B2C" w:rsidRPr="009D2776" w:rsidRDefault="000E2B2C" w:rsidP="000E2B2C">
      <w:pPr>
        <w:rPr>
          <w:rFonts w:cs="Arial"/>
        </w:rPr>
      </w:pPr>
      <w:r w:rsidRPr="009D2776">
        <w:rPr>
          <w:rFonts w:cs="Arial"/>
        </w:rPr>
        <w:t>2.3.2</w:t>
      </w:r>
      <w:r w:rsidRPr="009D2776">
        <w:rPr>
          <w:rFonts w:cs="Arial"/>
        </w:rPr>
        <w:tab/>
        <w:t>Wie in Abschnitt 1 erwähnt, schreibt das UPOV</w:t>
      </w:r>
      <w:r w:rsidRPr="009D2776">
        <w:rPr>
          <w:rFonts w:cs="Arial"/>
        </w:rPr>
        <w:noBreakHyphen/>
        <w:t xml:space="preserve">Übereinkommen vor, </w:t>
      </w:r>
      <w:r w:rsidR="009912DD" w:rsidRPr="009D2776">
        <w:rPr>
          <w:rFonts w:cs="Arial"/>
        </w:rPr>
        <w:t>dass</w:t>
      </w:r>
      <w:r w:rsidRPr="009D2776">
        <w:rPr>
          <w:rFonts w:cs="Arial"/>
        </w:rPr>
        <w:t xml:space="preserve"> die Prüfung der Homogenität einer Sorte aufgrund der „… Abweichungen, die aufgrund der Besonderheiten ihrer Vermehrung zu erwarten sind …“, erfolgt. Die Allgemeine Einführung, Kapitel 6.4, erläutert daher: „Sind sich alle Pflanzen einer Sorte sehr ähnlich, insbesondere bei vegetativ vermehrten und selbstbefruchtenden Sorten, ist es möglich, die Homogenität aufgrund der Anzahl der auftretenden, offensichtlich verschiedenen Pflanzen – „der Abweicher“– zu prüfen. Ist das Variationsnivea</w:t>
      </w:r>
      <w:bookmarkStart w:id="58" w:name="_Ref157567935"/>
      <w:r w:rsidRPr="009D2776">
        <w:rPr>
          <w:rFonts w:cs="Arial"/>
        </w:rPr>
        <w:t>u</w:t>
      </w:r>
      <w:bookmarkStart w:id="59" w:name="_Ref189560423"/>
      <w:bookmarkEnd w:id="58"/>
      <w:r w:rsidRPr="009D2776">
        <w:rPr>
          <w:rStyle w:val="FootnoteReference"/>
          <w:rFonts w:cs="Arial"/>
        </w:rPr>
        <w:footnoteReference w:id="2"/>
      </w:r>
      <w:bookmarkEnd w:id="59"/>
      <w:r w:rsidRPr="009D2776">
        <w:rPr>
          <w:rFonts w:cs="Arial"/>
        </w:rPr>
        <w:t xml:space="preserve"> innerhalb einer Sorte infolge der Besonderheiten ihrer Vermehrung, insbesondere bei fremdbefruchtenden, einschließlich synthetischen, Sorten, jedoch größer, so sind sich nicht alle Pflanzen sehr ähnlich, und es ist nicht möglich zu veranschaulichen, welche Pflanzen als atypisch oder als „Abweicher“ zu betrachten sind. In diesem Falle </w:t>
      </w:r>
      <w:r w:rsidR="009912DD" w:rsidRPr="009D2776">
        <w:rPr>
          <w:rFonts w:cs="Arial"/>
        </w:rPr>
        <w:t>lässt</w:t>
      </w:r>
      <w:r w:rsidRPr="009D2776">
        <w:rPr>
          <w:rFonts w:cs="Arial"/>
        </w:rPr>
        <w:t xml:space="preserve"> sich die Homogenität prüfen, indem das gesamte Variationsniveau</w:t>
      </w:r>
      <w:r w:rsidRPr="009D2776">
        <w:rPr>
          <w:rFonts w:cs="Arial"/>
          <w:vertAlign w:val="superscript"/>
        </w:rPr>
        <w:fldChar w:fldCharType="begin"/>
      </w:r>
      <w:r w:rsidRPr="009D2776">
        <w:rPr>
          <w:rFonts w:cs="Arial"/>
          <w:vertAlign w:val="superscript"/>
        </w:rPr>
        <w:instrText xml:space="preserve"> NOTEREF _Ref189560423 \h  \* MERGEFORMAT </w:instrText>
      </w:r>
      <w:r w:rsidRPr="009D2776">
        <w:rPr>
          <w:rFonts w:cs="Arial"/>
          <w:vertAlign w:val="superscript"/>
        </w:rPr>
      </w:r>
      <w:r w:rsidRPr="009D2776">
        <w:rPr>
          <w:rFonts w:cs="Arial"/>
          <w:vertAlign w:val="superscript"/>
        </w:rPr>
        <w:fldChar w:fldCharType="separate"/>
      </w:r>
      <w:r w:rsidR="005E1757">
        <w:rPr>
          <w:rFonts w:cs="Arial"/>
          <w:vertAlign w:val="superscript"/>
        </w:rPr>
        <w:t>1</w:t>
      </w:r>
      <w:r w:rsidRPr="009D2776">
        <w:rPr>
          <w:rFonts w:cs="Arial"/>
          <w:vertAlign w:val="superscript"/>
        </w:rPr>
        <w:fldChar w:fldCharType="end"/>
      </w:r>
      <w:r w:rsidRPr="009D2776">
        <w:rPr>
          <w:rFonts w:cs="Arial"/>
        </w:rPr>
        <w:t xml:space="preserve"> über allen Einzelpflanzen </w:t>
      </w:r>
      <w:r w:rsidR="009912DD" w:rsidRPr="009D2776">
        <w:rPr>
          <w:rFonts w:cs="Arial"/>
        </w:rPr>
        <w:t>erfasst</w:t>
      </w:r>
      <w:r w:rsidRPr="009D2776">
        <w:rPr>
          <w:rFonts w:cs="Arial"/>
        </w:rPr>
        <w:t xml:space="preserve"> wird, um zu beurteilen, ob es bei vergleichbaren Sorten ähnlich ist.“</w:t>
      </w:r>
    </w:p>
    <w:p w:rsidR="000E2B2C" w:rsidRPr="009D2776" w:rsidRDefault="000E2B2C" w:rsidP="000E2B2C">
      <w:pPr>
        <w:rPr>
          <w:rFonts w:cs="Arial"/>
        </w:rPr>
      </w:pPr>
    </w:p>
    <w:p w:rsidR="000E2B2C" w:rsidRPr="009D2776" w:rsidRDefault="000E2B2C" w:rsidP="000E2B2C">
      <w:pPr>
        <w:rPr>
          <w:rFonts w:cs="Arial"/>
        </w:rPr>
      </w:pPr>
      <w:r w:rsidRPr="009D2776">
        <w:rPr>
          <w:rFonts w:cs="Arial"/>
        </w:rPr>
        <w:t>2.3.3</w:t>
      </w:r>
      <w:r w:rsidRPr="009D2776">
        <w:rPr>
          <w:rFonts w:cs="Arial"/>
        </w:rPr>
        <w:tab/>
        <w:t xml:space="preserve">Die Prüfung der Homogenität mit dem Abweicherverfahren und unter Berücksichtigung des </w:t>
      </w:r>
      <w:r w:rsidRPr="009D2776">
        <w:rPr>
          <w:rFonts w:cs="Arial"/>
          <w:spacing w:val="-2"/>
        </w:rPr>
        <w:t>gesamten Variationsniveaus</w:t>
      </w:r>
      <w:r w:rsidRPr="009D2776">
        <w:rPr>
          <w:rFonts w:cs="Arial"/>
          <w:spacing w:val="-2"/>
          <w:vertAlign w:val="superscript"/>
        </w:rPr>
        <w:fldChar w:fldCharType="begin"/>
      </w:r>
      <w:r w:rsidRPr="009D2776">
        <w:rPr>
          <w:rFonts w:cs="Arial"/>
          <w:spacing w:val="-2"/>
          <w:vertAlign w:val="superscript"/>
        </w:rPr>
        <w:instrText xml:space="preserve"> NOTEREF _Ref189560423 \h  \* MERGEFORMAT </w:instrText>
      </w:r>
      <w:r w:rsidRPr="009D2776">
        <w:rPr>
          <w:rFonts w:cs="Arial"/>
          <w:spacing w:val="-2"/>
          <w:vertAlign w:val="superscript"/>
        </w:rPr>
      </w:r>
      <w:r w:rsidRPr="009D2776">
        <w:rPr>
          <w:rFonts w:cs="Arial"/>
          <w:spacing w:val="-2"/>
          <w:vertAlign w:val="superscript"/>
        </w:rPr>
        <w:fldChar w:fldCharType="separate"/>
      </w:r>
      <w:r w:rsidR="005E1757">
        <w:rPr>
          <w:rFonts w:cs="Arial"/>
          <w:spacing w:val="-2"/>
          <w:vertAlign w:val="superscript"/>
        </w:rPr>
        <w:t>1</w:t>
      </w:r>
      <w:r w:rsidRPr="009D2776">
        <w:rPr>
          <w:rFonts w:cs="Arial"/>
          <w:spacing w:val="-2"/>
          <w:vertAlign w:val="superscript"/>
        </w:rPr>
        <w:fldChar w:fldCharType="end"/>
      </w:r>
      <w:r w:rsidRPr="009D2776">
        <w:rPr>
          <w:rFonts w:cs="Arial"/>
          <w:spacing w:val="-2"/>
        </w:rPr>
        <w:t xml:space="preserve"> (Verfahren der „Standardabweichungen“) ist in den Abschnitten 4 bzw. 5 dargelegt.</w:t>
      </w:r>
    </w:p>
    <w:p w:rsidR="000E2B2C" w:rsidRPr="009D2776" w:rsidRDefault="000E2B2C" w:rsidP="000E2B2C">
      <w:pPr>
        <w:rPr>
          <w:rFonts w:cs="Arial"/>
        </w:rPr>
      </w:pPr>
    </w:p>
    <w:p w:rsidR="000E2B2C" w:rsidRPr="009D2776" w:rsidRDefault="000E2B2C" w:rsidP="000E2B2C">
      <w:pPr>
        <w:pStyle w:val="Heading2"/>
        <w:rPr>
          <w:rFonts w:cs="Arial"/>
          <w:lang w:val="de-DE"/>
        </w:rPr>
      </w:pPr>
      <w:bookmarkStart w:id="60" w:name="_Toc127103708"/>
      <w:bookmarkStart w:id="61" w:name="_Toc127699457"/>
      <w:bookmarkStart w:id="62" w:name="_Toc127780605"/>
      <w:bookmarkStart w:id="63" w:name="_Toc127781939"/>
      <w:bookmarkStart w:id="64" w:name="_Toc138650102"/>
      <w:bookmarkStart w:id="65" w:name="_Toc138653633"/>
      <w:bookmarkStart w:id="66" w:name="_Toc159754471"/>
      <w:bookmarkStart w:id="67" w:name="_Toc159810488"/>
      <w:bookmarkStart w:id="68" w:name="_Toc161028375"/>
      <w:bookmarkStart w:id="69" w:name="_Toc189539591"/>
      <w:bookmarkStart w:id="70" w:name="_Toc15561038"/>
      <w:r w:rsidRPr="009D2776">
        <w:rPr>
          <w:rFonts w:cs="Arial"/>
          <w:lang w:val="de-DE"/>
        </w:rPr>
        <w:lastRenderedPageBreak/>
        <w:t>2.4</w:t>
      </w:r>
      <w:r w:rsidRPr="009D2776">
        <w:rPr>
          <w:rFonts w:cs="Arial"/>
          <w:lang w:val="de-DE"/>
        </w:rPr>
        <w:tab/>
        <w:t>Aufspaltende Merkmale</w:t>
      </w:r>
      <w:bookmarkEnd w:id="60"/>
      <w:bookmarkEnd w:id="61"/>
      <w:bookmarkEnd w:id="62"/>
      <w:bookmarkEnd w:id="63"/>
      <w:bookmarkEnd w:id="64"/>
      <w:bookmarkEnd w:id="65"/>
      <w:bookmarkEnd w:id="66"/>
      <w:bookmarkEnd w:id="67"/>
      <w:bookmarkEnd w:id="68"/>
      <w:bookmarkEnd w:id="69"/>
      <w:bookmarkEnd w:id="70"/>
    </w:p>
    <w:p w:rsidR="000E2B2C" w:rsidRPr="009D2776" w:rsidRDefault="000E2B2C" w:rsidP="000E2B2C">
      <w:pPr>
        <w:rPr>
          <w:rFonts w:cs="Arial"/>
        </w:rPr>
      </w:pPr>
      <w:r w:rsidRPr="009D2776">
        <w:rPr>
          <w:rFonts w:cs="Arial"/>
        </w:rPr>
        <w:t>2.4.1</w:t>
      </w:r>
      <w:r w:rsidRPr="009D2776">
        <w:rPr>
          <w:rFonts w:cs="Arial"/>
        </w:rPr>
        <w:tab/>
        <w:t>Die Allgemeine Einführung, Kapitel 6.4.3.4.1, erläutert: „Für andere als Einfachhybriden (z. B. Dreiweg</w:t>
      </w:r>
      <w:r w:rsidRPr="009D2776">
        <w:rPr>
          <w:rFonts w:cs="Arial"/>
        </w:rPr>
        <w:noBreakHyphen/>
        <w:t xml:space="preserve"> oder Doppelhybriden) ist eine Aufspaltung bestimmter Merkmale zulässig, wenn sie mit der Vermehrungsmethode der Sorte vereinbar ist</w:t>
      </w:r>
      <w:r w:rsidRPr="009D2776">
        <w:rPr>
          <w:rFonts w:cs="Arial"/>
          <w:i/>
        </w:rPr>
        <w:t>.</w:t>
      </w:r>
      <w:r w:rsidRPr="009D2776">
        <w:rPr>
          <w:rFonts w:cs="Arial"/>
        </w:rPr>
        <w:t xml:space="preserve"> Wenn die Vererbung eines eindeutigen aufspaltenden Merkmals bekannt ist, hat sich dieses Merkmal daher in der vorausgesagten Weise zu verhalten. Ist die Vererbung des Merkmals nicht bekannt, wird es wie andere Merkmale fremdbefruchtender Sorten behandelt, d. h. relative Toleranzgrenzen für das Variationsniveau</w:t>
      </w:r>
      <w:r w:rsidRPr="009D2776">
        <w:rPr>
          <w:rFonts w:cs="Arial"/>
          <w:vertAlign w:val="superscript"/>
        </w:rPr>
        <w:fldChar w:fldCharType="begin"/>
      </w:r>
      <w:r w:rsidRPr="009D2776">
        <w:rPr>
          <w:rFonts w:cs="Arial"/>
          <w:vertAlign w:val="superscript"/>
        </w:rPr>
        <w:instrText xml:space="preserve"> NOTEREF _Ref189560423 \h  \* MERGEFORMAT </w:instrText>
      </w:r>
      <w:r w:rsidRPr="009D2776">
        <w:rPr>
          <w:rFonts w:cs="Arial"/>
          <w:vertAlign w:val="superscript"/>
        </w:rPr>
      </w:r>
      <w:r w:rsidRPr="009D2776">
        <w:rPr>
          <w:rFonts w:cs="Arial"/>
          <w:vertAlign w:val="superscript"/>
        </w:rPr>
        <w:fldChar w:fldCharType="separate"/>
      </w:r>
      <w:r w:rsidR="005E1757">
        <w:rPr>
          <w:rFonts w:cs="Arial"/>
          <w:vertAlign w:val="superscript"/>
        </w:rPr>
        <w:t>1</w:t>
      </w:r>
      <w:r w:rsidRPr="009D2776">
        <w:rPr>
          <w:rFonts w:cs="Arial"/>
          <w:vertAlign w:val="superscript"/>
        </w:rPr>
        <w:fldChar w:fldCharType="end"/>
      </w:r>
      <w:r w:rsidRPr="009D2776">
        <w:rPr>
          <w:rFonts w:cs="Arial"/>
        </w:rPr>
        <w:t xml:space="preserve"> werden durch Vergleich mit bereits bekannten vergleichbaren Sorten oder Typen festgesetzt […]“.</w:t>
      </w:r>
    </w:p>
    <w:p w:rsidR="000E2B2C" w:rsidRPr="009D2776" w:rsidRDefault="000E2B2C" w:rsidP="000E2B2C">
      <w:pPr>
        <w:tabs>
          <w:tab w:val="num" w:pos="567"/>
        </w:tabs>
        <w:rPr>
          <w:rFonts w:cs="Arial"/>
        </w:rPr>
      </w:pPr>
    </w:p>
    <w:p w:rsidR="000E2B2C" w:rsidRPr="009D2776" w:rsidRDefault="000E2B2C" w:rsidP="000E2B2C">
      <w:pPr>
        <w:rPr>
          <w:rFonts w:cs="Arial"/>
        </w:rPr>
      </w:pPr>
      <w:r w:rsidRPr="009D2776">
        <w:rPr>
          <w:rFonts w:cs="Arial"/>
        </w:rPr>
        <w:t>2.4.2</w:t>
      </w:r>
      <w:r w:rsidRPr="009D2776">
        <w:rPr>
          <w:rFonts w:cs="Arial"/>
        </w:rPr>
        <w:tab/>
        <w:t>Nebst den in der Allgemeinen Einführung genannten Beispielen „für andere als Einfachhybriden“ (z. B. Dreiweg</w:t>
      </w:r>
      <w:r w:rsidRPr="009D2776">
        <w:rPr>
          <w:rFonts w:cs="Arial"/>
        </w:rPr>
        <w:noBreakHyphen/>
        <w:t xml:space="preserve"> oder Doppelhybriden) ist in einzelnen Fällen eine Aufspaltung bestimmter Merkmale zulässig bei synthetischen Sorten und bei männlich-sterilen Sorten, die durch nahezu isogene Maintainerlinien erhalten werden (z. B. Aufspaltung von Merkmalen, die mit der männlichen Sterilität gekoppelt sind), wenn dies mit der Methode zur Vermehrung der Sorte vereinbar ist.</w:t>
      </w:r>
    </w:p>
    <w:p w:rsidR="000E2B2C" w:rsidRPr="009D2776" w:rsidRDefault="000E2B2C" w:rsidP="000E2B2C">
      <w:pPr>
        <w:tabs>
          <w:tab w:val="left" w:pos="709"/>
        </w:tabs>
        <w:rPr>
          <w:rFonts w:cs="Arial"/>
        </w:rPr>
      </w:pPr>
    </w:p>
    <w:p w:rsidR="000E2B2C" w:rsidRPr="009D2776" w:rsidRDefault="000E2B2C" w:rsidP="000E2B2C">
      <w:pPr>
        <w:tabs>
          <w:tab w:val="num" w:pos="851"/>
        </w:tabs>
        <w:rPr>
          <w:rFonts w:cs="Arial"/>
        </w:rPr>
      </w:pPr>
      <w:r w:rsidRPr="009D2776">
        <w:rPr>
          <w:rFonts w:cs="Arial"/>
        </w:rPr>
        <w:t>2.4.3</w:t>
      </w:r>
      <w:r w:rsidRPr="009D2776">
        <w:rPr>
          <w:rFonts w:cs="Arial"/>
        </w:rPr>
        <w:tab/>
        <w:t>Somit ist für andere Hybriden als Einfachhybriden, für synthetische Sorten und in einzelnen Fällen für Sorten, die durch nahezu isogene Maintainerlinien erhalten werden, eine Aufspaltung für bestimmte Merkmale, insbesondere qualitative Merkmale, zulässig, wenn dies mit der Ausprägung der Elternlinien und der Methode zur Vermehrung der Sorte vereinbar ist. Wenn die Vererbung eines spaltenden Merkmals bekannt ist, wird eine Sorte als homogen angesehen, wenn sich das Merkmal in der vorausgesagten Weise verhält. Dies kann anhand eines statistischen Standardverfahrens wie der auf dem χ</w:t>
      </w:r>
      <w:r w:rsidRPr="009D2776">
        <w:rPr>
          <w:rFonts w:cs="Arial"/>
          <w:vertAlign w:val="superscript"/>
        </w:rPr>
        <w:t>2</w:t>
      </w:r>
      <w:r w:rsidRPr="009D2776">
        <w:rPr>
          <w:rFonts w:cs="Arial"/>
        </w:rPr>
        <w:t>-Test beruhenden Methode, geprüft werden (siehe Dokument TGP/8).</w:t>
      </w:r>
    </w:p>
    <w:p w:rsidR="000E2B2C" w:rsidRPr="009D2776" w:rsidRDefault="000E2B2C" w:rsidP="000E2B2C">
      <w:pPr>
        <w:rPr>
          <w:rFonts w:cs="Arial"/>
        </w:rPr>
      </w:pPr>
    </w:p>
    <w:p w:rsidR="000E2B2C" w:rsidRPr="009D2776" w:rsidRDefault="000E2B2C" w:rsidP="000E2B2C">
      <w:pPr>
        <w:rPr>
          <w:rFonts w:cs="Arial"/>
        </w:rPr>
      </w:pPr>
      <w:r w:rsidRPr="009D2776">
        <w:rPr>
          <w:rFonts w:cs="Arial"/>
        </w:rPr>
        <w:t>2.4.4</w:t>
      </w:r>
      <w:r w:rsidRPr="009D2776">
        <w:rPr>
          <w:rFonts w:cs="Arial"/>
        </w:rPr>
        <w:tab/>
        <w:t xml:space="preserve">Ist die Vererbung eines eindeutig aufspaltenden Merkmals nicht bekannt, sollte das </w:t>
      </w:r>
      <w:r w:rsidR="009912DD" w:rsidRPr="009D2776">
        <w:rPr>
          <w:rFonts w:cs="Arial"/>
        </w:rPr>
        <w:t>erfasste</w:t>
      </w:r>
      <w:r w:rsidRPr="009D2776">
        <w:rPr>
          <w:rFonts w:cs="Arial"/>
        </w:rPr>
        <w:t xml:space="preserve"> Aufspaltungsverhältnis beschrieben werden.</w:t>
      </w:r>
    </w:p>
    <w:p w:rsidR="000E2B2C" w:rsidRPr="009D2776" w:rsidRDefault="000E2B2C" w:rsidP="000E2B2C">
      <w:pPr>
        <w:rPr>
          <w:rFonts w:cs="Arial"/>
        </w:rPr>
      </w:pPr>
    </w:p>
    <w:p w:rsidR="000E2B2C" w:rsidRPr="009D2776" w:rsidRDefault="000E2B2C" w:rsidP="000E2B2C">
      <w:pPr>
        <w:rPr>
          <w:rFonts w:cs="Arial"/>
        </w:rPr>
      </w:pPr>
      <w:r w:rsidRPr="009D2776">
        <w:rPr>
          <w:rFonts w:cs="Arial"/>
        </w:rPr>
        <w:t>2.4.5</w:t>
      </w:r>
      <w:r w:rsidRPr="009D2776">
        <w:rPr>
          <w:rFonts w:cs="Arial"/>
        </w:rPr>
        <w:tab/>
        <w:t xml:space="preserve">In </w:t>
      </w:r>
      <w:r w:rsidR="009912DD" w:rsidRPr="009D2776">
        <w:rPr>
          <w:rFonts w:cs="Arial"/>
        </w:rPr>
        <w:t>Bezug</w:t>
      </w:r>
      <w:r w:rsidRPr="009D2776">
        <w:rPr>
          <w:rFonts w:cs="Arial"/>
        </w:rPr>
        <w:t xml:space="preserve"> auf quantitative Merkmale kann die Aufspaltung bei Mehrfachhybriden und synthetischen Sorten zu einer kontinuierlichen Variation führen. In diesen Fällen wird die Homogenität wie bei fremdbefruchtenden Sorten aufgrund der Standardabweichungen geprüft.</w:t>
      </w:r>
    </w:p>
    <w:p w:rsidR="00732A77" w:rsidRPr="009D2776" w:rsidRDefault="00732A77" w:rsidP="000E2B2C">
      <w:pPr>
        <w:rPr>
          <w:rFonts w:cs="Arial"/>
        </w:rPr>
      </w:pPr>
    </w:p>
    <w:p w:rsidR="000E2B2C" w:rsidRPr="009D2776" w:rsidRDefault="000E2B2C" w:rsidP="000E2B2C">
      <w:pPr>
        <w:pStyle w:val="Heading2"/>
        <w:rPr>
          <w:rFonts w:cs="Arial"/>
          <w:lang w:val="de-DE"/>
        </w:rPr>
      </w:pPr>
      <w:bookmarkStart w:id="71" w:name="_Toc127103709"/>
      <w:bookmarkStart w:id="72" w:name="_Toc127699458"/>
      <w:bookmarkStart w:id="73" w:name="_Toc127780606"/>
      <w:bookmarkStart w:id="74" w:name="_Toc127781940"/>
      <w:bookmarkStart w:id="75" w:name="_Toc138650103"/>
      <w:bookmarkStart w:id="76" w:name="_Toc138653634"/>
      <w:bookmarkStart w:id="77" w:name="_Toc159754472"/>
      <w:bookmarkStart w:id="78" w:name="_Toc159810489"/>
      <w:bookmarkStart w:id="79" w:name="_Toc161028376"/>
      <w:bookmarkStart w:id="80" w:name="_Toc189539592"/>
      <w:bookmarkStart w:id="81" w:name="_Toc15561039"/>
      <w:r w:rsidRPr="009D2776">
        <w:rPr>
          <w:rFonts w:cs="Arial"/>
          <w:lang w:val="de-DE"/>
        </w:rPr>
        <w:t>2.5</w:t>
      </w:r>
      <w:r w:rsidRPr="009D2776">
        <w:rPr>
          <w:rFonts w:cs="Arial"/>
          <w:lang w:val="de-DE"/>
        </w:rPr>
        <w:tab/>
        <w:t>Zusamme</w:t>
      </w:r>
      <w:bookmarkEnd w:id="71"/>
      <w:r w:rsidRPr="009D2776">
        <w:rPr>
          <w:rFonts w:cs="Arial"/>
          <w:lang w:val="de-DE"/>
        </w:rPr>
        <w:t>nfassung</w:t>
      </w:r>
      <w:bookmarkEnd w:id="72"/>
      <w:bookmarkEnd w:id="73"/>
      <w:bookmarkEnd w:id="74"/>
      <w:bookmarkEnd w:id="75"/>
      <w:bookmarkEnd w:id="76"/>
      <w:bookmarkEnd w:id="77"/>
      <w:bookmarkEnd w:id="78"/>
      <w:bookmarkEnd w:id="79"/>
      <w:bookmarkEnd w:id="80"/>
      <w:bookmarkEnd w:id="81"/>
    </w:p>
    <w:p w:rsidR="000E2B2C" w:rsidRPr="009D2776" w:rsidRDefault="000E2B2C" w:rsidP="000E2B2C">
      <w:pPr>
        <w:rPr>
          <w:rFonts w:cs="Arial"/>
        </w:rPr>
      </w:pPr>
      <w:r w:rsidRPr="009D2776">
        <w:rPr>
          <w:rFonts w:cs="Arial"/>
        </w:rPr>
        <w:t>2.5.1</w:t>
      </w:r>
      <w:r w:rsidRPr="009D2776">
        <w:rPr>
          <w:rFonts w:cs="Arial"/>
        </w:rPr>
        <w:tab/>
        <w:t>Der Typ der Variation bei der Ausprägung eines Merkmals innerhalb einer Sorte bestimmt, wie dieses Merkmal für die Bestimmung der Homogenität der Pflanze benutzt wird. Wenn es möglich ist, die Abweicher zu „visualisieren“, wird das Abweicherverfahren für die Prüfung der Homogenität empfohlen. Ansonsten wird das Verfahren der Standardabweichungen verwendet. Somit kann die Homogenität einer Sorte entweder nur aufgrund der Abweicher, nur aufgrund der Standardabweichungen oder aufgrund der Abweicher für einige Merkmale und der Standardabweichungen für andere Merkmale bestimmt werden. Diese Situationen werden in Abschnitt 6 weiter erläutert.</w:t>
      </w:r>
    </w:p>
    <w:p w:rsidR="000E2B2C" w:rsidRPr="009D2776" w:rsidRDefault="000E2B2C" w:rsidP="000E2B2C">
      <w:pPr>
        <w:pStyle w:val="EndnoteText"/>
        <w:tabs>
          <w:tab w:val="num" w:pos="567"/>
        </w:tabs>
        <w:rPr>
          <w:rFonts w:cs="Arial"/>
        </w:rPr>
      </w:pPr>
    </w:p>
    <w:p w:rsidR="000E2B2C" w:rsidRPr="009D2776" w:rsidRDefault="000E2B2C" w:rsidP="000E2B2C">
      <w:pPr>
        <w:rPr>
          <w:rFonts w:cs="Arial"/>
        </w:rPr>
      </w:pPr>
      <w:r w:rsidRPr="009D2776">
        <w:rPr>
          <w:rFonts w:cs="Arial"/>
        </w:rPr>
        <w:t>2.5.2</w:t>
      </w:r>
      <w:r w:rsidRPr="009D2776">
        <w:rPr>
          <w:rFonts w:cs="Arial"/>
        </w:rPr>
        <w:tab/>
        <w:t xml:space="preserve">Die nachstehende Tabelle </w:t>
      </w:r>
      <w:r w:rsidR="009912DD" w:rsidRPr="009D2776">
        <w:rPr>
          <w:rFonts w:cs="Arial"/>
        </w:rPr>
        <w:t>fasst</w:t>
      </w:r>
      <w:r w:rsidRPr="009D2776">
        <w:rPr>
          <w:rFonts w:cs="Arial"/>
        </w:rPr>
        <w:t xml:space="preserve"> die üblichen Verfahren für die Prüfung der Homogenität unter Berücksichtigung der Vermehrungsmethode, des Ausprägungstyps des Merkmals und der Erfassungsmethode zusammen. Die üblichsten Verfahren sind als erste aufgelistet.</w:t>
      </w:r>
    </w:p>
    <w:p w:rsidR="000E2B2C" w:rsidRPr="009D2776" w:rsidRDefault="000E2B2C" w:rsidP="000E2B2C">
      <w:pPr>
        <w:pStyle w:val="EndnoteText"/>
        <w:rPr>
          <w:rFonts w:cs="Arial"/>
        </w:rPr>
      </w:pPr>
    </w:p>
    <w:tbl>
      <w:tblPr>
        <w:tblW w:w="95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2220"/>
        <w:gridCol w:w="2221"/>
        <w:gridCol w:w="2396"/>
      </w:tblGrid>
      <w:tr w:rsidR="000E2B2C" w:rsidRPr="009D2776" w:rsidTr="00732A77">
        <w:trPr>
          <w:cantSplit/>
          <w:trHeight w:val="386"/>
        </w:trPr>
        <w:tc>
          <w:tcPr>
            <w:tcW w:w="2694" w:type="dxa"/>
            <w:tcBorders>
              <w:top w:val="nil"/>
              <w:left w:val="nil"/>
              <w:bottom w:val="nil"/>
              <w:right w:val="nil"/>
            </w:tcBorders>
          </w:tcPr>
          <w:p w:rsidR="000E2B2C" w:rsidRPr="009D2776" w:rsidRDefault="000E2B2C" w:rsidP="00DB68C3">
            <w:pPr>
              <w:keepNext/>
              <w:spacing w:before="60" w:after="60"/>
              <w:rPr>
                <w:rFonts w:cs="Arial"/>
              </w:rPr>
            </w:pPr>
          </w:p>
        </w:tc>
        <w:tc>
          <w:tcPr>
            <w:tcW w:w="6837" w:type="dxa"/>
            <w:gridSpan w:val="3"/>
            <w:tcBorders>
              <w:left w:val="single" w:sz="4" w:space="0" w:color="auto"/>
            </w:tcBorders>
            <w:shd w:val="pct15" w:color="auto" w:fill="FFFFFF"/>
            <w:vAlign w:val="center"/>
          </w:tcPr>
          <w:p w:rsidR="000E2B2C" w:rsidRPr="009D2776" w:rsidRDefault="000E2B2C" w:rsidP="00DB68C3">
            <w:pPr>
              <w:keepNext/>
              <w:spacing w:before="60" w:after="60"/>
              <w:jc w:val="center"/>
              <w:rPr>
                <w:rFonts w:cs="Arial"/>
              </w:rPr>
            </w:pPr>
            <w:r w:rsidRPr="009D2776">
              <w:rPr>
                <w:rFonts w:cs="Arial"/>
              </w:rPr>
              <w:t>Ausprägungstyp des Merkmals</w:t>
            </w:r>
          </w:p>
        </w:tc>
      </w:tr>
      <w:tr w:rsidR="000E2B2C" w:rsidRPr="009D2776" w:rsidTr="00732A77">
        <w:tc>
          <w:tcPr>
            <w:tcW w:w="2694" w:type="dxa"/>
            <w:tcBorders>
              <w:bottom w:val="single" w:sz="4" w:space="0" w:color="auto"/>
            </w:tcBorders>
            <w:shd w:val="pct15" w:color="auto" w:fill="FFFFFF"/>
          </w:tcPr>
          <w:p w:rsidR="000E2B2C" w:rsidRPr="009D2776" w:rsidRDefault="000E2B2C" w:rsidP="00DB68C3">
            <w:pPr>
              <w:pStyle w:val="EndnoteText"/>
              <w:keepNext/>
              <w:spacing w:before="60" w:after="60"/>
              <w:jc w:val="left"/>
              <w:rPr>
                <w:rFonts w:cs="Arial"/>
              </w:rPr>
            </w:pPr>
            <w:r w:rsidRPr="009D2776">
              <w:rPr>
                <w:rFonts w:cs="Arial"/>
              </w:rPr>
              <w:t>Methode zur Vermehrung der Sorte</w:t>
            </w:r>
          </w:p>
        </w:tc>
        <w:tc>
          <w:tcPr>
            <w:tcW w:w="2220" w:type="dxa"/>
            <w:tcBorders>
              <w:bottom w:val="single" w:sz="4" w:space="0" w:color="auto"/>
            </w:tcBorders>
          </w:tcPr>
          <w:p w:rsidR="000E2B2C" w:rsidRPr="009D2776" w:rsidRDefault="000E2B2C" w:rsidP="00DB68C3">
            <w:pPr>
              <w:keepNext/>
              <w:spacing w:before="60" w:after="60"/>
              <w:jc w:val="center"/>
              <w:rPr>
                <w:rFonts w:cs="Arial"/>
              </w:rPr>
            </w:pPr>
            <w:r w:rsidRPr="009D2776">
              <w:rPr>
                <w:rFonts w:cs="Arial"/>
              </w:rPr>
              <w:t>Qualitativ</w:t>
            </w:r>
          </w:p>
          <w:p w:rsidR="000E2B2C" w:rsidRPr="009D2776" w:rsidRDefault="000E2B2C" w:rsidP="00DB68C3">
            <w:pPr>
              <w:keepNext/>
              <w:spacing w:before="60" w:after="60"/>
              <w:jc w:val="center"/>
              <w:rPr>
                <w:rFonts w:cs="Arial"/>
                <w:caps/>
              </w:rPr>
            </w:pPr>
            <w:r w:rsidRPr="009D2776">
              <w:rPr>
                <w:rFonts w:cs="Arial"/>
                <w:caps/>
              </w:rPr>
              <w:t>QL</w:t>
            </w:r>
          </w:p>
        </w:tc>
        <w:tc>
          <w:tcPr>
            <w:tcW w:w="2221" w:type="dxa"/>
            <w:tcBorders>
              <w:bottom w:val="single" w:sz="4" w:space="0" w:color="auto"/>
            </w:tcBorders>
          </w:tcPr>
          <w:p w:rsidR="000E2B2C" w:rsidRPr="009D2776" w:rsidRDefault="000E2B2C" w:rsidP="00DB68C3">
            <w:pPr>
              <w:keepNext/>
              <w:spacing w:before="60" w:after="60"/>
              <w:jc w:val="center"/>
              <w:rPr>
                <w:rFonts w:cs="Arial"/>
              </w:rPr>
            </w:pPr>
            <w:r w:rsidRPr="009D2776">
              <w:rPr>
                <w:rFonts w:cs="Arial"/>
              </w:rPr>
              <w:t>Pseudoqualitativ</w:t>
            </w:r>
          </w:p>
          <w:p w:rsidR="000E2B2C" w:rsidRPr="009D2776" w:rsidRDefault="000E2B2C" w:rsidP="00DB68C3">
            <w:pPr>
              <w:keepNext/>
              <w:spacing w:before="60" w:after="60"/>
              <w:jc w:val="center"/>
              <w:rPr>
                <w:rFonts w:cs="Arial"/>
                <w:caps/>
              </w:rPr>
            </w:pPr>
            <w:r w:rsidRPr="009D2776">
              <w:rPr>
                <w:rFonts w:cs="Arial"/>
                <w:caps/>
              </w:rPr>
              <w:t>PQ</w:t>
            </w:r>
          </w:p>
        </w:tc>
        <w:tc>
          <w:tcPr>
            <w:tcW w:w="2396" w:type="dxa"/>
            <w:tcBorders>
              <w:bottom w:val="single" w:sz="4" w:space="0" w:color="auto"/>
            </w:tcBorders>
          </w:tcPr>
          <w:p w:rsidR="000E2B2C" w:rsidRPr="009D2776" w:rsidRDefault="000E2B2C" w:rsidP="00DB68C3">
            <w:pPr>
              <w:keepNext/>
              <w:spacing w:before="60" w:after="60"/>
              <w:jc w:val="center"/>
              <w:rPr>
                <w:rFonts w:cs="Arial"/>
              </w:rPr>
            </w:pPr>
            <w:r w:rsidRPr="009D2776">
              <w:rPr>
                <w:rFonts w:cs="Arial"/>
              </w:rPr>
              <w:t>Quantitativ</w:t>
            </w:r>
          </w:p>
          <w:p w:rsidR="000E2B2C" w:rsidRPr="009D2776" w:rsidRDefault="000E2B2C" w:rsidP="00DB68C3">
            <w:pPr>
              <w:keepNext/>
              <w:spacing w:before="60" w:after="60"/>
              <w:jc w:val="center"/>
              <w:rPr>
                <w:rFonts w:cs="Arial"/>
                <w:caps/>
              </w:rPr>
            </w:pPr>
            <w:r w:rsidRPr="009D2776">
              <w:rPr>
                <w:rFonts w:cs="Arial"/>
                <w:caps/>
              </w:rPr>
              <w:t>QN</w:t>
            </w:r>
          </w:p>
        </w:tc>
      </w:tr>
      <w:tr w:rsidR="000E2B2C" w:rsidRPr="009D2776" w:rsidTr="00732A77">
        <w:tc>
          <w:tcPr>
            <w:tcW w:w="2694" w:type="dxa"/>
            <w:tcBorders>
              <w:top w:val="single" w:sz="4" w:space="0" w:color="auto"/>
            </w:tcBorders>
          </w:tcPr>
          <w:p w:rsidR="000E2B2C" w:rsidRPr="009D2776" w:rsidRDefault="000E2B2C" w:rsidP="00DB68C3">
            <w:pPr>
              <w:keepNext/>
              <w:spacing w:before="60" w:after="60"/>
              <w:rPr>
                <w:rFonts w:cs="Arial"/>
              </w:rPr>
            </w:pPr>
            <w:r w:rsidRPr="009D2776">
              <w:rPr>
                <w:rFonts w:cs="Arial"/>
              </w:rPr>
              <w:t>Vegetative Vermehrung</w:t>
            </w:r>
          </w:p>
        </w:tc>
        <w:tc>
          <w:tcPr>
            <w:tcW w:w="2220" w:type="dxa"/>
            <w:tcBorders>
              <w:top w:val="single" w:sz="4" w:space="0" w:color="auto"/>
            </w:tcBorders>
          </w:tcPr>
          <w:p w:rsidR="000E2B2C" w:rsidRPr="009D2776" w:rsidRDefault="000E2B2C" w:rsidP="00DB68C3">
            <w:pPr>
              <w:keepNext/>
              <w:spacing w:before="60" w:after="60"/>
              <w:jc w:val="center"/>
              <w:rPr>
                <w:rFonts w:cs="Arial"/>
                <w:i/>
              </w:rPr>
            </w:pPr>
            <w:r w:rsidRPr="009D2776">
              <w:rPr>
                <w:rFonts w:cs="Arial"/>
                <w:i/>
              </w:rPr>
              <w:t>Abweicher</w:t>
            </w:r>
          </w:p>
          <w:p w:rsidR="000E2B2C" w:rsidRPr="009D2776" w:rsidRDefault="000E2B2C" w:rsidP="00DB68C3">
            <w:pPr>
              <w:keepNext/>
              <w:spacing w:before="60" w:after="60"/>
              <w:jc w:val="center"/>
              <w:rPr>
                <w:rFonts w:cs="Arial"/>
                <w:i/>
                <w:caps/>
              </w:rPr>
            </w:pPr>
          </w:p>
        </w:tc>
        <w:tc>
          <w:tcPr>
            <w:tcW w:w="2221" w:type="dxa"/>
            <w:tcBorders>
              <w:top w:val="single" w:sz="4" w:space="0" w:color="auto"/>
            </w:tcBorders>
          </w:tcPr>
          <w:p w:rsidR="000E2B2C" w:rsidRPr="009D2776" w:rsidRDefault="000E2B2C" w:rsidP="00DB68C3">
            <w:pPr>
              <w:keepNext/>
              <w:spacing w:before="60" w:after="60"/>
              <w:jc w:val="center"/>
              <w:rPr>
                <w:rFonts w:cs="Arial"/>
                <w:i/>
              </w:rPr>
            </w:pPr>
            <w:r w:rsidRPr="009D2776">
              <w:rPr>
                <w:rFonts w:cs="Arial"/>
                <w:i/>
              </w:rPr>
              <w:t>Abweicher</w:t>
            </w:r>
          </w:p>
          <w:p w:rsidR="000E2B2C" w:rsidRPr="009D2776" w:rsidRDefault="000E2B2C" w:rsidP="00DB68C3">
            <w:pPr>
              <w:keepNext/>
              <w:spacing w:before="60" w:after="60"/>
              <w:jc w:val="center"/>
              <w:rPr>
                <w:rFonts w:cs="Arial"/>
                <w:i/>
                <w:caps/>
              </w:rPr>
            </w:pPr>
          </w:p>
        </w:tc>
        <w:tc>
          <w:tcPr>
            <w:tcW w:w="2396" w:type="dxa"/>
            <w:tcBorders>
              <w:top w:val="single" w:sz="4" w:space="0" w:color="auto"/>
            </w:tcBorders>
          </w:tcPr>
          <w:p w:rsidR="000E2B2C" w:rsidRPr="009D2776" w:rsidRDefault="000E2B2C" w:rsidP="00DB68C3">
            <w:pPr>
              <w:keepNext/>
              <w:spacing w:before="60" w:after="60"/>
              <w:jc w:val="center"/>
              <w:rPr>
                <w:rFonts w:cs="Arial"/>
                <w:i/>
              </w:rPr>
            </w:pPr>
            <w:r w:rsidRPr="009D2776">
              <w:rPr>
                <w:rFonts w:cs="Arial"/>
                <w:i/>
              </w:rPr>
              <w:t>Abweicher</w:t>
            </w:r>
            <w:r w:rsidRPr="009D2776">
              <w:rPr>
                <w:rFonts w:cs="Arial"/>
                <w:i/>
              </w:rPr>
              <w:br/>
              <w:t>(visuelle Erfassung)</w:t>
            </w:r>
          </w:p>
          <w:p w:rsidR="000E2B2C" w:rsidRPr="009D2776" w:rsidRDefault="00732A77" w:rsidP="00DB68C3">
            <w:pPr>
              <w:keepNext/>
              <w:spacing w:before="60" w:after="60"/>
              <w:jc w:val="center"/>
              <w:rPr>
                <w:rFonts w:cs="Arial"/>
                <w:i/>
                <w:caps/>
              </w:rPr>
            </w:pPr>
            <w:r w:rsidRPr="009D2776">
              <w:rPr>
                <w:rFonts w:cs="Arial"/>
                <w:i/>
              </w:rPr>
              <w:t>Standardabwei</w:t>
            </w:r>
            <w:r w:rsidR="000E2B2C" w:rsidRPr="009D2776">
              <w:rPr>
                <w:rFonts w:cs="Arial"/>
                <w:i/>
              </w:rPr>
              <w:t>chungen (Messung)</w:t>
            </w:r>
          </w:p>
        </w:tc>
      </w:tr>
      <w:tr w:rsidR="000E2B2C" w:rsidRPr="009D2776" w:rsidTr="00732A77">
        <w:tc>
          <w:tcPr>
            <w:tcW w:w="2694" w:type="dxa"/>
            <w:tcBorders>
              <w:bottom w:val="single" w:sz="4" w:space="0" w:color="auto"/>
            </w:tcBorders>
          </w:tcPr>
          <w:p w:rsidR="000E2B2C" w:rsidRPr="009D2776" w:rsidRDefault="000E2B2C" w:rsidP="00DB68C3">
            <w:pPr>
              <w:keepNext/>
              <w:spacing w:before="60" w:after="60"/>
              <w:rPr>
                <w:rFonts w:cs="Arial"/>
              </w:rPr>
            </w:pPr>
            <w:r w:rsidRPr="009D2776">
              <w:rPr>
                <w:rFonts w:cs="Arial"/>
              </w:rPr>
              <w:t>Selbstbefruchtung</w:t>
            </w:r>
          </w:p>
        </w:tc>
        <w:tc>
          <w:tcPr>
            <w:tcW w:w="2220" w:type="dxa"/>
            <w:tcBorders>
              <w:bottom w:val="single" w:sz="4" w:space="0" w:color="auto"/>
            </w:tcBorders>
          </w:tcPr>
          <w:p w:rsidR="000E2B2C" w:rsidRPr="009D2776" w:rsidRDefault="000E2B2C" w:rsidP="00DB68C3">
            <w:pPr>
              <w:keepNext/>
              <w:spacing w:before="60" w:after="60"/>
              <w:jc w:val="center"/>
              <w:rPr>
                <w:rFonts w:cs="Arial"/>
                <w:i/>
              </w:rPr>
            </w:pPr>
            <w:r w:rsidRPr="009D2776">
              <w:rPr>
                <w:rFonts w:cs="Arial"/>
                <w:i/>
              </w:rPr>
              <w:t>Abweicher</w:t>
            </w:r>
          </w:p>
          <w:p w:rsidR="000E2B2C" w:rsidRPr="009D2776" w:rsidRDefault="000E2B2C" w:rsidP="00DB68C3">
            <w:pPr>
              <w:keepNext/>
              <w:spacing w:before="60" w:after="60"/>
              <w:jc w:val="center"/>
              <w:rPr>
                <w:rFonts w:cs="Arial"/>
                <w:i/>
                <w:caps/>
              </w:rPr>
            </w:pPr>
          </w:p>
        </w:tc>
        <w:tc>
          <w:tcPr>
            <w:tcW w:w="2221" w:type="dxa"/>
            <w:tcBorders>
              <w:bottom w:val="single" w:sz="4" w:space="0" w:color="auto"/>
            </w:tcBorders>
          </w:tcPr>
          <w:p w:rsidR="000E2B2C" w:rsidRPr="009D2776" w:rsidRDefault="000E2B2C" w:rsidP="00DB68C3">
            <w:pPr>
              <w:keepNext/>
              <w:spacing w:before="60" w:after="60"/>
              <w:jc w:val="center"/>
              <w:rPr>
                <w:rFonts w:cs="Arial"/>
                <w:i/>
              </w:rPr>
            </w:pPr>
            <w:r w:rsidRPr="009D2776">
              <w:rPr>
                <w:rFonts w:cs="Arial"/>
                <w:i/>
              </w:rPr>
              <w:t>Abweicher</w:t>
            </w:r>
          </w:p>
          <w:p w:rsidR="000E2B2C" w:rsidRPr="009D2776" w:rsidRDefault="000E2B2C" w:rsidP="00DB68C3">
            <w:pPr>
              <w:keepNext/>
              <w:spacing w:before="60" w:after="60"/>
              <w:jc w:val="center"/>
              <w:rPr>
                <w:rFonts w:cs="Arial"/>
                <w:i/>
                <w:caps/>
              </w:rPr>
            </w:pPr>
          </w:p>
        </w:tc>
        <w:tc>
          <w:tcPr>
            <w:tcW w:w="2396" w:type="dxa"/>
            <w:tcBorders>
              <w:bottom w:val="single" w:sz="4" w:space="0" w:color="auto"/>
            </w:tcBorders>
          </w:tcPr>
          <w:p w:rsidR="000E2B2C" w:rsidRPr="009D2776" w:rsidRDefault="000E2B2C" w:rsidP="00DB68C3">
            <w:pPr>
              <w:keepNext/>
              <w:spacing w:before="60" w:after="60"/>
              <w:jc w:val="center"/>
              <w:rPr>
                <w:rFonts w:cs="Arial"/>
                <w:i/>
              </w:rPr>
            </w:pPr>
            <w:r w:rsidRPr="009D2776">
              <w:rPr>
                <w:rFonts w:cs="Arial"/>
                <w:i/>
              </w:rPr>
              <w:t>Abweicher</w:t>
            </w:r>
            <w:r w:rsidRPr="009D2776">
              <w:rPr>
                <w:rFonts w:cs="Arial"/>
                <w:i/>
              </w:rPr>
              <w:br/>
              <w:t>(visuelle Erfassung)</w:t>
            </w:r>
          </w:p>
          <w:p w:rsidR="000E2B2C" w:rsidRPr="009D2776" w:rsidRDefault="00732A77" w:rsidP="00DB68C3">
            <w:pPr>
              <w:keepNext/>
              <w:spacing w:before="60" w:after="60"/>
              <w:jc w:val="center"/>
              <w:rPr>
                <w:rFonts w:cs="Arial"/>
                <w:i/>
                <w:caps/>
              </w:rPr>
            </w:pPr>
            <w:r w:rsidRPr="009D2776">
              <w:rPr>
                <w:rFonts w:cs="Arial"/>
                <w:i/>
              </w:rPr>
              <w:t>Standardabwei</w:t>
            </w:r>
            <w:r w:rsidR="000E2B2C" w:rsidRPr="009D2776">
              <w:rPr>
                <w:rFonts w:cs="Arial"/>
                <w:i/>
              </w:rPr>
              <w:t>chungen</w:t>
            </w:r>
            <w:r w:rsidRPr="009D2776">
              <w:rPr>
                <w:rFonts w:cs="Arial"/>
                <w:i/>
              </w:rPr>
              <w:t xml:space="preserve"> </w:t>
            </w:r>
            <w:r w:rsidR="000E2B2C" w:rsidRPr="009D2776">
              <w:rPr>
                <w:rFonts w:cs="Arial"/>
                <w:i/>
              </w:rPr>
              <w:t>(Messung)</w:t>
            </w:r>
          </w:p>
        </w:tc>
      </w:tr>
      <w:tr w:rsidR="000E2B2C" w:rsidRPr="009D2776" w:rsidTr="00732A77">
        <w:tc>
          <w:tcPr>
            <w:tcW w:w="2694" w:type="dxa"/>
            <w:tcBorders>
              <w:bottom w:val="single" w:sz="4" w:space="0" w:color="auto"/>
            </w:tcBorders>
          </w:tcPr>
          <w:p w:rsidR="000E2B2C" w:rsidRPr="009D2776" w:rsidRDefault="000E2B2C" w:rsidP="00DB68C3">
            <w:pPr>
              <w:keepNext/>
              <w:spacing w:before="60" w:after="60"/>
              <w:rPr>
                <w:rFonts w:cs="Arial"/>
              </w:rPr>
            </w:pPr>
            <w:r w:rsidRPr="009D2776">
              <w:rPr>
                <w:rFonts w:cs="Arial"/>
              </w:rPr>
              <w:t>Fremdbefruchtung</w:t>
            </w:r>
          </w:p>
        </w:tc>
        <w:tc>
          <w:tcPr>
            <w:tcW w:w="2220" w:type="dxa"/>
            <w:tcBorders>
              <w:bottom w:val="single" w:sz="4" w:space="0" w:color="auto"/>
            </w:tcBorders>
          </w:tcPr>
          <w:p w:rsidR="000E2B2C" w:rsidRPr="009D2776" w:rsidRDefault="000E2B2C" w:rsidP="00DB68C3">
            <w:pPr>
              <w:keepNext/>
              <w:spacing w:before="60" w:after="60"/>
              <w:jc w:val="center"/>
              <w:rPr>
                <w:rFonts w:cs="Arial"/>
                <w:i/>
              </w:rPr>
            </w:pPr>
            <w:r w:rsidRPr="009D2776">
              <w:rPr>
                <w:rFonts w:cs="Arial"/>
                <w:i/>
              </w:rPr>
              <w:t>Abweicher</w:t>
            </w:r>
          </w:p>
          <w:p w:rsidR="000E2B2C" w:rsidRPr="009D2776" w:rsidRDefault="000E2B2C" w:rsidP="00DB68C3">
            <w:pPr>
              <w:keepNext/>
              <w:spacing w:before="60" w:after="60"/>
              <w:jc w:val="center"/>
              <w:rPr>
                <w:rFonts w:cs="Arial"/>
                <w:i/>
                <w:caps/>
              </w:rPr>
            </w:pPr>
          </w:p>
        </w:tc>
        <w:tc>
          <w:tcPr>
            <w:tcW w:w="2221" w:type="dxa"/>
            <w:tcBorders>
              <w:bottom w:val="single" w:sz="4" w:space="0" w:color="auto"/>
            </w:tcBorders>
          </w:tcPr>
          <w:p w:rsidR="000E2B2C" w:rsidRPr="009D2776" w:rsidRDefault="000E2B2C" w:rsidP="00DB68C3">
            <w:pPr>
              <w:keepNext/>
              <w:spacing w:before="60" w:after="60"/>
              <w:jc w:val="center"/>
              <w:rPr>
                <w:rFonts w:cs="Arial"/>
                <w:i/>
              </w:rPr>
            </w:pPr>
            <w:r w:rsidRPr="009D2776">
              <w:rPr>
                <w:rFonts w:cs="Arial"/>
                <w:i/>
              </w:rPr>
              <w:t>Abweicher</w:t>
            </w:r>
          </w:p>
          <w:p w:rsidR="000E2B2C" w:rsidRPr="009D2776" w:rsidRDefault="000E2B2C" w:rsidP="00DB68C3">
            <w:pPr>
              <w:keepNext/>
              <w:spacing w:before="60" w:after="60"/>
              <w:jc w:val="center"/>
              <w:rPr>
                <w:rFonts w:cs="Arial"/>
                <w:i/>
                <w:caps/>
              </w:rPr>
            </w:pPr>
          </w:p>
        </w:tc>
        <w:tc>
          <w:tcPr>
            <w:tcW w:w="2396" w:type="dxa"/>
            <w:tcBorders>
              <w:bottom w:val="single" w:sz="4" w:space="0" w:color="auto"/>
            </w:tcBorders>
          </w:tcPr>
          <w:p w:rsidR="000E2B2C" w:rsidRPr="009D2776" w:rsidRDefault="000E2B2C" w:rsidP="00DB68C3">
            <w:pPr>
              <w:keepNext/>
              <w:spacing w:before="60" w:after="60"/>
              <w:jc w:val="center"/>
              <w:rPr>
                <w:rFonts w:cs="Arial"/>
                <w:i/>
              </w:rPr>
            </w:pPr>
            <w:r w:rsidRPr="009D2776">
              <w:rPr>
                <w:rFonts w:cs="Arial"/>
                <w:i/>
              </w:rPr>
              <w:t>Standard-abweichungen</w:t>
            </w:r>
          </w:p>
        </w:tc>
      </w:tr>
      <w:tr w:rsidR="000E2B2C" w:rsidRPr="009D2776" w:rsidTr="00732A77">
        <w:tc>
          <w:tcPr>
            <w:tcW w:w="2694" w:type="dxa"/>
            <w:tcBorders>
              <w:top w:val="single" w:sz="4" w:space="0" w:color="auto"/>
            </w:tcBorders>
          </w:tcPr>
          <w:p w:rsidR="000E2B2C" w:rsidRPr="009D2776" w:rsidRDefault="000E2B2C" w:rsidP="00DB68C3">
            <w:pPr>
              <w:keepNext/>
              <w:spacing w:before="60"/>
              <w:rPr>
                <w:rFonts w:cs="Arial"/>
              </w:rPr>
            </w:pPr>
            <w:r w:rsidRPr="009D2776">
              <w:rPr>
                <w:rFonts w:cs="Arial"/>
              </w:rPr>
              <w:t>Einfachhybride</w:t>
            </w:r>
          </w:p>
          <w:p w:rsidR="000E2B2C" w:rsidRPr="009D2776" w:rsidRDefault="000E2B2C" w:rsidP="00DB68C3">
            <w:pPr>
              <w:keepNext/>
              <w:spacing w:after="60"/>
              <w:rPr>
                <w:rFonts w:cs="Arial"/>
              </w:rPr>
            </w:pPr>
            <w:r w:rsidRPr="009D2776">
              <w:rPr>
                <w:rFonts w:cs="Arial"/>
                <w:lang w:val="en-US" w:eastAsia="de-DE"/>
              </w:rPr>
              <w:t>(Inzucht-Elternlinien)</w:t>
            </w:r>
          </w:p>
        </w:tc>
        <w:tc>
          <w:tcPr>
            <w:tcW w:w="2220" w:type="dxa"/>
            <w:tcBorders>
              <w:top w:val="single" w:sz="4" w:space="0" w:color="auto"/>
            </w:tcBorders>
          </w:tcPr>
          <w:p w:rsidR="000E2B2C" w:rsidRPr="009D2776" w:rsidRDefault="000E2B2C" w:rsidP="00DB68C3">
            <w:pPr>
              <w:keepNext/>
              <w:spacing w:before="60" w:after="60"/>
              <w:jc w:val="center"/>
              <w:rPr>
                <w:rFonts w:cs="Arial"/>
                <w:i/>
              </w:rPr>
            </w:pPr>
            <w:r w:rsidRPr="009D2776">
              <w:rPr>
                <w:rFonts w:cs="Arial"/>
                <w:i/>
              </w:rPr>
              <w:t>Abweicher</w:t>
            </w:r>
          </w:p>
          <w:p w:rsidR="000E2B2C" w:rsidRPr="009D2776" w:rsidRDefault="000E2B2C" w:rsidP="00DB68C3">
            <w:pPr>
              <w:keepNext/>
              <w:spacing w:before="60" w:after="60"/>
              <w:jc w:val="center"/>
              <w:rPr>
                <w:rFonts w:cs="Arial"/>
                <w:i/>
                <w:caps/>
              </w:rPr>
            </w:pPr>
          </w:p>
        </w:tc>
        <w:tc>
          <w:tcPr>
            <w:tcW w:w="2221" w:type="dxa"/>
            <w:tcBorders>
              <w:top w:val="single" w:sz="4" w:space="0" w:color="auto"/>
            </w:tcBorders>
          </w:tcPr>
          <w:p w:rsidR="000E2B2C" w:rsidRPr="009D2776" w:rsidRDefault="000E2B2C" w:rsidP="00DB68C3">
            <w:pPr>
              <w:keepNext/>
              <w:spacing w:before="60" w:after="60"/>
              <w:jc w:val="center"/>
              <w:rPr>
                <w:rFonts w:cs="Arial"/>
                <w:i/>
              </w:rPr>
            </w:pPr>
            <w:r w:rsidRPr="009D2776">
              <w:rPr>
                <w:rFonts w:cs="Arial"/>
                <w:i/>
              </w:rPr>
              <w:t>Abweicher</w:t>
            </w:r>
          </w:p>
          <w:p w:rsidR="000E2B2C" w:rsidRPr="009D2776" w:rsidRDefault="000E2B2C" w:rsidP="00DB68C3">
            <w:pPr>
              <w:keepNext/>
              <w:spacing w:before="60" w:after="60"/>
              <w:jc w:val="center"/>
              <w:rPr>
                <w:rFonts w:cs="Arial"/>
                <w:i/>
                <w:caps/>
              </w:rPr>
            </w:pPr>
          </w:p>
        </w:tc>
        <w:tc>
          <w:tcPr>
            <w:tcW w:w="2396" w:type="dxa"/>
            <w:tcBorders>
              <w:top w:val="single" w:sz="4" w:space="0" w:color="auto"/>
            </w:tcBorders>
          </w:tcPr>
          <w:p w:rsidR="000E2B2C" w:rsidRPr="009D2776" w:rsidRDefault="000E2B2C" w:rsidP="00DB68C3">
            <w:pPr>
              <w:keepNext/>
              <w:spacing w:before="60" w:after="60"/>
              <w:jc w:val="center"/>
              <w:rPr>
                <w:rFonts w:cs="Arial"/>
                <w:i/>
              </w:rPr>
            </w:pPr>
            <w:r w:rsidRPr="009D2776">
              <w:rPr>
                <w:rFonts w:cs="Arial"/>
                <w:i/>
              </w:rPr>
              <w:t>Abweicher</w:t>
            </w:r>
            <w:r w:rsidRPr="009D2776">
              <w:rPr>
                <w:rFonts w:cs="Arial"/>
                <w:i/>
              </w:rPr>
              <w:br/>
              <w:t>(visuelle Erfassung)</w:t>
            </w:r>
          </w:p>
          <w:p w:rsidR="000E2B2C" w:rsidRPr="009D2776" w:rsidRDefault="000E2B2C" w:rsidP="00732A77">
            <w:pPr>
              <w:keepNext/>
              <w:spacing w:before="60" w:after="60"/>
              <w:jc w:val="center"/>
              <w:rPr>
                <w:rFonts w:cs="Arial"/>
                <w:i/>
                <w:caps/>
              </w:rPr>
            </w:pPr>
            <w:r w:rsidRPr="009D2776">
              <w:rPr>
                <w:rFonts w:cs="Arial"/>
                <w:i/>
              </w:rPr>
              <w:t>Standardabweichungen (Messung)</w:t>
            </w:r>
          </w:p>
        </w:tc>
      </w:tr>
      <w:tr w:rsidR="000E2B2C" w:rsidRPr="009D2776" w:rsidTr="00732A77">
        <w:tc>
          <w:tcPr>
            <w:tcW w:w="2694" w:type="dxa"/>
          </w:tcPr>
          <w:p w:rsidR="000E2B2C" w:rsidRPr="009D2776" w:rsidRDefault="000E2B2C" w:rsidP="00DB68C3">
            <w:pPr>
              <w:spacing w:before="60" w:after="60"/>
              <w:rPr>
                <w:rFonts w:cs="Arial"/>
              </w:rPr>
            </w:pPr>
            <w:r w:rsidRPr="009D2776">
              <w:rPr>
                <w:rFonts w:cs="Arial"/>
              </w:rPr>
              <w:t>Sonstige Hybriden</w:t>
            </w:r>
          </w:p>
        </w:tc>
        <w:tc>
          <w:tcPr>
            <w:tcW w:w="2220" w:type="dxa"/>
            <w:vAlign w:val="center"/>
          </w:tcPr>
          <w:p w:rsidR="000E2B2C" w:rsidRPr="009D2776" w:rsidRDefault="000E2B2C" w:rsidP="00DB68C3">
            <w:pPr>
              <w:spacing w:before="60" w:after="60"/>
              <w:jc w:val="center"/>
              <w:rPr>
                <w:rFonts w:cs="Arial"/>
              </w:rPr>
            </w:pPr>
            <w:r w:rsidRPr="009D2776">
              <w:rPr>
                <w:rFonts w:cs="Arial"/>
              </w:rPr>
              <w:t>*</w:t>
            </w:r>
          </w:p>
        </w:tc>
        <w:tc>
          <w:tcPr>
            <w:tcW w:w="2221" w:type="dxa"/>
            <w:vAlign w:val="center"/>
          </w:tcPr>
          <w:p w:rsidR="000E2B2C" w:rsidRPr="009D2776" w:rsidRDefault="000E2B2C" w:rsidP="00DB68C3">
            <w:pPr>
              <w:spacing w:before="60" w:after="60"/>
              <w:jc w:val="center"/>
              <w:rPr>
                <w:rFonts w:cs="Arial"/>
              </w:rPr>
            </w:pPr>
            <w:r w:rsidRPr="009D2776">
              <w:rPr>
                <w:rFonts w:cs="Arial"/>
              </w:rPr>
              <w:t>*</w:t>
            </w:r>
          </w:p>
        </w:tc>
        <w:tc>
          <w:tcPr>
            <w:tcW w:w="2396" w:type="dxa"/>
            <w:vAlign w:val="center"/>
          </w:tcPr>
          <w:p w:rsidR="000E2B2C" w:rsidRPr="009D2776" w:rsidRDefault="000E2B2C" w:rsidP="00DB68C3">
            <w:pPr>
              <w:spacing w:before="60" w:after="60"/>
              <w:jc w:val="center"/>
              <w:rPr>
                <w:rFonts w:cs="Arial"/>
              </w:rPr>
            </w:pPr>
            <w:r w:rsidRPr="009D2776">
              <w:rPr>
                <w:rFonts w:cs="Arial"/>
              </w:rPr>
              <w:t>*</w:t>
            </w:r>
          </w:p>
        </w:tc>
      </w:tr>
    </w:tbl>
    <w:p w:rsidR="000E2B2C" w:rsidRPr="009D2776" w:rsidRDefault="000E2B2C" w:rsidP="000E2B2C">
      <w:pPr>
        <w:pStyle w:val="Header"/>
        <w:ind w:left="709"/>
        <w:jc w:val="left"/>
        <w:rPr>
          <w:rFonts w:cs="Arial"/>
          <w:lang w:val="de-DE"/>
        </w:rPr>
      </w:pPr>
    </w:p>
    <w:p w:rsidR="000E2B2C" w:rsidRPr="009D2776" w:rsidRDefault="000E2B2C" w:rsidP="000E2B2C">
      <w:pPr>
        <w:ind w:left="142"/>
        <w:rPr>
          <w:rFonts w:cs="Arial"/>
        </w:rPr>
      </w:pPr>
      <w:r w:rsidRPr="009D2776">
        <w:rPr>
          <w:rFonts w:cs="Arial"/>
        </w:rPr>
        <w:t>* Je nach Typ der Hybride zu berücksichtigen.</w:t>
      </w:r>
    </w:p>
    <w:p w:rsidR="000E2B2C" w:rsidRPr="009D2776" w:rsidRDefault="000E2B2C" w:rsidP="000E2B2C">
      <w:pPr>
        <w:rPr>
          <w:rFonts w:cs="Arial"/>
        </w:rPr>
      </w:pPr>
    </w:p>
    <w:p w:rsidR="000E2B2C" w:rsidRPr="009D2776" w:rsidRDefault="000E2B2C" w:rsidP="000E2B2C">
      <w:pPr>
        <w:rPr>
          <w:rFonts w:cs="Arial"/>
        </w:rPr>
      </w:pPr>
    </w:p>
    <w:p w:rsidR="000E2B2C" w:rsidRPr="009D2776" w:rsidRDefault="000E2B2C" w:rsidP="000E2B2C">
      <w:pPr>
        <w:pStyle w:val="Heading1"/>
        <w:rPr>
          <w:rFonts w:ascii="Arial" w:hAnsi="Arial" w:cs="Arial"/>
        </w:rPr>
      </w:pPr>
      <w:r w:rsidRPr="009D2776">
        <w:rPr>
          <w:rFonts w:ascii="Arial" w:hAnsi="Arial" w:cs="Arial"/>
        </w:rPr>
        <w:br w:type="page"/>
      </w:r>
      <w:bookmarkStart w:id="82" w:name="_Toc127103710"/>
      <w:bookmarkStart w:id="83" w:name="_Toc127699459"/>
      <w:bookmarkStart w:id="84" w:name="_Toc127780607"/>
      <w:bookmarkStart w:id="85" w:name="_Toc127781941"/>
      <w:bookmarkStart w:id="86" w:name="_Toc138650104"/>
      <w:bookmarkStart w:id="87" w:name="_Toc138653635"/>
      <w:bookmarkStart w:id="88" w:name="_Toc159754473"/>
      <w:bookmarkStart w:id="89" w:name="_Toc159810490"/>
      <w:bookmarkStart w:id="90" w:name="_Toc161028377"/>
      <w:bookmarkStart w:id="91" w:name="_Toc189539593"/>
      <w:bookmarkStart w:id="92" w:name="_Toc15561040"/>
      <w:r w:rsidRPr="009D2776">
        <w:rPr>
          <w:rFonts w:ascii="Arial" w:hAnsi="Arial" w:cs="Arial"/>
        </w:rPr>
        <w:lastRenderedPageBreak/>
        <w:t>ABSCHNITT 3:</w:t>
      </w:r>
      <w:r w:rsidRPr="009D2776">
        <w:rPr>
          <w:rFonts w:ascii="Arial" w:hAnsi="Arial" w:cs="Arial"/>
        </w:rPr>
        <w:tab/>
        <w:t>MethodE ZUR ERFASSUNG VON MERKMALEN</w:t>
      </w:r>
      <w:bookmarkEnd w:id="82"/>
      <w:bookmarkEnd w:id="83"/>
      <w:bookmarkEnd w:id="84"/>
      <w:bookmarkEnd w:id="85"/>
      <w:bookmarkEnd w:id="86"/>
      <w:bookmarkEnd w:id="87"/>
      <w:bookmarkEnd w:id="88"/>
      <w:bookmarkEnd w:id="89"/>
      <w:bookmarkEnd w:id="90"/>
      <w:bookmarkEnd w:id="91"/>
      <w:bookmarkEnd w:id="92"/>
    </w:p>
    <w:p w:rsidR="000E2B2C" w:rsidRPr="009D2776" w:rsidRDefault="000E2B2C" w:rsidP="000E2B2C">
      <w:pPr>
        <w:pStyle w:val="Heading2"/>
        <w:rPr>
          <w:rFonts w:cs="Arial"/>
          <w:lang w:val="de-DE"/>
        </w:rPr>
      </w:pPr>
      <w:bookmarkStart w:id="93" w:name="_Toc127103711"/>
      <w:bookmarkStart w:id="94" w:name="_Toc127699460"/>
      <w:bookmarkStart w:id="95" w:name="_Toc127780608"/>
      <w:bookmarkStart w:id="96" w:name="_Toc127781942"/>
      <w:bookmarkStart w:id="97" w:name="_Toc138650105"/>
      <w:bookmarkStart w:id="98" w:name="_Toc138653636"/>
      <w:bookmarkStart w:id="99" w:name="_Toc159754474"/>
      <w:bookmarkStart w:id="100" w:name="_Toc159810491"/>
      <w:bookmarkStart w:id="101" w:name="_Toc161028378"/>
      <w:bookmarkStart w:id="102" w:name="_Toc189539594"/>
      <w:bookmarkStart w:id="103" w:name="_Toc15561041"/>
      <w:r w:rsidRPr="009D2776">
        <w:rPr>
          <w:rFonts w:cs="Arial"/>
          <w:lang w:val="de-DE"/>
        </w:rPr>
        <w:t>3.1</w:t>
      </w:r>
      <w:r w:rsidRPr="009D2776">
        <w:rPr>
          <w:rFonts w:cs="Arial"/>
          <w:lang w:val="de-DE"/>
        </w:rPr>
        <w:tab/>
        <w:t>Abweicher</w:t>
      </w:r>
      <w:bookmarkEnd w:id="93"/>
      <w:r w:rsidRPr="009D2776">
        <w:rPr>
          <w:rFonts w:cs="Arial"/>
          <w:lang w:val="de-DE"/>
        </w:rPr>
        <w:t>verfahren</w:t>
      </w:r>
      <w:bookmarkEnd w:id="94"/>
      <w:bookmarkEnd w:id="95"/>
      <w:bookmarkEnd w:id="96"/>
      <w:bookmarkEnd w:id="97"/>
      <w:bookmarkEnd w:id="98"/>
      <w:bookmarkEnd w:id="99"/>
      <w:bookmarkEnd w:id="100"/>
      <w:bookmarkEnd w:id="101"/>
      <w:bookmarkEnd w:id="102"/>
      <w:bookmarkEnd w:id="103"/>
    </w:p>
    <w:p w:rsidR="000E2B2C" w:rsidRPr="009D2776" w:rsidRDefault="000E2B2C" w:rsidP="000E2B2C">
      <w:pPr>
        <w:rPr>
          <w:rFonts w:cs="Arial"/>
          <w:i/>
        </w:rPr>
      </w:pPr>
      <w:r w:rsidRPr="009D2776">
        <w:rPr>
          <w:rFonts w:cs="Arial"/>
        </w:rPr>
        <w:t xml:space="preserve">Wie bei der Erfassung der Merkmale für die Unterscheidbarkeit (vergleiche Dokument TGP/9 „Prüfung der Unterscheidbarkeit“, Abschnitt 4.2) werden qualitative und pseudoqualitative Merkmale im allgemeinen visuell </w:t>
      </w:r>
      <w:r w:rsidR="009912DD" w:rsidRPr="009D2776">
        <w:rPr>
          <w:rFonts w:cs="Arial"/>
        </w:rPr>
        <w:t>erfasst</w:t>
      </w:r>
      <w:r w:rsidRPr="009D2776">
        <w:rPr>
          <w:rFonts w:cs="Arial"/>
        </w:rPr>
        <w:t xml:space="preserve"> und die Abweicher durch visuelle Erfassung bestimmt. Bei vegetativ vermehrten und selbstbefruchtenden Sorten ist die Variation innerhalb der Sorten sehr gering, und wie bei der Erfassung der Merkmale für die Unterscheidbarkeit dieser Sorten werden die quantitativen Merkmale in der Regel visuell </w:t>
      </w:r>
      <w:r w:rsidR="009912DD" w:rsidRPr="009D2776">
        <w:rPr>
          <w:rFonts w:cs="Arial"/>
        </w:rPr>
        <w:t>erfasst</w:t>
      </w:r>
      <w:r w:rsidRPr="009D2776">
        <w:rPr>
          <w:rFonts w:cs="Arial"/>
        </w:rPr>
        <w:t>, das heißt, die Abweicher werden durch visuelle Erfassung bestimmt. In einzelnen Fällen können zur Prüfung der Abweicher bei quantitativen Merkmalen die Messungen an Einzelpflanzen vorgenommen werden. Visuelle Erfassung und Messungen zur Bestimmung der Abweicher werden in Abschnitt 4 behandelt.</w:t>
      </w:r>
    </w:p>
    <w:p w:rsidR="000E2B2C" w:rsidRPr="009D2776" w:rsidRDefault="000E2B2C" w:rsidP="000E2B2C">
      <w:pPr>
        <w:rPr>
          <w:rFonts w:cs="Arial"/>
        </w:rPr>
      </w:pPr>
    </w:p>
    <w:p w:rsidR="000E2B2C" w:rsidRPr="009D2776" w:rsidRDefault="000E2B2C" w:rsidP="000E2B2C">
      <w:pPr>
        <w:pStyle w:val="Heading2"/>
        <w:rPr>
          <w:rFonts w:cs="Arial"/>
          <w:lang w:val="de-DE"/>
        </w:rPr>
      </w:pPr>
      <w:bookmarkStart w:id="104" w:name="_Toc127103712"/>
      <w:bookmarkStart w:id="105" w:name="_Toc127699461"/>
      <w:bookmarkStart w:id="106" w:name="_Toc127780609"/>
      <w:bookmarkStart w:id="107" w:name="_Toc127781943"/>
      <w:bookmarkStart w:id="108" w:name="_Toc138650106"/>
      <w:bookmarkStart w:id="109" w:name="_Toc138653637"/>
      <w:bookmarkStart w:id="110" w:name="_Toc159754475"/>
      <w:bookmarkStart w:id="111" w:name="_Toc159810492"/>
      <w:bookmarkStart w:id="112" w:name="_Toc161028379"/>
      <w:bookmarkStart w:id="113" w:name="_Toc189539595"/>
      <w:bookmarkStart w:id="114" w:name="_Toc15561042"/>
      <w:r w:rsidRPr="009D2776">
        <w:rPr>
          <w:rFonts w:cs="Arial"/>
          <w:lang w:val="de-DE"/>
        </w:rPr>
        <w:t>3.2</w:t>
      </w:r>
      <w:r w:rsidRPr="009D2776">
        <w:rPr>
          <w:rFonts w:cs="Arial"/>
          <w:lang w:val="de-DE"/>
        </w:rPr>
        <w:tab/>
        <w:t>Verfahren der Standardabweichungen</w:t>
      </w:r>
      <w:bookmarkEnd w:id="104"/>
      <w:bookmarkEnd w:id="105"/>
      <w:bookmarkEnd w:id="106"/>
      <w:bookmarkEnd w:id="107"/>
      <w:bookmarkEnd w:id="108"/>
      <w:bookmarkEnd w:id="109"/>
      <w:bookmarkEnd w:id="110"/>
      <w:bookmarkEnd w:id="111"/>
      <w:bookmarkEnd w:id="112"/>
      <w:bookmarkEnd w:id="113"/>
      <w:bookmarkEnd w:id="114"/>
    </w:p>
    <w:p w:rsidR="000E2B2C" w:rsidRPr="009D2776" w:rsidRDefault="000E2B2C" w:rsidP="000E2B2C">
      <w:pPr>
        <w:rPr>
          <w:rFonts w:cs="Arial"/>
        </w:rPr>
      </w:pPr>
      <w:r w:rsidRPr="009D2776">
        <w:rPr>
          <w:rFonts w:cs="Arial"/>
        </w:rPr>
        <w:t>3.2.1</w:t>
      </w:r>
      <w:r w:rsidRPr="009D2776">
        <w:rPr>
          <w:rFonts w:cs="Arial"/>
        </w:rPr>
        <w:tab/>
        <w:t xml:space="preserve">Wie bei der Erfassung der Merkmale für die Unterscheidbarkeit (vergleiche Dokument TGP/9 Abschnitt 4.2) werden qualitative und pseudoqualitative Merkmale im allgemeinen visuell </w:t>
      </w:r>
      <w:r w:rsidR="009912DD" w:rsidRPr="009D2776">
        <w:rPr>
          <w:rFonts w:cs="Arial"/>
        </w:rPr>
        <w:t>erfasst</w:t>
      </w:r>
      <w:r w:rsidRPr="009D2776">
        <w:rPr>
          <w:rFonts w:cs="Arial"/>
        </w:rPr>
        <w:t>.</w:t>
      </w:r>
    </w:p>
    <w:p w:rsidR="000E2B2C" w:rsidRPr="009D2776" w:rsidRDefault="000E2B2C" w:rsidP="000E2B2C">
      <w:pPr>
        <w:tabs>
          <w:tab w:val="left" w:pos="709"/>
        </w:tabs>
        <w:rPr>
          <w:rFonts w:cs="Arial"/>
        </w:rPr>
      </w:pPr>
    </w:p>
    <w:p w:rsidR="000E2B2C" w:rsidRPr="009D2776" w:rsidRDefault="000E2B2C" w:rsidP="000E2B2C">
      <w:pPr>
        <w:rPr>
          <w:rFonts w:cs="Arial"/>
        </w:rPr>
      </w:pPr>
      <w:r w:rsidRPr="009D2776">
        <w:rPr>
          <w:rFonts w:cs="Arial"/>
        </w:rPr>
        <w:t>3.2.2</w:t>
      </w:r>
      <w:r w:rsidRPr="009D2776">
        <w:rPr>
          <w:rFonts w:cs="Arial"/>
        </w:rPr>
        <w:tab/>
        <w:t>Beim Verfahren der Standardabweichungen können für die Wahl zwischen visueller Erfassung und Messung von quantitativen Merkmalen folgende Faktoren berücksichtigt werden:</w:t>
      </w:r>
    </w:p>
    <w:p w:rsidR="000E2B2C" w:rsidRPr="009D2776" w:rsidRDefault="000E2B2C" w:rsidP="000E2B2C">
      <w:pPr>
        <w:rPr>
          <w:rFonts w:cs="Arial"/>
        </w:rPr>
      </w:pPr>
    </w:p>
    <w:p w:rsidR="000E2B2C" w:rsidRPr="009D2776" w:rsidRDefault="000E2B2C" w:rsidP="009D2776">
      <w:pPr>
        <w:tabs>
          <w:tab w:val="left" w:pos="1418"/>
        </w:tabs>
        <w:ind w:firstLine="851"/>
        <w:rPr>
          <w:rFonts w:cs="Arial"/>
        </w:rPr>
      </w:pPr>
      <w:r w:rsidRPr="009D2776">
        <w:rPr>
          <w:rFonts w:cs="Arial"/>
        </w:rPr>
        <w:t>a)</w:t>
      </w:r>
      <w:r w:rsidRPr="009D2776">
        <w:rPr>
          <w:rFonts w:cs="Arial"/>
        </w:rPr>
        <w:tab/>
        <w:t xml:space="preserve">visuelle Erfassungen sind im allgemeinen schneller und kostengünstiger als Messungen. Weil sie jedoch auf dem Urteil des Sachverständigen beruhen, setzen sie eine besonders gründliche Ausbildung und reiche Erfahrung voraus, damit sichergestellt wird, </w:t>
      </w:r>
      <w:r w:rsidR="009912DD" w:rsidRPr="009D2776">
        <w:rPr>
          <w:rFonts w:cs="Arial"/>
        </w:rPr>
        <w:t>dass</w:t>
      </w:r>
      <w:r w:rsidRPr="009D2776">
        <w:rPr>
          <w:rFonts w:cs="Arial"/>
        </w:rPr>
        <w:t xml:space="preserve"> die Erfassungen eines Merkmals durch einen DUS</w:t>
      </w:r>
      <w:r w:rsidRPr="009D2776">
        <w:rPr>
          <w:rFonts w:cs="Arial"/>
        </w:rPr>
        <w:noBreakHyphen/>
        <w:t>Prüfer stabil sind und die Wiederholbarkeit zwischen den Erfassern erreicht werden kann. Visuelle Erfassungen sind geeignet, wenn die resultierenden Daten die Voraussetzungen für die Berechnung des Mittelwertes und der Standardabweichung erfüllen;</w:t>
      </w:r>
    </w:p>
    <w:p w:rsidR="000E2B2C" w:rsidRPr="009D2776" w:rsidRDefault="000E2B2C" w:rsidP="000E2B2C">
      <w:pPr>
        <w:tabs>
          <w:tab w:val="left" w:pos="1418"/>
        </w:tabs>
        <w:ind w:left="851"/>
        <w:rPr>
          <w:rFonts w:cs="Arial"/>
        </w:rPr>
      </w:pPr>
    </w:p>
    <w:p w:rsidR="000E2B2C" w:rsidRPr="009D2776" w:rsidRDefault="000E2B2C" w:rsidP="009D2776">
      <w:pPr>
        <w:tabs>
          <w:tab w:val="left" w:pos="1418"/>
        </w:tabs>
        <w:ind w:firstLine="851"/>
        <w:rPr>
          <w:rFonts w:cs="Arial"/>
        </w:rPr>
      </w:pPr>
      <w:r w:rsidRPr="009D2776">
        <w:rPr>
          <w:rFonts w:cs="Arial"/>
        </w:rPr>
        <w:t>b)</w:t>
      </w:r>
      <w:r w:rsidRPr="009D2776">
        <w:rPr>
          <w:rFonts w:cs="Arial"/>
        </w:rPr>
        <w:tab/>
        <w:t>Messungen können erforderlich sein, um die angemessene Genauigkeit für die Erfassung der Variation zu erreichen.</w:t>
      </w:r>
    </w:p>
    <w:p w:rsidR="000E2B2C" w:rsidRPr="009D2776" w:rsidRDefault="000E2B2C" w:rsidP="000E2B2C">
      <w:pPr>
        <w:rPr>
          <w:rFonts w:cs="Arial"/>
        </w:rPr>
      </w:pPr>
    </w:p>
    <w:p w:rsidR="000E2B2C" w:rsidRPr="009D2776" w:rsidRDefault="000E2B2C" w:rsidP="000E2B2C">
      <w:pPr>
        <w:rPr>
          <w:rFonts w:cs="Arial"/>
        </w:rPr>
      </w:pPr>
    </w:p>
    <w:p w:rsidR="000E2B2C" w:rsidRPr="009D2776" w:rsidRDefault="000E2B2C" w:rsidP="000E2B2C">
      <w:pPr>
        <w:pStyle w:val="Heading1"/>
        <w:rPr>
          <w:rFonts w:ascii="Arial" w:hAnsi="Arial" w:cs="Arial"/>
        </w:rPr>
      </w:pPr>
      <w:r w:rsidRPr="009D2776">
        <w:rPr>
          <w:rFonts w:ascii="Arial" w:hAnsi="Arial" w:cs="Arial"/>
        </w:rPr>
        <w:br w:type="page"/>
      </w:r>
      <w:bookmarkStart w:id="115" w:name="_Toc127103713"/>
      <w:bookmarkStart w:id="116" w:name="_Toc127699462"/>
      <w:bookmarkStart w:id="117" w:name="_Toc127780610"/>
      <w:bookmarkStart w:id="118" w:name="_Toc127781944"/>
      <w:bookmarkStart w:id="119" w:name="_Toc138650108"/>
      <w:bookmarkStart w:id="120" w:name="_Toc138653639"/>
      <w:bookmarkStart w:id="121" w:name="_Toc159754477"/>
      <w:bookmarkStart w:id="122" w:name="_Toc159810494"/>
      <w:bookmarkStart w:id="123" w:name="_Toc161028381"/>
      <w:bookmarkStart w:id="124" w:name="_Toc189539596"/>
      <w:bookmarkStart w:id="125" w:name="_Toc15561043"/>
      <w:r w:rsidRPr="009D2776">
        <w:rPr>
          <w:rFonts w:ascii="Arial" w:hAnsi="Arial" w:cs="Arial"/>
        </w:rPr>
        <w:lastRenderedPageBreak/>
        <w:t>ABSCHNITT 4:</w:t>
      </w:r>
      <w:r w:rsidRPr="009D2776">
        <w:rPr>
          <w:rFonts w:ascii="Arial" w:hAnsi="Arial" w:cs="Arial"/>
        </w:rPr>
        <w:tab/>
      </w:r>
      <w:r w:rsidRPr="009D2776">
        <w:rPr>
          <w:rFonts w:ascii="Arial" w:hAnsi="Arial" w:cs="Arial"/>
          <w:spacing w:val="-2"/>
          <w:szCs w:val="24"/>
        </w:rPr>
        <w:t>PRÜFUNG DER HOMOGENITÄT mittels ABWEICHER</w:t>
      </w:r>
      <w:bookmarkEnd w:id="115"/>
      <w:bookmarkEnd w:id="116"/>
      <w:bookmarkEnd w:id="117"/>
      <w:bookmarkEnd w:id="118"/>
      <w:bookmarkEnd w:id="119"/>
      <w:bookmarkEnd w:id="120"/>
      <w:bookmarkEnd w:id="121"/>
      <w:bookmarkEnd w:id="122"/>
      <w:bookmarkEnd w:id="123"/>
      <w:bookmarkEnd w:id="124"/>
      <w:r w:rsidRPr="009D2776">
        <w:rPr>
          <w:rFonts w:ascii="Arial" w:hAnsi="Arial" w:cs="Arial"/>
          <w:spacing w:val="-2"/>
          <w:szCs w:val="24"/>
        </w:rPr>
        <w:t>n</w:t>
      </w:r>
      <w:bookmarkEnd w:id="125"/>
    </w:p>
    <w:p w:rsidR="000E2B2C" w:rsidRPr="009D2776" w:rsidRDefault="000E2B2C" w:rsidP="000E2B2C">
      <w:pPr>
        <w:pStyle w:val="Heading2"/>
        <w:rPr>
          <w:rFonts w:cs="Arial"/>
          <w:lang w:val="de-DE"/>
        </w:rPr>
      </w:pPr>
      <w:bookmarkStart w:id="126" w:name="_Toc127103714"/>
      <w:bookmarkStart w:id="127" w:name="_Toc127699463"/>
      <w:bookmarkStart w:id="128" w:name="_Toc127780611"/>
      <w:bookmarkStart w:id="129" w:name="_Toc127781945"/>
      <w:bookmarkStart w:id="130" w:name="_Toc138650109"/>
      <w:bookmarkStart w:id="131" w:name="_Toc138653640"/>
      <w:bookmarkStart w:id="132" w:name="_Toc159754478"/>
      <w:bookmarkStart w:id="133" w:name="_Toc159810495"/>
      <w:bookmarkStart w:id="134" w:name="_Toc161028382"/>
      <w:bookmarkStart w:id="135" w:name="_Toc189539597"/>
      <w:bookmarkStart w:id="136" w:name="_Toc15561044"/>
      <w:r w:rsidRPr="009D2776">
        <w:rPr>
          <w:rFonts w:cs="Arial"/>
          <w:lang w:val="de-DE"/>
        </w:rPr>
        <w:t>4.1</w:t>
      </w:r>
      <w:r w:rsidRPr="009D2776">
        <w:rPr>
          <w:rFonts w:cs="Arial"/>
          <w:lang w:val="de-DE"/>
        </w:rPr>
        <w:tab/>
        <w:t>Einleitung</w:t>
      </w:r>
      <w:bookmarkEnd w:id="126"/>
      <w:bookmarkEnd w:id="127"/>
      <w:bookmarkEnd w:id="128"/>
      <w:bookmarkEnd w:id="129"/>
      <w:bookmarkEnd w:id="130"/>
      <w:bookmarkEnd w:id="131"/>
      <w:bookmarkEnd w:id="132"/>
      <w:bookmarkEnd w:id="133"/>
      <w:bookmarkEnd w:id="134"/>
      <w:bookmarkEnd w:id="135"/>
      <w:bookmarkEnd w:id="136"/>
    </w:p>
    <w:p w:rsidR="000E2B2C" w:rsidRPr="009D2776" w:rsidRDefault="000E2B2C" w:rsidP="000E2B2C">
      <w:pPr>
        <w:rPr>
          <w:rFonts w:cs="Arial"/>
        </w:rPr>
      </w:pPr>
      <w:r w:rsidRPr="009D2776">
        <w:rPr>
          <w:rFonts w:cs="Arial"/>
        </w:rPr>
        <w:t xml:space="preserve">Die Allgemeine Einführung, Kapitel 6.4, hält fest: „Sind sich alle Pflanzen einer Sorte sehr ähnlich, insbesondere bei vegetativ vermehrten und selbstbefruchtenden Sorten, ist es möglich, die Homogenität aufgrund der Anzahl der auftretenden, offensichtlich unterschiedlichen Pflanzen – „der Abweicher“ – zu prüfen.“ Dieser Abschnitt </w:t>
      </w:r>
      <w:r w:rsidR="009912DD" w:rsidRPr="009D2776">
        <w:rPr>
          <w:rFonts w:cs="Arial"/>
        </w:rPr>
        <w:t>befasst</w:t>
      </w:r>
      <w:r w:rsidRPr="009D2776">
        <w:rPr>
          <w:rFonts w:cs="Arial"/>
        </w:rPr>
        <w:t xml:space="preserve"> sich mit der Anwendung des Abweicherverfahrens. Abweicher werden in der Regel visuell erfasst. Dennoch berücksichtigt dieser Abschnitt auch den Hinweis in der Allgemeinen Einführung auf</w:t>
      </w:r>
      <w:r w:rsidRPr="009D2776">
        <w:rPr>
          <w:rFonts w:cs="Arial"/>
          <w:color w:val="000000"/>
        </w:rPr>
        <w:t xml:space="preserve"> </w:t>
      </w:r>
      <w:r w:rsidRPr="009D2776">
        <w:rPr>
          <w:rFonts w:cs="Arial"/>
        </w:rPr>
        <w:t>die Möglichkeit, Abweicher anhand von Messungen zu ermitteln.</w:t>
      </w:r>
    </w:p>
    <w:p w:rsidR="000E2B2C" w:rsidRPr="009D2776" w:rsidRDefault="000E2B2C" w:rsidP="000E2B2C">
      <w:pPr>
        <w:rPr>
          <w:rFonts w:cs="Arial"/>
        </w:rPr>
      </w:pPr>
    </w:p>
    <w:p w:rsidR="000E2B2C" w:rsidRPr="009D2776" w:rsidRDefault="000E2B2C" w:rsidP="000E2B2C">
      <w:pPr>
        <w:pStyle w:val="Heading2"/>
        <w:rPr>
          <w:rFonts w:cs="Arial"/>
          <w:lang w:val="de-DE"/>
        </w:rPr>
      </w:pPr>
      <w:bookmarkStart w:id="137" w:name="_Toc159754483"/>
      <w:bookmarkStart w:id="138" w:name="_Toc159810500"/>
      <w:bookmarkStart w:id="139" w:name="_Toc161028387"/>
      <w:bookmarkStart w:id="140" w:name="_Toc189539598"/>
      <w:bookmarkStart w:id="141" w:name="_Toc15561045"/>
      <w:r w:rsidRPr="009D2776">
        <w:rPr>
          <w:rFonts w:cs="Arial"/>
          <w:lang w:val="de-DE"/>
        </w:rPr>
        <w:t>4.2</w:t>
      </w:r>
      <w:r w:rsidRPr="009D2776">
        <w:rPr>
          <w:rFonts w:cs="Arial"/>
          <w:lang w:val="de-DE"/>
        </w:rPr>
        <w:tab/>
        <w:t>Bestimmung von Abweichern durch visuelle Erfassung</w:t>
      </w:r>
      <w:bookmarkEnd w:id="137"/>
      <w:bookmarkEnd w:id="138"/>
      <w:bookmarkEnd w:id="139"/>
      <w:bookmarkEnd w:id="140"/>
      <w:bookmarkEnd w:id="141"/>
    </w:p>
    <w:p w:rsidR="000E2B2C" w:rsidRPr="009D2776" w:rsidRDefault="000E2B2C" w:rsidP="000E2B2C">
      <w:pPr>
        <w:pStyle w:val="Heading3"/>
        <w:rPr>
          <w:rFonts w:cs="Arial"/>
          <w:lang w:val="de-DE"/>
        </w:rPr>
      </w:pPr>
      <w:bookmarkStart w:id="142" w:name="_Toc159754484"/>
      <w:bookmarkStart w:id="143" w:name="_Toc159810501"/>
      <w:bookmarkStart w:id="144" w:name="_Toc161028388"/>
      <w:bookmarkStart w:id="145" w:name="_Toc189539599"/>
      <w:bookmarkStart w:id="146" w:name="_Toc15561046"/>
      <w:r w:rsidRPr="009D2776">
        <w:rPr>
          <w:rFonts w:cs="Arial"/>
          <w:u w:val="none"/>
          <w:lang w:val="de-DE"/>
        </w:rPr>
        <w:t>4.2.1</w:t>
      </w:r>
      <w:r w:rsidRPr="009D2776">
        <w:rPr>
          <w:rFonts w:cs="Arial"/>
          <w:u w:val="none"/>
          <w:lang w:val="de-DE"/>
        </w:rPr>
        <w:tab/>
      </w:r>
      <w:r w:rsidRPr="009D2776">
        <w:rPr>
          <w:rFonts w:cs="Arial"/>
          <w:lang w:val="de-DE"/>
        </w:rPr>
        <w:t>Einleitung</w:t>
      </w:r>
      <w:bookmarkEnd w:id="142"/>
      <w:bookmarkEnd w:id="143"/>
      <w:bookmarkEnd w:id="144"/>
      <w:bookmarkEnd w:id="145"/>
      <w:bookmarkEnd w:id="146"/>
    </w:p>
    <w:p w:rsidR="000E2B2C" w:rsidRPr="009D2776" w:rsidRDefault="000E2B2C" w:rsidP="000E2B2C">
      <w:pPr>
        <w:rPr>
          <w:rFonts w:cs="Arial"/>
        </w:rPr>
      </w:pPr>
      <w:r w:rsidRPr="009D2776">
        <w:rPr>
          <w:rFonts w:cs="Arial"/>
        </w:rPr>
        <w:t xml:space="preserve">Die Allgemeine Einführung hält in </w:t>
      </w:r>
      <w:r w:rsidR="009912DD" w:rsidRPr="009D2776">
        <w:rPr>
          <w:rFonts w:cs="Arial"/>
        </w:rPr>
        <w:t>Bezug</w:t>
      </w:r>
      <w:r w:rsidRPr="009D2776">
        <w:rPr>
          <w:rFonts w:cs="Arial"/>
        </w:rPr>
        <w:t xml:space="preserve"> auf die Erfassung von Merkmalen für die Homogenität unter Verwendung des Abweicherverfahrens folgendes fest:</w:t>
      </w:r>
    </w:p>
    <w:p w:rsidR="000E2B2C" w:rsidRPr="009D2776" w:rsidRDefault="000E2B2C" w:rsidP="000E2B2C">
      <w:pPr>
        <w:rPr>
          <w:rFonts w:cs="Arial"/>
        </w:rPr>
      </w:pPr>
    </w:p>
    <w:p w:rsidR="000E2B2C" w:rsidRPr="009D2776" w:rsidRDefault="000E2B2C" w:rsidP="009D2776">
      <w:pPr>
        <w:ind w:left="851" w:right="565"/>
        <w:rPr>
          <w:rFonts w:cs="Arial"/>
          <w:i/>
          <w:sz w:val="18"/>
        </w:rPr>
      </w:pPr>
      <w:r w:rsidRPr="009D2776">
        <w:rPr>
          <w:rFonts w:cs="Arial"/>
          <w:i/>
          <w:sz w:val="18"/>
        </w:rPr>
        <w:t>„6.4.1.1</w:t>
      </w:r>
      <w:r w:rsidRPr="009D2776">
        <w:rPr>
          <w:rFonts w:cs="Arial"/>
          <w:i/>
          <w:sz w:val="18"/>
        </w:rPr>
        <w:tab/>
        <w:t>Bestimmung der Abweicher durch visuelle Erfassung</w:t>
      </w:r>
    </w:p>
    <w:p w:rsidR="000E2B2C" w:rsidRPr="009D2776" w:rsidRDefault="000E2B2C" w:rsidP="009D2776">
      <w:pPr>
        <w:ind w:left="851" w:right="565"/>
        <w:rPr>
          <w:rFonts w:cs="Arial"/>
          <w:sz w:val="16"/>
        </w:rPr>
      </w:pPr>
    </w:p>
    <w:p w:rsidR="000E2B2C" w:rsidRPr="009D2776" w:rsidRDefault="000E2B2C" w:rsidP="009D2776">
      <w:pPr>
        <w:ind w:left="851" w:right="565" w:firstLine="567"/>
        <w:rPr>
          <w:rFonts w:cs="Arial"/>
          <w:sz w:val="18"/>
        </w:rPr>
      </w:pPr>
      <w:r w:rsidRPr="009D2776">
        <w:rPr>
          <w:rFonts w:cs="Arial"/>
          <w:sz w:val="18"/>
        </w:rPr>
        <w:t xml:space="preserve">Eine Pflanze ist als Abweicher anzusehen, wenn sie, unter Berücksichtigung der Besonderheiten der Vermehrung, in der Ausprägung eines bei der Unterscheidbarkeitsprüfung verwendeten Merkmals der ganzen Pflanze oder eines Pflanzenteils von der Sorte deutlich unterscheidbar ist. Diese Begriffsbestimmung stellt klar, </w:t>
      </w:r>
      <w:r w:rsidR="009912DD" w:rsidRPr="009D2776">
        <w:rPr>
          <w:rFonts w:cs="Arial"/>
          <w:sz w:val="18"/>
        </w:rPr>
        <w:t>dass</w:t>
      </w:r>
      <w:r w:rsidRPr="009D2776">
        <w:rPr>
          <w:rFonts w:cs="Arial"/>
          <w:sz w:val="18"/>
        </w:rPr>
        <w:t xml:space="preserve"> bei der Prüfung der Homogenität der Standard für die Unterscheidbarkeit zwischen Abweichern und einer Kandidatensorte der gleiche ist wie für die Unterscheidbarkeit zwischen einer Kandidatensorte und anderen Sorten (siehe [Allgemeine Einführung] Kapitel 5, Abschnitt 5.5.2).“</w:t>
      </w:r>
    </w:p>
    <w:p w:rsidR="000E2B2C" w:rsidRPr="009D2776" w:rsidRDefault="000E2B2C" w:rsidP="009D2776"/>
    <w:p w:rsidR="000E2B2C" w:rsidRPr="009D2776" w:rsidRDefault="000E2B2C" w:rsidP="000E2B2C">
      <w:pPr>
        <w:keepNext/>
        <w:autoSpaceDE w:val="0"/>
        <w:autoSpaceDN w:val="0"/>
        <w:adjustRightInd w:val="0"/>
        <w:rPr>
          <w:rFonts w:cs="Arial"/>
        </w:rPr>
      </w:pPr>
      <w:r w:rsidRPr="009D2776">
        <w:rPr>
          <w:rFonts w:cs="Arial"/>
        </w:rPr>
        <w:t>Somit sind folgende Aspekte für die Bestimmung von Abweichern relevant:</w:t>
      </w:r>
    </w:p>
    <w:p w:rsidR="000E2B2C" w:rsidRPr="009D2776" w:rsidRDefault="000E2B2C" w:rsidP="000E2B2C">
      <w:pPr>
        <w:keepNext/>
        <w:autoSpaceDE w:val="0"/>
        <w:autoSpaceDN w:val="0"/>
        <w:adjustRightInd w:val="0"/>
        <w:rPr>
          <w:rFonts w:cs="Arial"/>
        </w:rPr>
      </w:pPr>
    </w:p>
    <w:p w:rsidR="000E2B2C" w:rsidRDefault="000E2B2C" w:rsidP="009D2776">
      <w:pPr>
        <w:autoSpaceDE w:val="0"/>
        <w:autoSpaceDN w:val="0"/>
        <w:adjustRightInd w:val="0"/>
        <w:ind w:firstLine="851"/>
        <w:rPr>
          <w:rFonts w:cs="Arial"/>
        </w:rPr>
      </w:pPr>
      <w:r w:rsidRPr="009D2776">
        <w:rPr>
          <w:rFonts w:cs="Arial"/>
        </w:rPr>
        <w:t>a)</w:t>
      </w:r>
      <w:r w:rsidRPr="009D2776">
        <w:rPr>
          <w:rFonts w:cs="Arial"/>
        </w:rPr>
        <w:tab/>
        <w:t>der Standard für die Unterscheidbarkeit einer Kandidatensorte von anderen Sorten unter Berücksichtigung der Besonderheiten ihrer Vermehrung, und</w:t>
      </w:r>
    </w:p>
    <w:p w:rsidR="009D2776" w:rsidRPr="009D2776" w:rsidRDefault="009D2776" w:rsidP="009D2776">
      <w:pPr>
        <w:autoSpaceDE w:val="0"/>
        <w:autoSpaceDN w:val="0"/>
        <w:adjustRightInd w:val="0"/>
        <w:ind w:firstLine="851"/>
        <w:rPr>
          <w:rFonts w:cs="Arial"/>
        </w:rPr>
      </w:pPr>
    </w:p>
    <w:p w:rsidR="000E2B2C" w:rsidRPr="009D2776" w:rsidRDefault="000E2B2C" w:rsidP="009D2776">
      <w:pPr>
        <w:autoSpaceDE w:val="0"/>
        <w:autoSpaceDN w:val="0"/>
        <w:adjustRightInd w:val="0"/>
        <w:ind w:firstLine="851"/>
        <w:rPr>
          <w:rFonts w:cs="Arial"/>
        </w:rPr>
      </w:pPr>
      <w:r w:rsidRPr="009D2776">
        <w:rPr>
          <w:rFonts w:cs="Arial"/>
        </w:rPr>
        <w:t>b)</w:t>
      </w:r>
      <w:r w:rsidRPr="009D2776">
        <w:rPr>
          <w:rFonts w:cs="Arial"/>
        </w:rPr>
        <w:tab/>
        <w:t>die Ausprägung der Merkmale der ganzen Pflanze oder von Pflanzenteilen, die für die Prüfung der Unterscheidbarkeit verwendet werden.</w:t>
      </w:r>
    </w:p>
    <w:p w:rsidR="000E2B2C" w:rsidRPr="009D2776" w:rsidRDefault="000E2B2C" w:rsidP="000E2B2C">
      <w:pPr>
        <w:autoSpaceDE w:val="0"/>
        <w:autoSpaceDN w:val="0"/>
        <w:adjustRightInd w:val="0"/>
        <w:rPr>
          <w:rFonts w:cs="Arial"/>
        </w:rPr>
      </w:pPr>
    </w:p>
    <w:p w:rsidR="000E2B2C" w:rsidRPr="009D2776" w:rsidRDefault="000E2B2C" w:rsidP="000E2B2C">
      <w:pPr>
        <w:pStyle w:val="Heading3"/>
        <w:rPr>
          <w:rFonts w:cs="Arial"/>
          <w:lang w:val="de-DE"/>
        </w:rPr>
      </w:pPr>
      <w:bookmarkStart w:id="147" w:name="_Toc159754485"/>
      <w:bookmarkStart w:id="148" w:name="_Toc159810502"/>
      <w:bookmarkStart w:id="149" w:name="_Toc161028389"/>
      <w:bookmarkStart w:id="150" w:name="_Toc189539600"/>
      <w:bookmarkStart w:id="151" w:name="_Toc15561047"/>
      <w:r w:rsidRPr="009D2776">
        <w:rPr>
          <w:rFonts w:cs="Arial"/>
          <w:u w:val="none"/>
          <w:lang w:val="de-DE"/>
        </w:rPr>
        <w:t>4.2.2</w:t>
      </w:r>
      <w:r w:rsidRPr="009D2776">
        <w:rPr>
          <w:rFonts w:cs="Arial"/>
          <w:u w:val="none"/>
          <w:lang w:val="de-DE"/>
        </w:rPr>
        <w:tab/>
      </w:r>
      <w:r w:rsidRPr="009D2776">
        <w:rPr>
          <w:rFonts w:cs="Arial"/>
          <w:lang w:val="de-DE"/>
        </w:rPr>
        <w:t>Anleitung für die Bestimmung von Abweichern</w:t>
      </w:r>
      <w:bookmarkEnd w:id="147"/>
      <w:bookmarkEnd w:id="148"/>
      <w:bookmarkEnd w:id="149"/>
      <w:bookmarkEnd w:id="150"/>
      <w:bookmarkEnd w:id="151"/>
    </w:p>
    <w:p w:rsidR="000E2B2C" w:rsidRPr="009D2776" w:rsidRDefault="000E2B2C" w:rsidP="000E2B2C">
      <w:pPr>
        <w:autoSpaceDE w:val="0"/>
        <w:autoSpaceDN w:val="0"/>
        <w:adjustRightInd w:val="0"/>
        <w:rPr>
          <w:rFonts w:cs="Arial"/>
        </w:rPr>
      </w:pPr>
      <w:r w:rsidRPr="009D2776">
        <w:rPr>
          <w:rFonts w:cs="Arial"/>
        </w:rPr>
        <w:t>4.2.2.1</w:t>
      </w:r>
      <w:r w:rsidRPr="009D2776">
        <w:rPr>
          <w:rFonts w:cs="Arial"/>
        </w:rPr>
        <w:tab/>
        <w:t>Für die Bestimmung einzelner Abweicherpflanzen innerhalb einer Sorte für die Prüfung der Homogenität sollten dieselben Grundsätze angewandt werden wie für die Bestimmung der Unterscheidbarkeit zwischen Sorten. Damit eine Pflanze als Abweicherpflanze identifiziert werden kann, sollte diese Pflanze daher von den Pflanzen, die die Sorte ausmachen, unter Berücksichtigung der Besonderheiten ihrer Vermehrung deutlich unterscheidbar sein.</w:t>
      </w:r>
    </w:p>
    <w:p w:rsidR="000E2B2C" w:rsidRPr="009D2776" w:rsidRDefault="000E2B2C" w:rsidP="000E2B2C">
      <w:pPr>
        <w:autoSpaceDE w:val="0"/>
        <w:autoSpaceDN w:val="0"/>
        <w:adjustRightInd w:val="0"/>
        <w:rPr>
          <w:rFonts w:cs="Arial"/>
        </w:rPr>
      </w:pPr>
    </w:p>
    <w:p w:rsidR="000E2B2C" w:rsidRPr="009D2776" w:rsidRDefault="000E2B2C" w:rsidP="000E2B2C">
      <w:pPr>
        <w:rPr>
          <w:rFonts w:cs="Arial"/>
        </w:rPr>
      </w:pPr>
      <w:r w:rsidRPr="009D2776">
        <w:rPr>
          <w:rFonts w:cs="Arial"/>
        </w:rPr>
        <w:t>4.2.2.2</w:t>
      </w:r>
      <w:r w:rsidRPr="009D2776">
        <w:rPr>
          <w:rFonts w:cs="Arial"/>
          <w:b/>
          <w:color w:val="FF0000"/>
        </w:rPr>
        <w:tab/>
      </w:r>
      <w:r w:rsidRPr="009D2776">
        <w:rPr>
          <w:rFonts w:cs="Arial"/>
        </w:rPr>
        <w:t xml:space="preserve">Die Anleitung in diesem Dokument soll die Faktoren benennen, die für die Bestimmung von Abweichern zu berücksichtigen sind, damit ein harmonisiertes Vorgehen erreicht wird. Diese Anleitung zeigt auf, </w:t>
      </w:r>
      <w:r w:rsidR="009912DD" w:rsidRPr="009D2776">
        <w:rPr>
          <w:rFonts w:cs="Arial"/>
        </w:rPr>
        <w:t>dass</w:t>
      </w:r>
      <w:r w:rsidRPr="009D2776">
        <w:rPr>
          <w:rFonts w:cs="Arial"/>
        </w:rPr>
        <w:t xml:space="preserve"> der DUS-Prüfer über angemessene Erfahrung bezüglich der betreffenden Gattung oder Art oder einer ähnlichen Gattung oder Art verfügen </w:t>
      </w:r>
      <w:r w:rsidR="009912DD" w:rsidRPr="009D2776">
        <w:rPr>
          <w:rFonts w:cs="Arial"/>
        </w:rPr>
        <w:t>muss</w:t>
      </w:r>
      <w:r w:rsidRPr="009D2776">
        <w:rPr>
          <w:rFonts w:cs="Arial"/>
        </w:rPr>
        <w:t>.</w:t>
      </w:r>
    </w:p>
    <w:p w:rsidR="000E2B2C" w:rsidRPr="009D2776" w:rsidRDefault="000E2B2C" w:rsidP="000E2B2C">
      <w:pPr>
        <w:rPr>
          <w:rFonts w:cs="Arial"/>
        </w:rPr>
      </w:pPr>
    </w:p>
    <w:p w:rsidR="000E2B2C" w:rsidRPr="009D2776" w:rsidRDefault="000E2B2C" w:rsidP="000E2B2C">
      <w:pPr>
        <w:autoSpaceDE w:val="0"/>
        <w:autoSpaceDN w:val="0"/>
        <w:adjustRightInd w:val="0"/>
        <w:rPr>
          <w:rFonts w:cs="Arial"/>
        </w:rPr>
      </w:pPr>
      <w:r w:rsidRPr="009D2776">
        <w:rPr>
          <w:rFonts w:cs="Arial"/>
        </w:rPr>
        <w:t>4.2.2.3</w:t>
      </w:r>
      <w:r w:rsidRPr="009D2776">
        <w:rPr>
          <w:rFonts w:cs="Arial"/>
          <w:b/>
          <w:color w:val="FF0000"/>
        </w:rPr>
        <w:tab/>
      </w:r>
      <w:r w:rsidRPr="009D2776">
        <w:rPr>
          <w:rFonts w:cs="Arial"/>
        </w:rPr>
        <w:t xml:space="preserve">Wenn offensichtlich ist, </w:t>
      </w:r>
      <w:r w:rsidR="009912DD" w:rsidRPr="009D2776">
        <w:rPr>
          <w:rFonts w:cs="Arial"/>
        </w:rPr>
        <w:t>dass</w:t>
      </w:r>
      <w:r w:rsidRPr="009D2776">
        <w:rPr>
          <w:rFonts w:cs="Arial"/>
        </w:rPr>
        <w:t xml:space="preserve"> die atypische Ausprägung einer Pflanze genetisch bedingt ist und die Pflanze von den Pflanzen, die die Sorte ausmachen, unter Berücksichtigung der Besonderheiten ihrer Vermehrung deutlich unterscheidbar ist, kann sie als Abweicher angesehen werden.</w:t>
      </w:r>
    </w:p>
    <w:p w:rsidR="000E2B2C" w:rsidRPr="009D2776" w:rsidRDefault="000E2B2C" w:rsidP="000E2B2C">
      <w:pPr>
        <w:autoSpaceDE w:val="0"/>
        <w:autoSpaceDN w:val="0"/>
        <w:adjustRightInd w:val="0"/>
        <w:rPr>
          <w:rFonts w:cs="Arial"/>
        </w:rPr>
      </w:pPr>
    </w:p>
    <w:p w:rsidR="000E2B2C" w:rsidRPr="009D2776" w:rsidRDefault="000E2B2C" w:rsidP="000E2B2C">
      <w:pPr>
        <w:autoSpaceDE w:val="0"/>
        <w:autoSpaceDN w:val="0"/>
        <w:adjustRightInd w:val="0"/>
        <w:rPr>
          <w:rFonts w:cs="Arial"/>
        </w:rPr>
      </w:pPr>
      <w:r w:rsidRPr="009D2776">
        <w:rPr>
          <w:rFonts w:cs="Arial"/>
        </w:rPr>
        <w:t>4.2.2.4</w:t>
      </w:r>
      <w:r w:rsidRPr="009D2776">
        <w:rPr>
          <w:rFonts w:cs="Arial"/>
          <w:b/>
          <w:color w:val="FF0000"/>
        </w:rPr>
        <w:tab/>
      </w:r>
      <w:r w:rsidRPr="009D2776">
        <w:rPr>
          <w:rFonts w:cs="Arial"/>
        </w:rPr>
        <w:t xml:space="preserve">Ein Unterschied in der Ausprägung eines Merkmals kann an einem Pflanzenteil auftreten, jedoch nicht einheitlich an der ganzen Pflanze. Die genetischen Ursachen dieser atypischen Ausprägung sind u. a. Mutationen, Chimären und Transposons. Möglicherweise wird beobachtet, </w:t>
      </w:r>
      <w:r w:rsidR="009912DD" w:rsidRPr="009D2776">
        <w:rPr>
          <w:rFonts w:cs="Arial"/>
        </w:rPr>
        <w:t>dass</w:t>
      </w:r>
      <w:r w:rsidRPr="009D2776">
        <w:rPr>
          <w:rFonts w:cs="Arial"/>
        </w:rPr>
        <w:t xml:space="preserve"> ein Teil der Pflanze atypisch ist: beispielsweise ein einzelner grüner Trieb, wenn alle übrigen Triebe rot sind, ein einzelner grüner Trieb bei einer panaschierten Sorte, ein Pflanzenteil mit Punkten oder Flecken. Der DUS-Prüfer </w:t>
      </w:r>
      <w:r w:rsidR="009912DD" w:rsidRPr="009D2776">
        <w:rPr>
          <w:rFonts w:cs="Arial"/>
        </w:rPr>
        <w:t>muss</w:t>
      </w:r>
      <w:r w:rsidRPr="009D2776">
        <w:rPr>
          <w:rFonts w:cs="Arial"/>
        </w:rPr>
        <w:t xml:space="preserve"> in diesen Fällen entscheiden, ob beispielsweise eine Pflanze mit einem grünen Trieb ein Abweicher ist. Eine atypische Ausprägung, die durch genetische Faktoren wie Mutation an einem Teil der Pflanze erzeugt wird, führt mit größter Wahrscheinlichkeit dazu, </w:t>
      </w:r>
      <w:r w:rsidR="009912DD" w:rsidRPr="009D2776">
        <w:rPr>
          <w:rFonts w:cs="Arial"/>
        </w:rPr>
        <w:t>dass</w:t>
      </w:r>
      <w:r w:rsidRPr="009D2776">
        <w:rPr>
          <w:rFonts w:cs="Arial"/>
        </w:rPr>
        <w:t xml:space="preserve"> die gesamte Pflanze als Abweicher betrachtet wird. In einzelnen Fällen kann jedoch das Vorhandensein oder Fehlen einer atypischen Ausprägung für ein Merkmal allein nicht ausreichend sein, sondern es sind möglicherweise auch die Häufigkeit und der Anteil der atypischen </w:t>
      </w:r>
      <w:r w:rsidRPr="009D2776">
        <w:rPr>
          <w:rFonts w:cs="Arial"/>
        </w:rPr>
        <w:lastRenderedPageBreak/>
        <w:t>Ausprägung zu berücksichtigen (z. B. resultiert eine einzelne Frucht mit einer atypischen genetisch bedingten Ausprägung in einem maßgebenden Merkmal bei einem Baum möglicherweise nicht in einer Abweicherpflanze).</w:t>
      </w:r>
    </w:p>
    <w:p w:rsidR="000E2B2C" w:rsidRPr="009D2776" w:rsidRDefault="000E2B2C" w:rsidP="000E2B2C">
      <w:pPr>
        <w:autoSpaceDE w:val="0"/>
        <w:autoSpaceDN w:val="0"/>
        <w:adjustRightInd w:val="0"/>
        <w:rPr>
          <w:rFonts w:cs="Arial"/>
        </w:rPr>
      </w:pPr>
    </w:p>
    <w:p w:rsidR="000E2B2C" w:rsidRPr="009D2776" w:rsidRDefault="000E2B2C" w:rsidP="000E2B2C">
      <w:pPr>
        <w:pStyle w:val="Heading3"/>
        <w:rPr>
          <w:rFonts w:cs="Arial"/>
          <w:lang w:val="de-DE"/>
        </w:rPr>
      </w:pPr>
      <w:bookmarkStart w:id="152" w:name="_Toc159754486"/>
      <w:bookmarkStart w:id="153" w:name="_Toc159810503"/>
      <w:bookmarkStart w:id="154" w:name="_Toc161028390"/>
      <w:bookmarkStart w:id="155" w:name="_Toc189539601"/>
      <w:bookmarkStart w:id="156" w:name="_Toc15561048"/>
      <w:r w:rsidRPr="009D2776">
        <w:rPr>
          <w:rFonts w:cs="Arial"/>
          <w:u w:val="none"/>
          <w:lang w:val="de-DE"/>
        </w:rPr>
        <w:t>4.2.3</w:t>
      </w:r>
      <w:r w:rsidRPr="009D2776">
        <w:rPr>
          <w:rFonts w:cs="Arial"/>
          <w:u w:val="none"/>
          <w:lang w:val="de-DE"/>
        </w:rPr>
        <w:tab/>
      </w:r>
      <w:r w:rsidRPr="009D2776">
        <w:rPr>
          <w:rFonts w:cs="Arial"/>
          <w:lang w:val="de-DE"/>
        </w:rPr>
        <w:t>Untersuchung von Pflanzen mit atypischer Ausprägung</w:t>
      </w:r>
      <w:bookmarkEnd w:id="152"/>
      <w:bookmarkEnd w:id="153"/>
      <w:bookmarkEnd w:id="154"/>
      <w:bookmarkEnd w:id="155"/>
      <w:bookmarkEnd w:id="156"/>
    </w:p>
    <w:p w:rsidR="000E2B2C" w:rsidRPr="009D2776" w:rsidRDefault="000E2B2C" w:rsidP="000E2B2C">
      <w:pPr>
        <w:autoSpaceDE w:val="0"/>
        <w:autoSpaceDN w:val="0"/>
        <w:adjustRightInd w:val="0"/>
        <w:rPr>
          <w:rFonts w:cs="Arial"/>
        </w:rPr>
      </w:pPr>
      <w:r w:rsidRPr="009D2776">
        <w:rPr>
          <w:rFonts w:cs="Arial"/>
        </w:rPr>
        <w:t>4.2.3.1</w:t>
      </w:r>
      <w:r w:rsidRPr="009D2776">
        <w:rPr>
          <w:rFonts w:cs="Arial"/>
        </w:rPr>
        <w:tab/>
        <w:t>In Zweifelsfällen und ungeachtet dessen, ob eine Pflanze ein Abweicher ist, insbesondere wenn der DUS-Prüfer nur über begrenzte Erfahrung mit der Gattung oder Art verfügt, besteht ein erster wichtiger Schritt darin, andere DUS-Prüfer und den Züchter zu konsultieren. Die Rücksprache mit Sachverständigengruppen, Botanikern, botanischen Gärten, Pflanzensammlern usw. kann ebenfalls hilfreich sein.</w:t>
      </w:r>
    </w:p>
    <w:p w:rsidR="000E2B2C" w:rsidRPr="009D2776" w:rsidRDefault="000E2B2C" w:rsidP="000E2B2C">
      <w:pPr>
        <w:autoSpaceDE w:val="0"/>
        <w:autoSpaceDN w:val="0"/>
        <w:adjustRightInd w:val="0"/>
        <w:rPr>
          <w:rFonts w:cs="Arial"/>
        </w:rPr>
      </w:pPr>
    </w:p>
    <w:p w:rsidR="000E2B2C" w:rsidRPr="009D2776" w:rsidRDefault="000E2B2C" w:rsidP="000E2B2C">
      <w:pPr>
        <w:autoSpaceDE w:val="0"/>
        <w:autoSpaceDN w:val="0"/>
        <w:adjustRightInd w:val="0"/>
        <w:rPr>
          <w:rFonts w:cs="Arial"/>
        </w:rPr>
      </w:pPr>
      <w:r w:rsidRPr="009D2776">
        <w:rPr>
          <w:rFonts w:cs="Arial"/>
        </w:rPr>
        <w:t>4.2.3.2</w:t>
      </w:r>
      <w:r w:rsidRPr="009D2776">
        <w:rPr>
          <w:rFonts w:cs="Arial"/>
        </w:rPr>
        <w:tab/>
        <w:t>Es ist wichtig, die Pflanze oder den Pflanzenteil, die/der atypisch ist, zu kennzeichnen, damit die Entwicklung der Pflanze/des Pflanzenteils im Zeitablauf beobachtet werden kann. Zudem kann es hilfreich sein, die Pflanze/den Pflanzenteil zu geeigneten Zeitpunkten zu fotografieren, insbesondere wenn die Ausprägung voraussichtlich nur von kurzer Dauer ist, z. B. Merkmale, die die Blüte betreffen.</w:t>
      </w:r>
    </w:p>
    <w:p w:rsidR="000E2B2C" w:rsidRPr="009D2776" w:rsidRDefault="000E2B2C" w:rsidP="000E2B2C">
      <w:pPr>
        <w:autoSpaceDE w:val="0"/>
        <w:autoSpaceDN w:val="0"/>
        <w:adjustRightInd w:val="0"/>
        <w:rPr>
          <w:rFonts w:cs="Arial"/>
        </w:rPr>
      </w:pPr>
    </w:p>
    <w:p w:rsidR="000E2B2C" w:rsidRPr="009D2776" w:rsidRDefault="000E2B2C" w:rsidP="000E2B2C">
      <w:pPr>
        <w:autoSpaceDE w:val="0"/>
        <w:autoSpaceDN w:val="0"/>
        <w:adjustRightInd w:val="0"/>
        <w:rPr>
          <w:rFonts w:cs="Arial"/>
        </w:rPr>
      </w:pPr>
      <w:r w:rsidRPr="009D2776">
        <w:rPr>
          <w:rFonts w:cs="Arial"/>
        </w:rPr>
        <w:t>4.2.3.3</w:t>
      </w:r>
      <w:r w:rsidRPr="009D2776">
        <w:rPr>
          <w:rFonts w:cs="Arial"/>
          <w:b/>
          <w:color w:val="FF0000"/>
        </w:rPr>
        <w:tab/>
      </w:r>
      <w:r w:rsidRPr="009D2776">
        <w:rPr>
          <w:rFonts w:cs="Arial"/>
        </w:rPr>
        <w:t xml:space="preserve">Besteht am Ende der Wachstumsperiode noch immer </w:t>
      </w:r>
      <w:r w:rsidR="009912DD" w:rsidRPr="009D2776">
        <w:rPr>
          <w:rFonts w:cs="Arial"/>
        </w:rPr>
        <w:t>Ungewissheit</w:t>
      </w:r>
      <w:r w:rsidRPr="009D2776">
        <w:rPr>
          <w:rFonts w:cs="Arial"/>
        </w:rPr>
        <w:t xml:space="preserve"> darüber, ob eine Pflanze, insbesondere in </w:t>
      </w:r>
      <w:r w:rsidR="009912DD" w:rsidRPr="009D2776">
        <w:rPr>
          <w:rFonts w:cs="Arial"/>
        </w:rPr>
        <w:t>Bezug</w:t>
      </w:r>
      <w:r w:rsidRPr="009D2776">
        <w:rPr>
          <w:rFonts w:cs="Arial"/>
        </w:rPr>
        <w:t xml:space="preserve"> auf die genetische Grundlage oder eine sonstige atypische Ausprägung, ein Abweicher ist oder nicht, könnte die Sorte in einer weiteren Wachstumsperiode beobachtet werden. Dies kann für eine zweite Wachstumsperiode am bestehenden M</w:t>
      </w:r>
      <w:r w:rsidRPr="009D2776">
        <w:rPr>
          <w:rFonts w:cs="Arial"/>
          <w:snapToGrid w:val="0"/>
        </w:rPr>
        <w:t xml:space="preserve">aterial oder an neuem Material erfolgen. </w:t>
      </w:r>
      <w:r w:rsidRPr="009D2776">
        <w:rPr>
          <w:rFonts w:cs="Arial"/>
        </w:rPr>
        <w:t>Je nach Umständen können neue Pflanzen oder neues Pflanzenmaterial vom Züchter angefordert und/oder Pflanzen aus dem bestehenden DUS</w:t>
      </w:r>
      <w:r w:rsidRPr="009D2776">
        <w:rPr>
          <w:rFonts w:cs="Arial"/>
        </w:rPr>
        <w:noBreakHyphen/>
        <w:t xml:space="preserve">Prüfungsmaterial, auch aus den Pflanzen mit atypischer Ausprägung, vermehrt werden.  Dies würde es zudem erlauben, Maßnahmen bezüglich des phytosanitären Zustands des Materials vorzunehmen, wenn dieser als etwaige Ursache der atypischen Ausprägung angesehen würde. </w:t>
      </w:r>
      <w:r w:rsidRPr="009D2776">
        <w:rPr>
          <w:rFonts w:cs="Arial"/>
          <w:snapToGrid w:val="0"/>
        </w:rPr>
        <w:t>Wenn eine neue Pflanzenprobe angefordert wird, sollte nach Möglichkeit eine Probe des Ursprungsmaterials zurückbehalten werden, um die Übereinstimmung des neuen Materials mit dem Ursprungsmaterial zu überprüfen.</w:t>
      </w:r>
    </w:p>
    <w:p w:rsidR="000E2B2C" w:rsidRPr="009D2776" w:rsidRDefault="000E2B2C" w:rsidP="000E2B2C">
      <w:pPr>
        <w:ind w:right="706"/>
        <w:rPr>
          <w:rFonts w:cs="Arial"/>
          <w:sz w:val="22"/>
        </w:rPr>
      </w:pPr>
    </w:p>
    <w:p w:rsidR="000E2B2C" w:rsidRPr="009D2776" w:rsidRDefault="000E2B2C" w:rsidP="000E2B2C">
      <w:pPr>
        <w:pStyle w:val="Heading2"/>
        <w:keepNext w:val="0"/>
        <w:rPr>
          <w:rFonts w:cs="Arial"/>
          <w:lang w:val="de-DE"/>
        </w:rPr>
      </w:pPr>
      <w:bookmarkStart w:id="157" w:name="_Toc136321465"/>
      <w:bookmarkStart w:id="158" w:name="_Toc138650117"/>
      <w:bookmarkStart w:id="159" w:name="_Toc138653648"/>
      <w:bookmarkStart w:id="160" w:name="_Toc159754487"/>
      <w:bookmarkStart w:id="161" w:name="_Toc159810504"/>
      <w:bookmarkStart w:id="162" w:name="_Toc161028391"/>
      <w:bookmarkStart w:id="163" w:name="_Toc189539602"/>
      <w:bookmarkStart w:id="164" w:name="_Toc127103717"/>
      <w:bookmarkStart w:id="165" w:name="_Toc127699466"/>
      <w:bookmarkStart w:id="166" w:name="_Toc127780614"/>
      <w:bookmarkStart w:id="167" w:name="_Toc127781948"/>
      <w:bookmarkStart w:id="168" w:name="_Toc15561049"/>
      <w:r w:rsidRPr="009D2776">
        <w:rPr>
          <w:rFonts w:cs="Arial"/>
          <w:lang w:val="de-DE"/>
        </w:rPr>
        <w:t>4.3</w:t>
      </w:r>
      <w:r w:rsidRPr="009D2776">
        <w:rPr>
          <w:rFonts w:cs="Arial"/>
          <w:lang w:val="de-DE"/>
        </w:rPr>
        <w:tab/>
        <w:t>Bestimmung von Abweichern mittels Messun</w:t>
      </w:r>
      <w:bookmarkEnd w:id="157"/>
      <w:r w:rsidRPr="009D2776">
        <w:rPr>
          <w:rFonts w:cs="Arial"/>
          <w:lang w:val="de-DE"/>
        </w:rPr>
        <w:t>gen</w:t>
      </w:r>
      <w:bookmarkEnd w:id="158"/>
      <w:bookmarkEnd w:id="159"/>
      <w:bookmarkEnd w:id="160"/>
      <w:bookmarkEnd w:id="161"/>
      <w:bookmarkEnd w:id="162"/>
      <w:bookmarkEnd w:id="163"/>
      <w:bookmarkEnd w:id="168"/>
    </w:p>
    <w:bookmarkEnd w:id="164"/>
    <w:bookmarkEnd w:id="165"/>
    <w:bookmarkEnd w:id="166"/>
    <w:bookmarkEnd w:id="167"/>
    <w:p w:rsidR="000E2B2C" w:rsidRPr="009D2776" w:rsidRDefault="000E2B2C" w:rsidP="000E2B2C">
      <w:pPr>
        <w:tabs>
          <w:tab w:val="left" w:pos="851"/>
        </w:tabs>
        <w:rPr>
          <w:rFonts w:cs="Arial"/>
        </w:rPr>
      </w:pPr>
      <w:r w:rsidRPr="009D2776">
        <w:rPr>
          <w:rFonts w:cs="Arial"/>
        </w:rPr>
        <w:t>4.3.1</w:t>
      </w:r>
      <w:r w:rsidRPr="009D2776">
        <w:rPr>
          <w:rFonts w:cs="Arial"/>
        </w:rPr>
        <w:tab/>
        <w:t>Die Allgemeine Einführung sagt aus:</w:t>
      </w:r>
    </w:p>
    <w:p w:rsidR="000E2B2C" w:rsidRPr="009D2776" w:rsidRDefault="000E2B2C" w:rsidP="000E2B2C">
      <w:pPr>
        <w:ind w:left="567" w:right="706"/>
        <w:rPr>
          <w:rFonts w:cs="Arial"/>
          <w:sz w:val="22"/>
        </w:rPr>
      </w:pPr>
    </w:p>
    <w:p w:rsidR="000E2B2C" w:rsidRPr="009D2776" w:rsidRDefault="000E2B2C" w:rsidP="009D2776">
      <w:pPr>
        <w:ind w:left="851" w:right="565"/>
        <w:rPr>
          <w:rFonts w:cs="Arial"/>
          <w:i/>
          <w:sz w:val="18"/>
        </w:rPr>
      </w:pPr>
      <w:r w:rsidRPr="009D2776">
        <w:rPr>
          <w:rFonts w:cs="Arial"/>
          <w:i/>
          <w:sz w:val="18"/>
        </w:rPr>
        <w:t>„</w:t>
      </w:r>
      <w:bookmarkStart w:id="169" w:name="_Toc498511359"/>
      <w:bookmarkStart w:id="170" w:name="_Toc505680412"/>
      <w:bookmarkStart w:id="171" w:name="_Toc506280979"/>
      <w:bookmarkStart w:id="172" w:name="_Toc507921181"/>
      <w:bookmarkStart w:id="173" w:name="_Toc679779"/>
      <w:bookmarkStart w:id="174" w:name="_Toc1108225"/>
      <w:bookmarkStart w:id="175" w:name="_Toc1367136"/>
      <w:bookmarkStart w:id="176" w:name="_Toc1367772"/>
      <w:bookmarkStart w:id="177" w:name="_Toc7932842"/>
      <w:r w:rsidRPr="009D2776">
        <w:rPr>
          <w:rFonts w:cs="Arial"/>
          <w:i/>
          <w:sz w:val="18"/>
        </w:rPr>
        <w:t>6.4.1.2</w:t>
      </w:r>
      <w:r w:rsidRPr="009D2776">
        <w:rPr>
          <w:rFonts w:cs="Arial"/>
          <w:i/>
          <w:sz w:val="18"/>
        </w:rPr>
        <w:tab/>
        <w:t>Bestimmung der Abweicher mittels Messungen</w:t>
      </w:r>
      <w:bookmarkEnd w:id="169"/>
      <w:bookmarkEnd w:id="170"/>
      <w:bookmarkEnd w:id="171"/>
      <w:bookmarkEnd w:id="172"/>
      <w:bookmarkEnd w:id="173"/>
      <w:bookmarkEnd w:id="174"/>
      <w:bookmarkEnd w:id="175"/>
      <w:bookmarkEnd w:id="176"/>
      <w:bookmarkEnd w:id="177"/>
    </w:p>
    <w:p w:rsidR="000E2B2C" w:rsidRPr="009D2776" w:rsidRDefault="000E2B2C" w:rsidP="009D2776">
      <w:pPr>
        <w:ind w:left="851" w:right="565"/>
        <w:rPr>
          <w:rFonts w:cs="Arial"/>
          <w:sz w:val="18"/>
        </w:rPr>
      </w:pPr>
    </w:p>
    <w:p w:rsidR="000E2B2C" w:rsidRPr="009D2776" w:rsidRDefault="000E2B2C" w:rsidP="009D2776">
      <w:pPr>
        <w:tabs>
          <w:tab w:val="left" w:pos="1134"/>
        </w:tabs>
        <w:ind w:left="851" w:right="565"/>
        <w:rPr>
          <w:rFonts w:cs="Arial"/>
          <w:sz w:val="18"/>
        </w:rPr>
      </w:pPr>
      <w:r w:rsidRPr="009D2776">
        <w:rPr>
          <w:rFonts w:cs="Arial"/>
          <w:sz w:val="18"/>
        </w:rPr>
        <w:tab/>
        <w:t xml:space="preserve">Die meisten Merkmale selbstbefruchtender und vegetativ vermehrter Sorten werden visuell oder durch eine einzige Messung an einer Gruppe von Pflanzen </w:t>
      </w:r>
      <w:r w:rsidR="009912DD" w:rsidRPr="009D2776">
        <w:rPr>
          <w:rFonts w:cs="Arial"/>
          <w:sz w:val="18"/>
        </w:rPr>
        <w:t>erfasst</w:t>
      </w:r>
      <w:r w:rsidRPr="009D2776">
        <w:rPr>
          <w:rFonts w:cs="Arial"/>
          <w:sz w:val="18"/>
        </w:rPr>
        <w:t>. Verfahren zur Handhabung von Messungen an Einzelpflanzen zur Bestimmung der Abweicher bei eindeutig oder überwiegend selbstbefruchtenden Sorten und vegetativ vermehrten Sorten sind jedoch gegebenenfalls in Dokument TGP/10 ‚Prüfung der Homogenität‛, dargelegt.“</w:t>
      </w:r>
    </w:p>
    <w:p w:rsidR="000E2B2C" w:rsidRPr="009D2776" w:rsidRDefault="000E2B2C" w:rsidP="009D2776"/>
    <w:p w:rsidR="000E2B2C" w:rsidRPr="009D2776" w:rsidRDefault="000E2B2C" w:rsidP="000E2B2C">
      <w:pPr>
        <w:rPr>
          <w:rFonts w:cs="Arial"/>
        </w:rPr>
      </w:pPr>
      <w:r w:rsidRPr="009D2776">
        <w:rPr>
          <w:rFonts w:cs="Arial"/>
        </w:rPr>
        <w:t>4.3.2</w:t>
      </w:r>
      <w:r w:rsidRPr="009D2776">
        <w:rPr>
          <w:rFonts w:cs="Arial"/>
        </w:rPr>
        <w:tab/>
        <w:t>Ungeachtet des Kapitels 6.4.1.2 der Allgemeinen Einführung wurde es nicht als angebracht angesehen, Verfahren für die Handhabung von Messungen bei Einzelpflanzen für die Erfassung von Abweichern bei vollständig oder überwiegend selbstbefruchtenden Sorten und vegetativ vermehrten Sorten zu behandeln.</w:t>
      </w:r>
    </w:p>
    <w:p w:rsidR="000E2B2C" w:rsidRPr="009D2776" w:rsidRDefault="000E2B2C" w:rsidP="000E2B2C">
      <w:pPr>
        <w:rPr>
          <w:rFonts w:cs="Arial"/>
        </w:rPr>
      </w:pPr>
    </w:p>
    <w:p w:rsidR="000E2B2C" w:rsidRPr="009D2776" w:rsidRDefault="000E2B2C" w:rsidP="000E2B2C">
      <w:pPr>
        <w:pStyle w:val="Heading2"/>
        <w:keepNext w:val="0"/>
        <w:rPr>
          <w:rFonts w:cs="Arial"/>
          <w:lang w:val="de-DE"/>
        </w:rPr>
      </w:pPr>
      <w:bookmarkStart w:id="178" w:name="_Toc127103718"/>
      <w:bookmarkStart w:id="179" w:name="_Toc127699467"/>
      <w:bookmarkStart w:id="180" w:name="_Toc127780615"/>
      <w:bookmarkStart w:id="181" w:name="_Toc127781949"/>
      <w:bookmarkStart w:id="182" w:name="_Toc138650118"/>
      <w:bookmarkStart w:id="183" w:name="_Toc138653649"/>
      <w:bookmarkStart w:id="184" w:name="_Toc159754488"/>
      <w:bookmarkStart w:id="185" w:name="_Toc159810505"/>
      <w:bookmarkStart w:id="186" w:name="_Toc161028392"/>
      <w:bookmarkStart w:id="187" w:name="_Toc189539603"/>
      <w:bookmarkStart w:id="188" w:name="_Toc15561050"/>
      <w:r w:rsidRPr="009D2776">
        <w:rPr>
          <w:rFonts w:cs="Arial"/>
          <w:lang w:val="de-DE"/>
        </w:rPr>
        <w:t>4.4</w:t>
      </w:r>
      <w:r w:rsidRPr="009D2776">
        <w:rPr>
          <w:rFonts w:cs="Arial"/>
          <w:lang w:val="de-DE"/>
        </w:rPr>
        <w:tab/>
        <w:t>Zulässige Anzahl Abweicher</w:t>
      </w:r>
      <w:bookmarkEnd w:id="178"/>
      <w:bookmarkEnd w:id="179"/>
      <w:bookmarkEnd w:id="180"/>
      <w:bookmarkEnd w:id="181"/>
      <w:bookmarkEnd w:id="182"/>
      <w:bookmarkEnd w:id="183"/>
      <w:bookmarkEnd w:id="184"/>
      <w:bookmarkEnd w:id="185"/>
      <w:bookmarkEnd w:id="186"/>
      <w:bookmarkEnd w:id="187"/>
      <w:bookmarkEnd w:id="188"/>
    </w:p>
    <w:p w:rsidR="000E2B2C" w:rsidRPr="009D2776" w:rsidRDefault="000E2B2C" w:rsidP="000E2B2C">
      <w:pPr>
        <w:pStyle w:val="Heading3"/>
        <w:rPr>
          <w:rFonts w:cs="Arial"/>
          <w:lang w:val="de-DE"/>
        </w:rPr>
      </w:pPr>
      <w:bookmarkStart w:id="189" w:name="_Toc127103719"/>
      <w:bookmarkStart w:id="190" w:name="_Toc127699468"/>
      <w:bookmarkStart w:id="191" w:name="_Toc127780616"/>
      <w:bookmarkStart w:id="192" w:name="_Toc127781950"/>
      <w:bookmarkStart w:id="193" w:name="_Toc138650119"/>
      <w:bookmarkStart w:id="194" w:name="_Toc138653650"/>
      <w:bookmarkStart w:id="195" w:name="_Toc159754489"/>
      <w:bookmarkStart w:id="196" w:name="_Toc159810506"/>
      <w:bookmarkStart w:id="197" w:name="_Toc161028393"/>
      <w:bookmarkStart w:id="198" w:name="_Toc189539604"/>
      <w:bookmarkStart w:id="199" w:name="_Toc15561051"/>
      <w:r w:rsidRPr="009D2776">
        <w:rPr>
          <w:rFonts w:cs="Arial"/>
          <w:u w:val="none"/>
          <w:lang w:val="de-DE"/>
        </w:rPr>
        <w:t>4.4.1</w:t>
      </w:r>
      <w:r w:rsidRPr="009D2776">
        <w:rPr>
          <w:rFonts w:cs="Arial"/>
          <w:u w:val="none"/>
          <w:lang w:val="de-DE"/>
        </w:rPr>
        <w:tab/>
      </w:r>
      <w:r w:rsidRPr="009D2776">
        <w:rPr>
          <w:rFonts w:cs="Arial"/>
          <w:lang w:val="de-DE"/>
        </w:rPr>
        <w:t>Selbstbefruchtende, vegetativ vermehrte und E</w:t>
      </w:r>
      <w:bookmarkEnd w:id="189"/>
      <w:bookmarkEnd w:id="190"/>
      <w:bookmarkEnd w:id="191"/>
      <w:bookmarkEnd w:id="192"/>
      <w:bookmarkEnd w:id="193"/>
      <w:bookmarkEnd w:id="194"/>
      <w:bookmarkEnd w:id="195"/>
      <w:bookmarkEnd w:id="196"/>
      <w:bookmarkEnd w:id="197"/>
      <w:r w:rsidRPr="009D2776">
        <w:rPr>
          <w:rFonts w:cs="Arial"/>
          <w:lang w:val="de-DE"/>
        </w:rPr>
        <w:t>infachhybridsorten</w:t>
      </w:r>
      <w:bookmarkEnd w:id="198"/>
      <w:bookmarkEnd w:id="199"/>
    </w:p>
    <w:p w:rsidR="000E2B2C" w:rsidRPr="009D2776" w:rsidRDefault="000E2B2C" w:rsidP="000E2B2C">
      <w:pPr>
        <w:rPr>
          <w:rFonts w:cs="Arial"/>
        </w:rPr>
      </w:pPr>
      <w:r w:rsidRPr="009D2776">
        <w:rPr>
          <w:rFonts w:cs="Arial"/>
        </w:rPr>
        <w:t>4.4.1.1</w:t>
      </w:r>
      <w:r w:rsidRPr="009D2776">
        <w:rPr>
          <w:rFonts w:cs="Arial"/>
        </w:rPr>
        <w:tab/>
        <w:t xml:space="preserve">Die Allgemeine Einführung, Kapitel 6.4.1.3, erläutert: „Die annehmbare Anzahl Abweicher, die bei Proben verschiedener Größen zulässig ist, beruht zumeist auf einem festen „Populationsstandard“ und einer festgelegten „Akzeptanzwahrscheinlichkeit“. Der „Populationsstandard“ </w:t>
      </w:r>
      <w:r w:rsidR="009912DD" w:rsidRPr="009D2776">
        <w:rPr>
          <w:rFonts w:cs="Arial"/>
        </w:rPr>
        <w:t>lässt</w:t>
      </w:r>
      <w:r w:rsidRPr="009D2776">
        <w:rPr>
          <w:rFonts w:cs="Arial"/>
        </w:rPr>
        <w:t xml:space="preserve"> sich als maximaler Prozentsatz der Abweicher ausdrücken, die zulässig wären, wenn alle Einzelpflanzen der Sorte geprüft werden könnten.  Die Akzeptanzwahrscheinlichkeit ist die minimale Wahrscheinlichkeit, </w:t>
      </w:r>
      <w:r w:rsidR="009912DD" w:rsidRPr="009D2776">
        <w:rPr>
          <w:rFonts w:cs="Arial"/>
        </w:rPr>
        <w:t>dass</w:t>
      </w:r>
      <w:r w:rsidRPr="009D2776">
        <w:rPr>
          <w:rFonts w:cs="Arial"/>
        </w:rPr>
        <w:t xml:space="preserve"> eine Sorte mit dem Populationsstandard von Abweichern als homogen akzeptiert wird.</w:t>
      </w:r>
      <w:r w:rsidRPr="009D2776">
        <w:rPr>
          <w:rStyle w:val="FootnoteReference"/>
          <w:rFonts w:cs="Arial"/>
        </w:rPr>
        <w:footnoteReference w:id="3"/>
      </w:r>
    </w:p>
    <w:p w:rsidR="000E2B2C" w:rsidRPr="009D2776" w:rsidRDefault="000E2B2C" w:rsidP="000E2B2C">
      <w:pPr>
        <w:rPr>
          <w:rFonts w:cs="Arial"/>
        </w:rPr>
      </w:pPr>
    </w:p>
    <w:p w:rsidR="000E2B2C" w:rsidRPr="009D2776" w:rsidRDefault="000E2B2C" w:rsidP="000E2B2C">
      <w:pPr>
        <w:tabs>
          <w:tab w:val="left" w:pos="851"/>
        </w:tabs>
        <w:rPr>
          <w:rFonts w:cs="Arial"/>
        </w:rPr>
      </w:pPr>
      <w:r w:rsidRPr="009D2776">
        <w:rPr>
          <w:rFonts w:cs="Arial"/>
        </w:rPr>
        <w:t>4.4.1.2</w:t>
      </w:r>
      <w:r w:rsidRPr="009D2776">
        <w:rPr>
          <w:rFonts w:cs="Arial"/>
        </w:rPr>
        <w:tab/>
        <w:t>Wie in Abschnitt 2 dargelegt, ist das Abweicherverfahren die übliche Methode zur Prüfung der Homogenität bei selbstbefruchtenden und vegetativ vermehrten Sorten. Die Allgemeine Einführung, Kapitel 6.4.1.3.2, erläutert jedoch: „Zum Zwecke der DUS</w:t>
      </w:r>
      <w:r w:rsidRPr="009D2776">
        <w:rPr>
          <w:rFonts w:cs="Arial"/>
        </w:rPr>
        <w:noBreakHyphen/>
        <w:t xml:space="preserve">Prüfung sind überwiegend selbstbefruchtende Sorten jene Sorten, die nicht eindeutig selbstbefruchtend sind, für die Prüfung jedoch als selbstbefruchtend </w:t>
      </w:r>
      <w:r w:rsidRPr="009D2776">
        <w:rPr>
          <w:rFonts w:cs="Arial"/>
        </w:rPr>
        <w:lastRenderedPageBreak/>
        <w:t>betrachtet werden. Für diese wie auch für die Inzuchtlinien von Hybridsorten kann eine höhere Toleranz von Abweichern im Vergleich zu eindeutig selbstbefruchtenden und vegetativ vermehrten Sorten akzeptiert werden […].“ Dennoch kann gegebenenfalls dieselbe Toleranz angewandt werden.</w:t>
      </w:r>
    </w:p>
    <w:p w:rsidR="000E2B2C" w:rsidRPr="009D2776" w:rsidRDefault="000E2B2C" w:rsidP="000E2B2C">
      <w:pPr>
        <w:tabs>
          <w:tab w:val="left" w:pos="851"/>
        </w:tabs>
        <w:rPr>
          <w:rFonts w:cs="Arial"/>
        </w:rPr>
      </w:pPr>
    </w:p>
    <w:p w:rsidR="000E2B2C" w:rsidRPr="009D2776" w:rsidRDefault="000E2B2C" w:rsidP="000E2B2C">
      <w:pPr>
        <w:tabs>
          <w:tab w:val="left" w:pos="851"/>
        </w:tabs>
        <w:rPr>
          <w:rFonts w:cs="Arial"/>
        </w:rPr>
      </w:pPr>
      <w:r w:rsidRPr="009D2776">
        <w:rPr>
          <w:rFonts w:cs="Arial"/>
        </w:rPr>
        <w:t>4.4.1.3</w:t>
      </w:r>
      <w:r w:rsidRPr="009D2776">
        <w:rPr>
          <w:rFonts w:cs="Arial"/>
        </w:rPr>
        <w:tab/>
        <w:t xml:space="preserve">Eine zusätzliche Toleranz von Abweichern kann für eindeutige Fälle von ausgekreuzten Pflanzen bei Inzuchtlinien sowie von Pflanzen akzeptiert werden, die sich offensichtlich aus der Selbstung einer Elternlinie bei Einfachhybriden </w:t>
      </w:r>
      <w:r w:rsidRPr="009D2776">
        <w:rPr>
          <w:rFonts w:eastAsia="MS Mincho" w:cs="Arial"/>
          <w:lang w:eastAsia="ja-JP"/>
        </w:rPr>
        <w:t>ergeben.</w:t>
      </w:r>
    </w:p>
    <w:p w:rsidR="000E2B2C" w:rsidRPr="009D2776" w:rsidRDefault="000E2B2C" w:rsidP="000E2B2C">
      <w:pPr>
        <w:tabs>
          <w:tab w:val="left" w:pos="851"/>
        </w:tabs>
        <w:rPr>
          <w:rFonts w:cs="Arial"/>
        </w:rPr>
      </w:pPr>
    </w:p>
    <w:p w:rsidR="000E2B2C" w:rsidRPr="009D2776" w:rsidRDefault="000E2B2C" w:rsidP="000E2B2C">
      <w:pPr>
        <w:tabs>
          <w:tab w:val="left" w:pos="851"/>
        </w:tabs>
        <w:rPr>
          <w:rFonts w:cs="Arial"/>
        </w:rPr>
      </w:pPr>
      <w:r w:rsidRPr="009D2776">
        <w:rPr>
          <w:rFonts w:cs="Arial"/>
        </w:rPr>
        <w:t>4.4.1.4</w:t>
      </w:r>
      <w:r w:rsidRPr="009D2776">
        <w:rPr>
          <w:rFonts w:cs="Arial"/>
        </w:rPr>
        <w:tab/>
        <w:t>Die UPOV-Prüfungsrichtlinien empfehlen für einen bestimmte(n) Sortentyp(en) einen allgemeinen, d. h. „festen“ Populationsstandard und eine ebensolche Akzeptanzwahrscheinlichkeit und geben die zulässige Höchstzahl von Abweichern für eine geeignete Stichprobengröße an. Der Populationsstandard und die Akzeptanzwahrscheinlichkeit werden zusammen mit einer geeigneten Stichprobengröße aufgrund der Erfahrung, insbesondere unter Hinweis auf andere UPOV-Prüfungsrichtlinien für vergleichbare Sortentypen, ausgewählt.</w:t>
      </w:r>
    </w:p>
    <w:p w:rsidR="000E2B2C" w:rsidRPr="009D2776" w:rsidRDefault="000E2B2C" w:rsidP="000E2B2C">
      <w:pPr>
        <w:tabs>
          <w:tab w:val="left" w:pos="851"/>
        </w:tabs>
        <w:rPr>
          <w:rFonts w:cs="Arial"/>
        </w:rPr>
      </w:pPr>
    </w:p>
    <w:p w:rsidR="000E2B2C" w:rsidRPr="009D2776" w:rsidRDefault="000E2B2C" w:rsidP="000E2B2C">
      <w:pPr>
        <w:tabs>
          <w:tab w:val="left" w:pos="851"/>
        </w:tabs>
        <w:rPr>
          <w:rFonts w:cs="Arial"/>
        </w:rPr>
      </w:pPr>
      <w:r w:rsidRPr="009D2776">
        <w:rPr>
          <w:rFonts w:cs="Arial"/>
        </w:rPr>
        <w:t>4.4.1.5</w:t>
      </w:r>
      <w:r w:rsidRPr="009D2776">
        <w:rPr>
          <w:rFonts w:cs="Arial"/>
        </w:rPr>
        <w:tab/>
        <w:t>Sind keine UPOV-Prüfungsrichtlinien vorhanden</w:t>
      </w:r>
      <w:r w:rsidRPr="009D2776">
        <w:rPr>
          <w:rFonts w:cs="Arial"/>
          <w:color w:val="000000"/>
        </w:rPr>
        <w:t>, werden ein geeigneter P</w:t>
      </w:r>
      <w:r w:rsidRPr="009D2776">
        <w:rPr>
          <w:rFonts w:cs="Arial"/>
        </w:rPr>
        <w:t>opulationsstandard und eine Akzeptanzwahrscheinlichkeit zusammen mit der Höchstzahl der zulässigen Anzahl Abweicher für eine geeignete Stichprobengröße aufgrund der Erfahrung, insbesondere unter Hinweis auf die UPOV-Prüfungsrichtlinien für vergleichbare Sortentypen, ausgewählt.</w:t>
      </w:r>
    </w:p>
    <w:p w:rsidR="000E2B2C" w:rsidRPr="009D2776" w:rsidRDefault="000E2B2C" w:rsidP="000E2B2C">
      <w:pPr>
        <w:rPr>
          <w:rFonts w:cs="Arial"/>
        </w:rPr>
      </w:pPr>
    </w:p>
    <w:p w:rsidR="000E2B2C" w:rsidRPr="009D2776" w:rsidRDefault="000E2B2C" w:rsidP="000E2B2C">
      <w:pPr>
        <w:rPr>
          <w:rFonts w:cs="Arial"/>
        </w:rPr>
      </w:pPr>
      <w:r w:rsidRPr="009D2776">
        <w:rPr>
          <w:rFonts w:cs="Arial"/>
        </w:rPr>
        <w:t>4.4.1.6</w:t>
      </w:r>
      <w:r w:rsidRPr="009D2776">
        <w:rPr>
          <w:rFonts w:cs="Arial"/>
        </w:rPr>
        <w:tab/>
        <w:t xml:space="preserve">Größere Probengrößen können für die Prüfung von Sorten geeignet sein, die mit größerer Wahrscheinlichkeit Abweicher enthalten (z. B. Sorten aus Mutationen, Sorten, die Transposons enthalten, panaschierte Sorten usw.), damit eine geeignete Prüfung der Homogenität möglich ist. </w:t>
      </w:r>
    </w:p>
    <w:p w:rsidR="000E2B2C" w:rsidRPr="009D2776" w:rsidRDefault="000E2B2C" w:rsidP="000E2B2C">
      <w:pPr>
        <w:rPr>
          <w:rFonts w:cs="Arial"/>
        </w:rPr>
      </w:pPr>
    </w:p>
    <w:p w:rsidR="000E2B2C" w:rsidRPr="009D2776" w:rsidRDefault="000E2B2C" w:rsidP="000E2B2C">
      <w:pPr>
        <w:widowControl w:val="0"/>
        <w:tabs>
          <w:tab w:val="left" w:pos="851"/>
        </w:tabs>
        <w:rPr>
          <w:rFonts w:cs="Arial"/>
        </w:rPr>
      </w:pPr>
      <w:r w:rsidRPr="009D2776">
        <w:rPr>
          <w:rFonts w:cs="Arial"/>
        </w:rPr>
        <w:t>4.4.1.7</w:t>
      </w:r>
      <w:r w:rsidRPr="009D2776">
        <w:rPr>
          <w:rFonts w:cs="Arial"/>
        </w:rPr>
        <w:tab/>
        <w:t>Detaillierte Anleitung zur Anwendung des Abweicherverfahrens, einschließlich der Tabellen mit den zulässigen Höchstzahlen für gegebene Stichprobengrößen, die festgelegten Populationsstandards und Akzeptanzwahrscheinlichkeiten entsprechen, wird in Dokument TGP/8 gegeben.</w:t>
      </w:r>
    </w:p>
    <w:p w:rsidR="000E2B2C" w:rsidRPr="009D2776" w:rsidRDefault="000E2B2C" w:rsidP="000E2B2C">
      <w:pPr>
        <w:pStyle w:val="EndnoteText"/>
        <w:rPr>
          <w:rFonts w:cs="Arial"/>
        </w:rPr>
      </w:pPr>
    </w:p>
    <w:p w:rsidR="000E2B2C" w:rsidRPr="009D2776" w:rsidRDefault="000E2B2C" w:rsidP="000E2B2C">
      <w:pPr>
        <w:pStyle w:val="Heading3"/>
        <w:rPr>
          <w:rFonts w:cs="Arial"/>
          <w:lang w:val="de-DE"/>
        </w:rPr>
      </w:pPr>
      <w:bookmarkStart w:id="200" w:name="_Toc127103720"/>
      <w:bookmarkStart w:id="201" w:name="_Toc127699469"/>
      <w:bookmarkStart w:id="202" w:name="_Toc127780617"/>
      <w:bookmarkStart w:id="203" w:name="_Toc127781951"/>
      <w:bookmarkStart w:id="204" w:name="_Toc138650120"/>
      <w:bookmarkStart w:id="205" w:name="_Toc138653651"/>
      <w:bookmarkStart w:id="206" w:name="_Toc159754490"/>
      <w:bookmarkStart w:id="207" w:name="_Toc159810507"/>
      <w:bookmarkStart w:id="208" w:name="_Toc161028394"/>
      <w:bookmarkStart w:id="209" w:name="_Toc189539605"/>
      <w:bookmarkStart w:id="210" w:name="_Toc15561052"/>
      <w:r w:rsidRPr="009D2776">
        <w:rPr>
          <w:rFonts w:cs="Arial"/>
          <w:u w:val="none"/>
          <w:lang w:val="de-DE"/>
        </w:rPr>
        <w:t>4.4.2</w:t>
      </w:r>
      <w:r w:rsidRPr="009D2776">
        <w:rPr>
          <w:rFonts w:cs="Arial"/>
          <w:u w:val="none"/>
          <w:lang w:val="de-DE"/>
        </w:rPr>
        <w:tab/>
      </w:r>
      <w:r w:rsidRPr="009D2776">
        <w:rPr>
          <w:rFonts w:cs="Arial"/>
          <w:lang w:val="de-DE"/>
        </w:rPr>
        <w:t>Fremdbefruchtende Sorten</w:t>
      </w:r>
      <w:bookmarkEnd w:id="200"/>
      <w:bookmarkEnd w:id="201"/>
      <w:bookmarkEnd w:id="202"/>
      <w:bookmarkEnd w:id="203"/>
      <w:bookmarkEnd w:id="204"/>
      <w:bookmarkEnd w:id="205"/>
      <w:bookmarkEnd w:id="206"/>
      <w:bookmarkEnd w:id="207"/>
      <w:bookmarkEnd w:id="208"/>
      <w:bookmarkEnd w:id="209"/>
      <w:bookmarkEnd w:id="210"/>
    </w:p>
    <w:p w:rsidR="000E2B2C" w:rsidRPr="009D2776" w:rsidRDefault="000E2B2C" w:rsidP="000E2B2C">
      <w:pPr>
        <w:tabs>
          <w:tab w:val="left" w:pos="851"/>
        </w:tabs>
        <w:rPr>
          <w:rFonts w:cs="Arial"/>
        </w:rPr>
      </w:pPr>
      <w:r w:rsidRPr="009D2776">
        <w:rPr>
          <w:rFonts w:cs="Arial"/>
        </w:rPr>
        <w:t xml:space="preserve">Bei einigen fremdbefruchtenden Sorten kann die große Mehrheit der Einzelpflanzen, insbesondere in </w:t>
      </w:r>
      <w:r w:rsidR="009912DD" w:rsidRPr="009D2776">
        <w:rPr>
          <w:rFonts w:cs="Arial"/>
        </w:rPr>
        <w:t>Bezug</w:t>
      </w:r>
      <w:r w:rsidRPr="009D2776">
        <w:rPr>
          <w:rFonts w:cs="Arial"/>
        </w:rPr>
        <w:t xml:space="preserve"> auf qualitative and pseudoqualitative Merkmale, eine sehr ähnliche Ausprägung haben, so </w:t>
      </w:r>
      <w:r w:rsidR="009912DD" w:rsidRPr="009D2776">
        <w:rPr>
          <w:rFonts w:cs="Arial"/>
        </w:rPr>
        <w:t>dass</w:t>
      </w:r>
      <w:r w:rsidRPr="009D2776">
        <w:rPr>
          <w:rFonts w:cs="Arial"/>
        </w:rPr>
        <w:t xml:space="preserve"> Pflanzen mit einer deutlich verschiedenen Ausprägung als Abweicher erkannt werden können (z. B. Farbe der Rübe bei Futterrübe, Farbe der Rübe bei Ölrettich). In diesen Fällen ist das Abweicherverfahren angebracht. Die Anzahl Abweicher einer Kandidatensorte sollte die bei bereits bekannten vergleichbaren Sorten festgestellte Anzahl nicht signifikant übersteigen. Der Populationsstandard sollte daher das bei vergleichbaren Sorten festgestellte Homogenitätsniveau reflektieren.</w:t>
      </w:r>
    </w:p>
    <w:p w:rsidR="000E2B2C" w:rsidRPr="009D2776" w:rsidRDefault="000E2B2C" w:rsidP="000E2B2C">
      <w:pPr>
        <w:rPr>
          <w:rFonts w:cs="Arial"/>
        </w:rPr>
      </w:pPr>
    </w:p>
    <w:p w:rsidR="000E2B2C" w:rsidRPr="009D2776" w:rsidRDefault="000E2B2C" w:rsidP="000E2B2C">
      <w:pPr>
        <w:pStyle w:val="Heading2"/>
        <w:rPr>
          <w:rFonts w:cs="Arial"/>
          <w:lang w:val="de-DE"/>
        </w:rPr>
      </w:pPr>
      <w:bookmarkStart w:id="211" w:name="_Toc136321469"/>
      <w:bookmarkStart w:id="212" w:name="_Toc138650121"/>
      <w:bookmarkStart w:id="213" w:name="_Toc138653652"/>
      <w:bookmarkStart w:id="214" w:name="_Toc159754491"/>
      <w:bookmarkStart w:id="215" w:name="_Toc159810508"/>
      <w:bookmarkStart w:id="216" w:name="_Toc161028395"/>
      <w:bookmarkStart w:id="217" w:name="_Toc189539606"/>
      <w:bookmarkStart w:id="218" w:name="_Toc15561053"/>
      <w:r w:rsidRPr="009D2776">
        <w:rPr>
          <w:rFonts w:cs="Arial"/>
          <w:lang w:val="de-DE"/>
        </w:rPr>
        <w:t>4.5</w:t>
      </w:r>
      <w:r w:rsidRPr="009D2776">
        <w:rPr>
          <w:rFonts w:cs="Arial"/>
          <w:lang w:val="de-DE"/>
        </w:rPr>
        <w:tab/>
        <w:t>Festlegung von Standards für neue Typen und Arten</w:t>
      </w:r>
      <w:bookmarkEnd w:id="211"/>
      <w:bookmarkEnd w:id="212"/>
      <w:bookmarkEnd w:id="213"/>
      <w:bookmarkEnd w:id="214"/>
      <w:bookmarkEnd w:id="215"/>
      <w:bookmarkEnd w:id="216"/>
      <w:bookmarkEnd w:id="217"/>
      <w:bookmarkEnd w:id="218"/>
    </w:p>
    <w:p w:rsidR="000E2B2C" w:rsidRPr="009D2776" w:rsidRDefault="000E2B2C" w:rsidP="000E2B2C">
      <w:pPr>
        <w:tabs>
          <w:tab w:val="left" w:pos="851"/>
        </w:tabs>
        <w:rPr>
          <w:rFonts w:cs="Arial"/>
        </w:rPr>
      </w:pPr>
      <w:r w:rsidRPr="009D2776">
        <w:rPr>
          <w:rFonts w:cs="Arial"/>
        </w:rPr>
        <w:t>4.5.1</w:t>
      </w:r>
      <w:r w:rsidRPr="009D2776">
        <w:rPr>
          <w:rFonts w:cs="Arial"/>
        </w:rPr>
        <w:tab/>
        <w:t xml:space="preserve">Wie in Abschnitt 4.4.1.5 erläutert, </w:t>
      </w:r>
      <w:r w:rsidRPr="009D2776">
        <w:rPr>
          <w:rFonts w:cs="Arial"/>
          <w:color w:val="000000"/>
        </w:rPr>
        <w:t xml:space="preserve">werden </w:t>
      </w:r>
      <w:r w:rsidRPr="009D2776">
        <w:rPr>
          <w:rFonts w:cs="Arial"/>
        </w:rPr>
        <w:t>bei Fehlen von UPOV</w:t>
      </w:r>
      <w:r w:rsidRPr="009D2776">
        <w:rPr>
          <w:rFonts w:cs="Arial"/>
        </w:rPr>
        <w:noBreakHyphen/>
        <w:t xml:space="preserve">Prüfungsrichtlinien </w:t>
      </w:r>
      <w:r w:rsidRPr="009D2776">
        <w:rPr>
          <w:rFonts w:cs="Arial"/>
          <w:color w:val="000000"/>
        </w:rPr>
        <w:t>ein geeigneter P</w:t>
      </w:r>
      <w:r w:rsidRPr="009D2776">
        <w:rPr>
          <w:rFonts w:cs="Arial"/>
        </w:rPr>
        <w:t>opulationsstandard und eine Akzeptanzwahrscheinlichkeit zusammen mit der zulässigen Höchstzahl Abweicher für eine geeignete Stichprobengröße aufgrund der Erfahrung, insbesondere unter Hinweis auf die UPOV</w:t>
      </w:r>
      <w:r w:rsidRPr="009D2776">
        <w:rPr>
          <w:rFonts w:cs="Arial"/>
        </w:rPr>
        <w:noBreakHyphen/>
        <w:t xml:space="preserve">Prüfungsrichtlinien für vergleichbare Sortentypen, ausgewählt. Vergleichbare Sortentypen können sich auf Sorten einer Art beziehen, die derselben Gattung angehören, oder auf Sorten einer anderen Gattung. In dieser Hinsicht ist daran zu erinnern, </w:t>
      </w:r>
      <w:r w:rsidR="009912DD" w:rsidRPr="009D2776">
        <w:rPr>
          <w:rFonts w:cs="Arial"/>
        </w:rPr>
        <w:t>dass</w:t>
      </w:r>
      <w:r w:rsidRPr="009D2776">
        <w:rPr>
          <w:rFonts w:cs="Arial"/>
        </w:rPr>
        <w:t xml:space="preserve"> die Homogenitätsvoraussetzung auf den Besonderheiten der Vermehrung der Sorte beruht und vergleichbare Sorten daher diejenigen sein sollten, die die ähnlichsten Besonderheiten der Vermehrung aufweisen (vergleiche Abschnitt 2.3). Insbesondere müssen Sorten derselben Gattung oder Art, mit unterschiedlicher Vermehrungsweise (z. B. vegetativ vermehrte und fremdbefruchtende Sorten), hinsichtlich der Homogenitätsstandards getrennt betrachtet werden. Bei Art- und Gattungshybriden sollten insbesondere die „Eltern“-Arten und </w:t>
      </w:r>
      <w:r w:rsidRPr="009D2776">
        <w:rPr>
          <w:rFonts w:cs="Arial"/>
        </w:rPr>
        <w:noBreakHyphen/>
        <w:t>Gattungen hinsichtlich vergleichbarer Sorten berücksichtigt werden. Der Züchter dürfte eine wichtige Informationsquelle für die Besonderheiten der Vermehrung der Sorte sein und kann im Technischen Fragebogen oder auf anderem Weg Angaben über die angewandte Züchtungsmethode machen (vergleiche auch Dokument </w:t>
      </w:r>
      <w:r w:rsidRPr="009D2776">
        <w:rPr>
          <w:rFonts w:cs="Arial"/>
          <w:snapToGrid w:val="0"/>
        </w:rPr>
        <w:t>TGP/13 „Anleitung für neue Typen und Arten“</w:t>
      </w:r>
      <w:r w:rsidRPr="009D2776">
        <w:rPr>
          <w:rFonts w:cs="Arial"/>
        </w:rPr>
        <w:t>).</w:t>
      </w:r>
    </w:p>
    <w:p w:rsidR="000E2B2C" w:rsidRPr="009D2776" w:rsidRDefault="000E2B2C" w:rsidP="000E2B2C">
      <w:pPr>
        <w:rPr>
          <w:rFonts w:cs="Arial"/>
        </w:rPr>
      </w:pPr>
      <w:bookmarkStart w:id="219" w:name="_Toc159754479"/>
      <w:bookmarkStart w:id="220" w:name="_Toc159810496"/>
      <w:bookmarkStart w:id="221" w:name="_Toc161028383"/>
    </w:p>
    <w:p w:rsidR="000E2B2C" w:rsidRPr="009D2776" w:rsidRDefault="000E2B2C" w:rsidP="000E2B2C">
      <w:pPr>
        <w:rPr>
          <w:rFonts w:cs="Arial"/>
        </w:rPr>
      </w:pPr>
      <w:r w:rsidRPr="009D2776">
        <w:rPr>
          <w:rFonts w:cs="Arial"/>
        </w:rPr>
        <w:t>4.5.2</w:t>
      </w:r>
      <w:r w:rsidRPr="009D2776">
        <w:rPr>
          <w:rFonts w:cs="Arial"/>
        </w:rPr>
        <w:tab/>
        <w:t>Wird der Homogenitäts</w:t>
      </w:r>
      <w:r w:rsidRPr="009D2776">
        <w:rPr>
          <w:rFonts w:cs="Arial"/>
          <w:spacing w:val="-2"/>
        </w:rPr>
        <w:t>standard zu hoch angesetzt, kann dies zur Zurückweisung einer Sorte führen, die wegen der Besonderheiten ihrer Vermehrung diesen Standard vermutlich nicht erreichen könnte.</w:t>
      </w:r>
    </w:p>
    <w:p w:rsidR="000E2B2C" w:rsidRPr="009D2776" w:rsidRDefault="000E2B2C" w:rsidP="009D2776"/>
    <w:p w:rsidR="003D113B" w:rsidRPr="005E1757" w:rsidRDefault="003D113B" w:rsidP="003D113B">
      <w:pPr>
        <w:keepNext/>
        <w:spacing w:after="240"/>
        <w:ind w:left="851" w:hanging="851"/>
        <w:outlineLvl w:val="1"/>
        <w:rPr>
          <w:b/>
        </w:rPr>
      </w:pPr>
      <w:bookmarkStart w:id="222" w:name="_Toc2932787"/>
      <w:bookmarkStart w:id="223" w:name="_Toc189539607"/>
      <w:bookmarkStart w:id="224" w:name="_Toc15561054"/>
      <w:r w:rsidRPr="005E1757">
        <w:rPr>
          <w:b/>
        </w:rPr>
        <w:lastRenderedPageBreak/>
        <w:t>4.6</w:t>
      </w:r>
      <w:r w:rsidRPr="005E1757">
        <w:rPr>
          <w:b/>
        </w:rPr>
        <w:tab/>
      </w:r>
      <w:bookmarkEnd w:id="222"/>
      <w:r w:rsidRPr="005E1757">
        <w:rPr>
          <w:b/>
        </w:rPr>
        <w:t>Prüfung der Homogenität anhand von Abweichern aufgrund von mehr als einer Wachstumsperiode</w:t>
      </w:r>
      <w:bookmarkEnd w:id="224"/>
    </w:p>
    <w:p w:rsidR="003D113B" w:rsidRPr="005E1757" w:rsidRDefault="003D113B" w:rsidP="003D113B">
      <w:pPr>
        <w:rPr>
          <w:szCs w:val="24"/>
        </w:rPr>
      </w:pPr>
      <w:r w:rsidRPr="005E1757">
        <w:t>4.6.1</w:t>
      </w:r>
      <w:r w:rsidRPr="005E1757">
        <w:tab/>
        <w:t>Zwei unabhängige Wachstumsperioden könnten an einem einzigen Prüfungsort in verschiedenen Jahren oder an unterschiedlichen Prüfungsorten im selben Jahr stattfinden gemäß Dokument TGP/8 Teil I, Abschnitte 1.2 und 1.3.</w:t>
      </w:r>
    </w:p>
    <w:p w:rsidR="003D113B" w:rsidRPr="005E1757" w:rsidRDefault="003D113B" w:rsidP="003D113B">
      <w:pPr>
        <w:rPr>
          <w:szCs w:val="24"/>
        </w:rPr>
      </w:pPr>
    </w:p>
    <w:p w:rsidR="003D113B" w:rsidRPr="005E1757" w:rsidRDefault="003D113B" w:rsidP="003D113B">
      <w:pPr>
        <w:rPr>
          <w:szCs w:val="24"/>
        </w:rPr>
      </w:pPr>
      <w:r w:rsidRPr="005E1757">
        <w:t>4.6.2</w:t>
      </w:r>
      <w:r w:rsidRPr="005E1757">
        <w:tab/>
        <w:t>Die folgende Anleitung ist nicht für die Prüfung der Homogenität anhand von Abweichern an den gleichen Pflanzen in zwei Wachstumsperioden vorgesehen. Ergebnisse aus Wachstumsperioden unter Verwendung verschiedener Partien von Vermehrungsmaterial sollten nicht kombiniert werden.</w:t>
      </w:r>
    </w:p>
    <w:p w:rsidR="003D113B" w:rsidRPr="005E1757" w:rsidRDefault="003D113B" w:rsidP="003D113B">
      <w:pPr>
        <w:rPr>
          <w:szCs w:val="24"/>
        </w:rPr>
      </w:pPr>
    </w:p>
    <w:p w:rsidR="003D113B" w:rsidRPr="005E1757" w:rsidRDefault="003D113B" w:rsidP="003D113B">
      <w:pPr>
        <w:keepNext/>
        <w:spacing w:after="240"/>
        <w:outlineLvl w:val="2"/>
        <w:rPr>
          <w:u w:val="single"/>
        </w:rPr>
      </w:pPr>
      <w:bookmarkStart w:id="225" w:name="_Toc2932788"/>
      <w:bookmarkStart w:id="226" w:name="_Toc15561055"/>
      <w:r w:rsidRPr="005E1757">
        <w:t>4.6.3</w:t>
      </w:r>
      <w:r w:rsidRPr="005E1757">
        <w:tab/>
      </w:r>
      <w:bookmarkEnd w:id="225"/>
      <w:r w:rsidRPr="005E1757">
        <w:rPr>
          <w:u w:val="single"/>
        </w:rPr>
        <w:t>Ansatz 1: Dritte Wachstumsperiode im Fall widersprüchlicher Ergebnisse</w:t>
      </w:r>
      <w:bookmarkEnd w:id="226"/>
    </w:p>
    <w:p w:rsidR="003D113B" w:rsidRPr="005E1757" w:rsidRDefault="003D113B" w:rsidP="003D113B">
      <w:pPr>
        <w:rPr>
          <w:rFonts w:eastAsia="SimSun"/>
          <w:szCs w:val="24"/>
          <w:lang w:eastAsia="zh-CN"/>
        </w:rPr>
      </w:pPr>
      <w:r w:rsidRPr="005E1757">
        <w:t>4.6.3.1</w:t>
      </w:r>
      <w:r w:rsidRPr="005E1757">
        <w:tab/>
      </w:r>
      <w:r w:rsidRPr="005E1757">
        <w:rPr>
          <w:rFonts w:eastAsia="SimSun"/>
          <w:szCs w:val="24"/>
          <w:lang w:eastAsia="zh-CN"/>
        </w:rPr>
        <w:t>Eine Sorte wird als homogen angesehen, wenn sie in beiden Wachstumsperioden dem Homogenitätsstandard entspricht.</w:t>
      </w:r>
    </w:p>
    <w:p w:rsidR="003D113B" w:rsidRPr="005E1757" w:rsidRDefault="003D113B" w:rsidP="003D113B">
      <w:pPr>
        <w:rPr>
          <w:rFonts w:eastAsia="SimSun"/>
          <w:szCs w:val="24"/>
          <w:lang w:eastAsia="zh-CN"/>
        </w:rPr>
      </w:pPr>
    </w:p>
    <w:p w:rsidR="003D113B" w:rsidRPr="005E1757" w:rsidRDefault="003D113B" w:rsidP="003D113B">
      <w:pPr>
        <w:rPr>
          <w:rFonts w:eastAsia="SimSun"/>
          <w:szCs w:val="24"/>
          <w:lang w:eastAsia="zh-CN"/>
        </w:rPr>
      </w:pPr>
      <w:r w:rsidRPr="005E1757">
        <w:t>4.6.3.2</w:t>
      </w:r>
      <w:r w:rsidRPr="005E1757">
        <w:tab/>
      </w:r>
      <w:r w:rsidRPr="005E1757">
        <w:rPr>
          <w:rFonts w:eastAsia="SimSun"/>
          <w:szCs w:val="24"/>
          <w:lang w:eastAsia="zh-CN"/>
        </w:rPr>
        <w:t>Eine Sorte wird als nicht homogen angesehen, wenn sie in beiden Wachstumsperioden dem Homogenitätsstandard nicht entspricht.</w:t>
      </w:r>
    </w:p>
    <w:p w:rsidR="003D113B" w:rsidRPr="005E1757" w:rsidRDefault="003D113B" w:rsidP="003D113B">
      <w:pPr>
        <w:rPr>
          <w:rFonts w:eastAsia="SimSun"/>
          <w:szCs w:val="24"/>
          <w:lang w:eastAsia="zh-CN"/>
        </w:rPr>
      </w:pPr>
    </w:p>
    <w:p w:rsidR="003D113B" w:rsidRPr="005E1757" w:rsidRDefault="003D113B" w:rsidP="003D113B">
      <w:pPr>
        <w:rPr>
          <w:rFonts w:eastAsia="SimSun"/>
          <w:lang w:eastAsia="zh-CN"/>
        </w:rPr>
      </w:pPr>
      <w:r w:rsidRPr="005E1757">
        <w:t>4.6.3.3</w:t>
      </w:r>
      <w:r w:rsidRPr="005E1757">
        <w:tab/>
      </w:r>
      <w:r w:rsidRPr="005E1757">
        <w:rPr>
          <w:rFonts w:eastAsia="SimSun"/>
          <w:lang w:eastAsia="zh-CN"/>
        </w:rPr>
        <w:t>Entspricht die Sorte am Ende der beiden Wachstumsperioden in einer Wachstumsperiode dem Homogenitätsstandard, in der anderen Wachstumsperiode aber nicht, dann wird die Homogenität in einer dritten Wachstumsperiode geprüft. Liegt die Sorte in der dritten Wachstumsperiode im Homogenitätsstandard, so wird die Sorte als homogen angesehen. Entspricht die Sorte in der dritten Wachstumsperiode nicht dem Homogenitätsstandard, so wird die Sorte als nicht homogen angesehen.</w:t>
      </w:r>
    </w:p>
    <w:p w:rsidR="003D113B" w:rsidRPr="005E1757" w:rsidRDefault="003D113B" w:rsidP="003D113B">
      <w:pPr>
        <w:rPr>
          <w:color w:val="000000"/>
        </w:rPr>
      </w:pPr>
    </w:p>
    <w:p w:rsidR="003D113B" w:rsidRPr="005E1757" w:rsidRDefault="003D113B" w:rsidP="003D113B">
      <w:r w:rsidRPr="005E1757">
        <w:t>4.6.3.4</w:t>
      </w:r>
      <w:r w:rsidRPr="005E1757">
        <w:tab/>
      </w:r>
      <w:r w:rsidRPr="005E1757">
        <w:rPr>
          <w:color w:val="000000"/>
        </w:rPr>
        <w:t xml:space="preserve">Bei der Bewertung von Ergebnissen, die zwischen den Wachstumsperioden sehr unterschiedlich sind, </w:t>
      </w:r>
      <w:r w:rsidR="009912DD" w:rsidRPr="005E1757">
        <w:rPr>
          <w:color w:val="000000"/>
        </w:rPr>
        <w:t>muss</w:t>
      </w:r>
      <w:r w:rsidRPr="005E1757">
        <w:rPr>
          <w:color w:val="000000"/>
        </w:rPr>
        <w:t xml:space="preserve"> mit größter Sorgfalt verfahren werden, etwa wenn ein Abweichertyp in einer Wachstumsperiode sehr häufig und in einer anderen überhaupt nicht vorkommt. Es ist wichtig, zu erkennen, ob Unterschiede in der Anzahl von Abweichern zwischen Wachstumsperioden durch Umweltursachen oder Unterschiede in der Art der Probennahme bedingt sind.</w:t>
      </w:r>
    </w:p>
    <w:p w:rsidR="003D113B" w:rsidRPr="005E1757" w:rsidRDefault="003D113B" w:rsidP="003D113B"/>
    <w:p w:rsidR="003D113B" w:rsidRPr="005E1757" w:rsidRDefault="003D113B" w:rsidP="003D113B">
      <w:pPr>
        <w:rPr>
          <w:rFonts w:eastAsia="SimSun"/>
          <w:lang w:eastAsia="zh-CN"/>
        </w:rPr>
      </w:pPr>
      <w:r w:rsidRPr="005E1757">
        <w:t>4.6.3.5</w:t>
      </w:r>
      <w:r w:rsidRPr="005E1757">
        <w:tab/>
      </w:r>
      <w:r w:rsidRPr="005E1757">
        <w:rPr>
          <w:rFonts w:eastAsia="SimSun"/>
          <w:bCs/>
          <w:lang w:eastAsia="zh-CN"/>
        </w:rPr>
        <w:t>Zudem kann eine Sorte, falls sie in der ersten Wachstumsperiode einen festgelegten oberen Grenzwert für Abweicher übersteigt, nach einer Wachstumsperiode zurückgewiesen werden.</w:t>
      </w:r>
    </w:p>
    <w:p w:rsidR="003D113B" w:rsidRPr="005E1757" w:rsidRDefault="003D113B" w:rsidP="003D113B">
      <w:pPr>
        <w:rPr>
          <w:rFonts w:eastAsia="SimSun"/>
          <w:lang w:eastAsia="zh-CN"/>
        </w:rPr>
      </w:pPr>
    </w:p>
    <w:p w:rsidR="003D113B" w:rsidRPr="005E1757" w:rsidRDefault="003D113B" w:rsidP="001E7888">
      <w:pPr>
        <w:keepNext/>
        <w:spacing w:after="240"/>
        <w:ind w:left="851" w:hanging="851"/>
        <w:outlineLvl w:val="2"/>
        <w:rPr>
          <w:u w:val="single"/>
        </w:rPr>
      </w:pPr>
      <w:bookmarkStart w:id="227" w:name="_Toc2932789"/>
      <w:bookmarkStart w:id="228" w:name="_Toc15561056"/>
      <w:r w:rsidRPr="005E1757">
        <w:t>4.6.4</w:t>
      </w:r>
      <w:r w:rsidRPr="005E1757">
        <w:tab/>
      </w:r>
      <w:bookmarkEnd w:id="227"/>
      <w:r w:rsidRPr="005E1757">
        <w:rPr>
          <w:u w:val="single"/>
        </w:rPr>
        <w:t>Ansatz 2: Kombination der Ergebnisse aus zwei Wachstumsperioden im Fall widersprüchlicher Ergebnisse</w:t>
      </w:r>
      <w:bookmarkEnd w:id="228"/>
    </w:p>
    <w:p w:rsidR="003D113B" w:rsidRPr="005E1757" w:rsidRDefault="003D113B" w:rsidP="003D113B">
      <w:pPr>
        <w:rPr>
          <w:rFonts w:eastAsia="SimSun"/>
          <w:lang w:eastAsia="zh-CN"/>
        </w:rPr>
      </w:pPr>
      <w:r w:rsidRPr="005E1757">
        <w:rPr>
          <w:rFonts w:eastAsia="SimSun"/>
          <w:lang w:eastAsia="zh-CN"/>
        </w:rPr>
        <w:t>4.6.4.1</w:t>
      </w:r>
      <w:r w:rsidRPr="005E1757">
        <w:rPr>
          <w:rFonts w:eastAsia="SimSun"/>
          <w:lang w:eastAsia="zh-CN"/>
        </w:rPr>
        <w:tab/>
        <w:t>Eine Sorte wird als homogen angesehen, wenn sie in beiden Wachstumsperioden dem Homogenitätsstandard entspricht.</w:t>
      </w:r>
    </w:p>
    <w:p w:rsidR="003D113B" w:rsidRPr="005E1757" w:rsidRDefault="003D113B" w:rsidP="003D113B">
      <w:pPr>
        <w:rPr>
          <w:rFonts w:eastAsia="SimSun"/>
          <w:lang w:eastAsia="zh-CN"/>
        </w:rPr>
      </w:pPr>
    </w:p>
    <w:p w:rsidR="003D113B" w:rsidRPr="005E1757" w:rsidRDefault="003D113B" w:rsidP="003D113B">
      <w:pPr>
        <w:rPr>
          <w:rFonts w:eastAsia="SimSun"/>
          <w:lang w:eastAsia="zh-CN"/>
        </w:rPr>
      </w:pPr>
      <w:r w:rsidRPr="005E1757">
        <w:rPr>
          <w:rFonts w:eastAsia="SimSun"/>
          <w:lang w:eastAsia="zh-CN"/>
        </w:rPr>
        <w:t>4.6.4.2</w:t>
      </w:r>
      <w:r w:rsidRPr="005E1757">
        <w:rPr>
          <w:rFonts w:eastAsia="SimSun"/>
          <w:lang w:eastAsia="zh-CN"/>
        </w:rPr>
        <w:tab/>
        <w:t>Eine Sorte wird als nicht homogen angesehen, wenn sie in beiden Wachstumsperioden dem Homogenitätsstandard nicht entspricht.</w:t>
      </w:r>
    </w:p>
    <w:p w:rsidR="003D113B" w:rsidRPr="005E1757" w:rsidRDefault="003D113B" w:rsidP="003D113B">
      <w:pPr>
        <w:rPr>
          <w:rFonts w:eastAsia="SimSun"/>
          <w:lang w:eastAsia="zh-CN"/>
        </w:rPr>
      </w:pPr>
    </w:p>
    <w:p w:rsidR="003D113B" w:rsidRPr="005E1757" w:rsidRDefault="003D113B" w:rsidP="003D113B">
      <w:pPr>
        <w:rPr>
          <w:rFonts w:eastAsia="SimSun"/>
          <w:lang w:eastAsia="zh-CN"/>
        </w:rPr>
      </w:pPr>
      <w:r w:rsidRPr="005E1757">
        <w:rPr>
          <w:rFonts w:eastAsia="SimSun"/>
          <w:lang w:eastAsia="zh-CN"/>
        </w:rPr>
        <w:t>4.6.4.3</w:t>
      </w:r>
      <w:r w:rsidRPr="005E1757">
        <w:rPr>
          <w:rFonts w:eastAsia="SimSun"/>
          <w:lang w:eastAsia="zh-CN"/>
        </w:rPr>
        <w:tab/>
        <w:t>Entspricht die Sorte am Ende der beiden Wachstumsperioden in einer Wachstumsperiode dem Homogenitätsstandard, in der anderen Wachstumsperiode aber nicht, wird eine Sorte als homogen angesehen, wenn die Gesamtanzahl der Abweicher am Ende der beiden Wachstumsperioden die Anzahl der erlaubten Abweicher der Probengröße in den kombinierten Wachstumsperioden 1 und 2 nicht übersteigt.</w:t>
      </w:r>
    </w:p>
    <w:p w:rsidR="003D113B" w:rsidRPr="005E1757" w:rsidRDefault="003D113B" w:rsidP="003D113B">
      <w:pPr>
        <w:rPr>
          <w:rFonts w:eastAsia="SimSun"/>
          <w:lang w:eastAsia="zh-CN"/>
        </w:rPr>
      </w:pPr>
    </w:p>
    <w:p w:rsidR="003D113B" w:rsidRPr="005E1757" w:rsidRDefault="003D113B" w:rsidP="003D113B">
      <w:pPr>
        <w:rPr>
          <w:rFonts w:eastAsia="SimSun"/>
          <w:szCs w:val="24"/>
          <w:lang w:eastAsia="zh-CN"/>
        </w:rPr>
      </w:pPr>
      <w:r w:rsidRPr="005E1757">
        <w:rPr>
          <w:rFonts w:eastAsia="SimSun"/>
          <w:lang w:eastAsia="zh-CN"/>
        </w:rPr>
        <w:t>4.6.4.4</w:t>
      </w:r>
      <w:r w:rsidRPr="005E1757">
        <w:rPr>
          <w:rFonts w:eastAsia="SimSun"/>
          <w:lang w:eastAsia="zh-CN"/>
        </w:rPr>
        <w:tab/>
        <w:t xml:space="preserve">Bei der Bewertung von Ergebnissen, die zwischen den Wachstumsperioden sehr unterschiedlich sind, </w:t>
      </w:r>
      <w:r w:rsidR="009912DD" w:rsidRPr="005E1757">
        <w:rPr>
          <w:rFonts w:eastAsia="SimSun"/>
          <w:lang w:eastAsia="zh-CN"/>
        </w:rPr>
        <w:t>muss</w:t>
      </w:r>
      <w:r w:rsidRPr="005E1757">
        <w:rPr>
          <w:rFonts w:eastAsia="SimSun"/>
          <w:lang w:eastAsia="zh-CN"/>
        </w:rPr>
        <w:t xml:space="preserve"> mit größter Sorgfalt verfahren werden, etwa wenn ein Abweichertyp in einer Wachstumsperiode sehr häufig und in einer anderen überhaupt nicht vorkommt. Gegebenenfalls sollte eine statistische Prüfung auf Konsistenz durchgeführt werden. Es ist wichtig, zu </w:t>
      </w:r>
      <w:r w:rsidRPr="005E1757">
        <w:rPr>
          <w:color w:val="000000"/>
        </w:rPr>
        <w:t>erkennen</w:t>
      </w:r>
      <w:r w:rsidRPr="005E1757">
        <w:rPr>
          <w:rFonts w:eastAsia="SimSun"/>
          <w:lang w:eastAsia="zh-CN"/>
        </w:rPr>
        <w:t>, ob Unterschiede in der Anzahl von Abweichern zwischen Wachstumsperioden durch Umweltursachen oder Unterschiede in der Art der Probennahme bedingt sind.</w:t>
      </w:r>
      <w:r w:rsidRPr="005E1757">
        <w:t xml:space="preserve"> </w:t>
      </w:r>
    </w:p>
    <w:p w:rsidR="003D113B" w:rsidRPr="005E1757" w:rsidRDefault="003D113B" w:rsidP="003D113B"/>
    <w:p w:rsidR="003D113B" w:rsidRPr="005E1757" w:rsidRDefault="003D113B" w:rsidP="003D113B">
      <w:pPr>
        <w:rPr>
          <w:rFonts w:eastAsia="SimSun"/>
          <w:szCs w:val="24"/>
          <w:u w:val="single"/>
          <w:lang w:eastAsia="zh-CN"/>
        </w:rPr>
      </w:pPr>
      <w:r w:rsidRPr="005E1757">
        <w:rPr>
          <w:rFonts w:eastAsia="SimSun"/>
          <w:lang w:eastAsia="zh-CN"/>
        </w:rPr>
        <w:t>4.6.4.5</w:t>
      </w:r>
      <w:r w:rsidRPr="005E1757">
        <w:rPr>
          <w:rFonts w:eastAsia="SimSun"/>
          <w:lang w:eastAsia="zh-CN"/>
        </w:rPr>
        <w:tab/>
      </w:r>
      <w:r w:rsidRPr="005E1757">
        <w:rPr>
          <w:rFonts w:eastAsia="SimSun"/>
          <w:bCs/>
          <w:szCs w:val="24"/>
          <w:lang w:eastAsia="zh-CN"/>
        </w:rPr>
        <w:t>Zudem kann eine Sorte, falls sie in der ersten Wachstumsperiode einen festgelegten oberen Grenzwert für Abweicher übersteigt, nach einer Wachstumsperiode zurückgewiesen werden.</w:t>
      </w:r>
    </w:p>
    <w:p w:rsidR="003D113B" w:rsidRPr="005E1757" w:rsidRDefault="003D113B" w:rsidP="003D113B">
      <w:pPr>
        <w:rPr>
          <w:rFonts w:eastAsia="SimSun"/>
          <w:szCs w:val="24"/>
          <w:lang w:eastAsia="zh-CN"/>
        </w:rPr>
      </w:pPr>
    </w:p>
    <w:p w:rsidR="003D113B" w:rsidRPr="005E1757" w:rsidRDefault="003D113B" w:rsidP="003D113B">
      <w:pPr>
        <w:keepNext/>
        <w:spacing w:after="240"/>
        <w:outlineLvl w:val="2"/>
        <w:rPr>
          <w:u w:val="single"/>
        </w:rPr>
      </w:pPr>
      <w:bookmarkStart w:id="229" w:name="_Toc2932790"/>
      <w:bookmarkStart w:id="230" w:name="_Toc15561057"/>
      <w:r w:rsidRPr="005E1757">
        <w:t>4.6.5</w:t>
      </w:r>
      <w:r w:rsidRPr="005E1757">
        <w:tab/>
      </w:r>
      <w:bookmarkEnd w:id="229"/>
      <w:r w:rsidRPr="005E1757">
        <w:rPr>
          <w:bCs/>
          <w:u w:val="single"/>
        </w:rPr>
        <w:t>Ansatz 3: Kombination der Ergebnisse aus zwei Wachstumsperioden</w:t>
      </w:r>
      <w:bookmarkEnd w:id="230"/>
    </w:p>
    <w:p w:rsidR="003D113B" w:rsidRPr="005E1757" w:rsidRDefault="003D113B" w:rsidP="003D113B">
      <w:r w:rsidRPr="005E1757">
        <w:t>4.6.5.1</w:t>
      </w:r>
      <w:r w:rsidRPr="005E1757">
        <w:tab/>
        <w:t xml:space="preserve">Eine Sorte wird als homogen </w:t>
      </w:r>
      <w:r w:rsidRPr="005E1757">
        <w:rPr>
          <w:rFonts w:eastAsia="SimSun"/>
          <w:lang w:eastAsia="zh-CN"/>
        </w:rPr>
        <w:t>angesehen</w:t>
      </w:r>
      <w:r w:rsidRPr="005E1757">
        <w:t>, wenn die Gesamtzahl der Abweicher am Ende der beiden Wachstumsperioden die Anzahl der erlaubten Abweicher in der kombinierten Probe nicht übersteigt.</w:t>
      </w:r>
    </w:p>
    <w:p w:rsidR="003D113B" w:rsidRPr="005E1757" w:rsidRDefault="003D113B" w:rsidP="003D113B"/>
    <w:p w:rsidR="003D113B" w:rsidRPr="005E1757" w:rsidRDefault="003D113B" w:rsidP="003D113B">
      <w:r w:rsidRPr="005E1757">
        <w:t>4.6.5.2</w:t>
      </w:r>
      <w:r w:rsidRPr="005E1757">
        <w:tab/>
        <w:t xml:space="preserve">Eine Sorte wird als nicht homogen </w:t>
      </w:r>
      <w:r w:rsidRPr="005E1757">
        <w:rPr>
          <w:rFonts w:eastAsia="SimSun"/>
          <w:lang w:eastAsia="zh-CN"/>
        </w:rPr>
        <w:t>angesehen</w:t>
      </w:r>
      <w:r w:rsidRPr="005E1757">
        <w:t>, wenn die Gesamtanzahl der Abweicher am Ende der beiden Wachstumsperioden die Anzahl der erlaubten Abweicher der kombinierten Probe übersteigt.</w:t>
      </w:r>
    </w:p>
    <w:p w:rsidR="003D113B" w:rsidRPr="005E1757" w:rsidRDefault="003D113B" w:rsidP="003D113B"/>
    <w:p w:rsidR="003D113B" w:rsidRPr="005E1757" w:rsidRDefault="003D113B" w:rsidP="003D113B">
      <w:r w:rsidRPr="005E1757">
        <w:t>4.6.5.3</w:t>
      </w:r>
      <w:r w:rsidRPr="005E1757">
        <w:tab/>
        <w:t>Eine Sorte kann nach einer Wachstumsperiode zurückgewiesen werden, wenn die Anzahl der Abweicher die Anzahl der erlaubten Abweicher der kombinierten Probe (über zwei Perioden) übersteigt.</w:t>
      </w:r>
    </w:p>
    <w:p w:rsidR="003D113B" w:rsidRPr="005E1757" w:rsidRDefault="003D113B" w:rsidP="003D113B"/>
    <w:p w:rsidR="003D113B" w:rsidRPr="005E1757" w:rsidRDefault="003D113B" w:rsidP="003D113B">
      <w:pPr>
        <w:rPr>
          <w:rFonts w:eastAsia="SimSun"/>
          <w:szCs w:val="24"/>
          <w:lang w:eastAsia="zh-CN"/>
        </w:rPr>
      </w:pPr>
      <w:r w:rsidRPr="005E1757">
        <w:t>4.6.5.4</w:t>
      </w:r>
      <w:r w:rsidRPr="005E1757">
        <w:tab/>
        <w:t xml:space="preserve">Bei der Bewertung von Ergebnissen, die zwischen den Wachstumsperioden sehr unterschiedlich sind, </w:t>
      </w:r>
      <w:r w:rsidR="009912DD" w:rsidRPr="005E1757">
        <w:t>muss</w:t>
      </w:r>
      <w:r w:rsidRPr="005E1757">
        <w:t xml:space="preserve"> mit größter Sorgfalt verfahren werden, etwa wenn ein Abweichertyp in einer Wachstumsperiode sehr häufig und in einer anderen überhaupt nicht vorkommt. Wenn es möglich ist, sollte gegebenenfalls eine statistische Prüfung auf Konsistenz durchgeführt werden. Es ist wichtig, zu erkennen, ob Unterschiede in der Anzahl von Abweichern zwischen Wachstumsperioden durch Umweltursachen oder Unterschiede in der Art der Probennahme bedingt sind.</w:t>
      </w:r>
    </w:p>
    <w:p w:rsidR="003D113B" w:rsidRPr="005E1757" w:rsidRDefault="003D113B" w:rsidP="003D113B">
      <w:pPr>
        <w:rPr>
          <w:szCs w:val="24"/>
        </w:rPr>
      </w:pPr>
    </w:p>
    <w:p w:rsidR="003D113B" w:rsidRPr="005E1757" w:rsidRDefault="003D113B" w:rsidP="003D113B">
      <w:pPr>
        <w:ind w:left="284"/>
        <w:rPr>
          <w:i/>
          <w:szCs w:val="24"/>
        </w:rPr>
      </w:pPr>
      <w:r w:rsidRPr="005E1757">
        <w:rPr>
          <w:i/>
          <w:szCs w:val="24"/>
        </w:rPr>
        <w:t>Beispiel:</w:t>
      </w:r>
    </w:p>
    <w:p w:rsidR="003D113B" w:rsidRPr="005E1757" w:rsidRDefault="003D113B" w:rsidP="003D113B">
      <w:pPr>
        <w:rPr>
          <w:szCs w:val="24"/>
        </w:rPr>
      </w:pPr>
    </w:p>
    <w:tbl>
      <w:tblPr>
        <w:tblW w:w="8898" w:type="dxa"/>
        <w:tblInd w:w="600" w:type="dxa"/>
        <w:tblLook w:val="04A0" w:firstRow="1" w:lastRow="0" w:firstColumn="1" w:lastColumn="0" w:noHBand="0" w:noVBand="1"/>
      </w:tblPr>
      <w:tblGrid>
        <w:gridCol w:w="75"/>
        <w:gridCol w:w="696"/>
        <w:gridCol w:w="775"/>
        <w:gridCol w:w="848"/>
        <w:gridCol w:w="305"/>
        <w:gridCol w:w="349"/>
        <w:gridCol w:w="2143"/>
        <w:gridCol w:w="60"/>
        <w:gridCol w:w="1896"/>
        <w:gridCol w:w="349"/>
        <w:gridCol w:w="1402"/>
      </w:tblGrid>
      <w:tr w:rsidR="003D113B" w:rsidRPr="005E1757" w:rsidTr="001E7888">
        <w:trPr>
          <w:gridAfter w:val="1"/>
          <w:wAfter w:w="1402" w:type="dxa"/>
          <w:trHeight w:val="255"/>
        </w:trPr>
        <w:tc>
          <w:tcPr>
            <w:tcW w:w="771" w:type="dxa"/>
            <w:gridSpan w:val="2"/>
            <w:tcBorders>
              <w:top w:val="nil"/>
              <w:left w:val="nil"/>
              <w:bottom w:val="nil"/>
            </w:tcBorders>
            <w:shd w:val="clear" w:color="auto" w:fill="auto"/>
            <w:noWrap/>
            <w:vAlign w:val="bottom"/>
          </w:tcPr>
          <w:p w:rsidR="003D113B" w:rsidRPr="005E1757" w:rsidRDefault="003D113B" w:rsidP="00F21A3F">
            <w:pPr>
              <w:rPr>
                <w:szCs w:val="24"/>
              </w:rPr>
            </w:pPr>
          </w:p>
        </w:tc>
        <w:tc>
          <w:tcPr>
            <w:tcW w:w="6725" w:type="dxa"/>
            <w:gridSpan w:val="8"/>
            <w:tcBorders>
              <w:top w:val="nil"/>
              <w:right w:val="nil"/>
            </w:tcBorders>
            <w:shd w:val="clear" w:color="auto" w:fill="auto"/>
            <w:vAlign w:val="bottom"/>
          </w:tcPr>
          <w:p w:rsidR="003D113B" w:rsidRPr="005E1757" w:rsidRDefault="003D113B" w:rsidP="00F21A3F">
            <w:pPr>
              <w:rPr>
                <w:szCs w:val="24"/>
              </w:rPr>
            </w:pPr>
            <w:r w:rsidRPr="005E1757">
              <w:rPr>
                <w:szCs w:val="24"/>
              </w:rPr>
              <w:t xml:space="preserve">Populationsstandard = 1% </w:t>
            </w:r>
          </w:p>
        </w:tc>
      </w:tr>
      <w:tr w:rsidR="003D113B" w:rsidRPr="005E1757" w:rsidTr="001E7888">
        <w:trPr>
          <w:gridAfter w:val="1"/>
          <w:wAfter w:w="1402" w:type="dxa"/>
          <w:trHeight w:val="270"/>
        </w:trPr>
        <w:tc>
          <w:tcPr>
            <w:tcW w:w="771" w:type="dxa"/>
            <w:gridSpan w:val="2"/>
            <w:tcBorders>
              <w:top w:val="nil"/>
              <w:left w:val="nil"/>
              <w:bottom w:val="nil"/>
            </w:tcBorders>
            <w:shd w:val="clear" w:color="auto" w:fill="auto"/>
            <w:noWrap/>
            <w:vAlign w:val="bottom"/>
            <w:hideMark/>
          </w:tcPr>
          <w:p w:rsidR="003D113B" w:rsidRPr="005E1757" w:rsidRDefault="003D113B" w:rsidP="00F21A3F">
            <w:pPr>
              <w:rPr>
                <w:szCs w:val="24"/>
              </w:rPr>
            </w:pPr>
          </w:p>
        </w:tc>
        <w:tc>
          <w:tcPr>
            <w:tcW w:w="6725" w:type="dxa"/>
            <w:gridSpan w:val="8"/>
            <w:tcBorders>
              <w:top w:val="nil"/>
              <w:bottom w:val="single" w:sz="4" w:space="0" w:color="auto"/>
              <w:right w:val="nil"/>
            </w:tcBorders>
            <w:shd w:val="clear" w:color="auto" w:fill="auto"/>
            <w:vAlign w:val="bottom"/>
          </w:tcPr>
          <w:p w:rsidR="003D113B" w:rsidRPr="005E1757" w:rsidRDefault="003D113B" w:rsidP="00F21A3F">
            <w:pPr>
              <w:rPr>
                <w:szCs w:val="24"/>
              </w:rPr>
            </w:pPr>
            <w:r w:rsidRPr="005E1757">
              <w:rPr>
                <w:szCs w:val="24"/>
              </w:rPr>
              <w:t>Akzeptanzwahrscheinlichkeit ≥ 95%</w:t>
            </w:r>
          </w:p>
        </w:tc>
      </w:tr>
      <w:tr w:rsidR="003D113B" w:rsidRPr="005E1757" w:rsidTr="001E7888">
        <w:trPr>
          <w:gridBefore w:val="2"/>
          <w:gridAfter w:val="1"/>
          <w:wBefore w:w="771" w:type="dxa"/>
          <w:wAfter w:w="1402" w:type="dxa"/>
          <w:trHeight w:val="255"/>
        </w:trPr>
        <w:tc>
          <w:tcPr>
            <w:tcW w:w="6725" w:type="dxa"/>
            <w:gridSpan w:val="8"/>
            <w:tcBorders>
              <w:top w:val="single" w:sz="4" w:space="0" w:color="auto"/>
              <w:left w:val="single" w:sz="4" w:space="0" w:color="auto"/>
              <w:bottom w:val="nil"/>
              <w:right w:val="single" w:sz="8" w:space="0" w:color="000000"/>
            </w:tcBorders>
            <w:shd w:val="clear" w:color="auto" w:fill="auto"/>
            <w:vAlign w:val="bottom"/>
          </w:tcPr>
          <w:p w:rsidR="003D113B" w:rsidRPr="005E1757" w:rsidRDefault="003D113B" w:rsidP="00F21A3F">
            <w:pPr>
              <w:rPr>
                <w:szCs w:val="24"/>
              </w:rPr>
            </w:pPr>
            <w:r w:rsidRPr="005E1757">
              <w:rPr>
                <w:szCs w:val="24"/>
              </w:rPr>
              <w:t>Probengröße in jeder der Wachstumsperioden 1 und 2 = 50</w:t>
            </w:r>
          </w:p>
        </w:tc>
      </w:tr>
      <w:tr w:rsidR="003D113B" w:rsidRPr="005E1757" w:rsidTr="001E7888">
        <w:trPr>
          <w:gridBefore w:val="2"/>
          <w:gridAfter w:val="1"/>
          <w:wBefore w:w="771" w:type="dxa"/>
          <w:wAfter w:w="1402" w:type="dxa"/>
          <w:trHeight w:val="270"/>
        </w:trPr>
        <w:tc>
          <w:tcPr>
            <w:tcW w:w="6725" w:type="dxa"/>
            <w:gridSpan w:val="8"/>
            <w:tcBorders>
              <w:top w:val="nil"/>
              <w:left w:val="single" w:sz="4" w:space="0" w:color="auto"/>
              <w:bottom w:val="single" w:sz="8" w:space="0" w:color="auto"/>
              <w:right w:val="single" w:sz="8" w:space="0" w:color="000000"/>
            </w:tcBorders>
            <w:shd w:val="clear" w:color="auto" w:fill="auto"/>
            <w:vAlign w:val="bottom"/>
          </w:tcPr>
          <w:p w:rsidR="003D113B" w:rsidRPr="005E1757" w:rsidRDefault="003D113B" w:rsidP="00F21A3F">
            <w:pPr>
              <w:rPr>
                <w:szCs w:val="24"/>
              </w:rPr>
            </w:pPr>
            <w:r w:rsidRPr="005E1757">
              <w:rPr>
                <w:szCs w:val="24"/>
              </w:rPr>
              <w:t>Höchstzahl an Abweichern = 2</w:t>
            </w:r>
          </w:p>
        </w:tc>
      </w:tr>
      <w:tr w:rsidR="003D113B" w:rsidRPr="005E1757" w:rsidTr="001E7888">
        <w:trPr>
          <w:gridBefore w:val="2"/>
          <w:gridAfter w:val="1"/>
          <w:wBefore w:w="771" w:type="dxa"/>
          <w:wAfter w:w="1402" w:type="dxa"/>
          <w:trHeight w:val="270"/>
        </w:trPr>
        <w:tc>
          <w:tcPr>
            <w:tcW w:w="6725" w:type="dxa"/>
            <w:gridSpan w:val="8"/>
            <w:tcBorders>
              <w:top w:val="nil"/>
              <w:left w:val="single" w:sz="4" w:space="0" w:color="auto"/>
              <w:bottom w:val="nil"/>
              <w:right w:val="single" w:sz="4" w:space="0" w:color="auto"/>
            </w:tcBorders>
            <w:shd w:val="clear" w:color="auto" w:fill="auto"/>
            <w:vAlign w:val="bottom"/>
          </w:tcPr>
          <w:p w:rsidR="003D113B" w:rsidRPr="005E1757" w:rsidRDefault="003D113B" w:rsidP="00F21A3F">
            <w:pPr>
              <w:rPr>
                <w:szCs w:val="24"/>
              </w:rPr>
            </w:pPr>
            <w:r w:rsidRPr="005E1757">
              <w:rPr>
                <w:szCs w:val="24"/>
              </w:rPr>
              <w:t>Probengröße in Wachstumsperioden 1 und 2 kombiniert = 100</w:t>
            </w:r>
          </w:p>
        </w:tc>
      </w:tr>
      <w:tr w:rsidR="003D113B" w:rsidRPr="005E1757" w:rsidTr="001E7888">
        <w:trPr>
          <w:gridBefore w:val="2"/>
          <w:gridAfter w:val="1"/>
          <w:wBefore w:w="771" w:type="dxa"/>
          <w:wAfter w:w="1402" w:type="dxa"/>
          <w:trHeight w:val="270"/>
        </w:trPr>
        <w:tc>
          <w:tcPr>
            <w:tcW w:w="6725" w:type="dxa"/>
            <w:gridSpan w:val="8"/>
            <w:tcBorders>
              <w:top w:val="nil"/>
              <w:left w:val="single" w:sz="4" w:space="0" w:color="auto"/>
              <w:bottom w:val="single" w:sz="4" w:space="0" w:color="auto"/>
              <w:right w:val="single" w:sz="4" w:space="0" w:color="auto"/>
            </w:tcBorders>
            <w:shd w:val="clear" w:color="auto" w:fill="auto"/>
            <w:vAlign w:val="bottom"/>
          </w:tcPr>
          <w:p w:rsidR="003D113B" w:rsidRPr="005E1757" w:rsidRDefault="003D113B" w:rsidP="00F21A3F">
            <w:pPr>
              <w:rPr>
                <w:szCs w:val="24"/>
              </w:rPr>
            </w:pPr>
            <w:r w:rsidRPr="005E1757">
              <w:rPr>
                <w:szCs w:val="24"/>
              </w:rPr>
              <w:t>Höchstzahl an Abweichern = 3</w:t>
            </w:r>
          </w:p>
        </w:tc>
      </w:tr>
      <w:tr w:rsidR="003D113B" w:rsidRPr="005E1757" w:rsidTr="001E7888">
        <w:trPr>
          <w:gridBefore w:val="2"/>
          <w:gridAfter w:val="1"/>
          <w:wBefore w:w="771" w:type="dxa"/>
          <w:wAfter w:w="1402" w:type="dxa"/>
          <w:trHeight w:val="239"/>
        </w:trPr>
        <w:tc>
          <w:tcPr>
            <w:tcW w:w="1623" w:type="dxa"/>
            <w:gridSpan w:val="2"/>
            <w:tcBorders>
              <w:top w:val="nil"/>
              <w:left w:val="nil"/>
              <w:bottom w:val="single" w:sz="4" w:space="0" w:color="auto"/>
              <w:right w:val="nil"/>
            </w:tcBorders>
            <w:shd w:val="clear" w:color="auto" w:fill="auto"/>
            <w:noWrap/>
            <w:vAlign w:val="bottom"/>
            <w:hideMark/>
          </w:tcPr>
          <w:p w:rsidR="003D113B" w:rsidRPr="005E1757" w:rsidRDefault="003D113B" w:rsidP="00F21A3F">
            <w:pPr>
              <w:rPr>
                <w:szCs w:val="24"/>
              </w:rPr>
            </w:pPr>
            <w:r w:rsidRPr="005E1757">
              <w:rPr>
                <w:szCs w:val="24"/>
              </w:rPr>
              <w:t> </w:t>
            </w:r>
          </w:p>
        </w:tc>
        <w:tc>
          <w:tcPr>
            <w:tcW w:w="654" w:type="dxa"/>
            <w:gridSpan w:val="2"/>
            <w:tcBorders>
              <w:top w:val="nil"/>
              <w:left w:val="nil"/>
              <w:bottom w:val="single" w:sz="4" w:space="0" w:color="auto"/>
              <w:right w:val="nil"/>
            </w:tcBorders>
            <w:shd w:val="clear" w:color="auto" w:fill="auto"/>
            <w:noWrap/>
            <w:vAlign w:val="bottom"/>
            <w:hideMark/>
          </w:tcPr>
          <w:p w:rsidR="003D113B" w:rsidRPr="005E1757" w:rsidRDefault="003D113B" w:rsidP="00F21A3F">
            <w:pPr>
              <w:rPr>
                <w:szCs w:val="24"/>
              </w:rPr>
            </w:pPr>
            <w:r w:rsidRPr="005E1757">
              <w:rPr>
                <w:szCs w:val="24"/>
              </w:rPr>
              <w:t> </w:t>
            </w:r>
          </w:p>
        </w:tc>
        <w:tc>
          <w:tcPr>
            <w:tcW w:w="2143" w:type="dxa"/>
            <w:tcBorders>
              <w:top w:val="nil"/>
              <w:left w:val="nil"/>
              <w:bottom w:val="single" w:sz="4" w:space="0" w:color="auto"/>
              <w:right w:val="nil"/>
            </w:tcBorders>
            <w:shd w:val="clear" w:color="auto" w:fill="auto"/>
            <w:noWrap/>
            <w:vAlign w:val="bottom"/>
            <w:hideMark/>
          </w:tcPr>
          <w:p w:rsidR="003D113B" w:rsidRPr="005E1757" w:rsidRDefault="003D113B" w:rsidP="00F21A3F">
            <w:pPr>
              <w:rPr>
                <w:szCs w:val="24"/>
              </w:rPr>
            </w:pPr>
            <w:r w:rsidRPr="005E1757">
              <w:rPr>
                <w:szCs w:val="24"/>
              </w:rPr>
              <w:t> </w:t>
            </w:r>
          </w:p>
        </w:tc>
        <w:tc>
          <w:tcPr>
            <w:tcW w:w="2305" w:type="dxa"/>
            <w:gridSpan w:val="3"/>
            <w:tcBorders>
              <w:top w:val="nil"/>
              <w:left w:val="nil"/>
              <w:bottom w:val="single" w:sz="4" w:space="0" w:color="auto"/>
              <w:right w:val="nil"/>
            </w:tcBorders>
            <w:shd w:val="clear" w:color="auto" w:fill="auto"/>
            <w:noWrap/>
            <w:vAlign w:val="bottom"/>
            <w:hideMark/>
          </w:tcPr>
          <w:p w:rsidR="003D113B" w:rsidRPr="005E1757" w:rsidRDefault="003D113B" w:rsidP="00F21A3F">
            <w:pPr>
              <w:rPr>
                <w:szCs w:val="24"/>
              </w:rPr>
            </w:pPr>
            <w:r w:rsidRPr="005E1757">
              <w:rPr>
                <w:szCs w:val="24"/>
              </w:rPr>
              <w:t> </w:t>
            </w:r>
          </w:p>
        </w:tc>
      </w:tr>
      <w:tr w:rsidR="003D113B" w:rsidRPr="005E1757" w:rsidTr="001E7888">
        <w:trPr>
          <w:gridBefore w:val="1"/>
          <w:wBefore w:w="75" w:type="dxa"/>
          <w:trHeight w:val="380"/>
        </w:trPr>
        <w:tc>
          <w:tcPr>
            <w:tcW w:w="696" w:type="dxa"/>
            <w:tcBorders>
              <w:top w:val="nil"/>
              <w:left w:val="nil"/>
              <w:bottom w:val="nil"/>
              <w:right w:val="single" w:sz="4" w:space="0" w:color="auto"/>
            </w:tcBorders>
            <w:shd w:val="clear" w:color="auto" w:fill="auto"/>
            <w:noWrap/>
            <w:vAlign w:val="bottom"/>
            <w:hideMark/>
          </w:tcPr>
          <w:p w:rsidR="003D113B" w:rsidRPr="005E1757" w:rsidRDefault="003D113B" w:rsidP="00F21A3F">
            <w:pPr>
              <w:rPr>
                <w:szCs w:val="24"/>
              </w:rPr>
            </w:pPr>
            <w:r w:rsidRPr="005E1757">
              <w:rPr>
                <w:szCs w:val="24"/>
              </w:rPr>
              <w:t> </w:t>
            </w:r>
          </w:p>
        </w:tc>
        <w:tc>
          <w:tcPr>
            <w:tcW w:w="1928" w:type="dxa"/>
            <w:gridSpan w:val="3"/>
            <w:tcBorders>
              <w:top w:val="nil"/>
              <w:left w:val="nil"/>
              <w:bottom w:val="single" w:sz="4" w:space="0" w:color="auto"/>
              <w:right w:val="single" w:sz="4" w:space="0" w:color="000000"/>
            </w:tcBorders>
            <w:shd w:val="clear" w:color="auto" w:fill="auto"/>
            <w:noWrap/>
            <w:vAlign w:val="center"/>
            <w:hideMark/>
          </w:tcPr>
          <w:p w:rsidR="003D113B" w:rsidRPr="005E1757" w:rsidRDefault="003D113B" w:rsidP="00F21A3F">
            <w:pPr>
              <w:jc w:val="center"/>
              <w:rPr>
                <w:szCs w:val="24"/>
              </w:rPr>
            </w:pPr>
            <w:r w:rsidRPr="005E1757">
              <w:rPr>
                <w:szCs w:val="24"/>
              </w:rPr>
              <w:t>Wachstumsperiode</w:t>
            </w:r>
          </w:p>
        </w:tc>
        <w:tc>
          <w:tcPr>
            <w:tcW w:w="6199" w:type="dxa"/>
            <w:gridSpan w:val="6"/>
            <w:tcBorders>
              <w:top w:val="single" w:sz="4" w:space="0" w:color="auto"/>
              <w:left w:val="nil"/>
              <w:bottom w:val="single" w:sz="4" w:space="0" w:color="auto"/>
              <w:right w:val="single" w:sz="4" w:space="0" w:color="auto"/>
            </w:tcBorders>
            <w:shd w:val="clear" w:color="auto" w:fill="auto"/>
            <w:noWrap/>
            <w:vAlign w:val="center"/>
            <w:hideMark/>
          </w:tcPr>
          <w:p w:rsidR="003D113B" w:rsidRPr="005E1757" w:rsidRDefault="003D113B" w:rsidP="00F21A3F">
            <w:pPr>
              <w:jc w:val="center"/>
              <w:rPr>
                <w:szCs w:val="24"/>
              </w:rPr>
            </w:pPr>
            <w:r w:rsidRPr="005E1757">
              <w:rPr>
                <w:szCs w:val="24"/>
              </w:rPr>
              <w:t>Entscheidung</w:t>
            </w:r>
          </w:p>
        </w:tc>
      </w:tr>
      <w:tr w:rsidR="003D113B" w:rsidRPr="005E1757" w:rsidTr="001E7888">
        <w:trPr>
          <w:gridBefore w:val="1"/>
          <w:wBefore w:w="75" w:type="dxa"/>
          <w:trHeight w:val="236"/>
        </w:trPr>
        <w:tc>
          <w:tcPr>
            <w:tcW w:w="696" w:type="dxa"/>
            <w:tcBorders>
              <w:top w:val="nil"/>
              <w:left w:val="nil"/>
              <w:bottom w:val="single" w:sz="4" w:space="0" w:color="auto"/>
              <w:right w:val="single" w:sz="4" w:space="0" w:color="auto"/>
            </w:tcBorders>
            <w:shd w:val="clear" w:color="auto" w:fill="auto"/>
            <w:noWrap/>
            <w:vAlign w:val="bottom"/>
            <w:hideMark/>
          </w:tcPr>
          <w:p w:rsidR="003D113B" w:rsidRPr="005E1757" w:rsidRDefault="003D113B" w:rsidP="00F21A3F">
            <w:pPr>
              <w:rPr>
                <w:szCs w:val="24"/>
              </w:rPr>
            </w:pPr>
            <w:r w:rsidRPr="005E1757">
              <w:rPr>
                <w:szCs w:val="24"/>
              </w:rPr>
              <w:t> </w:t>
            </w:r>
          </w:p>
        </w:tc>
        <w:tc>
          <w:tcPr>
            <w:tcW w:w="775" w:type="dxa"/>
            <w:tcBorders>
              <w:top w:val="nil"/>
              <w:left w:val="nil"/>
              <w:bottom w:val="single" w:sz="8" w:space="0" w:color="auto"/>
              <w:right w:val="single" w:sz="4" w:space="0" w:color="auto"/>
            </w:tcBorders>
            <w:shd w:val="clear" w:color="auto" w:fill="auto"/>
            <w:noWrap/>
            <w:vAlign w:val="center"/>
            <w:hideMark/>
          </w:tcPr>
          <w:p w:rsidR="003D113B" w:rsidRPr="005E1757" w:rsidRDefault="003D113B" w:rsidP="00F21A3F">
            <w:pPr>
              <w:jc w:val="center"/>
              <w:rPr>
                <w:szCs w:val="24"/>
              </w:rPr>
            </w:pPr>
            <w:r w:rsidRPr="005E1757">
              <w:rPr>
                <w:szCs w:val="24"/>
              </w:rPr>
              <w:t>Erste</w:t>
            </w:r>
          </w:p>
        </w:tc>
        <w:tc>
          <w:tcPr>
            <w:tcW w:w="1153" w:type="dxa"/>
            <w:gridSpan w:val="2"/>
            <w:tcBorders>
              <w:top w:val="nil"/>
              <w:left w:val="nil"/>
              <w:bottom w:val="single" w:sz="8" w:space="0" w:color="auto"/>
              <w:right w:val="single" w:sz="4" w:space="0" w:color="auto"/>
            </w:tcBorders>
            <w:shd w:val="clear" w:color="auto" w:fill="auto"/>
            <w:noWrap/>
            <w:vAlign w:val="center"/>
            <w:hideMark/>
          </w:tcPr>
          <w:p w:rsidR="003D113B" w:rsidRPr="005E1757" w:rsidRDefault="003D113B" w:rsidP="00F21A3F">
            <w:pPr>
              <w:jc w:val="center"/>
              <w:rPr>
                <w:szCs w:val="24"/>
              </w:rPr>
            </w:pPr>
            <w:r w:rsidRPr="005E1757">
              <w:rPr>
                <w:szCs w:val="24"/>
              </w:rPr>
              <w:t>Zweite</w:t>
            </w:r>
          </w:p>
        </w:tc>
        <w:tc>
          <w:tcPr>
            <w:tcW w:w="2552" w:type="dxa"/>
            <w:gridSpan w:val="3"/>
            <w:tcBorders>
              <w:top w:val="nil"/>
              <w:left w:val="nil"/>
              <w:bottom w:val="single" w:sz="8" w:space="0" w:color="auto"/>
              <w:right w:val="single" w:sz="4" w:space="0" w:color="auto"/>
            </w:tcBorders>
            <w:shd w:val="clear" w:color="auto" w:fill="auto"/>
            <w:noWrap/>
            <w:vAlign w:val="center"/>
            <w:hideMark/>
          </w:tcPr>
          <w:p w:rsidR="003D113B" w:rsidRPr="005E1757" w:rsidRDefault="003D113B" w:rsidP="00F21A3F">
            <w:pPr>
              <w:jc w:val="center"/>
              <w:rPr>
                <w:szCs w:val="24"/>
              </w:rPr>
            </w:pPr>
            <w:r w:rsidRPr="005E1757">
              <w:rPr>
                <w:szCs w:val="24"/>
              </w:rPr>
              <w:t>Ansatz 1</w:t>
            </w:r>
          </w:p>
        </w:tc>
        <w:tc>
          <w:tcPr>
            <w:tcW w:w="1896" w:type="dxa"/>
            <w:tcBorders>
              <w:top w:val="nil"/>
              <w:left w:val="nil"/>
              <w:bottom w:val="single" w:sz="8" w:space="0" w:color="auto"/>
              <w:right w:val="single" w:sz="4" w:space="0" w:color="auto"/>
            </w:tcBorders>
            <w:shd w:val="clear" w:color="auto" w:fill="auto"/>
            <w:noWrap/>
            <w:vAlign w:val="center"/>
            <w:hideMark/>
          </w:tcPr>
          <w:p w:rsidR="003D113B" w:rsidRPr="005E1757" w:rsidRDefault="003D113B" w:rsidP="00F21A3F">
            <w:pPr>
              <w:jc w:val="center"/>
              <w:rPr>
                <w:szCs w:val="24"/>
              </w:rPr>
            </w:pPr>
            <w:r w:rsidRPr="005E1757">
              <w:rPr>
                <w:szCs w:val="24"/>
              </w:rPr>
              <w:t>Ansatz 2</w:t>
            </w:r>
          </w:p>
        </w:tc>
        <w:tc>
          <w:tcPr>
            <w:tcW w:w="1751" w:type="dxa"/>
            <w:gridSpan w:val="2"/>
            <w:tcBorders>
              <w:top w:val="single" w:sz="4" w:space="0" w:color="auto"/>
              <w:bottom w:val="single" w:sz="4" w:space="0" w:color="auto"/>
              <w:right w:val="single" w:sz="4" w:space="0" w:color="auto"/>
            </w:tcBorders>
            <w:shd w:val="clear" w:color="auto" w:fill="auto"/>
            <w:vAlign w:val="center"/>
          </w:tcPr>
          <w:p w:rsidR="003D113B" w:rsidRPr="005E1757" w:rsidRDefault="003D113B" w:rsidP="00F21A3F">
            <w:pPr>
              <w:jc w:val="center"/>
              <w:rPr>
                <w:szCs w:val="24"/>
              </w:rPr>
            </w:pPr>
            <w:r w:rsidRPr="005E1757">
              <w:rPr>
                <w:szCs w:val="24"/>
              </w:rPr>
              <w:t>Ansatz 3</w:t>
            </w:r>
          </w:p>
        </w:tc>
      </w:tr>
      <w:tr w:rsidR="003D113B" w:rsidRPr="005E1757" w:rsidTr="001E7888">
        <w:trPr>
          <w:gridBefore w:val="1"/>
          <w:wBefore w:w="75" w:type="dxa"/>
          <w:trHeight w:val="240"/>
        </w:trPr>
        <w:tc>
          <w:tcPr>
            <w:tcW w:w="696" w:type="dxa"/>
            <w:vMerge w:val="restart"/>
            <w:tcBorders>
              <w:top w:val="nil"/>
              <w:left w:val="single" w:sz="4" w:space="0" w:color="auto"/>
              <w:right w:val="single" w:sz="4" w:space="0" w:color="000000"/>
            </w:tcBorders>
            <w:shd w:val="clear" w:color="auto" w:fill="auto"/>
            <w:textDirection w:val="btLr"/>
          </w:tcPr>
          <w:p w:rsidR="003D113B" w:rsidRPr="005E1757" w:rsidRDefault="003D113B" w:rsidP="00F21A3F">
            <w:pPr>
              <w:jc w:val="center"/>
              <w:rPr>
                <w:szCs w:val="24"/>
              </w:rPr>
            </w:pPr>
            <w:r w:rsidRPr="005E1757">
              <w:rPr>
                <w:szCs w:val="24"/>
              </w:rPr>
              <w:t xml:space="preserve">Anzahl der </w:t>
            </w:r>
            <w:r w:rsidRPr="005E1757">
              <w:rPr>
                <w:szCs w:val="24"/>
              </w:rPr>
              <w:br/>
              <w:t>Abweicher</w:t>
            </w:r>
          </w:p>
        </w:tc>
        <w:tc>
          <w:tcPr>
            <w:tcW w:w="775" w:type="dxa"/>
            <w:tcBorders>
              <w:top w:val="nil"/>
              <w:left w:val="single" w:sz="8" w:space="0" w:color="auto"/>
              <w:bottom w:val="single" w:sz="8" w:space="0" w:color="auto"/>
              <w:right w:val="single" w:sz="4" w:space="0" w:color="auto"/>
            </w:tcBorders>
            <w:shd w:val="clear" w:color="auto" w:fill="auto"/>
            <w:noWrap/>
            <w:vAlign w:val="center"/>
          </w:tcPr>
          <w:p w:rsidR="003D113B" w:rsidRPr="005E1757" w:rsidRDefault="003D113B" w:rsidP="00F21A3F">
            <w:pPr>
              <w:jc w:val="center"/>
              <w:rPr>
                <w:szCs w:val="24"/>
              </w:rPr>
            </w:pPr>
            <w:r w:rsidRPr="005E1757">
              <w:rPr>
                <w:szCs w:val="24"/>
              </w:rPr>
              <w:t>1</w:t>
            </w:r>
          </w:p>
        </w:tc>
        <w:tc>
          <w:tcPr>
            <w:tcW w:w="1153" w:type="dxa"/>
            <w:gridSpan w:val="2"/>
            <w:tcBorders>
              <w:top w:val="nil"/>
              <w:left w:val="nil"/>
              <w:bottom w:val="single" w:sz="8" w:space="0" w:color="auto"/>
              <w:right w:val="single" w:sz="4" w:space="0" w:color="auto"/>
            </w:tcBorders>
            <w:shd w:val="clear" w:color="auto" w:fill="auto"/>
            <w:noWrap/>
            <w:vAlign w:val="center"/>
          </w:tcPr>
          <w:p w:rsidR="003D113B" w:rsidRPr="005E1757" w:rsidRDefault="003D113B" w:rsidP="00F21A3F">
            <w:pPr>
              <w:jc w:val="center"/>
              <w:rPr>
                <w:szCs w:val="24"/>
              </w:rPr>
            </w:pPr>
            <w:r w:rsidRPr="005E1757">
              <w:rPr>
                <w:szCs w:val="24"/>
              </w:rPr>
              <w:t>1</w:t>
            </w:r>
          </w:p>
        </w:tc>
        <w:tc>
          <w:tcPr>
            <w:tcW w:w="2552" w:type="dxa"/>
            <w:gridSpan w:val="3"/>
            <w:tcBorders>
              <w:top w:val="nil"/>
              <w:left w:val="nil"/>
              <w:bottom w:val="single" w:sz="8" w:space="0" w:color="auto"/>
              <w:right w:val="single" w:sz="4" w:space="0" w:color="auto"/>
            </w:tcBorders>
            <w:shd w:val="clear" w:color="auto" w:fill="auto"/>
            <w:noWrap/>
            <w:vAlign w:val="center"/>
          </w:tcPr>
          <w:p w:rsidR="003D113B" w:rsidRPr="005E1757" w:rsidRDefault="003D113B" w:rsidP="00F21A3F">
            <w:pPr>
              <w:jc w:val="center"/>
              <w:rPr>
                <w:szCs w:val="24"/>
              </w:rPr>
            </w:pPr>
            <w:r w:rsidRPr="005E1757">
              <w:rPr>
                <w:szCs w:val="24"/>
              </w:rPr>
              <w:t>homogen</w:t>
            </w:r>
          </w:p>
        </w:tc>
        <w:tc>
          <w:tcPr>
            <w:tcW w:w="1896" w:type="dxa"/>
            <w:tcBorders>
              <w:top w:val="nil"/>
              <w:left w:val="nil"/>
              <w:bottom w:val="single" w:sz="8" w:space="0" w:color="auto"/>
              <w:right w:val="single" w:sz="8" w:space="0" w:color="auto"/>
            </w:tcBorders>
            <w:shd w:val="clear" w:color="auto" w:fill="auto"/>
            <w:vAlign w:val="center"/>
          </w:tcPr>
          <w:p w:rsidR="003D113B" w:rsidRPr="005E1757" w:rsidRDefault="003D113B" w:rsidP="00F21A3F">
            <w:pPr>
              <w:jc w:val="center"/>
              <w:rPr>
                <w:szCs w:val="24"/>
              </w:rPr>
            </w:pPr>
            <w:r w:rsidRPr="005E1757">
              <w:rPr>
                <w:szCs w:val="24"/>
              </w:rPr>
              <w:t>homogen</w:t>
            </w:r>
          </w:p>
        </w:tc>
        <w:tc>
          <w:tcPr>
            <w:tcW w:w="1751" w:type="dxa"/>
            <w:gridSpan w:val="2"/>
            <w:tcBorders>
              <w:top w:val="single" w:sz="4" w:space="0" w:color="auto"/>
              <w:bottom w:val="single" w:sz="4" w:space="0" w:color="auto"/>
              <w:right w:val="single" w:sz="4" w:space="0" w:color="auto"/>
            </w:tcBorders>
            <w:shd w:val="clear" w:color="auto" w:fill="auto"/>
            <w:vAlign w:val="center"/>
          </w:tcPr>
          <w:p w:rsidR="003D113B" w:rsidRPr="005E1757" w:rsidRDefault="003D113B" w:rsidP="00F21A3F">
            <w:pPr>
              <w:jc w:val="center"/>
              <w:rPr>
                <w:szCs w:val="24"/>
              </w:rPr>
            </w:pPr>
            <w:r w:rsidRPr="005E1757">
              <w:rPr>
                <w:szCs w:val="24"/>
              </w:rPr>
              <w:t>homogen</w:t>
            </w:r>
          </w:p>
        </w:tc>
      </w:tr>
      <w:tr w:rsidR="003D113B" w:rsidRPr="005E1757" w:rsidTr="001E7888">
        <w:trPr>
          <w:gridBefore w:val="1"/>
          <w:wBefore w:w="75" w:type="dxa"/>
          <w:trHeight w:val="240"/>
        </w:trPr>
        <w:tc>
          <w:tcPr>
            <w:tcW w:w="696" w:type="dxa"/>
            <w:vMerge/>
            <w:tcBorders>
              <w:left w:val="single" w:sz="4" w:space="0" w:color="auto"/>
              <w:right w:val="single" w:sz="4" w:space="0" w:color="000000"/>
            </w:tcBorders>
            <w:shd w:val="clear" w:color="auto" w:fill="auto"/>
            <w:textDirection w:val="btLr"/>
            <w:vAlign w:val="center"/>
            <w:hideMark/>
          </w:tcPr>
          <w:p w:rsidR="003D113B" w:rsidRPr="005E1757" w:rsidRDefault="003D113B" w:rsidP="00F21A3F">
            <w:pPr>
              <w:rPr>
                <w:szCs w:val="24"/>
              </w:rPr>
            </w:pPr>
          </w:p>
        </w:tc>
        <w:tc>
          <w:tcPr>
            <w:tcW w:w="775" w:type="dxa"/>
            <w:tcBorders>
              <w:top w:val="nil"/>
              <w:left w:val="single" w:sz="8" w:space="0" w:color="auto"/>
              <w:bottom w:val="single" w:sz="8" w:space="0" w:color="auto"/>
              <w:right w:val="single" w:sz="4" w:space="0" w:color="auto"/>
            </w:tcBorders>
            <w:shd w:val="clear" w:color="auto" w:fill="auto"/>
            <w:noWrap/>
            <w:vAlign w:val="center"/>
            <w:hideMark/>
          </w:tcPr>
          <w:p w:rsidR="003D113B" w:rsidRPr="005E1757" w:rsidRDefault="003D113B" w:rsidP="00F21A3F">
            <w:pPr>
              <w:jc w:val="center"/>
              <w:rPr>
                <w:szCs w:val="24"/>
              </w:rPr>
            </w:pPr>
            <w:r w:rsidRPr="005E1757">
              <w:rPr>
                <w:szCs w:val="24"/>
              </w:rPr>
              <w:t>2</w:t>
            </w:r>
          </w:p>
        </w:tc>
        <w:tc>
          <w:tcPr>
            <w:tcW w:w="1153" w:type="dxa"/>
            <w:gridSpan w:val="2"/>
            <w:tcBorders>
              <w:top w:val="nil"/>
              <w:left w:val="nil"/>
              <w:bottom w:val="single" w:sz="8" w:space="0" w:color="auto"/>
              <w:right w:val="single" w:sz="4" w:space="0" w:color="auto"/>
            </w:tcBorders>
            <w:shd w:val="clear" w:color="auto" w:fill="auto"/>
            <w:noWrap/>
            <w:vAlign w:val="center"/>
            <w:hideMark/>
          </w:tcPr>
          <w:p w:rsidR="003D113B" w:rsidRPr="005E1757" w:rsidRDefault="003D113B" w:rsidP="00F21A3F">
            <w:pPr>
              <w:jc w:val="center"/>
              <w:rPr>
                <w:szCs w:val="24"/>
              </w:rPr>
            </w:pPr>
            <w:r w:rsidRPr="005E1757">
              <w:rPr>
                <w:szCs w:val="24"/>
              </w:rPr>
              <w:t>2</w:t>
            </w:r>
          </w:p>
        </w:tc>
        <w:tc>
          <w:tcPr>
            <w:tcW w:w="2552" w:type="dxa"/>
            <w:gridSpan w:val="3"/>
            <w:tcBorders>
              <w:top w:val="nil"/>
              <w:left w:val="nil"/>
              <w:bottom w:val="single" w:sz="8" w:space="0" w:color="auto"/>
              <w:right w:val="single" w:sz="4" w:space="0" w:color="auto"/>
            </w:tcBorders>
            <w:shd w:val="clear" w:color="auto" w:fill="auto"/>
            <w:noWrap/>
            <w:vAlign w:val="center"/>
            <w:hideMark/>
          </w:tcPr>
          <w:p w:rsidR="003D113B" w:rsidRPr="005E1757" w:rsidRDefault="003D113B" w:rsidP="00F21A3F">
            <w:pPr>
              <w:jc w:val="center"/>
              <w:rPr>
                <w:szCs w:val="24"/>
              </w:rPr>
            </w:pPr>
            <w:r w:rsidRPr="005E1757">
              <w:rPr>
                <w:szCs w:val="24"/>
              </w:rPr>
              <w:t>homogen</w:t>
            </w:r>
          </w:p>
        </w:tc>
        <w:tc>
          <w:tcPr>
            <w:tcW w:w="1896" w:type="dxa"/>
            <w:tcBorders>
              <w:top w:val="nil"/>
              <w:left w:val="nil"/>
              <w:bottom w:val="single" w:sz="8" w:space="0" w:color="auto"/>
              <w:right w:val="single" w:sz="8" w:space="0" w:color="auto"/>
            </w:tcBorders>
            <w:shd w:val="clear" w:color="auto" w:fill="auto"/>
            <w:vAlign w:val="center"/>
            <w:hideMark/>
          </w:tcPr>
          <w:p w:rsidR="003D113B" w:rsidRPr="005E1757" w:rsidRDefault="003D113B" w:rsidP="00F21A3F">
            <w:pPr>
              <w:jc w:val="center"/>
              <w:rPr>
                <w:szCs w:val="24"/>
              </w:rPr>
            </w:pPr>
            <w:r w:rsidRPr="005E1757">
              <w:rPr>
                <w:szCs w:val="24"/>
              </w:rPr>
              <w:t>homogen</w:t>
            </w:r>
          </w:p>
        </w:tc>
        <w:tc>
          <w:tcPr>
            <w:tcW w:w="1751" w:type="dxa"/>
            <w:gridSpan w:val="2"/>
            <w:tcBorders>
              <w:top w:val="single" w:sz="4" w:space="0" w:color="auto"/>
              <w:bottom w:val="single" w:sz="4" w:space="0" w:color="auto"/>
              <w:right w:val="single" w:sz="4" w:space="0" w:color="auto"/>
            </w:tcBorders>
            <w:shd w:val="clear" w:color="auto" w:fill="auto"/>
            <w:vAlign w:val="center"/>
          </w:tcPr>
          <w:p w:rsidR="003D113B" w:rsidRPr="005E1757" w:rsidRDefault="003D113B" w:rsidP="00F21A3F">
            <w:pPr>
              <w:jc w:val="center"/>
              <w:rPr>
                <w:szCs w:val="24"/>
              </w:rPr>
            </w:pPr>
            <w:r w:rsidRPr="005E1757">
              <w:rPr>
                <w:szCs w:val="24"/>
              </w:rPr>
              <w:t>nicht homogen</w:t>
            </w:r>
          </w:p>
        </w:tc>
      </w:tr>
      <w:tr w:rsidR="003D113B" w:rsidRPr="005E1757" w:rsidTr="001E7888">
        <w:trPr>
          <w:gridBefore w:val="1"/>
          <w:wBefore w:w="75" w:type="dxa"/>
          <w:trHeight w:val="273"/>
        </w:trPr>
        <w:tc>
          <w:tcPr>
            <w:tcW w:w="696" w:type="dxa"/>
            <w:vMerge/>
            <w:tcBorders>
              <w:left w:val="single" w:sz="4" w:space="0" w:color="auto"/>
              <w:right w:val="single" w:sz="4" w:space="0" w:color="000000"/>
            </w:tcBorders>
            <w:vAlign w:val="center"/>
            <w:hideMark/>
          </w:tcPr>
          <w:p w:rsidR="003D113B" w:rsidRPr="005E1757" w:rsidRDefault="003D113B" w:rsidP="00F21A3F">
            <w:pPr>
              <w:rPr>
                <w:szCs w:val="24"/>
              </w:rPr>
            </w:pPr>
          </w:p>
        </w:tc>
        <w:tc>
          <w:tcPr>
            <w:tcW w:w="775" w:type="dxa"/>
            <w:tcBorders>
              <w:top w:val="nil"/>
              <w:left w:val="nil"/>
              <w:bottom w:val="single" w:sz="8" w:space="0" w:color="auto"/>
              <w:right w:val="single" w:sz="4" w:space="0" w:color="auto"/>
            </w:tcBorders>
            <w:shd w:val="clear" w:color="auto" w:fill="auto"/>
            <w:vAlign w:val="center"/>
            <w:hideMark/>
          </w:tcPr>
          <w:p w:rsidR="003D113B" w:rsidRPr="005E1757" w:rsidRDefault="003D113B" w:rsidP="00F21A3F">
            <w:pPr>
              <w:jc w:val="center"/>
              <w:rPr>
                <w:szCs w:val="24"/>
              </w:rPr>
            </w:pPr>
            <w:r w:rsidRPr="005E1757">
              <w:rPr>
                <w:szCs w:val="24"/>
              </w:rPr>
              <w:t>0</w:t>
            </w:r>
          </w:p>
        </w:tc>
        <w:tc>
          <w:tcPr>
            <w:tcW w:w="1153" w:type="dxa"/>
            <w:gridSpan w:val="2"/>
            <w:tcBorders>
              <w:top w:val="nil"/>
              <w:left w:val="nil"/>
              <w:bottom w:val="single" w:sz="8" w:space="0" w:color="auto"/>
              <w:right w:val="single" w:sz="4" w:space="0" w:color="auto"/>
            </w:tcBorders>
            <w:shd w:val="clear" w:color="auto" w:fill="auto"/>
            <w:vAlign w:val="center"/>
            <w:hideMark/>
          </w:tcPr>
          <w:p w:rsidR="003D113B" w:rsidRPr="005E1757" w:rsidRDefault="003D113B" w:rsidP="00F21A3F">
            <w:pPr>
              <w:jc w:val="center"/>
              <w:rPr>
                <w:szCs w:val="24"/>
              </w:rPr>
            </w:pPr>
            <w:r w:rsidRPr="005E1757">
              <w:rPr>
                <w:szCs w:val="24"/>
              </w:rPr>
              <w:t>3*</w:t>
            </w:r>
          </w:p>
        </w:tc>
        <w:tc>
          <w:tcPr>
            <w:tcW w:w="2552" w:type="dxa"/>
            <w:gridSpan w:val="3"/>
            <w:tcBorders>
              <w:top w:val="nil"/>
              <w:left w:val="nil"/>
              <w:bottom w:val="single" w:sz="8" w:space="0" w:color="auto"/>
              <w:right w:val="single" w:sz="4" w:space="0" w:color="auto"/>
            </w:tcBorders>
            <w:shd w:val="clear" w:color="auto" w:fill="auto"/>
            <w:vAlign w:val="center"/>
            <w:hideMark/>
          </w:tcPr>
          <w:p w:rsidR="003D113B" w:rsidRPr="005E1757" w:rsidRDefault="003D113B" w:rsidP="00F21A3F">
            <w:pPr>
              <w:jc w:val="center"/>
              <w:rPr>
                <w:szCs w:val="24"/>
              </w:rPr>
            </w:pPr>
            <w:r w:rsidRPr="005E1757">
              <w:rPr>
                <w:szCs w:val="24"/>
              </w:rPr>
              <w:t>dritte Wachstumsperiode*</w:t>
            </w:r>
          </w:p>
        </w:tc>
        <w:tc>
          <w:tcPr>
            <w:tcW w:w="1896" w:type="dxa"/>
            <w:tcBorders>
              <w:top w:val="nil"/>
              <w:left w:val="nil"/>
              <w:bottom w:val="single" w:sz="8" w:space="0" w:color="auto"/>
              <w:right w:val="single" w:sz="4" w:space="0" w:color="auto"/>
            </w:tcBorders>
            <w:shd w:val="clear" w:color="auto" w:fill="auto"/>
            <w:vAlign w:val="center"/>
            <w:hideMark/>
          </w:tcPr>
          <w:p w:rsidR="003D113B" w:rsidRPr="005E1757" w:rsidRDefault="003D113B" w:rsidP="00F21A3F">
            <w:pPr>
              <w:jc w:val="center"/>
              <w:rPr>
                <w:szCs w:val="24"/>
              </w:rPr>
            </w:pPr>
            <w:r w:rsidRPr="005E1757">
              <w:rPr>
                <w:szCs w:val="24"/>
              </w:rPr>
              <w:t>homogen*</w:t>
            </w:r>
          </w:p>
        </w:tc>
        <w:tc>
          <w:tcPr>
            <w:tcW w:w="1751" w:type="dxa"/>
            <w:gridSpan w:val="2"/>
            <w:tcBorders>
              <w:top w:val="single" w:sz="4" w:space="0" w:color="auto"/>
              <w:bottom w:val="single" w:sz="4" w:space="0" w:color="auto"/>
              <w:right w:val="single" w:sz="4" w:space="0" w:color="auto"/>
            </w:tcBorders>
            <w:shd w:val="clear" w:color="auto" w:fill="auto"/>
            <w:vAlign w:val="center"/>
          </w:tcPr>
          <w:p w:rsidR="003D113B" w:rsidRPr="005E1757" w:rsidRDefault="003D113B" w:rsidP="00F21A3F">
            <w:pPr>
              <w:jc w:val="center"/>
              <w:rPr>
                <w:szCs w:val="24"/>
              </w:rPr>
            </w:pPr>
            <w:r w:rsidRPr="005E1757">
              <w:rPr>
                <w:szCs w:val="24"/>
              </w:rPr>
              <w:t>homogen*</w:t>
            </w:r>
          </w:p>
        </w:tc>
      </w:tr>
      <w:tr w:rsidR="003D113B" w:rsidRPr="005E1757" w:rsidTr="001E7888">
        <w:trPr>
          <w:gridBefore w:val="1"/>
          <w:wBefore w:w="75" w:type="dxa"/>
          <w:trHeight w:val="248"/>
        </w:trPr>
        <w:tc>
          <w:tcPr>
            <w:tcW w:w="696" w:type="dxa"/>
            <w:vMerge/>
            <w:tcBorders>
              <w:left w:val="single" w:sz="4" w:space="0" w:color="auto"/>
              <w:right w:val="single" w:sz="4" w:space="0" w:color="000000"/>
            </w:tcBorders>
            <w:vAlign w:val="center"/>
            <w:hideMark/>
          </w:tcPr>
          <w:p w:rsidR="003D113B" w:rsidRPr="005E1757" w:rsidRDefault="003D113B" w:rsidP="00F21A3F">
            <w:pPr>
              <w:rPr>
                <w:szCs w:val="24"/>
              </w:rPr>
            </w:pPr>
          </w:p>
        </w:tc>
        <w:tc>
          <w:tcPr>
            <w:tcW w:w="775" w:type="dxa"/>
            <w:tcBorders>
              <w:top w:val="nil"/>
              <w:left w:val="single" w:sz="8" w:space="0" w:color="auto"/>
              <w:bottom w:val="single" w:sz="8" w:space="0" w:color="auto"/>
              <w:right w:val="single" w:sz="4" w:space="0" w:color="auto"/>
            </w:tcBorders>
            <w:shd w:val="clear" w:color="auto" w:fill="auto"/>
            <w:vAlign w:val="center"/>
            <w:hideMark/>
          </w:tcPr>
          <w:p w:rsidR="003D113B" w:rsidRPr="005E1757" w:rsidRDefault="003D113B" w:rsidP="00F21A3F">
            <w:pPr>
              <w:jc w:val="center"/>
              <w:rPr>
                <w:szCs w:val="24"/>
              </w:rPr>
            </w:pPr>
            <w:r w:rsidRPr="005E1757">
              <w:rPr>
                <w:szCs w:val="24"/>
              </w:rPr>
              <w:t>1</w:t>
            </w:r>
          </w:p>
        </w:tc>
        <w:tc>
          <w:tcPr>
            <w:tcW w:w="1153" w:type="dxa"/>
            <w:gridSpan w:val="2"/>
            <w:tcBorders>
              <w:top w:val="nil"/>
              <w:left w:val="nil"/>
              <w:bottom w:val="single" w:sz="8" w:space="0" w:color="auto"/>
              <w:right w:val="single" w:sz="4" w:space="0" w:color="auto"/>
            </w:tcBorders>
            <w:shd w:val="clear" w:color="auto" w:fill="auto"/>
            <w:vAlign w:val="center"/>
            <w:hideMark/>
          </w:tcPr>
          <w:p w:rsidR="003D113B" w:rsidRPr="005E1757" w:rsidRDefault="003D113B" w:rsidP="00F21A3F">
            <w:pPr>
              <w:jc w:val="center"/>
              <w:rPr>
                <w:szCs w:val="24"/>
              </w:rPr>
            </w:pPr>
            <w:r w:rsidRPr="005E1757">
              <w:rPr>
                <w:szCs w:val="24"/>
              </w:rPr>
              <w:t>3*</w:t>
            </w:r>
          </w:p>
        </w:tc>
        <w:tc>
          <w:tcPr>
            <w:tcW w:w="2552" w:type="dxa"/>
            <w:gridSpan w:val="3"/>
            <w:tcBorders>
              <w:top w:val="nil"/>
              <w:left w:val="nil"/>
              <w:bottom w:val="single" w:sz="8" w:space="0" w:color="auto"/>
              <w:right w:val="single" w:sz="4" w:space="0" w:color="auto"/>
            </w:tcBorders>
            <w:shd w:val="clear" w:color="auto" w:fill="auto"/>
            <w:vAlign w:val="center"/>
            <w:hideMark/>
          </w:tcPr>
          <w:p w:rsidR="003D113B" w:rsidRPr="005E1757" w:rsidRDefault="003D113B" w:rsidP="00F21A3F">
            <w:pPr>
              <w:jc w:val="center"/>
              <w:rPr>
                <w:szCs w:val="24"/>
              </w:rPr>
            </w:pPr>
            <w:r w:rsidRPr="005E1757">
              <w:rPr>
                <w:szCs w:val="24"/>
              </w:rPr>
              <w:t>dritte Wachstumsperiode*</w:t>
            </w:r>
          </w:p>
        </w:tc>
        <w:tc>
          <w:tcPr>
            <w:tcW w:w="1896" w:type="dxa"/>
            <w:tcBorders>
              <w:top w:val="nil"/>
              <w:left w:val="nil"/>
              <w:bottom w:val="single" w:sz="4" w:space="0" w:color="auto"/>
              <w:right w:val="single" w:sz="8" w:space="0" w:color="auto"/>
            </w:tcBorders>
            <w:shd w:val="clear" w:color="auto" w:fill="auto"/>
            <w:vAlign w:val="center"/>
            <w:hideMark/>
          </w:tcPr>
          <w:p w:rsidR="003D113B" w:rsidRPr="005E1757" w:rsidRDefault="003D113B" w:rsidP="00F21A3F">
            <w:pPr>
              <w:jc w:val="center"/>
              <w:rPr>
                <w:szCs w:val="24"/>
              </w:rPr>
            </w:pPr>
            <w:r w:rsidRPr="005E1757">
              <w:rPr>
                <w:szCs w:val="24"/>
              </w:rPr>
              <w:t>nicht homogen*</w:t>
            </w:r>
          </w:p>
        </w:tc>
        <w:tc>
          <w:tcPr>
            <w:tcW w:w="1751" w:type="dxa"/>
            <w:gridSpan w:val="2"/>
            <w:tcBorders>
              <w:top w:val="single" w:sz="4" w:space="0" w:color="auto"/>
              <w:bottom w:val="single" w:sz="4" w:space="0" w:color="auto"/>
              <w:right w:val="single" w:sz="4" w:space="0" w:color="auto"/>
            </w:tcBorders>
            <w:shd w:val="clear" w:color="auto" w:fill="auto"/>
            <w:vAlign w:val="center"/>
          </w:tcPr>
          <w:p w:rsidR="003D113B" w:rsidRPr="005E1757" w:rsidRDefault="003D113B" w:rsidP="00F21A3F">
            <w:pPr>
              <w:jc w:val="center"/>
              <w:rPr>
                <w:szCs w:val="24"/>
              </w:rPr>
            </w:pPr>
            <w:r w:rsidRPr="005E1757">
              <w:rPr>
                <w:szCs w:val="24"/>
              </w:rPr>
              <w:t>nicht homogen*</w:t>
            </w:r>
          </w:p>
        </w:tc>
      </w:tr>
      <w:tr w:rsidR="003D113B" w:rsidRPr="005E1757" w:rsidTr="001E7888">
        <w:trPr>
          <w:gridBefore w:val="1"/>
          <w:wBefore w:w="75" w:type="dxa"/>
          <w:trHeight w:val="267"/>
        </w:trPr>
        <w:tc>
          <w:tcPr>
            <w:tcW w:w="696" w:type="dxa"/>
            <w:vMerge/>
            <w:tcBorders>
              <w:left w:val="single" w:sz="4" w:space="0" w:color="auto"/>
              <w:right w:val="single" w:sz="4" w:space="0" w:color="000000"/>
            </w:tcBorders>
            <w:vAlign w:val="center"/>
            <w:hideMark/>
          </w:tcPr>
          <w:p w:rsidR="003D113B" w:rsidRPr="005E1757" w:rsidRDefault="003D113B" w:rsidP="00F21A3F">
            <w:pPr>
              <w:rPr>
                <w:szCs w:val="24"/>
              </w:rPr>
            </w:pPr>
          </w:p>
        </w:tc>
        <w:tc>
          <w:tcPr>
            <w:tcW w:w="775" w:type="dxa"/>
            <w:tcBorders>
              <w:top w:val="nil"/>
              <w:left w:val="nil"/>
              <w:bottom w:val="single" w:sz="4" w:space="0" w:color="auto"/>
              <w:right w:val="single" w:sz="4" w:space="0" w:color="auto"/>
            </w:tcBorders>
            <w:shd w:val="clear" w:color="auto" w:fill="auto"/>
            <w:noWrap/>
            <w:vAlign w:val="center"/>
            <w:hideMark/>
          </w:tcPr>
          <w:p w:rsidR="003D113B" w:rsidRPr="005E1757" w:rsidRDefault="003D113B" w:rsidP="00F21A3F">
            <w:pPr>
              <w:jc w:val="center"/>
              <w:rPr>
                <w:szCs w:val="24"/>
              </w:rPr>
            </w:pPr>
            <w:r w:rsidRPr="005E1757">
              <w:rPr>
                <w:szCs w:val="24"/>
              </w:rPr>
              <w:t>1</w:t>
            </w:r>
          </w:p>
        </w:tc>
        <w:tc>
          <w:tcPr>
            <w:tcW w:w="1153" w:type="dxa"/>
            <w:gridSpan w:val="2"/>
            <w:tcBorders>
              <w:top w:val="nil"/>
              <w:left w:val="nil"/>
              <w:bottom w:val="single" w:sz="4" w:space="0" w:color="auto"/>
              <w:right w:val="single" w:sz="4" w:space="0" w:color="auto"/>
            </w:tcBorders>
            <w:shd w:val="clear" w:color="auto" w:fill="auto"/>
            <w:noWrap/>
            <w:vAlign w:val="center"/>
            <w:hideMark/>
          </w:tcPr>
          <w:p w:rsidR="003D113B" w:rsidRPr="005E1757" w:rsidRDefault="003D113B" w:rsidP="00F21A3F">
            <w:pPr>
              <w:jc w:val="center"/>
              <w:rPr>
                <w:szCs w:val="24"/>
              </w:rPr>
            </w:pPr>
            <w:r w:rsidRPr="005E1757">
              <w:rPr>
                <w:szCs w:val="24"/>
              </w:rPr>
              <w:t>4*</w:t>
            </w:r>
          </w:p>
        </w:tc>
        <w:tc>
          <w:tcPr>
            <w:tcW w:w="2552" w:type="dxa"/>
            <w:gridSpan w:val="3"/>
            <w:tcBorders>
              <w:top w:val="nil"/>
              <w:left w:val="nil"/>
              <w:bottom w:val="single" w:sz="4" w:space="0" w:color="auto"/>
              <w:right w:val="single" w:sz="4" w:space="0" w:color="auto"/>
            </w:tcBorders>
            <w:shd w:val="clear" w:color="auto" w:fill="auto"/>
            <w:vAlign w:val="center"/>
            <w:hideMark/>
          </w:tcPr>
          <w:p w:rsidR="003D113B" w:rsidRPr="005E1757" w:rsidRDefault="003D113B" w:rsidP="00F21A3F">
            <w:pPr>
              <w:jc w:val="center"/>
              <w:rPr>
                <w:szCs w:val="24"/>
              </w:rPr>
            </w:pPr>
            <w:r w:rsidRPr="005E1757">
              <w:rPr>
                <w:szCs w:val="24"/>
              </w:rPr>
              <w:t>dritte Wachstumsperiode*</w:t>
            </w:r>
          </w:p>
        </w:tc>
        <w:tc>
          <w:tcPr>
            <w:tcW w:w="1896" w:type="dxa"/>
            <w:tcBorders>
              <w:top w:val="nil"/>
              <w:left w:val="nil"/>
              <w:bottom w:val="single" w:sz="4" w:space="0" w:color="auto"/>
              <w:right w:val="single" w:sz="4" w:space="0" w:color="auto"/>
            </w:tcBorders>
            <w:shd w:val="clear" w:color="auto" w:fill="auto"/>
            <w:vAlign w:val="center"/>
            <w:hideMark/>
          </w:tcPr>
          <w:p w:rsidR="003D113B" w:rsidRPr="005E1757" w:rsidRDefault="003D113B" w:rsidP="00F21A3F">
            <w:pPr>
              <w:jc w:val="center"/>
              <w:rPr>
                <w:szCs w:val="24"/>
              </w:rPr>
            </w:pPr>
            <w:r w:rsidRPr="005E1757">
              <w:rPr>
                <w:szCs w:val="24"/>
              </w:rPr>
              <w:t>nicht homogen*</w:t>
            </w:r>
          </w:p>
        </w:tc>
        <w:tc>
          <w:tcPr>
            <w:tcW w:w="1751" w:type="dxa"/>
            <w:gridSpan w:val="2"/>
            <w:tcBorders>
              <w:top w:val="single" w:sz="4" w:space="0" w:color="auto"/>
              <w:bottom w:val="single" w:sz="4" w:space="0" w:color="auto"/>
              <w:right w:val="single" w:sz="4" w:space="0" w:color="auto"/>
            </w:tcBorders>
            <w:shd w:val="clear" w:color="auto" w:fill="auto"/>
            <w:vAlign w:val="center"/>
          </w:tcPr>
          <w:p w:rsidR="003D113B" w:rsidRPr="005E1757" w:rsidRDefault="003D113B" w:rsidP="00F21A3F">
            <w:pPr>
              <w:jc w:val="center"/>
              <w:rPr>
                <w:szCs w:val="24"/>
              </w:rPr>
            </w:pPr>
            <w:r w:rsidRPr="005E1757">
              <w:rPr>
                <w:szCs w:val="24"/>
              </w:rPr>
              <w:t>nicht homogen*</w:t>
            </w:r>
          </w:p>
        </w:tc>
      </w:tr>
      <w:tr w:rsidR="003D113B" w:rsidRPr="005E1757" w:rsidTr="001E7888">
        <w:trPr>
          <w:gridBefore w:val="1"/>
          <w:wBefore w:w="75" w:type="dxa"/>
          <w:trHeight w:val="266"/>
        </w:trPr>
        <w:tc>
          <w:tcPr>
            <w:tcW w:w="696" w:type="dxa"/>
            <w:vMerge/>
            <w:tcBorders>
              <w:left w:val="single" w:sz="4" w:space="0" w:color="auto"/>
              <w:bottom w:val="single" w:sz="4" w:space="0" w:color="auto"/>
              <w:right w:val="single" w:sz="4" w:space="0" w:color="000000"/>
            </w:tcBorders>
            <w:shd w:val="clear" w:color="auto" w:fill="auto"/>
            <w:noWrap/>
            <w:vAlign w:val="bottom"/>
            <w:hideMark/>
          </w:tcPr>
          <w:p w:rsidR="003D113B" w:rsidRPr="005E1757" w:rsidRDefault="003D113B" w:rsidP="00F21A3F">
            <w:pPr>
              <w:rPr>
                <w:szCs w:val="24"/>
              </w:rPr>
            </w:pPr>
          </w:p>
        </w:tc>
        <w:tc>
          <w:tcPr>
            <w:tcW w:w="775" w:type="dxa"/>
            <w:tcBorders>
              <w:top w:val="nil"/>
              <w:left w:val="single" w:sz="4" w:space="0" w:color="000000"/>
              <w:bottom w:val="single" w:sz="4" w:space="0" w:color="auto"/>
              <w:right w:val="single" w:sz="4" w:space="0" w:color="auto"/>
            </w:tcBorders>
            <w:shd w:val="clear" w:color="auto" w:fill="auto"/>
            <w:noWrap/>
            <w:vAlign w:val="center"/>
            <w:hideMark/>
          </w:tcPr>
          <w:p w:rsidR="003D113B" w:rsidRPr="005E1757" w:rsidRDefault="003D113B" w:rsidP="00F21A3F">
            <w:pPr>
              <w:jc w:val="center"/>
              <w:rPr>
                <w:szCs w:val="24"/>
              </w:rPr>
            </w:pPr>
            <w:r w:rsidRPr="005E1757">
              <w:rPr>
                <w:szCs w:val="24"/>
              </w:rPr>
              <w:t>4**</w:t>
            </w:r>
          </w:p>
        </w:tc>
        <w:tc>
          <w:tcPr>
            <w:tcW w:w="1153" w:type="dxa"/>
            <w:gridSpan w:val="2"/>
            <w:tcBorders>
              <w:top w:val="nil"/>
              <w:left w:val="single" w:sz="4" w:space="0" w:color="auto"/>
              <w:bottom w:val="single" w:sz="4" w:space="0" w:color="auto"/>
              <w:right w:val="single" w:sz="4" w:space="0" w:color="auto"/>
            </w:tcBorders>
            <w:shd w:val="clear" w:color="auto" w:fill="auto"/>
            <w:noWrap/>
            <w:vAlign w:val="center"/>
            <w:hideMark/>
          </w:tcPr>
          <w:p w:rsidR="003D113B" w:rsidRPr="005E1757" w:rsidRDefault="003D113B" w:rsidP="00F21A3F">
            <w:pPr>
              <w:jc w:val="center"/>
              <w:rPr>
                <w:szCs w:val="24"/>
              </w:rPr>
            </w:pPr>
            <w:r w:rsidRPr="005E1757">
              <w:rPr>
                <w:szCs w:val="24"/>
              </w:rPr>
              <w:t>1*</w:t>
            </w:r>
          </w:p>
        </w:tc>
        <w:tc>
          <w:tcPr>
            <w:tcW w:w="2552" w:type="dxa"/>
            <w:gridSpan w:val="3"/>
            <w:tcBorders>
              <w:top w:val="nil"/>
              <w:left w:val="single" w:sz="4" w:space="0" w:color="auto"/>
              <w:bottom w:val="single" w:sz="4" w:space="0" w:color="auto"/>
              <w:right w:val="single" w:sz="4" w:space="0" w:color="auto"/>
            </w:tcBorders>
            <w:shd w:val="clear" w:color="auto" w:fill="auto"/>
            <w:noWrap/>
            <w:vAlign w:val="center"/>
            <w:hideMark/>
          </w:tcPr>
          <w:p w:rsidR="003D113B" w:rsidRPr="005E1757" w:rsidRDefault="003D113B" w:rsidP="00F21A3F">
            <w:pPr>
              <w:jc w:val="center"/>
              <w:rPr>
                <w:szCs w:val="24"/>
              </w:rPr>
            </w:pPr>
            <w:r w:rsidRPr="005E1757">
              <w:rPr>
                <w:szCs w:val="24"/>
              </w:rPr>
              <w:t>dritte Wachstumsperiode*</w:t>
            </w:r>
          </w:p>
        </w:tc>
        <w:tc>
          <w:tcPr>
            <w:tcW w:w="1896" w:type="dxa"/>
            <w:tcBorders>
              <w:top w:val="nil"/>
              <w:left w:val="single" w:sz="4" w:space="0" w:color="auto"/>
              <w:bottom w:val="single" w:sz="4" w:space="0" w:color="auto"/>
              <w:right w:val="single" w:sz="4" w:space="0" w:color="auto"/>
            </w:tcBorders>
            <w:shd w:val="clear" w:color="auto" w:fill="auto"/>
            <w:noWrap/>
            <w:vAlign w:val="center"/>
            <w:hideMark/>
          </w:tcPr>
          <w:p w:rsidR="003D113B" w:rsidRPr="005E1757" w:rsidRDefault="003D113B" w:rsidP="00F21A3F">
            <w:pPr>
              <w:jc w:val="center"/>
              <w:rPr>
                <w:szCs w:val="24"/>
              </w:rPr>
            </w:pPr>
            <w:r w:rsidRPr="005E1757">
              <w:rPr>
                <w:szCs w:val="24"/>
              </w:rPr>
              <w:t>nicht homogen*</w:t>
            </w:r>
          </w:p>
        </w:tc>
        <w:tc>
          <w:tcPr>
            <w:tcW w:w="1751" w:type="dxa"/>
            <w:gridSpan w:val="2"/>
            <w:tcBorders>
              <w:top w:val="single" w:sz="4" w:space="0" w:color="auto"/>
              <w:bottom w:val="single" w:sz="4" w:space="0" w:color="auto"/>
              <w:right w:val="single" w:sz="4" w:space="0" w:color="auto"/>
            </w:tcBorders>
            <w:shd w:val="clear" w:color="auto" w:fill="auto"/>
            <w:vAlign w:val="center"/>
          </w:tcPr>
          <w:p w:rsidR="003D113B" w:rsidRPr="005E1757" w:rsidRDefault="003D113B" w:rsidP="00F21A3F">
            <w:pPr>
              <w:jc w:val="center"/>
              <w:rPr>
                <w:szCs w:val="24"/>
              </w:rPr>
            </w:pPr>
            <w:r w:rsidRPr="005E1757">
              <w:rPr>
                <w:szCs w:val="24"/>
              </w:rPr>
              <w:t>nicht homogen*</w:t>
            </w:r>
          </w:p>
        </w:tc>
      </w:tr>
    </w:tbl>
    <w:p w:rsidR="003D113B" w:rsidRPr="005E1757" w:rsidRDefault="003D113B" w:rsidP="003D113B">
      <w:pPr>
        <w:rPr>
          <w:b/>
          <w:szCs w:val="24"/>
        </w:rPr>
      </w:pPr>
    </w:p>
    <w:p w:rsidR="003D113B" w:rsidRPr="005E1757" w:rsidRDefault="003D113B" w:rsidP="001E7888">
      <w:pPr>
        <w:ind w:left="709" w:right="141"/>
        <w:rPr>
          <w:sz w:val="18"/>
          <w:szCs w:val="24"/>
          <w:u w:val="single"/>
        </w:rPr>
      </w:pPr>
      <w:r w:rsidRPr="005E1757">
        <w:rPr>
          <w:sz w:val="18"/>
          <w:szCs w:val="24"/>
        </w:rPr>
        <w:t xml:space="preserve">* Bei der Bewertung von Ergebnissen, die zwischen den Wachstumsperioden sehr unterschiedlich sind, </w:t>
      </w:r>
      <w:r w:rsidR="009912DD" w:rsidRPr="005E1757">
        <w:rPr>
          <w:sz w:val="18"/>
          <w:szCs w:val="24"/>
        </w:rPr>
        <w:t>muss</w:t>
      </w:r>
      <w:r w:rsidRPr="005E1757">
        <w:rPr>
          <w:sz w:val="18"/>
          <w:szCs w:val="24"/>
        </w:rPr>
        <w:t xml:space="preserve"> mit größter Sorgfalt verfahren werden, etwa wenn ein Abweichertyp in einer Wachstumsperiode sehr häufig und in einer anderen überhaupt nicht vorkommt. Gegebenenfalls sollte eine statistische Prüfung auf Konsistenz durchgeführt werden. Es ist wichtig, zu erkennen, ob Unterschiede in der Anzahl von Abweichern zwischen Wachstumsperioden durch Umweltursachen oder Unterschiede in der Art der Probennahme bedingt sind.</w:t>
      </w:r>
    </w:p>
    <w:p w:rsidR="003D113B" w:rsidRPr="005E1757" w:rsidRDefault="003D113B" w:rsidP="001E7888">
      <w:pPr>
        <w:ind w:left="709" w:right="141"/>
        <w:rPr>
          <w:sz w:val="18"/>
          <w:szCs w:val="24"/>
          <w:u w:val="single"/>
        </w:rPr>
      </w:pPr>
    </w:p>
    <w:p w:rsidR="003D113B" w:rsidRPr="005E1757" w:rsidRDefault="003D113B" w:rsidP="001E7888">
      <w:pPr>
        <w:ind w:left="709" w:right="141"/>
        <w:rPr>
          <w:sz w:val="18"/>
          <w:szCs w:val="24"/>
          <w:u w:val="single"/>
        </w:rPr>
      </w:pPr>
      <w:r w:rsidRPr="005E1757">
        <w:rPr>
          <w:sz w:val="18"/>
          <w:szCs w:val="24"/>
        </w:rPr>
        <w:t xml:space="preserve">** Wenn </w:t>
      </w:r>
      <w:r w:rsidRPr="005E1757">
        <w:rPr>
          <w:bCs/>
          <w:sz w:val="18"/>
          <w:szCs w:val="24"/>
        </w:rPr>
        <w:t>eine Sorte in der ersten Wachstumsperiode einen festgelegten oberen Grenzwert für Abweicher übersteigt, kann die Sorte nach einer Wachstumsperiode zurückgewiesen werden.</w:t>
      </w:r>
    </w:p>
    <w:p w:rsidR="003D113B" w:rsidRPr="005E1757" w:rsidRDefault="003D113B" w:rsidP="003D113B">
      <w:pPr>
        <w:rPr>
          <w:rFonts w:cs="Arial"/>
        </w:rPr>
      </w:pPr>
    </w:p>
    <w:p w:rsidR="003D113B" w:rsidRPr="005E1757" w:rsidRDefault="003D113B" w:rsidP="003D113B">
      <w:pPr>
        <w:keepNext/>
        <w:spacing w:after="240"/>
        <w:ind w:left="851" w:hanging="851"/>
        <w:outlineLvl w:val="1"/>
        <w:rPr>
          <w:b/>
        </w:rPr>
      </w:pPr>
      <w:bookmarkStart w:id="231" w:name="_Toc2932791"/>
      <w:bookmarkStart w:id="232" w:name="_Toc15561058"/>
      <w:r w:rsidRPr="005E1757">
        <w:rPr>
          <w:b/>
        </w:rPr>
        <w:t>4.7</w:t>
      </w:r>
      <w:r w:rsidRPr="005E1757">
        <w:rPr>
          <w:b/>
        </w:rPr>
        <w:tab/>
      </w:r>
      <w:bookmarkEnd w:id="231"/>
      <w:r w:rsidRPr="005E1757">
        <w:rPr>
          <w:b/>
        </w:rPr>
        <w:t>Prüfung der Homogenität anhand von Abweichern aufgrund von Unterproben in einer Prüfung / einem Versuch</w:t>
      </w:r>
      <w:bookmarkEnd w:id="232"/>
    </w:p>
    <w:p w:rsidR="003D113B" w:rsidRPr="005E1757" w:rsidRDefault="003D113B" w:rsidP="003D113B">
      <w:pPr>
        <w:keepNext/>
        <w:spacing w:after="240"/>
        <w:outlineLvl w:val="2"/>
        <w:rPr>
          <w:u w:val="single"/>
        </w:rPr>
      </w:pPr>
      <w:bookmarkStart w:id="233" w:name="_Toc2932792"/>
      <w:bookmarkStart w:id="234" w:name="_Toc15561059"/>
      <w:r w:rsidRPr="005E1757">
        <w:t>4.7.1</w:t>
      </w:r>
      <w:r w:rsidRPr="005E1757">
        <w:tab/>
      </w:r>
      <w:bookmarkEnd w:id="233"/>
      <w:r w:rsidRPr="005E1757">
        <w:rPr>
          <w:u w:val="single"/>
        </w:rPr>
        <w:t>Ansatz: Verwendung von Unterproben als erster Prüfungsschritt</w:t>
      </w:r>
      <w:bookmarkEnd w:id="234"/>
    </w:p>
    <w:p w:rsidR="003D113B" w:rsidRPr="005E1757" w:rsidRDefault="003D113B" w:rsidP="003D113B">
      <w:r w:rsidRPr="005E1757">
        <w:t>4.7.1.1</w:t>
      </w:r>
      <w:r w:rsidRPr="005E1757">
        <w:tab/>
        <w:t xml:space="preserve">Eine Sorte wird als homogen </w:t>
      </w:r>
      <w:r w:rsidRPr="005E1757">
        <w:rPr>
          <w:rFonts w:eastAsia="SimSun"/>
          <w:lang w:eastAsia="zh-CN"/>
        </w:rPr>
        <w:t>angesehen</w:t>
      </w:r>
      <w:r w:rsidRPr="005E1757">
        <w:t>, wenn die Anzahl der Abweicher einen festgelegten unteren Grenzwert in der Unterprobe nicht übersteigt.</w:t>
      </w:r>
    </w:p>
    <w:p w:rsidR="003D113B" w:rsidRPr="005E1757" w:rsidRDefault="003D113B" w:rsidP="003D113B"/>
    <w:p w:rsidR="003D113B" w:rsidRPr="005E1757" w:rsidRDefault="003D113B" w:rsidP="003D113B">
      <w:r w:rsidRPr="005E1757">
        <w:t>4.7.1.2</w:t>
      </w:r>
      <w:r w:rsidRPr="005E1757">
        <w:tab/>
        <w:t xml:space="preserve">Eine Sorte wird als nicht homogen </w:t>
      </w:r>
      <w:r w:rsidRPr="005E1757">
        <w:rPr>
          <w:rFonts w:eastAsia="SimSun"/>
          <w:lang w:eastAsia="zh-CN"/>
        </w:rPr>
        <w:t>angesehen</w:t>
      </w:r>
      <w:r w:rsidRPr="005E1757">
        <w:t>, wenn die Anzahl der Abweicher einen festgelegten oberen Grenzwert in der Unterprobe übersteigt.</w:t>
      </w:r>
    </w:p>
    <w:p w:rsidR="003D113B" w:rsidRPr="005E1757" w:rsidRDefault="003D113B" w:rsidP="003D113B"/>
    <w:p w:rsidR="003D113B" w:rsidRPr="005E1757" w:rsidRDefault="003D113B" w:rsidP="003D113B">
      <w:r w:rsidRPr="005E1757">
        <w:t>4.7.1.3</w:t>
      </w:r>
      <w:r w:rsidRPr="005E1757">
        <w:tab/>
        <w:t>Ist die Anzahl an Abweichern zwischen den festgelegten unteren und oberen Grenzwerten, wird die gesamte Stichprobe untersucht. Die unteren und oberen Grenzwerte müssen unter Berücksichtigung vergleichbarer Fehler vom Typ I und Typ II in der Unterprobe und der Gesamtstichprobe gewählt werden.</w:t>
      </w:r>
    </w:p>
    <w:p w:rsidR="003D113B" w:rsidRPr="005E1757" w:rsidRDefault="003D113B" w:rsidP="003D113B">
      <w:pPr>
        <w:rPr>
          <w:szCs w:val="24"/>
        </w:rPr>
      </w:pPr>
    </w:p>
    <w:p w:rsidR="001E7888" w:rsidRPr="005E1757" w:rsidRDefault="001E7888">
      <w:pPr>
        <w:jc w:val="left"/>
        <w:rPr>
          <w:i/>
          <w:szCs w:val="24"/>
        </w:rPr>
      </w:pPr>
      <w:r w:rsidRPr="005E1757">
        <w:rPr>
          <w:i/>
          <w:szCs w:val="24"/>
        </w:rPr>
        <w:br w:type="page"/>
      </w:r>
    </w:p>
    <w:p w:rsidR="003D113B" w:rsidRPr="005E1757" w:rsidRDefault="003D113B" w:rsidP="003D113B">
      <w:pPr>
        <w:ind w:left="284"/>
        <w:rPr>
          <w:i/>
          <w:szCs w:val="24"/>
        </w:rPr>
      </w:pPr>
      <w:r w:rsidRPr="005E1757">
        <w:rPr>
          <w:i/>
          <w:szCs w:val="24"/>
        </w:rPr>
        <w:lastRenderedPageBreak/>
        <w:t>Beispiel:</w:t>
      </w:r>
    </w:p>
    <w:p w:rsidR="003D113B" w:rsidRPr="005E1757" w:rsidRDefault="003D113B" w:rsidP="003D113B">
      <w:pPr>
        <w:ind w:left="284"/>
        <w:rPr>
          <w:szCs w:val="24"/>
        </w:rPr>
      </w:pPr>
    </w:p>
    <w:p w:rsidR="003D113B" w:rsidRPr="005E1757" w:rsidRDefault="003D113B" w:rsidP="003D113B">
      <w:pPr>
        <w:autoSpaceDE w:val="0"/>
        <w:autoSpaceDN w:val="0"/>
        <w:adjustRightInd w:val="0"/>
        <w:ind w:left="284" w:right="283"/>
        <w:rPr>
          <w:color w:val="000000"/>
          <w:szCs w:val="24"/>
        </w:rPr>
      </w:pPr>
      <w:r w:rsidRPr="005E1757">
        <w:rPr>
          <w:color w:val="000000"/>
          <w:szCs w:val="24"/>
        </w:rPr>
        <w:t>In einer Probengröße von 100 Pflanzen beträgt die akzeptierte Anzahl an Abweichern 3 (ausgehend von einem Populationsstandard von 1% und einer Akzeptanzwahrscheinlichkeit von mindestens 95%).</w:t>
      </w:r>
    </w:p>
    <w:p w:rsidR="003D113B" w:rsidRPr="005E1757" w:rsidRDefault="003D113B" w:rsidP="003D113B">
      <w:pPr>
        <w:autoSpaceDE w:val="0"/>
        <w:autoSpaceDN w:val="0"/>
        <w:adjustRightInd w:val="0"/>
        <w:ind w:left="284" w:right="283"/>
        <w:rPr>
          <w:color w:val="000000"/>
          <w:szCs w:val="24"/>
        </w:rPr>
      </w:pPr>
    </w:p>
    <w:p w:rsidR="003D113B" w:rsidRPr="005E1757" w:rsidRDefault="003D113B" w:rsidP="003D113B">
      <w:pPr>
        <w:autoSpaceDE w:val="0"/>
        <w:autoSpaceDN w:val="0"/>
        <w:adjustRightInd w:val="0"/>
        <w:ind w:left="284" w:right="283"/>
        <w:rPr>
          <w:color w:val="000000"/>
          <w:szCs w:val="24"/>
        </w:rPr>
      </w:pPr>
      <w:r w:rsidRPr="005E1757">
        <w:rPr>
          <w:color w:val="000000"/>
          <w:szCs w:val="24"/>
        </w:rPr>
        <w:t>In einer Unterprobe von 20 Pflanzen, die in Zusammenhang mit der oben genannten Probengröße von 100 Pflanzen verwendet wird, gilt folgendes:</w:t>
      </w:r>
    </w:p>
    <w:p w:rsidR="003D113B" w:rsidRPr="005E1757" w:rsidRDefault="003D113B" w:rsidP="003D113B">
      <w:pPr>
        <w:autoSpaceDE w:val="0"/>
        <w:autoSpaceDN w:val="0"/>
        <w:adjustRightInd w:val="0"/>
        <w:ind w:left="284" w:right="283"/>
        <w:rPr>
          <w:color w:val="000000"/>
          <w:szCs w:val="24"/>
        </w:rPr>
      </w:pPr>
    </w:p>
    <w:p w:rsidR="003D113B" w:rsidRPr="005E1757" w:rsidRDefault="003D113B" w:rsidP="003D113B">
      <w:pPr>
        <w:numPr>
          <w:ilvl w:val="0"/>
          <w:numId w:val="20"/>
        </w:numPr>
        <w:ind w:left="993" w:right="283"/>
        <w:contextualSpacing/>
      </w:pPr>
      <w:r w:rsidRPr="005E1757">
        <w:t xml:space="preserve">Eine Sorte wird als homogen </w:t>
      </w:r>
      <w:r w:rsidRPr="005E1757">
        <w:rPr>
          <w:rFonts w:eastAsia="SimSun"/>
          <w:lang w:eastAsia="zh-CN"/>
        </w:rPr>
        <w:t>angesehen</w:t>
      </w:r>
      <w:r w:rsidRPr="005E1757">
        <w:t>, wenn die Unterprobe keine Abweicher aufweist.</w:t>
      </w:r>
    </w:p>
    <w:p w:rsidR="003D113B" w:rsidRPr="005E1757" w:rsidRDefault="003D113B" w:rsidP="003D113B">
      <w:pPr>
        <w:ind w:left="993" w:right="283"/>
      </w:pPr>
    </w:p>
    <w:p w:rsidR="003D113B" w:rsidRPr="005E1757" w:rsidRDefault="003D113B" w:rsidP="003D113B">
      <w:pPr>
        <w:numPr>
          <w:ilvl w:val="0"/>
          <w:numId w:val="20"/>
        </w:numPr>
        <w:ind w:left="993" w:right="283"/>
        <w:contextualSpacing/>
      </w:pPr>
      <w:r w:rsidRPr="005E1757">
        <w:t xml:space="preserve">Eine Sorte wird als nicht homogen </w:t>
      </w:r>
      <w:r w:rsidRPr="005E1757">
        <w:rPr>
          <w:rFonts w:eastAsia="SimSun"/>
          <w:lang w:eastAsia="zh-CN"/>
        </w:rPr>
        <w:t>angesehen</w:t>
      </w:r>
      <w:r w:rsidRPr="005E1757">
        <w:t>, wenn die Unterprobe mehr als 3 Abweicher aufweist.</w:t>
      </w:r>
    </w:p>
    <w:p w:rsidR="003D113B" w:rsidRPr="005E1757" w:rsidRDefault="003D113B" w:rsidP="003D113B">
      <w:pPr>
        <w:ind w:left="993" w:right="283"/>
      </w:pPr>
    </w:p>
    <w:p w:rsidR="003D113B" w:rsidRPr="005E1757" w:rsidRDefault="003D113B" w:rsidP="003D113B">
      <w:pPr>
        <w:numPr>
          <w:ilvl w:val="0"/>
          <w:numId w:val="20"/>
        </w:numPr>
        <w:ind w:left="993" w:right="283"/>
        <w:contextualSpacing/>
      </w:pPr>
      <w:r w:rsidRPr="005E1757">
        <w:t>Ist die Anzahl der Abweicher 1 bis 3, so wird die gesamte Probe von 100 Pflanzen geprüft.</w:t>
      </w:r>
    </w:p>
    <w:p w:rsidR="003D113B" w:rsidRPr="005E1757" w:rsidRDefault="003D113B" w:rsidP="003D113B">
      <w:pPr>
        <w:ind w:left="993" w:right="283"/>
      </w:pPr>
    </w:p>
    <w:p w:rsidR="003D113B" w:rsidRPr="005E1757" w:rsidRDefault="003D113B" w:rsidP="003D113B">
      <w:pPr>
        <w:numPr>
          <w:ilvl w:val="0"/>
          <w:numId w:val="20"/>
        </w:numPr>
        <w:ind w:left="993" w:right="283"/>
        <w:contextualSpacing/>
      </w:pPr>
      <w:r w:rsidRPr="005E1757">
        <w:rPr>
          <w:rFonts w:cs="Arial"/>
        </w:rPr>
        <w:t xml:space="preserve">Die Sorte wird als nicht homogen </w:t>
      </w:r>
      <w:r w:rsidRPr="005E1757">
        <w:rPr>
          <w:rFonts w:eastAsia="SimSun"/>
          <w:lang w:eastAsia="zh-CN"/>
        </w:rPr>
        <w:t>angesehen</w:t>
      </w:r>
      <w:r w:rsidRPr="005E1757">
        <w:rPr>
          <w:rFonts w:cs="Arial"/>
        </w:rPr>
        <w:t>, wenn die Anzahl der Abweicher in der Probe mit 100 Pflanzen größer als 3 ist.</w:t>
      </w:r>
    </w:p>
    <w:p w:rsidR="003D113B" w:rsidRPr="005E1757" w:rsidRDefault="003D113B" w:rsidP="003D113B">
      <w:pPr>
        <w:rPr>
          <w:rFonts w:cs="Arial"/>
        </w:rPr>
      </w:pPr>
    </w:p>
    <w:p w:rsidR="000E2B2C" w:rsidRPr="005E1757" w:rsidRDefault="000E2B2C" w:rsidP="000E2B2C">
      <w:pPr>
        <w:pStyle w:val="Heading2"/>
        <w:spacing w:after="0"/>
        <w:rPr>
          <w:rFonts w:cs="Arial"/>
          <w:lang w:val="de-DE"/>
        </w:rPr>
      </w:pPr>
      <w:bookmarkStart w:id="235" w:name="_Toc15561060"/>
      <w:r w:rsidRPr="005E1757">
        <w:rPr>
          <w:rFonts w:cs="Arial"/>
          <w:lang w:val="de-DE"/>
        </w:rPr>
        <w:t>4.</w:t>
      </w:r>
      <w:r w:rsidR="003D113B" w:rsidRPr="005E1757">
        <w:rPr>
          <w:rFonts w:cs="Arial"/>
          <w:lang w:val="de-DE"/>
        </w:rPr>
        <w:t>8</w:t>
      </w:r>
      <w:r w:rsidRPr="005E1757">
        <w:rPr>
          <w:rFonts w:cs="Arial"/>
          <w:lang w:val="de-DE"/>
        </w:rPr>
        <w:tab/>
        <w:t>Pflanzen, die nicht als Abweicher angesehen werden</w:t>
      </w:r>
      <w:bookmarkEnd w:id="219"/>
      <w:bookmarkEnd w:id="220"/>
      <w:bookmarkEnd w:id="221"/>
      <w:bookmarkEnd w:id="223"/>
      <w:bookmarkEnd w:id="235"/>
    </w:p>
    <w:p w:rsidR="000E2B2C" w:rsidRPr="005E1757" w:rsidRDefault="000E2B2C" w:rsidP="000E2B2C">
      <w:pPr>
        <w:pStyle w:val="Heading3"/>
        <w:spacing w:after="0"/>
        <w:rPr>
          <w:rFonts w:cs="Arial"/>
          <w:u w:val="none"/>
          <w:lang w:val="de-DE"/>
        </w:rPr>
      </w:pPr>
      <w:bookmarkStart w:id="236" w:name="_Toc159754480"/>
      <w:bookmarkStart w:id="237" w:name="_Toc159810497"/>
      <w:bookmarkStart w:id="238" w:name="_Toc161028384"/>
      <w:bookmarkStart w:id="239" w:name="_Toc189539608"/>
    </w:p>
    <w:p w:rsidR="000E2B2C" w:rsidRPr="005E1757" w:rsidRDefault="000E2B2C" w:rsidP="000E2B2C">
      <w:pPr>
        <w:pStyle w:val="Heading3"/>
        <w:spacing w:after="0"/>
        <w:rPr>
          <w:rFonts w:cs="Arial"/>
          <w:lang w:val="de-DE"/>
        </w:rPr>
      </w:pPr>
      <w:bookmarkStart w:id="240" w:name="_Toc15561061"/>
      <w:r w:rsidRPr="005E1757">
        <w:rPr>
          <w:rFonts w:cs="Arial"/>
          <w:u w:val="none"/>
          <w:lang w:val="de-DE"/>
        </w:rPr>
        <w:t>4.</w:t>
      </w:r>
      <w:r w:rsidR="003D113B" w:rsidRPr="005E1757">
        <w:rPr>
          <w:rFonts w:cs="Arial"/>
          <w:u w:val="none"/>
          <w:lang w:val="de-DE"/>
        </w:rPr>
        <w:t>8</w:t>
      </w:r>
      <w:r w:rsidRPr="005E1757">
        <w:rPr>
          <w:rFonts w:cs="Arial"/>
          <w:u w:val="none"/>
          <w:lang w:val="de-DE"/>
        </w:rPr>
        <w:t>.1</w:t>
      </w:r>
      <w:r w:rsidRPr="005E1757">
        <w:rPr>
          <w:rFonts w:cs="Arial"/>
          <w:u w:val="none"/>
          <w:lang w:val="de-DE"/>
        </w:rPr>
        <w:tab/>
      </w:r>
      <w:r w:rsidRPr="005E1757">
        <w:rPr>
          <w:rFonts w:cs="Arial"/>
          <w:lang w:val="de-DE"/>
        </w:rPr>
        <w:t>Atypische Pflanzen, die nicht als Abweicher angesehen werden</w:t>
      </w:r>
      <w:bookmarkEnd w:id="236"/>
      <w:bookmarkEnd w:id="237"/>
      <w:bookmarkEnd w:id="238"/>
      <w:bookmarkEnd w:id="239"/>
      <w:bookmarkEnd w:id="240"/>
    </w:p>
    <w:p w:rsidR="000E2B2C" w:rsidRPr="005E1757" w:rsidRDefault="000E2B2C" w:rsidP="000E2B2C">
      <w:pPr>
        <w:rPr>
          <w:rFonts w:cs="Arial"/>
        </w:rPr>
      </w:pPr>
    </w:p>
    <w:p w:rsidR="000E2B2C" w:rsidRPr="005E1757" w:rsidRDefault="003D113B" w:rsidP="000E2B2C">
      <w:pPr>
        <w:rPr>
          <w:rFonts w:cs="Arial"/>
        </w:rPr>
      </w:pPr>
      <w:r w:rsidRPr="005E1757">
        <w:rPr>
          <w:rFonts w:cs="Arial"/>
        </w:rPr>
        <w:t>4.8</w:t>
      </w:r>
      <w:r w:rsidR="000E2B2C" w:rsidRPr="005E1757">
        <w:rPr>
          <w:rFonts w:cs="Arial"/>
        </w:rPr>
        <w:t>.1.1</w:t>
      </w:r>
      <w:r w:rsidR="000E2B2C" w:rsidRPr="005E1757">
        <w:rPr>
          <w:rFonts w:cs="Arial"/>
        </w:rPr>
        <w:tab/>
        <w:t>Es ist wichtig, zwischen den genetischen Ursachen einer atypischen Ausprägung bei Pflanzen oder Teilen von Pflanzen, wie Mutation und Fremdbefruchtung, und äußeren Faktoren wie Umwelt, Krankheit und Anbaupraxis zu unterscheiden. Ist die atypische Ausprägung einer Pflanze oder eines Teils einer Pflanze nicht genetisch bedingt, sollte die Pflanze nicht als Abweicher angesehen werden. Beispiele für äußere Faktoren, die eine atypische Ausprägung bewirken können, sind u. a.:</w:t>
      </w:r>
    </w:p>
    <w:p w:rsidR="000E2B2C" w:rsidRPr="005E1757" w:rsidRDefault="000E2B2C" w:rsidP="000E2B2C">
      <w:pPr>
        <w:autoSpaceDE w:val="0"/>
        <w:autoSpaceDN w:val="0"/>
        <w:adjustRightInd w:val="0"/>
        <w:rPr>
          <w:rFonts w:cs="Arial"/>
        </w:rPr>
      </w:pPr>
    </w:p>
    <w:p w:rsidR="000E2B2C" w:rsidRPr="005E1757" w:rsidRDefault="000E2B2C" w:rsidP="000E2B2C">
      <w:pPr>
        <w:keepNext/>
        <w:tabs>
          <w:tab w:val="left" w:pos="1418"/>
        </w:tabs>
        <w:autoSpaceDE w:val="0"/>
        <w:autoSpaceDN w:val="0"/>
        <w:adjustRightInd w:val="0"/>
        <w:ind w:left="1418" w:hanging="567"/>
        <w:rPr>
          <w:rFonts w:cs="Arial"/>
        </w:rPr>
      </w:pPr>
      <w:r w:rsidRPr="005E1757">
        <w:rPr>
          <w:rFonts w:cs="Arial"/>
        </w:rPr>
        <w:t>a)</w:t>
      </w:r>
      <w:r w:rsidRPr="005E1757">
        <w:rPr>
          <w:rFonts w:cs="Arial"/>
        </w:rPr>
        <w:tab/>
        <w:t>Lageeffekte:</w:t>
      </w:r>
    </w:p>
    <w:p w:rsidR="000E2B2C" w:rsidRPr="005E1757" w:rsidRDefault="000E2B2C" w:rsidP="000E2B2C">
      <w:pPr>
        <w:tabs>
          <w:tab w:val="left" w:pos="1843"/>
        </w:tabs>
        <w:autoSpaceDE w:val="0"/>
        <w:autoSpaceDN w:val="0"/>
        <w:adjustRightInd w:val="0"/>
        <w:ind w:left="1843" w:hanging="425"/>
        <w:rPr>
          <w:rFonts w:cs="Arial"/>
        </w:rPr>
      </w:pPr>
      <w:r w:rsidRPr="005E1757">
        <w:rPr>
          <w:rFonts w:cs="Arial"/>
        </w:rPr>
        <w:t>–</w:t>
      </w:r>
      <w:r w:rsidRPr="005E1757">
        <w:rPr>
          <w:rFonts w:cs="Arial"/>
        </w:rPr>
        <w:tab/>
        <w:t>Belichtungs- oder Temperaturunterschiede (z. B. durch verschiedene Positionen in der Parzelle) können andere Farben, andere Anthocyanintensitäten oder andere Panaschierungen hervorrufen;</w:t>
      </w:r>
    </w:p>
    <w:p w:rsidR="000E2B2C" w:rsidRPr="005E1757" w:rsidRDefault="000E2B2C" w:rsidP="000E2B2C">
      <w:pPr>
        <w:tabs>
          <w:tab w:val="left" w:pos="1843"/>
        </w:tabs>
        <w:autoSpaceDE w:val="0"/>
        <w:autoSpaceDN w:val="0"/>
        <w:adjustRightInd w:val="0"/>
        <w:ind w:left="1843" w:hanging="425"/>
        <w:rPr>
          <w:rFonts w:cs="Arial"/>
        </w:rPr>
      </w:pPr>
      <w:r w:rsidRPr="005E1757">
        <w:rPr>
          <w:rFonts w:cs="Arial"/>
        </w:rPr>
        <w:t>–</w:t>
      </w:r>
      <w:r w:rsidRPr="005E1757">
        <w:rPr>
          <w:rFonts w:cs="Arial"/>
        </w:rPr>
        <w:tab/>
        <w:t>Unterschiede hinsichtlich Nährstoffversorgung, pH-Wert oder Feuchtigkeit in der Parzelle oder, bei Topfkultur, zwischen den Töpfen;</w:t>
      </w:r>
    </w:p>
    <w:p w:rsidR="000E2B2C" w:rsidRPr="005E1757" w:rsidRDefault="000E2B2C" w:rsidP="000E2B2C">
      <w:pPr>
        <w:tabs>
          <w:tab w:val="left" w:pos="1418"/>
        </w:tabs>
        <w:autoSpaceDE w:val="0"/>
        <w:autoSpaceDN w:val="0"/>
        <w:adjustRightInd w:val="0"/>
        <w:ind w:left="1418" w:hanging="567"/>
        <w:rPr>
          <w:rFonts w:cs="Arial"/>
        </w:rPr>
      </w:pPr>
      <w:r w:rsidRPr="005E1757">
        <w:rPr>
          <w:rFonts w:cs="Arial"/>
        </w:rPr>
        <w:t>b)</w:t>
      </w:r>
      <w:r w:rsidRPr="005E1757">
        <w:rPr>
          <w:rFonts w:cs="Arial"/>
        </w:rPr>
        <w:tab/>
        <w:t>Krankheitsbefall;</w:t>
      </w:r>
    </w:p>
    <w:p w:rsidR="000E2B2C" w:rsidRPr="005E1757" w:rsidRDefault="000E2B2C" w:rsidP="000E2B2C">
      <w:pPr>
        <w:tabs>
          <w:tab w:val="left" w:pos="1418"/>
        </w:tabs>
        <w:autoSpaceDE w:val="0"/>
        <w:autoSpaceDN w:val="0"/>
        <w:adjustRightInd w:val="0"/>
        <w:ind w:left="1418" w:hanging="567"/>
        <w:rPr>
          <w:rFonts w:cs="Arial"/>
        </w:rPr>
      </w:pPr>
      <w:r w:rsidRPr="005E1757">
        <w:rPr>
          <w:rFonts w:cs="Arial"/>
        </w:rPr>
        <w:t>c)</w:t>
      </w:r>
      <w:r w:rsidRPr="005E1757">
        <w:rPr>
          <w:rFonts w:cs="Arial"/>
        </w:rPr>
        <w:tab/>
        <w:t>Befall mit Schadorganismen;</w:t>
      </w:r>
    </w:p>
    <w:p w:rsidR="000E2B2C" w:rsidRPr="005E1757" w:rsidRDefault="000E2B2C" w:rsidP="000E2B2C">
      <w:pPr>
        <w:tabs>
          <w:tab w:val="left" w:pos="1418"/>
        </w:tabs>
        <w:autoSpaceDE w:val="0"/>
        <w:autoSpaceDN w:val="0"/>
        <w:adjustRightInd w:val="0"/>
        <w:ind w:left="1418" w:hanging="567"/>
        <w:rPr>
          <w:rFonts w:cs="Arial"/>
        </w:rPr>
      </w:pPr>
      <w:r w:rsidRPr="005E1757">
        <w:rPr>
          <w:rFonts w:cs="Arial"/>
        </w:rPr>
        <w:t>d)</w:t>
      </w:r>
      <w:r w:rsidRPr="005E1757">
        <w:rPr>
          <w:rFonts w:cs="Arial"/>
        </w:rPr>
        <w:tab/>
        <w:t>physischer Schaden (z. B. infolge der Umweltbedingungen (Sonne, Wind, Niederschlag, Frost), chemische Behandlung (z.B. Herbizidverätzung) usw.;</w:t>
      </w:r>
    </w:p>
    <w:p w:rsidR="000E2B2C" w:rsidRPr="005E1757" w:rsidRDefault="000E2B2C" w:rsidP="000E2B2C">
      <w:pPr>
        <w:tabs>
          <w:tab w:val="left" w:pos="1418"/>
        </w:tabs>
        <w:autoSpaceDE w:val="0"/>
        <w:autoSpaceDN w:val="0"/>
        <w:adjustRightInd w:val="0"/>
        <w:ind w:left="1418" w:hanging="567"/>
        <w:rPr>
          <w:rFonts w:cs="Arial"/>
          <w:snapToGrid w:val="0"/>
        </w:rPr>
      </w:pPr>
      <w:r w:rsidRPr="005E1757">
        <w:rPr>
          <w:rFonts w:cs="Arial"/>
          <w:lang w:val="de-CH"/>
        </w:rPr>
        <w:t>e)</w:t>
      </w:r>
      <w:r w:rsidRPr="005E1757">
        <w:rPr>
          <w:rFonts w:cs="Arial"/>
          <w:lang w:val="de-CH"/>
        </w:rPr>
        <w:tab/>
      </w:r>
      <w:r w:rsidRPr="005E1757">
        <w:rPr>
          <w:rFonts w:cs="Arial"/>
        </w:rPr>
        <w:t xml:space="preserve">fehlende Befruchtung (z. B. kann mangelhafte und ungleiche Befruchtung bei Erdbeere zu </w:t>
      </w:r>
      <w:r w:rsidR="009912DD" w:rsidRPr="005E1757">
        <w:rPr>
          <w:rFonts w:cs="Arial"/>
        </w:rPr>
        <w:t>missgebildeter</w:t>
      </w:r>
      <w:r w:rsidRPr="005E1757">
        <w:rPr>
          <w:rFonts w:cs="Arial"/>
        </w:rPr>
        <w:t xml:space="preserve"> Frucht führen);</w:t>
      </w:r>
    </w:p>
    <w:p w:rsidR="000E2B2C" w:rsidRPr="005E1757" w:rsidRDefault="000E2B2C" w:rsidP="000E2B2C">
      <w:pPr>
        <w:keepNext/>
        <w:tabs>
          <w:tab w:val="left" w:pos="1418"/>
        </w:tabs>
        <w:autoSpaceDE w:val="0"/>
        <w:autoSpaceDN w:val="0"/>
        <w:adjustRightInd w:val="0"/>
        <w:ind w:left="1418" w:hanging="567"/>
        <w:rPr>
          <w:rFonts w:cs="Arial"/>
        </w:rPr>
      </w:pPr>
      <w:r w:rsidRPr="005E1757">
        <w:rPr>
          <w:rFonts w:cs="Arial"/>
        </w:rPr>
        <w:t>f)</w:t>
      </w:r>
      <w:r w:rsidRPr="005E1757">
        <w:rPr>
          <w:rFonts w:cs="Arial"/>
        </w:rPr>
        <w:tab/>
        <w:t xml:space="preserve">Pfropfunverträglichkeit (z. B. kann Pfropfunverträglichkeit bei </w:t>
      </w:r>
      <w:proofErr w:type="spellStart"/>
      <w:r w:rsidRPr="005E1757">
        <w:rPr>
          <w:rFonts w:cs="Arial"/>
          <w:i/>
        </w:rPr>
        <w:t>Gymnocalycium</w:t>
      </w:r>
      <w:proofErr w:type="spellEnd"/>
      <w:r w:rsidRPr="005E1757">
        <w:rPr>
          <w:rFonts w:cs="Arial"/>
          <w:i/>
        </w:rPr>
        <w:t> </w:t>
      </w:r>
      <w:proofErr w:type="spellStart"/>
      <w:r w:rsidRPr="005E1757">
        <w:rPr>
          <w:rFonts w:cs="Arial"/>
          <w:i/>
        </w:rPr>
        <w:t>mihanovichii</w:t>
      </w:r>
      <w:proofErr w:type="spellEnd"/>
      <w:r w:rsidRPr="005E1757">
        <w:rPr>
          <w:rFonts w:cs="Arial"/>
          <w:i/>
        </w:rPr>
        <w:t xml:space="preserve"> </w:t>
      </w:r>
      <w:r w:rsidRPr="005E1757">
        <w:rPr>
          <w:rFonts w:cs="Arial"/>
        </w:rPr>
        <w:t>(Chin Cactus) die Farbe des Pfropfreises verändern) und</w:t>
      </w:r>
    </w:p>
    <w:p w:rsidR="000E2B2C" w:rsidRPr="005E1757" w:rsidRDefault="000E2B2C" w:rsidP="000E2B2C">
      <w:pPr>
        <w:keepNext/>
        <w:tabs>
          <w:tab w:val="left" w:pos="1418"/>
        </w:tabs>
        <w:autoSpaceDE w:val="0"/>
        <w:autoSpaceDN w:val="0"/>
        <w:adjustRightInd w:val="0"/>
        <w:ind w:left="1418" w:hanging="567"/>
        <w:rPr>
          <w:rFonts w:cs="Arial"/>
          <w:snapToGrid w:val="0"/>
        </w:rPr>
      </w:pPr>
      <w:r w:rsidRPr="005E1757">
        <w:rPr>
          <w:rFonts w:cs="Arial"/>
        </w:rPr>
        <w:t>g)</w:t>
      </w:r>
      <w:r w:rsidRPr="005E1757">
        <w:rPr>
          <w:rFonts w:cs="Arial"/>
        </w:rPr>
        <w:tab/>
        <w:t>Vermehrungseffekte.</w:t>
      </w:r>
    </w:p>
    <w:p w:rsidR="000E2B2C" w:rsidRPr="005E1757" w:rsidRDefault="000E2B2C" w:rsidP="000E2B2C">
      <w:pPr>
        <w:autoSpaceDE w:val="0"/>
        <w:autoSpaceDN w:val="0"/>
        <w:adjustRightInd w:val="0"/>
        <w:rPr>
          <w:rFonts w:cs="Arial"/>
        </w:rPr>
      </w:pPr>
    </w:p>
    <w:p w:rsidR="000E2B2C" w:rsidRPr="005E1757" w:rsidRDefault="003D113B" w:rsidP="000E2B2C">
      <w:pPr>
        <w:autoSpaceDE w:val="0"/>
        <w:autoSpaceDN w:val="0"/>
        <w:adjustRightInd w:val="0"/>
        <w:rPr>
          <w:rFonts w:cs="Arial"/>
        </w:rPr>
      </w:pPr>
      <w:r w:rsidRPr="005E1757">
        <w:rPr>
          <w:rFonts w:cs="Arial"/>
        </w:rPr>
        <w:t>4.8</w:t>
      </w:r>
      <w:r w:rsidR="000E2B2C" w:rsidRPr="005E1757">
        <w:rPr>
          <w:rFonts w:cs="Arial"/>
        </w:rPr>
        <w:t>.1.2</w:t>
      </w:r>
      <w:r w:rsidR="000E2B2C" w:rsidRPr="005E1757">
        <w:rPr>
          <w:rFonts w:cs="Arial"/>
        </w:rPr>
        <w:tab/>
        <w:t xml:space="preserve">Die Allgemeine Einführung, Kapitel 6.5, erläutert: „Das Prüfungsmaterial kann Pflanzen enthalten, die stark atypisch sind oder mit denen der Sorte nicht verwandt sind. Diese werden nicht zwangsläufig als Abweicher oder Teil der Sorte behandelt und können ignoriert werden, und die Prüfung kann fortgesetzt werden, solange die Entfernung dieser stark atypischen oder nicht verwandten Pflanzen nicht zu einer zu geringen Zahl der für die Prüfung geeigneten Pflanzen führt oder die Prüfung undurchführbar macht. Durch die Wahl der Formulierung ‚kann ignoriert werden‛ stellt die UPOV klar, </w:t>
      </w:r>
      <w:r w:rsidR="009912DD" w:rsidRPr="005E1757">
        <w:rPr>
          <w:rFonts w:cs="Arial"/>
        </w:rPr>
        <w:t>dass</w:t>
      </w:r>
      <w:r w:rsidR="000E2B2C" w:rsidRPr="005E1757">
        <w:rPr>
          <w:rFonts w:cs="Arial"/>
        </w:rPr>
        <w:t xml:space="preserve"> dies vom Urteil des Pflanzensachverständigen abhängen wird. In der Praxis könnte bei Prüfungen, die an einer geringen Zahl von Pflanzen durchgeführt werden, eine einzige Pflanze die Prüfung stören und sollte daher nicht ignoriert werden.“ Eine Pflanze, die nicht der Art der Kandidatensorte angehört, kann beispielsweise so angesehen werden, </w:t>
      </w:r>
      <w:r w:rsidR="009912DD" w:rsidRPr="005E1757">
        <w:rPr>
          <w:rFonts w:cs="Arial"/>
        </w:rPr>
        <w:t>dass</w:t>
      </w:r>
      <w:r w:rsidR="000E2B2C" w:rsidRPr="005E1757">
        <w:rPr>
          <w:rFonts w:cs="Arial"/>
        </w:rPr>
        <w:t xml:space="preserve"> sie kein Abweicher ist, und könnte ignoriert werden. Gehören die atypischen Pflanzen derselben Art wie die Kandidatensorte an, ist es schwieriger zu entscheiden, ob die Pflanzen stark atypisch oder nicht verwandt sind.</w:t>
      </w:r>
    </w:p>
    <w:p w:rsidR="000E2B2C" w:rsidRPr="005E1757" w:rsidRDefault="000E2B2C" w:rsidP="000E2B2C">
      <w:pPr>
        <w:autoSpaceDE w:val="0"/>
        <w:autoSpaceDN w:val="0"/>
        <w:adjustRightInd w:val="0"/>
        <w:rPr>
          <w:rFonts w:cs="Arial"/>
        </w:rPr>
      </w:pPr>
    </w:p>
    <w:p w:rsidR="000E2B2C" w:rsidRPr="005E1757" w:rsidRDefault="003D113B" w:rsidP="000E2B2C">
      <w:pPr>
        <w:pStyle w:val="Heading3"/>
        <w:rPr>
          <w:rFonts w:cs="Arial"/>
          <w:lang w:val="de-DE"/>
        </w:rPr>
      </w:pPr>
      <w:bookmarkStart w:id="241" w:name="_Toc159754481"/>
      <w:bookmarkStart w:id="242" w:name="_Toc159810498"/>
      <w:bookmarkStart w:id="243" w:name="_Toc161028385"/>
      <w:bookmarkStart w:id="244" w:name="_Toc189539609"/>
      <w:bookmarkStart w:id="245" w:name="_Toc15561062"/>
      <w:r w:rsidRPr="005E1757">
        <w:rPr>
          <w:rFonts w:cs="Arial"/>
          <w:u w:val="none"/>
          <w:lang w:val="de-DE"/>
        </w:rPr>
        <w:t>4.8</w:t>
      </w:r>
      <w:r w:rsidR="000E2B2C" w:rsidRPr="005E1757">
        <w:rPr>
          <w:rFonts w:cs="Arial"/>
          <w:u w:val="none"/>
          <w:lang w:val="de-DE"/>
        </w:rPr>
        <w:t>.2</w:t>
      </w:r>
      <w:r w:rsidR="000E2B2C" w:rsidRPr="005E1757">
        <w:rPr>
          <w:rFonts w:cs="Arial"/>
          <w:u w:val="none"/>
          <w:lang w:val="de-DE"/>
        </w:rPr>
        <w:tab/>
      </w:r>
      <w:r w:rsidR="000E2B2C" w:rsidRPr="005E1757">
        <w:rPr>
          <w:rFonts w:cs="Arial"/>
          <w:lang w:val="de-DE"/>
        </w:rPr>
        <w:t>Variation innerhalb einer Pflanze, die keine Abweicherpflanze angibt</w:t>
      </w:r>
      <w:bookmarkEnd w:id="241"/>
      <w:bookmarkEnd w:id="242"/>
      <w:bookmarkEnd w:id="243"/>
      <w:bookmarkEnd w:id="244"/>
      <w:bookmarkEnd w:id="245"/>
    </w:p>
    <w:p w:rsidR="000E2B2C" w:rsidRPr="005E1757" w:rsidRDefault="003D113B" w:rsidP="000E2B2C">
      <w:pPr>
        <w:autoSpaceDE w:val="0"/>
        <w:autoSpaceDN w:val="0"/>
        <w:adjustRightInd w:val="0"/>
        <w:rPr>
          <w:rFonts w:cs="Arial"/>
        </w:rPr>
      </w:pPr>
      <w:r w:rsidRPr="005E1757">
        <w:rPr>
          <w:rFonts w:cs="Arial"/>
          <w:color w:val="000000"/>
        </w:rPr>
        <w:t>4.8</w:t>
      </w:r>
      <w:r w:rsidR="000E2B2C" w:rsidRPr="005E1757">
        <w:rPr>
          <w:rFonts w:cs="Arial"/>
          <w:color w:val="000000"/>
        </w:rPr>
        <w:t>.2.1</w:t>
      </w:r>
      <w:r w:rsidR="000E2B2C" w:rsidRPr="005E1757">
        <w:rPr>
          <w:rFonts w:cs="Arial"/>
          <w:color w:val="000000"/>
        </w:rPr>
        <w:tab/>
      </w:r>
      <w:r w:rsidR="000E2B2C" w:rsidRPr="005E1757">
        <w:rPr>
          <w:rFonts w:cs="Arial"/>
        </w:rPr>
        <w:t xml:space="preserve">Es ist wichtig zu verstehen, </w:t>
      </w:r>
      <w:r w:rsidR="009912DD" w:rsidRPr="005E1757">
        <w:rPr>
          <w:rFonts w:cs="Arial"/>
        </w:rPr>
        <w:t>dass</w:t>
      </w:r>
      <w:r w:rsidR="000E2B2C" w:rsidRPr="005E1757">
        <w:rPr>
          <w:rFonts w:cs="Arial"/>
        </w:rPr>
        <w:t xml:space="preserve"> die Variation innerhalb einer Pflanze möglicherweise kein Zeichen für einen Mangel an Homogenität ist, insbesondere wenn die Variation innerhalb der Pflanze zwischen den Pflanzen einheitlich ist. Die V</w:t>
      </w:r>
      <w:r w:rsidR="000E2B2C" w:rsidRPr="005E1757">
        <w:rPr>
          <w:rFonts w:cs="Arial"/>
          <w:snapToGrid w:val="0"/>
        </w:rPr>
        <w:t xml:space="preserve">ariation innerhalb einer Pflanze kann durch einen äußeren </w:t>
      </w:r>
      <w:r w:rsidR="009912DD" w:rsidRPr="005E1757">
        <w:rPr>
          <w:rFonts w:cs="Arial"/>
          <w:snapToGrid w:val="0"/>
        </w:rPr>
        <w:t>Einfluss</w:t>
      </w:r>
      <w:r w:rsidR="000E2B2C" w:rsidRPr="005E1757">
        <w:rPr>
          <w:rFonts w:cs="Arial"/>
          <w:snapToGrid w:val="0"/>
        </w:rPr>
        <w:t xml:space="preserve"> entstehen (z. B. Belichtung der inneren und äußeren Pflanze) oder kann genetisch bedingt sein. </w:t>
      </w:r>
      <w:r w:rsidR="000E2B2C" w:rsidRPr="005E1757">
        <w:rPr>
          <w:rFonts w:cs="Arial"/>
        </w:rPr>
        <w:t xml:space="preserve">Bei einer </w:t>
      </w:r>
      <w:r w:rsidR="000E2B2C" w:rsidRPr="005E1757">
        <w:rPr>
          <w:rFonts w:cs="Arial"/>
        </w:rPr>
        <w:lastRenderedPageBreak/>
        <w:t>Zonalpelargoniensorte kann es beispielsweise eine Variation in der Anzahl weißer Streifen an roten Randblüten geben. Innerhalb jeder Pflanze kann es einige Blüten praktisch ohne weiße Streifen, einige Blüten mit ungefähr halb weißer und halb roter Oberfläche und einige Blüten mit mehr Weiß als Rot geben. Obwohl die Blüten an jeder Pflanze keine identische Farbverteilung aufweisen, kann die Sorte als homogen angesehen werden, wenn die Variation der Streifen bei allen Pflanzen konstant ist. Bei Edelpelargonie ist kein Mangel an Homogenität vorhanden, wenn nicht vollständig purpurne Blütenblätter mit gleicher Häufigkeit an allen Pflanzen vorhanden sind. Pflanzen, die eine signifikant verschiedene Häufigkeit von nicht vollständig purpurnen Blütenblättern aufweisen, können jedoch Abweicher sein.</w:t>
      </w:r>
    </w:p>
    <w:p w:rsidR="000E2B2C" w:rsidRPr="005E1757" w:rsidRDefault="000E2B2C" w:rsidP="000E2B2C">
      <w:pPr>
        <w:autoSpaceDE w:val="0"/>
        <w:autoSpaceDN w:val="0"/>
        <w:adjustRightInd w:val="0"/>
        <w:rPr>
          <w:rFonts w:cs="Arial"/>
        </w:rPr>
      </w:pPr>
    </w:p>
    <w:p w:rsidR="000E2B2C" w:rsidRPr="005E1757" w:rsidRDefault="003D113B" w:rsidP="000E2B2C">
      <w:pPr>
        <w:autoSpaceDE w:val="0"/>
        <w:autoSpaceDN w:val="0"/>
        <w:adjustRightInd w:val="0"/>
        <w:rPr>
          <w:rFonts w:cs="Arial"/>
          <w:b/>
        </w:rPr>
      </w:pPr>
      <w:r w:rsidRPr="005E1757">
        <w:rPr>
          <w:rFonts w:cs="Arial"/>
        </w:rPr>
        <w:t>4.8</w:t>
      </w:r>
      <w:r w:rsidR="000E2B2C" w:rsidRPr="005E1757">
        <w:rPr>
          <w:rFonts w:cs="Arial"/>
        </w:rPr>
        <w:t>.2.2</w:t>
      </w:r>
      <w:r w:rsidR="000E2B2C" w:rsidRPr="005E1757">
        <w:rPr>
          <w:rFonts w:cs="Arial"/>
        </w:rPr>
        <w:tab/>
        <w:t xml:space="preserve">Bei der Prüfung der Merkmale der gesamten Pflanze sollte der Sachverständige darauf achten, sich nicht auf die einzelnen Pflanzenteile zu konzentrieren. Ein Beispiel könnte eine Sorte mit der Wuchsform „liegend“ sein, bei der jedoch bei allen Pflanzen einige Triebe mit gleicher Häufigkeit aufrecht sind. Die aufrechten Triebe würden nicht als Hinweis auf eine Abweicherpflanze angesehen, vorausgesetzt, </w:t>
      </w:r>
      <w:r w:rsidR="009912DD" w:rsidRPr="005E1757">
        <w:rPr>
          <w:rFonts w:cs="Arial"/>
        </w:rPr>
        <w:t>dass</w:t>
      </w:r>
      <w:r w:rsidR="000E2B2C" w:rsidRPr="005E1757">
        <w:rPr>
          <w:rFonts w:cs="Arial"/>
        </w:rPr>
        <w:t xml:space="preserve"> die andere Ausprägung nicht genetisch bedingt ist, beispielsweise infolge einer somaklonalen Mutation innerhalb der Pflanze.</w:t>
      </w:r>
    </w:p>
    <w:p w:rsidR="000E2B2C" w:rsidRPr="005E1757" w:rsidRDefault="000E2B2C" w:rsidP="000E2B2C">
      <w:pPr>
        <w:autoSpaceDE w:val="0"/>
        <w:autoSpaceDN w:val="0"/>
        <w:adjustRightInd w:val="0"/>
        <w:rPr>
          <w:rFonts w:cs="Arial"/>
        </w:rPr>
      </w:pPr>
    </w:p>
    <w:p w:rsidR="000E2B2C" w:rsidRPr="005E1757" w:rsidRDefault="003D113B" w:rsidP="000E2B2C">
      <w:pPr>
        <w:pStyle w:val="Heading3"/>
        <w:rPr>
          <w:rFonts w:cs="Arial"/>
          <w:lang w:val="de-DE"/>
        </w:rPr>
      </w:pPr>
      <w:bookmarkStart w:id="246" w:name="_Toc136321464"/>
      <w:bookmarkStart w:id="247" w:name="_Toc138650116"/>
      <w:bookmarkStart w:id="248" w:name="_Toc138653647"/>
      <w:bookmarkStart w:id="249" w:name="_Toc159754482"/>
      <w:bookmarkStart w:id="250" w:name="_Toc159810499"/>
      <w:bookmarkStart w:id="251" w:name="_Toc161028386"/>
      <w:bookmarkStart w:id="252" w:name="_Toc189539610"/>
      <w:bookmarkStart w:id="253" w:name="_Toc15561063"/>
      <w:r w:rsidRPr="005E1757">
        <w:rPr>
          <w:rFonts w:cs="Arial"/>
          <w:u w:val="none"/>
          <w:lang w:val="de-DE"/>
        </w:rPr>
        <w:t>4.8</w:t>
      </w:r>
      <w:r w:rsidR="000E2B2C" w:rsidRPr="005E1757">
        <w:rPr>
          <w:rFonts w:cs="Arial"/>
          <w:u w:val="none"/>
          <w:lang w:val="de-DE"/>
        </w:rPr>
        <w:t>.3</w:t>
      </w:r>
      <w:r w:rsidR="000E2B2C" w:rsidRPr="005E1757">
        <w:rPr>
          <w:rFonts w:cs="Arial"/>
          <w:u w:val="none"/>
          <w:lang w:val="de-DE"/>
        </w:rPr>
        <w:tab/>
      </w:r>
      <w:r w:rsidR="000E2B2C" w:rsidRPr="005E1757">
        <w:rPr>
          <w:rFonts w:cs="Arial"/>
          <w:lang w:val="de-DE"/>
        </w:rPr>
        <w:t>Weitere Untersuchungen</w:t>
      </w:r>
      <w:bookmarkEnd w:id="246"/>
      <w:bookmarkEnd w:id="247"/>
      <w:bookmarkEnd w:id="248"/>
      <w:bookmarkEnd w:id="249"/>
      <w:bookmarkEnd w:id="250"/>
      <w:bookmarkEnd w:id="251"/>
      <w:bookmarkEnd w:id="252"/>
      <w:bookmarkEnd w:id="253"/>
    </w:p>
    <w:p w:rsidR="000E2B2C" w:rsidRPr="009D2776" w:rsidRDefault="000E2B2C" w:rsidP="000E2B2C">
      <w:pPr>
        <w:autoSpaceDE w:val="0"/>
        <w:autoSpaceDN w:val="0"/>
        <w:adjustRightInd w:val="0"/>
        <w:rPr>
          <w:rFonts w:cs="Arial"/>
        </w:rPr>
      </w:pPr>
      <w:r w:rsidRPr="005E1757">
        <w:rPr>
          <w:rFonts w:cs="Arial"/>
        </w:rPr>
        <w:t>Die Entscheidung, ob eine atypische Pflanze oder eine Variation innerhalb einer Pflanze als Abweicherpflanze anzusehen ist, könnte weitere Untersuchungen erfordern (vergleiche Abschnitt 4.2.3).</w:t>
      </w:r>
    </w:p>
    <w:p w:rsidR="000E2B2C" w:rsidRPr="009D2776" w:rsidRDefault="000E2B2C" w:rsidP="000E2B2C">
      <w:pPr>
        <w:rPr>
          <w:rFonts w:cs="Arial"/>
        </w:rPr>
      </w:pPr>
    </w:p>
    <w:p w:rsidR="003D113B" w:rsidRDefault="003D113B">
      <w:pPr>
        <w:jc w:val="left"/>
        <w:rPr>
          <w:rFonts w:cs="Arial"/>
          <w:b/>
          <w:caps/>
          <w:lang w:val="en-US"/>
        </w:rPr>
      </w:pPr>
      <w:bookmarkStart w:id="254" w:name="_Toc159754492"/>
      <w:bookmarkStart w:id="255" w:name="_Toc159810509"/>
      <w:bookmarkStart w:id="256" w:name="_Toc127103721"/>
      <w:bookmarkStart w:id="257" w:name="_Toc127699470"/>
      <w:bookmarkStart w:id="258" w:name="_Toc127780618"/>
      <w:bookmarkStart w:id="259" w:name="_Toc127781952"/>
      <w:bookmarkStart w:id="260" w:name="_Toc138650122"/>
      <w:bookmarkStart w:id="261" w:name="_Toc138653653"/>
      <w:bookmarkStart w:id="262" w:name="_Toc161028396"/>
      <w:bookmarkStart w:id="263" w:name="_Toc189539611"/>
      <w:r>
        <w:rPr>
          <w:rFonts w:cs="Arial"/>
        </w:rPr>
        <w:br w:type="page"/>
      </w:r>
    </w:p>
    <w:p w:rsidR="000E2B2C" w:rsidRPr="009D2776" w:rsidRDefault="000E2B2C" w:rsidP="000E2B2C">
      <w:pPr>
        <w:pStyle w:val="Heading1"/>
        <w:rPr>
          <w:rFonts w:ascii="Arial" w:hAnsi="Arial" w:cs="Arial"/>
        </w:rPr>
      </w:pPr>
      <w:bookmarkStart w:id="264" w:name="_Toc15561064"/>
      <w:r w:rsidRPr="009D2776">
        <w:rPr>
          <w:rFonts w:ascii="Arial" w:hAnsi="Arial" w:cs="Arial"/>
        </w:rPr>
        <w:lastRenderedPageBreak/>
        <w:t>ABSCHNITT 5:</w:t>
      </w:r>
      <w:r w:rsidRPr="009D2776">
        <w:rPr>
          <w:rFonts w:ascii="Arial" w:hAnsi="Arial" w:cs="Arial"/>
        </w:rPr>
        <w:tab/>
        <w:t xml:space="preserve">PRÜFUNG DER HOMOGENITÄT </w:t>
      </w:r>
      <w:bookmarkEnd w:id="254"/>
      <w:bookmarkEnd w:id="255"/>
      <w:r w:rsidRPr="009D2776">
        <w:rPr>
          <w:rFonts w:ascii="Arial" w:hAnsi="Arial" w:cs="Arial"/>
        </w:rPr>
        <w:t xml:space="preserve">mittels </w:t>
      </w:r>
      <w:bookmarkStart w:id="265" w:name="_Toc159754493"/>
      <w:bookmarkStart w:id="266" w:name="_Toc159810510"/>
      <w:r w:rsidRPr="009D2776">
        <w:rPr>
          <w:rFonts w:ascii="Arial" w:hAnsi="Arial" w:cs="Arial"/>
        </w:rPr>
        <w:t>standard-ABWEICHUNGE</w:t>
      </w:r>
      <w:bookmarkEnd w:id="256"/>
      <w:r w:rsidRPr="009D2776">
        <w:rPr>
          <w:rFonts w:ascii="Arial" w:hAnsi="Arial" w:cs="Arial"/>
        </w:rPr>
        <w:t>N</w:t>
      </w:r>
      <w:bookmarkEnd w:id="257"/>
      <w:bookmarkEnd w:id="258"/>
      <w:bookmarkEnd w:id="259"/>
      <w:bookmarkEnd w:id="260"/>
      <w:bookmarkEnd w:id="261"/>
      <w:bookmarkEnd w:id="262"/>
      <w:bookmarkEnd w:id="263"/>
      <w:bookmarkEnd w:id="265"/>
      <w:bookmarkEnd w:id="266"/>
      <w:bookmarkEnd w:id="264"/>
    </w:p>
    <w:p w:rsidR="000E2B2C" w:rsidRPr="009D2776" w:rsidRDefault="000E2B2C" w:rsidP="000E2B2C">
      <w:pPr>
        <w:pStyle w:val="Heading2"/>
        <w:rPr>
          <w:rFonts w:cs="Arial"/>
          <w:lang w:val="de-DE"/>
        </w:rPr>
      </w:pPr>
      <w:bookmarkStart w:id="267" w:name="_Toc127103722"/>
      <w:bookmarkStart w:id="268" w:name="_Toc127699471"/>
      <w:bookmarkStart w:id="269" w:name="_Toc127780619"/>
      <w:bookmarkStart w:id="270" w:name="_Toc127781953"/>
      <w:bookmarkStart w:id="271" w:name="_Toc138650123"/>
      <w:bookmarkStart w:id="272" w:name="_Toc138653654"/>
      <w:bookmarkStart w:id="273" w:name="_Toc159754494"/>
      <w:bookmarkStart w:id="274" w:name="_Toc159810511"/>
      <w:bookmarkStart w:id="275" w:name="_Toc161028397"/>
      <w:bookmarkStart w:id="276" w:name="_Toc189539612"/>
      <w:bookmarkStart w:id="277" w:name="_Toc15561065"/>
      <w:r w:rsidRPr="009D2776">
        <w:rPr>
          <w:rFonts w:cs="Arial"/>
          <w:lang w:val="de-DE"/>
        </w:rPr>
        <w:t>5.1</w:t>
      </w:r>
      <w:r w:rsidRPr="009D2776">
        <w:rPr>
          <w:rFonts w:cs="Arial"/>
          <w:lang w:val="de-DE"/>
        </w:rPr>
        <w:tab/>
        <w:t>Einleitung</w:t>
      </w:r>
      <w:bookmarkEnd w:id="267"/>
      <w:bookmarkEnd w:id="268"/>
      <w:bookmarkEnd w:id="269"/>
      <w:bookmarkEnd w:id="270"/>
      <w:bookmarkEnd w:id="271"/>
      <w:bookmarkEnd w:id="272"/>
      <w:bookmarkEnd w:id="273"/>
      <w:bookmarkEnd w:id="274"/>
      <w:bookmarkEnd w:id="275"/>
      <w:bookmarkEnd w:id="276"/>
      <w:bookmarkEnd w:id="277"/>
    </w:p>
    <w:p w:rsidR="000E2B2C" w:rsidRPr="009D2776" w:rsidRDefault="000E2B2C" w:rsidP="000E2B2C">
      <w:pPr>
        <w:rPr>
          <w:rFonts w:cs="Arial"/>
        </w:rPr>
      </w:pPr>
      <w:r w:rsidRPr="009D2776">
        <w:rPr>
          <w:rFonts w:cs="Arial"/>
        </w:rPr>
        <w:t xml:space="preserve">Die Allgemeine Einführung, Kapitel 6.4, erläutert, </w:t>
      </w:r>
      <w:r w:rsidR="009912DD" w:rsidRPr="009D2776">
        <w:rPr>
          <w:rFonts w:cs="Arial"/>
        </w:rPr>
        <w:t>dass</w:t>
      </w:r>
      <w:r w:rsidRPr="009D2776">
        <w:rPr>
          <w:rFonts w:cs="Arial"/>
        </w:rPr>
        <w:t xml:space="preserve"> es in Fällen, in denen ein hohes Variationsniveau</w:t>
      </w:r>
      <w:r w:rsidRPr="009D2776">
        <w:rPr>
          <w:rFonts w:cs="Arial"/>
          <w:vertAlign w:val="superscript"/>
        </w:rPr>
        <w:fldChar w:fldCharType="begin"/>
      </w:r>
      <w:r w:rsidRPr="009D2776">
        <w:rPr>
          <w:rFonts w:cs="Arial"/>
          <w:vertAlign w:val="superscript"/>
        </w:rPr>
        <w:instrText xml:space="preserve"> NOTEREF _Ref189560423 \h  \* MERGEFORMAT </w:instrText>
      </w:r>
      <w:r w:rsidRPr="009D2776">
        <w:rPr>
          <w:rFonts w:cs="Arial"/>
          <w:vertAlign w:val="superscript"/>
        </w:rPr>
      </w:r>
      <w:r w:rsidRPr="009D2776">
        <w:rPr>
          <w:rFonts w:cs="Arial"/>
          <w:vertAlign w:val="superscript"/>
        </w:rPr>
        <w:fldChar w:fldCharType="separate"/>
      </w:r>
      <w:r w:rsidR="005E1757">
        <w:rPr>
          <w:rFonts w:cs="Arial"/>
          <w:vertAlign w:val="superscript"/>
        </w:rPr>
        <w:t>1</w:t>
      </w:r>
      <w:r w:rsidRPr="009D2776">
        <w:rPr>
          <w:rFonts w:cs="Arial"/>
          <w:vertAlign w:val="superscript"/>
        </w:rPr>
        <w:fldChar w:fldCharType="end"/>
      </w:r>
      <w:r w:rsidRPr="009D2776">
        <w:rPr>
          <w:rFonts w:cs="Arial"/>
        </w:rPr>
        <w:t xml:space="preserve"> in den Ausprägungen der Merkmale der Pflanzen innerhalb einer Sorte vorhanden ist, nicht möglich ist zu erkennen, welche Pflanzen als Abweicher anzusehen sind, und </w:t>
      </w:r>
      <w:r w:rsidR="009912DD" w:rsidRPr="009D2776">
        <w:rPr>
          <w:rFonts w:cs="Arial"/>
        </w:rPr>
        <w:t>dass</w:t>
      </w:r>
      <w:r w:rsidRPr="009D2776">
        <w:rPr>
          <w:rFonts w:cs="Arial"/>
        </w:rPr>
        <w:t xml:space="preserve"> das Abweicherverfahren für die Prüfung der Homogenität nicht geeignet ist. Sie stellt klar, </w:t>
      </w:r>
      <w:r w:rsidR="009912DD" w:rsidRPr="009D2776">
        <w:rPr>
          <w:rFonts w:cs="Arial"/>
        </w:rPr>
        <w:t>dass</w:t>
      </w:r>
      <w:r w:rsidRPr="009D2776">
        <w:rPr>
          <w:rFonts w:cs="Arial"/>
        </w:rPr>
        <w:t xml:space="preserve"> sich die Homogenität in diesen Fällen prüfen lässt, indem das gesamte Variationsniveaus</w:t>
      </w:r>
      <w:r w:rsidRPr="009D2776">
        <w:rPr>
          <w:rFonts w:cs="Arial"/>
          <w:vertAlign w:val="superscript"/>
        </w:rPr>
        <w:fldChar w:fldCharType="begin"/>
      </w:r>
      <w:r w:rsidRPr="009D2776">
        <w:rPr>
          <w:rFonts w:cs="Arial"/>
          <w:vertAlign w:val="superscript"/>
        </w:rPr>
        <w:instrText xml:space="preserve"> NOTEREF _Ref189560423 \h  \* MERGEFORMAT </w:instrText>
      </w:r>
      <w:r w:rsidRPr="009D2776">
        <w:rPr>
          <w:rFonts w:cs="Arial"/>
          <w:vertAlign w:val="superscript"/>
        </w:rPr>
      </w:r>
      <w:r w:rsidRPr="009D2776">
        <w:rPr>
          <w:rFonts w:cs="Arial"/>
          <w:vertAlign w:val="superscript"/>
        </w:rPr>
        <w:fldChar w:fldCharType="separate"/>
      </w:r>
      <w:r w:rsidR="005E1757">
        <w:rPr>
          <w:rFonts w:cs="Arial"/>
          <w:vertAlign w:val="superscript"/>
        </w:rPr>
        <w:t>1</w:t>
      </w:r>
      <w:r w:rsidRPr="009D2776">
        <w:rPr>
          <w:rFonts w:cs="Arial"/>
          <w:vertAlign w:val="superscript"/>
        </w:rPr>
        <w:fldChar w:fldCharType="end"/>
      </w:r>
      <w:r w:rsidRPr="009D2776">
        <w:rPr>
          <w:rFonts w:cs="Arial"/>
        </w:rPr>
        <w:t xml:space="preserve"> über  alle Einzelpflanzen </w:t>
      </w:r>
      <w:r w:rsidR="009912DD" w:rsidRPr="009D2776">
        <w:rPr>
          <w:rFonts w:cs="Arial"/>
        </w:rPr>
        <w:t>erfasst</w:t>
      </w:r>
      <w:r w:rsidRPr="009D2776">
        <w:rPr>
          <w:rFonts w:cs="Arial"/>
        </w:rPr>
        <w:t xml:space="preserve"> wird, um zu beurteilen, ob es bei vergleichbaren Sorten ähnlich ist. Bei diesem Verfahren werden relative Toleranzgrenzen für das Variationsniveau</w:t>
      </w:r>
      <w:r w:rsidRPr="009D2776">
        <w:rPr>
          <w:rFonts w:cs="Arial"/>
          <w:vertAlign w:val="superscript"/>
        </w:rPr>
        <w:fldChar w:fldCharType="begin"/>
      </w:r>
      <w:r w:rsidRPr="009D2776">
        <w:rPr>
          <w:rFonts w:cs="Arial"/>
          <w:vertAlign w:val="superscript"/>
        </w:rPr>
        <w:instrText xml:space="preserve"> NOTEREF _Ref189560423 \h  \* MERGEFORMAT </w:instrText>
      </w:r>
      <w:r w:rsidRPr="009D2776">
        <w:rPr>
          <w:rFonts w:cs="Arial"/>
          <w:vertAlign w:val="superscript"/>
        </w:rPr>
      </w:r>
      <w:r w:rsidRPr="009D2776">
        <w:rPr>
          <w:rFonts w:cs="Arial"/>
          <w:vertAlign w:val="superscript"/>
        </w:rPr>
        <w:fldChar w:fldCharType="separate"/>
      </w:r>
      <w:r w:rsidR="005E1757">
        <w:rPr>
          <w:rFonts w:cs="Arial"/>
          <w:vertAlign w:val="superscript"/>
        </w:rPr>
        <w:t>1</w:t>
      </w:r>
      <w:r w:rsidRPr="009D2776">
        <w:rPr>
          <w:rFonts w:cs="Arial"/>
          <w:vertAlign w:val="superscript"/>
        </w:rPr>
        <w:fldChar w:fldCharType="end"/>
      </w:r>
      <w:r w:rsidRPr="009D2776">
        <w:rPr>
          <w:rFonts w:cs="Arial"/>
        </w:rPr>
        <w:t xml:space="preserve"> durch den Vergleich mit bereits bekannten vergleichbaren Sorten oder Typen gesetzt („Verfahren der Standardabweichungen“). Das Verfahren der Standardabweichungen bedeutet, </w:t>
      </w:r>
      <w:r w:rsidR="009912DD" w:rsidRPr="009D2776">
        <w:rPr>
          <w:rFonts w:cs="Arial"/>
        </w:rPr>
        <w:t>dass</w:t>
      </w:r>
      <w:r w:rsidRPr="009D2776">
        <w:rPr>
          <w:rFonts w:cs="Arial"/>
        </w:rPr>
        <w:t xml:space="preserve"> eine Kandidatensorte nicht signifikant weniger einheitlich als die vergleichbaren Sorten sein sollte.</w:t>
      </w:r>
    </w:p>
    <w:p w:rsidR="000E2B2C" w:rsidRPr="009D2776" w:rsidRDefault="000E2B2C" w:rsidP="000E2B2C">
      <w:pPr>
        <w:rPr>
          <w:rFonts w:cs="Arial"/>
        </w:rPr>
      </w:pPr>
    </w:p>
    <w:p w:rsidR="000E2B2C" w:rsidRPr="009D2776" w:rsidRDefault="000E2B2C" w:rsidP="000E2B2C">
      <w:pPr>
        <w:pStyle w:val="Heading2"/>
        <w:rPr>
          <w:rFonts w:cs="Arial"/>
          <w:lang w:val="de-DE"/>
        </w:rPr>
      </w:pPr>
      <w:bookmarkStart w:id="278" w:name="_Toc127103723"/>
      <w:bookmarkStart w:id="279" w:name="_Toc127699472"/>
      <w:bookmarkStart w:id="280" w:name="_Toc127780620"/>
      <w:bookmarkStart w:id="281" w:name="_Toc127781954"/>
      <w:bookmarkStart w:id="282" w:name="_Toc138650124"/>
      <w:bookmarkStart w:id="283" w:name="_Toc138653655"/>
      <w:bookmarkStart w:id="284" w:name="_Toc159754495"/>
      <w:bookmarkStart w:id="285" w:name="_Toc159810512"/>
      <w:bookmarkStart w:id="286" w:name="_Toc161028398"/>
      <w:bookmarkStart w:id="287" w:name="_Toc189539613"/>
      <w:bookmarkStart w:id="288" w:name="_Toc15561066"/>
      <w:r w:rsidRPr="009D2776">
        <w:rPr>
          <w:rFonts w:cs="Arial"/>
          <w:lang w:val="de-DE"/>
        </w:rPr>
        <w:t>5.2</w:t>
      </w:r>
      <w:r w:rsidRPr="009D2776">
        <w:rPr>
          <w:rFonts w:cs="Arial"/>
          <w:lang w:val="de-DE"/>
        </w:rPr>
        <w:tab/>
        <w:t>Bestimmung des zulässigen Variationsniveaus</w:t>
      </w:r>
      <w:bookmarkEnd w:id="278"/>
      <w:bookmarkEnd w:id="279"/>
      <w:bookmarkEnd w:id="280"/>
      <w:bookmarkEnd w:id="281"/>
      <w:bookmarkEnd w:id="282"/>
      <w:bookmarkEnd w:id="283"/>
      <w:bookmarkEnd w:id="284"/>
      <w:bookmarkEnd w:id="285"/>
      <w:bookmarkEnd w:id="286"/>
      <w:bookmarkEnd w:id="287"/>
      <w:bookmarkEnd w:id="288"/>
    </w:p>
    <w:p w:rsidR="000E2B2C" w:rsidRPr="009D2776" w:rsidRDefault="000E2B2C" w:rsidP="000E2B2C">
      <w:pPr>
        <w:rPr>
          <w:rFonts w:cs="Arial"/>
        </w:rPr>
      </w:pPr>
      <w:r w:rsidRPr="009D2776">
        <w:rPr>
          <w:rFonts w:cs="Arial"/>
        </w:rPr>
        <w:t>5.2.1</w:t>
      </w:r>
      <w:r w:rsidRPr="009D2776">
        <w:rPr>
          <w:rFonts w:cs="Arial"/>
        </w:rPr>
        <w:tab/>
        <w:t>Der Vergleich zwischen einer Kandidatensorte und vergleichbaren Sorten wird über die Standardabweichungen vorgenommen, die aufgrund der Erfassungen an Einzelpflanzen errechnet werden. Vergleichbare Sorten sind Sorten desselben Typs innerhalb derselben oder einer verwandten Art, die zuvor geprüft und für hinreichend homogen befunden wurden.</w:t>
      </w:r>
    </w:p>
    <w:p w:rsidR="000E2B2C" w:rsidRPr="009D2776" w:rsidRDefault="000E2B2C" w:rsidP="000E2B2C">
      <w:pPr>
        <w:tabs>
          <w:tab w:val="num" w:pos="567"/>
          <w:tab w:val="left" w:pos="851"/>
        </w:tabs>
        <w:rPr>
          <w:rFonts w:cs="Arial"/>
        </w:rPr>
      </w:pPr>
    </w:p>
    <w:p w:rsidR="000E2B2C" w:rsidRPr="009D2776" w:rsidRDefault="000E2B2C" w:rsidP="000E2B2C">
      <w:pPr>
        <w:tabs>
          <w:tab w:val="left" w:pos="851"/>
        </w:tabs>
        <w:rPr>
          <w:rFonts w:cs="Arial"/>
        </w:rPr>
      </w:pPr>
      <w:r w:rsidRPr="009D2776">
        <w:rPr>
          <w:rFonts w:cs="Arial"/>
        </w:rPr>
        <w:t>5.2.2</w:t>
      </w:r>
      <w:r w:rsidRPr="009D2776">
        <w:rPr>
          <w:rFonts w:cs="Arial"/>
        </w:rPr>
        <w:tab/>
        <w:t>Die UPOV hat mehrere statistische Verfahren für die Behandlung der Homogenität bei gemessenen quantitativen Merkmalen vorgeschlagen. Eine Methode, die die Variationen zwischen den Jahren berücksichtigt, ist die Methode des Kombinierten Homogenitätskriteriums über mehrere Jahre (</w:t>
      </w:r>
      <w:proofErr w:type="spellStart"/>
      <w:r w:rsidRPr="009D2776">
        <w:rPr>
          <w:rFonts w:cs="Arial"/>
          <w:i/>
        </w:rPr>
        <w:t>Combined</w:t>
      </w:r>
      <w:proofErr w:type="spellEnd"/>
      <w:r w:rsidRPr="009D2776">
        <w:rPr>
          <w:rFonts w:cs="Arial"/>
          <w:i/>
        </w:rPr>
        <w:t xml:space="preserve"> Over </w:t>
      </w:r>
      <w:proofErr w:type="spellStart"/>
      <w:r w:rsidRPr="009D2776">
        <w:rPr>
          <w:rFonts w:cs="Arial"/>
          <w:i/>
        </w:rPr>
        <w:t>Years</w:t>
      </w:r>
      <w:proofErr w:type="spellEnd"/>
      <w:r w:rsidRPr="009D2776">
        <w:rPr>
          <w:rFonts w:cs="Arial"/>
          <w:i/>
        </w:rPr>
        <w:t xml:space="preserve"> </w:t>
      </w:r>
      <w:proofErr w:type="spellStart"/>
      <w:r w:rsidRPr="009D2776">
        <w:rPr>
          <w:rFonts w:cs="Arial"/>
          <w:i/>
        </w:rPr>
        <w:t>Uniformity</w:t>
      </w:r>
      <w:proofErr w:type="spellEnd"/>
      <w:r w:rsidRPr="009D2776">
        <w:rPr>
          <w:rFonts w:cs="Arial"/>
          <w:i/>
        </w:rPr>
        <w:t xml:space="preserve"> </w:t>
      </w:r>
      <w:r w:rsidRPr="009D2776">
        <w:rPr>
          <w:rFonts w:cs="Arial"/>
        </w:rPr>
        <w:t xml:space="preserve">(COYU)). Der Vergleich zwischen einer Kandidatensorte und vergleichbaren Sorten wird anhand der an Einzelpflanzen </w:t>
      </w:r>
      <w:r w:rsidR="009912DD" w:rsidRPr="009D2776">
        <w:rPr>
          <w:rFonts w:cs="Arial"/>
        </w:rPr>
        <w:t>erfassten</w:t>
      </w:r>
      <w:r w:rsidRPr="009D2776">
        <w:rPr>
          <w:rFonts w:cs="Arial"/>
        </w:rPr>
        <w:t xml:space="preserve"> Standardabweichungen vorgenommen. Dieses COYU-Verfahren berechnet für jedes Merkmal eine Toleranzgrenze aufgrund der Sorten im selben Anbauversuch, die eine vergleichbare Ausprägung für dieses Merkmal aufweisen.</w:t>
      </w:r>
    </w:p>
    <w:p w:rsidR="000E2B2C" w:rsidRPr="009D2776" w:rsidRDefault="000E2B2C" w:rsidP="000E2B2C">
      <w:pPr>
        <w:tabs>
          <w:tab w:val="num" w:pos="851"/>
        </w:tabs>
        <w:rPr>
          <w:rFonts w:cs="Arial"/>
        </w:rPr>
      </w:pPr>
    </w:p>
    <w:p w:rsidR="000E2B2C" w:rsidRPr="009D2776" w:rsidRDefault="000E2B2C" w:rsidP="000E2B2C">
      <w:pPr>
        <w:tabs>
          <w:tab w:val="num" w:pos="851"/>
        </w:tabs>
        <w:rPr>
          <w:rFonts w:cs="Arial"/>
        </w:rPr>
      </w:pPr>
      <w:r w:rsidRPr="009D2776">
        <w:rPr>
          <w:rFonts w:cs="Arial"/>
        </w:rPr>
        <w:t>5.2.3</w:t>
      </w:r>
      <w:r w:rsidRPr="009D2776">
        <w:rPr>
          <w:rFonts w:cs="Arial"/>
        </w:rPr>
        <w:tab/>
        <w:t>Einzelheiten zur COYU-Methode sind in Dokument TGP/8 enthalten.</w:t>
      </w:r>
    </w:p>
    <w:p w:rsidR="000E2B2C" w:rsidRPr="009D2776" w:rsidRDefault="000E2B2C" w:rsidP="000E2B2C">
      <w:pPr>
        <w:rPr>
          <w:rFonts w:cs="Arial"/>
        </w:rPr>
      </w:pPr>
    </w:p>
    <w:p w:rsidR="000E2B2C" w:rsidRPr="009D2776" w:rsidRDefault="000E2B2C" w:rsidP="000E2B2C">
      <w:pPr>
        <w:tabs>
          <w:tab w:val="num" w:pos="851"/>
        </w:tabs>
        <w:rPr>
          <w:rFonts w:cs="Arial"/>
        </w:rPr>
      </w:pPr>
      <w:r w:rsidRPr="009D2776">
        <w:rPr>
          <w:rFonts w:cs="Arial"/>
        </w:rPr>
        <w:t>5.2.4</w:t>
      </w:r>
      <w:r w:rsidRPr="009D2776">
        <w:rPr>
          <w:rFonts w:cs="Arial"/>
        </w:rPr>
        <w:tab/>
        <w:t>Informationen über andere geeignete statistische Verfahren sind in Dokument TGP/8 enthalten.</w:t>
      </w:r>
    </w:p>
    <w:p w:rsidR="000E2B2C" w:rsidRPr="009D2776" w:rsidRDefault="000E2B2C" w:rsidP="000E2B2C">
      <w:pPr>
        <w:tabs>
          <w:tab w:val="num" w:pos="567"/>
        </w:tabs>
        <w:rPr>
          <w:rFonts w:cs="Arial"/>
        </w:rPr>
      </w:pPr>
    </w:p>
    <w:p w:rsidR="000E2B2C" w:rsidRPr="009D2776" w:rsidRDefault="000E2B2C" w:rsidP="000E2B2C">
      <w:pPr>
        <w:pStyle w:val="Heading2"/>
        <w:rPr>
          <w:rFonts w:cs="Arial"/>
          <w:lang w:val="de-DE"/>
        </w:rPr>
      </w:pPr>
      <w:bookmarkStart w:id="289" w:name="_Toc127103724"/>
      <w:bookmarkStart w:id="290" w:name="_Toc127699473"/>
      <w:bookmarkStart w:id="291" w:name="_Toc127780621"/>
      <w:bookmarkStart w:id="292" w:name="_Toc127781955"/>
      <w:bookmarkStart w:id="293" w:name="_Toc138650125"/>
      <w:bookmarkStart w:id="294" w:name="_Toc138653656"/>
      <w:bookmarkStart w:id="295" w:name="_Toc159754496"/>
      <w:bookmarkStart w:id="296" w:name="_Toc159810513"/>
      <w:bookmarkStart w:id="297" w:name="_Toc161028399"/>
      <w:bookmarkStart w:id="298" w:name="_Toc189539614"/>
      <w:bookmarkStart w:id="299" w:name="_Toc15561067"/>
      <w:r w:rsidRPr="009D2776">
        <w:rPr>
          <w:rFonts w:cs="Arial"/>
          <w:lang w:val="de-DE"/>
        </w:rPr>
        <w:t>5.3</w:t>
      </w:r>
      <w:r w:rsidRPr="009D2776">
        <w:rPr>
          <w:rFonts w:cs="Arial"/>
          <w:lang w:val="de-DE"/>
        </w:rPr>
        <w:tab/>
        <w:t>Festlegung von Standards für neue Typen und Arten</w:t>
      </w:r>
      <w:bookmarkEnd w:id="289"/>
      <w:bookmarkEnd w:id="290"/>
      <w:bookmarkEnd w:id="291"/>
      <w:bookmarkEnd w:id="292"/>
      <w:bookmarkEnd w:id="293"/>
      <w:bookmarkEnd w:id="294"/>
      <w:bookmarkEnd w:id="295"/>
      <w:bookmarkEnd w:id="296"/>
      <w:bookmarkEnd w:id="297"/>
      <w:bookmarkEnd w:id="298"/>
      <w:bookmarkEnd w:id="299"/>
    </w:p>
    <w:p w:rsidR="000E2B2C" w:rsidRPr="009D2776" w:rsidRDefault="000E2B2C" w:rsidP="000E2B2C">
      <w:pPr>
        <w:rPr>
          <w:rFonts w:cs="Arial"/>
        </w:rPr>
      </w:pPr>
      <w:r w:rsidRPr="009D2776">
        <w:rPr>
          <w:rFonts w:cs="Arial"/>
        </w:rPr>
        <w:t>Wie in Abschnitt 5.1 erläutert, werden in Fällen, in denen das Abweicherverfahren nicht geeignet ist, relative Toleranzgrenzen für das Variationsniveau</w:t>
      </w:r>
      <w:r w:rsidRPr="009D2776">
        <w:rPr>
          <w:rFonts w:cs="Arial"/>
          <w:vertAlign w:val="superscript"/>
        </w:rPr>
        <w:fldChar w:fldCharType="begin"/>
      </w:r>
      <w:r w:rsidRPr="009D2776">
        <w:rPr>
          <w:rFonts w:cs="Arial"/>
          <w:vertAlign w:val="superscript"/>
        </w:rPr>
        <w:instrText xml:space="preserve"> NOTEREF _Ref189560423 \h  \* MERGEFORMAT </w:instrText>
      </w:r>
      <w:r w:rsidRPr="009D2776">
        <w:rPr>
          <w:rFonts w:cs="Arial"/>
          <w:vertAlign w:val="superscript"/>
        </w:rPr>
      </w:r>
      <w:r w:rsidRPr="009D2776">
        <w:rPr>
          <w:rFonts w:cs="Arial"/>
          <w:vertAlign w:val="superscript"/>
        </w:rPr>
        <w:fldChar w:fldCharType="separate"/>
      </w:r>
      <w:r w:rsidR="005E1757">
        <w:rPr>
          <w:rFonts w:cs="Arial"/>
          <w:vertAlign w:val="superscript"/>
        </w:rPr>
        <w:t>1</w:t>
      </w:r>
      <w:r w:rsidRPr="009D2776">
        <w:rPr>
          <w:rFonts w:cs="Arial"/>
          <w:vertAlign w:val="superscript"/>
        </w:rPr>
        <w:fldChar w:fldCharType="end"/>
      </w:r>
      <w:r w:rsidRPr="009D2776">
        <w:rPr>
          <w:rFonts w:cs="Arial"/>
        </w:rPr>
        <w:t xml:space="preserve"> durch den Vergleich mit bereits bekannten vergleichbaren Sorten oder Typen festgesetzt („Verfahren der Standardabweichungen“). Das Verfahren der Standardabweichungen bedeutet, </w:t>
      </w:r>
      <w:r w:rsidR="009912DD" w:rsidRPr="009D2776">
        <w:rPr>
          <w:rFonts w:cs="Arial"/>
        </w:rPr>
        <w:t>dass</w:t>
      </w:r>
      <w:r w:rsidRPr="009D2776">
        <w:rPr>
          <w:rFonts w:cs="Arial"/>
        </w:rPr>
        <w:t xml:space="preserve"> eine Kandidatensorte nicht signifikant weniger einheitlich als die vergleichbaren Sorten sein sollte. Vergleichbare Sorten können sich auf die Sorten einer Art beziehen, die derselben Gattung angehören, oder auf Sorten einer anderen Gattung. In dieser Hinsicht ist daran zu erinnern, </w:t>
      </w:r>
      <w:r w:rsidR="009912DD" w:rsidRPr="009D2776">
        <w:rPr>
          <w:rFonts w:cs="Arial"/>
        </w:rPr>
        <w:t>dass</w:t>
      </w:r>
      <w:r w:rsidRPr="009D2776">
        <w:rPr>
          <w:rFonts w:cs="Arial"/>
        </w:rPr>
        <w:t xml:space="preserve"> die Homogenitätsvoraussetzung auf den Besonderheiten der Vermehrung der Sorte beruht und vergleichbare Sorten daher diejenigen sein sollten, die die ähnlichsten Besonderheiten der Vermehrung aufweisen (vergleiche Abschnitt 2.3). Insbesondere müssen Sorten derselben Gattung oder Art mit unterschiedlicher Vermehrungsweise (z. B. vegetativ vermehrte und fremdbefruchtende Sorten) hinsichtlich der Homogenitätsstandards getrennt betrachtet werden. Bei Art- und Gattungshybriden sollten insbesondere die „Eltern“-Arten und </w:t>
      </w:r>
      <w:r w:rsidRPr="009D2776">
        <w:rPr>
          <w:rFonts w:cs="Arial"/>
        </w:rPr>
        <w:noBreakHyphen/>
        <w:t>Gattungen hinsichtlich vergleichbarer Sorten berücksichtigt werden. Der Züchter dürfte eine wichtige Informationsquelle für die Besonderheiten der Vermehrung der Sorte sein und kann im Technischen Fragebogen oder auf anderem Weg Angaben über die angewandte Züchtungsmethode machen (vergleiche auch Dokument </w:t>
      </w:r>
      <w:r w:rsidRPr="009D2776">
        <w:rPr>
          <w:rFonts w:cs="Arial"/>
          <w:snapToGrid w:val="0"/>
        </w:rPr>
        <w:t>TGP/13</w:t>
      </w:r>
      <w:r w:rsidRPr="009D2776">
        <w:rPr>
          <w:rFonts w:cs="Arial"/>
        </w:rPr>
        <w:t>).</w:t>
      </w:r>
    </w:p>
    <w:p w:rsidR="000E2B2C" w:rsidRPr="009D2776" w:rsidRDefault="000E2B2C" w:rsidP="000E2B2C">
      <w:pPr>
        <w:rPr>
          <w:rFonts w:cs="Arial"/>
        </w:rPr>
      </w:pPr>
    </w:p>
    <w:p w:rsidR="000E2B2C" w:rsidRPr="009D2776" w:rsidRDefault="000E2B2C" w:rsidP="000E2B2C">
      <w:pPr>
        <w:pStyle w:val="Heading1"/>
        <w:rPr>
          <w:rFonts w:ascii="Arial" w:hAnsi="Arial" w:cs="Arial"/>
        </w:rPr>
      </w:pPr>
      <w:r w:rsidRPr="009D2776">
        <w:rPr>
          <w:rFonts w:ascii="Arial" w:hAnsi="Arial" w:cs="Arial"/>
        </w:rPr>
        <w:br w:type="page"/>
      </w:r>
      <w:bookmarkStart w:id="300" w:name="_Toc159754497"/>
      <w:bookmarkStart w:id="301" w:name="_Toc159810514"/>
      <w:bookmarkStart w:id="302" w:name="_Toc161028400"/>
      <w:bookmarkStart w:id="303" w:name="_Toc189539615"/>
      <w:bookmarkStart w:id="304" w:name="_Toc15561068"/>
      <w:r w:rsidRPr="009D2776">
        <w:rPr>
          <w:rFonts w:ascii="Arial" w:hAnsi="Arial" w:cs="Arial"/>
        </w:rPr>
        <w:lastRenderedPageBreak/>
        <w:t>ABSCHNITT 6:</w:t>
      </w:r>
      <w:r w:rsidRPr="009D2776">
        <w:rPr>
          <w:rFonts w:ascii="Arial" w:hAnsi="Arial" w:cs="Arial"/>
        </w:rPr>
        <w:tab/>
        <w:t>kombination aller erfassungen an einer Sorte</w:t>
      </w:r>
      <w:bookmarkEnd w:id="300"/>
      <w:bookmarkEnd w:id="301"/>
      <w:bookmarkEnd w:id="302"/>
      <w:bookmarkEnd w:id="303"/>
      <w:bookmarkEnd w:id="304"/>
    </w:p>
    <w:p w:rsidR="000E2B2C" w:rsidRPr="009D2776" w:rsidRDefault="000E2B2C" w:rsidP="000E2B2C">
      <w:pPr>
        <w:pStyle w:val="Heading2"/>
        <w:rPr>
          <w:rFonts w:cs="Arial"/>
          <w:lang w:val="de-DE"/>
        </w:rPr>
      </w:pPr>
      <w:bookmarkStart w:id="305" w:name="_Toc159754498"/>
      <w:bookmarkStart w:id="306" w:name="_Toc159810515"/>
      <w:bookmarkStart w:id="307" w:name="_Toc161028401"/>
      <w:bookmarkStart w:id="308" w:name="_Toc189539616"/>
      <w:bookmarkStart w:id="309" w:name="_Toc15561069"/>
      <w:r w:rsidRPr="009D2776">
        <w:rPr>
          <w:rFonts w:cs="Arial"/>
          <w:lang w:val="de-DE"/>
        </w:rPr>
        <w:t>6.1</w:t>
      </w:r>
      <w:r w:rsidRPr="009D2776">
        <w:rPr>
          <w:rFonts w:cs="Arial"/>
          <w:lang w:val="de-DE"/>
        </w:rPr>
        <w:tab/>
        <w:t>Einleitung</w:t>
      </w:r>
      <w:bookmarkEnd w:id="305"/>
      <w:bookmarkEnd w:id="306"/>
      <w:bookmarkEnd w:id="307"/>
      <w:bookmarkEnd w:id="308"/>
      <w:bookmarkEnd w:id="309"/>
    </w:p>
    <w:p w:rsidR="000E2B2C" w:rsidRPr="009D2776" w:rsidRDefault="000E2B2C" w:rsidP="000E2B2C">
      <w:pPr>
        <w:rPr>
          <w:rFonts w:cs="Arial"/>
        </w:rPr>
      </w:pPr>
      <w:r w:rsidRPr="009D2776">
        <w:rPr>
          <w:rFonts w:cs="Arial"/>
        </w:rPr>
        <w:t xml:space="preserve">Die Homogenität einer Sorte wird durch Beobachtung von Einzelpflanzen für alle maßgebenden Merkmale geprüft. Bei einigen Pflanzenarten werden alle diese Merkmale an allen Pflanzen in der Prüfung </w:t>
      </w:r>
      <w:r w:rsidR="009912DD" w:rsidRPr="009D2776">
        <w:rPr>
          <w:rFonts w:cs="Arial"/>
        </w:rPr>
        <w:t>erfasst</w:t>
      </w:r>
      <w:r w:rsidRPr="009D2776">
        <w:rPr>
          <w:rFonts w:cs="Arial"/>
        </w:rPr>
        <w:t xml:space="preserve">. Bei anderen Pflanzenarten werden einige dieser Merkmale an anderen Stichproben der Sorte </w:t>
      </w:r>
      <w:r w:rsidR="009912DD" w:rsidRPr="009D2776">
        <w:rPr>
          <w:rFonts w:cs="Arial"/>
        </w:rPr>
        <w:t>erfasst</w:t>
      </w:r>
      <w:r w:rsidRPr="009D2776">
        <w:rPr>
          <w:rFonts w:cs="Arial"/>
        </w:rPr>
        <w:t>. Zudem kann bei einigen Pflanzen die Prüfung der Homogenität für bestimmte maßgebende Merkmale mittels Abweichern und für andere maßgebende Merkmale mittels Standardabweichungen erfolgen. Daher müssen spezifische Vorgaben für die Prüfung der Homogenität aufgrund der Erfassung aller maßgebenden Merkmale gemacht werden. Einige der möglichen Situationen sind nachstehend beschrieben:</w:t>
      </w:r>
    </w:p>
    <w:p w:rsidR="000E2B2C" w:rsidRPr="009D2776" w:rsidRDefault="000E2B2C" w:rsidP="000E2B2C">
      <w:pPr>
        <w:rPr>
          <w:rFonts w:cs="Arial"/>
        </w:rPr>
      </w:pPr>
    </w:p>
    <w:p w:rsidR="000E2B2C" w:rsidRPr="009D2776" w:rsidRDefault="000E2B2C" w:rsidP="000E2B2C">
      <w:pPr>
        <w:pStyle w:val="Heading2"/>
        <w:rPr>
          <w:rFonts w:cs="Arial"/>
          <w:lang w:val="de-DE"/>
        </w:rPr>
      </w:pPr>
      <w:bookmarkStart w:id="310" w:name="_Toc159754499"/>
      <w:bookmarkStart w:id="311" w:name="_Toc159810516"/>
      <w:bookmarkStart w:id="312" w:name="_Toc161028402"/>
      <w:bookmarkStart w:id="313" w:name="_Toc189539617"/>
      <w:bookmarkStart w:id="314" w:name="_Toc15561070"/>
      <w:r w:rsidRPr="009D2776">
        <w:rPr>
          <w:rFonts w:cs="Arial"/>
          <w:lang w:val="de-DE"/>
        </w:rPr>
        <w:t>6.2</w:t>
      </w:r>
      <w:r w:rsidRPr="009D2776">
        <w:rPr>
          <w:rFonts w:cs="Arial"/>
          <w:lang w:val="de-DE"/>
        </w:rPr>
        <w:tab/>
        <w:t xml:space="preserve">Nur Abweicher: Alle Merkmale werden an ein und derselben Stichprobe </w:t>
      </w:r>
      <w:bookmarkEnd w:id="310"/>
      <w:bookmarkEnd w:id="311"/>
      <w:bookmarkEnd w:id="312"/>
      <w:bookmarkEnd w:id="313"/>
      <w:r w:rsidR="009912DD" w:rsidRPr="009D2776">
        <w:rPr>
          <w:rFonts w:cs="Arial"/>
          <w:lang w:val="de-DE"/>
        </w:rPr>
        <w:t>erfasst</w:t>
      </w:r>
      <w:bookmarkEnd w:id="314"/>
    </w:p>
    <w:p w:rsidR="000E2B2C" w:rsidRPr="009D2776" w:rsidRDefault="000E2B2C" w:rsidP="000E2B2C">
      <w:pPr>
        <w:rPr>
          <w:rFonts w:cs="Arial"/>
        </w:rPr>
      </w:pPr>
      <w:r w:rsidRPr="009D2776">
        <w:rPr>
          <w:rFonts w:cs="Arial"/>
        </w:rPr>
        <w:t>Eine Abweicherpflanze kann offensichtlich aufgrund eines oder mehrerer Merkmale von der Sorte verschieden sein, wird jedoch nur als eine einzige Abweicherpflanze angesehen, ungeachtet der Anzahl Merkmale, bei denen sie eine offensichtlich andere Ausprägung zeigt. Wenn die Prüfung der Homogenität aufgrund von Abweichern für alle Merkmale erfolgt und durch visuelle Erfassung aller Pflanzen in der Prüfung durchgeführt wird, kann eine Pflanze als Abweicher markiert werden sobald in mindestens einem Merkmal eine „Abweicher“-Ausprägung festgestellt wird. Es ist nicht notwendig, die Abweicherpflanze weiter zu beobachten. Weitere Abweicherpflanzen könnten zu einem späteren Zeitpunkt der Prüfung nach der Erfassung weiterer Merkmale identifiziert werden. Die Gesamtzahl der Abweicher wird nach der Erfassung aller maßgebenden Merkmale bestimmt, und die Homogenität der Sorte wird unter Berücksichtigung der Stichprobengröße und des Populationsstandards geprüft.</w:t>
      </w:r>
    </w:p>
    <w:p w:rsidR="000E2B2C" w:rsidRPr="009D2776" w:rsidRDefault="000E2B2C" w:rsidP="000E2B2C">
      <w:pPr>
        <w:rPr>
          <w:rFonts w:cs="Arial"/>
        </w:rPr>
      </w:pPr>
    </w:p>
    <w:p w:rsidR="000E2B2C" w:rsidRPr="009D2776" w:rsidRDefault="000E2B2C" w:rsidP="000E2B2C">
      <w:pPr>
        <w:pStyle w:val="Heading2"/>
        <w:rPr>
          <w:rFonts w:cs="Arial"/>
          <w:lang w:val="de-DE"/>
        </w:rPr>
      </w:pPr>
      <w:bookmarkStart w:id="315" w:name="_Toc159754500"/>
      <w:bookmarkStart w:id="316" w:name="_Toc159810517"/>
      <w:bookmarkStart w:id="317" w:name="_Toc161028403"/>
      <w:bookmarkStart w:id="318" w:name="_Toc189539618"/>
      <w:bookmarkStart w:id="319" w:name="_Toc15561071"/>
      <w:r w:rsidRPr="009D2776">
        <w:rPr>
          <w:rFonts w:cs="Arial"/>
          <w:lang w:val="de-DE"/>
        </w:rPr>
        <w:t>6.3</w:t>
      </w:r>
      <w:r w:rsidRPr="009D2776">
        <w:rPr>
          <w:rFonts w:cs="Arial"/>
          <w:lang w:val="de-DE"/>
        </w:rPr>
        <w:tab/>
        <w:t xml:space="preserve">Nur Abweicher: An verschiedenen Proben </w:t>
      </w:r>
      <w:r w:rsidR="009912DD" w:rsidRPr="009D2776">
        <w:rPr>
          <w:rFonts w:cs="Arial"/>
          <w:lang w:val="de-DE"/>
        </w:rPr>
        <w:t>erfasste</w:t>
      </w:r>
      <w:r w:rsidRPr="009D2776">
        <w:rPr>
          <w:rFonts w:cs="Arial"/>
          <w:lang w:val="de-DE"/>
        </w:rPr>
        <w:t xml:space="preserve"> Merkmale</w:t>
      </w:r>
      <w:bookmarkEnd w:id="315"/>
      <w:bookmarkEnd w:id="316"/>
      <w:bookmarkEnd w:id="317"/>
      <w:bookmarkEnd w:id="318"/>
      <w:bookmarkEnd w:id="319"/>
    </w:p>
    <w:p w:rsidR="000E2B2C" w:rsidRPr="009D2776" w:rsidRDefault="000E2B2C" w:rsidP="000E2B2C">
      <w:pPr>
        <w:rPr>
          <w:rFonts w:cs="Arial"/>
        </w:rPr>
      </w:pPr>
      <w:r w:rsidRPr="009D2776">
        <w:rPr>
          <w:rFonts w:cs="Arial"/>
        </w:rPr>
        <w:t>In vielen Fällen wird die Homogenität durch Erfassungen an verschiedenen Stichproben von Pflanzen oder Pflanzenteilen geprüft. Für die Homogenität bei Weizen (vergleiche UPOV</w:t>
      </w:r>
      <w:r w:rsidRPr="009D2776">
        <w:rPr>
          <w:rFonts w:cs="Arial"/>
        </w:rPr>
        <w:noBreakHyphen/>
        <w:t xml:space="preserve">Prüfungsrichtlinien für Weizen: TG/3) werden beispielsweise einige Merkmale an einer Probe von 2 000 Pflanzen, andere an einer Probe von Pflanzenteilen von 100 Pflanzen </w:t>
      </w:r>
      <w:r w:rsidR="009912DD" w:rsidRPr="009D2776">
        <w:rPr>
          <w:rFonts w:cs="Arial"/>
        </w:rPr>
        <w:t>erfasst</w:t>
      </w:r>
      <w:r w:rsidRPr="009D2776">
        <w:rPr>
          <w:rFonts w:cs="Arial"/>
        </w:rPr>
        <w:t xml:space="preserve">. Abweicherpflanzen, die in der Parzelle mit 2 000 Pflanzen </w:t>
      </w:r>
      <w:r w:rsidR="009912DD" w:rsidRPr="009D2776">
        <w:rPr>
          <w:rFonts w:cs="Arial"/>
        </w:rPr>
        <w:t>erfasst</w:t>
      </w:r>
      <w:r w:rsidRPr="009D2776">
        <w:rPr>
          <w:rFonts w:cs="Arial"/>
        </w:rPr>
        <w:t xml:space="preserve"> werden, können von weiteren Erfassungen ausgeschlossen werden. Für die von 100 Pflanzen entnommenen Pflanzenteile ist es in der Regel nicht möglich, den Pflanzenteil auf die ursprüngliche Pflanze in der Parzelle zurückzuverfolgen. Daher </w:t>
      </w:r>
      <w:r w:rsidR="009912DD" w:rsidRPr="009D2776">
        <w:rPr>
          <w:rFonts w:cs="Arial"/>
        </w:rPr>
        <w:t>muss</w:t>
      </w:r>
      <w:r w:rsidRPr="009D2776">
        <w:rPr>
          <w:rFonts w:cs="Arial"/>
        </w:rPr>
        <w:t xml:space="preserve"> die Stichprobe von 100 Pflanzenteilen als von den 2 000 Pflanzen unabhängig angesehen werden. Eine weitere unabhängige Stichprobe der Sorte wird in </w:t>
      </w:r>
      <w:r w:rsidR="009912DD" w:rsidRPr="009D2776">
        <w:rPr>
          <w:rFonts w:cs="Arial"/>
        </w:rPr>
        <w:t>Bezug</w:t>
      </w:r>
      <w:r w:rsidRPr="009D2776">
        <w:rPr>
          <w:rFonts w:cs="Arial"/>
        </w:rPr>
        <w:t xml:space="preserve"> auf die Samenmerkmale beobachtet. In diesen Fällen sollte eine Prüfung der Homogenität an allen unabhängigen Stichproben unter Verwendung des geeigneten Populationsstandards durchgeführt werden. Eine Sorte sollte als homogen angesehen werden, wenn die Homogenitätsvoraussetzungen in allen Stichproben erfüllt sind.</w:t>
      </w:r>
    </w:p>
    <w:p w:rsidR="000E2B2C" w:rsidRPr="009D2776" w:rsidRDefault="000E2B2C" w:rsidP="000E2B2C">
      <w:pPr>
        <w:rPr>
          <w:rFonts w:cs="Arial"/>
        </w:rPr>
      </w:pPr>
    </w:p>
    <w:p w:rsidR="000E2B2C" w:rsidRPr="009D2776" w:rsidRDefault="000E2B2C" w:rsidP="000E2B2C">
      <w:pPr>
        <w:pStyle w:val="Heading2"/>
        <w:rPr>
          <w:rFonts w:cs="Arial"/>
          <w:lang w:val="de-DE"/>
        </w:rPr>
      </w:pPr>
      <w:bookmarkStart w:id="320" w:name="_Toc159754501"/>
      <w:bookmarkStart w:id="321" w:name="_Toc159810518"/>
      <w:bookmarkStart w:id="322" w:name="_Toc161028404"/>
      <w:bookmarkStart w:id="323" w:name="_Toc189539619"/>
      <w:bookmarkStart w:id="324" w:name="_Toc15561072"/>
      <w:r w:rsidRPr="009D2776">
        <w:rPr>
          <w:rFonts w:cs="Arial"/>
          <w:lang w:val="de-DE"/>
        </w:rPr>
        <w:t>6.4</w:t>
      </w:r>
      <w:r w:rsidRPr="009D2776">
        <w:rPr>
          <w:rFonts w:cs="Arial"/>
          <w:lang w:val="de-DE"/>
        </w:rPr>
        <w:tab/>
        <w:t>Abweicher und Standardabweichungen</w:t>
      </w:r>
      <w:bookmarkEnd w:id="320"/>
      <w:bookmarkEnd w:id="321"/>
      <w:bookmarkEnd w:id="322"/>
      <w:bookmarkEnd w:id="323"/>
      <w:bookmarkEnd w:id="324"/>
    </w:p>
    <w:p w:rsidR="000E2B2C" w:rsidRPr="009D2776" w:rsidRDefault="000E2B2C" w:rsidP="000E2B2C">
      <w:pPr>
        <w:rPr>
          <w:rFonts w:cs="Arial"/>
        </w:rPr>
      </w:pPr>
      <w:r w:rsidRPr="009D2776">
        <w:rPr>
          <w:rFonts w:cs="Arial"/>
        </w:rPr>
        <w:t xml:space="preserve">In einzelnen Fällen kann die Homogenität einer Sorte für einige Merkmale mittels Abweicher und für andere Merkmale mittels Standardabweichungen bestimmt werden. Bei Möhre (vergleiche UPOV-Prüfungsrichtlinien für Möhre: TG/49) werden beispielsweise zahlreiche Rübenmerkmale visuell </w:t>
      </w:r>
      <w:r w:rsidR="009912DD" w:rsidRPr="009D2776">
        <w:rPr>
          <w:rFonts w:cs="Arial"/>
        </w:rPr>
        <w:t>erfasst</w:t>
      </w:r>
      <w:r w:rsidRPr="009D2776">
        <w:rPr>
          <w:rFonts w:cs="Arial"/>
        </w:rPr>
        <w:t xml:space="preserve">. Diese Rübenmerkmale werden an derselben Stichprobe von 200 Pflanzen visuell </w:t>
      </w:r>
      <w:r w:rsidR="009912DD" w:rsidRPr="009D2776">
        <w:rPr>
          <w:rFonts w:cs="Arial"/>
        </w:rPr>
        <w:t>erfasst</w:t>
      </w:r>
      <w:r w:rsidRPr="009D2776">
        <w:rPr>
          <w:rFonts w:cs="Arial"/>
        </w:rPr>
        <w:t xml:space="preserve"> und die Abweicher anhand aller visuell </w:t>
      </w:r>
      <w:r w:rsidR="009912DD" w:rsidRPr="009D2776">
        <w:rPr>
          <w:rFonts w:cs="Arial"/>
        </w:rPr>
        <w:t>erfassten</w:t>
      </w:r>
      <w:r w:rsidRPr="009D2776">
        <w:rPr>
          <w:rFonts w:cs="Arial"/>
        </w:rPr>
        <w:t xml:space="preserve"> Rübenmerkmale bestimmt. Bestimmte Rübenmerkmale können visuell oder durch Messungen </w:t>
      </w:r>
      <w:r w:rsidR="009912DD" w:rsidRPr="009D2776">
        <w:rPr>
          <w:rFonts w:cs="Arial"/>
        </w:rPr>
        <w:t>erfasst</w:t>
      </w:r>
      <w:r w:rsidRPr="009D2776">
        <w:rPr>
          <w:rFonts w:cs="Arial"/>
        </w:rPr>
        <w:t xml:space="preserve"> werden: Länge der Rübe, Breite der Rübe und Gewicht der Rübe. Wenn für diese Merkmale Messungen durchgeführt werden, empfehlen die UPOV-Prüfungsrichtlinien, </w:t>
      </w:r>
      <w:r w:rsidR="009912DD" w:rsidRPr="009D2776">
        <w:rPr>
          <w:rFonts w:cs="Arial"/>
        </w:rPr>
        <w:t>dass</w:t>
      </w:r>
      <w:r w:rsidRPr="009D2776">
        <w:rPr>
          <w:rFonts w:cs="Arial"/>
        </w:rPr>
        <w:t xml:space="preserve"> Messungen an 60Pflanzen erfolgen sollten. In dieser Situation wird das Verfahren der Standardabweichung individuell für jedes der drei gemessenen Merkmale angewandt. Die Stichprobe von 60 Rüben wird keine Rüben enthalten, die durch visuelle Erfassung als Abweicher identifiziert wurden. Weil die Erfassungen an Blättern jedoch vor den Erfassungen an der Rübe erfolgen, könnte die Probe von 60 Blättern, die für die Messung der Blattlänge entnommen werden, Blätter von Pflanzen enthalten, die aufgrund der Rübenmerkmale Abweicherpflanzen sind. Eine Sorte sollte als homogen angesehen werden, wenn die Homogenitätsvoraussetzungen in allen Stichproben erfüllt sind.</w:t>
      </w:r>
    </w:p>
    <w:p w:rsidR="000E2B2C" w:rsidRPr="009D2776" w:rsidRDefault="000E2B2C" w:rsidP="000E2B2C">
      <w:pPr>
        <w:rPr>
          <w:rFonts w:cs="Arial"/>
        </w:rPr>
      </w:pPr>
    </w:p>
    <w:p w:rsidR="000E2B2C" w:rsidRPr="009D2776" w:rsidRDefault="000E2B2C" w:rsidP="000E2B2C">
      <w:pPr>
        <w:rPr>
          <w:rFonts w:cs="Arial"/>
        </w:rPr>
      </w:pPr>
    </w:p>
    <w:p w:rsidR="00D70798" w:rsidRPr="009D2776" w:rsidRDefault="00D70798">
      <w:pPr>
        <w:jc w:val="left"/>
        <w:rPr>
          <w:rFonts w:cs="Arial"/>
        </w:rPr>
      </w:pPr>
    </w:p>
    <w:p w:rsidR="000E2B2C" w:rsidRPr="009D2776" w:rsidRDefault="000E2B2C" w:rsidP="000E2B2C">
      <w:pPr>
        <w:jc w:val="right"/>
        <w:rPr>
          <w:rFonts w:cs="Arial"/>
        </w:rPr>
      </w:pPr>
      <w:r w:rsidRPr="009D2776">
        <w:rPr>
          <w:rFonts w:cs="Arial"/>
        </w:rPr>
        <w:t>[Ende des Dokuments]</w:t>
      </w:r>
    </w:p>
    <w:sectPr w:rsidR="000E2B2C" w:rsidRPr="009D2776" w:rsidSect="000E2B2C">
      <w:headerReference w:type="default" r:id="rId9"/>
      <w:endnotePr>
        <w:numFmt w:val="lowerLetter"/>
      </w:endnotePr>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13D" w:rsidRDefault="00EC713D" w:rsidP="006655D3">
      <w:r>
        <w:separator/>
      </w:r>
    </w:p>
    <w:p w:rsidR="00EC713D" w:rsidRDefault="00EC713D" w:rsidP="006655D3"/>
    <w:p w:rsidR="00EC713D" w:rsidRDefault="00EC713D" w:rsidP="006655D3"/>
  </w:endnote>
  <w:endnote w:type="continuationSeparator" w:id="0">
    <w:p w:rsidR="00EC713D" w:rsidRDefault="00EC713D" w:rsidP="006655D3">
      <w:r>
        <w:separator/>
      </w:r>
    </w:p>
    <w:p w:rsidR="00EC713D" w:rsidRPr="00C77349" w:rsidRDefault="00EC713D">
      <w:pPr>
        <w:pStyle w:val="Footer"/>
        <w:spacing w:after="60"/>
        <w:rPr>
          <w:sz w:val="18"/>
          <w:lang w:val="fr-CH"/>
        </w:rPr>
      </w:pPr>
      <w:r w:rsidRPr="00C77349">
        <w:rPr>
          <w:sz w:val="18"/>
          <w:lang w:val="fr-CH"/>
        </w:rPr>
        <w:t>[Suite de la note de la page précédente]</w:t>
      </w:r>
    </w:p>
    <w:p w:rsidR="00EC713D" w:rsidRPr="00C77349" w:rsidRDefault="00EC713D" w:rsidP="006655D3">
      <w:pPr>
        <w:rPr>
          <w:lang w:val="fr-CH"/>
        </w:rPr>
      </w:pPr>
    </w:p>
    <w:p w:rsidR="00EC713D" w:rsidRPr="00C77349" w:rsidRDefault="00EC713D" w:rsidP="006655D3">
      <w:pPr>
        <w:rPr>
          <w:lang w:val="fr-CH"/>
        </w:rPr>
      </w:pPr>
    </w:p>
  </w:endnote>
  <w:endnote w:type="continuationNotice" w:id="1">
    <w:p w:rsidR="00EC713D" w:rsidRPr="00C77349" w:rsidRDefault="00EC713D" w:rsidP="006655D3">
      <w:pPr>
        <w:rPr>
          <w:lang w:val="fr-CH"/>
        </w:rPr>
      </w:pPr>
      <w:r w:rsidRPr="00C77349">
        <w:rPr>
          <w:lang w:val="fr-CH"/>
        </w:rPr>
        <w:t>[Suite de la note page suivante]</w:t>
      </w:r>
    </w:p>
    <w:p w:rsidR="00EC713D" w:rsidRPr="00C77349" w:rsidRDefault="00EC713D" w:rsidP="006655D3">
      <w:pPr>
        <w:rPr>
          <w:lang w:val="fr-CH"/>
        </w:rPr>
      </w:pPr>
    </w:p>
    <w:p w:rsidR="00EC713D" w:rsidRPr="00C77349" w:rsidRDefault="00EC713D"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ngsana New">
    <w:altName w:val="Arial Unicode MS"/>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13D" w:rsidRDefault="00EC713D" w:rsidP="006655D3">
      <w:r>
        <w:separator/>
      </w:r>
    </w:p>
  </w:footnote>
  <w:footnote w:type="continuationSeparator" w:id="0">
    <w:p w:rsidR="00EC713D" w:rsidRDefault="00EC713D" w:rsidP="006655D3">
      <w:r>
        <w:separator/>
      </w:r>
    </w:p>
  </w:footnote>
  <w:footnote w:type="continuationNotice" w:id="1">
    <w:p w:rsidR="00EC713D" w:rsidRPr="00CB663F" w:rsidRDefault="00EC713D" w:rsidP="00CB663F">
      <w:pPr>
        <w:pStyle w:val="Footer"/>
      </w:pPr>
    </w:p>
  </w:footnote>
  <w:footnote w:id="2">
    <w:p w:rsidR="000E2B2C" w:rsidRPr="009912DD" w:rsidRDefault="000E2B2C" w:rsidP="00732A77">
      <w:pPr>
        <w:pStyle w:val="FootnoteText"/>
        <w:rPr>
          <w:lang w:val="de-DE"/>
        </w:rPr>
      </w:pPr>
      <w:r w:rsidRPr="009912DD">
        <w:rPr>
          <w:rStyle w:val="FootnoteReference"/>
          <w:lang w:val="de-DE"/>
        </w:rPr>
        <w:footnoteRef/>
      </w:r>
      <w:r w:rsidRPr="009912DD">
        <w:rPr>
          <w:lang w:val="de-DE"/>
        </w:rPr>
        <w:tab/>
        <w:t>Der Begriff „Variationsniveau“ wird als besser geeignet als der Begriff „Variationsbreite“ angesehen, der in der Allgemeinen Einführung verwendet wird (vergleiche beispielsweise Kapitel 6.4).</w:t>
      </w:r>
    </w:p>
  </w:footnote>
  <w:footnote w:id="3">
    <w:p w:rsidR="000E2B2C" w:rsidRPr="009912DD" w:rsidRDefault="000E2B2C" w:rsidP="009D2776">
      <w:pPr>
        <w:pStyle w:val="FootnoteText"/>
        <w:rPr>
          <w:lang w:val="de-DE"/>
        </w:rPr>
      </w:pPr>
      <w:r w:rsidRPr="009912DD">
        <w:rPr>
          <w:rStyle w:val="FootnoteReference"/>
          <w:lang w:val="de-DE"/>
        </w:rPr>
        <w:footnoteRef/>
      </w:r>
      <w:r w:rsidRPr="009912DD">
        <w:rPr>
          <w:lang w:val="de-DE"/>
        </w:rPr>
        <w:tab/>
      </w:r>
      <w:r w:rsidRPr="00B15C51">
        <w:rPr>
          <w:spacing w:val="-2"/>
          <w:lang w:val="de-DE"/>
        </w:rPr>
        <w:t>Diese Erläuterung des Begriffs „Akzeptanzwahrscheinlichkeit“ wird als geeigneter als die Erläuterung der „Akzeptanzwahrscheinlichkeit“</w:t>
      </w:r>
      <w:r w:rsidRPr="009912DD">
        <w:rPr>
          <w:lang w:val="de-DE"/>
        </w:rPr>
        <w:t xml:space="preserve"> angesehen, die in der Allgemeinen Einführung verwendet wurde (vergleiche</w:t>
      </w:r>
      <w:r w:rsidR="00B15C51">
        <w:rPr>
          <w:lang w:val="de-DE"/>
        </w:rPr>
        <w:t xml:space="preserve"> </w:t>
      </w:r>
      <w:r w:rsidR="009D2776" w:rsidRPr="009912DD">
        <w:rPr>
          <w:lang w:val="de-DE"/>
        </w:rPr>
        <w:t>beispielsweise Kapitel </w:t>
      </w:r>
      <w:r w:rsidRPr="009912DD">
        <w:rPr>
          <w:lang w:val="de-DE"/>
        </w:rPr>
        <w:t>6.4.1.3).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189" w:rsidRPr="005F517A" w:rsidRDefault="00D75189" w:rsidP="00997F29">
    <w:pPr>
      <w:pStyle w:val="Header"/>
      <w:rPr>
        <w:lang w:val="de-CH"/>
      </w:rPr>
    </w:pPr>
    <w:r w:rsidRPr="00ED779A">
      <w:rPr>
        <w:lang w:val="de-CH"/>
      </w:rPr>
      <w:t>TGP/</w:t>
    </w:r>
    <w:r w:rsidR="00ED779A" w:rsidRPr="00ED779A">
      <w:rPr>
        <w:lang w:val="de-CH"/>
      </w:rPr>
      <w:t>10</w:t>
    </w:r>
    <w:r w:rsidR="00930503" w:rsidRPr="00ED779A">
      <w:rPr>
        <w:lang w:val="de-CH"/>
      </w:rPr>
      <w:t>/</w:t>
    </w:r>
    <w:r w:rsidR="00ED779A" w:rsidRPr="00ED779A">
      <w:rPr>
        <w:lang w:val="de-CH"/>
      </w:rPr>
      <w:t>2</w:t>
    </w:r>
    <w:r w:rsidR="00930503" w:rsidRPr="00ED779A">
      <w:rPr>
        <w:lang w:val="de-CH"/>
      </w:rPr>
      <w:t xml:space="preserve"> </w:t>
    </w:r>
    <w:proofErr w:type="spellStart"/>
    <w:r w:rsidR="00930503" w:rsidRPr="00ED779A">
      <w:rPr>
        <w:lang w:val="de-CH"/>
      </w:rPr>
      <w:t>Draft</w:t>
    </w:r>
    <w:proofErr w:type="spellEnd"/>
    <w:r w:rsidR="00930503" w:rsidRPr="00ED779A">
      <w:rPr>
        <w:lang w:val="de-CH"/>
      </w:rPr>
      <w:t xml:space="preserve"> </w:t>
    </w:r>
    <w:r w:rsidR="00ED779A" w:rsidRPr="00ED779A">
      <w:rPr>
        <w:lang w:val="de-CH"/>
      </w:rPr>
      <w:t>1</w:t>
    </w:r>
  </w:p>
  <w:p w:rsidR="00D75189" w:rsidRPr="009912DD" w:rsidRDefault="00D75189">
    <w:pPr>
      <w:pStyle w:val="Header"/>
      <w:rPr>
        <w:rStyle w:val="PageNumber"/>
        <w:lang w:val="de-DE"/>
      </w:rPr>
    </w:pPr>
    <w:r w:rsidRPr="009912DD">
      <w:rPr>
        <w:lang w:val="de-DE"/>
      </w:rPr>
      <w:t xml:space="preserve">Seite </w:t>
    </w:r>
    <w:r w:rsidRPr="009912DD">
      <w:rPr>
        <w:rStyle w:val="PageNumber"/>
        <w:lang w:val="de-DE"/>
      </w:rPr>
      <w:fldChar w:fldCharType="begin"/>
    </w:r>
    <w:r w:rsidRPr="009912DD">
      <w:rPr>
        <w:rStyle w:val="PageNumber"/>
        <w:lang w:val="de-DE"/>
      </w:rPr>
      <w:instrText xml:space="preserve"> PAGE </w:instrText>
    </w:r>
    <w:r w:rsidRPr="009912DD">
      <w:rPr>
        <w:rStyle w:val="PageNumber"/>
        <w:lang w:val="de-DE"/>
      </w:rPr>
      <w:fldChar w:fldCharType="separate"/>
    </w:r>
    <w:r w:rsidR="005E1757">
      <w:rPr>
        <w:rStyle w:val="PageNumber"/>
        <w:noProof/>
        <w:lang w:val="de-DE"/>
      </w:rPr>
      <w:t>16</w:t>
    </w:r>
    <w:r w:rsidRPr="009912DD">
      <w:rPr>
        <w:rStyle w:val="PageNumber"/>
        <w:lang w:val="de-DE"/>
      </w:rPr>
      <w:fldChar w:fldCharType="end"/>
    </w:r>
  </w:p>
  <w:p w:rsidR="00D75189" w:rsidRDefault="00D751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5A7A515A"/>
    <w:lvl w:ilvl="0">
      <w:start w:val="1"/>
      <w:numFmt w:val="decimal"/>
      <w:lvlText w:val="%1."/>
      <w:lvlJc w:val="left"/>
      <w:pPr>
        <w:tabs>
          <w:tab w:val="num" w:pos="1209"/>
        </w:tabs>
        <w:ind w:left="1209" w:hanging="360"/>
      </w:pPr>
    </w:lvl>
  </w:abstractNum>
  <w:abstractNum w:abstractNumId="1" w15:restartNumberingAfterBreak="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2680FC2"/>
    <w:multiLevelType w:val="hybridMultilevel"/>
    <w:tmpl w:val="2076CA0E"/>
    <w:lvl w:ilvl="0" w:tplc="04090017">
      <w:start w:val="1"/>
      <w:numFmt w:val="lowerLetter"/>
      <w:lvlText w:val="%1)"/>
      <w:lvlJc w:val="left"/>
      <w:pPr>
        <w:ind w:left="1353" w:hanging="360"/>
      </w:pPr>
    </w:lvl>
    <w:lvl w:ilvl="1" w:tplc="04070019">
      <w:start w:val="1"/>
      <w:numFmt w:val="decimal"/>
      <w:lvlText w:val="%2."/>
      <w:lvlJc w:val="left"/>
      <w:pPr>
        <w:tabs>
          <w:tab w:val="num" w:pos="2073"/>
        </w:tabs>
        <w:ind w:left="2073" w:hanging="360"/>
      </w:pPr>
    </w:lvl>
    <w:lvl w:ilvl="2" w:tplc="0407001B">
      <w:start w:val="1"/>
      <w:numFmt w:val="decimal"/>
      <w:lvlText w:val="%3."/>
      <w:lvlJc w:val="left"/>
      <w:pPr>
        <w:tabs>
          <w:tab w:val="num" w:pos="2793"/>
        </w:tabs>
        <w:ind w:left="2793" w:hanging="360"/>
      </w:pPr>
    </w:lvl>
    <w:lvl w:ilvl="3" w:tplc="0407000F">
      <w:start w:val="1"/>
      <w:numFmt w:val="decimal"/>
      <w:lvlText w:val="%4."/>
      <w:lvlJc w:val="left"/>
      <w:pPr>
        <w:tabs>
          <w:tab w:val="num" w:pos="3513"/>
        </w:tabs>
        <w:ind w:left="3513" w:hanging="360"/>
      </w:pPr>
    </w:lvl>
    <w:lvl w:ilvl="4" w:tplc="04070019">
      <w:start w:val="1"/>
      <w:numFmt w:val="decimal"/>
      <w:lvlText w:val="%5."/>
      <w:lvlJc w:val="left"/>
      <w:pPr>
        <w:tabs>
          <w:tab w:val="num" w:pos="4233"/>
        </w:tabs>
        <w:ind w:left="4233" w:hanging="360"/>
      </w:pPr>
    </w:lvl>
    <w:lvl w:ilvl="5" w:tplc="0407001B">
      <w:start w:val="1"/>
      <w:numFmt w:val="decimal"/>
      <w:lvlText w:val="%6."/>
      <w:lvlJc w:val="left"/>
      <w:pPr>
        <w:tabs>
          <w:tab w:val="num" w:pos="4953"/>
        </w:tabs>
        <w:ind w:left="4953" w:hanging="360"/>
      </w:pPr>
    </w:lvl>
    <w:lvl w:ilvl="6" w:tplc="0407000F">
      <w:start w:val="1"/>
      <w:numFmt w:val="decimal"/>
      <w:lvlText w:val="%7."/>
      <w:lvlJc w:val="left"/>
      <w:pPr>
        <w:tabs>
          <w:tab w:val="num" w:pos="5673"/>
        </w:tabs>
        <w:ind w:left="5673" w:hanging="360"/>
      </w:pPr>
    </w:lvl>
    <w:lvl w:ilvl="7" w:tplc="04070019">
      <w:start w:val="1"/>
      <w:numFmt w:val="decimal"/>
      <w:lvlText w:val="%8."/>
      <w:lvlJc w:val="left"/>
      <w:pPr>
        <w:tabs>
          <w:tab w:val="num" w:pos="6393"/>
        </w:tabs>
        <w:ind w:left="6393" w:hanging="360"/>
      </w:pPr>
    </w:lvl>
    <w:lvl w:ilvl="8" w:tplc="0407001B">
      <w:start w:val="1"/>
      <w:numFmt w:val="decimal"/>
      <w:lvlText w:val="%9."/>
      <w:lvlJc w:val="left"/>
      <w:pPr>
        <w:tabs>
          <w:tab w:val="num" w:pos="7113"/>
        </w:tabs>
        <w:ind w:left="7113" w:hanging="360"/>
      </w:pPr>
    </w:lvl>
  </w:abstractNum>
  <w:abstractNum w:abstractNumId="3" w15:restartNumberingAfterBreak="0">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AB28E9"/>
    <w:multiLevelType w:val="multilevel"/>
    <w:tmpl w:val="36E20A76"/>
    <w:lvl w:ilvl="0">
      <w:start w:val="1"/>
      <w:numFmt w:val="lowerLetter"/>
      <w:lvlText w:val="%1)"/>
      <w:lvlJc w:val="left"/>
      <w:pPr>
        <w:tabs>
          <w:tab w:val="num" w:pos="1140"/>
        </w:tabs>
        <w:ind w:left="1140" w:hanging="570"/>
      </w:pPr>
      <w:rPr>
        <w:rFonts w:hint="default"/>
      </w:r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5" w15:restartNumberingAfterBreak="0">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0A7E16"/>
    <w:multiLevelType w:val="hybridMultilevel"/>
    <w:tmpl w:val="D4A0883C"/>
    <w:lvl w:ilvl="0" w:tplc="54083482">
      <w:start w:val="1"/>
      <w:numFmt w:val="bullet"/>
      <w:lvlText w:val="-"/>
      <w:lvlJc w:val="left"/>
      <w:pPr>
        <w:ind w:left="1287" w:hanging="360"/>
      </w:pPr>
      <w:rPr>
        <w:rFonts w:ascii="Arial" w:hAnsi="Aria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1BDB58E7"/>
    <w:multiLevelType w:val="hybridMultilevel"/>
    <w:tmpl w:val="E1B22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C14CB3"/>
    <w:multiLevelType w:val="singleLevel"/>
    <w:tmpl w:val="8A708B7C"/>
    <w:lvl w:ilvl="0">
      <w:start w:val="1"/>
      <w:numFmt w:val="decimal"/>
      <w:lvlText w:val="%1."/>
      <w:lvlJc w:val="left"/>
      <w:pPr>
        <w:tabs>
          <w:tab w:val="num" w:pos="1352"/>
        </w:tabs>
        <w:ind w:left="1352" w:hanging="360"/>
      </w:pPr>
      <w:rPr>
        <w:rFonts w:hint="default"/>
      </w:rPr>
    </w:lvl>
  </w:abstractNum>
  <w:abstractNum w:abstractNumId="11" w15:restartNumberingAfterBreak="0">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A1E0796"/>
    <w:multiLevelType w:val="singleLevel"/>
    <w:tmpl w:val="04EE7A0C"/>
    <w:lvl w:ilvl="0">
      <w:start w:val="1"/>
      <w:numFmt w:val="lowerLetter"/>
      <w:lvlText w:val="(%1)"/>
      <w:legacy w:legacy="1" w:legacySpace="0" w:legacyIndent="567"/>
      <w:lvlJc w:val="left"/>
    </w:lvl>
  </w:abstractNum>
  <w:abstractNum w:abstractNumId="13" w15:restartNumberingAfterBreak="0">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A901314"/>
    <w:multiLevelType w:val="singleLevel"/>
    <w:tmpl w:val="F9DC0DAE"/>
    <w:lvl w:ilvl="0">
      <w:start w:val="1"/>
      <w:numFmt w:val="decimal"/>
      <w:lvlText w:val="%1."/>
      <w:lvlJc w:val="left"/>
      <w:pPr>
        <w:tabs>
          <w:tab w:val="num" w:pos="567"/>
        </w:tabs>
        <w:ind w:left="567" w:hanging="567"/>
      </w:pPr>
      <w:rPr>
        <w:u w:val="none"/>
      </w:rPr>
    </w:lvl>
  </w:abstractNum>
  <w:abstractNum w:abstractNumId="15" w15:restartNumberingAfterBreak="0">
    <w:nsid w:val="63173EF1"/>
    <w:multiLevelType w:val="hybridMultilevel"/>
    <w:tmpl w:val="23502B40"/>
    <w:lvl w:ilvl="0" w:tplc="4B8EF66C">
      <w:start w:val="2"/>
      <w:numFmt w:val="lowerLetter"/>
      <w:lvlText w:val="%1)"/>
      <w:lvlJc w:val="left"/>
      <w:pPr>
        <w:tabs>
          <w:tab w:val="num" w:pos="930"/>
        </w:tabs>
        <w:ind w:left="930" w:hanging="36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6" w15:restartNumberingAfterBreak="0">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18" w15:restartNumberingAfterBreak="0">
    <w:nsid w:val="7FB52360"/>
    <w:multiLevelType w:val="singleLevel"/>
    <w:tmpl w:val="9ECEE9CE"/>
    <w:lvl w:ilvl="0">
      <w:start w:val="1"/>
      <w:numFmt w:val="lowerLetter"/>
      <w:lvlText w:val="%1)"/>
      <w:lvlJc w:val="left"/>
      <w:pPr>
        <w:tabs>
          <w:tab w:val="num" w:pos="996"/>
        </w:tabs>
        <w:ind w:left="996" w:hanging="996"/>
      </w:pPr>
      <w:rPr>
        <w:rFonts w:hint="default"/>
      </w:rPr>
    </w:lvl>
  </w:abstractNum>
  <w:num w:numId="1">
    <w:abstractNumId w:val="14"/>
  </w:num>
  <w:num w:numId="2">
    <w:abstractNumId w:val="3"/>
  </w:num>
  <w:num w:numId="3">
    <w:abstractNumId w:val="11"/>
  </w:num>
  <w:num w:numId="4">
    <w:abstractNumId w:val="9"/>
  </w:num>
  <w:num w:numId="5">
    <w:abstractNumId w:val="16"/>
  </w:num>
  <w:num w:numId="6">
    <w:abstractNumId w:val="5"/>
  </w:num>
  <w:num w:numId="7">
    <w:abstractNumId w:val="13"/>
  </w:num>
  <w:num w:numId="8">
    <w:abstractNumId w:val="4"/>
  </w:num>
  <w:num w:numId="9">
    <w:abstractNumId w:val="17"/>
  </w:num>
  <w:num w:numId="10">
    <w:abstractNumId w:val="18"/>
  </w:num>
  <w:num w:numId="11">
    <w:abstractNumId w:val="10"/>
  </w:num>
  <w:num w:numId="12">
    <w:abstractNumId w:val="0"/>
  </w:num>
  <w:num w:numId="13">
    <w:abstractNumId w:val="1"/>
  </w:num>
  <w:num w:numId="14">
    <w:abstractNumId w:val="12"/>
  </w:num>
  <w:num w:numId="15">
    <w:abstractNumId w:val="15"/>
  </w:num>
  <w:num w:numId="16">
    <w:abstractNumId w:val="17"/>
  </w:num>
  <w:num w:numId="17">
    <w:abstractNumId w:val="8"/>
  </w:num>
  <w:num w:numId="18">
    <w:abstractNumId w:val="7"/>
  </w:num>
  <w:num w:numId="19">
    <w:abstractNumId w:val="2"/>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efaultTabStop w:val="851"/>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low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13D"/>
    <w:rsid w:val="00003600"/>
    <w:rsid w:val="0001006E"/>
    <w:rsid w:val="00010CF3"/>
    <w:rsid w:val="0001152C"/>
    <w:rsid w:val="00011E27"/>
    <w:rsid w:val="00012AB0"/>
    <w:rsid w:val="000148BC"/>
    <w:rsid w:val="00024AB8"/>
    <w:rsid w:val="00027A91"/>
    <w:rsid w:val="00027B82"/>
    <w:rsid w:val="00030854"/>
    <w:rsid w:val="00036028"/>
    <w:rsid w:val="000416B4"/>
    <w:rsid w:val="000430B2"/>
    <w:rsid w:val="00044642"/>
    <w:rsid w:val="000446B9"/>
    <w:rsid w:val="00047D7F"/>
    <w:rsid w:val="00047E21"/>
    <w:rsid w:val="000514F3"/>
    <w:rsid w:val="000544AC"/>
    <w:rsid w:val="00085505"/>
    <w:rsid w:val="00094142"/>
    <w:rsid w:val="000952E5"/>
    <w:rsid w:val="00095A24"/>
    <w:rsid w:val="000A1E07"/>
    <w:rsid w:val="000A68B4"/>
    <w:rsid w:val="000C7021"/>
    <w:rsid w:val="000D129C"/>
    <w:rsid w:val="000D1F6B"/>
    <w:rsid w:val="000D6BBC"/>
    <w:rsid w:val="000D7780"/>
    <w:rsid w:val="000E2B2C"/>
    <w:rsid w:val="000F344E"/>
    <w:rsid w:val="000F5534"/>
    <w:rsid w:val="00104A9B"/>
    <w:rsid w:val="00105929"/>
    <w:rsid w:val="001131D5"/>
    <w:rsid w:val="0011400C"/>
    <w:rsid w:val="0011742E"/>
    <w:rsid w:val="001353A7"/>
    <w:rsid w:val="00141DB8"/>
    <w:rsid w:val="00151E54"/>
    <w:rsid w:val="0016670D"/>
    <w:rsid w:val="0017474A"/>
    <w:rsid w:val="001758C6"/>
    <w:rsid w:val="00182B99"/>
    <w:rsid w:val="001B5948"/>
    <w:rsid w:val="001C69D3"/>
    <w:rsid w:val="001D1C58"/>
    <w:rsid w:val="001D3158"/>
    <w:rsid w:val="001E7888"/>
    <w:rsid w:val="00203B1C"/>
    <w:rsid w:val="0021332C"/>
    <w:rsid w:val="00213982"/>
    <w:rsid w:val="00215FB3"/>
    <w:rsid w:val="00236E13"/>
    <w:rsid w:val="0024416D"/>
    <w:rsid w:val="00252F7A"/>
    <w:rsid w:val="00276C38"/>
    <w:rsid w:val="002800A0"/>
    <w:rsid w:val="002801B3"/>
    <w:rsid w:val="00281060"/>
    <w:rsid w:val="002852D1"/>
    <w:rsid w:val="00294032"/>
    <w:rsid w:val="002940E8"/>
    <w:rsid w:val="00295154"/>
    <w:rsid w:val="002A1579"/>
    <w:rsid w:val="002A5CA3"/>
    <w:rsid w:val="002A6E50"/>
    <w:rsid w:val="002B29B5"/>
    <w:rsid w:val="002B2E22"/>
    <w:rsid w:val="002C256A"/>
    <w:rsid w:val="002C6D48"/>
    <w:rsid w:val="002D60F7"/>
    <w:rsid w:val="002E4023"/>
    <w:rsid w:val="002F7C89"/>
    <w:rsid w:val="00305A7F"/>
    <w:rsid w:val="003152FE"/>
    <w:rsid w:val="0031538D"/>
    <w:rsid w:val="00316207"/>
    <w:rsid w:val="0032088D"/>
    <w:rsid w:val="00327436"/>
    <w:rsid w:val="00344BD6"/>
    <w:rsid w:val="0035528D"/>
    <w:rsid w:val="00355B43"/>
    <w:rsid w:val="00357C98"/>
    <w:rsid w:val="0036031F"/>
    <w:rsid w:val="00361821"/>
    <w:rsid w:val="003646D1"/>
    <w:rsid w:val="003752F7"/>
    <w:rsid w:val="00375B09"/>
    <w:rsid w:val="003856DA"/>
    <w:rsid w:val="003B027E"/>
    <w:rsid w:val="003B4230"/>
    <w:rsid w:val="003C77C5"/>
    <w:rsid w:val="003D113B"/>
    <w:rsid w:val="003D227C"/>
    <w:rsid w:val="003D2B4D"/>
    <w:rsid w:val="003E5C89"/>
    <w:rsid w:val="00400DA7"/>
    <w:rsid w:val="004062E1"/>
    <w:rsid w:val="00406402"/>
    <w:rsid w:val="00420271"/>
    <w:rsid w:val="00423762"/>
    <w:rsid w:val="00441798"/>
    <w:rsid w:val="00444A88"/>
    <w:rsid w:val="00445282"/>
    <w:rsid w:val="00447B8A"/>
    <w:rsid w:val="004557F0"/>
    <w:rsid w:val="00455C3F"/>
    <w:rsid w:val="00455FE3"/>
    <w:rsid w:val="00474DA4"/>
    <w:rsid w:val="00476465"/>
    <w:rsid w:val="00476B4D"/>
    <w:rsid w:val="004805FA"/>
    <w:rsid w:val="00486EAB"/>
    <w:rsid w:val="004B5250"/>
    <w:rsid w:val="004B544F"/>
    <w:rsid w:val="004C0D59"/>
    <w:rsid w:val="004C1D83"/>
    <w:rsid w:val="004C6EC5"/>
    <w:rsid w:val="004D047D"/>
    <w:rsid w:val="004E33F4"/>
    <w:rsid w:val="004E76EF"/>
    <w:rsid w:val="004F305A"/>
    <w:rsid w:val="00512164"/>
    <w:rsid w:val="00520297"/>
    <w:rsid w:val="00531E7B"/>
    <w:rsid w:val="005338F9"/>
    <w:rsid w:val="00534D78"/>
    <w:rsid w:val="0054281C"/>
    <w:rsid w:val="00543B93"/>
    <w:rsid w:val="00543C85"/>
    <w:rsid w:val="0055268D"/>
    <w:rsid w:val="00564F4B"/>
    <w:rsid w:val="00576BE4"/>
    <w:rsid w:val="00582936"/>
    <w:rsid w:val="00591E2C"/>
    <w:rsid w:val="005966EE"/>
    <w:rsid w:val="005A2B08"/>
    <w:rsid w:val="005A400A"/>
    <w:rsid w:val="005B159E"/>
    <w:rsid w:val="005D21F2"/>
    <w:rsid w:val="005E1757"/>
    <w:rsid w:val="005F05B6"/>
    <w:rsid w:val="005F2C30"/>
    <w:rsid w:val="005F4B65"/>
    <w:rsid w:val="005F56F4"/>
    <w:rsid w:val="005F5EE1"/>
    <w:rsid w:val="006032B4"/>
    <w:rsid w:val="0060791E"/>
    <w:rsid w:val="00612379"/>
    <w:rsid w:val="0061555F"/>
    <w:rsid w:val="00624019"/>
    <w:rsid w:val="00627CB8"/>
    <w:rsid w:val="0063106C"/>
    <w:rsid w:val="00634711"/>
    <w:rsid w:val="00641200"/>
    <w:rsid w:val="00642378"/>
    <w:rsid w:val="00646C7D"/>
    <w:rsid w:val="00647082"/>
    <w:rsid w:val="00647497"/>
    <w:rsid w:val="00651CB7"/>
    <w:rsid w:val="006655D3"/>
    <w:rsid w:val="006707B5"/>
    <w:rsid w:val="00673298"/>
    <w:rsid w:val="00676455"/>
    <w:rsid w:val="00687EB4"/>
    <w:rsid w:val="006B17D2"/>
    <w:rsid w:val="006B7CF6"/>
    <w:rsid w:val="006C224E"/>
    <w:rsid w:val="006D21AD"/>
    <w:rsid w:val="006D4692"/>
    <w:rsid w:val="006D780A"/>
    <w:rsid w:val="006F6989"/>
    <w:rsid w:val="00700727"/>
    <w:rsid w:val="00721E99"/>
    <w:rsid w:val="00732A77"/>
    <w:rsid w:val="00732DEC"/>
    <w:rsid w:val="00735BD5"/>
    <w:rsid w:val="007434C5"/>
    <w:rsid w:val="007556F6"/>
    <w:rsid w:val="00760EEF"/>
    <w:rsid w:val="00771321"/>
    <w:rsid w:val="00777EE5"/>
    <w:rsid w:val="007833A8"/>
    <w:rsid w:val="00784836"/>
    <w:rsid w:val="00786CD5"/>
    <w:rsid w:val="0079023E"/>
    <w:rsid w:val="00796F74"/>
    <w:rsid w:val="007A2854"/>
    <w:rsid w:val="007A3C0F"/>
    <w:rsid w:val="007A54DE"/>
    <w:rsid w:val="007C0640"/>
    <w:rsid w:val="007D0B9D"/>
    <w:rsid w:val="007D19B0"/>
    <w:rsid w:val="007E42A6"/>
    <w:rsid w:val="007F498F"/>
    <w:rsid w:val="007F7759"/>
    <w:rsid w:val="00804059"/>
    <w:rsid w:val="0080679D"/>
    <w:rsid w:val="008108B0"/>
    <w:rsid w:val="00811B20"/>
    <w:rsid w:val="00812799"/>
    <w:rsid w:val="00821371"/>
    <w:rsid w:val="00821CCE"/>
    <w:rsid w:val="0082296E"/>
    <w:rsid w:val="00824099"/>
    <w:rsid w:val="00824710"/>
    <w:rsid w:val="00843143"/>
    <w:rsid w:val="00851632"/>
    <w:rsid w:val="00860D33"/>
    <w:rsid w:val="00862F4E"/>
    <w:rsid w:val="00867AC1"/>
    <w:rsid w:val="00867DEC"/>
    <w:rsid w:val="0087470E"/>
    <w:rsid w:val="00875B5D"/>
    <w:rsid w:val="00883D93"/>
    <w:rsid w:val="00884696"/>
    <w:rsid w:val="00886218"/>
    <w:rsid w:val="008A170E"/>
    <w:rsid w:val="008A2BC6"/>
    <w:rsid w:val="008A5D52"/>
    <w:rsid w:val="008A743F"/>
    <w:rsid w:val="008B6DE8"/>
    <w:rsid w:val="008C0970"/>
    <w:rsid w:val="008D2CF7"/>
    <w:rsid w:val="008D6917"/>
    <w:rsid w:val="008F62DF"/>
    <w:rsid w:val="008F62FA"/>
    <w:rsid w:val="00900C26"/>
    <w:rsid w:val="0090197F"/>
    <w:rsid w:val="00901A3F"/>
    <w:rsid w:val="00906DDC"/>
    <w:rsid w:val="0091322A"/>
    <w:rsid w:val="00930503"/>
    <w:rsid w:val="00930A12"/>
    <w:rsid w:val="00932FFD"/>
    <w:rsid w:val="00934E09"/>
    <w:rsid w:val="00936253"/>
    <w:rsid w:val="00944D7B"/>
    <w:rsid w:val="0094624A"/>
    <w:rsid w:val="00952DD4"/>
    <w:rsid w:val="00970FED"/>
    <w:rsid w:val="009811B7"/>
    <w:rsid w:val="00987B1F"/>
    <w:rsid w:val="009912DD"/>
    <w:rsid w:val="00996CD6"/>
    <w:rsid w:val="00997029"/>
    <w:rsid w:val="00997F29"/>
    <w:rsid w:val="009A173E"/>
    <w:rsid w:val="009C42E0"/>
    <w:rsid w:val="009D2776"/>
    <w:rsid w:val="009D5529"/>
    <w:rsid w:val="009D690D"/>
    <w:rsid w:val="009E37DA"/>
    <w:rsid w:val="009E65B6"/>
    <w:rsid w:val="009F380B"/>
    <w:rsid w:val="009F3920"/>
    <w:rsid w:val="009F3BEE"/>
    <w:rsid w:val="009F7670"/>
    <w:rsid w:val="00A023C9"/>
    <w:rsid w:val="00A07DBE"/>
    <w:rsid w:val="00A1271B"/>
    <w:rsid w:val="00A15A17"/>
    <w:rsid w:val="00A246B9"/>
    <w:rsid w:val="00A35255"/>
    <w:rsid w:val="00A418FC"/>
    <w:rsid w:val="00A42AC3"/>
    <w:rsid w:val="00A430CF"/>
    <w:rsid w:val="00A52FD8"/>
    <w:rsid w:val="00A54309"/>
    <w:rsid w:val="00A77192"/>
    <w:rsid w:val="00A832A9"/>
    <w:rsid w:val="00A95BAF"/>
    <w:rsid w:val="00AA0C93"/>
    <w:rsid w:val="00AB2B93"/>
    <w:rsid w:val="00AB7E5B"/>
    <w:rsid w:val="00AC0D5A"/>
    <w:rsid w:val="00AC57D1"/>
    <w:rsid w:val="00AD789A"/>
    <w:rsid w:val="00AE0EF1"/>
    <w:rsid w:val="00AE2937"/>
    <w:rsid w:val="00AF0D2E"/>
    <w:rsid w:val="00AF6F5F"/>
    <w:rsid w:val="00B02FDA"/>
    <w:rsid w:val="00B06FAD"/>
    <w:rsid w:val="00B07301"/>
    <w:rsid w:val="00B102EA"/>
    <w:rsid w:val="00B15653"/>
    <w:rsid w:val="00B15C51"/>
    <w:rsid w:val="00B224DE"/>
    <w:rsid w:val="00B31209"/>
    <w:rsid w:val="00B32690"/>
    <w:rsid w:val="00B43BAB"/>
    <w:rsid w:val="00B46575"/>
    <w:rsid w:val="00B671FF"/>
    <w:rsid w:val="00B70714"/>
    <w:rsid w:val="00B777DB"/>
    <w:rsid w:val="00B8136C"/>
    <w:rsid w:val="00B84BBD"/>
    <w:rsid w:val="00B907F2"/>
    <w:rsid w:val="00B92169"/>
    <w:rsid w:val="00B92C84"/>
    <w:rsid w:val="00B95EE4"/>
    <w:rsid w:val="00BA341E"/>
    <w:rsid w:val="00BA43FB"/>
    <w:rsid w:val="00BA6142"/>
    <w:rsid w:val="00BB0658"/>
    <w:rsid w:val="00BB35F2"/>
    <w:rsid w:val="00BB4844"/>
    <w:rsid w:val="00BC127D"/>
    <w:rsid w:val="00BC1FE6"/>
    <w:rsid w:val="00BE4E09"/>
    <w:rsid w:val="00C061B6"/>
    <w:rsid w:val="00C06C92"/>
    <w:rsid w:val="00C12F3D"/>
    <w:rsid w:val="00C2446C"/>
    <w:rsid w:val="00C33307"/>
    <w:rsid w:val="00C36173"/>
    <w:rsid w:val="00C36AE5"/>
    <w:rsid w:val="00C41F17"/>
    <w:rsid w:val="00C51D44"/>
    <w:rsid w:val="00C5280D"/>
    <w:rsid w:val="00C5791C"/>
    <w:rsid w:val="00C66290"/>
    <w:rsid w:val="00C7194A"/>
    <w:rsid w:val="00C7295F"/>
    <w:rsid w:val="00C72B7A"/>
    <w:rsid w:val="00C77349"/>
    <w:rsid w:val="00C829C6"/>
    <w:rsid w:val="00C96A5A"/>
    <w:rsid w:val="00C973F2"/>
    <w:rsid w:val="00C97B91"/>
    <w:rsid w:val="00CA304C"/>
    <w:rsid w:val="00CA5EDA"/>
    <w:rsid w:val="00CA774A"/>
    <w:rsid w:val="00CB105F"/>
    <w:rsid w:val="00CB5957"/>
    <w:rsid w:val="00CB62F8"/>
    <w:rsid w:val="00CB663F"/>
    <w:rsid w:val="00CB79FE"/>
    <w:rsid w:val="00CC11B0"/>
    <w:rsid w:val="00CD79DE"/>
    <w:rsid w:val="00CE3015"/>
    <w:rsid w:val="00CF3941"/>
    <w:rsid w:val="00CF4803"/>
    <w:rsid w:val="00CF7E36"/>
    <w:rsid w:val="00D0315C"/>
    <w:rsid w:val="00D07097"/>
    <w:rsid w:val="00D27DFD"/>
    <w:rsid w:val="00D31F55"/>
    <w:rsid w:val="00D3708D"/>
    <w:rsid w:val="00D37F3F"/>
    <w:rsid w:val="00D40426"/>
    <w:rsid w:val="00D44087"/>
    <w:rsid w:val="00D547B7"/>
    <w:rsid w:val="00D5776C"/>
    <w:rsid w:val="00D57C96"/>
    <w:rsid w:val="00D70798"/>
    <w:rsid w:val="00D726C3"/>
    <w:rsid w:val="00D75189"/>
    <w:rsid w:val="00D825FC"/>
    <w:rsid w:val="00D8305C"/>
    <w:rsid w:val="00D86824"/>
    <w:rsid w:val="00D91203"/>
    <w:rsid w:val="00D95174"/>
    <w:rsid w:val="00DA2D3C"/>
    <w:rsid w:val="00DA5289"/>
    <w:rsid w:val="00DA6F36"/>
    <w:rsid w:val="00DB0041"/>
    <w:rsid w:val="00DB596E"/>
    <w:rsid w:val="00DC00EA"/>
    <w:rsid w:val="00DC2836"/>
    <w:rsid w:val="00DD6A03"/>
    <w:rsid w:val="00DE3BA4"/>
    <w:rsid w:val="00DE7560"/>
    <w:rsid w:val="00DF4BAE"/>
    <w:rsid w:val="00E01779"/>
    <w:rsid w:val="00E171AE"/>
    <w:rsid w:val="00E316BF"/>
    <w:rsid w:val="00E32F7E"/>
    <w:rsid w:val="00E35CA4"/>
    <w:rsid w:val="00E471E9"/>
    <w:rsid w:val="00E54673"/>
    <w:rsid w:val="00E72692"/>
    <w:rsid w:val="00E72D49"/>
    <w:rsid w:val="00E7593C"/>
    <w:rsid w:val="00E7678A"/>
    <w:rsid w:val="00E77F24"/>
    <w:rsid w:val="00E935F1"/>
    <w:rsid w:val="00E94A81"/>
    <w:rsid w:val="00E9743B"/>
    <w:rsid w:val="00EA1FFB"/>
    <w:rsid w:val="00EA7607"/>
    <w:rsid w:val="00EB048E"/>
    <w:rsid w:val="00EC713D"/>
    <w:rsid w:val="00ED35C7"/>
    <w:rsid w:val="00ED779A"/>
    <w:rsid w:val="00EE0355"/>
    <w:rsid w:val="00EE1C5E"/>
    <w:rsid w:val="00EE34DF"/>
    <w:rsid w:val="00EE79DA"/>
    <w:rsid w:val="00EF2F89"/>
    <w:rsid w:val="00EF6C62"/>
    <w:rsid w:val="00EF7604"/>
    <w:rsid w:val="00F03B0A"/>
    <w:rsid w:val="00F1237A"/>
    <w:rsid w:val="00F1419D"/>
    <w:rsid w:val="00F14677"/>
    <w:rsid w:val="00F14D14"/>
    <w:rsid w:val="00F17B50"/>
    <w:rsid w:val="00F2061E"/>
    <w:rsid w:val="00F22CBD"/>
    <w:rsid w:val="00F24177"/>
    <w:rsid w:val="00F4529D"/>
    <w:rsid w:val="00F45372"/>
    <w:rsid w:val="00F532C2"/>
    <w:rsid w:val="00F560F7"/>
    <w:rsid w:val="00F61C0F"/>
    <w:rsid w:val="00F6334D"/>
    <w:rsid w:val="00F71EEE"/>
    <w:rsid w:val="00FA49AB"/>
    <w:rsid w:val="00FB29D4"/>
    <w:rsid w:val="00FC56B4"/>
    <w:rsid w:val="00FC5B79"/>
    <w:rsid w:val="00FC7E92"/>
    <w:rsid w:val="00FC7EDC"/>
    <w:rsid w:val="00FD2C4C"/>
    <w:rsid w:val="00FE39C7"/>
    <w:rsid w:val="00FE4948"/>
    <w:rsid w:val="00FE620C"/>
    <w:rsid w:val="00FF1757"/>
    <w:rsid w:val="00FF7C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0F0DF0"/>
  <w15:docId w15:val="{7933F576-1F2A-4F90-BD9D-522500D7D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6B4"/>
    <w:pPr>
      <w:jc w:val="both"/>
    </w:pPr>
    <w:rPr>
      <w:rFonts w:ascii="Arial" w:hAnsi="Arial"/>
      <w:lang w:val="de-DE"/>
    </w:rPr>
  </w:style>
  <w:style w:type="paragraph" w:styleId="Heading1">
    <w:name w:val="heading 1"/>
    <w:next w:val="Normal"/>
    <w:autoRedefine/>
    <w:qFormat/>
    <w:rsid w:val="00D70798"/>
    <w:pPr>
      <w:keepNext/>
      <w:spacing w:after="360"/>
      <w:jc w:val="both"/>
      <w:outlineLvl w:val="0"/>
    </w:pPr>
    <w:rPr>
      <w:rFonts w:ascii="Arial Bold" w:hAnsi="Arial Bold"/>
      <w:b/>
      <w:caps/>
    </w:rPr>
  </w:style>
  <w:style w:type="paragraph" w:styleId="Heading2">
    <w:name w:val="heading 2"/>
    <w:next w:val="Normal"/>
    <w:link w:val="Heading2Char"/>
    <w:autoRedefine/>
    <w:qFormat/>
    <w:rsid w:val="00D70798"/>
    <w:pPr>
      <w:keepNext/>
      <w:spacing w:after="240"/>
      <w:jc w:val="both"/>
      <w:outlineLvl w:val="1"/>
    </w:pPr>
    <w:rPr>
      <w:rFonts w:ascii="Arial" w:hAnsi="Arial"/>
      <w:b/>
    </w:rPr>
  </w:style>
  <w:style w:type="paragraph" w:styleId="Heading3">
    <w:name w:val="heading 3"/>
    <w:next w:val="Normal"/>
    <w:qFormat/>
    <w:rsid w:val="00D70798"/>
    <w:pPr>
      <w:keepNext/>
      <w:spacing w:after="240"/>
      <w:jc w:val="both"/>
      <w:outlineLvl w:val="2"/>
    </w:pPr>
    <w:rPr>
      <w:rFonts w:ascii="Arial" w:hAnsi="Arial"/>
      <w:u w:val="single"/>
    </w:rPr>
  </w:style>
  <w:style w:type="paragraph" w:styleId="Heading4">
    <w:name w:val="heading 4"/>
    <w:next w:val="Normal"/>
    <w:autoRedefine/>
    <w:qFormat/>
    <w:rsid w:val="00DC2836"/>
    <w:pPr>
      <w:keepNext/>
      <w:spacing w:after="240"/>
      <w:jc w:val="both"/>
      <w:outlineLvl w:val="3"/>
    </w:pPr>
    <w:rPr>
      <w:rFonts w:ascii="Arial" w:hAnsi="Arial"/>
      <w:i/>
      <w:lang w:val="fr-FR"/>
    </w:rPr>
  </w:style>
  <w:style w:type="paragraph" w:styleId="Heading5">
    <w:name w:val="heading 5"/>
    <w:next w:val="Normal"/>
    <w:autoRedefine/>
    <w:rsid w:val="00D70798"/>
    <w:pPr>
      <w:keepNext/>
      <w:spacing w:after="240"/>
      <w:ind w:left="851" w:hanging="851"/>
      <w:jc w:val="both"/>
      <w:outlineLvl w:val="4"/>
    </w:pPr>
    <w:rPr>
      <w:rFonts w:ascii="Arial" w:hAnsi="Arial"/>
      <w:i/>
      <w:szCs w:val="18"/>
    </w:rPr>
  </w:style>
  <w:style w:type="paragraph" w:styleId="Heading6">
    <w:name w:val="heading 6"/>
    <w:basedOn w:val="Normal"/>
    <w:next w:val="Normal"/>
    <w:link w:val="Heading6Char"/>
    <w:autoRedefine/>
    <w:qFormat/>
    <w:rsid w:val="00D70798"/>
    <w:pPr>
      <w:keepNext/>
      <w:tabs>
        <w:tab w:val="left" w:pos="1985"/>
      </w:tabs>
      <w:ind w:left="1702" w:hanging="851"/>
      <w:outlineLvl w:val="5"/>
    </w:pPr>
    <w:rPr>
      <w:rFonts w:cs="Angsana New"/>
      <w:i/>
      <w:iCs/>
      <w:szCs w:val="24"/>
      <w:u w:val="single"/>
      <w:lang w:eastAsia="ja-JP" w:bidi="th-TH"/>
    </w:rPr>
  </w:style>
  <w:style w:type="paragraph" w:styleId="Heading7">
    <w:name w:val="heading 7"/>
    <w:basedOn w:val="Normal"/>
    <w:next w:val="Normal"/>
    <w:qFormat/>
    <w:rsid w:val="00D70798"/>
    <w:pPr>
      <w:keepNext/>
      <w:spacing w:before="60" w:after="60"/>
      <w:outlineLvl w:val="6"/>
    </w:pPr>
  </w:style>
  <w:style w:type="paragraph" w:styleId="Heading8">
    <w:name w:val="heading 8"/>
    <w:basedOn w:val="Normal"/>
    <w:next w:val="Normal"/>
    <w:link w:val="Heading8Char"/>
    <w:autoRedefine/>
    <w:qFormat/>
    <w:rsid w:val="00D70798"/>
    <w:pPr>
      <w:keepNext/>
      <w:widowControl w:val="0"/>
      <w:ind w:left="993" w:hanging="993"/>
      <w:outlineLvl w:val="7"/>
    </w:pPr>
    <w:rPr>
      <w:rFonts w:cs="Angsana New"/>
      <w:i/>
      <w:iCs/>
      <w:szCs w:val="22"/>
      <w:lang w:eastAsia="ja-JP" w:bidi="th-TH"/>
    </w:rPr>
  </w:style>
  <w:style w:type="paragraph" w:styleId="Heading9">
    <w:name w:val="heading 9"/>
    <w:basedOn w:val="Normal"/>
    <w:next w:val="Normal"/>
    <w:qFormat/>
    <w:rsid w:val="00D70798"/>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D70798"/>
    <w:pPr>
      <w:jc w:val="center"/>
    </w:pPr>
    <w:rPr>
      <w:rFonts w:ascii="Arial" w:hAnsi="Arial"/>
      <w:lang w:val="fr-FR"/>
    </w:rPr>
  </w:style>
  <w:style w:type="paragraph" w:styleId="Footer">
    <w:name w:val="footer"/>
    <w:aliases w:val="doc_path_name"/>
    <w:autoRedefine/>
    <w:rsid w:val="00D70798"/>
    <w:pPr>
      <w:jc w:val="both"/>
    </w:pPr>
    <w:rPr>
      <w:rFonts w:ascii="Arial" w:hAnsi="Arial"/>
      <w:sz w:val="14"/>
    </w:rPr>
  </w:style>
  <w:style w:type="character" w:styleId="PageNumber">
    <w:name w:val="page number"/>
    <w:basedOn w:val="DefaultParagraphFont"/>
    <w:rsid w:val="00D70798"/>
    <w:rPr>
      <w:rFonts w:ascii="Arial" w:hAnsi="Arial"/>
      <w:sz w:val="20"/>
    </w:rPr>
  </w:style>
  <w:style w:type="paragraph" w:styleId="Title">
    <w:name w:val="Title"/>
    <w:basedOn w:val="Normal"/>
    <w:qFormat/>
    <w:rsid w:val="00F14D14"/>
    <w:pPr>
      <w:spacing w:after="300"/>
      <w:jc w:val="center"/>
    </w:pPr>
    <w:rPr>
      <w:b/>
      <w:caps/>
      <w:kern w:val="28"/>
      <w:sz w:val="30"/>
    </w:rPr>
  </w:style>
  <w:style w:type="paragraph" w:customStyle="1" w:styleId="preparedby">
    <w:name w:val="preparedby"/>
    <w:basedOn w:val="Normal"/>
    <w:next w:val="Normal"/>
    <w:semiHidden/>
    <w:rsid w:val="00F14D14"/>
    <w:pPr>
      <w:spacing w:after="600"/>
      <w:jc w:val="center"/>
    </w:pPr>
    <w:rPr>
      <w:i/>
    </w:rPr>
  </w:style>
  <w:style w:type="paragraph" w:customStyle="1" w:styleId="Docoriginal">
    <w:name w:val="Doc_original"/>
    <w:basedOn w:val="Code"/>
    <w:link w:val="DocoriginalChar"/>
    <w:rsid w:val="00F14D14"/>
    <w:pPr>
      <w:spacing w:before="240" w:line="240" w:lineRule="exact"/>
      <w:ind w:left="0"/>
      <w:contextualSpacing/>
      <w:jc w:val="left"/>
    </w:pPr>
    <w:rPr>
      <w:sz w:val="18"/>
    </w:rPr>
  </w:style>
  <w:style w:type="paragraph" w:customStyle="1" w:styleId="DecisionParagraphs">
    <w:name w:val="DecisionParagraphs"/>
    <w:basedOn w:val="Normal"/>
    <w:rsid w:val="00D70798"/>
    <w:pPr>
      <w:tabs>
        <w:tab w:val="left" w:pos="5387"/>
      </w:tabs>
      <w:ind w:left="4820"/>
    </w:pPr>
    <w:rPr>
      <w:i/>
    </w:rPr>
  </w:style>
  <w:style w:type="paragraph" w:styleId="FootnoteText">
    <w:name w:val="footnote text"/>
    <w:autoRedefine/>
    <w:rsid w:val="00D70798"/>
    <w:pPr>
      <w:spacing w:before="60" w:line="200" w:lineRule="exact"/>
      <w:ind w:left="284" w:hanging="284"/>
      <w:jc w:val="both"/>
    </w:pPr>
    <w:rPr>
      <w:rFonts w:ascii="Arial" w:hAnsi="Arial"/>
      <w:sz w:val="16"/>
    </w:rPr>
  </w:style>
  <w:style w:type="character" w:styleId="FootnoteReference">
    <w:name w:val="footnote reference"/>
    <w:basedOn w:val="DefaultParagraphFont"/>
    <w:semiHidden/>
    <w:rsid w:val="00D70798"/>
    <w:rPr>
      <w:vertAlign w:val="superscript"/>
    </w:rPr>
  </w:style>
  <w:style w:type="paragraph" w:styleId="Closing">
    <w:name w:val="Closing"/>
    <w:basedOn w:val="Normal"/>
    <w:link w:val="ClosingChar"/>
    <w:rsid w:val="00D70798"/>
    <w:pPr>
      <w:ind w:left="4536"/>
      <w:jc w:val="center"/>
    </w:pPr>
  </w:style>
  <w:style w:type="paragraph" w:styleId="Index1">
    <w:name w:val="index 1"/>
    <w:basedOn w:val="Normal"/>
    <w:next w:val="Normal"/>
    <w:rsid w:val="00D70798"/>
    <w:pPr>
      <w:tabs>
        <w:tab w:val="right" w:leader="dot" w:pos="9071"/>
      </w:tabs>
      <w:ind w:left="284" w:hanging="284"/>
    </w:pPr>
    <w:rPr>
      <w:sz w:val="24"/>
    </w:rPr>
  </w:style>
  <w:style w:type="paragraph" w:styleId="Index2">
    <w:name w:val="index 2"/>
    <w:basedOn w:val="Normal"/>
    <w:next w:val="Normal"/>
    <w:rsid w:val="00D70798"/>
    <w:pPr>
      <w:tabs>
        <w:tab w:val="right" w:leader="dot" w:pos="9071"/>
      </w:tabs>
      <w:ind w:left="568" w:hanging="284"/>
    </w:pPr>
    <w:rPr>
      <w:sz w:val="24"/>
    </w:rPr>
  </w:style>
  <w:style w:type="paragraph" w:styleId="Index3">
    <w:name w:val="index 3"/>
    <w:basedOn w:val="Normal"/>
    <w:next w:val="Normal"/>
    <w:semiHidden/>
    <w:rsid w:val="00D70798"/>
    <w:pPr>
      <w:tabs>
        <w:tab w:val="right" w:leader="dot" w:pos="9071"/>
      </w:tabs>
      <w:ind w:left="851" w:hanging="284"/>
    </w:pPr>
    <w:rPr>
      <w:sz w:val="24"/>
    </w:rPr>
  </w:style>
  <w:style w:type="paragraph" w:styleId="MacroText">
    <w:name w:val="macro"/>
    <w:link w:val="MacroTextChar"/>
    <w:rsid w:val="00D7079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70798"/>
    <w:pPr>
      <w:ind w:left="4536"/>
      <w:jc w:val="center"/>
    </w:pPr>
  </w:style>
  <w:style w:type="character" w:customStyle="1" w:styleId="Doclang">
    <w:name w:val="Doc_lang"/>
    <w:basedOn w:val="DefaultParagraphFont"/>
    <w:rsid w:val="00F14D14"/>
    <w:rPr>
      <w:rFonts w:ascii="Arial" w:hAnsi="Arial"/>
      <w:sz w:val="20"/>
      <w:lang w:val="en-US"/>
    </w:rPr>
  </w:style>
  <w:style w:type="paragraph" w:customStyle="1" w:styleId="Session">
    <w:name w:val="Session"/>
    <w:basedOn w:val="Normal"/>
    <w:rsid w:val="00F14D14"/>
    <w:pPr>
      <w:spacing w:before="60"/>
      <w:jc w:val="center"/>
    </w:pPr>
    <w:rPr>
      <w:b/>
    </w:rPr>
  </w:style>
  <w:style w:type="paragraph" w:customStyle="1" w:styleId="Organizer">
    <w:name w:val="Organizer"/>
    <w:basedOn w:val="Normal"/>
    <w:rsid w:val="00F14D14"/>
    <w:pPr>
      <w:spacing w:after="600"/>
      <w:ind w:left="-993" w:right="-994"/>
      <w:jc w:val="center"/>
    </w:pPr>
    <w:rPr>
      <w:b/>
      <w:caps/>
      <w:kern w:val="26"/>
      <w:sz w:val="26"/>
    </w:rPr>
  </w:style>
  <w:style w:type="paragraph" w:styleId="BodyText">
    <w:name w:val="Body Text"/>
    <w:basedOn w:val="Normal"/>
    <w:rsid w:val="00D70798"/>
  </w:style>
  <w:style w:type="paragraph" w:customStyle="1" w:styleId="StyleDocoriginalNotBold">
    <w:name w:val="Style Doc_original + Not Bold"/>
    <w:basedOn w:val="Docoriginal"/>
    <w:link w:val="StyleDocoriginalNotBoldChar"/>
    <w:autoRedefine/>
    <w:rsid w:val="00D70798"/>
    <w:pPr>
      <w:ind w:left="1589"/>
    </w:pPr>
  </w:style>
  <w:style w:type="paragraph" w:customStyle="1" w:styleId="upove">
    <w:name w:val="upov_e"/>
    <w:basedOn w:val="Normal"/>
    <w:rsid w:val="00F14D14"/>
    <w:pPr>
      <w:spacing w:before="120"/>
    </w:pPr>
    <w:rPr>
      <w:sz w:val="16"/>
    </w:rPr>
  </w:style>
  <w:style w:type="paragraph" w:customStyle="1" w:styleId="TitleofDoc">
    <w:name w:val="Title of Doc"/>
    <w:basedOn w:val="Normal"/>
    <w:rsid w:val="00C97B91"/>
    <w:pPr>
      <w:jc w:val="left"/>
    </w:pPr>
  </w:style>
  <w:style w:type="paragraph" w:customStyle="1" w:styleId="preparedby0">
    <w:name w:val="prepared by"/>
    <w:basedOn w:val="Normal"/>
    <w:rsid w:val="00F14D14"/>
    <w:pPr>
      <w:spacing w:before="600" w:after="600"/>
      <w:jc w:val="center"/>
    </w:pPr>
    <w:rPr>
      <w:i/>
    </w:rPr>
  </w:style>
  <w:style w:type="paragraph" w:customStyle="1" w:styleId="PlaceAndDate">
    <w:name w:val="PlaceAndDate"/>
    <w:basedOn w:val="Session"/>
    <w:rsid w:val="00F14D14"/>
  </w:style>
  <w:style w:type="paragraph" w:styleId="EndnoteText">
    <w:name w:val="endnote text"/>
    <w:basedOn w:val="Normal"/>
    <w:link w:val="EndnoteTextChar"/>
    <w:semiHidden/>
    <w:rsid w:val="00D70798"/>
  </w:style>
  <w:style w:type="character" w:styleId="EndnoteReference">
    <w:name w:val="endnote reference"/>
    <w:basedOn w:val="DefaultParagraphFont"/>
    <w:semiHidden/>
    <w:rsid w:val="00D70798"/>
    <w:rPr>
      <w:vertAlign w:val="superscript"/>
    </w:rPr>
  </w:style>
  <w:style w:type="paragraph" w:customStyle="1" w:styleId="SessionMeetingPlace">
    <w:name w:val="Session_MeetingPlace"/>
    <w:basedOn w:val="Normal"/>
    <w:semiHidden/>
    <w:rsid w:val="00F14D14"/>
    <w:pPr>
      <w:spacing w:before="480"/>
      <w:jc w:val="center"/>
    </w:pPr>
    <w:rPr>
      <w:b/>
      <w:bCs/>
      <w:kern w:val="28"/>
      <w:sz w:val="24"/>
    </w:rPr>
  </w:style>
  <w:style w:type="paragraph" w:customStyle="1" w:styleId="Original">
    <w:name w:val="Original"/>
    <w:basedOn w:val="Normal"/>
    <w:rsid w:val="00F14D14"/>
    <w:pPr>
      <w:spacing w:before="60"/>
      <w:ind w:left="1276"/>
    </w:pPr>
    <w:rPr>
      <w:b/>
      <w:sz w:val="22"/>
    </w:rPr>
  </w:style>
  <w:style w:type="paragraph" w:styleId="Date">
    <w:name w:val="Date"/>
    <w:basedOn w:val="Normal"/>
    <w:rsid w:val="00F14D14"/>
    <w:pPr>
      <w:spacing w:line="340" w:lineRule="exact"/>
      <w:ind w:left="1276"/>
    </w:pPr>
    <w:rPr>
      <w:b/>
      <w:sz w:val="22"/>
    </w:rPr>
  </w:style>
  <w:style w:type="paragraph" w:customStyle="1" w:styleId="Code">
    <w:name w:val="Code"/>
    <w:basedOn w:val="Normal"/>
    <w:link w:val="CodeChar"/>
    <w:semiHidden/>
    <w:rsid w:val="00F14D14"/>
    <w:pPr>
      <w:spacing w:line="340" w:lineRule="atLeast"/>
      <w:ind w:left="1276"/>
    </w:pPr>
    <w:rPr>
      <w:b/>
      <w:bCs/>
      <w:spacing w:val="10"/>
    </w:rPr>
  </w:style>
  <w:style w:type="paragraph" w:customStyle="1" w:styleId="Country">
    <w:name w:val="Country"/>
    <w:basedOn w:val="Normal"/>
    <w:semiHidden/>
    <w:rsid w:val="00F14D14"/>
    <w:pPr>
      <w:spacing w:before="60" w:after="480"/>
      <w:jc w:val="center"/>
    </w:pPr>
  </w:style>
  <w:style w:type="paragraph" w:customStyle="1" w:styleId="Lettrine">
    <w:name w:val="Lettrine"/>
    <w:basedOn w:val="Normal"/>
    <w:rsid w:val="00F14D14"/>
    <w:pPr>
      <w:spacing w:line="340" w:lineRule="atLeast"/>
      <w:jc w:val="right"/>
    </w:pPr>
    <w:rPr>
      <w:b/>
      <w:bCs/>
      <w:sz w:val="36"/>
    </w:rPr>
  </w:style>
  <w:style w:type="paragraph" w:customStyle="1" w:styleId="LogoUPOV">
    <w:name w:val="LogoUPOV"/>
    <w:basedOn w:val="Normal"/>
    <w:rsid w:val="00F14D14"/>
    <w:pPr>
      <w:spacing w:before="600" w:after="80"/>
      <w:jc w:val="center"/>
    </w:pPr>
    <w:rPr>
      <w:snapToGrid w:val="0"/>
    </w:rPr>
  </w:style>
  <w:style w:type="paragraph" w:customStyle="1" w:styleId="Sessiontc">
    <w:name w:val="Session_tc"/>
    <w:basedOn w:val="StyleSessionAllcaps"/>
    <w:rsid w:val="00F14D14"/>
    <w:pPr>
      <w:spacing w:before="0" w:line="280" w:lineRule="exact"/>
      <w:jc w:val="left"/>
    </w:pPr>
    <w:rPr>
      <w:caps w:val="0"/>
      <w:sz w:val="20"/>
    </w:rPr>
  </w:style>
  <w:style w:type="paragraph" w:customStyle="1" w:styleId="TitreUpov">
    <w:name w:val="TitreUpov"/>
    <w:basedOn w:val="Normal"/>
    <w:semiHidden/>
    <w:rsid w:val="00F14D14"/>
    <w:pPr>
      <w:spacing w:before="60"/>
      <w:jc w:val="center"/>
    </w:pPr>
    <w:rPr>
      <w:b/>
      <w:sz w:val="24"/>
    </w:rPr>
  </w:style>
  <w:style w:type="paragraph" w:customStyle="1" w:styleId="StyleSessionAllcaps">
    <w:name w:val="Style Session + All caps"/>
    <w:basedOn w:val="Session"/>
    <w:semiHidden/>
    <w:rsid w:val="00D70798"/>
    <w:pPr>
      <w:spacing w:before="480"/>
    </w:pPr>
    <w:rPr>
      <w:bCs/>
      <w:caps/>
      <w:kern w:val="28"/>
      <w:sz w:val="24"/>
    </w:rPr>
  </w:style>
  <w:style w:type="paragraph" w:customStyle="1" w:styleId="plcountry">
    <w:name w:val="plcountry"/>
    <w:basedOn w:val="Normal"/>
    <w:rsid w:val="00D70798"/>
    <w:pPr>
      <w:keepNext/>
      <w:keepLines/>
      <w:spacing w:before="180" w:after="120"/>
      <w:jc w:val="left"/>
    </w:pPr>
    <w:rPr>
      <w:caps/>
      <w:noProof/>
      <w:snapToGrid w:val="0"/>
      <w:u w:val="single"/>
    </w:rPr>
  </w:style>
  <w:style w:type="paragraph" w:customStyle="1" w:styleId="pldetails">
    <w:name w:val="pldetails"/>
    <w:basedOn w:val="Normal"/>
    <w:rsid w:val="00D70798"/>
    <w:pPr>
      <w:keepLines/>
      <w:spacing w:before="60" w:after="60"/>
      <w:jc w:val="left"/>
    </w:pPr>
    <w:rPr>
      <w:noProof/>
      <w:snapToGrid w:val="0"/>
    </w:rPr>
  </w:style>
  <w:style w:type="paragraph" w:customStyle="1" w:styleId="plheading">
    <w:name w:val="plheading"/>
    <w:basedOn w:val="Normal"/>
    <w:rsid w:val="00D70798"/>
    <w:pPr>
      <w:keepNext/>
      <w:spacing w:before="480" w:after="120"/>
      <w:jc w:val="center"/>
    </w:pPr>
    <w:rPr>
      <w:caps/>
      <w:snapToGrid w:val="0"/>
      <w:u w:val="single"/>
    </w:rPr>
  </w:style>
  <w:style w:type="paragraph" w:customStyle="1" w:styleId="Sessiontcplacedate">
    <w:name w:val="Session_tc_place_date"/>
    <w:basedOn w:val="SessionMeetingPlace"/>
    <w:rsid w:val="00F14D14"/>
    <w:pPr>
      <w:spacing w:before="240"/>
      <w:contextualSpacing/>
      <w:jc w:val="left"/>
    </w:pPr>
    <w:rPr>
      <w:sz w:val="20"/>
    </w:rPr>
  </w:style>
  <w:style w:type="paragraph" w:customStyle="1" w:styleId="Titleofdoc0">
    <w:name w:val="Title_of_doc"/>
    <w:basedOn w:val="TitleofDoc"/>
    <w:rsid w:val="00930A12"/>
    <w:pPr>
      <w:spacing w:before="600" w:after="240"/>
    </w:pPr>
    <w:rPr>
      <w:rFonts w:ascii="Arial Bold" w:hAnsi="Arial Bold"/>
      <w:b/>
      <w:caps/>
    </w:rPr>
  </w:style>
  <w:style w:type="paragraph" w:customStyle="1" w:styleId="preparedby1">
    <w:name w:val="prepared_by"/>
    <w:basedOn w:val="preparedby0"/>
    <w:rsid w:val="00F14D14"/>
    <w:pPr>
      <w:spacing w:before="0" w:after="240"/>
    </w:pPr>
    <w:rPr>
      <w:iCs/>
    </w:rPr>
  </w:style>
  <w:style w:type="character" w:customStyle="1" w:styleId="CodeChar">
    <w:name w:val="Code Char"/>
    <w:basedOn w:val="DefaultParagraphFont"/>
    <w:link w:val="Code"/>
    <w:semiHidden/>
    <w:rsid w:val="00F14D14"/>
    <w:rPr>
      <w:rFonts w:ascii="Arial" w:hAnsi="Arial"/>
      <w:b/>
      <w:bCs/>
      <w:spacing w:val="10"/>
      <w:lang w:val="de-DE"/>
    </w:rPr>
  </w:style>
  <w:style w:type="paragraph" w:customStyle="1" w:styleId="endofdoc">
    <w:name w:val="end_of_doc"/>
    <w:next w:val="Header"/>
    <w:autoRedefine/>
    <w:rsid w:val="00F14D14"/>
    <w:pPr>
      <w:spacing w:before="480"/>
      <w:ind w:left="567" w:hanging="567"/>
      <w:jc w:val="right"/>
    </w:pPr>
    <w:rPr>
      <w:rFonts w:ascii="Arial" w:hAnsi="Arial"/>
    </w:rPr>
  </w:style>
  <w:style w:type="character" w:customStyle="1" w:styleId="DocoriginalChar">
    <w:name w:val="Doc_original Char"/>
    <w:basedOn w:val="CodeChar"/>
    <w:link w:val="Docoriginal"/>
    <w:rsid w:val="00F14D14"/>
    <w:rPr>
      <w:rFonts w:ascii="Arial" w:hAnsi="Arial"/>
      <w:b/>
      <w:bCs/>
      <w:spacing w:val="10"/>
      <w:sz w:val="18"/>
      <w:lang w:val="de-DE"/>
    </w:rPr>
  </w:style>
  <w:style w:type="character" w:customStyle="1" w:styleId="StyleDocoriginalNotBoldChar">
    <w:name w:val="Style Doc_original + Not Bold Char"/>
    <w:basedOn w:val="DocoriginalChar"/>
    <w:link w:val="StyleDocoriginalNotBold"/>
    <w:rsid w:val="00D70798"/>
    <w:rPr>
      <w:rFonts w:ascii="Arial" w:hAnsi="Arial"/>
      <w:b/>
      <w:bCs/>
      <w:spacing w:val="10"/>
      <w:sz w:val="18"/>
      <w:lang w:val="de-DE"/>
    </w:rPr>
  </w:style>
  <w:style w:type="paragraph" w:customStyle="1" w:styleId="StyleDocnumber">
    <w:name w:val="Style Doc_number"/>
    <w:basedOn w:val="Docoriginal"/>
    <w:rsid w:val="00D70798"/>
    <w:pPr>
      <w:ind w:left="1589"/>
    </w:pPr>
  </w:style>
  <w:style w:type="paragraph" w:customStyle="1" w:styleId="StyleDocoriginal">
    <w:name w:val="Style Doc_original"/>
    <w:basedOn w:val="Docoriginal"/>
    <w:link w:val="StyleDocoriginalChar"/>
    <w:rsid w:val="00D70798"/>
  </w:style>
  <w:style w:type="character" w:customStyle="1" w:styleId="StyleDocoriginalChar">
    <w:name w:val="Style Doc_original Char"/>
    <w:basedOn w:val="DocoriginalChar"/>
    <w:link w:val="StyleDocoriginal"/>
    <w:rsid w:val="00D70798"/>
    <w:rPr>
      <w:rFonts w:ascii="Arial" w:hAnsi="Arial"/>
      <w:b/>
      <w:bCs/>
      <w:spacing w:val="10"/>
      <w:sz w:val="18"/>
      <w:lang w:val="de-DE"/>
    </w:rPr>
  </w:style>
  <w:style w:type="paragraph" w:customStyle="1" w:styleId="StyleStyleDocoriginalNotBoldNotBold">
    <w:name w:val="Style Style Doc_original + Not Bold + Not Bold"/>
    <w:basedOn w:val="StyleDocoriginalNotBold"/>
    <w:link w:val="StyleStyleDocoriginalNotBoldNotBoldChar"/>
    <w:rsid w:val="00D70798"/>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D70798"/>
    <w:rPr>
      <w:rFonts w:ascii="Arial" w:hAnsi="Arial"/>
      <w:b w:val="0"/>
      <w:bCs w:val="0"/>
      <w:spacing w:val="10"/>
      <w:sz w:val="18"/>
      <w:lang w:val="de-DE"/>
    </w:rPr>
  </w:style>
  <w:style w:type="character" w:customStyle="1" w:styleId="StyleDocoriginalNotBold1">
    <w:name w:val="Style Doc_original + Not Bold1"/>
    <w:basedOn w:val="DefaultParagraphFont"/>
    <w:rsid w:val="00D70798"/>
    <w:rPr>
      <w:rFonts w:ascii="Arial" w:hAnsi="Arial"/>
      <w:b/>
      <w:bCs/>
      <w:spacing w:val="10"/>
      <w:lang w:val="en-US" w:eastAsia="en-US" w:bidi="ar-SA"/>
    </w:rPr>
  </w:style>
  <w:style w:type="character" w:customStyle="1" w:styleId="StyleDoclangBold">
    <w:name w:val="Style Doc_lang + Bold"/>
    <w:basedOn w:val="Doclang"/>
    <w:rsid w:val="00D70798"/>
    <w:rPr>
      <w:rFonts w:ascii="Arial" w:hAnsi="Arial"/>
      <w:b/>
      <w:bCs/>
      <w:sz w:val="20"/>
      <w:lang w:val="en-US"/>
    </w:rPr>
  </w:style>
  <w:style w:type="paragraph" w:styleId="TOC2">
    <w:name w:val="toc 2"/>
    <w:next w:val="Normal"/>
    <w:autoRedefine/>
    <w:uiPriority w:val="39"/>
    <w:rsid w:val="00D70798"/>
    <w:pPr>
      <w:tabs>
        <w:tab w:val="right" w:leader="dot" w:pos="9639"/>
      </w:tabs>
      <w:ind w:left="851" w:right="851" w:hanging="567"/>
      <w:contextualSpacing/>
    </w:pPr>
    <w:rPr>
      <w:rFonts w:ascii="Arial" w:hAnsi="Arial"/>
      <w:smallCaps/>
      <w:noProof/>
      <w:sz w:val="18"/>
    </w:rPr>
  </w:style>
  <w:style w:type="paragraph" w:styleId="TOC3">
    <w:name w:val="toc 3"/>
    <w:next w:val="Normal"/>
    <w:autoRedefine/>
    <w:uiPriority w:val="39"/>
    <w:rsid w:val="00D70798"/>
    <w:pPr>
      <w:tabs>
        <w:tab w:val="left" w:pos="1418"/>
        <w:tab w:val="right" w:leader="dot" w:pos="9639"/>
      </w:tabs>
      <w:ind w:left="1418" w:right="851" w:hanging="709"/>
      <w:contextualSpacing/>
    </w:pPr>
    <w:rPr>
      <w:rFonts w:ascii="Arial" w:hAnsi="Arial"/>
      <w:i/>
      <w:noProof/>
      <w:sz w:val="18"/>
      <w:szCs w:val="18"/>
      <w:lang w:val="fr-FR"/>
    </w:rPr>
  </w:style>
  <w:style w:type="character" w:styleId="Hyperlink">
    <w:name w:val="Hyperlink"/>
    <w:basedOn w:val="DefaultParagraphFont"/>
    <w:uiPriority w:val="99"/>
    <w:rsid w:val="00D70798"/>
    <w:rPr>
      <w:rFonts w:ascii="Arial" w:hAnsi="Arial"/>
      <w:color w:val="0000FF"/>
      <w:u w:val="single"/>
    </w:rPr>
  </w:style>
  <w:style w:type="paragraph" w:styleId="TOC4">
    <w:name w:val="toc 4"/>
    <w:next w:val="Normal"/>
    <w:autoRedefine/>
    <w:uiPriority w:val="39"/>
    <w:rsid w:val="00D70798"/>
    <w:pPr>
      <w:tabs>
        <w:tab w:val="left" w:pos="2126"/>
        <w:tab w:val="right" w:leader="dot" w:pos="9639"/>
      </w:tabs>
      <w:ind w:left="1843" w:right="851" w:hanging="709"/>
      <w:contextualSpacing/>
    </w:pPr>
    <w:rPr>
      <w:rFonts w:ascii="Arial" w:hAnsi="Arial"/>
      <w:i/>
      <w:noProof/>
      <w:sz w:val="18"/>
    </w:rPr>
  </w:style>
  <w:style w:type="paragraph" w:styleId="TOC1">
    <w:name w:val="toc 1"/>
    <w:next w:val="Normal"/>
    <w:autoRedefine/>
    <w:uiPriority w:val="39"/>
    <w:rsid w:val="000E2B2C"/>
    <w:pPr>
      <w:tabs>
        <w:tab w:val="left" w:pos="1560"/>
        <w:tab w:val="right" w:leader="dot" w:pos="9639"/>
      </w:tabs>
      <w:spacing w:before="240" w:after="120"/>
      <w:ind w:right="284"/>
    </w:pPr>
    <w:rPr>
      <w:rFonts w:ascii="Arial" w:hAnsi="Arial"/>
      <w:b/>
      <w:caps/>
      <w:noProof/>
      <w:sz w:val="18"/>
    </w:rPr>
  </w:style>
  <w:style w:type="paragraph" w:styleId="TOC5">
    <w:name w:val="toc 5"/>
    <w:next w:val="Normal"/>
    <w:autoRedefine/>
    <w:uiPriority w:val="39"/>
    <w:rsid w:val="00D70798"/>
    <w:pPr>
      <w:tabs>
        <w:tab w:val="left" w:pos="2141"/>
        <w:tab w:val="right" w:leader="dot" w:pos="9639"/>
      </w:tabs>
      <w:ind w:left="2126" w:right="851" w:hanging="425"/>
      <w:contextualSpacing/>
      <w:jc w:val="both"/>
    </w:pPr>
    <w:rPr>
      <w:rFonts w:ascii="Arial" w:hAnsi="Arial"/>
      <w:noProof/>
      <w:sz w:val="18"/>
      <w:lang w:val="fr-FR"/>
    </w:rPr>
  </w:style>
  <w:style w:type="paragraph" w:customStyle="1" w:styleId="StyleTitleofSectionArial10ptBefore0ptAfter0pt">
    <w:name w:val="Style Title of Section + Arial 10 pt Before:  0 pt After:  0 pt..."/>
    <w:basedOn w:val="Normal"/>
    <w:autoRedefine/>
    <w:rsid w:val="00D70798"/>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
    <w:rsid w:val="00D70798"/>
    <w:pPr>
      <w:jc w:val="left"/>
    </w:pPr>
    <w:rPr>
      <w:rFonts w:ascii="Times New Roman" w:hAnsi="Times New Roman"/>
      <w:sz w:val="22"/>
    </w:rPr>
  </w:style>
  <w:style w:type="paragraph" w:customStyle="1" w:styleId="TitleofSection">
    <w:name w:val="Title of Section"/>
    <w:basedOn w:val="TitleofDoc"/>
    <w:rsid w:val="00D70798"/>
    <w:pPr>
      <w:spacing w:before="120" w:after="120"/>
    </w:pPr>
    <w:rPr>
      <w:b/>
      <w:bCs/>
      <w:caps/>
      <w:lang w:val="fr-FR"/>
    </w:rPr>
  </w:style>
  <w:style w:type="paragraph" w:customStyle="1" w:styleId="Normaltg">
    <w:name w:val="Normaltg"/>
    <w:basedOn w:val="Normal"/>
    <w:rsid w:val="00D70798"/>
    <w:pPr>
      <w:tabs>
        <w:tab w:val="left" w:pos="709"/>
        <w:tab w:val="left" w:pos="1418"/>
      </w:tabs>
    </w:pPr>
    <w:rPr>
      <w:lang w:val="fr-FR"/>
    </w:rPr>
  </w:style>
  <w:style w:type="paragraph" w:styleId="BalloonText">
    <w:name w:val="Balloon Text"/>
    <w:basedOn w:val="Normal"/>
    <w:semiHidden/>
    <w:rsid w:val="00D70798"/>
    <w:rPr>
      <w:rFonts w:ascii="Tahoma" w:hAnsi="Tahoma" w:cs="Tahoma"/>
      <w:sz w:val="16"/>
      <w:szCs w:val="16"/>
    </w:rPr>
  </w:style>
  <w:style w:type="character" w:customStyle="1" w:styleId="Heading6Char">
    <w:name w:val="Heading 6 Char"/>
    <w:basedOn w:val="DefaultParagraphFont"/>
    <w:link w:val="Heading6"/>
    <w:rsid w:val="00D70798"/>
    <w:rPr>
      <w:rFonts w:ascii="Arial" w:hAnsi="Arial" w:cs="Angsana New"/>
      <w:i/>
      <w:iCs/>
      <w:szCs w:val="24"/>
      <w:u w:val="single"/>
      <w:lang w:eastAsia="ja-JP" w:bidi="th-TH"/>
    </w:rPr>
  </w:style>
  <w:style w:type="character" w:customStyle="1" w:styleId="Heading8Char">
    <w:name w:val="Heading 8 Char"/>
    <w:basedOn w:val="DefaultParagraphFont"/>
    <w:link w:val="Heading8"/>
    <w:rsid w:val="00D70798"/>
    <w:rPr>
      <w:rFonts w:ascii="Arial" w:hAnsi="Arial" w:cs="Angsana New"/>
      <w:i/>
      <w:iCs/>
      <w:szCs w:val="22"/>
      <w:lang w:eastAsia="ja-JP" w:bidi="th-TH"/>
    </w:rPr>
  </w:style>
  <w:style w:type="paragraph" w:styleId="TOC6">
    <w:name w:val="toc 6"/>
    <w:basedOn w:val="Normal"/>
    <w:next w:val="Normal"/>
    <w:autoRedefine/>
    <w:uiPriority w:val="39"/>
    <w:rsid w:val="00D70798"/>
    <w:pPr>
      <w:tabs>
        <w:tab w:val="left" w:pos="2694"/>
        <w:tab w:val="right" w:leader="dot" w:pos="9061"/>
      </w:tabs>
      <w:ind w:left="1701"/>
      <w:jc w:val="left"/>
    </w:pPr>
    <w:rPr>
      <w:rFonts w:ascii="Times New Roman" w:hAnsi="Times New Roman" w:cs="Angsana New"/>
      <w:noProof/>
      <w:sz w:val="18"/>
      <w:szCs w:val="18"/>
      <w:lang w:eastAsia="ja-JP" w:bidi="th-TH"/>
    </w:rPr>
  </w:style>
  <w:style w:type="paragraph" w:styleId="TOC7">
    <w:name w:val="toc 7"/>
    <w:basedOn w:val="Normal"/>
    <w:next w:val="Normal"/>
    <w:autoRedefine/>
    <w:uiPriority w:val="39"/>
    <w:rsid w:val="00D70798"/>
    <w:pPr>
      <w:ind w:left="1440"/>
      <w:jc w:val="left"/>
    </w:pPr>
    <w:rPr>
      <w:rFonts w:ascii="Times New Roman" w:hAnsi="Times New Roman" w:cs="Angsana New"/>
      <w:sz w:val="18"/>
      <w:szCs w:val="18"/>
      <w:lang w:eastAsia="ja-JP" w:bidi="th-TH"/>
    </w:rPr>
  </w:style>
  <w:style w:type="paragraph" w:styleId="TOC8">
    <w:name w:val="toc 8"/>
    <w:basedOn w:val="Normal"/>
    <w:next w:val="Normal"/>
    <w:uiPriority w:val="39"/>
    <w:rsid w:val="00D70798"/>
    <w:pPr>
      <w:tabs>
        <w:tab w:val="left" w:pos="567"/>
        <w:tab w:val="right" w:leader="dot" w:pos="9639"/>
      </w:tabs>
      <w:spacing w:before="60" w:after="120"/>
      <w:ind w:left="425" w:right="851" w:hanging="425"/>
      <w:jc w:val="left"/>
    </w:pPr>
    <w:rPr>
      <w:caps/>
      <w:noProof/>
      <w:sz w:val="18"/>
      <w:lang w:eastAsia="ja-JP" w:bidi="th-TH"/>
    </w:rPr>
  </w:style>
  <w:style w:type="paragraph" w:styleId="TOC9">
    <w:name w:val="toc 9"/>
    <w:basedOn w:val="Normal"/>
    <w:next w:val="Normal"/>
    <w:link w:val="TOC9Char"/>
    <w:uiPriority w:val="39"/>
    <w:rsid w:val="00D70798"/>
    <w:pPr>
      <w:tabs>
        <w:tab w:val="right" w:leader="dot" w:pos="9639"/>
      </w:tabs>
      <w:spacing w:before="60" w:after="120"/>
      <w:ind w:left="992" w:right="851" w:hanging="567"/>
      <w:contextualSpacing/>
      <w:jc w:val="left"/>
    </w:pPr>
    <w:rPr>
      <w:smallCaps/>
      <w:noProof/>
      <w:sz w:val="18"/>
      <w:lang w:val="fr-FR" w:eastAsia="ja-JP"/>
    </w:rPr>
  </w:style>
  <w:style w:type="paragraph" w:customStyle="1" w:styleId="tqparabox">
    <w:name w:val="tqparabox"/>
    <w:basedOn w:val="Normal"/>
    <w:rsid w:val="00D70798"/>
    <w:pPr>
      <w:tabs>
        <w:tab w:val="left" w:pos="567"/>
        <w:tab w:val="left" w:pos="1134"/>
        <w:tab w:val="left" w:pos="2976"/>
        <w:tab w:val="left" w:pos="5856"/>
        <w:tab w:val="left" w:pos="7296"/>
      </w:tabs>
      <w:spacing w:before="40" w:after="40"/>
      <w:ind w:left="567"/>
      <w:jc w:val="left"/>
    </w:pPr>
    <w:rPr>
      <w:rFonts w:ascii="Times New Roman" w:hAnsi="Times New Roman" w:cs="Angsana New"/>
      <w:sz w:val="24"/>
      <w:szCs w:val="24"/>
      <w:lang w:eastAsia="ja-JP" w:bidi="th-TH"/>
    </w:rPr>
  </w:style>
  <w:style w:type="paragraph" w:customStyle="1" w:styleId="Normalt">
    <w:name w:val="Normalt"/>
    <w:basedOn w:val="Normal"/>
    <w:rsid w:val="00D70798"/>
    <w:pPr>
      <w:spacing w:before="120" w:after="120"/>
      <w:jc w:val="left"/>
    </w:pPr>
    <w:rPr>
      <w:rFonts w:ascii="Times New Roman" w:hAnsi="Times New Roman" w:cs="Angsana New"/>
      <w:snapToGrid w:val="0"/>
      <w:lang w:eastAsia="ja-JP" w:bidi="th-TH"/>
    </w:rPr>
  </w:style>
  <w:style w:type="paragraph" w:customStyle="1" w:styleId="Normaltb">
    <w:name w:val="Normaltb"/>
    <w:basedOn w:val="Normalt"/>
    <w:rsid w:val="00D70798"/>
    <w:pPr>
      <w:keepNext/>
    </w:pPr>
    <w:rPr>
      <w:b/>
      <w:bCs/>
    </w:rPr>
  </w:style>
  <w:style w:type="paragraph" w:customStyle="1" w:styleId="Annex">
    <w:name w:val="Annex"/>
    <w:basedOn w:val="Heading1"/>
    <w:next w:val="Normal"/>
    <w:rsid w:val="00D70798"/>
    <w:pPr>
      <w:pBdr>
        <w:top w:val="single" w:sz="6" w:space="1" w:color="auto" w:shadow="1"/>
        <w:left w:val="single" w:sz="6" w:space="4" w:color="auto" w:shadow="1"/>
        <w:bottom w:val="single" w:sz="6" w:space="1" w:color="auto" w:shadow="1"/>
        <w:right w:val="single" w:sz="6" w:space="4" w:color="auto" w:shadow="1"/>
      </w:pBdr>
      <w:spacing w:before="4800" w:line="480" w:lineRule="auto"/>
      <w:ind w:left="1134" w:right="1133"/>
      <w:jc w:val="center"/>
    </w:pPr>
    <w:rPr>
      <w:rFonts w:ascii="Arial" w:hAnsi="Arial" w:cs="Angsana New"/>
      <w:bCs/>
      <w:sz w:val="32"/>
      <w:szCs w:val="32"/>
      <w:lang w:eastAsia="ja-JP" w:bidi="th-TH"/>
    </w:rPr>
  </w:style>
  <w:style w:type="paragraph" w:customStyle="1" w:styleId="Heading3tg">
    <w:name w:val="Heading 3tg"/>
    <w:basedOn w:val="Heading3"/>
    <w:rsid w:val="00D70798"/>
    <w:pPr>
      <w:numPr>
        <w:numId w:val="16"/>
      </w:numPr>
    </w:pPr>
    <w:rPr>
      <w:rFonts w:cs="Angsana New"/>
      <w:szCs w:val="24"/>
      <w:lang w:val="en-GB" w:eastAsia="ja-JP" w:bidi="th-TH"/>
    </w:rPr>
  </w:style>
  <w:style w:type="paragraph" w:customStyle="1" w:styleId="Heading4tg">
    <w:name w:val="Heading 4tg"/>
    <w:basedOn w:val="Heading4"/>
    <w:rsid w:val="00D70798"/>
    <w:pPr>
      <w:keepLines/>
      <w:tabs>
        <w:tab w:val="left" w:pos="709"/>
      </w:tabs>
      <w:ind w:left="709" w:hanging="709"/>
    </w:pPr>
    <w:rPr>
      <w:rFonts w:cs="Angsana New"/>
      <w:iCs/>
      <w:szCs w:val="24"/>
      <w:lang w:val="en-US" w:eastAsia="ja-JP" w:bidi="th-TH"/>
    </w:rPr>
  </w:style>
  <w:style w:type="paragraph" w:customStyle="1" w:styleId="TOC1tg">
    <w:name w:val="TOC 1tg"/>
    <w:basedOn w:val="TOC1"/>
    <w:rsid w:val="00D70798"/>
    <w:pPr>
      <w:tabs>
        <w:tab w:val="clear" w:pos="9639"/>
        <w:tab w:val="left" w:pos="567"/>
        <w:tab w:val="right" w:leader="dot" w:pos="9072"/>
      </w:tabs>
      <w:spacing w:before="120"/>
    </w:pPr>
    <w:rPr>
      <w:rFonts w:ascii="Times New Roman" w:hAnsi="Times New Roman" w:cs="Angsana New"/>
      <w:lang w:eastAsia="ja-JP" w:bidi="th-TH"/>
    </w:rPr>
  </w:style>
  <w:style w:type="paragraph" w:customStyle="1" w:styleId="TOC2tg">
    <w:name w:val="TOC 2tg"/>
    <w:basedOn w:val="TOC2"/>
    <w:rsid w:val="00D70798"/>
    <w:pPr>
      <w:tabs>
        <w:tab w:val="clear" w:pos="9639"/>
        <w:tab w:val="left" w:pos="1134"/>
        <w:tab w:val="right" w:leader="dot" w:pos="9072"/>
      </w:tabs>
      <w:ind w:left="1134" w:right="284"/>
      <w:contextualSpacing w:val="0"/>
    </w:pPr>
    <w:rPr>
      <w:rFonts w:ascii="Times New Roman" w:hAnsi="Times New Roman" w:cs="Angsana New"/>
      <w:smallCaps w:val="0"/>
      <w:lang w:eastAsia="ja-JP" w:bidi="th-TH"/>
    </w:rPr>
  </w:style>
  <w:style w:type="paragraph" w:customStyle="1" w:styleId="Draft">
    <w:name w:val="Draft"/>
    <w:basedOn w:val="Normal"/>
    <w:next w:val="Normal"/>
    <w:rsid w:val="00D70798"/>
    <w:pPr>
      <w:spacing w:before="120" w:after="120"/>
      <w:jc w:val="center"/>
    </w:pPr>
    <w:rPr>
      <w:caps/>
      <w:sz w:val="28"/>
    </w:rPr>
  </w:style>
  <w:style w:type="paragraph" w:customStyle="1" w:styleId="2pt">
    <w:name w:val="2pt"/>
    <w:basedOn w:val="tqparabox"/>
    <w:rsid w:val="00D70798"/>
    <w:pPr>
      <w:ind w:left="0"/>
    </w:pPr>
  </w:style>
  <w:style w:type="paragraph" w:styleId="BlockText">
    <w:name w:val="Block Text"/>
    <w:basedOn w:val="Normal"/>
    <w:rsid w:val="00D70798"/>
    <w:pPr>
      <w:ind w:left="1985" w:right="-2"/>
    </w:pPr>
    <w:rPr>
      <w:rFonts w:cs="Angsana New"/>
      <w:szCs w:val="24"/>
      <w:lang w:eastAsia="ja-JP" w:bidi="th-TH"/>
    </w:rPr>
  </w:style>
  <w:style w:type="paragraph" w:styleId="BodyTextIndent">
    <w:name w:val="Body Text Indent"/>
    <w:basedOn w:val="Normal"/>
    <w:link w:val="BodyTextIndentChar"/>
    <w:rsid w:val="00D70798"/>
    <w:pPr>
      <w:ind w:left="2977" w:hanging="993"/>
    </w:pPr>
    <w:rPr>
      <w:rFonts w:cs="Angsana New"/>
      <w:szCs w:val="24"/>
      <w:lang w:eastAsia="ja-JP" w:bidi="th-TH"/>
    </w:rPr>
  </w:style>
  <w:style w:type="character" w:customStyle="1" w:styleId="BodyTextIndentChar">
    <w:name w:val="Body Text Indent Char"/>
    <w:basedOn w:val="DefaultParagraphFont"/>
    <w:link w:val="BodyTextIndent"/>
    <w:rsid w:val="00D70798"/>
    <w:rPr>
      <w:rFonts w:ascii="Arial" w:hAnsi="Arial" w:cs="Angsana New"/>
      <w:szCs w:val="24"/>
      <w:lang w:eastAsia="ja-JP" w:bidi="th-TH"/>
    </w:rPr>
  </w:style>
  <w:style w:type="paragraph" w:customStyle="1" w:styleId="indentpara">
    <w:name w:val="indentpara"/>
    <w:basedOn w:val="Normal"/>
    <w:rsid w:val="00D70798"/>
    <w:pPr>
      <w:ind w:firstLine="426"/>
    </w:pPr>
    <w:rPr>
      <w:sz w:val="22"/>
    </w:rPr>
  </w:style>
  <w:style w:type="paragraph" w:styleId="BodyTextIndent2">
    <w:name w:val="Body Text Indent 2"/>
    <w:basedOn w:val="Normal"/>
    <w:link w:val="BodyTextIndent2Char"/>
    <w:rsid w:val="00D70798"/>
    <w:pPr>
      <w:pBdr>
        <w:top w:val="single" w:sz="4" w:space="1" w:color="auto"/>
        <w:left w:val="single" w:sz="4" w:space="4" w:color="auto"/>
        <w:bottom w:val="single" w:sz="4" w:space="1" w:color="auto"/>
        <w:right w:val="single" w:sz="4" w:space="4" w:color="auto"/>
      </w:pBdr>
      <w:ind w:left="1701" w:hanging="1344"/>
    </w:pPr>
    <w:rPr>
      <w:rFonts w:cs="Angsana New"/>
      <w:szCs w:val="24"/>
      <w:lang w:eastAsia="ja-JP" w:bidi="th-TH"/>
    </w:rPr>
  </w:style>
  <w:style w:type="character" w:customStyle="1" w:styleId="BodyTextIndent2Char">
    <w:name w:val="Body Text Indent 2 Char"/>
    <w:basedOn w:val="DefaultParagraphFont"/>
    <w:link w:val="BodyTextIndent2"/>
    <w:rsid w:val="00D70798"/>
    <w:rPr>
      <w:rFonts w:ascii="Arial" w:hAnsi="Arial" w:cs="Angsana New"/>
      <w:szCs w:val="24"/>
      <w:lang w:eastAsia="ja-JP" w:bidi="th-TH"/>
    </w:rPr>
  </w:style>
  <w:style w:type="paragraph" w:styleId="BodyTextIndent3">
    <w:name w:val="Body Text Indent 3"/>
    <w:basedOn w:val="Normal"/>
    <w:link w:val="BodyTextIndent3Char"/>
    <w:rsid w:val="00D70798"/>
    <w:pPr>
      <w:ind w:left="1985"/>
    </w:pPr>
    <w:rPr>
      <w:rFonts w:cs="Angsana New"/>
      <w:szCs w:val="24"/>
      <w:lang w:eastAsia="ja-JP" w:bidi="th-TH"/>
    </w:rPr>
  </w:style>
  <w:style w:type="character" w:customStyle="1" w:styleId="BodyTextIndent3Char">
    <w:name w:val="Body Text Indent 3 Char"/>
    <w:basedOn w:val="DefaultParagraphFont"/>
    <w:link w:val="BodyTextIndent3"/>
    <w:rsid w:val="00D70798"/>
    <w:rPr>
      <w:rFonts w:ascii="Arial" w:hAnsi="Arial" w:cs="Angsana New"/>
      <w:szCs w:val="24"/>
      <w:lang w:eastAsia="ja-JP" w:bidi="th-TH"/>
    </w:rPr>
  </w:style>
  <w:style w:type="paragraph" w:styleId="BodyText2">
    <w:name w:val="Body Text 2"/>
    <w:basedOn w:val="Normal"/>
    <w:link w:val="BodyText2Char"/>
    <w:rsid w:val="00D70798"/>
    <w:rPr>
      <w:rFonts w:cs="Angsana New"/>
      <w:color w:val="000000"/>
      <w:szCs w:val="24"/>
      <w:lang w:eastAsia="ja-JP" w:bidi="th-TH"/>
    </w:rPr>
  </w:style>
  <w:style w:type="character" w:customStyle="1" w:styleId="BodyText2Char">
    <w:name w:val="Body Text 2 Char"/>
    <w:basedOn w:val="DefaultParagraphFont"/>
    <w:link w:val="BodyText2"/>
    <w:rsid w:val="00D70798"/>
    <w:rPr>
      <w:rFonts w:ascii="Arial" w:hAnsi="Arial" w:cs="Angsana New"/>
      <w:color w:val="000000"/>
      <w:szCs w:val="24"/>
      <w:lang w:eastAsia="ja-JP" w:bidi="th-TH"/>
    </w:rPr>
  </w:style>
  <w:style w:type="paragraph" w:customStyle="1" w:styleId="Formatvorlage1">
    <w:name w:val="Formatvorlage1"/>
    <w:basedOn w:val="Normal"/>
    <w:rsid w:val="00D70798"/>
    <w:rPr>
      <w:sz w:val="22"/>
    </w:rPr>
  </w:style>
  <w:style w:type="character" w:customStyle="1" w:styleId="f41">
    <w:name w:val="f41"/>
    <w:basedOn w:val="DefaultParagraphFont"/>
    <w:rsid w:val="00D70798"/>
    <w:rPr>
      <w:rFonts w:ascii="Times New Roman" w:hAnsi="Times New Roman" w:cs="Times New Roman" w:hint="default"/>
      <w:color w:val="000000"/>
      <w:sz w:val="24"/>
      <w:szCs w:val="24"/>
    </w:rPr>
  </w:style>
  <w:style w:type="table" w:styleId="TableGrid">
    <w:name w:val="Table Grid"/>
    <w:basedOn w:val="TableNormal"/>
    <w:rsid w:val="00D7079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rsid w:val="00D70798"/>
    <w:pPr>
      <w:jc w:val="center"/>
    </w:pPr>
    <w:rPr>
      <w:rFonts w:cs="Angsana New"/>
      <w:szCs w:val="24"/>
      <w:lang w:eastAsia="ja-JP" w:bidi="th-TH"/>
    </w:rPr>
  </w:style>
  <w:style w:type="character" w:customStyle="1" w:styleId="BodyText3Char">
    <w:name w:val="Body Text 3 Char"/>
    <w:basedOn w:val="DefaultParagraphFont"/>
    <w:link w:val="BodyText3"/>
    <w:rsid w:val="00D70798"/>
    <w:rPr>
      <w:rFonts w:ascii="Arial" w:hAnsi="Arial" w:cs="Angsana New"/>
      <w:szCs w:val="24"/>
      <w:lang w:eastAsia="ja-JP" w:bidi="th-TH"/>
    </w:rPr>
  </w:style>
  <w:style w:type="paragraph" w:styleId="DocumentMap">
    <w:name w:val="Document Map"/>
    <w:basedOn w:val="Normal"/>
    <w:link w:val="DocumentMapChar"/>
    <w:rsid w:val="00D70798"/>
    <w:pPr>
      <w:shd w:val="clear" w:color="auto" w:fill="000080"/>
    </w:pPr>
    <w:rPr>
      <w:rFonts w:ascii="Tahoma" w:hAnsi="Tahoma" w:cs="Tahoma"/>
      <w:sz w:val="24"/>
      <w:szCs w:val="24"/>
      <w:lang w:eastAsia="ja-JP" w:bidi="th-TH"/>
    </w:rPr>
  </w:style>
  <w:style w:type="character" w:customStyle="1" w:styleId="DocumentMapChar">
    <w:name w:val="Document Map Char"/>
    <w:basedOn w:val="DefaultParagraphFont"/>
    <w:link w:val="DocumentMap"/>
    <w:rsid w:val="00D70798"/>
    <w:rPr>
      <w:rFonts w:ascii="Tahoma" w:hAnsi="Tahoma" w:cs="Tahoma"/>
      <w:sz w:val="24"/>
      <w:szCs w:val="24"/>
      <w:shd w:val="clear" w:color="auto" w:fill="000080"/>
      <w:lang w:eastAsia="ja-JP" w:bidi="th-TH"/>
    </w:rPr>
  </w:style>
  <w:style w:type="paragraph" w:customStyle="1" w:styleId="StyleHeading7BoldBefore0ptAfter0pt">
    <w:name w:val="Style Heading 7 + Bold Before:  0 pt After:  0 pt"/>
    <w:basedOn w:val="Heading7"/>
    <w:rsid w:val="00D70798"/>
    <w:pPr>
      <w:spacing w:before="0" w:after="0"/>
    </w:pPr>
    <w:rPr>
      <w:b/>
      <w:bCs/>
    </w:rPr>
  </w:style>
  <w:style w:type="paragraph" w:customStyle="1" w:styleId="StyleHeading8Bold">
    <w:name w:val="Style Heading 8 + Bold"/>
    <w:basedOn w:val="Heading8"/>
    <w:rsid w:val="00D70798"/>
    <w:rPr>
      <w:bCs/>
    </w:rPr>
  </w:style>
  <w:style w:type="character" w:customStyle="1" w:styleId="f31">
    <w:name w:val="f31"/>
    <w:basedOn w:val="DefaultParagraphFont"/>
    <w:rsid w:val="00D70798"/>
    <w:rPr>
      <w:rFonts w:ascii="Times New Roman" w:hAnsi="Times New Roman" w:cs="Times New Roman" w:hint="default"/>
      <w:color w:val="000000"/>
      <w:sz w:val="20"/>
      <w:szCs w:val="20"/>
    </w:rPr>
  </w:style>
  <w:style w:type="paragraph" w:styleId="Caption">
    <w:name w:val="caption"/>
    <w:basedOn w:val="Normal"/>
    <w:next w:val="Normal"/>
    <w:unhideWhenUsed/>
    <w:qFormat/>
    <w:rsid w:val="00D70798"/>
    <w:pPr>
      <w:spacing w:after="200"/>
    </w:pPr>
    <w:rPr>
      <w:b/>
      <w:bCs/>
      <w:color w:val="4F81BD" w:themeColor="accent1"/>
      <w:sz w:val="18"/>
      <w:szCs w:val="18"/>
    </w:rPr>
  </w:style>
  <w:style w:type="character" w:customStyle="1" w:styleId="ClosingChar">
    <w:name w:val="Closing Char"/>
    <w:basedOn w:val="DefaultParagraphFont"/>
    <w:link w:val="Closing"/>
    <w:rsid w:val="00D70798"/>
    <w:rPr>
      <w:rFonts w:ascii="Arial" w:hAnsi="Arial"/>
    </w:rPr>
  </w:style>
  <w:style w:type="character" w:customStyle="1" w:styleId="CommentTextChar">
    <w:name w:val="Comment Text Char"/>
    <w:basedOn w:val="DefaultParagraphFont"/>
    <w:link w:val="CommentText"/>
    <w:rsid w:val="00D70798"/>
    <w:rPr>
      <w:sz w:val="22"/>
    </w:rPr>
  </w:style>
  <w:style w:type="character" w:customStyle="1" w:styleId="EndnoteTextChar">
    <w:name w:val="Endnote Text Char"/>
    <w:basedOn w:val="DefaultParagraphFont"/>
    <w:link w:val="EndnoteText"/>
    <w:semiHidden/>
    <w:rsid w:val="00D70798"/>
    <w:rPr>
      <w:rFonts w:ascii="Arial" w:hAnsi="Arial"/>
    </w:rPr>
  </w:style>
  <w:style w:type="character" w:styleId="FollowedHyperlink">
    <w:name w:val="FollowedHyperlink"/>
    <w:basedOn w:val="DefaultParagraphFont"/>
    <w:rsid w:val="00D70798"/>
    <w:rPr>
      <w:color w:val="800080" w:themeColor="followedHyperlink"/>
      <w:u w:val="single"/>
    </w:rPr>
  </w:style>
  <w:style w:type="character" w:customStyle="1" w:styleId="HeaderChar">
    <w:name w:val="Header Char"/>
    <w:basedOn w:val="DefaultParagraphFont"/>
    <w:link w:val="Header"/>
    <w:uiPriority w:val="99"/>
    <w:rsid w:val="00D70798"/>
    <w:rPr>
      <w:rFonts w:ascii="Arial" w:hAnsi="Arial"/>
      <w:lang w:val="fr-FR"/>
    </w:rPr>
  </w:style>
  <w:style w:type="character" w:customStyle="1" w:styleId="Heading2Char">
    <w:name w:val="Heading 2 Char"/>
    <w:basedOn w:val="DefaultParagraphFont"/>
    <w:link w:val="Heading2"/>
    <w:rsid w:val="00D70798"/>
    <w:rPr>
      <w:rFonts w:ascii="Arial" w:hAnsi="Arial"/>
      <w:b/>
    </w:rPr>
  </w:style>
  <w:style w:type="paragraph" w:styleId="ListParagraph">
    <w:name w:val="List Paragraph"/>
    <w:basedOn w:val="Normal"/>
    <w:uiPriority w:val="34"/>
    <w:qFormat/>
    <w:rsid w:val="00D70798"/>
    <w:pPr>
      <w:ind w:left="720"/>
      <w:contextualSpacing/>
    </w:pPr>
  </w:style>
  <w:style w:type="character" w:customStyle="1" w:styleId="MacroTextChar">
    <w:name w:val="Macro Text Char"/>
    <w:basedOn w:val="DefaultParagraphFont"/>
    <w:link w:val="MacroText"/>
    <w:rsid w:val="00D70798"/>
    <w:rPr>
      <w:rFonts w:ascii="Courier New" w:hAnsi="Courier New"/>
      <w:sz w:val="16"/>
    </w:rPr>
  </w:style>
  <w:style w:type="character" w:customStyle="1" w:styleId="SignatureChar">
    <w:name w:val="Signature Char"/>
    <w:basedOn w:val="DefaultParagraphFont"/>
    <w:link w:val="Signature"/>
    <w:rsid w:val="00D70798"/>
    <w:rPr>
      <w:rFonts w:ascii="Arial" w:hAnsi="Arial"/>
    </w:rPr>
  </w:style>
  <w:style w:type="paragraph" w:customStyle="1" w:styleId="StyleHeading2Justified">
    <w:name w:val="Style Heading 2 + Justified"/>
    <w:basedOn w:val="Heading2"/>
    <w:rsid w:val="00D70798"/>
    <w:pPr>
      <w:pBdr>
        <w:top w:val="single" w:sz="4" w:space="1" w:color="auto"/>
        <w:left w:val="single" w:sz="4" w:space="4" w:color="auto"/>
        <w:bottom w:val="single" w:sz="4" w:space="1" w:color="auto"/>
        <w:right w:val="single" w:sz="4" w:space="4" w:color="auto"/>
      </w:pBdr>
      <w:tabs>
        <w:tab w:val="left" w:pos="992"/>
      </w:tabs>
      <w:ind w:left="992" w:hanging="992"/>
    </w:pPr>
    <w:rPr>
      <w:rFonts w:ascii="Times New Roman" w:hAnsi="Times New Roman"/>
      <w:b w:val="0"/>
      <w:bCs/>
      <w:sz w:val="24"/>
      <w:lang w:val="en-GB" w:eastAsia="ja-JP" w:bidi="th-TH"/>
    </w:rPr>
  </w:style>
  <w:style w:type="character" w:customStyle="1" w:styleId="TOC9Char">
    <w:name w:val="TOC 9 Char"/>
    <w:basedOn w:val="DefaultParagraphFont"/>
    <w:link w:val="TOC9"/>
    <w:uiPriority w:val="39"/>
    <w:rsid w:val="00D70798"/>
    <w:rPr>
      <w:rFonts w:ascii="Arial" w:hAnsi="Arial"/>
      <w:smallCaps/>
      <w:noProof/>
      <w:sz w:val="18"/>
      <w:lang w:val="fr-FR" w:eastAsia="ja-JP"/>
    </w:rPr>
  </w:style>
  <w:style w:type="character" w:styleId="CommentReference">
    <w:name w:val="annotation reference"/>
    <w:basedOn w:val="DefaultParagraphFont"/>
    <w:rsid w:val="00F03B0A"/>
    <w:rPr>
      <w:sz w:val="16"/>
      <w:szCs w:val="16"/>
    </w:rPr>
  </w:style>
  <w:style w:type="paragraph" w:customStyle="1" w:styleId="Disclaimer">
    <w:name w:val="Disclaimer"/>
    <w:next w:val="Normal"/>
    <w:qFormat/>
    <w:rsid w:val="00F14D14"/>
    <w:pPr>
      <w:spacing w:after="600"/>
    </w:pPr>
    <w:rPr>
      <w:rFonts w:ascii="Arial" w:hAnsi="Arial"/>
      <w:i/>
      <w:iCs/>
      <w:color w:val="A6A6A6" w:themeColor="background1" w:themeShade="A6"/>
      <w:lang w:val="de-DE"/>
    </w:rPr>
  </w:style>
  <w:style w:type="paragraph" w:customStyle="1" w:styleId="Doccode">
    <w:name w:val="Doc_code"/>
    <w:qFormat/>
    <w:rsid w:val="00F14D14"/>
    <w:rPr>
      <w:rFonts w:ascii="Arial" w:hAnsi="Arial"/>
      <w:b/>
      <w:bCs/>
      <w:spacing w:val="10"/>
      <w:sz w:val="18"/>
    </w:rPr>
  </w:style>
  <w:style w:type="paragraph" w:customStyle="1" w:styleId="tgchartextcentered">
    <w:name w:val="tg_char_text_centered"/>
    <w:basedOn w:val="Normal"/>
    <w:rsid w:val="00276C38"/>
    <w:pPr>
      <w:spacing w:before="80" w:after="80"/>
      <w:jc w:val="center"/>
    </w:pPr>
    <w:rPr>
      <w:b/>
      <w:sz w:val="16"/>
      <w:lang w:val="en-US"/>
    </w:rPr>
  </w:style>
  <w:style w:type="paragraph" w:customStyle="1" w:styleId="tgchartext">
    <w:name w:val="tg_char_text"/>
    <w:basedOn w:val="Normal"/>
    <w:rsid w:val="00276C38"/>
    <w:pPr>
      <w:spacing w:before="80" w:after="80"/>
      <w:jc w:val="left"/>
    </w:pPr>
    <w:rPr>
      <w:sz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917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TGPs\tgp_draft_template_D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258CD-F205-46DA-89CB-BD1292484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tgp_draft_template_DE.dotx</Template>
  <TotalTime>28</TotalTime>
  <Pages>16</Pages>
  <Words>6164</Words>
  <Characters>44436</Characters>
  <Application>Microsoft Office Word</Application>
  <DocSecurity>0</DocSecurity>
  <Lines>370</Lines>
  <Paragraphs>100</Paragraphs>
  <ScaleCrop>false</ScaleCrop>
  <HeadingPairs>
    <vt:vector size="2" baseType="variant">
      <vt:variant>
        <vt:lpstr>Title</vt:lpstr>
      </vt:variant>
      <vt:variant>
        <vt:i4>1</vt:i4>
      </vt:variant>
    </vt:vector>
  </HeadingPairs>
  <TitlesOfParts>
    <vt:vector size="1" baseType="lpstr">
      <vt:lpstr>TGP/7/6 Draft 1</vt:lpstr>
    </vt:vector>
  </TitlesOfParts>
  <Company>UPOV</Company>
  <LinksUpToDate>false</LinksUpToDate>
  <CharactersWithSpaces>50500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TGP/10/2 Draft 1</dc:title>
  <dc:creator>SANCHEZ VIZCAINO GOMEZ Rosa Maria</dc:creator>
  <cp:lastModifiedBy>SANCHEZ VIZCAINO GOMEZ Rosa Maria</cp:lastModifiedBy>
  <cp:revision>16</cp:revision>
  <cp:lastPrinted>2019-08-01T12:09:00Z</cp:lastPrinted>
  <dcterms:created xsi:type="dcterms:W3CDTF">2019-03-06T10:49:00Z</dcterms:created>
  <dcterms:modified xsi:type="dcterms:W3CDTF">2019-08-01T12:10:00Z</dcterms:modified>
</cp:coreProperties>
</file>