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420A0">
        <w:tc>
          <w:tcPr>
            <w:tcW w:w="6522" w:type="dxa"/>
          </w:tcPr>
          <w:p w:rsidR="007420A0" w:rsidRDefault="004A6861">
            <w:pPr>
              <w:rPr>
                <w:szCs w:val="24"/>
                <w:lang w:val="de-DE"/>
              </w:rPr>
            </w:pPr>
            <w:r>
              <w:rPr>
                <w:noProof/>
                <w:szCs w:val="24"/>
                <w:lang w:eastAsia="en-US"/>
              </w:rPr>
              <w:drawing>
                <wp:inline distT="0" distB="0" distL="0" distR="0">
                  <wp:extent cx="948690" cy="2457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8690" cy="245745"/>
                          </a:xfrm>
                          <a:prstGeom prst="rect">
                            <a:avLst/>
                          </a:prstGeom>
                          <a:noFill/>
                          <a:ln>
                            <a:noFill/>
                          </a:ln>
                        </pic:spPr>
                      </pic:pic>
                    </a:graphicData>
                  </a:graphic>
                </wp:inline>
              </w:drawing>
            </w:r>
          </w:p>
        </w:tc>
        <w:tc>
          <w:tcPr>
            <w:tcW w:w="3117" w:type="dxa"/>
          </w:tcPr>
          <w:p w:rsidR="007420A0" w:rsidRDefault="007420A0">
            <w:pPr>
              <w:pStyle w:val="Lettrine"/>
              <w:rPr>
                <w:bCs w:val="0"/>
                <w:szCs w:val="24"/>
                <w:lang w:val="de-DE"/>
              </w:rPr>
            </w:pPr>
            <w:r>
              <w:rPr>
                <w:bCs w:val="0"/>
                <w:noProof/>
                <w:szCs w:val="24"/>
                <w:lang w:val="de-DE"/>
              </w:rPr>
              <w:t>G</w:t>
            </w:r>
          </w:p>
        </w:tc>
      </w:tr>
      <w:tr w:rsidR="007420A0" w:rsidRPr="006A7ABB">
        <w:trPr>
          <w:trHeight w:val="219"/>
        </w:trPr>
        <w:tc>
          <w:tcPr>
            <w:tcW w:w="6522" w:type="dxa"/>
          </w:tcPr>
          <w:p w:rsidR="007420A0" w:rsidRDefault="007420A0">
            <w:pPr>
              <w:pStyle w:val="upove"/>
              <w:rPr>
                <w:szCs w:val="24"/>
                <w:lang w:val="de-DE"/>
              </w:rPr>
            </w:pPr>
            <w:r>
              <w:rPr>
                <w:szCs w:val="24"/>
                <w:lang w:val="de-DE"/>
              </w:rPr>
              <w:t>Internationaler Verband zum Schutz von Pflanzenzüchtungen</w:t>
            </w:r>
          </w:p>
        </w:tc>
        <w:tc>
          <w:tcPr>
            <w:tcW w:w="3117" w:type="dxa"/>
          </w:tcPr>
          <w:p w:rsidR="007420A0" w:rsidRDefault="007420A0">
            <w:pPr>
              <w:rPr>
                <w:szCs w:val="24"/>
                <w:lang w:val="de-DE"/>
              </w:rPr>
            </w:pPr>
          </w:p>
        </w:tc>
      </w:tr>
    </w:tbl>
    <w:p w:rsidR="007420A0" w:rsidRDefault="007420A0">
      <w:pPr>
        <w:rPr>
          <w:szCs w:val="24"/>
          <w:lang w:val="de-DE"/>
        </w:rPr>
      </w:pPr>
    </w:p>
    <w:p w:rsidR="007420A0" w:rsidRDefault="007420A0">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420A0">
        <w:tc>
          <w:tcPr>
            <w:tcW w:w="6512" w:type="dxa"/>
            <w:tcBorders>
              <w:bottom w:val="single" w:sz="4" w:space="0" w:color="auto"/>
            </w:tcBorders>
          </w:tcPr>
          <w:p w:rsidR="007420A0" w:rsidRDefault="007420A0">
            <w:pPr>
              <w:pStyle w:val="Sessiontc"/>
              <w:spacing w:line="240" w:lineRule="auto"/>
              <w:rPr>
                <w:bCs w:val="0"/>
                <w:szCs w:val="24"/>
                <w:lang w:val="de-DE"/>
              </w:rPr>
            </w:pPr>
            <w:r>
              <w:rPr>
                <w:bCs w:val="0"/>
                <w:szCs w:val="24"/>
                <w:lang w:val="de-DE"/>
              </w:rPr>
              <w:t>Verwaltungs- und Rechtsausschuß</w:t>
            </w:r>
          </w:p>
          <w:p w:rsidR="007420A0" w:rsidRDefault="007420A0">
            <w:pPr>
              <w:pStyle w:val="Sessiontcplacedate"/>
              <w:rPr>
                <w:bCs w:val="0"/>
                <w:szCs w:val="24"/>
                <w:lang w:val="de-DE"/>
              </w:rPr>
            </w:pPr>
            <w:r>
              <w:rPr>
                <w:bCs w:val="0"/>
                <w:szCs w:val="24"/>
                <w:lang w:val="de-DE"/>
              </w:rPr>
              <w:t>Sechsundsiebzigste Tagung</w:t>
            </w:r>
            <w:r>
              <w:rPr>
                <w:bCs w:val="0"/>
                <w:szCs w:val="24"/>
                <w:lang w:val="de-DE"/>
              </w:rPr>
              <w:br/>
              <w:t>Genf, 30. Oktober 2019</w:t>
            </w:r>
          </w:p>
        </w:tc>
        <w:tc>
          <w:tcPr>
            <w:tcW w:w="3127" w:type="dxa"/>
            <w:tcBorders>
              <w:bottom w:val="single" w:sz="4" w:space="0" w:color="auto"/>
            </w:tcBorders>
          </w:tcPr>
          <w:p w:rsidR="007420A0" w:rsidRDefault="007420A0">
            <w:pPr>
              <w:pStyle w:val="Doccode"/>
              <w:rPr>
                <w:bCs w:val="0"/>
                <w:szCs w:val="24"/>
                <w:lang w:val="de-DE"/>
              </w:rPr>
            </w:pPr>
            <w:r>
              <w:rPr>
                <w:bCs w:val="0"/>
                <w:szCs w:val="24"/>
                <w:lang w:val="de-DE"/>
              </w:rPr>
              <w:t>CAJ/76/INF/3</w:t>
            </w:r>
          </w:p>
          <w:p w:rsidR="007420A0" w:rsidRDefault="007420A0">
            <w:pPr>
              <w:pStyle w:val="Docoriginal"/>
              <w:rPr>
                <w:bCs w:val="0"/>
                <w:szCs w:val="24"/>
                <w:lang w:val="de-DE"/>
              </w:rPr>
            </w:pPr>
            <w:r>
              <w:rPr>
                <w:bCs w:val="0"/>
                <w:szCs w:val="24"/>
                <w:lang w:val="de-DE"/>
              </w:rPr>
              <w:t>Original:</w:t>
            </w:r>
            <w:r>
              <w:rPr>
                <w:b w:val="0"/>
                <w:bCs w:val="0"/>
                <w:spacing w:val="0"/>
                <w:szCs w:val="24"/>
                <w:lang w:val="de-DE"/>
              </w:rPr>
              <w:t xml:space="preserve">  Englisch</w:t>
            </w:r>
          </w:p>
          <w:p w:rsidR="007420A0" w:rsidRDefault="007420A0" w:rsidP="006A7ABB">
            <w:pPr>
              <w:pStyle w:val="Docoriginal"/>
              <w:rPr>
                <w:bCs w:val="0"/>
                <w:szCs w:val="24"/>
                <w:lang w:val="de-DE"/>
              </w:rPr>
            </w:pPr>
            <w:r>
              <w:rPr>
                <w:bCs w:val="0"/>
                <w:szCs w:val="24"/>
                <w:lang w:val="de-DE"/>
              </w:rPr>
              <w:t>Datum</w:t>
            </w:r>
            <w:r w:rsidRPr="006A7ABB">
              <w:rPr>
                <w:bCs w:val="0"/>
                <w:szCs w:val="24"/>
                <w:lang w:val="de-DE"/>
              </w:rPr>
              <w:t>:</w:t>
            </w:r>
            <w:r w:rsidRPr="006A7ABB">
              <w:rPr>
                <w:b w:val="0"/>
                <w:bCs w:val="0"/>
                <w:spacing w:val="0"/>
                <w:szCs w:val="24"/>
                <w:lang w:val="de-DE"/>
              </w:rPr>
              <w:t xml:space="preserve">  2</w:t>
            </w:r>
            <w:r w:rsidR="006A7ABB" w:rsidRPr="006A7ABB">
              <w:rPr>
                <w:b w:val="0"/>
                <w:bCs w:val="0"/>
                <w:spacing w:val="0"/>
                <w:szCs w:val="24"/>
                <w:lang w:val="de-DE"/>
              </w:rPr>
              <w:t>6</w:t>
            </w:r>
            <w:r w:rsidRPr="006A7ABB">
              <w:rPr>
                <w:b w:val="0"/>
                <w:bCs w:val="0"/>
                <w:spacing w:val="0"/>
                <w:szCs w:val="24"/>
                <w:lang w:val="de-DE"/>
              </w:rPr>
              <w:t>. August 2019</w:t>
            </w:r>
          </w:p>
        </w:tc>
      </w:tr>
    </w:tbl>
    <w:p w:rsidR="007420A0" w:rsidRDefault="007420A0">
      <w:pPr>
        <w:pStyle w:val="Titleofdoc0"/>
        <w:rPr>
          <w:szCs w:val="24"/>
          <w:lang w:val="de-DE"/>
        </w:rPr>
      </w:pPr>
      <w:bookmarkStart w:id="0" w:name="Prepared"/>
      <w:bookmarkStart w:id="1" w:name="TitleOfDoc"/>
      <w:r>
        <w:rPr>
          <w:szCs w:val="24"/>
          <w:lang w:val="de-DE"/>
        </w:rPr>
        <w:t>MOLEKULARE VERFAHREN – Angelegenheiten zur Information</w:t>
      </w:r>
    </w:p>
    <w:bookmarkEnd w:id="0"/>
    <w:bookmarkEnd w:id="1"/>
    <w:p w:rsidR="007420A0" w:rsidRDefault="007420A0">
      <w:pPr>
        <w:pStyle w:val="preparedby1"/>
        <w:jc w:val="left"/>
        <w:rPr>
          <w:iCs w:val="0"/>
          <w:szCs w:val="24"/>
          <w:lang w:val="de-DE"/>
        </w:rPr>
      </w:pPr>
      <w:r>
        <w:rPr>
          <w:iCs w:val="0"/>
          <w:szCs w:val="24"/>
          <w:lang w:val="de-DE"/>
        </w:rPr>
        <w:t>Vom Verbandsbüro erstelltes Dokument</w:t>
      </w:r>
    </w:p>
    <w:p w:rsidR="007420A0" w:rsidRDefault="007420A0">
      <w:pPr>
        <w:pStyle w:val="Disclaimer"/>
        <w:rPr>
          <w:iCs w:val="0"/>
          <w:szCs w:val="24"/>
          <w:lang w:val="de-DE"/>
        </w:rPr>
      </w:pPr>
      <w:r>
        <w:rPr>
          <w:iCs w:val="0"/>
          <w:szCs w:val="24"/>
          <w:lang w:val="de-DE"/>
        </w:rPr>
        <w:t>Haftungsausschluß:  dieses Dokument gibt nicht die Grundsätze oder eine Anleitung der UPOV wieder</w:t>
      </w:r>
    </w:p>
    <w:p w:rsidR="007420A0" w:rsidRDefault="007420A0">
      <w:pPr>
        <w:keepNext/>
        <w:outlineLvl w:val="0"/>
        <w:rPr>
          <w:caps/>
          <w:spacing w:val="-4"/>
          <w:szCs w:val="24"/>
          <w:lang w:val="de-DE"/>
        </w:rPr>
      </w:pPr>
      <w:bookmarkStart w:id="2" w:name="_Toc19891265"/>
      <w:r>
        <w:rPr>
          <w:caps/>
          <w:spacing w:val="-4"/>
          <w:szCs w:val="24"/>
          <w:lang w:val="de-DE"/>
        </w:rPr>
        <w:t>Zusammenfassung</w:t>
      </w:r>
      <w:bookmarkEnd w:id="2"/>
    </w:p>
    <w:p w:rsidR="007420A0" w:rsidRDefault="007420A0">
      <w:pPr>
        <w:rPr>
          <w:rFonts w:ascii="MS Mincho" w:eastAsia="MS Mincho" w:hAnsi="Times New Roman"/>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Zweck dieses Dokuments ist es, über Entwicklungen seit der fünfundsiebzigsten Tagung des Verwaltungs- und Rechtsausschußes (CAJ) betreffend molekulare Verfahren </w:t>
      </w:r>
      <w:r w:rsidR="00EE33A8">
        <w:rPr>
          <w:szCs w:val="24"/>
          <w:lang w:val="de-DE"/>
        </w:rPr>
        <w:t>zu berichten.</w:t>
      </w:r>
    </w:p>
    <w:p w:rsidR="007420A0" w:rsidRDefault="007420A0">
      <w:pPr>
        <w:rPr>
          <w:szCs w:val="24"/>
          <w:lang w:val="de-DE"/>
        </w:rPr>
      </w:pPr>
    </w:p>
    <w:p w:rsidR="007420A0" w:rsidRDefault="007420A0">
      <w:pPr>
        <w:keepNext/>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In diesem Dokument werden folgende Abkürzungen verwendet:</w:t>
      </w:r>
    </w:p>
    <w:p w:rsidR="007420A0" w:rsidRDefault="007420A0">
      <w:pPr>
        <w:keepNext/>
        <w:keepLines/>
        <w:rPr>
          <w:szCs w:val="24"/>
          <w:lang w:val="de-DE"/>
        </w:rPr>
      </w:pPr>
    </w:p>
    <w:p w:rsidR="007420A0" w:rsidRDefault="007420A0">
      <w:pPr>
        <w:keepNext/>
        <w:keepLines/>
        <w:tabs>
          <w:tab w:val="left" w:pos="567"/>
        </w:tabs>
        <w:ind w:left="1701" w:hanging="1134"/>
        <w:rPr>
          <w:szCs w:val="24"/>
          <w:lang w:val="de-DE"/>
        </w:rPr>
      </w:pPr>
      <w:r>
        <w:rPr>
          <w:sz w:val="18"/>
          <w:szCs w:val="24"/>
          <w:lang w:val="de-DE"/>
        </w:rPr>
        <w:t>BMT:</w:t>
      </w:r>
      <w:r>
        <w:rPr>
          <w:sz w:val="18"/>
          <w:szCs w:val="24"/>
          <w:lang w:val="de-DE"/>
        </w:rPr>
        <w:tab/>
        <w:t>Arbeitsgruppe für biochemische und molekulare Ver</w:t>
      </w:r>
      <w:r w:rsidR="006A7ABB">
        <w:rPr>
          <w:sz w:val="18"/>
          <w:szCs w:val="24"/>
          <w:lang w:val="de-DE"/>
        </w:rPr>
        <w:t>fahren und insbesondere für DNS</w:t>
      </w:r>
      <w:r w:rsidR="006A7ABB">
        <w:rPr>
          <w:sz w:val="18"/>
          <w:szCs w:val="24"/>
          <w:lang w:val="de-DE"/>
        </w:rPr>
        <w:noBreakHyphen/>
      </w:r>
      <w:r>
        <w:rPr>
          <w:sz w:val="18"/>
          <w:szCs w:val="24"/>
          <w:lang w:val="de-DE"/>
        </w:rPr>
        <w:t xml:space="preserve">Profilierungsverfahren </w:t>
      </w:r>
    </w:p>
    <w:p w:rsidR="007420A0" w:rsidRDefault="007420A0">
      <w:pPr>
        <w:keepNext/>
        <w:keepLines/>
        <w:tabs>
          <w:tab w:val="left" w:pos="567"/>
        </w:tabs>
        <w:ind w:left="1701" w:hanging="1134"/>
        <w:rPr>
          <w:b/>
          <w:szCs w:val="24"/>
          <w:lang w:val="de-DE"/>
        </w:rPr>
      </w:pPr>
      <w:r>
        <w:rPr>
          <w:sz w:val="18"/>
          <w:szCs w:val="24"/>
          <w:lang w:val="de-DE"/>
        </w:rPr>
        <w:t>CAJ:</w:t>
      </w:r>
      <w:r>
        <w:rPr>
          <w:sz w:val="18"/>
          <w:szCs w:val="24"/>
          <w:lang w:val="de-DE"/>
        </w:rPr>
        <w:tab/>
        <w:t>Verwaltungs- und Rechtsausschuß</w:t>
      </w:r>
    </w:p>
    <w:p w:rsidR="007420A0" w:rsidRDefault="007420A0">
      <w:pPr>
        <w:keepNext/>
        <w:keepLines/>
        <w:tabs>
          <w:tab w:val="left" w:pos="567"/>
        </w:tabs>
        <w:ind w:left="1701" w:hanging="1134"/>
        <w:rPr>
          <w:szCs w:val="24"/>
          <w:lang w:val="de-DE"/>
        </w:rPr>
      </w:pPr>
      <w:r>
        <w:rPr>
          <w:sz w:val="18"/>
          <w:szCs w:val="24"/>
          <w:lang w:val="de-DE"/>
        </w:rPr>
        <w:t>TC:</w:t>
      </w:r>
      <w:r>
        <w:rPr>
          <w:sz w:val="18"/>
          <w:szCs w:val="24"/>
          <w:lang w:val="de-DE"/>
        </w:rPr>
        <w:tab/>
        <w:t>Technischer Ausschuß</w:t>
      </w:r>
    </w:p>
    <w:p w:rsidR="007420A0" w:rsidRDefault="007420A0">
      <w:pPr>
        <w:ind w:left="1701" w:hanging="1134"/>
        <w:rPr>
          <w:szCs w:val="24"/>
          <w:lang w:val="de-DE"/>
        </w:rPr>
      </w:pPr>
      <w:r>
        <w:rPr>
          <w:sz w:val="18"/>
          <w:szCs w:val="24"/>
          <w:lang w:val="de-DE"/>
        </w:rPr>
        <w:t>TWA:</w:t>
      </w:r>
      <w:r>
        <w:rPr>
          <w:sz w:val="18"/>
          <w:szCs w:val="24"/>
          <w:lang w:val="de-DE"/>
        </w:rPr>
        <w:tab/>
        <w:t>Technische Arbeitsgruppe für landwirtschaftliche Arten</w:t>
      </w:r>
    </w:p>
    <w:p w:rsidR="007420A0" w:rsidRDefault="007420A0">
      <w:pPr>
        <w:ind w:left="1701" w:hanging="1134"/>
        <w:rPr>
          <w:szCs w:val="24"/>
          <w:lang w:val="de-DE"/>
        </w:rPr>
      </w:pPr>
      <w:r>
        <w:rPr>
          <w:sz w:val="18"/>
          <w:szCs w:val="24"/>
          <w:lang w:val="de-DE"/>
        </w:rPr>
        <w:t>TWC:</w:t>
      </w:r>
      <w:r>
        <w:rPr>
          <w:sz w:val="18"/>
          <w:szCs w:val="24"/>
          <w:lang w:val="de-DE"/>
        </w:rPr>
        <w:tab/>
        <w:t>Technische Arbeitsgruppe für Automatisierung und Computerprogramme</w:t>
      </w:r>
    </w:p>
    <w:p w:rsidR="007420A0" w:rsidRDefault="007420A0">
      <w:pPr>
        <w:ind w:left="1701" w:hanging="1134"/>
        <w:rPr>
          <w:szCs w:val="24"/>
          <w:lang w:val="de-DE"/>
        </w:rPr>
      </w:pPr>
      <w:r>
        <w:rPr>
          <w:sz w:val="18"/>
          <w:szCs w:val="24"/>
          <w:lang w:val="de-DE"/>
        </w:rPr>
        <w:t xml:space="preserve">TWF: </w:t>
      </w:r>
      <w:r>
        <w:rPr>
          <w:sz w:val="18"/>
          <w:szCs w:val="24"/>
          <w:lang w:val="de-DE"/>
        </w:rPr>
        <w:tab/>
        <w:t>Technische Arbeitsgruppe für Obstarten</w:t>
      </w:r>
    </w:p>
    <w:p w:rsidR="007420A0" w:rsidRDefault="007420A0">
      <w:pPr>
        <w:ind w:left="1701" w:hanging="1134"/>
        <w:rPr>
          <w:szCs w:val="24"/>
          <w:lang w:val="de-DE"/>
        </w:rPr>
      </w:pPr>
      <w:r>
        <w:rPr>
          <w:sz w:val="18"/>
          <w:szCs w:val="24"/>
          <w:lang w:val="de-DE"/>
        </w:rPr>
        <w:t>TWO:</w:t>
      </w:r>
      <w:r>
        <w:rPr>
          <w:sz w:val="18"/>
          <w:szCs w:val="24"/>
          <w:lang w:val="de-DE"/>
        </w:rPr>
        <w:tab/>
        <w:t>Technische Arbeitsgruppe für Zierpflanzen und forstliche Baumarten</w:t>
      </w:r>
    </w:p>
    <w:p w:rsidR="007420A0" w:rsidRDefault="007420A0">
      <w:pPr>
        <w:keepNext/>
        <w:keepLines/>
        <w:ind w:left="1701" w:hanging="1134"/>
        <w:rPr>
          <w:rFonts w:ascii="PMingLiU" w:eastAsia="PMingLiU"/>
          <w:szCs w:val="24"/>
          <w:lang w:val="de-DE"/>
        </w:rPr>
      </w:pPr>
      <w:r>
        <w:rPr>
          <w:sz w:val="18"/>
          <w:szCs w:val="24"/>
          <w:lang w:val="de-DE"/>
        </w:rPr>
        <w:t>TWP:</w:t>
      </w:r>
      <w:r>
        <w:rPr>
          <w:sz w:val="18"/>
          <w:szCs w:val="24"/>
          <w:lang w:val="de-DE"/>
        </w:rPr>
        <w:tab/>
        <w:t>Technische Arbeitsgruppen</w:t>
      </w:r>
    </w:p>
    <w:p w:rsidR="007420A0" w:rsidRDefault="007420A0">
      <w:pPr>
        <w:keepNext/>
        <w:keepLines/>
        <w:ind w:left="1701" w:hanging="1134"/>
        <w:rPr>
          <w:szCs w:val="24"/>
          <w:lang w:val="de-DE"/>
        </w:rPr>
      </w:pPr>
      <w:r>
        <w:rPr>
          <w:sz w:val="18"/>
          <w:szCs w:val="24"/>
          <w:lang w:val="de-DE"/>
        </w:rPr>
        <w:t>TWV:</w:t>
      </w:r>
      <w:r>
        <w:rPr>
          <w:sz w:val="18"/>
          <w:szCs w:val="24"/>
          <w:lang w:val="de-DE"/>
        </w:rPr>
        <w:tab/>
        <w:t>Technische Arbeitsgruppe für Gemüsearten</w:t>
      </w:r>
    </w:p>
    <w:p w:rsidR="007420A0" w:rsidRDefault="007420A0">
      <w:pPr>
        <w:keepNext/>
        <w:keepLines/>
        <w:ind w:left="1701" w:hanging="1134"/>
        <w:rPr>
          <w:szCs w:val="24"/>
          <w:lang w:val="de-DE"/>
        </w:rPr>
      </w:pPr>
      <w:r>
        <w:rPr>
          <w:sz w:val="18"/>
          <w:szCs w:val="24"/>
          <w:lang w:val="de-DE"/>
        </w:rPr>
        <w:t>OECD:</w:t>
      </w:r>
      <w:r>
        <w:rPr>
          <w:sz w:val="18"/>
          <w:szCs w:val="24"/>
          <w:lang w:val="de-DE"/>
        </w:rPr>
        <w:tab/>
        <w:t>Organisation für wirtschaftliche Zusammenarbeit und Entwicklung</w:t>
      </w:r>
    </w:p>
    <w:p w:rsidR="007420A0" w:rsidRDefault="007420A0">
      <w:pPr>
        <w:ind w:left="1701" w:hanging="1134"/>
        <w:rPr>
          <w:szCs w:val="24"/>
          <w:lang w:val="de-DE"/>
        </w:rPr>
      </w:pPr>
      <w:r>
        <w:rPr>
          <w:sz w:val="18"/>
          <w:szCs w:val="24"/>
          <w:lang w:val="de-DE"/>
        </w:rPr>
        <w:t xml:space="preserve">ISTA: </w:t>
      </w:r>
      <w:r>
        <w:rPr>
          <w:sz w:val="18"/>
          <w:szCs w:val="24"/>
          <w:lang w:val="de-DE"/>
        </w:rPr>
        <w:tab/>
        <w:t>Internationale Vereinigung für Saatgutprüfung</w:t>
      </w:r>
    </w:p>
    <w:p w:rsidR="007420A0" w:rsidRDefault="007420A0" w:rsidP="006A7ABB">
      <w:pPr>
        <w:rPr>
          <w:lang w:val="de-DE"/>
        </w:rPr>
      </w:pPr>
    </w:p>
    <w:p w:rsidR="007420A0" w:rsidRDefault="007420A0">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Aufbau dieses Dokuments ist nachstehend zusammengefasst:</w:t>
      </w:r>
    </w:p>
    <w:p w:rsidR="007420A0" w:rsidRDefault="007420A0">
      <w:pPr>
        <w:rPr>
          <w:szCs w:val="24"/>
          <w:lang w:val="de-DE"/>
        </w:rPr>
      </w:pPr>
    </w:p>
    <w:p w:rsidR="006A7ABB" w:rsidRPr="006A7ABB" w:rsidRDefault="007420A0">
      <w:pPr>
        <w:pStyle w:val="TOC1"/>
        <w:rPr>
          <w:rFonts w:asciiTheme="minorHAnsi" w:eastAsiaTheme="minorEastAsia" w:hAnsiTheme="minorHAnsi" w:cstheme="minorBidi"/>
          <w:caps w:val="0"/>
          <w:noProof/>
          <w:snapToGrid/>
          <w:sz w:val="22"/>
          <w:szCs w:val="22"/>
          <w:lang w:val="de-DE" w:eastAsia="en-US"/>
        </w:rPr>
      </w:pPr>
      <w:r>
        <w:rPr>
          <w:b/>
          <w:noProof/>
          <w:szCs w:val="24"/>
          <w:lang w:val="fr-FR"/>
        </w:rPr>
        <w:fldChar w:fldCharType="begin"/>
      </w:r>
      <w:r w:rsidRPr="006A7ABB">
        <w:rPr>
          <w:b/>
          <w:noProof/>
          <w:szCs w:val="24"/>
          <w:lang w:val="de-DE"/>
        </w:rPr>
        <w:instrText xml:space="preserve"> TOC \o "1-2" \u </w:instrText>
      </w:r>
      <w:r>
        <w:rPr>
          <w:b/>
          <w:noProof/>
          <w:szCs w:val="24"/>
          <w:lang w:val="fr-FR"/>
        </w:rPr>
        <w:fldChar w:fldCharType="separate"/>
      </w:r>
      <w:r w:rsidR="006A7ABB" w:rsidRPr="006C1C67">
        <w:rPr>
          <w:noProof/>
          <w:spacing w:val="-4"/>
          <w:lang w:val="de-DE"/>
        </w:rPr>
        <w:t>Zusammenfassung</w:t>
      </w:r>
      <w:r w:rsidR="006A7ABB" w:rsidRPr="006A7ABB">
        <w:rPr>
          <w:noProof/>
          <w:lang w:val="de-DE"/>
        </w:rPr>
        <w:tab/>
      </w:r>
      <w:r w:rsidR="006A7ABB">
        <w:rPr>
          <w:noProof/>
        </w:rPr>
        <w:fldChar w:fldCharType="begin"/>
      </w:r>
      <w:r w:rsidR="006A7ABB" w:rsidRPr="006A7ABB">
        <w:rPr>
          <w:noProof/>
          <w:lang w:val="de-DE"/>
        </w:rPr>
        <w:instrText xml:space="preserve"> PAGEREF _Toc19891265 \h </w:instrText>
      </w:r>
      <w:r w:rsidR="006A7ABB">
        <w:rPr>
          <w:noProof/>
        </w:rPr>
      </w:r>
      <w:r w:rsidR="006A7ABB">
        <w:rPr>
          <w:noProof/>
        </w:rPr>
        <w:fldChar w:fldCharType="separate"/>
      </w:r>
      <w:r w:rsidR="006A7ABB" w:rsidRPr="006A7ABB">
        <w:rPr>
          <w:noProof/>
          <w:lang w:val="de-DE"/>
        </w:rPr>
        <w:t>1</w:t>
      </w:r>
      <w:r w:rsidR="006A7ABB">
        <w:rPr>
          <w:noProof/>
        </w:rPr>
        <w:fldChar w:fldCharType="end"/>
      </w:r>
    </w:p>
    <w:p w:rsidR="006A7ABB" w:rsidRPr="006A7ABB" w:rsidRDefault="006A7ABB">
      <w:pPr>
        <w:pStyle w:val="TOC1"/>
        <w:rPr>
          <w:rFonts w:asciiTheme="minorHAnsi" w:eastAsiaTheme="minorEastAsia" w:hAnsiTheme="minorHAnsi" w:cstheme="minorBidi"/>
          <w:caps w:val="0"/>
          <w:noProof/>
          <w:snapToGrid/>
          <w:sz w:val="22"/>
          <w:szCs w:val="22"/>
          <w:lang w:val="de-DE" w:eastAsia="en-US"/>
        </w:rPr>
      </w:pPr>
      <w:r w:rsidRPr="006C1C67">
        <w:rPr>
          <w:noProof/>
          <w:spacing w:val="-4"/>
          <w:lang w:val="de-DE"/>
        </w:rPr>
        <w:t>Hintergrund</w:t>
      </w:r>
      <w:r w:rsidRPr="006A7ABB">
        <w:rPr>
          <w:noProof/>
          <w:lang w:val="de-DE"/>
        </w:rPr>
        <w:tab/>
      </w:r>
      <w:r>
        <w:rPr>
          <w:noProof/>
        </w:rPr>
        <w:fldChar w:fldCharType="begin"/>
      </w:r>
      <w:r w:rsidRPr="006A7ABB">
        <w:rPr>
          <w:noProof/>
          <w:lang w:val="de-DE"/>
        </w:rPr>
        <w:instrText xml:space="preserve"> PAGEREF _Toc19891266 \h </w:instrText>
      </w:r>
      <w:r>
        <w:rPr>
          <w:noProof/>
        </w:rPr>
      </w:r>
      <w:r>
        <w:rPr>
          <w:noProof/>
        </w:rPr>
        <w:fldChar w:fldCharType="separate"/>
      </w:r>
      <w:r w:rsidRPr="006A7ABB">
        <w:rPr>
          <w:noProof/>
          <w:lang w:val="de-DE"/>
        </w:rPr>
        <w:t>1</w:t>
      </w:r>
      <w:r>
        <w:rPr>
          <w:noProof/>
        </w:rPr>
        <w:fldChar w:fldCharType="end"/>
      </w:r>
    </w:p>
    <w:p w:rsidR="006A7ABB" w:rsidRPr="006A7ABB" w:rsidRDefault="006A7ABB">
      <w:pPr>
        <w:pStyle w:val="TOC1"/>
        <w:rPr>
          <w:rFonts w:asciiTheme="minorHAnsi" w:eastAsiaTheme="minorEastAsia" w:hAnsiTheme="minorHAnsi" w:cstheme="minorBidi"/>
          <w:caps w:val="0"/>
          <w:noProof/>
          <w:snapToGrid/>
          <w:sz w:val="22"/>
          <w:szCs w:val="22"/>
          <w:lang w:val="de-DE" w:eastAsia="en-US"/>
        </w:rPr>
      </w:pPr>
      <w:r w:rsidRPr="006C1C67">
        <w:rPr>
          <w:noProof/>
          <w:spacing w:val="-4"/>
          <w:lang w:val="de-DE"/>
        </w:rPr>
        <w:t xml:space="preserve">Überarbeitung von Dokument UPOV/INF/17: „Richtlinien für die DNS-Profilierung: Auswahl molekularer Marker und Aufbau von Datenbanken </w:t>
      </w:r>
      <w:r w:rsidRPr="006C1C67">
        <w:rPr>
          <w:noProof/>
          <w:lang w:val="de-DE"/>
        </w:rPr>
        <w:t>(‚BMT-Richtlinien‘</w:t>
      </w:r>
      <w:r w:rsidRPr="006C1C67">
        <w:rPr>
          <w:noProof/>
          <w:spacing w:val="-4"/>
          <w:lang w:val="de-DE"/>
        </w:rPr>
        <w:t>)“</w:t>
      </w:r>
      <w:r w:rsidRPr="006A7ABB">
        <w:rPr>
          <w:noProof/>
          <w:lang w:val="de-DE"/>
        </w:rPr>
        <w:tab/>
      </w:r>
      <w:r>
        <w:rPr>
          <w:noProof/>
        </w:rPr>
        <w:fldChar w:fldCharType="begin"/>
      </w:r>
      <w:r w:rsidRPr="006A7ABB">
        <w:rPr>
          <w:noProof/>
          <w:lang w:val="de-DE"/>
        </w:rPr>
        <w:instrText xml:space="preserve"> PAGEREF _Toc19891267 \h </w:instrText>
      </w:r>
      <w:r>
        <w:rPr>
          <w:noProof/>
        </w:rPr>
      </w:r>
      <w:r>
        <w:rPr>
          <w:noProof/>
        </w:rPr>
        <w:fldChar w:fldCharType="separate"/>
      </w:r>
      <w:r w:rsidRPr="006A7ABB">
        <w:rPr>
          <w:noProof/>
          <w:lang w:val="de-DE"/>
        </w:rPr>
        <w:t>2</w:t>
      </w:r>
      <w:r>
        <w:rPr>
          <w:noProof/>
        </w:rPr>
        <w:fldChar w:fldCharType="end"/>
      </w:r>
    </w:p>
    <w:p w:rsidR="006A7ABB" w:rsidRPr="006A7ABB" w:rsidRDefault="006A7ABB">
      <w:pPr>
        <w:pStyle w:val="TOC1"/>
        <w:rPr>
          <w:rFonts w:asciiTheme="minorHAnsi" w:eastAsiaTheme="minorEastAsia" w:hAnsiTheme="minorHAnsi" w:cstheme="minorBidi"/>
          <w:caps w:val="0"/>
          <w:noProof/>
          <w:snapToGrid/>
          <w:sz w:val="22"/>
          <w:szCs w:val="22"/>
          <w:lang w:val="de-DE" w:eastAsia="en-US"/>
        </w:rPr>
      </w:pPr>
      <w:r w:rsidRPr="006C1C67">
        <w:rPr>
          <w:noProof/>
          <w:spacing w:val="-4"/>
          <w:lang w:val="de-DE"/>
        </w:rPr>
        <w:t>ZUSAMMENARBEIT ZWISCHEN INTERNATIONALEN ORGANISATIONEN</w:t>
      </w:r>
      <w:r w:rsidRPr="006A7ABB">
        <w:rPr>
          <w:noProof/>
          <w:lang w:val="de-DE"/>
        </w:rPr>
        <w:tab/>
      </w:r>
      <w:r>
        <w:rPr>
          <w:noProof/>
        </w:rPr>
        <w:fldChar w:fldCharType="begin"/>
      </w:r>
      <w:r w:rsidRPr="006A7ABB">
        <w:rPr>
          <w:noProof/>
          <w:lang w:val="de-DE"/>
        </w:rPr>
        <w:instrText xml:space="preserve"> PAGEREF _Toc19891268 \h </w:instrText>
      </w:r>
      <w:r>
        <w:rPr>
          <w:noProof/>
        </w:rPr>
      </w:r>
      <w:r>
        <w:rPr>
          <w:noProof/>
        </w:rPr>
        <w:fldChar w:fldCharType="separate"/>
      </w:r>
      <w:r w:rsidRPr="006A7ABB">
        <w:rPr>
          <w:noProof/>
          <w:lang w:val="de-DE"/>
        </w:rPr>
        <w:t>2</w:t>
      </w:r>
      <w:r>
        <w:rPr>
          <w:noProof/>
        </w:rPr>
        <w:fldChar w:fldCharType="end"/>
      </w:r>
    </w:p>
    <w:p w:rsidR="006A7ABB" w:rsidRPr="006A7ABB" w:rsidRDefault="006A7ABB">
      <w:pPr>
        <w:pStyle w:val="TOC1"/>
        <w:rPr>
          <w:rFonts w:asciiTheme="minorHAnsi" w:eastAsiaTheme="minorEastAsia" w:hAnsiTheme="minorHAnsi" w:cstheme="minorBidi"/>
          <w:caps w:val="0"/>
          <w:noProof/>
          <w:snapToGrid/>
          <w:sz w:val="22"/>
          <w:szCs w:val="22"/>
          <w:lang w:val="de-DE" w:eastAsia="en-US"/>
        </w:rPr>
      </w:pPr>
      <w:r w:rsidRPr="006C1C67">
        <w:rPr>
          <w:noProof/>
          <w:spacing w:val="-4"/>
          <w:lang w:val="de-DE"/>
        </w:rPr>
        <w:t>TAGUNG ZUR ERLEICHTERUNG DER ZUSAMMENARBEIT BEI DER BMT und den TWP</w:t>
      </w:r>
      <w:r w:rsidRPr="006A7ABB">
        <w:rPr>
          <w:noProof/>
          <w:lang w:val="de-DE"/>
        </w:rPr>
        <w:tab/>
      </w:r>
      <w:r>
        <w:rPr>
          <w:noProof/>
        </w:rPr>
        <w:fldChar w:fldCharType="begin"/>
      </w:r>
      <w:r w:rsidRPr="006A7ABB">
        <w:rPr>
          <w:noProof/>
          <w:lang w:val="de-DE"/>
        </w:rPr>
        <w:instrText xml:space="preserve"> PAGEREF _Toc19891269 \h </w:instrText>
      </w:r>
      <w:r>
        <w:rPr>
          <w:noProof/>
        </w:rPr>
      </w:r>
      <w:r>
        <w:rPr>
          <w:noProof/>
        </w:rPr>
        <w:fldChar w:fldCharType="separate"/>
      </w:r>
      <w:r w:rsidRPr="006A7ABB">
        <w:rPr>
          <w:noProof/>
          <w:lang w:val="de-DE"/>
        </w:rPr>
        <w:t>4</w:t>
      </w:r>
      <w:r>
        <w:rPr>
          <w:noProof/>
        </w:rPr>
        <w:fldChar w:fldCharType="end"/>
      </w:r>
    </w:p>
    <w:p w:rsidR="006A7ABB" w:rsidRPr="006A7ABB" w:rsidRDefault="007420A0">
      <w:pPr>
        <w:rPr>
          <w:b/>
          <w:noProof/>
          <w:szCs w:val="24"/>
          <w:lang w:val="de-DE"/>
        </w:rPr>
      </w:pPr>
      <w:r>
        <w:rPr>
          <w:b/>
          <w:noProof/>
          <w:szCs w:val="24"/>
          <w:lang w:val="fr-FR"/>
        </w:rPr>
        <w:fldChar w:fldCharType="end"/>
      </w:r>
    </w:p>
    <w:p w:rsidR="007420A0" w:rsidRDefault="007420A0">
      <w:pPr>
        <w:rPr>
          <w:sz w:val="18"/>
          <w:szCs w:val="24"/>
          <w:lang w:val="de-DE"/>
        </w:rPr>
      </w:pPr>
      <w:r>
        <w:rPr>
          <w:noProof/>
          <w:sz w:val="18"/>
          <w:szCs w:val="24"/>
          <w:lang w:val="de-DE"/>
        </w:rPr>
        <w:t>ANLAGE</w:t>
      </w:r>
      <w:r>
        <w:rPr>
          <w:sz w:val="18"/>
          <w:szCs w:val="24"/>
          <w:lang w:val="de-DE"/>
        </w:rPr>
        <w:tab/>
      </w:r>
      <w:r>
        <w:rPr>
          <w:noProof/>
          <w:sz w:val="18"/>
          <w:szCs w:val="24"/>
          <w:lang w:val="de-DE"/>
        </w:rPr>
        <w:t>ROLLE DER ARBEITSGRUPPE FÜR BIOC</w:t>
      </w:r>
      <w:bookmarkStart w:id="3" w:name="_GoBack"/>
      <w:bookmarkEnd w:id="3"/>
      <w:r>
        <w:rPr>
          <w:noProof/>
          <w:sz w:val="18"/>
          <w:szCs w:val="24"/>
          <w:lang w:val="de-DE"/>
        </w:rPr>
        <w:t>HEMISCHE UND MOLEKULARE VERFAHREN UND INSBESONDERE FÜR DNS-PROFILIERUNGSVERFAHREN (BMT)</w:t>
      </w:r>
    </w:p>
    <w:p w:rsidR="007420A0" w:rsidRDefault="007420A0">
      <w:pPr>
        <w:rPr>
          <w:szCs w:val="24"/>
          <w:lang w:val="de-DE"/>
        </w:rPr>
      </w:pPr>
    </w:p>
    <w:p w:rsidR="007420A0" w:rsidRDefault="007420A0">
      <w:pPr>
        <w:rPr>
          <w:szCs w:val="24"/>
          <w:lang w:val="de-DE"/>
        </w:rPr>
      </w:pPr>
    </w:p>
    <w:p w:rsidR="007420A0" w:rsidRDefault="007420A0">
      <w:pPr>
        <w:rPr>
          <w:szCs w:val="24"/>
          <w:lang w:val="de-DE"/>
        </w:rPr>
      </w:pPr>
    </w:p>
    <w:p w:rsidR="007420A0" w:rsidRDefault="007420A0">
      <w:pPr>
        <w:keepNext/>
        <w:outlineLvl w:val="0"/>
        <w:rPr>
          <w:szCs w:val="24"/>
          <w:lang w:val="de-DE"/>
        </w:rPr>
      </w:pPr>
      <w:bookmarkStart w:id="4" w:name="_Toc19891266"/>
      <w:r>
        <w:rPr>
          <w:caps/>
          <w:spacing w:val="-4"/>
          <w:szCs w:val="24"/>
          <w:lang w:val="de-DE"/>
        </w:rPr>
        <w:t>Hintergrund</w:t>
      </w:r>
      <w:bookmarkEnd w:id="4"/>
      <w:r>
        <w:rPr>
          <w:caps/>
          <w:spacing w:val="-4"/>
          <w:szCs w:val="24"/>
          <w:lang w:val="de-DE"/>
        </w:rPr>
        <w:t xml:space="preserve"> </w:t>
      </w:r>
    </w:p>
    <w:p w:rsidR="007420A0" w:rsidRDefault="007420A0">
      <w:pPr>
        <w:keepNext/>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Rolle der Arbeitsgruppe für biochemische und molekulare Verfahren und insbesondere für DNS</w:t>
      </w:r>
      <w:r>
        <w:rPr>
          <w:szCs w:val="24"/>
          <w:lang w:val="de-DE"/>
        </w:rPr>
        <w:noBreakHyphen/>
        <w:t>Profilierungsverfahren (BMT) ist in der Anlage dieses Dokuments wiedergegeben.</w:t>
      </w:r>
    </w:p>
    <w:p w:rsidR="007420A0" w:rsidRDefault="007420A0">
      <w:pPr>
        <w:rPr>
          <w:szCs w:val="24"/>
          <w:lang w:val="de-DE"/>
        </w:rPr>
      </w:pPr>
    </w:p>
    <w:p w:rsidR="007420A0" w:rsidRDefault="007420A0">
      <w:pPr>
        <w:rPr>
          <w:szCs w:val="24"/>
          <w:lang w:val="de-DE"/>
        </w:rPr>
      </w:pPr>
    </w:p>
    <w:p w:rsidR="007420A0" w:rsidRDefault="007420A0">
      <w:pPr>
        <w:rPr>
          <w:szCs w:val="24"/>
          <w:lang w:val="de-DE"/>
        </w:rPr>
      </w:pPr>
    </w:p>
    <w:p w:rsidR="007420A0" w:rsidRDefault="007420A0">
      <w:pPr>
        <w:keepNext/>
        <w:outlineLvl w:val="0"/>
        <w:rPr>
          <w:szCs w:val="24"/>
          <w:lang w:val="de-DE"/>
        </w:rPr>
      </w:pPr>
      <w:bookmarkStart w:id="5" w:name="_Toc19891267"/>
      <w:r>
        <w:rPr>
          <w:caps/>
          <w:spacing w:val="-4"/>
          <w:szCs w:val="24"/>
          <w:lang w:val="de-DE"/>
        </w:rPr>
        <w:lastRenderedPageBreak/>
        <w:t xml:space="preserve">Überarbeitung von Dokument UPOV/INF/17: „Richtlinien für die DNS-Profilierung: Auswahl molekularer Marker und Aufbau von Datenbanken </w:t>
      </w:r>
      <w:r>
        <w:rPr>
          <w:szCs w:val="24"/>
          <w:lang w:val="de-DE"/>
        </w:rPr>
        <w:t>(‚BMT-Richtlinien‘</w:t>
      </w:r>
      <w:r>
        <w:rPr>
          <w:caps/>
          <w:spacing w:val="-4"/>
          <w:szCs w:val="24"/>
          <w:lang w:val="de-DE"/>
        </w:rPr>
        <w:t>)“</w:t>
      </w:r>
      <w:bookmarkEnd w:id="5"/>
    </w:p>
    <w:p w:rsidR="007420A0" w:rsidRDefault="007420A0">
      <w:pPr>
        <w:keepNext/>
        <w:rPr>
          <w:szCs w:val="24"/>
          <w:lang w:val="de-DE"/>
        </w:rPr>
      </w:pPr>
    </w:p>
    <w:p w:rsidR="007420A0" w:rsidRDefault="007420A0">
      <w:pPr>
        <w:keepNext/>
        <w:rPr>
          <w:rFonts w:ascii="MS Mincho" w:eastAsia="MS Mincho"/>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Hintergrundinformationen zu dieser Angelegenheit werden in</w:t>
      </w:r>
      <w:r w:rsidR="006A7ABB">
        <w:rPr>
          <w:szCs w:val="24"/>
          <w:lang w:val="de-DE"/>
        </w:rPr>
        <w:t xml:space="preserve"> Dokument CAJ/75/11 „Molekulare </w:t>
      </w:r>
      <w:r>
        <w:rPr>
          <w:szCs w:val="24"/>
          <w:lang w:val="de-DE"/>
        </w:rPr>
        <w:t>Verfahren“, Absätze 31 bis 34, dargelegt.</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nahm auf seiner fünfundsiebzigsten Tagung</w:t>
      </w:r>
      <w:r w:rsidR="00EE33A8" w:rsidRPr="00C45AFD">
        <w:rPr>
          <w:vertAlign w:val="superscript"/>
        </w:rPr>
        <w:footnoteReference w:id="2"/>
      </w:r>
      <w:r>
        <w:rPr>
          <w:szCs w:val="24"/>
          <w:lang w:val="de-DE"/>
        </w:rPr>
        <w:t xml:space="preserve"> zur Kenntnis, da</w:t>
      </w:r>
      <w:r>
        <w:rPr>
          <w:sz w:val="18"/>
          <w:szCs w:val="24"/>
          <w:lang w:val="de-DE"/>
        </w:rPr>
        <w:t>ß</w:t>
      </w:r>
      <w:r>
        <w:rPr>
          <w:szCs w:val="24"/>
          <w:lang w:val="de-DE"/>
        </w:rPr>
        <w:t xml:space="preserve"> der TC auf seiner vierundfünfzigsten Tagung</w:t>
      </w:r>
      <w:r w:rsidR="00EE33A8" w:rsidRPr="00C45AFD">
        <w:rPr>
          <w:vertAlign w:val="superscript"/>
        </w:rPr>
        <w:footnoteReference w:id="3"/>
      </w:r>
      <w:r>
        <w:rPr>
          <w:szCs w:val="24"/>
          <w:lang w:val="de-DE"/>
        </w:rPr>
        <w:t xml:space="preserve"> die Europäische Union, Frankreich und die Niederlande ersucht hatte, einen neuen Entwurf des Dokuments UPOV/INF/17 „Richtlinien für die DNS-Profilierung: Auswahl molekularer Marker und Aufbau von Datenbanken (‚BMT-Richtlinien‘)“ zur Prüfung durch die achtzehnte Tagung der BMT auszuarbeiten, wie in Dokument CAJ/75/13 „Bericht über die Entwicklungen im Technischen Ausschuß“, Anlage, Absatz 42</w:t>
      </w:r>
      <w:r w:rsidR="00EE33A8" w:rsidRPr="00C45AFD">
        <w:rPr>
          <w:vertAlign w:val="superscript"/>
        </w:rPr>
        <w:footnoteReference w:id="4"/>
      </w:r>
      <w:r>
        <w:rPr>
          <w:szCs w:val="24"/>
          <w:lang w:val="de-DE"/>
        </w:rPr>
        <w:t xml:space="preserve"> dargelegt.</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wird auf seiner fünfundfünfzigsten Tagung</w:t>
      </w:r>
      <w:r w:rsidR="00EE33A8" w:rsidRPr="00C45AFD">
        <w:rPr>
          <w:vertAlign w:val="superscript"/>
        </w:rPr>
        <w:footnoteReference w:id="5"/>
      </w:r>
      <w:r>
        <w:rPr>
          <w:szCs w:val="24"/>
          <w:lang w:val="de-DE"/>
        </w:rPr>
        <w:t xml:space="preserve"> prüfen, ob um die Erstellung eines Entwurfs von Dokument UPOV/INF/17 zur Prüfung durch den TC auf seiner sechsundfünfzigsten </w:t>
      </w:r>
      <w:r w:rsidR="00EE33A8">
        <w:rPr>
          <w:szCs w:val="24"/>
          <w:lang w:val="de-DE"/>
        </w:rPr>
        <w:t>Tagung</w:t>
      </w:r>
      <w:r w:rsidR="00EE33A8" w:rsidRPr="00C45AFD">
        <w:rPr>
          <w:vertAlign w:val="superscript"/>
        </w:rPr>
        <w:footnoteReference w:id="6"/>
      </w:r>
      <w:r>
        <w:rPr>
          <w:szCs w:val="24"/>
          <w:lang w:val="de-DE"/>
        </w:rPr>
        <w:t xml:space="preserve"> ersucht werden sollte.</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Über die Entwicklungen auf der fünfundfünfzigsten Tagung des TC wird in Dokument </w:t>
      </w:r>
      <w:r>
        <w:rPr>
          <w:color w:val="000000"/>
          <w:szCs w:val="24"/>
          <w:lang w:val="de-DE"/>
        </w:rPr>
        <w:t>CAJ/76/</w:t>
      </w:r>
      <w:r w:rsidR="006A7ABB">
        <w:rPr>
          <w:color w:val="000000"/>
          <w:szCs w:val="24"/>
          <w:lang w:val="de-DE"/>
        </w:rPr>
        <w:t>2</w:t>
      </w:r>
      <w:r>
        <w:rPr>
          <w:color w:val="000000"/>
          <w:szCs w:val="24"/>
          <w:lang w:val="de-DE"/>
        </w:rPr>
        <w:t xml:space="preserve"> </w:t>
      </w:r>
      <w:r>
        <w:rPr>
          <w:szCs w:val="24"/>
          <w:lang w:val="de-DE"/>
        </w:rPr>
        <w:t>„Bericht über die Entwicklungen im Technischen Ausschuß“ berichtet werden.</w:t>
      </w:r>
    </w:p>
    <w:p w:rsidR="007420A0" w:rsidRDefault="007420A0">
      <w:pPr>
        <w:rPr>
          <w:szCs w:val="24"/>
          <w:lang w:val="de-DE"/>
        </w:rPr>
      </w:pPr>
    </w:p>
    <w:p w:rsidR="007420A0" w:rsidRDefault="007420A0">
      <w:pPr>
        <w:rPr>
          <w:szCs w:val="24"/>
          <w:lang w:val="de-DE"/>
        </w:rPr>
      </w:pPr>
    </w:p>
    <w:p w:rsidR="007420A0" w:rsidRDefault="007420A0">
      <w:pPr>
        <w:rPr>
          <w:szCs w:val="24"/>
          <w:lang w:val="de-DE"/>
        </w:rPr>
      </w:pPr>
    </w:p>
    <w:p w:rsidR="007420A0" w:rsidRDefault="007420A0">
      <w:pPr>
        <w:keepNext/>
        <w:outlineLvl w:val="0"/>
        <w:rPr>
          <w:caps/>
          <w:spacing w:val="-4"/>
          <w:szCs w:val="24"/>
          <w:lang w:val="de-DE"/>
        </w:rPr>
      </w:pPr>
      <w:bookmarkStart w:id="6" w:name="_Toc19891268"/>
      <w:r>
        <w:rPr>
          <w:caps/>
          <w:spacing w:val="-4"/>
          <w:szCs w:val="24"/>
          <w:lang w:val="de-DE"/>
        </w:rPr>
        <w:t>ZUSAMMENARBEIT ZWISCHEN INTERNATIONALEN ORGANISATIONEN</w:t>
      </w:r>
      <w:bookmarkEnd w:id="6"/>
    </w:p>
    <w:p w:rsidR="007420A0" w:rsidRDefault="007420A0">
      <w:pPr>
        <w:keepNext/>
        <w:rPr>
          <w:szCs w:val="24"/>
          <w:lang w:val="de-DE"/>
        </w:rPr>
      </w:pPr>
    </w:p>
    <w:p w:rsidR="007420A0" w:rsidRDefault="007420A0">
      <w:pPr>
        <w:keepNext/>
        <w:rPr>
          <w:rFonts w:ascii="MS Mincho" w:eastAsia="MS Mincho"/>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Hintergrundinformationen zu dieser Angelegenheit werden in Dokument CAJ/75/11 „Molekulare Verfahren“, Absätze 36 bis 44, dargelegt.</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CAJ hat auf seiner fünfundsiebzigsten Tagung zur Kenntnis genommen, da</w:t>
      </w:r>
      <w:r>
        <w:rPr>
          <w:sz w:val="18"/>
          <w:szCs w:val="24"/>
          <w:lang w:val="de-DE"/>
        </w:rPr>
        <w:t>ß</w:t>
      </w:r>
      <w:r>
        <w:rPr>
          <w:szCs w:val="24"/>
          <w:lang w:val="de-DE"/>
        </w:rPr>
        <w:t xml:space="preserve"> der TC vereinbart hatte, da</w:t>
      </w:r>
      <w:r>
        <w:rPr>
          <w:sz w:val="18"/>
          <w:szCs w:val="24"/>
          <w:lang w:val="de-DE"/>
        </w:rPr>
        <w:t>ß</w:t>
      </w:r>
      <w:r>
        <w:rPr>
          <w:szCs w:val="24"/>
          <w:lang w:val="de-DE"/>
        </w:rPr>
        <w:t xml:space="preserve"> die UPOV und die OECD bei den zuvor vom TC vereinbarten Angelegenheiten Fortschritte erzielen sollten, wie in Dokument CAJ/75/13, Anlage, Absatz 46</w:t>
      </w:r>
      <w:r w:rsidR="00EE33A8" w:rsidRPr="00C45AFD">
        <w:rPr>
          <w:vertAlign w:val="superscript"/>
        </w:rPr>
        <w:footnoteReference w:id="7"/>
      </w:r>
      <w:r>
        <w:rPr>
          <w:szCs w:val="24"/>
          <w:lang w:val="de-DE"/>
        </w:rPr>
        <w:t xml:space="preserve"> dargelegt</w:t>
      </w:r>
      <w:r w:rsidR="00EE33A8">
        <w:rPr>
          <w:szCs w:val="24"/>
          <w:lang w:val="de-DE"/>
        </w:rPr>
        <w:t xml:space="preserve">, </w:t>
      </w:r>
      <w:r w:rsidR="00031B84">
        <w:rPr>
          <w:szCs w:val="24"/>
          <w:lang w:val="de-DE"/>
        </w:rPr>
        <w:t>insbesondere</w:t>
      </w:r>
      <w:r>
        <w:rPr>
          <w:szCs w:val="24"/>
          <w:lang w:val="de-DE"/>
        </w:rPr>
        <w:t>:</w:t>
      </w:r>
    </w:p>
    <w:p w:rsidR="007420A0" w:rsidRDefault="007420A0">
      <w:pPr>
        <w:rPr>
          <w:i/>
          <w:szCs w:val="24"/>
          <w:lang w:val="de-DE"/>
        </w:rPr>
      </w:pPr>
    </w:p>
    <w:p w:rsidR="007420A0" w:rsidRDefault="007420A0">
      <w:pPr>
        <w:ind w:firstLine="567"/>
        <w:rPr>
          <w:szCs w:val="24"/>
          <w:lang w:val="de-DE"/>
        </w:rPr>
      </w:pPr>
      <w:r>
        <w:rPr>
          <w:szCs w:val="24"/>
          <w:lang w:val="de-DE"/>
        </w:rPr>
        <w:t>a)</w:t>
      </w:r>
      <w:r>
        <w:rPr>
          <w:szCs w:val="24"/>
          <w:lang w:val="de-DE"/>
        </w:rPr>
        <w:tab/>
        <w:t xml:space="preserve">ein gemeinsames Dokument zur Erläuterung der wesentlichen Besonderheiten der Systeme von OECD, UPOV und ISTA zu erarbeiten; </w:t>
      </w:r>
    </w:p>
    <w:p w:rsidR="007420A0" w:rsidRDefault="007420A0">
      <w:pPr>
        <w:ind w:firstLine="567"/>
        <w:rPr>
          <w:szCs w:val="24"/>
          <w:lang w:val="de-DE"/>
        </w:rPr>
      </w:pPr>
    </w:p>
    <w:p w:rsidR="007420A0" w:rsidRDefault="007420A0">
      <w:pPr>
        <w:keepLines/>
        <w:ind w:firstLine="567"/>
        <w:rPr>
          <w:szCs w:val="24"/>
          <w:lang w:val="de-DE"/>
        </w:rPr>
      </w:pPr>
      <w:r>
        <w:rPr>
          <w:szCs w:val="24"/>
          <w:lang w:val="de-DE"/>
        </w:rPr>
        <w:t>b)</w:t>
      </w:r>
      <w:r>
        <w:rPr>
          <w:szCs w:val="24"/>
          <w:lang w:val="de-DE"/>
        </w:rPr>
        <w:tab/>
        <w:t xml:space="preserve">vorbehaltlich der Billigung durch den Rat und in Abstimmung mit OECD und ISTA eine Bestandsaufnahme zur Verwendung molekularer Markerverfahren nach Pflanze im Hinblick auf die Ausarbeitung eines gemeinsamen Dokuments von OECD, UPOV und ISTA mit diesen Informationen in einem ähnlichen Format wie das UPOV-Dokument UPOV/INF/16, „Austauschbare Software“, zu erarbeiten, und </w:t>
      </w:r>
    </w:p>
    <w:p w:rsidR="007420A0" w:rsidRDefault="007420A0">
      <w:pPr>
        <w:ind w:firstLine="567"/>
        <w:rPr>
          <w:szCs w:val="24"/>
          <w:lang w:val="de-DE"/>
        </w:rPr>
      </w:pPr>
    </w:p>
    <w:p w:rsidR="007420A0" w:rsidRDefault="007420A0">
      <w:pPr>
        <w:ind w:firstLine="567"/>
        <w:rPr>
          <w:szCs w:val="24"/>
          <w:lang w:val="de-DE"/>
        </w:rPr>
      </w:pPr>
      <w:r>
        <w:rPr>
          <w:szCs w:val="24"/>
          <w:lang w:val="de-DE"/>
        </w:rPr>
        <w:t>c)</w:t>
      </w:r>
      <w:r>
        <w:rPr>
          <w:szCs w:val="24"/>
          <w:lang w:val="de-DE"/>
        </w:rPr>
        <w:tab/>
        <w:t>den Vorschlag, daß die BMT Listen möglicher gemeinsamer Initiativen mit OECD und ISTA hinsichtlich molekularer Verfahren zur Prüf</w:t>
      </w:r>
      <w:r w:rsidR="00031B84">
        <w:rPr>
          <w:szCs w:val="24"/>
          <w:lang w:val="de-DE"/>
        </w:rPr>
        <w:t>ung durch den TC erstellen soll</w:t>
      </w:r>
      <w:r>
        <w:rPr>
          <w:szCs w:val="24"/>
          <w:lang w:val="de-DE"/>
        </w:rPr>
        <w:t>e.</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vereinbarte auf seiner vierundfünfzigsten Tagung, die ISTA zu ersuchen, sich den Initiativen anzuschließen, sobald sie dazu in der Lage sei.</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Entwicklungen betreffend die obigen Angelegenheiten werden in den folgenden Abschnitten dargelegt. </w:t>
      </w:r>
    </w:p>
    <w:p w:rsidR="007420A0" w:rsidRDefault="007420A0">
      <w:pPr>
        <w:rPr>
          <w:szCs w:val="24"/>
          <w:lang w:val="de-DE"/>
        </w:rPr>
      </w:pPr>
    </w:p>
    <w:p w:rsidR="007420A0" w:rsidRDefault="007420A0">
      <w:pPr>
        <w:rPr>
          <w:szCs w:val="24"/>
          <w:lang w:val="de-DE"/>
        </w:rPr>
      </w:pPr>
    </w:p>
    <w:p w:rsidR="006A7ABB" w:rsidRDefault="006A7ABB">
      <w:pPr>
        <w:jc w:val="left"/>
        <w:rPr>
          <w:szCs w:val="24"/>
          <w:u w:val="single"/>
          <w:lang w:val="de-DE"/>
        </w:rPr>
      </w:pPr>
      <w:r>
        <w:rPr>
          <w:szCs w:val="24"/>
          <w:u w:val="single"/>
          <w:lang w:val="de-DE"/>
        </w:rPr>
        <w:br w:type="page"/>
      </w:r>
    </w:p>
    <w:p w:rsidR="007420A0" w:rsidRDefault="007420A0">
      <w:pPr>
        <w:rPr>
          <w:szCs w:val="24"/>
          <w:u w:val="single"/>
          <w:lang w:val="de-DE"/>
        </w:rPr>
      </w:pPr>
      <w:r>
        <w:rPr>
          <w:szCs w:val="24"/>
          <w:u w:val="single"/>
          <w:lang w:val="de-DE"/>
        </w:rPr>
        <w:lastRenderedPageBreak/>
        <w:t>Gemeinsames Dokument zur Erläuterung der wesentlichen Besonderheiten der Systeme von OECD, UPOV und ISTA</w:t>
      </w:r>
    </w:p>
    <w:p w:rsidR="007420A0" w:rsidRDefault="007420A0">
      <w:pPr>
        <w:ind w:left="567" w:hanging="567"/>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Hinsichtlich der etwaigen Erstellung eines gemeinsamen Dokuments zur Erläuterung der wesentlichen Besonderheiten der Systeme von OECD, UPOV und ISTA, wie in obigem </w:t>
      </w:r>
      <w:r w:rsidRPr="006A7ABB">
        <w:rPr>
          <w:szCs w:val="24"/>
          <w:lang w:val="de-DE"/>
        </w:rPr>
        <w:t>Absatz 10 a) dargelegt</w:t>
      </w:r>
      <w:r>
        <w:rPr>
          <w:szCs w:val="24"/>
          <w:lang w:val="de-DE"/>
        </w:rPr>
        <w:t>, nahm der CAJ auf seiner fünfundsiebzigsten Tagung zur Kenntnis, da</w:t>
      </w:r>
      <w:r>
        <w:rPr>
          <w:sz w:val="18"/>
          <w:szCs w:val="24"/>
          <w:lang w:val="de-DE"/>
        </w:rPr>
        <w:t>ß</w:t>
      </w:r>
      <w:r>
        <w:rPr>
          <w:szCs w:val="24"/>
          <w:lang w:val="de-DE"/>
        </w:rPr>
        <w:t xml:space="preserve"> der TC vereinbart habe, die BMT zu ersuchen, ein gemeinsames Dokument zur Erläuterung der wesentlichen Besonderheiten der Systeme von OECD, UPOV und ISTA zu erstellen, wie in Dokument CAJ/75/13, Anlage, Absatz 48</w:t>
      </w:r>
      <w:r w:rsidR="00EE33A8" w:rsidRPr="00C45AFD">
        <w:rPr>
          <w:vertAlign w:val="superscript"/>
        </w:rPr>
        <w:footnoteReference w:id="8"/>
      </w:r>
      <w:r>
        <w:rPr>
          <w:szCs w:val="24"/>
          <w:lang w:val="de-DE"/>
        </w:rPr>
        <w:t xml:space="preserve"> dargelegt.</w:t>
      </w:r>
      <w:r w:rsidR="000E6AFC">
        <w:rPr>
          <w:szCs w:val="24"/>
          <w:lang w:val="de-DE"/>
        </w:rPr>
        <w:t xml:space="preserve"> </w:t>
      </w:r>
      <w:r>
        <w:rPr>
          <w:szCs w:val="24"/>
          <w:lang w:val="de-DE"/>
        </w:rPr>
        <w:t>Das Verbandsbüro wird auf der Grundlage von einschlägigen Elementen der Weltsaatgutpartnerschaft und den FAQ über die Verwendung molekularer Verfahren bei der DUS-Prüfung einen Entwurf zur Prüfung durch die BMT auf ihrer achtzehnten Tagung ausarbeiten.</w:t>
      </w:r>
      <w:r w:rsidR="000E6AFC">
        <w:rPr>
          <w:szCs w:val="24"/>
          <w:lang w:val="de-DE"/>
        </w:rPr>
        <w:t xml:space="preserve"> </w:t>
      </w:r>
      <w:r>
        <w:rPr>
          <w:szCs w:val="24"/>
          <w:lang w:val="de-DE"/>
        </w:rPr>
        <w:t xml:space="preserve">Über die Entwicklungen auf der achtzehnten Tagung der BMT wird dem TC auf seiner fünfundfünfzigsten Tagung berichtet werden. </w:t>
      </w:r>
    </w:p>
    <w:p w:rsidR="007420A0" w:rsidRDefault="007420A0">
      <w:pPr>
        <w:ind w:left="567" w:hanging="567"/>
        <w:rPr>
          <w:szCs w:val="24"/>
          <w:lang w:val="de-DE"/>
        </w:rPr>
      </w:pPr>
    </w:p>
    <w:p w:rsidR="007420A0" w:rsidRDefault="007420A0">
      <w:pPr>
        <w:rPr>
          <w:szCs w:val="24"/>
          <w:u w:val="single"/>
          <w:lang w:val="de-DE"/>
        </w:rPr>
      </w:pPr>
      <w:r>
        <w:rPr>
          <w:szCs w:val="24"/>
          <w:u w:val="single"/>
          <w:lang w:val="de-DE"/>
        </w:rPr>
        <w:t>Bestandsaufnahme zur Verwendung molekularer Markerverfahren nach Pflanze</w:t>
      </w:r>
    </w:p>
    <w:p w:rsidR="007420A0" w:rsidRDefault="007420A0">
      <w:pPr>
        <w:keepNext/>
        <w:ind w:left="567" w:hanging="567"/>
        <w:rPr>
          <w:szCs w:val="24"/>
          <w:lang w:val="de-DE"/>
        </w:rPr>
      </w:pPr>
    </w:p>
    <w:p w:rsidR="007420A0" w:rsidRDefault="007420A0">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Hinsichtlich der etwaigen Erarbeitung einer Bestandsaufnahme zur Verwendung molekularer Markerverfahren nach Pflanze, wie in obigem </w:t>
      </w:r>
      <w:r w:rsidRPr="006A7ABB">
        <w:rPr>
          <w:szCs w:val="24"/>
          <w:lang w:val="de-DE"/>
        </w:rPr>
        <w:t>Absatz 10 b) dargelegt,</w:t>
      </w:r>
      <w:r>
        <w:rPr>
          <w:szCs w:val="24"/>
          <w:lang w:val="de-DE"/>
        </w:rPr>
        <w:t xml:space="preserve"> nahm der CAJ auf seiner fünfundsiebzigsten Tagung zur Kenntnis, da</w:t>
      </w:r>
      <w:r>
        <w:rPr>
          <w:sz w:val="18"/>
          <w:szCs w:val="24"/>
          <w:lang w:val="de-DE"/>
        </w:rPr>
        <w:t>ß</w:t>
      </w:r>
      <w:r>
        <w:rPr>
          <w:szCs w:val="24"/>
          <w:lang w:val="de-DE"/>
        </w:rPr>
        <w:t xml:space="preserve"> der TC vereinbart habe, die BMT und die TWP zu ersuchen, eine Bestandsaufnahme zur Verwendung molekularer Markerverfahren nach Pflanze zu erarbeiten, im Hinblick auf die Erstellung eines gemeinsamen Dokuments von OECD/UPOV/ISTA mit diesen Informationen in einem ähnlichen Format wie das UPOV-Dokument UPOV/INF/16 „Austauschbare Software“</w:t>
      </w:r>
      <w:r w:rsidR="00EE33A8">
        <w:rPr>
          <w:szCs w:val="24"/>
          <w:lang w:val="de-DE"/>
        </w:rPr>
        <w:t>,</w:t>
      </w:r>
      <w:r>
        <w:rPr>
          <w:szCs w:val="24"/>
          <w:lang w:val="de-DE"/>
        </w:rPr>
        <w:t xml:space="preserve"> wie in Dokument CAJ/75/13, Anlage, Absatz 47</w:t>
      </w:r>
      <w:r w:rsidR="00EE33A8" w:rsidRPr="00C45AFD">
        <w:rPr>
          <w:vertAlign w:val="superscript"/>
        </w:rPr>
        <w:footnoteReference w:id="9"/>
      </w:r>
      <w:r>
        <w:rPr>
          <w:szCs w:val="24"/>
          <w:lang w:val="de-DE"/>
        </w:rPr>
        <w:t xml:space="preserve"> dargelegt.</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Der TC wird auf seiner fünfundfünfzigsten Tagung ersucht werden, die folgenden Elemente für die Bestandsaufnahme zur Verwendung molekularer Markerverfahren nach Pflanze zu prüfen, die in Abstimmung mit der OECD und auf Grundlage der Kommentare der TWP und der BMT an ihren Tagungen im Jahr 2019 erarbeitet wurden: </w:t>
      </w:r>
    </w:p>
    <w:p w:rsidR="007420A0" w:rsidRDefault="007420A0">
      <w:pPr>
        <w:rPr>
          <w:szCs w:val="24"/>
          <w:lang w:val="de-D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85" w:type="dxa"/>
          <w:right w:w="85" w:type="dxa"/>
        </w:tblCellMar>
        <w:tblLook w:val="00A0" w:firstRow="1" w:lastRow="0" w:firstColumn="1" w:lastColumn="0" w:noHBand="0" w:noVBand="0"/>
      </w:tblPr>
      <w:tblGrid>
        <w:gridCol w:w="9039"/>
      </w:tblGrid>
      <w:tr w:rsidR="007420A0" w:rsidRPr="006A7ABB">
        <w:trPr>
          <w:cantSplit/>
        </w:trPr>
        <w:tc>
          <w:tcPr>
            <w:tcW w:w="9039" w:type="dxa"/>
          </w:tcPr>
          <w:p w:rsidR="007420A0" w:rsidRDefault="007420A0">
            <w:pPr>
              <w:keepNext/>
              <w:rPr>
                <w:szCs w:val="24"/>
                <w:lang w:val="de-DE"/>
              </w:rPr>
            </w:pPr>
            <w:r>
              <w:rPr>
                <w:sz w:val="18"/>
                <w:szCs w:val="24"/>
                <w:lang w:val="de-DE"/>
              </w:rPr>
              <w:t>Land oder zwischenstaatliche Organisation, das/die molekulare Markerverfahren verwendet</w:t>
            </w:r>
          </w:p>
        </w:tc>
      </w:tr>
      <w:tr w:rsidR="007420A0" w:rsidRPr="006A7ABB">
        <w:trPr>
          <w:cantSplit/>
        </w:trPr>
        <w:tc>
          <w:tcPr>
            <w:tcW w:w="9039" w:type="dxa"/>
          </w:tcPr>
          <w:p w:rsidR="007420A0" w:rsidRDefault="007420A0">
            <w:pPr>
              <w:keepNext/>
              <w:rPr>
                <w:szCs w:val="24"/>
                <w:lang w:val="de-DE"/>
              </w:rPr>
            </w:pPr>
            <w:r>
              <w:rPr>
                <w:sz w:val="18"/>
                <w:szCs w:val="24"/>
                <w:lang w:val="de-DE"/>
              </w:rPr>
              <w:t>Quelle [Name der Behörde] und Kontaktdaten [</w:t>
            </w:r>
            <w:r>
              <w:rPr>
                <w:szCs w:val="24"/>
                <w:lang w:val="de-DE"/>
              </w:rPr>
              <w:t>E-Mail-Adresse</w:t>
            </w:r>
            <w:r>
              <w:rPr>
                <w:sz w:val="18"/>
                <w:szCs w:val="24"/>
                <w:lang w:val="de-DE"/>
              </w:rPr>
              <w:t>]</w:t>
            </w:r>
          </w:p>
        </w:tc>
      </w:tr>
      <w:tr w:rsidR="007420A0">
        <w:trPr>
          <w:cantSplit/>
        </w:trPr>
        <w:tc>
          <w:tcPr>
            <w:tcW w:w="9039" w:type="dxa"/>
          </w:tcPr>
          <w:p w:rsidR="007420A0" w:rsidRDefault="007420A0">
            <w:pPr>
              <w:keepNext/>
              <w:rPr>
                <w:szCs w:val="24"/>
                <w:lang w:val="de-DE"/>
              </w:rPr>
            </w:pPr>
            <w:r>
              <w:rPr>
                <w:sz w:val="18"/>
                <w:szCs w:val="24"/>
                <w:lang w:val="de-DE"/>
              </w:rPr>
              <w:t>Art des Markerverfahrens</w:t>
            </w:r>
          </w:p>
        </w:tc>
      </w:tr>
      <w:tr w:rsidR="007420A0" w:rsidRPr="006A7ABB">
        <w:trPr>
          <w:cantSplit/>
        </w:trPr>
        <w:tc>
          <w:tcPr>
            <w:tcW w:w="9039" w:type="dxa"/>
          </w:tcPr>
          <w:p w:rsidR="007420A0" w:rsidRDefault="007420A0">
            <w:pPr>
              <w:keepNext/>
              <w:rPr>
                <w:szCs w:val="24"/>
                <w:lang w:val="de-DE"/>
              </w:rPr>
            </w:pPr>
            <w:r>
              <w:rPr>
                <w:sz w:val="18"/>
                <w:szCs w:val="24"/>
                <w:lang w:val="de-DE"/>
              </w:rPr>
              <w:t xml:space="preserve">Quelle des molekularen Markers und Kontaktdaten [E-Mail-Adresse] </w:t>
            </w:r>
          </w:p>
        </w:tc>
      </w:tr>
      <w:tr w:rsidR="007420A0" w:rsidRPr="006A7ABB">
        <w:trPr>
          <w:cantSplit/>
        </w:trPr>
        <w:tc>
          <w:tcPr>
            <w:tcW w:w="9039" w:type="dxa"/>
          </w:tcPr>
          <w:p w:rsidR="007420A0" w:rsidRDefault="007420A0">
            <w:pPr>
              <w:keepNext/>
              <w:rPr>
                <w:szCs w:val="24"/>
                <w:lang w:val="de-DE"/>
              </w:rPr>
            </w:pPr>
            <w:r>
              <w:rPr>
                <w:sz w:val="18"/>
                <w:szCs w:val="24"/>
                <w:lang w:val="de-DE"/>
              </w:rPr>
              <w:t>Verfügbarkeit des Markers [öffentlich verfügbar oder proprietärer Marker]</w:t>
            </w:r>
          </w:p>
        </w:tc>
      </w:tr>
      <w:tr w:rsidR="007420A0" w:rsidRPr="006A7ABB">
        <w:trPr>
          <w:cantSplit/>
        </w:trPr>
        <w:tc>
          <w:tcPr>
            <w:tcW w:w="9039" w:type="dxa"/>
          </w:tcPr>
          <w:p w:rsidR="007420A0" w:rsidRDefault="007420A0">
            <w:pPr>
              <w:rPr>
                <w:szCs w:val="24"/>
                <w:lang w:val="de-DE"/>
              </w:rPr>
            </w:pPr>
            <w:r>
              <w:rPr>
                <w:sz w:val="18"/>
                <w:szCs w:val="24"/>
                <w:lang w:val="de-DE"/>
              </w:rPr>
              <w:t>Status (z. B. derzeit verwendet oder in Ausarbeitung begriffen)</w:t>
            </w:r>
          </w:p>
        </w:tc>
      </w:tr>
      <w:tr w:rsidR="007420A0" w:rsidRPr="006A7ABB">
        <w:trPr>
          <w:cantSplit/>
        </w:trPr>
        <w:tc>
          <w:tcPr>
            <w:tcW w:w="9039" w:type="dxa"/>
          </w:tcPr>
          <w:p w:rsidR="007420A0" w:rsidRDefault="007420A0">
            <w:pPr>
              <w:keepNext/>
              <w:rPr>
                <w:szCs w:val="24"/>
                <w:lang w:val="de-DE"/>
              </w:rPr>
            </w:pPr>
            <w:r>
              <w:rPr>
                <w:sz w:val="18"/>
                <w:szCs w:val="24"/>
                <w:lang w:val="de-DE"/>
              </w:rPr>
              <w:t>Pflanze(n), für die molekulare Markerverfahren verwendet werden und betreffendes Merkmal [Botanische(n) Name(n) und UPOV-Code(s) angeben]</w:t>
            </w:r>
          </w:p>
        </w:tc>
      </w:tr>
      <w:tr w:rsidR="007420A0" w:rsidRPr="006A7ABB">
        <w:trPr>
          <w:cantSplit/>
        </w:trPr>
        <w:tc>
          <w:tcPr>
            <w:tcW w:w="9039" w:type="dxa"/>
          </w:tcPr>
          <w:p w:rsidR="007420A0" w:rsidRDefault="007420A0">
            <w:pPr>
              <w:rPr>
                <w:szCs w:val="24"/>
                <w:lang w:val="de-DE"/>
              </w:rPr>
            </w:pPr>
            <w:r>
              <w:rPr>
                <w:sz w:val="18"/>
                <w:szCs w:val="24"/>
                <w:lang w:val="de-DE"/>
              </w:rPr>
              <w:t xml:space="preserve">Zweck der Verwendung molekularer Verfahren [UPOV-Modell </w:t>
            </w:r>
            <w:r>
              <w:rPr>
                <w:szCs w:val="24"/>
                <w:lang w:val="de-DE"/>
              </w:rPr>
              <w:t>„</w:t>
            </w:r>
            <w:r>
              <w:rPr>
                <w:sz w:val="18"/>
                <w:szCs w:val="24"/>
                <w:lang w:val="de-DE"/>
              </w:rPr>
              <w:t>Merkmalspezifische molekulare Marker</w:t>
            </w:r>
            <w:r>
              <w:rPr>
                <w:szCs w:val="24"/>
                <w:lang w:val="de-DE"/>
              </w:rPr>
              <w:t>“</w:t>
            </w:r>
            <w:r>
              <w:rPr>
                <w:sz w:val="18"/>
                <w:szCs w:val="24"/>
                <w:lang w:val="de-DE"/>
              </w:rPr>
              <w:t xml:space="preserve">, UPOV-Modell </w:t>
            </w:r>
            <w:r>
              <w:rPr>
                <w:szCs w:val="24"/>
                <w:lang w:val="de-DE"/>
              </w:rPr>
              <w:t>„</w:t>
            </w:r>
            <w:r>
              <w:rPr>
                <w:sz w:val="18"/>
                <w:szCs w:val="24"/>
                <w:lang w:val="de-DE"/>
              </w:rPr>
              <w:t>Kombination phänotypischer und molekularer Abstände bei der Verwaltung von Sortensammlungen</w:t>
            </w:r>
            <w:r>
              <w:rPr>
                <w:szCs w:val="24"/>
                <w:lang w:val="de-DE"/>
              </w:rPr>
              <w:t>“</w:t>
            </w:r>
            <w:r>
              <w:rPr>
                <w:sz w:val="18"/>
                <w:szCs w:val="24"/>
                <w:lang w:val="de-DE"/>
              </w:rPr>
              <w:t>, Reinheit, Identität, Überprüfung der Übereinstimmung von Pflanzenmaterial mit einer geschützten Sorte zum Zwecke der Ausübung der Züchterrechte, Überprüfung der Hybridität]</w:t>
            </w:r>
          </w:p>
        </w:tc>
      </w:tr>
      <w:tr w:rsidR="007420A0" w:rsidRPr="000E6AFC">
        <w:trPr>
          <w:cantSplit/>
        </w:trPr>
        <w:tc>
          <w:tcPr>
            <w:tcW w:w="9039" w:type="dxa"/>
          </w:tcPr>
          <w:p w:rsidR="007420A0" w:rsidRDefault="007420A0">
            <w:pPr>
              <w:rPr>
                <w:szCs w:val="24"/>
                <w:lang w:val="de-DE"/>
              </w:rPr>
            </w:pPr>
            <w:r>
              <w:rPr>
                <w:sz w:val="18"/>
                <w:szCs w:val="24"/>
                <w:lang w:val="de-DE"/>
              </w:rPr>
              <w:t xml:space="preserve">Wurde das molekulare Markerverfahren als Teil der Saatgutzertifizierung in den </w:t>
            </w:r>
            <w:r w:rsidR="001D308A">
              <w:rPr>
                <w:sz w:val="18"/>
                <w:szCs w:val="24"/>
                <w:lang w:val="de-DE"/>
              </w:rPr>
              <w:t xml:space="preserve">vergangen zwei Jahren verwendet? </w:t>
            </w:r>
            <w:r>
              <w:rPr>
                <w:sz w:val="18"/>
                <w:szCs w:val="24"/>
                <w:lang w:val="de-DE"/>
              </w:rPr>
              <w:t>[Nationale Zertifizierung, OECD-Zertifizierung] [maßgeblich für OECD-Saatgutsysteme]</w:t>
            </w:r>
          </w:p>
        </w:tc>
      </w:tr>
      <w:tr w:rsidR="007420A0" w:rsidRPr="006A7ABB">
        <w:trPr>
          <w:cantSplit/>
        </w:trPr>
        <w:tc>
          <w:tcPr>
            <w:tcW w:w="9039" w:type="dxa"/>
          </w:tcPr>
          <w:p w:rsidR="007420A0" w:rsidRDefault="007420A0">
            <w:pPr>
              <w:rPr>
                <w:szCs w:val="24"/>
                <w:lang w:val="de-DE"/>
              </w:rPr>
            </w:pPr>
            <w:r>
              <w:rPr>
                <w:sz w:val="18"/>
                <w:szCs w:val="24"/>
                <w:lang w:val="de-DE"/>
              </w:rPr>
              <w:t>Wie viele Male wurde das molekulare Markerverfahren in den vergangenen 2 Jahren von der Behörde verwende</w:t>
            </w:r>
            <w:r w:rsidR="00EE33A8">
              <w:rPr>
                <w:sz w:val="18"/>
                <w:szCs w:val="24"/>
                <w:lang w:val="de-DE"/>
              </w:rPr>
              <w:t>t</w:t>
            </w:r>
            <w:r w:rsidR="001D308A">
              <w:rPr>
                <w:sz w:val="18"/>
                <w:szCs w:val="24"/>
                <w:lang w:val="de-DE"/>
              </w:rPr>
              <w:t>?</w:t>
            </w:r>
          </w:p>
        </w:tc>
      </w:tr>
      <w:tr w:rsidR="007420A0" w:rsidRPr="000E6AFC">
        <w:trPr>
          <w:cantSplit/>
        </w:trPr>
        <w:tc>
          <w:tcPr>
            <w:tcW w:w="9039" w:type="dxa"/>
          </w:tcPr>
          <w:p w:rsidR="007420A0" w:rsidRDefault="001D308A">
            <w:pPr>
              <w:rPr>
                <w:szCs w:val="24"/>
                <w:lang w:val="de-DE"/>
              </w:rPr>
            </w:pPr>
            <w:r>
              <w:rPr>
                <w:sz w:val="18"/>
                <w:szCs w:val="24"/>
                <w:lang w:val="de-DE"/>
              </w:rPr>
              <w:t xml:space="preserve">Wurde </w:t>
            </w:r>
            <w:r w:rsidR="007420A0">
              <w:rPr>
                <w:sz w:val="18"/>
                <w:szCs w:val="24"/>
                <w:lang w:val="de-DE"/>
              </w:rPr>
              <w:t>das molekulare Markerverfahren durch [UPOV-Prüfungsrichtlinie(n), UPOV TGP-Dokument(e), oder ande</w:t>
            </w:r>
            <w:r>
              <w:rPr>
                <w:sz w:val="18"/>
                <w:szCs w:val="24"/>
                <w:lang w:val="de-DE"/>
              </w:rPr>
              <w:t xml:space="preserve">re(s) UPOV-Dokument(e)] erfasst? </w:t>
            </w:r>
            <w:r w:rsidR="007420A0">
              <w:rPr>
                <w:sz w:val="18"/>
                <w:szCs w:val="24"/>
                <w:lang w:val="de-DE"/>
              </w:rPr>
              <w:t>(bitte präzisieren)</w:t>
            </w:r>
          </w:p>
        </w:tc>
      </w:tr>
      <w:tr w:rsidR="007420A0">
        <w:trPr>
          <w:cantSplit/>
        </w:trPr>
        <w:tc>
          <w:tcPr>
            <w:tcW w:w="9039" w:type="dxa"/>
          </w:tcPr>
          <w:p w:rsidR="007420A0" w:rsidRPr="00EE33A8" w:rsidRDefault="001D308A">
            <w:pPr>
              <w:rPr>
                <w:sz w:val="18"/>
                <w:szCs w:val="18"/>
                <w:lang w:val="de-DE"/>
              </w:rPr>
            </w:pPr>
            <w:r>
              <w:rPr>
                <w:sz w:val="18"/>
                <w:szCs w:val="18"/>
                <w:lang w:val="de-DE"/>
              </w:rPr>
              <w:t xml:space="preserve">Wurde </w:t>
            </w:r>
            <w:r w:rsidR="007420A0" w:rsidRPr="00EE33A8">
              <w:rPr>
                <w:sz w:val="18"/>
                <w:szCs w:val="18"/>
                <w:lang w:val="de-DE"/>
              </w:rPr>
              <w:t>das</w:t>
            </w:r>
            <w:r>
              <w:rPr>
                <w:sz w:val="18"/>
                <w:szCs w:val="18"/>
                <w:lang w:val="de-DE"/>
              </w:rPr>
              <w:t xml:space="preserve"> molekulare Verfahren validiert?</w:t>
            </w:r>
            <w:r w:rsidR="007420A0" w:rsidRPr="00EE33A8">
              <w:rPr>
                <w:sz w:val="18"/>
                <w:szCs w:val="18"/>
                <w:lang w:val="de-DE"/>
              </w:rPr>
              <w:t xml:space="preserve"> [falls ja, eine bestimmte Organisation oder Behörde angeben] </w:t>
            </w:r>
          </w:p>
          <w:p w:rsidR="007420A0" w:rsidRDefault="007420A0">
            <w:pPr>
              <w:rPr>
                <w:szCs w:val="24"/>
                <w:lang w:val="de-DE"/>
              </w:rPr>
            </w:pPr>
            <w:r w:rsidRPr="00EE33A8">
              <w:rPr>
                <w:sz w:val="18"/>
                <w:szCs w:val="18"/>
                <w:lang w:val="de-DE"/>
              </w:rPr>
              <w:t>[maßgeblich für OECD-Saatgutsysteme]</w:t>
            </w:r>
          </w:p>
        </w:tc>
      </w:tr>
    </w:tbl>
    <w:p w:rsidR="007420A0" w:rsidRDefault="007420A0">
      <w:pPr>
        <w:rPr>
          <w:rFonts w:ascii="MS Mincho" w:eastAsia="MS Mincho" w:hAnsi="Times New Roman"/>
          <w:szCs w:val="24"/>
          <w:lang w:val="de-DE"/>
        </w:rPr>
      </w:pPr>
    </w:p>
    <w:p w:rsidR="007420A0" w:rsidRDefault="007420A0">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rFonts w:ascii="MS Mincho" w:eastAsia="MS Mincho"/>
          <w:szCs w:val="24"/>
          <w:lang w:val="de-DE"/>
        </w:rPr>
        <w:tab/>
      </w:r>
      <w:r>
        <w:rPr>
          <w:szCs w:val="24"/>
          <w:lang w:val="de-DE"/>
        </w:rPr>
        <w:t>Vorbehaltlich der Zustimmung des TC auf seiner fünfundfünfzigsten Tagung und in Abstimmung mit der OECD wird ein Rundschreiben herausgegeben werden, in dem die Verbandsmitglieder ersucht werden, die Umfrage als Grundlage für die Erarbeitung der Bestandsaufnahme zur Verwendung molekularer Markerverfahren nach Pflanze zu beantworten.</w:t>
      </w:r>
    </w:p>
    <w:p w:rsidR="007420A0" w:rsidRDefault="007420A0">
      <w:pPr>
        <w:rPr>
          <w:szCs w:val="24"/>
          <w:lang w:val="de-DE"/>
        </w:rPr>
      </w:pPr>
    </w:p>
    <w:p w:rsidR="007420A0" w:rsidRDefault="007420A0">
      <w:pPr>
        <w:rPr>
          <w:szCs w:val="24"/>
          <w:lang w:val="de-DE"/>
        </w:rPr>
      </w:pPr>
    </w:p>
    <w:p w:rsidR="006A7ABB" w:rsidRDefault="006A7ABB">
      <w:pPr>
        <w:jc w:val="left"/>
        <w:rPr>
          <w:szCs w:val="24"/>
          <w:u w:val="single"/>
          <w:lang w:val="de-DE"/>
        </w:rPr>
      </w:pPr>
      <w:r>
        <w:rPr>
          <w:szCs w:val="24"/>
          <w:u w:val="single"/>
          <w:lang w:val="de-DE"/>
        </w:rPr>
        <w:br w:type="page"/>
      </w:r>
    </w:p>
    <w:p w:rsidR="007420A0" w:rsidRDefault="007420A0">
      <w:pPr>
        <w:rPr>
          <w:szCs w:val="24"/>
          <w:u w:val="single"/>
          <w:lang w:val="de-DE"/>
        </w:rPr>
      </w:pPr>
      <w:r>
        <w:rPr>
          <w:szCs w:val="24"/>
          <w:u w:val="single"/>
          <w:lang w:val="de-DE"/>
        </w:rPr>
        <w:lastRenderedPageBreak/>
        <w:t>Listen möglicher gemeinsamer Initiativen mit der OECD und der ISTA hinsichtlich molekularer Verfahren</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BMT wird auf ihrer achtzehnten Tagung ersucht werden, eine Liste möglicher gemeinsamer Initiativen mit der OECD und der ISTA hinsichtlich molekularer Verfahren zur Prüfung durch den TC auf seiner fünfundfünfzigsten Tagung zu erstellen. Über die Entwicklungen auf der achtzehnten Tagung der BMT wird dem TC auf seiner fünfundfünfzigsten Tagung berichtet werden.</w:t>
      </w:r>
    </w:p>
    <w:p w:rsidR="007420A0" w:rsidRDefault="007420A0">
      <w:pPr>
        <w:tabs>
          <w:tab w:val="left" w:pos="5387"/>
          <w:tab w:val="left" w:pos="5954"/>
        </w:tabs>
        <w:jc w:val="left"/>
        <w:rPr>
          <w:szCs w:val="24"/>
          <w:lang w:val="de-DE"/>
        </w:rPr>
      </w:pPr>
    </w:p>
    <w:p w:rsidR="007420A0" w:rsidRDefault="007420A0">
      <w:pPr>
        <w:keepNext/>
        <w:outlineLvl w:val="0"/>
        <w:rPr>
          <w:caps/>
          <w:spacing w:val="-4"/>
          <w:szCs w:val="24"/>
          <w:lang w:val="de-DE"/>
        </w:rPr>
      </w:pPr>
    </w:p>
    <w:p w:rsidR="007420A0" w:rsidRDefault="007420A0">
      <w:pPr>
        <w:keepNext/>
        <w:outlineLvl w:val="0"/>
        <w:rPr>
          <w:caps/>
          <w:spacing w:val="-4"/>
          <w:szCs w:val="24"/>
          <w:lang w:val="de-DE"/>
        </w:rPr>
      </w:pPr>
    </w:p>
    <w:p w:rsidR="007420A0" w:rsidRDefault="007420A0">
      <w:pPr>
        <w:keepNext/>
        <w:outlineLvl w:val="0"/>
        <w:rPr>
          <w:caps/>
          <w:spacing w:val="-4"/>
          <w:szCs w:val="24"/>
          <w:lang w:val="de-DE"/>
        </w:rPr>
      </w:pPr>
      <w:bookmarkStart w:id="7" w:name="_Toc19891269"/>
      <w:r>
        <w:rPr>
          <w:caps/>
          <w:spacing w:val="-4"/>
          <w:szCs w:val="24"/>
          <w:lang w:val="de-DE"/>
        </w:rPr>
        <w:t>TAGUNG ZUR ERLEICHTERUNG DER ZUSAMMENARBEIT BEI DER BMT und den TWP</w:t>
      </w:r>
      <w:bookmarkEnd w:id="7"/>
    </w:p>
    <w:p w:rsidR="007420A0" w:rsidRDefault="007420A0">
      <w:pPr>
        <w:keepNext/>
        <w:rPr>
          <w:szCs w:val="24"/>
          <w:lang w:val="de-DE"/>
        </w:rPr>
      </w:pPr>
    </w:p>
    <w:p w:rsidR="007420A0" w:rsidRDefault="007420A0">
      <w:pPr>
        <w:keepNext/>
        <w:rPr>
          <w:rFonts w:ascii="MS Mincho" w:eastAsia="MS Mincho"/>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Hintergrundinformationen zu dieser Angelegenheit werden in</w:t>
      </w:r>
      <w:r w:rsidR="006A7ABB">
        <w:rPr>
          <w:szCs w:val="24"/>
          <w:lang w:val="de-DE"/>
        </w:rPr>
        <w:t xml:space="preserve"> Dokument CAJ/75/11 „Molekulare </w:t>
      </w:r>
      <w:r>
        <w:rPr>
          <w:szCs w:val="24"/>
          <w:lang w:val="de-DE"/>
        </w:rPr>
        <w:t>Verfahren“, Absätze 46 bis 50, dargelegt.</w:t>
      </w:r>
    </w:p>
    <w:p w:rsidR="007420A0" w:rsidRDefault="007420A0">
      <w:pPr>
        <w:keepNext/>
        <w:keepLines/>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CAJ nahm auf seiner fünfundsiebzigsten Tagung zur Kenntnis, da</w:t>
      </w:r>
      <w:r>
        <w:rPr>
          <w:sz w:val="18"/>
          <w:szCs w:val="24"/>
          <w:lang w:val="de-CH"/>
        </w:rPr>
        <w:t>ß</w:t>
      </w:r>
      <w:r>
        <w:rPr>
          <w:szCs w:val="24"/>
          <w:lang w:val="de-CH"/>
        </w:rPr>
        <w:t xml:space="preserve"> der TC vereinbart habe, da</w:t>
      </w:r>
      <w:r>
        <w:rPr>
          <w:sz w:val="18"/>
          <w:szCs w:val="24"/>
          <w:lang w:val="de-CH"/>
        </w:rPr>
        <w:t>ß</w:t>
      </w:r>
      <w:r>
        <w:rPr>
          <w:szCs w:val="24"/>
          <w:lang w:val="de-CH"/>
        </w:rPr>
        <w:t xml:space="preserve"> den anderen TWP über die Ergebnisse der Koordinierungstagung in der BMT Bericht erstattet werden soll und da</w:t>
      </w:r>
      <w:r>
        <w:rPr>
          <w:sz w:val="18"/>
          <w:szCs w:val="24"/>
          <w:lang w:val="de-CH"/>
        </w:rPr>
        <w:t>ß</w:t>
      </w:r>
      <w:r>
        <w:rPr>
          <w:szCs w:val="24"/>
          <w:lang w:val="de-CH"/>
        </w:rPr>
        <w:t xml:space="preserve"> die TWP ersucht werden sollen, eine ähnliche Tagung abzuhalten, um auf den Ergebnissen der BMT aufzubauen und diese in die künftige Arbeit der BMT einfließen zu lassen</w:t>
      </w:r>
      <w:r w:rsidR="006A7ABB">
        <w:rPr>
          <w:szCs w:val="24"/>
          <w:lang w:val="de-CH"/>
        </w:rPr>
        <w:t>, wie in Absatz 50 von Dokument </w:t>
      </w:r>
      <w:r>
        <w:rPr>
          <w:szCs w:val="24"/>
          <w:lang w:val="de-CH"/>
        </w:rPr>
        <w:t>CAJ/75/11</w:t>
      </w:r>
      <w:r w:rsidR="00EE33A8" w:rsidRPr="00C45AFD">
        <w:rPr>
          <w:vertAlign w:val="superscript"/>
        </w:rPr>
        <w:footnoteReference w:id="10"/>
      </w:r>
      <w:r>
        <w:rPr>
          <w:szCs w:val="24"/>
          <w:lang w:val="de-CH"/>
        </w:rPr>
        <w:t xml:space="preserve"> dargelegt.</w:t>
      </w:r>
      <w:r w:rsidR="000E6AFC">
        <w:rPr>
          <w:szCs w:val="24"/>
          <w:lang w:val="de-DE"/>
        </w:rPr>
        <w:t xml:space="preserve"> </w:t>
      </w:r>
      <w:r>
        <w:rPr>
          <w:szCs w:val="24"/>
          <w:lang w:val="de-DE"/>
        </w:rPr>
        <w:t>Der TC vereinbarte, da</w:t>
      </w:r>
      <w:r>
        <w:rPr>
          <w:sz w:val="18"/>
          <w:szCs w:val="24"/>
          <w:lang w:val="de-DE"/>
        </w:rPr>
        <w:t>ß</w:t>
      </w:r>
      <w:r>
        <w:rPr>
          <w:szCs w:val="24"/>
          <w:lang w:val="de-DE"/>
        </w:rPr>
        <w:t xml:space="preserve"> Diskussionsgruppen für die wichtigsten Pflanzen auf jeder TWP gebildet werden müssten, damit die Teilnehmer Informationen über ihre </w:t>
      </w:r>
      <w:r w:rsidRPr="006A7ABB">
        <w:rPr>
          <w:szCs w:val="24"/>
          <w:lang w:val="de-DE"/>
        </w:rPr>
        <w:t xml:space="preserve">Arbeit im </w:t>
      </w:r>
      <w:r w:rsidR="00EE33A8" w:rsidRPr="006A7ABB">
        <w:rPr>
          <w:szCs w:val="24"/>
          <w:lang w:val="de-DE"/>
        </w:rPr>
        <w:t>B</w:t>
      </w:r>
      <w:r w:rsidRPr="006A7ABB">
        <w:rPr>
          <w:szCs w:val="24"/>
          <w:lang w:val="de-DE"/>
        </w:rPr>
        <w:t>ereich</w:t>
      </w:r>
      <w:r>
        <w:rPr>
          <w:szCs w:val="24"/>
          <w:lang w:val="de-DE"/>
        </w:rPr>
        <w:t xml:space="preserve"> biochemische und molekulare Verfahren austauschen und Bereiche für eine Zusammenarbeit</w:t>
      </w:r>
      <w:r w:rsidR="00EE33A8" w:rsidRPr="00C45AFD">
        <w:rPr>
          <w:vertAlign w:val="superscript"/>
        </w:rPr>
        <w:footnoteReference w:id="11"/>
      </w:r>
      <w:r>
        <w:rPr>
          <w:szCs w:val="24"/>
          <w:lang w:val="de-DE"/>
        </w:rPr>
        <w:t xml:space="preserve"> erkunden können.</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Ergebnisse der Erörterungen der TWP auf ihren Tagungen im Jahr 2019 betreffend die Erkundung von Bereichen für eine Zusammenarbeit bei der Verwendung molekularer Verfahren wird der BMT auf ihrer achtzehnten Tagung zur Kenntnis gebracht werden.</w:t>
      </w:r>
    </w:p>
    <w:p w:rsidR="007420A0" w:rsidRDefault="007420A0">
      <w:pPr>
        <w:rPr>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BMT wird auf ihrer achtzehnten Tagung ersucht werden, Vorschläge für nächste Schritte bei der Erkundung von Bereichen für eine Zusammenarbeit bei der Verwendung molekularer Verfahren auszuarbeiten.</w:t>
      </w:r>
      <w:r>
        <w:rPr>
          <w:color w:val="000000"/>
          <w:szCs w:val="24"/>
          <w:lang w:val="de-DE"/>
        </w:rPr>
        <w:t xml:space="preserve"> </w:t>
      </w:r>
    </w:p>
    <w:p w:rsidR="007420A0" w:rsidRDefault="007420A0">
      <w:pPr>
        <w:rPr>
          <w:color w:val="000000"/>
          <w:szCs w:val="24"/>
          <w:lang w:val="de-DE"/>
        </w:rPr>
      </w:pPr>
    </w:p>
    <w:p w:rsidR="007420A0" w:rsidRDefault="007420A0">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von der BMT auf </w:t>
      </w:r>
      <w:r w:rsidR="00031B84">
        <w:rPr>
          <w:szCs w:val="24"/>
          <w:lang w:val="de-DE"/>
        </w:rPr>
        <w:t>ihrer</w:t>
      </w:r>
      <w:r>
        <w:rPr>
          <w:szCs w:val="24"/>
          <w:lang w:val="de-DE"/>
        </w:rPr>
        <w:t xml:space="preserve"> achtzehnten Tagung ausgearbeiteten Vorschläge werden dem TC auf seiner fünfundfünfzigsten Tagung zur Prüfung vorgelegt werden.</w:t>
      </w:r>
    </w:p>
    <w:p w:rsidR="007420A0" w:rsidRDefault="007420A0">
      <w:pPr>
        <w:rPr>
          <w:color w:val="000000"/>
          <w:szCs w:val="24"/>
          <w:lang w:val="de-DE"/>
        </w:rPr>
      </w:pPr>
    </w:p>
    <w:p w:rsidR="007420A0" w:rsidRDefault="007420A0">
      <w:pPr>
        <w:rPr>
          <w:color w:val="000000"/>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Über die Entwicklungen der Angelegenheiten in diesem Dokument auf der fünfundfünfzigsten Tagung des TC wird in Dokument </w:t>
      </w:r>
      <w:r>
        <w:rPr>
          <w:color w:val="000000"/>
          <w:szCs w:val="24"/>
          <w:lang w:val="de-DE"/>
        </w:rPr>
        <w:t xml:space="preserve">CAJ/76/2 </w:t>
      </w:r>
      <w:r>
        <w:rPr>
          <w:szCs w:val="24"/>
          <w:lang w:val="de-DE"/>
        </w:rPr>
        <w:t xml:space="preserve">„Bericht über die Entwicklungen im Technischen Ausschuß“ berichtet werden. </w:t>
      </w:r>
    </w:p>
    <w:p w:rsidR="007420A0" w:rsidRDefault="007420A0">
      <w:pPr>
        <w:rPr>
          <w:szCs w:val="24"/>
          <w:lang w:val="de-DE"/>
        </w:rPr>
      </w:pPr>
    </w:p>
    <w:p w:rsidR="007420A0" w:rsidRDefault="007420A0">
      <w:pPr>
        <w:rPr>
          <w:i/>
          <w:szCs w:val="24"/>
          <w:lang w:val="de-DE"/>
        </w:rPr>
      </w:pPr>
    </w:p>
    <w:p w:rsidR="007420A0" w:rsidRDefault="007420A0">
      <w:pPr>
        <w:rPr>
          <w:szCs w:val="24"/>
          <w:lang w:val="de-DE"/>
        </w:rPr>
      </w:pPr>
    </w:p>
    <w:p w:rsidR="007420A0" w:rsidRDefault="007420A0">
      <w:pPr>
        <w:jc w:val="right"/>
        <w:rPr>
          <w:szCs w:val="24"/>
          <w:lang w:val="de-DE"/>
        </w:rPr>
      </w:pPr>
      <w:r>
        <w:rPr>
          <w:szCs w:val="24"/>
          <w:lang w:val="de-DE"/>
        </w:rPr>
        <w:t>[Anlage folgt]</w:t>
      </w:r>
    </w:p>
    <w:p w:rsidR="007420A0" w:rsidRDefault="007420A0">
      <w:pPr>
        <w:jc w:val="left"/>
        <w:rPr>
          <w:szCs w:val="24"/>
          <w:lang w:val="de-DE"/>
        </w:rPr>
        <w:sectPr w:rsidR="007420A0">
          <w:headerReference w:type="default" r:id="rId8"/>
          <w:pgSz w:w="11907" w:h="16840" w:code="9"/>
          <w:pgMar w:top="510" w:right="1134" w:bottom="851" w:left="1134" w:header="510" w:footer="680" w:gutter="0"/>
          <w:cols w:space="720"/>
          <w:titlePg/>
        </w:sectPr>
      </w:pPr>
    </w:p>
    <w:p w:rsidR="007420A0" w:rsidRDefault="007420A0">
      <w:pPr>
        <w:jc w:val="center"/>
        <w:rPr>
          <w:szCs w:val="24"/>
          <w:lang w:val="de-DE"/>
        </w:rPr>
      </w:pPr>
      <w:r>
        <w:rPr>
          <w:szCs w:val="24"/>
          <w:lang w:val="de-DE"/>
        </w:rPr>
        <w:lastRenderedPageBreak/>
        <w:t>ROLLE DER</w:t>
      </w:r>
      <w:r>
        <w:rPr>
          <w:szCs w:val="24"/>
          <w:lang w:val="de-DE"/>
        </w:rPr>
        <w:br/>
        <w:t>ARBEITSGRUPPE FÜR BIOCHEMISCHE UND MOLEKULARE VERFAHREN UND INSBESONDERE FÜR DNS-PROFILIERUNGSVERFAHREN (BMT)</w:t>
      </w:r>
    </w:p>
    <w:p w:rsidR="007420A0" w:rsidRDefault="007420A0">
      <w:pPr>
        <w:spacing w:before="60" w:after="120"/>
        <w:jc w:val="center"/>
        <w:rPr>
          <w:i/>
          <w:szCs w:val="24"/>
          <w:lang w:val="de-DE"/>
        </w:rPr>
      </w:pPr>
      <w:r>
        <w:rPr>
          <w:i/>
          <w:szCs w:val="24"/>
          <w:lang w:val="de-DE"/>
        </w:rPr>
        <w:t>(wie vom Technischen Ausschuß auf seiner achtunddreißigsten Tagung vom 15. bis 17. April 2002 in Genf vereinbart (vergleiche Dokument TC/38/16, Absatz 204))</w:t>
      </w:r>
    </w:p>
    <w:p w:rsidR="007420A0" w:rsidRDefault="007420A0">
      <w:pPr>
        <w:spacing w:before="60" w:after="60"/>
        <w:rPr>
          <w:szCs w:val="24"/>
          <w:lang w:val="de-DE"/>
        </w:rPr>
      </w:pPr>
    </w:p>
    <w:p w:rsidR="007420A0" w:rsidRDefault="007420A0">
      <w:pPr>
        <w:spacing w:before="60" w:after="60"/>
        <w:rPr>
          <w:szCs w:val="24"/>
          <w:lang w:val="de-DE"/>
        </w:rPr>
      </w:pPr>
      <w:r>
        <w:rPr>
          <w:szCs w:val="24"/>
          <w:lang w:val="de-DE"/>
        </w:rPr>
        <w:t>Die BMT ist eine den DUS-Sachverständigen, biochemischen und molekularen Fachleuten und Pflanzenzüchtern offenstehende Gruppe. Sie betrachtet es als ihre Funktion:</w:t>
      </w:r>
    </w:p>
    <w:p w:rsidR="007420A0" w:rsidRDefault="007420A0">
      <w:pPr>
        <w:spacing w:before="60" w:after="60"/>
        <w:rPr>
          <w:szCs w:val="24"/>
          <w:lang w:val="de-DE"/>
        </w:rPr>
      </w:pPr>
    </w:p>
    <w:p w:rsidR="007420A0" w:rsidRPr="000E6AFC" w:rsidRDefault="000E6AFC" w:rsidP="001D308A">
      <w:pPr>
        <w:pStyle w:val="Heading4"/>
        <w:ind w:left="851" w:hanging="425"/>
        <w:rPr>
          <w:lang w:val="de-CH"/>
        </w:rPr>
      </w:pPr>
      <w:r w:rsidRPr="006A7ABB">
        <w:rPr>
          <w:lang w:val="de-DE"/>
        </w:rPr>
        <w:tab/>
      </w:r>
      <w:r w:rsidR="007420A0" w:rsidRPr="000E6AFC">
        <w:rPr>
          <w:lang w:val="de-CH"/>
        </w:rPr>
        <w:t>die allgemeinen Entwicklungen auf dem Gebiet der biochemischen und molekularen Verfahren zu überprüfen;</w:t>
      </w:r>
    </w:p>
    <w:p w:rsidR="007420A0" w:rsidRPr="000E6AFC" w:rsidRDefault="007420A0" w:rsidP="001D308A">
      <w:pPr>
        <w:tabs>
          <w:tab w:val="left" w:pos="1134"/>
        </w:tabs>
        <w:spacing w:before="60" w:after="60"/>
        <w:ind w:left="851" w:hanging="425"/>
        <w:contextualSpacing/>
        <w:rPr>
          <w:rFonts w:ascii="MS Mincho" w:eastAsia="MS Mincho" w:hAnsi="Times New Roman"/>
          <w:szCs w:val="24"/>
          <w:lang w:val="de-DE"/>
        </w:rPr>
      </w:pPr>
    </w:p>
    <w:p w:rsidR="007420A0" w:rsidRPr="000E6AFC" w:rsidRDefault="000E6AFC" w:rsidP="001D308A">
      <w:pPr>
        <w:pStyle w:val="Heading4"/>
        <w:ind w:left="851" w:hanging="425"/>
        <w:rPr>
          <w:lang w:val="de-CH"/>
        </w:rPr>
      </w:pPr>
      <w:r w:rsidRPr="006A7ABB">
        <w:rPr>
          <w:lang w:val="de-DE"/>
        </w:rPr>
        <w:tab/>
      </w:r>
      <w:r w:rsidR="007420A0" w:rsidRPr="000E6AFC">
        <w:rPr>
          <w:lang w:val="de-CH"/>
        </w:rPr>
        <w:t>die Kenntnis einschlägiger Anwendungen biochemischer und molekularer Verfahren in der Pflanzenzüchtung aufrechtzuerhalten;</w:t>
      </w:r>
    </w:p>
    <w:p w:rsidR="007420A0" w:rsidRPr="000E6AFC" w:rsidRDefault="007420A0" w:rsidP="001D308A">
      <w:pPr>
        <w:tabs>
          <w:tab w:val="left" w:pos="1134"/>
        </w:tabs>
        <w:ind w:left="851" w:hanging="425"/>
        <w:contextualSpacing/>
        <w:rPr>
          <w:rFonts w:ascii="MS Mincho" w:eastAsia="MS Mincho" w:hAnsi="Times New Roman"/>
          <w:szCs w:val="24"/>
          <w:lang w:val="de-DE"/>
        </w:rPr>
      </w:pPr>
    </w:p>
    <w:p w:rsidR="007420A0" w:rsidRPr="000E6AFC" w:rsidRDefault="000E6AFC" w:rsidP="001D308A">
      <w:pPr>
        <w:pStyle w:val="Heading4"/>
        <w:ind w:left="851" w:hanging="425"/>
        <w:rPr>
          <w:lang w:val="de-CH"/>
        </w:rPr>
      </w:pPr>
      <w:r w:rsidRPr="006A7ABB">
        <w:rPr>
          <w:lang w:val="de-DE"/>
        </w:rPr>
        <w:tab/>
      </w:r>
      <w:r w:rsidR="007420A0" w:rsidRPr="000E6AFC">
        <w:rPr>
          <w:lang w:val="de-CH"/>
        </w:rPr>
        <w:t>die mögliche Anwendung biochemischer und molekularer Verfahren bei der DUS</w:t>
      </w:r>
      <w:r w:rsidR="007420A0" w:rsidRPr="00EE33A8">
        <w:rPr>
          <w:highlight w:val="yellow"/>
          <w:lang w:val="de-CH"/>
        </w:rPr>
        <w:t>-</w:t>
      </w:r>
      <w:r w:rsidR="007420A0" w:rsidRPr="000E6AFC">
        <w:rPr>
          <w:lang w:val="de-CH"/>
        </w:rPr>
        <w:t>Prüfung zu untersuchen und ihre Überlegungen dem Technischen Ausschuß darzulegen;</w:t>
      </w:r>
    </w:p>
    <w:p w:rsidR="007420A0" w:rsidRPr="000E6AFC" w:rsidRDefault="007420A0" w:rsidP="001D308A">
      <w:pPr>
        <w:tabs>
          <w:tab w:val="left" w:pos="1134"/>
        </w:tabs>
        <w:spacing w:before="60" w:after="60"/>
        <w:ind w:left="851" w:hanging="425"/>
        <w:contextualSpacing/>
        <w:rPr>
          <w:rFonts w:ascii="MS Mincho" w:eastAsia="MS Mincho" w:hAnsi="Times New Roman"/>
          <w:szCs w:val="24"/>
          <w:lang w:val="de-DE"/>
        </w:rPr>
      </w:pPr>
    </w:p>
    <w:p w:rsidR="007420A0" w:rsidRPr="006A7ABB" w:rsidRDefault="000E6AFC" w:rsidP="001D308A">
      <w:pPr>
        <w:pStyle w:val="Heading4"/>
        <w:ind w:left="851" w:hanging="425"/>
        <w:rPr>
          <w:lang w:val="de-DE"/>
        </w:rPr>
      </w:pPr>
      <w:r w:rsidRPr="006A7ABB">
        <w:rPr>
          <w:lang w:val="de-DE"/>
        </w:rPr>
        <w:tab/>
      </w:r>
      <w:r w:rsidR="007420A0" w:rsidRPr="000E6AFC">
        <w:rPr>
          <w:lang w:val="de-CH"/>
        </w:rPr>
        <w:t>gegebenenfalls Richtlinien für biochemische und molekulare Verfahren und deren Harmonisierung aufzustellen und insbesondere Beiträge zur Erstellung des Dokuments TGP/15, „Neue Merkmalstypen“, zu leisten.</w:t>
      </w:r>
      <w:r w:rsidRPr="000E6AFC">
        <w:rPr>
          <w:lang w:val="de-CH"/>
        </w:rPr>
        <w:t xml:space="preserve"> </w:t>
      </w:r>
      <w:r w:rsidR="007420A0" w:rsidRPr="006A7ABB">
        <w:rPr>
          <w:lang w:val="de-DE"/>
        </w:rPr>
        <w:t xml:space="preserve">Diese Richtlinien sollen in Verbindung mit den Technischen Arbeitsgruppen entwickelt werden; </w:t>
      </w:r>
    </w:p>
    <w:p w:rsidR="007420A0" w:rsidRPr="000E6AFC" w:rsidRDefault="007420A0" w:rsidP="001D308A">
      <w:pPr>
        <w:tabs>
          <w:tab w:val="left" w:pos="1134"/>
        </w:tabs>
        <w:spacing w:before="60" w:after="60"/>
        <w:ind w:left="851" w:hanging="425"/>
        <w:rPr>
          <w:szCs w:val="24"/>
          <w:lang w:val="de-DE"/>
        </w:rPr>
      </w:pPr>
    </w:p>
    <w:p w:rsidR="007420A0" w:rsidRPr="000E6AFC" w:rsidRDefault="000E6AFC" w:rsidP="001D308A">
      <w:pPr>
        <w:pStyle w:val="Heading4"/>
        <w:ind w:left="851" w:hanging="425"/>
        <w:rPr>
          <w:lang w:val="de-CH"/>
        </w:rPr>
      </w:pPr>
      <w:r w:rsidRPr="006A7ABB">
        <w:rPr>
          <w:lang w:val="de-DE"/>
        </w:rPr>
        <w:tab/>
      </w:r>
      <w:r w:rsidR="007420A0" w:rsidRPr="000E6AFC">
        <w:rPr>
          <w:lang w:val="de-CH"/>
        </w:rPr>
        <w:t>Initiativen der TWP zur Einsetzung artenspezifischer Untergruppen zu prüfen, indem den verfügbaren Informationen und der Notwendigkeit biochemischer und molekularer Verfahren Rechnung getragen wird;</w:t>
      </w:r>
    </w:p>
    <w:p w:rsidR="007420A0" w:rsidRPr="000E6AFC" w:rsidRDefault="007420A0" w:rsidP="001D308A">
      <w:pPr>
        <w:tabs>
          <w:tab w:val="left" w:pos="1134"/>
        </w:tabs>
        <w:ind w:left="851" w:hanging="425"/>
        <w:contextualSpacing/>
        <w:rPr>
          <w:rFonts w:ascii="MS Mincho" w:eastAsia="MS Mincho" w:hAnsi="Times New Roman"/>
          <w:szCs w:val="24"/>
          <w:lang w:val="de-DE"/>
        </w:rPr>
      </w:pPr>
    </w:p>
    <w:p w:rsidR="007420A0" w:rsidRPr="000E6AFC" w:rsidRDefault="000E6AFC" w:rsidP="001D308A">
      <w:pPr>
        <w:pStyle w:val="Heading4"/>
        <w:ind w:left="851" w:hanging="425"/>
        <w:rPr>
          <w:lang w:val="de-CH"/>
        </w:rPr>
      </w:pPr>
      <w:r w:rsidRPr="006A7ABB">
        <w:rPr>
          <w:lang w:val="de-DE"/>
        </w:rPr>
        <w:tab/>
      </w:r>
      <w:r w:rsidR="007420A0" w:rsidRPr="000E6AFC">
        <w:rPr>
          <w:lang w:val="de-CH"/>
        </w:rPr>
        <w:t>Richtlinien für die Verwaltung und Harmonisierung von Datenbanken mit biochemischen und molekularen Informationen in Verbindung mit der TWC aufzustellen;</w:t>
      </w:r>
    </w:p>
    <w:p w:rsidR="007420A0" w:rsidRPr="000E6AFC" w:rsidRDefault="007420A0" w:rsidP="001D308A">
      <w:pPr>
        <w:tabs>
          <w:tab w:val="left" w:pos="1134"/>
        </w:tabs>
        <w:spacing w:before="60" w:after="60"/>
        <w:ind w:left="851" w:hanging="425"/>
        <w:contextualSpacing/>
        <w:rPr>
          <w:rFonts w:ascii="MS Mincho" w:eastAsia="MS Mincho" w:hAnsi="Times New Roman"/>
          <w:szCs w:val="24"/>
          <w:lang w:val="de-DE"/>
        </w:rPr>
      </w:pPr>
    </w:p>
    <w:p w:rsidR="007420A0" w:rsidRPr="000E6AFC" w:rsidRDefault="000E6AFC" w:rsidP="001D308A">
      <w:pPr>
        <w:pStyle w:val="Heading4"/>
        <w:ind w:left="851" w:hanging="425"/>
        <w:rPr>
          <w:lang w:val="de-CH"/>
        </w:rPr>
      </w:pPr>
      <w:r w:rsidRPr="006A7ABB">
        <w:rPr>
          <w:lang w:val="de-DE"/>
        </w:rPr>
        <w:tab/>
      </w:r>
      <w:r w:rsidR="007420A0" w:rsidRPr="000E6AFC">
        <w:rPr>
          <w:lang w:val="de-CH"/>
        </w:rPr>
        <w:t>die Berichte der artenspezifischen Untergruppen und der BMT</w:t>
      </w:r>
      <w:r w:rsidR="00EE33A8">
        <w:rPr>
          <w:lang w:val="de-CH"/>
        </w:rPr>
        <w:t>-</w:t>
      </w:r>
      <w:r w:rsidR="007420A0" w:rsidRPr="000E6AFC">
        <w:rPr>
          <w:lang w:val="de-CH"/>
        </w:rPr>
        <w:t>Überprüfungsgruppe entgegenzunehmen;</w:t>
      </w:r>
    </w:p>
    <w:p w:rsidR="007420A0" w:rsidRPr="000E6AFC" w:rsidRDefault="007420A0" w:rsidP="001D308A">
      <w:pPr>
        <w:tabs>
          <w:tab w:val="left" w:pos="1134"/>
        </w:tabs>
        <w:spacing w:before="60" w:after="60"/>
        <w:ind w:left="851" w:hanging="425"/>
        <w:rPr>
          <w:szCs w:val="24"/>
          <w:lang w:val="de-DE"/>
        </w:rPr>
      </w:pPr>
    </w:p>
    <w:p w:rsidR="007420A0" w:rsidRPr="000E6AFC" w:rsidRDefault="000E6AFC" w:rsidP="001D308A">
      <w:pPr>
        <w:pStyle w:val="Heading4"/>
        <w:ind w:left="851" w:hanging="425"/>
        <w:rPr>
          <w:lang w:val="de-CH"/>
        </w:rPr>
      </w:pPr>
      <w:r w:rsidRPr="00EE33A8">
        <w:rPr>
          <w:lang w:val="de-CH"/>
        </w:rPr>
        <w:tab/>
      </w:r>
      <w:r w:rsidR="007420A0" w:rsidRPr="000E6AFC">
        <w:rPr>
          <w:lang w:val="de-CH"/>
        </w:rPr>
        <w:t>ein Diskussionsforum über die Anwendung biochemischer und molekularer Verfahren bei der Prüfung der wesentlichen Ableitung und bei der Sortenidentifikation bereitzustellen.</w:t>
      </w:r>
    </w:p>
    <w:p w:rsidR="007420A0" w:rsidRDefault="007420A0" w:rsidP="000E6AFC">
      <w:pPr>
        <w:ind w:left="1134" w:hanging="708"/>
        <w:jc w:val="right"/>
        <w:rPr>
          <w:szCs w:val="24"/>
          <w:lang w:val="de-DE"/>
        </w:rPr>
      </w:pPr>
    </w:p>
    <w:p w:rsidR="007420A0" w:rsidRDefault="007420A0">
      <w:pPr>
        <w:jc w:val="right"/>
        <w:rPr>
          <w:szCs w:val="24"/>
          <w:lang w:val="de-DE"/>
        </w:rPr>
      </w:pPr>
    </w:p>
    <w:p w:rsidR="007420A0" w:rsidRDefault="007420A0">
      <w:pPr>
        <w:jc w:val="right"/>
        <w:rPr>
          <w:szCs w:val="24"/>
          <w:lang w:val="de-DE"/>
        </w:rPr>
      </w:pPr>
    </w:p>
    <w:p w:rsidR="007420A0" w:rsidRDefault="007420A0">
      <w:pPr>
        <w:jc w:val="right"/>
        <w:rPr>
          <w:szCs w:val="24"/>
          <w:lang w:val="de-DE"/>
        </w:rPr>
      </w:pPr>
      <w:r>
        <w:rPr>
          <w:szCs w:val="24"/>
          <w:lang w:val="de-DE"/>
        </w:rPr>
        <w:t>[Ende der Anlage und des Dokuments]</w:t>
      </w:r>
    </w:p>
    <w:p w:rsidR="007420A0" w:rsidRDefault="007420A0">
      <w:pPr>
        <w:jc w:val="left"/>
        <w:rPr>
          <w:szCs w:val="24"/>
          <w:lang w:val="de-DE"/>
        </w:rPr>
      </w:pPr>
    </w:p>
    <w:p w:rsidR="007420A0" w:rsidRDefault="007420A0">
      <w:pPr>
        <w:jc w:val="left"/>
        <w:rPr>
          <w:szCs w:val="24"/>
          <w:lang w:val="de-DE"/>
        </w:rPr>
      </w:pPr>
    </w:p>
    <w:sectPr w:rsidR="007420A0">
      <w:headerReference w:type="default" r:id="rId9"/>
      <w:head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3DF" w:rsidRDefault="00DC73DF">
      <w:pPr>
        <w:rPr>
          <w:szCs w:val="24"/>
        </w:rPr>
      </w:pPr>
      <w:r>
        <w:rPr>
          <w:szCs w:val="24"/>
        </w:rPr>
        <w:separator/>
      </w:r>
    </w:p>
    <w:p w:rsidR="00DC73DF" w:rsidRDefault="00DC73DF">
      <w:pPr>
        <w:rPr>
          <w:szCs w:val="24"/>
        </w:rPr>
      </w:pPr>
    </w:p>
    <w:p w:rsidR="00DC73DF" w:rsidRDefault="00DC73DF">
      <w:pPr>
        <w:rPr>
          <w:szCs w:val="24"/>
        </w:rPr>
      </w:pPr>
    </w:p>
  </w:endnote>
  <w:endnote w:type="continuationSeparator" w:id="0">
    <w:p w:rsidR="00DC73DF" w:rsidRDefault="00DC73DF">
      <w:pPr>
        <w:rPr>
          <w:szCs w:val="24"/>
        </w:rPr>
      </w:pPr>
      <w:r>
        <w:rPr>
          <w:szCs w:val="24"/>
        </w:rPr>
        <w:separator/>
      </w:r>
    </w:p>
    <w:p w:rsidR="00DC73DF" w:rsidRDefault="00DC73DF">
      <w:pPr>
        <w:pStyle w:val="Footer"/>
        <w:spacing w:after="60"/>
        <w:rPr>
          <w:sz w:val="18"/>
          <w:szCs w:val="24"/>
          <w:lang w:val="fr-FR"/>
        </w:rPr>
      </w:pPr>
      <w:r>
        <w:rPr>
          <w:noProof/>
          <w:sz w:val="18"/>
          <w:szCs w:val="24"/>
          <w:lang w:val="fr-FR"/>
        </w:rPr>
        <w:t>[Suite de la note de la page précédente]</w:t>
      </w:r>
    </w:p>
    <w:p w:rsidR="00DC73DF" w:rsidRDefault="00DC73DF">
      <w:pPr>
        <w:rPr>
          <w:szCs w:val="24"/>
          <w:lang w:val="fr-FR"/>
        </w:rPr>
      </w:pPr>
    </w:p>
    <w:p w:rsidR="00DC73DF" w:rsidRDefault="00DC73DF">
      <w:pPr>
        <w:rPr>
          <w:szCs w:val="24"/>
          <w:lang w:val="fr-FR"/>
        </w:rPr>
      </w:pPr>
    </w:p>
  </w:endnote>
  <w:endnote w:type="continuationNotice" w:id="1">
    <w:p w:rsidR="00DC73DF" w:rsidRDefault="00DC73DF">
      <w:pPr>
        <w:rPr>
          <w:szCs w:val="24"/>
          <w:lang w:val="fr-FR"/>
        </w:rPr>
      </w:pPr>
      <w:r>
        <w:rPr>
          <w:noProof/>
          <w:szCs w:val="24"/>
          <w:lang w:val="fr-FR"/>
        </w:rPr>
        <w:t>[Suite de la note page suivante]</w:t>
      </w:r>
    </w:p>
    <w:p w:rsidR="00DC73DF" w:rsidRDefault="00DC73DF">
      <w:pPr>
        <w:rPr>
          <w:szCs w:val="24"/>
          <w:lang w:val="fr-FR"/>
        </w:rPr>
      </w:pPr>
    </w:p>
    <w:p w:rsidR="00DC73DF" w:rsidRDefault="00DC73DF">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PMingLiU">
    <w:altName w:val="Arial Unicode MS"/>
    <w:panose1 w:val="02010601000101010101"/>
    <w:charset w:val="88"/>
    <w:family w:val="auto"/>
    <w:pitch w:val="variable"/>
    <w:sig w:usb0="00000000" w:usb1="08080000" w:usb2="00000010" w:usb3="00000000" w:csb0="00100000" w:csb1="00000000"/>
  </w:font>
  <w:font w:name="Calibri">
    <w:altName w:val="Century Gothic"/>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3DF" w:rsidRDefault="00DC73DF">
      <w:pPr>
        <w:rPr>
          <w:szCs w:val="24"/>
        </w:rPr>
      </w:pPr>
      <w:r>
        <w:rPr>
          <w:szCs w:val="24"/>
        </w:rPr>
        <w:separator/>
      </w:r>
    </w:p>
  </w:footnote>
  <w:footnote w:type="continuationSeparator" w:id="0">
    <w:p w:rsidR="00DC73DF" w:rsidRDefault="00DC73DF">
      <w:pPr>
        <w:rPr>
          <w:szCs w:val="24"/>
        </w:rPr>
      </w:pPr>
      <w:r>
        <w:rPr>
          <w:szCs w:val="24"/>
        </w:rPr>
        <w:separator/>
      </w:r>
    </w:p>
  </w:footnote>
  <w:footnote w:type="continuationNotice" w:id="1">
    <w:p w:rsidR="00DC73DF" w:rsidRDefault="00DC73DF">
      <w:pPr>
        <w:pStyle w:val="Footer"/>
        <w:rPr>
          <w:szCs w:val="24"/>
        </w:rPr>
      </w:pPr>
    </w:p>
  </w:footnote>
  <w:footnote w:id="2">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DC73DF">
        <w:rPr>
          <w:iCs/>
          <w:lang w:val="de-CH" w:eastAsia="ja-JP"/>
        </w:rPr>
        <w:t>Am 31. Oktober 2018 in Genf.</w:t>
      </w:r>
    </w:p>
  </w:footnote>
  <w:footnote w:id="3">
    <w:p w:rsidR="00DC73DF" w:rsidRPr="006A7ABB" w:rsidRDefault="00DC73DF" w:rsidP="00EE33A8">
      <w:pPr>
        <w:pStyle w:val="FootnoteText"/>
        <w:rPr>
          <w:lang w:val="de-DE"/>
        </w:rPr>
      </w:pPr>
      <w:r>
        <w:rPr>
          <w:rStyle w:val="FootnoteReference"/>
        </w:rPr>
        <w:footnoteRef/>
      </w:r>
      <w:r w:rsidRPr="00DC73DF">
        <w:rPr>
          <w:lang w:val="de-CH"/>
        </w:rPr>
        <w:t xml:space="preserve"> </w:t>
      </w:r>
      <w:r w:rsidRPr="00DC73DF">
        <w:rPr>
          <w:lang w:val="de-CH" w:eastAsia="ja-JP"/>
        </w:rPr>
        <w:tab/>
      </w:r>
      <w:r w:rsidRPr="00DC73DF">
        <w:rPr>
          <w:iCs/>
          <w:lang w:val="de-CH" w:eastAsia="ja-JP"/>
        </w:rPr>
        <w:t xml:space="preserve">Am </w:t>
      </w:r>
      <w:r w:rsidRPr="00DC73DF">
        <w:rPr>
          <w:iCs/>
          <w:lang w:val="de-CH" w:eastAsia="ja-JP"/>
        </w:rPr>
        <w:t xml:space="preserve">29. und 30. </w:t>
      </w:r>
      <w:r w:rsidRPr="006A7ABB">
        <w:rPr>
          <w:iCs/>
          <w:lang w:val="de-DE" w:eastAsia="ja-JP"/>
        </w:rPr>
        <w:t>Oktober 2018 in Genf.</w:t>
      </w:r>
    </w:p>
  </w:footnote>
  <w:footnote w:id="4">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t>Vergleiche Dokument CAJ/75/14 „Bericht“, Absatz 63.</w:t>
      </w:r>
    </w:p>
  </w:footnote>
  <w:footnote w:id="5">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DC73DF">
        <w:rPr>
          <w:lang w:val="de-CH" w:eastAsia="ja-JP"/>
        </w:rPr>
        <w:t xml:space="preserve">Am </w:t>
      </w:r>
      <w:r w:rsidRPr="00DC73DF">
        <w:rPr>
          <w:lang w:val="de-CH" w:eastAsia="ja-JP"/>
        </w:rPr>
        <w:t>28. und 29. Oktober 2019 in Genf.</w:t>
      </w:r>
    </w:p>
  </w:footnote>
  <w:footnote w:id="6">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AB0EBF">
        <w:rPr>
          <w:szCs w:val="16"/>
          <w:lang w:val="de-CH"/>
        </w:rPr>
        <w:t xml:space="preserve">Am </w:t>
      </w:r>
      <w:r w:rsidRPr="00AB0EBF">
        <w:rPr>
          <w:szCs w:val="16"/>
          <w:lang w:val="de-CH"/>
        </w:rPr>
        <w:t>26. und 27. Oktober 2020 in Genf</w:t>
      </w:r>
      <w:r w:rsidRPr="00DC73DF">
        <w:rPr>
          <w:lang w:val="de-CH" w:eastAsia="ja-JP"/>
        </w:rPr>
        <w:t>.</w:t>
      </w:r>
    </w:p>
  </w:footnote>
  <w:footnote w:id="7">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DC73DF">
        <w:rPr>
          <w:lang w:val="de-CH" w:eastAsia="ja-JP"/>
        </w:rPr>
        <w:t>Vergleiche Dokument CAJ/75/14 „Bericht“, Absatz 65.</w:t>
      </w:r>
    </w:p>
  </w:footnote>
  <w:footnote w:id="8">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DC73DF">
        <w:rPr>
          <w:lang w:val="de-CH" w:eastAsia="ja-JP"/>
        </w:rPr>
        <w:t xml:space="preserve">Vergleiche </w:t>
      </w:r>
      <w:r w:rsidRPr="00DC73DF">
        <w:rPr>
          <w:lang w:val="de-CH" w:eastAsia="ja-JP"/>
        </w:rPr>
        <w:t>Dokument CAJ/75/14 „Bericht“, Absatz 67.</w:t>
      </w:r>
    </w:p>
  </w:footnote>
  <w:footnote w:id="9">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DC73DF">
        <w:rPr>
          <w:lang w:val="de-CH" w:eastAsia="ja-JP"/>
        </w:rPr>
        <w:t xml:space="preserve">Vergleiche </w:t>
      </w:r>
      <w:r w:rsidRPr="00DC73DF">
        <w:rPr>
          <w:lang w:val="de-CH" w:eastAsia="ja-JP"/>
        </w:rPr>
        <w:t>Dokument CAJ/75/14 „Bericht“, Absatz 66.</w:t>
      </w:r>
    </w:p>
  </w:footnote>
  <w:footnote w:id="10">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DC73DF">
        <w:rPr>
          <w:lang w:val="de-CH" w:eastAsia="ja-JP"/>
        </w:rPr>
        <w:t xml:space="preserve">Vergleiche </w:t>
      </w:r>
      <w:r w:rsidRPr="00DC73DF">
        <w:rPr>
          <w:lang w:val="de-CH" w:eastAsia="ja-JP"/>
        </w:rPr>
        <w:t>Dokument CAJ/75/14 „Bericht“, Absatz 71.</w:t>
      </w:r>
    </w:p>
  </w:footnote>
  <w:footnote w:id="11">
    <w:p w:rsidR="00DC73DF" w:rsidRPr="00DC73DF" w:rsidRDefault="00DC73DF" w:rsidP="00EE33A8">
      <w:pPr>
        <w:pStyle w:val="FootnoteText"/>
        <w:rPr>
          <w:lang w:val="de-CH"/>
        </w:rPr>
      </w:pPr>
      <w:r>
        <w:rPr>
          <w:rStyle w:val="FootnoteReference"/>
        </w:rPr>
        <w:footnoteRef/>
      </w:r>
      <w:r w:rsidRPr="00DC73DF">
        <w:rPr>
          <w:lang w:val="de-CH"/>
        </w:rPr>
        <w:t xml:space="preserve"> </w:t>
      </w:r>
      <w:r w:rsidRPr="00DC73DF">
        <w:rPr>
          <w:lang w:val="de-CH" w:eastAsia="ja-JP"/>
        </w:rPr>
        <w:tab/>
      </w:r>
      <w:r w:rsidRPr="00DC73DF">
        <w:rPr>
          <w:lang w:val="de-CH" w:eastAsia="ja-JP"/>
        </w:rPr>
        <w:t xml:space="preserve">Vergleiche </w:t>
      </w:r>
      <w:r w:rsidRPr="00DC73DF">
        <w:rPr>
          <w:lang w:val="de-CH" w:eastAsia="ja-JP"/>
        </w:rPr>
        <w:t>Dokument TC/54/31 „Bericht“, Absatz 281.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DF" w:rsidRDefault="00DC73DF">
    <w:pPr>
      <w:pStyle w:val="Header"/>
      <w:rPr>
        <w:rStyle w:val="PageNumber"/>
        <w:szCs w:val="24"/>
        <w:lang w:val="en-US"/>
      </w:rPr>
    </w:pPr>
    <w:r>
      <w:rPr>
        <w:rStyle w:val="PageNumber"/>
        <w:noProof/>
        <w:szCs w:val="24"/>
        <w:lang w:val="en-US"/>
      </w:rPr>
      <w:t>CAJ/76/INF/3</w:t>
    </w:r>
  </w:p>
  <w:p w:rsidR="00DC73DF" w:rsidRDefault="00DC73DF">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6A7ABB">
      <w:rPr>
        <w:rStyle w:val="PageNumber"/>
        <w:noProof/>
        <w:szCs w:val="24"/>
        <w:lang w:val="en-US"/>
      </w:rPr>
      <w:t>4</w:t>
    </w:r>
    <w:r>
      <w:rPr>
        <w:rStyle w:val="PageNumber"/>
        <w:szCs w:val="24"/>
        <w:lang w:val="en-US"/>
      </w:rPr>
      <w:fldChar w:fldCharType="end"/>
    </w:r>
  </w:p>
  <w:p w:rsidR="00DC73DF" w:rsidRDefault="00DC73DF">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DF" w:rsidRDefault="00DC73DF">
    <w:pPr>
      <w:pStyle w:val="Header"/>
      <w:rPr>
        <w:rStyle w:val="PageNumber"/>
        <w:szCs w:val="24"/>
        <w:lang w:val="en-US"/>
      </w:rPr>
    </w:pPr>
    <w:r>
      <w:rPr>
        <w:rStyle w:val="PageNumber"/>
        <w:noProof/>
        <w:szCs w:val="24"/>
        <w:lang w:val="en-US"/>
      </w:rPr>
      <w:t>CAJ/76/INF/3</w:t>
    </w:r>
  </w:p>
  <w:p w:rsidR="00DC73DF" w:rsidRDefault="00DC73DF">
    <w:pPr>
      <w:pStyle w:val="Header"/>
      <w:rPr>
        <w:szCs w:val="24"/>
        <w:lang w:val="en-US"/>
      </w:rPr>
    </w:pPr>
    <w:proofErr w:type="gramStart"/>
    <w:r>
      <w:rPr>
        <w:szCs w:val="24"/>
        <w:lang w:val="en-US"/>
      </w:rPr>
      <w:t>page</w:t>
    </w:r>
    <w:proofErr w:type="gram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7</w:t>
    </w:r>
    <w:r>
      <w:rPr>
        <w:rStyle w:val="PageNumber"/>
        <w:szCs w:val="24"/>
        <w:lang w:val="en-US"/>
      </w:rPr>
      <w:fldChar w:fldCharType="end"/>
    </w:r>
  </w:p>
  <w:p w:rsidR="00DC73DF" w:rsidRDefault="00DC73DF">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3DF" w:rsidRDefault="00DC73DF">
    <w:pPr>
      <w:pStyle w:val="Header"/>
      <w:rPr>
        <w:szCs w:val="24"/>
      </w:rPr>
    </w:pPr>
    <w:r>
      <w:rPr>
        <w:noProof/>
        <w:szCs w:val="24"/>
      </w:rPr>
      <w:t>CAJ/76/INF/3</w:t>
    </w:r>
  </w:p>
  <w:p w:rsidR="00DC73DF" w:rsidRDefault="00DC73DF">
    <w:pPr>
      <w:pStyle w:val="Header"/>
      <w:rPr>
        <w:szCs w:val="24"/>
      </w:rPr>
    </w:pPr>
  </w:p>
  <w:p w:rsidR="00DC73DF" w:rsidRDefault="00DC73DF">
    <w:pPr>
      <w:pStyle w:val="Header"/>
      <w:rPr>
        <w:szCs w:val="24"/>
      </w:rPr>
    </w:pPr>
    <w:r>
      <w:rPr>
        <w:noProof/>
        <w:szCs w:val="24"/>
      </w:rPr>
      <w:t>ANLAGE</w:t>
    </w:r>
  </w:p>
  <w:p w:rsidR="00DC73DF" w:rsidRDefault="00DC73DF">
    <w:pPr>
      <w:pStyle w:val="Header"/>
      <w:rPr>
        <w:szCs w:val="24"/>
      </w:rPr>
    </w:pPr>
  </w:p>
  <w:p w:rsidR="00DC73DF" w:rsidRDefault="00DC73DF">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E7F2C792"/>
    <w:lvl w:ilvl="0" w:tplc="DA5A2FD2">
      <w:start w:val="1"/>
      <w:numFmt w:val="lowerRoman"/>
      <w:pStyle w:val="Heading4"/>
      <w:lvlText w:val="%1)"/>
      <w:lvlJc w:val="right"/>
      <w:pPr>
        <w:tabs>
          <w:tab w:val="num" w:pos="-161"/>
        </w:tabs>
        <w:ind w:left="1050" w:hanging="36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1"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DF7021"/>
    <w:multiLevelType w:val="multilevel"/>
    <w:tmpl w:val="B33483A2"/>
    <w:lvl w:ilvl="0">
      <w:start w:val="1"/>
      <w:numFmt w:val="lowerRoman"/>
      <w:lvlText w:val="(%1)"/>
      <w:lvlJc w:val="left"/>
      <w:pPr>
        <w:ind w:left="1410" w:hanging="720"/>
      </w:pPr>
      <w:rPr>
        <w:rFonts w:cs="Times New Roman" w:hint="default"/>
      </w:rPr>
    </w:lvl>
    <w:lvl w:ilvl="1">
      <w:start w:val="1"/>
      <w:numFmt w:val="lowerLetter"/>
      <w:lvlText w:val="%2."/>
      <w:lvlJc w:val="left"/>
      <w:pPr>
        <w:ind w:left="1770" w:hanging="360"/>
      </w:pPr>
      <w:rPr>
        <w:rFonts w:cs="Times New Roman"/>
      </w:rPr>
    </w:lvl>
    <w:lvl w:ilvl="2">
      <w:start w:val="1"/>
      <w:numFmt w:val="lowerRoman"/>
      <w:lvlText w:val="%3."/>
      <w:lvlJc w:val="right"/>
      <w:pPr>
        <w:ind w:left="2490" w:hanging="180"/>
      </w:pPr>
      <w:rPr>
        <w:rFonts w:cs="Times New Roman"/>
      </w:rPr>
    </w:lvl>
    <w:lvl w:ilvl="3">
      <w:start w:val="1"/>
      <w:numFmt w:val="decimal"/>
      <w:lvlText w:val="%4."/>
      <w:lvlJc w:val="left"/>
      <w:pPr>
        <w:ind w:left="3210" w:hanging="360"/>
      </w:pPr>
      <w:rPr>
        <w:rFonts w:cs="Times New Roman"/>
      </w:rPr>
    </w:lvl>
    <w:lvl w:ilvl="4">
      <w:start w:val="1"/>
      <w:numFmt w:val="lowerLetter"/>
      <w:lvlText w:val="%5."/>
      <w:lvlJc w:val="left"/>
      <w:pPr>
        <w:ind w:left="3930" w:hanging="360"/>
      </w:pPr>
      <w:rPr>
        <w:rFonts w:cs="Times New Roman"/>
      </w:rPr>
    </w:lvl>
    <w:lvl w:ilvl="5">
      <w:start w:val="1"/>
      <w:numFmt w:val="lowerRoman"/>
      <w:lvlText w:val="%6."/>
      <w:lvlJc w:val="right"/>
      <w:pPr>
        <w:ind w:left="4650" w:hanging="180"/>
      </w:pPr>
      <w:rPr>
        <w:rFonts w:cs="Times New Roman"/>
      </w:rPr>
    </w:lvl>
    <w:lvl w:ilvl="6">
      <w:start w:val="1"/>
      <w:numFmt w:val="decimal"/>
      <w:lvlText w:val="%7."/>
      <w:lvlJc w:val="left"/>
      <w:pPr>
        <w:ind w:left="5370" w:hanging="360"/>
      </w:pPr>
      <w:rPr>
        <w:rFonts w:cs="Times New Roman"/>
      </w:rPr>
    </w:lvl>
    <w:lvl w:ilvl="7">
      <w:start w:val="1"/>
      <w:numFmt w:val="lowerLetter"/>
      <w:lvlText w:val="%8."/>
      <w:lvlJc w:val="left"/>
      <w:pPr>
        <w:ind w:left="6090" w:hanging="360"/>
      </w:pPr>
      <w:rPr>
        <w:rFonts w:cs="Times New Roman"/>
      </w:rPr>
    </w:lvl>
    <w:lvl w:ilvl="8">
      <w:start w:val="1"/>
      <w:numFmt w:val="lowerRoman"/>
      <w:lvlText w:val="%9."/>
      <w:lvlJc w:val="right"/>
      <w:pPr>
        <w:ind w:left="681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1B84"/>
    <w:rsid w:val="00035163"/>
    <w:rsid w:val="00036028"/>
    <w:rsid w:val="00044642"/>
    <w:rsid w:val="000446B9"/>
    <w:rsid w:val="00047E21"/>
    <w:rsid w:val="00050E16"/>
    <w:rsid w:val="000524F2"/>
    <w:rsid w:val="00077AD7"/>
    <w:rsid w:val="00085505"/>
    <w:rsid w:val="000C4E25"/>
    <w:rsid w:val="000C7021"/>
    <w:rsid w:val="000D4608"/>
    <w:rsid w:val="000D6BBC"/>
    <w:rsid w:val="000D7780"/>
    <w:rsid w:val="000E636A"/>
    <w:rsid w:val="000E6AFC"/>
    <w:rsid w:val="000F2F11"/>
    <w:rsid w:val="001042A7"/>
    <w:rsid w:val="00105929"/>
    <w:rsid w:val="00106875"/>
    <w:rsid w:val="00110BED"/>
    <w:rsid w:val="00110C36"/>
    <w:rsid w:val="001131D5"/>
    <w:rsid w:val="0013174D"/>
    <w:rsid w:val="00141DB8"/>
    <w:rsid w:val="001570C5"/>
    <w:rsid w:val="00172084"/>
    <w:rsid w:val="001733FF"/>
    <w:rsid w:val="0017474A"/>
    <w:rsid w:val="001758C6"/>
    <w:rsid w:val="00182B99"/>
    <w:rsid w:val="001A5FA1"/>
    <w:rsid w:val="001B283E"/>
    <w:rsid w:val="001C1525"/>
    <w:rsid w:val="001D308A"/>
    <w:rsid w:val="0021332C"/>
    <w:rsid w:val="00213982"/>
    <w:rsid w:val="0024416D"/>
    <w:rsid w:val="002533F5"/>
    <w:rsid w:val="0025748C"/>
    <w:rsid w:val="00271911"/>
    <w:rsid w:val="00273373"/>
    <w:rsid w:val="002800A0"/>
    <w:rsid w:val="002801B3"/>
    <w:rsid w:val="00281060"/>
    <w:rsid w:val="002940E8"/>
    <w:rsid w:val="00294751"/>
    <w:rsid w:val="00296CC4"/>
    <w:rsid w:val="002A6E50"/>
    <w:rsid w:val="002A7172"/>
    <w:rsid w:val="002B4298"/>
    <w:rsid w:val="002B7A36"/>
    <w:rsid w:val="002C256A"/>
    <w:rsid w:val="002D0B59"/>
    <w:rsid w:val="002F39A8"/>
    <w:rsid w:val="00305A7F"/>
    <w:rsid w:val="003152FE"/>
    <w:rsid w:val="00327436"/>
    <w:rsid w:val="00340901"/>
    <w:rsid w:val="00344BD6"/>
    <w:rsid w:val="0035528D"/>
    <w:rsid w:val="00361821"/>
    <w:rsid w:val="00361E9E"/>
    <w:rsid w:val="00365DC1"/>
    <w:rsid w:val="00380644"/>
    <w:rsid w:val="003814E8"/>
    <w:rsid w:val="003C7FBE"/>
    <w:rsid w:val="003D227C"/>
    <w:rsid w:val="003D2B4D"/>
    <w:rsid w:val="003D348C"/>
    <w:rsid w:val="00444A88"/>
    <w:rsid w:val="00473100"/>
    <w:rsid w:val="00474DA4"/>
    <w:rsid w:val="00476B4D"/>
    <w:rsid w:val="004805FA"/>
    <w:rsid w:val="00490EC0"/>
    <w:rsid w:val="004935D2"/>
    <w:rsid w:val="004A6861"/>
    <w:rsid w:val="004B1215"/>
    <w:rsid w:val="004D047D"/>
    <w:rsid w:val="004E0AA1"/>
    <w:rsid w:val="004E5A7B"/>
    <w:rsid w:val="004F1E9E"/>
    <w:rsid w:val="004F305A"/>
    <w:rsid w:val="004F5FF4"/>
    <w:rsid w:val="00511E92"/>
    <w:rsid w:val="00512164"/>
    <w:rsid w:val="00520297"/>
    <w:rsid w:val="005338F9"/>
    <w:rsid w:val="0054281C"/>
    <w:rsid w:val="00544581"/>
    <w:rsid w:val="0055268D"/>
    <w:rsid w:val="00556FAA"/>
    <w:rsid w:val="005638F9"/>
    <w:rsid w:val="005762FC"/>
    <w:rsid w:val="00576BE4"/>
    <w:rsid w:val="005779DB"/>
    <w:rsid w:val="00580889"/>
    <w:rsid w:val="005864F1"/>
    <w:rsid w:val="00594BA7"/>
    <w:rsid w:val="005A227F"/>
    <w:rsid w:val="005A400A"/>
    <w:rsid w:val="005F7B92"/>
    <w:rsid w:val="006040BF"/>
    <w:rsid w:val="00606EF1"/>
    <w:rsid w:val="00612379"/>
    <w:rsid w:val="00613049"/>
    <w:rsid w:val="006153B6"/>
    <w:rsid w:val="0061555F"/>
    <w:rsid w:val="00633C13"/>
    <w:rsid w:val="00636CA6"/>
    <w:rsid w:val="00641200"/>
    <w:rsid w:val="00645CA8"/>
    <w:rsid w:val="00660AA5"/>
    <w:rsid w:val="00664857"/>
    <w:rsid w:val="006655D3"/>
    <w:rsid w:val="00667404"/>
    <w:rsid w:val="006721AA"/>
    <w:rsid w:val="006778B4"/>
    <w:rsid w:val="00687EB4"/>
    <w:rsid w:val="00695C56"/>
    <w:rsid w:val="006A5CDE"/>
    <w:rsid w:val="006A644A"/>
    <w:rsid w:val="006A7ABB"/>
    <w:rsid w:val="006B17D2"/>
    <w:rsid w:val="006B682C"/>
    <w:rsid w:val="006C224E"/>
    <w:rsid w:val="006C2F5E"/>
    <w:rsid w:val="006C4561"/>
    <w:rsid w:val="006D780A"/>
    <w:rsid w:val="0071271E"/>
    <w:rsid w:val="00717C00"/>
    <w:rsid w:val="00732DEC"/>
    <w:rsid w:val="00735BD5"/>
    <w:rsid w:val="007420A0"/>
    <w:rsid w:val="007451EC"/>
    <w:rsid w:val="00751613"/>
    <w:rsid w:val="00753EE9"/>
    <w:rsid w:val="007556F6"/>
    <w:rsid w:val="00760EEF"/>
    <w:rsid w:val="00777EE5"/>
    <w:rsid w:val="00784836"/>
    <w:rsid w:val="00790193"/>
    <w:rsid w:val="0079023E"/>
    <w:rsid w:val="007A2854"/>
    <w:rsid w:val="007A4705"/>
    <w:rsid w:val="007C1D92"/>
    <w:rsid w:val="007C4CB9"/>
    <w:rsid w:val="007C6081"/>
    <w:rsid w:val="007D0B9D"/>
    <w:rsid w:val="007D19B0"/>
    <w:rsid w:val="007E09E9"/>
    <w:rsid w:val="007F498F"/>
    <w:rsid w:val="00800458"/>
    <w:rsid w:val="00801EF9"/>
    <w:rsid w:val="00805EBD"/>
    <w:rsid w:val="0080679D"/>
    <w:rsid w:val="008108B0"/>
    <w:rsid w:val="00811B20"/>
    <w:rsid w:val="00812609"/>
    <w:rsid w:val="00815738"/>
    <w:rsid w:val="008211B5"/>
    <w:rsid w:val="0082296E"/>
    <w:rsid w:val="00824099"/>
    <w:rsid w:val="0082571A"/>
    <w:rsid w:val="00831627"/>
    <w:rsid w:val="00846D7C"/>
    <w:rsid w:val="00867AC1"/>
    <w:rsid w:val="00890DF8"/>
    <w:rsid w:val="008A743F"/>
    <w:rsid w:val="008C0309"/>
    <w:rsid w:val="008C0970"/>
    <w:rsid w:val="008D0BC5"/>
    <w:rsid w:val="008D2CF7"/>
    <w:rsid w:val="008E3D8B"/>
    <w:rsid w:val="008F5C8B"/>
    <w:rsid w:val="00900C26"/>
    <w:rsid w:val="0090197F"/>
    <w:rsid w:val="00903264"/>
    <w:rsid w:val="009061AA"/>
    <w:rsid w:val="00906DDC"/>
    <w:rsid w:val="00934E09"/>
    <w:rsid w:val="00936253"/>
    <w:rsid w:val="00940D46"/>
    <w:rsid w:val="009513AF"/>
    <w:rsid w:val="00952DD4"/>
    <w:rsid w:val="00965AE7"/>
    <w:rsid w:val="00970FED"/>
    <w:rsid w:val="00980BDC"/>
    <w:rsid w:val="00992D82"/>
    <w:rsid w:val="00997029"/>
    <w:rsid w:val="009A52C4"/>
    <w:rsid w:val="009A7339"/>
    <w:rsid w:val="009B440E"/>
    <w:rsid w:val="009D26B5"/>
    <w:rsid w:val="009D6306"/>
    <w:rsid w:val="009D690D"/>
    <w:rsid w:val="009E65B6"/>
    <w:rsid w:val="009F1AFD"/>
    <w:rsid w:val="009F77CF"/>
    <w:rsid w:val="00A13B64"/>
    <w:rsid w:val="00A24C10"/>
    <w:rsid w:val="00A42AC3"/>
    <w:rsid w:val="00A430CF"/>
    <w:rsid w:val="00A46D49"/>
    <w:rsid w:val="00A54309"/>
    <w:rsid w:val="00A75A38"/>
    <w:rsid w:val="00A772B7"/>
    <w:rsid w:val="00A80F2A"/>
    <w:rsid w:val="00A82D1E"/>
    <w:rsid w:val="00A82E58"/>
    <w:rsid w:val="00AA7690"/>
    <w:rsid w:val="00AB2B93"/>
    <w:rsid w:val="00AB530F"/>
    <w:rsid w:val="00AB7E5B"/>
    <w:rsid w:val="00AC2883"/>
    <w:rsid w:val="00AD6D1D"/>
    <w:rsid w:val="00AE0EF1"/>
    <w:rsid w:val="00AE2937"/>
    <w:rsid w:val="00B07301"/>
    <w:rsid w:val="00B11F3E"/>
    <w:rsid w:val="00B224DE"/>
    <w:rsid w:val="00B2698D"/>
    <w:rsid w:val="00B324D4"/>
    <w:rsid w:val="00B3358B"/>
    <w:rsid w:val="00B45C11"/>
    <w:rsid w:val="00B46575"/>
    <w:rsid w:val="00B61777"/>
    <w:rsid w:val="00B622E6"/>
    <w:rsid w:val="00B7770D"/>
    <w:rsid w:val="00B84BBD"/>
    <w:rsid w:val="00B92E19"/>
    <w:rsid w:val="00B931FD"/>
    <w:rsid w:val="00B94EA7"/>
    <w:rsid w:val="00BA43FB"/>
    <w:rsid w:val="00BC127D"/>
    <w:rsid w:val="00BC1FE6"/>
    <w:rsid w:val="00BF010E"/>
    <w:rsid w:val="00BF30BB"/>
    <w:rsid w:val="00C061B6"/>
    <w:rsid w:val="00C14829"/>
    <w:rsid w:val="00C22501"/>
    <w:rsid w:val="00C2446C"/>
    <w:rsid w:val="00C36AE5"/>
    <w:rsid w:val="00C37894"/>
    <w:rsid w:val="00C41F17"/>
    <w:rsid w:val="00C45AFD"/>
    <w:rsid w:val="00C527FA"/>
    <w:rsid w:val="00C5280D"/>
    <w:rsid w:val="00C53EB3"/>
    <w:rsid w:val="00C55669"/>
    <w:rsid w:val="00C55844"/>
    <w:rsid w:val="00C5791C"/>
    <w:rsid w:val="00C65D8C"/>
    <w:rsid w:val="00C66290"/>
    <w:rsid w:val="00C67931"/>
    <w:rsid w:val="00C72B7A"/>
    <w:rsid w:val="00C81665"/>
    <w:rsid w:val="00C973F2"/>
    <w:rsid w:val="00CA1D2D"/>
    <w:rsid w:val="00CA304C"/>
    <w:rsid w:val="00CA774A"/>
    <w:rsid w:val="00CB2272"/>
    <w:rsid w:val="00CC11B0"/>
    <w:rsid w:val="00CC155A"/>
    <w:rsid w:val="00CC195C"/>
    <w:rsid w:val="00CC2841"/>
    <w:rsid w:val="00CE7931"/>
    <w:rsid w:val="00CF1330"/>
    <w:rsid w:val="00CF7E36"/>
    <w:rsid w:val="00D27C8A"/>
    <w:rsid w:val="00D3708D"/>
    <w:rsid w:val="00D40426"/>
    <w:rsid w:val="00D57C96"/>
    <w:rsid w:val="00D57D18"/>
    <w:rsid w:val="00D91203"/>
    <w:rsid w:val="00D95174"/>
    <w:rsid w:val="00DA4973"/>
    <w:rsid w:val="00DA6F36"/>
    <w:rsid w:val="00DA760B"/>
    <w:rsid w:val="00DB596E"/>
    <w:rsid w:val="00DB7773"/>
    <w:rsid w:val="00DC00EA"/>
    <w:rsid w:val="00DC3802"/>
    <w:rsid w:val="00DC73DF"/>
    <w:rsid w:val="00E07D87"/>
    <w:rsid w:val="00E249C8"/>
    <w:rsid w:val="00E32F7E"/>
    <w:rsid w:val="00E4111D"/>
    <w:rsid w:val="00E5267B"/>
    <w:rsid w:val="00E63C0E"/>
    <w:rsid w:val="00E72D49"/>
    <w:rsid w:val="00E7593C"/>
    <w:rsid w:val="00E7678A"/>
    <w:rsid w:val="00E935F1"/>
    <w:rsid w:val="00E94A81"/>
    <w:rsid w:val="00E964D1"/>
    <w:rsid w:val="00EA1FFB"/>
    <w:rsid w:val="00EB048E"/>
    <w:rsid w:val="00EB4E9C"/>
    <w:rsid w:val="00EE33A8"/>
    <w:rsid w:val="00EE34DF"/>
    <w:rsid w:val="00EE7794"/>
    <w:rsid w:val="00EF2F89"/>
    <w:rsid w:val="00F03E98"/>
    <w:rsid w:val="00F1237A"/>
    <w:rsid w:val="00F22499"/>
    <w:rsid w:val="00F22CBD"/>
    <w:rsid w:val="00F25DF9"/>
    <w:rsid w:val="00F272F1"/>
    <w:rsid w:val="00F31412"/>
    <w:rsid w:val="00F45372"/>
    <w:rsid w:val="00F55D6C"/>
    <w:rsid w:val="00F560F7"/>
    <w:rsid w:val="00F6334D"/>
    <w:rsid w:val="00F63599"/>
    <w:rsid w:val="00F63762"/>
    <w:rsid w:val="00F82007"/>
    <w:rsid w:val="00FA49AB"/>
    <w:rsid w:val="00FE39C7"/>
    <w:rsid w:val="00FF4D07"/>
    <w:rsid w:val="00FF5AF4"/>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11757"/>
  <w15:chartTrackingRefBased/>
  <w15:docId w15:val="{DE3767B1-1FD7-40B6-8A7B-B8220E2A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rsid w:val="000E6AFC"/>
    <w:pPr>
      <w:keepNext/>
      <w:numPr>
        <w:numId w:val="1"/>
      </w:numPr>
      <w:ind w:left="1134" w:hanging="708"/>
      <w:outlineLvl w:val="3"/>
    </w:pPr>
    <w:rPr>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spacing w:after="120"/>
      <w:ind w:left="454" w:right="851" w:hanging="284"/>
      <w:contextualSpacing/>
      <w:jc w:val="left"/>
    </w:pPr>
    <w:rPr>
      <w:sz w:val="18"/>
    </w:r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uiPriority w:val="39"/>
    <w:pPr>
      <w:tabs>
        <w:tab w:val="right" w:leader="dot" w:pos="9639"/>
      </w:tabs>
      <w:spacing w:after="120"/>
    </w:pPr>
    <w:rPr>
      <w:caps/>
      <w:sz w:val="18"/>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erChar">
    <w:name w:val="Header Char"/>
    <w:basedOn w:val="DefaultParagraphFont"/>
    <w:locked/>
    <w:rPr>
      <w:rFonts w:ascii="Arial" w:hAnsi="Arial" w:cs="Times New Roman"/>
      <w:lang w:val="fr-FR" w:bidi="ar-SA"/>
    </w:rPr>
  </w:style>
  <w:style w:type="character" w:customStyle="1" w:styleId="FootnoteTextChar">
    <w:name w:val="Footnote Text Char"/>
    <w:basedOn w:val="DefaultParagraphFont"/>
    <w:locked/>
    <w:rPr>
      <w:rFonts w:ascii="Arial" w:hAnsi="Arial" w:cs="Times New Roman"/>
      <w:sz w:val="16"/>
      <w:lang w:val="en-US" w:bidi="ar-SA"/>
    </w:rPr>
  </w:style>
  <w:style w:type="table" w:customStyle="1" w:styleId="TableGrid4">
    <w:name w:val="Table Grid4"/>
    <w:rPr>
      <w:snapToGrid w:val="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rPr>
      <w:snapToGrid w:val="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caj_76_EN.dotx</Template>
  <TotalTime>5</TotalTime>
  <Pages>5</Pages>
  <Words>1578</Words>
  <Characters>11274</Characters>
  <Application>Microsoft Office Word</Application>
  <DocSecurity>0</DocSecurity>
  <Lines>93</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CAJ/76/INF/3</vt:lpstr>
      <vt:lpstr>CAJ/76/INF/3</vt:lpstr>
    </vt:vector>
  </TitlesOfParts>
  <Company>UPOV</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CAJ/76/INF/3</dc:title>
  <dc:subject/>
  <dc:creator>SANCHEZ VIZCAINO GOMEZ Rosa Maria</dc:creator>
  <cp:keywords/>
  <dc:description/>
  <cp:lastModifiedBy>SANTOS Carla Marina</cp:lastModifiedBy>
  <cp:revision>3</cp:revision>
  <cp:lastPrinted>2019-09-05T11:29:00Z</cp:lastPrinted>
  <dcterms:created xsi:type="dcterms:W3CDTF">2019-09-06T07:50:00Z</dcterms:created>
  <dcterms:modified xsi:type="dcterms:W3CDTF">2019-09-20T15:00:00Z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ad500894-d086-403c-851a-470583d5753f</vt:lpwstr>
  </property>
</Properties>
</file>