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C03FC" w:rsidRPr="00652E2A" w14:paraId="1CA71009" w14:textId="77777777" w:rsidTr="001531DF">
        <w:tc>
          <w:tcPr>
            <w:tcW w:w="6522" w:type="dxa"/>
          </w:tcPr>
          <w:p w14:paraId="6B31EAB9" w14:textId="77777777" w:rsidR="003C03FC" w:rsidRPr="00652E2A" w:rsidRDefault="003C03FC" w:rsidP="001531DF">
            <w:pPr>
              <w:rPr>
                <w:lang w:val="de-DE"/>
              </w:rPr>
            </w:pPr>
            <w:bookmarkStart w:id="0" w:name="TitleOfDoc"/>
            <w:bookmarkEnd w:id="0"/>
            <w:r w:rsidRPr="00652E2A">
              <w:rPr>
                <w:lang w:val="de-DE"/>
              </w:rPr>
              <w:drawing>
                <wp:inline distT="0" distB="0" distL="0" distR="0" wp14:anchorId="1D1E3EC0" wp14:editId="2C5A063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506B051" w14:textId="77777777" w:rsidR="003C03FC" w:rsidRPr="00652E2A" w:rsidRDefault="003C03FC" w:rsidP="001531DF">
            <w:pPr>
              <w:pStyle w:val="Lettrine"/>
              <w:rPr>
                <w:lang w:val="de-DE"/>
              </w:rPr>
            </w:pPr>
            <w:r w:rsidRPr="00652E2A">
              <w:rPr>
                <w:lang w:val="de-DE"/>
              </w:rPr>
              <w:t>G</w:t>
            </w:r>
          </w:p>
        </w:tc>
      </w:tr>
      <w:tr w:rsidR="003C03FC" w:rsidRPr="00652E2A" w14:paraId="7670C5E6" w14:textId="77777777" w:rsidTr="001531DF">
        <w:trPr>
          <w:trHeight w:val="219"/>
        </w:trPr>
        <w:tc>
          <w:tcPr>
            <w:tcW w:w="6522" w:type="dxa"/>
          </w:tcPr>
          <w:p w14:paraId="501EDF71" w14:textId="77777777" w:rsidR="003C03FC" w:rsidRPr="00652E2A" w:rsidRDefault="003C03FC" w:rsidP="001531DF">
            <w:pPr>
              <w:pStyle w:val="upove"/>
              <w:rPr>
                <w:lang w:val="de-DE"/>
              </w:rPr>
            </w:pPr>
            <w:r w:rsidRPr="00652E2A">
              <w:rPr>
                <w:lang w:val="de-DE"/>
              </w:rPr>
              <w:t>Internationaler Verband zum Schutz von Pflanzenzüchtungen</w:t>
            </w:r>
          </w:p>
        </w:tc>
        <w:tc>
          <w:tcPr>
            <w:tcW w:w="3117" w:type="dxa"/>
          </w:tcPr>
          <w:p w14:paraId="4B6ED867" w14:textId="77777777" w:rsidR="003C03FC" w:rsidRPr="00652E2A" w:rsidRDefault="003C03FC" w:rsidP="001531DF">
            <w:pPr>
              <w:rPr>
                <w:lang w:val="de-DE"/>
              </w:rPr>
            </w:pPr>
          </w:p>
        </w:tc>
      </w:tr>
    </w:tbl>
    <w:p w14:paraId="5F650AA1" w14:textId="77777777" w:rsidR="003C03FC" w:rsidRPr="00652E2A" w:rsidRDefault="003C03FC" w:rsidP="003C03FC">
      <w:pPr>
        <w:rPr>
          <w:lang w:val="de-DE"/>
        </w:rPr>
      </w:pPr>
    </w:p>
    <w:p w14:paraId="4255A8EA" w14:textId="77777777" w:rsidR="003C03FC" w:rsidRPr="00652E2A" w:rsidRDefault="003C03FC" w:rsidP="003C03FC">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C03FC" w:rsidRPr="00652E2A" w14:paraId="25C1F69A" w14:textId="77777777" w:rsidTr="001531DF">
        <w:tc>
          <w:tcPr>
            <w:tcW w:w="6512" w:type="dxa"/>
          </w:tcPr>
          <w:p w14:paraId="6B3DFE75" w14:textId="77777777" w:rsidR="003C03FC" w:rsidRPr="00652E2A" w:rsidRDefault="003C03FC" w:rsidP="001531DF">
            <w:pPr>
              <w:pStyle w:val="Sessiontc"/>
              <w:spacing w:line="240" w:lineRule="auto"/>
              <w:rPr>
                <w:lang w:val="de-DE"/>
              </w:rPr>
            </w:pPr>
            <w:r w:rsidRPr="00652E2A">
              <w:rPr>
                <w:lang w:val="de-DE"/>
              </w:rPr>
              <w:t>Verwaltungs- und Rechtsausschuss</w:t>
            </w:r>
          </w:p>
          <w:p w14:paraId="4457CC75" w14:textId="77777777" w:rsidR="003C03FC" w:rsidRPr="00652E2A" w:rsidRDefault="003C03FC" w:rsidP="001531DF">
            <w:pPr>
              <w:pStyle w:val="Sessiontcplacedate"/>
              <w:rPr>
                <w:sz w:val="22"/>
                <w:lang w:val="de-DE"/>
              </w:rPr>
            </w:pPr>
            <w:r w:rsidRPr="00652E2A">
              <w:rPr>
                <w:lang w:val="de-DE"/>
              </w:rPr>
              <w:t>Sechsundsiebzigste Tagung</w:t>
            </w:r>
            <w:r w:rsidRPr="00652E2A">
              <w:rPr>
                <w:lang w:val="de-DE"/>
              </w:rPr>
              <w:br/>
              <w:t>Genf, 30. Oktober 2019</w:t>
            </w:r>
          </w:p>
        </w:tc>
        <w:tc>
          <w:tcPr>
            <w:tcW w:w="3127" w:type="dxa"/>
          </w:tcPr>
          <w:p w14:paraId="774B8B61" w14:textId="4ADBAA97" w:rsidR="003C03FC" w:rsidRPr="00652E2A" w:rsidRDefault="003C03FC" w:rsidP="001531DF">
            <w:pPr>
              <w:pStyle w:val="Doccode"/>
              <w:rPr>
                <w:lang w:val="de-DE"/>
              </w:rPr>
            </w:pPr>
            <w:r w:rsidRPr="00652E2A">
              <w:rPr>
                <w:lang w:val="de-DE"/>
              </w:rPr>
              <w:t>CAJ/76/5</w:t>
            </w:r>
          </w:p>
          <w:p w14:paraId="282EF124" w14:textId="7C004FEE" w:rsidR="003C03FC" w:rsidRPr="00652E2A" w:rsidRDefault="003C03FC" w:rsidP="001531DF">
            <w:pPr>
              <w:pStyle w:val="Docoriginal"/>
              <w:rPr>
                <w:lang w:val="de-DE"/>
              </w:rPr>
            </w:pPr>
            <w:r w:rsidRPr="00652E2A">
              <w:rPr>
                <w:lang w:val="de-DE"/>
              </w:rPr>
              <w:t>Original:</w:t>
            </w:r>
            <w:r w:rsidR="001531DF" w:rsidRPr="00652E2A">
              <w:rPr>
                <w:b w:val="0"/>
                <w:spacing w:val="0"/>
                <w:lang w:val="de-DE"/>
              </w:rPr>
              <w:t xml:space="preserve"> </w:t>
            </w:r>
            <w:r w:rsidRPr="00652E2A">
              <w:rPr>
                <w:b w:val="0"/>
                <w:spacing w:val="0"/>
                <w:lang w:val="de-DE"/>
              </w:rPr>
              <w:t>englisch</w:t>
            </w:r>
          </w:p>
          <w:p w14:paraId="2BE5B0F2" w14:textId="7215E8FC" w:rsidR="003C03FC" w:rsidRPr="00652E2A" w:rsidRDefault="003C03FC" w:rsidP="001531DF">
            <w:pPr>
              <w:pStyle w:val="Docoriginal"/>
              <w:rPr>
                <w:lang w:val="de-DE"/>
              </w:rPr>
            </w:pPr>
            <w:r w:rsidRPr="00652E2A">
              <w:rPr>
                <w:lang w:val="de-DE"/>
              </w:rPr>
              <w:t>Datum:</w:t>
            </w:r>
            <w:r w:rsidR="001531DF" w:rsidRPr="00652E2A">
              <w:rPr>
                <w:b w:val="0"/>
                <w:spacing w:val="0"/>
                <w:lang w:val="de-DE"/>
              </w:rPr>
              <w:t xml:space="preserve"> </w:t>
            </w:r>
            <w:r w:rsidR="00652E2A" w:rsidRPr="00652E2A">
              <w:rPr>
                <w:b w:val="0"/>
                <w:spacing w:val="0"/>
                <w:lang w:val="de-DE"/>
              </w:rPr>
              <w:t>23</w:t>
            </w:r>
            <w:r w:rsidRPr="00652E2A">
              <w:rPr>
                <w:b w:val="0"/>
                <w:spacing w:val="0"/>
                <w:lang w:val="de-DE"/>
              </w:rPr>
              <w:t>. Juli 2019</w:t>
            </w:r>
          </w:p>
        </w:tc>
      </w:tr>
    </w:tbl>
    <w:p w14:paraId="7566EBF7" w14:textId="77777777" w:rsidR="00B964D9" w:rsidRPr="00652E2A" w:rsidRDefault="00B964D9" w:rsidP="00B964D9">
      <w:pPr>
        <w:pStyle w:val="Titleofdoc0"/>
        <w:rPr>
          <w:lang w:val="de-DE"/>
        </w:rPr>
      </w:pPr>
      <w:r w:rsidRPr="00652E2A">
        <w:rPr>
          <w:lang w:val="de-DE"/>
        </w:rPr>
        <w:t>TGP-Dokumente</w:t>
      </w:r>
    </w:p>
    <w:p w14:paraId="08774FD4" w14:textId="3B394EDA" w:rsidR="00B964D9" w:rsidRPr="00652E2A" w:rsidRDefault="00B964D9" w:rsidP="00B964D9">
      <w:pPr>
        <w:pStyle w:val="preparedby1"/>
        <w:jc w:val="left"/>
        <w:rPr>
          <w:lang w:val="de-DE"/>
        </w:rPr>
      </w:pPr>
      <w:bookmarkStart w:id="1" w:name="Prepared"/>
      <w:bookmarkEnd w:id="1"/>
      <w:r w:rsidRPr="00652E2A">
        <w:rPr>
          <w:lang w:val="de-DE"/>
        </w:rPr>
        <w:t xml:space="preserve">vom </w:t>
      </w:r>
      <w:r w:rsidR="00CD390F" w:rsidRPr="00652E2A">
        <w:rPr>
          <w:lang w:val="de-DE"/>
        </w:rPr>
        <w:t>Verband</w:t>
      </w:r>
      <w:r w:rsidRPr="00652E2A">
        <w:rPr>
          <w:lang w:val="de-DE"/>
        </w:rPr>
        <w:t>sbüro erstelltes Dokument</w:t>
      </w:r>
    </w:p>
    <w:p w14:paraId="49F704ED" w14:textId="77777777" w:rsidR="003C03FC" w:rsidRPr="00652E2A" w:rsidRDefault="003C03FC" w:rsidP="003C03FC">
      <w:pPr>
        <w:pStyle w:val="Disclaimer"/>
        <w:rPr>
          <w:lang w:val="de-DE"/>
        </w:rPr>
      </w:pPr>
      <w:r w:rsidRPr="00652E2A">
        <w:rPr>
          <w:lang w:val="de-DE"/>
        </w:rPr>
        <w:t>Haftungsausschluss: dieses Dokument gibt nicht die Grundsätze oder eine Anleitung der UPOV wieder</w:t>
      </w:r>
    </w:p>
    <w:p w14:paraId="42C93368" w14:textId="77777777" w:rsidR="00B964D9" w:rsidRPr="00652E2A" w:rsidRDefault="00B964D9" w:rsidP="00B964D9">
      <w:pPr>
        <w:keepNext/>
        <w:outlineLvl w:val="0"/>
        <w:rPr>
          <w:caps/>
          <w:snapToGrid w:val="0"/>
          <w:lang w:val="de-DE"/>
        </w:rPr>
      </w:pPr>
      <w:bookmarkStart w:id="2" w:name="_Toc15647497"/>
      <w:r w:rsidRPr="00652E2A">
        <w:rPr>
          <w:caps/>
          <w:snapToGrid w:val="0"/>
          <w:lang w:val="de-DE"/>
        </w:rPr>
        <w:t>ZUSAMMENFASSUNG</w:t>
      </w:r>
      <w:bookmarkEnd w:id="2"/>
    </w:p>
    <w:p w14:paraId="3BC5FE90" w14:textId="77777777" w:rsidR="00B964D9" w:rsidRPr="00652E2A" w:rsidRDefault="00B964D9" w:rsidP="00273B07">
      <w:pPr>
        <w:rPr>
          <w:snapToGrid w:val="0"/>
          <w:lang w:val="de-DE"/>
        </w:rPr>
      </w:pPr>
    </w:p>
    <w:p w14:paraId="35C3B5BA" w14:textId="7B5BCF63" w:rsidR="00B964D9" w:rsidRPr="00652E2A" w:rsidRDefault="00273B07" w:rsidP="005C468C">
      <w:pPr>
        <w:rPr>
          <w:lang w:val="de-DE"/>
        </w:rPr>
      </w:pPr>
      <w:r w:rsidRPr="00652E2A">
        <w:rPr>
          <w:snapToGrid w:val="0"/>
          <w:lang w:val="de-DE"/>
        </w:rPr>
        <w:fldChar w:fldCharType="begin"/>
      </w:r>
      <w:r w:rsidRPr="00652E2A">
        <w:rPr>
          <w:snapToGrid w:val="0"/>
          <w:lang w:val="de-DE"/>
        </w:rPr>
        <w:instrText xml:space="preserve"> AUTONUM  </w:instrText>
      </w:r>
      <w:r w:rsidRPr="00652E2A">
        <w:rPr>
          <w:snapToGrid w:val="0"/>
          <w:lang w:val="de-DE"/>
        </w:rPr>
        <w:fldChar w:fldCharType="end"/>
      </w:r>
      <w:r w:rsidRPr="00652E2A">
        <w:rPr>
          <w:snapToGrid w:val="0"/>
          <w:lang w:val="de-DE"/>
        </w:rPr>
        <w:tab/>
      </w:r>
      <w:r w:rsidR="00B96241" w:rsidRPr="00652E2A">
        <w:rPr>
          <w:lang w:val="de-DE"/>
        </w:rPr>
        <w:t xml:space="preserve">Zweck </w:t>
      </w:r>
      <w:r w:rsidR="005D72D0" w:rsidRPr="00652E2A">
        <w:rPr>
          <w:lang w:val="de-DE"/>
        </w:rPr>
        <w:t>dieses Dokuments</w:t>
      </w:r>
      <w:r w:rsidR="00B96241" w:rsidRPr="00652E2A">
        <w:rPr>
          <w:lang w:val="de-DE"/>
        </w:rPr>
        <w:t xml:space="preserve"> ist es, über die Entwicklungen betreffend TGP-Dokumente zu berichten und Informationen zu </w:t>
      </w:r>
      <w:r w:rsidR="0097710B" w:rsidRPr="00652E2A">
        <w:rPr>
          <w:lang w:val="de-DE"/>
        </w:rPr>
        <w:t>erteilen</w:t>
      </w:r>
      <w:r w:rsidR="00B96241" w:rsidRPr="00652E2A">
        <w:rPr>
          <w:lang w:val="de-DE"/>
        </w:rPr>
        <w:t xml:space="preserve">, um den CAJ bei </w:t>
      </w:r>
      <w:r w:rsidR="002A316E" w:rsidRPr="00652E2A">
        <w:rPr>
          <w:lang w:val="de-DE"/>
        </w:rPr>
        <w:t>seiner</w:t>
      </w:r>
      <w:r w:rsidR="00B96241" w:rsidRPr="00652E2A">
        <w:rPr>
          <w:lang w:val="de-DE"/>
        </w:rPr>
        <w:t xml:space="preserve"> Prüfung</w:t>
      </w:r>
      <w:r w:rsidR="002A316E" w:rsidRPr="00652E2A">
        <w:rPr>
          <w:lang w:val="de-DE"/>
        </w:rPr>
        <w:t xml:space="preserve"> der</w:t>
      </w:r>
      <w:r w:rsidR="00AC3347" w:rsidRPr="00652E2A">
        <w:rPr>
          <w:lang w:val="de-DE"/>
        </w:rPr>
        <w:t xml:space="preserve"> </w:t>
      </w:r>
      <w:r w:rsidR="00F255F7" w:rsidRPr="00652E2A">
        <w:rPr>
          <w:lang w:val="de-DE"/>
        </w:rPr>
        <w:t>folgende</w:t>
      </w:r>
      <w:r w:rsidR="002A316E" w:rsidRPr="00652E2A">
        <w:rPr>
          <w:lang w:val="de-DE"/>
        </w:rPr>
        <w:t>n</w:t>
      </w:r>
      <w:r w:rsidR="00F255F7" w:rsidRPr="00652E2A">
        <w:rPr>
          <w:lang w:val="de-DE"/>
        </w:rPr>
        <w:t xml:space="preserve"> Dokumente </w:t>
      </w:r>
      <w:r w:rsidR="005C468C" w:rsidRPr="00652E2A">
        <w:rPr>
          <w:lang w:val="de-DE"/>
        </w:rPr>
        <w:t xml:space="preserve">als Grundlage für </w:t>
      </w:r>
      <w:r w:rsidR="00AC3347" w:rsidRPr="00652E2A">
        <w:rPr>
          <w:lang w:val="de-DE"/>
        </w:rPr>
        <w:t xml:space="preserve">deren </w:t>
      </w:r>
      <w:r w:rsidR="002A316E" w:rsidRPr="00652E2A">
        <w:rPr>
          <w:lang w:val="de-DE"/>
        </w:rPr>
        <w:t>Annahme</w:t>
      </w:r>
      <w:r w:rsidR="005C468C" w:rsidRPr="00652E2A">
        <w:rPr>
          <w:lang w:val="de-DE"/>
        </w:rPr>
        <w:t xml:space="preserve"> durch den Rat</w:t>
      </w:r>
      <w:r w:rsidRPr="00652E2A">
        <w:rPr>
          <w:b/>
          <w:lang w:val="de-DE"/>
        </w:rPr>
        <w:t xml:space="preserve"> </w:t>
      </w:r>
      <w:r w:rsidR="005C468C" w:rsidRPr="00652E2A">
        <w:rPr>
          <w:lang w:val="de-DE"/>
        </w:rPr>
        <w:t>auf seiner dreiundfünfzigsten ordentlichen Tagung am 1. November 2019 in Genf zu unterstützen</w:t>
      </w:r>
      <w:r w:rsidR="004C3068" w:rsidRPr="00652E2A">
        <w:rPr>
          <w:lang w:val="de-DE"/>
        </w:rPr>
        <w:t xml:space="preserve">: </w:t>
      </w:r>
    </w:p>
    <w:p w14:paraId="301F6B20" w14:textId="77777777" w:rsidR="00B964D9" w:rsidRPr="00652E2A" w:rsidRDefault="00B964D9" w:rsidP="00273B07">
      <w:pPr>
        <w:rPr>
          <w:lang w:val="de-DE"/>
        </w:rPr>
      </w:pPr>
    </w:p>
    <w:p w14:paraId="405D7A33" w14:textId="100B73CB" w:rsidR="00EA7E2E" w:rsidRPr="00652E2A" w:rsidRDefault="00EA7E2E" w:rsidP="00EA7E2E">
      <w:pPr>
        <w:pStyle w:val="ListParagraph"/>
        <w:numPr>
          <w:ilvl w:val="0"/>
          <w:numId w:val="16"/>
        </w:numPr>
        <w:tabs>
          <w:tab w:val="left" w:pos="1701"/>
        </w:tabs>
        <w:ind w:left="1134" w:hanging="567"/>
        <w:rPr>
          <w:lang w:val="de-DE"/>
        </w:rPr>
      </w:pPr>
      <w:r w:rsidRPr="00652E2A">
        <w:rPr>
          <w:lang w:val="de-DE"/>
        </w:rPr>
        <w:t>TGP/7/7 Draft 1</w:t>
      </w:r>
      <w:r w:rsidR="00C20397" w:rsidRPr="00652E2A">
        <w:rPr>
          <w:lang w:val="de-DE"/>
        </w:rPr>
        <w:t xml:space="preserve"> </w:t>
      </w:r>
      <w:r w:rsidR="001E2D36" w:rsidRPr="00652E2A">
        <w:rPr>
          <w:lang w:val="de-DE"/>
        </w:rPr>
        <w:t>„</w:t>
      </w:r>
      <w:r w:rsidR="00F94B70" w:rsidRPr="00652E2A">
        <w:rPr>
          <w:lang w:val="de-DE"/>
        </w:rPr>
        <w:t>Erstellung von Prüfungsrichtlinien</w:t>
      </w:r>
      <w:r w:rsidR="001E2D36" w:rsidRPr="00652E2A">
        <w:rPr>
          <w:rFonts w:cs="Arial"/>
          <w:lang w:val="de-DE"/>
        </w:rPr>
        <w:t>“</w:t>
      </w:r>
      <w:r w:rsidRPr="00652E2A">
        <w:rPr>
          <w:lang w:val="de-DE"/>
        </w:rPr>
        <w:t>;</w:t>
      </w:r>
    </w:p>
    <w:p w14:paraId="5D25CC9E" w14:textId="58155C37" w:rsidR="00EA7E2E" w:rsidRPr="00652E2A" w:rsidRDefault="00F94B70" w:rsidP="00EA7E2E">
      <w:pPr>
        <w:pStyle w:val="ListParagraph"/>
        <w:numPr>
          <w:ilvl w:val="0"/>
          <w:numId w:val="16"/>
        </w:numPr>
        <w:tabs>
          <w:tab w:val="left" w:pos="1701"/>
        </w:tabs>
        <w:ind w:left="1134" w:hanging="567"/>
        <w:rPr>
          <w:lang w:val="de-DE"/>
        </w:rPr>
      </w:pPr>
      <w:r w:rsidRPr="00652E2A">
        <w:rPr>
          <w:lang w:val="de-DE"/>
        </w:rPr>
        <w:t>TGP/8/4</w:t>
      </w:r>
      <w:r w:rsidR="002A316E" w:rsidRPr="00652E2A">
        <w:rPr>
          <w:lang w:val="de-DE"/>
        </w:rPr>
        <w:t xml:space="preserve"> </w:t>
      </w:r>
      <w:r w:rsidRPr="00652E2A">
        <w:rPr>
          <w:lang w:val="de-DE"/>
        </w:rPr>
        <w:t>Draft 1</w:t>
      </w:r>
      <w:r w:rsidR="00C20397" w:rsidRPr="00652E2A">
        <w:rPr>
          <w:lang w:val="de-DE"/>
        </w:rPr>
        <w:t xml:space="preserve"> </w:t>
      </w:r>
      <w:r w:rsidR="001E2D36" w:rsidRPr="00652E2A">
        <w:rPr>
          <w:lang w:val="de-DE"/>
        </w:rPr>
        <w:t>„</w:t>
      </w:r>
      <w:r w:rsidR="001B4EBC" w:rsidRPr="00652E2A">
        <w:rPr>
          <w:lang w:val="de-DE"/>
        </w:rPr>
        <w:t xml:space="preserve">Prüfungsanlage und Verfahren für die </w:t>
      </w:r>
      <w:r w:rsidR="00FF0EFF" w:rsidRPr="00652E2A">
        <w:rPr>
          <w:lang w:val="de-DE"/>
        </w:rPr>
        <w:t>Prüfung der Unterscheidbarkeit,</w:t>
      </w:r>
      <w:r w:rsidR="00E70150" w:rsidRPr="00652E2A">
        <w:rPr>
          <w:lang w:val="de-DE"/>
        </w:rPr>
        <w:t xml:space="preserve"> der </w:t>
      </w:r>
      <w:r w:rsidR="00FF0EFF" w:rsidRPr="00652E2A">
        <w:rPr>
          <w:lang w:val="de-DE"/>
        </w:rPr>
        <w:t xml:space="preserve">Homogenität und </w:t>
      </w:r>
      <w:r w:rsidR="00E70150" w:rsidRPr="00652E2A">
        <w:rPr>
          <w:lang w:val="de-DE"/>
        </w:rPr>
        <w:t xml:space="preserve">der </w:t>
      </w:r>
      <w:r w:rsidR="00FF0EFF" w:rsidRPr="00652E2A">
        <w:rPr>
          <w:lang w:val="de-DE"/>
        </w:rPr>
        <w:t>Beständigkeit</w:t>
      </w:r>
      <w:r w:rsidR="001E2D36" w:rsidRPr="00652E2A">
        <w:rPr>
          <w:lang w:val="de-DE"/>
        </w:rPr>
        <w:t>“</w:t>
      </w:r>
      <w:r w:rsidR="001B4EBC" w:rsidRPr="00652E2A">
        <w:rPr>
          <w:lang w:val="de-DE"/>
        </w:rPr>
        <w:t xml:space="preserve"> </w:t>
      </w:r>
    </w:p>
    <w:p w14:paraId="0E27BE4A" w14:textId="6F7A17B3" w:rsidR="00EA7E2E" w:rsidRPr="00652E2A" w:rsidRDefault="00EA7E2E" w:rsidP="00EA7E2E">
      <w:pPr>
        <w:pStyle w:val="ListParagraph"/>
        <w:numPr>
          <w:ilvl w:val="0"/>
          <w:numId w:val="16"/>
        </w:numPr>
        <w:tabs>
          <w:tab w:val="left" w:pos="1701"/>
        </w:tabs>
        <w:ind w:left="1134" w:hanging="567"/>
        <w:rPr>
          <w:lang w:val="de-DE"/>
        </w:rPr>
      </w:pPr>
      <w:r w:rsidRPr="00652E2A">
        <w:rPr>
          <w:lang w:val="de-DE"/>
        </w:rPr>
        <w:t>TGP/10/2 Draft 1</w:t>
      </w:r>
      <w:r w:rsidR="00C20397" w:rsidRPr="00652E2A">
        <w:rPr>
          <w:lang w:val="de-DE"/>
        </w:rPr>
        <w:t xml:space="preserve"> </w:t>
      </w:r>
      <w:r w:rsidR="001E2D36" w:rsidRPr="00652E2A">
        <w:rPr>
          <w:lang w:val="de-DE"/>
        </w:rPr>
        <w:t>„</w:t>
      </w:r>
      <w:r w:rsidR="0067761F" w:rsidRPr="00652E2A">
        <w:rPr>
          <w:lang w:val="de-DE"/>
        </w:rPr>
        <w:t>Prüfung</w:t>
      </w:r>
      <w:r w:rsidR="001B4EBC" w:rsidRPr="00652E2A">
        <w:rPr>
          <w:lang w:val="de-DE"/>
        </w:rPr>
        <w:t xml:space="preserve"> der </w:t>
      </w:r>
      <w:r w:rsidR="00204E21" w:rsidRPr="00652E2A">
        <w:rPr>
          <w:lang w:val="de-DE"/>
        </w:rPr>
        <w:t>Homogenität</w:t>
      </w:r>
      <w:r w:rsidR="001E2D36" w:rsidRPr="00652E2A">
        <w:rPr>
          <w:lang w:val="de-DE"/>
        </w:rPr>
        <w:t>“</w:t>
      </w:r>
    </w:p>
    <w:p w14:paraId="25BBDE26" w14:textId="02F14334" w:rsidR="00EA7E2E" w:rsidRPr="00652E2A" w:rsidRDefault="00F94B70" w:rsidP="009F1998">
      <w:pPr>
        <w:pStyle w:val="ListParagraph"/>
        <w:numPr>
          <w:ilvl w:val="0"/>
          <w:numId w:val="16"/>
        </w:numPr>
        <w:tabs>
          <w:tab w:val="left" w:pos="1701"/>
        </w:tabs>
        <w:ind w:left="1134" w:hanging="567"/>
        <w:rPr>
          <w:lang w:val="de-DE"/>
        </w:rPr>
      </w:pPr>
      <w:r w:rsidRPr="00652E2A">
        <w:rPr>
          <w:lang w:val="de-DE"/>
        </w:rPr>
        <w:t>TGP/14/4 Draft 1</w:t>
      </w:r>
      <w:r w:rsidR="00C20397" w:rsidRPr="00652E2A">
        <w:rPr>
          <w:lang w:val="de-DE"/>
        </w:rPr>
        <w:t xml:space="preserve"> </w:t>
      </w:r>
      <w:r w:rsidR="001E2D36" w:rsidRPr="00652E2A">
        <w:rPr>
          <w:lang w:val="de-DE"/>
        </w:rPr>
        <w:t>„</w:t>
      </w:r>
      <w:r w:rsidRPr="00652E2A">
        <w:rPr>
          <w:lang w:val="de-DE"/>
        </w:rPr>
        <w:t>Glossar der in den UPOV-Dokumenten verwendeten Begriffe</w:t>
      </w:r>
      <w:r w:rsidR="001E2D36" w:rsidRPr="00652E2A">
        <w:rPr>
          <w:rFonts w:cs="Arial"/>
          <w:lang w:val="de-DE"/>
        </w:rPr>
        <w:t>“</w:t>
      </w:r>
    </w:p>
    <w:p w14:paraId="3346134D" w14:textId="31F4170D" w:rsidR="00EA7E2E" w:rsidRPr="00652E2A" w:rsidRDefault="00F94B70" w:rsidP="00F94B70">
      <w:pPr>
        <w:pStyle w:val="ListParagraph"/>
        <w:numPr>
          <w:ilvl w:val="0"/>
          <w:numId w:val="16"/>
        </w:numPr>
        <w:tabs>
          <w:tab w:val="left" w:pos="1701"/>
        </w:tabs>
        <w:ind w:left="1134" w:hanging="567"/>
        <w:rPr>
          <w:lang w:val="de-DE"/>
        </w:rPr>
      </w:pPr>
      <w:r w:rsidRPr="00652E2A">
        <w:rPr>
          <w:lang w:val="de-DE"/>
        </w:rPr>
        <w:t>TGP/15/</w:t>
      </w:r>
      <w:r w:rsidR="00176611">
        <w:rPr>
          <w:lang w:val="de-DE"/>
        </w:rPr>
        <w:t>2 Draft 2</w:t>
      </w:r>
      <w:r w:rsidR="00C20397" w:rsidRPr="00652E2A">
        <w:rPr>
          <w:lang w:val="de-DE"/>
        </w:rPr>
        <w:t xml:space="preserve"> </w:t>
      </w:r>
      <w:r w:rsidR="001E2D36" w:rsidRPr="00652E2A">
        <w:rPr>
          <w:lang w:val="de-DE"/>
        </w:rPr>
        <w:t>„</w:t>
      </w:r>
      <w:r w:rsidRPr="00652E2A">
        <w:rPr>
          <w:lang w:val="de-DE"/>
        </w:rPr>
        <w:t xml:space="preserve">Anleitung zur Verwendung biochemischer und molekularer Marker bei der Prüfung der </w:t>
      </w:r>
      <w:r w:rsidR="00FA1A33" w:rsidRPr="00652E2A">
        <w:rPr>
          <w:lang w:val="de-DE"/>
        </w:rPr>
        <w:t xml:space="preserve">Unterscheidbarkeit, Homogenität und Beständigkeit </w:t>
      </w:r>
      <w:r w:rsidRPr="00652E2A">
        <w:rPr>
          <w:lang w:val="de-DE"/>
        </w:rPr>
        <w:t>(DUS)</w:t>
      </w:r>
      <w:r w:rsidR="001E2D36" w:rsidRPr="00652E2A">
        <w:rPr>
          <w:rFonts w:cs="Arial"/>
          <w:lang w:val="de-DE"/>
        </w:rPr>
        <w:t>“</w:t>
      </w:r>
    </w:p>
    <w:p w14:paraId="225F2CFE" w14:textId="431F2F77" w:rsidR="00EA7E2E" w:rsidRPr="00652E2A" w:rsidRDefault="00F94B70" w:rsidP="00EA7E2E">
      <w:pPr>
        <w:pStyle w:val="ListParagraph"/>
        <w:numPr>
          <w:ilvl w:val="0"/>
          <w:numId w:val="16"/>
        </w:numPr>
        <w:tabs>
          <w:tab w:val="left" w:pos="1701"/>
        </w:tabs>
        <w:ind w:left="1134" w:hanging="567"/>
        <w:rPr>
          <w:lang w:val="de-DE"/>
        </w:rPr>
      </w:pPr>
      <w:r w:rsidRPr="00652E2A">
        <w:rPr>
          <w:lang w:val="de-DE"/>
        </w:rPr>
        <w:t>TGP/0/11 Draft 1</w:t>
      </w:r>
      <w:r w:rsidR="00C20397" w:rsidRPr="00652E2A">
        <w:rPr>
          <w:lang w:val="de-DE"/>
        </w:rPr>
        <w:t xml:space="preserve"> </w:t>
      </w:r>
      <w:r w:rsidR="001E2D36" w:rsidRPr="00652E2A">
        <w:rPr>
          <w:lang w:val="de-DE"/>
        </w:rPr>
        <w:t>„</w:t>
      </w:r>
      <w:r w:rsidRPr="00652E2A">
        <w:rPr>
          <w:rFonts w:cs="Arial"/>
          <w:lang w:val="de-DE"/>
        </w:rPr>
        <w:t>Liste der TGP-Dokumente und Datum der jüngsten Ausgabe</w:t>
      </w:r>
      <w:r w:rsidR="001E2D36" w:rsidRPr="00652E2A">
        <w:rPr>
          <w:rFonts w:cs="Arial"/>
          <w:lang w:val="de-DE"/>
        </w:rPr>
        <w:t>“</w:t>
      </w:r>
    </w:p>
    <w:p w14:paraId="384DD2B5" w14:textId="77777777" w:rsidR="00B964D9" w:rsidRPr="00652E2A" w:rsidRDefault="00B964D9" w:rsidP="00273B07">
      <w:pPr>
        <w:rPr>
          <w:lang w:val="de-DE"/>
        </w:rPr>
      </w:pPr>
    </w:p>
    <w:p w14:paraId="1C9939B4" w14:textId="107C6E76" w:rsidR="00B964D9" w:rsidRPr="00652E2A" w:rsidRDefault="00273B07" w:rsidP="00273B07">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bookmarkStart w:id="3" w:name="_Ref13574983"/>
      <w:r w:rsidR="00FD7926" w:rsidRPr="00652E2A">
        <w:rPr>
          <w:lang w:val="de-DE"/>
        </w:rPr>
        <w:t>Unter Berücksichtigung</w:t>
      </w:r>
      <w:r w:rsidR="00802DA2" w:rsidRPr="00652E2A">
        <w:rPr>
          <w:lang w:val="de-DE"/>
        </w:rPr>
        <w:t xml:space="preserve"> der </w:t>
      </w:r>
      <w:r w:rsidR="00FD7926" w:rsidRPr="00652E2A">
        <w:rPr>
          <w:lang w:val="de-DE"/>
        </w:rPr>
        <w:t>Entschließungen</w:t>
      </w:r>
      <w:r w:rsidR="00802DA2" w:rsidRPr="00652E2A">
        <w:rPr>
          <w:lang w:val="de-DE"/>
        </w:rPr>
        <w:t xml:space="preserve"> des </w:t>
      </w:r>
      <w:r w:rsidR="00D06894" w:rsidRPr="00652E2A">
        <w:rPr>
          <w:lang w:val="de-DE"/>
        </w:rPr>
        <w:t>Technischen Ausschusses</w:t>
      </w:r>
      <w:r w:rsidR="00802DA2" w:rsidRPr="00652E2A">
        <w:rPr>
          <w:lang w:val="de-DE"/>
        </w:rPr>
        <w:t xml:space="preserve"> auf seiner fünfundfünfzigsten Tagung</w:t>
      </w:r>
      <w:r w:rsidR="006F6881" w:rsidRPr="00652E2A">
        <w:rPr>
          <w:rStyle w:val="FootnoteReference"/>
          <w:lang w:val="de-DE"/>
        </w:rPr>
        <w:footnoteReference w:id="2"/>
      </w:r>
      <w:bookmarkEnd w:id="3"/>
      <w:r w:rsidR="006F6881" w:rsidRPr="00652E2A">
        <w:rPr>
          <w:lang w:val="de-DE"/>
        </w:rPr>
        <w:t xml:space="preserve"> </w:t>
      </w:r>
      <w:r w:rsidR="00025F75" w:rsidRPr="00652E2A">
        <w:rPr>
          <w:lang w:val="de-DE"/>
        </w:rPr>
        <w:t>wird der</w:t>
      </w:r>
      <w:r w:rsidRPr="00652E2A">
        <w:rPr>
          <w:lang w:val="de-DE"/>
        </w:rPr>
        <w:t xml:space="preserve"> CAJ </w:t>
      </w:r>
      <w:r w:rsidR="00025F75" w:rsidRPr="00652E2A">
        <w:rPr>
          <w:lang w:val="de-DE"/>
        </w:rPr>
        <w:t>ersucht</w:t>
      </w:r>
      <w:r w:rsidRPr="00652E2A">
        <w:rPr>
          <w:lang w:val="de-DE"/>
        </w:rPr>
        <w:t>:</w:t>
      </w:r>
    </w:p>
    <w:p w14:paraId="3D4780F6" w14:textId="77777777" w:rsidR="00B964D9" w:rsidRPr="00652E2A" w:rsidRDefault="00B964D9" w:rsidP="00273B07">
      <w:pPr>
        <w:rPr>
          <w:lang w:val="de-DE"/>
        </w:rPr>
      </w:pPr>
    </w:p>
    <w:p w14:paraId="7B2B3DA6" w14:textId="185E9455" w:rsidR="00B964D9" w:rsidRPr="00652E2A" w:rsidRDefault="00273B07" w:rsidP="00273B07">
      <w:pPr>
        <w:tabs>
          <w:tab w:val="left" w:pos="1134"/>
        </w:tabs>
        <w:ind w:firstLine="567"/>
        <w:rPr>
          <w:lang w:val="de-DE"/>
        </w:rPr>
      </w:pPr>
      <w:r w:rsidRPr="00652E2A">
        <w:rPr>
          <w:lang w:val="de-DE"/>
        </w:rPr>
        <w:t>a)</w:t>
      </w:r>
      <w:r w:rsidRPr="00652E2A">
        <w:rPr>
          <w:lang w:val="de-DE"/>
        </w:rPr>
        <w:tab/>
      </w:r>
      <w:r w:rsidR="00B2757B" w:rsidRPr="00652E2A">
        <w:rPr>
          <w:lang w:val="de-DE"/>
        </w:rPr>
        <w:t xml:space="preserve">die Überarbeitung </w:t>
      </w:r>
      <w:r w:rsidR="007301FF" w:rsidRPr="00652E2A">
        <w:rPr>
          <w:lang w:val="de-DE"/>
        </w:rPr>
        <w:t>von Dokument</w:t>
      </w:r>
      <w:r w:rsidR="00B2757B" w:rsidRPr="00652E2A">
        <w:rPr>
          <w:lang w:val="de-DE"/>
        </w:rPr>
        <w:t xml:space="preserve"> TGP/7</w:t>
      </w:r>
      <w:r w:rsidR="00C20397" w:rsidRPr="00652E2A">
        <w:rPr>
          <w:lang w:val="de-DE"/>
        </w:rPr>
        <w:t xml:space="preserve"> </w:t>
      </w:r>
      <w:r w:rsidR="001E2D36" w:rsidRPr="00652E2A">
        <w:rPr>
          <w:lang w:val="de-DE"/>
        </w:rPr>
        <w:t>„</w:t>
      </w:r>
      <w:r w:rsidR="00B2757B" w:rsidRPr="00652E2A">
        <w:rPr>
          <w:lang w:val="de-DE"/>
        </w:rPr>
        <w:t>Erstellung von Prüfungsrichtlinien</w:t>
      </w:r>
      <w:r w:rsidR="001E2D36" w:rsidRPr="00652E2A">
        <w:rPr>
          <w:lang w:val="de-DE"/>
        </w:rPr>
        <w:t>“</w:t>
      </w:r>
      <w:r w:rsidR="00B2757B" w:rsidRPr="00652E2A">
        <w:rPr>
          <w:lang w:val="de-DE"/>
        </w:rPr>
        <w:t xml:space="preserve"> (Dokument TGP/7/7)</w:t>
      </w:r>
      <w:r w:rsidR="00407840" w:rsidRPr="00652E2A">
        <w:rPr>
          <w:lang w:val="de-DE"/>
        </w:rPr>
        <w:t xml:space="preserve"> auf der Grundlage</w:t>
      </w:r>
      <w:r w:rsidR="00B2757B" w:rsidRPr="00652E2A">
        <w:rPr>
          <w:lang w:val="de-DE"/>
        </w:rPr>
        <w:t xml:space="preserve"> von Dokument</w:t>
      </w:r>
      <w:r w:rsidR="00027ED8" w:rsidRPr="00652E2A">
        <w:rPr>
          <w:lang w:val="de-DE"/>
        </w:rPr>
        <w:t xml:space="preserve"> TGP/7/7 </w:t>
      </w:r>
      <w:r w:rsidR="00DB4285" w:rsidRPr="00652E2A">
        <w:rPr>
          <w:lang w:val="de-DE"/>
        </w:rPr>
        <w:t>Draft</w:t>
      </w:r>
      <w:r w:rsidR="00027ED8" w:rsidRPr="00652E2A">
        <w:rPr>
          <w:lang w:val="de-DE"/>
        </w:rPr>
        <w:t> 1</w:t>
      </w:r>
      <w:r w:rsidR="00B446D1" w:rsidRPr="00652E2A">
        <w:rPr>
          <w:lang w:val="de-DE"/>
        </w:rPr>
        <w:t xml:space="preserve"> zu prüfen</w:t>
      </w:r>
      <w:r w:rsidRPr="00652E2A">
        <w:rPr>
          <w:lang w:val="de-DE"/>
        </w:rPr>
        <w:t>;</w:t>
      </w:r>
    </w:p>
    <w:p w14:paraId="44E8F2CE" w14:textId="77777777" w:rsidR="00B964D9" w:rsidRPr="00652E2A" w:rsidRDefault="00B964D9" w:rsidP="00273B07">
      <w:pPr>
        <w:tabs>
          <w:tab w:val="left" w:pos="1134"/>
        </w:tabs>
        <w:ind w:firstLine="567"/>
        <w:rPr>
          <w:lang w:val="de-DE"/>
        </w:rPr>
      </w:pPr>
    </w:p>
    <w:p w14:paraId="37B79916" w14:textId="65C71C9C" w:rsidR="00B964D9" w:rsidRPr="00652E2A" w:rsidRDefault="00273B07" w:rsidP="00273B07">
      <w:pPr>
        <w:tabs>
          <w:tab w:val="left" w:pos="1134"/>
        </w:tabs>
        <w:ind w:firstLine="567"/>
        <w:rPr>
          <w:lang w:val="de-DE"/>
        </w:rPr>
      </w:pPr>
      <w:r w:rsidRPr="00652E2A">
        <w:rPr>
          <w:lang w:val="de-DE"/>
        </w:rPr>
        <w:t>b)</w:t>
      </w:r>
      <w:r w:rsidRPr="00652E2A">
        <w:rPr>
          <w:lang w:val="de-DE"/>
        </w:rPr>
        <w:tab/>
      </w:r>
      <w:r w:rsidR="001A042A" w:rsidRPr="00652E2A">
        <w:rPr>
          <w:lang w:val="de-DE"/>
        </w:rPr>
        <w:t xml:space="preserve">die Überarbeitung </w:t>
      </w:r>
      <w:r w:rsidR="007301FF" w:rsidRPr="00652E2A">
        <w:rPr>
          <w:lang w:val="de-DE"/>
        </w:rPr>
        <w:t>von Dokument</w:t>
      </w:r>
      <w:r w:rsidR="001A042A" w:rsidRPr="00652E2A">
        <w:rPr>
          <w:lang w:val="de-DE"/>
        </w:rPr>
        <w:t xml:space="preserve"> TGP/8</w:t>
      </w:r>
      <w:r w:rsidR="00C20397" w:rsidRPr="00652E2A">
        <w:rPr>
          <w:lang w:val="de-DE"/>
        </w:rPr>
        <w:t xml:space="preserve"> </w:t>
      </w:r>
      <w:r w:rsidR="001E2D36" w:rsidRPr="00652E2A">
        <w:rPr>
          <w:lang w:val="de-DE"/>
        </w:rPr>
        <w:t>„</w:t>
      </w:r>
      <w:r w:rsidR="001A042A" w:rsidRPr="00652E2A">
        <w:rPr>
          <w:lang w:val="de-DE"/>
        </w:rPr>
        <w:t xml:space="preserve">Prüfungsanlage und Verfahren für die </w:t>
      </w:r>
      <w:r w:rsidR="00FF0EFF" w:rsidRPr="00652E2A">
        <w:rPr>
          <w:lang w:val="de-DE"/>
        </w:rPr>
        <w:t>Prüfung der Unterscheidbarkeit, Homogenität und Beständigkeit</w:t>
      </w:r>
      <w:r w:rsidR="001E2D36" w:rsidRPr="00652E2A">
        <w:rPr>
          <w:lang w:val="de-DE"/>
        </w:rPr>
        <w:t>“</w:t>
      </w:r>
      <w:r w:rsidR="001A042A" w:rsidRPr="00652E2A">
        <w:rPr>
          <w:lang w:val="de-DE"/>
        </w:rPr>
        <w:t xml:space="preserve"> </w:t>
      </w:r>
      <w:r w:rsidR="00407840" w:rsidRPr="00652E2A">
        <w:rPr>
          <w:lang w:val="de-DE"/>
        </w:rPr>
        <w:t xml:space="preserve">auf der Grundlage von Dokument TGP/8/4 </w:t>
      </w:r>
      <w:r w:rsidR="00DB4285" w:rsidRPr="00652E2A">
        <w:rPr>
          <w:lang w:val="de-DE"/>
        </w:rPr>
        <w:t>Draft</w:t>
      </w:r>
      <w:r w:rsidR="00407840" w:rsidRPr="00652E2A">
        <w:rPr>
          <w:lang w:val="de-DE"/>
        </w:rPr>
        <w:t xml:space="preserve"> 1 </w:t>
      </w:r>
      <w:r w:rsidR="001A042A" w:rsidRPr="00652E2A">
        <w:rPr>
          <w:lang w:val="de-DE"/>
        </w:rPr>
        <w:t>zu prüfen</w:t>
      </w:r>
      <w:r w:rsidRPr="00652E2A">
        <w:rPr>
          <w:lang w:val="de-DE"/>
        </w:rPr>
        <w:t>;</w:t>
      </w:r>
    </w:p>
    <w:p w14:paraId="1978A913" w14:textId="77777777" w:rsidR="00B964D9" w:rsidRPr="00652E2A" w:rsidRDefault="00B964D9" w:rsidP="002E39F3">
      <w:pPr>
        <w:tabs>
          <w:tab w:val="left" w:pos="1134"/>
        </w:tabs>
        <w:ind w:firstLine="567"/>
        <w:rPr>
          <w:lang w:val="de-DE"/>
        </w:rPr>
      </w:pPr>
    </w:p>
    <w:p w14:paraId="44FB0DB3" w14:textId="60237B1E" w:rsidR="00B964D9" w:rsidRPr="00652E2A" w:rsidRDefault="002E39F3" w:rsidP="002E39F3">
      <w:pPr>
        <w:tabs>
          <w:tab w:val="left" w:pos="1134"/>
        </w:tabs>
        <w:ind w:firstLine="567"/>
        <w:rPr>
          <w:lang w:val="de-DE"/>
        </w:rPr>
      </w:pPr>
      <w:r w:rsidRPr="00652E2A">
        <w:rPr>
          <w:lang w:val="de-DE"/>
        </w:rPr>
        <w:t>c)</w:t>
      </w:r>
      <w:r w:rsidRPr="00652E2A">
        <w:rPr>
          <w:lang w:val="de-DE"/>
        </w:rPr>
        <w:tab/>
      </w:r>
      <w:r w:rsidR="00407840" w:rsidRPr="00652E2A">
        <w:rPr>
          <w:lang w:val="de-DE"/>
        </w:rPr>
        <w:t xml:space="preserve">die Überarbeitung </w:t>
      </w:r>
      <w:r w:rsidR="007301FF" w:rsidRPr="00652E2A">
        <w:rPr>
          <w:lang w:val="de-DE"/>
        </w:rPr>
        <w:t>von Dokument</w:t>
      </w:r>
      <w:r w:rsidR="00027ED8" w:rsidRPr="00652E2A">
        <w:rPr>
          <w:lang w:val="de-DE"/>
        </w:rPr>
        <w:t xml:space="preserve"> TGP/10</w:t>
      </w:r>
      <w:r w:rsidR="00C20397" w:rsidRPr="00652E2A">
        <w:rPr>
          <w:lang w:val="de-DE"/>
        </w:rPr>
        <w:t xml:space="preserve"> </w:t>
      </w:r>
      <w:r w:rsidR="001E2D36" w:rsidRPr="00652E2A">
        <w:rPr>
          <w:lang w:val="de-DE"/>
        </w:rPr>
        <w:t>„</w:t>
      </w:r>
      <w:r w:rsidR="0067761F" w:rsidRPr="00652E2A">
        <w:rPr>
          <w:lang w:val="de-DE"/>
        </w:rPr>
        <w:t>Prüfung</w:t>
      </w:r>
      <w:r w:rsidR="00B446D1" w:rsidRPr="00652E2A">
        <w:rPr>
          <w:lang w:val="de-DE"/>
        </w:rPr>
        <w:t xml:space="preserve"> der Homogenität</w:t>
      </w:r>
      <w:r w:rsidR="001E2D36" w:rsidRPr="00652E2A">
        <w:rPr>
          <w:i/>
          <w:lang w:val="de-DE"/>
        </w:rPr>
        <w:t>“</w:t>
      </w:r>
      <w:r w:rsidR="00027ED8" w:rsidRPr="00652E2A">
        <w:rPr>
          <w:lang w:val="de-DE"/>
        </w:rPr>
        <w:t xml:space="preserve"> (</w:t>
      </w:r>
      <w:r w:rsidR="00B446D1" w:rsidRPr="00652E2A">
        <w:rPr>
          <w:lang w:val="de-DE"/>
        </w:rPr>
        <w:t>Dokument</w:t>
      </w:r>
      <w:r w:rsidR="00027ED8" w:rsidRPr="00652E2A">
        <w:rPr>
          <w:lang w:val="de-DE"/>
        </w:rPr>
        <w:t> </w:t>
      </w:r>
      <w:r w:rsidR="00D06894" w:rsidRPr="00652E2A">
        <w:rPr>
          <w:lang w:val="de-DE"/>
        </w:rPr>
        <w:t>TGP/10/1</w:t>
      </w:r>
      <w:r w:rsidR="00027ED8" w:rsidRPr="00652E2A">
        <w:rPr>
          <w:lang w:val="de-DE"/>
        </w:rPr>
        <w:t xml:space="preserve">) </w:t>
      </w:r>
      <w:r w:rsidR="00B446D1" w:rsidRPr="00652E2A">
        <w:rPr>
          <w:lang w:val="de-DE"/>
        </w:rPr>
        <w:t>auf der Grundlage von Dokument</w:t>
      </w:r>
      <w:r w:rsidR="00027ED8" w:rsidRPr="00652E2A">
        <w:rPr>
          <w:lang w:val="de-DE"/>
        </w:rPr>
        <w:t xml:space="preserve"> TGP/10/2 </w:t>
      </w:r>
      <w:r w:rsidR="00DB4285" w:rsidRPr="00652E2A">
        <w:rPr>
          <w:lang w:val="de-DE"/>
        </w:rPr>
        <w:t>Draft</w:t>
      </w:r>
      <w:r w:rsidR="00027ED8" w:rsidRPr="00652E2A">
        <w:rPr>
          <w:lang w:val="de-DE"/>
        </w:rPr>
        <w:t> 1</w:t>
      </w:r>
      <w:r w:rsidR="00B446D1" w:rsidRPr="00652E2A">
        <w:rPr>
          <w:lang w:val="de-DE"/>
        </w:rPr>
        <w:t xml:space="preserve"> zu prüfen</w:t>
      </w:r>
      <w:r w:rsidRPr="00652E2A">
        <w:rPr>
          <w:lang w:val="de-DE"/>
        </w:rPr>
        <w:t>;</w:t>
      </w:r>
    </w:p>
    <w:p w14:paraId="6E497706" w14:textId="77777777" w:rsidR="00B964D9" w:rsidRPr="00652E2A" w:rsidRDefault="00B964D9" w:rsidP="002E39F3">
      <w:pPr>
        <w:tabs>
          <w:tab w:val="left" w:pos="1134"/>
        </w:tabs>
        <w:ind w:firstLine="567"/>
        <w:rPr>
          <w:lang w:val="de-DE"/>
        </w:rPr>
      </w:pPr>
    </w:p>
    <w:p w14:paraId="136809B5" w14:textId="687ED5EE" w:rsidR="00B964D9" w:rsidRPr="00652E2A" w:rsidRDefault="002E39F3" w:rsidP="002E39F3">
      <w:pPr>
        <w:tabs>
          <w:tab w:val="left" w:pos="1134"/>
        </w:tabs>
        <w:ind w:firstLine="567"/>
        <w:rPr>
          <w:lang w:val="de-DE"/>
        </w:rPr>
      </w:pPr>
      <w:r w:rsidRPr="00652E2A">
        <w:rPr>
          <w:lang w:val="de-DE"/>
        </w:rPr>
        <w:t>d)</w:t>
      </w:r>
      <w:r w:rsidRPr="00652E2A">
        <w:rPr>
          <w:lang w:val="de-DE"/>
        </w:rPr>
        <w:tab/>
      </w:r>
      <w:r w:rsidR="00B446D1" w:rsidRPr="00652E2A">
        <w:rPr>
          <w:lang w:val="de-DE"/>
        </w:rPr>
        <w:t xml:space="preserve">die Überarbeitung </w:t>
      </w:r>
      <w:r w:rsidR="007301FF" w:rsidRPr="00652E2A">
        <w:rPr>
          <w:lang w:val="de-DE"/>
        </w:rPr>
        <w:t>von Dokument</w:t>
      </w:r>
      <w:r w:rsidR="00027ED8" w:rsidRPr="00652E2A">
        <w:rPr>
          <w:lang w:val="de-DE"/>
        </w:rPr>
        <w:t xml:space="preserve"> TGP/14</w:t>
      </w:r>
      <w:r w:rsidR="00C20397" w:rsidRPr="00652E2A">
        <w:rPr>
          <w:lang w:val="de-DE"/>
        </w:rPr>
        <w:t xml:space="preserve"> </w:t>
      </w:r>
      <w:r w:rsidR="00FD7926" w:rsidRPr="00652E2A">
        <w:rPr>
          <w:lang w:val="de-DE"/>
        </w:rPr>
        <w:t>„Glossar der in den UPOV-Dokumenten verwendeten Begriffe</w:t>
      </w:r>
      <w:r w:rsidR="00FD7926" w:rsidRPr="00652E2A">
        <w:rPr>
          <w:rFonts w:cs="Arial"/>
          <w:lang w:val="de-DE"/>
        </w:rPr>
        <w:t>“</w:t>
      </w:r>
      <w:r w:rsidR="00CD390F" w:rsidRPr="00652E2A">
        <w:rPr>
          <w:lang w:val="de-DE"/>
        </w:rPr>
        <w:t xml:space="preserve"> </w:t>
      </w:r>
      <w:r w:rsidR="00027ED8" w:rsidRPr="00652E2A">
        <w:rPr>
          <w:lang w:val="de-DE"/>
        </w:rPr>
        <w:t>(</w:t>
      </w:r>
      <w:r w:rsidR="00B446D1" w:rsidRPr="00652E2A">
        <w:rPr>
          <w:lang w:val="de-DE"/>
        </w:rPr>
        <w:t>Dokument</w:t>
      </w:r>
      <w:r w:rsidR="00027ED8" w:rsidRPr="00652E2A">
        <w:rPr>
          <w:lang w:val="de-DE"/>
        </w:rPr>
        <w:t> TGP/14/3)</w:t>
      </w:r>
      <w:r w:rsidR="00B446D1" w:rsidRPr="00652E2A">
        <w:rPr>
          <w:lang w:val="de-DE"/>
        </w:rPr>
        <w:t xml:space="preserve"> auf der Grundlage von Dokument</w:t>
      </w:r>
      <w:r w:rsidR="00027ED8" w:rsidRPr="00652E2A">
        <w:rPr>
          <w:lang w:val="de-DE"/>
        </w:rPr>
        <w:t xml:space="preserve"> TGP/14/4 </w:t>
      </w:r>
      <w:r w:rsidR="00DB4285" w:rsidRPr="00652E2A">
        <w:rPr>
          <w:lang w:val="de-DE"/>
        </w:rPr>
        <w:t>Draft</w:t>
      </w:r>
      <w:r w:rsidR="00027ED8" w:rsidRPr="00652E2A">
        <w:rPr>
          <w:lang w:val="de-DE"/>
        </w:rPr>
        <w:t> 1</w:t>
      </w:r>
      <w:r w:rsidR="00B446D1" w:rsidRPr="00652E2A">
        <w:rPr>
          <w:lang w:val="de-DE"/>
        </w:rPr>
        <w:t xml:space="preserve"> zu prüfen</w:t>
      </w:r>
      <w:r w:rsidRPr="00652E2A">
        <w:rPr>
          <w:lang w:val="de-DE"/>
        </w:rPr>
        <w:t>;</w:t>
      </w:r>
    </w:p>
    <w:p w14:paraId="19492738" w14:textId="77777777" w:rsidR="00B964D9" w:rsidRPr="00652E2A" w:rsidRDefault="00B964D9" w:rsidP="002E39F3">
      <w:pPr>
        <w:tabs>
          <w:tab w:val="left" w:pos="1134"/>
        </w:tabs>
        <w:ind w:firstLine="567"/>
        <w:rPr>
          <w:lang w:val="de-DE"/>
        </w:rPr>
      </w:pPr>
    </w:p>
    <w:p w14:paraId="2672473E" w14:textId="35A2B10F" w:rsidR="00B964D9" w:rsidRPr="00652E2A" w:rsidRDefault="002E39F3" w:rsidP="002E39F3">
      <w:pPr>
        <w:tabs>
          <w:tab w:val="left" w:pos="1134"/>
        </w:tabs>
        <w:ind w:firstLine="567"/>
        <w:rPr>
          <w:lang w:val="de-DE"/>
        </w:rPr>
      </w:pPr>
      <w:r w:rsidRPr="00652E2A">
        <w:rPr>
          <w:lang w:val="de-DE"/>
        </w:rPr>
        <w:t>e)</w:t>
      </w:r>
      <w:r w:rsidRPr="00652E2A">
        <w:rPr>
          <w:lang w:val="de-DE"/>
        </w:rPr>
        <w:tab/>
      </w:r>
      <w:r w:rsidR="00B446D1" w:rsidRPr="00652E2A">
        <w:rPr>
          <w:lang w:val="de-DE"/>
        </w:rPr>
        <w:t>die Überarbeitung von Dokument TGP/15</w:t>
      </w:r>
      <w:r w:rsidR="00C20397" w:rsidRPr="00652E2A">
        <w:rPr>
          <w:lang w:val="de-DE"/>
        </w:rPr>
        <w:t xml:space="preserve"> </w:t>
      </w:r>
      <w:r w:rsidR="001E2D36" w:rsidRPr="00652E2A">
        <w:rPr>
          <w:lang w:val="de-DE"/>
        </w:rPr>
        <w:t>„</w:t>
      </w:r>
      <w:r w:rsidR="00B446D1" w:rsidRPr="00652E2A">
        <w:rPr>
          <w:lang w:val="de-DE"/>
        </w:rPr>
        <w:t xml:space="preserve">Anleitung zur Verwendung biochemischer und molekularer Marker bei der Prüfung der </w:t>
      </w:r>
      <w:r w:rsidR="00FA1A33" w:rsidRPr="00652E2A">
        <w:rPr>
          <w:lang w:val="de-DE"/>
        </w:rPr>
        <w:t xml:space="preserve">Unterscheidbarkeit, Homogenität und Beständigkeit </w:t>
      </w:r>
      <w:r w:rsidR="00B446D1" w:rsidRPr="00652E2A">
        <w:rPr>
          <w:lang w:val="de-DE"/>
        </w:rPr>
        <w:t>(DUS)</w:t>
      </w:r>
      <w:r w:rsidR="001E2D36" w:rsidRPr="00652E2A">
        <w:rPr>
          <w:lang w:val="de-DE"/>
        </w:rPr>
        <w:t>“</w:t>
      </w:r>
      <w:r w:rsidR="00027ED8" w:rsidRPr="00652E2A">
        <w:rPr>
          <w:lang w:val="de-DE"/>
        </w:rPr>
        <w:t xml:space="preserve"> </w:t>
      </w:r>
      <w:r w:rsidR="00B446D1" w:rsidRPr="00652E2A">
        <w:rPr>
          <w:lang w:val="de-DE"/>
        </w:rPr>
        <w:t>auf der Grundlage von Dokument</w:t>
      </w:r>
      <w:r w:rsidR="00027ED8" w:rsidRPr="00652E2A">
        <w:rPr>
          <w:lang w:val="de-DE"/>
        </w:rPr>
        <w:t> TGP/15/</w:t>
      </w:r>
      <w:r w:rsidR="00176611">
        <w:rPr>
          <w:lang w:val="de-DE"/>
        </w:rPr>
        <w:t>2 Draft 2</w:t>
      </w:r>
      <w:r w:rsidR="00D06894" w:rsidRPr="00652E2A">
        <w:rPr>
          <w:lang w:val="de-DE"/>
        </w:rPr>
        <w:t xml:space="preserve"> zu prüfen</w:t>
      </w:r>
      <w:r w:rsidRPr="00652E2A">
        <w:rPr>
          <w:lang w:val="de-DE"/>
        </w:rPr>
        <w:t>;</w:t>
      </w:r>
    </w:p>
    <w:p w14:paraId="0923DC56" w14:textId="77777777" w:rsidR="00B964D9" w:rsidRPr="00652E2A" w:rsidRDefault="00B964D9" w:rsidP="00273B07">
      <w:pPr>
        <w:tabs>
          <w:tab w:val="left" w:pos="1134"/>
        </w:tabs>
        <w:ind w:firstLine="567"/>
        <w:rPr>
          <w:lang w:val="de-DE"/>
        </w:rPr>
      </w:pPr>
    </w:p>
    <w:p w14:paraId="3FC8754E" w14:textId="1AFCEA05" w:rsidR="00B964D9" w:rsidRPr="00652E2A" w:rsidRDefault="00B446D1" w:rsidP="00B964D9">
      <w:pPr>
        <w:tabs>
          <w:tab w:val="left" w:pos="1134"/>
        </w:tabs>
        <w:ind w:firstLine="567"/>
        <w:rPr>
          <w:rFonts w:cs="Arial"/>
          <w:lang w:val="de-DE"/>
        </w:rPr>
      </w:pPr>
      <w:r w:rsidRPr="00652E2A">
        <w:rPr>
          <w:rFonts w:cs="Arial"/>
          <w:lang w:val="de-DE"/>
        </w:rPr>
        <w:t>f</w:t>
      </w:r>
      <w:r w:rsidR="00B964D9" w:rsidRPr="00652E2A">
        <w:rPr>
          <w:rFonts w:cs="Arial"/>
          <w:lang w:val="de-DE"/>
        </w:rPr>
        <w:t>)</w:t>
      </w:r>
      <w:r w:rsidR="00B964D9" w:rsidRPr="00652E2A">
        <w:rPr>
          <w:rFonts w:cs="Arial"/>
          <w:lang w:val="de-DE"/>
        </w:rPr>
        <w:tab/>
        <w:t xml:space="preserve">zur Kenntnis zu nehmen, </w:t>
      </w:r>
      <w:r w:rsidR="00EB5321" w:rsidRPr="00652E2A">
        <w:rPr>
          <w:rFonts w:cs="Arial"/>
          <w:lang w:val="de-DE"/>
        </w:rPr>
        <w:t>dass</w:t>
      </w:r>
      <w:r w:rsidR="00B964D9" w:rsidRPr="00652E2A">
        <w:rPr>
          <w:rFonts w:cs="Arial"/>
          <w:lang w:val="de-DE"/>
        </w:rPr>
        <w:t xml:space="preserve"> der Rat in Verbindung mit der Annahme der überarbeiteten TGP-Dokumente auf der </w:t>
      </w:r>
      <w:r w:rsidR="00D06894" w:rsidRPr="00652E2A">
        <w:rPr>
          <w:rFonts w:cs="Arial"/>
          <w:lang w:val="de-DE"/>
        </w:rPr>
        <w:t xml:space="preserve">dreiundfünfzigsten </w:t>
      </w:r>
      <w:r w:rsidR="00B964D9" w:rsidRPr="00652E2A">
        <w:rPr>
          <w:rFonts w:cs="Arial"/>
          <w:lang w:val="de-DE"/>
        </w:rPr>
        <w:t>ordentlichen Tagung des Rates ersucht werden wird, auf der Grundlage von Dokument TGP/0/11 Draft 1 eine Überarbeitung von Dokument TGP/0</w:t>
      </w:r>
      <w:r w:rsidR="00C20397" w:rsidRPr="00652E2A">
        <w:rPr>
          <w:rFonts w:cs="Arial"/>
          <w:lang w:val="de-DE"/>
        </w:rPr>
        <w:t xml:space="preserve"> </w:t>
      </w:r>
      <w:r w:rsidR="001E2D36" w:rsidRPr="00652E2A">
        <w:rPr>
          <w:rFonts w:cs="Arial"/>
          <w:lang w:val="de-DE"/>
        </w:rPr>
        <w:t>„</w:t>
      </w:r>
      <w:r w:rsidR="00B964D9" w:rsidRPr="00652E2A">
        <w:rPr>
          <w:rFonts w:cs="Arial"/>
          <w:lang w:val="de-DE"/>
        </w:rPr>
        <w:t>Liste der TGP-Dokumente und Datum der jüngsten Ausgabe</w:t>
      </w:r>
      <w:r w:rsidR="001E2D36" w:rsidRPr="00652E2A">
        <w:rPr>
          <w:rFonts w:cs="Arial"/>
          <w:lang w:val="de-DE"/>
        </w:rPr>
        <w:t>“</w:t>
      </w:r>
      <w:r w:rsidR="00B964D9" w:rsidRPr="00652E2A">
        <w:rPr>
          <w:rFonts w:cs="Arial"/>
          <w:lang w:val="de-DE"/>
        </w:rPr>
        <w:t xml:space="preserve"> (Dokument TGP/0/10) anzunehmen; und</w:t>
      </w:r>
      <w:r w:rsidR="00273B07" w:rsidRPr="00652E2A">
        <w:rPr>
          <w:rFonts w:cs="Arial"/>
          <w:lang w:val="de-DE"/>
        </w:rPr>
        <w:t xml:space="preserve"> </w:t>
      </w:r>
    </w:p>
    <w:p w14:paraId="084915AB" w14:textId="0F6B7405" w:rsidR="00B964D9" w:rsidRPr="00652E2A" w:rsidRDefault="00B964D9" w:rsidP="00273B07">
      <w:pPr>
        <w:tabs>
          <w:tab w:val="left" w:pos="1134"/>
        </w:tabs>
        <w:ind w:firstLine="567"/>
        <w:rPr>
          <w:rFonts w:cs="Arial"/>
          <w:lang w:val="de-DE"/>
        </w:rPr>
      </w:pPr>
    </w:p>
    <w:p w14:paraId="76D0FCE9" w14:textId="5EC16DDE" w:rsidR="00B964D9" w:rsidRPr="00652E2A" w:rsidRDefault="002E39F3" w:rsidP="00273B07">
      <w:pPr>
        <w:tabs>
          <w:tab w:val="left" w:pos="1134"/>
        </w:tabs>
        <w:ind w:firstLine="567"/>
        <w:rPr>
          <w:lang w:val="de-DE"/>
        </w:rPr>
      </w:pPr>
      <w:r w:rsidRPr="00652E2A">
        <w:rPr>
          <w:lang w:val="de-DE"/>
        </w:rPr>
        <w:t>g</w:t>
      </w:r>
      <w:r w:rsidR="00273B07" w:rsidRPr="00652E2A">
        <w:rPr>
          <w:lang w:val="de-DE"/>
        </w:rPr>
        <w:t>)</w:t>
      </w:r>
      <w:r w:rsidR="00273B07" w:rsidRPr="00652E2A">
        <w:rPr>
          <w:lang w:val="de-DE"/>
        </w:rPr>
        <w:tab/>
      </w:r>
      <w:r w:rsidR="00B446D1" w:rsidRPr="00652E2A">
        <w:rPr>
          <w:lang w:val="de-DE"/>
        </w:rPr>
        <w:t xml:space="preserve">das Programm für die Erarbeitung von TGP-Dokumenten, wie in </w:t>
      </w:r>
      <w:r w:rsidR="00176E3A" w:rsidRPr="00652E2A">
        <w:rPr>
          <w:lang w:val="de-DE"/>
        </w:rPr>
        <w:t>Absätzen 38 und 39</w:t>
      </w:r>
      <w:r w:rsidR="00B446D1" w:rsidRPr="00652E2A">
        <w:rPr>
          <w:lang w:val="de-DE"/>
        </w:rPr>
        <w:t xml:space="preserve"> dieses </w:t>
      </w:r>
      <w:r w:rsidR="00E9349B" w:rsidRPr="00652E2A">
        <w:rPr>
          <w:lang w:val="de-DE"/>
        </w:rPr>
        <w:t>Dokument</w:t>
      </w:r>
      <w:r w:rsidR="005D72D0" w:rsidRPr="00652E2A">
        <w:rPr>
          <w:lang w:val="de-DE"/>
        </w:rPr>
        <w:t>s</w:t>
      </w:r>
      <w:r w:rsidR="00B446D1" w:rsidRPr="00652E2A">
        <w:rPr>
          <w:lang w:val="de-DE"/>
        </w:rPr>
        <w:t xml:space="preserve"> dargelegt, zu prüfen</w:t>
      </w:r>
      <w:r w:rsidR="00273B07" w:rsidRPr="00652E2A">
        <w:rPr>
          <w:lang w:val="de-DE"/>
        </w:rPr>
        <w:t>.</w:t>
      </w:r>
    </w:p>
    <w:p w14:paraId="1B8E30F8" w14:textId="317B0A4D" w:rsidR="00B964D9" w:rsidRPr="00652E2A" w:rsidRDefault="00273B07" w:rsidP="00870CC0">
      <w:pPr>
        <w:keepNext/>
        <w:rPr>
          <w:rFonts w:cs="Arial"/>
          <w:lang w:val="de-DE"/>
        </w:rPr>
      </w:pPr>
      <w:r w:rsidRPr="00652E2A">
        <w:rPr>
          <w:rFonts w:cs="Arial"/>
          <w:lang w:val="de-DE"/>
        </w:rPr>
        <w:lastRenderedPageBreak/>
        <w:fldChar w:fldCharType="begin"/>
      </w:r>
      <w:r w:rsidRPr="00652E2A">
        <w:rPr>
          <w:rFonts w:cs="Arial"/>
          <w:lang w:val="de-DE"/>
        </w:rPr>
        <w:instrText xml:space="preserve"> AUTONUM  </w:instrText>
      </w:r>
      <w:r w:rsidRPr="00652E2A">
        <w:rPr>
          <w:rFonts w:cs="Arial"/>
          <w:lang w:val="de-DE"/>
        </w:rPr>
        <w:fldChar w:fldCharType="end"/>
      </w:r>
      <w:r w:rsidRPr="00652E2A">
        <w:rPr>
          <w:rFonts w:cs="Arial"/>
          <w:lang w:val="de-DE"/>
        </w:rPr>
        <w:tab/>
      </w:r>
      <w:r w:rsidR="00B964D9" w:rsidRPr="00652E2A">
        <w:rPr>
          <w:rFonts w:cs="Arial"/>
          <w:lang w:val="de-DE"/>
        </w:rPr>
        <w:t xml:space="preserve">Der Aufbau </w:t>
      </w:r>
      <w:r w:rsidR="005D72D0" w:rsidRPr="00652E2A">
        <w:rPr>
          <w:rFonts w:cs="Arial"/>
          <w:lang w:val="de-DE"/>
        </w:rPr>
        <w:t>dieses Dokuments</w:t>
      </w:r>
      <w:r w:rsidR="00B964D9" w:rsidRPr="00652E2A">
        <w:rPr>
          <w:rFonts w:cs="Arial"/>
          <w:lang w:val="de-DE"/>
        </w:rPr>
        <w:t xml:space="preserve"> ist nachstehend zusammengefasst:</w:t>
      </w:r>
    </w:p>
    <w:p w14:paraId="38F95A75" w14:textId="77777777" w:rsidR="00B964D9" w:rsidRPr="00652E2A" w:rsidRDefault="00B964D9" w:rsidP="00870CC0">
      <w:pPr>
        <w:keepNext/>
        <w:rPr>
          <w:rFonts w:cs="Arial"/>
          <w:lang w:val="de-DE"/>
        </w:rPr>
      </w:pPr>
    </w:p>
    <w:p w14:paraId="5D479DCD" w14:textId="41620B79" w:rsidR="00EB5321" w:rsidRDefault="00273B07">
      <w:pPr>
        <w:pStyle w:val="TOC1"/>
        <w:rPr>
          <w:rFonts w:asciiTheme="minorHAnsi" w:eastAsiaTheme="minorEastAsia" w:hAnsiTheme="minorHAnsi" w:cstheme="minorBidi"/>
          <w:caps w:val="0"/>
          <w:snapToGrid/>
          <w:sz w:val="22"/>
          <w:szCs w:val="22"/>
        </w:rPr>
      </w:pPr>
      <w:r w:rsidRPr="00652E2A">
        <w:rPr>
          <w:rFonts w:cs="Arial"/>
          <w:bCs/>
          <w:noProof w:val="0"/>
          <w:lang w:val="de-DE"/>
        </w:rPr>
        <w:fldChar w:fldCharType="begin"/>
      </w:r>
      <w:r w:rsidRPr="00652E2A">
        <w:rPr>
          <w:rFonts w:cs="Arial"/>
          <w:bCs/>
          <w:noProof w:val="0"/>
          <w:lang w:val="de-DE"/>
        </w:rPr>
        <w:instrText xml:space="preserve"> TOC \o "1-4" \h \z \u </w:instrText>
      </w:r>
      <w:r w:rsidRPr="00652E2A">
        <w:rPr>
          <w:rFonts w:cs="Arial"/>
          <w:bCs/>
          <w:noProof w:val="0"/>
          <w:lang w:val="de-DE"/>
        </w:rPr>
        <w:fldChar w:fldCharType="separate"/>
      </w:r>
      <w:hyperlink w:anchor="_Toc15647497" w:history="1">
        <w:r w:rsidR="00EB5321" w:rsidRPr="004E42AC">
          <w:rPr>
            <w:rStyle w:val="Hyperlink"/>
            <w:lang w:val="de-DE"/>
          </w:rPr>
          <w:t>ZUSAMMENFASSUNG</w:t>
        </w:r>
        <w:r w:rsidR="00EB5321">
          <w:rPr>
            <w:webHidden/>
          </w:rPr>
          <w:tab/>
        </w:r>
        <w:r w:rsidR="00EB5321">
          <w:rPr>
            <w:webHidden/>
          </w:rPr>
          <w:fldChar w:fldCharType="begin"/>
        </w:r>
        <w:r w:rsidR="00EB5321">
          <w:rPr>
            <w:webHidden/>
          </w:rPr>
          <w:instrText xml:space="preserve"> PAGEREF _Toc15647497 \h </w:instrText>
        </w:r>
        <w:r w:rsidR="00EB5321">
          <w:rPr>
            <w:webHidden/>
          </w:rPr>
        </w:r>
        <w:r w:rsidR="00EB5321">
          <w:rPr>
            <w:webHidden/>
          </w:rPr>
          <w:fldChar w:fldCharType="separate"/>
        </w:r>
        <w:r w:rsidR="00EB5321">
          <w:rPr>
            <w:webHidden/>
          </w:rPr>
          <w:t>1</w:t>
        </w:r>
        <w:r w:rsidR="00EB5321">
          <w:rPr>
            <w:webHidden/>
          </w:rPr>
          <w:fldChar w:fldCharType="end"/>
        </w:r>
      </w:hyperlink>
    </w:p>
    <w:p w14:paraId="1F7DA368" w14:textId="13C1C94C" w:rsidR="00EB5321" w:rsidRDefault="00EB5321">
      <w:pPr>
        <w:pStyle w:val="TOC1"/>
        <w:rPr>
          <w:rFonts w:asciiTheme="minorHAnsi" w:eastAsiaTheme="minorEastAsia" w:hAnsiTheme="minorHAnsi" w:cstheme="minorBidi"/>
          <w:caps w:val="0"/>
          <w:snapToGrid/>
          <w:sz w:val="22"/>
          <w:szCs w:val="22"/>
        </w:rPr>
      </w:pPr>
      <w:hyperlink w:anchor="_Toc15647498" w:history="1">
        <w:r w:rsidRPr="004E42AC">
          <w:rPr>
            <w:rStyle w:val="Hyperlink"/>
            <w:lang w:val="de-DE"/>
          </w:rPr>
          <w:t>Hintergrund</w:t>
        </w:r>
        <w:r>
          <w:rPr>
            <w:webHidden/>
          </w:rPr>
          <w:tab/>
        </w:r>
        <w:r>
          <w:rPr>
            <w:webHidden/>
          </w:rPr>
          <w:fldChar w:fldCharType="begin"/>
        </w:r>
        <w:r>
          <w:rPr>
            <w:webHidden/>
          </w:rPr>
          <w:instrText xml:space="preserve"> PAGEREF _Toc15647498 \h </w:instrText>
        </w:r>
        <w:r>
          <w:rPr>
            <w:webHidden/>
          </w:rPr>
        </w:r>
        <w:r>
          <w:rPr>
            <w:webHidden/>
          </w:rPr>
          <w:fldChar w:fldCharType="separate"/>
        </w:r>
        <w:r>
          <w:rPr>
            <w:webHidden/>
          </w:rPr>
          <w:t>2</w:t>
        </w:r>
        <w:r>
          <w:rPr>
            <w:webHidden/>
          </w:rPr>
          <w:fldChar w:fldCharType="end"/>
        </w:r>
      </w:hyperlink>
    </w:p>
    <w:p w14:paraId="31F28FC5" w14:textId="76E8914A" w:rsidR="00EB5321" w:rsidRDefault="00EB5321">
      <w:pPr>
        <w:pStyle w:val="TOC1"/>
        <w:rPr>
          <w:rFonts w:asciiTheme="minorHAnsi" w:eastAsiaTheme="minorEastAsia" w:hAnsiTheme="minorHAnsi" w:cstheme="minorBidi"/>
          <w:caps w:val="0"/>
          <w:snapToGrid/>
          <w:sz w:val="22"/>
          <w:szCs w:val="22"/>
        </w:rPr>
      </w:pPr>
      <w:hyperlink w:anchor="_Toc15647499" w:history="1">
        <w:r w:rsidRPr="004E42AC">
          <w:rPr>
            <w:rStyle w:val="Hyperlink"/>
            <w:lang w:val="de-DE"/>
          </w:rPr>
          <w:t>VOM CAJ ZU PRÜFENDE DOKUMENTE</w:t>
        </w:r>
        <w:r>
          <w:rPr>
            <w:webHidden/>
          </w:rPr>
          <w:tab/>
        </w:r>
        <w:r>
          <w:rPr>
            <w:webHidden/>
          </w:rPr>
          <w:fldChar w:fldCharType="begin"/>
        </w:r>
        <w:r>
          <w:rPr>
            <w:webHidden/>
          </w:rPr>
          <w:instrText xml:space="preserve"> PAGEREF _Toc15647499 \h </w:instrText>
        </w:r>
        <w:r>
          <w:rPr>
            <w:webHidden/>
          </w:rPr>
        </w:r>
        <w:r>
          <w:rPr>
            <w:webHidden/>
          </w:rPr>
          <w:fldChar w:fldCharType="separate"/>
        </w:r>
        <w:r>
          <w:rPr>
            <w:webHidden/>
          </w:rPr>
          <w:t>3</w:t>
        </w:r>
        <w:r>
          <w:rPr>
            <w:webHidden/>
          </w:rPr>
          <w:fldChar w:fldCharType="end"/>
        </w:r>
      </w:hyperlink>
    </w:p>
    <w:p w14:paraId="41823AE1" w14:textId="5D01ABEB" w:rsidR="00EB5321" w:rsidRDefault="00EB5321">
      <w:pPr>
        <w:pStyle w:val="TOC2"/>
        <w:rPr>
          <w:rFonts w:asciiTheme="minorHAnsi" w:eastAsiaTheme="minorEastAsia" w:hAnsiTheme="minorHAnsi" w:cstheme="minorBidi"/>
          <w:sz w:val="22"/>
          <w:szCs w:val="22"/>
        </w:rPr>
      </w:pPr>
      <w:hyperlink w:anchor="_Toc15647500" w:history="1">
        <w:r w:rsidRPr="004E42AC">
          <w:rPr>
            <w:rStyle w:val="Hyperlink"/>
            <w:lang w:val="de-DE"/>
          </w:rPr>
          <w:t>Dokument TGP/7: Erstellung von Prüfungsrichtlinien (Überarbeitung) (Dokument TGP/7/7 Draft 1)</w:t>
        </w:r>
        <w:r>
          <w:rPr>
            <w:webHidden/>
          </w:rPr>
          <w:tab/>
        </w:r>
        <w:r>
          <w:rPr>
            <w:webHidden/>
          </w:rPr>
          <w:fldChar w:fldCharType="begin"/>
        </w:r>
        <w:r>
          <w:rPr>
            <w:webHidden/>
          </w:rPr>
          <w:instrText xml:space="preserve"> PAGEREF _Toc15647500 \h </w:instrText>
        </w:r>
        <w:r>
          <w:rPr>
            <w:webHidden/>
          </w:rPr>
        </w:r>
        <w:r>
          <w:rPr>
            <w:webHidden/>
          </w:rPr>
          <w:fldChar w:fldCharType="separate"/>
        </w:r>
        <w:r>
          <w:rPr>
            <w:webHidden/>
          </w:rPr>
          <w:t>3</w:t>
        </w:r>
        <w:r>
          <w:rPr>
            <w:webHidden/>
          </w:rPr>
          <w:fldChar w:fldCharType="end"/>
        </w:r>
      </w:hyperlink>
    </w:p>
    <w:p w14:paraId="3C199A10" w14:textId="699251F5" w:rsidR="00EB5321" w:rsidRDefault="00EB5321">
      <w:pPr>
        <w:pStyle w:val="TOC2"/>
        <w:rPr>
          <w:rFonts w:asciiTheme="minorHAnsi" w:eastAsiaTheme="minorEastAsia" w:hAnsiTheme="minorHAnsi" w:cstheme="minorBidi"/>
          <w:sz w:val="22"/>
          <w:szCs w:val="22"/>
        </w:rPr>
      </w:pPr>
      <w:hyperlink w:anchor="_Toc15647501" w:history="1">
        <w:r w:rsidRPr="004E42AC">
          <w:rPr>
            <w:rStyle w:val="Hyperlink"/>
            <w:lang w:val="de-DE"/>
          </w:rPr>
          <w:t>Dokument TGP/8: Prüfungsanlage und Verfahren für die Prüfung der Unterscheidbarkeit, der Homogenität und der Beständigkeit (Überarbeitung) (Dokument TGP/8/4 Draft 1)</w:t>
        </w:r>
        <w:r>
          <w:rPr>
            <w:webHidden/>
          </w:rPr>
          <w:tab/>
        </w:r>
        <w:r>
          <w:rPr>
            <w:webHidden/>
          </w:rPr>
          <w:fldChar w:fldCharType="begin"/>
        </w:r>
        <w:r>
          <w:rPr>
            <w:webHidden/>
          </w:rPr>
          <w:instrText xml:space="preserve"> PAGEREF _Toc15647501 \h </w:instrText>
        </w:r>
        <w:r>
          <w:rPr>
            <w:webHidden/>
          </w:rPr>
        </w:r>
        <w:r>
          <w:rPr>
            <w:webHidden/>
          </w:rPr>
          <w:fldChar w:fldCharType="separate"/>
        </w:r>
        <w:r>
          <w:rPr>
            <w:webHidden/>
          </w:rPr>
          <w:t>3</w:t>
        </w:r>
        <w:r>
          <w:rPr>
            <w:webHidden/>
          </w:rPr>
          <w:fldChar w:fldCharType="end"/>
        </w:r>
      </w:hyperlink>
    </w:p>
    <w:p w14:paraId="3D3826DD" w14:textId="584AAE9A" w:rsidR="00EB5321" w:rsidRDefault="00EB5321">
      <w:pPr>
        <w:pStyle w:val="TOC2"/>
        <w:rPr>
          <w:rFonts w:asciiTheme="minorHAnsi" w:eastAsiaTheme="minorEastAsia" w:hAnsiTheme="minorHAnsi" w:cstheme="minorBidi"/>
          <w:sz w:val="22"/>
          <w:szCs w:val="22"/>
        </w:rPr>
      </w:pPr>
      <w:hyperlink w:anchor="_Toc15647502" w:history="1">
        <w:r w:rsidRPr="004E42AC">
          <w:rPr>
            <w:rStyle w:val="Hyperlink"/>
            <w:lang w:val="de-DE"/>
          </w:rPr>
          <w:t>Dokument TGP/10: Prüfung der Homogenität (Überarbeitung) (Dokument TGP/10/2 Draft 1)</w:t>
        </w:r>
        <w:r>
          <w:rPr>
            <w:webHidden/>
          </w:rPr>
          <w:tab/>
        </w:r>
        <w:r>
          <w:rPr>
            <w:webHidden/>
          </w:rPr>
          <w:fldChar w:fldCharType="begin"/>
        </w:r>
        <w:r>
          <w:rPr>
            <w:webHidden/>
          </w:rPr>
          <w:instrText xml:space="preserve"> PAGEREF _Toc15647502 \h </w:instrText>
        </w:r>
        <w:r>
          <w:rPr>
            <w:webHidden/>
          </w:rPr>
        </w:r>
        <w:r>
          <w:rPr>
            <w:webHidden/>
          </w:rPr>
          <w:fldChar w:fldCharType="separate"/>
        </w:r>
        <w:r>
          <w:rPr>
            <w:webHidden/>
          </w:rPr>
          <w:t>4</w:t>
        </w:r>
        <w:r>
          <w:rPr>
            <w:webHidden/>
          </w:rPr>
          <w:fldChar w:fldCharType="end"/>
        </w:r>
      </w:hyperlink>
    </w:p>
    <w:p w14:paraId="2E37B7F7" w14:textId="6E1E9624" w:rsidR="00EB5321" w:rsidRDefault="00EB5321">
      <w:pPr>
        <w:pStyle w:val="TOC2"/>
        <w:rPr>
          <w:rFonts w:asciiTheme="minorHAnsi" w:eastAsiaTheme="minorEastAsia" w:hAnsiTheme="minorHAnsi" w:cstheme="minorBidi"/>
          <w:sz w:val="22"/>
          <w:szCs w:val="22"/>
        </w:rPr>
      </w:pPr>
      <w:hyperlink w:anchor="_Toc15647503" w:history="1">
        <w:r w:rsidRPr="004E42AC">
          <w:rPr>
            <w:rStyle w:val="Hyperlink"/>
            <w:lang w:val="de-DE"/>
          </w:rPr>
          <w:t>Dokument TGP/14: Glossar der in den UPOV-Dokumenten verwendeten Begriffe (Dokument TGP/14/4 Draft 1)</w:t>
        </w:r>
        <w:r>
          <w:rPr>
            <w:webHidden/>
          </w:rPr>
          <w:tab/>
        </w:r>
        <w:r>
          <w:rPr>
            <w:webHidden/>
          </w:rPr>
          <w:fldChar w:fldCharType="begin"/>
        </w:r>
        <w:r>
          <w:rPr>
            <w:webHidden/>
          </w:rPr>
          <w:instrText xml:space="preserve"> PAGEREF _Toc15647503 \h </w:instrText>
        </w:r>
        <w:r>
          <w:rPr>
            <w:webHidden/>
          </w:rPr>
        </w:r>
        <w:r>
          <w:rPr>
            <w:webHidden/>
          </w:rPr>
          <w:fldChar w:fldCharType="separate"/>
        </w:r>
        <w:r>
          <w:rPr>
            <w:webHidden/>
          </w:rPr>
          <w:t>4</w:t>
        </w:r>
        <w:r>
          <w:rPr>
            <w:webHidden/>
          </w:rPr>
          <w:fldChar w:fldCharType="end"/>
        </w:r>
      </w:hyperlink>
    </w:p>
    <w:p w14:paraId="2A9943BE" w14:textId="73978EDD" w:rsidR="00EB5321" w:rsidRDefault="00EB5321">
      <w:pPr>
        <w:pStyle w:val="TOC2"/>
        <w:rPr>
          <w:rFonts w:asciiTheme="minorHAnsi" w:eastAsiaTheme="minorEastAsia" w:hAnsiTheme="minorHAnsi" w:cstheme="minorBidi"/>
          <w:sz w:val="22"/>
          <w:szCs w:val="22"/>
        </w:rPr>
      </w:pPr>
      <w:hyperlink w:anchor="_Toc15647504" w:history="1">
        <w:r w:rsidRPr="004E42AC">
          <w:rPr>
            <w:rStyle w:val="Hyperlink"/>
            <w:lang w:val="de-DE"/>
          </w:rPr>
          <w:t>Dokument TGP/15: „Anleitung zur Verwendung biochemischer und molekularer Marker bei der Prüfung der Unterscheidbarkeit, Homogenität und Beständigkeit (DUS)“ (Überarbeitung) (Dokument TGP/15/</w:t>
        </w:r>
        <w:r w:rsidR="00176611">
          <w:rPr>
            <w:rStyle w:val="Hyperlink"/>
            <w:lang w:val="de-DE"/>
          </w:rPr>
          <w:t>2 Draft 2</w:t>
        </w:r>
        <w:r w:rsidRPr="004E42AC">
          <w:rPr>
            <w:rStyle w:val="Hyperlink"/>
            <w:lang w:val="de-DE"/>
          </w:rPr>
          <w:t>)</w:t>
        </w:r>
        <w:r>
          <w:rPr>
            <w:webHidden/>
          </w:rPr>
          <w:tab/>
        </w:r>
        <w:r>
          <w:rPr>
            <w:webHidden/>
          </w:rPr>
          <w:fldChar w:fldCharType="begin"/>
        </w:r>
        <w:r>
          <w:rPr>
            <w:webHidden/>
          </w:rPr>
          <w:instrText xml:space="preserve"> PAGEREF _Toc15647504 \h </w:instrText>
        </w:r>
        <w:r>
          <w:rPr>
            <w:webHidden/>
          </w:rPr>
        </w:r>
        <w:r>
          <w:rPr>
            <w:webHidden/>
          </w:rPr>
          <w:fldChar w:fldCharType="separate"/>
        </w:r>
        <w:r>
          <w:rPr>
            <w:webHidden/>
          </w:rPr>
          <w:t>5</w:t>
        </w:r>
        <w:r>
          <w:rPr>
            <w:webHidden/>
          </w:rPr>
          <w:fldChar w:fldCharType="end"/>
        </w:r>
      </w:hyperlink>
    </w:p>
    <w:p w14:paraId="54C88EAA" w14:textId="1F52ECB4" w:rsidR="00EB5321" w:rsidRDefault="00EB5321">
      <w:pPr>
        <w:pStyle w:val="TOC2"/>
        <w:rPr>
          <w:rFonts w:asciiTheme="minorHAnsi" w:eastAsiaTheme="minorEastAsia" w:hAnsiTheme="minorHAnsi" w:cstheme="minorBidi"/>
          <w:sz w:val="22"/>
          <w:szCs w:val="22"/>
        </w:rPr>
      </w:pPr>
      <w:hyperlink w:anchor="_Toc15647505" w:history="1">
        <w:r w:rsidRPr="004E42AC">
          <w:rPr>
            <w:rStyle w:val="Hyperlink"/>
            <w:snapToGrid w:val="0"/>
            <w:lang w:val="de-DE"/>
          </w:rPr>
          <w:t>Dokument TGP/0: Liste der TGP-Dokumente und Datum der jüngsten Ausgabe (Überarbeitung) (Dokument TGP/0/11 Draft 1)</w:t>
        </w:r>
        <w:r>
          <w:rPr>
            <w:webHidden/>
          </w:rPr>
          <w:tab/>
        </w:r>
        <w:r>
          <w:rPr>
            <w:webHidden/>
          </w:rPr>
          <w:fldChar w:fldCharType="begin"/>
        </w:r>
        <w:r>
          <w:rPr>
            <w:webHidden/>
          </w:rPr>
          <w:instrText xml:space="preserve"> PAGEREF _Toc15647505 \h </w:instrText>
        </w:r>
        <w:r>
          <w:rPr>
            <w:webHidden/>
          </w:rPr>
        </w:r>
        <w:r>
          <w:rPr>
            <w:webHidden/>
          </w:rPr>
          <w:fldChar w:fldCharType="separate"/>
        </w:r>
        <w:r>
          <w:rPr>
            <w:webHidden/>
          </w:rPr>
          <w:t>5</w:t>
        </w:r>
        <w:r>
          <w:rPr>
            <w:webHidden/>
          </w:rPr>
          <w:fldChar w:fldCharType="end"/>
        </w:r>
      </w:hyperlink>
    </w:p>
    <w:p w14:paraId="2D15E3E7" w14:textId="52887B41" w:rsidR="00EB5321" w:rsidRDefault="00EB5321">
      <w:pPr>
        <w:pStyle w:val="TOC1"/>
        <w:rPr>
          <w:rFonts w:asciiTheme="minorHAnsi" w:eastAsiaTheme="minorEastAsia" w:hAnsiTheme="minorHAnsi" w:cstheme="minorBidi"/>
          <w:caps w:val="0"/>
          <w:snapToGrid/>
          <w:sz w:val="22"/>
          <w:szCs w:val="22"/>
        </w:rPr>
      </w:pPr>
      <w:hyperlink w:anchor="_Toc15647506" w:history="1">
        <w:r w:rsidRPr="004E42AC">
          <w:rPr>
            <w:rStyle w:val="Hyperlink"/>
            <w:lang w:val="de-DE"/>
          </w:rPr>
          <w:t>PROGRAMM FÜR DIE ERARBEITUNG VON TGP-DOKUMENTEN</w:t>
        </w:r>
        <w:r>
          <w:rPr>
            <w:webHidden/>
          </w:rPr>
          <w:tab/>
        </w:r>
        <w:r>
          <w:rPr>
            <w:webHidden/>
          </w:rPr>
          <w:fldChar w:fldCharType="begin"/>
        </w:r>
        <w:r>
          <w:rPr>
            <w:webHidden/>
          </w:rPr>
          <w:instrText xml:space="preserve"> PAGEREF _Toc15647506 \h </w:instrText>
        </w:r>
        <w:r>
          <w:rPr>
            <w:webHidden/>
          </w:rPr>
        </w:r>
        <w:r>
          <w:rPr>
            <w:webHidden/>
          </w:rPr>
          <w:fldChar w:fldCharType="separate"/>
        </w:r>
        <w:r>
          <w:rPr>
            <w:webHidden/>
          </w:rPr>
          <w:t>7</w:t>
        </w:r>
        <w:r>
          <w:rPr>
            <w:webHidden/>
          </w:rPr>
          <w:fldChar w:fldCharType="end"/>
        </w:r>
      </w:hyperlink>
    </w:p>
    <w:p w14:paraId="27CD6206" w14:textId="692C2300" w:rsidR="00B964D9" w:rsidRPr="00652E2A" w:rsidRDefault="00273B07" w:rsidP="00106AE2">
      <w:pPr>
        <w:spacing w:after="120"/>
        <w:rPr>
          <w:sz w:val="18"/>
          <w:lang w:val="de-DE"/>
        </w:rPr>
      </w:pPr>
      <w:r w:rsidRPr="00652E2A">
        <w:rPr>
          <w:snapToGrid w:val="0"/>
          <w:lang w:val="de-DE"/>
        </w:rPr>
        <w:fldChar w:fldCharType="end"/>
      </w:r>
      <w:r w:rsidRPr="00652E2A">
        <w:rPr>
          <w:sz w:val="18"/>
          <w:lang w:val="de-DE"/>
        </w:rPr>
        <w:t>AN</w:t>
      </w:r>
      <w:r w:rsidR="002F3AB2" w:rsidRPr="00652E2A">
        <w:rPr>
          <w:sz w:val="18"/>
          <w:lang w:val="de-DE"/>
        </w:rPr>
        <w:t>LAGE</w:t>
      </w:r>
      <w:r w:rsidRPr="00652E2A">
        <w:rPr>
          <w:sz w:val="18"/>
          <w:lang w:val="de-DE"/>
        </w:rPr>
        <w:t xml:space="preserve"> I:</w:t>
      </w:r>
      <w:r w:rsidRPr="00652E2A">
        <w:rPr>
          <w:sz w:val="18"/>
          <w:lang w:val="de-DE"/>
        </w:rPr>
        <w:tab/>
      </w:r>
      <w:r w:rsidR="00BE5CEB" w:rsidRPr="00652E2A">
        <w:rPr>
          <w:sz w:val="18"/>
          <w:lang w:val="de-DE"/>
        </w:rPr>
        <w:t>Überarbeitungen von Dokument</w:t>
      </w:r>
      <w:r w:rsidR="002F3AB2" w:rsidRPr="00652E2A">
        <w:rPr>
          <w:sz w:val="18"/>
          <w:lang w:val="de-DE"/>
        </w:rPr>
        <w:t xml:space="preserve"> </w:t>
      </w:r>
      <w:r w:rsidRPr="00652E2A">
        <w:rPr>
          <w:sz w:val="18"/>
          <w:lang w:val="de-DE"/>
        </w:rPr>
        <w:t xml:space="preserve">TGP/7 </w:t>
      </w:r>
    </w:p>
    <w:p w14:paraId="0D364FD5" w14:textId="3EA5C876" w:rsidR="00B964D9" w:rsidRPr="00652E2A" w:rsidRDefault="002F3AB2" w:rsidP="00106AE2">
      <w:pPr>
        <w:spacing w:after="120"/>
        <w:rPr>
          <w:sz w:val="18"/>
          <w:lang w:val="de-DE"/>
        </w:rPr>
      </w:pPr>
      <w:r w:rsidRPr="00652E2A">
        <w:rPr>
          <w:sz w:val="18"/>
          <w:lang w:val="de-DE"/>
        </w:rPr>
        <w:t>ANLAGE</w:t>
      </w:r>
      <w:r w:rsidR="00273B07" w:rsidRPr="00652E2A">
        <w:rPr>
          <w:sz w:val="18"/>
          <w:lang w:val="de-DE"/>
        </w:rPr>
        <w:t xml:space="preserve"> II:</w:t>
      </w:r>
      <w:r w:rsidR="00273B07" w:rsidRPr="00652E2A">
        <w:rPr>
          <w:sz w:val="18"/>
          <w:lang w:val="de-DE"/>
        </w:rPr>
        <w:tab/>
      </w:r>
      <w:r w:rsidR="00BE5CEB" w:rsidRPr="00652E2A">
        <w:rPr>
          <w:sz w:val="18"/>
          <w:lang w:val="de-DE"/>
        </w:rPr>
        <w:t>Überarbeitungen von Dokument</w:t>
      </w:r>
      <w:r w:rsidRPr="00652E2A">
        <w:rPr>
          <w:sz w:val="18"/>
          <w:lang w:val="de-DE"/>
        </w:rPr>
        <w:t xml:space="preserve"> </w:t>
      </w:r>
      <w:r w:rsidR="00273B07" w:rsidRPr="00652E2A">
        <w:rPr>
          <w:sz w:val="18"/>
          <w:lang w:val="de-DE"/>
        </w:rPr>
        <w:t>TGP/8</w:t>
      </w:r>
    </w:p>
    <w:p w14:paraId="77A15513" w14:textId="79082B3C" w:rsidR="00B964D9" w:rsidRPr="00652E2A" w:rsidRDefault="002F3AB2" w:rsidP="00106AE2">
      <w:pPr>
        <w:spacing w:after="120"/>
        <w:rPr>
          <w:sz w:val="18"/>
          <w:lang w:val="de-DE"/>
        </w:rPr>
      </w:pPr>
      <w:bookmarkStart w:id="4" w:name="_Toc386185971"/>
      <w:bookmarkStart w:id="5" w:name="_Toc419124859"/>
      <w:r w:rsidRPr="00652E2A">
        <w:rPr>
          <w:sz w:val="18"/>
          <w:lang w:val="de-DE"/>
        </w:rPr>
        <w:t>ANLAGE</w:t>
      </w:r>
      <w:r w:rsidR="00273B07" w:rsidRPr="00652E2A">
        <w:rPr>
          <w:sz w:val="18"/>
          <w:lang w:val="de-DE"/>
        </w:rPr>
        <w:t xml:space="preserve"> III:</w:t>
      </w:r>
      <w:r w:rsidR="00273B07" w:rsidRPr="00652E2A">
        <w:rPr>
          <w:sz w:val="18"/>
          <w:lang w:val="de-DE"/>
        </w:rPr>
        <w:tab/>
      </w:r>
      <w:r w:rsidR="00BE5CEB" w:rsidRPr="00652E2A">
        <w:rPr>
          <w:sz w:val="18"/>
          <w:lang w:val="de-DE"/>
        </w:rPr>
        <w:t>Überarbeitungen von Dokument</w:t>
      </w:r>
      <w:r w:rsidRPr="00652E2A">
        <w:rPr>
          <w:sz w:val="18"/>
          <w:lang w:val="de-DE"/>
        </w:rPr>
        <w:t xml:space="preserve"> </w:t>
      </w:r>
      <w:r w:rsidR="00273B07" w:rsidRPr="00652E2A">
        <w:rPr>
          <w:sz w:val="18"/>
          <w:lang w:val="de-DE"/>
        </w:rPr>
        <w:t>TGP/10</w:t>
      </w:r>
    </w:p>
    <w:p w14:paraId="0349AAAC" w14:textId="572F3A0B" w:rsidR="00B964D9" w:rsidRPr="00652E2A" w:rsidRDefault="002F3AB2" w:rsidP="00106AE2">
      <w:pPr>
        <w:spacing w:after="120"/>
        <w:ind w:left="1134" w:hanging="1134"/>
        <w:rPr>
          <w:sz w:val="18"/>
          <w:lang w:val="de-DE"/>
        </w:rPr>
      </w:pPr>
      <w:r w:rsidRPr="00652E2A">
        <w:rPr>
          <w:sz w:val="18"/>
          <w:lang w:val="de-DE"/>
        </w:rPr>
        <w:t>ANLAGE</w:t>
      </w:r>
      <w:r w:rsidR="00273B07" w:rsidRPr="00652E2A">
        <w:rPr>
          <w:sz w:val="18"/>
          <w:lang w:val="de-DE"/>
        </w:rPr>
        <w:t xml:space="preserve"> IV:</w:t>
      </w:r>
      <w:r w:rsidR="00273B07" w:rsidRPr="00652E2A">
        <w:rPr>
          <w:sz w:val="18"/>
          <w:lang w:val="de-DE"/>
        </w:rPr>
        <w:tab/>
      </w:r>
      <w:r w:rsidR="00BE5CEB" w:rsidRPr="00652E2A">
        <w:rPr>
          <w:sz w:val="18"/>
          <w:lang w:val="de-DE"/>
        </w:rPr>
        <w:t>Überarbeitungen von Dokument</w:t>
      </w:r>
      <w:r w:rsidRPr="00652E2A">
        <w:rPr>
          <w:sz w:val="18"/>
          <w:lang w:val="de-DE"/>
        </w:rPr>
        <w:t xml:space="preserve"> </w:t>
      </w:r>
      <w:r w:rsidR="00273B07" w:rsidRPr="00652E2A">
        <w:rPr>
          <w:sz w:val="18"/>
          <w:lang w:val="de-DE"/>
        </w:rPr>
        <w:t>TGP/14</w:t>
      </w:r>
    </w:p>
    <w:p w14:paraId="3C254A32" w14:textId="49D29834" w:rsidR="00B964D9" w:rsidRPr="00652E2A" w:rsidRDefault="002F3AB2" w:rsidP="00106AE2">
      <w:pPr>
        <w:spacing w:after="120"/>
        <w:ind w:left="1134" w:hanging="1134"/>
        <w:rPr>
          <w:sz w:val="18"/>
          <w:lang w:val="de-DE"/>
        </w:rPr>
      </w:pPr>
      <w:r w:rsidRPr="00652E2A">
        <w:rPr>
          <w:sz w:val="18"/>
          <w:lang w:val="de-DE"/>
        </w:rPr>
        <w:t>ANLAGE</w:t>
      </w:r>
      <w:r w:rsidR="00273B07" w:rsidRPr="00652E2A">
        <w:rPr>
          <w:sz w:val="18"/>
          <w:lang w:val="de-DE"/>
        </w:rPr>
        <w:t xml:space="preserve"> V:</w:t>
      </w:r>
      <w:r w:rsidR="00273B07" w:rsidRPr="00652E2A">
        <w:rPr>
          <w:sz w:val="18"/>
          <w:lang w:val="de-DE"/>
        </w:rPr>
        <w:tab/>
      </w:r>
      <w:r w:rsidR="00BE5CEB" w:rsidRPr="00652E2A">
        <w:rPr>
          <w:sz w:val="18"/>
          <w:lang w:val="de-DE"/>
        </w:rPr>
        <w:t>Überarbeitungen von Dokument</w:t>
      </w:r>
      <w:r w:rsidRPr="00652E2A">
        <w:rPr>
          <w:sz w:val="18"/>
          <w:lang w:val="de-DE"/>
        </w:rPr>
        <w:t xml:space="preserve"> </w:t>
      </w:r>
      <w:r w:rsidR="00273B07" w:rsidRPr="00652E2A">
        <w:rPr>
          <w:sz w:val="18"/>
          <w:lang w:val="de-DE"/>
        </w:rPr>
        <w:t>TGP/15</w:t>
      </w:r>
    </w:p>
    <w:p w14:paraId="7D9C4577" w14:textId="5AC64E8F" w:rsidR="00B964D9" w:rsidRPr="00652E2A" w:rsidRDefault="002F3AB2" w:rsidP="00273B07">
      <w:pPr>
        <w:ind w:left="1134" w:hanging="1134"/>
        <w:rPr>
          <w:sz w:val="18"/>
          <w:lang w:val="de-DE"/>
        </w:rPr>
      </w:pPr>
      <w:r w:rsidRPr="00652E2A">
        <w:rPr>
          <w:sz w:val="18"/>
          <w:lang w:val="de-DE"/>
        </w:rPr>
        <w:t>ANLAGE</w:t>
      </w:r>
      <w:r w:rsidR="00273B07" w:rsidRPr="00652E2A">
        <w:rPr>
          <w:sz w:val="18"/>
          <w:lang w:val="de-DE"/>
        </w:rPr>
        <w:t xml:space="preserve"> VI:</w:t>
      </w:r>
      <w:r w:rsidR="00273B07" w:rsidRPr="00652E2A">
        <w:rPr>
          <w:sz w:val="18"/>
          <w:lang w:val="de-DE"/>
        </w:rPr>
        <w:tab/>
      </w:r>
      <w:r w:rsidR="00E12DDA" w:rsidRPr="00652E2A">
        <w:rPr>
          <w:sz w:val="18"/>
          <w:lang w:val="de-DE"/>
        </w:rPr>
        <w:t>Programm für die Erarbeitung von TGP-Dokumenten</w:t>
      </w:r>
      <w:r w:rsidR="00273B07" w:rsidRPr="00652E2A">
        <w:rPr>
          <w:sz w:val="18"/>
          <w:lang w:val="de-DE"/>
        </w:rPr>
        <w:t xml:space="preserve"> </w:t>
      </w:r>
    </w:p>
    <w:p w14:paraId="6F21ED40" w14:textId="77777777" w:rsidR="00B964D9" w:rsidRPr="00652E2A" w:rsidRDefault="00B964D9" w:rsidP="00273B07">
      <w:pPr>
        <w:ind w:left="1134" w:hanging="1134"/>
        <w:rPr>
          <w:sz w:val="18"/>
          <w:lang w:val="de-DE"/>
        </w:rPr>
      </w:pPr>
    </w:p>
    <w:p w14:paraId="03979662" w14:textId="77777777" w:rsidR="00B964D9" w:rsidRPr="00652E2A" w:rsidRDefault="00B964D9" w:rsidP="00273B07">
      <w:pPr>
        <w:ind w:left="1134" w:hanging="1134"/>
        <w:rPr>
          <w:sz w:val="18"/>
          <w:lang w:val="de-DE"/>
        </w:rPr>
      </w:pPr>
    </w:p>
    <w:p w14:paraId="6970D0E4" w14:textId="77777777" w:rsidR="00B964D9" w:rsidRPr="00652E2A" w:rsidRDefault="00273B07" w:rsidP="00B964D9">
      <w:pPr>
        <w:rPr>
          <w:rFonts w:cs="Arial"/>
          <w:lang w:val="de-DE"/>
        </w:rPr>
      </w:pPr>
      <w:r w:rsidRPr="00652E2A">
        <w:rPr>
          <w:rFonts w:cs="Arial"/>
          <w:lang w:val="de-DE"/>
        </w:rPr>
        <w:fldChar w:fldCharType="begin"/>
      </w:r>
      <w:r w:rsidRPr="00652E2A">
        <w:rPr>
          <w:rFonts w:cs="Arial"/>
          <w:lang w:val="de-DE"/>
        </w:rPr>
        <w:instrText xml:space="preserve"> AUTONUM  </w:instrText>
      </w:r>
      <w:r w:rsidRPr="00652E2A">
        <w:rPr>
          <w:rFonts w:cs="Arial"/>
          <w:lang w:val="de-DE"/>
        </w:rPr>
        <w:fldChar w:fldCharType="end"/>
      </w:r>
      <w:r w:rsidRPr="00652E2A">
        <w:rPr>
          <w:rFonts w:cs="Arial"/>
          <w:lang w:val="de-DE"/>
        </w:rPr>
        <w:tab/>
      </w:r>
      <w:r w:rsidR="00B964D9" w:rsidRPr="00652E2A">
        <w:rPr>
          <w:rFonts w:cs="Arial"/>
          <w:lang w:val="de-DE"/>
        </w:rPr>
        <w:t>In diesem Dokument werden folgende Abkürzungen verwendet:</w:t>
      </w:r>
    </w:p>
    <w:p w14:paraId="280AA9E0" w14:textId="77777777" w:rsidR="00B964D9" w:rsidRPr="00652E2A" w:rsidRDefault="00B964D9" w:rsidP="00273B07">
      <w:pPr>
        <w:ind w:left="1701" w:hanging="1134"/>
        <w:rPr>
          <w:rFonts w:cs="Arial"/>
          <w:lang w:val="de-DE"/>
        </w:rPr>
      </w:pPr>
    </w:p>
    <w:p w14:paraId="3C23B132" w14:textId="77777777" w:rsidR="00B964D9" w:rsidRPr="00652E2A" w:rsidRDefault="00B964D9" w:rsidP="00B964D9">
      <w:pPr>
        <w:ind w:left="1701" w:hanging="1134"/>
        <w:rPr>
          <w:rFonts w:cs="Arial"/>
          <w:lang w:val="de-DE"/>
        </w:rPr>
      </w:pPr>
      <w:r w:rsidRPr="00652E2A">
        <w:rPr>
          <w:rFonts w:cs="Arial"/>
          <w:lang w:val="de-DE"/>
        </w:rPr>
        <w:t xml:space="preserve">BMT: </w:t>
      </w:r>
      <w:r w:rsidRPr="00652E2A">
        <w:rPr>
          <w:rFonts w:cs="Arial"/>
          <w:lang w:val="de-DE"/>
        </w:rPr>
        <w:tab/>
        <w:t>Arbeitsgruppe für biochemische und molekulare Verfahren und insbesondere für DNS-Profilierungsverfahren</w:t>
      </w:r>
    </w:p>
    <w:p w14:paraId="40519532" w14:textId="3CFFF45A" w:rsidR="00B964D9" w:rsidRPr="00652E2A" w:rsidRDefault="00EA7E2E" w:rsidP="00B964D9">
      <w:pPr>
        <w:ind w:left="1701" w:hanging="1134"/>
        <w:rPr>
          <w:rFonts w:cs="Arial"/>
          <w:lang w:val="de-DE"/>
        </w:rPr>
      </w:pPr>
      <w:r w:rsidRPr="00652E2A">
        <w:rPr>
          <w:rFonts w:cs="Arial"/>
          <w:lang w:val="de-DE"/>
        </w:rPr>
        <w:t>CAJ:</w:t>
      </w:r>
      <w:r w:rsidRPr="00652E2A">
        <w:rPr>
          <w:rFonts w:cs="Arial"/>
          <w:lang w:val="de-DE"/>
        </w:rPr>
        <w:tab/>
      </w:r>
      <w:r w:rsidR="00B964D9" w:rsidRPr="00652E2A">
        <w:rPr>
          <w:rFonts w:cs="Arial"/>
          <w:lang w:val="de-DE"/>
        </w:rPr>
        <w:t xml:space="preserve">Verwaltungs- und </w:t>
      </w:r>
      <w:r w:rsidR="00EB5321" w:rsidRPr="00652E2A">
        <w:rPr>
          <w:rFonts w:cs="Arial"/>
          <w:lang w:val="de-DE"/>
        </w:rPr>
        <w:t>Rechtsausschuss</w:t>
      </w:r>
    </w:p>
    <w:p w14:paraId="14D56453" w14:textId="3934EE7A" w:rsidR="00B964D9" w:rsidRPr="00652E2A" w:rsidRDefault="00B964D9" w:rsidP="00B964D9">
      <w:pPr>
        <w:ind w:left="1701" w:hanging="1134"/>
        <w:rPr>
          <w:rFonts w:cs="Arial"/>
          <w:lang w:val="de-DE"/>
        </w:rPr>
      </w:pPr>
      <w:r w:rsidRPr="00652E2A">
        <w:rPr>
          <w:rFonts w:cs="Arial"/>
          <w:lang w:val="de-DE"/>
        </w:rPr>
        <w:t>TC:</w:t>
      </w:r>
      <w:r w:rsidR="00EA7E2E" w:rsidRPr="00652E2A">
        <w:rPr>
          <w:rFonts w:cs="Arial"/>
          <w:lang w:val="de-DE"/>
        </w:rPr>
        <w:tab/>
      </w:r>
      <w:r w:rsidRPr="00652E2A">
        <w:rPr>
          <w:rFonts w:cs="Arial"/>
          <w:lang w:val="de-DE"/>
        </w:rPr>
        <w:t xml:space="preserve">Technischer </w:t>
      </w:r>
      <w:r w:rsidR="00EB5321" w:rsidRPr="00652E2A">
        <w:rPr>
          <w:rFonts w:cs="Arial"/>
          <w:lang w:val="de-DE"/>
        </w:rPr>
        <w:t>Ausschuss</w:t>
      </w:r>
    </w:p>
    <w:p w14:paraId="597690BA" w14:textId="1D47E33B" w:rsidR="00B964D9" w:rsidRPr="00652E2A" w:rsidRDefault="00EA7E2E" w:rsidP="00B964D9">
      <w:pPr>
        <w:ind w:left="1701" w:hanging="1134"/>
        <w:rPr>
          <w:rFonts w:cs="Arial"/>
          <w:lang w:val="de-DE"/>
        </w:rPr>
      </w:pPr>
      <w:r w:rsidRPr="00652E2A">
        <w:rPr>
          <w:rFonts w:cs="Arial"/>
          <w:lang w:val="de-DE"/>
        </w:rPr>
        <w:t>TC-EDC:</w:t>
      </w:r>
      <w:r w:rsidRPr="00652E2A">
        <w:rPr>
          <w:rFonts w:cs="Arial"/>
          <w:lang w:val="de-DE"/>
        </w:rPr>
        <w:tab/>
      </w:r>
      <w:r w:rsidR="00B964D9" w:rsidRPr="00652E2A">
        <w:rPr>
          <w:rFonts w:cs="Arial"/>
          <w:lang w:val="de-DE"/>
        </w:rPr>
        <w:t>Erweiterter Redaktionsausschu</w:t>
      </w:r>
      <w:r w:rsidR="00EB5321">
        <w:rPr>
          <w:rFonts w:cs="Arial"/>
          <w:lang w:val="de-DE"/>
        </w:rPr>
        <w:t>ss</w:t>
      </w:r>
    </w:p>
    <w:p w14:paraId="349B21D6" w14:textId="77777777" w:rsidR="00B964D9" w:rsidRPr="00652E2A" w:rsidRDefault="00B964D9" w:rsidP="00B964D9">
      <w:pPr>
        <w:ind w:left="1701" w:hanging="1134"/>
        <w:rPr>
          <w:rFonts w:cs="Arial"/>
          <w:lang w:val="de-DE"/>
        </w:rPr>
      </w:pPr>
      <w:r w:rsidRPr="00652E2A">
        <w:rPr>
          <w:rFonts w:cs="Arial"/>
          <w:lang w:val="de-DE"/>
        </w:rPr>
        <w:t>TWP:</w:t>
      </w:r>
      <w:r w:rsidR="00EA7E2E" w:rsidRPr="00652E2A">
        <w:rPr>
          <w:rFonts w:cs="Arial"/>
          <w:lang w:val="de-DE"/>
        </w:rPr>
        <w:tab/>
      </w:r>
      <w:r w:rsidRPr="00652E2A">
        <w:rPr>
          <w:rFonts w:cs="Arial"/>
          <w:lang w:val="de-DE"/>
        </w:rPr>
        <w:t>Technische Arbeitsgruppen</w:t>
      </w:r>
      <w:r w:rsidR="00273B07" w:rsidRPr="00652E2A">
        <w:rPr>
          <w:rFonts w:cs="Arial"/>
          <w:lang w:val="de-DE"/>
        </w:rPr>
        <w:t xml:space="preserve"> </w:t>
      </w:r>
      <w:bookmarkStart w:id="6" w:name="_Toc352678045"/>
      <w:bookmarkStart w:id="7" w:name="_Toc353797725"/>
      <w:bookmarkStart w:id="8" w:name="_Toc386185970"/>
      <w:bookmarkStart w:id="9" w:name="_Toc419124858"/>
    </w:p>
    <w:p w14:paraId="3E6DE8A8" w14:textId="77777777" w:rsidR="00B964D9" w:rsidRPr="00652E2A" w:rsidRDefault="00B964D9" w:rsidP="0083066D">
      <w:pPr>
        <w:rPr>
          <w:lang w:val="de-DE"/>
        </w:rPr>
      </w:pPr>
    </w:p>
    <w:p w14:paraId="19834DAD" w14:textId="77777777" w:rsidR="00B964D9" w:rsidRPr="00652E2A" w:rsidRDefault="00B964D9" w:rsidP="0083066D">
      <w:pPr>
        <w:rPr>
          <w:lang w:val="de-DE"/>
        </w:rPr>
      </w:pPr>
    </w:p>
    <w:p w14:paraId="5D4794C0" w14:textId="77777777" w:rsidR="00B964D9" w:rsidRPr="00652E2A" w:rsidRDefault="00B964D9" w:rsidP="0083066D">
      <w:pPr>
        <w:rPr>
          <w:lang w:val="de-DE"/>
        </w:rPr>
      </w:pPr>
    </w:p>
    <w:p w14:paraId="1E227EB7" w14:textId="77777777" w:rsidR="00B964D9" w:rsidRPr="00652E2A" w:rsidRDefault="00B964D9" w:rsidP="00B964D9">
      <w:pPr>
        <w:keepNext/>
        <w:keepLines/>
        <w:outlineLvl w:val="0"/>
        <w:rPr>
          <w:caps/>
          <w:lang w:val="de-DE"/>
        </w:rPr>
      </w:pPr>
      <w:bookmarkStart w:id="10" w:name="_Toc15647498"/>
      <w:bookmarkEnd w:id="6"/>
      <w:bookmarkEnd w:id="7"/>
      <w:bookmarkEnd w:id="8"/>
      <w:bookmarkEnd w:id="9"/>
      <w:r w:rsidRPr="00652E2A">
        <w:rPr>
          <w:caps/>
          <w:lang w:val="de-DE"/>
        </w:rPr>
        <w:t>Hintergrund</w:t>
      </w:r>
      <w:bookmarkEnd w:id="10"/>
    </w:p>
    <w:p w14:paraId="2C63FAB6" w14:textId="77777777" w:rsidR="00B964D9" w:rsidRPr="00652E2A" w:rsidRDefault="00B964D9" w:rsidP="00273B07">
      <w:pPr>
        <w:keepNext/>
        <w:keepLines/>
        <w:rPr>
          <w:rFonts w:cs="Arial"/>
          <w:lang w:val="de-DE"/>
        </w:rPr>
      </w:pPr>
    </w:p>
    <w:p w14:paraId="1295F5DB" w14:textId="57827581" w:rsidR="00B964D9" w:rsidRPr="00652E2A" w:rsidRDefault="00CA16E8" w:rsidP="00594D5D">
      <w:pPr>
        <w:rPr>
          <w:rFonts w:ascii="Times New Roman" w:hAnsi="Times New Roman"/>
          <w:sz w:val="24"/>
          <w:szCs w:val="24"/>
          <w:lang w:val="de-DE" w:eastAsia="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E9349B" w:rsidRPr="00652E2A">
        <w:rPr>
          <w:lang w:val="de-DE"/>
        </w:rPr>
        <w:t xml:space="preserve">Der TC auf seiner </w:t>
      </w:r>
      <w:r w:rsidR="008B31AD" w:rsidRPr="00652E2A">
        <w:rPr>
          <w:lang w:val="de-DE"/>
        </w:rPr>
        <w:t xml:space="preserve">vierundfünfzigsten </w:t>
      </w:r>
      <w:bookmarkStart w:id="11" w:name="_Ref12538883"/>
      <w:bookmarkEnd w:id="11"/>
      <w:r w:rsidR="00BE5CEB" w:rsidRPr="00652E2A">
        <w:rPr>
          <w:lang w:val="de-DE"/>
        </w:rPr>
        <w:t>Tagung</w:t>
      </w:r>
      <w:r w:rsidR="00BE5CEB" w:rsidRPr="00652E2A">
        <w:rPr>
          <w:rStyle w:val="FootnoteReference"/>
          <w:lang w:val="de-DE"/>
        </w:rPr>
        <w:footnoteReference w:id="3"/>
      </w:r>
      <w:r w:rsidR="00E9349B" w:rsidRPr="00652E2A">
        <w:rPr>
          <w:lang w:val="de-DE"/>
        </w:rPr>
        <w:t xml:space="preserve"> und der CAJ auf seiner </w:t>
      </w:r>
      <w:r w:rsidR="008B31AD" w:rsidRPr="00652E2A">
        <w:rPr>
          <w:lang w:val="de-DE"/>
        </w:rPr>
        <w:t>fünfundsiebzigsten</w:t>
      </w:r>
      <w:r w:rsidR="00E9349B" w:rsidRPr="00652E2A">
        <w:rPr>
          <w:lang w:val="de-DE"/>
        </w:rPr>
        <w:t xml:space="preserve"> </w:t>
      </w:r>
      <w:bookmarkStart w:id="12" w:name="_Ref12539907"/>
      <w:bookmarkEnd w:id="12"/>
      <w:r w:rsidR="00BE5CEB" w:rsidRPr="00652E2A">
        <w:rPr>
          <w:lang w:val="de-DE"/>
        </w:rPr>
        <w:t>Tagung</w:t>
      </w:r>
      <w:r w:rsidR="00BE5CEB" w:rsidRPr="00652E2A">
        <w:rPr>
          <w:rStyle w:val="FootnoteReference"/>
          <w:lang w:val="de-DE"/>
        </w:rPr>
        <w:footnoteReference w:id="4"/>
      </w:r>
      <w:r w:rsidR="00E9349B" w:rsidRPr="00652E2A">
        <w:rPr>
          <w:lang w:val="de-DE"/>
        </w:rPr>
        <w:t xml:space="preserve"> billigten das Programm für die Erarbeitung von TGP-Dokumenten, wie in der Anlage der Dokumente</w:t>
      </w:r>
      <w:r w:rsidR="001531DF" w:rsidRPr="00652E2A">
        <w:rPr>
          <w:lang w:val="de-DE"/>
        </w:rPr>
        <w:t xml:space="preserve"> </w:t>
      </w:r>
      <w:hyperlink r:id="rId9" w:history="1">
        <w:r w:rsidR="00594D5D">
          <w:rPr>
            <w:rStyle w:val="Hyperlink"/>
          </w:rPr>
          <w:t>TC/54/5 </w:t>
        </w:r>
        <w:r w:rsidR="00594D5D" w:rsidRPr="00CD62D8">
          <w:rPr>
            <w:rStyle w:val="Hyperlink"/>
          </w:rPr>
          <w:t>Rev</w:t>
        </w:r>
      </w:hyperlink>
      <w:r w:rsidR="00E9349B" w:rsidRPr="00652E2A">
        <w:rPr>
          <w:lang w:val="de-DE"/>
        </w:rPr>
        <w:t>.</w:t>
      </w:r>
      <w:r w:rsidR="00C20397" w:rsidRPr="00652E2A">
        <w:rPr>
          <w:lang w:val="de-DE"/>
        </w:rPr>
        <w:t xml:space="preserve"> </w:t>
      </w:r>
      <w:r w:rsidR="001E2D36" w:rsidRPr="00652E2A">
        <w:rPr>
          <w:lang w:val="de-DE"/>
        </w:rPr>
        <w:t>„</w:t>
      </w:r>
      <w:r w:rsidR="00E9349B" w:rsidRPr="00652E2A">
        <w:rPr>
          <w:lang w:val="de-DE"/>
        </w:rPr>
        <w:t>TGP Dokumente</w:t>
      </w:r>
      <w:r w:rsidR="001E2D36" w:rsidRPr="00652E2A">
        <w:rPr>
          <w:lang w:val="de-DE"/>
        </w:rPr>
        <w:t>“</w:t>
      </w:r>
      <w:r w:rsidR="00E9349B" w:rsidRPr="00652E2A">
        <w:rPr>
          <w:lang w:val="de-DE"/>
        </w:rPr>
        <w:t xml:space="preserve"> </w:t>
      </w:r>
      <w:r w:rsidR="00BE5CEB" w:rsidRPr="00652E2A">
        <w:rPr>
          <w:lang w:val="de-DE"/>
        </w:rPr>
        <w:t xml:space="preserve">bzw. </w:t>
      </w:r>
      <w:hyperlink r:id="rId10" w:history="1">
        <w:r w:rsidR="00594D5D" w:rsidRPr="00CD62D8">
          <w:rPr>
            <w:rStyle w:val="Hyperlink"/>
          </w:rPr>
          <w:t>CAJ/75/13</w:t>
        </w:r>
      </w:hyperlink>
      <w:r w:rsidR="00C20397" w:rsidRPr="00652E2A">
        <w:rPr>
          <w:lang w:val="de-DE"/>
        </w:rPr>
        <w:t xml:space="preserve"> </w:t>
      </w:r>
      <w:r w:rsidR="001E2D36" w:rsidRPr="00652E2A">
        <w:rPr>
          <w:lang w:val="de-DE"/>
        </w:rPr>
        <w:t>„</w:t>
      </w:r>
      <w:r w:rsidR="00E9349B" w:rsidRPr="00652E2A">
        <w:rPr>
          <w:lang w:val="de-DE"/>
        </w:rPr>
        <w:t>Bericht über die Entwickl</w:t>
      </w:r>
      <w:r w:rsidR="00DD7470" w:rsidRPr="00652E2A">
        <w:rPr>
          <w:lang w:val="de-DE"/>
        </w:rPr>
        <w:t>u</w:t>
      </w:r>
      <w:r w:rsidR="00E9349B" w:rsidRPr="00652E2A">
        <w:rPr>
          <w:lang w:val="de-DE"/>
        </w:rPr>
        <w:t xml:space="preserve">ngen im </w:t>
      </w:r>
      <w:r w:rsidR="00BE5CEB" w:rsidRPr="00652E2A">
        <w:rPr>
          <w:lang w:val="de-DE"/>
        </w:rPr>
        <w:t xml:space="preserve">Technischen </w:t>
      </w:r>
      <w:r w:rsidR="00EB5321" w:rsidRPr="00652E2A">
        <w:rPr>
          <w:lang w:val="de-DE"/>
        </w:rPr>
        <w:t>Ausschuss</w:t>
      </w:r>
      <w:r w:rsidR="001E2D36" w:rsidRPr="00652E2A">
        <w:rPr>
          <w:lang w:val="de-DE"/>
        </w:rPr>
        <w:t>“</w:t>
      </w:r>
      <w:r w:rsidR="00E9349B" w:rsidRPr="00652E2A">
        <w:rPr>
          <w:lang w:val="de-DE"/>
        </w:rPr>
        <w:t xml:space="preserve">, dargelegt, </w:t>
      </w:r>
      <w:r w:rsidR="005B163F" w:rsidRPr="00652E2A">
        <w:rPr>
          <w:lang w:val="de-DE"/>
        </w:rPr>
        <w:t xml:space="preserve">vorbehaltlich der </w:t>
      </w:r>
      <w:r w:rsidR="00FD7926" w:rsidRPr="00652E2A">
        <w:rPr>
          <w:lang w:val="de-DE"/>
        </w:rPr>
        <w:t>Entschließungen</w:t>
      </w:r>
      <w:r w:rsidR="005B163F" w:rsidRPr="00652E2A">
        <w:rPr>
          <w:lang w:val="de-DE"/>
        </w:rPr>
        <w:t xml:space="preserve"> </w:t>
      </w:r>
      <w:r w:rsidR="00BE5CEB" w:rsidRPr="00652E2A">
        <w:rPr>
          <w:lang w:val="de-DE"/>
        </w:rPr>
        <w:t xml:space="preserve">auf ihren </w:t>
      </w:r>
      <w:r w:rsidR="00B5600B" w:rsidRPr="00652E2A">
        <w:rPr>
          <w:lang w:val="de-DE"/>
        </w:rPr>
        <w:t>Tagung</w:t>
      </w:r>
      <w:r w:rsidR="005B163F" w:rsidRPr="00652E2A">
        <w:rPr>
          <w:lang w:val="de-DE"/>
        </w:rPr>
        <w:t>en</w:t>
      </w:r>
      <w:r w:rsidR="00E9349B" w:rsidRPr="00652E2A">
        <w:rPr>
          <w:rStyle w:val="FootnoteReference"/>
          <w:lang w:val="de-DE"/>
        </w:rPr>
        <w:footnoteReference w:id="5"/>
      </w:r>
      <w:r w:rsidR="00E9349B" w:rsidRPr="00652E2A">
        <w:rPr>
          <w:lang w:val="de-DE"/>
        </w:rPr>
        <w:t>.</w:t>
      </w:r>
      <w:r w:rsidR="00273B07" w:rsidRPr="00652E2A">
        <w:rPr>
          <w:lang w:val="de-DE"/>
        </w:rPr>
        <w:t xml:space="preserve"> </w:t>
      </w:r>
    </w:p>
    <w:p w14:paraId="1E058EF4" w14:textId="77777777" w:rsidR="00B964D9" w:rsidRPr="00652E2A" w:rsidRDefault="00B964D9" w:rsidP="00CD34A5">
      <w:pPr>
        <w:rPr>
          <w:rFonts w:cs="Arial"/>
          <w:lang w:val="de-DE"/>
        </w:rPr>
      </w:pPr>
    </w:p>
    <w:p w14:paraId="5649E98D" w14:textId="478298B0" w:rsidR="00B964D9" w:rsidRPr="00652E2A" w:rsidRDefault="00273B07" w:rsidP="00B964D9">
      <w:pPr>
        <w:rPr>
          <w:rFonts w:cs="Arial"/>
          <w:lang w:val="de-DE"/>
        </w:rPr>
      </w:pPr>
      <w:r w:rsidRPr="00652E2A">
        <w:rPr>
          <w:rFonts w:cs="Arial"/>
          <w:lang w:val="de-DE"/>
        </w:rPr>
        <w:fldChar w:fldCharType="begin"/>
      </w:r>
      <w:r w:rsidRPr="00652E2A">
        <w:rPr>
          <w:rFonts w:cs="Arial"/>
          <w:lang w:val="de-DE"/>
        </w:rPr>
        <w:instrText xml:space="preserve"> AUTONUM  </w:instrText>
      </w:r>
      <w:r w:rsidRPr="00652E2A">
        <w:rPr>
          <w:rFonts w:cs="Arial"/>
          <w:lang w:val="de-DE"/>
        </w:rPr>
        <w:fldChar w:fldCharType="end"/>
      </w:r>
      <w:r w:rsidRPr="00652E2A">
        <w:rPr>
          <w:rFonts w:cs="Arial"/>
          <w:lang w:val="de-DE"/>
        </w:rPr>
        <w:tab/>
      </w:r>
      <w:r w:rsidR="00B964D9" w:rsidRPr="00652E2A">
        <w:rPr>
          <w:rFonts w:cs="Arial"/>
          <w:lang w:val="de-DE"/>
        </w:rPr>
        <w:t>Die angenommenen TGP-Dokumente werden auf der UPOV-Website veröffentlicht unter</w:t>
      </w:r>
      <w:r w:rsidR="001531DF" w:rsidRPr="00652E2A">
        <w:rPr>
          <w:rFonts w:cs="Arial"/>
          <w:lang w:val="de-DE"/>
        </w:rPr>
        <w:t xml:space="preserve"> </w:t>
      </w:r>
      <w:hyperlink r:id="rId11" w:history="1">
        <w:r w:rsidR="001531DF" w:rsidRPr="00652E2A">
          <w:rPr>
            <w:rStyle w:val="Hyperlink"/>
            <w:rFonts w:cs="Arial"/>
            <w:lang w:val="de-DE"/>
          </w:rPr>
          <w:t>https://www.upov.int/upov_collection/de/</w:t>
        </w:r>
      </w:hyperlink>
      <w:r w:rsidR="00B964D9" w:rsidRPr="00652E2A">
        <w:rPr>
          <w:rFonts w:cs="Arial"/>
          <w:lang w:val="de-DE"/>
        </w:rPr>
        <w:t>.</w:t>
      </w:r>
    </w:p>
    <w:p w14:paraId="6C91A7ED" w14:textId="77777777" w:rsidR="00B964D9" w:rsidRPr="00652E2A" w:rsidRDefault="00B964D9" w:rsidP="00273B07">
      <w:pPr>
        <w:rPr>
          <w:rFonts w:cs="Arial"/>
          <w:iCs/>
          <w:lang w:val="de-DE"/>
        </w:rPr>
      </w:pPr>
      <w:bookmarkStart w:id="13" w:name="_Toc386185983"/>
      <w:bookmarkStart w:id="14" w:name="_Toc419124871"/>
      <w:bookmarkStart w:id="15" w:name="_Toc378251517"/>
      <w:bookmarkStart w:id="16" w:name="_Toc381279978"/>
      <w:bookmarkEnd w:id="4"/>
      <w:bookmarkEnd w:id="5"/>
    </w:p>
    <w:p w14:paraId="2AE429E8" w14:textId="0897AEB6" w:rsidR="00B964D9" w:rsidRPr="00652E2A" w:rsidRDefault="00CD34A5" w:rsidP="00CD34A5">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BA768E" w:rsidRPr="00652E2A">
        <w:rPr>
          <w:lang w:val="de-DE"/>
        </w:rPr>
        <w:t xml:space="preserve">Die </w:t>
      </w:r>
      <w:r w:rsidR="00221023" w:rsidRPr="00652E2A">
        <w:rPr>
          <w:lang w:val="de-DE"/>
        </w:rPr>
        <w:t>Bemerkungen</w:t>
      </w:r>
      <w:r w:rsidR="00BA768E" w:rsidRPr="00652E2A">
        <w:rPr>
          <w:lang w:val="de-DE"/>
        </w:rPr>
        <w:t xml:space="preserve"> des TC auf seiner fünfundfünfzigsten Tagung</w:t>
      </w:r>
      <w:r w:rsidR="006F6881" w:rsidRPr="00652E2A">
        <w:rPr>
          <w:vertAlign w:val="superscript"/>
          <w:lang w:val="de-DE"/>
        </w:rPr>
        <w:fldChar w:fldCharType="begin"/>
      </w:r>
      <w:r w:rsidR="006F6881" w:rsidRPr="00652E2A">
        <w:rPr>
          <w:vertAlign w:val="superscript"/>
          <w:lang w:val="de-DE"/>
        </w:rPr>
        <w:instrText xml:space="preserve"> NOTEREF _Ref13574983 \h  \* MERGEFORMAT </w:instrText>
      </w:r>
      <w:r w:rsidR="006F6881" w:rsidRPr="00652E2A">
        <w:rPr>
          <w:vertAlign w:val="superscript"/>
          <w:lang w:val="de-DE"/>
        </w:rPr>
      </w:r>
      <w:r w:rsidR="006F6881" w:rsidRPr="00652E2A">
        <w:rPr>
          <w:vertAlign w:val="superscript"/>
          <w:lang w:val="de-DE"/>
        </w:rPr>
        <w:fldChar w:fldCharType="separate"/>
      </w:r>
      <w:r w:rsidR="00ED0947" w:rsidRPr="00652E2A">
        <w:rPr>
          <w:vertAlign w:val="superscript"/>
          <w:lang w:val="de-DE"/>
        </w:rPr>
        <w:t>1</w:t>
      </w:r>
      <w:r w:rsidR="006F6881" w:rsidRPr="00652E2A">
        <w:rPr>
          <w:vertAlign w:val="superscript"/>
          <w:lang w:val="de-DE"/>
        </w:rPr>
        <w:fldChar w:fldCharType="end"/>
      </w:r>
      <w:bookmarkStart w:id="17" w:name="_Ref12539207"/>
      <w:r w:rsidR="0039607B" w:rsidRPr="00652E2A">
        <w:rPr>
          <w:lang w:val="de-DE"/>
        </w:rPr>
        <w:t xml:space="preserve">, die für die </w:t>
      </w:r>
      <w:r w:rsidR="00221023" w:rsidRPr="00652E2A">
        <w:rPr>
          <w:lang w:val="de-DE"/>
        </w:rPr>
        <w:t>Prüfung</w:t>
      </w:r>
      <w:r w:rsidR="0039607B" w:rsidRPr="00652E2A">
        <w:rPr>
          <w:lang w:val="de-DE"/>
        </w:rPr>
        <w:t xml:space="preserve"> von TGP-Dokumenten durch den CAJ </w:t>
      </w:r>
      <w:r w:rsidR="00221023" w:rsidRPr="00652E2A">
        <w:rPr>
          <w:lang w:val="de-DE"/>
        </w:rPr>
        <w:t>maßgeblich</w:t>
      </w:r>
      <w:r w:rsidR="0039607B" w:rsidRPr="00652E2A">
        <w:rPr>
          <w:lang w:val="de-DE"/>
        </w:rPr>
        <w:t xml:space="preserve"> sind, werden dem CAJ auf seiner sechsundsiebzigsten Tagung</w:t>
      </w:r>
      <w:r w:rsidR="00DE4939" w:rsidRPr="00652E2A">
        <w:rPr>
          <w:rStyle w:val="FootnoteReference"/>
          <w:lang w:val="de-DE"/>
        </w:rPr>
        <w:footnoteReference w:id="6"/>
      </w:r>
      <w:bookmarkEnd w:id="17"/>
      <w:r w:rsidR="0039607B" w:rsidRPr="00652E2A">
        <w:rPr>
          <w:lang w:val="de-DE"/>
        </w:rPr>
        <w:t xml:space="preserve"> </w:t>
      </w:r>
      <w:r w:rsidR="00221023" w:rsidRPr="00652E2A">
        <w:rPr>
          <w:lang w:val="de-DE"/>
        </w:rPr>
        <w:t xml:space="preserve">in </w:t>
      </w:r>
      <w:r w:rsidR="0039607B" w:rsidRPr="00652E2A">
        <w:rPr>
          <w:lang w:val="de-DE"/>
        </w:rPr>
        <w:t>Dokument CAJ/76/8</w:t>
      </w:r>
      <w:r w:rsidR="00C20397" w:rsidRPr="00652E2A">
        <w:rPr>
          <w:lang w:val="de-DE"/>
        </w:rPr>
        <w:t xml:space="preserve"> </w:t>
      </w:r>
      <w:r w:rsidR="001E2D36" w:rsidRPr="00652E2A">
        <w:rPr>
          <w:lang w:val="de-DE"/>
        </w:rPr>
        <w:t>„</w:t>
      </w:r>
      <w:r w:rsidR="0039607B" w:rsidRPr="00652E2A">
        <w:rPr>
          <w:lang w:val="de-DE"/>
        </w:rPr>
        <w:t xml:space="preserve">Bericht über die Entwicklungen im Technischen </w:t>
      </w:r>
      <w:r w:rsidR="00EB5321" w:rsidRPr="00652E2A">
        <w:rPr>
          <w:lang w:val="de-DE"/>
        </w:rPr>
        <w:t>Ausschuss</w:t>
      </w:r>
      <w:r w:rsidR="001E2D36" w:rsidRPr="00652E2A">
        <w:rPr>
          <w:lang w:val="de-DE"/>
        </w:rPr>
        <w:t>“</w:t>
      </w:r>
      <w:r w:rsidR="0039607B" w:rsidRPr="00652E2A">
        <w:rPr>
          <w:lang w:val="de-DE"/>
        </w:rPr>
        <w:t xml:space="preserve"> vorgelegt, das am Abend des 29. Oktober 2019 verfügbar sein wird.</w:t>
      </w:r>
    </w:p>
    <w:p w14:paraId="0E287809" w14:textId="77777777" w:rsidR="00B964D9" w:rsidRPr="00652E2A" w:rsidRDefault="00B964D9" w:rsidP="00CD34A5">
      <w:pPr>
        <w:rPr>
          <w:lang w:val="de-DE"/>
        </w:rPr>
      </w:pPr>
    </w:p>
    <w:p w14:paraId="4191A113" w14:textId="77777777" w:rsidR="00B964D9" w:rsidRPr="00652E2A" w:rsidRDefault="00B964D9" w:rsidP="00CD34A5">
      <w:pPr>
        <w:rPr>
          <w:lang w:val="de-DE"/>
        </w:rPr>
      </w:pPr>
    </w:p>
    <w:p w14:paraId="0ADD2B66" w14:textId="77777777" w:rsidR="00B964D9" w:rsidRPr="00652E2A" w:rsidRDefault="00B964D9" w:rsidP="00B964D9">
      <w:pPr>
        <w:pStyle w:val="Heading1"/>
        <w:rPr>
          <w:lang w:val="de-DE"/>
        </w:rPr>
      </w:pPr>
      <w:bookmarkStart w:id="18" w:name="_Toc15647499"/>
      <w:r w:rsidRPr="00652E2A">
        <w:rPr>
          <w:lang w:val="de-DE"/>
        </w:rPr>
        <w:lastRenderedPageBreak/>
        <w:t>VOM CAJ ZU PRÜFENDE DOKUMENTE</w:t>
      </w:r>
      <w:bookmarkEnd w:id="18"/>
    </w:p>
    <w:p w14:paraId="61D6A532" w14:textId="77777777" w:rsidR="00B964D9" w:rsidRPr="00652E2A" w:rsidRDefault="00B964D9" w:rsidP="00993ED3">
      <w:pPr>
        <w:keepNext/>
        <w:rPr>
          <w:lang w:val="de-DE"/>
        </w:rPr>
      </w:pPr>
    </w:p>
    <w:p w14:paraId="028C5166" w14:textId="3B751915" w:rsidR="00B964D9" w:rsidRPr="00652E2A" w:rsidRDefault="00E43EA6" w:rsidP="00B964D9">
      <w:pPr>
        <w:keepNext/>
        <w:outlineLvl w:val="1"/>
        <w:rPr>
          <w:u w:val="single"/>
          <w:lang w:val="de-DE"/>
        </w:rPr>
      </w:pPr>
      <w:bookmarkStart w:id="19" w:name="_Toc15647500"/>
      <w:r w:rsidRPr="00652E2A">
        <w:rPr>
          <w:u w:val="single"/>
          <w:lang w:val="de-DE"/>
        </w:rPr>
        <w:t xml:space="preserve">Dokument </w:t>
      </w:r>
      <w:r w:rsidR="00B964D9" w:rsidRPr="00652E2A">
        <w:rPr>
          <w:u w:val="single"/>
          <w:lang w:val="de-DE"/>
        </w:rPr>
        <w:t>TGP/7:</w:t>
      </w:r>
      <w:r w:rsidR="00A234E3" w:rsidRPr="00652E2A">
        <w:rPr>
          <w:u w:val="single"/>
          <w:lang w:val="de-DE"/>
        </w:rPr>
        <w:t xml:space="preserve"> </w:t>
      </w:r>
      <w:r w:rsidR="00B964D9" w:rsidRPr="00652E2A">
        <w:rPr>
          <w:u w:val="single"/>
          <w:lang w:val="de-DE"/>
        </w:rPr>
        <w:t xml:space="preserve">Erstellung von Prüfungsrichtlinien </w:t>
      </w:r>
      <w:r w:rsidR="00762839" w:rsidRPr="00652E2A">
        <w:rPr>
          <w:u w:val="single"/>
          <w:lang w:val="de-DE"/>
        </w:rPr>
        <w:t xml:space="preserve">(Überarbeitung) </w:t>
      </w:r>
      <w:r w:rsidR="00B964D9" w:rsidRPr="00652E2A">
        <w:rPr>
          <w:u w:val="single"/>
          <w:lang w:val="de-DE"/>
        </w:rPr>
        <w:t>(Dokument TGP/7/7 Draft 1)</w:t>
      </w:r>
      <w:bookmarkEnd w:id="19"/>
    </w:p>
    <w:p w14:paraId="5C1B6E8D" w14:textId="77777777" w:rsidR="00B964D9" w:rsidRPr="00652E2A" w:rsidRDefault="00B964D9" w:rsidP="00993ED3">
      <w:pPr>
        <w:keepNext/>
        <w:rPr>
          <w:lang w:val="de-DE"/>
        </w:rPr>
      </w:pPr>
    </w:p>
    <w:p w14:paraId="236CEF6B" w14:textId="4C978436" w:rsidR="00B964D9" w:rsidRPr="00652E2A" w:rsidRDefault="00501AC5" w:rsidP="00993ED3">
      <w:pPr>
        <w:keepNext/>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9F3181" w:rsidRPr="00652E2A">
        <w:rPr>
          <w:lang w:val="de-DE"/>
        </w:rPr>
        <w:t xml:space="preserve">Der TC </w:t>
      </w:r>
      <w:r w:rsidR="008B31AD" w:rsidRPr="00652E2A">
        <w:rPr>
          <w:lang w:val="de-DE"/>
        </w:rPr>
        <w:t>vereinbarte</w:t>
      </w:r>
      <w:r w:rsidR="009F3181" w:rsidRPr="00652E2A">
        <w:rPr>
          <w:lang w:val="de-DE"/>
        </w:rPr>
        <w:t xml:space="preserve"> auf seiner vierundfünfzigsten </w:t>
      </w:r>
      <w:r w:rsidR="00221023" w:rsidRPr="00652E2A">
        <w:rPr>
          <w:lang w:val="de-DE"/>
        </w:rPr>
        <w:t>Tagung</w:t>
      </w:r>
      <w:r w:rsidR="00221023" w:rsidRPr="00652E2A">
        <w:rPr>
          <w:rStyle w:val="FootnoteReference"/>
          <w:lang w:val="de-DE"/>
        </w:rPr>
        <w:fldChar w:fldCharType="begin"/>
      </w:r>
      <w:r w:rsidR="00221023" w:rsidRPr="00652E2A">
        <w:rPr>
          <w:lang w:val="de-DE"/>
        </w:rPr>
        <w:instrText xml:space="preserve"> NOTEREF _Ref12538883 \f \h </w:instrText>
      </w:r>
      <w:r w:rsidR="00A12415" w:rsidRPr="00652E2A">
        <w:rPr>
          <w:rStyle w:val="FootnoteReference"/>
          <w:lang w:val="de-DE"/>
        </w:rPr>
        <w:instrText xml:space="preserve"> \* MERGEFORMAT </w:instrText>
      </w:r>
      <w:r w:rsidR="00221023" w:rsidRPr="00652E2A">
        <w:rPr>
          <w:rStyle w:val="FootnoteReference"/>
          <w:lang w:val="de-DE"/>
        </w:rPr>
      </w:r>
      <w:r w:rsidR="00221023" w:rsidRPr="00652E2A">
        <w:rPr>
          <w:rStyle w:val="FootnoteReference"/>
          <w:lang w:val="de-DE"/>
        </w:rPr>
        <w:fldChar w:fldCharType="separate"/>
      </w:r>
      <w:r w:rsidR="00221023" w:rsidRPr="00652E2A">
        <w:rPr>
          <w:rStyle w:val="FootnoteReference"/>
          <w:lang w:val="de-DE"/>
        </w:rPr>
        <w:t>2</w:t>
      </w:r>
      <w:r w:rsidR="00221023" w:rsidRPr="00652E2A">
        <w:rPr>
          <w:rStyle w:val="FootnoteReference"/>
          <w:lang w:val="de-DE"/>
        </w:rPr>
        <w:fldChar w:fldCharType="end"/>
      </w:r>
      <w:r w:rsidR="00221023" w:rsidRPr="00652E2A">
        <w:rPr>
          <w:lang w:val="de-DE"/>
        </w:rPr>
        <w:t xml:space="preserve">, </w:t>
      </w:r>
      <w:r w:rsidR="00EB5321" w:rsidRPr="00652E2A">
        <w:rPr>
          <w:lang w:val="de-DE"/>
        </w:rPr>
        <w:t>dass</w:t>
      </w:r>
      <w:r w:rsidR="009F3181" w:rsidRPr="00652E2A">
        <w:rPr>
          <w:lang w:val="de-DE"/>
        </w:rPr>
        <w:t xml:space="preserve"> die Vorschläge für </w:t>
      </w:r>
      <w:r w:rsidR="00221023" w:rsidRPr="00652E2A">
        <w:rPr>
          <w:lang w:val="de-DE"/>
        </w:rPr>
        <w:t>eine Anleitung</w:t>
      </w:r>
      <w:r w:rsidR="009F3181" w:rsidRPr="00652E2A">
        <w:rPr>
          <w:lang w:val="de-DE"/>
        </w:rPr>
        <w:t xml:space="preserve"> zu</w:t>
      </w:r>
      <w:r w:rsidR="00C20397" w:rsidRPr="00652E2A">
        <w:rPr>
          <w:lang w:val="de-DE"/>
        </w:rPr>
        <w:t xml:space="preserve"> </w:t>
      </w:r>
      <w:r w:rsidR="001E2D36" w:rsidRPr="00652E2A">
        <w:rPr>
          <w:lang w:val="de-DE"/>
        </w:rPr>
        <w:t>„</w:t>
      </w:r>
      <w:r w:rsidR="009F3181" w:rsidRPr="00652E2A">
        <w:rPr>
          <w:lang w:val="de-DE"/>
        </w:rPr>
        <w:t>Dauer der DUS-Prüfungen</w:t>
      </w:r>
      <w:r w:rsidR="001E2D36" w:rsidRPr="00652E2A">
        <w:rPr>
          <w:lang w:val="de-DE"/>
        </w:rPr>
        <w:t>“</w:t>
      </w:r>
      <w:r w:rsidR="009F3181" w:rsidRPr="00652E2A">
        <w:rPr>
          <w:lang w:val="de-DE"/>
        </w:rPr>
        <w:t xml:space="preserve"> und</w:t>
      </w:r>
      <w:r w:rsidR="00C20397" w:rsidRPr="00652E2A">
        <w:rPr>
          <w:lang w:val="de-DE"/>
        </w:rPr>
        <w:t xml:space="preserve"> </w:t>
      </w:r>
      <w:r w:rsidR="001E2D36" w:rsidRPr="00652E2A">
        <w:rPr>
          <w:lang w:val="de-DE"/>
        </w:rPr>
        <w:t>„</w:t>
      </w:r>
      <w:r w:rsidR="009F3181" w:rsidRPr="00652E2A">
        <w:rPr>
          <w:lang w:val="de-DE"/>
        </w:rPr>
        <w:t>Verfahren zur Einführung von Prüfungsrichtlinien</w:t>
      </w:r>
      <w:r w:rsidR="001E2D36" w:rsidRPr="00652E2A">
        <w:rPr>
          <w:lang w:val="de-DE"/>
        </w:rPr>
        <w:t>“</w:t>
      </w:r>
      <w:r w:rsidR="00221023" w:rsidRPr="00652E2A">
        <w:rPr>
          <w:lang w:val="de-DE"/>
        </w:rPr>
        <w:t xml:space="preserve"> </w:t>
      </w:r>
      <w:r w:rsidR="009F3181" w:rsidRPr="00652E2A">
        <w:rPr>
          <w:lang w:val="de-DE"/>
        </w:rPr>
        <w:t xml:space="preserve">in eine Überarbeitung </w:t>
      </w:r>
      <w:r w:rsidR="007301FF" w:rsidRPr="00652E2A">
        <w:rPr>
          <w:lang w:val="de-DE"/>
        </w:rPr>
        <w:t>von Dokument</w:t>
      </w:r>
      <w:r w:rsidR="009F3181" w:rsidRPr="00652E2A">
        <w:rPr>
          <w:lang w:val="de-DE"/>
        </w:rPr>
        <w:t xml:space="preserve"> TGP/7</w:t>
      </w:r>
      <w:r w:rsidR="00C20397" w:rsidRPr="00652E2A">
        <w:rPr>
          <w:lang w:val="de-DE"/>
        </w:rPr>
        <w:t xml:space="preserve"> </w:t>
      </w:r>
      <w:r w:rsidR="001E2D36" w:rsidRPr="00652E2A">
        <w:rPr>
          <w:lang w:val="de-DE"/>
        </w:rPr>
        <w:t>„</w:t>
      </w:r>
      <w:r w:rsidR="00221023" w:rsidRPr="00652E2A">
        <w:rPr>
          <w:lang w:val="de-DE"/>
        </w:rPr>
        <w:t>Erstellung von Prüfungsrichtlinien</w:t>
      </w:r>
      <w:r w:rsidR="001E2D36" w:rsidRPr="00652E2A">
        <w:rPr>
          <w:lang w:val="de-DE"/>
        </w:rPr>
        <w:t>“</w:t>
      </w:r>
      <w:r w:rsidR="00DF7B75" w:rsidRPr="00652E2A">
        <w:rPr>
          <w:rStyle w:val="FootnoteReference"/>
          <w:lang w:val="de-DE"/>
        </w:rPr>
        <w:footnoteReference w:id="7"/>
      </w:r>
      <w:r w:rsidR="00284EA6" w:rsidRPr="00652E2A">
        <w:rPr>
          <w:lang w:val="de-DE"/>
        </w:rPr>
        <w:t xml:space="preserve"> aufgenommen werden sollen</w:t>
      </w:r>
      <w:r w:rsidRPr="00652E2A">
        <w:rPr>
          <w:lang w:val="de-DE"/>
        </w:rPr>
        <w:t>.</w:t>
      </w:r>
    </w:p>
    <w:p w14:paraId="25299E56" w14:textId="77777777" w:rsidR="00B964D9" w:rsidRPr="00652E2A" w:rsidRDefault="00B964D9" w:rsidP="00501AC5">
      <w:pPr>
        <w:rPr>
          <w:lang w:val="de-DE"/>
        </w:rPr>
      </w:pPr>
    </w:p>
    <w:p w14:paraId="48AC0123" w14:textId="6FEA4D41" w:rsidR="00B964D9" w:rsidRPr="00652E2A" w:rsidRDefault="0019194C" w:rsidP="007F2331">
      <w:pPr>
        <w:rPr>
          <w:spacing w:val="-2"/>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7F2331" w:rsidRPr="00652E2A">
        <w:rPr>
          <w:spacing w:val="-2"/>
          <w:lang w:val="de-DE"/>
        </w:rPr>
        <w:t xml:space="preserve">In Anbetracht dieser Tatsache vereinbarte der TC, </w:t>
      </w:r>
      <w:r w:rsidR="00EB5321" w:rsidRPr="00652E2A">
        <w:rPr>
          <w:spacing w:val="-2"/>
          <w:lang w:val="de-DE"/>
        </w:rPr>
        <w:t>dass</w:t>
      </w:r>
      <w:r w:rsidR="007F2331" w:rsidRPr="00652E2A">
        <w:rPr>
          <w:spacing w:val="-2"/>
          <w:lang w:val="de-DE"/>
        </w:rPr>
        <w:t xml:space="preserve"> </w:t>
      </w:r>
      <w:r w:rsidR="00251F60" w:rsidRPr="00652E2A">
        <w:rPr>
          <w:spacing w:val="-2"/>
          <w:lang w:val="de-DE"/>
        </w:rPr>
        <w:t>eine</w:t>
      </w:r>
      <w:r w:rsidR="007F2331" w:rsidRPr="00652E2A">
        <w:rPr>
          <w:spacing w:val="-2"/>
          <w:lang w:val="de-DE"/>
        </w:rPr>
        <w:t xml:space="preserve"> Überarbeitung von Dokument TGP/7/6 (Dokument TGP/7/7 Draft 1) dem Rat auf seiner dreiundfünfzigsten ordentlichen Tagung vorbehaltlich der </w:t>
      </w:r>
      <w:r w:rsidR="00D8106C" w:rsidRPr="00652E2A">
        <w:rPr>
          <w:spacing w:val="-2"/>
          <w:lang w:val="de-DE"/>
        </w:rPr>
        <w:t>Billigung durch den CAJ</w:t>
      </w:r>
      <w:r w:rsidR="007F2331" w:rsidRPr="00652E2A">
        <w:rPr>
          <w:spacing w:val="-2"/>
          <w:lang w:val="de-DE"/>
        </w:rPr>
        <w:t xml:space="preserve"> auf seiner </w:t>
      </w:r>
      <w:r w:rsidR="00D8106C" w:rsidRPr="00652E2A">
        <w:rPr>
          <w:spacing w:val="-2"/>
          <w:lang w:val="de-DE"/>
        </w:rPr>
        <w:t xml:space="preserve">sechsundsiebzigsten </w:t>
      </w:r>
      <w:r w:rsidR="007F2331" w:rsidRPr="00652E2A">
        <w:rPr>
          <w:spacing w:val="-2"/>
          <w:lang w:val="de-DE"/>
        </w:rPr>
        <w:t>Tagung</w:t>
      </w:r>
      <w:r w:rsidR="007F2331" w:rsidRPr="00652E2A">
        <w:rPr>
          <w:spacing w:val="-2"/>
          <w:vertAlign w:val="superscript"/>
          <w:lang w:val="de-DE"/>
        </w:rPr>
        <w:fldChar w:fldCharType="begin"/>
      </w:r>
      <w:r w:rsidR="007F2331" w:rsidRPr="00652E2A">
        <w:rPr>
          <w:spacing w:val="-2"/>
          <w:vertAlign w:val="superscript"/>
          <w:lang w:val="de-DE"/>
        </w:rPr>
        <w:instrText xml:space="preserve"> NOTEREF _Ref12539207 \h  \* MERGEFORMAT </w:instrText>
      </w:r>
      <w:r w:rsidR="007F2331" w:rsidRPr="00652E2A">
        <w:rPr>
          <w:spacing w:val="-2"/>
          <w:vertAlign w:val="superscript"/>
          <w:lang w:val="de-DE"/>
        </w:rPr>
      </w:r>
      <w:r w:rsidR="007F2331" w:rsidRPr="00652E2A">
        <w:rPr>
          <w:spacing w:val="-2"/>
          <w:vertAlign w:val="superscript"/>
          <w:lang w:val="de-DE"/>
        </w:rPr>
        <w:fldChar w:fldCharType="separate"/>
      </w:r>
      <w:r w:rsidR="007F2331" w:rsidRPr="00652E2A">
        <w:rPr>
          <w:spacing w:val="-2"/>
          <w:vertAlign w:val="superscript"/>
          <w:lang w:val="de-DE"/>
        </w:rPr>
        <w:t>8</w:t>
      </w:r>
      <w:r w:rsidR="007F2331" w:rsidRPr="00652E2A">
        <w:rPr>
          <w:spacing w:val="-2"/>
          <w:vertAlign w:val="superscript"/>
          <w:lang w:val="de-DE"/>
        </w:rPr>
        <w:fldChar w:fldCharType="end"/>
      </w:r>
      <w:r w:rsidR="007F2331" w:rsidRPr="00652E2A">
        <w:rPr>
          <w:spacing w:val="-2"/>
          <w:lang w:val="de-DE"/>
        </w:rPr>
        <w:t xml:space="preserve"> </w:t>
      </w:r>
      <w:r w:rsidR="00AF02BB" w:rsidRPr="00652E2A">
        <w:rPr>
          <w:spacing w:val="-2"/>
          <w:lang w:val="de-DE"/>
        </w:rPr>
        <w:t>zur Annahme vorgelegt werden sollte.</w:t>
      </w:r>
    </w:p>
    <w:p w14:paraId="09B488E4" w14:textId="77777777" w:rsidR="00B964D9" w:rsidRPr="00652E2A" w:rsidRDefault="00B964D9" w:rsidP="0019194C">
      <w:pPr>
        <w:rPr>
          <w:spacing w:val="-2"/>
          <w:lang w:val="de-DE"/>
        </w:rPr>
      </w:pPr>
    </w:p>
    <w:p w14:paraId="6DF438E4" w14:textId="207372CB" w:rsidR="00B964D9" w:rsidRPr="00652E2A" w:rsidRDefault="0019194C" w:rsidP="00B964D9">
      <w:pPr>
        <w:rPr>
          <w:bCs/>
          <w:snapToGrid w:val="0"/>
          <w:szCs w:val="24"/>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B964D9" w:rsidRPr="00652E2A">
        <w:rPr>
          <w:spacing w:val="-2"/>
          <w:lang w:val="de-DE"/>
        </w:rPr>
        <w:t>Die Übersetzungen des englischen Originalwortlauts ins Deutsche, Französische und Spanische w</w:t>
      </w:r>
      <w:r w:rsidR="00762839" w:rsidRPr="00652E2A">
        <w:rPr>
          <w:spacing w:val="-2"/>
          <w:lang w:val="de-DE"/>
        </w:rPr>
        <w:t>u</w:t>
      </w:r>
      <w:r w:rsidR="00B964D9" w:rsidRPr="00652E2A">
        <w:rPr>
          <w:spacing w:val="-2"/>
          <w:lang w:val="de-DE"/>
        </w:rPr>
        <w:t>rden von den entsprechenden Mitgliedern des Redaktions</w:t>
      </w:r>
      <w:r w:rsidR="006D469B" w:rsidRPr="00652E2A">
        <w:rPr>
          <w:spacing w:val="-2"/>
          <w:lang w:val="de-DE"/>
        </w:rPr>
        <w:t>a</w:t>
      </w:r>
      <w:r w:rsidR="00D06894" w:rsidRPr="00652E2A">
        <w:rPr>
          <w:spacing w:val="-2"/>
          <w:lang w:val="de-DE"/>
        </w:rPr>
        <w:t>usschusses</w:t>
      </w:r>
      <w:r w:rsidR="00B964D9" w:rsidRPr="00652E2A">
        <w:rPr>
          <w:spacing w:val="-2"/>
          <w:lang w:val="de-DE"/>
        </w:rPr>
        <w:t xml:space="preserve"> vor der Vorlage des Entwurfs </w:t>
      </w:r>
      <w:r w:rsidR="007301FF" w:rsidRPr="00652E2A">
        <w:rPr>
          <w:spacing w:val="-2"/>
          <w:lang w:val="de-DE"/>
        </w:rPr>
        <w:t>von Dokument</w:t>
      </w:r>
      <w:r w:rsidR="00B964D9" w:rsidRPr="00652E2A">
        <w:rPr>
          <w:spacing w:val="-2"/>
          <w:lang w:val="de-DE"/>
        </w:rPr>
        <w:t> TGP/7/7 an den Rat überprüft.</w:t>
      </w:r>
      <w:r w:rsidR="007F2331" w:rsidRPr="00652E2A">
        <w:rPr>
          <w:spacing w:val="-2"/>
          <w:lang w:val="de-DE"/>
        </w:rPr>
        <w:t xml:space="preserve"> </w:t>
      </w:r>
      <w:r w:rsidR="00DB4285" w:rsidRPr="00652E2A">
        <w:rPr>
          <w:spacing w:val="-2"/>
          <w:lang w:val="de-DE"/>
        </w:rPr>
        <w:t>Dokument</w:t>
      </w:r>
      <w:r w:rsidR="005142AD">
        <w:rPr>
          <w:spacing w:val="-2"/>
          <w:lang w:val="de-DE"/>
        </w:rPr>
        <w:t xml:space="preserve"> </w:t>
      </w:r>
      <w:r w:rsidRPr="00652E2A">
        <w:rPr>
          <w:spacing w:val="-2"/>
          <w:lang w:val="de-DE"/>
        </w:rPr>
        <w:t xml:space="preserve">TGP/7/7 Draft 1 </w:t>
      </w:r>
      <w:r w:rsidR="009F3181" w:rsidRPr="00652E2A">
        <w:rPr>
          <w:spacing w:val="-2"/>
          <w:lang w:val="de-DE"/>
        </w:rPr>
        <w:t>beinhaltet die vom TC vereinbarten Änderungen</w:t>
      </w:r>
      <w:r w:rsidRPr="00652E2A">
        <w:rPr>
          <w:spacing w:val="-2"/>
          <w:lang w:val="de-DE"/>
        </w:rPr>
        <w:t xml:space="preserve">, </w:t>
      </w:r>
      <w:r w:rsidR="007F2331" w:rsidRPr="00652E2A">
        <w:rPr>
          <w:spacing w:val="-2"/>
          <w:lang w:val="de-DE"/>
        </w:rPr>
        <w:t xml:space="preserve">wie in </w:t>
      </w:r>
      <w:r w:rsidR="00340875" w:rsidRPr="00652E2A">
        <w:rPr>
          <w:spacing w:val="-2"/>
          <w:lang w:val="de-DE"/>
        </w:rPr>
        <w:t>Anlage</w:t>
      </w:r>
      <w:r w:rsidR="007F2331" w:rsidRPr="00652E2A">
        <w:rPr>
          <w:spacing w:val="-2"/>
          <w:lang w:val="de-DE"/>
        </w:rPr>
        <w:t xml:space="preserve"> I dieses Dokuments (im Überarbeitungsmodus) </w:t>
      </w:r>
      <w:r w:rsidR="00D8106C" w:rsidRPr="00652E2A">
        <w:rPr>
          <w:spacing w:val="-2"/>
          <w:lang w:val="de-DE"/>
        </w:rPr>
        <w:t>dargelegt</w:t>
      </w:r>
      <w:r w:rsidR="007F2331" w:rsidRPr="00652E2A">
        <w:rPr>
          <w:spacing w:val="-2"/>
          <w:lang w:val="de-DE"/>
        </w:rPr>
        <w:t>,</w:t>
      </w:r>
      <w:r w:rsidRPr="00652E2A">
        <w:rPr>
          <w:spacing w:val="-2"/>
          <w:lang w:val="de-DE"/>
        </w:rPr>
        <w:t xml:space="preserve"> </w:t>
      </w:r>
      <w:r w:rsidR="007F2331" w:rsidRPr="00652E2A">
        <w:rPr>
          <w:spacing w:val="-2"/>
          <w:lang w:val="de-DE"/>
        </w:rPr>
        <w:t>sowie die von den entsprechenden Mitgliedern des Redaktions</w:t>
      </w:r>
      <w:r w:rsidR="006D469B" w:rsidRPr="00652E2A">
        <w:rPr>
          <w:spacing w:val="-2"/>
          <w:lang w:val="de-DE"/>
        </w:rPr>
        <w:t>a</w:t>
      </w:r>
      <w:r w:rsidR="00D06894" w:rsidRPr="00652E2A">
        <w:rPr>
          <w:spacing w:val="-2"/>
          <w:lang w:val="de-DE"/>
        </w:rPr>
        <w:t>usschusses</w:t>
      </w:r>
      <w:r w:rsidR="007F2331" w:rsidRPr="00652E2A">
        <w:rPr>
          <w:spacing w:val="-2"/>
          <w:lang w:val="de-DE"/>
        </w:rPr>
        <w:t xml:space="preserve"> vorgeschlagenen sprachlichen Änderungen.</w:t>
      </w:r>
    </w:p>
    <w:p w14:paraId="4D376728" w14:textId="77777777" w:rsidR="00B964D9" w:rsidRPr="00652E2A" w:rsidRDefault="00B964D9" w:rsidP="0019194C">
      <w:pPr>
        <w:rPr>
          <w:bCs/>
          <w:snapToGrid w:val="0"/>
          <w:szCs w:val="24"/>
          <w:lang w:val="de-DE"/>
        </w:rPr>
      </w:pPr>
    </w:p>
    <w:p w14:paraId="617D4BC3" w14:textId="2289E908" w:rsidR="00B964D9" w:rsidRPr="00652E2A" w:rsidRDefault="00FE42F1" w:rsidP="00501AC5">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284EA6" w:rsidRPr="00652E2A">
        <w:rPr>
          <w:lang w:val="de-DE"/>
        </w:rPr>
        <w:t xml:space="preserve">Der TC wird </w:t>
      </w:r>
      <w:r w:rsidR="00D8106C" w:rsidRPr="00652E2A">
        <w:rPr>
          <w:lang w:val="de-DE"/>
        </w:rPr>
        <w:t xml:space="preserve">auf </w:t>
      </w:r>
      <w:r w:rsidR="00284EA6" w:rsidRPr="00652E2A">
        <w:rPr>
          <w:lang w:val="de-DE"/>
        </w:rPr>
        <w:t xml:space="preserve">seiner fünfundfünfzigsten </w:t>
      </w:r>
      <w:r w:rsidR="00B5600B" w:rsidRPr="00652E2A">
        <w:rPr>
          <w:lang w:val="de-DE"/>
        </w:rPr>
        <w:t>Tagung</w:t>
      </w:r>
      <w:r w:rsidR="00C52246" w:rsidRPr="00652E2A">
        <w:rPr>
          <w:vertAlign w:val="superscript"/>
          <w:lang w:val="de-DE"/>
        </w:rPr>
        <w:fldChar w:fldCharType="begin"/>
      </w:r>
      <w:r w:rsidR="00C52246" w:rsidRPr="00652E2A">
        <w:rPr>
          <w:vertAlign w:val="superscript"/>
          <w:lang w:val="de-DE"/>
        </w:rPr>
        <w:instrText xml:space="preserve"> NOTEREF _Ref13574983 \h  \* MERGEFORMAT </w:instrText>
      </w:r>
      <w:r w:rsidR="00C52246" w:rsidRPr="00652E2A">
        <w:rPr>
          <w:vertAlign w:val="superscript"/>
          <w:lang w:val="de-DE"/>
        </w:rPr>
      </w:r>
      <w:r w:rsidR="00C52246" w:rsidRPr="00652E2A">
        <w:rPr>
          <w:vertAlign w:val="superscript"/>
          <w:lang w:val="de-DE"/>
        </w:rPr>
        <w:fldChar w:fldCharType="separate"/>
      </w:r>
      <w:r w:rsidR="00ED0947" w:rsidRPr="00652E2A">
        <w:rPr>
          <w:vertAlign w:val="superscript"/>
          <w:lang w:val="de-DE"/>
        </w:rPr>
        <w:t>1</w:t>
      </w:r>
      <w:r w:rsidR="00C52246" w:rsidRPr="00652E2A">
        <w:rPr>
          <w:vertAlign w:val="superscript"/>
          <w:lang w:val="de-DE"/>
        </w:rPr>
        <w:fldChar w:fldCharType="end"/>
      </w:r>
      <w:r w:rsidR="00501AC5" w:rsidRPr="00652E2A">
        <w:rPr>
          <w:lang w:val="de-DE"/>
        </w:rPr>
        <w:t xml:space="preserve"> </w:t>
      </w:r>
      <w:r w:rsidR="00284EA6" w:rsidRPr="00652E2A">
        <w:rPr>
          <w:lang w:val="de-DE"/>
        </w:rPr>
        <w:t xml:space="preserve">das Dokument TGP/7/7 Draft 1 prüfen. Die </w:t>
      </w:r>
      <w:r w:rsidR="00D8106C" w:rsidRPr="00652E2A">
        <w:rPr>
          <w:lang w:val="de-DE"/>
        </w:rPr>
        <w:t>Bemerkungen</w:t>
      </w:r>
      <w:r w:rsidR="00284EA6" w:rsidRPr="00652E2A">
        <w:rPr>
          <w:lang w:val="de-DE"/>
        </w:rPr>
        <w:t xml:space="preserve"> des TC werden dem CAJ</w:t>
      </w:r>
      <w:r w:rsidR="00284EA6" w:rsidRPr="00652E2A">
        <w:rPr>
          <w:spacing w:val="-2"/>
          <w:lang w:val="de-DE"/>
        </w:rPr>
        <w:t xml:space="preserve"> </w:t>
      </w:r>
      <w:r w:rsidR="00D8106C" w:rsidRPr="00652E2A">
        <w:rPr>
          <w:spacing w:val="-2"/>
          <w:lang w:val="de-DE"/>
        </w:rPr>
        <w:t xml:space="preserve">auf </w:t>
      </w:r>
      <w:r w:rsidR="00284EA6" w:rsidRPr="00652E2A">
        <w:rPr>
          <w:spacing w:val="-2"/>
          <w:lang w:val="de-DE"/>
        </w:rPr>
        <w:t xml:space="preserve">seiner sechsundsiebzigsten </w:t>
      </w:r>
      <w:r w:rsidR="00B5600B" w:rsidRPr="00652E2A">
        <w:rPr>
          <w:spacing w:val="-2"/>
          <w:lang w:val="de-DE"/>
        </w:rPr>
        <w:t>Tagung</w:t>
      </w:r>
      <w:r w:rsidR="0057143A" w:rsidRPr="00652E2A">
        <w:rPr>
          <w:spacing w:val="-2"/>
          <w:vertAlign w:val="superscript"/>
          <w:lang w:val="de-DE"/>
        </w:rPr>
        <w:fldChar w:fldCharType="begin"/>
      </w:r>
      <w:r w:rsidR="0057143A" w:rsidRPr="00652E2A">
        <w:rPr>
          <w:spacing w:val="-2"/>
          <w:vertAlign w:val="superscript"/>
          <w:lang w:val="de-DE"/>
        </w:rPr>
        <w:instrText xml:space="preserve"> NOTEREF _Ref12539207 \h  \* MERGEFORMAT </w:instrText>
      </w:r>
      <w:r w:rsidR="0057143A" w:rsidRPr="00652E2A">
        <w:rPr>
          <w:spacing w:val="-2"/>
          <w:vertAlign w:val="superscript"/>
          <w:lang w:val="de-DE"/>
        </w:rPr>
      </w:r>
      <w:r w:rsidR="0057143A" w:rsidRPr="00652E2A">
        <w:rPr>
          <w:spacing w:val="-2"/>
          <w:vertAlign w:val="superscript"/>
          <w:lang w:val="de-DE"/>
        </w:rPr>
        <w:fldChar w:fldCharType="separate"/>
      </w:r>
      <w:r w:rsidR="0057143A" w:rsidRPr="00652E2A">
        <w:rPr>
          <w:spacing w:val="-2"/>
          <w:vertAlign w:val="superscript"/>
          <w:lang w:val="de-DE"/>
        </w:rPr>
        <w:t>8</w:t>
      </w:r>
      <w:r w:rsidR="0057143A" w:rsidRPr="00652E2A">
        <w:rPr>
          <w:spacing w:val="-2"/>
          <w:vertAlign w:val="superscript"/>
          <w:lang w:val="de-DE"/>
        </w:rPr>
        <w:fldChar w:fldCharType="end"/>
      </w:r>
      <w:r w:rsidR="00284EA6" w:rsidRPr="00652E2A">
        <w:rPr>
          <w:spacing w:val="-2"/>
          <w:vertAlign w:val="superscript"/>
          <w:lang w:val="de-DE"/>
        </w:rPr>
        <w:t xml:space="preserve"> </w:t>
      </w:r>
      <w:r w:rsidR="00D8106C" w:rsidRPr="00652E2A">
        <w:rPr>
          <w:lang w:val="de-DE"/>
        </w:rPr>
        <w:t>berichtet</w:t>
      </w:r>
      <w:r w:rsidR="0019194C" w:rsidRPr="00652E2A">
        <w:rPr>
          <w:lang w:val="de-DE"/>
        </w:rPr>
        <w:t>.</w:t>
      </w:r>
      <w:r w:rsidR="008200AE" w:rsidRPr="00652E2A">
        <w:rPr>
          <w:lang w:val="de-DE"/>
        </w:rPr>
        <w:t xml:space="preserve"> </w:t>
      </w:r>
    </w:p>
    <w:p w14:paraId="1ED056B4" w14:textId="77777777" w:rsidR="00B964D9" w:rsidRPr="00652E2A" w:rsidRDefault="00B964D9" w:rsidP="00501AC5">
      <w:pPr>
        <w:rPr>
          <w:lang w:val="de-DE"/>
        </w:rPr>
      </w:pPr>
    </w:p>
    <w:p w14:paraId="399AE938" w14:textId="0D092E4B" w:rsidR="00B964D9" w:rsidRPr="00652E2A" w:rsidRDefault="003A2170" w:rsidP="00B964D9">
      <w:pPr>
        <w:pStyle w:val="DecisionParagraphs"/>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284EA6" w:rsidRPr="00652E2A">
        <w:rPr>
          <w:lang w:val="de-DE"/>
        </w:rPr>
        <w:t>Der</w:t>
      </w:r>
      <w:r w:rsidR="00EA7E2E" w:rsidRPr="00652E2A">
        <w:rPr>
          <w:lang w:val="de-DE"/>
        </w:rPr>
        <w:t xml:space="preserve"> CAJ </w:t>
      </w:r>
      <w:r w:rsidR="00284EA6" w:rsidRPr="00652E2A">
        <w:rPr>
          <w:lang w:val="de-DE"/>
        </w:rPr>
        <w:t>wird ersucht, die</w:t>
      </w:r>
      <w:r w:rsidR="00EA7E2E" w:rsidRPr="00652E2A">
        <w:rPr>
          <w:lang w:val="de-DE"/>
        </w:rPr>
        <w:t xml:space="preserve"> </w:t>
      </w:r>
      <w:r w:rsidR="00DB4285" w:rsidRPr="00652E2A">
        <w:rPr>
          <w:lang w:val="de-DE"/>
        </w:rPr>
        <w:t>Überarbeitung</w:t>
      </w:r>
      <w:r w:rsidR="00EA7E2E" w:rsidRPr="00652E2A">
        <w:rPr>
          <w:lang w:val="de-DE"/>
        </w:rPr>
        <w:t xml:space="preserve"> </w:t>
      </w:r>
      <w:r w:rsidR="007301FF" w:rsidRPr="00652E2A">
        <w:rPr>
          <w:lang w:val="de-DE"/>
        </w:rPr>
        <w:t>von</w:t>
      </w:r>
      <w:r w:rsidR="00EA7E2E" w:rsidRPr="00652E2A">
        <w:rPr>
          <w:lang w:val="de-DE"/>
        </w:rPr>
        <w:t xml:space="preserve"> </w:t>
      </w:r>
      <w:r w:rsidR="00DB4285" w:rsidRPr="00652E2A">
        <w:rPr>
          <w:lang w:val="de-DE"/>
        </w:rPr>
        <w:t>Dokument</w:t>
      </w:r>
      <w:r w:rsidR="00EA7E2E" w:rsidRPr="00652E2A">
        <w:rPr>
          <w:lang w:val="de-DE"/>
        </w:rPr>
        <w:t xml:space="preserve"> TGP/7</w:t>
      </w:r>
      <w:r w:rsidR="00C20397" w:rsidRPr="00652E2A">
        <w:rPr>
          <w:lang w:val="de-DE"/>
        </w:rPr>
        <w:t xml:space="preserve"> </w:t>
      </w:r>
      <w:r w:rsidR="001E2D36" w:rsidRPr="00652E2A">
        <w:rPr>
          <w:lang w:val="de-DE"/>
        </w:rPr>
        <w:t>„</w:t>
      </w:r>
      <w:r w:rsidR="00284EA6" w:rsidRPr="00652E2A">
        <w:rPr>
          <w:lang w:val="de-DE"/>
        </w:rPr>
        <w:t>Erstellung von Prüfungsrichtlinien</w:t>
      </w:r>
      <w:r w:rsidR="001E2D36" w:rsidRPr="00652E2A">
        <w:rPr>
          <w:lang w:val="de-DE"/>
        </w:rPr>
        <w:t>“</w:t>
      </w:r>
      <w:r w:rsidR="00EA7E2E" w:rsidRPr="00652E2A">
        <w:rPr>
          <w:lang w:val="de-DE"/>
        </w:rPr>
        <w:t xml:space="preserve"> (</w:t>
      </w:r>
      <w:r w:rsidR="00DB4285" w:rsidRPr="00652E2A">
        <w:rPr>
          <w:lang w:val="de-DE"/>
        </w:rPr>
        <w:t>Dokument</w:t>
      </w:r>
      <w:r w:rsidR="00EA7E2E" w:rsidRPr="00652E2A">
        <w:rPr>
          <w:lang w:val="de-DE"/>
        </w:rPr>
        <w:t xml:space="preserve"> TGP/7/7)</w:t>
      </w:r>
      <w:r w:rsidR="00284EA6" w:rsidRPr="00652E2A">
        <w:rPr>
          <w:lang w:val="de-DE"/>
        </w:rPr>
        <w:t xml:space="preserve"> </w:t>
      </w:r>
      <w:r w:rsidR="00D8106C" w:rsidRPr="00652E2A">
        <w:rPr>
          <w:lang w:val="de-DE"/>
        </w:rPr>
        <w:t>auf der Grundlage von</w:t>
      </w:r>
      <w:r w:rsidR="00EA7E2E" w:rsidRPr="00652E2A">
        <w:rPr>
          <w:lang w:val="de-DE"/>
        </w:rPr>
        <w:t xml:space="preserve"> </w:t>
      </w:r>
      <w:r w:rsidR="00DB4285" w:rsidRPr="00652E2A">
        <w:rPr>
          <w:lang w:val="de-DE"/>
        </w:rPr>
        <w:t>Dokument</w:t>
      </w:r>
      <w:r w:rsidR="00EA7E2E" w:rsidRPr="00652E2A">
        <w:rPr>
          <w:lang w:val="de-DE"/>
        </w:rPr>
        <w:t> TGP/7/7 Draft 1</w:t>
      </w:r>
      <w:r w:rsidR="003A4258" w:rsidRPr="00652E2A">
        <w:rPr>
          <w:lang w:val="de-DE"/>
        </w:rPr>
        <w:t xml:space="preserve"> </w:t>
      </w:r>
      <w:r w:rsidR="0097710B" w:rsidRPr="00652E2A">
        <w:rPr>
          <w:lang w:val="de-DE"/>
        </w:rPr>
        <w:t>u</w:t>
      </w:r>
      <w:r w:rsidR="00FD7926" w:rsidRPr="00652E2A">
        <w:rPr>
          <w:lang w:val="de-DE"/>
        </w:rPr>
        <w:t>nter Berücksichtigung</w:t>
      </w:r>
      <w:r w:rsidR="003A4258" w:rsidRPr="00652E2A">
        <w:rPr>
          <w:lang w:val="de-DE"/>
        </w:rPr>
        <w:t xml:space="preserve"> der </w:t>
      </w:r>
      <w:r w:rsidR="00FD7926" w:rsidRPr="00652E2A">
        <w:rPr>
          <w:lang w:val="de-DE"/>
        </w:rPr>
        <w:t>Entschließungen</w:t>
      </w:r>
      <w:r w:rsidR="003A4258" w:rsidRPr="00652E2A">
        <w:rPr>
          <w:lang w:val="de-DE"/>
        </w:rPr>
        <w:t xml:space="preserve"> des TC auf seiner fünfundfünfzigsten Tagung</w:t>
      </w:r>
      <w:r w:rsidR="007D578D" w:rsidRPr="00652E2A">
        <w:rPr>
          <w:lang w:val="de-DE"/>
        </w:rPr>
        <w:t xml:space="preserve"> zu prüfen</w:t>
      </w:r>
      <w:r w:rsidR="00EA7E2E" w:rsidRPr="00652E2A">
        <w:rPr>
          <w:spacing w:val="-2"/>
          <w:lang w:val="de-DE"/>
        </w:rPr>
        <w:t>.</w:t>
      </w:r>
    </w:p>
    <w:p w14:paraId="06F1DB2B" w14:textId="3EAF6C0C" w:rsidR="00B964D9" w:rsidRDefault="00B964D9" w:rsidP="0050161D">
      <w:pPr>
        <w:rPr>
          <w:rFonts w:eastAsia="MS Mincho"/>
          <w:lang w:val="de-DE"/>
        </w:rPr>
      </w:pPr>
    </w:p>
    <w:p w14:paraId="6AD0D1F0" w14:textId="77777777" w:rsidR="005142AD" w:rsidRDefault="005142AD" w:rsidP="0050161D">
      <w:pPr>
        <w:rPr>
          <w:rFonts w:eastAsia="MS Mincho"/>
          <w:lang w:val="de-DE"/>
        </w:rPr>
      </w:pPr>
    </w:p>
    <w:p w14:paraId="0771C196" w14:textId="5831F8AD" w:rsidR="00B964D9" w:rsidRPr="00652E2A" w:rsidRDefault="00DB4285" w:rsidP="0091141B">
      <w:pPr>
        <w:pStyle w:val="Heading2"/>
        <w:rPr>
          <w:lang w:val="de-DE"/>
        </w:rPr>
      </w:pPr>
      <w:bookmarkStart w:id="20" w:name="_Toc15647501"/>
      <w:r w:rsidRPr="00652E2A">
        <w:rPr>
          <w:lang w:val="de-DE"/>
        </w:rPr>
        <w:t>Dokument</w:t>
      </w:r>
      <w:r w:rsidR="00273B07" w:rsidRPr="00652E2A">
        <w:rPr>
          <w:lang w:val="de-DE"/>
        </w:rPr>
        <w:t xml:space="preserve"> TGP/8: </w:t>
      </w:r>
      <w:r w:rsidR="003A4258" w:rsidRPr="00652E2A">
        <w:rPr>
          <w:lang w:val="de-DE"/>
        </w:rPr>
        <w:t xml:space="preserve">Prüfungsanlage und Verfahren für die Prüfung der </w:t>
      </w:r>
      <w:r w:rsidR="00FA1A33" w:rsidRPr="00652E2A">
        <w:rPr>
          <w:lang w:val="de-DE"/>
        </w:rPr>
        <w:t xml:space="preserve">Unterscheidbarkeit, </w:t>
      </w:r>
      <w:r w:rsidR="00E70150" w:rsidRPr="00652E2A">
        <w:rPr>
          <w:lang w:val="de-DE"/>
        </w:rPr>
        <w:t xml:space="preserve">der </w:t>
      </w:r>
      <w:r w:rsidR="00FA1A33" w:rsidRPr="00652E2A">
        <w:rPr>
          <w:lang w:val="de-DE"/>
        </w:rPr>
        <w:t xml:space="preserve">Homogenität und </w:t>
      </w:r>
      <w:r w:rsidR="00E70150" w:rsidRPr="00652E2A">
        <w:rPr>
          <w:lang w:val="de-DE"/>
        </w:rPr>
        <w:t xml:space="preserve">der </w:t>
      </w:r>
      <w:r w:rsidR="00FA1A33" w:rsidRPr="00652E2A">
        <w:rPr>
          <w:lang w:val="de-DE"/>
        </w:rPr>
        <w:t xml:space="preserve">Beständigkeit </w:t>
      </w:r>
      <w:r w:rsidR="0091141B" w:rsidRPr="00652E2A">
        <w:rPr>
          <w:lang w:val="de-DE"/>
        </w:rPr>
        <w:t>(</w:t>
      </w:r>
      <w:r w:rsidRPr="00652E2A">
        <w:rPr>
          <w:lang w:val="de-DE"/>
        </w:rPr>
        <w:t>Überarbeitung</w:t>
      </w:r>
      <w:r w:rsidR="0091141B" w:rsidRPr="00652E2A">
        <w:rPr>
          <w:lang w:val="de-DE"/>
        </w:rPr>
        <w:t>) (</w:t>
      </w:r>
      <w:r w:rsidRPr="00652E2A">
        <w:rPr>
          <w:lang w:val="de-DE"/>
        </w:rPr>
        <w:t>Dokument</w:t>
      </w:r>
      <w:r w:rsidR="0091141B" w:rsidRPr="00652E2A">
        <w:rPr>
          <w:lang w:val="de-DE"/>
        </w:rPr>
        <w:t xml:space="preserve"> TGP/8/4 Draft 1)</w:t>
      </w:r>
      <w:bookmarkEnd w:id="20"/>
    </w:p>
    <w:p w14:paraId="321C5D7A" w14:textId="77777777" w:rsidR="00B964D9" w:rsidRPr="00652E2A" w:rsidRDefault="00B964D9" w:rsidP="0091141B">
      <w:pPr>
        <w:rPr>
          <w:lang w:val="de-DE"/>
        </w:rPr>
      </w:pPr>
    </w:p>
    <w:p w14:paraId="053ADDD3" w14:textId="670698A6" w:rsidR="00B964D9" w:rsidRPr="00652E2A" w:rsidRDefault="0091141B" w:rsidP="00D8106C">
      <w:pPr>
        <w:jc w:val="left"/>
        <w:rPr>
          <w:rFonts w:ascii="Times New Roman" w:hAnsi="Times New Roman"/>
          <w:sz w:val="24"/>
          <w:szCs w:val="24"/>
          <w:lang w:val="de-DE" w:eastAsia="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bookmarkStart w:id="21" w:name="_Ref12539616"/>
      <w:r w:rsidR="003A4258" w:rsidRPr="00652E2A">
        <w:rPr>
          <w:lang w:val="de-DE"/>
        </w:rPr>
        <w:t xml:space="preserve">Der TC </w:t>
      </w:r>
      <w:r w:rsidR="00D8106C" w:rsidRPr="00652E2A">
        <w:rPr>
          <w:lang w:val="de-DE"/>
        </w:rPr>
        <w:t xml:space="preserve">vereinbarte </w:t>
      </w:r>
      <w:r w:rsidR="003A4258" w:rsidRPr="00652E2A">
        <w:rPr>
          <w:lang w:val="de-DE"/>
        </w:rPr>
        <w:t xml:space="preserve">auf seiner </w:t>
      </w:r>
      <w:r w:rsidR="00CE0862" w:rsidRPr="00652E2A">
        <w:rPr>
          <w:lang w:val="de-DE"/>
        </w:rPr>
        <w:t>dreiundfünfzigsten Tagung</w:t>
      </w:r>
      <w:r w:rsidR="00D8106C" w:rsidRPr="00652E2A">
        <w:rPr>
          <w:vertAlign w:val="superscript"/>
          <w:lang w:val="de-DE"/>
        </w:rPr>
        <w:footnoteReference w:id="8"/>
      </w:r>
      <w:bookmarkEnd w:id="21"/>
      <w:r w:rsidR="000B503C" w:rsidRPr="00652E2A">
        <w:rPr>
          <w:lang w:val="de-DE"/>
        </w:rPr>
        <w:t xml:space="preserve">, </w:t>
      </w:r>
      <w:r w:rsidR="00EB5321" w:rsidRPr="00652E2A">
        <w:rPr>
          <w:lang w:val="de-DE"/>
        </w:rPr>
        <w:t>dass</w:t>
      </w:r>
      <w:r w:rsidR="000B503C" w:rsidRPr="00652E2A">
        <w:rPr>
          <w:lang w:val="de-DE"/>
        </w:rPr>
        <w:t xml:space="preserve"> der </w:t>
      </w:r>
      <w:r w:rsidR="003A4258" w:rsidRPr="00652E2A">
        <w:rPr>
          <w:lang w:val="de-DE"/>
        </w:rPr>
        <w:t xml:space="preserve">Vorschlag </w:t>
      </w:r>
      <w:r w:rsidR="00C20397" w:rsidRPr="00652E2A">
        <w:rPr>
          <w:lang w:val="de-DE"/>
        </w:rPr>
        <w:t>einer Anleitung</w:t>
      </w:r>
      <w:r w:rsidR="003A4258" w:rsidRPr="00652E2A">
        <w:rPr>
          <w:lang w:val="de-DE"/>
        </w:rPr>
        <w:t xml:space="preserve"> </w:t>
      </w:r>
      <w:r w:rsidR="006D469B" w:rsidRPr="00652E2A">
        <w:rPr>
          <w:lang w:val="de-DE"/>
        </w:rPr>
        <w:t>zu</w:t>
      </w:r>
      <w:r w:rsidR="00C20397" w:rsidRPr="00652E2A">
        <w:rPr>
          <w:lang w:val="de-DE"/>
        </w:rPr>
        <w:t xml:space="preserve"> </w:t>
      </w:r>
      <w:r w:rsidR="001E2D36" w:rsidRPr="00652E2A">
        <w:rPr>
          <w:lang w:val="de-DE"/>
        </w:rPr>
        <w:t>„</w:t>
      </w:r>
      <w:r w:rsidR="00762839" w:rsidRPr="00652E2A">
        <w:rPr>
          <w:lang w:val="de-DE"/>
        </w:rPr>
        <w:t>Prüfung von Merkmalen</w:t>
      </w:r>
      <w:r w:rsidR="003A4258" w:rsidRPr="00652E2A">
        <w:rPr>
          <w:lang w:val="de-DE"/>
        </w:rPr>
        <w:t xml:space="preserve"> </w:t>
      </w:r>
      <w:r w:rsidR="00D9728F" w:rsidRPr="00652E2A">
        <w:rPr>
          <w:lang w:val="de-DE"/>
        </w:rPr>
        <w:t>aufgrund von Mischproben</w:t>
      </w:r>
      <w:r w:rsidR="001E2D36" w:rsidRPr="00652E2A">
        <w:rPr>
          <w:lang w:val="de-DE"/>
        </w:rPr>
        <w:t>“</w:t>
      </w:r>
      <w:r w:rsidR="003A4258" w:rsidRPr="00652E2A">
        <w:rPr>
          <w:lang w:val="de-DE"/>
        </w:rPr>
        <w:t xml:space="preserve"> in eine Überarbeitung von Dokument TGP/8</w:t>
      </w:r>
      <w:r w:rsidR="00C20397" w:rsidRPr="00652E2A">
        <w:rPr>
          <w:lang w:val="de-DE"/>
        </w:rPr>
        <w:t xml:space="preserve"> </w:t>
      </w:r>
      <w:r w:rsidR="001E2D36" w:rsidRPr="00652E2A">
        <w:rPr>
          <w:lang w:val="de-DE"/>
        </w:rPr>
        <w:t>„</w:t>
      </w:r>
      <w:r w:rsidR="003A4258" w:rsidRPr="00652E2A">
        <w:rPr>
          <w:lang w:val="de-DE"/>
        </w:rPr>
        <w:t xml:space="preserve">Prüfungsanlage und Verfahren für die </w:t>
      </w:r>
      <w:r w:rsidR="00FF0EFF" w:rsidRPr="00652E2A">
        <w:rPr>
          <w:lang w:val="de-DE"/>
        </w:rPr>
        <w:t>Prüfung der Unterscheidbarkeit, Homogenität und Beständigkeit</w:t>
      </w:r>
      <w:r w:rsidR="001E2D36" w:rsidRPr="00652E2A">
        <w:rPr>
          <w:lang w:val="de-DE"/>
        </w:rPr>
        <w:t>“</w:t>
      </w:r>
      <w:r w:rsidR="000A0EE8" w:rsidRPr="00652E2A">
        <w:rPr>
          <w:rStyle w:val="FootnoteReference"/>
          <w:lang w:val="de-DE"/>
        </w:rPr>
        <w:footnoteReference w:id="9"/>
      </w:r>
      <w:r w:rsidR="001531DF" w:rsidRPr="00652E2A">
        <w:rPr>
          <w:lang w:val="de-DE"/>
        </w:rPr>
        <w:t xml:space="preserve"> aufgenommen werden soll</w:t>
      </w:r>
      <w:r w:rsidRPr="00652E2A">
        <w:rPr>
          <w:lang w:val="de-DE"/>
        </w:rPr>
        <w:t>.</w:t>
      </w:r>
      <w:r w:rsidR="00CD390F" w:rsidRPr="00652E2A">
        <w:rPr>
          <w:lang w:val="de-DE"/>
        </w:rPr>
        <w:t xml:space="preserve"> </w:t>
      </w:r>
    </w:p>
    <w:p w14:paraId="3E5CAC96" w14:textId="77777777" w:rsidR="00B964D9" w:rsidRPr="00652E2A" w:rsidRDefault="00B964D9" w:rsidP="0091141B">
      <w:pPr>
        <w:rPr>
          <w:lang w:val="de-DE"/>
        </w:rPr>
      </w:pPr>
    </w:p>
    <w:p w14:paraId="0455D488" w14:textId="227D2212" w:rsidR="00B964D9" w:rsidRPr="00652E2A" w:rsidRDefault="0091141B" w:rsidP="00B74047">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DF7D8D" w:rsidRPr="00652E2A">
        <w:rPr>
          <w:lang w:val="de-DE"/>
        </w:rPr>
        <w:t xml:space="preserve">Der TC </w:t>
      </w:r>
      <w:r w:rsidR="00C20397" w:rsidRPr="00652E2A">
        <w:rPr>
          <w:lang w:val="de-DE"/>
        </w:rPr>
        <w:t>vereinbarte</w:t>
      </w:r>
      <w:r w:rsidR="00DF7D8D" w:rsidRPr="00652E2A">
        <w:rPr>
          <w:lang w:val="de-DE"/>
        </w:rPr>
        <w:t xml:space="preserve"> auf seiner vierundfünfzigsten </w:t>
      </w:r>
      <w:r w:rsidR="00762839" w:rsidRPr="00652E2A">
        <w:rPr>
          <w:lang w:val="de-DE"/>
        </w:rPr>
        <w:t>Tagung</w:t>
      </w:r>
      <w:r w:rsidR="00762839" w:rsidRPr="00652E2A">
        <w:rPr>
          <w:lang w:val="de-DE"/>
        </w:rPr>
        <w:fldChar w:fldCharType="begin"/>
      </w:r>
      <w:r w:rsidR="00762839" w:rsidRPr="00652E2A">
        <w:rPr>
          <w:lang w:val="de-DE"/>
        </w:rPr>
        <w:instrText xml:space="preserve"> NOTEREF _Ref12538883 \f \h </w:instrText>
      </w:r>
      <w:r w:rsidR="00A12415" w:rsidRPr="00652E2A">
        <w:rPr>
          <w:lang w:val="de-DE"/>
        </w:rPr>
        <w:instrText xml:space="preserve"> \* MERGEFORMAT </w:instrText>
      </w:r>
      <w:r w:rsidR="00762839" w:rsidRPr="00652E2A">
        <w:rPr>
          <w:lang w:val="de-DE"/>
        </w:rPr>
      </w:r>
      <w:r w:rsidR="00762839" w:rsidRPr="00652E2A">
        <w:rPr>
          <w:lang w:val="de-DE"/>
        </w:rPr>
        <w:fldChar w:fldCharType="separate"/>
      </w:r>
      <w:r w:rsidR="00762839" w:rsidRPr="00652E2A">
        <w:rPr>
          <w:vertAlign w:val="superscript"/>
          <w:lang w:val="de-DE"/>
        </w:rPr>
        <w:t>2</w:t>
      </w:r>
      <w:r w:rsidR="00762839" w:rsidRPr="00652E2A">
        <w:rPr>
          <w:lang w:val="de-DE"/>
        </w:rPr>
        <w:fldChar w:fldCharType="end"/>
      </w:r>
      <w:r w:rsidR="00DF7D8D" w:rsidRPr="00652E2A">
        <w:rPr>
          <w:lang w:val="de-DE"/>
        </w:rPr>
        <w:t xml:space="preserve">, </w:t>
      </w:r>
      <w:r w:rsidR="00EB5321" w:rsidRPr="00652E2A">
        <w:rPr>
          <w:lang w:val="de-DE"/>
        </w:rPr>
        <w:t>dass</w:t>
      </w:r>
      <w:r w:rsidR="00DF7D8D" w:rsidRPr="00652E2A">
        <w:rPr>
          <w:lang w:val="de-DE"/>
        </w:rPr>
        <w:t xml:space="preserve"> die Anleitung in Dokument TGP/8/2: Teil II, Abschnitt 8: Unterabschnitt 8.1.7 durch einen Querverweis auf die neue Anleitung</w:t>
      </w:r>
      <w:r w:rsidR="00C20397" w:rsidRPr="00652E2A">
        <w:rPr>
          <w:lang w:val="de-DE"/>
        </w:rPr>
        <w:t xml:space="preserve"> </w:t>
      </w:r>
      <w:r w:rsidR="000B503C" w:rsidRPr="00652E2A">
        <w:rPr>
          <w:lang w:val="de-DE"/>
        </w:rPr>
        <w:t xml:space="preserve">zu </w:t>
      </w:r>
      <w:r w:rsidR="001E2D36" w:rsidRPr="00652E2A">
        <w:rPr>
          <w:lang w:val="de-DE"/>
        </w:rPr>
        <w:t>„</w:t>
      </w:r>
      <w:r w:rsidR="00DF7D8D" w:rsidRPr="00652E2A">
        <w:rPr>
          <w:lang w:val="de-DE"/>
        </w:rPr>
        <w:t xml:space="preserve">Prüfung der Homogenität anhand von Abweichern </w:t>
      </w:r>
      <w:r w:rsidR="0097710B" w:rsidRPr="00652E2A">
        <w:rPr>
          <w:lang w:val="de-DE"/>
        </w:rPr>
        <w:t xml:space="preserve">aufgrund von mehr als einer </w:t>
      </w:r>
      <w:r w:rsidR="00DF7D8D" w:rsidRPr="00652E2A">
        <w:rPr>
          <w:lang w:val="de-DE"/>
        </w:rPr>
        <w:t xml:space="preserve">Wachstumsperiode oder </w:t>
      </w:r>
      <w:r w:rsidR="0097710B" w:rsidRPr="00652E2A">
        <w:rPr>
          <w:lang w:val="de-DE"/>
        </w:rPr>
        <w:t>aufgrund von Unterproben</w:t>
      </w:r>
      <w:r w:rsidR="001E2D36" w:rsidRPr="00652E2A">
        <w:rPr>
          <w:lang w:val="de-DE"/>
        </w:rPr>
        <w:t>“</w:t>
      </w:r>
      <w:r w:rsidR="00DF7D8D" w:rsidRPr="00652E2A">
        <w:rPr>
          <w:lang w:val="de-DE"/>
        </w:rPr>
        <w:t xml:space="preserve"> ersetzt werden sollte, </w:t>
      </w:r>
      <w:r w:rsidR="000B503C" w:rsidRPr="00652E2A">
        <w:rPr>
          <w:lang w:val="de-DE"/>
        </w:rPr>
        <w:t xml:space="preserve">der </w:t>
      </w:r>
      <w:r w:rsidR="00DF7D8D" w:rsidRPr="00652E2A">
        <w:rPr>
          <w:lang w:val="de-DE"/>
        </w:rPr>
        <w:t>in Dokument TGP/10</w:t>
      </w:r>
      <w:r w:rsidR="00C20397" w:rsidRPr="00652E2A">
        <w:rPr>
          <w:lang w:val="de-DE"/>
        </w:rPr>
        <w:t xml:space="preserve"> </w:t>
      </w:r>
      <w:r w:rsidR="001E2D36" w:rsidRPr="00652E2A">
        <w:rPr>
          <w:lang w:val="de-DE"/>
        </w:rPr>
        <w:t>„</w:t>
      </w:r>
      <w:r w:rsidR="00DF7D8D" w:rsidRPr="00652E2A">
        <w:rPr>
          <w:lang w:val="de-DE"/>
        </w:rPr>
        <w:t>Prüfung der Homogenität</w:t>
      </w:r>
      <w:r w:rsidR="001E2D36" w:rsidRPr="00652E2A">
        <w:rPr>
          <w:lang w:val="de-DE"/>
        </w:rPr>
        <w:t>“</w:t>
      </w:r>
      <w:r w:rsidR="001531DF" w:rsidRPr="00652E2A">
        <w:rPr>
          <w:lang w:val="de-DE"/>
        </w:rPr>
        <w:t xml:space="preserve"> aufgenommen werden soll</w:t>
      </w:r>
      <w:r w:rsidR="004E123D" w:rsidRPr="00652E2A">
        <w:rPr>
          <w:rStyle w:val="FootnoteReference"/>
          <w:lang w:val="de-DE"/>
        </w:rPr>
        <w:footnoteReference w:id="10"/>
      </w:r>
      <w:r w:rsidR="00EF1773" w:rsidRPr="00652E2A">
        <w:rPr>
          <w:lang w:val="de-DE"/>
        </w:rPr>
        <w:t>.</w:t>
      </w:r>
    </w:p>
    <w:p w14:paraId="6BC7174E" w14:textId="77777777" w:rsidR="00B964D9" w:rsidRPr="00652E2A" w:rsidRDefault="00B964D9" w:rsidP="00B74047">
      <w:pPr>
        <w:rPr>
          <w:lang w:val="de-DE"/>
        </w:rPr>
      </w:pPr>
    </w:p>
    <w:p w14:paraId="4FD60A7D" w14:textId="367C526F" w:rsidR="00B964D9" w:rsidRPr="00652E2A" w:rsidRDefault="00824EE7" w:rsidP="00824EE7">
      <w:pPr>
        <w:rPr>
          <w:spacing w:val="-2"/>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BA7C44" w:rsidRPr="00652E2A">
        <w:rPr>
          <w:spacing w:val="-2"/>
          <w:lang w:val="de-DE"/>
        </w:rPr>
        <w:t xml:space="preserve">In Anbetracht dieser Tatsache vereinbarte der TC, </w:t>
      </w:r>
      <w:r w:rsidR="00EB5321" w:rsidRPr="00652E2A">
        <w:rPr>
          <w:spacing w:val="-2"/>
          <w:lang w:val="de-DE"/>
        </w:rPr>
        <w:t>dass</w:t>
      </w:r>
      <w:r w:rsidR="00BA7C44" w:rsidRPr="00652E2A">
        <w:rPr>
          <w:spacing w:val="-2"/>
          <w:lang w:val="de-DE"/>
        </w:rPr>
        <w:t xml:space="preserve"> eine Überarbeitung von Dokument TGP/8/3 (Dokument TGP/8/4 Draft 1) dem Rat auf seiner </w:t>
      </w:r>
      <w:r w:rsidR="00C20397" w:rsidRPr="00652E2A">
        <w:rPr>
          <w:spacing w:val="-2"/>
          <w:lang w:val="de-DE"/>
        </w:rPr>
        <w:t>dreiundfünfzigsten</w:t>
      </w:r>
      <w:r w:rsidR="00BA7C44" w:rsidRPr="00652E2A">
        <w:rPr>
          <w:spacing w:val="-2"/>
          <w:lang w:val="de-DE"/>
        </w:rPr>
        <w:t xml:space="preserve"> ordentlichen Tagung vorbehaltlich der </w:t>
      </w:r>
      <w:r w:rsidR="00D8106C" w:rsidRPr="00652E2A">
        <w:rPr>
          <w:spacing w:val="-2"/>
          <w:lang w:val="de-DE"/>
        </w:rPr>
        <w:t>Billigung durch den CAJ</w:t>
      </w:r>
      <w:r w:rsidR="00BA7C44" w:rsidRPr="00652E2A">
        <w:rPr>
          <w:spacing w:val="-2"/>
          <w:lang w:val="de-DE"/>
        </w:rPr>
        <w:t xml:space="preserve"> auf seiner </w:t>
      </w:r>
      <w:r w:rsidR="00C20397" w:rsidRPr="00652E2A">
        <w:rPr>
          <w:spacing w:val="-2"/>
          <w:lang w:val="de-DE"/>
        </w:rPr>
        <w:t>sechs</w:t>
      </w:r>
      <w:r w:rsidR="00BA7C44" w:rsidRPr="00652E2A">
        <w:rPr>
          <w:spacing w:val="-2"/>
          <w:lang w:val="de-DE"/>
        </w:rPr>
        <w:t>undsiebzigsten Tagung</w:t>
      </w:r>
      <w:r w:rsidRPr="00652E2A">
        <w:rPr>
          <w:spacing w:val="-2"/>
          <w:vertAlign w:val="superscript"/>
          <w:lang w:val="de-DE"/>
        </w:rPr>
        <w:fldChar w:fldCharType="begin"/>
      </w:r>
      <w:r w:rsidRPr="00652E2A">
        <w:rPr>
          <w:spacing w:val="-2"/>
          <w:vertAlign w:val="superscript"/>
          <w:lang w:val="de-DE"/>
        </w:rPr>
        <w:instrText xml:space="preserve"> NOTEREF _Ref12539207 \h  \* MERGEFORMAT </w:instrText>
      </w:r>
      <w:r w:rsidRPr="00652E2A">
        <w:rPr>
          <w:spacing w:val="-2"/>
          <w:vertAlign w:val="superscript"/>
          <w:lang w:val="de-DE"/>
        </w:rPr>
      </w:r>
      <w:r w:rsidRPr="00652E2A">
        <w:rPr>
          <w:spacing w:val="-2"/>
          <w:vertAlign w:val="superscript"/>
          <w:lang w:val="de-DE"/>
        </w:rPr>
        <w:fldChar w:fldCharType="separate"/>
      </w:r>
      <w:r w:rsidR="00ED0947" w:rsidRPr="00652E2A">
        <w:rPr>
          <w:spacing w:val="-2"/>
          <w:vertAlign w:val="superscript"/>
          <w:lang w:val="de-DE"/>
        </w:rPr>
        <w:t>8</w:t>
      </w:r>
      <w:r w:rsidRPr="00652E2A">
        <w:rPr>
          <w:spacing w:val="-2"/>
          <w:vertAlign w:val="superscript"/>
          <w:lang w:val="de-DE"/>
        </w:rPr>
        <w:fldChar w:fldCharType="end"/>
      </w:r>
      <w:r w:rsidR="00BA7C44" w:rsidRPr="00652E2A">
        <w:rPr>
          <w:spacing w:val="-2"/>
          <w:lang w:val="de-DE"/>
        </w:rPr>
        <w:t xml:space="preserve"> </w:t>
      </w:r>
      <w:r w:rsidR="00AF02BB" w:rsidRPr="00652E2A">
        <w:rPr>
          <w:spacing w:val="-2"/>
          <w:lang w:val="de-DE"/>
        </w:rPr>
        <w:t>zur Annahme vorgelegt werden sollte.</w:t>
      </w:r>
      <w:r w:rsidR="00CD390F" w:rsidRPr="00652E2A">
        <w:rPr>
          <w:spacing w:val="-2"/>
          <w:lang w:val="de-DE"/>
        </w:rPr>
        <w:t xml:space="preserve"> </w:t>
      </w:r>
    </w:p>
    <w:p w14:paraId="615D40B0" w14:textId="1FFE2826" w:rsidR="00B964D9" w:rsidRPr="00652E2A" w:rsidRDefault="00B964D9" w:rsidP="00824EE7">
      <w:pPr>
        <w:rPr>
          <w:spacing w:val="-2"/>
          <w:lang w:val="de-DE"/>
        </w:rPr>
      </w:pPr>
    </w:p>
    <w:p w14:paraId="518793A0" w14:textId="687588AB" w:rsidR="00B964D9" w:rsidRPr="00652E2A" w:rsidRDefault="00824EE7" w:rsidP="00B964D9">
      <w:pPr>
        <w:rPr>
          <w:bCs/>
          <w:snapToGrid w:val="0"/>
          <w:szCs w:val="24"/>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B964D9" w:rsidRPr="00652E2A">
        <w:rPr>
          <w:spacing w:val="-2"/>
          <w:lang w:val="de-DE"/>
        </w:rPr>
        <w:t>Die Übersetzungen des englischen Originalwortlauts ins Deutsche, Französische und Spanische w</w:t>
      </w:r>
      <w:r w:rsidR="00762839" w:rsidRPr="00652E2A">
        <w:rPr>
          <w:spacing w:val="-2"/>
          <w:lang w:val="de-DE"/>
        </w:rPr>
        <w:t>u</w:t>
      </w:r>
      <w:r w:rsidR="00B964D9" w:rsidRPr="00652E2A">
        <w:rPr>
          <w:spacing w:val="-2"/>
          <w:lang w:val="de-DE"/>
        </w:rPr>
        <w:t>rden von den entsprechenden Mitgliedern des Redaktions</w:t>
      </w:r>
      <w:r w:rsidR="006A2D38" w:rsidRPr="00652E2A">
        <w:rPr>
          <w:spacing w:val="-2"/>
          <w:lang w:val="de-DE"/>
        </w:rPr>
        <w:t>a</w:t>
      </w:r>
      <w:r w:rsidR="00D06894" w:rsidRPr="00652E2A">
        <w:rPr>
          <w:spacing w:val="-2"/>
          <w:lang w:val="de-DE"/>
        </w:rPr>
        <w:t>usschusses</w:t>
      </w:r>
      <w:r w:rsidR="00B964D9" w:rsidRPr="00652E2A">
        <w:rPr>
          <w:spacing w:val="-2"/>
          <w:lang w:val="de-DE"/>
        </w:rPr>
        <w:t xml:space="preserve"> vor der Vorlage des Entwurfs </w:t>
      </w:r>
      <w:r w:rsidR="007301FF" w:rsidRPr="00652E2A">
        <w:rPr>
          <w:spacing w:val="-2"/>
          <w:lang w:val="de-DE"/>
        </w:rPr>
        <w:t>von Dokument</w:t>
      </w:r>
      <w:r w:rsidR="00B964D9" w:rsidRPr="00652E2A">
        <w:rPr>
          <w:spacing w:val="-2"/>
          <w:lang w:val="de-DE"/>
        </w:rPr>
        <w:t> TGP/8/4 an den Rat überprüft.</w:t>
      </w:r>
      <w:r w:rsidR="00BA7C44" w:rsidRPr="00652E2A">
        <w:rPr>
          <w:spacing w:val="-2"/>
          <w:lang w:val="de-DE"/>
        </w:rPr>
        <w:t xml:space="preserve"> </w:t>
      </w:r>
      <w:r w:rsidR="00DB4285" w:rsidRPr="00652E2A">
        <w:rPr>
          <w:spacing w:val="-2"/>
          <w:lang w:val="de-DE"/>
        </w:rPr>
        <w:t>Dokument</w:t>
      </w:r>
      <w:r w:rsidRPr="00652E2A">
        <w:rPr>
          <w:spacing w:val="-2"/>
          <w:lang w:val="de-DE"/>
        </w:rPr>
        <w:t xml:space="preserve"> TGP/8/4 Draft 1 </w:t>
      </w:r>
      <w:r w:rsidR="00BA7C44" w:rsidRPr="00652E2A">
        <w:rPr>
          <w:spacing w:val="-2"/>
          <w:lang w:val="de-DE"/>
        </w:rPr>
        <w:t xml:space="preserve">beinhaltet die vom TC vereinbarten Änderungen, wie in </w:t>
      </w:r>
      <w:r w:rsidR="00340875" w:rsidRPr="00652E2A">
        <w:rPr>
          <w:spacing w:val="-2"/>
          <w:lang w:val="de-DE"/>
        </w:rPr>
        <w:t>Anlage</w:t>
      </w:r>
      <w:r w:rsidR="00BA7C44" w:rsidRPr="00652E2A">
        <w:rPr>
          <w:spacing w:val="-2"/>
          <w:lang w:val="de-DE"/>
        </w:rPr>
        <w:t xml:space="preserve"> I dieses Dokuments (im Überarbeitungsmodus) </w:t>
      </w:r>
      <w:r w:rsidR="000B503C" w:rsidRPr="00652E2A">
        <w:rPr>
          <w:spacing w:val="-2"/>
          <w:lang w:val="de-DE"/>
        </w:rPr>
        <w:t>dargelegt</w:t>
      </w:r>
      <w:r w:rsidR="00BA7C44" w:rsidRPr="00652E2A">
        <w:rPr>
          <w:spacing w:val="-2"/>
          <w:lang w:val="de-DE"/>
        </w:rPr>
        <w:t>, sowie die von den entsprechenden Mitgliedern des Redaktions</w:t>
      </w:r>
      <w:r w:rsidR="006A2D38" w:rsidRPr="00652E2A">
        <w:rPr>
          <w:spacing w:val="-2"/>
          <w:lang w:val="de-DE"/>
        </w:rPr>
        <w:t>a</w:t>
      </w:r>
      <w:r w:rsidR="00D06894" w:rsidRPr="00652E2A">
        <w:rPr>
          <w:spacing w:val="-2"/>
          <w:lang w:val="de-DE"/>
        </w:rPr>
        <w:t>usschusses</w:t>
      </w:r>
      <w:r w:rsidR="00BA7C44" w:rsidRPr="00652E2A">
        <w:rPr>
          <w:spacing w:val="-2"/>
          <w:lang w:val="de-DE"/>
        </w:rPr>
        <w:t xml:space="preserve"> vorgeschlagenen sprachlichen Änderungen.</w:t>
      </w:r>
    </w:p>
    <w:p w14:paraId="59374C59" w14:textId="77777777" w:rsidR="00B964D9" w:rsidRPr="00652E2A" w:rsidRDefault="00B964D9" w:rsidP="00824EE7">
      <w:pPr>
        <w:rPr>
          <w:bCs/>
          <w:snapToGrid w:val="0"/>
          <w:szCs w:val="24"/>
          <w:lang w:val="de-DE"/>
        </w:rPr>
      </w:pPr>
    </w:p>
    <w:p w14:paraId="3978C966" w14:textId="7528FFAC" w:rsidR="00B964D9" w:rsidRPr="00652E2A" w:rsidRDefault="0091141B" w:rsidP="0091141B">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BA7C44" w:rsidRPr="00652E2A">
        <w:rPr>
          <w:lang w:val="de-DE"/>
        </w:rPr>
        <w:t xml:space="preserve">Der TC wird </w:t>
      </w:r>
      <w:r w:rsidR="000B503C" w:rsidRPr="00652E2A">
        <w:rPr>
          <w:lang w:val="de-DE"/>
        </w:rPr>
        <w:t xml:space="preserve">auf </w:t>
      </w:r>
      <w:r w:rsidR="00BA7C44" w:rsidRPr="00652E2A">
        <w:rPr>
          <w:lang w:val="de-DE"/>
        </w:rPr>
        <w:t xml:space="preserve">seiner fünfundfünfzigsten </w:t>
      </w:r>
      <w:r w:rsidR="00B5600B" w:rsidRPr="00652E2A">
        <w:rPr>
          <w:lang w:val="de-DE"/>
        </w:rPr>
        <w:t>Tagung</w:t>
      </w:r>
      <w:r w:rsidR="00C52246" w:rsidRPr="00652E2A">
        <w:rPr>
          <w:vertAlign w:val="superscript"/>
          <w:lang w:val="de-DE"/>
        </w:rPr>
        <w:fldChar w:fldCharType="begin"/>
      </w:r>
      <w:r w:rsidR="00C52246" w:rsidRPr="00652E2A">
        <w:rPr>
          <w:vertAlign w:val="superscript"/>
          <w:lang w:val="de-DE"/>
        </w:rPr>
        <w:instrText xml:space="preserve"> NOTEREF _Ref13574983 \h  \* MERGEFORMAT </w:instrText>
      </w:r>
      <w:r w:rsidR="00C52246" w:rsidRPr="00652E2A">
        <w:rPr>
          <w:vertAlign w:val="superscript"/>
          <w:lang w:val="de-DE"/>
        </w:rPr>
      </w:r>
      <w:r w:rsidR="00C52246" w:rsidRPr="00652E2A">
        <w:rPr>
          <w:vertAlign w:val="superscript"/>
          <w:lang w:val="de-DE"/>
        </w:rPr>
        <w:fldChar w:fldCharType="separate"/>
      </w:r>
      <w:r w:rsidR="00ED0947" w:rsidRPr="00652E2A">
        <w:rPr>
          <w:vertAlign w:val="superscript"/>
          <w:lang w:val="de-DE"/>
        </w:rPr>
        <w:t>1</w:t>
      </w:r>
      <w:r w:rsidR="00C52246" w:rsidRPr="00652E2A">
        <w:rPr>
          <w:vertAlign w:val="superscript"/>
          <w:lang w:val="de-DE"/>
        </w:rPr>
        <w:fldChar w:fldCharType="end"/>
      </w:r>
      <w:r w:rsidR="00CA3678" w:rsidRPr="00652E2A">
        <w:rPr>
          <w:lang w:val="de-DE"/>
        </w:rPr>
        <w:t xml:space="preserve"> </w:t>
      </w:r>
      <w:r w:rsidR="00BA7C44" w:rsidRPr="00652E2A">
        <w:rPr>
          <w:lang w:val="de-DE"/>
        </w:rPr>
        <w:t xml:space="preserve">Dokument TGP/8/4 </w:t>
      </w:r>
      <w:r w:rsidR="00CA3678" w:rsidRPr="00652E2A">
        <w:rPr>
          <w:lang w:val="de-DE"/>
        </w:rPr>
        <w:t>Draft</w:t>
      </w:r>
      <w:r w:rsidR="00BA7C44" w:rsidRPr="00652E2A">
        <w:rPr>
          <w:lang w:val="de-DE"/>
        </w:rPr>
        <w:t xml:space="preserve"> 1 prüfen. Die </w:t>
      </w:r>
      <w:r w:rsidR="00D8106C" w:rsidRPr="00652E2A">
        <w:rPr>
          <w:lang w:val="de-DE"/>
        </w:rPr>
        <w:t>Bemerkungen</w:t>
      </w:r>
      <w:r w:rsidR="00BA7C44" w:rsidRPr="00652E2A">
        <w:rPr>
          <w:lang w:val="de-DE"/>
        </w:rPr>
        <w:t xml:space="preserve"> des TC werden dem CAJ </w:t>
      </w:r>
      <w:r w:rsidR="000B503C" w:rsidRPr="00652E2A">
        <w:rPr>
          <w:lang w:val="de-DE"/>
        </w:rPr>
        <w:t xml:space="preserve">auf </w:t>
      </w:r>
      <w:r w:rsidR="00BA7C44" w:rsidRPr="00652E2A">
        <w:rPr>
          <w:lang w:val="de-DE"/>
        </w:rPr>
        <w:t xml:space="preserve">seiner sechsundsiebzigsten </w:t>
      </w:r>
      <w:r w:rsidR="00B5600B" w:rsidRPr="00652E2A">
        <w:rPr>
          <w:lang w:val="de-DE"/>
        </w:rPr>
        <w:t>Tagung</w:t>
      </w:r>
      <w:r w:rsidR="00F643C9" w:rsidRPr="00652E2A">
        <w:rPr>
          <w:lang w:val="de-DE"/>
        </w:rPr>
        <w:fldChar w:fldCharType="begin"/>
      </w:r>
      <w:r w:rsidR="00F643C9" w:rsidRPr="00652E2A">
        <w:rPr>
          <w:lang w:val="de-DE"/>
        </w:rPr>
        <w:instrText xml:space="preserve"> NOTEREF _Ref12539207 \f \h </w:instrText>
      </w:r>
      <w:r w:rsidR="00F610D0" w:rsidRPr="00652E2A">
        <w:rPr>
          <w:lang w:val="de-DE"/>
        </w:rPr>
        <w:instrText xml:space="preserve"> \* MERGEFORMAT </w:instrText>
      </w:r>
      <w:r w:rsidR="00F643C9" w:rsidRPr="00652E2A">
        <w:rPr>
          <w:lang w:val="de-DE"/>
        </w:rPr>
      </w:r>
      <w:r w:rsidR="00F643C9" w:rsidRPr="00652E2A">
        <w:rPr>
          <w:lang w:val="de-DE"/>
        </w:rPr>
        <w:fldChar w:fldCharType="separate"/>
      </w:r>
      <w:r w:rsidR="00ED0947" w:rsidRPr="00652E2A">
        <w:rPr>
          <w:rStyle w:val="FootnoteReference"/>
          <w:lang w:val="de-DE"/>
        </w:rPr>
        <w:t>8</w:t>
      </w:r>
      <w:r w:rsidR="00F643C9" w:rsidRPr="00652E2A">
        <w:rPr>
          <w:lang w:val="de-DE"/>
        </w:rPr>
        <w:fldChar w:fldCharType="end"/>
      </w:r>
      <w:r w:rsidR="00BA7C44" w:rsidRPr="00652E2A">
        <w:rPr>
          <w:lang w:val="de-DE"/>
        </w:rPr>
        <w:t xml:space="preserve"> </w:t>
      </w:r>
      <w:r w:rsidR="00D8106C" w:rsidRPr="00652E2A">
        <w:rPr>
          <w:lang w:val="de-DE"/>
        </w:rPr>
        <w:t>berichtet</w:t>
      </w:r>
      <w:r w:rsidR="00BA7C44" w:rsidRPr="00652E2A">
        <w:rPr>
          <w:lang w:val="de-DE"/>
        </w:rPr>
        <w:t>.</w:t>
      </w:r>
    </w:p>
    <w:p w14:paraId="69D32A70" w14:textId="77777777" w:rsidR="00B964D9" w:rsidRPr="00652E2A" w:rsidRDefault="00B964D9" w:rsidP="0091141B">
      <w:pPr>
        <w:rPr>
          <w:i/>
          <w:lang w:val="de-DE"/>
        </w:rPr>
      </w:pPr>
    </w:p>
    <w:p w14:paraId="65100977" w14:textId="6C6B19B4" w:rsidR="00B964D9" w:rsidRPr="00652E2A" w:rsidRDefault="00C33E97" w:rsidP="005142AD">
      <w:pPr>
        <w:pStyle w:val="DecisionParagraphs"/>
        <w:keepLines/>
        <w:rPr>
          <w:lang w:val="de-DE"/>
        </w:rPr>
      </w:pPr>
      <w:r w:rsidRPr="00652E2A">
        <w:rPr>
          <w:lang w:val="de-DE"/>
        </w:rPr>
        <w:lastRenderedPageBreak/>
        <w:fldChar w:fldCharType="begin"/>
      </w:r>
      <w:r w:rsidRPr="00652E2A">
        <w:rPr>
          <w:lang w:val="de-DE"/>
        </w:rPr>
        <w:instrText xml:space="preserve"> AUTONUM  </w:instrText>
      </w:r>
      <w:r w:rsidRPr="00652E2A">
        <w:rPr>
          <w:lang w:val="de-DE"/>
        </w:rPr>
        <w:fldChar w:fldCharType="end"/>
      </w:r>
      <w:r w:rsidRPr="00652E2A">
        <w:rPr>
          <w:lang w:val="de-DE"/>
        </w:rPr>
        <w:tab/>
      </w:r>
      <w:r w:rsidR="0023118D" w:rsidRPr="00652E2A">
        <w:rPr>
          <w:lang w:val="de-DE"/>
        </w:rPr>
        <w:t>Der</w:t>
      </w:r>
      <w:r w:rsidRPr="00652E2A">
        <w:rPr>
          <w:lang w:val="de-DE"/>
        </w:rPr>
        <w:t xml:space="preserve"> CAJ</w:t>
      </w:r>
      <w:r w:rsidR="0023118D" w:rsidRPr="00652E2A">
        <w:rPr>
          <w:lang w:val="de-DE"/>
        </w:rPr>
        <w:t xml:space="preserve"> wird ersucht, die</w:t>
      </w:r>
      <w:r w:rsidRPr="00652E2A">
        <w:rPr>
          <w:lang w:val="de-DE"/>
        </w:rPr>
        <w:t xml:space="preserve"> </w:t>
      </w:r>
      <w:r w:rsidR="00DB4285" w:rsidRPr="00652E2A">
        <w:rPr>
          <w:lang w:val="de-DE"/>
        </w:rPr>
        <w:t>Überarbeitung</w:t>
      </w:r>
      <w:r w:rsidRPr="00652E2A">
        <w:rPr>
          <w:lang w:val="de-DE"/>
        </w:rPr>
        <w:t xml:space="preserve"> </w:t>
      </w:r>
      <w:r w:rsidR="0023118D" w:rsidRPr="00652E2A">
        <w:rPr>
          <w:lang w:val="de-DE"/>
        </w:rPr>
        <w:t>von</w:t>
      </w:r>
      <w:r w:rsidRPr="00652E2A">
        <w:rPr>
          <w:lang w:val="de-DE"/>
        </w:rPr>
        <w:t xml:space="preserve"> </w:t>
      </w:r>
      <w:r w:rsidR="00DB4285" w:rsidRPr="00652E2A">
        <w:rPr>
          <w:lang w:val="de-DE"/>
        </w:rPr>
        <w:t>Dokument</w:t>
      </w:r>
      <w:r w:rsidRPr="00652E2A">
        <w:rPr>
          <w:lang w:val="de-DE"/>
        </w:rPr>
        <w:t xml:space="preserve"> TGP/8</w:t>
      </w:r>
      <w:r w:rsidR="00C20397" w:rsidRPr="00652E2A">
        <w:rPr>
          <w:lang w:val="de-DE"/>
        </w:rPr>
        <w:t xml:space="preserve"> </w:t>
      </w:r>
      <w:r w:rsidR="001E2D36" w:rsidRPr="00652E2A">
        <w:rPr>
          <w:lang w:val="de-DE"/>
        </w:rPr>
        <w:t>„</w:t>
      </w:r>
      <w:r w:rsidR="0023118D" w:rsidRPr="00652E2A">
        <w:rPr>
          <w:lang w:val="de-DE"/>
        </w:rPr>
        <w:t xml:space="preserve">Prüfungsanlage und Verfahren für die </w:t>
      </w:r>
      <w:r w:rsidR="00FF0EFF" w:rsidRPr="00652E2A">
        <w:rPr>
          <w:lang w:val="de-DE"/>
        </w:rPr>
        <w:t xml:space="preserve">Prüfung der Unterscheidbarkeit, </w:t>
      </w:r>
      <w:r w:rsidR="00E70150" w:rsidRPr="00652E2A">
        <w:rPr>
          <w:lang w:val="de-DE"/>
        </w:rPr>
        <w:t xml:space="preserve">der </w:t>
      </w:r>
      <w:r w:rsidR="00FF0EFF" w:rsidRPr="00652E2A">
        <w:rPr>
          <w:lang w:val="de-DE"/>
        </w:rPr>
        <w:t xml:space="preserve">Homogenität und </w:t>
      </w:r>
      <w:r w:rsidR="00E70150" w:rsidRPr="00652E2A">
        <w:rPr>
          <w:lang w:val="de-DE"/>
        </w:rPr>
        <w:t xml:space="preserve">der </w:t>
      </w:r>
      <w:r w:rsidR="00FF0EFF" w:rsidRPr="00652E2A">
        <w:rPr>
          <w:lang w:val="de-DE"/>
        </w:rPr>
        <w:t>Beständigkeit</w:t>
      </w:r>
      <w:r w:rsidR="001E2D36" w:rsidRPr="00652E2A">
        <w:rPr>
          <w:lang w:val="de-DE"/>
        </w:rPr>
        <w:t>“</w:t>
      </w:r>
      <w:r w:rsidR="00A8721B" w:rsidRPr="00652E2A">
        <w:rPr>
          <w:lang w:val="de-DE"/>
        </w:rPr>
        <w:t xml:space="preserve"> (</w:t>
      </w:r>
      <w:r w:rsidR="00DB4285" w:rsidRPr="00652E2A">
        <w:rPr>
          <w:lang w:val="de-DE"/>
        </w:rPr>
        <w:t>Dokument</w:t>
      </w:r>
      <w:r w:rsidR="00A8721B" w:rsidRPr="00652E2A">
        <w:rPr>
          <w:lang w:val="de-DE"/>
        </w:rPr>
        <w:t xml:space="preserve"> TGP/8/3)</w:t>
      </w:r>
      <w:r w:rsidR="0023118D" w:rsidRPr="00652E2A">
        <w:rPr>
          <w:lang w:val="de-DE"/>
        </w:rPr>
        <w:t xml:space="preserve"> </w:t>
      </w:r>
      <w:r w:rsidR="00D8106C" w:rsidRPr="00652E2A">
        <w:rPr>
          <w:lang w:val="de-DE"/>
        </w:rPr>
        <w:t>auf der Grundlage von</w:t>
      </w:r>
      <w:r w:rsidR="0023118D" w:rsidRPr="00652E2A">
        <w:rPr>
          <w:lang w:val="de-DE"/>
        </w:rPr>
        <w:t xml:space="preserve"> </w:t>
      </w:r>
      <w:r w:rsidR="00DB4285" w:rsidRPr="00652E2A">
        <w:rPr>
          <w:lang w:val="de-DE"/>
        </w:rPr>
        <w:t>Dokument</w:t>
      </w:r>
      <w:r w:rsidRPr="00652E2A">
        <w:rPr>
          <w:lang w:val="de-DE"/>
        </w:rPr>
        <w:t xml:space="preserve"> TGP/8/4 Draft 1</w:t>
      </w:r>
      <w:r w:rsidR="0023118D" w:rsidRPr="00652E2A">
        <w:rPr>
          <w:lang w:val="de-DE"/>
        </w:rPr>
        <w:t xml:space="preserve"> </w:t>
      </w:r>
      <w:r w:rsidR="0097710B" w:rsidRPr="00652E2A">
        <w:rPr>
          <w:lang w:val="de-DE"/>
        </w:rPr>
        <w:t>u</w:t>
      </w:r>
      <w:r w:rsidR="00FD7926" w:rsidRPr="00652E2A">
        <w:rPr>
          <w:lang w:val="de-DE"/>
        </w:rPr>
        <w:t>nter Berücksichtigung</w:t>
      </w:r>
      <w:r w:rsidR="0023118D" w:rsidRPr="00652E2A">
        <w:rPr>
          <w:lang w:val="de-DE"/>
        </w:rPr>
        <w:t xml:space="preserve"> der </w:t>
      </w:r>
      <w:r w:rsidR="00FD7926" w:rsidRPr="00652E2A">
        <w:rPr>
          <w:lang w:val="de-DE"/>
        </w:rPr>
        <w:t>Entschließungen</w:t>
      </w:r>
      <w:r w:rsidR="0023118D" w:rsidRPr="00652E2A">
        <w:rPr>
          <w:lang w:val="de-DE"/>
        </w:rPr>
        <w:t xml:space="preserve"> des TC auf seiner fünfundfünfzigsten Tagung</w:t>
      </w:r>
      <w:r w:rsidR="007D578D" w:rsidRPr="00652E2A">
        <w:rPr>
          <w:lang w:val="de-DE"/>
        </w:rPr>
        <w:t xml:space="preserve"> zu prüfen</w:t>
      </w:r>
      <w:r w:rsidR="0023118D" w:rsidRPr="00652E2A">
        <w:rPr>
          <w:spacing w:val="-2"/>
          <w:lang w:val="de-DE"/>
        </w:rPr>
        <w:t>.</w:t>
      </w:r>
    </w:p>
    <w:p w14:paraId="334800F5" w14:textId="0CA9F687" w:rsidR="00B964D9" w:rsidRDefault="00B964D9" w:rsidP="00273B07">
      <w:pPr>
        <w:rPr>
          <w:lang w:val="de-DE"/>
        </w:rPr>
      </w:pPr>
    </w:p>
    <w:p w14:paraId="6F6352CF" w14:textId="77777777" w:rsidR="005142AD" w:rsidRPr="00652E2A" w:rsidRDefault="005142AD" w:rsidP="00273B07">
      <w:pPr>
        <w:rPr>
          <w:lang w:val="de-DE"/>
        </w:rPr>
      </w:pPr>
    </w:p>
    <w:p w14:paraId="6C5991F7" w14:textId="6F546A12" w:rsidR="00B964D9" w:rsidRPr="00652E2A" w:rsidRDefault="00DB4285" w:rsidP="003E76C2">
      <w:pPr>
        <w:pStyle w:val="Heading2"/>
        <w:rPr>
          <w:lang w:val="de-DE"/>
        </w:rPr>
      </w:pPr>
      <w:bookmarkStart w:id="22" w:name="_Toc519608630"/>
      <w:bookmarkStart w:id="23" w:name="_Toc15647502"/>
      <w:r w:rsidRPr="00652E2A">
        <w:rPr>
          <w:lang w:val="de-DE"/>
        </w:rPr>
        <w:t>Dokument</w:t>
      </w:r>
      <w:r w:rsidR="00273B07" w:rsidRPr="00652E2A">
        <w:rPr>
          <w:lang w:val="de-DE"/>
        </w:rPr>
        <w:t xml:space="preserve"> TGP/10: </w:t>
      </w:r>
      <w:bookmarkEnd w:id="22"/>
      <w:r w:rsidR="0067761F" w:rsidRPr="00652E2A">
        <w:rPr>
          <w:lang w:val="de-DE"/>
        </w:rPr>
        <w:t>Prüfung</w:t>
      </w:r>
      <w:r w:rsidR="0023118D" w:rsidRPr="00652E2A">
        <w:rPr>
          <w:lang w:val="de-DE"/>
        </w:rPr>
        <w:t xml:space="preserve"> der Homogenität</w:t>
      </w:r>
      <w:r w:rsidR="00D241D3" w:rsidRPr="00652E2A">
        <w:rPr>
          <w:lang w:val="de-DE"/>
        </w:rPr>
        <w:t xml:space="preserve"> (</w:t>
      </w:r>
      <w:r w:rsidRPr="00652E2A">
        <w:rPr>
          <w:lang w:val="de-DE"/>
        </w:rPr>
        <w:t>Überarbeitung</w:t>
      </w:r>
      <w:r w:rsidR="00D241D3" w:rsidRPr="00652E2A">
        <w:rPr>
          <w:lang w:val="de-DE"/>
        </w:rPr>
        <w:t>) (</w:t>
      </w:r>
      <w:r w:rsidRPr="00652E2A">
        <w:rPr>
          <w:lang w:val="de-DE"/>
        </w:rPr>
        <w:t>Dokument</w:t>
      </w:r>
      <w:r w:rsidR="00D241D3" w:rsidRPr="00652E2A">
        <w:rPr>
          <w:lang w:val="de-DE"/>
        </w:rPr>
        <w:t xml:space="preserve"> TGP/10/2 Draft 1)</w:t>
      </w:r>
      <w:bookmarkEnd w:id="23"/>
    </w:p>
    <w:p w14:paraId="43419E33" w14:textId="77777777" w:rsidR="00B964D9" w:rsidRPr="00652E2A" w:rsidRDefault="00B964D9" w:rsidP="003E76C2">
      <w:pPr>
        <w:keepNext/>
        <w:rPr>
          <w:rFonts w:eastAsia="MS Mincho"/>
          <w:i/>
          <w:lang w:val="de-DE"/>
        </w:rPr>
      </w:pPr>
    </w:p>
    <w:p w14:paraId="475EF2E7" w14:textId="6F268BD3" w:rsidR="00B964D9" w:rsidRPr="00652E2A" w:rsidRDefault="00F928F4" w:rsidP="003E76C2">
      <w:pPr>
        <w:keepNext/>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8A0DBF" w:rsidRPr="00652E2A">
        <w:rPr>
          <w:lang w:val="de-DE"/>
        </w:rPr>
        <w:t xml:space="preserve">Der TC </w:t>
      </w:r>
      <w:r w:rsidR="00C20397" w:rsidRPr="00652E2A">
        <w:rPr>
          <w:lang w:val="de-DE"/>
        </w:rPr>
        <w:t>vereinbarte</w:t>
      </w:r>
      <w:r w:rsidR="008A0DBF" w:rsidRPr="00652E2A">
        <w:rPr>
          <w:lang w:val="de-DE"/>
        </w:rPr>
        <w:t xml:space="preserve"> auf seiner vierundfünfzigsten </w:t>
      </w:r>
      <w:r w:rsidR="001E2D36" w:rsidRPr="00652E2A">
        <w:rPr>
          <w:lang w:val="de-DE"/>
        </w:rPr>
        <w:t>Tagung</w:t>
      </w:r>
      <w:r w:rsidR="001E2D36" w:rsidRPr="00652E2A">
        <w:rPr>
          <w:lang w:val="de-DE"/>
        </w:rPr>
        <w:fldChar w:fldCharType="begin"/>
      </w:r>
      <w:r w:rsidR="001E2D36" w:rsidRPr="00652E2A">
        <w:rPr>
          <w:lang w:val="de-DE"/>
        </w:rPr>
        <w:instrText xml:space="preserve"> NOTEREF _Ref12538883 \f \h  \* MERGEFORMAT </w:instrText>
      </w:r>
      <w:r w:rsidR="001E2D36" w:rsidRPr="00652E2A">
        <w:rPr>
          <w:lang w:val="de-DE"/>
        </w:rPr>
      </w:r>
      <w:r w:rsidR="001E2D36" w:rsidRPr="00652E2A">
        <w:rPr>
          <w:lang w:val="de-DE"/>
        </w:rPr>
        <w:fldChar w:fldCharType="separate"/>
      </w:r>
      <w:r w:rsidR="001E2D36" w:rsidRPr="00652E2A">
        <w:rPr>
          <w:vertAlign w:val="superscript"/>
          <w:lang w:val="de-DE"/>
        </w:rPr>
        <w:t>2</w:t>
      </w:r>
      <w:r w:rsidR="001E2D36" w:rsidRPr="00652E2A">
        <w:rPr>
          <w:lang w:val="de-DE"/>
        </w:rPr>
        <w:fldChar w:fldCharType="end"/>
      </w:r>
      <w:r w:rsidR="008A0DBF" w:rsidRPr="00652E2A">
        <w:rPr>
          <w:lang w:val="de-DE"/>
        </w:rPr>
        <w:t xml:space="preserve">, </w:t>
      </w:r>
      <w:r w:rsidR="00EB5321" w:rsidRPr="00652E2A">
        <w:rPr>
          <w:lang w:val="de-DE"/>
        </w:rPr>
        <w:t>dass</w:t>
      </w:r>
      <w:r w:rsidR="008A0DBF" w:rsidRPr="00652E2A">
        <w:rPr>
          <w:lang w:val="de-DE"/>
        </w:rPr>
        <w:t xml:space="preserve"> der Entwurf einer Anleitung</w:t>
      </w:r>
      <w:r w:rsidR="00176E3A" w:rsidRPr="00652E2A">
        <w:rPr>
          <w:rFonts w:eastAsia="MS Mincho"/>
          <w:szCs w:val="24"/>
          <w:lang w:val="de-DE" w:eastAsia="ja-JP"/>
        </w:rPr>
        <w:t xml:space="preserve"> </w:t>
      </w:r>
      <w:r w:rsidR="006D469B" w:rsidRPr="00652E2A">
        <w:rPr>
          <w:rFonts w:eastAsia="MS Mincho"/>
          <w:szCs w:val="24"/>
          <w:lang w:val="de-DE" w:eastAsia="ja-JP"/>
        </w:rPr>
        <w:t>zu</w:t>
      </w:r>
      <w:r w:rsidR="00C20397" w:rsidRPr="00652E2A">
        <w:rPr>
          <w:rFonts w:eastAsia="MS Mincho"/>
          <w:szCs w:val="24"/>
          <w:lang w:val="de-DE" w:eastAsia="ja-JP"/>
        </w:rPr>
        <w:t xml:space="preserve"> </w:t>
      </w:r>
      <w:r w:rsidR="001E2D36" w:rsidRPr="00652E2A">
        <w:rPr>
          <w:rFonts w:eastAsia="MS Mincho"/>
          <w:szCs w:val="24"/>
          <w:lang w:val="de-DE" w:eastAsia="ja-JP"/>
        </w:rPr>
        <w:t>„</w:t>
      </w:r>
      <w:r w:rsidR="008A0DBF" w:rsidRPr="00652E2A">
        <w:rPr>
          <w:rFonts w:eastAsia="MS Mincho"/>
          <w:szCs w:val="24"/>
          <w:lang w:val="de-DE" w:eastAsia="ja-JP"/>
        </w:rPr>
        <w:t xml:space="preserve">Prüfung der Homogenität anhand von Abweichern </w:t>
      </w:r>
      <w:r w:rsidR="0097710B" w:rsidRPr="00652E2A">
        <w:rPr>
          <w:rFonts w:eastAsia="MS Mincho"/>
          <w:szCs w:val="24"/>
          <w:lang w:val="de-DE" w:eastAsia="ja-JP"/>
        </w:rPr>
        <w:t xml:space="preserve">aufgrund von mehr als einer </w:t>
      </w:r>
      <w:r w:rsidR="008A0DBF" w:rsidRPr="00652E2A">
        <w:rPr>
          <w:rFonts w:eastAsia="MS Mincho"/>
          <w:szCs w:val="24"/>
          <w:lang w:val="de-DE" w:eastAsia="ja-JP"/>
        </w:rPr>
        <w:t xml:space="preserve">Wachstumsperiode oder </w:t>
      </w:r>
      <w:r w:rsidR="0097710B" w:rsidRPr="00652E2A">
        <w:rPr>
          <w:rFonts w:eastAsia="MS Mincho"/>
          <w:szCs w:val="24"/>
          <w:lang w:val="de-DE" w:eastAsia="ja-JP"/>
        </w:rPr>
        <w:t>aufgrund von Unterproben</w:t>
      </w:r>
      <w:r w:rsidR="001E2D36" w:rsidRPr="00652E2A">
        <w:rPr>
          <w:rFonts w:eastAsia="MS Mincho"/>
          <w:szCs w:val="24"/>
          <w:lang w:val="de-DE" w:eastAsia="ja-JP"/>
        </w:rPr>
        <w:t>“</w:t>
      </w:r>
      <w:r w:rsidR="00762839" w:rsidRPr="00652E2A">
        <w:rPr>
          <w:lang w:val="de-DE"/>
        </w:rPr>
        <w:t xml:space="preserve"> </w:t>
      </w:r>
      <w:r w:rsidR="008A0DBF" w:rsidRPr="00652E2A">
        <w:rPr>
          <w:lang w:val="de-DE"/>
        </w:rPr>
        <w:t>zur Aufnahme in eine künftige Überarbeitung von Dokument TGP/10</w:t>
      </w:r>
      <w:r w:rsidR="00C20397" w:rsidRPr="00652E2A">
        <w:rPr>
          <w:lang w:val="de-DE"/>
        </w:rPr>
        <w:t xml:space="preserve"> </w:t>
      </w:r>
      <w:r w:rsidR="001E2D36" w:rsidRPr="00652E2A">
        <w:rPr>
          <w:lang w:val="de-DE"/>
        </w:rPr>
        <w:t>„</w:t>
      </w:r>
      <w:r w:rsidR="008A0DBF" w:rsidRPr="00652E2A">
        <w:rPr>
          <w:lang w:val="de-DE"/>
        </w:rPr>
        <w:t>Prüfung der Homogenität</w:t>
      </w:r>
      <w:r w:rsidR="001E2D36" w:rsidRPr="00652E2A">
        <w:rPr>
          <w:lang w:val="de-DE"/>
        </w:rPr>
        <w:t>“</w:t>
      </w:r>
      <w:r w:rsidR="005C045D" w:rsidRPr="00652E2A">
        <w:rPr>
          <w:rStyle w:val="FootnoteReference"/>
          <w:lang w:val="de-DE"/>
        </w:rPr>
        <w:footnoteReference w:id="11"/>
      </w:r>
      <w:r w:rsidR="001E2D36" w:rsidRPr="00652E2A">
        <w:rPr>
          <w:lang w:val="de-DE"/>
        </w:rPr>
        <w:t xml:space="preserve"> </w:t>
      </w:r>
      <w:r w:rsidR="00925CF8" w:rsidRPr="00652E2A">
        <w:rPr>
          <w:lang w:val="de-DE"/>
        </w:rPr>
        <w:t xml:space="preserve">dem Rat zur Annahme </w:t>
      </w:r>
      <w:r w:rsidR="001E2D36" w:rsidRPr="00652E2A">
        <w:rPr>
          <w:lang w:val="de-DE"/>
        </w:rPr>
        <w:t>vor</w:t>
      </w:r>
      <w:r w:rsidR="008A0DBF" w:rsidRPr="00652E2A">
        <w:rPr>
          <w:lang w:val="de-DE"/>
        </w:rPr>
        <w:t>gelegt werden sollte.</w:t>
      </w:r>
      <w:r w:rsidR="00CD390F" w:rsidRPr="00652E2A">
        <w:rPr>
          <w:rFonts w:eastAsia="MS Mincho"/>
          <w:szCs w:val="24"/>
          <w:lang w:val="de-DE" w:eastAsia="ja-JP"/>
        </w:rPr>
        <w:t xml:space="preserve"> </w:t>
      </w:r>
    </w:p>
    <w:p w14:paraId="209962BC" w14:textId="77777777" w:rsidR="00B964D9" w:rsidRPr="00652E2A" w:rsidRDefault="00B964D9" w:rsidP="00F928F4">
      <w:pPr>
        <w:rPr>
          <w:lang w:val="de-DE"/>
        </w:rPr>
      </w:pPr>
    </w:p>
    <w:p w14:paraId="376D7F78" w14:textId="4FCBF847" w:rsidR="00B964D9" w:rsidRPr="00652E2A" w:rsidRDefault="00824EE7" w:rsidP="00B964D9">
      <w:pPr>
        <w:rPr>
          <w:bCs/>
          <w:snapToGrid w:val="0"/>
          <w:szCs w:val="24"/>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B964D9" w:rsidRPr="00652E2A">
        <w:rPr>
          <w:spacing w:val="-2"/>
          <w:lang w:val="de-DE"/>
        </w:rPr>
        <w:t>Die Übersetzungen des englischen Originalwortlauts ins Deutsche, Französische und Spanische w</w:t>
      </w:r>
      <w:r w:rsidR="00925CF8" w:rsidRPr="00652E2A">
        <w:rPr>
          <w:spacing w:val="-2"/>
          <w:lang w:val="de-DE"/>
        </w:rPr>
        <w:t>u</w:t>
      </w:r>
      <w:r w:rsidR="00B964D9" w:rsidRPr="00652E2A">
        <w:rPr>
          <w:spacing w:val="-2"/>
          <w:lang w:val="de-DE"/>
        </w:rPr>
        <w:t>rden von den entsprechenden Mitgliedern des Redaktions</w:t>
      </w:r>
      <w:r w:rsidR="006D469B" w:rsidRPr="00652E2A">
        <w:rPr>
          <w:spacing w:val="-2"/>
          <w:lang w:val="de-DE"/>
        </w:rPr>
        <w:t>a</w:t>
      </w:r>
      <w:r w:rsidR="00D06894" w:rsidRPr="00652E2A">
        <w:rPr>
          <w:spacing w:val="-2"/>
          <w:lang w:val="de-DE"/>
        </w:rPr>
        <w:t>usschusses</w:t>
      </w:r>
      <w:r w:rsidR="00B964D9" w:rsidRPr="00652E2A">
        <w:rPr>
          <w:spacing w:val="-2"/>
          <w:lang w:val="de-DE"/>
        </w:rPr>
        <w:t xml:space="preserve"> vor der Vorlage des Entwurfs </w:t>
      </w:r>
      <w:r w:rsidR="007301FF" w:rsidRPr="00652E2A">
        <w:rPr>
          <w:spacing w:val="-2"/>
          <w:lang w:val="de-DE"/>
        </w:rPr>
        <w:t>von Dokument</w:t>
      </w:r>
      <w:r w:rsidR="00B964D9" w:rsidRPr="00652E2A">
        <w:rPr>
          <w:spacing w:val="-2"/>
          <w:lang w:val="de-DE"/>
        </w:rPr>
        <w:t> TGP/10/2 an den Rat überprüft.</w:t>
      </w:r>
      <w:r w:rsidRPr="00652E2A">
        <w:rPr>
          <w:spacing w:val="-2"/>
          <w:lang w:val="de-DE"/>
        </w:rPr>
        <w:t xml:space="preserve"> </w:t>
      </w:r>
      <w:r w:rsidR="00DB4285" w:rsidRPr="00652E2A">
        <w:rPr>
          <w:spacing w:val="-2"/>
          <w:lang w:val="de-DE"/>
        </w:rPr>
        <w:t>Dokument</w:t>
      </w:r>
      <w:r w:rsidRPr="00652E2A">
        <w:rPr>
          <w:spacing w:val="-2"/>
          <w:lang w:val="de-DE"/>
        </w:rPr>
        <w:t xml:space="preserve"> TGP/10/2 Draft 1 </w:t>
      </w:r>
      <w:r w:rsidR="002A5548" w:rsidRPr="00652E2A">
        <w:rPr>
          <w:spacing w:val="-2"/>
          <w:lang w:val="de-DE"/>
        </w:rPr>
        <w:t>beinhaltet die vom TC vereinbarten Änderungen</w:t>
      </w:r>
      <w:r w:rsidRPr="00652E2A">
        <w:rPr>
          <w:spacing w:val="-2"/>
          <w:lang w:val="de-DE"/>
        </w:rPr>
        <w:t xml:space="preserve">, </w:t>
      </w:r>
      <w:r w:rsidR="002A5548" w:rsidRPr="00652E2A">
        <w:rPr>
          <w:spacing w:val="-2"/>
          <w:lang w:val="de-DE"/>
        </w:rPr>
        <w:t xml:space="preserve">wie in </w:t>
      </w:r>
      <w:r w:rsidR="00340875" w:rsidRPr="00652E2A">
        <w:rPr>
          <w:spacing w:val="-2"/>
          <w:lang w:val="de-DE"/>
        </w:rPr>
        <w:t>Anlage</w:t>
      </w:r>
      <w:r w:rsidR="002A5548" w:rsidRPr="00652E2A">
        <w:rPr>
          <w:spacing w:val="-2"/>
          <w:lang w:val="de-DE"/>
        </w:rPr>
        <w:t xml:space="preserve"> III dieses Dokuments darge</w:t>
      </w:r>
      <w:r w:rsidR="001E2D36" w:rsidRPr="00652E2A">
        <w:rPr>
          <w:spacing w:val="-2"/>
          <w:lang w:val="de-DE"/>
        </w:rPr>
        <w:t>legt</w:t>
      </w:r>
      <w:r w:rsidR="002A5548" w:rsidRPr="00652E2A">
        <w:rPr>
          <w:i/>
          <w:spacing w:val="-2"/>
          <w:lang w:val="de-DE"/>
        </w:rPr>
        <w:t xml:space="preserve">, </w:t>
      </w:r>
      <w:r w:rsidR="002A5548" w:rsidRPr="00652E2A">
        <w:rPr>
          <w:spacing w:val="-2"/>
          <w:lang w:val="de-DE"/>
        </w:rPr>
        <w:t>sowie die von den entsprechenden Mitgliedern des Redaktions</w:t>
      </w:r>
      <w:r w:rsidR="001E2D36" w:rsidRPr="00652E2A">
        <w:rPr>
          <w:spacing w:val="-2"/>
          <w:lang w:val="de-DE"/>
        </w:rPr>
        <w:t>a</w:t>
      </w:r>
      <w:r w:rsidR="00D06894" w:rsidRPr="00652E2A">
        <w:rPr>
          <w:spacing w:val="-2"/>
          <w:lang w:val="de-DE"/>
        </w:rPr>
        <w:t>usschusses</w:t>
      </w:r>
      <w:r w:rsidR="002A5548" w:rsidRPr="00652E2A">
        <w:rPr>
          <w:spacing w:val="-2"/>
          <w:lang w:val="de-DE"/>
        </w:rPr>
        <w:t xml:space="preserve"> vorgenommenen sprachlichen Änderungen.</w:t>
      </w:r>
    </w:p>
    <w:p w14:paraId="7EBFE8C5" w14:textId="77777777" w:rsidR="00B964D9" w:rsidRPr="00652E2A" w:rsidRDefault="00B964D9" w:rsidP="00824EE7">
      <w:pPr>
        <w:rPr>
          <w:bCs/>
          <w:snapToGrid w:val="0"/>
          <w:szCs w:val="24"/>
          <w:lang w:val="de-DE"/>
        </w:rPr>
      </w:pPr>
    </w:p>
    <w:p w14:paraId="6C1110D5" w14:textId="077BFEB8" w:rsidR="007301FF" w:rsidRPr="00652E2A" w:rsidRDefault="00D241D3" w:rsidP="00D241D3">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7301FF" w:rsidRPr="00652E2A">
        <w:rPr>
          <w:lang w:val="de-DE"/>
        </w:rPr>
        <w:t xml:space="preserve">Der TC wird </w:t>
      </w:r>
      <w:r w:rsidR="001E2D36" w:rsidRPr="00652E2A">
        <w:rPr>
          <w:lang w:val="de-DE"/>
        </w:rPr>
        <w:t>auf</w:t>
      </w:r>
      <w:r w:rsidR="007301FF" w:rsidRPr="00652E2A">
        <w:rPr>
          <w:lang w:val="de-DE"/>
        </w:rPr>
        <w:t xml:space="preserve"> seiner fünfundfünfzigsten </w:t>
      </w:r>
      <w:r w:rsidR="00B5600B" w:rsidRPr="00652E2A">
        <w:rPr>
          <w:lang w:val="de-DE"/>
        </w:rPr>
        <w:t>Tagung</w:t>
      </w:r>
      <w:r w:rsidR="00C52246" w:rsidRPr="00652E2A">
        <w:rPr>
          <w:vertAlign w:val="superscript"/>
          <w:lang w:val="de-DE"/>
        </w:rPr>
        <w:fldChar w:fldCharType="begin"/>
      </w:r>
      <w:r w:rsidR="00C52246" w:rsidRPr="00652E2A">
        <w:rPr>
          <w:vertAlign w:val="superscript"/>
          <w:lang w:val="de-DE"/>
        </w:rPr>
        <w:instrText xml:space="preserve"> NOTEREF _Ref13574983 \h  \* MERGEFORMAT </w:instrText>
      </w:r>
      <w:r w:rsidR="00C52246" w:rsidRPr="00652E2A">
        <w:rPr>
          <w:vertAlign w:val="superscript"/>
          <w:lang w:val="de-DE"/>
        </w:rPr>
      </w:r>
      <w:r w:rsidR="00C52246" w:rsidRPr="00652E2A">
        <w:rPr>
          <w:vertAlign w:val="superscript"/>
          <w:lang w:val="de-DE"/>
        </w:rPr>
        <w:fldChar w:fldCharType="separate"/>
      </w:r>
      <w:r w:rsidR="00ED0947" w:rsidRPr="00652E2A">
        <w:rPr>
          <w:vertAlign w:val="superscript"/>
          <w:lang w:val="de-DE"/>
        </w:rPr>
        <w:t>1</w:t>
      </w:r>
      <w:r w:rsidR="00C52246" w:rsidRPr="00652E2A">
        <w:rPr>
          <w:vertAlign w:val="superscript"/>
          <w:lang w:val="de-DE"/>
        </w:rPr>
        <w:fldChar w:fldCharType="end"/>
      </w:r>
      <w:r w:rsidRPr="00652E2A">
        <w:rPr>
          <w:lang w:val="de-DE"/>
        </w:rPr>
        <w:t xml:space="preserve"> </w:t>
      </w:r>
      <w:r w:rsidR="00DB4285" w:rsidRPr="00652E2A">
        <w:rPr>
          <w:lang w:val="de-DE"/>
        </w:rPr>
        <w:t>Dokument</w:t>
      </w:r>
      <w:r w:rsidR="005142AD">
        <w:rPr>
          <w:lang w:val="de-DE"/>
        </w:rPr>
        <w:t xml:space="preserve"> TGP/10/2 Draft </w:t>
      </w:r>
      <w:r w:rsidRPr="00652E2A">
        <w:rPr>
          <w:lang w:val="de-DE"/>
        </w:rPr>
        <w:t>1</w:t>
      </w:r>
      <w:r w:rsidR="007301FF" w:rsidRPr="00652E2A">
        <w:rPr>
          <w:lang w:val="de-DE"/>
        </w:rPr>
        <w:t xml:space="preserve"> prüfen</w:t>
      </w:r>
      <w:r w:rsidRPr="00652E2A">
        <w:rPr>
          <w:lang w:val="de-DE"/>
        </w:rPr>
        <w:t>.</w:t>
      </w:r>
      <w:r w:rsidR="00CD390F" w:rsidRPr="00652E2A">
        <w:rPr>
          <w:lang w:val="de-DE"/>
        </w:rPr>
        <w:t xml:space="preserve"> </w:t>
      </w:r>
      <w:r w:rsidR="007301FF" w:rsidRPr="00652E2A">
        <w:rPr>
          <w:lang w:val="de-DE"/>
        </w:rPr>
        <w:t xml:space="preserve">Die </w:t>
      </w:r>
      <w:r w:rsidR="00D8106C" w:rsidRPr="00652E2A">
        <w:rPr>
          <w:lang w:val="de-DE"/>
        </w:rPr>
        <w:t>Bemerkungen</w:t>
      </w:r>
      <w:r w:rsidR="007301FF" w:rsidRPr="00652E2A">
        <w:rPr>
          <w:lang w:val="de-DE"/>
        </w:rPr>
        <w:t xml:space="preserve"> des TC werden dem CAJ </w:t>
      </w:r>
      <w:r w:rsidR="001E2D36" w:rsidRPr="00652E2A">
        <w:rPr>
          <w:lang w:val="de-DE"/>
        </w:rPr>
        <w:t>auf</w:t>
      </w:r>
      <w:r w:rsidR="007301FF" w:rsidRPr="00652E2A">
        <w:rPr>
          <w:lang w:val="de-DE"/>
        </w:rPr>
        <w:t xml:space="preserve"> seiner sechsundsiebzigsten </w:t>
      </w:r>
      <w:r w:rsidR="00B5600B" w:rsidRPr="00652E2A">
        <w:rPr>
          <w:lang w:val="de-DE"/>
        </w:rPr>
        <w:t>Tagung</w:t>
      </w:r>
      <w:r w:rsidR="0041246A" w:rsidRPr="00652E2A">
        <w:rPr>
          <w:lang w:val="de-DE"/>
        </w:rPr>
        <w:fldChar w:fldCharType="begin"/>
      </w:r>
      <w:r w:rsidR="0041246A" w:rsidRPr="00652E2A">
        <w:rPr>
          <w:lang w:val="de-DE"/>
        </w:rPr>
        <w:instrText xml:space="preserve"> NOTEREF _Ref12539207 \f \h </w:instrText>
      </w:r>
      <w:r w:rsidR="00F610D0" w:rsidRPr="00652E2A">
        <w:rPr>
          <w:lang w:val="de-DE"/>
        </w:rPr>
        <w:instrText xml:space="preserve"> \* MERGEFORMAT </w:instrText>
      </w:r>
      <w:r w:rsidR="0041246A" w:rsidRPr="00652E2A">
        <w:rPr>
          <w:lang w:val="de-DE"/>
        </w:rPr>
      </w:r>
      <w:r w:rsidR="0041246A" w:rsidRPr="00652E2A">
        <w:rPr>
          <w:lang w:val="de-DE"/>
        </w:rPr>
        <w:fldChar w:fldCharType="separate"/>
      </w:r>
      <w:r w:rsidR="00ED0947" w:rsidRPr="00652E2A">
        <w:rPr>
          <w:rStyle w:val="FootnoteReference"/>
          <w:lang w:val="de-DE"/>
        </w:rPr>
        <w:t>8</w:t>
      </w:r>
      <w:r w:rsidR="0041246A" w:rsidRPr="00652E2A">
        <w:rPr>
          <w:lang w:val="de-DE"/>
        </w:rPr>
        <w:fldChar w:fldCharType="end"/>
      </w:r>
      <w:r w:rsidR="007301FF" w:rsidRPr="00652E2A">
        <w:rPr>
          <w:lang w:val="de-DE"/>
        </w:rPr>
        <w:t xml:space="preserve"> </w:t>
      </w:r>
      <w:r w:rsidR="00D8106C" w:rsidRPr="00652E2A">
        <w:rPr>
          <w:lang w:val="de-DE"/>
        </w:rPr>
        <w:t>berichtet</w:t>
      </w:r>
      <w:r w:rsidR="007301FF" w:rsidRPr="00652E2A">
        <w:rPr>
          <w:lang w:val="de-DE"/>
        </w:rPr>
        <w:t>.</w:t>
      </w:r>
    </w:p>
    <w:p w14:paraId="134D1BF5" w14:textId="77777777" w:rsidR="00B964D9" w:rsidRPr="00652E2A" w:rsidRDefault="00B964D9" w:rsidP="00F928F4">
      <w:pPr>
        <w:rPr>
          <w:lang w:val="de-DE"/>
        </w:rPr>
      </w:pPr>
    </w:p>
    <w:p w14:paraId="0CCAC458" w14:textId="35921B64" w:rsidR="007301FF" w:rsidRPr="00652E2A" w:rsidRDefault="00F928F4" w:rsidP="007301FF">
      <w:pPr>
        <w:pStyle w:val="DecisionParagraphs"/>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7301FF" w:rsidRPr="00652E2A">
        <w:rPr>
          <w:lang w:val="de-DE"/>
        </w:rPr>
        <w:t xml:space="preserve">Der CAJ wird ersucht, die Überarbeitung von Dokument </w:t>
      </w:r>
      <w:r w:rsidR="007D578D" w:rsidRPr="00652E2A">
        <w:rPr>
          <w:lang w:val="de-DE"/>
        </w:rPr>
        <w:t>TGP/10</w:t>
      </w:r>
      <w:r w:rsidR="00C20397" w:rsidRPr="00652E2A">
        <w:rPr>
          <w:lang w:val="de-DE"/>
        </w:rPr>
        <w:t xml:space="preserve"> </w:t>
      </w:r>
      <w:r w:rsidR="001E2D36" w:rsidRPr="00652E2A">
        <w:rPr>
          <w:lang w:val="de-DE"/>
        </w:rPr>
        <w:t>„</w:t>
      </w:r>
      <w:r w:rsidR="0067761F" w:rsidRPr="00652E2A">
        <w:rPr>
          <w:lang w:val="de-DE"/>
        </w:rPr>
        <w:t>Prüfung</w:t>
      </w:r>
      <w:r w:rsidR="007D578D" w:rsidRPr="00652E2A">
        <w:rPr>
          <w:lang w:val="de-DE"/>
        </w:rPr>
        <w:t xml:space="preserve"> </w:t>
      </w:r>
      <w:r w:rsidR="001E2D36" w:rsidRPr="00652E2A">
        <w:rPr>
          <w:lang w:val="de-DE"/>
        </w:rPr>
        <w:t>der</w:t>
      </w:r>
      <w:r w:rsidR="007D578D" w:rsidRPr="00652E2A">
        <w:rPr>
          <w:lang w:val="de-DE"/>
        </w:rPr>
        <w:t xml:space="preserve"> Homogenität</w:t>
      </w:r>
      <w:r w:rsidR="001E2D36" w:rsidRPr="00652E2A">
        <w:rPr>
          <w:lang w:val="de-DE"/>
        </w:rPr>
        <w:t>“</w:t>
      </w:r>
      <w:r w:rsidR="007301FF" w:rsidRPr="00652E2A">
        <w:rPr>
          <w:lang w:val="de-DE"/>
        </w:rPr>
        <w:t xml:space="preserve"> (Dokument </w:t>
      </w:r>
      <w:r w:rsidR="00D06894" w:rsidRPr="00652E2A">
        <w:rPr>
          <w:lang w:val="de-DE"/>
        </w:rPr>
        <w:t>TGP/10/1</w:t>
      </w:r>
      <w:r w:rsidR="007301FF" w:rsidRPr="00652E2A">
        <w:rPr>
          <w:lang w:val="de-DE"/>
        </w:rPr>
        <w:t xml:space="preserve">) </w:t>
      </w:r>
      <w:r w:rsidR="00D8106C" w:rsidRPr="00652E2A">
        <w:rPr>
          <w:lang w:val="de-DE"/>
        </w:rPr>
        <w:t>auf der Grundlage von</w:t>
      </w:r>
      <w:r w:rsidR="007301FF" w:rsidRPr="00652E2A">
        <w:rPr>
          <w:lang w:val="de-DE"/>
        </w:rPr>
        <w:t xml:space="preserve"> Dokument </w:t>
      </w:r>
      <w:r w:rsidR="007D578D" w:rsidRPr="00652E2A">
        <w:rPr>
          <w:lang w:val="de-DE"/>
        </w:rPr>
        <w:t>TGP/10/2 Draft 1</w:t>
      </w:r>
      <w:r w:rsidR="007301FF" w:rsidRPr="00652E2A">
        <w:rPr>
          <w:lang w:val="de-DE"/>
        </w:rPr>
        <w:t xml:space="preserve"> </w:t>
      </w:r>
      <w:r w:rsidR="0097710B" w:rsidRPr="00652E2A">
        <w:rPr>
          <w:lang w:val="de-DE"/>
        </w:rPr>
        <w:t>u</w:t>
      </w:r>
      <w:r w:rsidR="00FD7926" w:rsidRPr="00652E2A">
        <w:rPr>
          <w:lang w:val="de-DE"/>
        </w:rPr>
        <w:t>nter Berücksichtigung</w:t>
      </w:r>
      <w:r w:rsidR="007301FF" w:rsidRPr="00652E2A">
        <w:rPr>
          <w:lang w:val="de-DE"/>
        </w:rPr>
        <w:t xml:space="preserve"> der </w:t>
      </w:r>
      <w:r w:rsidR="00FD7926" w:rsidRPr="00652E2A">
        <w:rPr>
          <w:lang w:val="de-DE"/>
        </w:rPr>
        <w:t>Entschließungen</w:t>
      </w:r>
      <w:r w:rsidR="007301FF" w:rsidRPr="00652E2A">
        <w:rPr>
          <w:lang w:val="de-DE"/>
        </w:rPr>
        <w:t xml:space="preserve"> des TC auf seiner fünfundfünfzigsten Tagung</w:t>
      </w:r>
      <w:r w:rsidR="007D578D" w:rsidRPr="00652E2A">
        <w:rPr>
          <w:lang w:val="de-DE"/>
        </w:rPr>
        <w:t xml:space="preserve"> zu prüfen</w:t>
      </w:r>
      <w:r w:rsidR="007301FF" w:rsidRPr="00652E2A">
        <w:rPr>
          <w:spacing w:val="-2"/>
          <w:lang w:val="de-DE"/>
        </w:rPr>
        <w:t>.</w:t>
      </w:r>
    </w:p>
    <w:p w14:paraId="21C82886" w14:textId="6F9F118A" w:rsidR="00B964D9" w:rsidRPr="00652E2A" w:rsidRDefault="00B964D9" w:rsidP="00273B07">
      <w:pPr>
        <w:rPr>
          <w:lang w:val="de-DE"/>
        </w:rPr>
      </w:pPr>
    </w:p>
    <w:p w14:paraId="4470D318" w14:textId="77777777" w:rsidR="007D578D" w:rsidRPr="00652E2A" w:rsidRDefault="007D578D" w:rsidP="00273B07">
      <w:pPr>
        <w:rPr>
          <w:lang w:val="de-DE"/>
        </w:rPr>
      </w:pPr>
    </w:p>
    <w:p w14:paraId="16C7722D" w14:textId="24699196" w:rsidR="00B964D9" w:rsidRPr="005142AD" w:rsidRDefault="00E43EA6" w:rsidP="00B964D9">
      <w:pPr>
        <w:keepNext/>
        <w:outlineLvl w:val="1"/>
        <w:rPr>
          <w:spacing w:val="-2"/>
          <w:u w:val="single"/>
          <w:lang w:val="de-DE"/>
        </w:rPr>
      </w:pPr>
      <w:bookmarkStart w:id="24" w:name="_Toc15647503"/>
      <w:r w:rsidRPr="005142AD">
        <w:rPr>
          <w:spacing w:val="-2"/>
          <w:u w:val="single"/>
          <w:lang w:val="de-DE"/>
        </w:rPr>
        <w:t xml:space="preserve">Dokument </w:t>
      </w:r>
      <w:r w:rsidR="00B964D9" w:rsidRPr="005142AD">
        <w:rPr>
          <w:spacing w:val="-2"/>
          <w:u w:val="single"/>
          <w:lang w:val="de-DE"/>
        </w:rPr>
        <w:t>TGP/14:</w:t>
      </w:r>
      <w:r w:rsidRPr="005142AD">
        <w:rPr>
          <w:spacing w:val="-2"/>
          <w:u w:val="single"/>
          <w:lang w:val="de-DE"/>
        </w:rPr>
        <w:t xml:space="preserve"> </w:t>
      </w:r>
      <w:r w:rsidR="00B964D9" w:rsidRPr="005142AD">
        <w:rPr>
          <w:spacing w:val="-2"/>
          <w:u w:val="single"/>
          <w:lang w:val="de-DE"/>
        </w:rPr>
        <w:t>Glossar der in den UPOV-Dokumenten verwende</w:t>
      </w:r>
      <w:r w:rsidR="005142AD" w:rsidRPr="005142AD">
        <w:rPr>
          <w:spacing w:val="-2"/>
          <w:u w:val="single"/>
          <w:lang w:val="de-DE"/>
        </w:rPr>
        <w:t>ten Begriffe (Dokument TGP/14/4 Draft </w:t>
      </w:r>
      <w:r w:rsidR="00B964D9" w:rsidRPr="005142AD">
        <w:rPr>
          <w:spacing w:val="-2"/>
          <w:u w:val="single"/>
          <w:lang w:val="de-DE"/>
        </w:rPr>
        <w:t>1)</w:t>
      </w:r>
      <w:bookmarkEnd w:id="24"/>
    </w:p>
    <w:p w14:paraId="7C73E57C" w14:textId="77777777" w:rsidR="00B964D9" w:rsidRPr="00652E2A" w:rsidRDefault="00B964D9" w:rsidP="003035E1">
      <w:pPr>
        <w:rPr>
          <w:i/>
          <w:lang w:val="de-DE"/>
        </w:rPr>
      </w:pPr>
    </w:p>
    <w:p w14:paraId="0537CEA5" w14:textId="6ED82812" w:rsidR="00B964D9" w:rsidRPr="00652E2A" w:rsidRDefault="003035E1" w:rsidP="003035E1">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570EB3" w:rsidRPr="00652E2A">
        <w:rPr>
          <w:lang w:val="de-DE"/>
        </w:rPr>
        <w:t>Der TC vereinbarte a</w:t>
      </w:r>
      <w:r w:rsidR="00DD7470" w:rsidRPr="00652E2A">
        <w:rPr>
          <w:lang w:val="de-DE"/>
        </w:rPr>
        <w:t>uf seiner dreiundfünfzigsten Tagung</w:t>
      </w:r>
      <w:r w:rsidR="00392E8B" w:rsidRPr="00652E2A">
        <w:rPr>
          <w:lang w:val="de-DE"/>
        </w:rPr>
        <w:fldChar w:fldCharType="begin"/>
      </w:r>
      <w:r w:rsidR="00392E8B" w:rsidRPr="00652E2A">
        <w:rPr>
          <w:lang w:val="de-DE"/>
        </w:rPr>
        <w:instrText xml:space="preserve"> NOTEREF _Ref12539616 \f \h </w:instrText>
      </w:r>
      <w:r w:rsidR="00F610D0" w:rsidRPr="00652E2A">
        <w:rPr>
          <w:lang w:val="de-DE"/>
        </w:rPr>
        <w:instrText xml:space="preserve"> \* MERGEFORMAT </w:instrText>
      </w:r>
      <w:r w:rsidR="00392E8B" w:rsidRPr="00652E2A">
        <w:rPr>
          <w:lang w:val="de-DE"/>
        </w:rPr>
      </w:r>
      <w:r w:rsidR="00392E8B" w:rsidRPr="00652E2A">
        <w:rPr>
          <w:lang w:val="de-DE"/>
        </w:rPr>
        <w:fldChar w:fldCharType="separate"/>
      </w:r>
      <w:r w:rsidR="00ED0947" w:rsidRPr="00652E2A">
        <w:rPr>
          <w:rStyle w:val="FootnoteReference"/>
          <w:lang w:val="de-DE"/>
        </w:rPr>
        <w:t>11</w:t>
      </w:r>
      <w:r w:rsidR="00392E8B" w:rsidRPr="00652E2A">
        <w:rPr>
          <w:lang w:val="de-DE"/>
        </w:rPr>
        <w:fldChar w:fldCharType="end"/>
      </w:r>
      <w:r w:rsidR="00DD7470" w:rsidRPr="00652E2A">
        <w:rPr>
          <w:lang w:val="de-DE"/>
        </w:rPr>
        <w:t>, Dokument TGP/14: Abschnitt 2: Unterabschnitt 2:</w:t>
      </w:r>
      <w:r w:rsidR="00C20397" w:rsidRPr="00652E2A">
        <w:rPr>
          <w:lang w:val="de-DE"/>
        </w:rPr>
        <w:t xml:space="preserve"> </w:t>
      </w:r>
      <w:r w:rsidR="001E2D36" w:rsidRPr="00652E2A">
        <w:rPr>
          <w:lang w:val="de-DE"/>
        </w:rPr>
        <w:t>„</w:t>
      </w:r>
      <w:r w:rsidR="00DD7470" w:rsidRPr="00652E2A">
        <w:rPr>
          <w:lang w:val="de-DE"/>
        </w:rPr>
        <w:t>Formen und Strukturen</w:t>
      </w:r>
      <w:r w:rsidR="001E2D36" w:rsidRPr="00652E2A">
        <w:rPr>
          <w:lang w:val="de-DE"/>
        </w:rPr>
        <w:t>“</w:t>
      </w:r>
      <w:r w:rsidR="00DD7470" w:rsidRPr="00652E2A">
        <w:rPr>
          <w:lang w:val="de-DE"/>
        </w:rPr>
        <w:t xml:space="preserve"> zu überarbeiten,</w:t>
      </w:r>
      <w:r w:rsidRPr="00652E2A">
        <w:rPr>
          <w:lang w:val="de-DE"/>
        </w:rPr>
        <w:t xml:space="preserve"> </w:t>
      </w:r>
      <w:r w:rsidR="00DD7470" w:rsidRPr="00652E2A">
        <w:rPr>
          <w:lang w:val="de-DE"/>
        </w:rPr>
        <w:t>um das Raster in Beispiel</w:t>
      </w:r>
      <w:r w:rsidRPr="00652E2A">
        <w:rPr>
          <w:lang w:val="de-DE"/>
        </w:rPr>
        <w:t> 5, Alternative 2,</w:t>
      </w:r>
      <w:r w:rsidR="00DD7470" w:rsidRPr="00652E2A">
        <w:rPr>
          <w:lang w:val="de-DE"/>
        </w:rPr>
        <w:t xml:space="preserve"> wie in Anlage</w:t>
      </w:r>
      <w:r w:rsidR="00691F62" w:rsidRPr="00652E2A">
        <w:rPr>
          <w:lang w:val="de-DE"/>
        </w:rPr>
        <w:t xml:space="preserve"> IV</w:t>
      </w:r>
      <w:r w:rsidR="00DD7470" w:rsidRPr="00652E2A">
        <w:rPr>
          <w:lang w:val="de-DE"/>
        </w:rPr>
        <w:t xml:space="preserve"> </w:t>
      </w:r>
      <w:r w:rsidR="001E2D36" w:rsidRPr="00652E2A">
        <w:rPr>
          <w:lang w:val="de-DE"/>
        </w:rPr>
        <w:t>dieses</w:t>
      </w:r>
      <w:r w:rsidR="00392E8B" w:rsidRPr="00652E2A">
        <w:rPr>
          <w:lang w:val="de-DE"/>
        </w:rPr>
        <w:t xml:space="preserve"> </w:t>
      </w:r>
      <w:r w:rsidR="00DB4285" w:rsidRPr="00652E2A">
        <w:rPr>
          <w:lang w:val="de-DE"/>
        </w:rPr>
        <w:t>Dokument</w:t>
      </w:r>
      <w:r w:rsidR="001E2D36" w:rsidRPr="00652E2A">
        <w:rPr>
          <w:lang w:val="de-DE"/>
        </w:rPr>
        <w:t>s</w:t>
      </w:r>
      <w:r w:rsidR="00392E8B" w:rsidRPr="00652E2A">
        <w:rPr>
          <w:rStyle w:val="FootnoteReference"/>
          <w:lang w:val="de-DE"/>
        </w:rPr>
        <w:footnoteReference w:id="12"/>
      </w:r>
      <w:r w:rsidR="001531DF" w:rsidRPr="00652E2A">
        <w:rPr>
          <w:lang w:val="de-DE"/>
        </w:rPr>
        <w:t xml:space="preserve"> dargelegt</w:t>
      </w:r>
      <w:r w:rsidR="00570EB3" w:rsidRPr="00652E2A">
        <w:rPr>
          <w:lang w:val="de-DE"/>
        </w:rPr>
        <w:t>,</w:t>
      </w:r>
      <w:r w:rsidR="00DD7470" w:rsidRPr="00652E2A">
        <w:rPr>
          <w:lang w:val="de-DE"/>
        </w:rPr>
        <w:t xml:space="preserve"> zu ändern</w:t>
      </w:r>
      <w:r w:rsidR="00555B9E" w:rsidRPr="00652E2A">
        <w:rPr>
          <w:lang w:val="de-DE"/>
        </w:rPr>
        <w:t>.</w:t>
      </w:r>
    </w:p>
    <w:p w14:paraId="48FF4883" w14:textId="77777777" w:rsidR="00B964D9" w:rsidRPr="00652E2A" w:rsidRDefault="00B964D9" w:rsidP="00273B07">
      <w:pPr>
        <w:keepNext/>
        <w:outlineLvl w:val="2"/>
        <w:rPr>
          <w:rFonts w:eastAsia="MS Mincho"/>
          <w:lang w:val="de-DE"/>
        </w:rPr>
      </w:pPr>
    </w:p>
    <w:p w14:paraId="048DA8C1" w14:textId="52D50480" w:rsidR="00B964D9" w:rsidRPr="00652E2A" w:rsidRDefault="00555B9E" w:rsidP="00555B9E">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570EB3" w:rsidRPr="00652E2A">
        <w:rPr>
          <w:lang w:val="de-DE"/>
        </w:rPr>
        <w:t>Der TC vereinbarte a</w:t>
      </w:r>
      <w:r w:rsidR="00DD7470" w:rsidRPr="00652E2A">
        <w:rPr>
          <w:lang w:val="de-DE"/>
        </w:rPr>
        <w:t xml:space="preserve">uf seiner vierundfünfzigsten </w:t>
      </w:r>
      <w:r w:rsidR="00925CF8" w:rsidRPr="00652E2A">
        <w:rPr>
          <w:lang w:val="de-DE"/>
        </w:rPr>
        <w:t>Tagung</w:t>
      </w:r>
      <w:r w:rsidR="00925CF8" w:rsidRPr="00652E2A">
        <w:rPr>
          <w:lang w:val="de-DE"/>
        </w:rPr>
        <w:fldChar w:fldCharType="begin"/>
      </w:r>
      <w:r w:rsidR="00925CF8" w:rsidRPr="00652E2A">
        <w:rPr>
          <w:lang w:val="de-DE"/>
        </w:rPr>
        <w:instrText xml:space="preserve"> NOTEREF _Ref12538883 \f \h </w:instrText>
      </w:r>
      <w:r w:rsidR="00A12415" w:rsidRPr="00652E2A">
        <w:rPr>
          <w:lang w:val="de-DE"/>
        </w:rPr>
        <w:instrText xml:space="preserve"> \* MERGEFORMAT </w:instrText>
      </w:r>
      <w:r w:rsidR="00925CF8" w:rsidRPr="00652E2A">
        <w:rPr>
          <w:lang w:val="de-DE"/>
        </w:rPr>
      </w:r>
      <w:r w:rsidR="00925CF8" w:rsidRPr="00652E2A">
        <w:rPr>
          <w:lang w:val="de-DE"/>
        </w:rPr>
        <w:fldChar w:fldCharType="separate"/>
      </w:r>
      <w:r w:rsidR="00925CF8" w:rsidRPr="00652E2A">
        <w:rPr>
          <w:vertAlign w:val="superscript"/>
          <w:lang w:val="de-DE"/>
        </w:rPr>
        <w:t>2</w:t>
      </w:r>
      <w:r w:rsidR="00925CF8" w:rsidRPr="00652E2A">
        <w:rPr>
          <w:lang w:val="de-DE"/>
        </w:rPr>
        <w:fldChar w:fldCharType="end"/>
      </w:r>
      <w:r w:rsidR="009B5E14" w:rsidRPr="00652E2A">
        <w:rPr>
          <w:lang w:val="de-DE"/>
        </w:rPr>
        <w:t>,</w:t>
      </w:r>
      <w:r w:rsidR="00DD7470" w:rsidRPr="00652E2A">
        <w:rPr>
          <w:lang w:val="de-DE"/>
        </w:rPr>
        <w:t xml:space="preserve"> die vorgeschlagenen Überarbeitungen </w:t>
      </w:r>
      <w:r w:rsidR="009B5E14" w:rsidRPr="00652E2A">
        <w:rPr>
          <w:lang w:val="de-DE"/>
        </w:rPr>
        <w:t>von</w:t>
      </w:r>
      <w:r w:rsidR="00DD7470" w:rsidRPr="00652E2A">
        <w:rPr>
          <w:lang w:val="de-DE"/>
        </w:rPr>
        <w:t xml:space="preserve"> Dokument TGP/14,</w:t>
      </w:r>
      <w:r w:rsidR="00C20397" w:rsidRPr="00652E2A">
        <w:rPr>
          <w:lang w:val="de-DE"/>
        </w:rPr>
        <w:t xml:space="preserve"> </w:t>
      </w:r>
      <w:r w:rsidR="001E2D36" w:rsidRPr="00652E2A">
        <w:rPr>
          <w:lang w:val="de-DE"/>
        </w:rPr>
        <w:t>„</w:t>
      </w:r>
      <w:r w:rsidR="00DD7470" w:rsidRPr="00652E2A">
        <w:rPr>
          <w:lang w:val="de-DE"/>
        </w:rPr>
        <w:t>Glossar der in den UPOV-Dokumenten verwendeten Begriffe</w:t>
      </w:r>
      <w:r w:rsidR="001E2D36" w:rsidRPr="00652E2A">
        <w:rPr>
          <w:lang w:val="de-DE"/>
        </w:rPr>
        <w:t>“</w:t>
      </w:r>
      <w:r w:rsidR="00824EE7" w:rsidRPr="00652E2A">
        <w:rPr>
          <w:lang w:val="de-DE"/>
        </w:rPr>
        <w:t xml:space="preserve"> </w:t>
      </w:r>
      <w:r w:rsidR="009B5E14" w:rsidRPr="00652E2A">
        <w:rPr>
          <w:lang w:val="de-DE"/>
        </w:rPr>
        <w:t>in eine</w:t>
      </w:r>
      <w:r w:rsidR="00ED2F4B" w:rsidRPr="00652E2A">
        <w:rPr>
          <w:lang w:val="de-DE"/>
        </w:rPr>
        <w:t xml:space="preserve"> Anleitung zu den Faktoren, die für das Erstellen von Farbgruppen für die Gruppierung von Sorten und die Organisation der Anbauprüfung</w:t>
      </w:r>
      <w:r w:rsidR="001531DF" w:rsidRPr="00652E2A">
        <w:rPr>
          <w:lang w:val="de-DE"/>
        </w:rPr>
        <w:t xml:space="preserve"> zu berücksichtigen sind, aufzunehmen</w:t>
      </w:r>
      <w:r w:rsidR="001531DF" w:rsidRPr="00652E2A">
        <w:rPr>
          <w:rStyle w:val="FootnoteReference"/>
          <w:lang w:val="de-DE"/>
        </w:rPr>
        <w:t xml:space="preserve"> </w:t>
      </w:r>
      <w:r w:rsidR="00474EB8" w:rsidRPr="00652E2A">
        <w:rPr>
          <w:rStyle w:val="FootnoteReference"/>
          <w:lang w:val="de-DE"/>
        </w:rPr>
        <w:footnoteReference w:id="13"/>
      </w:r>
      <w:r w:rsidRPr="00652E2A">
        <w:rPr>
          <w:lang w:val="de-DE"/>
        </w:rPr>
        <w:t>.</w:t>
      </w:r>
      <w:r w:rsidR="00CD390F" w:rsidRPr="00652E2A">
        <w:rPr>
          <w:lang w:val="de-DE"/>
        </w:rPr>
        <w:t xml:space="preserve"> </w:t>
      </w:r>
    </w:p>
    <w:p w14:paraId="498F9B73" w14:textId="77777777" w:rsidR="00B964D9" w:rsidRPr="00652E2A" w:rsidRDefault="00B964D9" w:rsidP="00555B9E">
      <w:pPr>
        <w:rPr>
          <w:lang w:val="de-DE"/>
        </w:rPr>
      </w:pPr>
    </w:p>
    <w:p w14:paraId="254B727B" w14:textId="6C2BA36D" w:rsidR="00B964D9" w:rsidRPr="00652E2A" w:rsidRDefault="006F6881" w:rsidP="006F6881">
      <w:pPr>
        <w:rPr>
          <w:spacing w:val="-2"/>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9B5E14" w:rsidRPr="00652E2A">
        <w:rPr>
          <w:spacing w:val="-2"/>
          <w:lang w:val="de-DE"/>
        </w:rPr>
        <w:t xml:space="preserve">In Anbetracht dieser Tatsache vereinbarte der TC, </w:t>
      </w:r>
      <w:r w:rsidR="00EB5321" w:rsidRPr="00652E2A">
        <w:rPr>
          <w:spacing w:val="-2"/>
          <w:lang w:val="de-DE"/>
        </w:rPr>
        <w:t>dass</w:t>
      </w:r>
      <w:r w:rsidR="009B5E14" w:rsidRPr="00652E2A">
        <w:rPr>
          <w:spacing w:val="-2"/>
          <w:lang w:val="de-DE"/>
        </w:rPr>
        <w:t xml:space="preserve"> </w:t>
      </w:r>
      <w:r w:rsidR="00251F60" w:rsidRPr="00652E2A">
        <w:rPr>
          <w:spacing w:val="-2"/>
          <w:lang w:val="de-DE"/>
        </w:rPr>
        <w:t>eine</w:t>
      </w:r>
      <w:r w:rsidR="009B5E14" w:rsidRPr="00652E2A">
        <w:rPr>
          <w:spacing w:val="-2"/>
          <w:lang w:val="de-DE"/>
        </w:rPr>
        <w:t xml:space="preserve"> Überarbeitung von Dokument</w:t>
      </w:r>
      <w:r w:rsidRPr="00652E2A">
        <w:rPr>
          <w:spacing w:val="-2"/>
          <w:lang w:val="de-DE"/>
        </w:rPr>
        <w:t xml:space="preserve"> TGP/14/3 (</w:t>
      </w:r>
      <w:r w:rsidR="00DB4285" w:rsidRPr="00652E2A">
        <w:rPr>
          <w:spacing w:val="-2"/>
          <w:lang w:val="de-DE"/>
        </w:rPr>
        <w:t>Dokument</w:t>
      </w:r>
      <w:r w:rsidRPr="00652E2A">
        <w:rPr>
          <w:spacing w:val="-2"/>
          <w:lang w:val="de-DE"/>
        </w:rPr>
        <w:t xml:space="preserve"> TGP/14/4 Draft 1) </w:t>
      </w:r>
      <w:r w:rsidR="009B5E14" w:rsidRPr="00652E2A">
        <w:rPr>
          <w:spacing w:val="-2"/>
          <w:lang w:val="de-DE"/>
        </w:rPr>
        <w:t xml:space="preserve">dem Rat auf seiner dreiundfünfzigsten ordentlichen Tagung vorbehaltlich der </w:t>
      </w:r>
      <w:r w:rsidR="00D8106C" w:rsidRPr="00652E2A">
        <w:rPr>
          <w:spacing w:val="-2"/>
          <w:lang w:val="de-DE"/>
        </w:rPr>
        <w:t>Billigung durch den CAJ</w:t>
      </w:r>
      <w:r w:rsidR="009B5E14" w:rsidRPr="00652E2A">
        <w:rPr>
          <w:spacing w:val="-2"/>
          <w:lang w:val="de-DE"/>
        </w:rPr>
        <w:t xml:space="preserve"> auf seiner siebenundsechzigsten Tagung</w:t>
      </w:r>
      <w:r w:rsidRPr="00652E2A">
        <w:rPr>
          <w:lang w:val="de-DE"/>
        </w:rPr>
        <w:fldChar w:fldCharType="begin"/>
      </w:r>
      <w:r w:rsidRPr="00652E2A">
        <w:rPr>
          <w:lang w:val="de-DE"/>
        </w:rPr>
        <w:instrText xml:space="preserve"> NOTEREF _Ref12539207 \f \h </w:instrText>
      </w:r>
      <w:r w:rsidR="00F610D0" w:rsidRPr="00652E2A">
        <w:rPr>
          <w:lang w:val="de-DE"/>
        </w:rPr>
        <w:instrText xml:space="preserve"> \* MERGEFORMAT </w:instrText>
      </w:r>
      <w:r w:rsidRPr="00652E2A">
        <w:rPr>
          <w:lang w:val="de-DE"/>
        </w:rPr>
      </w:r>
      <w:r w:rsidRPr="00652E2A">
        <w:rPr>
          <w:lang w:val="de-DE"/>
        </w:rPr>
        <w:fldChar w:fldCharType="separate"/>
      </w:r>
      <w:r w:rsidR="00ED0947" w:rsidRPr="00652E2A">
        <w:rPr>
          <w:rStyle w:val="FootnoteReference"/>
          <w:lang w:val="de-DE"/>
        </w:rPr>
        <w:t>8</w:t>
      </w:r>
      <w:r w:rsidRPr="00652E2A">
        <w:rPr>
          <w:lang w:val="de-DE"/>
        </w:rPr>
        <w:fldChar w:fldCharType="end"/>
      </w:r>
      <w:r w:rsidR="009B5E14" w:rsidRPr="00652E2A">
        <w:rPr>
          <w:lang w:val="de-DE"/>
        </w:rPr>
        <w:t xml:space="preserve"> </w:t>
      </w:r>
      <w:r w:rsidR="00AF02BB" w:rsidRPr="00652E2A">
        <w:rPr>
          <w:spacing w:val="-2"/>
          <w:lang w:val="de-DE"/>
        </w:rPr>
        <w:t>zur Annahme vorgelegt werden sollte.</w:t>
      </w:r>
      <w:r w:rsidR="00CD390F" w:rsidRPr="00652E2A">
        <w:rPr>
          <w:spacing w:val="-2"/>
          <w:lang w:val="de-DE"/>
        </w:rPr>
        <w:t xml:space="preserve"> </w:t>
      </w:r>
    </w:p>
    <w:p w14:paraId="5A739B25" w14:textId="77777777" w:rsidR="00B964D9" w:rsidRPr="00652E2A" w:rsidRDefault="00B964D9" w:rsidP="006F6881">
      <w:pPr>
        <w:rPr>
          <w:spacing w:val="-2"/>
          <w:lang w:val="de-DE"/>
        </w:rPr>
      </w:pPr>
    </w:p>
    <w:p w14:paraId="2013B8B4" w14:textId="4958BB76" w:rsidR="00B964D9" w:rsidRPr="00652E2A" w:rsidRDefault="00824EE7" w:rsidP="00B964D9">
      <w:pPr>
        <w:rPr>
          <w:spacing w:val="-2"/>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B964D9" w:rsidRPr="00652E2A">
        <w:rPr>
          <w:spacing w:val="-2"/>
          <w:lang w:val="de-DE"/>
        </w:rPr>
        <w:t>Die Übersetzungen des englischen Originalwortlauts ins Deutsche, Französische und Spanische w</w:t>
      </w:r>
      <w:r w:rsidR="001E2D36" w:rsidRPr="00652E2A">
        <w:rPr>
          <w:spacing w:val="-2"/>
          <w:lang w:val="de-DE"/>
        </w:rPr>
        <w:t>u</w:t>
      </w:r>
      <w:r w:rsidR="00B964D9" w:rsidRPr="00652E2A">
        <w:rPr>
          <w:spacing w:val="-2"/>
          <w:lang w:val="de-DE"/>
        </w:rPr>
        <w:t>rden von den entsprechenden Mitgliedern des Redaktions</w:t>
      </w:r>
      <w:r w:rsidR="006A2D38" w:rsidRPr="00652E2A">
        <w:rPr>
          <w:spacing w:val="-2"/>
          <w:lang w:val="de-DE"/>
        </w:rPr>
        <w:t>a</w:t>
      </w:r>
      <w:r w:rsidR="00D06894" w:rsidRPr="00652E2A">
        <w:rPr>
          <w:spacing w:val="-2"/>
          <w:lang w:val="de-DE"/>
        </w:rPr>
        <w:t>usschusses</w:t>
      </w:r>
      <w:r w:rsidR="00B964D9" w:rsidRPr="00652E2A">
        <w:rPr>
          <w:spacing w:val="-2"/>
          <w:lang w:val="de-DE"/>
        </w:rPr>
        <w:t xml:space="preserve"> vor der Vorlage des Entwurfs </w:t>
      </w:r>
      <w:r w:rsidR="007301FF" w:rsidRPr="00652E2A">
        <w:rPr>
          <w:spacing w:val="-2"/>
          <w:lang w:val="de-DE"/>
        </w:rPr>
        <w:t>von Dokument</w:t>
      </w:r>
      <w:r w:rsidR="00B964D9" w:rsidRPr="00652E2A">
        <w:rPr>
          <w:spacing w:val="-2"/>
          <w:lang w:val="de-DE"/>
        </w:rPr>
        <w:t> TGP/14/4 an den Rat überprüft.</w:t>
      </w:r>
      <w:r w:rsidRPr="00652E2A">
        <w:rPr>
          <w:spacing w:val="-2"/>
          <w:lang w:val="de-DE"/>
        </w:rPr>
        <w:t xml:space="preserve"> </w:t>
      </w:r>
      <w:r w:rsidR="00DB4285" w:rsidRPr="00652E2A">
        <w:rPr>
          <w:spacing w:val="-2"/>
          <w:lang w:val="de-DE"/>
        </w:rPr>
        <w:t>Dokument</w:t>
      </w:r>
      <w:r w:rsidRPr="00652E2A">
        <w:rPr>
          <w:spacing w:val="-2"/>
          <w:lang w:val="de-DE"/>
        </w:rPr>
        <w:t> TGP/14/4 Draft 1</w:t>
      </w:r>
      <w:r w:rsidR="00251F60" w:rsidRPr="00652E2A">
        <w:rPr>
          <w:spacing w:val="-2"/>
          <w:lang w:val="de-DE"/>
        </w:rPr>
        <w:t xml:space="preserve"> </w:t>
      </w:r>
      <w:r w:rsidR="00B5600B" w:rsidRPr="00652E2A">
        <w:rPr>
          <w:spacing w:val="-2"/>
          <w:lang w:val="de-DE"/>
        </w:rPr>
        <w:t xml:space="preserve">beinhaltet die vom TC vereinbarten Änderungen, wie in </w:t>
      </w:r>
      <w:r w:rsidR="00340875" w:rsidRPr="00652E2A">
        <w:rPr>
          <w:spacing w:val="-2"/>
          <w:lang w:val="de-DE"/>
        </w:rPr>
        <w:t>Anlage</w:t>
      </w:r>
      <w:r w:rsidR="00B5600B" w:rsidRPr="00652E2A">
        <w:rPr>
          <w:spacing w:val="-2"/>
          <w:lang w:val="de-DE"/>
        </w:rPr>
        <w:t xml:space="preserve"> IV dieses Dokuments darge</w:t>
      </w:r>
      <w:r w:rsidR="001E2D36" w:rsidRPr="00652E2A">
        <w:rPr>
          <w:spacing w:val="-2"/>
          <w:lang w:val="de-DE"/>
        </w:rPr>
        <w:t>legt</w:t>
      </w:r>
      <w:r w:rsidR="00B5600B" w:rsidRPr="00652E2A">
        <w:rPr>
          <w:spacing w:val="-2"/>
          <w:lang w:val="de-DE"/>
        </w:rPr>
        <w:t>, sowie die von den entsprechenden Mitgliedern des Redaktions</w:t>
      </w:r>
      <w:r w:rsidR="006A2D38" w:rsidRPr="00652E2A">
        <w:rPr>
          <w:spacing w:val="-2"/>
          <w:lang w:val="de-DE"/>
        </w:rPr>
        <w:t>a</w:t>
      </w:r>
      <w:r w:rsidR="00D06894" w:rsidRPr="00652E2A">
        <w:rPr>
          <w:spacing w:val="-2"/>
          <w:lang w:val="de-DE"/>
        </w:rPr>
        <w:t>usschusses</w:t>
      </w:r>
      <w:r w:rsidR="00B5600B" w:rsidRPr="00652E2A">
        <w:rPr>
          <w:spacing w:val="-2"/>
          <w:lang w:val="de-DE"/>
        </w:rPr>
        <w:t xml:space="preserve"> vorgenommenen sprachlichen Änderungen.</w:t>
      </w:r>
    </w:p>
    <w:p w14:paraId="2FA19833" w14:textId="77777777" w:rsidR="00B964D9" w:rsidRPr="00652E2A" w:rsidRDefault="00B964D9" w:rsidP="00824EE7">
      <w:pPr>
        <w:rPr>
          <w:bCs/>
          <w:snapToGrid w:val="0"/>
          <w:szCs w:val="24"/>
          <w:lang w:val="de-DE"/>
        </w:rPr>
      </w:pPr>
    </w:p>
    <w:p w14:paraId="6558A8F4" w14:textId="4F0EA7FF" w:rsidR="00B964D9" w:rsidRPr="00652E2A" w:rsidRDefault="00691F62" w:rsidP="00691F62">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B5600B" w:rsidRPr="00652E2A">
        <w:rPr>
          <w:lang w:val="de-DE"/>
        </w:rPr>
        <w:t xml:space="preserve">Der TC wird </w:t>
      </w:r>
      <w:r w:rsidR="001E2D36" w:rsidRPr="00652E2A">
        <w:rPr>
          <w:lang w:val="de-DE"/>
        </w:rPr>
        <w:t>auf</w:t>
      </w:r>
      <w:r w:rsidR="00B5600B" w:rsidRPr="00652E2A">
        <w:rPr>
          <w:lang w:val="de-DE"/>
        </w:rPr>
        <w:t xml:space="preserve"> seiner fünfundfünfzigsten Tagung</w:t>
      </w:r>
      <w:r w:rsidR="00C52246" w:rsidRPr="00652E2A">
        <w:rPr>
          <w:vertAlign w:val="superscript"/>
          <w:lang w:val="de-DE"/>
        </w:rPr>
        <w:fldChar w:fldCharType="begin"/>
      </w:r>
      <w:r w:rsidR="00C52246" w:rsidRPr="00652E2A">
        <w:rPr>
          <w:vertAlign w:val="superscript"/>
          <w:lang w:val="de-DE"/>
        </w:rPr>
        <w:instrText xml:space="preserve"> NOTEREF _Ref13574983 \h  \* MERGEFORMAT </w:instrText>
      </w:r>
      <w:r w:rsidR="00C52246" w:rsidRPr="00652E2A">
        <w:rPr>
          <w:vertAlign w:val="superscript"/>
          <w:lang w:val="de-DE"/>
        </w:rPr>
      </w:r>
      <w:r w:rsidR="00C52246" w:rsidRPr="00652E2A">
        <w:rPr>
          <w:vertAlign w:val="superscript"/>
          <w:lang w:val="de-DE"/>
        </w:rPr>
        <w:fldChar w:fldCharType="separate"/>
      </w:r>
      <w:r w:rsidR="00ED0947" w:rsidRPr="00652E2A">
        <w:rPr>
          <w:vertAlign w:val="superscript"/>
          <w:lang w:val="de-DE"/>
        </w:rPr>
        <w:t>1</w:t>
      </w:r>
      <w:r w:rsidR="00C52246" w:rsidRPr="00652E2A">
        <w:rPr>
          <w:vertAlign w:val="superscript"/>
          <w:lang w:val="de-DE"/>
        </w:rPr>
        <w:fldChar w:fldCharType="end"/>
      </w:r>
      <w:r w:rsidR="00B5600B" w:rsidRPr="00652E2A">
        <w:rPr>
          <w:lang w:val="de-DE"/>
        </w:rPr>
        <w:t xml:space="preserve"> </w:t>
      </w:r>
      <w:r w:rsidR="00DB4285" w:rsidRPr="00652E2A">
        <w:rPr>
          <w:lang w:val="de-DE"/>
        </w:rPr>
        <w:t>Dokument</w:t>
      </w:r>
      <w:r w:rsidR="005142AD">
        <w:rPr>
          <w:lang w:val="de-DE"/>
        </w:rPr>
        <w:t xml:space="preserve"> TGP/14/4 </w:t>
      </w:r>
      <w:r w:rsidR="006C3063" w:rsidRPr="00652E2A">
        <w:rPr>
          <w:lang w:val="de-DE"/>
        </w:rPr>
        <w:t>Draft 1</w:t>
      </w:r>
      <w:r w:rsidR="00B5600B" w:rsidRPr="00652E2A">
        <w:rPr>
          <w:lang w:val="de-DE"/>
        </w:rPr>
        <w:t xml:space="preserve"> prüfen.</w:t>
      </w:r>
      <w:r w:rsidRPr="00652E2A">
        <w:rPr>
          <w:lang w:val="de-DE"/>
        </w:rPr>
        <w:t xml:space="preserve"> </w:t>
      </w:r>
      <w:r w:rsidR="00B5600B" w:rsidRPr="00652E2A">
        <w:rPr>
          <w:lang w:val="de-DE"/>
        </w:rPr>
        <w:t xml:space="preserve">Die </w:t>
      </w:r>
      <w:r w:rsidR="00D8106C" w:rsidRPr="00652E2A">
        <w:rPr>
          <w:lang w:val="de-DE"/>
        </w:rPr>
        <w:t>Bemerkungen</w:t>
      </w:r>
      <w:r w:rsidR="00B5600B" w:rsidRPr="00652E2A">
        <w:rPr>
          <w:lang w:val="de-DE"/>
        </w:rPr>
        <w:t xml:space="preserve"> des TC werden dem CAJ</w:t>
      </w:r>
      <w:r w:rsidR="00B5600B" w:rsidRPr="00652E2A">
        <w:rPr>
          <w:spacing w:val="-2"/>
          <w:lang w:val="de-DE"/>
        </w:rPr>
        <w:t xml:space="preserve"> </w:t>
      </w:r>
      <w:r w:rsidR="006A2D38" w:rsidRPr="00652E2A">
        <w:rPr>
          <w:spacing w:val="-2"/>
          <w:lang w:val="de-DE"/>
        </w:rPr>
        <w:t>auf</w:t>
      </w:r>
      <w:r w:rsidR="00B5600B" w:rsidRPr="00652E2A">
        <w:rPr>
          <w:spacing w:val="-2"/>
          <w:lang w:val="de-DE"/>
        </w:rPr>
        <w:t xml:space="preserve"> seiner sechsundsiebzigsten Tagung</w:t>
      </w:r>
      <w:r w:rsidR="00C936F0" w:rsidRPr="00652E2A">
        <w:rPr>
          <w:lang w:val="de-DE"/>
        </w:rPr>
        <w:fldChar w:fldCharType="begin"/>
      </w:r>
      <w:r w:rsidR="00C936F0" w:rsidRPr="00652E2A">
        <w:rPr>
          <w:lang w:val="de-DE"/>
        </w:rPr>
        <w:instrText xml:space="preserve"> NOTEREF _Ref12539207 \f \h </w:instrText>
      </w:r>
      <w:r w:rsidR="00F610D0" w:rsidRPr="00652E2A">
        <w:rPr>
          <w:lang w:val="de-DE"/>
        </w:rPr>
        <w:instrText xml:space="preserve"> \* MERGEFORMAT </w:instrText>
      </w:r>
      <w:r w:rsidR="00C936F0" w:rsidRPr="00652E2A">
        <w:rPr>
          <w:lang w:val="de-DE"/>
        </w:rPr>
      </w:r>
      <w:r w:rsidR="00C936F0" w:rsidRPr="00652E2A">
        <w:rPr>
          <w:lang w:val="de-DE"/>
        </w:rPr>
        <w:fldChar w:fldCharType="separate"/>
      </w:r>
      <w:r w:rsidR="00ED0947" w:rsidRPr="00652E2A">
        <w:rPr>
          <w:rStyle w:val="FootnoteReference"/>
          <w:lang w:val="de-DE"/>
        </w:rPr>
        <w:t>8</w:t>
      </w:r>
      <w:r w:rsidR="00C936F0" w:rsidRPr="00652E2A">
        <w:rPr>
          <w:lang w:val="de-DE"/>
        </w:rPr>
        <w:fldChar w:fldCharType="end"/>
      </w:r>
      <w:r w:rsidR="00B5600B" w:rsidRPr="00652E2A">
        <w:rPr>
          <w:lang w:val="de-DE"/>
        </w:rPr>
        <w:t xml:space="preserve"> </w:t>
      </w:r>
      <w:r w:rsidR="00D8106C" w:rsidRPr="00652E2A">
        <w:rPr>
          <w:lang w:val="de-DE"/>
        </w:rPr>
        <w:t>berichtet</w:t>
      </w:r>
      <w:r w:rsidR="00B5600B" w:rsidRPr="00652E2A">
        <w:rPr>
          <w:lang w:val="de-DE"/>
        </w:rPr>
        <w:t>.</w:t>
      </w:r>
    </w:p>
    <w:p w14:paraId="7E8D434C" w14:textId="77777777" w:rsidR="00B5600B" w:rsidRPr="00176611" w:rsidRDefault="00B5600B" w:rsidP="00176611"/>
    <w:p w14:paraId="70EEE3CC" w14:textId="04FE61F6" w:rsidR="007D578D" w:rsidRPr="00652E2A" w:rsidRDefault="00555B9E" w:rsidP="005142AD">
      <w:pPr>
        <w:pStyle w:val="DecisionParagraphs"/>
        <w:keepLines/>
        <w:rPr>
          <w:spacing w:val="-2"/>
          <w:lang w:val="de-DE"/>
        </w:rPr>
      </w:pPr>
      <w:r w:rsidRPr="00652E2A">
        <w:rPr>
          <w:lang w:val="de-DE"/>
        </w:rPr>
        <w:lastRenderedPageBreak/>
        <w:fldChar w:fldCharType="begin"/>
      </w:r>
      <w:r w:rsidRPr="00652E2A">
        <w:rPr>
          <w:lang w:val="de-DE"/>
        </w:rPr>
        <w:instrText xml:space="preserve"> AUTONUM  </w:instrText>
      </w:r>
      <w:r w:rsidRPr="00652E2A">
        <w:rPr>
          <w:lang w:val="de-DE"/>
        </w:rPr>
        <w:fldChar w:fldCharType="end"/>
      </w:r>
      <w:r w:rsidRPr="00652E2A">
        <w:rPr>
          <w:lang w:val="de-DE"/>
        </w:rPr>
        <w:tab/>
      </w:r>
      <w:r w:rsidR="007D578D" w:rsidRPr="00652E2A">
        <w:rPr>
          <w:lang w:val="de-DE"/>
        </w:rPr>
        <w:t xml:space="preserve">Der CAJ wird ersucht, die Überarbeitung </w:t>
      </w:r>
      <w:r w:rsidR="005142AD">
        <w:rPr>
          <w:lang w:val="de-DE"/>
        </w:rPr>
        <w:br/>
      </w:r>
      <w:r w:rsidR="007D578D" w:rsidRPr="00652E2A">
        <w:rPr>
          <w:lang w:val="de-DE"/>
        </w:rPr>
        <w:t>von Dokument TGP/14</w:t>
      </w:r>
      <w:r w:rsidR="00C20397" w:rsidRPr="00652E2A">
        <w:rPr>
          <w:lang w:val="de-DE"/>
        </w:rPr>
        <w:t xml:space="preserve"> </w:t>
      </w:r>
      <w:r w:rsidR="001E2D36" w:rsidRPr="00652E2A">
        <w:rPr>
          <w:lang w:val="de-DE"/>
        </w:rPr>
        <w:t>„</w:t>
      </w:r>
      <w:r w:rsidR="001531DF" w:rsidRPr="00652E2A">
        <w:rPr>
          <w:lang w:val="de-DE"/>
        </w:rPr>
        <w:t>Glossar der in den UPOV-Dokumenten verwendeten Begriffe</w:t>
      </w:r>
      <w:r w:rsidR="001E2D36" w:rsidRPr="00652E2A">
        <w:rPr>
          <w:lang w:val="de-DE"/>
        </w:rPr>
        <w:t>“</w:t>
      </w:r>
      <w:r w:rsidR="007D578D" w:rsidRPr="00652E2A">
        <w:rPr>
          <w:lang w:val="de-DE"/>
        </w:rPr>
        <w:t xml:space="preserve"> (Dokument TGP/14/3) </w:t>
      </w:r>
      <w:r w:rsidR="00D8106C" w:rsidRPr="00652E2A">
        <w:rPr>
          <w:lang w:val="de-DE"/>
        </w:rPr>
        <w:t>auf der Grundlage von</w:t>
      </w:r>
      <w:r w:rsidR="005142AD">
        <w:rPr>
          <w:lang w:val="de-DE"/>
        </w:rPr>
        <w:t xml:space="preserve"> Dokument TGP/14/4 </w:t>
      </w:r>
      <w:r w:rsidR="007D578D" w:rsidRPr="00652E2A">
        <w:rPr>
          <w:lang w:val="de-DE"/>
        </w:rPr>
        <w:t xml:space="preserve">Draft 1 </w:t>
      </w:r>
      <w:r w:rsidR="0097710B" w:rsidRPr="00652E2A">
        <w:rPr>
          <w:lang w:val="de-DE"/>
        </w:rPr>
        <w:t>u</w:t>
      </w:r>
      <w:r w:rsidR="00FD7926" w:rsidRPr="00652E2A">
        <w:rPr>
          <w:lang w:val="de-DE"/>
        </w:rPr>
        <w:t>nter Berücksichtigung</w:t>
      </w:r>
      <w:r w:rsidR="007D578D" w:rsidRPr="00652E2A">
        <w:rPr>
          <w:lang w:val="de-DE"/>
        </w:rPr>
        <w:t xml:space="preserve"> der </w:t>
      </w:r>
      <w:r w:rsidR="00FD7926" w:rsidRPr="00652E2A">
        <w:rPr>
          <w:lang w:val="de-DE"/>
        </w:rPr>
        <w:t>Entschließungen</w:t>
      </w:r>
      <w:r w:rsidR="007D578D" w:rsidRPr="00652E2A">
        <w:rPr>
          <w:lang w:val="de-DE"/>
        </w:rPr>
        <w:t xml:space="preserve"> des TC auf seiner fünfundfünfzigsten Tagung zu prüfen</w:t>
      </w:r>
      <w:r w:rsidR="007D578D" w:rsidRPr="00652E2A">
        <w:rPr>
          <w:spacing w:val="-2"/>
          <w:lang w:val="de-DE"/>
        </w:rPr>
        <w:t>.</w:t>
      </w:r>
    </w:p>
    <w:p w14:paraId="08802725" w14:textId="77777777" w:rsidR="00B964D9" w:rsidRPr="00652E2A" w:rsidRDefault="00B964D9" w:rsidP="00273B07">
      <w:pPr>
        <w:rPr>
          <w:lang w:val="de-DE"/>
        </w:rPr>
      </w:pPr>
    </w:p>
    <w:p w14:paraId="376A6C64" w14:textId="77777777" w:rsidR="00B964D9" w:rsidRPr="00652E2A" w:rsidRDefault="00B964D9" w:rsidP="00273B07">
      <w:pPr>
        <w:rPr>
          <w:lang w:val="de-DE"/>
        </w:rPr>
      </w:pPr>
    </w:p>
    <w:p w14:paraId="08CD09C7" w14:textId="6C3724FF" w:rsidR="00B964D9" w:rsidRPr="00652E2A" w:rsidRDefault="001E2D36" w:rsidP="00B964D9">
      <w:pPr>
        <w:pStyle w:val="Heading2"/>
        <w:rPr>
          <w:lang w:val="de-DE"/>
        </w:rPr>
      </w:pPr>
      <w:bookmarkStart w:id="25" w:name="_Toc15647504"/>
      <w:r w:rsidRPr="00652E2A">
        <w:rPr>
          <w:lang w:val="de-DE"/>
        </w:rPr>
        <w:t xml:space="preserve">Dokument </w:t>
      </w:r>
      <w:r w:rsidR="00B964D9" w:rsidRPr="00652E2A">
        <w:rPr>
          <w:lang w:val="de-DE"/>
        </w:rPr>
        <w:t>TGP/15:</w:t>
      </w:r>
      <w:r w:rsidRPr="00652E2A">
        <w:rPr>
          <w:lang w:val="de-DE"/>
        </w:rPr>
        <w:t xml:space="preserve"> „</w:t>
      </w:r>
      <w:r w:rsidR="00B964D9" w:rsidRPr="00652E2A">
        <w:rPr>
          <w:lang w:val="de-DE"/>
        </w:rPr>
        <w:t xml:space="preserve">Anleitung zur Verwendung biochemischer und molekularer Marker bei der Prüfung der </w:t>
      </w:r>
      <w:r w:rsidR="00FA1A33" w:rsidRPr="00652E2A">
        <w:rPr>
          <w:lang w:val="de-DE"/>
        </w:rPr>
        <w:t xml:space="preserve">Unterscheidbarkeit, Homogenität und Beständigkeit </w:t>
      </w:r>
      <w:r w:rsidR="00B964D9" w:rsidRPr="00652E2A">
        <w:rPr>
          <w:lang w:val="de-DE"/>
        </w:rPr>
        <w:t>(DUS)</w:t>
      </w:r>
      <w:r w:rsidRPr="00652E2A">
        <w:rPr>
          <w:lang w:val="de-DE"/>
        </w:rPr>
        <w:t>“</w:t>
      </w:r>
      <w:r w:rsidR="00B964D9" w:rsidRPr="00652E2A">
        <w:rPr>
          <w:lang w:val="de-DE"/>
        </w:rPr>
        <w:t xml:space="preserve"> </w:t>
      </w:r>
      <w:r w:rsidRPr="00652E2A">
        <w:rPr>
          <w:lang w:val="de-DE"/>
        </w:rPr>
        <w:t xml:space="preserve">(Überarbeitung) </w:t>
      </w:r>
      <w:r w:rsidR="00B964D9" w:rsidRPr="00652E2A">
        <w:rPr>
          <w:lang w:val="de-DE"/>
        </w:rPr>
        <w:t>(Dokument TGP/15/</w:t>
      </w:r>
      <w:r w:rsidR="00176611">
        <w:rPr>
          <w:lang w:val="de-DE"/>
        </w:rPr>
        <w:t>2 Draft 2</w:t>
      </w:r>
      <w:r w:rsidR="00B964D9" w:rsidRPr="00652E2A">
        <w:rPr>
          <w:lang w:val="de-DE"/>
        </w:rPr>
        <w:t>)</w:t>
      </w:r>
      <w:bookmarkEnd w:id="25"/>
      <w:r w:rsidR="003A7637" w:rsidRPr="00652E2A">
        <w:rPr>
          <w:lang w:val="de-DE"/>
        </w:rPr>
        <w:t xml:space="preserve"> </w:t>
      </w:r>
    </w:p>
    <w:p w14:paraId="3CFCDBC7" w14:textId="77777777" w:rsidR="00B964D9" w:rsidRPr="00652E2A" w:rsidRDefault="00B964D9" w:rsidP="00AD378E">
      <w:pPr>
        <w:ind w:left="567" w:hanging="567"/>
        <w:rPr>
          <w:rFonts w:cs="Arial"/>
          <w:lang w:val="de-DE"/>
        </w:rPr>
      </w:pPr>
    </w:p>
    <w:p w14:paraId="4B883BE2" w14:textId="09C60F29" w:rsidR="00B964D9" w:rsidRPr="00652E2A" w:rsidRDefault="00A62A4B" w:rsidP="005755F0">
      <w:pPr>
        <w:rPr>
          <w:lang w:val="de-DE"/>
        </w:rPr>
      </w:pPr>
      <w:r w:rsidRPr="00652E2A">
        <w:rPr>
          <w:rFonts w:cs="Arial"/>
          <w:lang w:val="de-DE"/>
        </w:rPr>
        <w:fldChar w:fldCharType="begin"/>
      </w:r>
      <w:r w:rsidRPr="00652E2A">
        <w:rPr>
          <w:rFonts w:cs="Arial"/>
          <w:lang w:val="de-DE"/>
        </w:rPr>
        <w:instrText xml:space="preserve"> AUTONUM  </w:instrText>
      </w:r>
      <w:r w:rsidRPr="00652E2A">
        <w:rPr>
          <w:rFonts w:cs="Arial"/>
          <w:lang w:val="de-DE"/>
        </w:rPr>
        <w:fldChar w:fldCharType="end"/>
      </w:r>
      <w:r w:rsidRPr="00652E2A">
        <w:rPr>
          <w:rFonts w:cs="Arial"/>
          <w:lang w:val="de-DE"/>
        </w:rPr>
        <w:tab/>
      </w:r>
      <w:r w:rsidR="00570EB3" w:rsidRPr="00652E2A">
        <w:rPr>
          <w:lang w:val="de-DE"/>
        </w:rPr>
        <w:t>Der TC vereinbarte a</w:t>
      </w:r>
      <w:r w:rsidR="00714086" w:rsidRPr="00652E2A">
        <w:rPr>
          <w:lang w:val="de-DE"/>
        </w:rPr>
        <w:t xml:space="preserve">uf seiner vierundfünfzigsten </w:t>
      </w:r>
      <w:r w:rsidR="00925CF8" w:rsidRPr="00652E2A">
        <w:rPr>
          <w:lang w:val="de-DE"/>
        </w:rPr>
        <w:t>Tagung</w:t>
      </w:r>
      <w:r w:rsidR="00925CF8" w:rsidRPr="00652E2A">
        <w:rPr>
          <w:vertAlign w:val="superscript"/>
          <w:lang w:val="de-DE"/>
        </w:rPr>
        <w:fldChar w:fldCharType="begin"/>
      </w:r>
      <w:r w:rsidR="00925CF8" w:rsidRPr="00652E2A">
        <w:rPr>
          <w:vertAlign w:val="superscript"/>
          <w:lang w:val="de-DE"/>
        </w:rPr>
        <w:instrText xml:space="preserve"> NOTEREF _Ref12538883 \h  \* MERGEFORMAT </w:instrText>
      </w:r>
      <w:r w:rsidR="00925CF8" w:rsidRPr="00652E2A">
        <w:rPr>
          <w:vertAlign w:val="superscript"/>
          <w:lang w:val="de-DE"/>
        </w:rPr>
      </w:r>
      <w:r w:rsidR="00925CF8" w:rsidRPr="00652E2A">
        <w:rPr>
          <w:vertAlign w:val="superscript"/>
          <w:lang w:val="de-DE"/>
        </w:rPr>
        <w:fldChar w:fldCharType="separate"/>
      </w:r>
      <w:r w:rsidR="00925CF8" w:rsidRPr="00652E2A">
        <w:rPr>
          <w:vertAlign w:val="superscript"/>
          <w:lang w:val="de-DE"/>
        </w:rPr>
        <w:t>2</w:t>
      </w:r>
      <w:r w:rsidR="00925CF8" w:rsidRPr="00652E2A">
        <w:rPr>
          <w:lang w:val="de-DE"/>
        </w:rPr>
        <w:fldChar w:fldCharType="end"/>
      </w:r>
      <w:r w:rsidR="00714086" w:rsidRPr="00652E2A">
        <w:rPr>
          <w:lang w:val="de-DE"/>
        </w:rPr>
        <w:t xml:space="preserve">, </w:t>
      </w:r>
      <w:r w:rsidR="00EB5321" w:rsidRPr="00652E2A">
        <w:rPr>
          <w:lang w:val="de-DE"/>
        </w:rPr>
        <w:t>dass</w:t>
      </w:r>
      <w:r w:rsidR="00714086" w:rsidRPr="00652E2A">
        <w:rPr>
          <w:lang w:val="de-DE"/>
        </w:rPr>
        <w:t xml:space="preserve"> der folgende </w:t>
      </w:r>
      <w:r w:rsidR="005324BB" w:rsidRPr="00652E2A">
        <w:rPr>
          <w:lang w:val="de-DE"/>
        </w:rPr>
        <w:t>Wortlaut</w:t>
      </w:r>
      <w:r w:rsidR="00714086" w:rsidRPr="00652E2A">
        <w:rPr>
          <w:lang w:val="de-DE"/>
        </w:rPr>
        <w:t xml:space="preserve"> aus</w:t>
      </w:r>
      <w:r w:rsidR="005755F0" w:rsidRPr="00652E2A">
        <w:rPr>
          <w:lang w:val="de-DE"/>
        </w:rPr>
        <w:t xml:space="preserve"> </w:t>
      </w:r>
      <w:r w:rsidR="00DB4285" w:rsidRPr="00652E2A">
        <w:rPr>
          <w:lang w:val="de-DE"/>
        </w:rPr>
        <w:t>Dokument</w:t>
      </w:r>
      <w:r w:rsidR="005755F0" w:rsidRPr="00652E2A">
        <w:rPr>
          <w:lang w:val="de-DE"/>
        </w:rPr>
        <w:t> UPOV/INF/18/1</w:t>
      </w:r>
      <w:r w:rsidR="00C20397" w:rsidRPr="00652E2A">
        <w:rPr>
          <w:lang w:val="de-DE"/>
        </w:rPr>
        <w:t xml:space="preserve"> </w:t>
      </w:r>
      <w:r w:rsidR="001E2D36" w:rsidRPr="00652E2A">
        <w:rPr>
          <w:lang w:val="de-DE"/>
        </w:rPr>
        <w:t>„</w:t>
      </w:r>
      <w:r w:rsidR="00714086" w:rsidRPr="00652E2A">
        <w:rPr>
          <w:lang w:val="de-DE"/>
        </w:rPr>
        <w:t xml:space="preserve">Mögliche Verwendung molekularer Marker bei der Prüfung der </w:t>
      </w:r>
      <w:r w:rsidR="00FA1A33" w:rsidRPr="00652E2A">
        <w:rPr>
          <w:lang w:val="de-DE"/>
        </w:rPr>
        <w:t xml:space="preserve">Unterscheidbarkeit, Homogenität und Beständigkeit </w:t>
      </w:r>
      <w:r w:rsidR="00714086" w:rsidRPr="00652E2A">
        <w:rPr>
          <w:lang w:val="de-DE"/>
        </w:rPr>
        <w:t>(DUS)</w:t>
      </w:r>
      <w:r w:rsidR="001E2D36" w:rsidRPr="00652E2A">
        <w:rPr>
          <w:lang w:val="de-DE"/>
        </w:rPr>
        <w:t>“</w:t>
      </w:r>
      <w:r w:rsidR="00714086" w:rsidRPr="00652E2A">
        <w:rPr>
          <w:lang w:val="de-DE"/>
        </w:rPr>
        <w:t xml:space="preserve"> in</w:t>
      </w:r>
      <w:r w:rsidR="00746842" w:rsidRPr="00652E2A">
        <w:rPr>
          <w:lang w:val="de-DE"/>
        </w:rPr>
        <w:t xml:space="preserve"> </w:t>
      </w:r>
      <w:r w:rsidR="00DB4285" w:rsidRPr="00652E2A">
        <w:rPr>
          <w:lang w:val="de-DE"/>
        </w:rPr>
        <w:t>Dokument</w:t>
      </w:r>
      <w:r w:rsidR="005755F0" w:rsidRPr="00652E2A">
        <w:rPr>
          <w:lang w:val="de-DE"/>
        </w:rPr>
        <w:t> TGP/15</w:t>
      </w:r>
      <w:r w:rsidR="00C20397" w:rsidRPr="00652E2A">
        <w:rPr>
          <w:lang w:val="de-DE"/>
        </w:rPr>
        <w:t xml:space="preserve"> </w:t>
      </w:r>
      <w:r w:rsidR="001E2D36" w:rsidRPr="00652E2A">
        <w:rPr>
          <w:lang w:val="de-DE"/>
        </w:rPr>
        <w:t>„</w:t>
      </w:r>
      <w:r w:rsidR="00714086" w:rsidRPr="00652E2A">
        <w:rPr>
          <w:lang w:val="de-DE"/>
        </w:rPr>
        <w:t>Anleitung zur Verwendung biochemischer und molekularer Marker bei der Prüfung der Unterscheidbarkeit, Homogenität und Beständigkeit (DUS)</w:t>
      </w:r>
      <w:r w:rsidR="001E2D36" w:rsidRPr="00652E2A">
        <w:rPr>
          <w:lang w:val="de-DE"/>
        </w:rPr>
        <w:t>“</w:t>
      </w:r>
      <w:r w:rsidR="00714086" w:rsidRPr="00652E2A">
        <w:rPr>
          <w:lang w:val="de-DE"/>
        </w:rPr>
        <w:t xml:space="preserve"> aufgenommen werden sollte,</w:t>
      </w:r>
      <w:r w:rsidR="00746842" w:rsidRPr="00652E2A">
        <w:rPr>
          <w:lang w:val="de-DE"/>
        </w:rPr>
        <w:t xml:space="preserve"> um klarzustellen, </w:t>
      </w:r>
      <w:r w:rsidR="00EB5321" w:rsidRPr="00652E2A">
        <w:rPr>
          <w:lang w:val="de-DE"/>
        </w:rPr>
        <w:t>dass</w:t>
      </w:r>
      <w:r w:rsidR="00746842" w:rsidRPr="00652E2A">
        <w:rPr>
          <w:lang w:val="de-DE"/>
        </w:rPr>
        <w:t xml:space="preserve"> es der Verantwortung der Behörde </w:t>
      </w:r>
      <w:r w:rsidR="005324BB" w:rsidRPr="00652E2A">
        <w:rPr>
          <w:lang w:val="de-DE"/>
        </w:rPr>
        <w:t>ob</w:t>
      </w:r>
      <w:r w:rsidR="00746842" w:rsidRPr="00652E2A">
        <w:rPr>
          <w:lang w:val="de-DE"/>
        </w:rPr>
        <w:t xml:space="preserve">liegt, über die Zuverlässigkeit der </w:t>
      </w:r>
      <w:r w:rsidR="007832C4" w:rsidRPr="00652E2A">
        <w:rPr>
          <w:lang w:val="de-DE"/>
        </w:rPr>
        <w:t>Verbindung</w:t>
      </w:r>
      <w:r w:rsidR="00746842" w:rsidRPr="00652E2A">
        <w:rPr>
          <w:lang w:val="de-DE"/>
        </w:rPr>
        <w:t xml:space="preserve"> zwischen dem Gen und der </w:t>
      </w:r>
      <w:r w:rsidR="007832C4" w:rsidRPr="00652E2A">
        <w:rPr>
          <w:lang w:val="de-DE"/>
        </w:rPr>
        <w:t xml:space="preserve">Ausprägung </w:t>
      </w:r>
      <w:r w:rsidR="00746842" w:rsidRPr="00652E2A">
        <w:rPr>
          <w:lang w:val="de-DE"/>
        </w:rPr>
        <w:t>des Merkmals</w:t>
      </w:r>
      <w:r w:rsidR="00925CF8" w:rsidRPr="00652E2A">
        <w:rPr>
          <w:lang w:val="de-DE"/>
        </w:rPr>
        <w:t xml:space="preserve"> zu entscheiden</w:t>
      </w:r>
      <w:r w:rsidR="005755F0" w:rsidRPr="00652E2A">
        <w:rPr>
          <w:rStyle w:val="FootnoteReference"/>
          <w:lang w:val="de-DE"/>
        </w:rPr>
        <w:footnoteReference w:id="14"/>
      </w:r>
      <w:r w:rsidR="005755F0" w:rsidRPr="00652E2A">
        <w:rPr>
          <w:lang w:val="de-DE"/>
        </w:rPr>
        <w:t>:</w:t>
      </w:r>
    </w:p>
    <w:p w14:paraId="446E17BB" w14:textId="77777777" w:rsidR="00B964D9" w:rsidRPr="00652E2A" w:rsidRDefault="00B964D9" w:rsidP="005755F0">
      <w:pPr>
        <w:rPr>
          <w:rFonts w:cs="Arial"/>
          <w:lang w:val="de-DE"/>
        </w:rPr>
      </w:pPr>
    </w:p>
    <w:p w14:paraId="4E91377A" w14:textId="4D2F0EDF" w:rsidR="00B964D9" w:rsidRPr="00652E2A" w:rsidRDefault="001E2D36" w:rsidP="00B964D9">
      <w:pPr>
        <w:autoSpaceDE w:val="0"/>
        <w:autoSpaceDN w:val="0"/>
        <w:adjustRightInd w:val="0"/>
        <w:ind w:left="567" w:right="567"/>
        <w:rPr>
          <w:sz w:val="18"/>
          <w:lang w:val="de-DE" w:eastAsia="ja-JP"/>
        </w:rPr>
      </w:pPr>
      <w:r w:rsidRPr="00652E2A">
        <w:rPr>
          <w:sz w:val="18"/>
          <w:lang w:val="de-DE" w:eastAsia="ja-JP"/>
        </w:rPr>
        <w:t>„</w:t>
      </w:r>
      <w:r w:rsidR="00B964D9" w:rsidRPr="00652E2A">
        <w:rPr>
          <w:sz w:val="18"/>
          <w:lang w:val="de-DE" w:eastAsia="ja-JP"/>
        </w:rPr>
        <w:t xml:space="preserve">3.1.4 Bei der Beurteilung des in Anlage 1 </w:t>
      </w:r>
      <w:r w:rsidR="005D72D0" w:rsidRPr="00652E2A">
        <w:rPr>
          <w:sz w:val="18"/>
          <w:lang w:val="de-DE" w:eastAsia="ja-JP"/>
        </w:rPr>
        <w:t>dieses Dokuments</w:t>
      </w:r>
      <w:r w:rsidR="00B964D9" w:rsidRPr="00652E2A">
        <w:rPr>
          <w:sz w:val="18"/>
          <w:lang w:val="de-DE" w:eastAsia="ja-JP"/>
        </w:rPr>
        <w:t xml:space="preserve"> dargelegten </w:t>
      </w:r>
      <w:r w:rsidR="006A2D38" w:rsidRPr="00652E2A">
        <w:rPr>
          <w:sz w:val="18"/>
          <w:lang w:val="de-DE" w:eastAsia="ja-JP"/>
        </w:rPr>
        <w:t>Modell</w:t>
      </w:r>
      <w:r w:rsidR="00B964D9" w:rsidRPr="00652E2A">
        <w:rPr>
          <w:sz w:val="18"/>
          <w:lang w:val="de-DE" w:eastAsia="ja-JP"/>
        </w:rPr>
        <w:t xml:space="preserve">s und Beispiels betonte der TC, </w:t>
      </w:r>
      <w:r w:rsidR="00EB5321" w:rsidRPr="00652E2A">
        <w:rPr>
          <w:sz w:val="18"/>
          <w:lang w:val="de-DE" w:eastAsia="ja-JP"/>
        </w:rPr>
        <w:t>dass</w:t>
      </w:r>
      <w:r w:rsidR="00B964D9" w:rsidRPr="00652E2A">
        <w:rPr>
          <w:sz w:val="18"/>
          <w:lang w:val="de-DE" w:eastAsia="ja-JP"/>
        </w:rPr>
        <w:t xml:space="preserve"> es wichtig sei, </w:t>
      </w:r>
      <w:r w:rsidR="00EB5321" w:rsidRPr="00652E2A">
        <w:rPr>
          <w:sz w:val="18"/>
          <w:lang w:val="de-DE" w:eastAsia="ja-JP"/>
        </w:rPr>
        <w:t>dass</w:t>
      </w:r>
      <w:r w:rsidR="00B964D9" w:rsidRPr="00652E2A">
        <w:rPr>
          <w:sz w:val="18"/>
          <w:lang w:val="de-DE" w:eastAsia="ja-JP"/>
        </w:rPr>
        <w:t xml:space="preserve"> die Annahmen erfüllt werden.</w:t>
      </w:r>
      <w:r w:rsidR="00CD390F" w:rsidRPr="00652E2A">
        <w:rPr>
          <w:sz w:val="18"/>
          <w:lang w:val="de-DE" w:eastAsia="ja-JP"/>
        </w:rPr>
        <w:t xml:space="preserve"> </w:t>
      </w:r>
      <w:r w:rsidR="00B964D9" w:rsidRPr="00652E2A">
        <w:rPr>
          <w:sz w:val="18"/>
          <w:lang w:val="de-DE" w:eastAsia="ja-JP"/>
        </w:rPr>
        <w:t xml:space="preserve">In dieser Hinsicht merkte er an, </w:t>
      </w:r>
      <w:r w:rsidR="00EB5321" w:rsidRPr="00652E2A">
        <w:rPr>
          <w:sz w:val="18"/>
          <w:lang w:val="de-DE" w:eastAsia="ja-JP"/>
        </w:rPr>
        <w:t>dass</w:t>
      </w:r>
      <w:r w:rsidR="00B964D9" w:rsidRPr="00652E2A">
        <w:rPr>
          <w:sz w:val="18"/>
          <w:lang w:val="de-DE" w:eastAsia="ja-JP"/>
        </w:rPr>
        <w:t xml:space="preserve"> es Sache der entsprechenden Behörde sein werde zu prüfen, ob diese Annahmen erfüllt worden seien (vergleiche Dokument TC/45/16,</w:t>
      </w:r>
      <w:r w:rsidR="00C20397" w:rsidRPr="00652E2A">
        <w:rPr>
          <w:sz w:val="18"/>
          <w:lang w:val="de-DE" w:eastAsia="ja-JP"/>
        </w:rPr>
        <w:t xml:space="preserve"> </w:t>
      </w:r>
      <w:r w:rsidRPr="00652E2A">
        <w:rPr>
          <w:sz w:val="18"/>
          <w:lang w:val="de-DE" w:eastAsia="ja-JP"/>
        </w:rPr>
        <w:t>„</w:t>
      </w:r>
      <w:r w:rsidR="00B964D9" w:rsidRPr="00652E2A">
        <w:rPr>
          <w:sz w:val="18"/>
          <w:lang w:val="de-DE" w:eastAsia="ja-JP"/>
        </w:rPr>
        <w:t>Bericht</w:t>
      </w:r>
      <w:r w:rsidRPr="00652E2A">
        <w:rPr>
          <w:sz w:val="18"/>
          <w:lang w:val="de-DE" w:eastAsia="ja-JP"/>
        </w:rPr>
        <w:t>“</w:t>
      </w:r>
      <w:r w:rsidR="00B964D9" w:rsidRPr="00652E2A">
        <w:rPr>
          <w:sz w:val="18"/>
          <w:lang w:val="de-DE" w:eastAsia="ja-JP"/>
        </w:rPr>
        <w:t>, Absatz 152).</w:t>
      </w:r>
      <w:r w:rsidR="005755F0" w:rsidRPr="00652E2A">
        <w:rPr>
          <w:sz w:val="18"/>
          <w:lang w:val="de-DE" w:eastAsia="ja-JP"/>
        </w:rPr>
        <w:t xml:space="preserve"> </w:t>
      </w:r>
    </w:p>
    <w:p w14:paraId="340A154B" w14:textId="77777777" w:rsidR="00B964D9" w:rsidRPr="00652E2A" w:rsidRDefault="00B964D9" w:rsidP="005755F0">
      <w:pPr>
        <w:pStyle w:val="EndnoteText"/>
        <w:rPr>
          <w:lang w:val="de-DE"/>
        </w:rPr>
      </w:pPr>
    </w:p>
    <w:p w14:paraId="01DFAD26" w14:textId="18F3A63A" w:rsidR="00B964D9" w:rsidRPr="00652E2A" w:rsidRDefault="005755F0" w:rsidP="00B964D9">
      <w:pPr>
        <w:rPr>
          <w:lang w:val="de-DE"/>
        </w:rPr>
      </w:pPr>
      <w:r w:rsidRPr="00652E2A">
        <w:rPr>
          <w:rFonts w:cs="Arial"/>
          <w:lang w:val="de-DE"/>
        </w:rPr>
        <w:fldChar w:fldCharType="begin"/>
      </w:r>
      <w:r w:rsidRPr="00652E2A">
        <w:rPr>
          <w:rFonts w:cs="Arial"/>
          <w:lang w:val="de-DE"/>
        </w:rPr>
        <w:instrText xml:space="preserve"> AUTONUM  </w:instrText>
      </w:r>
      <w:r w:rsidRPr="00652E2A">
        <w:rPr>
          <w:rFonts w:cs="Arial"/>
          <w:lang w:val="de-DE"/>
        </w:rPr>
        <w:fldChar w:fldCharType="end"/>
      </w:r>
      <w:r w:rsidRPr="00652E2A">
        <w:rPr>
          <w:rFonts w:cs="Arial"/>
          <w:lang w:val="de-DE"/>
        </w:rPr>
        <w:tab/>
      </w:r>
      <w:r w:rsidR="00B964D9" w:rsidRPr="00652E2A">
        <w:rPr>
          <w:rFonts w:cs="Arial"/>
          <w:lang w:val="de-DE"/>
        </w:rPr>
        <w:t xml:space="preserve">Der TC prüfte </w:t>
      </w:r>
      <w:r w:rsidR="005324BB" w:rsidRPr="00652E2A">
        <w:rPr>
          <w:rFonts w:cs="Arial"/>
          <w:lang w:val="de-DE"/>
        </w:rPr>
        <w:t xml:space="preserve">auf seiner vierundfünfzigsten Tagung </w:t>
      </w:r>
      <w:r w:rsidR="00B964D9" w:rsidRPr="00652E2A">
        <w:rPr>
          <w:rFonts w:cs="Arial"/>
          <w:lang w:val="de-DE"/>
        </w:rPr>
        <w:t xml:space="preserve">den Vorschlag der BMT und vereinbarte, in Dokument TGP/15 eine Erklärung aufzunehmen, </w:t>
      </w:r>
      <w:r w:rsidR="00EB5321" w:rsidRPr="00652E2A">
        <w:rPr>
          <w:rFonts w:cs="Arial"/>
          <w:lang w:val="de-DE"/>
        </w:rPr>
        <w:t>dass</w:t>
      </w:r>
      <w:r w:rsidR="00B964D9" w:rsidRPr="00652E2A">
        <w:rPr>
          <w:rFonts w:cs="Arial"/>
          <w:lang w:val="de-DE"/>
        </w:rPr>
        <w:t xml:space="preserve"> es der Verantwortung der jeweiligen TWP und des TC </w:t>
      </w:r>
      <w:r w:rsidR="005324BB" w:rsidRPr="00652E2A">
        <w:rPr>
          <w:rFonts w:cs="Arial"/>
          <w:lang w:val="de-DE"/>
        </w:rPr>
        <w:t>ob</w:t>
      </w:r>
      <w:r w:rsidR="00B964D9" w:rsidRPr="00652E2A">
        <w:rPr>
          <w:rFonts w:cs="Arial"/>
          <w:lang w:val="de-DE"/>
        </w:rPr>
        <w:t xml:space="preserve">liegen würde, zu beurteilen, ob die Zuverlässigkeit der Verbindung zwischen dem Gen und </w:t>
      </w:r>
      <w:r w:rsidR="00613BEC" w:rsidRPr="00652E2A">
        <w:rPr>
          <w:rFonts w:cs="Arial"/>
          <w:lang w:val="de-DE"/>
        </w:rPr>
        <w:t>der Ausprägung</w:t>
      </w:r>
      <w:r w:rsidR="00B964D9" w:rsidRPr="00652E2A">
        <w:rPr>
          <w:rFonts w:cs="Arial"/>
          <w:lang w:val="de-DE"/>
        </w:rPr>
        <w:t xml:space="preserve"> des Merkmals erfüllt ist, um ein Verfahren in die Prüfungsrichtlinien aufzunehmen.</w:t>
      </w:r>
    </w:p>
    <w:p w14:paraId="7D02488B" w14:textId="77777777" w:rsidR="00B964D9" w:rsidRPr="00652E2A" w:rsidRDefault="00B964D9" w:rsidP="00AD378E">
      <w:pPr>
        <w:rPr>
          <w:lang w:val="de-DE"/>
        </w:rPr>
      </w:pPr>
    </w:p>
    <w:p w14:paraId="5BA5F01D" w14:textId="798E58F7" w:rsidR="00B964D9" w:rsidRPr="00652E2A" w:rsidRDefault="00A62A4B" w:rsidP="00AD378E">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570EB3" w:rsidRPr="00652E2A">
        <w:rPr>
          <w:lang w:val="de-DE"/>
        </w:rPr>
        <w:t>Der TC vereinbarte a</w:t>
      </w:r>
      <w:r w:rsidR="00746842" w:rsidRPr="00652E2A">
        <w:rPr>
          <w:lang w:val="de-DE"/>
        </w:rPr>
        <w:t>uf seiner vierundfünfzigsten Tagung ferner</w:t>
      </w:r>
      <w:r w:rsidR="00AD378E" w:rsidRPr="00652E2A">
        <w:rPr>
          <w:lang w:val="de-DE"/>
        </w:rPr>
        <w:t xml:space="preserve"> </w:t>
      </w:r>
      <w:r w:rsidR="00746842" w:rsidRPr="00652E2A">
        <w:rPr>
          <w:lang w:val="de-DE"/>
        </w:rPr>
        <w:t xml:space="preserve">die Aufnahme eines neuen </w:t>
      </w:r>
      <w:r w:rsidR="00262607" w:rsidRPr="00652E2A">
        <w:rPr>
          <w:lang w:val="de-DE"/>
        </w:rPr>
        <w:t>Model</w:t>
      </w:r>
      <w:r w:rsidR="00746842" w:rsidRPr="00652E2A">
        <w:rPr>
          <w:lang w:val="de-DE"/>
        </w:rPr>
        <w:t>ls</w:t>
      </w:r>
      <w:r w:rsidR="00C20397" w:rsidRPr="00652E2A">
        <w:rPr>
          <w:lang w:val="de-DE"/>
        </w:rPr>
        <w:t xml:space="preserve"> </w:t>
      </w:r>
      <w:r w:rsidR="001E2D36" w:rsidRPr="00652E2A">
        <w:rPr>
          <w:lang w:val="de-DE"/>
        </w:rPr>
        <w:t>„</w:t>
      </w:r>
      <w:r w:rsidR="00746842" w:rsidRPr="00652E2A">
        <w:rPr>
          <w:lang w:val="de-DE"/>
        </w:rPr>
        <w:t>Genetische Selektion von ähnlichen Sorten für die erste Wachstumsperiode</w:t>
      </w:r>
      <w:r w:rsidR="00C51BF2" w:rsidRPr="00652E2A">
        <w:rPr>
          <w:lang w:val="de-DE"/>
        </w:rPr>
        <w:t xml:space="preserve">: </w:t>
      </w:r>
      <w:r w:rsidR="00746842" w:rsidRPr="00652E2A">
        <w:rPr>
          <w:lang w:val="de-DE"/>
        </w:rPr>
        <w:t>Beispiel</w:t>
      </w:r>
      <w:r w:rsidR="00C51BF2" w:rsidRPr="00652E2A">
        <w:rPr>
          <w:lang w:val="de-DE"/>
        </w:rPr>
        <w:t xml:space="preserve"> </w:t>
      </w:r>
      <w:r w:rsidR="00746842" w:rsidRPr="00652E2A">
        <w:rPr>
          <w:lang w:val="de-DE"/>
        </w:rPr>
        <w:t>Gartenbohne</w:t>
      </w:r>
      <w:r w:rsidR="00C51BF2" w:rsidRPr="00652E2A">
        <w:rPr>
          <w:lang w:val="de-DE"/>
        </w:rPr>
        <w:t>”</w:t>
      </w:r>
      <w:r w:rsidR="00746842" w:rsidRPr="00652E2A">
        <w:rPr>
          <w:lang w:val="de-DE"/>
        </w:rPr>
        <w:t xml:space="preserve"> </w:t>
      </w:r>
      <w:r w:rsidR="00AD378E" w:rsidRPr="00652E2A">
        <w:rPr>
          <w:lang w:val="de-DE"/>
        </w:rPr>
        <w:t xml:space="preserve">in </w:t>
      </w:r>
      <w:r w:rsidR="00DB4285" w:rsidRPr="00652E2A">
        <w:rPr>
          <w:lang w:val="de-DE"/>
        </w:rPr>
        <w:t>Dokument</w:t>
      </w:r>
      <w:r w:rsidR="00AD378E" w:rsidRPr="00652E2A">
        <w:rPr>
          <w:lang w:val="de-DE"/>
        </w:rPr>
        <w:t xml:space="preserve"> TGP/15 </w:t>
      </w:r>
      <w:r w:rsidR="00746842" w:rsidRPr="00652E2A">
        <w:rPr>
          <w:lang w:val="de-DE"/>
        </w:rPr>
        <w:t xml:space="preserve">zur Verwendung biochemischer und molekularer Marker bei der Prüfung der </w:t>
      </w:r>
      <w:r w:rsidR="00FA1A33" w:rsidRPr="00652E2A">
        <w:rPr>
          <w:lang w:val="de-DE"/>
        </w:rPr>
        <w:t xml:space="preserve">Unterscheidbarkeit, Homogenität und Beständigkeit </w:t>
      </w:r>
      <w:r w:rsidR="00746842" w:rsidRPr="00652E2A">
        <w:rPr>
          <w:lang w:val="de-DE"/>
        </w:rPr>
        <w:t>(DUS)</w:t>
      </w:r>
      <w:r w:rsidR="001E2D36" w:rsidRPr="00652E2A">
        <w:rPr>
          <w:lang w:val="de-DE"/>
        </w:rPr>
        <w:t>“</w:t>
      </w:r>
      <w:r w:rsidR="00746842" w:rsidRPr="00652E2A">
        <w:rPr>
          <w:lang w:val="de-DE"/>
        </w:rPr>
        <w:t xml:space="preserve"> auf der Grundlage des </w:t>
      </w:r>
      <w:r w:rsidR="00C51BF2" w:rsidRPr="00652E2A">
        <w:rPr>
          <w:lang w:val="de-DE"/>
        </w:rPr>
        <w:t xml:space="preserve">vom TC-EDC überarbeiteten </w:t>
      </w:r>
      <w:r w:rsidR="00746842" w:rsidRPr="00652E2A">
        <w:rPr>
          <w:lang w:val="de-DE"/>
        </w:rPr>
        <w:t>Dokuments</w:t>
      </w:r>
      <w:r w:rsidR="00C51BF2" w:rsidRPr="00652E2A">
        <w:rPr>
          <w:lang w:val="de-DE"/>
        </w:rPr>
        <w:t xml:space="preserve"> </w:t>
      </w:r>
      <w:r w:rsidR="00A8721B" w:rsidRPr="00652E2A">
        <w:rPr>
          <w:lang w:val="de-DE"/>
        </w:rPr>
        <w:t xml:space="preserve">TGP/15/2 Draft 1, </w:t>
      </w:r>
      <w:r w:rsidR="00746842" w:rsidRPr="00652E2A">
        <w:rPr>
          <w:lang w:val="de-DE"/>
        </w:rPr>
        <w:t xml:space="preserve">wie in </w:t>
      </w:r>
      <w:r w:rsidR="00340875" w:rsidRPr="00652E2A">
        <w:rPr>
          <w:lang w:val="de-DE"/>
        </w:rPr>
        <w:t>Anlage</w:t>
      </w:r>
      <w:r w:rsidR="00746842" w:rsidRPr="00652E2A">
        <w:rPr>
          <w:lang w:val="de-DE"/>
        </w:rPr>
        <w:t xml:space="preserve"> III des Dokuments </w:t>
      </w:r>
      <w:hyperlink r:id="rId12" w:history="1">
        <w:r w:rsidR="00594D5D" w:rsidRPr="00594D5D">
          <w:rPr>
            <w:rStyle w:val="Hyperlink"/>
            <w:lang w:val="de-DE"/>
          </w:rPr>
          <w:t>TC/54/31</w:t>
        </w:r>
      </w:hyperlink>
      <w:r w:rsidR="005324BB" w:rsidRPr="00652E2A">
        <w:rPr>
          <w:rStyle w:val="Hyperlink"/>
          <w:color w:val="auto"/>
          <w:u w:val="none"/>
          <w:lang w:val="de-DE"/>
        </w:rPr>
        <w:t xml:space="preserve"> „</w:t>
      </w:r>
      <w:r w:rsidR="005324BB" w:rsidRPr="00652E2A">
        <w:rPr>
          <w:lang w:val="de-DE"/>
        </w:rPr>
        <w:t>Bericht“</w:t>
      </w:r>
      <w:r w:rsidR="00616F18" w:rsidRPr="00652E2A">
        <w:rPr>
          <w:rStyle w:val="FootnoteReference"/>
          <w:lang w:val="de-DE"/>
        </w:rPr>
        <w:footnoteReference w:id="15"/>
      </w:r>
      <w:r w:rsidR="001531DF" w:rsidRPr="00652E2A">
        <w:rPr>
          <w:rStyle w:val="Hyperlink"/>
          <w:color w:val="auto"/>
          <w:u w:val="none"/>
          <w:lang w:val="de-DE"/>
        </w:rPr>
        <w:t xml:space="preserve"> </w:t>
      </w:r>
      <w:r w:rsidR="00C51BF2" w:rsidRPr="00652E2A">
        <w:rPr>
          <w:lang w:val="de-DE"/>
        </w:rPr>
        <w:t>dargelegt</w:t>
      </w:r>
      <w:r w:rsidR="00616F18" w:rsidRPr="00652E2A">
        <w:rPr>
          <w:lang w:val="de-DE"/>
        </w:rPr>
        <w:t>.</w:t>
      </w:r>
    </w:p>
    <w:p w14:paraId="07F95D6F" w14:textId="77777777" w:rsidR="00B964D9" w:rsidRPr="00652E2A" w:rsidRDefault="00B964D9" w:rsidP="003A7637">
      <w:pPr>
        <w:rPr>
          <w:lang w:val="de-DE"/>
        </w:rPr>
      </w:pPr>
    </w:p>
    <w:p w14:paraId="04821716" w14:textId="201546FF" w:rsidR="00B964D9" w:rsidRPr="00652E2A" w:rsidRDefault="00A8721B" w:rsidP="00A8721B">
      <w:pPr>
        <w:rPr>
          <w:spacing w:val="-2"/>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251F60" w:rsidRPr="00652E2A">
        <w:rPr>
          <w:spacing w:val="-2"/>
          <w:lang w:val="de-DE"/>
        </w:rPr>
        <w:t xml:space="preserve">In Anbetracht dieser Tatsache vereinbarte der TC, </w:t>
      </w:r>
      <w:r w:rsidR="00EB5321" w:rsidRPr="00652E2A">
        <w:rPr>
          <w:spacing w:val="-2"/>
          <w:lang w:val="de-DE"/>
        </w:rPr>
        <w:t>dass</w:t>
      </w:r>
      <w:r w:rsidR="00251F60" w:rsidRPr="00652E2A">
        <w:rPr>
          <w:spacing w:val="-2"/>
          <w:lang w:val="de-DE"/>
        </w:rPr>
        <w:t xml:space="preserve"> eine Überarbeitung von Dokument</w:t>
      </w:r>
      <w:r w:rsidRPr="00652E2A">
        <w:rPr>
          <w:spacing w:val="-2"/>
          <w:lang w:val="de-DE"/>
        </w:rPr>
        <w:t xml:space="preserve"> TGP/15/1 (</w:t>
      </w:r>
      <w:r w:rsidR="00DB4285" w:rsidRPr="00652E2A">
        <w:rPr>
          <w:spacing w:val="-2"/>
          <w:lang w:val="de-DE"/>
        </w:rPr>
        <w:t>Dokument</w:t>
      </w:r>
      <w:r w:rsidRPr="00652E2A">
        <w:rPr>
          <w:spacing w:val="-2"/>
          <w:lang w:val="de-DE"/>
        </w:rPr>
        <w:t xml:space="preserve"> TGP/15/</w:t>
      </w:r>
      <w:r w:rsidR="00176611">
        <w:rPr>
          <w:spacing w:val="-2"/>
          <w:lang w:val="de-DE"/>
        </w:rPr>
        <w:t>2 Draft 2</w:t>
      </w:r>
      <w:r w:rsidRPr="00652E2A">
        <w:rPr>
          <w:spacing w:val="-2"/>
          <w:lang w:val="de-DE"/>
        </w:rPr>
        <w:t xml:space="preserve">) </w:t>
      </w:r>
      <w:r w:rsidR="00C51BF2" w:rsidRPr="00652E2A">
        <w:rPr>
          <w:spacing w:val="-2"/>
          <w:lang w:val="de-DE"/>
        </w:rPr>
        <w:t>dem Rat auf seiner dreiundfünfzigsten ordentlichen Tagung</w:t>
      </w:r>
      <w:r w:rsidR="001531DF" w:rsidRPr="00652E2A">
        <w:rPr>
          <w:spacing w:val="-2"/>
          <w:lang w:val="de-DE"/>
        </w:rPr>
        <w:t xml:space="preserve"> </w:t>
      </w:r>
      <w:r w:rsidR="005324BB" w:rsidRPr="00652E2A">
        <w:rPr>
          <w:spacing w:val="-2"/>
          <w:lang w:val="de-DE"/>
        </w:rPr>
        <w:t xml:space="preserve">vorbehaltlich der </w:t>
      </w:r>
      <w:r w:rsidR="00925CF8" w:rsidRPr="00652E2A">
        <w:rPr>
          <w:spacing w:val="-2"/>
          <w:lang w:val="de-DE"/>
        </w:rPr>
        <w:t xml:space="preserve">Billigung durch den CAJ </w:t>
      </w:r>
      <w:r w:rsidR="001531DF" w:rsidRPr="00652E2A">
        <w:rPr>
          <w:spacing w:val="-2"/>
          <w:lang w:val="de-DE"/>
        </w:rPr>
        <w:t>auf seiner sechsundsiebzigsten Tagung</w:t>
      </w:r>
      <w:r w:rsidR="001531DF" w:rsidRPr="00652E2A">
        <w:rPr>
          <w:lang w:val="de-DE"/>
        </w:rPr>
        <w:fldChar w:fldCharType="begin"/>
      </w:r>
      <w:r w:rsidR="001531DF" w:rsidRPr="00652E2A">
        <w:rPr>
          <w:lang w:val="de-DE"/>
        </w:rPr>
        <w:instrText xml:space="preserve"> NOTEREF _Ref12539207 \f \h  \* MERGEFORMAT </w:instrText>
      </w:r>
      <w:r w:rsidR="001531DF" w:rsidRPr="00652E2A">
        <w:rPr>
          <w:lang w:val="de-DE"/>
        </w:rPr>
      </w:r>
      <w:r w:rsidR="001531DF" w:rsidRPr="00652E2A">
        <w:rPr>
          <w:lang w:val="de-DE"/>
        </w:rPr>
        <w:fldChar w:fldCharType="separate"/>
      </w:r>
      <w:r w:rsidR="001531DF" w:rsidRPr="00652E2A">
        <w:rPr>
          <w:rStyle w:val="FootnoteReference"/>
          <w:lang w:val="de-DE"/>
        </w:rPr>
        <w:t>8</w:t>
      </w:r>
      <w:r w:rsidR="001531DF" w:rsidRPr="00652E2A">
        <w:rPr>
          <w:lang w:val="de-DE"/>
        </w:rPr>
        <w:fldChar w:fldCharType="end"/>
      </w:r>
      <w:r w:rsidR="001531DF" w:rsidRPr="00652E2A">
        <w:rPr>
          <w:lang w:val="de-DE"/>
        </w:rPr>
        <w:t xml:space="preserve"> </w:t>
      </w:r>
      <w:r w:rsidR="00AF02BB" w:rsidRPr="00652E2A">
        <w:rPr>
          <w:spacing w:val="-2"/>
          <w:lang w:val="de-DE"/>
        </w:rPr>
        <w:t>zur Annahme vorgelegt werden sollte.</w:t>
      </w:r>
      <w:r w:rsidR="00C51BF2" w:rsidRPr="00652E2A">
        <w:rPr>
          <w:spacing w:val="-2"/>
          <w:lang w:val="de-DE"/>
        </w:rPr>
        <w:t xml:space="preserve"> </w:t>
      </w:r>
    </w:p>
    <w:p w14:paraId="0DBC5D78" w14:textId="77777777" w:rsidR="00B964D9" w:rsidRPr="00652E2A" w:rsidRDefault="00B964D9" w:rsidP="00A8721B">
      <w:pPr>
        <w:rPr>
          <w:spacing w:val="-2"/>
          <w:lang w:val="de-DE"/>
        </w:rPr>
      </w:pPr>
    </w:p>
    <w:p w14:paraId="0E5A7A19" w14:textId="5DACD17C" w:rsidR="00B964D9" w:rsidRPr="00652E2A" w:rsidRDefault="00A8721B" w:rsidP="00B964D9">
      <w:pPr>
        <w:rPr>
          <w:bCs/>
          <w:snapToGrid w:val="0"/>
          <w:szCs w:val="24"/>
          <w:lang w:val="de-DE"/>
        </w:rPr>
      </w:pPr>
      <w:r w:rsidRPr="00652E2A">
        <w:rPr>
          <w:spacing w:val="-2"/>
          <w:lang w:val="de-DE"/>
        </w:rPr>
        <w:fldChar w:fldCharType="begin"/>
      </w:r>
      <w:r w:rsidRPr="00652E2A">
        <w:rPr>
          <w:spacing w:val="-2"/>
          <w:lang w:val="de-DE"/>
        </w:rPr>
        <w:instrText xml:space="preserve"> AUTONUM  </w:instrText>
      </w:r>
      <w:r w:rsidRPr="00652E2A">
        <w:rPr>
          <w:spacing w:val="-2"/>
          <w:lang w:val="de-DE"/>
        </w:rPr>
        <w:fldChar w:fldCharType="end"/>
      </w:r>
      <w:r w:rsidRPr="00652E2A">
        <w:rPr>
          <w:spacing w:val="-2"/>
          <w:lang w:val="de-DE"/>
        </w:rPr>
        <w:tab/>
      </w:r>
      <w:r w:rsidR="00B964D9" w:rsidRPr="00652E2A">
        <w:rPr>
          <w:spacing w:val="-2"/>
          <w:lang w:val="de-DE"/>
        </w:rPr>
        <w:t>Die Übersetzungen des englischen Originalwortlauts ins Deutsche, Französische und Spanische w</w:t>
      </w:r>
      <w:r w:rsidR="00925CF8" w:rsidRPr="00652E2A">
        <w:rPr>
          <w:spacing w:val="-2"/>
          <w:lang w:val="de-DE"/>
        </w:rPr>
        <w:t>u</w:t>
      </w:r>
      <w:r w:rsidR="00B964D9" w:rsidRPr="00652E2A">
        <w:rPr>
          <w:spacing w:val="-2"/>
          <w:lang w:val="de-DE"/>
        </w:rPr>
        <w:t>rden von den entsprechenden Mitgliedern des Redaktions</w:t>
      </w:r>
      <w:r w:rsidR="00F63218" w:rsidRPr="00652E2A">
        <w:rPr>
          <w:spacing w:val="-2"/>
          <w:lang w:val="de-DE"/>
        </w:rPr>
        <w:t>a</w:t>
      </w:r>
      <w:r w:rsidR="00D06894" w:rsidRPr="00652E2A">
        <w:rPr>
          <w:spacing w:val="-2"/>
          <w:lang w:val="de-DE"/>
        </w:rPr>
        <w:t>usschusses</w:t>
      </w:r>
      <w:r w:rsidR="00B964D9" w:rsidRPr="00652E2A">
        <w:rPr>
          <w:spacing w:val="-2"/>
          <w:lang w:val="de-DE"/>
        </w:rPr>
        <w:t xml:space="preserve"> vor der Vorlage des Entwurfs </w:t>
      </w:r>
      <w:r w:rsidR="007301FF" w:rsidRPr="00652E2A">
        <w:rPr>
          <w:spacing w:val="-2"/>
          <w:lang w:val="de-DE"/>
        </w:rPr>
        <w:t>von Dokument</w:t>
      </w:r>
      <w:r w:rsidR="00B964D9" w:rsidRPr="00652E2A">
        <w:rPr>
          <w:spacing w:val="-2"/>
          <w:lang w:val="de-DE"/>
        </w:rPr>
        <w:t> TGP/15/2 an den Rat überprüft.</w:t>
      </w:r>
      <w:r w:rsidRPr="00652E2A">
        <w:rPr>
          <w:spacing w:val="-2"/>
          <w:lang w:val="de-DE"/>
        </w:rPr>
        <w:t xml:space="preserve"> </w:t>
      </w:r>
      <w:r w:rsidR="00DB4285" w:rsidRPr="00652E2A">
        <w:rPr>
          <w:spacing w:val="-2"/>
          <w:lang w:val="de-DE"/>
        </w:rPr>
        <w:t>Dokument</w:t>
      </w:r>
      <w:r w:rsidR="00176611">
        <w:rPr>
          <w:spacing w:val="-2"/>
          <w:lang w:val="de-DE"/>
        </w:rPr>
        <w:t xml:space="preserve"> TGP/15/2 Draft 2</w:t>
      </w:r>
      <w:r w:rsidRPr="00652E2A">
        <w:rPr>
          <w:spacing w:val="-2"/>
          <w:lang w:val="de-DE"/>
        </w:rPr>
        <w:t xml:space="preserve"> </w:t>
      </w:r>
      <w:r w:rsidR="00251F60" w:rsidRPr="00652E2A">
        <w:rPr>
          <w:spacing w:val="-2"/>
          <w:lang w:val="de-DE"/>
        </w:rPr>
        <w:t xml:space="preserve">beinhaltet die vom TC vereinbarten Änderungen, wie in </w:t>
      </w:r>
      <w:r w:rsidR="00340875" w:rsidRPr="00652E2A">
        <w:rPr>
          <w:spacing w:val="-2"/>
          <w:lang w:val="de-DE"/>
        </w:rPr>
        <w:t>Anlage</w:t>
      </w:r>
      <w:r w:rsidR="00251F60" w:rsidRPr="00652E2A">
        <w:rPr>
          <w:spacing w:val="-2"/>
          <w:lang w:val="de-DE"/>
        </w:rPr>
        <w:t xml:space="preserve"> V dieses Dokuments darge</w:t>
      </w:r>
      <w:r w:rsidR="005324BB" w:rsidRPr="00652E2A">
        <w:rPr>
          <w:spacing w:val="-2"/>
          <w:lang w:val="de-DE"/>
        </w:rPr>
        <w:t>legt</w:t>
      </w:r>
      <w:r w:rsidR="00251F60" w:rsidRPr="00652E2A">
        <w:rPr>
          <w:spacing w:val="-2"/>
          <w:lang w:val="de-DE"/>
        </w:rPr>
        <w:t>, sowie die von den entsprechenden Mitgliedern des Redaktions</w:t>
      </w:r>
      <w:r w:rsidR="00F63218" w:rsidRPr="00652E2A">
        <w:rPr>
          <w:spacing w:val="-2"/>
          <w:lang w:val="de-DE"/>
        </w:rPr>
        <w:t>a</w:t>
      </w:r>
      <w:r w:rsidR="00D06894" w:rsidRPr="00652E2A">
        <w:rPr>
          <w:spacing w:val="-2"/>
          <w:lang w:val="de-DE"/>
        </w:rPr>
        <w:t>usschusses</w:t>
      </w:r>
      <w:r w:rsidR="00251F60" w:rsidRPr="00652E2A">
        <w:rPr>
          <w:spacing w:val="-2"/>
          <w:lang w:val="de-DE"/>
        </w:rPr>
        <w:t xml:space="preserve"> vorgenommenen sprachlichen Änderungen. </w:t>
      </w:r>
    </w:p>
    <w:p w14:paraId="400AB8B8" w14:textId="77777777" w:rsidR="00B964D9" w:rsidRPr="00652E2A" w:rsidRDefault="00B964D9" w:rsidP="00A8721B">
      <w:pPr>
        <w:rPr>
          <w:bCs/>
          <w:snapToGrid w:val="0"/>
          <w:szCs w:val="24"/>
          <w:lang w:val="de-DE"/>
        </w:rPr>
      </w:pPr>
    </w:p>
    <w:p w14:paraId="765D480D" w14:textId="366B9147" w:rsidR="00B964D9" w:rsidRPr="00652E2A" w:rsidRDefault="003A7637" w:rsidP="003A7637">
      <w:pPr>
        <w:rPr>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DC408B" w:rsidRPr="00652E2A">
        <w:rPr>
          <w:lang w:val="de-DE"/>
        </w:rPr>
        <w:t xml:space="preserve">Der TC wird </w:t>
      </w:r>
      <w:r w:rsidR="00DC408B" w:rsidRPr="00652E2A">
        <w:rPr>
          <w:lang w:val="de-DE"/>
        </w:rPr>
        <w:tab/>
      </w:r>
      <w:r w:rsidR="005324BB" w:rsidRPr="00652E2A">
        <w:rPr>
          <w:lang w:val="de-DE"/>
        </w:rPr>
        <w:t>auf</w:t>
      </w:r>
      <w:r w:rsidR="00CD2A6D" w:rsidRPr="00652E2A">
        <w:rPr>
          <w:lang w:val="de-DE"/>
        </w:rPr>
        <w:t xml:space="preserve"> </w:t>
      </w:r>
      <w:r w:rsidR="00DC408B" w:rsidRPr="00652E2A">
        <w:rPr>
          <w:lang w:val="de-DE"/>
        </w:rPr>
        <w:t xml:space="preserve">seiner fünfundfünfzigsten </w:t>
      </w:r>
      <w:r w:rsidR="005324BB" w:rsidRPr="00652E2A">
        <w:rPr>
          <w:lang w:val="de-DE"/>
        </w:rPr>
        <w:t>Tagung</w:t>
      </w:r>
      <w:r w:rsidR="00C52246" w:rsidRPr="00652E2A">
        <w:rPr>
          <w:vertAlign w:val="superscript"/>
          <w:lang w:val="de-DE"/>
        </w:rPr>
        <w:fldChar w:fldCharType="begin"/>
      </w:r>
      <w:r w:rsidR="00C52246" w:rsidRPr="00652E2A">
        <w:rPr>
          <w:vertAlign w:val="superscript"/>
          <w:lang w:val="de-DE"/>
        </w:rPr>
        <w:instrText xml:space="preserve"> NOTEREF _Ref13574983 \h  \* MERGEFORMAT </w:instrText>
      </w:r>
      <w:r w:rsidR="00C52246" w:rsidRPr="00652E2A">
        <w:rPr>
          <w:vertAlign w:val="superscript"/>
          <w:lang w:val="de-DE"/>
        </w:rPr>
      </w:r>
      <w:r w:rsidR="00C52246" w:rsidRPr="00652E2A">
        <w:rPr>
          <w:vertAlign w:val="superscript"/>
          <w:lang w:val="de-DE"/>
        </w:rPr>
        <w:fldChar w:fldCharType="separate"/>
      </w:r>
      <w:r w:rsidR="00ED0947" w:rsidRPr="00652E2A">
        <w:rPr>
          <w:vertAlign w:val="superscript"/>
          <w:lang w:val="de-DE"/>
        </w:rPr>
        <w:t>1</w:t>
      </w:r>
      <w:r w:rsidR="00C52246" w:rsidRPr="00652E2A">
        <w:rPr>
          <w:vertAlign w:val="superscript"/>
          <w:lang w:val="de-DE"/>
        </w:rPr>
        <w:fldChar w:fldCharType="end"/>
      </w:r>
      <w:r w:rsidR="00DC408B" w:rsidRPr="00652E2A">
        <w:rPr>
          <w:vertAlign w:val="superscript"/>
          <w:lang w:val="de-DE"/>
        </w:rPr>
        <w:t xml:space="preserve"> </w:t>
      </w:r>
      <w:r w:rsidR="00DC408B" w:rsidRPr="00652E2A">
        <w:rPr>
          <w:lang w:val="de-DE"/>
        </w:rPr>
        <w:t>das Dokument TGP/15/</w:t>
      </w:r>
      <w:r w:rsidR="00176611">
        <w:rPr>
          <w:lang w:val="de-DE"/>
        </w:rPr>
        <w:t>2 Draft 2</w:t>
      </w:r>
      <w:r w:rsidR="00DC408B" w:rsidRPr="00652E2A">
        <w:rPr>
          <w:lang w:val="de-DE"/>
        </w:rPr>
        <w:t xml:space="preserve"> prüfen. Die </w:t>
      </w:r>
      <w:r w:rsidR="00D8106C" w:rsidRPr="00652E2A">
        <w:rPr>
          <w:lang w:val="de-DE"/>
        </w:rPr>
        <w:t>Bemerkungen</w:t>
      </w:r>
      <w:r w:rsidR="00DC408B" w:rsidRPr="00652E2A">
        <w:rPr>
          <w:lang w:val="de-DE"/>
        </w:rPr>
        <w:t xml:space="preserve"> des TC werden dem CAJ </w:t>
      </w:r>
      <w:r w:rsidR="00F63218" w:rsidRPr="00652E2A">
        <w:rPr>
          <w:lang w:val="de-DE"/>
        </w:rPr>
        <w:t>auf</w:t>
      </w:r>
      <w:r w:rsidR="00DC408B" w:rsidRPr="00652E2A">
        <w:rPr>
          <w:lang w:val="de-DE"/>
        </w:rPr>
        <w:t xml:space="preserve"> seiner sechsundsiebzigsten Sitzung</w:t>
      </w:r>
      <w:r w:rsidR="006F17F3" w:rsidRPr="00652E2A">
        <w:rPr>
          <w:lang w:val="de-DE"/>
        </w:rPr>
        <w:fldChar w:fldCharType="begin"/>
      </w:r>
      <w:r w:rsidR="006F17F3" w:rsidRPr="00652E2A">
        <w:rPr>
          <w:lang w:val="de-DE"/>
        </w:rPr>
        <w:instrText xml:space="preserve"> NOTEREF _Ref12539207 \f \h </w:instrText>
      </w:r>
      <w:r w:rsidR="00F610D0" w:rsidRPr="00652E2A">
        <w:rPr>
          <w:lang w:val="de-DE"/>
        </w:rPr>
        <w:instrText xml:space="preserve"> \* MERGEFORMAT </w:instrText>
      </w:r>
      <w:r w:rsidR="006F17F3" w:rsidRPr="00652E2A">
        <w:rPr>
          <w:lang w:val="de-DE"/>
        </w:rPr>
      </w:r>
      <w:r w:rsidR="006F17F3" w:rsidRPr="00652E2A">
        <w:rPr>
          <w:lang w:val="de-DE"/>
        </w:rPr>
        <w:fldChar w:fldCharType="separate"/>
      </w:r>
      <w:r w:rsidR="00ED0947" w:rsidRPr="00652E2A">
        <w:rPr>
          <w:rStyle w:val="FootnoteReference"/>
          <w:lang w:val="de-DE"/>
        </w:rPr>
        <w:t>8</w:t>
      </w:r>
      <w:r w:rsidR="006F17F3" w:rsidRPr="00652E2A">
        <w:rPr>
          <w:lang w:val="de-DE"/>
        </w:rPr>
        <w:fldChar w:fldCharType="end"/>
      </w:r>
      <w:r w:rsidR="00CD2A6D" w:rsidRPr="00652E2A">
        <w:rPr>
          <w:lang w:val="de-DE"/>
        </w:rPr>
        <w:t xml:space="preserve"> </w:t>
      </w:r>
      <w:r w:rsidR="00D8106C" w:rsidRPr="00652E2A">
        <w:rPr>
          <w:lang w:val="de-DE"/>
        </w:rPr>
        <w:t>berichtet</w:t>
      </w:r>
      <w:r w:rsidRPr="00652E2A">
        <w:rPr>
          <w:lang w:val="de-DE"/>
        </w:rPr>
        <w:t>.</w:t>
      </w:r>
    </w:p>
    <w:p w14:paraId="73A2196C" w14:textId="77777777" w:rsidR="00B964D9" w:rsidRPr="00652E2A" w:rsidRDefault="00B964D9" w:rsidP="003A7637">
      <w:pPr>
        <w:rPr>
          <w:lang w:val="de-DE"/>
        </w:rPr>
      </w:pPr>
    </w:p>
    <w:p w14:paraId="44CD4DE6" w14:textId="19BB293E" w:rsidR="007D578D" w:rsidRPr="00652E2A" w:rsidRDefault="00AD378E" w:rsidP="007D578D">
      <w:pPr>
        <w:pStyle w:val="DecisionParagraphs"/>
        <w:rPr>
          <w:spacing w:val="-2"/>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7D578D" w:rsidRPr="00652E2A">
        <w:rPr>
          <w:lang w:val="de-DE"/>
        </w:rPr>
        <w:t>Der CAJ wird ersucht, die Überarbeitung von Dokument TGP/15</w:t>
      </w:r>
      <w:r w:rsidR="00C20397" w:rsidRPr="00652E2A">
        <w:rPr>
          <w:lang w:val="de-DE"/>
        </w:rPr>
        <w:t xml:space="preserve"> </w:t>
      </w:r>
      <w:r w:rsidR="001E2D36" w:rsidRPr="00652E2A">
        <w:rPr>
          <w:lang w:val="de-DE"/>
        </w:rPr>
        <w:t>„</w:t>
      </w:r>
      <w:r w:rsidR="007D578D" w:rsidRPr="00652E2A">
        <w:rPr>
          <w:lang w:val="de-DE"/>
        </w:rPr>
        <w:t xml:space="preserve">Anleitung zur Verwendung biochemischer und molekularer Marker bei der Prüfung der </w:t>
      </w:r>
      <w:r w:rsidR="00FA1A33" w:rsidRPr="00652E2A">
        <w:rPr>
          <w:lang w:val="de-DE"/>
        </w:rPr>
        <w:t xml:space="preserve">Unterscheidbarkeit, Homogenität und Beständigkeit </w:t>
      </w:r>
      <w:r w:rsidR="007D578D" w:rsidRPr="00652E2A">
        <w:rPr>
          <w:lang w:val="de-DE"/>
        </w:rPr>
        <w:t>(DUS)</w:t>
      </w:r>
      <w:r w:rsidR="001E2D36" w:rsidRPr="00652E2A">
        <w:rPr>
          <w:lang w:val="de-DE"/>
        </w:rPr>
        <w:t>“</w:t>
      </w:r>
      <w:r w:rsidR="005D72D0" w:rsidRPr="00652E2A">
        <w:rPr>
          <w:lang w:val="de-DE"/>
        </w:rPr>
        <w:t xml:space="preserve"> </w:t>
      </w:r>
      <w:r w:rsidR="007D578D" w:rsidRPr="00652E2A">
        <w:rPr>
          <w:lang w:val="de-DE"/>
        </w:rPr>
        <w:t xml:space="preserve">(Dokument TGP/15/1) </w:t>
      </w:r>
      <w:r w:rsidR="00D8106C" w:rsidRPr="00652E2A">
        <w:rPr>
          <w:lang w:val="de-DE"/>
        </w:rPr>
        <w:t>auf der Grundlage von</w:t>
      </w:r>
      <w:r w:rsidR="00176611">
        <w:rPr>
          <w:lang w:val="de-DE"/>
        </w:rPr>
        <w:t xml:space="preserve"> Dokument </w:t>
      </w:r>
      <w:r w:rsidR="005D72D0" w:rsidRPr="00652E2A">
        <w:rPr>
          <w:lang w:val="de-DE"/>
        </w:rPr>
        <w:t>TGP/15/</w:t>
      </w:r>
      <w:r w:rsidR="00176611">
        <w:rPr>
          <w:lang w:val="de-DE"/>
        </w:rPr>
        <w:t>2 Draft 2</w:t>
      </w:r>
      <w:r w:rsidR="005D72D0" w:rsidRPr="00652E2A">
        <w:rPr>
          <w:lang w:val="de-DE"/>
        </w:rPr>
        <w:t xml:space="preserve"> </w:t>
      </w:r>
      <w:r w:rsidR="0097710B" w:rsidRPr="00652E2A">
        <w:rPr>
          <w:lang w:val="de-DE"/>
        </w:rPr>
        <w:t>u</w:t>
      </w:r>
      <w:r w:rsidR="00FD7926" w:rsidRPr="00652E2A">
        <w:rPr>
          <w:lang w:val="de-DE"/>
        </w:rPr>
        <w:t>nter Berücksichtigung</w:t>
      </w:r>
      <w:r w:rsidR="007D578D" w:rsidRPr="00652E2A">
        <w:rPr>
          <w:lang w:val="de-DE"/>
        </w:rPr>
        <w:t xml:space="preserve"> der </w:t>
      </w:r>
      <w:r w:rsidR="00FD7926" w:rsidRPr="00652E2A">
        <w:rPr>
          <w:lang w:val="de-DE"/>
        </w:rPr>
        <w:t>Entschließungen</w:t>
      </w:r>
      <w:r w:rsidR="007D578D" w:rsidRPr="00652E2A">
        <w:rPr>
          <w:lang w:val="de-DE"/>
        </w:rPr>
        <w:t xml:space="preserve"> des TC auf seiner fünfundfünfzigsten Tagung zu prüfen</w:t>
      </w:r>
      <w:r w:rsidR="007D578D" w:rsidRPr="00652E2A">
        <w:rPr>
          <w:spacing w:val="-2"/>
          <w:lang w:val="de-DE"/>
        </w:rPr>
        <w:t>.</w:t>
      </w:r>
    </w:p>
    <w:p w14:paraId="68524416" w14:textId="77777777" w:rsidR="00B964D9" w:rsidRPr="00652E2A" w:rsidRDefault="00B964D9" w:rsidP="00273B07">
      <w:pPr>
        <w:tabs>
          <w:tab w:val="left" w:pos="5387"/>
        </w:tabs>
        <w:rPr>
          <w:lang w:val="de-DE"/>
        </w:rPr>
      </w:pPr>
    </w:p>
    <w:p w14:paraId="370AEFF0" w14:textId="77777777" w:rsidR="00B964D9" w:rsidRPr="00652E2A" w:rsidRDefault="00B964D9" w:rsidP="00273B07">
      <w:pPr>
        <w:tabs>
          <w:tab w:val="left" w:pos="5387"/>
        </w:tabs>
        <w:rPr>
          <w:lang w:val="de-DE"/>
        </w:rPr>
      </w:pPr>
    </w:p>
    <w:p w14:paraId="39A38BE6" w14:textId="55EE4A07" w:rsidR="00B964D9" w:rsidRPr="00652E2A" w:rsidRDefault="005324BB" w:rsidP="00B964D9">
      <w:pPr>
        <w:pStyle w:val="Heading2"/>
        <w:rPr>
          <w:snapToGrid w:val="0"/>
          <w:lang w:val="de-DE"/>
        </w:rPr>
      </w:pPr>
      <w:bookmarkStart w:id="26" w:name="_Toc15647505"/>
      <w:r w:rsidRPr="00652E2A">
        <w:rPr>
          <w:snapToGrid w:val="0"/>
          <w:lang w:val="de-DE"/>
        </w:rPr>
        <w:lastRenderedPageBreak/>
        <w:t xml:space="preserve">Dokument </w:t>
      </w:r>
      <w:r w:rsidR="00B964D9" w:rsidRPr="00652E2A">
        <w:rPr>
          <w:snapToGrid w:val="0"/>
          <w:lang w:val="de-DE"/>
        </w:rPr>
        <w:t>TGP/0:</w:t>
      </w:r>
      <w:r w:rsidR="00CD390F" w:rsidRPr="00652E2A">
        <w:rPr>
          <w:snapToGrid w:val="0"/>
          <w:lang w:val="de-DE"/>
        </w:rPr>
        <w:t xml:space="preserve"> </w:t>
      </w:r>
      <w:r w:rsidR="00B964D9" w:rsidRPr="00652E2A">
        <w:rPr>
          <w:snapToGrid w:val="0"/>
          <w:lang w:val="de-DE"/>
        </w:rPr>
        <w:t>Liste der TGP-Dokumente und Datum der jüngsten Ausgabe (Überarbei</w:t>
      </w:r>
      <w:r w:rsidR="00870CC0">
        <w:rPr>
          <w:snapToGrid w:val="0"/>
          <w:lang w:val="de-DE"/>
        </w:rPr>
        <w:t>tung) (Dokument </w:t>
      </w:r>
      <w:r w:rsidR="00B964D9" w:rsidRPr="00652E2A">
        <w:rPr>
          <w:snapToGrid w:val="0"/>
          <w:lang w:val="de-DE"/>
        </w:rPr>
        <w:t>TGP/0/11 Draft 1)</w:t>
      </w:r>
      <w:bookmarkEnd w:id="26"/>
      <w:r w:rsidR="00027ED8" w:rsidRPr="00652E2A">
        <w:rPr>
          <w:snapToGrid w:val="0"/>
          <w:lang w:val="de-DE"/>
        </w:rPr>
        <w:t xml:space="preserve"> </w:t>
      </w:r>
    </w:p>
    <w:p w14:paraId="523ADBDB" w14:textId="77777777" w:rsidR="00B964D9" w:rsidRPr="00652E2A" w:rsidRDefault="00B964D9" w:rsidP="00027ED8">
      <w:pPr>
        <w:keepNext/>
        <w:rPr>
          <w:lang w:val="de-DE"/>
        </w:rPr>
      </w:pPr>
    </w:p>
    <w:p w14:paraId="37115094" w14:textId="37DA8605" w:rsidR="00B964D9" w:rsidRPr="00652E2A" w:rsidRDefault="00027ED8" w:rsidP="00B964D9">
      <w:pPr>
        <w:keepNext/>
        <w:rPr>
          <w:rFonts w:cs="Arial"/>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lang w:val="de-DE"/>
        </w:rPr>
        <w:tab/>
      </w:r>
      <w:r w:rsidR="00B964D9" w:rsidRPr="00652E2A">
        <w:rPr>
          <w:lang w:val="de-DE"/>
        </w:rPr>
        <w:t xml:space="preserve">Der CAJ wird ersucht, zur Kenntnis zu nehmen, </w:t>
      </w:r>
      <w:r w:rsidR="00EB5321" w:rsidRPr="00652E2A">
        <w:rPr>
          <w:lang w:val="de-DE"/>
        </w:rPr>
        <w:t>dass</w:t>
      </w:r>
      <w:r w:rsidR="00B964D9" w:rsidRPr="00652E2A">
        <w:rPr>
          <w:lang w:val="de-DE"/>
        </w:rPr>
        <w:t xml:space="preserve"> der Rat in Verbindung mit der Annahme der überarbeiteten TGP-Dokumente auf der </w:t>
      </w:r>
      <w:r w:rsidR="005324BB" w:rsidRPr="00652E2A">
        <w:rPr>
          <w:lang w:val="de-DE"/>
        </w:rPr>
        <w:t>dr</w:t>
      </w:r>
      <w:r w:rsidR="00B964D9" w:rsidRPr="00652E2A">
        <w:rPr>
          <w:lang w:val="de-DE"/>
        </w:rPr>
        <w:t>eiundfünfzigsten ordentlichen Tagung des Rates ersucht werden wird, auf der Grundlage von Dokument TGP/0/11 Draft 1 eine Überarbeitung von Dokument TGP/0</w:t>
      </w:r>
      <w:r w:rsidR="00C20397" w:rsidRPr="00652E2A">
        <w:rPr>
          <w:lang w:val="de-DE"/>
        </w:rPr>
        <w:t xml:space="preserve"> </w:t>
      </w:r>
      <w:r w:rsidR="001E2D36" w:rsidRPr="00652E2A">
        <w:rPr>
          <w:lang w:val="de-DE"/>
        </w:rPr>
        <w:t>„</w:t>
      </w:r>
      <w:r w:rsidR="00B964D9" w:rsidRPr="00652E2A">
        <w:rPr>
          <w:lang w:val="de-DE"/>
        </w:rPr>
        <w:t>Liste der TGP-Dokumente und Datum der jüngsten Ausgabe</w:t>
      </w:r>
      <w:r w:rsidR="001E2D36" w:rsidRPr="00652E2A">
        <w:rPr>
          <w:lang w:val="de-DE"/>
        </w:rPr>
        <w:t>“</w:t>
      </w:r>
      <w:r w:rsidR="00B964D9" w:rsidRPr="00652E2A">
        <w:rPr>
          <w:lang w:val="de-DE"/>
        </w:rPr>
        <w:t xml:space="preserve"> (Dokument TGP/0/10) anzunehmen.</w:t>
      </w:r>
    </w:p>
    <w:p w14:paraId="2E4D0673" w14:textId="77777777" w:rsidR="00B964D9" w:rsidRPr="00652E2A" w:rsidRDefault="00B964D9" w:rsidP="00027ED8">
      <w:pPr>
        <w:rPr>
          <w:lang w:val="de-DE"/>
        </w:rPr>
      </w:pPr>
    </w:p>
    <w:p w14:paraId="5BFD2498" w14:textId="696D1B86" w:rsidR="00B964D9" w:rsidRPr="00652E2A" w:rsidRDefault="00027ED8" w:rsidP="00B964D9">
      <w:pPr>
        <w:tabs>
          <w:tab w:val="left" w:pos="5387"/>
          <w:tab w:val="left" w:pos="5954"/>
        </w:tabs>
        <w:ind w:left="4820"/>
        <w:rPr>
          <w:lang w:val="de-DE"/>
        </w:rPr>
      </w:pPr>
      <w:r w:rsidRPr="00652E2A">
        <w:rPr>
          <w:i/>
          <w:lang w:val="de-DE"/>
        </w:rPr>
        <w:fldChar w:fldCharType="begin"/>
      </w:r>
      <w:r w:rsidRPr="00652E2A">
        <w:rPr>
          <w:i/>
          <w:lang w:val="de-DE"/>
        </w:rPr>
        <w:instrText xml:space="preserve"> AUTONUM  </w:instrText>
      </w:r>
      <w:r w:rsidRPr="00652E2A">
        <w:rPr>
          <w:i/>
          <w:lang w:val="de-DE"/>
        </w:rPr>
        <w:fldChar w:fldCharType="end"/>
      </w:r>
      <w:r w:rsidRPr="00652E2A">
        <w:rPr>
          <w:i/>
          <w:lang w:val="de-DE"/>
        </w:rPr>
        <w:tab/>
      </w:r>
      <w:r w:rsidR="00B964D9" w:rsidRPr="00652E2A">
        <w:rPr>
          <w:i/>
          <w:lang w:val="de-DE"/>
        </w:rPr>
        <w:t xml:space="preserve">Der CAJ wird ersucht, zur Kenntnis zu nehmen, </w:t>
      </w:r>
      <w:r w:rsidR="00EB5321" w:rsidRPr="00652E2A">
        <w:rPr>
          <w:i/>
          <w:lang w:val="de-DE"/>
        </w:rPr>
        <w:t>dass</w:t>
      </w:r>
      <w:r w:rsidR="00B964D9" w:rsidRPr="00652E2A">
        <w:rPr>
          <w:i/>
          <w:lang w:val="de-DE"/>
        </w:rPr>
        <w:t xml:space="preserve"> der Rat in Verbindung mit der Annahme der überarbeiteten TGP-Dokumente auf der </w:t>
      </w:r>
      <w:r w:rsidR="005324BB" w:rsidRPr="00652E2A">
        <w:rPr>
          <w:i/>
          <w:lang w:val="de-DE"/>
        </w:rPr>
        <w:t>dr</w:t>
      </w:r>
      <w:r w:rsidR="00B964D9" w:rsidRPr="00652E2A">
        <w:rPr>
          <w:i/>
          <w:lang w:val="de-DE"/>
        </w:rPr>
        <w:t>eiundfünfzigsten ordentlichen Tagung des Rates ersucht werden wird,</w:t>
      </w:r>
      <w:r w:rsidR="009B25BB">
        <w:rPr>
          <w:i/>
          <w:lang w:val="de-DE"/>
        </w:rPr>
        <w:t xml:space="preserve"> auf der Grundlage von Dokument TGP/0/11 Draft </w:t>
      </w:r>
      <w:r w:rsidR="00B964D9" w:rsidRPr="00652E2A">
        <w:rPr>
          <w:i/>
          <w:lang w:val="de-DE"/>
        </w:rPr>
        <w:t>1 eine Überarbeitung von Dokument TGP/0</w:t>
      </w:r>
      <w:r w:rsidR="00C20397" w:rsidRPr="00652E2A">
        <w:rPr>
          <w:i/>
          <w:lang w:val="de-DE"/>
        </w:rPr>
        <w:t xml:space="preserve"> </w:t>
      </w:r>
      <w:r w:rsidR="001E2D36" w:rsidRPr="00652E2A">
        <w:rPr>
          <w:i/>
          <w:lang w:val="de-DE"/>
        </w:rPr>
        <w:t>„</w:t>
      </w:r>
      <w:r w:rsidR="00B964D9" w:rsidRPr="00652E2A">
        <w:rPr>
          <w:i/>
          <w:lang w:val="de-DE"/>
        </w:rPr>
        <w:t>Liste der TGP-Dokumente und Datum der jüngsten Ausgabe</w:t>
      </w:r>
      <w:r w:rsidR="001E2D36" w:rsidRPr="00652E2A">
        <w:rPr>
          <w:i/>
          <w:lang w:val="de-DE"/>
        </w:rPr>
        <w:t>“</w:t>
      </w:r>
      <w:r w:rsidR="00B964D9" w:rsidRPr="00652E2A">
        <w:rPr>
          <w:i/>
          <w:lang w:val="de-DE"/>
        </w:rPr>
        <w:t xml:space="preserve"> (Dokument TGP/0/10) anzunehmen.</w:t>
      </w:r>
      <w:r w:rsidRPr="00652E2A">
        <w:rPr>
          <w:lang w:val="de-DE"/>
        </w:rPr>
        <w:t xml:space="preserve"> </w:t>
      </w:r>
    </w:p>
    <w:p w14:paraId="1971CB9D" w14:textId="77777777" w:rsidR="00B964D9" w:rsidRPr="00652E2A" w:rsidRDefault="00B964D9" w:rsidP="00273B07">
      <w:pPr>
        <w:tabs>
          <w:tab w:val="left" w:pos="5387"/>
        </w:tabs>
        <w:rPr>
          <w:lang w:val="de-DE"/>
        </w:rPr>
      </w:pPr>
    </w:p>
    <w:p w14:paraId="3D9D0B32" w14:textId="77777777" w:rsidR="00B964D9" w:rsidRPr="00652E2A" w:rsidRDefault="00B964D9" w:rsidP="00273B07">
      <w:pPr>
        <w:rPr>
          <w:lang w:val="de-DE"/>
        </w:rPr>
      </w:pPr>
      <w:bookmarkStart w:id="27" w:name="_Toc352678076"/>
      <w:bookmarkStart w:id="28" w:name="_Toc353797757"/>
      <w:bookmarkStart w:id="29" w:name="_Toc386185988"/>
      <w:bookmarkStart w:id="30" w:name="_Toc419124879"/>
      <w:bookmarkEnd w:id="13"/>
      <w:bookmarkEnd w:id="14"/>
      <w:bookmarkEnd w:id="15"/>
      <w:bookmarkEnd w:id="16"/>
    </w:p>
    <w:p w14:paraId="4CC349BE" w14:textId="77777777" w:rsidR="00B964D9" w:rsidRPr="00652E2A" w:rsidRDefault="00B964D9" w:rsidP="00273B07">
      <w:pPr>
        <w:rPr>
          <w:lang w:val="de-DE"/>
        </w:rPr>
      </w:pPr>
    </w:p>
    <w:p w14:paraId="027F6304" w14:textId="11AC9B0F" w:rsidR="00B964D9" w:rsidRPr="00652E2A" w:rsidRDefault="00CD2A6D" w:rsidP="00273B07">
      <w:pPr>
        <w:keepNext/>
        <w:outlineLvl w:val="0"/>
        <w:rPr>
          <w:caps/>
          <w:lang w:val="de-DE"/>
        </w:rPr>
      </w:pPr>
      <w:bookmarkStart w:id="31" w:name="_Toc519608644"/>
      <w:bookmarkStart w:id="32" w:name="_Toc15647506"/>
      <w:r w:rsidRPr="00652E2A">
        <w:rPr>
          <w:caps/>
          <w:lang w:val="de-DE"/>
        </w:rPr>
        <w:t>PROGRAMM FÜR DIE ERARBEITUNG VON TGP-DOKUMENTEN</w:t>
      </w:r>
      <w:bookmarkEnd w:id="31"/>
      <w:bookmarkEnd w:id="32"/>
    </w:p>
    <w:p w14:paraId="6C0642BA" w14:textId="77777777" w:rsidR="00B964D9" w:rsidRPr="00652E2A" w:rsidRDefault="00B964D9" w:rsidP="007B24A5">
      <w:pPr>
        <w:keepNext/>
        <w:rPr>
          <w:rFonts w:cs="Arial"/>
          <w:lang w:val="de-DE" w:eastAsia="ja-JP"/>
        </w:rPr>
      </w:pPr>
    </w:p>
    <w:p w14:paraId="473AD534" w14:textId="5B4C76F0" w:rsidR="00B964D9" w:rsidRPr="00652E2A" w:rsidRDefault="007B24A5" w:rsidP="007B24A5">
      <w:pPr>
        <w:keepNext/>
        <w:keepLines/>
        <w:rPr>
          <w:lang w:val="de-DE"/>
        </w:rPr>
      </w:pPr>
      <w:r w:rsidRPr="00652E2A">
        <w:rPr>
          <w:rFonts w:cs="Arial"/>
          <w:lang w:val="de-DE"/>
        </w:rPr>
        <w:fldChar w:fldCharType="begin"/>
      </w:r>
      <w:r w:rsidRPr="00652E2A">
        <w:rPr>
          <w:rFonts w:cs="Arial"/>
          <w:lang w:val="de-DE"/>
        </w:rPr>
        <w:instrText xml:space="preserve"> AUTONUM  </w:instrText>
      </w:r>
      <w:r w:rsidRPr="00652E2A">
        <w:rPr>
          <w:rFonts w:cs="Arial"/>
          <w:lang w:val="de-DE"/>
        </w:rPr>
        <w:fldChar w:fldCharType="end"/>
      </w:r>
      <w:r w:rsidRPr="00652E2A">
        <w:rPr>
          <w:rFonts w:cs="Arial"/>
          <w:lang w:val="de-DE"/>
        </w:rPr>
        <w:tab/>
      </w:r>
      <w:bookmarkStart w:id="33" w:name="OLE_LINK10"/>
      <w:r w:rsidR="00CD2A6D" w:rsidRPr="00652E2A">
        <w:rPr>
          <w:rFonts w:cs="Arial"/>
          <w:lang w:val="de-DE" w:eastAsia="ja-JP"/>
        </w:rPr>
        <w:t>In Anlage</w:t>
      </w:r>
      <w:r w:rsidR="005607A1" w:rsidRPr="00652E2A">
        <w:rPr>
          <w:rFonts w:cs="Arial"/>
          <w:lang w:val="de-DE" w:eastAsia="ja-JP"/>
        </w:rPr>
        <w:t xml:space="preserve"> VI </w:t>
      </w:r>
      <w:r w:rsidR="00CD2A6D" w:rsidRPr="00652E2A">
        <w:rPr>
          <w:rFonts w:cs="Arial"/>
          <w:lang w:val="de-DE" w:eastAsia="ja-JP"/>
        </w:rPr>
        <w:t xml:space="preserve">dieses Dokuments </w:t>
      </w:r>
      <w:r w:rsidR="005607A1" w:rsidRPr="00652E2A">
        <w:rPr>
          <w:rFonts w:cs="Arial"/>
          <w:lang w:val="de-DE" w:eastAsia="ja-JP"/>
        </w:rPr>
        <w:t>ist das</w:t>
      </w:r>
      <w:r w:rsidR="00CD2A6D" w:rsidRPr="00652E2A">
        <w:rPr>
          <w:rFonts w:cs="Arial"/>
          <w:lang w:val="de-DE" w:eastAsia="ja-JP"/>
        </w:rPr>
        <w:t xml:space="preserve"> Programm für die Erarbeitung von TGP-Dokumenten </w:t>
      </w:r>
      <w:r w:rsidR="00925CF8" w:rsidRPr="00652E2A">
        <w:rPr>
          <w:rFonts w:cs="Arial"/>
          <w:lang w:val="de-DE" w:eastAsia="ja-JP"/>
        </w:rPr>
        <w:t>dargelegt</w:t>
      </w:r>
      <w:r w:rsidR="00CD2A6D" w:rsidRPr="00652E2A">
        <w:rPr>
          <w:rFonts w:cs="Arial"/>
          <w:lang w:val="de-DE" w:eastAsia="ja-JP"/>
        </w:rPr>
        <w:t xml:space="preserve">, wie vom TC auf seiner </w:t>
      </w:r>
      <w:r w:rsidR="005607A1" w:rsidRPr="00652E2A">
        <w:rPr>
          <w:rFonts w:cs="Arial"/>
          <w:lang w:val="de-DE" w:eastAsia="ja-JP"/>
        </w:rPr>
        <w:t>vier</w:t>
      </w:r>
      <w:r w:rsidR="00CD2A6D" w:rsidRPr="00652E2A">
        <w:rPr>
          <w:rFonts w:cs="Arial"/>
          <w:lang w:val="de-DE" w:eastAsia="ja-JP"/>
        </w:rPr>
        <w:t xml:space="preserve">undfünfzigsten </w:t>
      </w:r>
      <w:r w:rsidR="0032180C" w:rsidRPr="00652E2A">
        <w:rPr>
          <w:rFonts w:cs="Arial"/>
          <w:lang w:val="de-DE" w:eastAsia="ja-JP"/>
        </w:rPr>
        <w:t>Tagung</w:t>
      </w:r>
      <w:r w:rsidR="0032180C" w:rsidRPr="00652E2A">
        <w:rPr>
          <w:rFonts w:cs="Arial"/>
          <w:vertAlign w:val="superscript"/>
          <w:lang w:val="de-DE" w:eastAsia="ja-JP"/>
        </w:rPr>
        <w:fldChar w:fldCharType="begin"/>
      </w:r>
      <w:r w:rsidR="0032180C" w:rsidRPr="00652E2A">
        <w:rPr>
          <w:rFonts w:cs="Arial"/>
          <w:vertAlign w:val="superscript"/>
          <w:lang w:val="de-DE" w:eastAsia="ja-JP"/>
        </w:rPr>
        <w:instrText xml:space="preserve"> NOTEREF _Ref12538883 \h  \* MERGEFORMAT </w:instrText>
      </w:r>
      <w:r w:rsidR="0032180C" w:rsidRPr="00652E2A">
        <w:rPr>
          <w:rFonts w:cs="Arial"/>
          <w:vertAlign w:val="superscript"/>
          <w:lang w:val="de-DE" w:eastAsia="ja-JP"/>
        </w:rPr>
      </w:r>
      <w:r w:rsidR="0032180C" w:rsidRPr="00652E2A">
        <w:rPr>
          <w:rFonts w:cs="Arial"/>
          <w:vertAlign w:val="superscript"/>
          <w:lang w:val="de-DE" w:eastAsia="ja-JP"/>
        </w:rPr>
        <w:fldChar w:fldCharType="separate"/>
      </w:r>
      <w:r w:rsidR="0032180C" w:rsidRPr="00652E2A">
        <w:rPr>
          <w:rFonts w:cs="Arial"/>
          <w:vertAlign w:val="superscript"/>
          <w:lang w:val="de-DE" w:eastAsia="ja-JP"/>
        </w:rPr>
        <w:t>2</w:t>
      </w:r>
      <w:r w:rsidR="0032180C" w:rsidRPr="00652E2A">
        <w:rPr>
          <w:rFonts w:cs="Arial"/>
          <w:lang w:val="de-DE" w:eastAsia="ja-JP"/>
        </w:rPr>
        <w:fldChar w:fldCharType="end"/>
      </w:r>
      <w:r w:rsidR="00CD2A6D" w:rsidRPr="00652E2A">
        <w:rPr>
          <w:rFonts w:cs="Arial"/>
          <w:vertAlign w:val="superscript"/>
          <w:lang w:val="de-DE"/>
        </w:rPr>
        <w:t xml:space="preserve"> </w:t>
      </w:r>
      <w:r w:rsidR="00CD2A6D" w:rsidRPr="00652E2A">
        <w:rPr>
          <w:lang w:val="de-DE"/>
        </w:rPr>
        <w:t xml:space="preserve">und vom CAJ auf seiner </w:t>
      </w:r>
      <w:r w:rsidR="005607A1" w:rsidRPr="00652E2A">
        <w:rPr>
          <w:lang w:val="de-DE"/>
        </w:rPr>
        <w:t>fünf</w:t>
      </w:r>
      <w:r w:rsidR="00CD2A6D" w:rsidRPr="00652E2A">
        <w:rPr>
          <w:lang w:val="de-DE"/>
        </w:rPr>
        <w:t>undsiebzigsten</w:t>
      </w:r>
      <w:r w:rsidR="00925CF8" w:rsidRPr="00652E2A">
        <w:rPr>
          <w:lang w:val="de-DE"/>
        </w:rPr>
        <w:t xml:space="preserve"> </w:t>
      </w:r>
      <w:r w:rsidR="0032180C" w:rsidRPr="00652E2A">
        <w:rPr>
          <w:lang w:val="de-DE"/>
        </w:rPr>
        <w:t>Tagung</w:t>
      </w:r>
      <w:r w:rsidR="0032180C" w:rsidRPr="00652E2A">
        <w:rPr>
          <w:vertAlign w:val="superscript"/>
          <w:lang w:val="de-DE"/>
        </w:rPr>
        <w:fldChar w:fldCharType="begin"/>
      </w:r>
      <w:r w:rsidR="0032180C" w:rsidRPr="00652E2A">
        <w:rPr>
          <w:vertAlign w:val="superscript"/>
          <w:lang w:val="de-DE"/>
        </w:rPr>
        <w:instrText xml:space="preserve"> NOTEREF _Ref12539907 \h  \* MERGEFORMAT </w:instrText>
      </w:r>
      <w:r w:rsidR="0032180C" w:rsidRPr="00652E2A">
        <w:rPr>
          <w:vertAlign w:val="superscript"/>
          <w:lang w:val="de-DE"/>
        </w:rPr>
      </w:r>
      <w:r w:rsidR="0032180C" w:rsidRPr="00652E2A">
        <w:rPr>
          <w:vertAlign w:val="superscript"/>
          <w:lang w:val="de-DE"/>
        </w:rPr>
        <w:fldChar w:fldCharType="separate"/>
      </w:r>
      <w:r w:rsidR="0032180C" w:rsidRPr="00652E2A">
        <w:rPr>
          <w:vertAlign w:val="superscript"/>
          <w:lang w:val="de-DE"/>
        </w:rPr>
        <w:t>3</w:t>
      </w:r>
      <w:r w:rsidR="0032180C" w:rsidRPr="00652E2A">
        <w:rPr>
          <w:lang w:val="de-DE"/>
        </w:rPr>
        <w:fldChar w:fldCharType="end"/>
      </w:r>
      <w:r w:rsidR="008E00DA" w:rsidRPr="00652E2A">
        <w:rPr>
          <w:vertAlign w:val="superscript"/>
          <w:lang w:val="de-DE"/>
        </w:rPr>
        <w:t>,</w:t>
      </w:r>
      <w:r w:rsidR="008E00DA" w:rsidRPr="00652E2A">
        <w:rPr>
          <w:vertAlign w:val="superscript"/>
          <w:lang w:val="de-DE"/>
        </w:rPr>
        <w:footnoteReference w:id="16"/>
      </w:r>
      <w:r w:rsidR="0032180C" w:rsidRPr="00652E2A">
        <w:rPr>
          <w:vertAlign w:val="superscript"/>
          <w:lang w:val="de-DE"/>
        </w:rPr>
        <w:t xml:space="preserve"> </w:t>
      </w:r>
      <w:r w:rsidR="0032180C" w:rsidRPr="00652E2A">
        <w:rPr>
          <w:lang w:val="de-DE"/>
        </w:rPr>
        <w:t>v</w:t>
      </w:r>
      <w:r w:rsidR="005607A1" w:rsidRPr="00652E2A">
        <w:rPr>
          <w:lang w:val="de-DE"/>
        </w:rPr>
        <w:t>ereinbart</w:t>
      </w:r>
      <w:r w:rsidR="00C95164" w:rsidRPr="00652E2A">
        <w:rPr>
          <w:lang w:val="de-DE"/>
        </w:rPr>
        <w:t>.</w:t>
      </w:r>
    </w:p>
    <w:p w14:paraId="37121192" w14:textId="77777777" w:rsidR="00B964D9" w:rsidRPr="00652E2A" w:rsidRDefault="00B964D9" w:rsidP="007B24A5">
      <w:pPr>
        <w:keepNext/>
        <w:keepLines/>
        <w:rPr>
          <w:lang w:val="de-DE"/>
        </w:rPr>
      </w:pPr>
    </w:p>
    <w:bookmarkEnd w:id="33"/>
    <w:p w14:paraId="4B38D42C" w14:textId="0CF702B8" w:rsidR="00B964D9" w:rsidRPr="00652E2A" w:rsidRDefault="00C95164" w:rsidP="007B24A5">
      <w:pPr>
        <w:keepNext/>
        <w:keepLines/>
        <w:rPr>
          <w:rFonts w:cs="Arial"/>
          <w:lang w:val="de-DE" w:eastAsia="ja-JP"/>
        </w:rPr>
      </w:pPr>
      <w:r w:rsidRPr="00652E2A">
        <w:rPr>
          <w:rFonts w:cs="Arial"/>
          <w:lang w:val="de-DE"/>
        </w:rPr>
        <w:fldChar w:fldCharType="begin"/>
      </w:r>
      <w:r w:rsidRPr="00652E2A">
        <w:rPr>
          <w:rFonts w:cs="Arial"/>
          <w:lang w:val="de-DE"/>
        </w:rPr>
        <w:instrText xml:space="preserve"> AUTONUM  </w:instrText>
      </w:r>
      <w:r w:rsidRPr="00652E2A">
        <w:rPr>
          <w:rFonts w:cs="Arial"/>
          <w:lang w:val="de-DE"/>
        </w:rPr>
        <w:fldChar w:fldCharType="end"/>
      </w:r>
      <w:r w:rsidRPr="00652E2A">
        <w:rPr>
          <w:rFonts w:cs="Arial"/>
          <w:lang w:val="de-DE"/>
        </w:rPr>
        <w:tab/>
      </w:r>
      <w:r w:rsidR="00CD2A6D" w:rsidRPr="00652E2A">
        <w:rPr>
          <w:rFonts w:cs="Arial"/>
          <w:lang w:val="de-DE"/>
        </w:rPr>
        <w:t xml:space="preserve">Ein Bericht über die </w:t>
      </w:r>
      <w:r w:rsidR="00FD7926" w:rsidRPr="00652E2A">
        <w:rPr>
          <w:rFonts w:cs="Arial"/>
          <w:lang w:val="de-DE"/>
        </w:rPr>
        <w:t>Entschließungen</w:t>
      </w:r>
      <w:r w:rsidR="00CD2A6D" w:rsidRPr="00652E2A">
        <w:rPr>
          <w:rFonts w:cs="Arial"/>
          <w:lang w:val="de-DE"/>
        </w:rPr>
        <w:t xml:space="preserve"> des TC auf seiner</w:t>
      </w:r>
      <w:r w:rsidR="00570EB3" w:rsidRPr="00652E2A">
        <w:rPr>
          <w:rFonts w:cs="Arial"/>
          <w:lang w:val="de-DE"/>
        </w:rPr>
        <w:t xml:space="preserve"> </w:t>
      </w:r>
      <w:r w:rsidR="00CD2A6D" w:rsidRPr="00652E2A">
        <w:rPr>
          <w:rFonts w:cs="Arial"/>
          <w:lang w:val="de-DE"/>
        </w:rPr>
        <w:t>fünfundfünfzigsten Tagung</w:t>
      </w:r>
      <w:r w:rsidR="00C52246" w:rsidRPr="00652E2A">
        <w:rPr>
          <w:vertAlign w:val="superscript"/>
          <w:lang w:val="de-DE"/>
        </w:rPr>
        <w:fldChar w:fldCharType="begin"/>
      </w:r>
      <w:r w:rsidR="00C52246" w:rsidRPr="00652E2A">
        <w:rPr>
          <w:vertAlign w:val="superscript"/>
          <w:lang w:val="de-DE"/>
        </w:rPr>
        <w:instrText xml:space="preserve"> NOTEREF _Ref13574983 \h  \* MERGEFORMAT </w:instrText>
      </w:r>
      <w:r w:rsidR="00C52246" w:rsidRPr="00652E2A">
        <w:rPr>
          <w:vertAlign w:val="superscript"/>
          <w:lang w:val="de-DE"/>
        </w:rPr>
      </w:r>
      <w:r w:rsidR="00C52246" w:rsidRPr="00652E2A">
        <w:rPr>
          <w:vertAlign w:val="superscript"/>
          <w:lang w:val="de-DE"/>
        </w:rPr>
        <w:fldChar w:fldCharType="separate"/>
      </w:r>
      <w:r w:rsidR="00ED0947" w:rsidRPr="00652E2A">
        <w:rPr>
          <w:vertAlign w:val="superscript"/>
          <w:lang w:val="de-DE"/>
        </w:rPr>
        <w:t>1</w:t>
      </w:r>
      <w:r w:rsidR="00C52246" w:rsidRPr="00652E2A">
        <w:rPr>
          <w:vertAlign w:val="superscript"/>
          <w:lang w:val="de-DE"/>
        </w:rPr>
        <w:fldChar w:fldCharType="end"/>
      </w:r>
      <w:r w:rsidR="00CD2A6D" w:rsidRPr="00652E2A">
        <w:rPr>
          <w:vertAlign w:val="superscript"/>
          <w:lang w:val="de-DE"/>
        </w:rPr>
        <w:t xml:space="preserve"> </w:t>
      </w:r>
      <w:r w:rsidR="0024646F" w:rsidRPr="00652E2A">
        <w:rPr>
          <w:lang w:val="de-DE"/>
        </w:rPr>
        <w:t>wird</w:t>
      </w:r>
      <w:r w:rsidR="00CD2A6D" w:rsidRPr="00652E2A">
        <w:rPr>
          <w:lang w:val="de-DE"/>
        </w:rPr>
        <w:t xml:space="preserve"> </w:t>
      </w:r>
      <w:r w:rsidR="00AF6EB9" w:rsidRPr="00652E2A">
        <w:rPr>
          <w:lang w:val="de-DE"/>
        </w:rPr>
        <w:t>in</w:t>
      </w:r>
      <w:r w:rsidR="00CD2A6D" w:rsidRPr="00652E2A">
        <w:rPr>
          <w:lang w:val="de-DE"/>
        </w:rPr>
        <w:t xml:space="preserve"> Dokument CAJ/76/8</w:t>
      </w:r>
      <w:r w:rsidR="00C20397" w:rsidRPr="00652E2A">
        <w:rPr>
          <w:lang w:val="de-DE"/>
        </w:rPr>
        <w:t xml:space="preserve"> </w:t>
      </w:r>
      <w:r w:rsidR="001E2D36" w:rsidRPr="00652E2A">
        <w:rPr>
          <w:lang w:val="de-DE"/>
        </w:rPr>
        <w:t>„</w:t>
      </w:r>
      <w:r w:rsidR="00CD2A6D" w:rsidRPr="00652E2A">
        <w:rPr>
          <w:lang w:val="de-DE"/>
        </w:rPr>
        <w:t xml:space="preserve">Bericht über die Entwicklungen im Technischen </w:t>
      </w:r>
      <w:r w:rsidR="00EB5321" w:rsidRPr="00652E2A">
        <w:rPr>
          <w:lang w:val="de-DE"/>
        </w:rPr>
        <w:t>Ausschuss</w:t>
      </w:r>
      <w:r w:rsidR="001E2D36" w:rsidRPr="00652E2A">
        <w:rPr>
          <w:lang w:val="de-DE"/>
        </w:rPr>
        <w:t>“</w:t>
      </w:r>
      <w:r w:rsidR="00CD2A6D" w:rsidRPr="00652E2A">
        <w:rPr>
          <w:lang w:val="de-DE"/>
        </w:rPr>
        <w:t xml:space="preserve"> </w:t>
      </w:r>
      <w:r w:rsidR="00AF6EB9" w:rsidRPr="00652E2A">
        <w:rPr>
          <w:lang w:val="de-DE"/>
        </w:rPr>
        <w:t>dar</w:t>
      </w:r>
      <w:r w:rsidR="00CD2A6D" w:rsidRPr="00652E2A">
        <w:rPr>
          <w:lang w:val="de-DE"/>
        </w:rPr>
        <w:t>gelegt</w:t>
      </w:r>
      <w:r w:rsidR="0097710B" w:rsidRPr="00652E2A">
        <w:rPr>
          <w:lang w:val="de-DE"/>
        </w:rPr>
        <w:t xml:space="preserve"> werden</w:t>
      </w:r>
      <w:r w:rsidR="00CD2A6D" w:rsidRPr="00652E2A">
        <w:rPr>
          <w:lang w:val="de-DE"/>
        </w:rPr>
        <w:t>.</w:t>
      </w:r>
    </w:p>
    <w:p w14:paraId="5E30766C" w14:textId="77777777" w:rsidR="00B964D9" w:rsidRPr="00652E2A" w:rsidRDefault="00B964D9" w:rsidP="007B24A5">
      <w:pPr>
        <w:rPr>
          <w:lang w:val="de-DE"/>
        </w:rPr>
      </w:pPr>
    </w:p>
    <w:p w14:paraId="043BF04B" w14:textId="0FB7CE38" w:rsidR="00B964D9" w:rsidRPr="00652E2A" w:rsidRDefault="007B24A5" w:rsidP="007B24A5">
      <w:pPr>
        <w:tabs>
          <w:tab w:val="left" w:pos="5387"/>
        </w:tabs>
        <w:ind w:left="4820"/>
        <w:rPr>
          <w:i/>
          <w:lang w:val="de-DE"/>
        </w:rPr>
      </w:pPr>
      <w:r w:rsidRPr="00652E2A">
        <w:rPr>
          <w:lang w:val="de-DE"/>
        </w:rPr>
        <w:fldChar w:fldCharType="begin"/>
      </w:r>
      <w:r w:rsidRPr="00652E2A">
        <w:rPr>
          <w:lang w:val="de-DE"/>
        </w:rPr>
        <w:instrText xml:space="preserve"> AUTONUM  </w:instrText>
      </w:r>
      <w:r w:rsidRPr="00652E2A">
        <w:rPr>
          <w:lang w:val="de-DE"/>
        </w:rPr>
        <w:fldChar w:fldCharType="end"/>
      </w:r>
      <w:r w:rsidRPr="00652E2A">
        <w:rPr>
          <w:i/>
          <w:lang w:val="de-DE"/>
        </w:rPr>
        <w:tab/>
      </w:r>
      <w:r w:rsidR="005D72D0" w:rsidRPr="00652E2A">
        <w:rPr>
          <w:i/>
          <w:lang w:val="de-DE"/>
        </w:rPr>
        <w:t>Der</w:t>
      </w:r>
      <w:r w:rsidRPr="00652E2A">
        <w:rPr>
          <w:i/>
          <w:lang w:val="de-DE"/>
        </w:rPr>
        <w:t xml:space="preserve"> CAJ</w:t>
      </w:r>
      <w:r w:rsidR="005D72D0" w:rsidRPr="00652E2A">
        <w:rPr>
          <w:i/>
          <w:lang w:val="de-DE"/>
        </w:rPr>
        <w:t xml:space="preserve"> wird ersucht, das</w:t>
      </w:r>
      <w:r w:rsidRPr="00652E2A">
        <w:rPr>
          <w:i/>
          <w:lang w:val="de-DE"/>
        </w:rPr>
        <w:t xml:space="preserve"> </w:t>
      </w:r>
      <w:r w:rsidR="005D72D0" w:rsidRPr="00652E2A">
        <w:rPr>
          <w:i/>
          <w:lang w:val="de-DE"/>
        </w:rPr>
        <w:t xml:space="preserve">Programm </w:t>
      </w:r>
      <w:r w:rsidR="0097710B" w:rsidRPr="00652E2A">
        <w:rPr>
          <w:i/>
          <w:lang w:val="de-DE"/>
        </w:rPr>
        <w:t xml:space="preserve">für die </w:t>
      </w:r>
      <w:r w:rsidR="008E00DA" w:rsidRPr="00652E2A">
        <w:rPr>
          <w:i/>
          <w:lang w:val="de-DE"/>
        </w:rPr>
        <w:t>Erarbeitung</w:t>
      </w:r>
      <w:r w:rsidR="005D72D0" w:rsidRPr="00652E2A">
        <w:rPr>
          <w:i/>
          <w:lang w:val="de-DE"/>
        </w:rPr>
        <w:t xml:space="preserve"> von</w:t>
      </w:r>
      <w:r w:rsidRPr="00652E2A">
        <w:rPr>
          <w:i/>
          <w:lang w:val="de-DE"/>
        </w:rPr>
        <w:t xml:space="preserve"> TGP</w:t>
      </w:r>
      <w:r w:rsidR="008E00DA" w:rsidRPr="00652E2A">
        <w:rPr>
          <w:i/>
          <w:lang w:val="de-DE"/>
        </w:rPr>
        <w:t>-</w:t>
      </w:r>
      <w:r w:rsidR="00E9349B" w:rsidRPr="00652E2A">
        <w:rPr>
          <w:i/>
          <w:lang w:val="de-DE"/>
        </w:rPr>
        <w:t>Dokumente</w:t>
      </w:r>
      <w:r w:rsidR="005D72D0" w:rsidRPr="00652E2A">
        <w:rPr>
          <w:i/>
          <w:lang w:val="de-DE"/>
        </w:rPr>
        <w:t>n</w:t>
      </w:r>
      <w:r w:rsidRPr="00652E2A">
        <w:rPr>
          <w:i/>
          <w:lang w:val="de-DE"/>
        </w:rPr>
        <w:t xml:space="preserve">, </w:t>
      </w:r>
      <w:r w:rsidR="005D72D0" w:rsidRPr="00652E2A">
        <w:rPr>
          <w:i/>
          <w:lang w:val="de-DE"/>
        </w:rPr>
        <w:t xml:space="preserve">wie in </w:t>
      </w:r>
      <w:r w:rsidR="0032180C" w:rsidRPr="00652E2A">
        <w:rPr>
          <w:i/>
          <w:lang w:val="de-DE"/>
        </w:rPr>
        <w:t>Absätzen</w:t>
      </w:r>
      <w:r w:rsidR="0027574C" w:rsidRPr="00652E2A">
        <w:rPr>
          <w:i/>
          <w:lang w:val="de-DE"/>
        </w:rPr>
        <w:t xml:space="preserve"> </w:t>
      </w:r>
      <w:r w:rsidR="00AF2C7C" w:rsidRPr="00652E2A">
        <w:rPr>
          <w:i/>
          <w:lang w:val="de-DE"/>
        </w:rPr>
        <w:t>3</w:t>
      </w:r>
      <w:r w:rsidR="0083066D" w:rsidRPr="00652E2A">
        <w:rPr>
          <w:i/>
          <w:lang w:val="de-DE"/>
        </w:rPr>
        <w:t>8</w:t>
      </w:r>
      <w:r w:rsidR="0027574C" w:rsidRPr="00652E2A">
        <w:rPr>
          <w:i/>
          <w:lang w:val="de-DE"/>
        </w:rPr>
        <w:t xml:space="preserve"> </w:t>
      </w:r>
      <w:r w:rsidR="00E9349B" w:rsidRPr="00652E2A">
        <w:rPr>
          <w:i/>
          <w:lang w:val="de-DE"/>
        </w:rPr>
        <w:t>und</w:t>
      </w:r>
      <w:r w:rsidR="0027574C" w:rsidRPr="00652E2A">
        <w:rPr>
          <w:i/>
          <w:lang w:val="de-DE"/>
        </w:rPr>
        <w:t xml:space="preserve"> </w:t>
      </w:r>
      <w:r w:rsidR="0083066D" w:rsidRPr="00652E2A">
        <w:rPr>
          <w:i/>
          <w:lang w:val="de-DE"/>
        </w:rPr>
        <w:t>39</w:t>
      </w:r>
      <w:r w:rsidR="00DE42A3" w:rsidRPr="00652E2A">
        <w:rPr>
          <w:i/>
          <w:lang w:val="de-DE"/>
        </w:rPr>
        <w:t xml:space="preserve"> </w:t>
      </w:r>
      <w:r w:rsidR="005D72D0" w:rsidRPr="00652E2A">
        <w:rPr>
          <w:i/>
          <w:lang w:val="de-DE"/>
        </w:rPr>
        <w:t>dieses</w:t>
      </w:r>
      <w:r w:rsidRPr="00652E2A">
        <w:rPr>
          <w:i/>
          <w:lang w:val="de-DE"/>
        </w:rPr>
        <w:t xml:space="preserve"> </w:t>
      </w:r>
      <w:r w:rsidR="00DB4285" w:rsidRPr="00652E2A">
        <w:rPr>
          <w:i/>
          <w:lang w:val="de-DE"/>
        </w:rPr>
        <w:t>Dokument</w:t>
      </w:r>
      <w:r w:rsidR="005D72D0" w:rsidRPr="00652E2A">
        <w:rPr>
          <w:i/>
          <w:lang w:val="de-DE"/>
        </w:rPr>
        <w:t>s dargelegt,</w:t>
      </w:r>
      <w:r w:rsidR="006F6881" w:rsidRPr="00652E2A">
        <w:rPr>
          <w:i/>
          <w:lang w:val="de-DE"/>
        </w:rPr>
        <w:t xml:space="preserve"> </w:t>
      </w:r>
      <w:r w:rsidR="0097710B" w:rsidRPr="00652E2A">
        <w:rPr>
          <w:i/>
          <w:lang w:val="de-DE"/>
        </w:rPr>
        <w:t>u</w:t>
      </w:r>
      <w:r w:rsidR="00FD7926" w:rsidRPr="00652E2A">
        <w:rPr>
          <w:i/>
          <w:lang w:val="de-DE"/>
        </w:rPr>
        <w:t>nter Berücksichtigung</w:t>
      </w:r>
      <w:r w:rsidR="005D72D0" w:rsidRPr="00652E2A">
        <w:rPr>
          <w:i/>
          <w:lang w:val="de-DE"/>
        </w:rPr>
        <w:t xml:space="preserve"> der </w:t>
      </w:r>
      <w:r w:rsidR="00FD7926" w:rsidRPr="00652E2A">
        <w:rPr>
          <w:i/>
          <w:lang w:val="de-DE"/>
        </w:rPr>
        <w:t>Entschließungen</w:t>
      </w:r>
      <w:r w:rsidR="005D72D0" w:rsidRPr="00652E2A">
        <w:rPr>
          <w:i/>
          <w:lang w:val="de-DE"/>
        </w:rPr>
        <w:t xml:space="preserve"> des TC auf seiner fünfundfünfzigsten Tagung zu prüfen</w:t>
      </w:r>
      <w:r w:rsidRPr="00652E2A">
        <w:rPr>
          <w:i/>
          <w:lang w:val="de-DE"/>
        </w:rPr>
        <w:t>.</w:t>
      </w:r>
    </w:p>
    <w:p w14:paraId="0A7E25AC" w14:textId="77777777" w:rsidR="00B964D9" w:rsidRPr="00652E2A" w:rsidRDefault="00B964D9" w:rsidP="00995691">
      <w:pPr>
        <w:rPr>
          <w:lang w:val="de-DE"/>
        </w:rPr>
      </w:pPr>
    </w:p>
    <w:p w14:paraId="2477E258" w14:textId="77777777" w:rsidR="00B964D9" w:rsidRPr="00652E2A" w:rsidRDefault="00B964D9" w:rsidP="00273B07">
      <w:pPr>
        <w:rPr>
          <w:rFonts w:cs="Arial"/>
          <w:bCs/>
          <w:snapToGrid w:val="0"/>
          <w:lang w:val="de-DE"/>
        </w:rPr>
      </w:pPr>
    </w:p>
    <w:p w14:paraId="26331FEA" w14:textId="77777777" w:rsidR="00B964D9" w:rsidRPr="00652E2A" w:rsidRDefault="00B964D9" w:rsidP="00273B07">
      <w:pPr>
        <w:rPr>
          <w:rFonts w:cs="Arial"/>
          <w:bCs/>
          <w:snapToGrid w:val="0"/>
          <w:lang w:val="de-DE"/>
        </w:rPr>
      </w:pPr>
    </w:p>
    <w:bookmarkEnd w:id="27"/>
    <w:bookmarkEnd w:id="28"/>
    <w:bookmarkEnd w:id="29"/>
    <w:bookmarkEnd w:id="30"/>
    <w:p w14:paraId="125C1499" w14:textId="77777777" w:rsidR="00B964D9" w:rsidRPr="00652E2A" w:rsidRDefault="00273B07" w:rsidP="00B964D9">
      <w:pPr>
        <w:jc w:val="right"/>
        <w:rPr>
          <w:snapToGrid w:val="0"/>
          <w:lang w:val="de-DE"/>
        </w:rPr>
      </w:pPr>
      <w:r w:rsidRPr="00652E2A">
        <w:rPr>
          <w:snapToGrid w:val="0"/>
          <w:lang w:val="de-DE"/>
        </w:rPr>
        <w:t xml:space="preserve"> </w:t>
      </w:r>
      <w:r w:rsidR="00B964D9" w:rsidRPr="00652E2A">
        <w:rPr>
          <w:snapToGrid w:val="0"/>
          <w:lang w:val="de-DE"/>
        </w:rPr>
        <w:t>[Anlagen folgen]</w:t>
      </w:r>
    </w:p>
    <w:p w14:paraId="718EFB16" w14:textId="77777777" w:rsidR="00273B07" w:rsidRPr="00652E2A" w:rsidRDefault="00273B07" w:rsidP="00273B07">
      <w:pPr>
        <w:jc w:val="right"/>
        <w:rPr>
          <w:snapToGrid w:val="0"/>
          <w:lang w:val="de-DE"/>
        </w:rPr>
        <w:sectPr w:rsidR="00273B07" w:rsidRPr="00652E2A" w:rsidSect="0083066D">
          <w:headerReference w:type="default" r:id="rId13"/>
          <w:footnotePr>
            <w:numRestart w:val="eachSect"/>
          </w:footnotePr>
          <w:pgSz w:w="11907" w:h="16840" w:code="9"/>
          <w:pgMar w:top="567" w:right="1134" w:bottom="993" w:left="1134" w:header="510" w:footer="680" w:gutter="0"/>
          <w:pgNumType w:start="1"/>
          <w:cols w:space="720"/>
          <w:titlePg/>
        </w:sectPr>
      </w:pPr>
    </w:p>
    <w:p w14:paraId="43A0D9E8" w14:textId="77777777" w:rsidR="0085675F" w:rsidRPr="004F58B9" w:rsidRDefault="0085675F" w:rsidP="0085675F">
      <w:pPr>
        <w:jc w:val="center"/>
        <w:rPr>
          <w:caps/>
          <w:lang w:val="de-DE"/>
        </w:rPr>
      </w:pPr>
      <w:r w:rsidRPr="004F58B9">
        <w:rPr>
          <w:caps/>
          <w:lang w:val="de-DE"/>
        </w:rPr>
        <w:lastRenderedPageBreak/>
        <w:t xml:space="preserve">ÜberarbeitungEN VON Dokument TGP/7 „ERSTELLUNG VON PRÜFUNGSRICHTLINIEN“, </w:t>
      </w:r>
    </w:p>
    <w:p w14:paraId="0CD469D5" w14:textId="77777777" w:rsidR="0085675F" w:rsidRPr="004F58B9" w:rsidRDefault="0085675F" w:rsidP="0085675F">
      <w:pPr>
        <w:jc w:val="center"/>
        <w:rPr>
          <w:lang w:val="de-DE"/>
        </w:rPr>
      </w:pPr>
      <w:r w:rsidRPr="004F58B9">
        <w:rPr>
          <w:lang w:val="de-DE"/>
        </w:rPr>
        <w:t>VEREINBART VOM TECHNISCHEN AUSSCHUSS AUF SEINER VIERUNDFÜNFZIGSTEN TAGUNG</w:t>
      </w:r>
      <w:r w:rsidRPr="004F58B9">
        <w:rPr>
          <w:rStyle w:val="FootnoteReference"/>
          <w:lang w:val="de-DE"/>
        </w:rPr>
        <w:footnoteReference w:id="17"/>
      </w:r>
      <w:r w:rsidRPr="004F58B9">
        <w:rPr>
          <w:lang w:val="de-DE"/>
        </w:rPr>
        <w:t xml:space="preserve"> </w:t>
      </w:r>
    </w:p>
    <w:p w14:paraId="4BECCDF8" w14:textId="77777777" w:rsidR="0085675F" w:rsidRPr="004F58B9" w:rsidRDefault="0085675F" w:rsidP="0085675F">
      <w:pPr>
        <w:jc w:val="center"/>
        <w:rPr>
          <w:lang w:val="de-DE"/>
        </w:rPr>
      </w:pPr>
    </w:p>
    <w:p w14:paraId="56A688C5" w14:textId="77777777" w:rsidR="0085675F" w:rsidRPr="004F58B9" w:rsidRDefault="0085675F" w:rsidP="0085675F">
      <w:pPr>
        <w:rPr>
          <w:lang w:val="de-DE"/>
        </w:rPr>
      </w:pPr>
      <w:r w:rsidRPr="004F58B9">
        <w:rPr>
          <w:lang w:val="de-DE"/>
        </w:rPr>
        <mc:AlternateContent>
          <mc:Choice Requires="wps">
            <w:drawing>
              <wp:anchor distT="0" distB="0" distL="114300" distR="114300" simplePos="0" relativeHeight="251663360" behindDoc="0" locked="0" layoutInCell="1" allowOverlap="1" wp14:anchorId="77531E54" wp14:editId="4ABF7500">
                <wp:simplePos x="0" y="0"/>
                <wp:positionH relativeFrom="column">
                  <wp:posOffset>590550</wp:posOffset>
                </wp:positionH>
                <wp:positionV relativeFrom="paragraph">
                  <wp:posOffset>147320</wp:posOffset>
                </wp:positionV>
                <wp:extent cx="4960620" cy="402590"/>
                <wp:effectExtent l="0" t="0" r="1143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402590"/>
                        </a:xfrm>
                        <a:prstGeom prst="rect">
                          <a:avLst/>
                        </a:prstGeom>
                        <a:solidFill>
                          <a:srgbClr val="FFFFFF"/>
                        </a:solidFill>
                        <a:ln w="9525">
                          <a:solidFill>
                            <a:srgbClr val="000000"/>
                          </a:solidFill>
                          <a:miter lim="800000"/>
                          <a:headEnd/>
                          <a:tailEnd/>
                        </a:ln>
                      </wps:spPr>
                      <wps:txbx>
                        <w:txbxContent>
                          <w:p w14:paraId="7904AE55" w14:textId="77777777" w:rsidR="0085675F" w:rsidRPr="00AE66A2" w:rsidRDefault="0085675F" w:rsidP="0085675F">
                            <w:pPr>
                              <w:jc w:val="center"/>
                              <w:rPr>
                                <w:lang w:val="de-DE"/>
                              </w:rPr>
                            </w:pPr>
                            <w:r w:rsidRPr="00AE66A2">
                              <w:rPr>
                                <w:strike/>
                                <w:highlight w:val="lightGray"/>
                                <w:lang w:val="de-DE"/>
                              </w:rPr>
                              <w:t>Durchgestrichener</w:t>
                            </w:r>
                            <w:r w:rsidRPr="00AE66A2">
                              <w:rPr>
                                <w:highlight w:val="lightGray"/>
                                <w:lang w:val="de-DE"/>
                              </w:rPr>
                              <w:t xml:space="preserve"> hervorgehobener</w:t>
                            </w:r>
                            <w:r w:rsidRPr="00AE66A2">
                              <w:rPr>
                                <w:lang w:val="de-DE"/>
                              </w:rPr>
                              <w:t xml:space="preserve"> Wortlaut gibt die Streichung aus dem Wortlaut und </w:t>
                            </w:r>
                            <w:r w:rsidRPr="00AE66A2">
                              <w:rPr>
                                <w:highlight w:val="lightGray"/>
                                <w:u w:val="single"/>
                                <w:lang w:val="de-DE"/>
                              </w:rPr>
                              <w:t>unterstrichener</w:t>
                            </w:r>
                            <w:r w:rsidRPr="00AE66A2">
                              <w:rPr>
                                <w:highlight w:val="lightGray"/>
                                <w:lang w:val="de-DE"/>
                              </w:rPr>
                              <w:t xml:space="preserve"> hervorgehobener</w:t>
                            </w:r>
                            <w:r w:rsidRPr="00AE66A2">
                              <w:rPr>
                                <w:lang w:val="de-DE"/>
                              </w:rPr>
                              <w:t xml:space="preserve"> Wortlaut gibt die Einfügung in den Wortlaut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31E54" id="_x0000_t202" coordsize="21600,21600" o:spt="202" path="m,l,21600r21600,l21600,xe">
                <v:stroke joinstyle="miter"/>
                <v:path gradientshapeok="t" o:connecttype="rect"/>
              </v:shapetype>
              <v:shape id="Text Box 2" o:spid="_x0000_s1026" type="#_x0000_t202" style="position:absolute;left:0;text-align:left;margin-left:46.5pt;margin-top:11.6pt;width:390.6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">
                <v:textbox>
                  <w:txbxContent>
                    <w:p w14:paraId="7904AE55" w14:textId="77777777" w:rsidR="0085675F" w:rsidRPr="00AE66A2" w:rsidRDefault="0085675F" w:rsidP="0085675F">
                      <w:pPr>
                        <w:jc w:val="center"/>
                        <w:rPr>
                          <w:lang w:val="de-DE"/>
                        </w:rPr>
                      </w:pPr>
                      <w:r w:rsidRPr="00AE66A2">
                        <w:rPr>
                          <w:strike/>
                          <w:highlight w:val="lightGray"/>
                          <w:lang w:val="de-DE"/>
                        </w:rPr>
                        <w:t>Durchgestrichener</w:t>
                      </w:r>
                      <w:r w:rsidRPr="00AE66A2">
                        <w:rPr>
                          <w:highlight w:val="lightGray"/>
                          <w:lang w:val="de-DE"/>
                        </w:rPr>
                        <w:t xml:space="preserve"> hervorgehobener</w:t>
                      </w:r>
                      <w:r w:rsidRPr="00AE66A2">
                        <w:rPr>
                          <w:lang w:val="de-DE"/>
                        </w:rPr>
                        <w:t xml:space="preserve"> Wortlaut gibt die Streichung aus dem Wortlaut und </w:t>
                      </w:r>
                      <w:r w:rsidRPr="00AE66A2">
                        <w:rPr>
                          <w:highlight w:val="lightGray"/>
                          <w:u w:val="single"/>
                          <w:lang w:val="de-DE"/>
                        </w:rPr>
                        <w:t>unterstrichener</w:t>
                      </w:r>
                      <w:r w:rsidRPr="00AE66A2">
                        <w:rPr>
                          <w:highlight w:val="lightGray"/>
                          <w:lang w:val="de-DE"/>
                        </w:rPr>
                        <w:t xml:space="preserve"> hervorgehobener</w:t>
                      </w:r>
                      <w:r w:rsidRPr="00AE66A2">
                        <w:rPr>
                          <w:lang w:val="de-DE"/>
                        </w:rPr>
                        <w:t xml:space="preserve"> Wortlaut gibt die Einfügung in den Wortlaut an.</w:t>
                      </w:r>
                    </w:p>
                  </w:txbxContent>
                </v:textbox>
              </v:shape>
            </w:pict>
          </mc:Fallback>
        </mc:AlternateContent>
      </w:r>
    </w:p>
    <w:p w14:paraId="4DD9DA10" w14:textId="77777777" w:rsidR="0085675F" w:rsidRPr="004F58B9" w:rsidRDefault="0085675F" w:rsidP="0085675F">
      <w:pPr>
        <w:rPr>
          <w:lang w:val="de-DE"/>
        </w:rPr>
      </w:pPr>
    </w:p>
    <w:p w14:paraId="398F7240" w14:textId="77777777" w:rsidR="0085675F" w:rsidRPr="004F58B9" w:rsidRDefault="0085675F" w:rsidP="0085675F">
      <w:pPr>
        <w:rPr>
          <w:lang w:val="de-DE"/>
        </w:rPr>
      </w:pPr>
    </w:p>
    <w:p w14:paraId="4F1EE44E" w14:textId="77777777" w:rsidR="0085675F" w:rsidRPr="004F58B9" w:rsidRDefault="0085675F" w:rsidP="0085675F">
      <w:pPr>
        <w:rPr>
          <w:lang w:val="de-DE"/>
        </w:rPr>
      </w:pPr>
    </w:p>
    <w:p w14:paraId="6F29631E" w14:textId="77777777" w:rsidR="0085675F" w:rsidRPr="004F58B9" w:rsidRDefault="0085675F" w:rsidP="0085675F">
      <w:pPr>
        <w:rPr>
          <w:lang w:val="de-DE"/>
        </w:rPr>
      </w:pPr>
    </w:p>
    <w:p w14:paraId="21CC6D7C" w14:textId="77777777" w:rsidR="0085675F" w:rsidRPr="004F58B9" w:rsidRDefault="0085675F" w:rsidP="0085675F">
      <w:pPr>
        <w:rPr>
          <w:lang w:val="de-DE"/>
        </w:rPr>
      </w:pPr>
    </w:p>
    <w:p w14:paraId="3A9103FE" w14:textId="77777777" w:rsidR="0085675F" w:rsidRPr="004F58B9" w:rsidRDefault="0085675F" w:rsidP="0085675F">
      <w:pPr>
        <w:rPr>
          <w:lang w:val="de-DE"/>
        </w:rPr>
      </w:pPr>
    </w:p>
    <w:p w14:paraId="6852E7DC" w14:textId="77777777" w:rsidR="0085675F" w:rsidRPr="004F58B9" w:rsidRDefault="0085675F" w:rsidP="0085675F">
      <w:pPr>
        <w:rPr>
          <w:u w:val="single"/>
          <w:lang w:val="de-DE"/>
        </w:rPr>
      </w:pPr>
      <w:r w:rsidRPr="004F58B9">
        <w:rPr>
          <w:u w:val="single"/>
          <w:lang w:val="de-DE"/>
        </w:rPr>
        <w:t xml:space="preserve">Dauer von DUS-Prüfungen </w:t>
      </w:r>
    </w:p>
    <w:p w14:paraId="4F95D2CA" w14:textId="77777777" w:rsidR="0085675F" w:rsidRPr="004F58B9" w:rsidRDefault="0085675F" w:rsidP="0085675F">
      <w:pPr>
        <w:rPr>
          <w:u w:val="single"/>
          <w:lang w:val="de-DE"/>
        </w:rPr>
      </w:pPr>
    </w:p>
    <w:p w14:paraId="41C4707D" w14:textId="77777777" w:rsidR="0085675F" w:rsidRPr="004F58B9" w:rsidRDefault="0085675F" w:rsidP="0085675F">
      <w:pPr>
        <w:rPr>
          <w:i/>
          <w:lang w:val="de-DE"/>
        </w:rPr>
      </w:pPr>
      <w:r w:rsidRPr="004F58B9">
        <w:rPr>
          <w:i/>
          <w:lang w:val="de-DE"/>
        </w:rPr>
        <w:t>Allgemeiner Standardwortlaut: Abschnitt 3.1: Anzahl der Wachstumsperioden</w:t>
      </w:r>
    </w:p>
    <w:p w14:paraId="281C54D6" w14:textId="77777777" w:rsidR="0085675F" w:rsidRPr="004F58B9" w:rsidRDefault="0085675F" w:rsidP="0085675F">
      <w:pPr>
        <w:rPr>
          <w:lang w:val="de-DE"/>
        </w:rPr>
      </w:pPr>
    </w:p>
    <w:p w14:paraId="61EF5F05" w14:textId="77777777" w:rsidR="0085675F" w:rsidRPr="004F58B9" w:rsidRDefault="0085675F" w:rsidP="0085675F">
      <w:pPr>
        <w:rPr>
          <w:lang w:val="de-DE"/>
        </w:rPr>
      </w:pPr>
      <w:r w:rsidRPr="004F58B9">
        <w:rPr>
          <w:lang w:val="de-DE"/>
        </w:rPr>
        <w:t>Der TC vereinbarte, dass der folgende Satz als Standardwortlaut in die Prüfungsrichtlinien aufgenommen werden sollte (vergleiche Dokument TC/54/31 „Bericht“, Abschnitte 210 bis 212):</w:t>
      </w:r>
    </w:p>
    <w:p w14:paraId="371D3562" w14:textId="77777777" w:rsidR="0085675F" w:rsidRPr="004F58B9" w:rsidRDefault="0085675F" w:rsidP="0085675F">
      <w:pPr>
        <w:rPr>
          <w:sz w:val="18"/>
          <w:lang w:val="de-DE"/>
        </w:rPr>
      </w:pPr>
    </w:p>
    <w:p w14:paraId="7695C006" w14:textId="77777777" w:rsidR="0085675F" w:rsidRPr="004F58B9" w:rsidRDefault="0085675F" w:rsidP="0085675F">
      <w:pPr>
        <w:ind w:left="567" w:right="567"/>
        <w:rPr>
          <w:sz w:val="18"/>
          <w:u w:val="single"/>
          <w:lang w:val="de-DE"/>
        </w:rPr>
      </w:pPr>
      <w:r w:rsidRPr="004F58B9">
        <w:rPr>
          <w:sz w:val="18"/>
          <w:highlight w:val="lightGray"/>
          <w:u w:val="single"/>
          <w:lang w:val="de-DE"/>
        </w:rPr>
        <w:t>„Die Prüfung einer Sorte kann beendet werden, wenn die zuständige Behörde das Ergebnis der Prüfung mit Sicherheit bestimmen kann.“</w:t>
      </w:r>
    </w:p>
    <w:p w14:paraId="69F494B2" w14:textId="77777777" w:rsidR="0085675F" w:rsidRPr="004F58B9" w:rsidRDefault="0085675F" w:rsidP="0085675F">
      <w:pPr>
        <w:rPr>
          <w:lang w:val="de-DE"/>
        </w:rPr>
      </w:pPr>
    </w:p>
    <w:p w14:paraId="66F96DDE" w14:textId="77777777" w:rsidR="0085675F" w:rsidRPr="004F58B9" w:rsidRDefault="0085675F" w:rsidP="0085675F">
      <w:pPr>
        <w:rPr>
          <w:rFonts w:eastAsia="MS Mincho"/>
          <w:u w:val="single"/>
          <w:lang w:val="de-DE"/>
        </w:rPr>
      </w:pPr>
    </w:p>
    <w:p w14:paraId="09F8CB7F" w14:textId="77777777" w:rsidR="0085675F" w:rsidRPr="004F58B9" w:rsidRDefault="0085675F" w:rsidP="0085675F">
      <w:pPr>
        <w:rPr>
          <w:rFonts w:eastAsia="MS Mincho"/>
          <w:u w:val="single"/>
          <w:lang w:val="de-DE"/>
        </w:rPr>
      </w:pPr>
      <w:r w:rsidRPr="004F58B9">
        <w:rPr>
          <w:rFonts w:eastAsia="MS Mincho"/>
          <w:u w:val="single"/>
          <w:lang w:val="de-DE"/>
        </w:rPr>
        <w:t xml:space="preserve">Verfahren zur Annahme von Prüfungsrichtlinien auf dem Schriftweg </w:t>
      </w:r>
    </w:p>
    <w:p w14:paraId="28A3858E" w14:textId="77777777" w:rsidR="0085675F" w:rsidRPr="004F58B9" w:rsidRDefault="0085675F" w:rsidP="0085675F">
      <w:pPr>
        <w:rPr>
          <w:i/>
          <w:lang w:val="de-DE"/>
        </w:rPr>
      </w:pPr>
    </w:p>
    <w:p w14:paraId="244757D4" w14:textId="77777777" w:rsidR="0085675F" w:rsidRPr="004F58B9" w:rsidRDefault="0085675F" w:rsidP="0085675F">
      <w:pPr>
        <w:rPr>
          <w:i/>
          <w:lang w:val="de-DE"/>
        </w:rPr>
      </w:pPr>
      <w:r w:rsidRPr="004F58B9">
        <w:rPr>
          <w:i/>
          <w:lang w:val="de-DE"/>
        </w:rPr>
        <w:t>Abschnitt 2.2 „Verfahren zur Einführung von Prüfungsrichtlinien“</w:t>
      </w:r>
    </w:p>
    <w:p w14:paraId="60011F2E" w14:textId="77777777" w:rsidR="0085675F" w:rsidRPr="004F58B9" w:rsidRDefault="0085675F" w:rsidP="0085675F">
      <w:pPr>
        <w:rPr>
          <w:i/>
          <w:lang w:val="de-DE"/>
        </w:rPr>
      </w:pPr>
    </w:p>
    <w:p w14:paraId="26160646" w14:textId="77777777" w:rsidR="0085675F" w:rsidRPr="004F58B9" w:rsidRDefault="0085675F" w:rsidP="0085675F">
      <w:pPr>
        <w:rPr>
          <w:lang w:val="de-DE"/>
        </w:rPr>
      </w:pPr>
      <w:r w:rsidRPr="004F58B9">
        <w:rPr>
          <w:lang w:val="de-DE"/>
        </w:rPr>
        <w:t xml:space="preserve">Der TC vereinbarte, dass die Anleitung in Dokument TGP/7 wie folgt überarbeitet werden sollte (vergleiche Dokument TC/54/31 „Bericht“, Absätze 217 bis 220): </w:t>
      </w:r>
    </w:p>
    <w:p w14:paraId="35FB67BF" w14:textId="77777777" w:rsidR="0085675F" w:rsidRPr="004F58B9" w:rsidRDefault="0085675F" w:rsidP="0085675F">
      <w:pPr>
        <w:rPr>
          <w:lang w:val="de-DE"/>
        </w:rPr>
      </w:pPr>
    </w:p>
    <w:p w14:paraId="08C7ECB2" w14:textId="77777777" w:rsidR="0085675F" w:rsidRPr="004F58B9" w:rsidRDefault="0085675F" w:rsidP="0085675F">
      <w:pPr>
        <w:ind w:left="567" w:right="567"/>
        <w:rPr>
          <w:sz w:val="18"/>
          <w:szCs w:val="18"/>
          <w:u w:val="single"/>
          <w:lang w:val="de-DE"/>
        </w:rPr>
      </w:pPr>
      <w:r w:rsidRPr="004F58B9">
        <w:rPr>
          <w:sz w:val="18"/>
          <w:szCs w:val="18"/>
          <w:u w:val="single"/>
          <w:lang w:val="de-DE"/>
        </w:rPr>
        <w:t>„2.2.7</w:t>
      </w:r>
      <w:r w:rsidRPr="004F58B9">
        <w:rPr>
          <w:sz w:val="18"/>
          <w:szCs w:val="18"/>
          <w:u w:val="single"/>
          <w:lang w:val="de-DE"/>
        </w:rPr>
        <w:tab/>
      </w:r>
      <w:r w:rsidRPr="004F58B9">
        <w:rPr>
          <w:sz w:val="18"/>
          <w:szCs w:val="18"/>
          <w:u w:val="single"/>
          <w:bdr w:val="single" w:sz="4" w:space="0" w:color="auto"/>
          <w:lang w:val="de-DE"/>
        </w:rPr>
        <w:t>SCHRITT 7</w:t>
      </w:r>
      <w:r w:rsidRPr="004F58B9">
        <w:rPr>
          <w:sz w:val="18"/>
          <w:szCs w:val="18"/>
          <w:u w:val="single"/>
          <w:lang w:val="de-DE"/>
        </w:rPr>
        <w:t xml:space="preserve"> </w:t>
      </w:r>
      <w:r w:rsidRPr="004F58B9">
        <w:rPr>
          <w:sz w:val="18"/>
          <w:szCs w:val="18"/>
          <w:u w:val="single"/>
          <w:lang w:val="de-DE"/>
        </w:rPr>
        <w:tab/>
        <w:t xml:space="preserve">Prüfung des Entwurfs der Prüfungsrichtlinien durch den TC-EDC </w:t>
      </w:r>
    </w:p>
    <w:p w14:paraId="78D02820" w14:textId="77777777" w:rsidR="0085675F" w:rsidRPr="004F58B9" w:rsidRDefault="0085675F" w:rsidP="0085675F">
      <w:pPr>
        <w:ind w:left="567" w:right="567"/>
        <w:rPr>
          <w:sz w:val="18"/>
          <w:szCs w:val="18"/>
          <w:lang w:val="de-DE"/>
        </w:rPr>
      </w:pPr>
    </w:p>
    <w:p w14:paraId="64A04E0E" w14:textId="77777777" w:rsidR="0085675F" w:rsidRPr="004F58B9" w:rsidRDefault="0085675F" w:rsidP="0085675F">
      <w:pPr>
        <w:ind w:left="567" w:right="567"/>
        <w:rPr>
          <w:sz w:val="18"/>
          <w:szCs w:val="18"/>
          <w:lang w:val="de-DE"/>
        </w:rPr>
      </w:pPr>
      <w:r w:rsidRPr="004F58B9">
        <w:rPr>
          <w:sz w:val="18"/>
          <w:szCs w:val="18"/>
          <w:lang w:val="de-DE"/>
        </w:rPr>
        <w:t xml:space="preserve">„2.2.7.1 </w:t>
      </w:r>
      <w:r w:rsidRPr="004F58B9">
        <w:rPr>
          <w:sz w:val="18"/>
          <w:szCs w:val="18"/>
          <w:lang w:val="de-DE"/>
        </w:rPr>
        <w:tab/>
        <w:t>Der TC-EDC wurde vom Technischen Ausschuss zur Prüfung der Entwürfe aller von den TWP erstellten Prüfungsrichtlinien eingesetzt, bevor diese dem Technischen Ausschuss zur Annahme vorgelegt werden. Die Funktion des TC-EDC besteht darin, die Übereinstimmung der Prüfungsrichtlinien mit den Anforderungen von Dokument TGP/7 sicherzustellen und die Abgleichung der Wortlaute in allen Amtssprachen der UPOV zu überprüfen. Er führt keine technische Sachprüfung der Prüfungsrichtlinien durch. Die Mitglieder des TC-EDC werden vom TC bestimmt, um sowohl breite Erfahrung mit dem UPOV-System als auch die Vertretung der UPOV-Sprachen – Deutsch, Englisch, Französisch und Spanisch – sicherzustellen. Der/die Vorsitzende des TC-EDC wird vom UPOV-Sekretariat gestellt.</w:t>
      </w:r>
    </w:p>
    <w:p w14:paraId="74DF67CB" w14:textId="77777777" w:rsidR="0085675F" w:rsidRPr="004F58B9" w:rsidRDefault="0085675F" w:rsidP="0085675F">
      <w:pPr>
        <w:ind w:left="567" w:right="567"/>
        <w:rPr>
          <w:sz w:val="18"/>
          <w:szCs w:val="18"/>
          <w:lang w:val="de-DE"/>
        </w:rPr>
      </w:pPr>
    </w:p>
    <w:p w14:paraId="399DC87D" w14:textId="77777777" w:rsidR="0085675F" w:rsidRPr="004F58B9" w:rsidRDefault="0085675F" w:rsidP="0085675F">
      <w:pPr>
        <w:ind w:left="567" w:right="567"/>
        <w:rPr>
          <w:sz w:val="18"/>
          <w:szCs w:val="18"/>
          <w:lang w:val="de-DE"/>
        </w:rPr>
      </w:pPr>
      <w:r w:rsidRPr="004F58B9">
        <w:rPr>
          <w:sz w:val="18"/>
          <w:szCs w:val="18"/>
          <w:lang w:val="de-DE"/>
        </w:rPr>
        <w:t xml:space="preserve">„2.2.7.2 </w:t>
      </w:r>
      <w:r w:rsidRPr="004F58B9">
        <w:rPr>
          <w:sz w:val="18"/>
          <w:szCs w:val="18"/>
          <w:lang w:val="de-DE"/>
        </w:rPr>
        <w:tab/>
        <w:t xml:space="preserve">Der TC-EDC überprüft die Entwürfe der Prüfungsrichtlinien unter Berücksichtigung spezifischer Anweisungen seitens des Technischen Ausschusses und gibt eine Empfehlung darüber ab, ob die Prüfungsrichtlinien angenommen werden können (Schritt 8). Er kann dem Technischen Ausschuss, vorbehaltlich der redaktionellen Änderungen, die er nennt, die Annahme vorschlagen. </w:t>
      </w:r>
    </w:p>
    <w:p w14:paraId="7521330E" w14:textId="77777777" w:rsidR="0085675F" w:rsidRPr="004F58B9" w:rsidRDefault="0085675F" w:rsidP="0085675F">
      <w:pPr>
        <w:ind w:left="567" w:right="567"/>
        <w:rPr>
          <w:sz w:val="18"/>
          <w:szCs w:val="18"/>
          <w:lang w:val="de-DE"/>
        </w:rPr>
      </w:pPr>
    </w:p>
    <w:p w14:paraId="15B0A383" w14:textId="77777777" w:rsidR="0085675F" w:rsidRPr="004F58B9" w:rsidRDefault="0085675F" w:rsidP="0085675F">
      <w:pPr>
        <w:ind w:left="567" w:right="567"/>
        <w:rPr>
          <w:strike/>
          <w:sz w:val="18"/>
          <w:szCs w:val="18"/>
          <w:highlight w:val="lightGray"/>
          <w:lang w:val="de-DE"/>
        </w:rPr>
      </w:pPr>
      <w:r w:rsidRPr="004F58B9">
        <w:rPr>
          <w:strike/>
          <w:sz w:val="18"/>
          <w:szCs w:val="18"/>
          <w:highlight w:val="lightGray"/>
          <w:lang w:val="de-DE"/>
        </w:rPr>
        <w:t xml:space="preserve">„2.2.7.3 </w:t>
      </w:r>
      <w:r w:rsidRPr="004F58B9">
        <w:rPr>
          <w:strike/>
          <w:sz w:val="18"/>
          <w:szCs w:val="18"/>
          <w:highlight w:val="lightGray"/>
          <w:lang w:val="de-DE"/>
        </w:rPr>
        <w:tab/>
        <w:t>Ist er der Ansicht, dass technische Aspekte vorliegen, die zu klären sind, kann der TC-EDC versuchen, diese Aspekte mit dem federführenden Sachverständigen vor der Prüfung der Prüfungsrichtlinien durch den Technischen Ausschuss zu klären. Ist dies nicht möglich, kann der TC-EDC dem Technischen Ausschuss empfehlen:</w:t>
      </w:r>
    </w:p>
    <w:p w14:paraId="347DA325" w14:textId="77777777" w:rsidR="0085675F" w:rsidRPr="004F58B9" w:rsidRDefault="0085675F" w:rsidP="0085675F">
      <w:pPr>
        <w:ind w:left="567" w:right="567"/>
        <w:rPr>
          <w:strike/>
          <w:sz w:val="18"/>
          <w:szCs w:val="18"/>
          <w:highlight w:val="lightGray"/>
          <w:lang w:val="de-DE"/>
        </w:rPr>
      </w:pPr>
    </w:p>
    <w:p w14:paraId="52E89204" w14:textId="77777777" w:rsidR="0085675F" w:rsidRPr="004F58B9" w:rsidRDefault="0085675F" w:rsidP="0085675F">
      <w:pPr>
        <w:ind w:left="567" w:right="567"/>
        <w:rPr>
          <w:strike/>
          <w:sz w:val="18"/>
          <w:szCs w:val="18"/>
          <w:highlight w:val="lightGray"/>
          <w:lang w:val="de-DE"/>
        </w:rPr>
      </w:pPr>
      <w:r w:rsidRPr="004F58B9">
        <w:rPr>
          <w:strike/>
          <w:sz w:val="18"/>
          <w:szCs w:val="18"/>
          <w:highlight w:val="lightGray"/>
          <w:lang w:val="de-DE"/>
        </w:rPr>
        <w:tab/>
        <w:t xml:space="preserve">a) </w:t>
      </w:r>
      <w:r w:rsidRPr="004F58B9">
        <w:rPr>
          <w:strike/>
          <w:sz w:val="18"/>
          <w:szCs w:val="18"/>
          <w:highlight w:val="lightGray"/>
          <w:lang w:val="de-DE"/>
        </w:rPr>
        <w:tab/>
        <w:t xml:space="preserve">die Prüfungsrichtlinien an die TWP zurückzuverweisen (Schritt 4) oder </w:t>
      </w:r>
    </w:p>
    <w:p w14:paraId="3F36798C" w14:textId="77777777" w:rsidR="0085675F" w:rsidRPr="004F58B9" w:rsidRDefault="0085675F" w:rsidP="0085675F">
      <w:pPr>
        <w:ind w:left="567" w:right="567"/>
        <w:rPr>
          <w:strike/>
          <w:sz w:val="18"/>
          <w:szCs w:val="18"/>
          <w:highlight w:val="lightGray"/>
          <w:lang w:val="de-DE"/>
        </w:rPr>
      </w:pPr>
      <w:r w:rsidRPr="004F58B9">
        <w:rPr>
          <w:strike/>
          <w:sz w:val="18"/>
          <w:szCs w:val="18"/>
          <w:highlight w:val="lightGray"/>
          <w:lang w:val="de-DE"/>
        </w:rPr>
        <w:tab/>
        <w:t xml:space="preserve">b) </w:t>
      </w:r>
      <w:r w:rsidRPr="004F58B9">
        <w:rPr>
          <w:strike/>
          <w:sz w:val="18"/>
          <w:szCs w:val="18"/>
          <w:highlight w:val="lightGray"/>
          <w:lang w:val="de-DE"/>
        </w:rPr>
        <w:tab/>
        <w:t>die Prüfungsrichtlinien, vorbehaltlich weiterer Informationen anzunehmen, die vom federführenden Sachverständigen mit Zustimmung aller beteiligten Sachverständigen und des Vorsitzenden der betreffenden TWP vorzulegen sind.</w:t>
      </w:r>
    </w:p>
    <w:p w14:paraId="27E1BE63" w14:textId="77777777" w:rsidR="0085675F" w:rsidRPr="004F58B9" w:rsidRDefault="0085675F" w:rsidP="0085675F">
      <w:pPr>
        <w:ind w:left="567" w:right="567"/>
        <w:rPr>
          <w:sz w:val="18"/>
          <w:szCs w:val="18"/>
          <w:highlight w:val="lightGray"/>
          <w:lang w:val="de-DE"/>
        </w:rPr>
      </w:pPr>
    </w:p>
    <w:p w14:paraId="1A519D3B" w14:textId="77777777" w:rsidR="0085675F" w:rsidRPr="004F58B9" w:rsidRDefault="0085675F" w:rsidP="0085675F">
      <w:pPr>
        <w:ind w:left="567" w:right="567"/>
        <w:rPr>
          <w:sz w:val="18"/>
          <w:szCs w:val="18"/>
          <w:highlight w:val="lightGray"/>
          <w:u w:val="single"/>
          <w:lang w:val="de-DE"/>
        </w:rPr>
      </w:pPr>
      <w:r w:rsidRPr="004F58B9">
        <w:rPr>
          <w:sz w:val="18"/>
          <w:szCs w:val="18"/>
          <w:highlight w:val="lightGray"/>
          <w:u w:val="single"/>
          <w:lang w:val="de-DE"/>
        </w:rPr>
        <w:t>„NEU</w:t>
      </w:r>
      <w:r w:rsidRPr="004F58B9">
        <w:rPr>
          <w:sz w:val="18"/>
          <w:szCs w:val="18"/>
          <w:highlight w:val="lightGray"/>
          <w:u w:val="single"/>
          <w:lang w:val="de-DE"/>
        </w:rPr>
        <w:tab/>
      </w:r>
      <w:r w:rsidRPr="004F58B9">
        <w:rPr>
          <w:sz w:val="18"/>
          <w:szCs w:val="18"/>
          <w:highlight w:val="lightGray"/>
          <w:u w:val="single"/>
          <w:lang w:val="de-DE"/>
        </w:rPr>
        <w:tab/>
        <w:t>Sofern nicht anders vom TC vereinbart, trifft sich der TC-EDC zweimal pro Jahr, einmal im Zeitraum März/April und einmal in Verbindung mit der Tagung des TC (Oktober/November). Der TC-EDC wird die von den Technischen Arbeitsgruppen vorgelegten Prüfungsrichtlinien mindestens 14 Wochen vor der Tagung des TC-EDC prüfen. Die weniger als 14 Wochen vor der Tagung des TC-EDC vorgelegten Prüfungsrichtlinien werden auf seiner nächsten Tagung geprüft.</w:t>
      </w:r>
    </w:p>
    <w:p w14:paraId="48099BED" w14:textId="77777777" w:rsidR="0085675F" w:rsidRPr="004F58B9" w:rsidRDefault="0085675F" w:rsidP="0085675F">
      <w:pPr>
        <w:tabs>
          <w:tab w:val="left" w:pos="567"/>
          <w:tab w:val="left" w:pos="1134"/>
          <w:tab w:val="left" w:pos="5387"/>
        </w:tabs>
        <w:ind w:left="567" w:right="567"/>
        <w:rPr>
          <w:sz w:val="18"/>
          <w:szCs w:val="18"/>
          <w:highlight w:val="lightGray"/>
          <w:u w:val="single"/>
          <w:lang w:val="de-DE"/>
        </w:rPr>
      </w:pPr>
    </w:p>
    <w:p w14:paraId="33AFB57B" w14:textId="77777777" w:rsidR="0085675F" w:rsidRPr="004F58B9" w:rsidRDefault="0085675F" w:rsidP="0085675F">
      <w:pPr>
        <w:ind w:left="567" w:right="567"/>
        <w:rPr>
          <w:sz w:val="18"/>
          <w:szCs w:val="18"/>
          <w:highlight w:val="lightGray"/>
          <w:u w:val="single"/>
          <w:lang w:val="de-DE"/>
        </w:rPr>
      </w:pPr>
      <w:r w:rsidRPr="004F58B9">
        <w:rPr>
          <w:sz w:val="18"/>
          <w:szCs w:val="18"/>
          <w:highlight w:val="lightGray"/>
          <w:u w:val="single"/>
          <w:lang w:val="de-DE"/>
        </w:rPr>
        <w:t>„NEU</w:t>
      </w:r>
      <w:r w:rsidRPr="004F58B9">
        <w:rPr>
          <w:sz w:val="18"/>
          <w:szCs w:val="18"/>
          <w:highlight w:val="lightGray"/>
          <w:u w:val="single"/>
          <w:lang w:val="de-DE"/>
        </w:rPr>
        <w:tab/>
      </w:r>
      <w:r w:rsidRPr="004F58B9">
        <w:rPr>
          <w:sz w:val="18"/>
          <w:szCs w:val="18"/>
          <w:highlight w:val="lightGray"/>
          <w:u w:val="single"/>
          <w:lang w:val="de-DE"/>
        </w:rPr>
        <w:tab/>
        <w:t>Die möglichen Ergebnisse für die vom TC-EDC geprüften Prüfungsrichtlinien sind wie folgt:</w:t>
      </w:r>
    </w:p>
    <w:p w14:paraId="76D1F61D" w14:textId="77777777" w:rsidR="0085675F" w:rsidRPr="004F58B9" w:rsidRDefault="0085675F" w:rsidP="0085675F">
      <w:pPr>
        <w:ind w:left="567" w:right="567"/>
        <w:rPr>
          <w:sz w:val="18"/>
          <w:szCs w:val="18"/>
          <w:highlight w:val="lightGray"/>
          <w:u w:val="single"/>
          <w:lang w:val="de-DE"/>
        </w:rPr>
      </w:pPr>
    </w:p>
    <w:p w14:paraId="6FDBACD8" w14:textId="77777777" w:rsidR="0085675F" w:rsidRPr="004F58B9" w:rsidRDefault="0085675F" w:rsidP="0085675F">
      <w:pPr>
        <w:numPr>
          <w:ilvl w:val="0"/>
          <w:numId w:val="6"/>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Es sind keine Änderungen der Prüfungsrichtlinien erforderlich oder diese beschränken sich auf </w:t>
      </w:r>
      <w:r w:rsidRPr="004F58B9">
        <w:rPr>
          <w:rFonts w:cs="Arial"/>
          <w:sz w:val="18"/>
          <w:szCs w:val="18"/>
          <w:highlight w:val="lightGray"/>
          <w:lang w:val="de-DE" w:eastAsia="en-GB"/>
        </w:rPr>
        <w:tab/>
      </w:r>
      <w:r w:rsidRPr="004F58B9">
        <w:rPr>
          <w:rFonts w:cs="Arial"/>
          <w:sz w:val="18"/>
          <w:szCs w:val="18"/>
          <w:highlight w:val="lightGray"/>
          <w:u w:val="single"/>
          <w:lang w:val="de-DE" w:eastAsia="en-GB"/>
        </w:rPr>
        <w:t xml:space="preserve">rein redaktionelle Änderungen, für die Empfehlungen durch den TC-EDC vereinbart wurden; </w:t>
      </w:r>
      <w:r w:rsidRPr="004F58B9">
        <w:rPr>
          <w:rFonts w:cs="Arial"/>
          <w:sz w:val="18"/>
          <w:szCs w:val="18"/>
          <w:highlight w:val="lightGray"/>
          <w:lang w:val="de-DE" w:eastAsia="en-GB"/>
        </w:rPr>
        <w:tab/>
      </w:r>
      <w:r w:rsidRPr="004F58B9">
        <w:rPr>
          <w:rFonts w:cs="Arial"/>
          <w:sz w:val="18"/>
          <w:szCs w:val="18"/>
          <w:highlight w:val="lightGray"/>
          <w:u w:val="single"/>
          <w:lang w:val="de-DE" w:eastAsia="en-GB"/>
        </w:rPr>
        <w:t>oder</w:t>
      </w:r>
    </w:p>
    <w:p w14:paraId="5982D37A" w14:textId="77777777" w:rsidR="0085675F" w:rsidRPr="004F58B9" w:rsidRDefault="0085675F" w:rsidP="0085675F">
      <w:pPr>
        <w:numPr>
          <w:ilvl w:val="0"/>
          <w:numId w:val="6"/>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lastRenderedPageBreak/>
        <w:t>Es sind redaktionelle Klarstellungen erforderlich; oder</w:t>
      </w:r>
    </w:p>
    <w:p w14:paraId="0AF7D6A6" w14:textId="77777777" w:rsidR="0085675F" w:rsidRPr="004F58B9" w:rsidRDefault="0085675F" w:rsidP="0085675F">
      <w:pPr>
        <w:numPr>
          <w:ilvl w:val="0"/>
          <w:numId w:val="6"/>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Es müssen technische Fragen gelöst werden.</w:t>
      </w:r>
    </w:p>
    <w:p w14:paraId="60F26449" w14:textId="77777777" w:rsidR="0085675F" w:rsidRPr="004F58B9" w:rsidRDefault="0085675F" w:rsidP="0085675F">
      <w:pPr>
        <w:ind w:left="567" w:right="567"/>
        <w:rPr>
          <w:sz w:val="18"/>
          <w:szCs w:val="18"/>
          <w:u w:val="single"/>
          <w:lang w:val="de-DE"/>
        </w:rPr>
      </w:pPr>
    </w:p>
    <w:p w14:paraId="4DFE3762" w14:textId="77777777" w:rsidR="0085675F" w:rsidRPr="004F58B9" w:rsidRDefault="0085675F" w:rsidP="0085675F">
      <w:pPr>
        <w:ind w:left="567" w:right="567"/>
        <w:rPr>
          <w:sz w:val="18"/>
          <w:szCs w:val="18"/>
          <w:highlight w:val="lightGray"/>
          <w:u w:val="single"/>
          <w:lang w:val="de-DE"/>
        </w:rPr>
      </w:pPr>
      <w:r w:rsidRPr="004F58B9">
        <w:rPr>
          <w:sz w:val="18"/>
          <w:szCs w:val="18"/>
          <w:highlight w:val="lightGray"/>
          <w:u w:val="single"/>
          <w:lang w:val="de-DE"/>
        </w:rPr>
        <w:t xml:space="preserve">„NEU </w:t>
      </w:r>
      <w:r w:rsidRPr="004F58B9">
        <w:rPr>
          <w:sz w:val="18"/>
          <w:szCs w:val="18"/>
          <w:highlight w:val="lightGray"/>
          <w:u w:val="single"/>
          <w:lang w:val="de-DE"/>
        </w:rPr>
        <w:tab/>
      </w:r>
      <w:r w:rsidRPr="004F58B9">
        <w:rPr>
          <w:sz w:val="18"/>
          <w:szCs w:val="18"/>
          <w:highlight w:val="lightGray"/>
          <w:u w:val="single"/>
          <w:lang w:val="de-DE"/>
        </w:rPr>
        <w:tab/>
        <w:t xml:space="preserve">In Fällen, in denen keine Änderungen der Prüfungsrichtlinien erforderlich sind oder diese sich auf rein redaktionelle Änderungen beschränken, für die Empfehlungen des TC-EDC vereinbart wurden, werden die Prüfungsrichtlinien zur Annahme durch den Technischen Ausschuss vorgelegt werden. </w:t>
      </w:r>
    </w:p>
    <w:p w14:paraId="2C9F95E6" w14:textId="77777777" w:rsidR="0085675F" w:rsidRPr="004F58B9" w:rsidRDefault="0085675F" w:rsidP="0085675F">
      <w:pPr>
        <w:ind w:left="567" w:right="567"/>
        <w:rPr>
          <w:sz w:val="18"/>
          <w:szCs w:val="18"/>
          <w:highlight w:val="lightGray"/>
          <w:u w:val="single"/>
          <w:lang w:val="de-DE"/>
        </w:rPr>
      </w:pPr>
    </w:p>
    <w:p w14:paraId="01467698" w14:textId="77777777" w:rsidR="0085675F" w:rsidRPr="004F58B9" w:rsidRDefault="0085675F" w:rsidP="0085675F">
      <w:pPr>
        <w:ind w:left="567" w:right="567"/>
        <w:rPr>
          <w:sz w:val="18"/>
          <w:szCs w:val="18"/>
          <w:highlight w:val="lightGray"/>
          <w:u w:val="single"/>
          <w:lang w:val="de-DE"/>
        </w:rPr>
      </w:pPr>
      <w:r w:rsidRPr="004F58B9">
        <w:rPr>
          <w:sz w:val="18"/>
          <w:szCs w:val="18"/>
          <w:highlight w:val="lightGray"/>
          <w:u w:val="single"/>
          <w:lang w:val="de-DE"/>
        </w:rPr>
        <w:t>„NEU</w:t>
      </w:r>
      <w:r w:rsidRPr="004F58B9">
        <w:rPr>
          <w:sz w:val="18"/>
          <w:szCs w:val="18"/>
          <w:highlight w:val="lightGray"/>
          <w:u w:val="single"/>
          <w:lang w:val="de-DE"/>
        </w:rPr>
        <w:tab/>
      </w:r>
      <w:r w:rsidRPr="004F58B9">
        <w:rPr>
          <w:sz w:val="18"/>
          <w:szCs w:val="18"/>
          <w:highlight w:val="lightGray"/>
          <w:u w:val="single"/>
          <w:lang w:val="de-DE"/>
        </w:rPr>
        <w:tab/>
        <w:t xml:space="preserve">Das folgende Verfahren findet für die Prüfungsrichtlinien Anwendung, wenn redaktionelle Klarstellungen erforderlich sind: </w:t>
      </w:r>
    </w:p>
    <w:p w14:paraId="07405720" w14:textId="77777777" w:rsidR="0085675F" w:rsidRPr="004F58B9" w:rsidRDefault="0085675F" w:rsidP="0085675F">
      <w:pPr>
        <w:ind w:left="567" w:right="567"/>
        <w:rPr>
          <w:rFonts w:cs="Arial"/>
          <w:sz w:val="18"/>
          <w:szCs w:val="18"/>
          <w:highlight w:val="lightGray"/>
          <w:u w:val="single"/>
          <w:lang w:val="de-DE"/>
        </w:rPr>
      </w:pPr>
    </w:p>
    <w:p w14:paraId="4A5B190D" w14:textId="77777777" w:rsidR="0085675F" w:rsidRPr="004F58B9" w:rsidRDefault="0085675F" w:rsidP="0085675F">
      <w:pPr>
        <w:numPr>
          <w:ilvl w:val="0"/>
          <w:numId w:val="4"/>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Ersuchen um Klarstellungen wird an den führenden Sachverständigen übermittelt;</w:t>
      </w:r>
    </w:p>
    <w:p w14:paraId="23DCF66E" w14:textId="77777777" w:rsidR="0085675F" w:rsidRPr="004F58B9" w:rsidRDefault="0085675F" w:rsidP="0085675F">
      <w:pPr>
        <w:numPr>
          <w:ilvl w:val="0"/>
          <w:numId w:val="4"/>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Klarstellungen sollten innerhalb von vier Wochen vorliegen;</w:t>
      </w:r>
    </w:p>
    <w:p w14:paraId="6EE6AEED" w14:textId="77777777" w:rsidR="0085675F" w:rsidRPr="004F58B9" w:rsidRDefault="0085675F" w:rsidP="0085675F">
      <w:pPr>
        <w:numPr>
          <w:ilvl w:val="0"/>
          <w:numId w:val="4"/>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falls die Klarstellungen vom TC-EDC gebilligt werden, werden die Prüfungsrichtlinien zur Annahme auf der Tagung des TC-EDC empfohlen werden;</w:t>
      </w:r>
    </w:p>
    <w:p w14:paraId="22D1B98E" w14:textId="77777777" w:rsidR="0085675F" w:rsidRPr="004F58B9" w:rsidRDefault="0085675F" w:rsidP="0085675F">
      <w:pPr>
        <w:numPr>
          <w:ilvl w:val="0"/>
          <w:numId w:val="4"/>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Prüfungsrichtlinien werden zur Annahme durch den TC geprüft.</w:t>
      </w:r>
    </w:p>
    <w:p w14:paraId="62C82F03" w14:textId="77777777" w:rsidR="0085675F" w:rsidRPr="004F58B9" w:rsidRDefault="0085675F" w:rsidP="0085675F">
      <w:pPr>
        <w:ind w:left="993" w:right="567" w:hanging="426"/>
        <w:rPr>
          <w:sz w:val="18"/>
          <w:szCs w:val="18"/>
          <w:highlight w:val="lightGray"/>
          <w:u w:val="single"/>
          <w:lang w:val="de-DE"/>
        </w:rPr>
      </w:pPr>
    </w:p>
    <w:p w14:paraId="34C0694C" w14:textId="77777777" w:rsidR="0085675F" w:rsidRPr="004F58B9" w:rsidRDefault="0085675F" w:rsidP="0085675F">
      <w:pPr>
        <w:ind w:left="993" w:right="567" w:hanging="426"/>
        <w:rPr>
          <w:sz w:val="18"/>
          <w:szCs w:val="18"/>
          <w:highlight w:val="lightGray"/>
          <w:u w:val="single"/>
          <w:lang w:val="de-DE"/>
        </w:rPr>
      </w:pPr>
      <w:r w:rsidRPr="004F58B9">
        <w:rPr>
          <w:sz w:val="18"/>
          <w:szCs w:val="18"/>
          <w:highlight w:val="lightGray"/>
          <w:u w:val="single"/>
          <w:lang w:val="de-DE"/>
        </w:rPr>
        <w:t>„NEU</w:t>
      </w:r>
      <w:r w:rsidRPr="004F58B9">
        <w:rPr>
          <w:sz w:val="18"/>
          <w:szCs w:val="18"/>
          <w:highlight w:val="lightGray"/>
          <w:u w:val="single"/>
          <w:lang w:val="de-DE"/>
        </w:rPr>
        <w:tab/>
      </w:r>
      <w:r w:rsidRPr="004F58B9">
        <w:rPr>
          <w:sz w:val="18"/>
          <w:szCs w:val="18"/>
          <w:highlight w:val="lightGray"/>
          <w:u w:val="single"/>
          <w:lang w:val="de-DE"/>
        </w:rPr>
        <w:tab/>
        <w:t>Das folgende Verfahren findet für die Prüfungsrichtlinien Anwendung, wenn technische Fragen gelöst werden müssen:</w:t>
      </w:r>
    </w:p>
    <w:p w14:paraId="54944EF7" w14:textId="77777777" w:rsidR="0085675F" w:rsidRPr="004F58B9" w:rsidRDefault="0085675F" w:rsidP="0085675F">
      <w:pPr>
        <w:ind w:left="993" w:right="567" w:hanging="426"/>
        <w:rPr>
          <w:rFonts w:cs="Arial"/>
          <w:sz w:val="18"/>
          <w:szCs w:val="18"/>
          <w:highlight w:val="lightGray"/>
          <w:u w:val="single"/>
          <w:lang w:val="de-DE"/>
        </w:rPr>
      </w:pPr>
    </w:p>
    <w:p w14:paraId="58A64913" w14:textId="77777777" w:rsidR="0085675F" w:rsidRPr="004F58B9" w:rsidRDefault="0085675F" w:rsidP="0085675F">
      <w:pPr>
        <w:numPr>
          <w:ilvl w:val="0"/>
          <w:numId w:val="5"/>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Technische Fragen werden an den führenden Sachverständigen übermittelt </w:t>
      </w:r>
    </w:p>
    <w:p w14:paraId="7E4E3497" w14:textId="77777777" w:rsidR="0085675F" w:rsidRPr="004F58B9" w:rsidRDefault="0085675F" w:rsidP="0085675F">
      <w:pPr>
        <w:numPr>
          <w:ilvl w:val="0"/>
          <w:numId w:val="5"/>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Die technischen Fragen sind an die betreffende Technische Arbeitsgruppe zu richten mittels eines TWP-Dokuments, das vom führenden Sachverständigen mindestens vier Wochen vor der TWP-Tagung vorgelegt werden muss (es soll kein neuer Entwurf von Prüfungsrichtlinien erstellt werden) </w:t>
      </w:r>
    </w:p>
    <w:p w14:paraId="19448B21" w14:textId="77777777" w:rsidR="0085675F" w:rsidRPr="004F58B9" w:rsidRDefault="0085675F" w:rsidP="0085675F">
      <w:pPr>
        <w:numPr>
          <w:ilvl w:val="0"/>
          <w:numId w:val="5"/>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Lösung der Fragen ist dem TC-EDC mindestens sieben Wochen vor der Tagung des TC-EDC vorzulegen;</w:t>
      </w:r>
    </w:p>
    <w:p w14:paraId="759A37A5" w14:textId="77777777" w:rsidR="0085675F" w:rsidRPr="004F58B9" w:rsidRDefault="0085675F" w:rsidP="0085675F">
      <w:pPr>
        <w:numPr>
          <w:ilvl w:val="0"/>
          <w:numId w:val="4"/>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Falls vom TC-EDC gebilligt, werden die Prüfungsrichtlinien auf der Tagung des TC-EDC zur Annahme empfohlen;</w:t>
      </w:r>
    </w:p>
    <w:p w14:paraId="385599CC" w14:textId="77777777" w:rsidR="0085675F" w:rsidRPr="004F58B9" w:rsidRDefault="0085675F" w:rsidP="0085675F">
      <w:pPr>
        <w:numPr>
          <w:ilvl w:val="0"/>
          <w:numId w:val="4"/>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Prüfungsrichtlinien werden vom TC zur Annahme geprüft.</w:t>
      </w:r>
    </w:p>
    <w:p w14:paraId="46F9ED78" w14:textId="77777777" w:rsidR="0085675F" w:rsidRPr="004F58B9" w:rsidRDefault="0085675F" w:rsidP="0085675F">
      <w:pPr>
        <w:ind w:left="567" w:right="567"/>
        <w:rPr>
          <w:sz w:val="18"/>
          <w:szCs w:val="18"/>
          <w:lang w:val="de-DE"/>
        </w:rPr>
      </w:pPr>
    </w:p>
    <w:p w14:paraId="7D17DD92" w14:textId="77777777" w:rsidR="0085675F" w:rsidRPr="004F58B9" w:rsidRDefault="0085675F" w:rsidP="0085675F">
      <w:pPr>
        <w:ind w:left="567" w:right="567"/>
        <w:rPr>
          <w:sz w:val="18"/>
          <w:szCs w:val="18"/>
          <w:u w:val="single"/>
          <w:lang w:val="de-DE"/>
        </w:rPr>
      </w:pPr>
      <w:r w:rsidRPr="004F58B9">
        <w:rPr>
          <w:sz w:val="18"/>
          <w:szCs w:val="18"/>
          <w:u w:val="single"/>
          <w:lang w:val="de-DE"/>
        </w:rPr>
        <w:t>„2.2.8</w:t>
      </w:r>
      <w:r w:rsidRPr="004F58B9">
        <w:rPr>
          <w:sz w:val="18"/>
          <w:szCs w:val="18"/>
          <w:u w:val="single"/>
          <w:lang w:val="de-DE"/>
        </w:rPr>
        <w:tab/>
        <w:t xml:space="preserve"> </w:t>
      </w:r>
      <w:r w:rsidRPr="004F58B9">
        <w:rPr>
          <w:sz w:val="18"/>
          <w:szCs w:val="18"/>
          <w:u w:val="single"/>
          <w:bdr w:val="single" w:sz="4" w:space="0" w:color="auto"/>
          <w:lang w:val="de-DE"/>
        </w:rPr>
        <w:t>SCHRITT 8</w:t>
      </w:r>
      <w:r w:rsidRPr="004F58B9">
        <w:rPr>
          <w:sz w:val="18"/>
          <w:szCs w:val="18"/>
          <w:u w:val="single"/>
          <w:lang w:val="de-DE"/>
        </w:rPr>
        <w:tab/>
        <w:t xml:space="preserve">Annahme des Entwurfs der Prüfungsrichtlinien durch den Technischen Ausschuss </w:t>
      </w:r>
    </w:p>
    <w:p w14:paraId="179C2719" w14:textId="77777777" w:rsidR="0085675F" w:rsidRPr="004F58B9" w:rsidRDefault="0085675F" w:rsidP="0085675F">
      <w:pPr>
        <w:ind w:left="567" w:right="567"/>
        <w:rPr>
          <w:sz w:val="18"/>
          <w:szCs w:val="18"/>
          <w:lang w:val="de-DE"/>
        </w:rPr>
      </w:pPr>
    </w:p>
    <w:p w14:paraId="5C94A3B3" w14:textId="77777777" w:rsidR="0085675F" w:rsidRPr="004F58B9" w:rsidRDefault="0085675F" w:rsidP="0085675F">
      <w:pPr>
        <w:ind w:left="567" w:right="567"/>
        <w:rPr>
          <w:sz w:val="18"/>
          <w:szCs w:val="18"/>
          <w:lang w:val="de-DE"/>
        </w:rPr>
      </w:pPr>
      <w:r w:rsidRPr="004F58B9">
        <w:rPr>
          <w:sz w:val="18"/>
          <w:szCs w:val="18"/>
          <w:lang w:val="de-DE"/>
        </w:rPr>
        <w:t xml:space="preserve">„2.2.8.1 </w:t>
      </w:r>
      <w:r w:rsidRPr="004F58B9">
        <w:rPr>
          <w:sz w:val="18"/>
          <w:szCs w:val="18"/>
          <w:lang w:val="de-DE"/>
        </w:rPr>
        <w:tab/>
        <w:t>Der TC prüft aufgrund der Empfehlungen des TC-EDC, ob die Prüfungsrichtlinien anzunehmen oder an die betreffende TWP zurückzuverweisen sind.</w:t>
      </w:r>
    </w:p>
    <w:p w14:paraId="4D58FE04" w14:textId="77777777" w:rsidR="0085675F" w:rsidRPr="004F58B9" w:rsidRDefault="0085675F" w:rsidP="0085675F">
      <w:pPr>
        <w:ind w:left="567" w:right="567"/>
        <w:rPr>
          <w:sz w:val="18"/>
          <w:szCs w:val="18"/>
          <w:lang w:val="de-DE"/>
        </w:rPr>
      </w:pPr>
    </w:p>
    <w:p w14:paraId="6A15C02F" w14:textId="77777777" w:rsidR="0085675F" w:rsidRPr="004F58B9" w:rsidRDefault="0085675F" w:rsidP="0085675F">
      <w:pPr>
        <w:ind w:left="567" w:right="567"/>
        <w:rPr>
          <w:sz w:val="18"/>
          <w:szCs w:val="18"/>
          <w:highlight w:val="lightGray"/>
          <w:u w:val="single"/>
          <w:lang w:val="de-DE"/>
        </w:rPr>
      </w:pPr>
      <w:r w:rsidRPr="004F58B9">
        <w:rPr>
          <w:sz w:val="18"/>
          <w:szCs w:val="18"/>
          <w:highlight w:val="lightGray"/>
          <w:u w:val="single"/>
          <w:lang w:val="de-DE"/>
        </w:rPr>
        <w:t>„NEU</w:t>
      </w:r>
      <w:r w:rsidRPr="004F58B9">
        <w:rPr>
          <w:sz w:val="18"/>
          <w:szCs w:val="18"/>
          <w:highlight w:val="lightGray"/>
          <w:u w:val="single"/>
          <w:lang w:val="de-DE"/>
        </w:rPr>
        <w:tab/>
      </w:r>
      <w:r w:rsidRPr="004F58B9">
        <w:rPr>
          <w:sz w:val="18"/>
          <w:szCs w:val="18"/>
          <w:highlight w:val="lightGray"/>
          <w:u w:val="single"/>
          <w:lang w:val="de-DE"/>
        </w:rPr>
        <w:tab/>
        <w:t>Der Technische Ausschuss kann Prüfungsrichtlinien auf seinen Tagungen oder auf dem Schriftweg annehmen. Prüfungsrichtlinien können gemäß folgendem Verfahren auf dem Schriftweg angenommen werden:</w:t>
      </w:r>
    </w:p>
    <w:p w14:paraId="5F7AB805" w14:textId="77777777" w:rsidR="0085675F" w:rsidRPr="004F58B9" w:rsidRDefault="0085675F" w:rsidP="0085675F">
      <w:pPr>
        <w:ind w:left="567" w:right="567"/>
        <w:rPr>
          <w:sz w:val="18"/>
          <w:szCs w:val="18"/>
          <w:highlight w:val="lightGray"/>
          <w:u w:val="single"/>
          <w:lang w:val="de-DE"/>
        </w:rPr>
      </w:pPr>
    </w:p>
    <w:p w14:paraId="01F275B5" w14:textId="77777777" w:rsidR="0085675F" w:rsidRPr="004F58B9" w:rsidRDefault="0085675F" w:rsidP="0085675F">
      <w:pPr>
        <w:numPr>
          <w:ilvl w:val="0"/>
          <w:numId w:val="3"/>
        </w:numPr>
        <w:tabs>
          <w:tab w:val="left" w:pos="1134"/>
          <w:tab w:val="left" w:pos="5387"/>
        </w:tabs>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Entwürfe der Prüfungsrichtlinien werden zusammen mit den Empfehlungen des TC-EDC zur Annahme auf dem Schriftweg an den TC übermittelt;</w:t>
      </w:r>
    </w:p>
    <w:p w14:paraId="4D9A44B8" w14:textId="77777777" w:rsidR="0085675F" w:rsidRPr="004F58B9" w:rsidRDefault="0085675F" w:rsidP="0085675F">
      <w:pPr>
        <w:numPr>
          <w:ilvl w:val="0"/>
          <w:numId w:val="3"/>
        </w:numPr>
        <w:tabs>
          <w:tab w:val="left" w:pos="1134"/>
          <w:tab w:val="left" w:pos="5387"/>
        </w:tabs>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Entwürfe der Prüfungsrichtlinien gelten als angenommen, falls innerhalb von sechs Wochen keine Bemerkungen eingehen;</w:t>
      </w:r>
    </w:p>
    <w:p w14:paraId="324B27E1" w14:textId="77777777" w:rsidR="0085675F" w:rsidRPr="004F58B9" w:rsidRDefault="0085675F" w:rsidP="0085675F">
      <w:pPr>
        <w:numPr>
          <w:ilvl w:val="0"/>
          <w:numId w:val="3"/>
        </w:numPr>
        <w:tabs>
          <w:tab w:val="left" w:pos="1134"/>
          <w:tab w:val="left" w:pos="5387"/>
        </w:tabs>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Falls Bemerkungen eingehen, werden die Entwürfe der Prüfungsrichtlinien an die betreffende TWP verwiesen, um diese Bemerkungen zu prüfen.</w:t>
      </w:r>
    </w:p>
    <w:p w14:paraId="0845B5D6" w14:textId="77777777" w:rsidR="0085675F" w:rsidRPr="004F58B9" w:rsidRDefault="0085675F" w:rsidP="0085675F">
      <w:pPr>
        <w:ind w:left="567" w:right="567"/>
        <w:rPr>
          <w:sz w:val="18"/>
          <w:szCs w:val="18"/>
          <w:lang w:val="de-DE"/>
        </w:rPr>
      </w:pPr>
    </w:p>
    <w:p w14:paraId="755D9713" w14:textId="77777777" w:rsidR="0085675F" w:rsidRPr="004F58B9" w:rsidRDefault="0085675F" w:rsidP="0085675F">
      <w:pPr>
        <w:ind w:left="567" w:right="567"/>
        <w:rPr>
          <w:sz w:val="18"/>
          <w:szCs w:val="18"/>
          <w:lang w:val="de-DE"/>
        </w:rPr>
      </w:pPr>
      <w:r w:rsidRPr="004F58B9">
        <w:rPr>
          <w:sz w:val="18"/>
          <w:szCs w:val="18"/>
          <w:lang w:val="de-DE"/>
        </w:rPr>
        <w:t xml:space="preserve">„2.2.8.2 </w:t>
      </w:r>
      <w:r w:rsidRPr="004F58B9">
        <w:rPr>
          <w:sz w:val="18"/>
          <w:szCs w:val="18"/>
          <w:lang w:val="de-DE"/>
        </w:rPr>
        <w:tab/>
        <w:t xml:space="preserve">Nimmt der Technische Ausschuss die Prüfungsrichtlinien an, nimmt das Büro alle vom Technischen Ausschuss vereinbarten Änderungen vor, die in einem Bericht der entsprechenden Tagung des Technischen Ausschusses aufgeführt sind. Das Büro veröffentlicht sodann die angenommenen Prüfungsrichtlinien. </w:t>
      </w:r>
    </w:p>
    <w:p w14:paraId="2279A6EB" w14:textId="77777777" w:rsidR="0085675F" w:rsidRPr="004F58B9" w:rsidRDefault="0085675F" w:rsidP="0085675F">
      <w:pPr>
        <w:ind w:left="567" w:right="567"/>
        <w:rPr>
          <w:strike/>
          <w:sz w:val="18"/>
          <w:szCs w:val="18"/>
          <w:lang w:val="de-DE"/>
        </w:rPr>
      </w:pPr>
    </w:p>
    <w:p w14:paraId="30055851" w14:textId="77777777" w:rsidR="0085675F" w:rsidRPr="004F58B9" w:rsidRDefault="0085675F" w:rsidP="0085675F">
      <w:pPr>
        <w:ind w:left="567" w:right="567"/>
        <w:rPr>
          <w:strike/>
          <w:sz w:val="18"/>
          <w:szCs w:val="18"/>
          <w:lang w:val="de-DE"/>
        </w:rPr>
      </w:pPr>
      <w:r w:rsidRPr="004F58B9">
        <w:rPr>
          <w:sz w:val="18"/>
          <w:szCs w:val="18"/>
          <w:highlight w:val="lightGray"/>
          <w:lang w:val="de-DE"/>
        </w:rPr>
        <w:t>„</w:t>
      </w:r>
      <w:r w:rsidRPr="004F58B9">
        <w:rPr>
          <w:strike/>
          <w:sz w:val="18"/>
          <w:szCs w:val="18"/>
          <w:highlight w:val="lightGray"/>
          <w:lang w:val="de-DE"/>
        </w:rPr>
        <w:t xml:space="preserve">2.2.8.3 </w:t>
      </w:r>
      <w:r w:rsidRPr="004F58B9">
        <w:rPr>
          <w:strike/>
          <w:sz w:val="18"/>
          <w:szCs w:val="18"/>
          <w:highlight w:val="lightGray"/>
          <w:lang w:val="de-DE"/>
        </w:rPr>
        <w:tab/>
        <w:t>Nimmt der Technische Ausschuss die Prüfungsrichtlinien, vorbehaltlich der Erteilung weiterer Informationen an, die durch den federführenden Sachverständigen mit Zustimmung aller beteiligten Sachverständigen und des Vorsitzenden der betreffenden TWP vorzulegen sind (vgl. 2.2.7.3 b)), sollten die zwischen allen beteiligten Sachverständigen abgestimmten erforderlichen Angaben dem Büro innerhalb von drei Monaten nach der Tagung des Technischen Ausschusses oder vor der darauffolgenden Tagung der betreffenden TWP berichtet werden, je nachdem, welche früher stattfindet. Werden die erforderlichen Informationen nicht innerhalb dieser Frist berichtet, werden die betreffenden Prüfungsrichtlinien nicht angenommen und der betreffenden TWP erneut vorgelegt (Schritt 4).</w:t>
      </w:r>
    </w:p>
    <w:p w14:paraId="5819F830" w14:textId="77777777" w:rsidR="0085675F" w:rsidRPr="004F58B9" w:rsidRDefault="0085675F" w:rsidP="0085675F">
      <w:pPr>
        <w:rPr>
          <w:lang w:val="de-DE"/>
        </w:rPr>
      </w:pPr>
    </w:p>
    <w:p w14:paraId="7D31A7D6" w14:textId="77777777" w:rsidR="00B964D9" w:rsidRPr="00652E2A" w:rsidRDefault="00B964D9" w:rsidP="00273B07">
      <w:pPr>
        <w:rPr>
          <w:lang w:val="de-DE"/>
        </w:rPr>
      </w:pPr>
    </w:p>
    <w:p w14:paraId="7500C8DB" w14:textId="77777777" w:rsidR="00B964D9" w:rsidRPr="00652E2A" w:rsidRDefault="00B964D9" w:rsidP="00273B07">
      <w:pPr>
        <w:rPr>
          <w:lang w:val="de-DE"/>
        </w:rPr>
      </w:pPr>
    </w:p>
    <w:p w14:paraId="3A266D2C" w14:textId="77777777" w:rsidR="00B964D9" w:rsidRPr="00652E2A" w:rsidRDefault="00B964D9" w:rsidP="00B964D9">
      <w:pPr>
        <w:jc w:val="right"/>
        <w:rPr>
          <w:lang w:val="de-DE"/>
        </w:rPr>
      </w:pPr>
      <w:r w:rsidRPr="00652E2A">
        <w:rPr>
          <w:lang w:val="de-DE"/>
        </w:rPr>
        <w:t>[Anlage II folgt]</w:t>
      </w:r>
    </w:p>
    <w:p w14:paraId="6F371550" w14:textId="77777777" w:rsidR="00B964D9" w:rsidRPr="00652E2A" w:rsidRDefault="00B964D9" w:rsidP="00273B07">
      <w:pPr>
        <w:rPr>
          <w:lang w:val="de-DE"/>
        </w:rPr>
      </w:pPr>
    </w:p>
    <w:p w14:paraId="2F398038" w14:textId="77777777" w:rsidR="00273B07" w:rsidRPr="00652E2A" w:rsidRDefault="00273B07" w:rsidP="00273B07">
      <w:pPr>
        <w:rPr>
          <w:lang w:val="de-DE"/>
        </w:rPr>
        <w:sectPr w:rsidR="00273B07" w:rsidRPr="00652E2A" w:rsidSect="00273B07">
          <w:headerReference w:type="default" r:id="rId14"/>
          <w:footerReference w:type="default" r:id="rId15"/>
          <w:headerReference w:type="first" r:id="rId16"/>
          <w:footnotePr>
            <w:numRestart w:val="eachSect"/>
          </w:footnotePr>
          <w:pgSz w:w="11907" w:h="16840" w:code="9"/>
          <w:pgMar w:top="510" w:right="1134" w:bottom="709" w:left="1134" w:header="510" w:footer="680" w:gutter="0"/>
          <w:pgNumType w:start="1"/>
          <w:cols w:space="720"/>
          <w:titlePg/>
        </w:sectPr>
      </w:pPr>
    </w:p>
    <w:p w14:paraId="146AEA98" w14:textId="77777777" w:rsidR="0085675F" w:rsidRPr="004F58B9" w:rsidRDefault="0085675F" w:rsidP="0085675F">
      <w:pPr>
        <w:jc w:val="center"/>
        <w:rPr>
          <w:caps/>
          <w:lang w:val="de-DE"/>
        </w:rPr>
      </w:pPr>
      <w:r w:rsidRPr="004F58B9">
        <w:rPr>
          <w:caps/>
          <w:lang w:val="de-DE"/>
        </w:rPr>
        <w:lastRenderedPageBreak/>
        <w:t xml:space="preserve">ÜBERARBEITUNGEN VON DOKUMENT TGP/8 „Prüfungsanlage und Verfahren für </w:t>
      </w:r>
    </w:p>
    <w:p w14:paraId="64B69053" w14:textId="77777777" w:rsidR="0085675F" w:rsidRPr="004F58B9" w:rsidRDefault="0085675F" w:rsidP="0085675F">
      <w:pPr>
        <w:jc w:val="center"/>
        <w:rPr>
          <w:caps/>
          <w:lang w:val="de-DE"/>
        </w:rPr>
      </w:pPr>
      <w:r w:rsidRPr="004F58B9">
        <w:rPr>
          <w:caps/>
          <w:lang w:val="de-DE"/>
        </w:rPr>
        <w:t>die Prüfung der Unterscheidbarkeit, der Homogenität und der Beständigkeit“</w:t>
      </w:r>
    </w:p>
    <w:p w14:paraId="4ACBA874" w14:textId="77777777" w:rsidR="0085675F" w:rsidRPr="004F58B9" w:rsidRDefault="0085675F" w:rsidP="0085675F">
      <w:pPr>
        <w:jc w:val="center"/>
        <w:rPr>
          <w:lang w:val="de-DE"/>
        </w:rPr>
      </w:pPr>
      <w:bookmarkStart w:id="34" w:name="_Ref13509596"/>
      <w:r w:rsidRPr="004F58B9">
        <w:rPr>
          <w:lang w:val="de-DE"/>
        </w:rPr>
        <w:t>VEREINBART VOM TECHNISCHEN AUSSCHUSS AUF SEINER DREIUNDFÜNFZIGSTEN</w:t>
      </w:r>
      <w:r w:rsidRPr="004F58B9">
        <w:rPr>
          <w:rStyle w:val="FootnoteReference"/>
          <w:lang w:val="de-DE"/>
        </w:rPr>
        <w:footnoteReference w:id="18"/>
      </w:r>
      <w:bookmarkEnd w:id="34"/>
      <w:r w:rsidRPr="004F58B9">
        <w:rPr>
          <w:lang w:val="de-DE"/>
        </w:rPr>
        <w:t xml:space="preserve"> </w:t>
      </w:r>
    </w:p>
    <w:p w14:paraId="020A3DFD" w14:textId="77777777" w:rsidR="0085675F" w:rsidRPr="004F58B9" w:rsidRDefault="0085675F" w:rsidP="0085675F">
      <w:pPr>
        <w:jc w:val="center"/>
        <w:rPr>
          <w:lang w:val="de-DE"/>
        </w:rPr>
      </w:pPr>
      <w:r w:rsidRPr="004F58B9">
        <w:rPr>
          <w:lang w:val="de-DE"/>
        </w:rPr>
        <w:t xml:space="preserve">UND </w:t>
      </w:r>
      <w:bookmarkStart w:id="35" w:name="_Ref13509615"/>
      <w:r w:rsidRPr="004F58B9">
        <w:rPr>
          <w:lang w:val="de-DE"/>
        </w:rPr>
        <w:t>VIERUNDFÜNFZIGSTEN</w:t>
      </w:r>
      <w:r w:rsidRPr="004F58B9">
        <w:rPr>
          <w:rStyle w:val="FootnoteReference"/>
          <w:lang w:val="de-DE"/>
        </w:rPr>
        <w:footnoteReference w:id="19"/>
      </w:r>
      <w:bookmarkEnd w:id="35"/>
      <w:r w:rsidRPr="004F58B9">
        <w:rPr>
          <w:lang w:val="de-DE"/>
        </w:rPr>
        <w:t xml:space="preserve"> TAGUNG</w:t>
      </w:r>
    </w:p>
    <w:p w14:paraId="5DF8D033" w14:textId="77777777" w:rsidR="0085675F" w:rsidRPr="004F58B9" w:rsidRDefault="0085675F" w:rsidP="0085675F">
      <w:pPr>
        <w:jc w:val="center"/>
        <w:rPr>
          <w:caps/>
          <w:lang w:val="de-DE"/>
        </w:rPr>
      </w:pPr>
    </w:p>
    <w:p w14:paraId="2D5824B3" w14:textId="77777777" w:rsidR="0085675F" w:rsidRPr="004F58B9" w:rsidRDefault="0085675F" w:rsidP="0085675F">
      <w:pPr>
        <w:rPr>
          <w:lang w:val="de-DE"/>
        </w:rPr>
      </w:pPr>
    </w:p>
    <w:p w14:paraId="2984AE49" w14:textId="77777777" w:rsidR="0085675F" w:rsidRPr="004F58B9" w:rsidRDefault="0085675F" w:rsidP="0085675F">
      <w:pPr>
        <w:rPr>
          <w:lang w:val="de-DE"/>
        </w:rPr>
      </w:pPr>
      <w:r w:rsidRPr="004F58B9">
        <w:rPr>
          <w:lang w:val="de-DE"/>
        </w:rPr>
        <mc:AlternateContent>
          <mc:Choice Requires="wps">
            <w:drawing>
              <wp:anchor distT="0" distB="0" distL="114300" distR="114300" simplePos="0" relativeHeight="251665408" behindDoc="0" locked="0" layoutInCell="1" allowOverlap="1" wp14:anchorId="6A250688" wp14:editId="29788B57">
                <wp:simplePos x="0" y="0"/>
                <wp:positionH relativeFrom="column">
                  <wp:posOffset>621030</wp:posOffset>
                </wp:positionH>
                <wp:positionV relativeFrom="paragraph">
                  <wp:posOffset>143510</wp:posOffset>
                </wp:positionV>
                <wp:extent cx="5135880" cy="502920"/>
                <wp:effectExtent l="0" t="0" r="266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502920"/>
                        </a:xfrm>
                        <a:prstGeom prst="rect">
                          <a:avLst/>
                        </a:prstGeom>
                        <a:solidFill>
                          <a:srgbClr val="FFFFFF"/>
                        </a:solidFill>
                        <a:ln w="9525">
                          <a:solidFill>
                            <a:srgbClr val="000000"/>
                          </a:solidFill>
                          <a:miter lim="800000"/>
                          <a:headEnd/>
                          <a:tailEnd/>
                        </a:ln>
                      </wps:spPr>
                      <wps:txbx>
                        <w:txbxContent>
                          <w:p w14:paraId="33366D18" w14:textId="77777777" w:rsidR="0085675F" w:rsidRPr="00AE66A2" w:rsidRDefault="0085675F" w:rsidP="0085675F">
                            <w:pPr>
                              <w:jc w:val="center"/>
                              <w:rPr>
                                <w:lang w:val="de-DE"/>
                              </w:rPr>
                            </w:pPr>
                            <w:r w:rsidRPr="00AE66A2">
                              <w:rPr>
                                <w:strike/>
                                <w:highlight w:val="lightGray"/>
                                <w:lang w:val="de-DE"/>
                              </w:rPr>
                              <w:t>Durchgestrichener</w:t>
                            </w:r>
                            <w:r w:rsidRPr="00AE66A2">
                              <w:rPr>
                                <w:highlight w:val="lightGray"/>
                                <w:lang w:val="de-DE"/>
                              </w:rPr>
                              <w:t xml:space="preserve"> hervorgehobener</w:t>
                            </w:r>
                            <w:r w:rsidRPr="00AE66A2">
                              <w:rPr>
                                <w:lang w:val="de-DE"/>
                              </w:rPr>
                              <w:t xml:space="preserve"> Wortlaut gibt die Streichung aus dem Wortlaut und </w:t>
                            </w:r>
                            <w:r w:rsidRPr="00AE66A2">
                              <w:rPr>
                                <w:highlight w:val="lightGray"/>
                                <w:u w:val="single"/>
                                <w:lang w:val="de-DE"/>
                              </w:rPr>
                              <w:t>unterstrichener</w:t>
                            </w:r>
                            <w:r w:rsidRPr="00AE66A2">
                              <w:rPr>
                                <w:highlight w:val="lightGray"/>
                                <w:lang w:val="de-DE"/>
                              </w:rPr>
                              <w:t xml:space="preserve"> hervorgehobener</w:t>
                            </w:r>
                            <w:r w:rsidRPr="00AE66A2">
                              <w:rPr>
                                <w:lang w:val="de-DE"/>
                              </w:rPr>
                              <w:t xml:space="preserve"> Wortlaut gibt die Einfügung in den Wortlaut</w:t>
                            </w:r>
                            <w:r>
                              <w:rPr>
                                <w:lang w:val="de-DE"/>
                              </w:rPr>
                              <w:t xml:space="preserve"> an.</w:t>
                            </w:r>
                          </w:p>
                          <w:p w14:paraId="4A03F215" w14:textId="77777777" w:rsidR="0085675F" w:rsidRPr="00AE66A2" w:rsidRDefault="0085675F" w:rsidP="0085675F">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50688" id="_x0000_s1027" type="#_x0000_t202" style="position:absolute;left:0;text-align:left;margin-left:48.9pt;margin-top:11.3pt;width:404.4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">
                <v:textbox>
                  <w:txbxContent>
                    <w:p w14:paraId="33366D18" w14:textId="77777777" w:rsidR="0085675F" w:rsidRPr="00AE66A2" w:rsidRDefault="0085675F" w:rsidP="0085675F">
                      <w:pPr>
                        <w:jc w:val="center"/>
                        <w:rPr>
                          <w:lang w:val="de-DE"/>
                        </w:rPr>
                      </w:pPr>
                      <w:r w:rsidRPr="00AE66A2">
                        <w:rPr>
                          <w:strike/>
                          <w:highlight w:val="lightGray"/>
                          <w:lang w:val="de-DE"/>
                        </w:rPr>
                        <w:t>Durchgestrichener</w:t>
                      </w:r>
                      <w:r w:rsidRPr="00AE66A2">
                        <w:rPr>
                          <w:highlight w:val="lightGray"/>
                          <w:lang w:val="de-DE"/>
                        </w:rPr>
                        <w:t xml:space="preserve"> hervorgehobener</w:t>
                      </w:r>
                      <w:r w:rsidRPr="00AE66A2">
                        <w:rPr>
                          <w:lang w:val="de-DE"/>
                        </w:rPr>
                        <w:t xml:space="preserve"> Wortlaut gibt die Streichung aus dem Wortlaut und </w:t>
                      </w:r>
                      <w:r w:rsidRPr="00AE66A2">
                        <w:rPr>
                          <w:highlight w:val="lightGray"/>
                          <w:u w:val="single"/>
                          <w:lang w:val="de-DE"/>
                        </w:rPr>
                        <w:t>unterstrichener</w:t>
                      </w:r>
                      <w:r w:rsidRPr="00AE66A2">
                        <w:rPr>
                          <w:highlight w:val="lightGray"/>
                          <w:lang w:val="de-DE"/>
                        </w:rPr>
                        <w:t xml:space="preserve"> hervorgehobener</w:t>
                      </w:r>
                      <w:r w:rsidRPr="00AE66A2">
                        <w:rPr>
                          <w:lang w:val="de-DE"/>
                        </w:rPr>
                        <w:t xml:space="preserve"> Wortlaut gibt die Einfügung in den Wortlaut</w:t>
                      </w:r>
                      <w:r>
                        <w:rPr>
                          <w:lang w:val="de-DE"/>
                        </w:rPr>
                        <w:t xml:space="preserve"> an.</w:t>
                      </w:r>
                    </w:p>
                    <w:p w14:paraId="4A03F215" w14:textId="77777777" w:rsidR="0085675F" w:rsidRPr="00AE66A2" w:rsidRDefault="0085675F" w:rsidP="0085675F">
                      <w:pPr>
                        <w:rPr>
                          <w:lang w:val="de-DE"/>
                        </w:rPr>
                      </w:pPr>
                    </w:p>
                  </w:txbxContent>
                </v:textbox>
              </v:shape>
            </w:pict>
          </mc:Fallback>
        </mc:AlternateContent>
      </w:r>
    </w:p>
    <w:p w14:paraId="621EF664" w14:textId="77777777" w:rsidR="0085675F" w:rsidRPr="004F58B9" w:rsidRDefault="0085675F" w:rsidP="0085675F">
      <w:pPr>
        <w:rPr>
          <w:lang w:val="de-DE"/>
        </w:rPr>
      </w:pPr>
    </w:p>
    <w:p w14:paraId="58DF4C4B" w14:textId="77777777" w:rsidR="0085675F" w:rsidRPr="004F58B9" w:rsidRDefault="0085675F" w:rsidP="0085675F">
      <w:pPr>
        <w:rPr>
          <w:lang w:val="de-DE"/>
        </w:rPr>
      </w:pPr>
    </w:p>
    <w:p w14:paraId="097EBDA7" w14:textId="77777777" w:rsidR="0085675F" w:rsidRPr="004F58B9" w:rsidRDefault="0085675F" w:rsidP="0085675F">
      <w:pPr>
        <w:rPr>
          <w:lang w:val="de-DE"/>
        </w:rPr>
      </w:pPr>
    </w:p>
    <w:p w14:paraId="5E3E726D" w14:textId="77777777" w:rsidR="0085675F" w:rsidRPr="004F58B9" w:rsidRDefault="0085675F" w:rsidP="0085675F">
      <w:pPr>
        <w:rPr>
          <w:lang w:val="de-DE"/>
        </w:rPr>
      </w:pPr>
    </w:p>
    <w:p w14:paraId="1CB8B9BC" w14:textId="77777777" w:rsidR="0085675F" w:rsidRPr="004F58B9" w:rsidRDefault="0085675F" w:rsidP="0085675F">
      <w:pPr>
        <w:rPr>
          <w:lang w:val="de-DE"/>
        </w:rPr>
      </w:pPr>
    </w:p>
    <w:p w14:paraId="75BA179E" w14:textId="77777777" w:rsidR="0085675F" w:rsidRPr="004F58B9" w:rsidRDefault="0085675F" w:rsidP="0085675F">
      <w:pPr>
        <w:keepNext/>
        <w:rPr>
          <w:caps/>
          <w:lang w:val="de-DE"/>
        </w:rPr>
      </w:pPr>
    </w:p>
    <w:p w14:paraId="7F28FCAF" w14:textId="77777777" w:rsidR="0085675F" w:rsidRPr="004F58B9" w:rsidRDefault="0085675F" w:rsidP="0085675F">
      <w:pPr>
        <w:keepNext/>
        <w:rPr>
          <w:u w:val="single"/>
          <w:lang w:val="de-DE"/>
        </w:rPr>
      </w:pPr>
      <w:r w:rsidRPr="004F58B9">
        <w:rPr>
          <w:u w:val="single"/>
          <w:lang w:val="de-DE"/>
        </w:rPr>
        <w:t>DUS-Prüfung an Mischproben</w:t>
      </w:r>
    </w:p>
    <w:p w14:paraId="6272C22E" w14:textId="77777777" w:rsidR="0085675F" w:rsidRPr="004F58B9" w:rsidRDefault="0085675F" w:rsidP="0085675F">
      <w:pPr>
        <w:keepNext/>
        <w:rPr>
          <w:lang w:val="de-DE"/>
        </w:rPr>
      </w:pPr>
    </w:p>
    <w:p w14:paraId="67903B3F" w14:textId="77777777" w:rsidR="0085675F" w:rsidRPr="004F58B9" w:rsidRDefault="0085675F" w:rsidP="0085675F">
      <w:pPr>
        <w:keepNext/>
        <w:rPr>
          <w:i/>
          <w:lang w:val="de-DE"/>
        </w:rPr>
      </w:pPr>
      <w:r w:rsidRPr="004F58B9">
        <w:rPr>
          <w:i/>
          <w:lang w:val="de-DE"/>
        </w:rPr>
        <w:t>Neuer Abschnitt 12: Prüfung von Merkmalen aufgrund von Mischproben</w:t>
      </w:r>
    </w:p>
    <w:p w14:paraId="233DC63E" w14:textId="77777777" w:rsidR="0085675F" w:rsidRPr="004F58B9" w:rsidRDefault="0085675F" w:rsidP="0085675F">
      <w:pPr>
        <w:keepNext/>
        <w:rPr>
          <w:lang w:val="de-DE"/>
        </w:rPr>
      </w:pPr>
    </w:p>
    <w:p w14:paraId="13EAF0A6" w14:textId="77777777" w:rsidR="0085675F" w:rsidRPr="004F58B9" w:rsidRDefault="0085675F" w:rsidP="0085675F">
      <w:pPr>
        <w:keepNext/>
        <w:rPr>
          <w:lang w:val="de-DE"/>
        </w:rPr>
      </w:pPr>
      <w:r w:rsidRPr="004F58B9">
        <w:rPr>
          <w:lang w:val="de-DE"/>
        </w:rPr>
        <w:t>Auf seiner dreiundfünfzigsten Tagung</w:t>
      </w:r>
      <w:r w:rsidRPr="004F58B9">
        <w:rPr>
          <w:vertAlign w:val="superscript"/>
          <w:lang w:val="de-DE"/>
        </w:rPr>
        <w:fldChar w:fldCharType="begin"/>
      </w:r>
      <w:r w:rsidRPr="004F58B9">
        <w:rPr>
          <w:vertAlign w:val="superscript"/>
          <w:lang w:val="de-DE"/>
        </w:rPr>
        <w:instrText xml:space="preserve"> NOTEREF _Ref13509596 \h  \* MERGEFORMAT </w:instrText>
      </w:r>
      <w:r w:rsidRPr="004F58B9">
        <w:rPr>
          <w:vertAlign w:val="superscript"/>
          <w:lang w:val="de-DE"/>
        </w:rPr>
      </w:r>
      <w:r w:rsidRPr="004F58B9">
        <w:rPr>
          <w:vertAlign w:val="superscript"/>
          <w:lang w:val="de-DE"/>
        </w:rPr>
        <w:fldChar w:fldCharType="separate"/>
      </w:r>
      <w:r w:rsidRPr="004F58B9">
        <w:rPr>
          <w:vertAlign w:val="superscript"/>
          <w:lang w:val="de-DE"/>
        </w:rPr>
        <w:t>1</w:t>
      </w:r>
      <w:r w:rsidRPr="004F58B9">
        <w:rPr>
          <w:lang w:val="de-DE"/>
        </w:rPr>
        <w:fldChar w:fldCharType="end"/>
      </w:r>
      <w:r w:rsidRPr="004F58B9">
        <w:rPr>
          <w:lang w:val="de-DE"/>
        </w:rPr>
        <w:t xml:space="preserve"> vereinbarte der TC eine Liste von Kriterien als Grundlage für die Erarbeitung einer Anleitung zur Aufnahme in eine künftige Überarbeitung von Dokument TGP/8 wie folgt (vergleiche Dokument TC/53/31 „Bericht“, Absätze 113 bis 116):</w:t>
      </w:r>
    </w:p>
    <w:p w14:paraId="371EC5A8" w14:textId="77777777" w:rsidR="0085675F" w:rsidRPr="004F58B9" w:rsidRDefault="0085675F" w:rsidP="0085675F">
      <w:pPr>
        <w:keepNext/>
        <w:rPr>
          <w:lang w:val="de-DE"/>
        </w:rPr>
      </w:pPr>
    </w:p>
    <w:p w14:paraId="32917E19" w14:textId="77777777" w:rsidR="0085675F" w:rsidRPr="004F58B9" w:rsidRDefault="0085675F" w:rsidP="0085675F">
      <w:pPr>
        <w:keepNext/>
        <w:ind w:left="567" w:right="567"/>
        <w:rPr>
          <w:b/>
          <w:sz w:val="18"/>
          <w:highlight w:val="lightGray"/>
          <w:u w:val="single"/>
          <w:lang w:val="de-DE"/>
        </w:rPr>
      </w:pPr>
      <w:r w:rsidRPr="004F58B9">
        <w:rPr>
          <w:b/>
          <w:sz w:val="18"/>
          <w:highlight w:val="lightGray"/>
          <w:u w:val="single"/>
          <w:lang w:val="de-DE"/>
        </w:rPr>
        <w:t>12.</w:t>
      </w:r>
      <w:r w:rsidRPr="004F58B9">
        <w:rPr>
          <w:b/>
          <w:sz w:val="18"/>
          <w:highlight w:val="lightGray"/>
          <w:u w:val="single"/>
          <w:lang w:val="de-DE"/>
        </w:rPr>
        <w:tab/>
        <w:t>PRÜFUNG VON MERKMALEN AUFGRUND VON MISCHPROBEN</w:t>
      </w:r>
    </w:p>
    <w:p w14:paraId="129F442D" w14:textId="77777777" w:rsidR="0085675F" w:rsidRPr="004F58B9" w:rsidRDefault="0085675F" w:rsidP="0085675F">
      <w:pPr>
        <w:keepNext/>
        <w:ind w:left="567" w:right="567"/>
        <w:rPr>
          <w:sz w:val="18"/>
          <w:highlight w:val="lightGray"/>
          <w:u w:val="single"/>
          <w:lang w:val="de-DE"/>
        </w:rPr>
      </w:pPr>
    </w:p>
    <w:p w14:paraId="03072394" w14:textId="77777777" w:rsidR="0085675F" w:rsidRPr="004F58B9" w:rsidRDefault="0085675F" w:rsidP="0085675F">
      <w:pPr>
        <w:keepNext/>
        <w:ind w:left="567" w:right="567"/>
        <w:rPr>
          <w:sz w:val="18"/>
          <w:u w:val="single"/>
          <w:lang w:val="de-DE"/>
        </w:rPr>
      </w:pPr>
      <w:r w:rsidRPr="004F58B9">
        <w:rPr>
          <w:sz w:val="18"/>
          <w:highlight w:val="lightGray"/>
          <w:u w:val="single"/>
          <w:lang w:val="de-DE"/>
        </w:rPr>
        <w:t>Die folgenden Kriterien sollten bei der Prüfung von Merkmalen aufgrund von Mischproben erfasst werden:</w:t>
      </w:r>
    </w:p>
    <w:p w14:paraId="43ECA534" w14:textId="77777777" w:rsidR="0085675F" w:rsidRPr="004F58B9" w:rsidRDefault="0085675F" w:rsidP="0085675F">
      <w:pPr>
        <w:keepNext/>
        <w:ind w:left="567" w:right="567"/>
        <w:rPr>
          <w:sz w:val="18"/>
          <w:highlight w:val="lightGray"/>
          <w:lang w:val="de-DE"/>
        </w:rPr>
      </w:pPr>
    </w:p>
    <w:p w14:paraId="688A9DD2" w14:textId="77777777" w:rsidR="0085675F" w:rsidRPr="004F58B9" w:rsidRDefault="0085675F" w:rsidP="0085675F">
      <w:pPr>
        <w:numPr>
          <w:ilvl w:val="0"/>
          <w:numId w:val="15"/>
        </w:numPr>
        <w:ind w:left="1134" w:right="567" w:hanging="567"/>
        <w:rPr>
          <w:sz w:val="18"/>
          <w:highlight w:val="lightGray"/>
          <w:u w:val="single"/>
          <w:lang w:val="de-DE"/>
        </w:rPr>
      </w:pPr>
      <w:r w:rsidRPr="004F58B9">
        <w:rPr>
          <w:sz w:val="18"/>
          <w:highlight w:val="lightGray"/>
          <w:u w:val="single"/>
          <w:lang w:val="de-DE"/>
        </w:rPr>
        <w:t>„Das Merkmal sollte die Anforderungen an ein Merkmal erfüllen, wie in der „Allgemeinen Einführung zur Prüfung auf Unterscheidbarkeit, Homogenität und Beständigkeit und zur Erstellung harmonisierter Beschreibungen von neuen Pflanzensorten“ dargelegt (vergleiche Dokument TG/1/3, Abschnitt 4.2.1);</w:t>
      </w:r>
    </w:p>
    <w:p w14:paraId="28D581A5" w14:textId="77777777" w:rsidR="0085675F" w:rsidRPr="004F58B9" w:rsidRDefault="0085675F" w:rsidP="0085675F">
      <w:pPr>
        <w:ind w:left="1134" w:right="567" w:hanging="567"/>
        <w:rPr>
          <w:sz w:val="18"/>
          <w:highlight w:val="lightGray"/>
          <w:u w:val="single"/>
          <w:lang w:val="de-DE"/>
        </w:rPr>
      </w:pPr>
    </w:p>
    <w:p w14:paraId="21DB5030" w14:textId="77777777" w:rsidR="0085675F" w:rsidRPr="004F58B9" w:rsidRDefault="0085675F" w:rsidP="0085675F">
      <w:pPr>
        <w:numPr>
          <w:ilvl w:val="0"/>
          <w:numId w:val="15"/>
        </w:numPr>
        <w:ind w:left="1134" w:right="567" w:hanging="567"/>
        <w:rPr>
          <w:sz w:val="18"/>
          <w:highlight w:val="lightGray"/>
          <w:u w:val="single"/>
          <w:lang w:val="de-DE"/>
        </w:rPr>
      </w:pPr>
      <w:r w:rsidRPr="004F58B9">
        <w:rPr>
          <w:sz w:val="18"/>
          <w:highlight w:val="lightGray"/>
          <w:u w:val="single"/>
          <w:lang w:val="de-DE"/>
        </w:rPr>
        <w:t>„Es sollten Kenntnisse über die genetische Kontrolle des Merkmals vorliegen;</w:t>
      </w:r>
    </w:p>
    <w:p w14:paraId="75A01295" w14:textId="77777777" w:rsidR="0085675F" w:rsidRPr="004F58B9" w:rsidRDefault="0085675F" w:rsidP="0085675F">
      <w:pPr>
        <w:ind w:left="1134" w:right="567" w:hanging="567"/>
        <w:rPr>
          <w:iCs/>
          <w:sz w:val="18"/>
          <w:highlight w:val="lightGray"/>
          <w:u w:val="single"/>
          <w:lang w:val="de-DE"/>
        </w:rPr>
      </w:pPr>
    </w:p>
    <w:p w14:paraId="18F5D378" w14:textId="77777777" w:rsidR="0085675F" w:rsidRPr="004F58B9" w:rsidRDefault="0085675F" w:rsidP="0085675F">
      <w:pPr>
        <w:numPr>
          <w:ilvl w:val="0"/>
          <w:numId w:val="15"/>
        </w:numPr>
        <w:ind w:left="1134" w:right="567" w:hanging="567"/>
        <w:rPr>
          <w:iCs/>
          <w:sz w:val="18"/>
          <w:highlight w:val="lightGray"/>
          <w:u w:val="single"/>
          <w:lang w:val="de-DE"/>
        </w:rPr>
      </w:pPr>
      <w:r w:rsidRPr="004F58B9">
        <w:rPr>
          <w:iCs/>
          <w:sz w:val="18"/>
          <w:highlight w:val="lightGray"/>
          <w:u w:val="single"/>
          <w:lang w:val="de-DE"/>
        </w:rPr>
        <w:t xml:space="preserve">„Die Eignung des Merkmals sollte zuerst durch eine Prüfung der Homogenität an Einzelpflanzen validiert werden; </w:t>
      </w:r>
    </w:p>
    <w:p w14:paraId="29BE6774" w14:textId="77777777" w:rsidR="0085675F" w:rsidRPr="004F58B9" w:rsidRDefault="0085675F" w:rsidP="0085675F">
      <w:pPr>
        <w:ind w:left="1134" w:right="567" w:hanging="567"/>
        <w:rPr>
          <w:iCs/>
          <w:sz w:val="18"/>
          <w:highlight w:val="lightGray"/>
          <w:u w:val="single"/>
          <w:lang w:val="de-DE"/>
        </w:rPr>
      </w:pPr>
    </w:p>
    <w:p w14:paraId="0893A436" w14:textId="77777777" w:rsidR="0085675F" w:rsidRPr="004F58B9" w:rsidRDefault="0085675F" w:rsidP="0085675F">
      <w:pPr>
        <w:numPr>
          <w:ilvl w:val="0"/>
          <w:numId w:val="15"/>
        </w:numPr>
        <w:ind w:left="1134" w:right="567" w:hanging="567"/>
        <w:rPr>
          <w:iCs/>
          <w:sz w:val="18"/>
          <w:highlight w:val="lightGray"/>
          <w:u w:val="single"/>
          <w:lang w:val="de-DE"/>
        </w:rPr>
      </w:pPr>
      <w:r w:rsidRPr="004F58B9">
        <w:rPr>
          <w:iCs/>
          <w:sz w:val="18"/>
          <w:highlight w:val="lightGray"/>
          <w:u w:val="single"/>
          <w:lang w:val="de-DE"/>
        </w:rPr>
        <w:t>„Informationen zur Variation zwischen Einzelpflanzen und Unterschieden zwischen den Wachstumsperioden sollten vorgelegt werden (Daten aus Routinemessungen des Merkmals aus verschiedenen Jahren);</w:t>
      </w:r>
    </w:p>
    <w:p w14:paraId="230F61A5" w14:textId="77777777" w:rsidR="0085675F" w:rsidRPr="004F58B9" w:rsidRDefault="0085675F" w:rsidP="0085675F">
      <w:pPr>
        <w:ind w:left="1134" w:right="567" w:hanging="567"/>
        <w:rPr>
          <w:iCs/>
          <w:sz w:val="18"/>
          <w:highlight w:val="lightGray"/>
          <w:u w:val="single"/>
          <w:lang w:val="de-DE"/>
        </w:rPr>
      </w:pPr>
    </w:p>
    <w:p w14:paraId="2021A8FF" w14:textId="77777777" w:rsidR="0085675F" w:rsidRPr="004F58B9" w:rsidRDefault="0085675F" w:rsidP="0085675F">
      <w:pPr>
        <w:numPr>
          <w:ilvl w:val="0"/>
          <w:numId w:val="15"/>
        </w:numPr>
        <w:ind w:left="1134" w:right="567" w:hanging="567"/>
        <w:rPr>
          <w:sz w:val="18"/>
          <w:highlight w:val="lightGray"/>
          <w:u w:val="single"/>
          <w:lang w:val="de-DE"/>
        </w:rPr>
      </w:pPr>
      <w:r w:rsidRPr="004F58B9">
        <w:rPr>
          <w:iCs/>
          <w:sz w:val="18"/>
          <w:highlight w:val="lightGray"/>
          <w:u w:val="single"/>
          <w:lang w:val="de-DE"/>
        </w:rPr>
        <w:t>„</w:t>
      </w:r>
      <w:r w:rsidRPr="004F58B9">
        <w:rPr>
          <w:sz w:val="18"/>
          <w:highlight w:val="lightGray"/>
          <w:u w:val="single"/>
          <w:lang w:val="de-DE"/>
        </w:rPr>
        <w:t>Eine ausführliche Beschreibung des Prüfungsverfahrens sollte bereitgestellt werden;</w:t>
      </w:r>
    </w:p>
    <w:p w14:paraId="465CFF00" w14:textId="77777777" w:rsidR="0085675F" w:rsidRPr="004F58B9" w:rsidRDefault="0085675F" w:rsidP="0085675F">
      <w:pPr>
        <w:ind w:left="1134" w:right="567" w:hanging="567"/>
        <w:rPr>
          <w:sz w:val="18"/>
          <w:highlight w:val="lightGray"/>
          <w:u w:val="single"/>
          <w:lang w:val="de-DE"/>
        </w:rPr>
      </w:pPr>
    </w:p>
    <w:p w14:paraId="78AF7DF6" w14:textId="77777777" w:rsidR="0085675F" w:rsidRPr="004F58B9" w:rsidRDefault="0085675F" w:rsidP="0085675F">
      <w:pPr>
        <w:numPr>
          <w:ilvl w:val="0"/>
          <w:numId w:val="15"/>
        </w:numPr>
        <w:ind w:left="1134" w:right="567" w:hanging="567"/>
        <w:rPr>
          <w:sz w:val="18"/>
          <w:highlight w:val="lightGray"/>
          <w:u w:val="single"/>
          <w:lang w:val="de-DE"/>
        </w:rPr>
      </w:pPr>
      <w:r w:rsidRPr="004F58B9">
        <w:rPr>
          <w:sz w:val="18"/>
          <w:highlight w:val="lightGray"/>
          <w:u w:val="single"/>
          <w:lang w:val="de-DE"/>
        </w:rPr>
        <w:t>„Ausprägungsstufen sollten auf vorhandener Variation zwischen Sorten unter Berücksichtigung des Umwelteinflusses basieren.“</w:t>
      </w:r>
    </w:p>
    <w:p w14:paraId="7F8033D5" w14:textId="77777777" w:rsidR="0085675F" w:rsidRPr="004F58B9" w:rsidRDefault="0085675F" w:rsidP="0085675F">
      <w:pPr>
        <w:rPr>
          <w:u w:val="single"/>
          <w:lang w:val="de-DE"/>
        </w:rPr>
      </w:pPr>
    </w:p>
    <w:p w14:paraId="7451811D" w14:textId="77777777" w:rsidR="0085675F" w:rsidRPr="004F58B9" w:rsidRDefault="0085675F" w:rsidP="0085675F">
      <w:pPr>
        <w:rPr>
          <w:u w:val="single"/>
          <w:lang w:val="de-DE"/>
        </w:rPr>
      </w:pPr>
    </w:p>
    <w:p w14:paraId="75D336C9" w14:textId="77777777" w:rsidR="0085675F" w:rsidRPr="004F58B9" w:rsidRDefault="0085675F" w:rsidP="0085675F">
      <w:pPr>
        <w:keepNext/>
        <w:rPr>
          <w:i/>
          <w:lang w:val="de-DE"/>
        </w:rPr>
      </w:pPr>
      <w:r w:rsidRPr="004F58B9">
        <w:rPr>
          <w:i/>
          <w:lang w:val="de-DE"/>
        </w:rPr>
        <w:t>Methode für mehr als eine einzige Prüfung (Prüfungsjahr)</w:t>
      </w:r>
    </w:p>
    <w:p w14:paraId="42E9A399" w14:textId="77777777" w:rsidR="0085675F" w:rsidRPr="004F58B9" w:rsidRDefault="0085675F" w:rsidP="0085675F">
      <w:pPr>
        <w:keepNext/>
        <w:rPr>
          <w:lang w:val="de-DE"/>
        </w:rPr>
      </w:pPr>
    </w:p>
    <w:p w14:paraId="1835F1B0" w14:textId="77777777" w:rsidR="0085675F" w:rsidRPr="004F58B9" w:rsidRDefault="0085675F" w:rsidP="0085675F">
      <w:pPr>
        <w:rPr>
          <w:lang w:val="de-DE"/>
        </w:rPr>
      </w:pPr>
      <w:r w:rsidRPr="004F58B9">
        <w:rPr>
          <w:lang w:val="de-DE"/>
        </w:rPr>
        <w:t>Der TC nahm auf seiner vierundfünfzigsten Tagung</w:t>
      </w:r>
      <w:r w:rsidRPr="004F58B9">
        <w:rPr>
          <w:vertAlign w:val="superscript"/>
          <w:lang w:val="de-DE"/>
        </w:rPr>
        <w:fldChar w:fldCharType="begin"/>
      </w:r>
      <w:r w:rsidRPr="004F58B9">
        <w:rPr>
          <w:vertAlign w:val="superscript"/>
          <w:lang w:val="de-DE"/>
        </w:rPr>
        <w:instrText xml:space="preserve"> NOTEREF _Ref13509615 \h  \* MERGEFORMAT </w:instrText>
      </w:r>
      <w:r w:rsidRPr="004F58B9">
        <w:rPr>
          <w:vertAlign w:val="superscript"/>
          <w:lang w:val="de-DE"/>
        </w:rPr>
      </w:r>
      <w:r w:rsidRPr="004F58B9">
        <w:rPr>
          <w:vertAlign w:val="superscript"/>
          <w:lang w:val="de-DE"/>
        </w:rPr>
        <w:fldChar w:fldCharType="separate"/>
      </w:r>
      <w:r w:rsidRPr="004F58B9">
        <w:rPr>
          <w:vertAlign w:val="superscript"/>
          <w:lang w:val="de-DE"/>
        </w:rPr>
        <w:t>2</w:t>
      </w:r>
      <w:r w:rsidRPr="004F58B9">
        <w:rPr>
          <w:vertAlign w:val="superscript"/>
          <w:lang w:val="de-DE"/>
        </w:rPr>
        <w:fldChar w:fldCharType="end"/>
      </w:r>
      <w:r w:rsidRPr="004F58B9">
        <w:rPr>
          <w:lang w:val="de-DE"/>
        </w:rPr>
        <w:t xml:space="preserve"> zur Kenntnis, dass eine Anleitung zu „Prüfung von Merkmalen aufgrund von Mischproben“ für Dokument TGP/10 erarbeitet wurde, und vereinbarte, dass die derzeitige Anleitung in Dokument TGP/8/2: Teil II, Abschnitt 8: Unterabschnitt 8.1.7 durch einen Querverweis auf die neue Anleitung zu „Prüfung der Homogenität anhand von Abweichern aufgrund von mehr als einer Wachstumsperiode oder aufgrund von Unterproben“ ersetzt werden sollte, der in Dokument TGP/10 „Prüfung der Homogenität“ aufgenommen werden soll: </w:t>
      </w:r>
    </w:p>
    <w:p w14:paraId="68859CE4" w14:textId="77777777" w:rsidR="0085675F" w:rsidRPr="004F58B9" w:rsidRDefault="0085675F" w:rsidP="0085675F">
      <w:pPr>
        <w:keepNext/>
        <w:rPr>
          <w:lang w:val="de-DE"/>
        </w:rPr>
      </w:pPr>
    </w:p>
    <w:p w14:paraId="68E0BA41" w14:textId="77777777" w:rsidR="0085675F" w:rsidRPr="004F58B9" w:rsidRDefault="0085675F" w:rsidP="0085675F">
      <w:pPr>
        <w:keepNext/>
        <w:rPr>
          <w:sz w:val="18"/>
          <w:lang w:val="de-DE"/>
        </w:rPr>
      </w:pPr>
      <w:r w:rsidRPr="004F58B9">
        <w:rPr>
          <w:lang w:val="de-DE"/>
        </w:rPr>
        <w:tab/>
      </w:r>
      <w:r w:rsidRPr="004F58B9">
        <w:rPr>
          <w:sz w:val="18"/>
          <w:lang w:val="de-DE"/>
        </w:rPr>
        <w:t>8.1.7</w:t>
      </w:r>
      <w:r w:rsidRPr="004F58B9">
        <w:rPr>
          <w:sz w:val="18"/>
          <w:lang w:val="de-DE"/>
        </w:rPr>
        <w:tab/>
        <w:t xml:space="preserve">  Methode für mehr als eine einzige Prüfung (Prüfungsjahr)</w:t>
      </w:r>
    </w:p>
    <w:p w14:paraId="1056513E" w14:textId="77777777" w:rsidR="0085675F" w:rsidRPr="004F58B9" w:rsidRDefault="0085675F" w:rsidP="0085675F">
      <w:pPr>
        <w:keepNext/>
        <w:tabs>
          <w:tab w:val="left" w:pos="1276"/>
        </w:tabs>
        <w:ind w:left="567" w:right="567"/>
        <w:rPr>
          <w:sz w:val="18"/>
          <w:lang w:val="de-DE"/>
        </w:rPr>
      </w:pPr>
    </w:p>
    <w:p w14:paraId="5A777424" w14:textId="77777777" w:rsidR="0085675F" w:rsidRPr="004F58B9" w:rsidRDefault="0085675F" w:rsidP="0085675F">
      <w:pPr>
        <w:keepNext/>
        <w:tabs>
          <w:tab w:val="left" w:pos="1276"/>
        </w:tabs>
        <w:ind w:left="567" w:right="567"/>
        <w:rPr>
          <w:sz w:val="18"/>
          <w:u w:val="single"/>
          <w:lang w:val="de-DE"/>
        </w:rPr>
      </w:pPr>
      <w:r w:rsidRPr="004F58B9">
        <w:rPr>
          <w:sz w:val="18"/>
          <w:highlight w:val="lightGray"/>
          <w:u w:val="single"/>
          <w:lang w:val="de-DE"/>
        </w:rPr>
        <w:t>8.1.7.1</w:t>
      </w:r>
      <w:r w:rsidRPr="004F58B9">
        <w:rPr>
          <w:sz w:val="18"/>
          <w:highlight w:val="lightGray"/>
          <w:u w:val="single"/>
          <w:lang w:val="de-DE"/>
        </w:rPr>
        <w:tab/>
        <w:t>Anleitung zur Prüfung der Homogenität anhand von Abweichern aufgrund von mehr als einer Wachstumsperiode und aufgrund von Unterproben in einer einzigen Prüfung / einem einzigen Versuch ist in Dokument TGP/10 „Prüfung der Homogenität“ dargelegt.</w:t>
      </w:r>
    </w:p>
    <w:p w14:paraId="33AF60E5" w14:textId="77777777" w:rsidR="0085675F" w:rsidRPr="004F58B9" w:rsidRDefault="0085675F" w:rsidP="0085675F">
      <w:pPr>
        <w:keepNext/>
        <w:rPr>
          <w:lang w:val="de-DE"/>
        </w:rPr>
      </w:pPr>
    </w:p>
    <w:p w14:paraId="11E93B98" w14:textId="77777777" w:rsidR="00B964D9" w:rsidRPr="00652E2A" w:rsidRDefault="00B964D9" w:rsidP="00273B07">
      <w:pPr>
        <w:rPr>
          <w:lang w:val="de-DE"/>
        </w:rPr>
      </w:pPr>
    </w:p>
    <w:p w14:paraId="3BA00186" w14:textId="77777777" w:rsidR="00B964D9" w:rsidRPr="00652E2A" w:rsidRDefault="00B964D9" w:rsidP="00273B07">
      <w:pPr>
        <w:rPr>
          <w:lang w:val="de-DE"/>
        </w:rPr>
      </w:pPr>
    </w:p>
    <w:p w14:paraId="04673A37" w14:textId="77777777" w:rsidR="00B964D9" w:rsidRPr="00652E2A" w:rsidRDefault="00B964D9" w:rsidP="00B964D9">
      <w:pPr>
        <w:jc w:val="right"/>
        <w:rPr>
          <w:lang w:val="de-DE"/>
        </w:rPr>
      </w:pPr>
      <w:r w:rsidRPr="00652E2A">
        <w:rPr>
          <w:lang w:val="de-DE"/>
        </w:rPr>
        <w:t>[Anlage III folgt]</w:t>
      </w:r>
    </w:p>
    <w:p w14:paraId="7D617C8E" w14:textId="77777777" w:rsidR="00273B07" w:rsidRPr="00652E2A" w:rsidRDefault="00273B07" w:rsidP="00273B07">
      <w:pPr>
        <w:rPr>
          <w:lang w:val="de-DE"/>
        </w:rPr>
        <w:sectPr w:rsidR="00273B07" w:rsidRPr="00652E2A" w:rsidSect="00273B07">
          <w:headerReference w:type="first" r:id="rId17"/>
          <w:footnotePr>
            <w:numRestart w:val="eachSect"/>
          </w:footnotePr>
          <w:pgSz w:w="11907" w:h="16840" w:code="9"/>
          <w:pgMar w:top="510" w:right="1134" w:bottom="709" w:left="1134" w:header="510" w:footer="680" w:gutter="0"/>
          <w:pgNumType w:start="1"/>
          <w:cols w:space="720"/>
          <w:titlePg/>
        </w:sectPr>
      </w:pPr>
    </w:p>
    <w:p w14:paraId="3AD8D68F" w14:textId="77777777" w:rsidR="00C96D0A" w:rsidRPr="004F58B9" w:rsidRDefault="00C96D0A" w:rsidP="00C96D0A">
      <w:pPr>
        <w:jc w:val="center"/>
        <w:rPr>
          <w:caps/>
          <w:lang w:val="de-DE"/>
        </w:rPr>
      </w:pPr>
      <w:r w:rsidRPr="004F58B9">
        <w:rPr>
          <w:lang w:val="de-DE"/>
        </w:rPr>
        <w:lastRenderedPageBreak/>
        <w:t>ÜBERARBEITUNGEN VON DOKUMENT</w:t>
      </w:r>
      <w:r w:rsidRPr="004F58B9">
        <w:rPr>
          <w:sz w:val="18"/>
          <w:lang w:val="de-DE"/>
        </w:rPr>
        <w:t xml:space="preserve"> </w:t>
      </w:r>
      <w:r w:rsidRPr="004F58B9">
        <w:rPr>
          <w:caps/>
          <w:lang w:val="de-DE"/>
        </w:rPr>
        <w:t>TGP/10 „</w:t>
      </w:r>
      <w:r w:rsidRPr="004F58B9">
        <w:rPr>
          <w:lang w:val="de-DE"/>
        </w:rPr>
        <w:t>PRÜFUNG DER HOMOGENITÄT</w:t>
      </w:r>
      <w:r w:rsidRPr="004F58B9">
        <w:rPr>
          <w:caps/>
          <w:lang w:val="de-DE"/>
        </w:rPr>
        <w:t xml:space="preserve">“ </w:t>
      </w:r>
    </w:p>
    <w:p w14:paraId="2BABF4B5" w14:textId="77777777" w:rsidR="00C96D0A" w:rsidRPr="004F58B9" w:rsidRDefault="00C96D0A" w:rsidP="00C96D0A">
      <w:pPr>
        <w:jc w:val="center"/>
        <w:rPr>
          <w:lang w:val="de-DE"/>
        </w:rPr>
      </w:pPr>
      <w:r w:rsidRPr="004F58B9">
        <w:rPr>
          <w:lang w:val="de-DE"/>
        </w:rPr>
        <w:t>VEREINBART VOM TECHNISCHEN AUSSCHUSS AUF SEINER VIERUNDFÜNFZIGSTEN TAGUNG</w:t>
      </w:r>
      <w:r w:rsidRPr="004F58B9">
        <w:rPr>
          <w:rStyle w:val="FootnoteReference"/>
          <w:lang w:val="de-DE"/>
        </w:rPr>
        <w:footnoteReference w:id="20"/>
      </w:r>
    </w:p>
    <w:p w14:paraId="7ED7858A" w14:textId="77777777" w:rsidR="00C96D0A" w:rsidRPr="004F58B9" w:rsidRDefault="00C96D0A" w:rsidP="00C96D0A">
      <w:pPr>
        <w:rPr>
          <w:sz w:val="18"/>
          <w:lang w:val="de-DE"/>
        </w:rPr>
      </w:pPr>
    </w:p>
    <w:p w14:paraId="2D2AEB68" w14:textId="77777777" w:rsidR="00C96D0A" w:rsidRPr="004F58B9" w:rsidRDefault="00C96D0A" w:rsidP="00C96D0A">
      <w:pPr>
        <w:rPr>
          <w:sz w:val="18"/>
          <w:lang w:val="de-DE"/>
        </w:rPr>
      </w:pPr>
    </w:p>
    <w:p w14:paraId="6295BA63" w14:textId="77777777" w:rsidR="00C96D0A" w:rsidRPr="004F58B9" w:rsidRDefault="00C96D0A" w:rsidP="00C96D0A">
      <w:pPr>
        <w:rPr>
          <w:sz w:val="18"/>
          <w:u w:val="single"/>
          <w:lang w:val="de-DE"/>
        </w:rPr>
      </w:pPr>
      <w:r w:rsidRPr="004F58B9">
        <w:rPr>
          <w:rFonts w:eastAsia="MS Mincho"/>
          <w:u w:val="single"/>
          <w:lang w:val="de-DE"/>
        </w:rPr>
        <w:t xml:space="preserve">Neuer Abschnitt 4.7: Prüfung der Homogenität anhand von Abweichern aufgrund von mehr als einer Wachstumsperiode </w:t>
      </w:r>
    </w:p>
    <w:p w14:paraId="251C5E5A" w14:textId="77777777" w:rsidR="00C96D0A" w:rsidRPr="004F58B9" w:rsidRDefault="00C96D0A" w:rsidP="00C96D0A">
      <w:pPr>
        <w:rPr>
          <w:lang w:val="de-DE"/>
        </w:rPr>
      </w:pPr>
    </w:p>
    <w:p w14:paraId="4C5C7C3C" w14:textId="77777777" w:rsidR="00C96D0A" w:rsidRPr="004F58B9" w:rsidRDefault="00C96D0A" w:rsidP="00C96D0A">
      <w:pPr>
        <w:rPr>
          <w:szCs w:val="24"/>
          <w:lang w:val="de-DE"/>
        </w:rPr>
      </w:pPr>
      <w:r w:rsidRPr="004F58B9">
        <w:rPr>
          <w:szCs w:val="24"/>
          <w:lang w:val="de-DE"/>
        </w:rPr>
        <w:t>Zwei unabhängige Wachstumsperioden könnten an einem einzigen Prüfungsort in verschiedenen Jahren oder an unterschiedlichen Prüfungsorten im selben Jahr stattfinden gemäß Dokument TGP/8 Teil I, Abschnitte 1.2 und 1.3.</w:t>
      </w:r>
    </w:p>
    <w:p w14:paraId="1316E5F6" w14:textId="77777777" w:rsidR="00C96D0A" w:rsidRPr="004F58B9" w:rsidRDefault="00C96D0A" w:rsidP="00C96D0A">
      <w:pPr>
        <w:rPr>
          <w:szCs w:val="24"/>
          <w:lang w:val="de-DE"/>
        </w:rPr>
      </w:pPr>
    </w:p>
    <w:p w14:paraId="7080D1E0" w14:textId="77777777" w:rsidR="00C96D0A" w:rsidRPr="004F58B9" w:rsidRDefault="00C96D0A" w:rsidP="00C96D0A">
      <w:pPr>
        <w:rPr>
          <w:szCs w:val="24"/>
          <w:lang w:val="de-DE"/>
        </w:rPr>
      </w:pPr>
      <w:r w:rsidRPr="004F58B9">
        <w:rPr>
          <w:szCs w:val="24"/>
          <w:lang w:val="de-DE"/>
        </w:rPr>
        <w:t>Die folgende Anleitung ist nicht für die Prüfung der Homogenität anhand von Abweichern an den gleichen Pflanzen in zwei Wachstumsperioden vorgesehen. Ergebnisse aus Wachstumsperioden unter Verwendung verschiedener Partien von Vermehrungsmaterial sollten nicht kombiniert werden.</w:t>
      </w:r>
    </w:p>
    <w:p w14:paraId="19007178" w14:textId="77777777" w:rsidR="00C96D0A" w:rsidRPr="004F58B9" w:rsidRDefault="00C96D0A" w:rsidP="00C96D0A">
      <w:pPr>
        <w:rPr>
          <w:sz w:val="22"/>
          <w:szCs w:val="24"/>
          <w:lang w:val="de-DE"/>
        </w:rPr>
      </w:pPr>
    </w:p>
    <w:p w14:paraId="410DBC12" w14:textId="77777777" w:rsidR="00C96D0A" w:rsidRPr="004F58B9" w:rsidRDefault="00C96D0A" w:rsidP="00C96D0A">
      <w:pPr>
        <w:ind w:firstLine="567"/>
        <w:rPr>
          <w:i/>
          <w:szCs w:val="24"/>
          <w:lang w:val="de-DE"/>
        </w:rPr>
      </w:pPr>
      <w:r w:rsidRPr="004F58B9">
        <w:rPr>
          <w:i/>
          <w:szCs w:val="24"/>
          <w:lang w:val="de-DE"/>
        </w:rPr>
        <w:t xml:space="preserve">Ansatz 1: Dritte Wachstumsperiode im Fall widersprüchlicher Ergebnisse </w:t>
      </w:r>
    </w:p>
    <w:p w14:paraId="46F4D036" w14:textId="77777777" w:rsidR="00C96D0A" w:rsidRPr="004F58B9" w:rsidRDefault="00C96D0A" w:rsidP="00C96D0A">
      <w:pPr>
        <w:jc w:val="center"/>
        <w:rPr>
          <w:b/>
          <w:szCs w:val="24"/>
          <w:lang w:val="de-DE"/>
        </w:rPr>
      </w:pPr>
    </w:p>
    <w:p w14:paraId="38E48102" w14:textId="77777777" w:rsidR="00C96D0A" w:rsidRPr="004F58B9" w:rsidRDefault="00C96D0A" w:rsidP="00C96D0A">
      <w:pPr>
        <w:rPr>
          <w:rFonts w:eastAsia="SimSun"/>
          <w:szCs w:val="24"/>
          <w:lang w:val="de-DE" w:eastAsia="zh-CN"/>
        </w:rPr>
      </w:pPr>
      <w:r w:rsidRPr="004F58B9">
        <w:rPr>
          <w:rFonts w:eastAsia="SimSun"/>
          <w:szCs w:val="24"/>
          <w:lang w:val="de-DE" w:eastAsia="zh-CN"/>
        </w:rPr>
        <w:t>Eine Sorte wird als homogen angesehen, wenn sie in beiden Wachstumsperioden dem Homogenitätsstandard entspricht.</w:t>
      </w:r>
    </w:p>
    <w:p w14:paraId="3135F7F4" w14:textId="77777777" w:rsidR="00C96D0A" w:rsidRPr="004F58B9" w:rsidRDefault="00C96D0A" w:rsidP="00C96D0A">
      <w:pPr>
        <w:rPr>
          <w:rFonts w:eastAsia="SimSun"/>
          <w:szCs w:val="24"/>
          <w:lang w:val="de-DE" w:eastAsia="zh-CN"/>
        </w:rPr>
      </w:pPr>
    </w:p>
    <w:p w14:paraId="7E761764" w14:textId="77777777" w:rsidR="00C96D0A" w:rsidRPr="004F58B9" w:rsidRDefault="00C96D0A" w:rsidP="00C96D0A">
      <w:pPr>
        <w:rPr>
          <w:rFonts w:eastAsia="SimSun"/>
          <w:szCs w:val="24"/>
          <w:lang w:val="de-DE" w:eastAsia="zh-CN"/>
        </w:rPr>
      </w:pPr>
      <w:r w:rsidRPr="004F58B9">
        <w:rPr>
          <w:rFonts w:eastAsia="SimSun"/>
          <w:szCs w:val="24"/>
          <w:lang w:val="de-DE" w:eastAsia="zh-CN"/>
        </w:rPr>
        <w:t>Eine Sorte wird als nicht homogen angesehen, wenn sie in beiden Wachstumsperioden dem Homogenitätsstandard nicht entspricht.</w:t>
      </w:r>
    </w:p>
    <w:p w14:paraId="136C49AC" w14:textId="77777777" w:rsidR="00C96D0A" w:rsidRPr="004F58B9" w:rsidRDefault="00C96D0A" w:rsidP="00C96D0A">
      <w:pPr>
        <w:rPr>
          <w:rFonts w:eastAsia="SimSun"/>
          <w:szCs w:val="24"/>
          <w:lang w:val="de-DE" w:eastAsia="zh-CN"/>
        </w:rPr>
      </w:pPr>
    </w:p>
    <w:p w14:paraId="3C530627" w14:textId="77777777" w:rsidR="00C96D0A" w:rsidRPr="004F58B9" w:rsidRDefault="00C96D0A" w:rsidP="00C96D0A">
      <w:pPr>
        <w:rPr>
          <w:rFonts w:eastAsia="SimSun"/>
          <w:lang w:val="de-DE" w:eastAsia="zh-CN"/>
        </w:rPr>
      </w:pPr>
      <w:r w:rsidRPr="004F58B9">
        <w:rPr>
          <w:rFonts w:eastAsia="SimSun"/>
          <w:lang w:val="de-DE" w:eastAsia="zh-CN"/>
        </w:rPr>
        <w:t>Entspricht die Sorte am Ende der beiden Wachstumsperioden in einer Wachstumsperiode dem Homogenitätsstandard, in der anderen Wachstumsperiode aber nicht, dann wird die Homogenität in einer dritten Wachstumsperiode geprüft. Entspricht die Sorte in der dritten Wachstumsperiode dem Homogenitätsstandard, so wird die Sorte als homogen angesehen. Entspricht die Sorte in der dritten Wachstumsperiode nicht dem Homogenitätsstandard, so wird die Sorte als nicht homogen angesehen.</w:t>
      </w:r>
    </w:p>
    <w:p w14:paraId="581FE89F" w14:textId="77777777" w:rsidR="00C96D0A" w:rsidRPr="004F58B9" w:rsidRDefault="00C96D0A" w:rsidP="00C96D0A">
      <w:pPr>
        <w:rPr>
          <w:lang w:val="de-DE"/>
        </w:rPr>
      </w:pPr>
    </w:p>
    <w:p w14:paraId="5B2C0F86" w14:textId="77777777" w:rsidR="00C96D0A" w:rsidRPr="004F58B9" w:rsidRDefault="00C96D0A" w:rsidP="00C96D0A">
      <w:pPr>
        <w:rPr>
          <w:lang w:val="de-DE"/>
        </w:rPr>
      </w:pPr>
      <w:r w:rsidRPr="004F58B9">
        <w:rPr>
          <w:lang w:val="de-DE"/>
        </w:rPr>
        <w:t xml:space="preserve">Bei der Bewertung von Ergebnissen, die zwischen den Wachstumsperioden sehr unterschiedlich sind, muss mit größter Sorgfalt verfahren werden, etwa wenn ein Abweichertyp in einer Wachstumsperiode sehr häufig und in einer anderen überhaupt nicht vorkommt. Es ist wichtig, zu erkennen, ob Unterschiede in der Anzahl von Abweichern zwischen Wachstumsperioden durch Umweltursachen oder Unterschiede in der Art der Probennahme bedingt sind. </w:t>
      </w:r>
    </w:p>
    <w:p w14:paraId="445C79DF" w14:textId="77777777" w:rsidR="00C96D0A" w:rsidRPr="004F58B9" w:rsidRDefault="00C96D0A" w:rsidP="00C96D0A">
      <w:pPr>
        <w:rPr>
          <w:lang w:val="de-DE"/>
        </w:rPr>
      </w:pPr>
    </w:p>
    <w:p w14:paraId="2ABC32F5" w14:textId="77777777" w:rsidR="00C96D0A" w:rsidRPr="004F58B9" w:rsidRDefault="00C96D0A" w:rsidP="00C96D0A">
      <w:pPr>
        <w:rPr>
          <w:rFonts w:eastAsia="SimSun"/>
          <w:lang w:val="de-DE" w:eastAsia="zh-CN"/>
        </w:rPr>
      </w:pPr>
      <w:r w:rsidRPr="004F58B9">
        <w:rPr>
          <w:lang w:val="de-DE"/>
        </w:rPr>
        <w:t xml:space="preserve">Zudem kann eine Sorte, falls sie in der ersten Wachstumsperiode einen festgelegten oberen Grenzwert für Abweicher übersteigt, nach einer Wachstumsperiode zurückgewiesen werden. </w:t>
      </w:r>
    </w:p>
    <w:p w14:paraId="10FBBDC5" w14:textId="77777777" w:rsidR="00C96D0A" w:rsidRPr="004F58B9" w:rsidRDefault="00C96D0A" w:rsidP="00C96D0A">
      <w:pPr>
        <w:keepNext/>
        <w:keepLines/>
        <w:rPr>
          <w:rFonts w:eastAsia="SimSun"/>
          <w:szCs w:val="24"/>
          <w:lang w:val="de-DE" w:eastAsia="zh-CN"/>
        </w:rPr>
      </w:pPr>
    </w:p>
    <w:p w14:paraId="24ABDD19" w14:textId="77777777" w:rsidR="00C96D0A" w:rsidRPr="004F58B9" w:rsidRDefault="00C96D0A" w:rsidP="00C96D0A">
      <w:pPr>
        <w:ind w:firstLine="567"/>
        <w:rPr>
          <w:i/>
          <w:szCs w:val="24"/>
          <w:lang w:val="de-DE"/>
        </w:rPr>
      </w:pPr>
      <w:r w:rsidRPr="004F58B9">
        <w:rPr>
          <w:i/>
          <w:szCs w:val="24"/>
          <w:lang w:val="de-DE"/>
        </w:rPr>
        <w:t>Ansatz 2: Kombination der Ergebnisse von zwei Wachstumsperioden im Fall widersprüchlicher Ergebnisse</w:t>
      </w:r>
    </w:p>
    <w:p w14:paraId="704DDA33" w14:textId="77777777" w:rsidR="00C96D0A" w:rsidRPr="004F58B9" w:rsidRDefault="00C96D0A" w:rsidP="00C96D0A">
      <w:pPr>
        <w:keepNext/>
        <w:keepLines/>
        <w:rPr>
          <w:rFonts w:eastAsia="MS Mincho"/>
          <w:lang w:val="de-DE" w:eastAsia="ja-JP"/>
        </w:rPr>
      </w:pPr>
    </w:p>
    <w:p w14:paraId="75B8D9B9" w14:textId="77777777" w:rsidR="00C96D0A" w:rsidRPr="004F58B9" w:rsidRDefault="00C96D0A" w:rsidP="00C96D0A">
      <w:pPr>
        <w:rPr>
          <w:rFonts w:eastAsia="SimSun"/>
          <w:lang w:val="de-DE" w:eastAsia="zh-CN"/>
        </w:rPr>
      </w:pPr>
      <w:r w:rsidRPr="004F58B9">
        <w:rPr>
          <w:rFonts w:eastAsia="SimSun"/>
          <w:lang w:val="de-DE" w:eastAsia="zh-CN"/>
        </w:rPr>
        <w:t>Eine Sorte wird als homogen angesehen, wenn sie in beiden Wachstumsperioden dem Homogenitätsstandard entspricht.</w:t>
      </w:r>
    </w:p>
    <w:p w14:paraId="4F859082" w14:textId="77777777" w:rsidR="00C96D0A" w:rsidRPr="004F58B9" w:rsidRDefault="00C96D0A" w:rsidP="00C96D0A">
      <w:pPr>
        <w:rPr>
          <w:rFonts w:eastAsia="SimSun"/>
          <w:lang w:val="de-DE" w:eastAsia="zh-CN"/>
        </w:rPr>
      </w:pPr>
    </w:p>
    <w:p w14:paraId="5205A045" w14:textId="77777777" w:rsidR="00C96D0A" w:rsidRPr="004F58B9" w:rsidRDefault="00C96D0A" w:rsidP="00C96D0A">
      <w:pPr>
        <w:rPr>
          <w:rFonts w:eastAsia="SimSun"/>
          <w:lang w:val="de-DE" w:eastAsia="zh-CN"/>
        </w:rPr>
      </w:pPr>
      <w:r w:rsidRPr="004F58B9">
        <w:rPr>
          <w:rFonts w:eastAsia="SimSun"/>
          <w:lang w:val="de-DE" w:eastAsia="zh-CN"/>
        </w:rPr>
        <w:t>Eine Sorte wird als nicht homogen angesehen, wenn sie in beiden Wachstumsperioden dem Homogenitätsstandard nicht entspricht.</w:t>
      </w:r>
    </w:p>
    <w:p w14:paraId="3CE25720" w14:textId="77777777" w:rsidR="00C96D0A" w:rsidRPr="004F58B9" w:rsidRDefault="00C96D0A" w:rsidP="00C96D0A">
      <w:pPr>
        <w:rPr>
          <w:rFonts w:eastAsia="SimSun"/>
          <w:lang w:val="de-DE" w:eastAsia="zh-CN"/>
        </w:rPr>
      </w:pPr>
    </w:p>
    <w:p w14:paraId="52353B38" w14:textId="77777777" w:rsidR="00C96D0A" w:rsidRPr="004F58B9" w:rsidRDefault="00C96D0A" w:rsidP="00C96D0A">
      <w:pPr>
        <w:rPr>
          <w:rFonts w:eastAsia="SimSun"/>
          <w:lang w:val="de-DE" w:eastAsia="zh-CN"/>
        </w:rPr>
      </w:pPr>
      <w:r w:rsidRPr="004F58B9">
        <w:rPr>
          <w:rFonts w:eastAsia="SimSun"/>
          <w:lang w:val="de-DE" w:eastAsia="zh-CN"/>
        </w:rPr>
        <w:t>Entspricht die Sorte am Ende der beiden Wachstumsperioden in einer Wachstumsperiode dem Homogenitätsstandard, in der anderen Wachstumsperiode aber nicht, wird eine Sorte als homogen angesehen, wenn die Gesamtanzahl der Abweicher am Ende der beiden Wachstumsperioden die Anzahl der erlaubten Abweicher der Probengröße in den kombinierten Wachstumsperioden 1 und 2 nicht übersteigt.</w:t>
      </w:r>
    </w:p>
    <w:p w14:paraId="5F2DAFF4" w14:textId="77777777" w:rsidR="00C96D0A" w:rsidRPr="004F58B9" w:rsidRDefault="00C96D0A" w:rsidP="00C96D0A">
      <w:pPr>
        <w:rPr>
          <w:rFonts w:eastAsia="SimSun"/>
          <w:lang w:val="de-DE" w:eastAsia="zh-CN"/>
        </w:rPr>
      </w:pPr>
    </w:p>
    <w:p w14:paraId="76C410F5" w14:textId="77777777" w:rsidR="00C96D0A" w:rsidRPr="004F58B9" w:rsidRDefault="00C96D0A" w:rsidP="00C96D0A">
      <w:pPr>
        <w:rPr>
          <w:rFonts w:eastAsia="SimSun"/>
          <w:szCs w:val="24"/>
          <w:lang w:val="de-DE" w:eastAsia="zh-CN"/>
        </w:rPr>
      </w:pPr>
      <w:r w:rsidRPr="004F58B9">
        <w:rPr>
          <w:lang w:val="de-DE"/>
        </w:rPr>
        <w:t xml:space="preserve">Bei der Bewertung von Ergebnissen, die zwischen den Wachstumsperioden sehr unterschiedlich sind, muss mit größter Sorgfalt verfahren werden, etwa wenn ein Abweichertyp in einer Wachstumsperiode sehr häufig und in einer anderen überhaupt nicht vorkommt. Gegebenenfalls sollte eine statistische Prüfung auf Konsistenz durchgeführt werden. Es ist wichtig, zu erkennen, ob Unterschiede in der Anzahl von Abweichern zwischen Wachstumsperioden durch Umweltursachen oder Unterschiede in der Art der Probennahme bedingt sind. </w:t>
      </w:r>
    </w:p>
    <w:p w14:paraId="5ACB87BB" w14:textId="77777777" w:rsidR="00C96D0A" w:rsidRPr="004F58B9" w:rsidRDefault="00C96D0A" w:rsidP="00C96D0A">
      <w:pPr>
        <w:rPr>
          <w:lang w:val="de-DE"/>
        </w:rPr>
      </w:pPr>
    </w:p>
    <w:p w14:paraId="4D22ED2B" w14:textId="77777777" w:rsidR="00C96D0A" w:rsidRPr="004F58B9" w:rsidRDefault="00C96D0A" w:rsidP="00C96D0A">
      <w:pPr>
        <w:rPr>
          <w:rFonts w:eastAsia="SimSun"/>
          <w:szCs w:val="24"/>
          <w:lang w:val="de-DE" w:eastAsia="zh-CN"/>
        </w:rPr>
      </w:pPr>
      <w:r w:rsidRPr="004F58B9">
        <w:rPr>
          <w:rFonts w:eastAsia="SimSun"/>
          <w:szCs w:val="24"/>
          <w:lang w:val="de-DE" w:eastAsia="zh-CN"/>
        </w:rPr>
        <w:t>Zudem kann eine Sorte, falls sie in der ersten Wachstumsperiode einen festgelegten oberen Grenzwert für Abweicher übersteigt, nach einer Wachstumsperiode zurückgewiesen werden.</w:t>
      </w:r>
    </w:p>
    <w:p w14:paraId="4FF17B76" w14:textId="77777777" w:rsidR="00C96D0A" w:rsidRPr="004F58B9" w:rsidRDefault="00C96D0A" w:rsidP="00C96D0A">
      <w:pPr>
        <w:rPr>
          <w:rFonts w:eastAsia="SimSun"/>
          <w:szCs w:val="24"/>
          <w:lang w:val="de-DE" w:eastAsia="zh-CN"/>
        </w:rPr>
      </w:pPr>
    </w:p>
    <w:p w14:paraId="7E1A4CD5" w14:textId="77777777" w:rsidR="00C96D0A" w:rsidRPr="004F58B9" w:rsidRDefault="00C96D0A" w:rsidP="00C96D0A">
      <w:pPr>
        <w:keepNext/>
        <w:ind w:firstLine="567"/>
        <w:rPr>
          <w:bCs/>
          <w:i/>
          <w:lang w:val="de-DE"/>
        </w:rPr>
      </w:pPr>
      <w:r w:rsidRPr="004F58B9">
        <w:rPr>
          <w:bCs/>
          <w:i/>
          <w:lang w:val="de-DE"/>
        </w:rPr>
        <w:t xml:space="preserve">Ansatz 3: Kombination der Ergebnisse von zwei Wachstumsperioden </w:t>
      </w:r>
    </w:p>
    <w:p w14:paraId="520287F4" w14:textId="77777777" w:rsidR="00C96D0A" w:rsidRPr="004F58B9" w:rsidRDefault="00C96D0A" w:rsidP="00C96D0A">
      <w:pPr>
        <w:keepNext/>
        <w:rPr>
          <w:lang w:val="de-DE"/>
        </w:rPr>
      </w:pPr>
    </w:p>
    <w:p w14:paraId="46269027" w14:textId="77777777" w:rsidR="00C96D0A" w:rsidRPr="004F58B9" w:rsidRDefault="00C96D0A" w:rsidP="00C96D0A">
      <w:pPr>
        <w:rPr>
          <w:lang w:val="de-DE"/>
        </w:rPr>
      </w:pPr>
      <w:r w:rsidRPr="004F58B9">
        <w:rPr>
          <w:lang w:val="de-DE"/>
        </w:rPr>
        <w:t>Eine Sorte wird als homogen angesehen, wenn die Gesamtanzahl der Abweicher am Ende der beiden Wachstumsperioden die Anzahl der erlaubten Abweicher der kombinierten Probe nicht übersteigt.</w:t>
      </w:r>
    </w:p>
    <w:p w14:paraId="50751351" w14:textId="77777777" w:rsidR="00C96D0A" w:rsidRPr="004F58B9" w:rsidRDefault="00C96D0A" w:rsidP="00C96D0A">
      <w:pPr>
        <w:rPr>
          <w:lang w:val="de-DE"/>
        </w:rPr>
      </w:pPr>
    </w:p>
    <w:p w14:paraId="3672DA86" w14:textId="77777777" w:rsidR="00C96D0A" w:rsidRPr="004F58B9" w:rsidRDefault="00C96D0A" w:rsidP="00C96D0A">
      <w:pPr>
        <w:rPr>
          <w:lang w:val="de-DE"/>
        </w:rPr>
      </w:pPr>
      <w:r w:rsidRPr="004F58B9">
        <w:rPr>
          <w:lang w:val="de-DE"/>
        </w:rPr>
        <w:t>Eine Sorte wird als nicht homogen angesehen, wenn die Gesamtanzahl der Abweicher am Ende der beiden Wachstumsperioden die Anzahl der erlaubten Abweicher der kombinierten Probe übersteigt.</w:t>
      </w:r>
    </w:p>
    <w:p w14:paraId="6F36272F" w14:textId="77777777" w:rsidR="00C96D0A" w:rsidRPr="004F58B9" w:rsidRDefault="00C96D0A" w:rsidP="00C96D0A">
      <w:pPr>
        <w:rPr>
          <w:lang w:val="de-DE"/>
        </w:rPr>
      </w:pPr>
    </w:p>
    <w:p w14:paraId="0B8A347B" w14:textId="77777777" w:rsidR="00C96D0A" w:rsidRPr="004F58B9" w:rsidRDefault="00C96D0A" w:rsidP="00C96D0A">
      <w:pPr>
        <w:rPr>
          <w:lang w:val="de-DE"/>
        </w:rPr>
      </w:pPr>
      <w:r w:rsidRPr="004F58B9">
        <w:rPr>
          <w:lang w:val="de-DE"/>
        </w:rPr>
        <w:t>Eine Sorte kann nach einer einzigen Wachstumsperiode zurückgewiesen werden, wenn die Anzahl der Abweicher die Anzahl der erlaubten Abweicher für die kombinierte Probe (über zwei Wachstumsperioden) übersteigt .</w:t>
      </w:r>
    </w:p>
    <w:p w14:paraId="500C16A5" w14:textId="77777777" w:rsidR="00C96D0A" w:rsidRPr="004F58B9" w:rsidRDefault="00C96D0A" w:rsidP="00C96D0A">
      <w:pPr>
        <w:rPr>
          <w:lang w:val="de-DE"/>
        </w:rPr>
      </w:pPr>
    </w:p>
    <w:p w14:paraId="7ACD881D" w14:textId="77777777" w:rsidR="00C96D0A" w:rsidRPr="004F58B9" w:rsidRDefault="00C96D0A" w:rsidP="00C96D0A">
      <w:pPr>
        <w:spacing w:after="120"/>
        <w:rPr>
          <w:i/>
          <w:lang w:val="de-DE"/>
        </w:rPr>
      </w:pPr>
      <w:r w:rsidRPr="004F58B9">
        <w:rPr>
          <w:rFonts w:eastAsia="SimSun"/>
          <w:lang w:val="de-DE" w:eastAsia="zh-CN"/>
        </w:rPr>
        <w:t>Bei der Bewertung von Ergebnissen, die zwischen den Wachstumsperioden sehr unterschiedlich sind, muss mit größter Sorgfalt verfahren werden, etwa wenn ein Abweichertyp in einer Wachstumsperiode sehr häufig und in einer anderen überhaupt nicht vorkommt. Gegebenenfalls sollte eine statistische Prüfung auf Konsistenz durchgeführt werden. Es ist wichtig, zu erkennen, ob Unterschiede in der Anzahl von Abweichern zwischen Wachstumsperioden durch Umweltursachen oder Unterschiede in der Art der Probennahme bedingt sind.</w:t>
      </w:r>
      <w:r w:rsidRPr="004F58B9">
        <w:rPr>
          <w:u w:val="single"/>
          <w:lang w:val="de-DE"/>
        </w:rPr>
        <w:t xml:space="preserve"> </w:t>
      </w:r>
    </w:p>
    <w:p w14:paraId="39EBA803" w14:textId="77777777" w:rsidR="00C96D0A" w:rsidRPr="004F58B9" w:rsidRDefault="00C96D0A" w:rsidP="00C96D0A">
      <w:pPr>
        <w:keepNext/>
        <w:keepLines/>
        <w:jc w:val="left"/>
        <w:rPr>
          <w:sz w:val="22"/>
          <w:szCs w:val="24"/>
          <w:lang w:val="de-DE"/>
        </w:rPr>
      </w:pPr>
    </w:p>
    <w:p w14:paraId="20994F16" w14:textId="77777777" w:rsidR="00C96D0A" w:rsidRPr="004F58B9" w:rsidRDefault="00C96D0A" w:rsidP="00C96D0A">
      <w:pPr>
        <w:keepNext/>
        <w:keepLines/>
        <w:ind w:firstLine="567"/>
        <w:jc w:val="left"/>
        <w:rPr>
          <w:i/>
          <w:szCs w:val="24"/>
          <w:lang w:val="de-DE"/>
        </w:rPr>
      </w:pPr>
      <w:r w:rsidRPr="004F58B9">
        <w:rPr>
          <w:i/>
          <w:szCs w:val="24"/>
          <w:lang w:val="de-DE"/>
        </w:rPr>
        <w:t>Beispiel:</w:t>
      </w:r>
    </w:p>
    <w:p w14:paraId="347BCA39" w14:textId="77777777" w:rsidR="00C96D0A" w:rsidRPr="004F58B9" w:rsidRDefault="00C96D0A" w:rsidP="00C96D0A">
      <w:pPr>
        <w:keepNext/>
        <w:keepLines/>
        <w:jc w:val="left"/>
        <w:rPr>
          <w:sz w:val="22"/>
          <w:szCs w:val="24"/>
          <w:lang w:val="de-DE"/>
        </w:rPr>
      </w:pPr>
    </w:p>
    <w:tbl>
      <w:tblPr>
        <w:tblW w:w="8366" w:type="dxa"/>
        <w:tblInd w:w="709" w:type="dxa"/>
        <w:tblLayout w:type="fixed"/>
        <w:tblLook w:val="04A0" w:firstRow="1" w:lastRow="0" w:firstColumn="1" w:lastColumn="0" w:noHBand="0" w:noVBand="1"/>
      </w:tblPr>
      <w:tblGrid>
        <w:gridCol w:w="567"/>
        <w:gridCol w:w="236"/>
        <w:gridCol w:w="756"/>
        <w:gridCol w:w="993"/>
        <w:gridCol w:w="35"/>
        <w:gridCol w:w="977"/>
        <w:gridCol w:w="1050"/>
        <w:gridCol w:w="2190"/>
        <w:gridCol w:w="1562"/>
      </w:tblGrid>
      <w:tr w:rsidR="00C96D0A" w:rsidRPr="004F58B9" w14:paraId="4E6CC838" w14:textId="77777777" w:rsidTr="00004824">
        <w:trPr>
          <w:gridAfter w:val="1"/>
          <w:wAfter w:w="1562" w:type="dxa"/>
          <w:trHeight w:val="255"/>
        </w:trPr>
        <w:tc>
          <w:tcPr>
            <w:tcW w:w="567" w:type="dxa"/>
            <w:tcBorders>
              <w:top w:val="nil"/>
              <w:left w:val="nil"/>
              <w:bottom w:val="nil"/>
            </w:tcBorders>
            <w:shd w:val="clear" w:color="auto" w:fill="auto"/>
            <w:noWrap/>
            <w:vAlign w:val="bottom"/>
          </w:tcPr>
          <w:p w14:paraId="0C09AE46" w14:textId="77777777" w:rsidR="00C96D0A" w:rsidRPr="004F58B9" w:rsidRDefault="00C96D0A" w:rsidP="00004824">
            <w:pPr>
              <w:jc w:val="left"/>
              <w:rPr>
                <w:rFonts w:cs="Arial"/>
                <w:szCs w:val="18"/>
                <w:lang w:val="de-DE"/>
              </w:rPr>
            </w:pPr>
          </w:p>
        </w:tc>
        <w:tc>
          <w:tcPr>
            <w:tcW w:w="6237" w:type="dxa"/>
            <w:gridSpan w:val="7"/>
            <w:tcBorders>
              <w:top w:val="nil"/>
            </w:tcBorders>
            <w:shd w:val="clear" w:color="auto" w:fill="auto"/>
            <w:vAlign w:val="bottom"/>
          </w:tcPr>
          <w:p w14:paraId="6A6F646E" w14:textId="77777777" w:rsidR="00C96D0A" w:rsidRPr="004F58B9" w:rsidRDefault="00C96D0A" w:rsidP="00004824">
            <w:pPr>
              <w:jc w:val="left"/>
              <w:rPr>
                <w:rFonts w:cs="Arial"/>
                <w:szCs w:val="18"/>
                <w:lang w:val="de-DE"/>
              </w:rPr>
            </w:pPr>
            <w:r w:rsidRPr="004F58B9">
              <w:rPr>
                <w:rFonts w:cs="Arial"/>
                <w:szCs w:val="18"/>
                <w:lang w:val="de-DE"/>
              </w:rPr>
              <w:t xml:space="preserve">Populationsstandard = 1% </w:t>
            </w:r>
          </w:p>
        </w:tc>
      </w:tr>
      <w:tr w:rsidR="00C96D0A" w:rsidRPr="004F58B9" w14:paraId="0DF2E6EE" w14:textId="77777777" w:rsidTr="00004824">
        <w:trPr>
          <w:gridAfter w:val="1"/>
          <w:wAfter w:w="1562" w:type="dxa"/>
          <w:trHeight w:val="270"/>
        </w:trPr>
        <w:tc>
          <w:tcPr>
            <w:tcW w:w="567" w:type="dxa"/>
            <w:tcBorders>
              <w:top w:val="nil"/>
              <w:left w:val="nil"/>
              <w:bottom w:val="nil"/>
            </w:tcBorders>
            <w:shd w:val="clear" w:color="auto" w:fill="auto"/>
            <w:noWrap/>
            <w:vAlign w:val="bottom"/>
            <w:hideMark/>
          </w:tcPr>
          <w:p w14:paraId="3E49FAA3" w14:textId="77777777" w:rsidR="00C96D0A" w:rsidRPr="004F58B9" w:rsidRDefault="00C96D0A" w:rsidP="00004824">
            <w:pPr>
              <w:jc w:val="left"/>
              <w:rPr>
                <w:rFonts w:cs="Arial"/>
                <w:szCs w:val="18"/>
                <w:lang w:val="de-DE"/>
              </w:rPr>
            </w:pPr>
          </w:p>
        </w:tc>
        <w:tc>
          <w:tcPr>
            <w:tcW w:w="6237" w:type="dxa"/>
            <w:gridSpan w:val="7"/>
            <w:tcBorders>
              <w:top w:val="nil"/>
              <w:bottom w:val="single" w:sz="4" w:space="0" w:color="auto"/>
            </w:tcBorders>
            <w:shd w:val="clear" w:color="auto" w:fill="auto"/>
            <w:vAlign w:val="bottom"/>
          </w:tcPr>
          <w:p w14:paraId="37212771" w14:textId="77777777" w:rsidR="00C96D0A" w:rsidRPr="004F58B9" w:rsidRDefault="00C96D0A" w:rsidP="00004824">
            <w:pPr>
              <w:jc w:val="left"/>
              <w:rPr>
                <w:rFonts w:cs="Arial"/>
                <w:szCs w:val="18"/>
                <w:lang w:val="de-DE"/>
              </w:rPr>
            </w:pPr>
            <w:r w:rsidRPr="004F58B9">
              <w:rPr>
                <w:rFonts w:cs="Arial"/>
                <w:szCs w:val="18"/>
                <w:lang w:val="de-DE"/>
              </w:rPr>
              <w:t>Akzeptanzwahrscheinlichkeit ≥ 95%</w:t>
            </w:r>
          </w:p>
        </w:tc>
      </w:tr>
      <w:tr w:rsidR="00C96D0A" w:rsidRPr="004F58B9" w14:paraId="0D2BCFCF" w14:textId="77777777" w:rsidTr="00004824">
        <w:trPr>
          <w:gridBefore w:val="1"/>
          <w:gridAfter w:val="1"/>
          <w:wBefore w:w="567" w:type="dxa"/>
          <w:wAfter w:w="1562" w:type="dxa"/>
          <w:trHeight w:val="255"/>
        </w:trPr>
        <w:tc>
          <w:tcPr>
            <w:tcW w:w="6237" w:type="dxa"/>
            <w:gridSpan w:val="7"/>
            <w:tcBorders>
              <w:top w:val="single" w:sz="4" w:space="0" w:color="auto"/>
              <w:left w:val="single" w:sz="4" w:space="0" w:color="auto"/>
              <w:bottom w:val="single" w:sz="6" w:space="0" w:color="auto"/>
              <w:right w:val="single" w:sz="4" w:space="0" w:color="auto"/>
            </w:tcBorders>
            <w:shd w:val="clear" w:color="auto" w:fill="auto"/>
            <w:vAlign w:val="bottom"/>
          </w:tcPr>
          <w:p w14:paraId="3A91F9E0" w14:textId="77777777" w:rsidR="00C96D0A" w:rsidRPr="004F58B9" w:rsidRDefault="00C96D0A" w:rsidP="00004824">
            <w:pPr>
              <w:jc w:val="left"/>
              <w:rPr>
                <w:rFonts w:cs="Arial"/>
                <w:szCs w:val="18"/>
                <w:lang w:val="de-DE"/>
              </w:rPr>
            </w:pPr>
            <w:r w:rsidRPr="004F58B9">
              <w:rPr>
                <w:rFonts w:cs="Arial"/>
                <w:szCs w:val="18"/>
                <w:lang w:val="de-DE"/>
              </w:rPr>
              <w:t>Probengröße in jeder der Wachstumsperioden 1 und 2 = 50</w:t>
            </w:r>
          </w:p>
        </w:tc>
      </w:tr>
      <w:tr w:rsidR="00C96D0A" w:rsidRPr="004F58B9" w14:paraId="179C9D01" w14:textId="77777777" w:rsidTr="00004824">
        <w:trPr>
          <w:gridBefore w:val="1"/>
          <w:gridAfter w:val="1"/>
          <w:wBefore w:w="567" w:type="dxa"/>
          <w:wAfter w:w="1562" w:type="dxa"/>
          <w:trHeight w:val="270"/>
        </w:trPr>
        <w:tc>
          <w:tcPr>
            <w:tcW w:w="6237" w:type="dxa"/>
            <w:gridSpan w:val="7"/>
            <w:tcBorders>
              <w:top w:val="single" w:sz="6" w:space="0" w:color="auto"/>
              <w:left w:val="single" w:sz="4" w:space="0" w:color="auto"/>
              <w:bottom w:val="single" w:sz="4" w:space="0" w:color="auto"/>
              <w:right w:val="single" w:sz="4" w:space="0" w:color="auto"/>
            </w:tcBorders>
            <w:shd w:val="clear" w:color="auto" w:fill="auto"/>
            <w:vAlign w:val="bottom"/>
          </w:tcPr>
          <w:p w14:paraId="64CFEBF9" w14:textId="77777777" w:rsidR="00C96D0A" w:rsidRPr="004F58B9" w:rsidRDefault="00C96D0A" w:rsidP="00004824">
            <w:pPr>
              <w:jc w:val="left"/>
              <w:rPr>
                <w:rFonts w:cs="Arial"/>
                <w:szCs w:val="18"/>
                <w:lang w:val="de-DE"/>
              </w:rPr>
            </w:pPr>
            <w:r w:rsidRPr="004F58B9">
              <w:rPr>
                <w:rFonts w:cs="Arial"/>
                <w:szCs w:val="18"/>
                <w:lang w:val="de-DE"/>
              </w:rPr>
              <w:t>Höchstzahl an Abweichern = 2</w:t>
            </w:r>
          </w:p>
        </w:tc>
      </w:tr>
      <w:tr w:rsidR="00C96D0A" w:rsidRPr="004F58B9" w14:paraId="27243ECB" w14:textId="77777777" w:rsidTr="00004824">
        <w:trPr>
          <w:gridBefore w:val="1"/>
          <w:gridAfter w:val="1"/>
          <w:wBefore w:w="567" w:type="dxa"/>
          <w:wAfter w:w="1562" w:type="dxa"/>
          <w:trHeight w:val="270"/>
        </w:trPr>
        <w:tc>
          <w:tcPr>
            <w:tcW w:w="6237" w:type="dxa"/>
            <w:gridSpan w:val="7"/>
            <w:tcBorders>
              <w:top w:val="single" w:sz="4" w:space="0" w:color="auto"/>
              <w:left w:val="single" w:sz="4" w:space="0" w:color="auto"/>
              <w:bottom w:val="nil"/>
              <w:right w:val="single" w:sz="4" w:space="0" w:color="auto"/>
            </w:tcBorders>
            <w:shd w:val="clear" w:color="auto" w:fill="auto"/>
            <w:vAlign w:val="bottom"/>
          </w:tcPr>
          <w:p w14:paraId="6E3FF844" w14:textId="77777777" w:rsidR="00C96D0A" w:rsidRPr="004F58B9" w:rsidRDefault="00C96D0A" w:rsidP="00004824">
            <w:pPr>
              <w:jc w:val="left"/>
              <w:rPr>
                <w:rFonts w:cs="Arial"/>
                <w:szCs w:val="18"/>
                <w:lang w:val="de-DE"/>
              </w:rPr>
            </w:pPr>
            <w:r w:rsidRPr="004F58B9">
              <w:rPr>
                <w:rFonts w:cs="Arial"/>
                <w:szCs w:val="18"/>
                <w:lang w:val="de-DE"/>
              </w:rPr>
              <w:t>Probengröße in den Wachstumsperioden 1 und 2 kombiniert = 100</w:t>
            </w:r>
          </w:p>
        </w:tc>
      </w:tr>
      <w:tr w:rsidR="00C96D0A" w:rsidRPr="004F58B9" w14:paraId="211B3BCB" w14:textId="77777777" w:rsidTr="00004824">
        <w:trPr>
          <w:gridBefore w:val="1"/>
          <w:gridAfter w:val="1"/>
          <w:wBefore w:w="567" w:type="dxa"/>
          <w:wAfter w:w="1562" w:type="dxa"/>
          <w:trHeight w:val="270"/>
        </w:trPr>
        <w:tc>
          <w:tcPr>
            <w:tcW w:w="6237" w:type="dxa"/>
            <w:gridSpan w:val="7"/>
            <w:tcBorders>
              <w:top w:val="nil"/>
              <w:left w:val="single" w:sz="4" w:space="0" w:color="auto"/>
              <w:bottom w:val="single" w:sz="4" w:space="0" w:color="auto"/>
              <w:right w:val="single" w:sz="4" w:space="0" w:color="auto"/>
            </w:tcBorders>
            <w:shd w:val="clear" w:color="auto" w:fill="auto"/>
            <w:vAlign w:val="bottom"/>
          </w:tcPr>
          <w:p w14:paraId="3489AF6A" w14:textId="77777777" w:rsidR="00C96D0A" w:rsidRPr="004F58B9" w:rsidRDefault="00C96D0A" w:rsidP="00004824">
            <w:pPr>
              <w:jc w:val="left"/>
              <w:rPr>
                <w:rFonts w:cs="Arial"/>
                <w:szCs w:val="18"/>
                <w:lang w:val="de-DE"/>
              </w:rPr>
            </w:pPr>
            <w:r w:rsidRPr="004F58B9">
              <w:rPr>
                <w:rFonts w:cs="Arial"/>
                <w:szCs w:val="18"/>
                <w:lang w:val="de-DE"/>
              </w:rPr>
              <w:t>Höchstzahl an Abweichern = 3</w:t>
            </w:r>
          </w:p>
        </w:tc>
      </w:tr>
      <w:tr w:rsidR="00C96D0A" w:rsidRPr="004F58B9" w14:paraId="49259B52" w14:textId="77777777" w:rsidTr="00004824">
        <w:trPr>
          <w:gridBefore w:val="1"/>
          <w:gridAfter w:val="1"/>
          <w:wBefore w:w="567" w:type="dxa"/>
          <w:wAfter w:w="1562" w:type="dxa"/>
          <w:trHeight w:val="239"/>
        </w:trPr>
        <w:tc>
          <w:tcPr>
            <w:tcW w:w="236" w:type="dxa"/>
            <w:tcBorders>
              <w:top w:val="nil"/>
              <w:left w:val="nil"/>
              <w:bottom w:val="single" w:sz="4" w:space="0" w:color="auto"/>
              <w:right w:val="nil"/>
            </w:tcBorders>
            <w:shd w:val="clear" w:color="auto" w:fill="auto"/>
            <w:noWrap/>
            <w:vAlign w:val="bottom"/>
            <w:hideMark/>
          </w:tcPr>
          <w:p w14:paraId="2CD19CC2" w14:textId="77777777" w:rsidR="00C96D0A" w:rsidRPr="004F58B9" w:rsidRDefault="00C96D0A" w:rsidP="00004824">
            <w:pPr>
              <w:jc w:val="left"/>
              <w:rPr>
                <w:rFonts w:cs="Arial"/>
                <w:szCs w:val="18"/>
                <w:lang w:val="de-DE"/>
              </w:rPr>
            </w:pPr>
            <w:r w:rsidRPr="004F58B9">
              <w:rPr>
                <w:rFonts w:cs="Arial"/>
                <w:szCs w:val="18"/>
                <w:lang w:val="de-DE"/>
              </w:rPr>
              <w:t> </w:t>
            </w:r>
          </w:p>
        </w:tc>
        <w:tc>
          <w:tcPr>
            <w:tcW w:w="1784" w:type="dxa"/>
            <w:gridSpan w:val="3"/>
            <w:tcBorders>
              <w:top w:val="nil"/>
              <w:left w:val="nil"/>
              <w:bottom w:val="single" w:sz="4" w:space="0" w:color="auto"/>
              <w:right w:val="nil"/>
            </w:tcBorders>
            <w:shd w:val="clear" w:color="auto" w:fill="auto"/>
            <w:noWrap/>
            <w:vAlign w:val="bottom"/>
            <w:hideMark/>
          </w:tcPr>
          <w:p w14:paraId="0077994B" w14:textId="77777777" w:rsidR="00C96D0A" w:rsidRPr="004F58B9" w:rsidRDefault="00C96D0A" w:rsidP="00004824">
            <w:pPr>
              <w:jc w:val="left"/>
              <w:rPr>
                <w:rFonts w:cs="Arial"/>
                <w:szCs w:val="18"/>
                <w:lang w:val="de-DE"/>
              </w:rPr>
            </w:pPr>
            <w:r w:rsidRPr="004F58B9">
              <w:rPr>
                <w:rFonts w:cs="Arial"/>
                <w:szCs w:val="18"/>
                <w:lang w:val="de-DE"/>
              </w:rPr>
              <w:t> </w:t>
            </w:r>
          </w:p>
        </w:tc>
        <w:tc>
          <w:tcPr>
            <w:tcW w:w="977" w:type="dxa"/>
            <w:tcBorders>
              <w:top w:val="nil"/>
              <w:left w:val="nil"/>
              <w:bottom w:val="single" w:sz="4" w:space="0" w:color="auto"/>
              <w:right w:val="nil"/>
            </w:tcBorders>
            <w:shd w:val="clear" w:color="auto" w:fill="auto"/>
            <w:noWrap/>
            <w:vAlign w:val="bottom"/>
            <w:hideMark/>
          </w:tcPr>
          <w:p w14:paraId="07408B6C" w14:textId="77777777" w:rsidR="00C96D0A" w:rsidRPr="004F58B9" w:rsidRDefault="00C96D0A" w:rsidP="00004824">
            <w:pPr>
              <w:jc w:val="left"/>
              <w:rPr>
                <w:rFonts w:cs="Arial"/>
                <w:szCs w:val="18"/>
                <w:lang w:val="de-DE"/>
              </w:rPr>
            </w:pPr>
            <w:r w:rsidRPr="004F58B9">
              <w:rPr>
                <w:rFonts w:cs="Arial"/>
                <w:szCs w:val="18"/>
                <w:lang w:val="de-DE"/>
              </w:rPr>
              <w:t> </w:t>
            </w:r>
          </w:p>
        </w:tc>
        <w:tc>
          <w:tcPr>
            <w:tcW w:w="3240" w:type="dxa"/>
            <w:gridSpan w:val="2"/>
            <w:tcBorders>
              <w:top w:val="nil"/>
              <w:left w:val="nil"/>
              <w:bottom w:val="single" w:sz="4" w:space="0" w:color="auto"/>
            </w:tcBorders>
            <w:shd w:val="clear" w:color="auto" w:fill="auto"/>
            <w:noWrap/>
            <w:vAlign w:val="bottom"/>
            <w:hideMark/>
          </w:tcPr>
          <w:p w14:paraId="5231520D" w14:textId="77777777" w:rsidR="00C96D0A" w:rsidRPr="004F58B9" w:rsidRDefault="00C96D0A" w:rsidP="00004824">
            <w:pPr>
              <w:jc w:val="left"/>
              <w:rPr>
                <w:rFonts w:cs="Arial"/>
                <w:szCs w:val="18"/>
                <w:lang w:val="de-DE"/>
              </w:rPr>
            </w:pPr>
            <w:r w:rsidRPr="004F58B9">
              <w:rPr>
                <w:rFonts w:cs="Arial"/>
                <w:szCs w:val="18"/>
                <w:lang w:val="de-DE"/>
              </w:rPr>
              <w:t> </w:t>
            </w:r>
          </w:p>
        </w:tc>
      </w:tr>
      <w:tr w:rsidR="00C96D0A" w:rsidRPr="004F58B9" w14:paraId="7823BE4A" w14:textId="77777777" w:rsidTr="00004824">
        <w:trPr>
          <w:trHeight w:val="380"/>
        </w:trPr>
        <w:tc>
          <w:tcPr>
            <w:tcW w:w="567" w:type="dxa"/>
            <w:tcBorders>
              <w:top w:val="nil"/>
              <w:left w:val="nil"/>
              <w:bottom w:val="nil"/>
              <w:right w:val="single" w:sz="4" w:space="0" w:color="auto"/>
            </w:tcBorders>
            <w:shd w:val="clear" w:color="auto" w:fill="auto"/>
            <w:noWrap/>
            <w:vAlign w:val="bottom"/>
            <w:hideMark/>
          </w:tcPr>
          <w:p w14:paraId="42C46BCF" w14:textId="77777777" w:rsidR="00C96D0A" w:rsidRPr="004F58B9" w:rsidRDefault="00C96D0A" w:rsidP="00004824">
            <w:pPr>
              <w:jc w:val="left"/>
              <w:rPr>
                <w:rFonts w:cs="Arial"/>
                <w:szCs w:val="18"/>
                <w:lang w:val="de-DE"/>
              </w:rPr>
            </w:pPr>
            <w:r w:rsidRPr="004F58B9">
              <w:rPr>
                <w:rFonts w:cs="Arial"/>
                <w:szCs w:val="18"/>
                <w:lang w:val="de-DE"/>
              </w:rPr>
              <w:t> </w:t>
            </w:r>
          </w:p>
        </w:tc>
        <w:tc>
          <w:tcPr>
            <w:tcW w:w="1985" w:type="dxa"/>
            <w:gridSpan w:val="3"/>
            <w:tcBorders>
              <w:top w:val="nil"/>
              <w:left w:val="nil"/>
              <w:bottom w:val="single" w:sz="4" w:space="0" w:color="auto"/>
              <w:right w:val="single" w:sz="4" w:space="0" w:color="000000"/>
            </w:tcBorders>
            <w:shd w:val="clear" w:color="auto" w:fill="auto"/>
            <w:noWrap/>
            <w:vAlign w:val="center"/>
            <w:hideMark/>
          </w:tcPr>
          <w:p w14:paraId="0468C7EF" w14:textId="77777777" w:rsidR="00C96D0A" w:rsidRPr="004F58B9" w:rsidRDefault="00C96D0A" w:rsidP="00004824">
            <w:pPr>
              <w:jc w:val="center"/>
              <w:rPr>
                <w:rFonts w:cs="Arial"/>
                <w:szCs w:val="18"/>
                <w:lang w:val="de-DE"/>
              </w:rPr>
            </w:pPr>
            <w:r w:rsidRPr="004F58B9">
              <w:rPr>
                <w:rFonts w:cs="Arial"/>
                <w:szCs w:val="18"/>
                <w:lang w:val="de-DE"/>
              </w:rPr>
              <w:t>Wachstumsperiode</w:t>
            </w:r>
          </w:p>
        </w:tc>
        <w:tc>
          <w:tcPr>
            <w:tcW w:w="5814" w:type="dxa"/>
            <w:gridSpan w:val="5"/>
            <w:tcBorders>
              <w:top w:val="single" w:sz="4" w:space="0" w:color="auto"/>
              <w:left w:val="nil"/>
              <w:bottom w:val="single" w:sz="4" w:space="0" w:color="auto"/>
              <w:right w:val="single" w:sz="4" w:space="0" w:color="auto"/>
            </w:tcBorders>
            <w:shd w:val="clear" w:color="auto" w:fill="auto"/>
            <w:noWrap/>
            <w:vAlign w:val="center"/>
            <w:hideMark/>
          </w:tcPr>
          <w:p w14:paraId="42CAC63C" w14:textId="77777777" w:rsidR="00C96D0A" w:rsidRPr="004F58B9" w:rsidRDefault="00C96D0A" w:rsidP="00004824">
            <w:pPr>
              <w:jc w:val="center"/>
              <w:rPr>
                <w:szCs w:val="18"/>
                <w:lang w:val="de-DE"/>
              </w:rPr>
            </w:pPr>
            <w:r w:rsidRPr="004F58B9">
              <w:rPr>
                <w:szCs w:val="18"/>
                <w:lang w:val="de-DE"/>
              </w:rPr>
              <w:t>Entscheidung</w:t>
            </w:r>
          </w:p>
        </w:tc>
      </w:tr>
      <w:tr w:rsidR="00C96D0A" w:rsidRPr="004F58B9" w14:paraId="75F51EB7" w14:textId="77777777" w:rsidTr="00004824">
        <w:trPr>
          <w:trHeight w:val="236"/>
        </w:trPr>
        <w:tc>
          <w:tcPr>
            <w:tcW w:w="567" w:type="dxa"/>
            <w:tcBorders>
              <w:top w:val="nil"/>
              <w:left w:val="nil"/>
              <w:bottom w:val="single" w:sz="4" w:space="0" w:color="auto"/>
              <w:right w:val="single" w:sz="4" w:space="0" w:color="auto"/>
            </w:tcBorders>
            <w:shd w:val="clear" w:color="auto" w:fill="auto"/>
            <w:noWrap/>
            <w:vAlign w:val="bottom"/>
            <w:hideMark/>
          </w:tcPr>
          <w:p w14:paraId="0E481C90" w14:textId="77777777" w:rsidR="00C96D0A" w:rsidRPr="004F58B9" w:rsidRDefault="00C96D0A" w:rsidP="00004824">
            <w:pPr>
              <w:jc w:val="left"/>
              <w:rPr>
                <w:rFonts w:cs="Arial"/>
                <w:szCs w:val="18"/>
                <w:lang w:val="de-DE"/>
              </w:rPr>
            </w:pPr>
            <w:r w:rsidRPr="004F58B9">
              <w:rPr>
                <w:rFonts w:cs="Arial"/>
                <w:szCs w:val="18"/>
                <w:lang w:val="de-DE"/>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F7C8791" w14:textId="77777777" w:rsidR="00C96D0A" w:rsidRPr="004F58B9" w:rsidRDefault="00C96D0A" w:rsidP="00004824">
            <w:pPr>
              <w:spacing w:after="100" w:afterAutospacing="1"/>
              <w:jc w:val="center"/>
              <w:rPr>
                <w:rFonts w:cs="Arial"/>
                <w:szCs w:val="18"/>
                <w:lang w:val="de-DE"/>
              </w:rPr>
            </w:pPr>
            <w:r w:rsidRPr="004F58B9">
              <w:rPr>
                <w:rFonts w:cs="Arial"/>
                <w:szCs w:val="18"/>
                <w:lang w:val="de-DE"/>
              </w:rPr>
              <w:t>Erste</w:t>
            </w:r>
          </w:p>
        </w:tc>
        <w:tc>
          <w:tcPr>
            <w:tcW w:w="993" w:type="dxa"/>
            <w:tcBorders>
              <w:top w:val="nil"/>
              <w:left w:val="nil"/>
              <w:bottom w:val="single" w:sz="4" w:space="0" w:color="auto"/>
              <w:right w:val="single" w:sz="4" w:space="0" w:color="auto"/>
            </w:tcBorders>
            <w:shd w:val="clear" w:color="auto" w:fill="auto"/>
            <w:noWrap/>
            <w:vAlign w:val="center"/>
            <w:hideMark/>
          </w:tcPr>
          <w:p w14:paraId="6769BBE9" w14:textId="77777777" w:rsidR="00C96D0A" w:rsidRPr="004F58B9" w:rsidRDefault="00C96D0A" w:rsidP="00004824">
            <w:pPr>
              <w:jc w:val="center"/>
              <w:rPr>
                <w:rFonts w:cs="Arial"/>
                <w:szCs w:val="18"/>
                <w:lang w:val="de-DE"/>
              </w:rPr>
            </w:pPr>
            <w:r w:rsidRPr="004F58B9">
              <w:rPr>
                <w:rFonts w:cs="Arial"/>
                <w:szCs w:val="18"/>
                <w:lang w:val="de-DE"/>
              </w:rPr>
              <w:t>Zweite</w:t>
            </w:r>
          </w:p>
        </w:tc>
        <w:tc>
          <w:tcPr>
            <w:tcW w:w="2062" w:type="dxa"/>
            <w:gridSpan w:val="3"/>
            <w:tcBorders>
              <w:top w:val="nil"/>
              <w:left w:val="nil"/>
              <w:bottom w:val="single" w:sz="4" w:space="0" w:color="auto"/>
              <w:right w:val="single" w:sz="4" w:space="0" w:color="auto"/>
            </w:tcBorders>
            <w:shd w:val="clear" w:color="auto" w:fill="auto"/>
            <w:noWrap/>
            <w:vAlign w:val="center"/>
            <w:hideMark/>
          </w:tcPr>
          <w:p w14:paraId="5E5ACBC2" w14:textId="77777777" w:rsidR="00C96D0A" w:rsidRPr="004F58B9" w:rsidRDefault="00C96D0A" w:rsidP="00004824">
            <w:pPr>
              <w:jc w:val="center"/>
              <w:rPr>
                <w:rFonts w:cs="Arial"/>
                <w:szCs w:val="18"/>
                <w:lang w:val="de-DE"/>
              </w:rPr>
            </w:pPr>
            <w:r w:rsidRPr="004F58B9">
              <w:rPr>
                <w:rFonts w:cs="Arial"/>
                <w:szCs w:val="18"/>
                <w:lang w:val="de-DE"/>
              </w:rPr>
              <w:t>Ansatz 1</w:t>
            </w:r>
          </w:p>
        </w:tc>
        <w:tc>
          <w:tcPr>
            <w:tcW w:w="2190" w:type="dxa"/>
            <w:tcBorders>
              <w:top w:val="nil"/>
              <w:left w:val="nil"/>
              <w:bottom w:val="single" w:sz="4" w:space="0" w:color="auto"/>
              <w:right w:val="single" w:sz="4" w:space="0" w:color="auto"/>
            </w:tcBorders>
            <w:shd w:val="clear" w:color="auto" w:fill="auto"/>
            <w:noWrap/>
            <w:vAlign w:val="center"/>
            <w:hideMark/>
          </w:tcPr>
          <w:p w14:paraId="5C47C3D1" w14:textId="77777777" w:rsidR="00C96D0A" w:rsidRPr="004F58B9" w:rsidRDefault="00C96D0A" w:rsidP="00004824">
            <w:pPr>
              <w:jc w:val="center"/>
              <w:rPr>
                <w:rFonts w:cs="Arial"/>
                <w:szCs w:val="18"/>
                <w:lang w:val="de-DE"/>
              </w:rPr>
            </w:pPr>
            <w:r w:rsidRPr="004F58B9">
              <w:rPr>
                <w:rFonts w:cs="Arial"/>
                <w:szCs w:val="18"/>
                <w:lang w:val="de-DE"/>
              </w:rPr>
              <w:t>Ansatz 2</w:t>
            </w:r>
          </w:p>
        </w:tc>
        <w:tc>
          <w:tcPr>
            <w:tcW w:w="1559" w:type="dxa"/>
            <w:tcBorders>
              <w:top w:val="single" w:sz="4" w:space="0" w:color="auto"/>
              <w:bottom w:val="single" w:sz="4" w:space="0" w:color="auto"/>
              <w:right w:val="single" w:sz="4" w:space="0" w:color="auto"/>
            </w:tcBorders>
            <w:shd w:val="clear" w:color="auto" w:fill="auto"/>
            <w:vAlign w:val="center"/>
          </w:tcPr>
          <w:p w14:paraId="483009CF" w14:textId="77777777" w:rsidR="00C96D0A" w:rsidRPr="004F58B9" w:rsidRDefault="00C96D0A" w:rsidP="00004824">
            <w:pPr>
              <w:jc w:val="center"/>
              <w:rPr>
                <w:szCs w:val="18"/>
                <w:lang w:val="de-DE"/>
              </w:rPr>
            </w:pPr>
            <w:r w:rsidRPr="004F58B9">
              <w:rPr>
                <w:szCs w:val="18"/>
                <w:lang w:val="de-DE"/>
              </w:rPr>
              <w:t>Ansatz 3</w:t>
            </w:r>
          </w:p>
        </w:tc>
      </w:tr>
      <w:tr w:rsidR="00C96D0A" w:rsidRPr="004F58B9" w14:paraId="49D125FF" w14:textId="77777777" w:rsidTr="00004824">
        <w:trPr>
          <w:trHeight w:val="240"/>
        </w:trPr>
        <w:tc>
          <w:tcPr>
            <w:tcW w:w="567" w:type="dxa"/>
            <w:vMerge w:val="restart"/>
            <w:tcBorders>
              <w:top w:val="nil"/>
              <w:left w:val="single" w:sz="4" w:space="0" w:color="auto"/>
              <w:right w:val="single" w:sz="4" w:space="0" w:color="auto"/>
            </w:tcBorders>
            <w:shd w:val="clear" w:color="auto" w:fill="auto"/>
            <w:textDirection w:val="btLr"/>
            <w:vAlign w:val="center"/>
          </w:tcPr>
          <w:p w14:paraId="57A84E7C" w14:textId="77777777" w:rsidR="00C96D0A" w:rsidRPr="004F58B9" w:rsidRDefault="00C96D0A" w:rsidP="00004824">
            <w:pPr>
              <w:jc w:val="center"/>
              <w:rPr>
                <w:rFonts w:cs="Arial"/>
                <w:szCs w:val="18"/>
                <w:lang w:val="de-DE"/>
              </w:rPr>
            </w:pPr>
            <w:r w:rsidRPr="004F58B9">
              <w:rPr>
                <w:rFonts w:cs="Arial"/>
                <w:szCs w:val="18"/>
                <w:lang w:val="de-DE"/>
              </w:rPr>
              <w:t>Anzahl der Abweicher</w:t>
            </w:r>
          </w:p>
        </w:tc>
        <w:tc>
          <w:tcPr>
            <w:tcW w:w="992"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14:paraId="6ED7DC90" w14:textId="77777777" w:rsidR="00C96D0A" w:rsidRPr="004F58B9" w:rsidRDefault="00C96D0A" w:rsidP="00004824">
            <w:pPr>
              <w:jc w:val="center"/>
              <w:rPr>
                <w:rFonts w:cs="Arial"/>
                <w:szCs w:val="18"/>
                <w:lang w:val="de-DE"/>
              </w:rPr>
            </w:pPr>
            <w:r w:rsidRPr="004F58B9">
              <w:rPr>
                <w:rFonts w:cs="Arial"/>
                <w:szCs w:val="18"/>
                <w:lang w:val="de-DE"/>
              </w:rPr>
              <w:t>1</w:t>
            </w:r>
          </w:p>
        </w:tc>
        <w:tc>
          <w:tcPr>
            <w:tcW w:w="993" w:type="dxa"/>
            <w:tcBorders>
              <w:top w:val="single" w:sz="4" w:space="0" w:color="auto"/>
              <w:left w:val="single" w:sz="6" w:space="0" w:color="auto"/>
              <w:bottom w:val="single" w:sz="6" w:space="0" w:color="auto"/>
              <w:right w:val="single" w:sz="6" w:space="0" w:color="auto"/>
            </w:tcBorders>
            <w:shd w:val="clear" w:color="auto" w:fill="auto"/>
            <w:noWrap/>
            <w:vAlign w:val="center"/>
          </w:tcPr>
          <w:p w14:paraId="6A356144" w14:textId="77777777" w:rsidR="00C96D0A" w:rsidRPr="004F58B9" w:rsidRDefault="00C96D0A" w:rsidP="00004824">
            <w:pPr>
              <w:jc w:val="center"/>
              <w:rPr>
                <w:rFonts w:cs="Arial"/>
                <w:szCs w:val="18"/>
                <w:lang w:val="de-DE"/>
              </w:rPr>
            </w:pPr>
            <w:r w:rsidRPr="004F58B9">
              <w:rPr>
                <w:rFonts w:cs="Arial"/>
                <w:szCs w:val="18"/>
                <w:lang w:val="de-DE"/>
              </w:rPr>
              <w:t>1</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noWrap/>
            <w:vAlign w:val="center"/>
          </w:tcPr>
          <w:p w14:paraId="1CE16FB5" w14:textId="77777777" w:rsidR="00C96D0A" w:rsidRPr="004F58B9" w:rsidRDefault="00C96D0A" w:rsidP="00004824">
            <w:pPr>
              <w:jc w:val="center"/>
              <w:rPr>
                <w:rFonts w:cs="Arial"/>
                <w:szCs w:val="18"/>
                <w:lang w:val="de-DE"/>
              </w:rPr>
            </w:pPr>
            <w:r w:rsidRPr="004F58B9">
              <w:rPr>
                <w:rFonts w:cs="Arial"/>
                <w:szCs w:val="18"/>
                <w:lang w:val="de-DE"/>
              </w:rPr>
              <w:t>homogen</w:t>
            </w:r>
          </w:p>
        </w:tc>
        <w:tc>
          <w:tcPr>
            <w:tcW w:w="2190" w:type="dxa"/>
            <w:tcBorders>
              <w:top w:val="single" w:sz="4" w:space="0" w:color="auto"/>
              <w:left w:val="single" w:sz="6" w:space="0" w:color="auto"/>
              <w:bottom w:val="single" w:sz="6" w:space="0" w:color="auto"/>
              <w:right w:val="single" w:sz="4" w:space="0" w:color="auto"/>
            </w:tcBorders>
            <w:shd w:val="clear" w:color="auto" w:fill="auto"/>
            <w:vAlign w:val="center"/>
          </w:tcPr>
          <w:p w14:paraId="0F872BDA" w14:textId="77777777" w:rsidR="00C96D0A" w:rsidRPr="004F58B9" w:rsidRDefault="00C96D0A" w:rsidP="00004824">
            <w:pPr>
              <w:jc w:val="center"/>
              <w:rPr>
                <w:rFonts w:cs="Arial"/>
                <w:szCs w:val="18"/>
                <w:lang w:val="de-DE"/>
              </w:rPr>
            </w:pPr>
            <w:r w:rsidRPr="004F58B9">
              <w:rPr>
                <w:rFonts w:cs="Arial"/>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AA0D68" w14:textId="77777777" w:rsidR="00C96D0A" w:rsidRPr="004F58B9" w:rsidRDefault="00C96D0A" w:rsidP="00004824">
            <w:pPr>
              <w:jc w:val="center"/>
              <w:rPr>
                <w:szCs w:val="18"/>
                <w:lang w:val="de-DE"/>
              </w:rPr>
            </w:pPr>
            <w:r w:rsidRPr="004F58B9">
              <w:rPr>
                <w:rFonts w:cs="Arial"/>
                <w:szCs w:val="18"/>
                <w:lang w:val="de-DE"/>
              </w:rPr>
              <w:t>homogen</w:t>
            </w:r>
          </w:p>
        </w:tc>
      </w:tr>
      <w:tr w:rsidR="00C96D0A" w:rsidRPr="004F58B9" w14:paraId="04417DC1" w14:textId="77777777" w:rsidTr="00004824">
        <w:trPr>
          <w:trHeight w:val="240"/>
        </w:trPr>
        <w:tc>
          <w:tcPr>
            <w:tcW w:w="567" w:type="dxa"/>
            <w:vMerge/>
            <w:tcBorders>
              <w:left w:val="single" w:sz="4" w:space="0" w:color="auto"/>
              <w:right w:val="single" w:sz="4" w:space="0" w:color="auto"/>
            </w:tcBorders>
            <w:shd w:val="clear" w:color="auto" w:fill="auto"/>
            <w:textDirection w:val="btLr"/>
            <w:vAlign w:val="center"/>
            <w:hideMark/>
          </w:tcPr>
          <w:p w14:paraId="77AB91F5" w14:textId="77777777" w:rsidR="00C96D0A" w:rsidRPr="004F58B9" w:rsidRDefault="00C96D0A" w:rsidP="00004824">
            <w:pPr>
              <w:jc w:val="center"/>
              <w:rPr>
                <w:rFonts w:cs="Arial"/>
                <w:szCs w:val="18"/>
                <w:lang w:val="de-DE"/>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0C0B5A8B" w14:textId="77777777" w:rsidR="00C96D0A" w:rsidRPr="004F58B9" w:rsidRDefault="00C96D0A" w:rsidP="00004824">
            <w:pPr>
              <w:jc w:val="center"/>
              <w:rPr>
                <w:rFonts w:cs="Arial"/>
                <w:szCs w:val="18"/>
                <w:lang w:val="de-DE"/>
              </w:rPr>
            </w:pPr>
            <w:r w:rsidRPr="004F58B9">
              <w:rPr>
                <w:rFonts w:cs="Arial"/>
                <w:szCs w:val="18"/>
                <w:lang w:val="de-DE"/>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2A9D47C3" w14:textId="77777777" w:rsidR="00C96D0A" w:rsidRPr="004F58B9" w:rsidRDefault="00C96D0A" w:rsidP="00004824">
            <w:pPr>
              <w:jc w:val="center"/>
              <w:rPr>
                <w:rFonts w:cs="Arial"/>
                <w:szCs w:val="18"/>
                <w:lang w:val="de-DE"/>
              </w:rPr>
            </w:pPr>
            <w:r w:rsidRPr="004F58B9">
              <w:rPr>
                <w:rFonts w:cs="Arial"/>
                <w:szCs w:val="18"/>
                <w:lang w:val="de-DE"/>
              </w:rPr>
              <w:t>2</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ED6BF55" w14:textId="77777777" w:rsidR="00C96D0A" w:rsidRPr="004F58B9" w:rsidRDefault="00C96D0A" w:rsidP="00004824">
            <w:pPr>
              <w:jc w:val="center"/>
              <w:rPr>
                <w:rFonts w:cs="Arial"/>
                <w:szCs w:val="18"/>
                <w:lang w:val="de-DE"/>
              </w:rPr>
            </w:pPr>
            <w:r w:rsidRPr="004F58B9">
              <w:rPr>
                <w:rFonts w:cs="Arial"/>
                <w:szCs w:val="18"/>
                <w:lang w:val="de-DE"/>
              </w:rPr>
              <w:t>homogen</w:t>
            </w:r>
          </w:p>
        </w:tc>
        <w:tc>
          <w:tcPr>
            <w:tcW w:w="2190"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3F770243" w14:textId="77777777" w:rsidR="00C96D0A" w:rsidRPr="004F58B9" w:rsidRDefault="00C96D0A" w:rsidP="00004824">
            <w:pPr>
              <w:jc w:val="center"/>
              <w:rPr>
                <w:rFonts w:cs="Arial"/>
                <w:szCs w:val="18"/>
                <w:lang w:val="de-DE"/>
              </w:rPr>
            </w:pPr>
            <w:r w:rsidRPr="004F58B9">
              <w:rPr>
                <w:rFonts w:cs="Arial"/>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9E8AD9" w14:textId="77777777" w:rsidR="00C96D0A" w:rsidRPr="004F58B9" w:rsidRDefault="00C96D0A" w:rsidP="00004824">
            <w:pPr>
              <w:jc w:val="center"/>
              <w:rPr>
                <w:szCs w:val="18"/>
                <w:lang w:val="de-DE"/>
              </w:rPr>
            </w:pPr>
            <w:r w:rsidRPr="004F58B9">
              <w:rPr>
                <w:szCs w:val="18"/>
                <w:lang w:val="de-DE"/>
              </w:rPr>
              <w:t>nicht homogen</w:t>
            </w:r>
          </w:p>
        </w:tc>
      </w:tr>
      <w:tr w:rsidR="00C96D0A" w:rsidRPr="004F58B9" w14:paraId="5CA45763" w14:textId="77777777" w:rsidTr="00004824">
        <w:trPr>
          <w:trHeight w:val="273"/>
        </w:trPr>
        <w:tc>
          <w:tcPr>
            <w:tcW w:w="567" w:type="dxa"/>
            <w:vMerge/>
            <w:tcBorders>
              <w:left w:val="single" w:sz="4" w:space="0" w:color="auto"/>
              <w:right w:val="single" w:sz="4" w:space="0" w:color="000000"/>
            </w:tcBorders>
            <w:vAlign w:val="center"/>
            <w:hideMark/>
          </w:tcPr>
          <w:p w14:paraId="5F81FD33" w14:textId="77777777" w:rsidR="00C96D0A" w:rsidRPr="004F58B9" w:rsidRDefault="00C96D0A" w:rsidP="00004824">
            <w:pPr>
              <w:jc w:val="left"/>
              <w:rPr>
                <w:rFonts w:cs="Arial"/>
                <w:szCs w:val="18"/>
                <w:lang w:val="de-DE"/>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8DB6E30" w14:textId="77777777" w:rsidR="00C96D0A" w:rsidRPr="004F58B9" w:rsidRDefault="00C96D0A" w:rsidP="00004824">
            <w:pPr>
              <w:jc w:val="center"/>
              <w:rPr>
                <w:rFonts w:cs="Arial"/>
                <w:szCs w:val="18"/>
                <w:lang w:val="de-DE"/>
              </w:rPr>
            </w:pPr>
            <w:r w:rsidRPr="004F58B9">
              <w:rPr>
                <w:rFonts w:cs="Arial"/>
                <w:szCs w:val="18"/>
                <w:lang w:val="de-DE"/>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1EE70D" w14:textId="77777777" w:rsidR="00C96D0A" w:rsidRPr="004F58B9" w:rsidRDefault="00C96D0A" w:rsidP="00004824">
            <w:pPr>
              <w:jc w:val="center"/>
              <w:rPr>
                <w:rFonts w:cs="Arial"/>
                <w:szCs w:val="18"/>
                <w:lang w:val="de-DE"/>
              </w:rPr>
            </w:pPr>
            <w:r w:rsidRPr="004F58B9">
              <w:rPr>
                <w:rFonts w:cs="Arial"/>
                <w:szCs w:val="18"/>
                <w:lang w:val="de-DE"/>
              </w:rPr>
              <w:t>3*</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14:paraId="7D92BFBA" w14:textId="77777777" w:rsidR="00C96D0A" w:rsidRPr="004F58B9" w:rsidRDefault="00C96D0A" w:rsidP="00004824">
            <w:pPr>
              <w:jc w:val="center"/>
              <w:rPr>
                <w:rFonts w:cs="Arial"/>
                <w:szCs w:val="18"/>
                <w:lang w:val="de-DE"/>
              </w:rPr>
            </w:pPr>
            <w:r w:rsidRPr="004F58B9">
              <w:rPr>
                <w:rFonts w:cs="Arial"/>
                <w:szCs w:val="18"/>
                <w:lang w:val="de-DE"/>
              </w:rPr>
              <w:t>dritte Wachstumsperiode*</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01D232E4" w14:textId="77777777" w:rsidR="00C96D0A" w:rsidRPr="004F58B9" w:rsidRDefault="00C96D0A" w:rsidP="00004824">
            <w:pPr>
              <w:jc w:val="center"/>
              <w:rPr>
                <w:rFonts w:cs="Arial"/>
                <w:szCs w:val="18"/>
                <w:lang w:val="de-DE"/>
              </w:rPr>
            </w:pPr>
            <w:r w:rsidRPr="004F58B9">
              <w:rPr>
                <w:rFonts w:cs="Arial"/>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F71317" w14:textId="77777777" w:rsidR="00C96D0A" w:rsidRPr="004F58B9" w:rsidRDefault="00C96D0A" w:rsidP="00004824">
            <w:pPr>
              <w:jc w:val="center"/>
              <w:rPr>
                <w:szCs w:val="18"/>
                <w:lang w:val="de-DE"/>
              </w:rPr>
            </w:pPr>
            <w:r w:rsidRPr="004F58B9">
              <w:rPr>
                <w:rFonts w:cs="Arial"/>
                <w:szCs w:val="18"/>
                <w:lang w:val="de-DE"/>
              </w:rPr>
              <w:t>homogen*</w:t>
            </w:r>
          </w:p>
        </w:tc>
      </w:tr>
      <w:tr w:rsidR="00C96D0A" w:rsidRPr="004F58B9" w14:paraId="6DC21FCF" w14:textId="77777777" w:rsidTr="00004824">
        <w:trPr>
          <w:trHeight w:val="248"/>
        </w:trPr>
        <w:tc>
          <w:tcPr>
            <w:tcW w:w="567" w:type="dxa"/>
            <w:vMerge/>
            <w:tcBorders>
              <w:left w:val="single" w:sz="4" w:space="0" w:color="auto"/>
              <w:right w:val="single" w:sz="4" w:space="0" w:color="auto"/>
            </w:tcBorders>
            <w:vAlign w:val="center"/>
            <w:hideMark/>
          </w:tcPr>
          <w:p w14:paraId="27B94F74" w14:textId="77777777" w:rsidR="00C96D0A" w:rsidRPr="004F58B9" w:rsidRDefault="00C96D0A" w:rsidP="00004824">
            <w:pPr>
              <w:jc w:val="left"/>
              <w:rPr>
                <w:rFonts w:cs="Arial"/>
                <w:szCs w:val="18"/>
                <w:lang w:val="de-DE"/>
              </w:rPr>
            </w:pPr>
          </w:p>
        </w:tc>
        <w:tc>
          <w:tcPr>
            <w:tcW w:w="992"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0B29CA7E" w14:textId="77777777" w:rsidR="00C96D0A" w:rsidRPr="004F58B9" w:rsidRDefault="00C96D0A" w:rsidP="00004824">
            <w:pPr>
              <w:jc w:val="center"/>
              <w:rPr>
                <w:rFonts w:cs="Arial"/>
                <w:szCs w:val="18"/>
                <w:lang w:val="de-DE"/>
              </w:rPr>
            </w:pPr>
            <w:r w:rsidRPr="004F58B9">
              <w:rPr>
                <w:rFonts w:cs="Arial"/>
                <w:szCs w:val="18"/>
                <w:lang w:val="de-DE"/>
              </w:rPr>
              <w:t>1</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5D4A03D6" w14:textId="77777777" w:rsidR="00C96D0A" w:rsidRPr="004F58B9" w:rsidRDefault="00C96D0A" w:rsidP="00004824">
            <w:pPr>
              <w:jc w:val="center"/>
              <w:rPr>
                <w:rFonts w:cs="Arial"/>
                <w:szCs w:val="18"/>
                <w:lang w:val="de-DE"/>
              </w:rPr>
            </w:pPr>
            <w:r w:rsidRPr="004F58B9">
              <w:rPr>
                <w:rFonts w:cs="Arial"/>
                <w:szCs w:val="18"/>
                <w:lang w:val="de-DE"/>
              </w:rPr>
              <w:t>3*</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14:paraId="7B820E31" w14:textId="77777777" w:rsidR="00C96D0A" w:rsidRPr="004F58B9" w:rsidRDefault="00C96D0A" w:rsidP="00004824">
            <w:pPr>
              <w:jc w:val="center"/>
              <w:rPr>
                <w:rFonts w:cs="Arial"/>
                <w:szCs w:val="18"/>
                <w:lang w:val="de-DE"/>
              </w:rPr>
            </w:pPr>
            <w:r w:rsidRPr="004F58B9">
              <w:rPr>
                <w:rFonts w:cs="Arial"/>
                <w:szCs w:val="18"/>
                <w:lang w:val="de-DE"/>
              </w:rPr>
              <w:t>dritte Wachstumsperiode*</w:t>
            </w:r>
          </w:p>
        </w:tc>
        <w:tc>
          <w:tcPr>
            <w:tcW w:w="21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47676BC1" w14:textId="77777777" w:rsidR="00C96D0A" w:rsidRPr="004F58B9" w:rsidRDefault="00C96D0A" w:rsidP="00004824">
            <w:pPr>
              <w:jc w:val="center"/>
              <w:rPr>
                <w:rFonts w:cs="Arial"/>
                <w:szCs w:val="18"/>
                <w:lang w:val="de-DE"/>
              </w:rPr>
            </w:pPr>
            <w:r w:rsidRPr="004F58B9">
              <w:rPr>
                <w:rFonts w:cs="Arial"/>
                <w:szCs w:val="18"/>
                <w:lang w:val="de-DE"/>
              </w:rPr>
              <w:t>nicht 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9DB1FD" w14:textId="77777777" w:rsidR="00C96D0A" w:rsidRPr="004F58B9" w:rsidRDefault="00C96D0A" w:rsidP="00004824">
            <w:pPr>
              <w:jc w:val="center"/>
              <w:rPr>
                <w:szCs w:val="18"/>
                <w:lang w:val="de-DE"/>
              </w:rPr>
            </w:pPr>
            <w:r w:rsidRPr="004F58B9">
              <w:rPr>
                <w:szCs w:val="18"/>
                <w:lang w:val="de-DE"/>
              </w:rPr>
              <w:t>nicht homogen*</w:t>
            </w:r>
          </w:p>
        </w:tc>
      </w:tr>
      <w:tr w:rsidR="00C96D0A" w:rsidRPr="004F58B9" w14:paraId="04051F72" w14:textId="77777777" w:rsidTr="00004824">
        <w:trPr>
          <w:trHeight w:val="267"/>
        </w:trPr>
        <w:tc>
          <w:tcPr>
            <w:tcW w:w="567" w:type="dxa"/>
            <w:vMerge/>
            <w:tcBorders>
              <w:left w:val="single" w:sz="4" w:space="0" w:color="auto"/>
              <w:right w:val="single" w:sz="4" w:space="0" w:color="000000"/>
            </w:tcBorders>
            <w:vAlign w:val="center"/>
            <w:hideMark/>
          </w:tcPr>
          <w:p w14:paraId="4B4B2D6D" w14:textId="77777777" w:rsidR="00C96D0A" w:rsidRPr="004F58B9" w:rsidRDefault="00C96D0A" w:rsidP="00004824">
            <w:pPr>
              <w:jc w:val="left"/>
              <w:rPr>
                <w:rFonts w:cs="Arial"/>
                <w:szCs w:val="18"/>
                <w:lang w:val="de-DE"/>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1A97B9" w14:textId="77777777" w:rsidR="00C96D0A" w:rsidRPr="004F58B9" w:rsidRDefault="00C96D0A" w:rsidP="00004824">
            <w:pPr>
              <w:jc w:val="center"/>
              <w:rPr>
                <w:rFonts w:cs="Arial"/>
                <w:szCs w:val="18"/>
                <w:lang w:val="de-DE"/>
              </w:rPr>
            </w:pPr>
            <w:r w:rsidRPr="004F58B9">
              <w:rPr>
                <w:rFonts w:cs="Arial"/>
                <w:szCs w:val="18"/>
                <w:lang w:val="de-DE"/>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D3B67F9" w14:textId="77777777" w:rsidR="00C96D0A" w:rsidRPr="004F58B9" w:rsidRDefault="00C96D0A" w:rsidP="00004824">
            <w:pPr>
              <w:ind w:left="49"/>
              <w:jc w:val="center"/>
              <w:rPr>
                <w:rFonts w:cs="Arial"/>
                <w:szCs w:val="18"/>
                <w:lang w:val="de-DE"/>
              </w:rPr>
            </w:pPr>
            <w:r w:rsidRPr="004F58B9">
              <w:rPr>
                <w:rFonts w:cs="Arial"/>
                <w:szCs w:val="18"/>
                <w:lang w:val="de-DE"/>
              </w:rPr>
              <w:t>4*</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14:paraId="6B10BE81" w14:textId="77777777" w:rsidR="00C96D0A" w:rsidRPr="004F58B9" w:rsidRDefault="00C96D0A" w:rsidP="00004824">
            <w:pPr>
              <w:jc w:val="center"/>
              <w:rPr>
                <w:rFonts w:cs="Arial"/>
                <w:szCs w:val="18"/>
                <w:lang w:val="de-DE"/>
              </w:rPr>
            </w:pPr>
            <w:r w:rsidRPr="004F58B9">
              <w:rPr>
                <w:rFonts w:cs="Arial"/>
                <w:szCs w:val="18"/>
                <w:lang w:val="de-DE"/>
              </w:rPr>
              <w:t>dritte Wachstumsperiode*</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7C694F39" w14:textId="77777777" w:rsidR="00C96D0A" w:rsidRPr="004F58B9" w:rsidRDefault="00C96D0A" w:rsidP="00004824">
            <w:pPr>
              <w:jc w:val="center"/>
              <w:rPr>
                <w:rFonts w:cs="Arial"/>
                <w:szCs w:val="18"/>
                <w:lang w:val="de-DE"/>
              </w:rPr>
            </w:pPr>
            <w:r w:rsidRPr="004F58B9">
              <w:rPr>
                <w:rFonts w:cs="Arial"/>
                <w:szCs w:val="18"/>
                <w:lang w:val="de-DE"/>
              </w:rPr>
              <w:t>nicht homogen*</w:t>
            </w:r>
          </w:p>
        </w:tc>
        <w:tc>
          <w:tcPr>
            <w:tcW w:w="1559" w:type="dxa"/>
            <w:tcBorders>
              <w:top w:val="single" w:sz="4" w:space="0" w:color="auto"/>
              <w:bottom w:val="single" w:sz="4" w:space="0" w:color="auto"/>
              <w:right w:val="single" w:sz="4" w:space="0" w:color="auto"/>
            </w:tcBorders>
            <w:shd w:val="clear" w:color="auto" w:fill="auto"/>
            <w:vAlign w:val="center"/>
          </w:tcPr>
          <w:p w14:paraId="6F11415A" w14:textId="77777777" w:rsidR="00C96D0A" w:rsidRPr="004F58B9" w:rsidRDefault="00C96D0A" w:rsidP="00004824">
            <w:pPr>
              <w:jc w:val="center"/>
              <w:rPr>
                <w:szCs w:val="18"/>
                <w:lang w:val="de-DE"/>
              </w:rPr>
            </w:pPr>
            <w:r w:rsidRPr="004F58B9">
              <w:rPr>
                <w:szCs w:val="18"/>
                <w:lang w:val="de-DE"/>
              </w:rPr>
              <w:t>nicht homogen*</w:t>
            </w:r>
          </w:p>
        </w:tc>
      </w:tr>
      <w:tr w:rsidR="00C96D0A" w:rsidRPr="004F58B9" w14:paraId="3B4253F1" w14:textId="77777777" w:rsidTr="00004824">
        <w:trPr>
          <w:trHeight w:val="266"/>
        </w:trPr>
        <w:tc>
          <w:tcPr>
            <w:tcW w:w="567" w:type="dxa"/>
            <w:vMerge/>
            <w:tcBorders>
              <w:left w:val="single" w:sz="4" w:space="0" w:color="auto"/>
              <w:bottom w:val="single" w:sz="4" w:space="0" w:color="auto"/>
              <w:right w:val="single" w:sz="4" w:space="0" w:color="000000"/>
            </w:tcBorders>
            <w:shd w:val="clear" w:color="auto" w:fill="auto"/>
            <w:noWrap/>
            <w:vAlign w:val="bottom"/>
            <w:hideMark/>
          </w:tcPr>
          <w:p w14:paraId="539414BB" w14:textId="77777777" w:rsidR="00C96D0A" w:rsidRPr="004F58B9" w:rsidRDefault="00C96D0A" w:rsidP="00004824">
            <w:pPr>
              <w:jc w:val="left"/>
              <w:rPr>
                <w:rFonts w:cs="Arial"/>
                <w:szCs w:val="18"/>
                <w:lang w:val="de-DE"/>
              </w:rPr>
            </w:pPr>
          </w:p>
        </w:tc>
        <w:tc>
          <w:tcPr>
            <w:tcW w:w="992" w:type="dxa"/>
            <w:gridSpan w:val="2"/>
            <w:tcBorders>
              <w:top w:val="nil"/>
              <w:left w:val="single" w:sz="4" w:space="0" w:color="000000"/>
              <w:bottom w:val="single" w:sz="4" w:space="0" w:color="auto"/>
              <w:right w:val="single" w:sz="4" w:space="0" w:color="auto"/>
            </w:tcBorders>
            <w:shd w:val="clear" w:color="auto" w:fill="auto"/>
            <w:noWrap/>
            <w:vAlign w:val="center"/>
            <w:hideMark/>
          </w:tcPr>
          <w:p w14:paraId="72EC2C3D" w14:textId="77777777" w:rsidR="00C96D0A" w:rsidRPr="004F58B9" w:rsidRDefault="00C96D0A" w:rsidP="00004824">
            <w:pPr>
              <w:ind w:left="49"/>
              <w:jc w:val="center"/>
              <w:rPr>
                <w:rFonts w:cs="Arial"/>
                <w:szCs w:val="18"/>
                <w:lang w:val="de-DE"/>
              </w:rPr>
            </w:pPr>
            <w:r w:rsidRPr="004F58B9">
              <w:rPr>
                <w:rFonts w:cs="Arial"/>
                <w:szCs w:val="18"/>
                <w:lang w:val="de-DE"/>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6A05FC" w14:textId="77777777" w:rsidR="00C96D0A" w:rsidRPr="004F58B9" w:rsidRDefault="00C96D0A" w:rsidP="00004824">
            <w:pPr>
              <w:jc w:val="center"/>
              <w:rPr>
                <w:rFonts w:cs="Arial"/>
                <w:szCs w:val="18"/>
                <w:lang w:val="de-DE"/>
              </w:rPr>
            </w:pPr>
            <w:r w:rsidRPr="004F58B9">
              <w:rPr>
                <w:rFonts w:cs="Arial"/>
                <w:szCs w:val="18"/>
                <w:lang w:val="de-DE"/>
              </w:rPr>
              <w:t>1*</w:t>
            </w:r>
          </w:p>
        </w:tc>
        <w:tc>
          <w:tcPr>
            <w:tcW w:w="206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748F0F" w14:textId="77777777" w:rsidR="00C96D0A" w:rsidRPr="004F58B9" w:rsidRDefault="00C96D0A" w:rsidP="00004824">
            <w:pPr>
              <w:jc w:val="center"/>
              <w:rPr>
                <w:rFonts w:cs="Arial"/>
                <w:szCs w:val="18"/>
                <w:lang w:val="de-DE"/>
              </w:rPr>
            </w:pPr>
            <w:r w:rsidRPr="004F58B9">
              <w:rPr>
                <w:rFonts w:cs="Arial"/>
                <w:szCs w:val="18"/>
                <w:lang w:val="de-DE"/>
              </w:rPr>
              <w:t>dritte Wachstumsperiode*</w:t>
            </w:r>
          </w:p>
        </w:tc>
        <w:tc>
          <w:tcPr>
            <w:tcW w:w="2190" w:type="dxa"/>
            <w:tcBorders>
              <w:top w:val="nil"/>
              <w:left w:val="single" w:sz="4" w:space="0" w:color="auto"/>
              <w:bottom w:val="single" w:sz="4" w:space="0" w:color="auto"/>
              <w:right w:val="single" w:sz="4" w:space="0" w:color="auto"/>
            </w:tcBorders>
            <w:shd w:val="clear" w:color="auto" w:fill="auto"/>
            <w:noWrap/>
            <w:vAlign w:val="center"/>
            <w:hideMark/>
          </w:tcPr>
          <w:p w14:paraId="49A0E540" w14:textId="77777777" w:rsidR="00C96D0A" w:rsidRPr="004F58B9" w:rsidRDefault="00C96D0A" w:rsidP="00004824">
            <w:pPr>
              <w:jc w:val="center"/>
              <w:rPr>
                <w:rFonts w:cs="Arial"/>
                <w:szCs w:val="18"/>
                <w:lang w:val="de-DE"/>
              </w:rPr>
            </w:pPr>
            <w:r w:rsidRPr="004F58B9">
              <w:rPr>
                <w:rFonts w:cs="Arial"/>
                <w:szCs w:val="18"/>
                <w:lang w:val="de-DE"/>
              </w:rPr>
              <w:t>nicht homogen*</w:t>
            </w:r>
          </w:p>
        </w:tc>
        <w:tc>
          <w:tcPr>
            <w:tcW w:w="1559" w:type="dxa"/>
            <w:tcBorders>
              <w:top w:val="single" w:sz="4" w:space="0" w:color="auto"/>
              <w:bottom w:val="single" w:sz="4" w:space="0" w:color="auto"/>
              <w:right w:val="single" w:sz="4" w:space="0" w:color="auto"/>
            </w:tcBorders>
            <w:shd w:val="clear" w:color="auto" w:fill="auto"/>
            <w:vAlign w:val="center"/>
          </w:tcPr>
          <w:p w14:paraId="3C87A7EF" w14:textId="77777777" w:rsidR="00C96D0A" w:rsidRPr="004F58B9" w:rsidRDefault="00C96D0A" w:rsidP="00004824">
            <w:pPr>
              <w:jc w:val="center"/>
              <w:rPr>
                <w:szCs w:val="18"/>
                <w:lang w:val="de-DE"/>
              </w:rPr>
            </w:pPr>
            <w:r w:rsidRPr="004F58B9">
              <w:rPr>
                <w:szCs w:val="18"/>
                <w:lang w:val="de-DE"/>
              </w:rPr>
              <w:t>nicht homogen*</w:t>
            </w:r>
          </w:p>
        </w:tc>
      </w:tr>
    </w:tbl>
    <w:p w14:paraId="7A9B0F67" w14:textId="77777777" w:rsidR="00C96D0A" w:rsidRPr="004F58B9" w:rsidRDefault="00C96D0A" w:rsidP="00C96D0A">
      <w:pPr>
        <w:spacing w:after="240"/>
        <w:rPr>
          <w:b/>
          <w:caps/>
          <w:sz w:val="14"/>
          <w:szCs w:val="24"/>
          <w:lang w:val="de-DE"/>
        </w:rPr>
      </w:pPr>
    </w:p>
    <w:p w14:paraId="29AACDDE" w14:textId="77777777" w:rsidR="00C96D0A" w:rsidRPr="004F58B9" w:rsidRDefault="00C96D0A" w:rsidP="00C96D0A">
      <w:pPr>
        <w:keepNext/>
        <w:keepLines/>
        <w:rPr>
          <w:lang w:val="de-DE"/>
        </w:rPr>
      </w:pPr>
      <w:r w:rsidRPr="004F58B9">
        <w:rPr>
          <w:lang w:val="de-DE"/>
        </w:rPr>
        <w:t>* Bei der Bewertung von Ergebnissen, die zwischen den Wachstumsperioden sehr unterschiedlich sind, muss mit größter Sorgfalt verfahren werden, etwa wenn ein Abweichertyp in einer Wachstumsperiode sehr häufig und in einer anderen überhaupt nicht vorkommt. Gegebenenfalls sollte eine statistische Prüfung auf Konsistenz durchgeführt werden. Es ist wichtig, zu erkennen, ob Unterschiede in der Anzahl von Abweichern zwischen Wachstumsperioden durch Umweltursachen oder Unterschiede in der Art der Probennahme bedingt sind.</w:t>
      </w:r>
    </w:p>
    <w:p w14:paraId="18A88369" w14:textId="77777777" w:rsidR="00C96D0A" w:rsidRPr="004F58B9" w:rsidRDefault="00C96D0A" w:rsidP="00C96D0A">
      <w:pPr>
        <w:keepNext/>
        <w:keepLines/>
        <w:rPr>
          <w:sz w:val="18"/>
          <w:lang w:val="de-DE"/>
        </w:rPr>
      </w:pPr>
    </w:p>
    <w:p w14:paraId="13C60ABF" w14:textId="77777777" w:rsidR="00C96D0A" w:rsidRPr="004F58B9" w:rsidRDefault="00C96D0A" w:rsidP="00C96D0A">
      <w:pPr>
        <w:keepNext/>
        <w:keepLines/>
        <w:rPr>
          <w:lang w:val="de-DE"/>
        </w:rPr>
      </w:pPr>
      <w:r w:rsidRPr="004F58B9">
        <w:rPr>
          <w:lang w:val="de-DE"/>
        </w:rPr>
        <w:t>** Wenn eine Sorte in der ersten Wachstumsperiode einen festgelegten oberen Grenzwert für Abweicher übersteigt, kann die Sorte nach einer Wachstumsperiode zurückgewiesen werden.</w:t>
      </w:r>
    </w:p>
    <w:p w14:paraId="2F96EC52" w14:textId="77777777" w:rsidR="00C96D0A" w:rsidRPr="004F58B9" w:rsidRDefault="00C96D0A" w:rsidP="00C96D0A">
      <w:pPr>
        <w:rPr>
          <w:lang w:val="de-DE"/>
        </w:rPr>
      </w:pPr>
    </w:p>
    <w:p w14:paraId="4BF4E2B3" w14:textId="77777777" w:rsidR="00C96D0A" w:rsidRPr="004F58B9" w:rsidRDefault="00C96D0A" w:rsidP="00C96D0A">
      <w:pPr>
        <w:rPr>
          <w:lang w:val="de-DE"/>
        </w:rPr>
      </w:pPr>
    </w:p>
    <w:p w14:paraId="0CA9CFDC" w14:textId="77777777" w:rsidR="00C96D0A" w:rsidRPr="004F58B9" w:rsidRDefault="00C96D0A" w:rsidP="00C96D0A">
      <w:pPr>
        <w:rPr>
          <w:u w:val="single"/>
          <w:lang w:val="de-DE"/>
        </w:rPr>
      </w:pPr>
      <w:r w:rsidRPr="004F58B9">
        <w:rPr>
          <w:u w:val="single"/>
          <w:lang w:val="de-DE"/>
        </w:rPr>
        <w:t>Neuer Abschnitt 4.8: Prüfung der Homogenität anhand von Abweichern aufgrund von Unterproben in einer Prüfung/einem Versuch</w:t>
      </w:r>
    </w:p>
    <w:p w14:paraId="6997F4CD" w14:textId="77777777" w:rsidR="00C96D0A" w:rsidRPr="004F58B9" w:rsidRDefault="00C96D0A" w:rsidP="00C96D0A">
      <w:pPr>
        <w:rPr>
          <w:lang w:val="de-DE"/>
        </w:rPr>
      </w:pPr>
    </w:p>
    <w:p w14:paraId="05973A10" w14:textId="77777777" w:rsidR="00C96D0A" w:rsidRPr="004F58B9" w:rsidRDefault="00C96D0A" w:rsidP="00C96D0A">
      <w:pPr>
        <w:ind w:firstLine="567"/>
        <w:rPr>
          <w:i/>
          <w:lang w:val="de-DE"/>
        </w:rPr>
      </w:pPr>
      <w:r w:rsidRPr="004F58B9">
        <w:rPr>
          <w:i/>
          <w:lang w:val="de-DE"/>
        </w:rPr>
        <w:t xml:space="preserve">Ansatz: Verwendung von Unterproben als ein erster Prüfungsschritt </w:t>
      </w:r>
    </w:p>
    <w:p w14:paraId="159B2645" w14:textId="77777777" w:rsidR="00C96D0A" w:rsidRPr="004F58B9" w:rsidRDefault="00C96D0A" w:rsidP="00C96D0A">
      <w:pPr>
        <w:rPr>
          <w:b/>
          <w:lang w:val="de-DE"/>
        </w:rPr>
      </w:pPr>
    </w:p>
    <w:p w14:paraId="7C17F037" w14:textId="77777777" w:rsidR="00C96D0A" w:rsidRPr="004F58B9" w:rsidRDefault="00C96D0A" w:rsidP="00C96D0A">
      <w:pPr>
        <w:rPr>
          <w:lang w:val="de-DE"/>
        </w:rPr>
      </w:pPr>
      <w:r w:rsidRPr="004F58B9">
        <w:rPr>
          <w:lang w:val="de-DE"/>
        </w:rPr>
        <w:t xml:space="preserve">Eine Sorte wird als homogen </w:t>
      </w:r>
      <w:r w:rsidRPr="004F58B9">
        <w:rPr>
          <w:rFonts w:eastAsia="SimSun"/>
          <w:lang w:val="de-DE" w:eastAsia="zh-CN"/>
        </w:rPr>
        <w:t>angesehen</w:t>
      </w:r>
      <w:r w:rsidRPr="004F58B9">
        <w:rPr>
          <w:lang w:val="de-DE"/>
        </w:rPr>
        <w:t>, wenn die Anzahl der Abweicher einen festgelegten unteren Grenzwert in der Unterprobe nicht übersteigt.</w:t>
      </w:r>
    </w:p>
    <w:p w14:paraId="3D67754D" w14:textId="77777777" w:rsidR="00C96D0A" w:rsidRPr="004F58B9" w:rsidRDefault="00C96D0A" w:rsidP="00C96D0A">
      <w:pPr>
        <w:rPr>
          <w:lang w:val="de-DE"/>
        </w:rPr>
      </w:pPr>
    </w:p>
    <w:p w14:paraId="450BE69C" w14:textId="77777777" w:rsidR="00C96D0A" w:rsidRPr="004F58B9" w:rsidRDefault="00C96D0A" w:rsidP="00C96D0A">
      <w:pPr>
        <w:rPr>
          <w:lang w:val="de-DE"/>
        </w:rPr>
      </w:pPr>
      <w:r w:rsidRPr="004F58B9">
        <w:rPr>
          <w:lang w:val="de-DE"/>
        </w:rPr>
        <w:t xml:space="preserve">Eine Sorte wird als nicht homogen </w:t>
      </w:r>
      <w:r w:rsidRPr="004F58B9">
        <w:rPr>
          <w:rFonts w:eastAsia="SimSun"/>
          <w:lang w:val="de-DE" w:eastAsia="zh-CN"/>
        </w:rPr>
        <w:t>angesehen</w:t>
      </w:r>
      <w:r w:rsidRPr="004F58B9">
        <w:rPr>
          <w:lang w:val="de-DE"/>
        </w:rPr>
        <w:t>, wenn die Anzahl der Abweicher einen festgelegten oberen Grenzwert in der Unterprobe übersteigt.</w:t>
      </w:r>
    </w:p>
    <w:p w14:paraId="749ACE21" w14:textId="77777777" w:rsidR="00C96D0A" w:rsidRPr="004F58B9" w:rsidRDefault="00C96D0A" w:rsidP="00C96D0A">
      <w:pPr>
        <w:rPr>
          <w:lang w:val="de-DE"/>
        </w:rPr>
      </w:pPr>
    </w:p>
    <w:p w14:paraId="71E2B18F" w14:textId="77777777" w:rsidR="00C96D0A" w:rsidRPr="004F58B9" w:rsidRDefault="00C96D0A" w:rsidP="00C96D0A">
      <w:pPr>
        <w:rPr>
          <w:lang w:val="de-DE"/>
        </w:rPr>
      </w:pPr>
      <w:r w:rsidRPr="004F58B9">
        <w:rPr>
          <w:lang w:val="de-DE"/>
        </w:rPr>
        <w:t>Ist die Anzahl an Abweichern zwischen den festgelegten unteren und oberen Grenzwerten, wird die gesamte Stichprobe untersucht. Die unteren und oberen Grenzwerte müssen unter Berücksichtigung vergleichbarer Fehler vom Typ I und Typ II in der Unterprobe und der Gesamtstichprobe gewählt werden.</w:t>
      </w:r>
    </w:p>
    <w:p w14:paraId="20C2B89B" w14:textId="77777777" w:rsidR="00C96D0A" w:rsidRPr="004F58B9" w:rsidRDefault="00C96D0A" w:rsidP="00C96D0A">
      <w:pPr>
        <w:rPr>
          <w:szCs w:val="24"/>
          <w:lang w:val="de-DE"/>
        </w:rPr>
      </w:pPr>
    </w:p>
    <w:p w14:paraId="6930DD4F" w14:textId="77777777" w:rsidR="00C96D0A" w:rsidRPr="004F58B9" w:rsidRDefault="00C96D0A" w:rsidP="00C96D0A">
      <w:pPr>
        <w:ind w:left="284"/>
        <w:rPr>
          <w:i/>
          <w:szCs w:val="24"/>
          <w:lang w:val="de-DE"/>
        </w:rPr>
      </w:pPr>
      <w:r w:rsidRPr="004F58B9">
        <w:rPr>
          <w:i/>
          <w:szCs w:val="24"/>
          <w:lang w:val="de-DE"/>
        </w:rPr>
        <w:t>Beispiel:</w:t>
      </w:r>
    </w:p>
    <w:p w14:paraId="12A71916" w14:textId="77777777" w:rsidR="00C96D0A" w:rsidRPr="004F58B9" w:rsidRDefault="00C96D0A" w:rsidP="00C96D0A">
      <w:pPr>
        <w:ind w:left="284"/>
        <w:rPr>
          <w:szCs w:val="24"/>
          <w:lang w:val="de-DE"/>
        </w:rPr>
      </w:pPr>
    </w:p>
    <w:p w14:paraId="2F7A1E5C" w14:textId="77777777" w:rsidR="00C96D0A" w:rsidRPr="004F58B9" w:rsidRDefault="00C96D0A" w:rsidP="00C96D0A">
      <w:pPr>
        <w:autoSpaceDE w:val="0"/>
        <w:autoSpaceDN w:val="0"/>
        <w:adjustRightInd w:val="0"/>
        <w:ind w:left="284" w:right="283"/>
        <w:rPr>
          <w:color w:val="000000"/>
          <w:szCs w:val="24"/>
          <w:lang w:val="de-DE"/>
        </w:rPr>
      </w:pPr>
      <w:r w:rsidRPr="004F58B9">
        <w:rPr>
          <w:color w:val="000000"/>
          <w:szCs w:val="24"/>
          <w:lang w:val="de-DE"/>
        </w:rPr>
        <w:t>In einer Probengröße von 100 Pflanzen beträgt die akzeptierte Anzahl an Abweichern 3 (ausgehend von einem Populationsstandard von 1% und einer Akzeptanzwahrscheinlichkeit von mindestens 95%).</w:t>
      </w:r>
    </w:p>
    <w:p w14:paraId="7AEB8031" w14:textId="77777777" w:rsidR="00C96D0A" w:rsidRPr="004F58B9" w:rsidRDefault="00C96D0A" w:rsidP="00C96D0A">
      <w:pPr>
        <w:autoSpaceDE w:val="0"/>
        <w:autoSpaceDN w:val="0"/>
        <w:adjustRightInd w:val="0"/>
        <w:ind w:left="284" w:right="283"/>
        <w:rPr>
          <w:color w:val="000000"/>
          <w:szCs w:val="24"/>
          <w:lang w:val="de-DE"/>
        </w:rPr>
      </w:pPr>
    </w:p>
    <w:p w14:paraId="37A1D0A9" w14:textId="77777777" w:rsidR="00C96D0A" w:rsidRPr="004F58B9" w:rsidRDefault="00C96D0A" w:rsidP="00C96D0A">
      <w:pPr>
        <w:autoSpaceDE w:val="0"/>
        <w:autoSpaceDN w:val="0"/>
        <w:adjustRightInd w:val="0"/>
        <w:ind w:left="284" w:right="283"/>
        <w:rPr>
          <w:color w:val="000000"/>
          <w:szCs w:val="24"/>
          <w:lang w:val="de-DE"/>
        </w:rPr>
      </w:pPr>
      <w:r w:rsidRPr="004F58B9">
        <w:rPr>
          <w:color w:val="000000"/>
          <w:szCs w:val="24"/>
          <w:lang w:val="de-DE"/>
        </w:rPr>
        <w:t>In einer Unterprobe von 20 Pflanzen, die in Zusammenhang mit der oben genannten Probengröße von 100 Pflanzen verwendet wird, gilt folgendes:</w:t>
      </w:r>
    </w:p>
    <w:p w14:paraId="55CEBCC8" w14:textId="77777777" w:rsidR="00C96D0A" w:rsidRPr="004F58B9" w:rsidRDefault="00C96D0A" w:rsidP="00C96D0A">
      <w:pPr>
        <w:autoSpaceDE w:val="0"/>
        <w:autoSpaceDN w:val="0"/>
        <w:adjustRightInd w:val="0"/>
        <w:ind w:left="284" w:right="283"/>
        <w:rPr>
          <w:color w:val="000000"/>
          <w:szCs w:val="24"/>
          <w:lang w:val="de-DE"/>
        </w:rPr>
      </w:pPr>
    </w:p>
    <w:p w14:paraId="772D393E" w14:textId="77777777" w:rsidR="00C96D0A" w:rsidRPr="004F58B9" w:rsidRDefault="00C96D0A" w:rsidP="00C96D0A">
      <w:pPr>
        <w:numPr>
          <w:ilvl w:val="0"/>
          <w:numId w:val="18"/>
        </w:numPr>
        <w:ind w:left="993" w:right="283"/>
        <w:contextualSpacing/>
        <w:rPr>
          <w:lang w:val="de-DE"/>
        </w:rPr>
      </w:pPr>
      <w:r w:rsidRPr="004F58B9">
        <w:rPr>
          <w:lang w:val="de-DE"/>
        </w:rPr>
        <w:t xml:space="preserve">Eine Sorte wird als homogen </w:t>
      </w:r>
      <w:r w:rsidRPr="004F58B9">
        <w:rPr>
          <w:rFonts w:eastAsia="SimSun"/>
          <w:lang w:val="de-DE" w:eastAsia="zh-CN"/>
        </w:rPr>
        <w:t>angesehen</w:t>
      </w:r>
      <w:r w:rsidRPr="004F58B9">
        <w:rPr>
          <w:lang w:val="de-DE"/>
        </w:rPr>
        <w:t>, wenn die Unterprobe keine Abweicher aufweist.</w:t>
      </w:r>
    </w:p>
    <w:p w14:paraId="1CF9F1A4" w14:textId="77777777" w:rsidR="00C96D0A" w:rsidRPr="004F58B9" w:rsidRDefault="00C96D0A" w:rsidP="00C96D0A">
      <w:pPr>
        <w:ind w:left="993" w:right="283"/>
        <w:rPr>
          <w:lang w:val="de-DE"/>
        </w:rPr>
      </w:pPr>
    </w:p>
    <w:p w14:paraId="3BB7ECA2" w14:textId="77777777" w:rsidR="00C96D0A" w:rsidRPr="004F58B9" w:rsidRDefault="00C96D0A" w:rsidP="00C96D0A">
      <w:pPr>
        <w:numPr>
          <w:ilvl w:val="0"/>
          <w:numId w:val="18"/>
        </w:numPr>
        <w:ind w:left="993" w:right="283"/>
        <w:contextualSpacing/>
        <w:rPr>
          <w:lang w:val="de-DE"/>
        </w:rPr>
      </w:pPr>
      <w:r w:rsidRPr="004F58B9">
        <w:rPr>
          <w:lang w:val="de-DE"/>
        </w:rPr>
        <w:t xml:space="preserve">Eine Sorte wird als nicht homogen </w:t>
      </w:r>
      <w:r w:rsidRPr="004F58B9">
        <w:rPr>
          <w:rFonts w:eastAsia="SimSun"/>
          <w:lang w:val="de-DE" w:eastAsia="zh-CN"/>
        </w:rPr>
        <w:t>angesehen</w:t>
      </w:r>
      <w:r w:rsidRPr="004F58B9">
        <w:rPr>
          <w:lang w:val="de-DE"/>
        </w:rPr>
        <w:t>, wenn die Unterprobe mehr als 3 Abweicher aufweist.</w:t>
      </w:r>
    </w:p>
    <w:p w14:paraId="19FDC457" w14:textId="77777777" w:rsidR="00C96D0A" w:rsidRPr="004F58B9" w:rsidRDefault="00C96D0A" w:rsidP="00C96D0A">
      <w:pPr>
        <w:ind w:left="993" w:right="283"/>
        <w:rPr>
          <w:lang w:val="de-DE"/>
        </w:rPr>
      </w:pPr>
    </w:p>
    <w:p w14:paraId="37620E01" w14:textId="77777777" w:rsidR="00C96D0A" w:rsidRPr="004F58B9" w:rsidRDefault="00C96D0A" w:rsidP="00C96D0A">
      <w:pPr>
        <w:numPr>
          <w:ilvl w:val="0"/>
          <w:numId w:val="18"/>
        </w:numPr>
        <w:ind w:left="993" w:right="283"/>
        <w:contextualSpacing/>
        <w:rPr>
          <w:lang w:val="de-DE"/>
        </w:rPr>
      </w:pPr>
      <w:r w:rsidRPr="004F58B9">
        <w:rPr>
          <w:lang w:val="de-DE"/>
        </w:rPr>
        <w:t>Ist die Anzahl der Abweicher 1 bis 3, so wird die gesamte Probe von 100 Pflanzen geprüft.</w:t>
      </w:r>
    </w:p>
    <w:p w14:paraId="47C01261" w14:textId="77777777" w:rsidR="00C96D0A" w:rsidRPr="004F58B9" w:rsidRDefault="00C96D0A" w:rsidP="00C96D0A">
      <w:pPr>
        <w:ind w:left="993" w:right="283"/>
        <w:rPr>
          <w:lang w:val="de-DE"/>
        </w:rPr>
      </w:pPr>
    </w:p>
    <w:p w14:paraId="2E8E0129" w14:textId="77777777" w:rsidR="00C96D0A" w:rsidRPr="004F58B9" w:rsidRDefault="00C96D0A" w:rsidP="00C96D0A">
      <w:pPr>
        <w:numPr>
          <w:ilvl w:val="0"/>
          <w:numId w:val="18"/>
        </w:numPr>
        <w:ind w:left="993" w:right="283"/>
        <w:contextualSpacing/>
        <w:rPr>
          <w:lang w:val="de-DE"/>
        </w:rPr>
      </w:pPr>
      <w:r w:rsidRPr="004F58B9">
        <w:rPr>
          <w:rFonts w:cs="Arial"/>
          <w:lang w:val="de-DE"/>
        </w:rPr>
        <w:t xml:space="preserve">Die Sorte wird als nicht homogen </w:t>
      </w:r>
      <w:r w:rsidRPr="004F58B9">
        <w:rPr>
          <w:rFonts w:eastAsia="SimSun"/>
          <w:lang w:val="de-DE" w:eastAsia="zh-CN"/>
        </w:rPr>
        <w:t>angesehen</w:t>
      </w:r>
      <w:r w:rsidRPr="004F58B9">
        <w:rPr>
          <w:rFonts w:cs="Arial"/>
          <w:lang w:val="de-DE"/>
        </w:rPr>
        <w:t>, wenn die Anzahl der Abweicher in der Probe mit 100 Pflanzen größer als 3 ist.</w:t>
      </w:r>
    </w:p>
    <w:p w14:paraId="18CF4748" w14:textId="77777777" w:rsidR="00C96D0A" w:rsidRPr="004F58B9" w:rsidRDefault="00C96D0A" w:rsidP="00C96D0A">
      <w:pPr>
        <w:rPr>
          <w:lang w:val="de-DE"/>
        </w:rPr>
      </w:pPr>
    </w:p>
    <w:p w14:paraId="61656163" w14:textId="77777777" w:rsidR="00B964D9" w:rsidRPr="00652E2A" w:rsidRDefault="00B964D9" w:rsidP="00273B07">
      <w:pPr>
        <w:rPr>
          <w:lang w:val="de-DE"/>
        </w:rPr>
      </w:pPr>
    </w:p>
    <w:p w14:paraId="0955FC2B" w14:textId="77777777" w:rsidR="00B964D9" w:rsidRPr="00652E2A" w:rsidRDefault="00B964D9" w:rsidP="00273B07">
      <w:pPr>
        <w:rPr>
          <w:lang w:val="de-DE"/>
        </w:rPr>
      </w:pPr>
    </w:p>
    <w:p w14:paraId="42B7B1FF" w14:textId="77777777" w:rsidR="00B964D9" w:rsidRPr="00652E2A" w:rsidRDefault="00B964D9" w:rsidP="00B964D9">
      <w:pPr>
        <w:jc w:val="right"/>
        <w:rPr>
          <w:lang w:val="de-DE"/>
        </w:rPr>
      </w:pPr>
      <w:r w:rsidRPr="00652E2A">
        <w:rPr>
          <w:lang w:val="de-DE"/>
        </w:rPr>
        <w:t>[Anlage IV folgt]</w:t>
      </w:r>
    </w:p>
    <w:p w14:paraId="1C345C34" w14:textId="77777777" w:rsidR="00273B07" w:rsidRPr="00652E2A" w:rsidRDefault="00273B07" w:rsidP="00273B07">
      <w:pPr>
        <w:rPr>
          <w:lang w:val="de-DE"/>
        </w:rPr>
        <w:sectPr w:rsidR="00273B07" w:rsidRPr="00652E2A" w:rsidSect="00273B07">
          <w:headerReference w:type="default" r:id="rId18"/>
          <w:headerReference w:type="first" r:id="rId19"/>
          <w:footnotePr>
            <w:numRestart w:val="eachSect"/>
          </w:footnotePr>
          <w:pgSz w:w="11907" w:h="16840" w:code="9"/>
          <w:pgMar w:top="510" w:right="1134" w:bottom="709" w:left="1134" w:header="510" w:footer="680" w:gutter="0"/>
          <w:pgNumType w:start="1"/>
          <w:cols w:space="720"/>
          <w:titlePg/>
        </w:sectPr>
      </w:pPr>
    </w:p>
    <w:p w14:paraId="7466986C" w14:textId="77777777" w:rsidR="00171E39" w:rsidRPr="004F58B9" w:rsidRDefault="00171E39" w:rsidP="00171E39">
      <w:pPr>
        <w:jc w:val="center"/>
        <w:rPr>
          <w:caps/>
          <w:lang w:val="de-DE"/>
        </w:rPr>
      </w:pPr>
      <w:r w:rsidRPr="004F58B9">
        <w:rPr>
          <w:lang w:val="de-DE"/>
        </w:rPr>
        <w:lastRenderedPageBreak/>
        <w:t>ÜBERARBEITUNGEN VON DOKUMENT</w:t>
      </w:r>
      <w:r w:rsidRPr="004F58B9">
        <w:rPr>
          <w:sz w:val="18"/>
          <w:lang w:val="de-DE"/>
        </w:rPr>
        <w:t xml:space="preserve"> </w:t>
      </w:r>
      <w:r w:rsidRPr="004F58B9">
        <w:rPr>
          <w:caps/>
          <w:lang w:val="de-DE"/>
        </w:rPr>
        <w:t xml:space="preserve">TGP/14 </w:t>
      </w:r>
      <w:r w:rsidRPr="004F58B9">
        <w:rPr>
          <w:caps/>
          <w:lang w:val="de-DE"/>
        </w:rPr>
        <w:br/>
        <w:t>„</w:t>
      </w:r>
      <w:r w:rsidRPr="004F58B9">
        <w:rPr>
          <w:lang w:val="de-DE"/>
        </w:rPr>
        <w:t>GLOSSAR DER IN DEN UPOV-DOKUMENTEN VERWENDETEN BEGRIFFE</w:t>
      </w:r>
      <w:r w:rsidRPr="004F58B9">
        <w:rPr>
          <w:rFonts w:cs="Arial"/>
          <w:lang w:val="de-DE"/>
        </w:rPr>
        <w:t>“</w:t>
      </w:r>
    </w:p>
    <w:p w14:paraId="1EF257D1" w14:textId="77777777" w:rsidR="00171E39" w:rsidRPr="004F58B9" w:rsidRDefault="00171E39" w:rsidP="00171E39">
      <w:pPr>
        <w:jc w:val="center"/>
        <w:rPr>
          <w:lang w:val="de-DE"/>
        </w:rPr>
      </w:pPr>
      <w:r w:rsidRPr="004F58B9">
        <w:rPr>
          <w:lang w:val="de-DE"/>
        </w:rPr>
        <w:t xml:space="preserve">VEREINBART VOM TECHNISCHEN AUSSCHUSS AUF </w:t>
      </w:r>
      <w:r w:rsidRPr="004F58B9">
        <w:rPr>
          <w:lang w:val="de-DE"/>
        </w:rPr>
        <w:br/>
        <w:t>SEINER DREIUNDFÜNFZIGSTEN</w:t>
      </w:r>
      <w:r w:rsidRPr="004F58B9">
        <w:rPr>
          <w:rStyle w:val="FootnoteReference"/>
          <w:lang w:val="de-DE"/>
        </w:rPr>
        <w:footnoteReference w:id="21"/>
      </w:r>
      <w:r w:rsidRPr="004F58B9">
        <w:rPr>
          <w:lang w:val="de-DE"/>
        </w:rPr>
        <w:t xml:space="preserve"> UND VIERUNDFÜNFZIGSTEN</w:t>
      </w:r>
      <w:r w:rsidRPr="004F58B9">
        <w:rPr>
          <w:rStyle w:val="FootnoteReference"/>
          <w:lang w:val="de-DE"/>
        </w:rPr>
        <w:footnoteReference w:id="22"/>
      </w:r>
      <w:r w:rsidRPr="004F58B9">
        <w:rPr>
          <w:lang w:val="de-DE"/>
        </w:rPr>
        <w:t xml:space="preserve"> TAGUNG</w:t>
      </w:r>
    </w:p>
    <w:p w14:paraId="521FB06F" w14:textId="77777777" w:rsidR="00171E39" w:rsidRPr="004F58B9" w:rsidRDefault="00171E39" w:rsidP="00171E39">
      <w:pPr>
        <w:rPr>
          <w:lang w:val="de-DE"/>
        </w:rPr>
      </w:pPr>
    </w:p>
    <w:p w14:paraId="24C0856B" w14:textId="77777777" w:rsidR="00171E39" w:rsidRPr="004F58B9" w:rsidRDefault="00171E39" w:rsidP="00171E39">
      <w:pPr>
        <w:rPr>
          <w:lang w:val="de-DE"/>
        </w:rPr>
      </w:pPr>
    </w:p>
    <w:p w14:paraId="08CB0D5A" w14:textId="77777777" w:rsidR="00171E39" w:rsidRPr="004F58B9" w:rsidRDefault="00171E39" w:rsidP="00171E39">
      <w:pPr>
        <w:rPr>
          <w:u w:val="single"/>
          <w:lang w:val="de-DE"/>
        </w:rPr>
      </w:pPr>
      <w:r w:rsidRPr="004F58B9">
        <w:rPr>
          <w:u w:val="single"/>
          <w:lang w:val="de-DE"/>
        </w:rPr>
        <w:t>i)</w:t>
      </w:r>
      <w:r w:rsidRPr="004F58B9">
        <w:rPr>
          <w:u w:val="single"/>
          <w:lang w:val="de-DE"/>
        </w:rPr>
        <w:tab/>
        <w:t>Illustrationen für Form- und Verhältnismerkmale</w:t>
      </w:r>
    </w:p>
    <w:p w14:paraId="70CBE100" w14:textId="77777777" w:rsidR="00171E39" w:rsidRPr="004F58B9" w:rsidRDefault="00171E39" w:rsidP="00171E39">
      <w:pPr>
        <w:rPr>
          <w:snapToGrid w:val="0"/>
          <w:lang w:val="de-DE"/>
        </w:rPr>
      </w:pPr>
    </w:p>
    <w:p w14:paraId="5883BCC0" w14:textId="77777777" w:rsidR="00171E39" w:rsidRPr="004F58B9" w:rsidRDefault="00171E39" w:rsidP="00171E39">
      <w:pPr>
        <w:rPr>
          <w:lang w:val="de-DE"/>
        </w:rPr>
      </w:pPr>
      <w:r w:rsidRPr="004F58B9">
        <w:rPr>
          <w:lang w:val="de-DE"/>
        </w:rPr>
        <w:fldChar w:fldCharType="begin"/>
      </w:r>
      <w:r w:rsidRPr="004F58B9">
        <w:rPr>
          <w:lang w:val="de-DE"/>
        </w:rPr>
        <w:instrText xml:space="preserve"> AUTONUM  </w:instrText>
      </w:r>
      <w:r w:rsidRPr="004F58B9">
        <w:rPr>
          <w:lang w:val="de-DE"/>
        </w:rPr>
        <w:fldChar w:fldCharType="end"/>
      </w:r>
      <w:r w:rsidRPr="004F58B9">
        <w:rPr>
          <w:lang w:val="de-DE"/>
        </w:rPr>
        <w:tab/>
        <w:t>Auf seiner dreiundfünfzigsten Tagung vereinbarte der TC, Dokument TGP/14: Abschnitt 2: Unterabschnitt 2: „Formen und Strukturen“ zu überarbeiten, um das Raster für die Position der breitesten Stelle und Breite/Verhältnis, dargelegt in Beispiel 5, Alternative 2, zu ändern, den Wortlaut „Verhältnis“ zu streichen und in einer von der Skala von „breit bis schmal“ separaten Spalte mit „relative Breite“ zu ersetzen, wie in Anlage III dieses Dokuments dargelegt (vergleiche Dokument TC/53/31 „Bericht“, Absatz 141). (</w:t>
      </w:r>
      <w:r w:rsidRPr="004F58B9">
        <w:rPr>
          <w:strike/>
          <w:highlight w:val="lightGray"/>
          <w:lang w:val="de-DE"/>
        </w:rPr>
        <w:t>Hervorheben und Durchstreichen</w:t>
      </w:r>
      <w:r w:rsidRPr="004F58B9">
        <w:rPr>
          <w:lang w:val="de-DE"/>
        </w:rPr>
        <w:t xml:space="preserve"> für Streichungen und </w:t>
      </w:r>
      <w:r w:rsidRPr="004F58B9">
        <w:rPr>
          <w:highlight w:val="lightGray"/>
          <w:u w:val="single"/>
          <w:lang w:val="de-DE"/>
        </w:rPr>
        <w:t>Hervorheben und Unterstreichen</w:t>
      </w:r>
      <w:r w:rsidRPr="004F58B9">
        <w:rPr>
          <w:u w:val="single"/>
          <w:lang w:val="de-DE"/>
        </w:rPr>
        <w:t xml:space="preserve"> für Einfügung</w:t>
      </w:r>
      <w:r w:rsidRPr="004F58B9">
        <w:rPr>
          <w:lang w:val="de-DE"/>
        </w:rPr>
        <w:t>):</w:t>
      </w:r>
    </w:p>
    <w:p w14:paraId="50ED066A" w14:textId="77777777" w:rsidR="00171E39" w:rsidRPr="004F58B9" w:rsidRDefault="00171E39" w:rsidP="00171E39">
      <w:pPr>
        <w:rPr>
          <w:lang w:val="de-DE"/>
        </w:rPr>
      </w:pPr>
    </w:p>
    <w:p w14:paraId="301BE33B" w14:textId="77777777" w:rsidR="00171E39" w:rsidRPr="004F58B9" w:rsidRDefault="00171E39" w:rsidP="00171E39">
      <w:pPr>
        <w:keepNext/>
        <w:keepLines/>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171E39" w:rsidRPr="004F58B9" w14:paraId="7C58844D" w14:textId="77777777" w:rsidTr="00004824">
        <w:trPr>
          <w:gridBefore w:val="1"/>
          <w:gridAfter w:val="1"/>
          <w:wBefore w:w="379" w:type="dxa"/>
          <w:wAfter w:w="14" w:type="dxa"/>
          <w:cantSplit/>
          <w:jc w:val="center"/>
        </w:trPr>
        <w:tc>
          <w:tcPr>
            <w:tcW w:w="422" w:type="dxa"/>
            <w:tcBorders>
              <w:top w:val="nil"/>
              <w:left w:val="nil"/>
              <w:bottom w:val="nil"/>
              <w:right w:val="nil"/>
            </w:tcBorders>
          </w:tcPr>
          <w:p w14:paraId="38E9164A" w14:textId="77777777" w:rsidR="00171E39" w:rsidRPr="004F58B9" w:rsidRDefault="00171E39" w:rsidP="00004824">
            <w:pPr>
              <w:keepNext/>
              <w:keepLines/>
              <w:jc w:val="center"/>
              <w:rPr>
                <w:sz w:val="18"/>
                <w:lang w:val="de-DE"/>
              </w:rPr>
            </w:pPr>
          </w:p>
        </w:tc>
        <w:tc>
          <w:tcPr>
            <w:tcW w:w="283" w:type="dxa"/>
            <w:gridSpan w:val="2"/>
            <w:tcBorders>
              <w:top w:val="nil"/>
              <w:left w:val="nil"/>
              <w:bottom w:val="nil"/>
              <w:right w:val="nil"/>
            </w:tcBorders>
          </w:tcPr>
          <w:p w14:paraId="6108F623" w14:textId="77777777" w:rsidR="00171E39" w:rsidRPr="004F58B9" w:rsidRDefault="00171E39" w:rsidP="00004824">
            <w:pPr>
              <w:keepNext/>
              <w:keepLines/>
              <w:jc w:val="center"/>
              <w:rPr>
                <w:sz w:val="18"/>
                <w:lang w:val="de-DE"/>
              </w:rPr>
            </w:pPr>
          </w:p>
        </w:tc>
        <w:tc>
          <w:tcPr>
            <w:tcW w:w="8357" w:type="dxa"/>
            <w:gridSpan w:val="9"/>
            <w:tcBorders>
              <w:left w:val="single" w:sz="4" w:space="0" w:color="auto"/>
              <w:bottom w:val="nil"/>
            </w:tcBorders>
          </w:tcPr>
          <w:p w14:paraId="2FD79414" w14:textId="77777777" w:rsidR="00171E39" w:rsidRPr="004F58B9" w:rsidRDefault="00171E39" w:rsidP="00004824">
            <w:pPr>
              <w:keepNext/>
              <w:keepLines/>
              <w:jc w:val="center"/>
              <w:rPr>
                <w:sz w:val="18"/>
                <w:lang w:val="de-DE"/>
              </w:rPr>
            </w:pPr>
            <w:r w:rsidRPr="004F58B9">
              <w:rPr>
                <w:sz w:val="18"/>
                <w:lang w:val="de-DE"/>
              </w:rPr>
              <w:tab/>
            </w:r>
            <w:r w:rsidRPr="004F58B9">
              <w:rPr>
                <w:sz w:val="18"/>
                <w:lang w:val="de-DE"/>
              </w:rPr>
              <w:sym w:font="Wingdings" w:char="F0DF"/>
            </w:r>
            <w:r w:rsidRPr="004F58B9">
              <w:rPr>
                <w:sz w:val="18"/>
                <w:lang w:val="de-DE"/>
              </w:rPr>
              <w:tab/>
            </w:r>
            <w:r w:rsidRPr="004F58B9">
              <w:rPr>
                <w:sz w:val="18"/>
                <w:lang w:val="de-DE"/>
              </w:rPr>
              <w:tab/>
              <w:t>breitester Teil</w:t>
            </w:r>
            <w:r w:rsidRPr="004F58B9">
              <w:rPr>
                <w:sz w:val="18"/>
                <w:lang w:val="de-DE"/>
              </w:rPr>
              <w:tab/>
            </w:r>
            <w:r w:rsidRPr="004F58B9">
              <w:rPr>
                <w:sz w:val="18"/>
                <w:lang w:val="de-DE"/>
              </w:rPr>
              <w:tab/>
            </w:r>
            <w:r w:rsidRPr="004F58B9">
              <w:rPr>
                <w:sz w:val="18"/>
                <w:lang w:val="de-DE"/>
              </w:rPr>
              <w:sym w:font="Wingdings" w:char="F0E0"/>
            </w:r>
            <w:r w:rsidRPr="004F58B9">
              <w:rPr>
                <w:sz w:val="18"/>
                <w:lang w:val="de-DE"/>
              </w:rPr>
              <w:t xml:space="preserve"> </w:t>
            </w:r>
            <w:r w:rsidRPr="004F58B9">
              <w:rPr>
                <w:sz w:val="18"/>
                <w:lang w:val="de-DE"/>
              </w:rPr>
              <w:tab/>
            </w:r>
          </w:p>
        </w:tc>
      </w:tr>
      <w:tr w:rsidR="00171E39" w:rsidRPr="004F58B9" w14:paraId="5945C412" w14:textId="77777777" w:rsidTr="00004824">
        <w:trPr>
          <w:gridBefore w:val="1"/>
          <w:gridAfter w:val="1"/>
          <w:wBefore w:w="379" w:type="dxa"/>
          <w:wAfter w:w="14" w:type="dxa"/>
          <w:cantSplit/>
          <w:jc w:val="center"/>
        </w:trPr>
        <w:tc>
          <w:tcPr>
            <w:tcW w:w="422" w:type="dxa"/>
            <w:tcBorders>
              <w:top w:val="nil"/>
              <w:left w:val="nil"/>
              <w:bottom w:val="nil"/>
              <w:right w:val="nil"/>
            </w:tcBorders>
          </w:tcPr>
          <w:p w14:paraId="6AD87149" w14:textId="77777777" w:rsidR="00171E39" w:rsidRPr="004F58B9" w:rsidRDefault="00171E39" w:rsidP="00004824">
            <w:pPr>
              <w:jc w:val="center"/>
              <w:rPr>
                <w:sz w:val="18"/>
                <w:lang w:val="de-DE"/>
              </w:rPr>
            </w:pPr>
          </w:p>
        </w:tc>
        <w:tc>
          <w:tcPr>
            <w:tcW w:w="283" w:type="dxa"/>
            <w:gridSpan w:val="2"/>
            <w:tcBorders>
              <w:top w:val="nil"/>
              <w:left w:val="nil"/>
              <w:bottom w:val="nil"/>
              <w:right w:val="nil"/>
            </w:tcBorders>
          </w:tcPr>
          <w:p w14:paraId="0C7EEC58" w14:textId="77777777" w:rsidR="00171E39" w:rsidRPr="004F58B9" w:rsidRDefault="00171E39" w:rsidP="00004824">
            <w:pPr>
              <w:jc w:val="center"/>
              <w:rPr>
                <w:sz w:val="18"/>
                <w:lang w:val="de-DE"/>
              </w:rPr>
            </w:pPr>
          </w:p>
        </w:tc>
        <w:tc>
          <w:tcPr>
            <w:tcW w:w="2835" w:type="dxa"/>
            <w:gridSpan w:val="4"/>
            <w:tcBorders>
              <w:top w:val="single" w:sz="4" w:space="0" w:color="auto"/>
              <w:left w:val="single" w:sz="4" w:space="0" w:color="auto"/>
              <w:bottom w:val="single" w:sz="4" w:space="0" w:color="auto"/>
              <w:right w:val="single" w:sz="4" w:space="0" w:color="auto"/>
            </w:tcBorders>
          </w:tcPr>
          <w:p w14:paraId="7C3D91F4" w14:textId="77777777" w:rsidR="00171E39" w:rsidRPr="004F58B9" w:rsidRDefault="00171E39" w:rsidP="00004824">
            <w:pPr>
              <w:jc w:val="center"/>
              <w:rPr>
                <w:sz w:val="18"/>
                <w:lang w:val="de-DE"/>
              </w:rPr>
            </w:pPr>
            <w:r w:rsidRPr="004F58B9">
              <w:rPr>
                <w:sz w:val="18"/>
                <w:lang w:val="de-DE"/>
              </w:rPr>
              <w:t>unterhalb der Mitte</w:t>
            </w:r>
          </w:p>
        </w:tc>
        <w:tc>
          <w:tcPr>
            <w:tcW w:w="1418" w:type="dxa"/>
            <w:gridSpan w:val="2"/>
            <w:tcBorders>
              <w:top w:val="single" w:sz="4" w:space="0" w:color="auto"/>
              <w:left w:val="single" w:sz="4" w:space="0" w:color="auto"/>
              <w:bottom w:val="single" w:sz="4" w:space="0" w:color="auto"/>
              <w:right w:val="single" w:sz="4" w:space="0" w:color="auto"/>
            </w:tcBorders>
          </w:tcPr>
          <w:p w14:paraId="6115415D" w14:textId="77777777" w:rsidR="00171E39" w:rsidRPr="004F58B9" w:rsidRDefault="00171E39" w:rsidP="00004824">
            <w:pPr>
              <w:jc w:val="center"/>
              <w:rPr>
                <w:sz w:val="18"/>
                <w:lang w:val="de-DE"/>
              </w:rPr>
            </w:pPr>
            <w:r w:rsidRPr="004F58B9">
              <w:rPr>
                <w:sz w:val="18"/>
                <w:lang w:val="de-DE"/>
              </w:rPr>
              <w:t>in der Mitte</w:t>
            </w:r>
          </w:p>
        </w:tc>
        <w:tc>
          <w:tcPr>
            <w:tcW w:w="4104" w:type="dxa"/>
            <w:gridSpan w:val="3"/>
            <w:tcBorders>
              <w:top w:val="single" w:sz="4" w:space="0" w:color="auto"/>
              <w:left w:val="single" w:sz="4" w:space="0" w:color="auto"/>
              <w:bottom w:val="single" w:sz="4" w:space="0" w:color="auto"/>
              <w:right w:val="single" w:sz="4" w:space="0" w:color="auto"/>
            </w:tcBorders>
          </w:tcPr>
          <w:p w14:paraId="07797337" w14:textId="77777777" w:rsidR="00171E39" w:rsidRPr="004F58B9" w:rsidRDefault="00171E39" w:rsidP="00004824">
            <w:pPr>
              <w:jc w:val="center"/>
              <w:rPr>
                <w:sz w:val="18"/>
                <w:lang w:val="de-DE"/>
              </w:rPr>
            </w:pPr>
            <w:r w:rsidRPr="004F58B9">
              <w:rPr>
                <w:sz w:val="18"/>
                <w:lang w:val="de-DE"/>
              </w:rPr>
              <w:t>oberhalb der Mitte</w:t>
            </w:r>
          </w:p>
        </w:tc>
      </w:tr>
      <w:tr w:rsidR="00171E39" w:rsidRPr="004F58B9" w14:paraId="328AAB7F" w14:textId="77777777" w:rsidTr="00004824">
        <w:trPr>
          <w:gridBefore w:val="1"/>
          <w:wBefore w:w="379" w:type="dxa"/>
          <w:trHeight w:val="163"/>
          <w:jc w:val="center"/>
        </w:trPr>
        <w:tc>
          <w:tcPr>
            <w:tcW w:w="429" w:type="dxa"/>
            <w:gridSpan w:val="2"/>
            <w:tcBorders>
              <w:top w:val="nil"/>
              <w:left w:val="nil"/>
              <w:bottom w:val="nil"/>
              <w:right w:val="nil"/>
            </w:tcBorders>
          </w:tcPr>
          <w:p w14:paraId="647FBE21" w14:textId="77777777" w:rsidR="00171E39" w:rsidRPr="004F58B9" w:rsidRDefault="00171E39" w:rsidP="00004824">
            <w:pPr>
              <w:jc w:val="center"/>
              <w:rPr>
                <w:sz w:val="18"/>
                <w:lang w:val="de-DE"/>
              </w:rPr>
            </w:pPr>
          </w:p>
        </w:tc>
        <w:tc>
          <w:tcPr>
            <w:tcW w:w="283" w:type="dxa"/>
            <w:gridSpan w:val="2"/>
            <w:tcBorders>
              <w:top w:val="nil"/>
              <w:left w:val="nil"/>
              <w:bottom w:val="nil"/>
              <w:right w:val="nil"/>
            </w:tcBorders>
          </w:tcPr>
          <w:p w14:paraId="13ADDECB" w14:textId="77777777" w:rsidR="00171E39" w:rsidRPr="004F58B9" w:rsidRDefault="00171E39" w:rsidP="00004824">
            <w:pPr>
              <w:jc w:val="center"/>
              <w:rPr>
                <w:sz w:val="18"/>
                <w:lang w:val="de-DE"/>
              </w:rPr>
            </w:pPr>
          </w:p>
        </w:tc>
        <w:tc>
          <w:tcPr>
            <w:tcW w:w="1420" w:type="dxa"/>
            <w:tcBorders>
              <w:top w:val="nil"/>
              <w:left w:val="nil"/>
              <w:bottom w:val="nil"/>
              <w:right w:val="nil"/>
            </w:tcBorders>
          </w:tcPr>
          <w:p w14:paraId="1048CD51" w14:textId="77777777" w:rsidR="00171E39" w:rsidRPr="004F58B9" w:rsidRDefault="00171E39" w:rsidP="00004824">
            <w:pPr>
              <w:jc w:val="center"/>
              <w:rPr>
                <w:sz w:val="18"/>
                <w:lang w:val="de-DE"/>
              </w:rPr>
            </w:pPr>
          </w:p>
        </w:tc>
        <w:tc>
          <w:tcPr>
            <w:tcW w:w="1389" w:type="dxa"/>
            <w:tcBorders>
              <w:top w:val="nil"/>
              <w:left w:val="nil"/>
              <w:bottom w:val="nil"/>
              <w:right w:val="nil"/>
            </w:tcBorders>
          </w:tcPr>
          <w:p w14:paraId="53F95F69" w14:textId="77777777" w:rsidR="00171E39" w:rsidRPr="004F58B9" w:rsidRDefault="00171E39" w:rsidP="00004824">
            <w:pPr>
              <w:jc w:val="center"/>
              <w:rPr>
                <w:sz w:val="18"/>
                <w:lang w:val="de-DE"/>
              </w:rPr>
            </w:pPr>
          </w:p>
        </w:tc>
        <w:tc>
          <w:tcPr>
            <w:tcW w:w="1389" w:type="dxa"/>
            <w:gridSpan w:val="2"/>
            <w:tcBorders>
              <w:top w:val="nil"/>
              <w:left w:val="nil"/>
              <w:bottom w:val="nil"/>
              <w:right w:val="nil"/>
            </w:tcBorders>
          </w:tcPr>
          <w:p w14:paraId="20CE27D2" w14:textId="77777777" w:rsidR="00171E39" w:rsidRPr="004F58B9" w:rsidRDefault="00171E39" w:rsidP="00004824">
            <w:pPr>
              <w:jc w:val="center"/>
              <w:rPr>
                <w:sz w:val="18"/>
                <w:lang w:val="de-DE"/>
              </w:rPr>
            </w:pPr>
          </w:p>
        </w:tc>
        <w:tc>
          <w:tcPr>
            <w:tcW w:w="1388" w:type="dxa"/>
            <w:gridSpan w:val="2"/>
            <w:tcBorders>
              <w:top w:val="nil"/>
              <w:left w:val="nil"/>
              <w:bottom w:val="nil"/>
              <w:right w:val="nil"/>
            </w:tcBorders>
          </w:tcPr>
          <w:p w14:paraId="1FDA739D" w14:textId="77777777" w:rsidR="00171E39" w:rsidRPr="004F58B9" w:rsidRDefault="00171E39" w:rsidP="00004824">
            <w:pPr>
              <w:jc w:val="center"/>
              <w:rPr>
                <w:sz w:val="18"/>
                <w:lang w:val="de-DE"/>
              </w:rPr>
            </w:pPr>
          </w:p>
        </w:tc>
        <w:tc>
          <w:tcPr>
            <w:tcW w:w="1389" w:type="dxa"/>
            <w:tcBorders>
              <w:top w:val="nil"/>
              <w:left w:val="nil"/>
              <w:bottom w:val="nil"/>
              <w:right w:val="nil"/>
            </w:tcBorders>
          </w:tcPr>
          <w:p w14:paraId="1A921D16" w14:textId="77777777" w:rsidR="00171E39" w:rsidRPr="004F58B9" w:rsidRDefault="00171E39" w:rsidP="00004824">
            <w:pPr>
              <w:jc w:val="center"/>
              <w:rPr>
                <w:sz w:val="18"/>
                <w:lang w:val="de-DE"/>
              </w:rPr>
            </w:pPr>
          </w:p>
        </w:tc>
        <w:tc>
          <w:tcPr>
            <w:tcW w:w="1389" w:type="dxa"/>
            <w:gridSpan w:val="2"/>
            <w:tcBorders>
              <w:top w:val="nil"/>
              <w:left w:val="nil"/>
              <w:bottom w:val="nil"/>
              <w:right w:val="nil"/>
            </w:tcBorders>
          </w:tcPr>
          <w:p w14:paraId="7272A0AB" w14:textId="77777777" w:rsidR="00171E39" w:rsidRPr="004F58B9" w:rsidRDefault="00171E39" w:rsidP="00004824">
            <w:pPr>
              <w:jc w:val="center"/>
              <w:rPr>
                <w:sz w:val="18"/>
                <w:lang w:val="de-DE"/>
              </w:rPr>
            </w:pPr>
          </w:p>
        </w:tc>
      </w:tr>
      <w:tr w:rsidR="00171E39" w:rsidRPr="004F58B9" w14:paraId="10D1824C" w14:textId="77777777" w:rsidTr="00004824">
        <w:trPr>
          <w:cantSplit/>
          <w:jc w:val="center"/>
        </w:trPr>
        <w:tc>
          <w:tcPr>
            <w:tcW w:w="379" w:type="dxa"/>
            <w:vMerge w:val="restart"/>
            <w:shd w:val="clear" w:color="auto" w:fill="auto"/>
            <w:textDirection w:val="btLr"/>
          </w:tcPr>
          <w:p w14:paraId="0CE1E5DB" w14:textId="77777777" w:rsidR="00171E39" w:rsidRPr="004F58B9" w:rsidRDefault="00171E39" w:rsidP="00004824">
            <w:pPr>
              <w:ind w:left="113" w:right="113"/>
              <w:jc w:val="center"/>
              <w:rPr>
                <w:sz w:val="18"/>
                <w:u w:val="single"/>
                <w:lang w:val="de-DE"/>
              </w:rPr>
            </w:pPr>
            <w:r w:rsidRPr="004F58B9">
              <w:rPr>
                <w:sz w:val="18"/>
                <w:highlight w:val="lightGray"/>
                <w:u w:val="single"/>
                <w:lang w:val="de-DE"/>
              </w:rPr>
              <w:sym w:font="Wingdings" w:char="F0DF"/>
            </w:r>
            <w:r w:rsidRPr="004F58B9">
              <w:rPr>
                <w:sz w:val="18"/>
                <w:highlight w:val="lightGray"/>
                <w:u w:val="single"/>
                <w:lang w:val="de-DE"/>
              </w:rPr>
              <w:t xml:space="preserve">         relative Breite         </w:t>
            </w:r>
            <w:r w:rsidRPr="004F58B9">
              <w:rPr>
                <w:sz w:val="18"/>
                <w:highlight w:val="lightGray"/>
                <w:u w:val="single"/>
                <w:lang w:val="de-DE"/>
              </w:rPr>
              <w:sym w:font="Wingdings" w:char="F0E0"/>
            </w:r>
          </w:p>
        </w:tc>
        <w:tc>
          <w:tcPr>
            <w:tcW w:w="429" w:type="dxa"/>
            <w:gridSpan w:val="2"/>
            <w:vMerge w:val="restart"/>
            <w:tcBorders>
              <w:top w:val="single" w:sz="4" w:space="0" w:color="auto"/>
              <w:right w:val="single" w:sz="4" w:space="0" w:color="auto"/>
            </w:tcBorders>
            <w:textDirection w:val="btLr"/>
          </w:tcPr>
          <w:p w14:paraId="513BB74F" w14:textId="77777777" w:rsidR="00171E39" w:rsidRPr="004F58B9" w:rsidRDefault="00171E39" w:rsidP="00004824">
            <w:pPr>
              <w:ind w:left="113" w:right="113"/>
              <w:jc w:val="center"/>
              <w:rPr>
                <w:sz w:val="18"/>
                <w:lang w:val="de-DE"/>
              </w:rPr>
            </w:pPr>
            <w:r w:rsidRPr="004F58B9">
              <w:rPr>
                <w:sz w:val="18"/>
                <w:lang w:val="de-DE"/>
              </w:rPr>
              <w:t xml:space="preserve">breit </w:t>
            </w:r>
            <w:r w:rsidRPr="004F58B9">
              <w:rPr>
                <w:strike/>
                <w:sz w:val="18"/>
                <w:highlight w:val="lightGray"/>
                <w:lang w:val="de-DE"/>
              </w:rPr>
              <w:t>(klein)</w:t>
            </w:r>
            <w:r w:rsidRPr="004F58B9">
              <w:rPr>
                <w:sz w:val="18"/>
                <w:lang w:val="de-DE"/>
              </w:rPr>
              <w:sym w:font="Wingdings" w:char="F0DF"/>
            </w:r>
            <w:r w:rsidRPr="004F58B9">
              <w:rPr>
                <w:sz w:val="18"/>
                <w:lang w:val="de-DE"/>
              </w:rPr>
              <w:t xml:space="preserve">     </w:t>
            </w:r>
            <w:r w:rsidRPr="004F58B9">
              <w:rPr>
                <w:strike/>
                <w:sz w:val="18"/>
                <w:lang w:val="de-DE"/>
              </w:rPr>
              <w:t xml:space="preserve">Breite </w:t>
            </w:r>
            <w:r w:rsidRPr="004F58B9">
              <w:rPr>
                <w:strike/>
                <w:sz w:val="18"/>
                <w:highlight w:val="lightGray"/>
                <w:lang w:val="de-DE"/>
              </w:rPr>
              <w:t>(Verhältnis Länge/Breite)</w:t>
            </w:r>
            <w:r w:rsidRPr="004F58B9">
              <w:rPr>
                <w:sz w:val="18"/>
                <w:lang w:val="de-DE"/>
              </w:rPr>
              <w:t xml:space="preserve">     </w:t>
            </w:r>
            <w:r w:rsidRPr="004F58B9">
              <w:rPr>
                <w:sz w:val="18"/>
                <w:lang w:val="de-DE"/>
              </w:rPr>
              <w:sym w:font="Wingdings" w:char="F0E0"/>
            </w:r>
            <w:r w:rsidRPr="004F58B9">
              <w:rPr>
                <w:sz w:val="18"/>
                <w:lang w:val="de-DE"/>
              </w:rPr>
              <w:t xml:space="preserve"> schmal </w:t>
            </w:r>
            <w:r w:rsidRPr="004F58B9">
              <w:rPr>
                <w:strike/>
                <w:sz w:val="18"/>
                <w:highlight w:val="lightGray"/>
                <w:lang w:val="de-DE"/>
              </w:rPr>
              <w:t>(groß)</w:t>
            </w:r>
          </w:p>
        </w:tc>
        <w:tc>
          <w:tcPr>
            <w:tcW w:w="283" w:type="dxa"/>
            <w:gridSpan w:val="2"/>
            <w:tcBorders>
              <w:top w:val="nil"/>
              <w:left w:val="nil"/>
              <w:bottom w:val="nil"/>
              <w:right w:val="nil"/>
            </w:tcBorders>
          </w:tcPr>
          <w:p w14:paraId="7AF426BD" w14:textId="77777777" w:rsidR="00171E39" w:rsidRPr="004F58B9" w:rsidRDefault="00171E39" w:rsidP="00004824">
            <w:pPr>
              <w:jc w:val="center"/>
              <w:rPr>
                <w:sz w:val="18"/>
                <w:lang w:val="de-DE"/>
              </w:rPr>
            </w:pPr>
          </w:p>
        </w:tc>
        <w:tc>
          <w:tcPr>
            <w:tcW w:w="1420" w:type="dxa"/>
            <w:tcBorders>
              <w:left w:val="single" w:sz="4" w:space="0" w:color="auto"/>
            </w:tcBorders>
          </w:tcPr>
          <w:p w14:paraId="037F2716" w14:textId="77777777" w:rsidR="00171E39" w:rsidRPr="004F58B9" w:rsidRDefault="00171E39" w:rsidP="00004824">
            <w:pPr>
              <w:jc w:val="center"/>
              <w:rPr>
                <w:sz w:val="18"/>
                <w:lang w:val="de-DE"/>
              </w:rPr>
            </w:pPr>
          </w:p>
        </w:tc>
        <w:tc>
          <w:tcPr>
            <w:tcW w:w="1389" w:type="dxa"/>
          </w:tcPr>
          <w:p w14:paraId="400B2560" w14:textId="77777777" w:rsidR="00171E39" w:rsidRPr="004F58B9" w:rsidRDefault="00171E39" w:rsidP="00004824">
            <w:pPr>
              <w:jc w:val="center"/>
              <w:rPr>
                <w:sz w:val="18"/>
                <w:lang w:val="de-DE"/>
              </w:rPr>
            </w:pPr>
          </w:p>
        </w:tc>
        <w:tc>
          <w:tcPr>
            <w:tcW w:w="1389" w:type="dxa"/>
            <w:gridSpan w:val="2"/>
          </w:tcPr>
          <w:p w14:paraId="06A59810" w14:textId="77777777" w:rsidR="00171E39" w:rsidRPr="004F58B9" w:rsidRDefault="00171E39" w:rsidP="00004824">
            <w:pPr>
              <w:jc w:val="center"/>
              <w:rPr>
                <w:sz w:val="18"/>
                <w:lang w:val="de-DE"/>
              </w:rPr>
            </w:pPr>
            <w:r w:rsidRPr="004F58B9">
              <w:rPr>
                <w:sz w:val="18"/>
                <w:lang w:val="de-DE"/>
              </w:rPr>
              <w:drawing>
                <wp:inline distT="0" distB="0" distL="0" distR="0" wp14:anchorId="5CEA8FF3" wp14:editId="2DA137CB">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14:paraId="19C75C88" w14:textId="77777777" w:rsidR="00171E39" w:rsidRPr="004F58B9" w:rsidRDefault="00171E39" w:rsidP="00004824">
            <w:pPr>
              <w:jc w:val="center"/>
              <w:rPr>
                <w:sz w:val="18"/>
                <w:lang w:val="de-DE"/>
              </w:rPr>
            </w:pPr>
            <w:r w:rsidRPr="004F58B9">
              <w:rPr>
                <w:sz w:val="18"/>
                <w:lang w:val="de-DE"/>
              </w:rPr>
              <w:t xml:space="preserve">6 </w:t>
            </w:r>
          </w:p>
          <w:p w14:paraId="10358229" w14:textId="77777777" w:rsidR="00171E39" w:rsidRPr="004F58B9" w:rsidRDefault="00171E39" w:rsidP="00004824">
            <w:pPr>
              <w:jc w:val="center"/>
              <w:rPr>
                <w:sz w:val="18"/>
                <w:lang w:val="de-DE"/>
              </w:rPr>
            </w:pPr>
            <w:r w:rsidRPr="004F58B9">
              <w:rPr>
                <w:sz w:val="18"/>
                <w:lang w:val="de-DE"/>
              </w:rPr>
              <w:t>linear</w:t>
            </w:r>
          </w:p>
        </w:tc>
        <w:tc>
          <w:tcPr>
            <w:tcW w:w="1388" w:type="dxa"/>
            <w:gridSpan w:val="2"/>
          </w:tcPr>
          <w:p w14:paraId="6FCF0D93" w14:textId="77777777" w:rsidR="00171E39" w:rsidRPr="004F58B9" w:rsidRDefault="00171E39" w:rsidP="00004824">
            <w:pPr>
              <w:jc w:val="center"/>
              <w:rPr>
                <w:sz w:val="18"/>
                <w:lang w:val="de-DE"/>
              </w:rPr>
            </w:pPr>
          </w:p>
        </w:tc>
        <w:tc>
          <w:tcPr>
            <w:tcW w:w="1389" w:type="dxa"/>
          </w:tcPr>
          <w:p w14:paraId="7548A075" w14:textId="77777777" w:rsidR="00171E39" w:rsidRPr="004F58B9" w:rsidRDefault="00171E39" w:rsidP="00004824">
            <w:pPr>
              <w:jc w:val="center"/>
              <w:rPr>
                <w:sz w:val="18"/>
                <w:lang w:val="de-DE"/>
              </w:rPr>
            </w:pPr>
          </w:p>
        </w:tc>
        <w:tc>
          <w:tcPr>
            <w:tcW w:w="1389" w:type="dxa"/>
            <w:gridSpan w:val="2"/>
          </w:tcPr>
          <w:p w14:paraId="7E40A39C" w14:textId="77777777" w:rsidR="00171E39" w:rsidRPr="004F58B9" w:rsidRDefault="00171E39" w:rsidP="00004824">
            <w:pPr>
              <w:jc w:val="center"/>
              <w:rPr>
                <w:sz w:val="18"/>
                <w:lang w:val="de-DE"/>
              </w:rPr>
            </w:pPr>
          </w:p>
        </w:tc>
      </w:tr>
      <w:tr w:rsidR="00171E39" w:rsidRPr="004F58B9" w14:paraId="7B8E1F6F" w14:textId="77777777" w:rsidTr="00004824">
        <w:trPr>
          <w:cantSplit/>
          <w:jc w:val="center"/>
        </w:trPr>
        <w:tc>
          <w:tcPr>
            <w:tcW w:w="379" w:type="dxa"/>
            <w:vMerge/>
            <w:shd w:val="clear" w:color="auto" w:fill="auto"/>
          </w:tcPr>
          <w:p w14:paraId="5080635E" w14:textId="77777777" w:rsidR="00171E39" w:rsidRPr="004F58B9" w:rsidRDefault="00171E39" w:rsidP="00004824">
            <w:pPr>
              <w:jc w:val="center"/>
              <w:rPr>
                <w:sz w:val="18"/>
                <w:lang w:val="de-DE"/>
              </w:rPr>
            </w:pPr>
          </w:p>
        </w:tc>
        <w:tc>
          <w:tcPr>
            <w:tcW w:w="429" w:type="dxa"/>
            <w:gridSpan w:val="2"/>
            <w:vMerge/>
            <w:tcBorders>
              <w:right w:val="single" w:sz="4" w:space="0" w:color="auto"/>
            </w:tcBorders>
          </w:tcPr>
          <w:p w14:paraId="6870EB1B" w14:textId="77777777" w:rsidR="00171E39" w:rsidRPr="004F58B9" w:rsidRDefault="00171E39" w:rsidP="00004824">
            <w:pPr>
              <w:jc w:val="center"/>
              <w:rPr>
                <w:sz w:val="18"/>
                <w:lang w:val="de-DE"/>
              </w:rPr>
            </w:pPr>
          </w:p>
        </w:tc>
        <w:tc>
          <w:tcPr>
            <w:tcW w:w="283" w:type="dxa"/>
            <w:gridSpan w:val="2"/>
            <w:tcBorders>
              <w:top w:val="nil"/>
              <w:left w:val="nil"/>
              <w:bottom w:val="nil"/>
              <w:right w:val="nil"/>
            </w:tcBorders>
          </w:tcPr>
          <w:p w14:paraId="4EF86278" w14:textId="77777777" w:rsidR="00171E39" w:rsidRPr="004F58B9" w:rsidRDefault="00171E39" w:rsidP="00004824">
            <w:pPr>
              <w:jc w:val="center"/>
              <w:rPr>
                <w:sz w:val="18"/>
                <w:lang w:val="de-DE"/>
              </w:rPr>
            </w:pPr>
          </w:p>
        </w:tc>
        <w:tc>
          <w:tcPr>
            <w:tcW w:w="1420" w:type="dxa"/>
            <w:tcBorders>
              <w:left w:val="single" w:sz="4" w:space="0" w:color="auto"/>
            </w:tcBorders>
          </w:tcPr>
          <w:p w14:paraId="29E67282" w14:textId="77777777" w:rsidR="00171E39" w:rsidRPr="004F58B9" w:rsidRDefault="00171E39" w:rsidP="00004824">
            <w:pPr>
              <w:jc w:val="center"/>
              <w:rPr>
                <w:sz w:val="18"/>
                <w:lang w:val="de-DE"/>
              </w:rPr>
            </w:pPr>
          </w:p>
        </w:tc>
        <w:tc>
          <w:tcPr>
            <w:tcW w:w="1389" w:type="dxa"/>
          </w:tcPr>
          <w:p w14:paraId="08C3A1B3" w14:textId="77777777" w:rsidR="00171E39" w:rsidRPr="004F58B9" w:rsidRDefault="00171E39" w:rsidP="00004824">
            <w:pPr>
              <w:jc w:val="center"/>
              <w:rPr>
                <w:sz w:val="18"/>
                <w:lang w:val="de-DE"/>
              </w:rPr>
            </w:pPr>
          </w:p>
        </w:tc>
        <w:tc>
          <w:tcPr>
            <w:tcW w:w="1389" w:type="dxa"/>
            <w:gridSpan w:val="2"/>
          </w:tcPr>
          <w:p w14:paraId="541EF38B" w14:textId="77777777" w:rsidR="00171E39" w:rsidRPr="004F58B9" w:rsidRDefault="00171E39" w:rsidP="00004824">
            <w:pPr>
              <w:jc w:val="center"/>
              <w:rPr>
                <w:sz w:val="18"/>
                <w:lang w:val="de-DE"/>
              </w:rPr>
            </w:pPr>
            <w:r w:rsidRPr="004F58B9">
              <w:rPr>
                <w:sz w:val="18"/>
                <w:lang w:val="de-DE"/>
              </w:rPr>
              <w:drawing>
                <wp:inline distT="0" distB="0" distL="0" distR="0" wp14:anchorId="1CE62A69" wp14:editId="44F5B272">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14:paraId="4271F915" w14:textId="77777777" w:rsidR="00171E39" w:rsidRPr="004F58B9" w:rsidRDefault="00171E39" w:rsidP="00004824">
            <w:pPr>
              <w:jc w:val="center"/>
              <w:rPr>
                <w:sz w:val="18"/>
                <w:lang w:val="de-DE"/>
              </w:rPr>
            </w:pPr>
            <w:r w:rsidRPr="004F58B9">
              <w:rPr>
                <w:sz w:val="18"/>
                <w:lang w:val="de-DE"/>
              </w:rPr>
              <w:t>5</w:t>
            </w:r>
          </w:p>
          <w:p w14:paraId="296D6F73" w14:textId="77777777" w:rsidR="00171E39" w:rsidRPr="004F58B9" w:rsidRDefault="00171E39" w:rsidP="00004824">
            <w:pPr>
              <w:jc w:val="center"/>
              <w:rPr>
                <w:sz w:val="18"/>
                <w:lang w:val="de-DE"/>
              </w:rPr>
            </w:pPr>
            <w:r w:rsidRPr="004F58B9">
              <w:rPr>
                <w:sz w:val="18"/>
                <w:lang w:val="de-DE"/>
              </w:rPr>
              <w:t>rechteckig</w:t>
            </w:r>
          </w:p>
        </w:tc>
        <w:tc>
          <w:tcPr>
            <w:tcW w:w="1388" w:type="dxa"/>
            <w:gridSpan w:val="2"/>
          </w:tcPr>
          <w:p w14:paraId="665959EE" w14:textId="77777777" w:rsidR="00171E39" w:rsidRPr="004F58B9" w:rsidRDefault="00171E39" w:rsidP="00004824">
            <w:pPr>
              <w:jc w:val="center"/>
              <w:rPr>
                <w:sz w:val="18"/>
                <w:lang w:val="de-DE"/>
              </w:rPr>
            </w:pPr>
            <w:r w:rsidRPr="004F58B9">
              <w:rPr>
                <w:sz w:val="18"/>
                <w:lang w:val="de-DE"/>
              </w:rPr>
              <w:drawing>
                <wp:inline distT="0" distB="0" distL="0" distR="0" wp14:anchorId="20CB9103" wp14:editId="3C86F283">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14:paraId="0CDBE06C" w14:textId="77777777" w:rsidR="00171E39" w:rsidRPr="004F58B9" w:rsidRDefault="00171E39" w:rsidP="00004824">
            <w:pPr>
              <w:jc w:val="center"/>
              <w:rPr>
                <w:sz w:val="18"/>
                <w:lang w:val="de-DE"/>
              </w:rPr>
            </w:pPr>
            <w:r w:rsidRPr="004F58B9">
              <w:rPr>
                <w:sz w:val="18"/>
                <w:lang w:val="de-DE"/>
              </w:rPr>
              <w:t>8</w:t>
            </w:r>
          </w:p>
          <w:p w14:paraId="6A3D445B" w14:textId="77777777" w:rsidR="00171E39" w:rsidRPr="004F58B9" w:rsidRDefault="00171E39" w:rsidP="00004824">
            <w:pPr>
              <w:jc w:val="center"/>
              <w:rPr>
                <w:sz w:val="18"/>
                <w:lang w:val="de-DE"/>
              </w:rPr>
            </w:pPr>
            <w:r w:rsidRPr="004F58B9">
              <w:rPr>
                <w:sz w:val="18"/>
                <w:lang w:val="de-DE"/>
              </w:rPr>
              <w:t>verkehrt lanzettlich</w:t>
            </w:r>
          </w:p>
        </w:tc>
        <w:tc>
          <w:tcPr>
            <w:tcW w:w="1389" w:type="dxa"/>
          </w:tcPr>
          <w:p w14:paraId="4B744EF2" w14:textId="77777777" w:rsidR="00171E39" w:rsidRPr="004F58B9" w:rsidRDefault="00171E39" w:rsidP="00004824">
            <w:pPr>
              <w:jc w:val="center"/>
              <w:rPr>
                <w:sz w:val="18"/>
                <w:lang w:val="de-DE"/>
              </w:rPr>
            </w:pPr>
            <w:r w:rsidRPr="004F58B9">
              <w:rPr>
                <w:sz w:val="18"/>
                <w:lang w:val="de-DE"/>
              </w:rPr>
              <w:drawing>
                <wp:inline distT="0" distB="0" distL="0" distR="0" wp14:anchorId="20125DF0" wp14:editId="7BAA8B90">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14:paraId="4805655E" w14:textId="77777777" w:rsidR="00171E39" w:rsidRPr="004F58B9" w:rsidRDefault="00171E39" w:rsidP="00004824">
            <w:pPr>
              <w:jc w:val="center"/>
              <w:rPr>
                <w:sz w:val="18"/>
                <w:lang w:val="de-DE"/>
              </w:rPr>
            </w:pPr>
            <w:r w:rsidRPr="004F58B9">
              <w:rPr>
                <w:sz w:val="18"/>
                <w:lang w:val="de-DE"/>
              </w:rPr>
              <w:t>9</w:t>
            </w:r>
          </w:p>
          <w:p w14:paraId="120E9D9E" w14:textId="77777777" w:rsidR="00171E39" w:rsidRPr="004F58B9" w:rsidRDefault="00171E39" w:rsidP="00004824">
            <w:pPr>
              <w:jc w:val="center"/>
              <w:rPr>
                <w:sz w:val="18"/>
                <w:lang w:val="de-DE"/>
              </w:rPr>
            </w:pPr>
            <w:proofErr w:type="spellStart"/>
            <w:r w:rsidRPr="004F58B9">
              <w:rPr>
                <w:sz w:val="18"/>
                <w:lang w:val="de-DE"/>
              </w:rPr>
              <w:t>spatelförmig</w:t>
            </w:r>
            <w:proofErr w:type="spellEnd"/>
          </w:p>
        </w:tc>
        <w:tc>
          <w:tcPr>
            <w:tcW w:w="1389" w:type="dxa"/>
            <w:gridSpan w:val="2"/>
          </w:tcPr>
          <w:p w14:paraId="55C18167" w14:textId="77777777" w:rsidR="00171E39" w:rsidRPr="004F58B9" w:rsidRDefault="00171E39" w:rsidP="00004824">
            <w:pPr>
              <w:jc w:val="center"/>
              <w:rPr>
                <w:sz w:val="18"/>
                <w:lang w:val="de-DE"/>
              </w:rPr>
            </w:pPr>
          </w:p>
        </w:tc>
      </w:tr>
      <w:tr w:rsidR="00171E39" w:rsidRPr="004F58B9" w14:paraId="24B14791" w14:textId="77777777" w:rsidTr="00004824">
        <w:trPr>
          <w:cantSplit/>
          <w:jc w:val="center"/>
        </w:trPr>
        <w:tc>
          <w:tcPr>
            <w:tcW w:w="379" w:type="dxa"/>
            <w:vMerge/>
            <w:shd w:val="clear" w:color="auto" w:fill="auto"/>
          </w:tcPr>
          <w:p w14:paraId="1658EF6C" w14:textId="77777777" w:rsidR="00171E39" w:rsidRPr="004F58B9" w:rsidRDefault="00171E39" w:rsidP="00004824">
            <w:pPr>
              <w:jc w:val="center"/>
              <w:rPr>
                <w:sz w:val="18"/>
                <w:lang w:val="de-DE"/>
              </w:rPr>
            </w:pPr>
          </w:p>
        </w:tc>
        <w:tc>
          <w:tcPr>
            <w:tcW w:w="429" w:type="dxa"/>
            <w:gridSpan w:val="2"/>
            <w:vMerge/>
            <w:tcBorders>
              <w:right w:val="single" w:sz="4" w:space="0" w:color="auto"/>
            </w:tcBorders>
          </w:tcPr>
          <w:p w14:paraId="6CE5ACB7" w14:textId="77777777" w:rsidR="00171E39" w:rsidRPr="004F58B9" w:rsidRDefault="00171E39" w:rsidP="00004824">
            <w:pPr>
              <w:jc w:val="center"/>
              <w:rPr>
                <w:sz w:val="18"/>
                <w:lang w:val="de-DE"/>
              </w:rPr>
            </w:pPr>
          </w:p>
        </w:tc>
        <w:tc>
          <w:tcPr>
            <w:tcW w:w="283" w:type="dxa"/>
            <w:gridSpan w:val="2"/>
            <w:tcBorders>
              <w:top w:val="nil"/>
              <w:left w:val="nil"/>
              <w:bottom w:val="nil"/>
              <w:right w:val="nil"/>
            </w:tcBorders>
          </w:tcPr>
          <w:p w14:paraId="421FE84F" w14:textId="77777777" w:rsidR="00171E39" w:rsidRPr="004F58B9" w:rsidRDefault="00171E39" w:rsidP="00004824">
            <w:pPr>
              <w:jc w:val="center"/>
              <w:rPr>
                <w:sz w:val="18"/>
                <w:lang w:val="de-DE"/>
              </w:rPr>
            </w:pPr>
          </w:p>
        </w:tc>
        <w:tc>
          <w:tcPr>
            <w:tcW w:w="1420" w:type="dxa"/>
            <w:tcBorders>
              <w:left w:val="single" w:sz="4" w:space="0" w:color="auto"/>
            </w:tcBorders>
          </w:tcPr>
          <w:p w14:paraId="5D1FF40B" w14:textId="77777777" w:rsidR="00171E39" w:rsidRPr="004F58B9" w:rsidRDefault="00171E39" w:rsidP="00004824">
            <w:pPr>
              <w:jc w:val="center"/>
              <w:rPr>
                <w:sz w:val="18"/>
                <w:lang w:val="de-DE"/>
              </w:rPr>
            </w:pPr>
            <w:r w:rsidRPr="004F58B9">
              <w:rPr>
                <w:sz w:val="18"/>
                <w:lang w:val="de-DE"/>
              </w:rPr>
              <w:drawing>
                <wp:inline distT="0" distB="0" distL="0" distR="0" wp14:anchorId="58B9092C" wp14:editId="4DA1D28C">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14:paraId="2DE21F91" w14:textId="77777777" w:rsidR="00171E39" w:rsidRPr="004F58B9" w:rsidRDefault="00171E39" w:rsidP="00004824">
            <w:pPr>
              <w:jc w:val="center"/>
              <w:rPr>
                <w:sz w:val="18"/>
                <w:lang w:val="de-DE"/>
              </w:rPr>
            </w:pPr>
            <w:r w:rsidRPr="004F58B9">
              <w:rPr>
                <w:sz w:val="18"/>
                <w:lang w:val="de-DE"/>
              </w:rPr>
              <w:t xml:space="preserve">1 </w:t>
            </w:r>
          </w:p>
          <w:p w14:paraId="56E1C1C9" w14:textId="77777777" w:rsidR="00171E39" w:rsidRPr="004F58B9" w:rsidRDefault="00171E39" w:rsidP="00004824">
            <w:pPr>
              <w:jc w:val="center"/>
              <w:rPr>
                <w:sz w:val="18"/>
                <w:lang w:val="de-DE"/>
              </w:rPr>
            </w:pPr>
            <w:r w:rsidRPr="004F58B9">
              <w:rPr>
                <w:sz w:val="18"/>
                <w:lang w:val="de-DE"/>
              </w:rPr>
              <w:t>dreieckig</w:t>
            </w:r>
          </w:p>
        </w:tc>
        <w:tc>
          <w:tcPr>
            <w:tcW w:w="1389" w:type="dxa"/>
          </w:tcPr>
          <w:p w14:paraId="2DD41A22" w14:textId="77777777" w:rsidR="00171E39" w:rsidRPr="004F58B9" w:rsidRDefault="00171E39" w:rsidP="00004824">
            <w:pPr>
              <w:jc w:val="center"/>
              <w:rPr>
                <w:sz w:val="18"/>
                <w:lang w:val="de-DE"/>
              </w:rPr>
            </w:pPr>
            <w:r w:rsidRPr="004F58B9">
              <w:rPr>
                <w:sz w:val="18"/>
                <w:lang w:val="de-DE"/>
              </w:rPr>
              <w:drawing>
                <wp:inline distT="0" distB="0" distL="0" distR="0" wp14:anchorId="54171E79" wp14:editId="15F8EB17">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14:paraId="3CFB4339" w14:textId="77777777" w:rsidR="00171E39" w:rsidRPr="004F58B9" w:rsidRDefault="00171E39" w:rsidP="00004824">
            <w:pPr>
              <w:jc w:val="center"/>
              <w:rPr>
                <w:sz w:val="18"/>
                <w:lang w:val="de-DE"/>
              </w:rPr>
            </w:pPr>
            <w:r w:rsidRPr="004F58B9">
              <w:rPr>
                <w:sz w:val="18"/>
                <w:lang w:val="de-DE"/>
              </w:rPr>
              <w:t>2</w:t>
            </w:r>
          </w:p>
          <w:p w14:paraId="0E4EB661" w14:textId="77777777" w:rsidR="00171E39" w:rsidRPr="004F58B9" w:rsidRDefault="00171E39" w:rsidP="00004824">
            <w:pPr>
              <w:jc w:val="center"/>
              <w:rPr>
                <w:sz w:val="18"/>
                <w:lang w:val="de-DE"/>
              </w:rPr>
            </w:pPr>
            <w:r w:rsidRPr="004F58B9">
              <w:rPr>
                <w:sz w:val="18"/>
                <w:lang w:val="de-DE"/>
              </w:rPr>
              <w:t>eiförmig</w:t>
            </w:r>
          </w:p>
        </w:tc>
        <w:tc>
          <w:tcPr>
            <w:tcW w:w="1389" w:type="dxa"/>
            <w:gridSpan w:val="2"/>
          </w:tcPr>
          <w:p w14:paraId="7CB76474" w14:textId="77777777" w:rsidR="00171E39" w:rsidRPr="004F58B9" w:rsidRDefault="00171E39" w:rsidP="00004824">
            <w:pPr>
              <w:jc w:val="center"/>
              <w:rPr>
                <w:sz w:val="18"/>
                <w:lang w:val="de-DE"/>
              </w:rPr>
            </w:pPr>
            <w:r w:rsidRPr="004F58B9">
              <w:rPr>
                <w:sz w:val="18"/>
                <w:lang w:val="de-DE"/>
              </w:rPr>
              <w:drawing>
                <wp:inline distT="0" distB="0" distL="0" distR="0" wp14:anchorId="095F90C0" wp14:editId="3240BC7D">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14:paraId="22959F58" w14:textId="77777777" w:rsidR="00171E39" w:rsidRPr="004F58B9" w:rsidRDefault="00171E39" w:rsidP="00004824">
            <w:pPr>
              <w:jc w:val="center"/>
              <w:rPr>
                <w:sz w:val="18"/>
                <w:lang w:val="de-DE"/>
              </w:rPr>
            </w:pPr>
            <w:r w:rsidRPr="004F58B9">
              <w:rPr>
                <w:sz w:val="18"/>
                <w:lang w:val="de-DE"/>
              </w:rPr>
              <w:t>4</w:t>
            </w:r>
          </w:p>
          <w:p w14:paraId="610EA758" w14:textId="77777777" w:rsidR="00171E39" w:rsidRPr="004F58B9" w:rsidRDefault="00171E39" w:rsidP="00004824">
            <w:pPr>
              <w:jc w:val="center"/>
              <w:rPr>
                <w:sz w:val="18"/>
                <w:lang w:val="de-DE"/>
              </w:rPr>
            </w:pPr>
            <w:r w:rsidRPr="004F58B9">
              <w:rPr>
                <w:sz w:val="18"/>
                <w:lang w:val="de-DE"/>
              </w:rPr>
              <w:t>elliptisch</w:t>
            </w:r>
          </w:p>
        </w:tc>
        <w:tc>
          <w:tcPr>
            <w:tcW w:w="1388" w:type="dxa"/>
            <w:gridSpan w:val="2"/>
          </w:tcPr>
          <w:p w14:paraId="0A36B38A" w14:textId="77777777" w:rsidR="00171E39" w:rsidRPr="004F58B9" w:rsidRDefault="00171E39" w:rsidP="00004824">
            <w:pPr>
              <w:jc w:val="center"/>
              <w:rPr>
                <w:sz w:val="18"/>
                <w:lang w:val="de-DE"/>
              </w:rPr>
            </w:pPr>
            <w:r w:rsidRPr="004F58B9">
              <w:rPr>
                <w:sz w:val="18"/>
                <w:lang w:val="de-DE"/>
              </w:rPr>
              <w:drawing>
                <wp:inline distT="0" distB="0" distL="0" distR="0" wp14:anchorId="788BDDB9" wp14:editId="28C60C00">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14:paraId="6F925D11" w14:textId="77777777" w:rsidR="00171E39" w:rsidRPr="004F58B9" w:rsidRDefault="00171E39" w:rsidP="00004824">
            <w:pPr>
              <w:jc w:val="center"/>
              <w:rPr>
                <w:sz w:val="18"/>
                <w:lang w:val="de-DE"/>
              </w:rPr>
            </w:pPr>
            <w:r w:rsidRPr="004F58B9">
              <w:rPr>
                <w:sz w:val="18"/>
                <w:lang w:val="de-DE"/>
              </w:rPr>
              <w:t>7</w:t>
            </w:r>
          </w:p>
          <w:p w14:paraId="5D094E42" w14:textId="77777777" w:rsidR="00171E39" w:rsidRPr="004F58B9" w:rsidRDefault="00171E39" w:rsidP="00004824">
            <w:pPr>
              <w:jc w:val="center"/>
              <w:rPr>
                <w:sz w:val="18"/>
                <w:lang w:val="de-DE"/>
              </w:rPr>
            </w:pPr>
            <w:r w:rsidRPr="004F58B9">
              <w:rPr>
                <w:sz w:val="18"/>
                <w:lang w:val="de-DE"/>
              </w:rPr>
              <w:t>verkehrt eiförmig</w:t>
            </w:r>
          </w:p>
        </w:tc>
        <w:tc>
          <w:tcPr>
            <w:tcW w:w="1389" w:type="dxa"/>
          </w:tcPr>
          <w:p w14:paraId="490C2832" w14:textId="77777777" w:rsidR="00171E39" w:rsidRPr="004F58B9" w:rsidRDefault="00171E39" w:rsidP="00004824">
            <w:pPr>
              <w:jc w:val="center"/>
              <w:rPr>
                <w:sz w:val="18"/>
                <w:lang w:val="de-DE"/>
              </w:rPr>
            </w:pPr>
          </w:p>
        </w:tc>
        <w:tc>
          <w:tcPr>
            <w:tcW w:w="1389" w:type="dxa"/>
            <w:gridSpan w:val="2"/>
          </w:tcPr>
          <w:p w14:paraId="726EE76B" w14:textId="77777777" w:rsidR="00171E39" w:rsidRPr="004F58B9" w:rsidRDefault="00171E39" w:rsidP="00004824">
            <w:pPr>
              <w:jc w:val="center"/>
              <w:rPr>
                <w:sz w:val="18"/>
                <w:lang w:val="de-DE"/>
              </w:rPr>
            </w:pPr>
            <w:r w:rsidRPr="004F58B9">
              <w:rPr>
                <w:sz w:val="18"/>
                <w:lang w:val="de-DE"/>
              </w:rPr>
              <w:drawing>
                <wp:inline distT="0" distB="0" distL="0" distR="0" wp14:anchorId="50C73756" wp14:editId="05A2C832">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14:paraId="23B0EB3C" w14:textId="77777777" w:rsidR="00171E39" w:rsidRPr="004F58B9" w:rsidRDefault="00171E39" w:rsidP="00004824">
            <w:pPr>
              <w:jc w:val="center"/>
              <w:rPr>
                <w:sz w:val="18"/>
                <w:lang w:val="de-DE"/>
              </w:rPr>
            </w:pPr>
            <w:r w:rsidRPr="004F58B9">
              <w:rPr>
                <w:sz w:val="18"/>
                <w:lang w:val="de-DE"/>
              </w:rPr>
              <w:t xml:space="preserve">10 </w:t>
            </w:r>
          </w:p>
          <w:p w14:paraId="553D1DE9" w14:textId="77777777" w:rsidR="00171E39" w:rsidRPr="004F58B9" w:rsidRDefault="00171E39" w:rsidP="00004824">
            <w:pPr>
              <w:jc w:val="center"/>
              <w:rPr>
                <w:sz w:val="18"/>
                <w:lang w:val="de-DE"/>
              </w:rPr>
            </w:pPr>
            <w:r w:rsidRPr="004F58B9">
              <w:rPr>
                <w:sz w:val="18"/>
                <w:lang w:val="de-DE"/>
              </w:rPr>
              <w:t>verkehrt dreieckig</w:t>
            </w:r>
          </w:p>
        </w:tc>
      </w:tr>
      <w:tr w:rsidR="00171E39" w:rsidRPr="004F58B9" w14:paraId="05CD51F2" w14:textId="77777777" w:rsidTr="00004824">
        <w:trPr>
          <w:cantSplit/>
          <w:trHeight w:val="2035"/>
          <w:jc w:val="center"/>
        </w:trPr>
        <w:tc>
          <w:tcPr>
            <w:tcW w:w="379" w:type="dxa"/>
            <w:vMerge/>
            <w:shd w:val="clear" w:color="auto" w:fill="auto"/>
          </w:tcPr>
          <w:p w14:paraId="401349F0" w14:textId="77777777" w:rsidR="00171E39" w:rsidRPr="004F58B9" w:rsidRDefault="00171E39" w:rsidP="00004824">
            <w:pPr>
              <w:jc w:val="center"/>
              <w:rPr>
                <w:sz w:val="18"/>
                <w:lang w:val="de-DE"/>
              </w:rPr>
            </w:pPr>
          </w:p>
        </w:tc>
        <w:tc>
          <w:tcPr>
            <w:tcW w:w="429" w:type="dxa"/>
            <w:gridSpan w:val="2"/>
            <w:vMerge/>
            <w:tcBorders>
              <w:right w:val="single" w:sz="4" w:space="0" w:color="auto"/>
            </w:tcBorders>
          </w:tcPr>
          <w:p w14:paraId="3F0841DF" w14:textId="77777777" w:rsidR="00171E39" w:rsidRPr="004F58B9" w:rsidRDefault="00171E39" w:rsidP="00004824">
            <w:pPr>
              <w:jc w:val="center"/>
              <w:rPr>
                <w:sz w:val="18"/>
                <w:lang w:val="de-DE"/>
              </w:rPr>
            </w:pPr>
          </w:p>
        </w:tc>
        <w:tc>
          <w:tcPr>
            <w:tcW w:w="283" w:type="dxa"/>
            <w:gridSpan w:val="2"/>
            <w:tcBorders>
              <w:top w:val="nil"/>
              <w:left w:val="nil"/>
              <w:bottom w:val="nil"/>
              <w:right w:val="nil"/>
            </w:tcBorders>
          </w:tcPr>
          <w:p w14:paraId="3AD3DF01" w14:textId="77777777" w:rsidR="00171E39" w:rsidRPr="004F58B9" w:rsidRDefault="00171E39" w:rsidP="00004824">
            <w:pPr>
              <w:jc w:val="center"/>
              <w:rPr>
                <w:sz w:val="18"/>
                <w:lang w:val="de-DE"/>
              </w:rPr>
            </w:pPr>
          </w:p>
        </w:tc>
        <w:tc>
          <w:tcPr>
            <w:tcW w:w="1420" w:type="dxa"/>
            <w:tcBorders>
              <w:left w:val="single" w:sz="4" w:space="0" w:color="auto"/>
            </w:tcBorders>
          </w:tcPr>
          <w:p w14:paraId="6D1EFEC7" w14:textId="77777777" w:rsidR="00171E39" w:rsidRPr="004F58B9" w:rsidRDefault="00171E39" w:rsidP="00004824">
            <w:pPr>
              <w:jc w:val="center"/>
              <w:rPr>
                <w:sz w:val="18"/>
                <w:lang w:val="de-DE"/>
              </w:rPr>
            </w:pPr>
          </w:p>
        </w:tc>
        <w:tc>
          <w:tcPr>
            <w:tcW w:w="1389" w:type="dxa"/>
          </w:tcPr>
          <w:p w14:paraId="59211B31" w14:textId="77777777" w:rsidR="00171E39" w:rsidRPr="004F58B9" w:rsidRDefault="00171E39" w:rsidP="00004824">
            <w:pPr>
              <w:jc w:val="center"/>
              <w:rPr>
                <w:sz w:val="18"/>
                <w:lang w:val="de-DE"/>
              </w:rPr>
            </w:pPr>
          </w:p>
        </w:tc>
        <w:tc>
          <w:tcPr>
            <w:tcW w:w="1389" w:type="dxa"/>
            <w:gridSpan w:val="2"/>
          </w:tcPr>
          <w:p w14:paraId="661D0D3A" w14:textId="77777777" w:rsidR="00171E39" w:rsidRPr="004F58B9" w:rsidRDefault="00171E39" w:rsidP="00004824">
            <w:pPr>
              <w:jc w:val="center"/>
              <w:rPr>
                <w:sz w:val="18"/>
                <w:lang w:val="de-DE"/>
              </w:rPr>
            </w:pPr>
            <w:r w:rsidRPr="004F58B9">
              <w:rPr>
                <w:sz w:val="18"/>
                <w:lang w:val="de-DE"/>
              </w:rPr>
              <w:drawing>
                <wp:inline distT="0" distB="0" distL="0" distR="0" wp14:anchorId="50E6D37F" wp14:editId="424C84DB">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14:paraId="03914F87" w14:textId="77777777" w:rsidR="00171E39" w:rsidRPr="004F58B9" w:rsidRDefault="00171E39" w:rsidP="00004824">
            <w:pPr>
              <w:jc w:val="center"/>
              <w:rPr>
                <w:sz w:val="18"/>
                <w:lang w:val="de-DE"/>
              </w:rPr>
            </w:pPr>
            <w:r w:rsidRPr="004F58B9">
              <w:rPr>
                <w:sz w:val="18"/>
                <w:lang w:val="de-DE"/>
              </w:rPr>
              <w:t>3</w:t>
            </w:r>
          </w:p>
          <w:p w14:paraId="78A49F45" w14:textId="77777777" w:rsidR="00171E39" w:rsidRPr="004F58B9" w:rsidRDefault="00171E39" w:rsidP="00004824">
            <w:pPr>
              <w:jc w:val="center"/>
              <w:rPr>
                <w:sz w:val="18"/>
                <w:lang w:val="de-DE"/>
              </w:rPr>
            </w:pPr>
            <w:r w:rsidRPr="004F58B9">
              <w:rPr>
                <w:sz w:val="18"/>
                <w:lang w:val="de-DE"/>
              </w:rPr>
              <w:t>kreisförmig</w:t>
            </w:r>
          </w:p>
          <w:p w14:paraId="5E7F00DE" w14:textId="77777777" w:rsidR="00171E39" w:rsidRPr="004F58B9" w:rsidRDefault="00171E39" w:rsidP="00004824">
            <w:pPr>
              <w:jc w:val="center"/>
              <w:rPr>
                <w:sz w:val="18"/>
                <w:lang w:val="de-DE"/>
              </w:rPr>
            </w:pPr>
          </w:p>
        </w:tc>
        <w:tc>
          <w:tcPr>
            <w:tcW w:w="1388" w:type="dxa"/>
            <w:gridSpan w:val="2"/>
          </w:tcPr>
          <w:p w14:paraId="49512694" w14:textId="77777777" w:rsidR="00171E39" w:rsidRPr="004F58B9" w:rsidRDefault="00171E39" w:rsidP="00004824">
            <w:pPr>
              <w:jc w:val="center"/>
              <w:rPr>
                <w:sz w:val="18"/>
                <w:lang w:val="de-DE"/>
              </w:rPr>
            </w:pPr>
          </w:p>
        </w:tc>
        <w:tc>
          <w:tcPr>
            <w:tcW w:w="1389" w:type="dxa"/>
          </w:tcPr>
          <w:p w14:paraId="4941E51D" w14:textId="77777777" w:rsidR="00171E39" w:rsidRPr="004F58B9" w:rsidRDefault="00171E39" w:rsidP="00004824">
            <w:pPr>
              <w:jc w:val="center"/>
              <w:rPr>
                <w:sz w:val="18"/>
                <w:lang w:val="de-DE"/>
              </w:rPr>
            </w:pPr>
          </w:p>
        </w:tc>
        <w:tc>
          <w:tcPr>
            <w:tcW w:w="1389" w:type="dxa"/>
            <w:gridSpan w:val="2"/>
          </w:tcPr>
          <w:p w14:paraId="7FFF7235" w14:textId="77777777" w:rsidR="00171E39" w:rsidRPr="004F58B9" w:rsidRDefault="00171E39" w:rsidP="00004824">
            <w:pPr>
              <w:jc w:val="center"/>
              <w:rPr>
                <w:sz w:val="18"/>
                <w:lang w:val="de-DE"/>
              </w:rPr>
            </w:pPr>
          </w:p>
        </w:tc>
      </w:tr>
    </w:tbl>
    <w:p w14:paraId="30CD599A" w14:textId="77777777" w:rsidR="00171E39" w:rsidRPr="004F58B9" w:rsidRDefault="00171E39" w:rsidP="00171E39">
      <w:pPr>
        <w:rPr>
          <w:lang w:val="de-DE"/>
        </w:rPr>
      </w:pPr>
    </w:p>
    <w:p w14:paraId="50F3349F" w14:textId="77777777" w:rsidR="00171E39" w:rsidRPr="004F58B9" w:rsidRDefault="00171E39" w:rsidP="00171E39">
      <w:pPr>
        <w:rPr>
          <w:lang w:val="de-DE"/>
        </w:rPr>
      </w:pPr>
    </w:p>
    <w:p w14:paraId="1D36A323" w14:textId="77777777" w:rsidR="00171E39" w:rsidRPr="004F58B9" w:rsidRDefault="00171E39" w:rsidP="00171E39">
      <w:pPr>
        <w:jc w:val="left"/>
        <w:rPr>
          <w:lang w:val="de-DE"/>
        </w:rPr>
      </w:pPr>
      <w:r w:rsidRPr="004F58B9">
        <w:rPr>
          <w:lang w:val="de-DE"/>
        </w:rPr>
        <w:br w:type="page"/>
      </w:r>
    </w:p>
    <w:p w14:paraId="541D345B" w14:textId="77777777" w:rsidR="00171E39" w:rsidRPr="004F58B9" w:rsidRDefault="00171E39" w:rsidP="00171E39">
      <w:pPr>
        <w:rPr>
          <w:rFonts w:eastAsia="MS Mincho"/>
          <w:u w:val="single"/>
          <w:lang w:val="de-DE"/>
        </w:rPr>
      </w:pPr>
      <w:r w:rsidRPr="004F58B9">
        <w:rPr>
          <w:rFonts w:eastAsia="MS Mincho"/>
          <w:u w:val="single"/>
          <w:lang w:val="de-DE"/>
        </w:rPr>
        <w:lastRenderedPageBreak/>
        <w:t>ii)</w:t>
      </w:r>
      <w:r w:rsidRPr="004F58B9">
        <w:rPr>
          <w:rFonts w:eastAsia="MS Mincho"/>
          <w:u w:val="single"/>
          <w:lang w:val="de-DE"/>
        </w:rPr>
        <w:tab/>
        <w:t>Faktoren, die bei der Erstellung von Farbgruppen zu berücksichtigen sind</w:t>
      </w:r>
    </w:p>
    <w:p w14:paraId="7F6E5B33" w14:textId="77777777" w:rsidR="00171E39" w:rsidRPr="004F58B9" w:rsidRDefault="00171E39" w:rsidP="00171E39">
      <w:pPr>
        <w:rPr>
          <w:lang w:val="de-DE"/>
        </w:rPr>
      </w:pPr>
    </w:p>
    <w:p w14:paraId="47ADB30E" w14:textId="77777777" w:rsidR="00171E39" w:rsidRPr="004F58B9" w:rsidRDefault="00171E39" w:rsidP="00171E39">
      <w:pPr>
        <w:rPr>
          <w:lang w:val="de-DE"/>
        </w:rPr>
      </w:pPr>
      <w:r w:rsidRPr="004F58B9">
        <w:rPr>
          <w:lang w:val="de-DE"/>
        </w:rPr>
        <w:fldChar w:fldCharType="begin"/>
      </w:r>
      <w:r w:rsidRPr="004F58B9">
        <w:rPr>
          <w:lang w:val="de-DE"/>
        </w:rPr>
        <w:instrText xml:space="preserve"> AUTONUM  </w:instrText>
      </w:r>
      <w:r w:rsidRPr="004F58B9">
        <w:rPr>
          <w:lang w:val="de-DE"/>
        </w:rPr>
        <w:fldChar w:fldCharType="end"/>
      </w:r>
      <w:r w:rsidRPr="004F58B9">
        <w:rPr>
          <w:lang w:val="de-DE"/>
        </w:rPr>
        <w:tab/>
        <w:t>Der TC prüfte auf seiner vierundfünfzigsten Tagung Dokument TC/54/22 „Farbnamen für die RHS-Farbkarte“ (vergleiche Dokument TC/54/31 „Bericht“, Absatz 244).</w:t>
      </w:r>
    </w:p>
    <w:p w14:paraId="6DBAFFEB" w14:textId="77777777" w:rsidR="00171E39" w:rsidRPr="004F58B9" w:rsidRDefault="00171E39" w:rsidP="00171E39">
      <w:pPr>
        <w:rPr>
          <w:lang w:val="de-DE"/>
        </w:rPr>
      </w:pPr>
    </w:p>
    <w:p w14:paraId="39F8C06D" w14:textId="77777777" w:rsidR="00171E39" w:rsidRPr="004F58B9" w:rsidRDefault="00171E39" w:rsidP="00171E39">
      <w:pPr>
        <w:rPr>
          <w:lang w:val="de-DE"/>
        </w:rPr>
      </w:pPr>
      <w:r w:rsidRPr="004F58B9">
        <w:rPr>
          <w:lang w:val="de-DE"/>
        </w:rPr>
        <w:fldChar w:fldCharType="begin"/>
      </w:r>
      <w:r w:rsidRPr="004F58B9">
        <w:rPr>
          <w:lang w:val="de-DE"/>
        </w:rPr>
        <w:instrText xml:space="preserve"> AUTONUM  </w:instrText>
      </w:r>
      <w:r w:rsidRPr="004F58B9">
        <w:rPr>
          <w:lang w:val="de-DE"/>
        </w:rPr>
        <w:fldChar w:fldCharType="end"/>
      </w:r>
      <w:r w:rsidRPr="004F58B9">
        <w:rPr>
          <w:lang w:val="de-DE"/>
        </w:rPr>
        <w:tab/>
        <w:t>Der TC vereinbarte, die Überarbeitung von Dokument TGP/14 vorzuschlagen, um eine Anleitung für die Faktoren aufzunehmen, die bei der Erstellung von Farbgruppen für die Gruppierung von Sorten und die Organisation der Anbauprüfung zu berücksichtigen sind, wie folgt:</w:t>
      </w:r>
    </w:p>
    <w:p w14:paraId="16FAD85D" w14:textId="77777777" w:rsidR="00171E39" w:rsidRPr="004F58B9" w:rsidRDefault="00171E39" w:rsidP="00171E39">
      <w:pPr>
        <w:rPr>
          <w:rFonts w:eastAsiaTheme="minorEastAsia" w:cs="Arial"/>
          <w:lang w:val="de-DE"/>
        </w:rPr>
      </w:pPr>
    </w:p>
    <w:p w14:paraId="304B1531" w14:textId="77777777" w:rsidR="00171E39" w:rsidRPr="004F58B9" w:rsidRDefault="00171E39" w:rsidP="00171E39">
      <w:pPr>
        <w:ind w:left="567" w:right="567"/>
        <w:rPr>
          <w:rFonts w:eastAsiaTheme="minorEastAsia" w:cs="Arial"/>
          <w:lang w:val="de-DE"/>
        </w:rPr>
      </w:pPr>
      <w:r w:rsidRPr="004F58B9">
        <w:rPr>
          <w:rFonts w:eastAsiaTheme="minorEastAsia" w:cs="Arial"/>
          <w:szCs w:val="18"/>
          <w:lang w:val="de-DE"/>
        </w:rPr>
        <w:t>Unterabschnitt 3: Farbe: Neuer Abschnitt: 5 „</w:t>
      </w:r>
      <w:r w:rsidRPr="004F58B9">
        <w:rPr>
          <w:rFonts w:eastAsiaTheme="minorEastAsia" w:cs="Arial"/>
          <w:lang w:val="de-DE"/>
        </w:rPr>
        <w:t xml:space="preserve">Faktoren, die bei der Erstellung von Farbgruppen </w:t>
      </w:r>
      <w:r w:rsidRPr="004F58B9">
        <w:rPr>
          <w:lang w:val="de-DE"/>
        </w:rPr>
        <w:t xml:space="preserve">zu berücksichtigen </w:t>
      </w:r>
      <w:r w:rsidRPr="004F58B9">
        <w:rPr>
          <w:rFonts w:eastAsiaTheme="minorEastAsia" w:cs="Arial"/>
          <w:lang w:val="de-DE"/>
        </w:rPr>
        <w:t>sind“</w:t>
      </w:r>
    </w:p>
    <w:p w14:paraId="4B78D57D" w14:textId="77777777" w:rsidR="00171E39" w:rsidRPr="004F58B9" w:rsidRDefault="00171E39" w:rsidP="00171E39">
      <w:pPr>
        <w:ind w:left="567" w:right="567"/>
        <w:rPr>
          <w:rFonts w:eastAsiaTheme="minorEastAsia" w:cs="Arial"/>
          <w:lang w:val="de-DE"/>
        </w:rPr>
      </w:pPr>
    </w:p>
    <w:p w14:paraId="75A2EA55" w14:textId="77777777" w:rsidR="00171E39" w:rsidRPr="004F58B9" w:rsidRDefault="00171E39" w:rsidP="00171E39">
      <w:pPr>
        <w:ind w:left="567" w:right="567"/>
        <w:rPr>
          <w:rFonts w:eastAsiaTheme="minorEastAsia"/>
          <w:lang w:val="de-DE"/>
        </w:rPr>
      </w:pPr>
      <w:r w:rsidRPr="004F58B9">
        <w:rPr>
          <w:rFonts w:eastAsiaTheme="minorEastAsia"/>
          <w:lang w:val="de-DE"/>
        </w:rPr>
        <w:t>„Wenn die Farbe eines Pflanzenteils für die Gruppierung von Sorten verwendet wird, ist ein sehr deutlicher und großer Unterschied zwischen den Farben erforderlich. Die Farbgruppen werden aber auch im technischen Fragebogen für Anmelder verwendet, die keine RHS-Farbkarte haben. Daher müssen die Gruppen klein genug sein, damit Anmelder in der Lage sind, eine geeignete Ausprägungsstufe für das Merkmal anzugeben.</w:t>
      </w:r>
    </w:p>
    <w:p w14:paraId="0604BB7D" w14:textId="77777777" w:rsidR="00171E39" w:rsidRPr="004F58B9" w:rsidRDefault="00171E39" w:rsidP="00171E39">
      <w:pPr>
        <w:ind w:left="567" w:right="567"/>
        <w:rPr>
          <w:rFonts w:eastAsiaTheme="minorEastAsia"/>
          <w:lang w:val="de-DE"/>
        </w:rPr>
      </w:pPr>
    </w:p>
    <w:p w14:paraId="7E996094" w14:textId="77777777" w:rsidR="00171E39" w:rsidRPr="004F58B9" w:rsidRDefault="00171E39" w:rsidP="00171E39">
      <w:pPr>
        <w:ind w:left="567" w:right="567"/>
        <w:rPr>
          <w:rFonts w:eastAsiaTheme="minorEastAsia"/>
          <w:lang w:val="de-DE"/>
        </w:rPr>
      </w:pPr>
      <w:r w:rsidRPr="004F58B9">
        <w:rPr>
          <w:rFonts w:eastAsiaTheme="minorEastAsia"/>
          <w:lang w:val="de-DE"/>
        </w:rPr>
        <w:t>„Folgende Faktoren müssen bei der Erstellung von Farbgruppen für die Gruppierung beachtet werden:</w:t>
      </w:r>
    </w:p>
    <w:p w14:paraId="5D1B1A7B" w14:textId="77777777" w:rsidR="00171E39" w:rsidRPr="004F58B9" w:rsidRDefault="00171E39" w:rsidP="00171E39">
      <w:pPr>
        <w:ind w:left="567" w:right="567"/>
        <w:rPr>
          <w:rFonts w:eastAsiaTheme="minorEastAsia"/>
          <w:lang w:val="de-DE"/>
        </w:rPr>
      </w:pPr>
    </w:p>
    <w:p w14:paraId="73D3BF51" w14:textId="77777777" w:rsidR="00171E39" w:rsidRPr="004F58B9" w:rsidRDefault="00171E39" w:rsidP="00171E39">
      <w:pPr>
        <w:numPr>
          <w:ilvl w:val="0"/>
          <w:numId w:val="19"/>
        </w:numPr>
        <w:rPr>
          <w:rFonts w:eastAsiaTheme="minorEastAsia"/>
          <w:lang w:val="de-DE"/>
        </w:rPr>
      </w:pPr>
      <w:r w:rsidRPr="004F58B9">
        <w:rPr>
          <w:rFonts w:eastAsiaTheme="minorEastAsia"/>
          <w:lang w:val="de-DE"/>
        </w:rPr>
        <w:t>Variationsbereich der Farbe des Pflanzenteils innerhalb der Art</w:t>
      </w:r>
    </w:p>
    <w:p w14:paraId="1D5F7014" w14:textId="77777777" w:rsidR="00171E39" w:rsidRPr="004F58B9" w:rsidRDefault="00171E39" w:rsidP="00171E39">
      <w:pPr>
        <w:numPr>
          <w:ilvl w:val="0"/>
          <w:numId w:val="19"/>
        </w:numPr>
        <w:rPr>
          <w:rFonts w:eastAsiaTheme="minorEastAsia"/>
          <w:lang w:val="de-DE"/>
        </w:rPr>
      </w:pPr>
      <w:r w:rsidRPr="004F58B9">
        <w:rPr>
          <w:rFonts w:eastAsiaTheme="minorEastAsia"/>
          <w:lang w:val="de-DE"/>
        </w:rPr>
        <w:t>Unterschied zwischen Farben für zu prüfende Sorten muss deutlich unterscheidbar sein</w:t>
      </w:r>
    </w:p>
    <w:p w14:paraId="715B673C" w14:textId="77777777" w:rsidR="00171E39" w:rsidRPr="004F58B9" w:rsidRDefault="00171E39" w:rsidP="00171E39">
      <w:pPr>
        <w:numPr>
          <w:ilvl w:val="0"/>
          <w:numId w:val="19"/>
        </w:numPr>
        <w:rPr>
          <w:rFonts w:eastAsiaTheme="minorEastAsia"/>
          <w:lang w:val="de-DE"/>
        </w:rPr>
      </w:pPr>
      <w:r w:rsidRPr="004F58B9">
        <w:rPr>
          <w:rFonts w:eastAsiaTheme="minorEastAsia"/>
          <w:lang w:val="de-DE"/>
        </w:rPr>
        <w:t>Möglicher Einfluss der Umwelt auf die Farbe des Pflanzenteils.</w:t>
      </w:r>
    </w:p>
    <w:p w14:paraId="5A945CEF" w14:textId="77777777" w:rsidR="00171E39" w:rsidRPr="004F58B9" w:rsidRDefault="00171E39" w:rsidP="00171E39">
      <w:pPr>
        <w:ind w:left="567" w:right="567"/>
        <w:rPr>
          <w:rFonts w:eastAsiaTheme="minorEastAsia"/>
          <w:lang w:val="de-DE"/>
        </w:rPr>
      </w:pPr>
    </w:p>
    <w:p w14:paraId="08BE2BA6" w14:textId="77777777" w:rsidR="00171E39" w:rsidRPr="004F58B9" w:rsidRDefault="00171E39" w:rsidP="00171E39">
      <w:pPr>
        <w:ind w:left="567" w:right="567"/>
        <w:rPr>
          <w:rFonts w:eastAsiaTheme="minorEastAsia"/>
          <w:lang w:val="de-DE"/>
        </w:rPr>
      </w:pPr>
      <w:r w:rsidRPr="004F58B9">
        <w:rPr>
          <w:rFonts w:eastAsiaTheme="minorEastAsia"/>
          <w:lang w:val="de-DE"/>
        </w:rPr>
        <w:t>„Je nach Pflanzenart und erfasstem Pflanzenteil können die Farbgruppen für die Gruppierung unterschiedlich sein. Beispiele für Farbgruppen bei Gruppierungsmerkmalen verschiedener Prüfungsrichtlinien sind in der folgenden Tabelle aufgeführt.</w:t>
      </w:r>
    </w:p>
    <w:p w14:paraId="029D2539" w14:textId="77777777" w:rsidR="00171E39" w:rsidRPr="004F58B9" w:rsidRDefault="00171E39" w:rsidP="00171E39">
      <w:pPr>
        <w:ind w:left="567" w:right="567"/>
        <w:rPr>
          <w:rFonts w:eastAsiaTheme="minorEastAsia"/>
          <w:lang w:val="de-DE"/>
        </w:rPr>
      </w:pPr>
    </w:p>
    <w:tbl>
      <w:tblPr>
        <w:tblW w:w="8363" w:type="dxa"/>
        <w:jc w:val="center"/>
        <w:tblLayout w:type="fixed"/>
        <w:tblCellMar>
          <w:top w:w="57" w:type="dxa"/>
          <w:left w:w="57" w:type="dxa"/>
          <w:bottom w:w="28" w:type="dxa"/>
          <w:right w:w="57" w:type="dxa"/>
        </w:tblCellMar>
        <w:tblLook w:val="00A0" w:firstRow="1" w:lastRow="0" w:firstColumn="1" w:lastColumn="0" w:noHBand="0" w:noVBand="0"/>
      </w:tblPr>
      <w:tblGrid>
        <w:gridCol w:w="1843"/>
        <w:gridCol w:w="1559"/>
        <w:gridCol w:w="1843"/>
        <w:gridCol w:w="1508"/>
        <w:gridCol w:w="1610"/>
      </w:tblGrid>
      <w:tr w:rsidR="00171E39" w:rsidRPr="004F58B9" w14:paraId="572FD011" w14:textId="77777777" w:rsidTr="00004824">
        <w:trPr>
          <w:cantSplit/>
          <w:trHeight w:val="397"/>
          <w:jc w:val="center"/>
        </w:trPr>
        <w:tc>
          <w:tcPr>
            <w:tcW w:w="1843" w:type="dxa"/>
            <w:tcBorders>
              <w:top w:val="single" w:sz="4" w:space="0" w:color="auto"/>
              <w:left w:val="nil"/>
              <w:bottom w:val="single" w:sz="4" w:space="0" w:color="auto"/>
              <w:right w:val="single" w:sz="4" w:space="0" w:color="auto"/>
            </w:tcBorders>
          </w:tcPr>
          <w:p w14:paraId="61A9ABBC" w14:textId="77777777" w:rsidR="00171E39" w:rsidRPr="004F58B9" w:rsidRDefault="00171E39" w:rsidP="00004824">
            <w:pPr>
              <w:rPr>
                <w:rFonts w:eastAsiaTheme="minorEastAsia"/>
                <w:sz w:val="18"/>
                <w:lang w:val="de-DE"/>
              </w:rPr>
            </w:pPr>
            <w:r w:rsidRPr="004F58B9">
              <w:rPr>
                <w:rFonts w:eastAsiaTheme="minorEastAsia"/>
                <w:sz w:val="18"/>
                <w:lang w:val="de-DE"/>
              </w:rPr>
              <w:t>Prüfungsrichtlinien</w:t>
            </w:r>
          </w:p>
        </w:tc>
        <w:tc>
          <w:tcPr>
            <w:tcW w:w="1559" w:type="dxa"/>
            <w:tcBorders>
              <w:top w:val="single" w:sz="4" w:space="0" w:color="auto"/>
              <w:left w:val="single" w:sz="4" w:space="0" w:color="auto"/>
              <w:bottom w:val="single" w:sz="4" w:space="0" w:color="auto"/>
              <w:right w:val="single" w:sz="4" w:space="0" w:color="auto"/>
            </w:tcBorders>
            <w:hideMark/>
          </w:tcPr>
          <w:p w14:paraId="452E35B3" w14:textId="77777777" w:rsidR="00171E39" w:rsidRPr="004F58B9" w:rsidRDefault="00171E39" w:rsidP="00004824">
            <w:pPr>
              <w:rPr>
                <w:rFonts w:eastAsiaTheme="minorEastAsia"/>
                <w:sz w:val="18"/>
                <w:lang w:val="de-DE"/>
              </w:rPr>
            </w:pPr>
            <w:r w:rsidRPr="004F58B9">
              <w:rPr>
                <w:rFonts w:eastAsiaTheme="minorEastAsia"/>
                <w:sz w:val="18"/>
                <w:lang w:val="de-DE"/>
              </w:rPr>
              <w:t>Campanula</w:t>
            </w:r>
            <w:r w:rsidRPr="004F58B9">
              <w:rPr>
                <w:rFonts w:eastAsiaTheme="minorEastAsia"/>
                <w:sz w:val="18"/>
                <w:lang w:val="de-DE"/>
              </w:rPr>
              <w:br/>
              <w:t>(TG/305/1)</w:t>
            </w:r>
          </w:p>
        </w:tc>
        <w:tc>
          <w:tcPr>
            <w:tcW w:w="1843" w:type="dxa"/>
            <w:tcBorders>
              <w:top w:val="single" w:sz="4" w:space="0" w:color="auto"/>
              <w:left w:val="single" w:sz="4" w:space="0" w:color="auto"/>
              <w:bottom w:val="single" w:sz="4" w:space="0" w:color="auto"/>
              <w:right w:val="single" w:sz="4" w:space="0" w:color="auto"/>
            </w:tcBorders>
            <w:hideMark/>
          </w:tcPr>
          <w:p w14:paraId="18CEDBD0" w14:textId="77777777" w:rsidR="00171E39" w:rsidRPr="004F58B9" w:rsidRDefault="00171E39" w:rsidP="00004824">
            <w:pPr>
              <w:rPr>
                <w:rFonts w:eastAsiaTheme="minorEastAsia"/>
                <w:sz w:val="18"/>
                <w:lang w:val="de-DE"/>
              </w:rPr>
            </w:pPr>
            <w:proofErr w:type="spellStart"/>
            <w:r w:rsidRPr="004F58B9">
              <w:rPr>
                <w:rFonts w:eastAsiaTheme="minorEastAsia"/>
                <w:sz w:val="18"/>
                <w:lang w:val="de-DE"/>
              </w:rPr>
              <w:t>Hosta</w:t>
            </w:r>
            <w:proofErr w:type="spellEnd"/>
            <w:r w:rsidRPr="004F58B9">
              <w:rPr>
                <w:rFonts w:eastAsiaTheme="minorEastAsia"/>
                <w:sz w:val="18"/>
                <w:lang w:val="de-DE"/>
              </w:rPr>
              <w:br/>
              <w:t>(TG/299/1)</w:t>
            </w:r>
          </w:p>
        </w:tc>
        <w:tc>
          <w:tcPr>
            <w:tcW w:w="1508" w:type="dxa"/>
            <w:tcBorders>
              <w:top w:val="single" w:sz="4" w:space="0" w:color="auto"/>
              <w:left w:val="single" w:sz="4" w:space="0" w:color="auto"/>
              <w:bottom w:val="single" w:sz="4" w:space="0" w:color="auto"/>
              <w:right w:val="single" w:sz="4" w:space="0" w:color="auto"/>
            </w:tcBorders>
            <w:hideMark/>
          </w:tcPr>
          <w:p w14:paraId="52D36E7D" w14:textId="77777777" w:rsidR="00171E39" w:rsidRPr="004F58B9" w:rsidRDefault="00171E39" w:rsidP="00004824">
            <w:pPr>
              <w:rPr>
                <w:rFonts w:eastAsiaTheme="minorEastAsia"/>
                <w:sz w:val="18"/>
                <w:lang w:val="de-DE"/>
              </w:rPr>
            </w:pPr>
            <w:proofErr w:type="spellStart"/>
            <w:r w:rsidRPr="004F58B9">
              <w:rPr>
                <w:rFonts w:eastAsiaTheme="minorEastAsia"/>
                <w:sz w:val="18"/>
                <w:lang w:val="de-DE"/>
              </w:rPr>
              <w:t>Cordyline</w:t>
            </w:r>
            <w:proofErr w:type="spellEnd"/>
            <w:r w:rsidRPr="004F58B9">
              <w:rPr>
                <w:rFonts w:eastAsiaTheme="minorEastAsia"/>
                <w:sz w:val="18"/>
                <w:lang w:val="de-DE"/>
              </w:rPr>
              <w:br/>
              <w:t>(TG/317/1)</w:t>
            </w:r>
          </w:p>
        </w:tc>
        <w:tc>
          <w:tcPr>
            <w:tcW w:w="1610" w:type="dxa"/>
            <w:tcBorders>
              <w:top w:val="single" w:sz="4" w:space="0" w:color="auto"/>
              <w:left w:val="single" w:sz="4" w:space="0" w:color="auto"/>
              <w:bottom w:val="single" w:sz="4" w:space="0" w:color="auto"/>
            </w:tcBorders>
            <w:hideMark/>
          </w:tcPr>
          <w:p w14:paraId="14428688" w14:textId="77777777" w:rsidR="00171E39" w:rsidRPr="004F58B9" w:rsidRDefault="00171E39" w:rsidP="00004824">
            <w:pPr>
              <w:rPr>
                <w:rFonts w:eastAsiaTheme="minorEastAsia"/>
                <w:sz w:val="18"/>
                <w:lang w:val="de-DE"/>
              </w:rPr>
            </w:pPr>
            <w:proofErr w:type="spellStart"/>
            <w:r w:rsidRPr="004F58B9">
              <w:rPr>
                <w:rFonts w:eastAsiaTheme="minorEastAsia"/>
                <w:sz w:val="18"/>
                <w:lang w:val="de-DE"/>
              </w:rPr>
              <w:t>Osteospermum</w:t>
            </w:r>
            <w:proofErr w:type="spellEnd"/>
            <w:r w:rsidRPr="004F58B9">
              <w:rPr>
                <w:rFonts w:eastAsiaTheme="minorEastAsia"/>
                <w:sz w:val="18"/>
                <w:lang w:val="de-DE"/>
              </w:rPr>
              <w:br/>
              <w:t>(TG/175/5)</w:t>
            </w:r>
          </w:p>
        </w:tc>
      </w:tr>
      <w:tr w:rsidR="00171E39" w:rsidRPr="004F58B9" w14:paraId="7382CB7F" w14:textId="77777777" w:rsidTr="00004824">
        <w:trPr>
          <w:cantSplit/>
          <w:jc w:val="center"/>
        </w:trPr>
        <w:tc>
          <w:tcPr>
            <w:tcW w:w="1843" w:type="dxa"/>
            <w:tcBorders>
              <w:top w:val="nil"/>
              <w:left w:val="nil"/>
              <w:bottom w:val="single" w:sz="4" w:space="0" w:color="auto"/>
              <w:right w:val="single" w:sz="4" w:space="0" w:color="auto"/>
            </w:tcBorders>
          </w:tcPr>
          <w:p w14:paraId="604E1303" w14:textId="77777777" w:rsidR="00171E39" w:rsidRPr="004F58B9" w:rsidRDefault="00171E39" w:rsidP="00004824">
            <w:pPr>
              <w:jc w:val="left"/>
              <w:rPr>
                <w:rFonts w:eastAsiaTheme="minorEastAsia"/>
                <w:sz w:val="18"/>
                <w:lang w:val="de-DE"/>
              </w:rPr>
            </w:pPr>
            <w:r w:rsidRPr="004F58B9">
              <w:rPr>
                <w:rFonts w:eastAsiaTheme="minorEastAsia"/>
                <w:sz w:val="18"/>
                <w:lang w:val="de-DE"/>
              </w:rPr>
              <w:t>Merkmal</w:t>
            </w:r>
          </w:p>
        </w:tc>
        <w:tc>
          <w:tcPr>
            <w:tcW w:w="1559" w:type="dxa"/>
            <w:tcBorders>
              <w:top w:val="nil"/>
              <w:left w:val="single" w:sz="4" w:space="0" w:color="auto"/>
              <w:bottom w:val="single" w:sz="4" w:space="0" w:color="auto"/>
              <w:right w:val="single" w:sz="4" w:space="0" w:color="auto"/>
            </w:tcBorders>
            <w:hideMark/>
          </w:tcPr>
          <w:p w14:paraId="2E3C3714" w14:textId="77777777" w:rsidR="00171E39" w:rsidRPr="004F58B9" w:rsidRDefault="00171E39" w:rsidP="00004824">
            <w:pPr>
              <w:jc w:val="left"/>
              <w:rPr>
                <w:rFonts w:eastAsiaTheme="minorEastAsia"/>
                <w:sz w:val="18"/>
                <w:lang w:val="de-DE"/>
              </w:rPr>
            </w:pPr>
            <w:r w:rsidRPr="004F58B9">
              <w:rPr>
                <w:rFonts w:eastAsiaTheme="minorEastAsia"/>
                <w:sz w:val="18"/>
                <w:lang w:val="de-DE"/>
              </w:rPr>
              <w:t>Krone: Hauptfarbe der Innenseite</w:t>
            </w:r>
          </w:p>
        </w:tc>
        <w:tc>
          <w:tcPr>
            <w:tcW w:w="1843" w:type="dxa"/>
            <w:tcBorders>
              <w:top w:val="nil"/>
              <w:left w:val="single" w:sz="4" w:space="0" w:color="auto"/>
              <w:bottom w:val="single" w:sz="4" w:space="0" w:color="auto"/>
              <w:right w:val="single" w:sz="4" w:space="0" w:color="auto"/>
            </w:tcBorders>
            <w:hideMark/>
          </w:tcPr>
          <w:p w14:paraId="5719BDB3" w14:textId="77777777" w:rsidR="00171E39" w:rsidRPr="004F58B9" w:rsidRDefault="00171E39" w:rsidP="00004824">
            <w:pPr>
              <w:jc w:val="left"/>
              <w:rPr>
                <w:rFonts w:eastAsiaTheme="minorEastAsia"/>
                <w:sz w:val="18"/>
                <w:lang w:val="de-DE"/>
              </w:rPr>
            </w:pPr>
            <w:r w:rsidRPr="004F58B9">
              <w:rPr>
                <w:rFonts w:eastAsiaTheme="minorEastAsia"/>
                <w:sz w:val="18"/>
                <w:lang w:val="de-DE"/>
              </w:rPr>
              <w:t>Blattspreite: Farbe mit der größten Fläche</w:t>
            </w:r>
          </w:p>
        </w:tc>
        <w:tc>
          <w:tcPr>
            <w:tcW w:w="1508" w:type="dxa"/>
            <w:tcBorders>
              <w:top w:val="nil"/>
              <w:left w:val="single" w:sz="4" w:space="0" w:color="auto"/>
              <w:bottom w:val="single" w:sz="4" w:space="0" w:color="auto"/>
              <w:right w:val="single" w:sz="4" w:space="0" w:color="auto"/>
            </w:tcBorders>
            <w:hideMark/>
          </w:tcPr>
          <w:p w14:paraId="118F6827" w14:textId="77777777" w:rsidR="00171E39" w:rsidRPr="004F58B9" w:rsidRDefault="00171E39" w:rsidP="00004824">
            <w:pPr>
              <w:jc w:val="left"/>
              <w:rPr>
                <w:rFonts w:eastAsiaTheme="minorEastAsia"/>
                <w:sz w:val="18"/>
                <w:lang w:val="de-DE"/>
              </w:rPr>
            </w:pPr>
            <w:r w:rsidRPr="004F58B9">
              <w:rPr>
                <w:rFonts w:eastAsiaTheme="minorEastAsia"/>
                <w:sz w:val="18"/>
                <w:lang w:val="de-DE"/>
              </w:rPr>
              <w:t>Blatt: Sekundärfarbe</w:t>
            </w:r>
          </w:p>
        </w:tc>
        <w:tc>
          <w:tcPr>
            <w:tcW w:w="1610" w:type="dxa"/>
            <w:tcBorders>
              <w:top w:val="nil"/>
              <w:left w:val="single" w:sz="4" w:space="0" w:color="auto"/>
              <w:bottom w:val="single" w:sz="4" w:space="0" w:color="auto"/>
            </w:tcBorders>
            <w:hideMark/>
          </w:tcPr>
          <w:p w14:paraId="459B57C4" w14:textId="77777777" w:rsidR="00171E39" w:rsidRPr="004F58B9" w:rsidRDefault="00171E39" w:rsidP="00004824">
            <w:pPr>
              <w:jc w:val="left"/>
              <w:rPr>
                <w:rFonts w:eastAsiaTheme="minorEastAsia"/>
                <w:sz w:val="18"/>
                <w:lang w:val="de-DE"/>
              </w:rPr>
            </w:pPr>
            <w:r w:rsidRPr="004F58B9">
              <w:rPr>
                <w:rFonts w:eastAsiaTheme="minorEastAsia"/>
                <w:sz w:val="18"/>
                <w:lang w:val="de-DE"/>
              </w:rPr>
              <w:t>Randblüte: Hauptfarbe des mittleren Teils</w:t>
            </w:r>
          </w:p>
        </w:tc>
      </w:tr>
      <w:tr w:rsidR="00171E39" w:rsidRPr="004F58B9" w14:paraId="4FEED5CE" w14:textId="77777777" w:rsidTr="00004824">
        <w:trPr>
          <w:cantSplit/>
          <w:jc w:val="center"/>
        </w:trPr>
        <w:tc>
          <w:tcPr>
            <w:tcW w:w="1843" w:type="dxa"/>
            <w:vMerge w:val="restart"/>
            <w:tcBorders>
              <w:top w:val="nil"/>
              <w:left w:val="nil"/>
              <w:right w:val="single" w:sz="4" w:space="0" w:color="auto"/>
            </w:tcBorders>
            <w:hideMark/>
          </w:tcPr>
          <w:p w14:paraId="7BC5CA68" w14:textId="77777777" w:rsidR="00171E39" w:rsidRPr="004F58B9" w:rsidRDefault="00171E39" w:rsidP="00004824">
            <w:pPr>
              <w:jc w:val="left"/>
              <w:rPr>
                <w:rFonts w:eastAsiaTheme="minorEastAsia"/>
                <w:sz w:val="18"/>
                <w:lang w:val="de-DE"/>
              </w:rPr>
            </w:pPr>
            <w:r w:rsidRPr="004F58B9">
              <w:rPr>
                <w:rFonts w:eastAsiaTheme="minorEastAsia"/>
                <w:sz w:val="18"/>
                <w:lang w:val="de-DE"/>
              </w:rPr>
              <w:t>Farbgruppen für die Gruppierung von Sorten</w:t>
            </w:r>
          </w:p>
        </w:tc>
        <w:tc>
          <w:tcPr>
            <w:tcW w:w="1559" w:type="dxa"/>
            <w:tcBorders>
              <w:top w:val="nil"/>
              <w:left w:val="single" w:sz="4" w:space="0" w:color="auto"/>
              <w:bottom w:val="nil"/>
              <w:right w:val="single" w:sz="4" w:space="0" w:color="auto"/>
            </w:tcBorders>
            <w:hideMark/>
          </w:tcPr>
          <w:p w14:paraId="6DF300F9" w14:textId="77777777" w:rsidR="00171E39" w:rsidRPr="004F58B9" w:rsidRDefault="00171E39" w:rsidP="00004824">
            <w:pPr>
              <w:rPr>
                <w:rFonts w:eastAsiaTheme="minorEastAsia"/>
                <w:sz w:val="18"/>
                <w:lang w:val="de-DE"/>
              </w:rPr>
            </w:pPr>
            <w:r w:rsidRPr="004F58B9">
              <w:rPr>
                <w:rFonts w:eastAsiaTheme="minorEastAsia"/>
                <w:sz w:val="18"/>
                <w:lang w:val="de-DE"/>
              </w:rPr>
              <w:t>weiß</w:t>
            </w:r>
          </w:p>
        </w:tc>
        <w:tc>
          <w:tcPr>
            <w:tcW w:w="1843" w:type="dxa"/>
            <w:tcBorders>
              <w:top w:val="nil"/>
              <w:left w:val="single" w:sz="4" w:space="0" w:color="auto"/>
              <w:bottom w:val="nil"/>
              <w:right w:val="single" w:sz="4" w:space="0" w:color="auto"/>
            </w:tcBorders>
            <w:hideMark/>
          </w:tcPr>
          <w:p w14:paraId="1E7940C7" w14:textId="77777777" w:rsidR="00171E39" w:rsidRPr="004F58B9" w:rsidRDefault="00171E39" w:rsidP="00004824">
            <w:pPr>
              <w:rPr>
                <w:rFonts w:eastAsiaTheme="minorEastAsia"/>
                <w:sz w:val="18"/>
                <w:lang w:val="de-DE"/>
              </w:rPr>
            </w:pPr>
            <w:r w:rsidRPr="004F58B9">
              <w:rPr>
                <w:rFonts w:eastAsiaTheme="minorEastAsia"/>
                <w:sz w:val="18"/>
                <w:lang w:val="de-DE"/>
              </w:rPr>
              <w:t>weiß</w:t>
            </w:r>
          </w:p>
        </w:tc>
        <w:tc>
          <w:tcPr>
            <w:tcW w:w="1508" w:type="dxa"/>
            <w:tcBorders>
              <w:top w:val="nil"/>
              <w:left w:val="single" w:sz="4" w:space="0" w:color="auto"/>
              <w:bottom w:val="nil"/>
              <w:right w:val="single" w:sz="4" w:space="0" w:color="auto"/>
            </w:tcBorders>
            <w:hideMark/>
          </w:tcPr>
          <w:p w14:paraId="2CB6D08F" w14:textId="77777777" w:rsidR="00171E39" w:rsidRPr="004F58B9" w:rsidRDefault="00171E39" w:rsidP="00004824">
            <w:pPr>
              <w:rPr>
                <w:rFonts w:eastAsiaTheme="minorEastAsia"/>
                <w:sz w:val="18"/>
                <w:lang w:val="de-DE"/>
              </w:rPr>
            </w:pPr>
            <w:r w:rsidRPr="004F58B9">
              <w:rPr>
                <w:rFonts w:eastAsiaTheme="minorEastAsia"/>
                <w:sz w:val="18"/>
                <w:lang w:val="de-DE"/>
              </w:rPr>
              <w:t>weiß</w:t>
            </w:r>
          </w:p>
        </w:tc>
        <w:tc>
          <w:tcPr>
            <w:tcW w:w="1610" w:type="dxa"/>
            <w:tcBorders>
              <w:top w:val="nil"/>
              <w:left w:val="single" w:sz="4" w:space="0" w:color="auto"/>
              <w:bottom w:val="nil"/>
            </w:tcBorders>
            <w:hideMark/>
          </w:tcPr>
          <w:p w14:paraId="7C6BD59D" w14:textId="77777777" w:rsidR="00171E39" w:rsidRPr="004F58B9" w:rsidRDefault="00171E39" w:rsidP="00004824">
            <w:pPr>
              <w:rPr>
                <w:rFonts w:eastAsiaTheme="minorEastAsia"/>
                <w:sz w:val="18"/>
                <w:lang w:val="de-DE"/>
              </w:rPr>
            </w:pPr>
            <w:r w:rsidRPr="004F58B9">
              <w:rPr>
                <w:rFonts w:eastAsiaTheme="minorEastAsia"/>
                <w:sz w:val="18"/>
                <w:lang w:val="de-DE"/>
              </w:rPr>
              <w:t>weiß</w:t>
            </w:r>
          </w:p>
        </w:tc>
      </w:tr>
      <w:tr w:rsidR="00171E39" w:rsidRPr="004F58B9" w14:paraId="4B464D01" w14:textId="77777777" w:rsidTr="00004824">
        <w:trPr>
          <w:cantSplit/>
          <w:trHeight w:val="121"/>
          <w:jc w:val="center"/>
        </w:trPr>
        <w:tc>
          <w:tcPr>
            <w:tcW w:w="1843" w:type="dxa"/>
            <w:vMerge/>
            <w:tcBorders>
              <w:left w:val="nil"/>
              <w:bottom w:val="nil"/>
              <w:right w:val="single" w:sz="4" w:space="0" w:color="auto"/>
            </w:tcBorders>
            <w:hideMark/>
          </w:tcPr>
          <w:p w14:paraId="188D1DB9" w14:textId="77777777" w:rsidR="00171E39" w:rsidRPr="004F58B9" w:rsidRDefault="00171E39" w:rsidP="00004824">
            <w:pPr>
              <w:rPr>
                <w:rFonts w:eastAsiaTheme="minorEastAsia"/>
                <w:sz w:val="18"/>
                <w:lang w:val="de-DE"/>
              </w:rPr>
            </w:pPr>
          </w:p>
        </w:tc>
        <w:tc>
          <w:tcPr>
            <w:tcW w:w="1559" w:type="dxa"/>
            <w:tcBorders>
              <w:top w:val="nil"/>
              <w:left w:val="single" w:sz="4" w:space="0" w:color="auto"/>
              <w:bottom w:val="nil"/>
              <w:right w:val="single" w:sz="4" w:space="0" w:color="auto"/>
            </w:tcBorders>
            <w:hideMark/>
          </w:tcPr>
          <w:p w14:paraId="78BA0C88" w14:textId="77777777" w:rsidR="00171E39" w:rsidRPr="004F58B9" w:rsidRDefault="00171E39" w:rsidP="00004824">
            <w:pPr>
              <w:rPr>
                <w:rFonts w:eastAsiaTheme="minorEastAsia"/>
                <w:sz w:val="18"/>
                <w:lang w:val="de-DE"/>
              </w:rPr>
            </w:pPr>
            <w:r w:rsidRPr="004F58B9">
              <w:rPr>
                <w:rFonts w:eastAsiaTheme="minorEastAsia"/>
                <w:sz w:val="18"/>
                <w:lang w:val="de-DE"/>
              </w:rPr>
              <w:t>rosa</w:t>
            </w:r>
          </w:p>
        </w:tc>
        <w:tc>
          <w:tcPr>
            <w:tcW w:w="1843" w:type="dxa"/>
            <w:tcBorders>
              <w:top w:val="nil"/>
              <w:left w:val="single" w:sz="4" w:space="0" w:color="auto"/>
              <w:bottom w:val="nil"/>
              <w:right w:val="single" w:sz="4" w:space="0" w:color="auto"/>
            </w:tcBorders>
            <w:hideMark/>
          </w:tcPr>
          <w:p w14:paraId="147FC4CE" w14:textId="77777777" w:rsidR="00171E39" w:rsidRPr="004F58B9" w:rsidRDefault="00171E39" w:rsidP="00004824">
            <w:pPr>
              <w:rPr>
                <w:rFonts w:eastAsiaTheme="minorEastAsia"/>
                <w:sz w:val="18"/>
                <w:lang w:val="de-DE"/>
              </w:rPr>
            </w:pPr>
            <w:r w:rsidRPr="004F58B9">
              <w:rPr>
                <w:rFonts w:eastAsiaTheme="minorEastAsia"/>
                <w:sz w:val="18"/>
                <w:lang w:val="de-DE"/>
              </w:rPr>
              <w:t>hellgelb</w:t>
            </w:r>
          </w:p>
        </w:tc>
        <w:tc>
          <w:tcPr>
            <w:tcW w:w="1508" w:type="dxa"/>
            <w:tcBorders>
              <w:top w:val="nil"/>
              <w:left w:val="single" w:sz="4" w:space="0" w:color="auto"/>
              <w:bottom w:val="nil"/>
              <w:right w:val="single" w:sz="4" w:space="0" w:color="auto"/>
            </w:tcBorders>
            <w:hideMark/>
          </w:tcPr>
          <w:p w14:paraId="04ADCF02" w14:textId="77777777" w:rsidR="00171E39" w:rsidRPr="004F58B9" w:rsidRDefault="00171E39" w:rsidP="00004824">
            <w:pPr>
              <w:rPr>
                <w:rFonts w:eastAsiaTheme="minorEastAsia"/>
                <w:sz w:val="18"/>
                <w:lang w:val="de-DE"/>
              </w:rPr>
            </w:pPr>
            <w:r w:rsidRPr="004F58B9">
              <w:rPr>
                <w:rFonts w:eastAsiaTheme="minorEastAsia"/>
                <w:sz w:val="18"/>
                <w:lang w:val="de-DE"/>
              </w:rPr>
              <w:t>gelb</w:t>
            </w:r>
          </w:p>
        </w:tc>
        <w:tc>
          <w:tcPr>
            <w:tcW w:w="1610" w:type="dxa"/>
            <w:tcBorders>
              <w:top w:val="nil"/>
              <w:left w:val="single" w:sz="4" w:space="0" w:color="auto"/>
              <w:bottom w:val="nil"/>
            </w:tcBorders>
            <w:hideMark/>
          </w:tcPr>
          <w:p w14:paraId="1AEB2DBC" w14:textId="77777777" w:rsidR="00171E39" w:rsidRPr="004F58B9" w:rsidRDefault="00171E39" w:rsidP="00004824">
            <w:pPr>
              <w:rPr>
                <w:rFonts w:eastAsiaTheme="minorEastAsia"/>
                <w:sz w:val="18"/>
                <w:lang w:val="de-DE"/>
              </w:rPr>
            </w:pPr>
            <w:r w:rsidRPr="004F58B9">
              <w:rPr>
                <w:rFonts w:eastAsiaTheme="minorEastAsia"/>
                <w:sz w:val="18"/>
                <w:lang w:val="de-DE"/>
              </w:rPr>
              <w:t>gelb</w:t>
            </w:r>
          </w:p>
        </w:tc>
      </w:tr>
      <w:tr w:rsidR="00171E39" w:rsidRPr="004F58B9" w14:paraId="2A901D49" w14:textId="77777777" w:rsidTr="00004824">
        <w:trPr>
          <w:cantSplit/>
          <w:jc w:val="center"/>
        </w:trPr>
        <w:tc>
          <w:tcPr>
            <w:tcW w:w="1843" w:type="dxa"/>
            <w:tcBorders>
              <w:top w:val="nil"/>
              <w:left w:val="nil"/>
              <w:bottom w:val="nil"/>
              <w:right w:val="single" w:sz="4" w:space="0" w:color="auto"/>
            </w:tcBorders>
          </w:tcPr>
          <w:p w14:paraId="6304F2AF" w14:textId="77777777" w:rsidR="00171E39" w:rsidRPr="004F58B9" w:rsidRDefault="00171E39" w:rsidP="00004824">
            <w:pPr>
              <w:rPr>
                <w:rFonts w:eastAsiaTheme="minorEastAsia"/>
                <w:sz w:val="18"/>
                <w:lang w:val="de-DE"/>
              </w:rPr>
            </w:pPr>
          </w:p>
        </w:tc>
        <w:tc>
          <w:tcPr>
            <w:tcW w:w="1559" w:type="dxa"/>
            <w:tcBorders>
              <w:top w:val="nil"/>
              <w:left w:val="single" w:sz="4" w:space="0" w:color="auto"/>
              <w:bottom w:val="nil"/>
              <w:right w:val="single" w:sz="4" w:space="0" w:color="auto"/>
            </w:tcBorders>
            <w:hideMark/>
          </w:tcPr>
          <w:p w14:paraId="4FDEFCD0" w14:textId="77777777" w:rsidR="00171E39" w:rsidRPr="004F58B9" w:rsidRDefault="00171E39" w:rsidP="00004824">
            <w:pPr>
              <w:rPr>
                <w:rFonts w:eastAsiaTheme="minorEastAsia"/>
                <w:sz w:val="18"/>
                <w:lang w:val="de-DE"/>
              </w:rPr>
            </w:pPr>
            <w:r w:rsidRPr="004F58B9">
              <w:rPr>
                <w:rFonts w:eastAsiaTheme="minorEastAsia"/>
                <w:sz w:val="18"/>
                <w:lang w:val="de-DE"/>
              </w:rPr>
              <w:t>rotpurpurn</w:t>
            </w:r>
          </w:p>
        </w:tc>
        <w:tc>
          <w:tcPr>
            <w:tcW w:w="1843" w:type="dxa"/>
            <w:tcBorders>
              <w:top w:val="nil"/>
              <w:left w:val="single" w:sz="4" w:space="0" w:color="auto"/>
              <w:bottom w:val="nil"/>
              <w:right w:val="single" w:sz="4" w:space="0" w:color="auto"/>
            </w:tcBorders>
            <w:hideMark/>
          </w:tcPr>
          <w:p w14:paraId="38959E37" w14:textId="77777777" w:rsidR="00171E39" w:rsidRPr="004F58B9" w:rsidRDefault="00171E39" w:rsidP="00004824">
            <w:pPr>
              <w:rPr>
                <w:rFonts w:eastAsiaTheme="minorEastAsia"/>
                <w:sz w:val="18"/>
                <w:lang w:val="de-DE"/>
              </w:rPr>
            </w:pPr>
            <w:r w:rsidRPr="004F58B9">
              <w:rPr>
                <w:rFonts w:eastAsiaTheme="minorEastAsia"/>
                <w:sz w:val="18"/>
                <w:lang w:val="de-DE"/>
              </w:rPr>
              <w:t>mittelgelb</w:t>
            </w:r>
          </w:p>
        </w:tc>
        <w:tc>
          <w:tcPr>
            <w:tcW w:w="1508" w:type="dxa"/>
            <w:tcBorders>
              <w:top w:val="nil"/>
              <w:left w:val="single" w:sz="4" w:space="0" w:color="auto"/>
              <w:bottom w:val="nil"/>
              <w:right w:val="single" w:sz="4" w:space="0" w:color="auto"/>
            </w:tcBorders>
            <w:hideMark/>
          </w:tcPr>
          <w:p w14:paraId="5EE377F9" w14:textId="77777777" w:rsidR="00171E39" w:rsidRPr="004F58B9" w:rsidRDefault="00171E39" w:rsidP="00004824">
            <w:pPr>
              <w:rPr>
                <w:rFonts w:eastAsiaTheme="minorEastAsia"/>
                <w:sz w:val="18"/>
                <w:lang w:val="de-DE"/>
              </w:rPr>
            </w:pPr>
            <w:r w:rsidRPr="004F58B9">
              <w:rPr>
                <w:rFonts w:eastAsiaTheme="minorEastAsia"/>
                <w:sz w:val="18"/>
                <w:lang w:val="de-DE"/>
              </w:rPr>
              <w:t>grün</w:t>
            </w:r>
          </w:p>
        </w:tc>
        <w:tc>
          <w:tcPr>
            <w:tcW w:w="1610" w:type="dxa"/>
            <w:tcBorders>
              <w:top w:val="nil"/>
              <w:left w:val="single" w:sz="4" w:space="0" w:color="auto"/>
              <w:bottom w:val="nil"/>
            </w:tcBorders>
            <w:hideMark/>
          </w:tcPr>
          <w:p w14:paraId="577E7D0C" w14:textId="77777777" w:rsidR="00171E39" w:rsidRPr="004F58B9" w:rsidRDefault="00171E39" w:rsidP="00004824">
            <w:pPr>
              <w:rPr>
                <w:rFonts w:eastAsiaTheme="minorEastAsia"/>
                <w:sz w:val="18"/>
                <w:lang w:val="de-DE"/>
              </w:rPr>
            </w:pPr>
            <w:r w:rsidRPr="004F58B9">
              <w:rPr>
                <w:rFonts w:eastAsiaTheme="minorEastAsia"/>
                <w:sz w:val="18"/>
                <w:lang w:val="de-DE"/>
              </w:rPr>
              <w:t>orange</w:t>
            </w:r>
          </w:p>
        </w:tc>
      </w:tr>
      <w:tr w:rsidR="00171E39" w:rsidRPr="004F58B9" w14:paraId="3E8CCB5C" w14:textId="77777777" w:rsidTr="00004824">
        <w:trPr>
          <w:cantSplit/>
          <w:jc w:val="center"/>
        </w:trPr>
        <w:tc>
          <w:tcPr>
            <w:tcW w:w="1843" w:type="dxa"/>
            <w:tcBorders>
              <w:top w:val="nil"/>
              <w:left w:val="nil"/>
              <w:bottom w:val="nil"/>
              <w:right w:val="single" w:sz="4" w:space="0" w:color="auto"/>
            </w:tcBorders>
          </w:tcPr>
          <w:p w14:paraId="75C050E2" w14:textId="77777777" w:rsidR="00171E39" w:rsidRPr="004F58B9" w:rsidRDefault="00171E39" w:rsidP="00004824">
            <w:pPr>
              <w:rPr>
                <w:rFonts w:eastAsiaTheme="minorEastAsia"/>
                <w:sz w:val="18"/>
                <w:lang w:val="de-DE"/>
              </w:rPr>
            </w:pPr>
          </w:p>
        </w:tc>
        <w:tc>
          <w:tcPr>
            <w:tcW w:w="1559" w:type="dxa"/>
            <w:tcBorders>
              <w:top w:val="nil"/>
              <w:left w:val="single" w:sz="4" w:space="0" w:color="auto"/>
              <w:bottom w:val="nil"/>
              <w:right w:val="single" w:sz="4" w:space="0" w:color="auto"/>
            </w:tcBorders>
            <w:hideMark/>
          </w:tcPr>
          <w:p w14:paraId="6DEBE65C" w14:textId="77777777" w:rsidR="00171E39" w:rsidRPr="004F58B9" w:rsidRDefault="00171E39" w:rsidP="00004824">
            <w:pPr>
              <w:rPr>
                <w:rFonts w:eastAsiaTheme="minorEastAsia"/>
                <w:sz w:val="18"/>
                <w:lang w:val="de-DE"/>
              </w:rPr>
            </w:pPr>
            <w:r w:rsidRPr="004F58B9">
              <w:rPr>
                <w:rFonts w:eastAsiaTheme="minorEastAsia"/>
                <w:sz w:val="18"/>
                <w:lang w:val="de-DE"/>
              </w:rPr>
              <w:t>purpurn</w:t>
            </w:r>
          </w:p>
        </w:tc>
        <w:tc>
          <w:tcPr>
            <w:tcW w:w="1843" w:type="dxa"/>
            <w:tcBorders>
              <w:top w:val="nil"/>
              <w:left w:val="single" w:sz="4" w:space="0" w:color="auto"/>
              <w:bottom w:val="nil"/>
              <w:right w:val="single" w:sz="4" w:space="0" w:color="auto"/>
            </w:tcBorders>
            <w:hideMark/>
          </w:tcPr>
          <w:p w14:paraId="0DF145CB" w14:textId="77777777" w:rsidR="00171E39" w:rsidRPr="004F58B9" w:rsidRDefault="00171E39" w:rsidP="00004824">
            <w:pPr>
              <w:rPr>
                <w:rFonts w:eastAsiaTheme="minorEastAsia"/>
                <w:sz w:val="18"/>
                <w:lang w:val="de-DE"/>
              </w:rPr>
            </w:pPr>
            <w:r w:rsidRPr="004F58B9">
              <w:rPr>
                <w:rFonts w:eastAsiaTheme="minorEastAsia"/>
                <w:sz w:val="18"/>
                <w:lang w:val="de-DE"/>
              </w:rPr>
              <w:t>dunkelgelb</w:t>
            </w:r>
          </w:p>
        </w:tc>
        <w:tc>
          <w:tcPr>
            <w:tcW w:w="1508" w:type="dxa"/>
            <w:tcBorders>
              <w:top w:val="nil"/>
              <w:left w:val="single" w:sz="4" w:space="0" w:color="auto"/>
              <w:bottom w:val="nil"/>
              <w:right w:val="single" w:sz="4" w:space="0" w:color="auto"/>
            </w:tcBorders>
            <w:hideMark/>
          </w:tcPr>
          <w:p w14:paraId="7C0F45A6" w14:textId="77777777" w:rsidR="00171E39" w:rsidRPr="004F58B9" w:rsidRDefault="00171E39" w:rsidP="00004824">
            <w:pPr>
              <w:rPr>
                <w:rFonts w:eastAsiaTheme="minorEastAsia"/>
                <w:sz w:val="18"/>
                <w:lang w:val="de-DE"/>
              </w:rPr>
            </w:pPr>
            <w:r w:rsidRPr="004F58B9">
              <w:rPr>
                <w:rFonts w:eastAsiaTheme="minorEastAsia"/>
                <w:sz w:val="18"/>
                <w:lang w:val="de-DE"/>
              </w:rPr>
              <w:t>rot</w:t>
            </w:r>
          </w:p>
        </w:tc>
        <w:tc>
          <w:tcPr>
            <w:tcW w:w="1610" w:type="dxa"/>
            <w:tcBorders>
              <w:top w:val="nil"/>
              <w:left w:val="single" w:sz="4" w:space="0" w:color="auto"/>
              <w:bottom w:val="nil"/>
            </w:tcBorders>
            <w:hideMark/>
          </w:tcPr>
          <w:p w14:paraId="70EFE764" w14:textId="77777777" w:rsidR="00171E39" w:rsidRPr="004F58B9" w:rsidRDefault="00171E39" w:rsidP="00004824">
            <w:pPr>
              <w:rPr>
                <w:rFonts w:eastAsiaTheme="minorEastAsia"/>
                <w:sz w:val="18"/>
                <w:lang w:val="de-DE"/>
              </w:rPr>
            </w:pPr>
            <w:r w:rsidRPr="004F58B9">
              <w:rPr>
                <w:rFonts w:eastAsiaTheme="minorEastAsia"/>
                <w:sz w:val="18"/>
                <w:lang w:val="de-DE"/>
              </w:rPr>
              <w:t>rosa</w:t>
            </w:r>
          </w:p>
        </w:tc>
      </w:tr>
      <w:tr w:rsidR="00171E39" w:rsidRPr="004F58B9" w14:paraId="6F482D5B" w14:textId="77777777" w:rsidTr="00004824">
        <w:trPr>
          <w:cantSplit/>
          <w:jc w:val="center"/>
        </w:trPr>
        <w:tc>
          <w:tcPr>
            <w:tcW w:w="1843" w:type="dxa"/>
            <w:tcBorders>
              <w:top w:val="nil"/>
              <w:left w:val="nil"/>
              <w:bottom w:val="nil"/>
              <w:right w:val="single" w:sz="4" w:space="0" w:color="auto"/>
            </w:tcBorders>
          </w:tcPr>
          <w:p w14:paraId="3A624EC8" w14:textId="77777777" w:rsidR="00171E39" w:rsidRPr="004F58B9" w:rsidRDefault="00171E39" w:rsidP="00004824">
            <w:pPr>
              <w:rPr>
                <w:rFonts w:eastAsiaTheme="minorEastAsia"/>
                <w:sz w:val="18"/>
                <w:lang w:val="de-DE"/>
              </w:rPr>
            </w:pPr>
          </w:p>
        </w:tc>
        <w:tc>
          <w:tcPr>
            <w:tcW w:w="1559" w:type="dxa"/>
            <w:tcBorders>
              <w:top w:val="nil"/>
              <w:left w:val="single" w:sz="4" w:space="0" w:color="auto"/>
              <w:bottom w:val="nil"/>
              <w:right w:val="single" w:sz="4" w:space="0" w:color="auto"/>
            </w:tcBorders>
            <w:hideMark/>
          </w:tcPr>
          <w:p w14:paraId="687517A2" w14:textId="77777777" w:rsidR="00171E39" w:rsidRPr="004F58B9" w:rsidRDefault="00171E39" w:rsidP="00004824">
            <w:pPr>
              <w:rPr>
                <w:rFonts w:eastAsiaTheme="minorEastAsia"/>
                <w:sz w:val="18"/>
                <w:lang w:val="de-DE"/>
              </w:rPr>
            </w:pPr>
            <w:r w:rsidRPr="004F58B9">
              <w:rPr>
                <w:rFonts w:eastAsiaTheme="minorEastAsia"/>
                <w:sz w:val="18"/>
                <w:lang w:val="de-DE"/>
              </w:rPr>
              <w:t>blau</w:t>
            </w:r>
          </w:p>
        </w:tc>
        <w:tc>
          <w:tcPr>
            <w:tcW w:w="1843" w:type="dxa"/>
            <w:tcBorders>
              <w:top w:val="nil"/>
              <w:left w:val="single" w:sz="4" w:space="0" w:color="auto"/>
              <w:bottom w:val="nil"/>
              <w:right w:val="single" w:sz="4" w:space="0" w:color="auto"/>
            </w:tcBorders>
            <w:hideMark/>
          </w:tcPr>
          <w:p w14:paraId="6F189EE8" w14:textId="77777777" w:rsidR="00171E39" w:rsidRPr="004F58B9" w:rsidRDefault="00171E39" w:rsidP="00004824">
            <w:pPr>
              <w:rPr>
                <w:rFonts w:eastAsiaTheme="minorEastAsia"/>
                <w:sz w:val="18"/>
                <w:lang w:val="de-DE"/>
              </w:rPr>
            </w:pPr>
            <w:r w:rsidRPr="004F58B9">
              <w:rPr>
                <w:rFonts w:eastAsiaTheme="minorEastAsia"/>
                <w:sz w:val="18"/>
                <w:lang w:val="de-DE"/>
              </w:rPr>
              <w:t>hellgrün</w:t>
            </w:r>
          </w:p>
        </w:tc>
        <w:tc>
          <w:tcPr>
            <w:tcW w:w="1508" w:type="dxa"/>
            <w:tcBorders>
              <w:top w:val="nil"/>
              <w:left w:val="single" w:sz="4" w:space="0" w:color="auto"/>
              <w:bottom w:val="nil"/>
              <w:right w:val="single" w:sz="4" w:space="0" w:color="auto"/>
            </w:tcBorders>
            <w:hideMark/>
          </w:tcPr>
          <w:p w14:paraId="1E950A31" w14:textId="77777777" w:rsidR="00171E39" w:rsidRPr="004F58B9" w:rsidRDefault="00171E39" w:rsidP="00004824">
            <w:pPr>
              <w:rPr>
                <w:rFonts w:eastAsiaTheme="minorEastAsia"/>
                <w:sz w:val="18"/>
                <w:lang w:val="de-DE"/>
              </w:rPr>
            </w:pPr>
            <w:r w:rsidRPr="004F58B9">
              <w:rPr>
                <w:rFonts w:eastAsiaTheme="minorEastAsia"/>
                <w:sz w:val="18"/>
                <w:lang w:val="de-DE"/>
              </w:rPr>
              <w:t>purpurn</w:t>
            </w:r>
          </w:p>
        </w:tc>
        <w:tc>
          <w:tcPr>
            <w:tcW w:w="1610" w:type="dxa"/>
            <w:tcBorders>
              <w:top w:val="nil"/>
              <w:left w:val="single" w:sz="4" w:space="0" w:color="auto"/>
              <w:bottom w:val="nil"/>
            </w:tcBorders>
            <w:hideMark/>
          </w:tcPr>
          <w:p w14:paraId="56B4C075" w14:textId="77777777" w:rsidR="00171E39" w:rsidRPr="004F58B9" w:rsidRDefault="00171E39" w:rsidP="00004824">
            <w:pPr>
              <w:rPr>
                <w:rFonts w:eastAsiaTheme="minorEastAsia"/>
                <w:sz w:val="18"/>
                <w:lang w:val="de-DE"/>
              </w:rPr>
            </w:pPr>
            <w:r w:rsidRPr="004F58B9">
              <w:rPr>
                <w:rFonts w:eastAsiaTheme="minorEastAsia"/>
                <w:sz w:val="18"/>
                <w:lang w:val="de-DE"/>
              </w:rPr>
              <w:t>rot</w:t>
            </w:r>
          </w:p>
        </w:tc>
      </w:tr>
      <w:tr w:rsidR="00171E39" w:rsidRPr="004F58B9" w14:paraId="51091110" w14:textId="77777777" w:rsidTr="00004824">
        <w:trPr>
          <w:cantSplit/>
          <w:jc w:val="center"/>
        </w:trPr>
        <w:tc>
          <w:tcPr>
            <w:tcW w:w="1843" w:type="dxa"/>
            <w:tcBorders>
              <w:top w:val="nil"/>
              <w:left w:val="nil"/>
              <w:bottom w:val="nil"/>
              <w:right w:val="single" w:sz="4" w:space="0" w:color="auto"/>
            </w:tcBorders>
          </w:tcPr>
          <w:p w14:paraId="3F00E8A1" w14:textId="77777777" w:rsidR="00171E39" w:rsidRPr="004F58B9" w:rsidRDefault="00171E39" w:rsidP="00004824">
            <w:pPr>
              <w:rPr>
                <w:rFonts w:eastAsiaTheme="minorEastAsia"/>
                <w:sz w:val="18"/>
                <w:lang w:val="de-DE"/>
              </w:rPr>
            </w:pPr>
          </w:p>
        </w:tc>
        <w:tc>
          <w:tcPr>
            <w:tcW w:w="1559" w:type="dxa"/>
            <w:tcBorders>
              <w:top w:val="nil"/>
              <w:left w:val="single" w:sz="4" w:space="0" w:color="auto"/>
              <w:bottom w:val="nil"/>
              <w:right w:val="single" w:sz="4" w:space="0" w:color="auto"/>
            </w:tcBorders>
          </w:tcPr>
          <w:p w14:paraId="20E949F9" w14:textId="77777777" w:rsidR="00171E39" w:rsidRPr="004F58B9" w:rsidRDefault="00171E39" w:rsidP="00004824">
            <w:pPr>
              <w:rPr>
                <w:rFonts w:eastAsiaTheme="minorEastAsia"/>
                <w:sz w:val="18"/>
                <w:lang w:val="de-DE"/>
              </w:rPr>
            </w:pPr>
          </w:p>
        </w:tc>
        <w:tc>
          <w:tcPr>
            <w:tcW w:w="1843" w:type="dxa"/>
            <w:tcBorders>
              <w:top w:val="nil"/>
              <w:left w:val="single" w:sz="4" w:space="0" w:color="auto"/>
              <w:bottom w:val="nil"/>
              <w:right w:val="single" w:sz="4" w:space="0" w:color="auto"/>
            </w:tcBorders>
            <w:hideMark/>
          </w:tcPr>
          <w:p w14:paraId="30C794FF" w14:textId="77777777" w:rsidR="00171E39" w:rsidRPr="004F58B9" w:rsidRDefault="00171E39" w:rsidP="00004824">
            <w:pPr>
              <w:rPr>
                <w:rFonts w:eastAsiaTheme="minorEastAsia"/>
                <w:sz w:val="18"/>
                <w:lang w:val="de-DE"/>
              </w:rPr>
            </w:pPr>
            <w:r w:rsidRPr="004F58B9">
              <w:rPr>
                <w:rFonts w:eastAsiaTheme="minorEastAsia"/>
                <w:sz w:val="18"/>
                <w:lang w:val="de-DE"/>
              </w:rPr>
              <w:t>mittelgrün</w:t>
            </w:r>
          </w:p>
        </w:tc>
        <w:tc>
          <w:tcPr>
            <w:tcW w:w="1508" w:type="dxa"/>
            <w:tcBorders>
              <w:top w:val="nil"/>
              <w:left w:val="single" w:sz="4" w:space="0" w:color="auto"/>
              <w:bottom w:val="nil"/>
              <w:right w:val="single" w:sz="4" w:space="0" w:color="auto"/>
            </w:tcBorders>
            <w:hideMark/>
          </w:tcPr>
          <w:p w14:paraId="73ABD5AC" w14:textId="77777777" w:rsidR="00171E39" w:rsidRPr="004F58B9" w:rsidRDefault="00171E39" w:rsidP="00004824">
            <w:pPr>
              <w:rPr>
                <w:rFonts w:eastAsiaTheme="minorEastAsia"/>
                <w:sz w:val="18"/>
                <w:lang w:val="de-DE"/>
              </w:rPr>
            </w:pPr>
            <w:r w:rsidRPr="004F58B9">
              <w:rPr>
                <w:rFonts w:eastAsiaTheme="minorEastAsia"/>
                <w:sz w:val="18"/>
                <w:lang w:val="de-DE"/>
              </w:rPr>
              <w:t>braun</w:t>
            </w:r>
          </w:p>
        </w:tc>
        <w:tc>
          <w:tcPr>
            <w:tcW w:w="1610" w:type="dxa"/>
            <w:tcBorders>
              <w:top w:val="nil"/>
              <w:left w:val="single" w:sz="4" w:space="0" w:color="auto"/>
              <w:bottom w:val="nil"/>
            </w:tcBorders>
            <w:hideMark/>
          </w:tcPr>
          <w:p w14:paraId="22311BED" w14:textId="77777777" w:rsidR="00171E39" w:rsidRPr="004F58B9" w:rsidRDefault="00171E39" w:rsidP="00004824">
            <w:pPr>
              <w:rPr>
                <w:rFonts w:eastAsiaTheme="minorEastAsia"/>
                <w:sz w:val="18"/>
                <w:lang w:val="de-DE"/>
              </w:rPr>
            </w:pPr>
            <w:r w:rsidRPr="004F58B9">
              <w:rPr>
                <w:rFonts w:eastAsiaTheme="minorEastAsia"/>
                <w:sz w:val="18"/>
                <w:lang w:val="de-DE"/>
              </w:rPr>
              <w:t>purpurn</w:t>
            </w:r>
          </w:p>
        </w:tc>
      </w:tr>
      <w:tr w:rsidR="00171E39" w:rsidRPr="004F58B9" w14:paraId="48C43260" w14:textId="77777777" w:rsidTr="00004824">
        <w:trPr>
          <w:cantSplit/>
          <w:jc w:val="center"/>
        </w:trPr>
        <w:tc>
          <w:tcPr>
            <w:tcW w:w="1843" w:type="dxa"/>
            <w:tcBorders>
              <w:top w:val="nil"/>
              <w:left w:val="nil"/>
              <w:bottom w:val="nil"/>
              <w:right w:val="single" w:sz="4" w:space="0" w:color="auto"/>
            </w:tcBorders>
          </w:tcPr>
          <w:p w14:paraId="63E074F7" w14:textId="77777777" w:rsidR="00171E39" w:rsidRPr="004F58B9" w:rsidRDefault="00171E39" w:rsidP="00004824">
            <w:pPr>
              <w:rPr>
                <w:rFonts w:eastAsiaTheme="minorEastAsia"/>
                <w:sz w:val="18"/>
                <w:lang w:val="de-DE"/>
              </w:rPr>
            </w:pPr>
          </w:p>
        </w:tc>
        <w:tc>
          <w:tcPr>
            <w:tcW w:w="1559" w:type="dxa"/>
            <w:tcBorders>
              <w:top w:val="nil"/>
              <w:left w:val="single" w:sz="4" w:space="0" w:color="auto"/>
              <w:bottom w:val="nil"/>
              <w:right w:val="single" w:sz="4" w:space="0" w:color="auto"/>
            </w:tcBorders>
          </w:tcPr>
          <w:p w14:paraId="34F425FC" w14:textId="77777777" w:rsidR="00171E39" w:rsidRPr="004F58B9" w:rsidRDefault="00171E39" w:rsidP="00004824">
            <w:pPr>
              <w:rPr>
                <w:rFonts w:eastAsiaTheme="minorEastAsia"/>
                <w:sz w:val="18"/>
                <w:lang w:val="de-DE"/>
              </w:rPr>
            </w:pPr>
          </w:p>
        </w:tc>
        <w:tc>
          <w:tcPr>
            <w:tcW w:w="1843" w:type="dxa"/>
            <w:tcBorders>
              <w:top w:val="nil"/>
              <w:left w:val="single" w:sz="4" w:space="0" w:color="auto"/>
              <w:bottom w:val="nil"/>
              <w:right w:val="single" w:sz="4" w:space="0" w:color="auto"/>
            </w:tcBorders>
            <w:hideMark/>
          </w:tcPr>
          <w:p w14:paraId="156210DD" w14:textId="77777777" w:rsidR="00171E39" w:rsidRPr="004F58B9" w:rsidRDefault="00171E39" w:rsidP="00004824">
            <w:pPr>
              <w:rPr>
                <w:rFonts w:eastAsiaTheme="minorEastAsia"/>
                <w:sz w:val="18"/>
                <w:lang w:val="de-DE"/>
              </w:rPr>
            </w:pPr>
            <w:r w:rsidRPr="004F58B9">
              <w:rPr>
                <w:rFonts w:eastAsiaTheme="minorEastAsia"/>
                <w:sz w:val="18"/>
                <w:lang w:val="de-DE"/>
              </w:rPr>
              <w:t>dunkelgrün</w:t>
            </w:r>
          </w:p>
        </w:tc>
        <w:tc>
          <w:tcPr>
            <w:tcW w:w="1508" w:type="dxa"/>
            <w:tcBorders>
              <w:top w:val="nil"/>
              <w:left w:val="single" w:sz="4" w:space="0" w:color="auto"/>
              <w:bottom w:val="nil"/>
              <w:right w:val="single" w:sz="4" w:space="0" w:color="auto"/>
            </w:tcBorders>
            <w:hideMark/>
          </w:tcPr>
          <w:p w14:paraId="6E2D995E" w14:textId="77777777" w:rsidR="00171E39" w:rsidRPr="004F58B9" w:rsidRDefault="00171E39" w:rsidP="00004824">
            <w:pPr>
              <w:rPr>
                <w:rFonts w:eastAsiaTheme="minorEastAsia"/>
                <w:sz w:val="18"/>
                <w:lang w:val="de-DE"/>
              </w:rPr>
            </w:pPr>
            <w:r w:rsidRPr="004F58B9">
              <w:rPr>
                <w:rFonts w:eastAsiaTheme="minorEastAsia"/>
                <w:sz w:val="18"/>
                <w:lang w:val="de-DE"/>
              </w:rPr>
              <w:t>schwärzlich</w:t>
            </w:r>
          </w:p>
        </w:tc>
        <w:tc>
          <w:tcPr>
            <w:tcW w:w="1610" w:type="dxa"/>
            <w:tcBorders>
              <w:top w:val="nil"/>
              <w:left w:val="single" w:sz="4" w:space="0" w:color="auto"/>
              <w:bottom w:val="nil"/>
            </w:tcBorders>
            <w:hideMark/>
          </w:tcPr>
          <w:p w14:paraId="666195FF" w14:textId="77777777" w:rsidR="00171E39" w:rsidRPr="004F58B9" w:rsidRDefault="00171E39" w:rsidP="00004824">
            <w:pPr>
              <w:rPr>
                <w:rFonts w:eastAsiaTheme="minorEastAsia"/>
                <w:sz w:val="18"/>
                <w:lang w:val="de-DE"/>
              </w:rPr>
            </w:pPr>
            <w:r w:rsidRPr="004F58B9">
              <w:rPr>
                <w:rFonts w:eastAsiaTheme="minorEastAsia"/>
                <w:sz w:val="18"/>
                <w:lang w:val="de-DE"/>
              </w:rPr>
              <w:t>violett</w:t>
            </w:r>
          </w:p>
        </w:tc>
      </w:tr>
      <w:tr w:rsidR="00171E39" w:rsidRPr="004F58B9" w14:paraId="6089FF03" w14:textId="77777777" w:rsidTr="00004824">
        <w:trPr>
          <w:cantSplit/>
          <w:jc w:val="center"/>
        </w:trPr>
        <w:tc>
          <w:tcPr>
            <w:tcW w:w="1843" w:type="dxa"/>
            <w:tcBorders>
              <w:top w:val="nil"/>
              <w:left w:val="nil"/>
              <w:bottom w:val="nil"/>
              <w:right w:val="single" w:sz="4" w:space="0" w:color="auto"/>
            </w:tcBorders>
          </w:tcPr>
          <w:p w14:paraId="29CD6571" w14:textId="77777777" w:rsidR="00171E39" w:rsidRPr="004F58B9" w:rsidRDefault="00171E39" w:rsidP="00004824">
            <w:pPr>
              <w:rPr>
                <w:rFonts w:eastAsiaTheme="minorEastAsia"/>
                <w:sz w:val="18"/>
                <w:lang w:val="de-DE"/>
              </w:rPr>
            </w:pPr>
          </w:p>
        </w:tc>
        <w:tc>
          <w:tcPr>
            <w:tcW w:w="1559" w:type="dxa"/>
            <w:tcBorders>
              <w:top w:val="nil"/>
              <w:left w:val="single" w:sz="4" w:space="0" w:color="auto"/>
              <w:bottom w:val="nil"/>
              <w:right w:val="single" w:sz="4" w:space="0" w:color="auto"/>
            </w:tcBorders>
          </w:tcPr>
          <w:p w14:paraId="47B96E5A" w14:textId="77777777" w:rsidR="00171E39" w:rsidRPr="004F58B9" w:rsidRDefault="00171E39" w:rsidP="00004824">
            <w:pPr>
              <w:rPr>
                <w:rFonts w:eastAsiaTheme="minorEastAsia"/>
                <w:sz w:val="18"/>
                <w:lang w:val="de-DE"/>
              </w:rPr>
            </w:pPr>
          </w:p>
        </w:tc>
        <w:tc>
          <w:tcPr>
            <w:tcW w:w="1843" w:type="dxa"/>
            <w:tcBorders>
              <w:top w:val="nil"/>
              <w:left w:val="single" w:sz="4" w:space="0" w:color="auto"/>
              <w:bottom w:val="nil"/>
              <w:right w:val="single" w:sz="4" w:space="0" w:color="auto"/>
            </w:tcBorders>
            <w:hideMark/>
          </w:tcPr>
          <w:p w14:paraId="2FCB456B" w14:textId="77777777" w:rsidR="00171E39" w:rsidRPr="004F58B9" w:rsidRDefault="00171E39" w:rsidP="00004824">
            <w:pPr>
              <w:rPr>
                <w:rFonts w:eastAsiaTheme="minorEastAsia"/>
                <w:sz w:val="18"/>
                <w:lang w:val="de-DE"/>
              </w:rPr>
            </w:pPr>
            <w:r w:rsidRPr="004F58B9">
              <w:rPr>
                <w:rFonts w:eastAsiaTheme="minorEastAsia"/>
                <w:sz w:val="18"/>
                <w:lang w:val="de-DE"/>
              </w:rPr>
              <w:t>blaugrün</w:t>
            </w:r>
          </w:p>
        </w:tc>
        <w:tc>
          <w:tcPr>
            <w:tcW w:w="1508" w:type="dxa"/>
            <w:tcBorders>
              <w:top w:val="nil"/>
              <w:left w:val="single" w:sz="4" w:space="0" w:color="auto"/>
              <w:bottom w:val="nil"/>
              <w:right w:val="single" w:sz="4" w:space="0" w:color="auto"/>
            </w:tcBorders>
          </w:tcPr>
          <w:p w14:paraId="2432E1BB" w14:textId="77777777" w:rsidR="00171E39" w:rsidRPr="004F58B9" w:rsidRDefault="00171E39" w:rsidP="00004824">
            <w:pPr>
              <w:rPr>
                <w:rFonts w:eastAsiaTheme="minorEastAsia"/>
                <w:sz w:val="18"/>
                <w:lang w:val="de-DE"/>
              </w:rPr>
            </w:pPr>
          </w:p>
        </w:tc>
        <w:tc>
          <w:tcPr>
            <w:tcW w:w="1610" w:type="dxa"/>
            <w:tcBorders>
              <w:top w:val="nil"/>
              <w:left w:val="single" w:sz="4" w:space="0" w:color="auto"/>
              <w:bottom w:val="nil"/>
            </w:tcBorders>
          </w:tcPr>
          <w:p w14:paraId="4F0A7DD4" w14:textId="77777777" w:rsidR="00171E39" w:rsidRPr="004F58B9" w:rsidRDefault="00171E39" w:rsidP="00004824">
            <w:pPr>
              <w:rPr>
                <w:rFonts w:eastAsiaTheme="minorEastAsia"/>
                <w:sz w:val="18"/>
                <w:lang w:val="de-DE"/>
              </w:rPr>
            </w:pPr>
          </w:p>
        </w:tc>
      </w:tr>
    </w:tbl>
    <w:p w14:paraId="2908FD7E" w14:textId="77777777" w:rsidR="00171E39" w:rsidRPr="004F58B9" w:rsidRDefault="00171E39" w:rsidP="00171E39">
      <w:pPr>
        <w:ind w:left="567" w:right="567"/>
        <w:rPr>
          <w:rFonts w:eastAsiaTheme="minorEastAsia"/>
          <w:lang w:val="de-DE"/>
        </w:rPr>
      </w:pPr>
    </w:p>
    <w:p w14:paraId="58F197B9" w14:textId="77777777" w:rsidR="00171E39" w:rsidRPr="004F58B9" w:rsidRDefault="00171E39" w:rsidP="00171E39">
      <w:pPr>
        <w:ind w:left="567" w:right="567"/>
        <w:rPr>
          <w:rFonts w:eastAsiaTheme="minorEastAsia"/>
          <w:lang w:val="de-DE"/>
        </w:rPr>
      </w:pPr>
      <w:r w:rsidRPr="004F58B9">
        <w:rPr>
          <w:rFonts w:eastAsiaTheme="minorEastAsia"/>
          <w:lang w:val="de-DE"/>
        </w:rPr>
        <w:t>„Es muss betont werden, dass nicht alle Gruppen zwangsläufig deutlich voneinander unterscheidbar sind, wenn Informationen verwendet werden, die nicht aus derselben Quelle stammen (gleicher Standort, gleicher Erfasser) und sie können nicht immer dazu verwendet werden, Sorten aus der Anbauprüfung auszuschließen. Z. B. ist es bei Keulenlinie für das Merkmal ‘Blatt: Sekundärfarbe’ eventuell nicht möglich, eindeutig zwischen ‘braun’ und ‘schwärzlich’ zu unterscheiden, wenn man Fotos im Internet oder in einem Pflanzenkatalog betrachtet.“</w:t>
      </w:r>
    </w:p>
    <w:p w14:paraId="475682F3" w14:textId="77777777" w:rsidR="00171E39" w:rsidRPr="004F58B9" w:rsidRDefault="00171E39" w:rsidP="00171E39">
      <w:pPr>
        <w:ind w:left="567" w:right="567"/>
        <w:rPr>
          <w:rFonts w:eastAsiaTheme="minorEastAsia"/>
          <w:lang w:val="de-DE"/>
        </w:rPr>
      </w:pPr>
    </w:p>
    <w:p w14:paraId="576F9AC6" w14:textId="77777777" w:rsidR="00B964D9" w:rsidRPr="00652E2A" w:rsidRDefault="00B964D9" w:rsidP="00273B07">
      <w:pPr>
        <w:jc w:val="left"/>
        <w:rPr>
          <w:lang w:val="de-DE"/>
        </w:rPr>
      </w:pPr>
    </w:p>
    <w:p w14:paraId="6F919477" w14:textId="77777777" w:rsidR="00B964D9" w:rsidRPr="00652E2A" w:rsidRDefault="00B964D9" w:rsidP="00273B07">
      <w:pPr>
        <w:jc w:val="left"/>
        <w:rPr>
          <w:lang w:val="de-DE"/>
        </w:rPr>
      </w:pPr>
    </w:p>
    <w:p w14:paraId="3EF980B5" w14:textId="77777777" w:rsidR="00B964D9" w:rsidRPr="00652E2A" w:rsidRDefault="00B964D9" w:rsidP="00B964D9">
      <w:pPr>
        <w:jc w:val="right"/>
        <w:rPr>
          <w:lang w:val="de-DE"/>
        </w:rPr>
      </w:pPr>
      <w:r w:rsidRPr="00652E2A">
        <w:rPr>
          <w:lang w:val="de-DE"/>
        </w:rPr>
        <w:t>[Anlage V folgt]</w:t>
      </w:r>
    </w:p>
    <w:p w14:paraId="04CB73C1" w14:textId="77777777" w:rsidR="00B964D9" w:rsidRPr="00652E2A" w:rsidRDefault="00B964D9" w:rsidP="00273B07">
      <w:pPr>
        <w:jc w:val="left"/>
        <w:rPr>
          <w:lang w:val="de-DE"/>
        </w:rPr>
      </w:pPr>
    </w:p>
    <w:p w14:paraId="0C2457FB" w14:textId="77777777" w:rsidR="00273B07" w:rsidRPr="00652E2A" w:rsidRDefault="00273B07" w:rsidP="00273B07">
      <w:pPr>
        <w:jc w:val="left"/>
        <w:rPr>
          <w:lang w:val="de-DE"/>
        </w:rPr>
        <w:sectPr w:rsidR="00273B07" w:rsidRPr="00652E2A" w:rsidSect="00273B07">
          <w:headerReference w:type="default" r:id="rId30"/>
          <w:headerReference w:type="first" r:id="rId31"/>
          <w:footnotePr>
            <w:numRestart w:val="eachSect"/>
          </w:footnotePr>
          <w:pgSz w:w="11907" w:h="16840" w:code="9"/>
          <w:pgMar w:top="510" w:right="1134" w:bottom="709" w:left="1134" w:header="510" w:footer="680" w:gutter="0"/>
          <w:pgNumType w:start="1"/>
          <w:cols w:space="720"/>
          <w:titlePg/>
        </w:sectPr>
      </w:pPr>
    </w:p>
    <w:p w14:paraId="1AFAD309" w14:textId="77777777" w:rsidR="00171E39" w:rsidRPr="004F58B9" w:rsidRDefault="00171E39" w:rsidP="00171E39">
      <w:pPr>
        <w:jc w:val="center"/>
        <w:rPr>
          <w:caps/>
          <w:lang w:val="de-DE"/>
        </w:rPr>
      </w:pPr>
      <w:r w:rsidRPr="004F58B9">
        <w:rPr>
          <w:caps/>
          <w:lang w:val="de-DE"/>
        </w:rPr>
        <w:lastRenderedPageBreak/>
        <w:t xml:space="preserve">ÜberarbeitungEN von Dokument TGP/15 </w:t>
      </w:r>
      <w:r w:rsidRPr="004F58B9">
        <w:rPr>
          <w:caps/>
          <w:lang w:val="de-DE"/>
        </w:rPr>
        <w:br/>
        <w:t xml:space="preserve">„Anleitung zur Verwendung biochemischer und molekularer Marker bei der Prüfung der Unterscheidbarkeit, der Homogenität und der Beständigkeit (DUS)“ </w:t>
      </w:r>
    </w:p>
    <w:p w14:paraId="237EBA44" w14:textId="77777777" w:rsidR="00171E39" w:rsidRPr="004F58B9" w:rsidRDefault="00171E39" w:rsidP="00171E39">
      <w:pPr>
        <w:jc w:val="center"/>
        <w:rPr>
          <w:lang w:val="de-DE"/>
        </w:rPr>
      </w:pPr>
      <w:r w:rsidRPr="004F58B9">
        <w:rPr>
          <w:lang w:val="de-DE"/>
        </w:rPr>
        <w:t>VEREINBART VOM TECHNISCHEN AUSSCHUSS AUF SEINER VIERUNDFÜNFZIGSTEN TAGUNG</w:t>
      </w:r>
      <w:r w:rsidRPr="004F58B9">
        <w:rPr>
          <w:rStyle w:val="FootnoteReference"/>
          <w:lang w:val="de-DE"/>
        </w:rPr>
        <w:footnoteReference w:id="23"/>
      </w:r>
    </w:p>
    <w:p w14:paraId="4FBC8CCE" w14:textId="77777777" w:rsidR="00171E39" w:rsidRPr="004F58B9" w:rsidRDefault="00171E39" w:rsidP="00171E39">
      <w:pPr>
        <w:rPr>
          <w:lang w:val="de-DE"/>
        </w:rPr>
      </w:pPr>
    </w:p>
    <w:p w14:paraId="0F72AD54" w14:textId="77777777" w:rsidR="00171E39" w:rsidRPr="004F58B9" w:rsidRDefault="00171E39" w:rsidP="00171E39">
      <w:pPr>
        <w:rPr>
          <w:lang w:val="de-DE"/>
        </w:rPr>
      </w:pPr>
    </w:p>
    <w:p w14:paraId="3D7037F9" w14:textId="77777777" w:rsidR="00171E39" w:rsidRPr="004F58B9" w:rsidRDefault="00171E39" w:rsidP="00171E39">
      <w:pPr>
        <w:rPr>
          <w:u w:val="single"/>
          <w:lang w:val="de-DE"/>
        </w:rPr>
      </w:pPr>
      <w:r w:rsidRPr="004F58B9">
        <w:rPr>
          <w:u w:val="single"/>
          <w:lang w:val="de-DE"/>
        </w:rPr>
        <w:t>Überarbeitung von Modell 1: Neuer Wortlaut über die Zuverlässigkeit der Verbindung zwischen dem Gen und der Ausprägung des Merkmals</w:t>
      </w:r>
    </w:p>
    <w:p w14:paraId="152017BD" w14:textId="77777777" w:rsidR="00171E39" w:rsidRPr="004F58B9" w:rsidRDefault="00171E39" w:rsidP="00171E39">
      <w:pPr>
        <w:rPr>
          <w:lang w:val="de-DE"/>
        </w:rPr>
      </w:pPr>
    </w:p>
    <w:p w14:paraId="0B3B5DB1" w14:textId="77777777" w:rsidR="00171E39" w:rsidRPr="004F58B9" w:rsidRDefault="00171E39" w:rsidP="00171E39">
      <w:pPr>
        <w:rPr>
          <w:lang w:val="de-DE"/>
        </w:rPr>
      </w:pPr>
      <w:r w:rsidRPr="004F58B9">
        <w:rPr>
          <w:lang w:val="de-DE"/>
        </w:rPr>
        <w:t>Auf der Grundlage der vereinbarten Vorschläge des TC auf seiner vierundfünfzigsten Tagung werden die folgenden Sätze zur Aufnahme in Dokument TGP/15 vorgeschlagen:</w:t>
      </w:r>
    </w:p>
    <w:p w14:paraId="7F861355" w14:textId="77777777" w:rsidR="00171E39" w:rsidRPr="004F58B9" w:rsidRDefault="00171E39" w:rsidP="00171E39">
      <w:pPr>
        <w:rPr>
          <w:lang w:val="de-DE"/>
        </w:rPr>
      </w:pPr>
    </w:p>
    <w:p w14:paraId="55A0A162" w14:textId="77777777" w:rsidR="00171E39" w:rsidRPr="004F58B9" w:rsidRDefault="00171E39" w:rsidP="00171E39">
      <w:pPr>
        <w:tabs>
          <w:tab w:val="left" w:pos="1276"/>
        </w:tabs>
        <w:ind w:left="567" w:right="567"/>
        <w:rPr>
          <w:rFonts w:cs="Arial"/>
          <w:lang w:val="de-DE"/>
        </w:rPr>
      </w:pPr>
      <w:r w:rsidRPr="004F58B9">
        <w:rPr>
          <w:caps/>
          <w:lang w:val="de-DE"/>
        </w:rPr>
        <w:t>„</w:t>
      </w:r>
      <w:r w:rsidRPr="004F58B9">
        <w:rPr>
          <w:rFonts w:cs="Arial"/>
          <w:lang w:val="de-DE"/>
        </w:rPr>
        <w:t>2.1.2</w:t>
      </w:r>
      <w:r w:rsidRPr="004F58B9">
        <w:rPr>
          <w:rFonts w:cs="Arial"/>
          <w:lang w:val="de-DE"/>
        </w:rPr>
        <w:tab/>
        <w:t>Es ist Sache der zuständigen Behörde zu prüfen, ob die Annahmen bei der Anwendung des Modells und Beispiels, wie in Anlage I dieses Dokuments dargestellt, erfüllt sind.</w:t>
      </w:r>
    </w:p>
    <w:p w14:paraId="0E5C1009" w14:textId="77777777" w:rsidR="00171E39" w:rsidRPr="004F58B9" w:rsidRDefault="00171E39" w:rsidP="00171E39">
      <w:pPr>
        <w:tabs>
          <w:tab w:val="left" w:pos="1276"/>
        </w:tabs>
        <w:ind w:left="567" w:right="567"/>
        <w:rPr>
          <w:rFonts w:cs="Arial"/>
          <w:lang w:val="de-DE"/>
        </w:rPr>
      </w:pPr>
    </w:p>
    <w:p w14:paraId="7CDFDE2A" w14:textId="77777777" w:rsidR="00171E39" w:rsidRPr="004F58B9" w:rsidRDefault="00171E39" w:rsidP="00171E39">
      <w:pPr>
        <w:tabs>
          <w:tab w:val="left" w:pos="1276"/>
        </w:tabs>
        <w:ind w:left="567" w:right="567"/>
        <w:rPr>
          <w:rFonts w:cs="Arial"/>
          <w:lang w:val="de-DE"/>
        </w:rPr>
      </w:pPr>
      <w:r w:rsidRPr="004F58B9">
        <w:rPr>
          <w:caps/>
          <w:lang w:val="de-DE"/>
        </w:rPr>
        <w:t>„</w:t>
      </w:r>
      <w:r w:rsidRPr="004F58B9">
        <w:rPr>
          <w:rFonts w:cs="Arial"/>
          <w:lang w:val="de-DE"/>
        </w:rPr>
        <w:t>2.1.3</w:t>
      </w:r>
      <w:r w:rsidRPr="004F58B9">
        <w:rPr>
          <w:rFonts w:cs="Arial"/>
          <w:lang w:val="de-DE"/>
        </w:rPr>
        <w:tab/>
      </w:r>
      <w:r w:rsidRPr="004F58B9">
        <w:rPr>
          <w:lang w:val="de-DE"/>
        </w:rPr>
        <w:t>Um eine Methode, die auf dem Modell in Anlage I dieses Dokuments basiert, in die Prüfungsrichtlinien aufzunehmen, müssten sich die zuständige Technische Arbeitsgruppe und der TC darauf einigen, dass die Anforderung für die Zuverlässigkeit der Verbindung zwischen dem Gen und der Ausprägung des Merkmals erfüllt ist.</w:t>
      </w:r>
    </w:p>
    <w:p w14:paraId="335AFA9A" w14:textId="77777777" w:rsidR="00171E39" w:rsidRPr="004F58B9" w:rsidRDefault="00171E39" w:rsidP="00171E39">
      <w:pPr>
        <w:jc w:val="left"/>
        <w:rPr>
          <w:lang w:val="de-DE"/>
        </w:rPr>
      </w:pPr>
    </w:p>
    <w:p w14:paraId="444CBDD6" w14:textId="77777777" w:rsidR="00171E39" w:rsidRPr="004F58B9" w:rsidRDefault="00171E39" w:rsidP="00171E39">
      <w:pPr>
        <w:rPr>
          <w:u w:val="single"/>
          <w:lang w:val="de-DE"/>
        </w:rPr>
      </w:pPr>
      <w:r w:rsidRPr="004F58B9">
        <w:rPr>
          <w:u w:val="single"/>
          <w:lang w:val="de-DE"/>
        </w:rPr>
        <w:t>Neues Modell: „Genetische Auswahl von ähnlichen Sorten für die erste Wachstumsperiode“</w:t>
      </w:r>
    </w:p>
    <w:p w14:paraId="4F1B970E" w14:textId="77777777" w:rsidR="00171E39" w:rsidRPr="004F58B9" w:rsidRDefault="00171E39" w:rsidP="00171E39">
      <w:pPr>
        <w:rPr>
          <w:lang w:val="de-DE"/>
        </w:rPr>
      </w:pPr>
    </w:p>
    <w:p w14:paraId="707EC588" w14:textId="77777777" w:rsidR="00171E39" w:rsidRPr="004F58B9" w:rsidRDefault="00171E39" w:rsidP="00171E39">
      <w:pPr>
        <w:rPr>
          <w:lang w:val="de-DE"/>
        </w:rPr>
      </w:pPr>
      <w:r w:rsidRPr="004F58B9">
        <w:rPr>
          <w:lang w:val="de-DE"/>
        </w:rPr>
        <w:t>Der TC hat auf seiner vierundfünfzigsten Tagung der Aufnahme eines neuen Modells in Dokument TGP/15 wie folgt zugestimmt (vergleiche Dokument TC/54/31 „Bericht“, Absätze 290 und 291):</w:t>
      </w:r>
    </w:p>
    <w:p w14:paraId="4A6CDD41" w14:textId="77777777" w:rsidR="00171E39" w:rsidRPr="004F58B9" w:rsidRDefault="00171E39" w:rsidP="00171E39">
      <w:pPr>
        <w:rPr>
          <w:lang w:val="de-DE"/>
        </w:rPr>
      </w:pPr>
    </w:p>
    <w:p w14:paraId="4D70E15A" w14:textId="77777777" w:rsidR="00171E39" w:rsidRPr="004F58B9" w:rsidRDefault="00171E39" w:rsidP="00171E39">
      <w:pPr>
        <w:ind w:left="567" w:right="567"/>
        <w:rPr>
          <w:i/>
          <w:lang w:val="de-DE"/>
        </w:rPr>
      </w:pPr>
      <w:r w:rsidRPr="004F58B9">
        <w:rPr>
          <w:i/>
          <w:lang w:val="de-DE"/>
        </w:rPr>
        <w:t>Neuer Abschnitt 2.3: „Genetische Auswahl von ähnlichen Sorten für die erste Wachstumsperiode“</w:t>
      </w:r>
    </w:p>
    <w:p w14:paraId="7E821242" w14:textId="77777777" w:rsidR="00171E39" w:rsidRPr="004F58B9" w:rsidRDefault="00171E39" w:rsidP="00171E39">
      <w:pPr>
        <w:ind w:left="567" w:right="567"/>
        <w:rPr>
          <w:lang w:val="de-DE"/>
        </w:rPr>
      </w:pPr>
    </w:p>
    <w:p w14:paraId="5F0362A3" w14:textId="77777777" w:rsidR="00171E39" w:rsidRPr="004F58B9" w:rsidRDefault="00171E39" w:rsidP="00171E39">
      <w:pPr>
        <w:ind w:left="567" w:right="567"/>
        <w:rPr>
          <w:lang w:val="de-DE"/>
        </w:rPr>
      </w:pPr>
      <w:r w:rsidRPr="004F58B9">
        <w:rPr>
          <w:lang w:val="de-DE"/>
        </w:rPr>
        <w:t>2.3</w:t>
      </w:r>
      <w:r w:rsidRPr="004F58B9">
        <w:rPr>
          <w:lang w:val="de-DE"/>
        </w:rPr>
        <w:tab/>
        <w:t>Genetische Auswahl von ähnlichen Sorten für die erste Wachstumsperiode (vergleiche Anlage III)</w:t>
      </w:r>
    </w:p>
    <w:p w14:paraId="1FEC0060" w14:textId="77777777" w:rsidR="00171E39" w:rsidRPr="004F58B9" w:rsidRDefault="00171E39" w:rsidP="00171E39">
      <w:pPr>
        <w:ind w:left="567" w:right="567"/>
        <w:rPr>
          <w:lang w:val="de-DE"/>
        </w:rPr>
      </w:pPr>
    </w:p>
    <w:p w14:paraId="3BD731B3" w14:textId="77777777" w:rsidR="00171E39" w:rsidRPr="004F58B9" w:rsidRDefault="00171E39" w:rsidP="00171E39">
      <w:pPr>
        <w:ind w:left="567" w:right="567"/>
        <w:rPr>
          <w:lang w:val="de-DE"/>
        </w:rPr>
      </w:pPr>
      <w:r w:rsidRPr="004F58B9">
        <w:rPr>
          <w:lang w:val="de-DE"/>
        </w:rPr>
        <w:t xml:space="preserve">2.3.1 </w:t>
      </w:r>
      <w:r w:rsidRPr="004F58B9">
        <w:rPr>
          <w:lang w:val="de-DE"/>
        </w:rPr>
        <w:tab/>
        <w:t>Dieser Ansatz beinhaltet einen Schritt zur Prüfung auf genetische Ähnlichkeit vor der ersten Wachstumsperiode.</w:t>
      </w:r>
    </w:p>
    <w:p w14:paraId="499A7D2A" w14:textId="77777777" w:rsidR="00171E39" w:rsidRPr="004F58B9" w:rsidRDefault="00171E39" w:rsidP="00171E39">
      <w:pPr>
        <w:ind w:left="567" w:right="567"/>
        <w:rPr>
          <w:lang w:val="de-DE"/>
        </w:rPr>
      </w:pPr>
    </w:p>
    <w:p w14:paraId="46C085A1" w14:textId="77777777" w:rsidR="00171E39" w:rsidRPr="004F58B9" w:rsidRDefault="00171E39" w:rsidP="00171E39">
      <w:pPr>
        <w:ind w:left="567" w:right="567"/>
        <w:rPr>
          <w:lang w:val="de-DE"/>
        </w:rPr>
      </w:pPr>
      <w:r w:rsidRPr="004F58B9">
        <w:rPr>
          <w:lang w:val="de-DE"/>
        </w:rPr>
        <w:t>2.3.2</w:t>
      </w:r>
      <w:r w:rsidRPr="004F58B9">
        <w:rPr>
          <w:lang w:val="de-DE"/>
        </w:rPr>
        <w:tab/>
        <w:t>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von Unterschieden bei den DUS-Merkmalen nicht in einer Anbauprüfung verglichen werden müssen.</w:t>
      </w:r>
    </w:p>
    <w:p w14:paraId="62D3555E" w14:textId="77777777" w:rsidR="00171E39" w:rsidRPr="004F58B9" w:rsidRDefault="00171E39" w:rsidP="00171E39">
      <w:pPr>
        <w:ind w:left="567" w:right="567"/>
        <w:rPr>
          <w:lang w:val="de-DE"/>
        </w:rPr>
      </w:pPr>
    </w:p>
    <w:p w14:paraId="607ED5DB" w14:textId="77777777" w:rsidR="00171E39" w:rsidRPr="004F58B9" w:rsidRDefault="00171E39" w:rsidP="00171E39">
      <w:pPr>
        <w:ind w:left="567" w:right="567"/>
        <w:rPr>
          <w:lang w:val="de-DE"/>
        </w:rPr>
      </w:pPr>
      <w:r w:rsidRPr="004F58B9">
        <w:rPr>
          <w:lang w:val="de-DE"/>
        </w:rPr>
        <w:t>2.3.3</w:t>
      </w:r>
      <w:r w:rsidRPr="004F58B9">
        <w:rPr>
          <w:lang w:val="de-DE"/>
        </w:rPr>
        <w:tab/>
        <w:t>Auf der Grundlage der in der ersten Wachstumsperiode erstellten Sortenbeschreibung von DUS-Merkmalen wird unter den</w:t>
      </w:r>
      <w:r w:rsidRPr="004F58B9" w:rsidDel="00250BCC">
        <w:rPr>
          <w:lang w:val="de-DE"/>
        </w:rPr>
        <w:t xml:space="preserve"> </w:t>
      </w:r>
      <w:r w:rsidRPr="004F58B9">
        <w:rPr>
          <w:lang w:val="de-DE"/>
        </w:rPr>
        <w:t>Sorten in der Sortensammlung weiter nach ähnlichen Sorten gesucht, die in der ersten Wachstumsperiode nicht verglichen wurden und die in der zweiten Wachstumsperiode mit der Kandidatensorte verglichen werden sollten.</w:t>
      </w:r>
    </w:p>
    <w:p w14:paraId="7CDF232C" w14:textId="77777777" w:rsidR="00171E39" w:rsidRPr="004F58B9" w:rsidRDefault="00171E39" w:rsidP="00171E39">
      <w:pPr>
        <w:ind w:left="567" w:right="567"/>
        <w:rPr>
          <w:lang w:val="de-DE"/>
        </w:rPr>
      </w:pPr>
    </w:p>
    <w:p w14:paraId="17554F6A" w14:textId="77777777" w:rsidR="00171E39" w:rsidRPr="004F58B9" w:rsidRDefault="00171E39" w:rsidP="00171E39">
      <w:pPr>
        <w:ind w:left="567" w:right="567"/>
        <w:rPr>
          <w:lang w:val="de-DE"/>
        </w:rPr>
      </w:pPr>
      <w:r w:rsidRPr="004F58B9">
        <w:rPr>
          <w:lang w:val="de-DE"/>
        </w:rPr>
        <w:t>2.3.4</w:t>
      </w:r>
      <w:r w:rsidRPr="004F58B9">
        <w:rPr>
          <w:lang w:val="de-DE"/>
        </w:rPr>
        <w:tab/>
        <w:t>Anlage III dieses Dokuments, „Genetische Selektion von ähnlichen Sorten für die erste Wachstumsperiode“ enthält ein Beispiel für die genetische Auswahl ähnlicher Sorten für die erste Wachstumsperiode.</w:t>
      </w:r>
    </w:p>
    <w:p w14:paraId="3ED455DF" w14:textId="77777777" w:rsidR="00171E39" w:rsidRPr="004F58B9" w:rsidRDefault="00171E39" w:rsidP="00171E39">
      <w:pPr>
        <w:ind w:left="567" w:right="567"/>
        <w:rPr>
          <w:lang w:val="de-DE"/>
        </w:rPr>
      </w:pPr>
    </w:p>
    <w:p w14:paraId="72EF26F9" w14:textId="77777777" w:rsidR="00171E39" w:rsidRPr="004F58B9" w:rsidRDefault="00171E39" w:rsidP="00171E39">
      <w:pPr>
        <w:ind w:left="567" w:right="567"/>
        <w:rPr>
          <w:i/>
          <w:lang w:val="de-DE"/>
        </w:rPr>
      </w:pPr>
      <w:r w:rsidRPr="004F58B9">
        <w:rPr>
          <w:i/>
          <w:lang w:val="de-DE"/>
        </w:rPr>
        <w:t>Anlage III „Modell: Genetische Auswahl von ähnlichen Sorten für die erste Wachstumsperiode“</w:t>
      </w:r>
    </w:p>
    <w:p w14:paraId="5BB70BED" w14:textId="77777777" w:rsidR="00171E39" w:rsidRPr="004F58B9" w:rsidRDefault="00171E39" w:rsidP="00171E39">
      <w:pPr>
        <w:ind w:left="567" w:right="567"/>
        <w:jc w:val="center"/>
        <w:rPr>
          <w:snapToGrid w:val="0"/>
          <w:lang w:val="de-DE"/>
        </w:rPr>
      </w:pPr>
    </w:p>
    <w:p w14:paraId="18516B7A" w14:textId="77777777" w:rsidR="00171E39" w:rsidRPr="004F58B9" w:rsidRDefault="00171E39" w:rsidP="00171E39">
      <w:pPr>
        <w:ind w:left="567" w:right="567"/>
        <w:jc w:val="left"/>
        <w:rPr>
          <w:lang w:val="de-DE"/>
        </w:rPr>
      </w:pPr>
      <w:r w:rsidRPr="004F58B9">
        <w:rPr>
          <w:lang w:val="de-DE"/>
        </w:rPr>
        <w:t>Beispiel: Gartenbohne (erstellt von einem Sachverständigen aus den Niederlanden)</w:t>
      </w:r>
    </w:p>
    <w:p w14:paraId="0694DBC6" w14:textId="77777777" w:rsidR="00171E39" w:rsidRPr="004F58B9" w:rsidRDefault="00171E39" w:rsidP="00171E39">
      <w:pPr>
        <w:ind w:left="567" w:right="567"/>
        <w:jc w:val="center"/>
        <w:rPr>
          <w:rFonts w:cs="Arial"/>
          <w:i/>
          <w:lang w:val="de-DE"/>
        </w:rPr>
      </w:pPr>
    </w:p>
    <w:p w14:paraId="17BFF41A" w14:textId="77777777" w:rsidR="00171E39" w:rsidRPr="004F58B9" w:rsidRDefault="00171E39" w:rsidP="00171E39">
      <w:pPr>
        <w:pStyle w:val="ListParagraph"/>
        <w:numPr>
          <w:ilvl w:val="0"/>
          <w:numId w:val="17"/>
        </w:numPr>
        <w:ind w:right="567"/>
        <w:rPr>
          <w:u w:val="single"/>
          <w:lang w:val="de-DE"/>
        </w:rPr>
      </w:pPr>
      <w:r w:rsidRPr="004F58B9">
        <w:rPr>
          <w:lang w:val="de-DE"/>
        </w:rPr>
        <w:tab/>
      </w:r>
      <w:r w:rsidRPr="004F58B9">
        <w:rPr>
          <w:u w:val="single"/>
          <w:lang w:val="de-DE"/>
        </w:rPr>
        <w:t>Einleitung</w:t>
      </w:r>
    </w:p>
    <w:p w14:paraId="3A0453A0" w14:textId="77777777" w:rsidR="00171E39" w:rsidRPr="004F58B9" w:rsidRDefault="00171E39" w:rsidP="00171E39">
      <w:pPr>
        <w:ind w:left="567" w:right="567"/>
        <w:rPr>
          <w:lang w:val="de-DE"/>
        </w:rPr>
      </w:pPr>
    </w:p>
    <w:p w14:paraId="5308F438" w14:textId="77777777" w:rsidR="00171E39" w:rsidRPr="004F58B9" w:rsidRDefault="00171E39" w:rsidP="00171E39">
      <w:pPr>
        <w:ind w:left="567" w:right="567"/>
        <w:rPr>
          <w:lang w:val="de-DE"/>
        </w:rPr>
      </w:pPr>
      <w:r w:rsidRPr="004F58B9">
        <w:rPr>
          <w:lang w:val="de-DE"/>
        </w:rPr>
        <w:t xml:space="preserve">1.1 </w:t>
      </w:r>
      <w:r w:rsidRPr="004F58B9">
        <w:rPr>
          <w:lang w:val="de-DE"/>
        </w:rPr>
        <w:tab/>
        <w:t xml:space="preserve">Dieser Ansatz beinhaltet einen Schritt zur Prüfung auf genetische Ähnlichkeit vor der ersten Wachstumsperiode. </w:t>
      </w:r>
    </w:p>
    <w:p w14:paraId="198DF30B" w14:textId="77777777" w:rsidR="00171E39" w:rsidRPr="004F58B9" w:rsidRDefault="00171E39" w:rsidP="00171E39">
      <w:pPr>
        <w:ind w:left="567" w:right="567"/>
        <w:rPr>
          <w:lang w:val="de-DE"/>
        </w:rPr>
      </w:pPr>
    </w:p>
    <w:p w14:paraId="75B1B9A5" w14:textId="77777777" w:rsidR="00171E39" w:rsidRPr="004F58B9" w:rsidRDefault="00171E39" w:rsidP="00171E39">
      <w:pPr>
        <w:ind w:left="567" w:right="567"/>
        <w:rPr>
          <w:lang w:val="de-DE"/>
        </w:rPr>
      </w:pPr>
      <w:r w:rsidRPr="004F58B9">
        <w:rPr>
          <w:lang w:val="de-DE"/>
        </w:rPr>
        <w:t>1.2</w:t>
      </w:r>
      <w:r w:rsidRPr="004F58B9">
        <w:rPr>
          <w:lang w:val="de-DE"/>
        </w:rPr>
        <w:tab/>
        <w:t xml:space="preserve">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w:t>
      </w:r>
      <w:r w:rsidRPr="004F58B9">
        <w:rPr>
          <w:lang w:val="de-DE"/>
        </w:rPr>
        <w:lastRenderedPageBreak/>
        <w:t xml:space="preserve">Fragebogen (TQ) geprüft, ob einige der genetisch ähnlichen Sorten aufgrund unterschiedlicher DUS-Merkmale nicht in einer Anbauprüfung verglichen werden müssen. </w:t>
      </w:r>
    </w:p>
    <w:p w14:paraId="3E2BE82D" w14:textId="77777777" w:rsidR="00171E39" w:rsidRPr="004F58B9" w:rsidRDefault="00171E39" w:rsidP="00171E39">
      <w:pPr>
        <w:ind w:left="567" w:right="567"/>
        <w:rPr>
          <w:lang w:val="de-DE"/>
        </w:rPr>
      </w:pPr>
    </w:p>
    <w:p w14:paraId="3576DC4B" w14:textId="77777777" w:rsidR="00171E39" w:rsidRPr="004F58B9" w:rsidRDefault="00171E39" w:rsidP="00171E39">
      <w:pPr>
        <w:ind w:left="567" w:right="567"/>
        <w:rPr>
          <w:lang w:val="de-DE"/>
        </w:rPr>
      </w:pPr>
      <w:r w:rsidRPr="004F58B9">
        <w:rPr>
          <w:lang w:val="de-DE"/>
        </w:rPr>
        <w:t>1.3</w:t>
      </w:r>
      <w:r w:rsidRPr="004F58B9">
        <w:rPr>
          <w:lang w:val="de-DE"/>
        </w:rPr>
        <w:tab/>
        <w:t xml:space="preserve">Auf der Grundlage einer in der ersten Wachstumsperiode erstellten Sortenbeschreibung von DUS-Merkmalen wird unter den Sorten in der Sortensammlung weiter nach ähnlichen Sorten gesucht, die in der ersten Wachstumsperiode nicht verglichen wurden und die in der zweiten Wachstumsperiode mit der Kandidatensorte verglichen werden sollten. </w:t>
      </w:r>
    </w:p>
    <w:p w14:paraId="2BEDE9D6" w14:textId="77777777" w:rsidR="00171E39" w:rsidRPr="004F58B9" w:rsidRDefault="00171E39" w:rsidP="00171E39">
      <w:pPr>
        <w:ind w:left="567" w:right="567"/>
        <w:rPr>
          <w:lang w:val="de-DE"/>
        </w:rPr>
      </w:pPr>
    </w:p>
    <w:p w14:paraId="6130803F" w14:textId="77777777" w:rsidR="00171E39" w:rsidRPr="004F58B9" w:rsidRDefault="00171E39" w:rsidP="00171E39">
      <w:pPr>
        <w:keepNext/>
        <w:ind w:left="567" w:right="567"/>
        <w:outlineLvl w:val="1"/>
        <w:rPr>
          <w:u w:val="single"/>
          <w:lang w:val="de-DE"/>
        </w:rPr>
      </w:pPr>
      <w:r w:rsidRPr="004F58B9">
        <w:rPr>
          <w:lang w:val="de-DE"/>
        </w:rPr>
        <w:t>2.</w:t>
      </w:r>
      <w:r w:rsidRPr="004F58B9">
        <w:rPr>
          <w:lang w:val="de-DE"/>
        </w:rPr>
        <w:tab/>
      </w:r>
      <w:r w:rsidRPr="004F58B9">
        <w:rPr>
          <w:u w:val="single"/>
          <w:lang w:val="de-DE"/>
        </w:rPr>
        <w:t>Verfahren</w:t>
      </w:r>
    </w:p>
    <w:p w14:paraId="1CB4D1FF" w14:textId="77777777" w:rsidR="00171E39" w:rsidRPr="004F58B9" w:rsidRDefault="00171E39" w:rsidP="00171E39">
      <w:pPr>
        <w:keepNext/>
        <w:ind w:left="567" w:right="567"/>
        <w:outlineLvl w:val="2"/>
        <w:rPr>
          <w:i/>
          <w:lang w:val="de-DE"/>
        </w:rPr>
      </w:pPr>
    </w:p>
    <w:p w14:paraId="5FE8E6B2" w14:textId="77777777" w:rsidR="00171E39" w:rsidRPr="004F58B9" w:rsidRDefault="00171E39" w:rsidP="00171E39">
      <w:pPr>
        <w:keepNext/>
        <w:ind w:left="567" w:right="567"/>
        <w:outlineLvl w:val="2"/>
        <w:rPr>
          <w:i/>
          <w:lang w:val="de-DE"/>
        </w:rPr>
      </w:pPr>
      <w:r w:rsidRPr="004F58B9">
        <w:rPr>
          <w:i/>
          <w:lang w:val="de-DE"/>
        </w:rPr>
        <w:t>Bestimmung genetischer Ähnlichkeit</w:t>
      </w:r>
    </w:p>
    <w:p w14:paraId="04E72A50" w14:textId="77777777" w:rsidR="00171E39" w:rsidRPr="004F58B9" w:rsidRDefault="00171E39" w:rsidP="00171E39">
      <w:pPr>
        <w:ind w:left="567" w:right="567"/>
        <w:rPr>
          <w:lang w:val="de-DE"/>
        </w:rPr>
      </w:pPr>
    </w:p>
    <w:p w14:paraId="334EE4E7" w14:textId="77777777" w:rsidR="00171E39" w:rsidRPr="004F58B9" w:rsidRDefault="00171E39" w:rsidP="00171E39">
      <w:pPr>
        <w:ind w:left="567" w:right="567"/>
        <w:rPr>
          <w:lang w:val="de-DE"/>
        </w:rPr>
      </w:pPr>
      <w:r w:rsidRPr="004F58B9">
        <w:rPr>
          <w:lang w:val="de-DE"/>
        </w:rPr>
        <w:t>2.1</w:t>
      </w:r>
      <w:r w:rsidRPr="004F58B9">
        <w:rPr>
          <w:lang w:val="de-DE"/>
        </w:rPr>
        <w:tab/>
        <w:t>Das DNS-Profil der Kandidatensorte wird erstellt, sobald das Pflanzenmaterial eingetroffen ist.</w:t>
      </w:r>
    </w:p>
    <w:p w14:paraId="74B04157" w14:textId="77777777" w:rsidR="00171E39" w:rsidRPr="004F58B9" w:rsidRDefault="00171E39" w:rsidP="00171E39">
      <w:pPr>
        <w:ind w:left="567" w:right="567"/>
        <w:rPr>
          <w:lang w:val="de-DE"/>
        </w:rPr>
      </w:pPr>
    </w:p>
    <w:p w14:paraId="28C79520" w14:textId="77777777" w:rsidR="00171E39" w:rsidRPr="004F58B9" w:rsidRDefault="00171E39" w:rsidP="00171E39">
      <w:pPr>
        <w:ind w:left="567" w:right="567"/>
        <w:rPr>
          <w:lang w:val="de-DE"/>
        </w:rPr>
      </w:pPr>
      <w:r w:rsidRPr="004F58B9">
        <w:rPr>
          <w:lang w:val="de-DE"/>
        </w:rPr>
        <w:t>2.2</w:t>
      </w:r>
      <w:r w:rsidRPr="004F58B9">
        <w:rPr>
          <w:lang w:val="de-DE"/>
        </w:rPr>
        <w:tab/>
        <w:t xml:space="preserve">Das DNS-Profil wird mit den Profilen aller Sorten in der Sortensammlung verglichen und genetisch ähnliche Sorten werden ermittelt. </w:t>
      </w:r>
    </w:p>
    <w:p w14:paraId="0BB0C378" w14:textId="77777777" w:rsidR="00171E39" w:rsidRPr="004F58B9" w:rsidRDefault="00171E39" w:rsidP="00171E39">
      <w:pPr>
        <w:ind w:left="567" w:right="567"/>
        <w:rPr>
          <w:lang w:val="de-DE"/>
        </w:rPr>
      </w:pPr>
    </w:p>
    <w:p w14:paraId="17479A14" w14:textId="77777777" w:rsidR="00171E39" w:rsidRPr="004F58B9" w:rsidRDefault="00171E39" w:rsidP="00171E39">
      <w:pPr>
        <w:ind w:left="567" w:right="567"/>
        <w:rPr>
          <w:i/>
          <w:lang w:val="de-DE"/>
        </w:rPr>
      </w:pPr>
      <w:r w:rsidRPr="004F58B9">
        <w:rPr>
          <w:i/>
          <w:lang w:val="de-DE"/>
        </w:rPr>
        <w:t>Angaben im Technischen Fragebogen</w:t>
      </w:r>
    </w:p>
    <w:p w14:paraId="30EEAFAF" w14:textId="77777777" w:rsidR="00171E39" w:rsidRPr="004F58B9" w:rsidRDefault="00171E39" w:rsidP="00171E39">
      <w:pPr>
        <w:ind w:left="567" w:right="567"/>
        <w:rPr>
          <w:lang w:val="de-DE"/>
        </w:rPr>
      </w:pPr>
    </w:p>
    <w:p w14:paraId="4FD68BD0" w14:textId="77777777" w:rsidR="00171E39" w:rsidRPr="004F58B9" w:rsidRDefault="00171E39" w:rsidP="00171E39">
      <w:pPr>
        <w:ind w:left="567" w:right="567"/>
        <w:rPr>
          <w:lang w:val="de-DE"/>
        </w:rPr>
      </w:pPr>
      <w:r w:rsidRPr="004F58B9">
        <w:rPr>
          <w:lang w:val="de-DE"/>
        </w:rPr>
        <w:t>2.3</w:t>
      </w:r>
      <w:r w:rsidRPr="004F58B9">
        <w:rPr>
          <w:lang w:val="de-DE"/>
        </w:rPr>
        <w:tab/>
        <w:t xml:space="preserve">Dann wird anhand der vom Antragsteller im Technischen Fragebogen (TQ) gemachten Angaben geprüft, ob es bei den DUS-Merkmalen klare Unterschiede von einigen der genetisch ähnlichen Sorten gibt, so dass sie nicht mit den Kandidatensorten in einer Anbauprüfung verglichen werden müssen. </w:t>
      </w:r>
    </w:p>
    <w:p w14:paraId="74BE9016" w14:textId="77777777" w:rsidR="00171E39" w:rsidRPr="004F58B9" w:rsidRDefault="00171E39" w:rsidP="00171E39">
      <w:pPr>
        <w:ind w:left="567" w:right="567"/>
        <w:rPr>
          <w:lang w:val="de-DE"/>
        </w:rPr>
      </w:pPr>
    </w:p>
    <w:p w14:paraId="4DAAA0EA" w14:textId="77777777" w:rsidR="00171E39" w:rsidRPr="004F58B9" w:rsidRDefault="00171E39" w:rsidP="00171E39">
      <w:pPr>
        <w:keepNext/>
        <w:ind w:left="567" w:right="567"/>
        <w:outlineLvl w:val="2"/>
        <w:rPr>
          <w:i/>
          <w:lang w:val="de-DE"/>
        </w:rPr>
      </w:pPr>
      <w:r w:rsidRPr="004F58B9">
        <w:rPr>
          <w:i/>
          <w:lang w:val="de-DE"/>
        </w:rPr>
        <w:t>Anbauprüfung:</w:t>
      </w:r>
    </w:p>
    <w:p w14:paraId="25EC13D7" w14:textId="77777777" w:rsidR="00171E39" w:rsidRPr="004F58B9" w:rsidRDefault="00171E39" w:rsidP="00171E39">
      <w:pPr>
        <w:ind w:left="567" w:right="567"/>
        <w:rPr>
          <w:lang w:val="de-DE"/>
        </w:rPr>
      </w:pPr>
    </w:p>
    <w:p w14:paraId="6CC1E8FB" w14:textId="77777777" w:rsidR="00171E39" w:rsidRPr="004F58B9" w:rsidRDefault="00171E39" w:rsidP="00171E39">
      <w:pPr>
        <w:keepNext/>
        <w:ind w:left="1134" w:right="567"/>
        <w:outlineLvl w:val="3"/>
        <w:rPr>
          <w:u w:val="single"/>
          <w:lang w:val="de-DE"/>
        </w:rPr>
      </w:pPr>
      <w:r w:rsidRPr="004F58B9">
        <w:rPr>
          <w:u w:val="single"/>
          <w:lang w:val="de-DE"/>
        </w:rPr>
        <w:t>Erste Wachstumsperiode</w:t>
      </w:r>
    </w:p>
    <w:p w14:paraId="6613E921" w14:textId="77777777" w:rsidR="00171E39" w:rsidRPr="004F58B9" w:rsidRDefault="00171E39" w:rsidP="00171E39">
      <w:pPr>
        <w:ind w:left="567" w:right="567"/>
        <w:rPr>
          <w:lang w:val="de-DE"/>
        </w:rPr>
      </w:pPr>
    </w:p>
    <w:p w14:paraId="24E3923F" w14:textId="77777777" w:rsidR="00171E39" w:rsidRPr="004F58B9" w:rsidRDefault="00171E39" w:rsidP="00171E39">
      <w:pPr>
        <w:ind w:left="567" w:right="567"/>
        <w:rPr>
          <w:lang w:val="de-DE"/>
        </w:rPr>
      </w:pPr>
      <w:r w:rsidRPr="004F58B9">
        <w:rPr>
          <w:lang w:val="de-DE"/>
        </w:rPr>
        <w:t>2.4</w:t>
      </w:r>
      <w:r w:rsidRPr="004F58B9">
        <w:rPr>
          <w:lang w:val="de-DE"/>
        </w:rPr>
        <w:tab/>
        <w:t>Die Kandidatensorte und die mittels des oben beschriebenen Verfahrens ausgewählten genetisch ähnlichen Sorten werden in derselben Prüfung angebaut. Eine vollständige Beschreibung der DUS</w:t>
      </w:r>
      <w:r w:rsidRPr="004F58B9">
        <w:rPr>
          <w:lang w:val="de-DE"/>
        </w:rPr>
        <w:noBreakHyphen/>
        <w:t xml:space="preserve">Merkmale der Kandidatensorte wird erstellt und mit den Beschreibungen aller Sorten in der Sortensammlung anhand einer Datenbank, die in den Vorjahren am selben Ort erstellte Beschreibungen enthält, verglichen. </w:t>
      </w:r>
    </w:p>
    <w:p w14:paraId="496E4D02" w14:textId="77777777" w:rsidR="00171E39" w:rsidRPr="004F58B9" w:rsidRDefault="00171E39" w:rsidP="00171E39">
      <w:pPr>
        <w:ind w:left="567" w:right="567"/>
        <w:rPr>
          <w:lang w:val="de-DE"/>
        </w:rPr>
      </w:pPr>
    </w:p>
    <w:p w14:paraId="278D2291" w14:textId="77777777" w:rsidR="00171E39" w:rsidRPr="004F58B9" w:rsidRDefault="00171E39" w:rsidP="00171E39">
      <w:pPr>
        <w:ind w:left="567" w:right="567"/>
        <w:rPr>
          <w:lang w:val="de-DE"/>
        </w:rPr>
      </w:pPr>
      <w:r w:rsidRPr="004F58B9">
        <w:rPr>
          <w:lang w:val="de-DE"/>
        </w:rPr>
        <w:t>2.5</w:t>
      </w:r>
      <w:r w:rsidRPr="004F58B9">
        <w:rPr>
          <w:lang w:val="de-DE"/>
        </w:rPr>
        <w:tab/>
        <w:t xml:space="preserve">Mögliche Ergebnisse: </w:t>
      </w:r>
    </w:p>
    <w:p w14:paraId="6C73CA2C" w14:textId="77777777" w:rsidR="00171E39" w:rsidRPr="004F58B9" w:rsidRDefault="00171E39" w:rsidP="00171E39">
      <w:pPr>
        <w:ind w:left="567" w:right="567"/>
        <w:rPr>
          <w:lang w:val="de-DE"/>
        </w:rPr>
      </w:pPr>
    </w:p>
    <w:p w14:paraId="311FEE59" w14:textId="77777777" w:rsidR="00171E39" w:rsidRPr="004F58B9" w:rsidRDefault="00171E39" w:rsidP="00171E39">
      <w:pPr>
        <w:ind w:left="567" w:right="567"/>
        <w:rPr>
          <w:lang w:val="de-DE"/>
        </w:rPr>
      </w:pPr>
      <w:r w:rsidRPr="004F58B9">
        <w:rPr>
          <w:lang w:val="de-DE"/>
        </w:rPr>
        <w:t xml:space="preserve">Ist die Kandidatensorte aufgrund von DUS-Merkmalen nicht von den genetisch ähnlichen Sorten unterscheidbar, wird die Prüfung für eine weitere Wachstumsperiode fortgesetzt. </w:t>
      </w:r>
    </w:p>
    <w:p w14:paraId="3107A99E" w14:textId="77777777" w:rsidR="00171E39" w:rsidRPr="004F58B9" w:rsidRDefault="00171E39" w:rsidP="00171E39">
      <w:pPr>
        <w:ind w:left="567" w:right="567"/>
        <w:rPr>
          <w:lang w:val="de-DE"/>
        </w:rPr>
      </w:pPr>
    </w:p>
    <w:p w14:paraId="0E02F1B6" w14:textId="77777777" w:rsidR="00171E39" w:rsidRPr="004F58B9" w:rsidRDefault="00171E39" w:rsidP="00171E39">
      <w:pPr>
        <w:ind w:left="567" w:right="567"/>
        <w:rPr>
          <w:lang w:val="de-DE"/>
        </w:rPr>
      </w:pPr>
      <w:r w:rsidRPr="004F58B9">
        <w:rPr>
          <w:lang w:val="de-DE"/>
        </w:rPr>
        <w:t xml:space="preserve">Auf jeden Fall wird die in der ersten Wachstumsperiode von der Kandidatensorte erstellte Beschreibung anhand einer Datenbank, die am selben Ort erstellte Beschreibungen enthält, mit den Beschreibungen der Sorten in der Sortensammlung verglichen. </w:t>
      </w:r>
    </w:p>
    <w:p w14:paraId="21FF8865" w14:textId="77777777" w:rsidR="00171E39" w:rsidRPr="004F58B9" w:rsidRDefault="00171E39" w:rsidP="00171E39">
      <w:pPr>
        <w:ind w:left="567" w:right="567"/>
        <w:rPr>
          <w:lang w:val="de-DE"/>
        </w:rPr>
      </w:pPr>
    </w:p>
    <w:p w14:paraId="632043C9" w14:textId="77777777" w:rsidR="00171E39" w:rsidRPr="004F58B9" w:rsidRDefault="00171E39" w:rsidP="00171E39">
      <w:pPr>
        <w:numPr>
          <w:ilvl w:val="0"/>
          <w:numId w:val="20"/>
        </w:numPr>
        <w:ind w:right="567"/>
        <w:contextualSpacing/>
        <w:rPr>
          <w:lang w:val="de-DE"/>
        </w:rPr>
      </w:pPr>
      <w:r w:rsidRPr="004F58B9">
        <w:rPr>
          <w:lang w:val="de-DE"/>
        </w:rPr>
        <w:t>Wird festgestellt, dass sich die Kandidatensorte am Ende der ersten Wachstumsperiode von allen Sorten, die in der ersten Wachstumsperiode angebaut wurden, und von allen anderen Sorten in der Sortensammlung unterscheidet und sie die Anforderungen der Homogenität und Beständigkeit erfüllt, kann die DUS-Prüfung nach der ersten Wachstumsperiode beendet werden.</w:t>
      </w:r>
    </w:p>
    <w:p w14:paraId="67D55F97" w14:textId="77777777" w:rsidR="00171E39" w:rsidRPr="004F58B9" w:rsidRDefault="00171E39" w:rsidP="00171E39">
      <w:pPr>
        <w:ind w:left="1134" w:right="567"/>
        <w:contextualSpacing/>
        <w:rPr>
          <w:lang w:val="de-DE"/>
        </w:rPr>
      </w:pPr>
    </w:p>
    <w:p w14:paraId="7FC1216F" w14:textId="77777777" w:rsidR="00171E39" w:rsidRPr="004F58B9" w:rsidRDefault="00171E39" w:rsidP="00171E39">
      <w:pPr>
        <w:numPr>
          <w:ilvl w:val="0"/>
          <w:numId w:val="20"/>
        </w:numPr>
        <w:ind w:right="567"/>
        <w:contextualSpacing/>
        <w:rPr>
          <w:lang w:val="de-DE"/>
        </w:rPr>
      </w:pPr>
      <w:r w:rsidRPr="004F58B9">
        <w:rPr>
          <w:lang w:val="de-DE"/>
        </w:rPr>
        <w:t xml:space="preserve">In allen anderen Fällen wird eine zweite Wachstumsperiode durchgeführt. </w:t>
      </w:r>
    </w:p>
    <w:p w14:paraId="2F2C89A6" w14:textId="77777777" w:rsidR="00171E39" w:rsidRPr="004F58B9" w:rsidRDefault="00171E39" w:rsidP="00171E39">
      <w:pPr>
        <w:ind w:left="567" w:right="567"/>
        <w:rPr>
          <w:lang w:val="de-DE"/>
        </w:rPr>
      </w:pPr>
    </w:p>
    <w:p w14:paraId="5AA9758D" w14:textId="77777777" w:rsidR="00171E39" w:rsidRPr="004F58B9" w:rsidRDefault="00171E39" w:rsidP="00171E39">
      <w:pPr>
        <w:ind w:left="567" w:right="567"/>
        <w:rPr>
          <w:lang w:val="de-DE"/>
        </w:rPr>
      </w:pPr>
    </w:p>
    <w:p w14:paraId="320F90AB" w14:textId="77777777" w:rsidR="00171E39" w:rsidRPr="004F58B9" w:rsidRDefault="00171E39" w:rsidP="00171E39">
      <w:pPr>
        <w:keepNext/>
        <w:ind w:left="1134" w:right="567"/>
        <w:outlineLvl w:val="3"/>
        <w:rPr>
          <w:u w:val="single"/>
          <w:lang w:val="de-DE"/>
        </w:rPr>
      </w:pPr>
      <w:r w:rsidRPr="004F58B9">
        <w:rPr>
          <w:u w:val="single"/>
          <w:lang w:val="de-DE"/>
        </w:rPr>
        <w:t>Zweite Wachstumsperiode</w:t>
      </w:r>
    </w:p>
    <w:p w14:paraId="1A2DBFEC" w14:textId="77777777" w:rsidR="00171E39" w:rsidRPr="004F58B9" w:rsidRDefault="00171E39" w:rsidP="00171E39">
      <w:pPr>
        <w:ind w:left="567" w:right="567"/>
        <w:rPr>
          <w:lang w:val="de-DE"/>
        </w:rPr>
      </w:pPr>
    </w:p>
    <w:p w14:paraId="6828855E" w14:textId="77777777" w:rsidR="00171E39" w:rsidRPr="004F58B9" w:rsidRDefault="00171E39" w:rsidP="00171E39">
      <w:pPr>
        <w:ind w:left="567" w:right="567"/>
        <w:rPr>
          <w:lang w:val="de-DE"/>
        </w:rPr>
      </w:pPr>
      <w:r w:rsidRPr="004F58B9">
        <w:rPr>
          <w:lang w:val="de-DE"/>
        </w:rPr>
        <w:t>2.6</w:t>
      </w:r>
      <w:r w:rsidRPr="004F58B9">
        <w:rPr>
          <w:lang w:val="de-DE"/>
        </w:rPr>
        <w:tab/>
        <w:t xml:space="preserve">In der zweiten Wachstumsperiode wird die Kandidatensorte mit allen Sorten in der Sortensammlung, von denen sie am Ende der ersten Wachstumsperiode als nicht unterscheidbar befunden wurde, angebaut. </w:t>
      </w:r>
    </w:p>
    <w:p w14:paraId="75914FAC" w14:textId="77777777" w:rsidR="00171E39" w:rsidRPr="004F58B9" w:rsidRDefault="00171E39" w:rsidP="00171E39">
      <w:pPr>
        <w:ind w:left="567" w:right="567"/>
        <w:rPr>
          <w:lang w:val="de-DE"/>
        </w:rPr>
      </w:pPr>
    </w:p>
    <w:p w14:paraId="62AA623B" w14:textId="2BBC0C52" w:rsidR="00171E39" w:rsidRDefault="00171E39" w:rsidP="00171E39">
      <w:pPr>
        <w:ind w:left="567" w:right="567"/>
        <w:rPr>
          <w:lang w:val="de-DE"/>
        </w:rPr>
      </w:pPr>
      <w:r w:rsidRPr="004F58B9">
        <w:rPr>
          <w:lang w:val="de-DE"/>
        </w:rPr>
        <w:t>2.7</w:t>
      </w:r>
      <w:r w:rsidRPr="004F58B9">
        <w:rPr>
          <w:lang w:val="de-DE"/>
        </w:rPr>
        <w:tab/>
        <w:t xml:space="preserve"> Am Ende der zweiten Wachstumsperiode wird eine DUS-Bewertung vorgenommen. Ist es nicht möglich, am Ende der zweiten Wachstumsperiode eine Entscheidung über DUS zu treffen, kann eine weitere Wachstumsperiode durchgeführt werden.</w:t>
      </w:r>
    </w:p>
    <w:p w14:paraId="683179C8" w14:textId="77777777" w:rsidR="00171E39" w:rsidRPr="004F58B9" w:rsidRDefault="00171E39" w:rsidP="00171E39">
      <w:pPr>
        <w:ind w:left="567" w:right="567"/>
        <w:rPr>
          <w:lang w:val="de-DE"/>
        </w:rPr>
      </w:pPr>
    </w:p>
    <w:p w14:paraId="25E69892" w14:textId="1369FAD1" w:rsidR="00B964D9" w:rsidRPr="00652E2A" w:rsidRDefault="00B964D9" w:rsidP="00273B07">
      <w:pPr>
        <w:jc w:val="right"/>
        <w:rPr>
          <w:lang w:val="de-DE"/>
        </w:rPr>
      </w:pPr>
      <w:r w:rsidRPr="00652E2A">
        <w:rPr>
          <w:lang w:val="de-DE"/>
        </w:rPr>
        <w:t>[Anlage VI folgt]</w:t>
      </w:r>
    </w:p>
    <w:p w14:paraId="1A77EF5C" w14:textId="77777777" w:rsidR="00273B07" w:rsidRPr="00652E2A" w:rsidRDefault="00273B07" w:rsidP="00273B07">
      <w:pPr>
        <w:jc w:val="right"/>
        <w:rPr>
          <w:lang w:val="de-DE"/>
        </w:rPr>
        <w:sectPr w:rsidR="00273B07" w:rsidRPr="00652E2A" w:rsidSect="00171E39">
          <w:headerReference w:type="default" r:id="rId32"/>
          <w:headerReference w:type="first" r:id="rId33"/>
          <w:footnotePr>
            <w:numRestart w:val="eachSect"/>
          </w:footnotePr>
          <w:pgSz w:w="11907" w:h="16840" w:code="9"/>
          <w:pgMar w:top="510" w:right="1134" w:bottom="567" w:left="1134" w:header="510" w:footer="448" w:gutter="0"/>
          <w:pgNumType w:start="1"/>
          <w:cols w:space="720"/>
          <w:titlePg/>
        </w:sectPr>
      </w:pPr>
    </w:p>
    <w:p w14:paraId="0626597E" w14:textId="149D69E0" w:rsidR="00B964D9" w:rsidRPr="00652E2A" w:rsidRDefault="004A1858" w:rsidP="00690400">
      <w:pPr>
        <w:jc w:val="left"/>
        <w:rPr>
          <w:lang w:val="de-DE"/>
        </w:rPr>
      </w:pPr>
      <w:r w:rsidRPr="004A1858">
        <w:lastRenderedPageBreak/>
        <w:drawing>
          <wp:inline distT="0" distB="0" distL="0" distR="0" wp14:anchorId="76AC2934" wp14:editId="59917AD9">
            <wp:extent cx="9525662" cy="64129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9555" cy="6415586"/>
                    </a:xfrm>
                    <a:prstGeom prst="rect">
                      <a:avLst/>
                    </a:prstGeom>
                    <a:noFill/>
                    <a:ln>
                      <a:noFill/>
                    </a:ln>
                  </pic:spPr>
                </pic:pic>
              </a:graphicData>
            </a:graphic>
          </wp:inline>
        </w:drawing>
      </w:r>
      <w:bookmarkStart w:id="36" w:name="_GoBack"/>
      <w:bookmarkEnd w:id="36"/>
    </w:p>
    <w:sectPr w:rsidR="00B964D9" w:rsidRPr="00652E2A" w:rsidSect="001C26EF">
      <w:headerReference w:type="default" r:id="rId35"/>
      <w:headerReference w:type="first" r:id="rId36"/>
      <w:footerReference w:type="first" r:id="rId37"/>
      <w:footnotePr>
        <w:numRestart w:val="eachSect"/>
      </w:footnotePr>
      <w:pgSz w:w="16840" w:h="11907" w:orient="landscape" w:code="9"/>
      <w:pgMar w:top="1134" w:right="510" w:bottom="1134" w:left="1134" w:header="510" w:footer="34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F71F9" w14:textId="77777777" w:rsidR="00836932" w:rsidRDefault="00836932" w:rsidP="006655D3">
      <w:r>
        <w:separator/>
      </w:r>
    </w:p>
    <w:p w14:paraId="3BE44E99" w14:textId="77777777" w:rsidR="00836932" w:rsidRDefault="00836932" w:rsidP="006655D3"/>
    <w:p w14:paraId="40A82836" w14:textId="77777777" w:rsidR="00836932" w:rsidRDefault="00836932" w:rsidP="006655D3"/>
  </w:endnote>
  <w:endnote w:type="continuationSeparator" w:id="0">
    <w:p w14:paraId="4EBBF2ED" w14:textId="77777777" w:rsidR="00836932" w:rsidRDefault="00836932" w:rsidP="006655D3">
      <w:r>
        <w:separator/>
      </w:r>
    </w:p>
    <w:p w14:paraId="1B634BE9" w14:textId="77777777" w:rsidR="00836932" w:rsidRPr="00294751" w:rsidRDefault="00836932" w:rsidP="00DE42A3">
      <w:pPr>
        <w:pStyle w:val="Footer"/>
        <w:rPr>
          <w:lang w:val="fr-FR"/>
        </w:rPr>
      </w:pPr>
      <w:r w:rsidRPr="00294751">
        <w:rPr>
          <w:lang w:val="fr-FR"/>
        </w:rPr>
        <w:t>[Suite de la note de la page précédente]</w:t>
      </w:r>
    </w:p>
    <w:p w14:paraId="4B63ED01" w14:textId="77777777" w:rsidR="00836932" w:rsidRPr="00294751" w:rsidRDefault="00836932" w:rsidP="006655D3">
      <w:pPr>
        <w:rPr>
          <w:lang w:val="fr-FR"/>
        </w:rPr>
      </w:pPr>
    </w:p>
    <w:p w14:paraId="53882484" w14:textId="77777777" w:rsidR="00836932" w:rsidRPr="00294751" w:rsidRDefault="00836932" w:rsidP="006655D3">
      <w:pPr>
        <w:rPr>
          <w:lang w:val="fr-FR"/>
        </w:rPr>
      </w:pPr>
    </w:p>
  </w:endnote>
  <w:endnote w:type="continuationNotice" w:id="1">
    <w:p w14:paraId="43A03031" w14:textId="77777777" w:rsidR="00836932" w:rsidRPr="00294751" w:rsidRDefault="00836932" w:rsidP="006655D3">
      <w:pPr>
        <w:rPr>
          <w:lang w:val="fr-FR"/>
        </w:rPr>
      </w:pPr>
      <w:r w:rsidRPr="00294751">
        <w:rPr>
          <w:lang w:val="fr-FR"/>
        </w:rPr>
        <w:t>[Suite de la note page suivante]</w:t>
      </w:r>
    </w:p>
    <w:p w14:paraId="7365A83B" w14:textId="77777777" w:rsidR="00836932" w:rsidRPr="00294751" w:rsidRDefault="00836932" w:rsidP="006655D3">
      <w:pPr>
        <w:rPr>
          <w:lang w:val="fr-FR"/>
        </w:rPr>
      </w:pPr>
    </w:p>
    <w:p w14:paraId="1DF3D6DF" w14:textId="77777777" w:rsidR="00836932" w:rsidRPr="00294751" w:rsidRDefault="0083693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BE0A2" w14:textId="77777777" w:rsidR="00836932" w:rsidRPr="00DE7D82" w:rsidRDefault="00836932" w:rsidP="00DE4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AB3D" w14:textId="7BBA3C04" w:rsidR="00836932" w:rsidRPr="003C03FC" w:rsidRDefault="00836932" w:rsidP="00DE42A3">
    <w:pPr>
      <w:pStyle w:val="Footer"/>
      <w:rPr>
        <w:lang w:val="de-DE"/>
      </w:rPr>
    </w:pPr>
    <w:r w:rsidRPr="003C03FC">
      <w:rPr>
        <w:lang w:val="de-DE"/>
      </w:rPr>
      <w:t>[Ende der A</w:t>
    </w:r>
    <w:r>
      <w:rPr>
        <w:lang w:val="de-DE"/>
      </w:rPr>
      <w:t>n</w:t>
    </w:r>
    <w:r w:rsidRPr="003C03FC">
      <w:rPr>
        <w:lang w:val="de-DE"/>
      </w:rPr>
      <w:t>lage VI und des Dokuments]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AB5C" w14:textId="77777777" w:rsidR="00836932" w:rsidRDefault="00836932" w:rsidP="006655D3">
      <w:r>
        <w:separator/>
      </w:r>
    </w:p>
  </w:footnote>
  <w:footnote w:type="continuationSeparator" w:id="0">
    <w:p w14:paraId="49581D0D" w14:textId="77777777" w:rsidR="00836932" w:rsidRDefault="00836932" w:rsidP="006655D3">
      <w:r>
        <w:separator/>
      </w:r>
    </w:p>
  </w:footnote>
  <w:footnote w:type="continuationNotice" w:id="1">
    <w:p w14:paraId="69DAD60A" w14:textId="77777777" w:rsidR="00836932" w:rsidRPr="00AB530F" w:rsidRDefault="00836932" w:rsidP="00DE42A3">
      <w:pPr>
        <w:pStyle w:val="Footer"/>
      </w:pPr>
    </w:p>
  </w:footnote>
  <w:footnote w:id="2">
    <w:p w14:paraId="563F8E6A" w14:textId="75F9D319" w:rsidR="00836932" w:rsidRPr="003C03FC" w:rsidRDefault="00836932" w:rsidP="0097710B">
      <w:pPr>
        <w:pStyle w:val="FootnoteText"/>
        <w:rPr>
          <w:lang w:val="de-DE"/>
        </w:rPr>
      </w:pPr>
      <w:r w:rsidRPr="0097710B">
        <w:rPr>
          <w:rStyle w:val="FootnoteReference"/>
        </w:rPr>
        <w:footnoteRef/>
      </w:r>
      <w:r w:rsidRPr="003C03FC">
        <w:rPr>
          <w:lang w:val="de-DE"/>
        </w:rPr>
        <w:t xml:space="preserve"> </w:t>
      </w:r>
      <w:r w:rsidRPr="003C03FC">
        <w:rPr>
          <w:lang w:val="de-DE"/>
        </w:rPr>
        <w:tab/>
        <w:t>Tagung vom 28. und 29. Oktober 2019 in Genf.</w:t>
      </w:r>
    </w:p>
  </w:footnote>
  <w:footnote w:id="3">
    <w:p w14:paraId="395621EE" w14:textId="437558F9" w:rsidR="00836932" w:rsidRPr="003C03FC" w:rsidRDefault="00836932" w:rsidP="0097710B">
      <w:pPr>
        <w:pStyle w:val="FootnoteText"/>
        <w:rPr>
          <w:lang w:val="de-DE"/>
        </w:rPr>
      </w:pPr>
      <w:r>
        <w:rPr>
          <w:rStyle w:val="FootnoteReference"/>
        </w:rPr>
        <w:footnoteRef/>
      </w:r>
      <w:r w:rsidRPr="003C03FC">
        <w:rPr>
          <w:lang w:val="de-DE"/>
        </w:rPr>
        <w:t xml:space="preserve"> </w:t>
      </w:r>
      <w:r w:rsidRPr="003C03FC">
        <w:rPr>
          <w:lang w:val="de-DE"/>
        </w:rPr>
        <w:tab/>
        <w:t>Tagung vom 28. und 29. Oktober 2018 in Genf.</w:t>
      </w:r>
    </w:p>
  </w:footnote>
  <w:footnote w:id="4">
    <w:p w14:paraId="4463F926" w14:textId="62C3D76E" w:rsidR="00836932" w:rsidRPr="00836932"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Tagung vom 30. Oktober 2018 in Genf.</w:t>
      </w:r>
    </w:p>
  </w:footnote>
  <w:footnote w:id="5">
    <w:p w14:paraId="0ADA6655" w14:textId="1ECD2A31" w:rsidR="00836932" w:rsidRPr="003C03FC"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 xml:space="preserve">Vergleiche Dokument </w:t>
      </w:r>
      <w:hyperlink r:id="rId1" w:history="1">
        <w:hyperlink r:id="rId2" w:history="1">
          <w:hyperlink r:id="rId3" w:history="1">
            <w:hyperlink r:id="rId4" w:history="1">
              <w:r w:rsidR="00594D5D">
                <w:rPr>
                  <w:rStyle w:val="Hyperlink"/>
                </w:rPr>
                <w:t>TC/54/31</w:t>
              </w:r>
            </w:hyperlink>
          </w:hyperlink>
        </w:hyperlink>
      </w:hyperlink>
      <w:r w:rsidRPr="00836932">
        <w:rPr>
          <w:lang w:val="de-DE"/>
        </w:rPr>
        <w:t xml:space="preserve"> „Bericht“, Absatz 251, und Dokument </w:t>
      </w:r>
      <w:hyperlink r:id="rId5" w:history="1">
        <w:r w:rsidR="00594D5D" w:rsidRPr="005755F0">
          <w:rPr>
            <w:rStyle w:val="Hyperlink"/>
          </w:rPr>
          <w:t>CAJ/75/14</w:t>
        </w:r>
      </w:hyperlink>
      <w:r w:rsidRPr="00836932">
        <w:rPr>
          <w:lang w:val="de-DE"/>
        </w:rPr>
        <w:t xml:space="preserve"> „Bericht“, Absatz 13.</w:t>
      </w:r>
    </w:p>
  </w:footnote>
  <w:footnote w:id="6">
    <w:p w14:paraId="6181D4E3" w14:textId="7A077592" w:rsidR="00836932" w:rsidRPr="003C03FC" w:rsidRDefault="00836932" w:rsidP="0097710B">
      <w:pPr>
        <w:pStyle w:val="FootnoteText"/>
        <w:rPr>
          <w:lang w:val="de-DE"/>
        </w:rPr>
      </w:pPr>
      <w:r w:rsidRPr="00A234E3">
        <w:rPr>
          <w:rStyle w:val="FootnoteReference"/>
        </w:rPr>
        <w:footnoteRef/>
      </w:r>
      <w:r w:rsidRPr="003C03FC">
        <w:rPr>
          <w:lang w:val="de-DE"/>
        </w:rPr>
        <w:t xml:space="preserve"> </w:t>
      </w:r>
      <w:r w:rsidRPr="003C03FC">
        <w:rPr>
          <w:lang w:val="de-DE"/>
        </w:rPr>
        <w:tab/>
        <w:t>Tagung vom 30. Oktober 2019 in Genf.</w:t>
      </w:r>
    </w:p>
  </w:footnote>
  <w:footnote w:id="7">
    <w:p w14:paraId="4CD0E7EC" w14:textId="413AEF06" w:rsidR="00836932" w:rsidRPr="00836932"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Vergleiche Dokument </w:t>
      </w:r>
      <w:hyperlink r:id="rId6" w:history="1">
        <w:hyperlink r:id="rId7" w:history="1">
          <w:hyperlink r:id="rId8" w:history="1">
            <w:hyperlink r:id="rId9" w:history="1">
              <w:r w:rsidR="00594D5D">
                <w:rPr>
                  <w:rStyle w:val="Hyperlink"/>
                </w:rPr>
                <w:t>TC/54/31</w:t>
              </w:r>
            </w:hyperlink>
          </w:hyperlink>
        </w:hyperlink>
      </w:hyperlink>
      <w:r w:rsidRPr="00836932">
        <w:rPr>
          <w:lang w:val="de-DE"/>
        </w:rPr>
        <w:t xml:space="preserve"> „Bericht“, Abschnitte 210 bis 212 und 217 bis 220.</w:t>
      </w:r>
    </w:p>
  </w:footnote>
  <w:footnote w:id="8">
    <w:p w14:paraId="61DDACA9" w14:textId="3D728331" w:rsidR="00836932" w:rsidRPr="00836932"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Tagung vom 3. bis 5. April 2017 in Genf.</w:t>
      </w:r>
    </w:p>
  </w:footnote>
  <w:footnote w:id="9">
    <w:p w14:paraId="09BCD7EB" w14:textId="259414B8" w:rsidR="00836932" w:rsidRPr="00836932"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Vergleiche Dokument </w:t>
      </w:r>
      <w:hyperlink r:id="rId10" w:history="1">
        <w:r w:rsidR="00594D5D" w:rsidRPr="000A0EE8">
          <w:rPr>
            <w:rStyle w:val="Hyperlink"/>
          </w:rPr>
          <w:t>TC/53/31</w:t>
        </w:r>
      </w:hyperlink>
      <w:r w:rsidRPr="00836932">
        <w:rPr>
          <w:lang w:val="de-DE"/>
        </w:rPr>
        <w:t xml:space="preserve"> „Bericht“, Abschnitte 113 bis 116.</w:t>
      </w:r>
    </w:p>
  </w:footnote>
  <w:footnote w:id="10">
    <w:p w14:paraId="2CB41655" w14:textId="52DF05C7" w:rsidR="00836932" w:rsidRPr="003C03FC"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Vergleiche Dokument </w:t>
      </w:r>
      <w:hyperlink r:id="rId11" w:history="1">
        <w:hyperlink r:id="rId12" w:history="1">
          <w:hyperlink r:id="rId13" w:history="1">
            <w:hyperlink r:id="rId14" w:history="1">
              <w:hyperlink r:id="rId15" w:history="1">
                <w:r w:rsidR="00594D5D">
                  <w:rPr>
                    <w:rStyle w:val="Hyperlink"/>
                  </w:rPr>
                  <w:t>TC/54/31</w:t>
                </w:r>
              </w:hyperlink>
            </w:hyperlink>
          </w:hyperlink>
        </w:hyperlink>
      </w:hyperlink>
      <w:r w:rsidRPr="00836932">
        <w:rPr>
          <w:lang w:val="de-DE"/>
        </w:rPr>
        <w:t xml:space="preserve"> „Bericht“, Abschnitte 231 und 232.</w:t>
      </w:r>
    </w:p>
  </w:footnote>
  <w:footnote w:id="11">
    <w:p w14:paraId="13C98B0E" w14:textId="0FE83EA6" w:rsidR="00836932" w:rsidRPr="00836932"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 xml:space="preserve">Vergleiche Dokument </w:t>
      </w:r>
      <w:hyperlink r:id="rId16" w:history="1">
        <w:hyperlink r:id="rId17" w:history="1">
          <w:hyperlink r:id="rId18" w:history="1">
            <w:r w:rsidR="00594D5D">
              <w:rPr>
                <w:rStyle w:val="Hyperlink"/>
              </w:rPr>
              <w:t>TC/54/31</w:t>
            </w:r>
          </w:hyperlink>
        </w:hyperlink>
      </w:hyperlink>
      <w:r w:rsidRPr="00836932">
        <w:rPr>
          <w:lang w:val="de-DE"/>
        </w:rPr>
        <w:t xml:space="preserve"> „Bericht“, Absätze 233 und 234.</w:t>
      </w:r>
    </w:p>
  </w:footnote>
  <w:footnote w:id="12">
    <w:p w14:paraId="35E85933" w14:textId="6F2461D4" w:rsidR="00836932" w:rsidRPr="00836932"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 xml:space="preserve">Vergleiche Dokument </w:t>
      </w:r>
      <w:hyperlink r:id="rId19" w:history="1">
        <w:r w:rsidR="00594D5D" w:rsidRPr="000A0EE8">
          <w:rPr>
            <w:rStyle w:val="Hyperlink"/>
          </w:rPr>
          <w:t>TC/53/31</w:t>
        </w:r>
      </w:hyperlink>
      <w:r w:rsidRPr="00836932">
        <w:rPr>
          <w:lang w:val="de-DE"/>
        </w:rPr>
        <w:t xml:space="preserve"> „Bericht“, Absatz 141.</w:t>
      </w:r>
    </w:p>
  </w:footnote>
  <w:footnote w:id="13">
    <w:p w14:paraId="2DB2CD73" w14:textId="3F7019AB" w:rsidR="00836932" w:rsidRPr="003C03FC"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 xml:space="preserve">Vergleiche Dokument </w:t>
      </w:r>
      <w:hyperlink r:id="rId20" w:history="1">
        <w:hyperlink r:id="rId21" w:history="1">
          <w:hyperlink r:id="rId22" w:history="1">
            <w:r w:rsidR="00594D5D">
              <w:rPr>
                <w:rStyle w:val="Hyperlink"/>
              </w:rPr>
              <w:t>TC/54/31</w:t>
            </w:r>
          </w:hyperlink>
        </w:hyperlink>
      </w:hyperlink>
      <w:r w:rsidRPr="00836932">
        <w:rPr>
          <w:lang w:val="de-DE"/>
        </w:rPr>
        <w:t xml:space="preserve"> „Bericht“, Absatz 244.</w:t>
      </w:r>
    </w:p>
  </w:footnote>
  <w:footnote w:id="14">
    <w:p w14:paraId="3F80790A" w14:textId="4A321649" w:rsidR="00836932" w:rsidRPr="00836932" w:rsidRDefault="00836932" w:rsidP="0097710B">
      <w:pPr>
        <w:pStyle w:val="FootnoteText"/>
        <w:rPr>
          <w:lang w:val="de-DE"/>
        </w:rPr>
      </w:pPr>
      <w:r>
        <w:rPr>
          <w:rStyle w:val="FootnoteReference"/>
        </w:rPr>
        <w:footnoteRef/>
      </w:r>
      <w:r w:rsidRPr="003C03FC">
        <w:rPr>
          <w:lang w:val="de-DE"/>
        </w:rPr>
        <w:t xml:space="preserve"> </w:t>
      </w:r>
      <w:r w:rsidRPr="003C03FC">
        <w:rPr>
          <w:lang w:val="de-DE"/>
        </w:rPr>
        <w:tab/>
      </w:r>
      <w:r w:rsidRPr="00836932">
        <w:rPr>
          <w:lang w:val="de-DE"/>
        </w:rPr>
        <w:t xml:space="preserve">Vergleiche Dokument </w:t>
      </w:r>
      <w:hyperlink r:id="rId23" w:history="1">
        <w:hyperlink r:id="rId24" w:history="1">
          <w:hyperlink r:id="rId25" w:history="1">
            <w:r w:rsidR="00594D5D">
              <w:rPr>
                <w:rStyle w:val="Hyperlink"/>
              </w:rPr>
              <w:t>TC/54/31</w:t>
            </w:r>
          </w:hyperlink>
        </w:hyperlink>
      </w:hyperlink>
      <w:r w:rsidRPr="00836932">
        <w:rPr>
          <w:lang w:val="de-DE"/>
        </w:rPr>
        <w:t xml:space="preserve"> „Bericht“, Absätze 272 und 273.</w:t>
      </w:r>
    </w:p>
  </w:footnote>
  <w:footnote w:id="15">
    <w:p w14:paraId="3EB03A51" w14:textId="239A6899" w:rsidR="00836932" w:rsidRPr="003C03FC" w:rsidRDefault="00836932" w:rsidP="0097710B">
      <w:pPr>
        <w:pStyle w:val="FootnoteText"/>
        <w:rPr>
          <w:lang w:val="de-DE"/>
        </w:rPr>
      </w:pPr>
      <w:r w:rsidRPr="00836932">
        <w:rPr>
          <w:rStyle w:val="FootnoteReference"/>
        </w:rPr>
        <w:footnoteRef/>
      </w:r>
      <w:r w:rsidRPr="00836932">
        <w:rPr>
          <w:lang w:val="de-DE"/>
        </w:rPr>
        <w:t xml:space="preserve"> </w:t>
      </w:r>
      <w:r w:rsidRPr="00836932">
        <w:rPr>
          <w:lang w:val="de-DE"/>
        </w:rPr>
        <w:tab/>
        <w:t xml:space="preserve">Vergleiche Dokument </w:t>
      </w:r>
      <w:hyperlink r:id="rId26" w:history="1">
        <w:hyperlink r:id="rId27" w:history="1">
          <w:hyperlink r:id="rId28" w:history="1">
            <w:r w:rsidR="00594D5D">
              <w:rPr>
                <w:rStyle w:val="Hyperlink"/>
              </w:rPr>
              <w:t>TC/54/31</w:t>
            </w:r>
          </w:hyperlink>
        </w:hyperlink>
      </w:hyperlink>
      <w:r w:rsidRPr="00836932">
        <w:rPr>
          <w:lang w:val="de-DE"/>
        </w:rPr>
        <w:t xml:space="preserve"> „Bericht“, Absätze 290 und 291.</w:t>
      </w:r>
    </w:p>
  </w:footnote>
  <w:footnote w:id="16">
    <w:p w14:paraId="6601AED8" w14:textId="34A32B80" w:rsidR="00836932" w:rsidRPr="003C03FC" w:rsidRDefault="00836932" w:rsidP="0097710B">
      <w:pPr>
        <w:pStyle w:val="FootnoteText"/>
        <w:rPr>
          <w:lang w:val="de-DE"/>
        </w:rPr>
      </w:pPr>
      <w:r w:rsidRPr="00A12415">
        <w:rPr>
          <w:rStyle w:val="FootnoteReference"/>
        </w:rPr>
        <w:footnoteRef/>
      </w:r>
      <w:r w:rsidRPr="003C03FC">
        <w:rPr>
          <w:lang w:val="de-DE"/>
        </w:rPr>
        <w:t xml:space="preserve"> </w:t>
      </w:r>
      <w:r w:rsidRPr="003C03FC">
        <w:rPr>
          <w:lang w:val="de-DE"/>
        </w:rPr>
        <w:tab/>
      </w:r>
      <w:r w:rsidRPr="00836932">
        <w:rPr>
          <w:lang w:val="de-DE"/>
        </w:rPr>
        <w:t xml:space="preserve">Vergleiche Dokument </w:t>
      </w:r>
      <w:hyperlink r:id="rId29" w:history="1">
        <w:hyperlink r:id="rId30" w:history="1">
          <w:hyperlink r:id="rId31" w:history="1">
            <w:r w:rsidR="00594D5D">
              <w:rPr>
                <w:rStyle w:val="Hyperlink"/>
              </w:rPr>
              <w:t>TC/54/31</w:t>
            </w:r>
          </w:hyperlink>
        </w:hyperlink>
      </w:hyperlink>
      <w:r w:rsidRPr="00836932">
        <w:rPr>
          <w:lang w:val="de-DE"/>
        </w:rPr>
        <w:t xml:space="preserve"> „Bericht“, Absatz 251, und Dokument </w:t>
      </w:r>
      <w:hyperlink r:id="rId32" w:history="1">
        <w:r w:rsidR="00594D5D" w:rsidRPr="005755F0">
          <w:rPr>
            <w:rStyle w:val="Hyperlink"/>
          </w:rPr>
          <w:t>CAJ/75/14</w:t>
        </w:r>
      </w:hyperlink>
      <w:r w:rsidRPr="00836932">
        <w:rPr>
          <w:lang w:val="de-DE"/>
        </w:rPr>
        <w:t xml:space="preserve"> „Bericht“, Absatz 13.</w:t>
      </w:r>
    </w:p>
  </w:footnote>
  <w:footnote w:id="17">
    <w:p w14:paraId="2DF85DD6" w14:textId="77777777" w:rsidR="0085675F" w:rsidRPr="003C03FC" w:rsidRDefault="0085675F" w:rsidP="0085675F">
      <w:pPr>
        <w:pStyle w:val="FootnoteText"/>
        <w:rPr>
          <w:lang w:val="de-DE"/>
        </w:rPr>
      </w:pPr>
      <w:r>
        <w:rPr>
          <w:rStyle w:val="FootnoteReference"/>
        </w:rPr>
        <w:footnoteRef/>
      </w:r>
      <w:r w:rsidRPr="003C03FC">
        <w:rPr>
          <w:lang w:val="de-DE"/>
        </w:rPr>
        <w:t xml:space="preserve"> </w:t>
      </w:r>
      <w:r w:rsidRPr="003C03FC">
        <w:rPr>
          <w:lang w:val="de-DE"/>
        </w:rPr>
        <w:tab/>
        <w:t xml:space="preserve">Tagung </w:t>
      </w:r>
      <w:r>
        <w:rPr>
          <w:lang w:val="de-DE"/>
        </w:rPr>
        <w:t>vom</w:t>
      </w:r>
      <w:r w:rsidRPr="003C03FC">
        <w:rPr>
          <w:lang w:val="de-DE"/>
        </w:rPr>
        <w:t xml:space="preserve"> 28. und 29. Oktober 2018 in Genf.</w:t>
      </w:r>
    </w:p>
  </w:footnote>
  <w:footnote w:id="18">
    <w:p w14:paraId="10864CB8" w14:textId="77777777" w:rsidR="0085675F" w:rsidRPr="003C03FC" w:rsidRDefault="0085675F" w:rsidP="0085675F">
      <w:pPr>
        <w:pStyle w:val="FootnoteText"/>
        <w:rPr>
          <w:lang w:val="de-DE"/>
        </w:rPr>
      </w:pPr>
      <w:r>
        <w:rPr>
          <w:rStyle w:val="FootnoteReference"/>
        </w:rPr>
        <w:footnoteRef/>
      </w:r>
      <w:r w:rsidRPr="003C03FC">
        <w:rPr>
          <w:lang w:val="de-DE"/>
        </w:rPr>
        <w:tab/>
        <w:t>Tagung vom 3. bis 5. April 2017 in Genf.</w:t>
      </w:r>
    </w:p>
  </w:footnote>
  <w:footnote w:id="19">
    <w:p w14:paraId="0B39E698" w14:textId="77777777" w:rsidR="0085675F" w:rsidRPr="003C03FC" w:rsidRDefault="0085675F" w:rsidP="0085675F">
      <w:pPr>
        <w:pStyle w:val="FootnoteText"/>
        <w:rPr>
          <w:lang w:val="de-DE"/>
        </w:rPr>
      </w:pPr>
      <w:r>
        <w:rPr>
          <w:rStyle w:val="FootnoteReference"/>
        </w:rPr>
        <w:footnoteRef/>
      </w:r>
      <w:r w:rsidRPr="003C03FC">
        <w:rPr>
          <w:lang w:val="de-DE"/>
        </w:rPr>
        <w:t xml:space="preserve"> </w:t>
      </w:r>
      <w:r w:rsidRPr="003C03FC">
        <w:rPr>
          <w:lang w:val="de-DE"/>
        </w:rPr>
        <w:tab/>
        <w:t>Tagung vom 28. und 29. Oktober 2018 in Genf.</w:t>
      </w:r>
    </w:p>
  </w:footnote>
  <w:footnote w:id="20">
    <w:p w14:paraId="62EE5046" w14:textId="77777777" w:rsidR="00C96D0A" w:rsidRPr="003C03FC" w:rsidRDefault="00C96D0A" w:rsidP="00C96D0A">
      <w:pPr>
        <w:pStyle w:val="FootnoteText"/>
        <w:rPr>
          <w:lang w:val="de-DE"/>
        </w:rPr>
      </w:pPr>
      <w:r>
        <w:rPr>
          <w:rStyle w:val="FootnoteReference"/>
        </w:rPr>
        <w:footnoteRef/>
      </w:r>
      <w:r w:rsidRPr="003C03FC">
        <w:rPr>
          <w:lang w:val="de-DE"/>
        </w:rPr>
        <w:t xml:space="preserve"> </w:t>
      </w:r>
      <w:r w:rsidRPr="003C03FC">
        <w:rPr>
          <w:lang w:val="de-DE"/>
        </w:rPr>
        <w:tab/>
      </w:r>
      <w:r w:rsidRPr="003C03FC">
        <w:rPr>
          <w:lang w:val="de-DE"/>
        </w:rPr>
        <w:tab/>
        <w:t>Tagung vom 28. und 29. Oktober 2018 in Genf.</w:t>
      </w:r>
    </w:p>
  </w:footnote>
  <w:footnote w:id="21">
    <w:p w14:paraId="0C91979C" w14:textId="77777777" w:rsidR="00171E39" w:rsidRPr="003C03FC" w:rsidRDefault="00171E39" w:rsidP="00171E39">
      <w:pPr>
        <w:pStyle w:val="FootnoteText"/>
        <w:rPr>
          <w:lang w:val="de-DE"/>
        </w:rPr>
      </w:pPr>
      <w:r>
        <w:rPr>
          <w:rStyle w:val="FootnoteReference"/>
        </w:rPr>
        <w:footnoteRef/>
      </w:r>
      <w:r w:rsidRPr="003C03FC">
        <w:rPr>
          <w:lang w:val="de-DE"/>
        </w:rPr>
        <w:tab/>
        <w:t>Tagung vom 3. bis 5. April 2017 in Genf.</w:t>
      </w:r>
    </w:p>
  </w:footnote>
  <w:footnote w:id="22">
    <w:p w14:paraId="4871EB2D" w14:textId="77777777" w:rsidR="00171E39" w:rsidRPr="003C03FC" w:rsidRDefault="00171E39" w:rsidP="00171E39">
      <w:pPr>
        <w:pStyle w:val="FootnoteText"/>
        <w:rPr>
          <w:lang w:val="de-DE"/>
        </w:rPr>
      </w:pPr>
      <w:r>
        <w:rPr>
          <w:rStyle w:val="FootnoteReference"/>
        </w:rPr>
        <w:footnoteRef/>
      </w:r>
      <w:r w:rsidRPr="003C03FC">
        <w:rPr>
          <w:lang w:val="de-DE"/>
        </w:rPr>
        <w:t xml:space="preserve"> </w:t>
      </w:r>
      <w:r w:rsidRPr="003C03FC">
        <w:rPr>
          <w:lang w:val="de-DE"/>
        </w:rPr>
        <w:tab/>
        <w:t>Tagung vom 28. und 29. Oktober 2018 in Genf.</w:t>
      </w:r>
    </w:p>
  </w:footnote>
  <w:footnote w:id="23">
    <w:p w14:paraId="3D876F3D" w14:textId="77777777" w:rsidR="00171E39" w:rsidRPr="003C03FC" w:rsidRDefault="00171E39" w:rsidP="00171E39">
      <w:pPr>
        <w:pStyle w:val="FootnoteText"/>
        <w:rPr>
          <w:lang w:val="de-DE"/>
        </w:rPr>
      </w:pPr>
      <w:r>
        <w:rPr>
          <w:rStyle w:val="FootnoteReference"/>
        </w:rPr>
        <w:footnoteRef/>
      </w:r>
      <w:r w:rsidRPr="003C03FC">
        <w:rPr>
          <w:lang w:val="de-DE"/>
        </w:rPr>
        <w:t xml:space="preserve"> </w:t>
      </w:r>
      <w:r w:rsidRPr="003C03FC">
        <w:rPr>
          <w:lang w:val="de-DE"/>
        </w:rPr>
        <w:tab/>
      </w:r>
      <w:r>
        <w:rPr>
          <w:lang w:val="de-DE"/>
        </w:rPr>
        <w:t>Tagung</w:t>
      </w:r>
      <w:r w:rsidRPr="003C03FC">
        <w:rPr>
          <w:lang w:val="de-DE"/>
        </w:rPr>
        <w:t xml:space="preserve"> </w:t>
      </w:r>
      <w:r>
        <w:rPr>
          <w:lang w:val="de-DE"/>
        </w:rPr>
        <w:t>vom</w:t>
      </w:r>
      <w:r w:rsidRPr="003C03FC">
        <w:rPr>
          <w:lang w:val="de-DE"/>
        </w:rPr>
        <w:t xml:space="preserve"> 28. und 29. Oktober 2018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AA80" w14:textId="77777777" w:rsidR="00836932" w:rsidRPr="003C03FC" w:rsidRDefault="00836932" w:rsidP="00B964D9">
    <w:pPr>
      <w:jc w:val="center"/>
      <w:rPr>
        <w:lang w:val="pt-BR"/>
      </w:rPr>
    </w:pPr>
    <w:r w:rsidRPr="003C03FC">
      <w:rPr>
        <w:lang w:val="pt-BR"/>
      </w:rPr>
      <w:t>CAJ/76/5</w:t>
    </w:r>
  </w:p>
  <w:p w14:paraId="41F6AF37" w14:textId="2B70466B" w:rsidR="00836932" w:rsidRPr="003C03FC" w:rsidRDefault="00836932" w:rsidP="00B964D9">
    <w:pPr>
      <w:jc w:val="center"/>
      <w:rPr>
        <w:lang w:val="pt-BR"/>
      </w:rPr>
    </w:pPr>
    <w:r w:rsidRPr="003C03FC">
      <w:rPr>
        <w:lang w:val="pt-BR"/>
      </w:rPr>
      <w:t>Seite</w:t>
    </w:r>
    <w:r>
      <w:rPr>
        <w:lang w:val="pt-BR"/>
      </w:rPr>
      <w:t xml:space="preserve"> </w:t>
    </w:r>
    <w:r w:rsidRPr="003C03FC">
      <w:fldChar w:fldCharType="begin"/>
    </w:r>
    <w:r w:rsidRPr="003C03FC">
      <w:rPr>
        <w:lang w:val="pt-BR"/>
      </w:rPr>
      <w:instrText xml:space="preserve"> PAGE </w:instrText>
    </w:r>
    <w:r w:rsidRPr="003C03FC">
      <w:fldChar w:fldCharType="separate"/>
    </w:r>
    <w:r w:rsidR="004A1858">
      <w:rPr>
        <w:noProof/>
        <w:lang w:val="pt-BR"/>
      </w:rPr>
      <w:t>6</w:t>
    </w:r>
    <w:r w:rsidRPr="003C03FC">
      <w:fldChar w:fldCharType="end"/>
    </w:r>
  </w:p>
  <w:p w14:paraId="2FACAC18" w14:textId="77777777" w:rsidR="00836932" w:rsidRPr="002E1B40" w:rsidRDefault="00836932" w:rsidP="006655D3">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3DF8" w14:textId="77777777" w:rsidR="00836932" w:rsidRDefault="00836932" w:rsidP="00273B07">
    <w:pPr>
      <w:jc w:val="center"/>
    </w:pPr>
    <w:r>
      <w:t>CAJ/76/5</w:t>
    </w:r>
  </w:p>
  <w:p w14:paraId="28293E8B" w14:textId="77777777" w:rsidR="00836932" w:rsidRDefault="00836932" w:rsidP="00273B07">
    <w:pPr>
      <w:jc w:val="center"/>
    </w:pPr>
  </w:p>
  <w:p w14:paraId="51512B91" w14:textId="77777777" w:rsidR="00836932" w:rsidRDefault="00836932" w:rsidP="00273B07">
    <w:pPr>
      <w:jc w:val="center"/>
    </w:pPr>
    <w:r>
      <w:t xml:space="preserve">ANLAGE V </w:t>
    </w:r>
  </w:p>
  <w:p w14:paraId="3201480C" w14:textId="77777777" w:rsidR="00836932" w:rsidRPr="004A75CB" w:rsidRDefault="00836932" w:rsidP="00273B07">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C98F" w14:textId="77777777" w:rsidR="00836932" w:rsidRPr="003C03FC" w:rsidRDefault="00836932" w:rsidP="00B964D9">
    <w:pPr>
      <w:pStyle w:val="Header"/>
      <w:rPr>
        <w:rStyle w:val="PageNumber"/>
        <w:lang w:val="en-US"/>
      </w:rPr>
    </w:pPr>
    <w:r w:rsidRPr="003C03FC">
      <w:rPr>
        <w:rStyle w:val="PageNumber"/>
        <w:lang w:val="en-US"/>
      </w:rPr>
      <w:t>CAJ/76/5</w:t>
    </w:r>
  </w:p>
  <w:p w14:paraId="6DEC34CF" w14:textId="3E63EC17" w:rsidR="00836932" w:rsidRPr="003C03FC" w:rsidRDefault="00836932" w:rsidP="00B964D9">
    <w:pPr>
      <w:pStyle w:val="Header"/>
      <w:rPr>
        <w:lang w:val="en-US"/>
      </w:rPr>
    </w:pPr>
    <w:r w:rsidRPr="003C03FC">
      <w:rPr>
        <w:lang w:val="en-US"/>
      </w:rPr>
      <w:t>Seite</w:t>
    </w:r>
    <w:r>
      <w:rPr>
        <w:lang w:val="en-US"/>
      </w:rPr>
      <w:t xml:space="preserve"> </w:t>
    </w:r>
    <w:r w:rsidRPr="003C03FC">
      <w:rPr>
        <w:rStyle w:val="PageNumber"/>
        <w:lang w:val="en-US"/>
      </w:rPr>
      <w:fldChar w:fldCharType="begin"/>
    </w:r>
    <w:r w:rsidRPr="003C03FC">
      <w:rPr>
        <w:rStyle w:val="PageNumber"/>
        <w:lang w:val="en-US"/>
      </w:rPr>
      <w:instrText xml:space="preserve"> PAGE </w:instrText>
    </w:r>
    <w:r w:rsidRPr="003C03FC">
      <w:rPr>
        <w:rStyle w:val="PageNumber"/>
        <w:lang w:val="en-US"/>
      </w:rPr>
      <w:fldChar w:fldCharType="separate"/>
    </w:r>
    <w:r w:rsidR="006B693B">
      <w:rPr>
        <w:rStyle w:val="PageNumber"/>
        <w:noProof/>
        <w:lang w:val="en-US"/>
      </w:rPr>
      <w:t>5</w:t>
    </w:r>
    <w:r w:rsidRPr="003C03FC">
      <w:rPr>
        <w:rStyle w:val="PageNumber"/>
        <w:lang w:val="en-US"/>
      </w:rPr>
      <w:fldChar w:fldCharType="end"/>
    </w:r>
  </w:p>
  <w:p w14:paraId="19B2DC71" w14:textId="77777777" w:rsidR="00836932" w:rsidRPr="003C03FC" w:rsidRDefault="00836932" w:rsidP="006655D3"/>
  <w:p w14:paraId="7DBF9C9C" w14:textId="77777777" w:rsidR="00836932" w:rsidRDefault="0083693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E376" w14:textId="77777777" w:rsidR="00836932" w:rsidRPr="00664117" w:rsidRDefault="00836932" w:rsidP="004A1858">
    <w:pPr>
      <w:spacing w:after="120"/>
      <w:jc w:val="center"/>
      <w:rPr>
        <w:lang w:val="de-DE"/>
      </w:rPr>
    </w:pPr>
    <w:r w:rsidRPr="00664117">
      <w:rPr>
        <w:lang w:val="de-DE"/>
      </w:rPr>
      <w:t>CAJ/76/5</w:t>
    </w:r>
  </w:p>
  <w:p w14:paraId="4CD78E8B" w14:textId="6E2A48D1" w:rsidR="00836932" w:rsidRPr="003C03FC" w:rsidRDefault="00836932" w:rsidP="004A1858">
    <w:pPr>
      <w:spacing w:after="120"/>
      <w:jc w:val="center"/>
      <w:rPr>
        <w:lang w:val="de-DE"/>
      </w:rPr>
    </w:pPr>
    <w:r w:rsidRPr="003C03FC">
      <w:rPr>
        <w:lang w:val="de-DE"/>
      </w:rPr>
      <w:t>ANLAGE VI</w:t>
    </w:r>
    <w:r>
      <w:rPr>
        <w:lang w:val="de-DE"/>
      </w:rPr>
      <w:t xml:space="preserve"> </w:t>
    </w:r>
    <w:r w:rsidRPr="003C03FC">
      <w:rPr>
        <w:lang w:val="de-DE"/>
      </w:rPr>
      <w:t>- PROGRAMM ZUR ER</w:t>
    </w:r>
    <w:r>
      <w:rPr>
        <w:lang w:val="de-DE"/>
      </w:rPr>
      <w:t>S</w:t>
    </w:r>
    <w:r w:rsidRPr="003C03FC">
      <w:rPr>
        <w:lang w:val="de-DE"/>
      </w:rPr>
      <w:t>TELLUNG VON TGP</w:t>
    </w:r>
    <w:r>
      <w:rPr>
        <w:lang w:val="de-DE"/>
      </w:rPr>
      <w:t>-</w:t>
    </w:r>
    <w:r w:rsidRPr="003C03FC">
      <w:rPr>
        <w:lang w:val="de-DE"/>
      </w:rPr>
      <w:t>DOKUMENTEN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9A12" w14:textId="77777777" w:rsidR="00836932" w:rsidRPr="003C03FC" w:rsidRDefault="00836932" w:rsidP="00B964D9">
    <w:pPr>
      <w:pStyle w:val="Header"/>
      <w:rPr>
        <w:rStyle w:val="PageNumber"/>
        <w:lang w:val="en-US"/>
      </w:rPr>
    </w:pPr>
    <w:r w:rsidRPr="003C03FC">
      <w:rPr>
        <w:rStyle w:val="PageNumber"/>
        <w:lang w:val="en-US"/>
      </w:rPr>
      <w:t>CAJ/76/5</w:t>
    </w:r>
  </w:p>
  <w:p w14:paraId="062AA01A" w14:textId="128B9718" w:rsidR="00836932" w:rsidRPr="003C03FC" w:rsidRDefault="00836932" w:rsidP="00B964D9">
    <w:pPr>
      <w:pStyle w:val="Header"/>
      <w:rPr>
        <w:lang w:val="en-US"/>
      </w:rPr>
    </w:pPr>
    <w:r w:rsidRPr="003C03FC">
      <w:rPr>
        <w:lang w:val="en-US"/>
      </w:rPr>
      <w:t>Anlage I, Seite</w:t>
    </w:r>
    <w:r>
      <w:rPr>
        <w:lang w:val="en-US"/>
      </w:rPr>
      <w:t xml:space="preserve"> </w:t>
    </w:r>
    <w:r w:rsidRPr="003C03FC">
      <w:rPr>
        <w:rStyle w:val="PageNumber"/>
        <w:lang w:val="en-US"/>
      </w:rPr>
      <w:fldChar w:fldCharType="begin"/>
    </w:r>
    <w:r w:rsidRPr="003C03FC">
      <w:rPr>
        <w:rStyle w:val="PageNumber"/>
        <w:lang w:val="en-US"/>
      </w:rPr>
      <w:instrText xml:space="preserve"> PAGE </w:instrText>
    </w:r>
    <w:r w:rsidRPr="003C03FC">
      <w:rPr>
        <w:rStyle w:val="PageNumber"/>
        <w:lang w:val="en-US"/>
      </w:rPr>
      <w:fldChar w:fldCharType="separate"/>
    </w:r>
    <w:r w:rsidR="004A1858">
      <w:rPr>
        <w:rStyle w:val="PageNumber"/>
        <w:noProof/>
        <w:lang w:val="en-US"/>
      </w:rPr>
      <w:t>2</w:t>
    </w:r>
    <w:r w:rsidRPr="003C03FC">
      <w:rPr>
        <w:rStyle w:val="PageNumber"/>
        <w:lang w:val="en-US"/>
      </w:rPr>
      <w:fldChar w:fldCharType="end"/>
    </w:r>
  </w:p>
  <w:p w14:paraId="2C4CA6CA" w14:textId="77777777" w:rsidR="00836932" w:rsidRPr="00C5280D" w:rsidRDefault="0083693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A413" w14:textId="77777777" w:rsidR="00836932" w:rsidRDefault="00836932" w:rsidP="00273B07">
    <w:pPr>
      <w:jc w:val="center"/>
    </w:pPr>
    <w:r>
      <w:t>CAJ/76/5</w:t>
    </w:r>
  </w:p>
  <w:p w14:paraId="63ED3821" w14:textId="77777777" w:rsidR="00836932" w:rsidRDefault="00836932" w:rsidP="00273B07">
    <w:pPr>
      <w:jc w:val="center"/>
    </w:pPr>
  </w:p>
  <w:p w14:paraId="1E8F3D6B" w14:textId="0ED9B6F6" w:rsidR="00836932" w:rsidRDefault="00836932" w:rsidP="00273B07">
    <w:pPr>
      <w:jc w:val="center"/>
    </w:pPr>
    <w:r>
      <w:t xml:space="preserve">ANLAGE I </w:t>
    </w:r>
  </w:p>
  <w:p w14:paraId="7833F18F" w14:textId="77777777" w:rsidR="00836932" w:rsidRPr="004A75CB" w:rsidRDefault="00836932" w:rsidP="00273B07">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C102" w14:textId="77777777" w:rsidR="00836932" w:rsidRDefault="00836932" w:rsidP="00273B07">
    <w:pPr>
      <w:jc w:val="center"/>
    </w:pPr>
    <w:r>
      <w:t>CAJ/76/5</w:t>
    </w:r>
  </w:p>
  <w:p w14:paraId="08532F57" w14:textId="77777777" w:rsidR="00836932" w:rsidRDefault="00836932" w:rsidP="00273B07">
    <w:pPr>
      <w:jc w:val="center"/>
    </w:pPr>
  </w:p>
  <w:p w14:paraId="7A4BC643" w14:textId="15A80406" w:rsidR="00836932" w:rsidRDefault="00836932" w:rsidP="00273B07">
    <w:pPr>
      <w:jc w:val="center"/>
    </w:pPr>
    <w:r>
      <w:t xml:space="preserve">ANLAGE II </w:t>
    </w:r>
  </w:p>
  <w:p w14:paraId="4801F83E" w14:textId="77777777" w:rsidR="00836932" w:rsidRPr="004A75CB" w:rsidRDefault="00836932" w:rsidP="00273B07">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D8952" w14:textId="77777777" w:rsidR="00836932" w:rsidRPr="003C03FC" w:rsidRDefault="00836932" w:rsidP="00B964D9">
    <w:pPr>
      <w:pStyle w:val="Header"/>
      <w:rPr>
        <w:rStyle w:val="PageNumber"/>
        <w:lang w:val="fr-CH"/>
      </w:rPr>
    </w:pPr>
    <w:r w:rsidRPr="003C03FC">
      <w:rPr>
        <w:rStyle w:val="PageNumber"/>
        <w:lang w:val="fr-CH"/>
      </w:rPr>
      <w:t>CAJ/76/5</w:t>
    </w:r>
  </w:p>
  <w:p w14:paraId="0809D766" w14:textId="0EBD74A2" w:rsidR="00836932" w:rsidRPr="003C03FC" w:rsidRDefault="00836932" w:rsidP="00B964D9">
    <w:pPr>
      <w:pStyle w:val="Header"/>
      <w:rPr>
        <w:lang w:val="fr-CH"/>
      </w:rPr>
    </w:pPr>
    <w:r w:rsidRPr="003C03FC">
      <w:rPr>
        <w:lang w:val="fr-CH"/>
      </w:rPr>
      <w:t>Anlage III, Seite</w:t>
    </w:r>
    <w:r>
      <w:rPr>
        <w:lang w:val="fr-CH"/>
      </w:rPr>
      <w:t xml:space="preserve"> </w:t>
    </w:r>
    <w:r w:rsidRPr="003C03FC">
      <w:rPr>
        <w:rStyle w:val="PageNumber"/>
        <w:lang w:val="en-US"/>
      </w:rPr>
      <w:fldChar w:fldCharType="begin"/>
    </w:r>
    <w:r w:rsidRPr="003C03FC">
      <w:rPr>
        <w:rStyle w:val="PageNumber"/>
        <w:lang w:val="fr-CH"/>
      </w:rPr>
      <w:instrText xml:space="preserve"> PAGE </w:instrText>
    </w:r>
    <w:r w:rsidRPr="003C03FC">
      <w:rPr>
        <w:rStyle w:val="PageNumber"/>
        <w:lang w:val="en-US"/>
      </w:rPr>
      <w:fldChar w:fldCharType="separate"/>
    </w:r>
    <w:r w:rsidR="004A1858">
      <w:rPr>
        <w:rStyle w:val="PageNumber"/>
        <w:noProof/>
        <w:lang w:val="fr-CH"/>
      </w:rPr>
      <w:t>3</w:t>
    </w:r>
    <w:r w:rsidRPr="003C03FC">
      <w:rPr>
        <w:rStyle w:val="PageNumber"/>
        <w:lang w:val="en-US"/>
      </w:rPr>
      <w:fldChar w:fldCharType="end"/>
    </w:r>
  </w:p>
  <w:p w14:paraId="7C9917E7" w14:textId="77777777" w:rsidR="00836932" w:rsidRPr="00436698" w:rsidRDefault="00836932"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8030" w14:textId="77777777" w:rsidR="00836932" w:rsidRDefault="00836932" w:rsidP="00273B07">
    <w:pPr>
      <w:jc w:val="center"/>
    </w:pPr>
    <w:r>
      <w:t>CAJ/76/5</w:t>
    </w:r>
  </w:p>
  <w:p w14:paraId="35256224" w14:textId="77777777" w:rsidR="00836932" w:rsidRDefault="00836932" w:rsidP="00273B07">
    <w:pPr>
      <w:jc w:val="center"/>
    </w:pPr>
  </w:p>
  <w:p w14:paraId="7632DB76" w14:textId="33B8D0F8" w:rsidR="00836932" w:rsidRDefault="00836932" w:rsidP="00273B07">
    <w:pPr>
      <w:jc w:val="center"/>
    </w:pPr>
    <w:r>
      <w:t xml:space="preserve">ANLAGE III </w:t>
    </w:r>
  </w:p>
  <w:p w14:paraId="181A3CA6" w14:textId="77777777" w:rsidR="00836932" w:rsidRPr="004A75CB" w:rsidRDefault="00836932" w:rsidP="00273B07">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B716" w14:textId="77777777" w:rsidR="00836932" w:rsidRPr="003C03FC" w:rsidRDefault="00836932" w:rsidP="00B964D9">
    <w:pPr>
      <w:pStyle w:val="Header"/>
      <w:rPr>
        <w:rStyle w:val="PageNumber"/>
        <w:lang w:val="fr-CH"/>
      </w:rPr>
    </w:pPr>
    <w:r w:rsidRPr="003C03FC">
      <w:rPr>
        <w:rStyle w:val="PageNumber"/>
        <w:lang w:val="fr-CH"/>
      </w:rPr>
      <w:t>CAJ/76/5</w:t>
    </w:r>
  </w:p>
  <w:p w14:paraId="115A8E1A" w14:textId="52C692C6" w:rsidR="00836932" w:rsidRPr="003C03FC" w:rsidRDefault="00836932" w:rsidP="00EB048E">
    <w:pPr>
      <w:pStyle w:val="Header"/>
      <w:rPr>
        <w:lang w:val="fr-CH"/>
      </w:rPr>
    </w:pPr>
    <w:r w:rsidRPr="003C03FC">
      <w:rPr>
        <w:lang w:val="fr-CH"/>
      </w:rPr>
      <w:t xml:space="preserve">Anlage IV, Seite </w:t>
    </w:r>
    <w:r w:rsidRPr="003C03FC">
      <w:rPr>
        <w:rStyle w:val="PageNumber"/>
        <w:lang w:val="en-US"/>
      </w:rPr>
      <w:fldChar w:fldCharType="begin"/>
    </w:r>
    <w:r w:rsidRPr="003C03FC">
      <w:rPr>
        <w:rStyle w:val="PageNumber"/>
        <w:lang w:val="fr-CH"/>
      </w:rPr>
      <w:instrText xml:space="preserve"> PAGE </w:instrText>
    </w:r>
    <w:r w:rsidRPr="003C03FC">
      <w:rPr>
        <w:rStyle w:val="PageNumber"/>
        <w:lang w:val="en-US"/>
      </w:rPr>
      <w:fldChar w:fldCharType="separate"/>
    </w:r>
    <w:r w:rsidR="004A1858">
      <w:rPr>
        <w:rStyle w:val="PageNumber"/>
        <w:noProof/>
        <w:lang w:val="fr-CH"/>
      </w:rPr>
      <w:t>2</w:t>
    </w:r>
    <w:r w:rsidRPr="003C03FC">
      <w:rPr>
        <w:rStyle w:val="PageNumber"/>
        <w:lang w:val="en-US"/>
      </w:rPr>
      <w:fldChar w:fldCharType="end"/>
    </w:r>
  </w:p>
  <w:p w14:paraId="5A0A3D62" w14:textId="77777777" w:rsidR="00836932" w:rsidRPr="00436698" w:rsidRDefault="00836932"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7511" w14:textId="77777777" w:rsidR="00836932" w:rsidRDefault="00836932" w:rsidP="00273B07">
    <w:pPr>
      <w:jc w:val="center"/>
    </w:pPr>
    <w:r>
      <w:t>CAJ/76/5</w:t>
    </w:r>
  </w:p>
  <w:p w14:paraId="4614FD58" w14:textId="77777777" w:rsidR="00836932" w:rsidRDefault="00836932" w:rsidP="00273B07">
    <w:pPr>
      <w:jc w:val="center"/>
    </w:pPr>
  </w:p>
  <w:p w14:paraId="2E47EF96" w14:textId="7984D62E" w:rsidR="00836932" w:rsidRDefault="00836932" w:rsidP="00273B07">
    <w:pPr>
      <w:jc w:val="center"/>
    </w:pPr>
    <w:r>
      <w:t xml:space="preserve">ANLAGE IV </w:t>
    </w:r>
  </w:p>
  <w:p w14:paraId="18BF266F" w14:textId="77777777" w:rsidR="00836932" w:rsidRPr="004A75CB" w:rsidRDefault="00836932" w:rsidP="00273B07">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38ED" w14:textId="77777777" w:rsidR="00836932" w:rsidRPr="003C03FC" w:rsidRDefault="00836932" w:rsidP="00B964D9">
    <w:pPr>
      <w:pStyle w:val="Header"/>
      <w:rPr>
        <w:rStyle w:val="PageNumber"/>
        <w:lang w:val="fr-CH"/>
      </w:rPr>
    </w:pPr>
    <w:r w:rsidRPr="003C03FC">
      <w:rPr>
        <w:rStyle w:val="PageNumber"/>
        <w:lang w:val="fr-CH"/>
      </w:rPr>
      <w:t>CAJ/76/5</w:t>
    </w:r>
  </w:p>
  <w:p w14:paraId="681EA5E6" w14:textId="4B983342" w:rsidR="00836932" w:rsidRPr="003C03FC" w:rsidRDefault="00836932" w:rsidP="00EB048E">
    <w:pPr>
      <w:pStyle w:val="Header"/>
      <w:rPr>
        <w:lang w:val="fr-CH"/>
      </w:rPr>
    </w:pPr>
    <w:r w:rsidRPr="003C03FC">
      <w:rPr>
        <w:lang w:val="fr-CH"/>
      </w:rPr>
      <w:t xml:space="preserve">Anlage V, Seite </w:t>
    </w:r>
    <w:r w:rsidRPr="003C03FC">
      <w:rPr>
        <w:rStyle w:val="PageNumber"/>
        <w:lang w:val="en-US"/>
      </w:rPr>
      <w:fldChar w:fldCharType="begin"/>
    </w:r>
    <w:r w:rsidRPr="003C03FC">
      <w:rPr>
        <w:rStyle w:val="PageNumber"/>
        <w:lang w:val="fr-CH"/>
      </w:rPr>
      <w:instrText xml:space="preserve"> PAGE </w:instrText>
    </w:r>
    <w:r w:rsidRPr="003C03FC">
      <w:rPr>
        <w:rStyle w:val="PageNumber"/>
        <w:lang w:val="en-US"/>
      </w:rPr>
      <w:fldChar w:fldCharType="separate"/>
    </w:r>
    <w:r w:rsidR="004A1858">
      <w:rPr>
        <w:rStyle w:val="PageNumber"/>
        <w:noProof/>
        <w:lang w:val="fr-CH"/>
      </w:rPr>
      <w:t>2</w:t>
    </w:r>
    <w:r w:rsidRPr="003C03FC">
      <w:rPr>
        <w:rStyle w:val="PageNumber"/>
        <w:lang w:val="en-US"/>
      </w:rPr>
      <w:fldChar w:fldCharType="end"/>
    </w:r>
  </w:p>
  <w:p w14:paraId="7ACF6588" w14:textId="77777777" w:rsidR="00836932" w:rsidRPr="00436698" w:rsidRDefault="00836932"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F96"/>
    <w:multiLevelType w:val="hybridMultilevel"/>
    <w:tmpl w:val="CFBA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0C0A7E16"/>
    <w:multiLevelType w:val="hybridMultilevel"/>
    <w:tmpl w:val="D4A0883C"/>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7AD7199"/>
    <w:multiLevelType w:val="hybridMultilevel"/>
    <w:tmpl w:val="89587F0E"/>
    <w:lvl w:ilvl="0" w:tplc="0409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D406610"/>
    <w:multiLevelType w:val="hybridMultilevel"/>
    <w:tmpl w:val="6FD00E7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26AA139A"/>
    <w:multiLevelType w:val="hybridMultilevel"/>
    <w:tmpl w:val="F572BF5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34E43D42"/>
    <w:multiLevelType w:val="hybridMultilevel"/>
    <w:tmpl w:val="89587F0E"/>
    <w:lvl w:ilvl="0" w:tplc="04090017">
      <w:start w:val="1"/>
      <w:numFmt w:val="lowerLetter"/>
      <w:lvlText w:val="%1)"/>
      <w:lvlJc w:val="left"/>
      <w:pPr>
        <w:ind w:left="1287" w:hanging="360"/>
      </w:pPr>
      <w:rPr>
        <w:rFonts w:hint="default"/>
      </w:rPr>
    </w:lvl>
    <w:lvl w:ilvl="1" w:tplc="04070019">
      <w:start w:val="1"/>
      <w:numFmt w:val="lowerLetter"/>
      <w:lvlText w:val="%2."/>
      <w:lvlJc w:val="left"/>
      <w:pPr>
        <w:ind w:left="2007" w:hanging="360"/>
      </w:pPr>
    </w:lvl>
    <w:lvl w:ilvl="2" w:tplc="0407001B">
      <w:start w:val="1"/>
      <w:numFmt w:val="lowerRoman"/>
      <w:lvlText w:val="%3."/>
      <w:lvlJc w:val="right"/>
      <w:pPr>
        <w:ind w:left="2727" w:hanging="180"/>
      </w:pPr>
    </w:lvl>
    <w:lvl w:ilvl="3" w:tplc="0407000F">
      <w:start w:val="1"/>
      <w:numFmt w:val="decimal"/>
      <w:lvlText w:val="%4."/>
      <w:lvlJc w:val="left"/>
      <w:pPr>
        <w:ind w:left="3447" w:hanging="360"/>
      </w:pPr>
    </w:lvl>
    <w:lvl w:ilvl="4" w:tplc="04070019">
      <w:start w:val="1"/>
      <w:numFmt w:val="lowerLetter"/>
      <w:lvlText w:val="%5."/>
      <w:lvlJc w:val="left"/>
      <w:pPr>
        <w:ind w:left="4167" w:hanging="360"/>
      </w:pPr>
    </w:lvl>
    <w:lvl w:ilvl="5" w:tplc="0407001B">
      <w:start w:val="1"/>
      <w:numFmt w:val="lowerRoman"/>
      <w:lvlText w:val="%6."/>
      <w:lvlJc w:val="right"/>
      <w:pPr>
        <w:ind w:left="4887" w:hanging="180"/>
      </w:pPr>
    </w:lvl>
    <w:lvl w:ilvl="6" w:tplc="0407000F">
      <w:start w:val="1"/>
      <w:numFmt w:val="decimal"/>
      <w:lvlText w:val="%7."/>
      <w:lvlJc w:val="left"/>
      <w:pPr>
        <w:ind w:left="5607" w:hanging="360"/>
      </w:pPr>
    </w:lvl>
    <w:lvl w:ilvl="7" w:tplc="04070019">
      <w:start w:val="1"/>
      <w:numFmt w:val="lowerLetter"/>
      <w:lvlText w:val="%8."/>
      <w:lvlJc w:val="left"/>
      <w:pPr>
        <w:ind w:left="6327" w:hanging="360"/>
      </w:pPr>
    </w:lvl>
    <w:lvl w:ilvl="8" w:tplc="0407001B">
      <w:start w:val="1"/>
      <w:numFmt w:val="lowerRoman"/>
      <w:lvlText w:val="%9."/>
      <w:lvlJc w:val="right"/>
      <w:pPr>
        <w:ind w:left="7047" w:hanging="180"/>
      </w:pPr>
    </w:lvl>
  </w:abstractNum>
  <w:abstractNum w:abstractNumId="11"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F287E"/>
    <w:multiLevelType w:val="hybridMultilevel"/>
    <w:tmpl w:val="9FD09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9717F"/>
    <w:multiLevelType w:val="hybridMultilevel"/>
    <w:tmpl w:val="A2807850"/>
    <w:lvl w:ilvl="0" w:tplc="AFB2BAB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8"/>
  </w:num>
  <w:num w:numId="2">
    <w:abstractNumId w:val="1"/>
  </w:num>
  <w:num w:numId="3">
    <w:abstractNumId w:val="14"/>
  </w:num>
  <w:num w:numId="4">
    <w:abstractNumId w:val="17"/>
  </w:num>
  <w:num w:numId="5">
    <w:abstractNumId w:val="7"/>
  </w:num>
  <w:num w:numId="6">
    <w:abstractNumId w:val="6"/>
  </w:num>
  <w:num w:numId="7">
    <w:abstractNumId w:val="12"/>
  </w:num>
  <w:num w:numId="8">
    <w:abstractNumId w:val="3"/>
  </w:num>
  <w:num w:numId="9">
    <w:abstractNumId w:val="5"/>
  </w:num>
  <w:num w:numId="10">
    <w:abstractNumId w:val="13"/>
  </w:num>
  <w:num w:numId="11">
    <w:abstractNumId w:val="11"/>
  </w:num>
  <w:num w:numId="12">
    <w:abstractNumId w:val="19"/>
  </w:num>
  <w:num w:numId="13">
    <w:abstractNumId w:val="16"/>
  </w:num>
  <w:num w:numId="14">
    <w:abstractNumId w:val="9"/>
  </w:num>
  <w:num w:numId="15">
    <w:abstractNumId w:val="15"/>
  </w:num>
  <w:num w:numId="16">
    <w:abstractNumId w:val="0"/>
  </w:num>
  <w:num w:numId="17">
    <w:abstractNumId w:val="18"/>
  </w:num>
  <w:num w:numId="18">
    <w:abstractNumId w:val="2"/>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Empty"/>
    <w:docVar w:name="TermBaseURL" w:val="empty"/>
    <w:docVar w:name="TextBases" w:val="TextBase TMs\WorkspaceETS\UPOV\UPOV_ETS|TextBase TMs\WorkspaceETS\Ad-hoc\Assemblies|TextBase TMs\WorkspaceETS\Ad-hoc\Glo Multilingual|TextBase TMs\WorkspaceETS\Administration &amp; Finance\B&amp;F|TextBase TMs\WorkspaceETS\Administration &amp; Finance\e-mail broadcasts|TextBase TMs\WorkspaceETS\Administration &amp; Finance\HR|TextBase TMs\WorkspaceETS\Administration &amp; Finance\Staff Council|TextBase TMs\WorkspaceETS\Brands, Designs &amp; DN\Hague|TextBase TMs\WorkspaceETS\Brands, Designs &amp; DN\Lisbon|TextBase TMs\WorkspaceETS\Brands, Designs &amp; DN\Trademarks|TextBase TMs\WorkspaceETS\Copyright\Copyright|TextBase TMs\WorkspaceETS\Development\CDIP|TextBase TMs\WorkspaceETS\GRTKF\GRTKF|TextBase TMs\WorkspaceETS\Outreach\Academy|TextBase TMs\WorkspaceETS\Outreach\ACE|TextBase TMs\WorkspaceETS\Patents &amp; Innovation\Patents|TextBase TMs\WorkspaceETS\Treaties &amp; Laws\Other Treaties|TextBase TMs\WorkspaceETS\Treaties &amp; Laws\WIPO Treaties|TextBase TMs\WorkspaceETS\Treaties &amp; Laws\WIPOLex|TextBase TMs\WorkspaceETS\UPOV\UPOV_ETS"/>
    <w:docVar w:name="TextBaseURL" w:val="empty"/>
    <w:docVar w:name="UILng" w:val="en"/>
  </w:docVars>
  <w:rsids>
    <w:rsidRoot w:val="00CB2272"/>
    <w:rsid w:val="0000377F"/>
    <w:rsid w:val="00004984"/>
    <w:rsid w:val="00010CF3"/>
    <w:rsid w:val="00011E27"/>
    <w:rsid w:val="000122D6"/>
    <w:rsid w:val="000148BC"/>
    <w:rsid w:val="0002150D"/>
    <w:rsid w:val="00024AB8"/>
    <w:rsid w:val="00025F75"/>
    <w:rsid w:val="00027ED8"/>
    <w:rsid w:val="00030854"/>
    <w:rsid w:val="0003213F"/>
    <w:rsid w:val="00033DC7"/>
    <w:rsid w:val="00036028"/>
    <w:rsid w:val="00044642"/>
    <w:rsid w:val="000446B9"/>
    <w:rsid w:val="00047E21"/>
    <w:rsid w:val="00050E16"/>
    <w:rsid w:val="000771BD"/>
    <w:rsid w:val="00085505"/>
    <w:rsid w:val="00095E9B"/>
    <w:rsid w:val="000963B5"/>
    <w:rsid w:val="000A0EE8"/>
    <w:rsid w:val="000A2621"/>
    <w:rsid w:val="000A6EA8"/>
    <w:rsid w:val="000B503C"/>
    <w:rsid w:val="000C4E25"/>
    <w:rsid w:val="000C6212"/>
    <w:rsid w:val="000C7021"/>
    <w:rsid w:val="000D6BBC"/>
    <w:rsid w:val="000D7780"/>
    <w:rsid w:val="000E636A"/>
    <w:rsid w:val="000F2F11"/>
    <w:rsid w:val="000F38E6"/>
    <w:rsid w:val="000F7CEF"/>
    <w:rsid w:val="00100602"/>
    <w:rsid w:val="00105929"/>
    <w:rsid w:val="001060C1"/>
    <w:rsid w:val="00106AE2"/>
    <w:rsid w:val="00107B0C"/>
    <w:rsid w:val="00110BED"/>
    <w:rsid w:val="00110C36"/>
    <w:rsid w:val="001131D5"/>
    <w:rsid w:val="00115EC9"/>
    <w:rsid w:val="00141DB8"/>
    <w:rsid w:val="001531DF"/>
    <w:rsid w:val="00171E39"/>
    <w:rsid w:val="00172084"/>
    <w:rsid w:val="0017474A"/>
    <w:rsid w:val="001758C6"/>
    <w:rsid w:val="00176611"/>
    <w:rsid w:val="00176E3A"/>
    <w:rsid w:val="0018113B"/>
    <w:rsid w:val="00182B99"/>
    <w:rsid w:val="00183C3C"/>
    <w:rsid w:val="001867DA"/>
    <w:rsid w:val="0019194C"/>
    <w:rsid w:val="0019467D"/>
    <w:rsid w:val="001A042A"/>
    <w:rsid w:val="001B2AAD"/>
    <w:rsid w:val="001B4EBC"/>
    <w:rsid w:val="001C1525"/>
    <w:rsid w:val="001C26EF"/>
    <w:rsid w:val="001D6F7D"/>
    <w:rsid w:val="001D6F91"/>
    <w:rsid w:val="001E1456"/>
    <w:rsid w:val="001E1491"/>
    <w:rsid w:val="001E2D36"/>
    <w:rsid w:val="00201D56"/>
    <w:rsid w:val="00204E21"/>
    <w:rsid w:val="0021332C"/>
    <w:rsid w:val="00213982"/>
    <w:rsid w:val="002164D5"/>
    <w:rsid w:val="0021694A"/>
    <w:rsid w:val="00221023"/>
    <w:rsid w:val="00230C3B"/>
    <w:rsid w:val="0023118D"/>
    <w:rsid w:val="0024416D"/>
    <w:rsid w:val="0024646F"/>
    <w:rsid w:val="00251F60"/>
    <w:rsid w:val="002612E7"/>
    <w:rsid w:val="00262607"/>
    <w:rsid w:val="00271911"/>
    <w:rsid w:val="00273B07"/>
    <w:rsid w:val="0027574C"/>
    <w:rsid w:val="002800A0"/>
    <w:rsid w:val="002801B3"/>
    <w:rsid w:val="00281060"/>
    <w:rsid w:val="00284EA6"/>
    <w:rsid w:val="002940E8"/>
    <w:rsid w:val="00294751"/>
    <w:rsid w:val="002A316E"/>
    <w:rsid w:val="002A5548"/>
    <w:rsid w:val="002A6E50"/>
    <w:rsid w:val="002B2F26"/>
    <w:rsid w:val="002B4298"/>
    <w:rsid w:val="002B73B3"/>
    <w:rsid w:val="002B7A36"/>
    <w:rsid w:val="002C256A"/>
    <w:rsid w:val="002E39F3"/>
    <w:rsid w:val="002E4B97"/>
    <w:rsid w:val="002F3AB2"/>
    <w:rsid w:val="002F3C0E"/>
    <w:rsid w:val="002F6D41"/>
    <w:rsid w:val="003035E1"/>
    <w:rsid w:val="00305A7F"/>
    <w:rsid w:val="003152FE"/>
    <w:rsid w:val="0032180C"/>
    <w:rsid w:val="00327436"/>
    <w:rsid w:val="00340875"/>
    <w:rsid w:val="00341229"/>
    <w:rsid w:val="0034257F"/>
    <w:rsid w:val="00344BD6"/>
    <w:rsid w:val="003455E2"/>
    <w:rsid w:val="00350DFF"/>
    <w:rsid w:val="0035528D"/>
    <w:rsid w:val="00361821"/>
    <w:rsid w:val="00361E9E"/>
    <w:rsid w:val="003675CE"/>
    <w:rsid w:val="00386A20"/>
    <w:rsid w:val="00392E8B"/>
    <w:rsid w:val="0039607B"/>
    <w:rsid w:val="003A2170"/>
    <w:rsid w:val="003A4258"/>
    <w:rsid w:val="003A7637"/>
    <w:rsid w:val="003B033C"/>
    <w:rsid w:val="003C03FC"/>
    <w:rsid w:val="003C55FC"/>
    <w:rsid w:val="003C7FBE"/>
    <w:rsid w:val="003D227C"/>
    <w:rsid w:val="003D2B4D"/>
    <w:rsid w:val="003E3EC0"/>
    <w:rsid w:val="003E76C2"/>
    <w:rsid w:val="003F2C68"/>
    <w:rsid w:val="00407840"/>
    <w:rsid w:val="0041246A"/>
    <w:rsid w:val="004162B6"/>
    <w:rsid w:val="00427438"/>
    <w:rsid w:val="0044351F"/>
    <w:rsid w:val="00444A88"/>
    <w:rsid w:val="00457E49"/>
    <w:rsid w:val="00472672"/>
    <w:rsid w:val="00474DA4"/>
    <w:rsid w:val="00474EB8"/>
    <w:rsid w:val="00476B4D"/>
    <w:rsid w:val="004774B1"/>
    <w:rsid w:val="004805FA"/>
    <w:rsid w:val="00487379"/>
    <w:rsid w:val="004925EB"/>
    <w:rsid w:val="004935D2"/>
    <w:rsid w:val="004A12AE"/>
    <w:rsid w:val="004A1858"/>
    <w:rsid w:val="004A65CA"/>
    <w:rsid w:val="004B1215"/>
    <w:rsid w:val="004C3068"/>
    <w:rsid w:val="004D047D"/>
    <w:rsid w:val="004D4680"/>
    <w:rsid w:val="004D581D"/>
    <w:rsid w:val="004E123D"/>
    <w:rsid w:val="004F1E9E"/>
    <w:rsid w:val="004F305A"/>
    <w:rsid w:val="004F5BEF"/>
    <w:rsid w:val="0050161D"/>
    <w:rsid w:val="00501AC5"/>
    <w:rsid w:val="00506093"/>
    <w:rsid w:val="00511E92"/>
    <w:rsid w:val="00512164"/>
    <w:rsid w:val="005142AD"/>
    <w:rsid w:val="0051462F"/>
    <w:rsid w:val="00520297"/>
    <w:rsid w:val="00525015"/>
    <w:rsid w:val="005324BB"/>
    <w:rsid w:val="005338F9"/>
    <w:rsid w:val="00533AB9"/>
    <w:rsid w:val="0054281C"/>
    <w:rsid w:val="00543F98"/>
    <w:rsid w:val="00544581"/>
    <w:rsid w:val="0055268D"/>
    <w:rsid w:val="00555B9E"/>
    <w:rsid w:val="00557A98"/>
    <w:rsid w:val="005607A1"/>
    <w:rsid w:val="005638F9"/>
    <w:rsid w:val="00563CBA"/>
    <w:rsid w:val="0056533D"/>
    <w:rsid w:val="00570EB3"/>
    <w:rsid w:val="0057143A"/>
    <w:rsid w:val="005755F0"/>
    <w:rsid w:val="005768BF"/>
    <w:rsid w:val="00576A55"/>
    <w:rsid w:val="00576BE4"/>
    <w:rsid w:val="005779DB"/>
    <w:rsid w:val="005801A1"/>
    <w:rsid w:val="00594D5D"/>
    <w:rsid w:val="00597C41"/>
    <w:rsid w:val="005A400A"/>
    <w:rsid w:val="005B163F"/>
    <w:rsid w:val="005B388B"/>
    <w:rsid w:val="005B72F4"/>
    <w:rsid w:val="005C045D"/>
    <w:rsid w:val="005C282E"/>
    <w:rsid w:val="005C468C"/>
    <w:rsid w:val="005C46AD"/>
    <w:rsid w:val="005C5A47"/>
    <w:rsid w:val="005D6CA7"/>
    <w:rsid w:val="005D72D0"/>
    <w:rsid w:val="005E125A"/>
    <w:rsid w:val="005F08BB"/>
    <w:rsid w:val="005F21B2"/>
    <w:rsid w:val="005F2FC5"/>
    <w:rsid w:val="005F7B92"/>
    <w:rsid w:val="006033C0"/>
    <w:rsid w:val="006044DC"/>
    <w:rsid w:val="00612379"/>
    <w:rsid w:val="00613BEC"/>
    <w:rsid w:val="006153B6"/>
    <w:rsid w:val="0061555F"/>
    <w:rsid w:val="00616166"/>
    <w:rsid w:val="00616F18"/>
    <w:rsid w:val="006331CD"/>
    <w:rsid w:val="00633BBC"/>
    <w:rsid w:val="00636CA6"/>
    <w:rsid w:val="00641200"/>
    <w:rsid w:val="00645CA8"/>
    <w:rsid w:val="00646011"/>
    <w:rsid w:val="00652E2A"/>
    <w:rsid w:val="00664117"/>
    <w:rsid w:val="006648FC"/>
    <w:rsid w:val="006655D3"/>
    <w:rsid w:val="00667404"/>
    <w:rsid w:val="0067761F"/>
    <w:rsid w:val="006846C6"/>
    <w:rsid w:val="00685185"/>
    <w:rsid w:val="00685AE9"/>
    <w:rsid w:val="00687EB4"/>
    <w:rsid w:val="00690400"/>
    <w:rsid w:val="00691F62"/>
    <w:rsid w:val="00695C56"/>
    <w:rsid w:val="006A2D38"/>
    <w:rsid w:val="006A5CDE"/>
    <w:rsid w:val="006A63C4"/>
    <w:rsid w:val="006A644A"/>
    <w:rsid w:val="006B0A48"/>
    <w:rsid w:val="006B17D2"/>
    <w:rsid w:val="006B43D7"/>
    <w:rsid w:val="006B682C"/>
    <w:rsid w:val="006B693B"/>
    <w:rsid w:val="006C224E"/>
    <w:rsid w:val="006C3063"/>
    <w:rsid w:val="006C3AB9"/>
    <w:rsid w:val="006C40C4"/>
    <w:rsid w:val="006D1FE0"/>
    <w:rsid w:val="006D469B"/>
    <w:rsid w:val="006D5DC8"/>
    <w:rsid w:val="006D780A"/>
    <w:rsid w:val="006E0086"/>
    <w:rsid w:val="006F17F3"/>
    <w:rsid w:val="006F6881"/>
    <w:rsid w:val="00701D17"/>
    <w:rsid w:val="00701E36"/>
    <w:rsid w:val="0071271E"/>
    <w:rsid w:val="00714086"/>
    <w:rsid w:val="007152DF"/>
    <w:rsid w:val="00725342"/>
    <w:rsid w:val="007301FF"/>
    <w:rsid w:val="00731F5F"/>
    <w:rsid w:val="00732DEC"/>
    <w:rsid w:val="007355B8"/>
    <w:rsid w:val="00735BD5"/>
    <w:rsid w:val="007451EC"/>
    <w:rsid w:val="007461DD"/>
    <w:rsid w:val="00746842"/>
    <w:rsid w:val="00751613"/>
    <w:rsid w:val="00753EE9"/>
    <w:rsid w:val="007556F6"/>
    <w:rsid w:val="00760EEF"/>
    <w:rsid w:val="007612CE"/>
    <w:rsid w:val="007614DE"/>
    <w:rsid w:val="00762839"/>
    <w:rsid w:val="00765256"/>
    <w:rsid w:val="00777EE5"/>
    <w:rsid w:val="00781F7A"/>
    <w:rsid w:val="007832C4"/>
    <w:rsid w:val="00784836"/>
    <w:rsid w:val="0079023E"/>
    <w:rsid w:val="007A2800"/>
    <w:rsid w:val="007A2854"/>
    <w:rsid w:val="007A5EE9"/>
    <w:rsid w:val="007B1934"/>
    <w:rsid w:val="007B24A5"/>
    <w:rsid w:val="007C1D92"/>
    <w:rsid w:val="007C269B"/>
    <w:rsid w:val="007C2FEB"/>
    <w:rsid w:val="007C4CB9"/>
    <w:rsid w:val="007D0B9D"/>
    <w:rsid w:val="007D19B0"/>
    <w:rsid w:val="007D5238"/>
    <w:rsid w:val="007D578D"/>
    <w:rsid w:val="007F2331"/>
    <w:rsid w:val="007F498F"/>
    <w:rsid w:val="00802DA2"/>
    <w:rsid w:val="0080679D"/>
    <w:rsid w:val="008108B0"/>
    <w:rsid w:val="00811B20"/>
    <w:rsid w:val="00811F7D"/>
    <w:rsid w:val="00812609"/>
    <w:rsid w:val="00812FB5"/>
    <w:rsid w:val="008200AE"/>
    <w:rsid w:val="008211B5"/>
    <w:rsid w:val="0082296E"/>
    <w:rsid w:val="00824099"/>
    <w:rsid w:val="00824EE7"/>
    <w:rsid w:val="0083066D"/>
    <w:rsid w:val="008312EA"/>
    <w:rsid w:val="00836932"/>
    <w:rsid w:val="008370F2"/>
    <w:rsid w:val="00846255"/>
    <w:rsid w:val="00846D7C"/>
    <w:rsid w:val="008478D1"/>
    <w:rsid w:val="008534A6"/>
    <w:rsid w:val="0085675F"/>
    <w:rsid w:val="00867AC1"/>
    <w:rsid w:val="00870CC0"/>
    <w:rsid w:val="00884E6C"/>
    <w:rsid w:val="008867B1"/>
    <w:rsid w:val="00890DF8"/>
    <w:rsid w:val="008A0DBF"/>
    <w:rsid w:val="008A743F"/>
    <w:rsid w:val="008B31AD"/>
    <w:rsid w:val="008C0970"/>
    <w:rsid w:val="008D0BC5"/>
    <w:rsid w:val="008D0BE7"/>
    <w:rsid w:val="008D2CF7"/>
    <w:rsid w:val="008E00DA"/>
    <w:rsid w:val="008E16D5"/>
    <w:rsid w:val="008F5C8B"/>
    <w:rsid w:val="008F7048"/>
    <w:rsid w:val="00900C26"/>
    <w:rsid w:val="0090197F"/>
    <w:rsid w:val="00903264"/>
    <w:rsid w:val="00906523"/>
    <w:rsid w:val="00906DDC"/>
    <w:rsid w:val="0091141B"/>
    <w:rsid w:val="00925CF8"/>
    <w:rsid w:val="00934E09"/>
    <w:rsid w:val="00936253"/>
    <w:rsid w:val="009379D4"/>
    <w:rsid w:val="00940D46"/>
    <w:rsid w:val="00952DD4"/>
    <w:rsid w:val="0095487F"/>
    <w:rsid w:val="00965AE7"/>
    <w:rsid w:val="00970FED"/>
    <w:rsid w:val="0097710B"/>
    <w:rsid w:val="00992D82"/>
    <w:rsid w:val="00993ED3"/>
    <w:rsid w:val="0099568D"/>
    <w:rsid w:val="00995691"/>
    <w:rsid w:val="00997029"/>
    <w:rsid w:val="009A7339"/>
    <w:rsid w:val="009B25BB"/>
    <w:rsid w:val="009B440E"/>
    <w:rsid w:val="009B5E14"/>
    <w:rsid w:val="009C2233"/>
    <w:rsid w:val="009D3A71"/>
    <w:rsid w:val="009D690D"/>
    <w:rsid w:val="009E65B6"/>
    <w:rsid w:val="009F1998"/>
    <w:rsid w:val="009F3181"/>
    <w:rsid w:val="009F3FE8"/>
    <w:rsid w:val="009F4C91"/>
    <w:rsid w:val="009F7745"/>
    <w:rsid w:val="009F77CF"/>
    <w:rsid w:val="00A0355F"/>
    <w:rsid w:val="00A12415"/>
    <w:rsid w:val="00A15001"/>
    <w:rsid w:val="00A20189"/>
    <w:rsid w:val="00A234E3"/>
    <w:rsid w:val="00A24C10"/>
    <w:rsid w:val="00A42AC3"/>
    <w:rsid w:val="00A430CF"/>
    <w:rsid w:val="00A54309"/>
    <w:rsid w:val="00A5775F"/>
    <w:rsid w:val="00A62A4B"/>
    <w:rsid w:val="00A63DCF"/>
    <w:rsid w:val="00A719DB"/>
    <w:rsid w:val="00A722BC"/>
    <w:rsid w:val="00A75A38"/>
    <w:rsid w:val="00A76576"/>
    <w:rsid w:val="00A80F2A"/>
    <w:rsid w:val="00A81377"/>
    <w:rsid w:val="00A8721B"/>
    <w:rsid w:val="00A943E6"/>
    <w:rsid w:val="00AA51CC"/>
    <w:rsid w:val="00AB2B93"/>
    <w:rsid w:val="00AB530F"/>
    <w:rsid w:val="00AB7E5B"/>
    <w:rsid w:val="00AC2883"/>
    <w:rsid w:val="00AC3347"/>
    <w:rsid w:val="00AC69C9"/>
    <w:rsid w:val="00AD10A7"/>
    <w:rsid w:val="00AD378E"/>
    <w:rsid w:val="00AD6D1D"/>
    <w:rsid w:val="00AE0EF1"/>
    <w:rsid w:val="00AE2937"/>
    <w:rsid w:val="00AE31A6"/>
    <w:rsid w:val="00AF02BB"/>
    <w:rsid w:val="00AF05C7"/>
    <w:rsid w:val="00AF2C7C"/>
    <w:rsid w:val="00AF3246"/>
    <w:rsid w:val="00AF6EB9"/>
    <w:rsid w:val="00B0556F"/>
    <w:rsid w:val="00B06553"/>
    <w:rsid w:val="00B07301"/>
    <w:rsid w:val="00B11F3E"/>
    <w:rsid w:val="00B12265"/>
    <w:rsid w:val="00B224DE"/>
    <w:rsid w:val="00B23AF3"/>
    <w:rsid w:val="00B2757B"/>
    <w:rsid w:val="00B276BA"/>
    <w:rsid w:val="00B324D4"/>
    <w:rsid w:val="00B4171A"/>
    <w:rsid w:val="00B43C19"/>
    <w:rsid w:val="00B446D1"/>
    <w:rsid w:val="00B46575"/>
    <w:rsid w:val="00B5600B"/>
    <w:rsid w:val="00B61777"/>
    <w:rsid w:val="00B622E6"/>
    <w:rsid w:val="00B642D5"/>
    <w:rsid w:val="00B74047"/>
    <w:rsid w:val="00B84BBD"/>
    <w:rsid w:val="00B91569"/>
    <w:rsid w:val="00B91A3D"/>
    <w:rsid w:val="00B96241"/>
    <w:rsid w:val="00B964D9"/>
    <w:rsid w:val="00BA0768"/>
    <w:rsid w:val="00BA31B2"/>
    <w:rsid w:val="00BA43FB"/>
    <w:rsid w:val="00BA666A"/>
    <w:rsid w:val="00BA768E"/>
    <w:rsid w:val="00BA7C44"/>
    <w:rsid w:val="00BC127D"/>
    <w:rsid w:val="00BC1FE6"/>
    <w:rsid w:val="00BE5CEB"/>
    <w:rsid w:val="00BF010E"/>
    <w:rsid w:val="00C061B6"/>
    <w:rsid w:val="00C07BC4"/>
    <w:rsid w:val="00C20397"/>
    <w:rsid w:val="00C21E41"/>
    <w:rsid w:val="00C2446C"/>
    <w:rsid w:val="00C33E97"/>
    <w:rsid w:val="00C36AE5"/>
    <w:rsid w:val="00C41F17"/>
    <w:rsid w:val="00C51BF2"/>
    <w:rsid w:val="00C52246"/>
    <w:rsid w:val="00C527FA"/>
    <w:rsid w:val="00C5280D"/>
    <w:rsid w:val="00C53EB3"/>
    <w:rsid w:val="00C5791C"/>
    <w:rsid w:val="00C64766"/>
    <w:rsid w:val="00C66290"/>
    <w:rsid w:val="00C72B7A"/>
    <w:rsid w:val="00C936F0"/>
    <w:rsid w:val="00C95164"/>
    <w:rsid w:val="00C96D0A"/>
    <w:rsid w:val="00C973F2"/>
    <w:rsid w:val="00CA16E8"/>
    <w:rsid w:val="00CA304C"/>
    <w:rsid w:val="00CA3678"/>
    <w:rsid w:val="00CA774A"/>
    <w:rsid w:val="00CB001D"/>
    <w:rsid w:val="00CB2272"/>
    <w:rsid w:val="00CB2F7B"/>
    <w:rsid w:val="00CC11B0"/>
    <w:rsid w:val="00CC2841"/>
    <w:rsid w:val="00CD2A6D"/>
    <w:rsid w:val="00CD34A5"/>
    <w:rsid w:val="00CD390F"/>
    <w:rsid w:val="00CD62D8"/>
    <w:rsid w:val="00CE0862"/>
    <w:rsid w:val="00CE1FAC"/>
    <w:rsid w:val="00CE7B24"/>
    <w:rsid w:val="00CF1330"/>
    <w:rsid w:val="00CF7E36"/>
    <w:rsid w:val="00D06894"/>
    <w:rsid w:val="00D118C7"/>
    <w:rsid w:val="00D1372C"/>
    <w:rsid w:val="00D241D3"/>
    <w:rsid w:val="00D3708D"/>
    <w:rsid w:val="00D40426"/>
    <w:rsid w:val="00D57C96"/>
    <w:rsid w:val="00D57D18"/>
    <w:rsid w:val="00D72F7D"/>
    <w:rsid w:val="00D75D86"/>
    <w:rsid w:val="00D8106C"/>
    <w:rsid w:val="00D8189F"/>
    <w:rsid w:val="00D91203"/>
    <w:rsid w:val="00D95174"/>
    <w:rsid w:val="00D9728F"/>
    <w:rsid w:val="00DA1E95"/>
    <w:rsid w:val="00DA4973"/>
    <w:rsid w:val="00DA6F36"/>
    <w:rsid w:val="00DB04F5"/>
    <w:rsid w:val="00DB4285"/>
    <w:rsid w:val="00DB596E"/>
    <w:rsid w:val="00DB5A4E"/>
    <w:rsid w:val="00DB7773"/>
    <w:rsid w:val="00DC00EA"/>
    <w:rsid w:val="00DC3802"/>
    <w:rsid w:val="00DC408B"/>
    <w:rsid w:val="00DD7470"/>
    <w:rsid w:val="00DE42A3"/>
    <w:rsid w:val="00DE441C"/>
    <w:rsid w:val="00DE4929"/>
    <w:rsid w:val="00DE4939"/>
    <w:rsid w:val="00DE688A"/>
    <w:rsid w:val="00DF145C"/>
    <w:rsid w:val="00DF61B7"/>
    <w:rsid w:val="00DF7B75"/>
    <w:rsid w:val="00DF7D8D"/>
    <w:rsid w:val="00E012DD"/>
    <w:rsid w:val="00E02EEE"/>
    <w:rsid w:val="00E046B0"/>
    <w:rsid w:val="00E07D87"/>
    <w:rsid w:val="00E12DDA"/>
    <w:rsid w:val="00E1363C"/>
    <w:rsid w:val="00E13E52"/>
    <w:rsid w:val="00E249C8"/>
    <w:rsid w:val="00E30CC7"/>
    <w:rsid w:val="00E32F7E"/>
    <w:rsid w:val="00E3538E"/>
    <w:rsid w:val="00E37B5D"/>
    <w:rsid w:val="00E40D7D"/>
    <w:rsid w:val="00E43EA6"/>
    <w:rsid w:val="00E44682"/>
    <w:rsid w:val="00E5267B"/>
    <w:rsid w:val="00E628C2"/>
    <w:rsid w:val="00E63C0E"/>
    <w:rsid w:val="00E70150"/>
    <w:rsid w:val="00E7252C"/>
    <w:rsid w:val="00E72D49"/>
    <w:rsid w:val="00E75593"/>
    <w:rsid w:val="00E7593C"/>
    <w:rsid w:val="00E7678A"/>
    <w:rsid w:val="00E81C16"/>
    <w:rsid w:val="00E92852"/>
    <w:rsid w:val="00E9349B"/>
    <w:rsid w:val="00E935F1"/>
    <w:rsid w:val="00E94A81"/>
    <w:rsid w:val="00EA0432"/>
    <w:rsid w:val="00EA1FFB"/>
    <w:rsid w:val="00EA7E2E"/>
    <w:rsid w:val="00EB048E"/>
    <w:rsid w:val="00EB4E9C"/>
    <w:rsid w:val="00EB5321"/>
    <w:rsid w:val="00EC5814"/>
    <w:rsid w:val="00ED0947"/>
    <w:rsid w:val="00ED2693"/>
    <w:rsid w:val="00ED2F4B"/>
    <w:rsid w:val="00ED567F"/>
    <w:rsid w:val="00ED5DD2"/>
    <w:rsid w:val="00EE34DF"/>
    <w:rsid w:val="00EF1773"/>
    <w:rsid w:val="00EF2F89"/>
    <w:rsid w:val="00EF4894"/>
    <w:rsid w:val="00EF67E5"/>
    <w:rsid w:val="00F03E98"/>
    <w:rsid w:val="00F05CFF"/>
    <w:rsid w:val="00F070FF"/>
    <w:rsid w:val="00F1022E"/>
    <w:rsid w:val="00F1237A"/>
    <w:rsid w:val="00F14645"/>
    <w:rsid w:val="00F22CBD"/>
    <w:rsid w:val="00F255F7"/>
    <w:rsid w:val="00F272F1"/>
    <w:rsid w:val="00F31412"/>
    <w:rsid w:val="00F32B82"/>
    <w:rsid w:val="00F4205C"/>
    <w:rsid w:val="00F4306C"/>
    <w:rsid w:val="00F45372"/>
    <w:rsid w:val="00F549A0"/>
    <w:rsid w:val="00F560F7"/>
    <w:rsid w:val="00F610D0"/>
    <w:rsid w:val="00F63218"/>
    <w:rsid w:val="00F6334D"/>
    <w:rsid w:val="00F63599"/>
    <w:rsid w:val="00F643C9"/>
    <w:rsid w:val="00F65508"/>
    <w:rsid w:val="00F6700B"/>
    <w:rsid w:val="00F81B2D"/>
    <w:rsid w:val="00F87742"/>
    <w:rsid w:val="00F928F4"/>
    <w:rsid w:val="00F94B70"/>
    <w:rsid w:val="00FA1A33"/>
    <w:rsid w:val="00FA49AB"/>
    <w:rsid w:val="00FD7926"/>
    <w:rsid w:val="00FE39C7"/>
    <w:rsid w:val="00FE42F1"/>
    <w:rsid w:val="00FE56BA"/>
    <w:rsid w:val="00FF0EF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3276D"/>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273B0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273B07"/>
    <w:rPr>
      <w:rFonts w:ascii="Arial" w:hAnsi="Arial"/>
      <w:caps/>
    </w:rPr>
  </w:style>
  <w:style w:type="character" w:customStyle="1" w:styleId="Heading2Char">
    <w:name w:val="Heading 2 Char"/>
    <w:link w:val="Heading2"/>
    <w:locked/>
    <w:rsid w:val="00273B07"/>
    <w:rPr>
      <w:rFonts w:ascii="Arial" w:hAnsi="Arial"/>
      <w:u w:val="single"/>
    </w:rPr>
  </w:style>
  <w:style w:type="character" w:customStyle="1" w:styleId="Heading3Char">
    <w:name w:val="Heading 3 Char"/>
    <w:basedOn w:val="DefaultParagraphFont"/>
    <w:link w:val="Heading3"/>
    <w:rsid w:val="00273B07"/>
    <w:rPr>
      <w:rFonts w:ascii="Arial" w:hAnsi="Arial"/>
      <w:i/>
    </w:rPr>
  </w:style>
  <w:style w:type="character" w:customStyle="1" w:styleId="Heading4Char">
    <w:name w:val="Heading 4 Char"/>
    <w:link w:val="Heading4"/>
    <w:rsid w:val="00273B07"/>
    <w:rPr>
      <w:rFonts w:ascii="Arial" w:hAnsi="Arial"/>
      <w:u w:val="single"/>
      <w:lang w:val="fr-FR"/>
    </w:rPr>
  </w:style>
  <w:style w:type="character" w:customStyle="1" w:styleId="Heading6Char">
    <w:name w:val="Heading 6 Char"/>
    <w:basedOn w:val="DefaultParagraphFont"/>
    <w:link w:val="Heading6"/>
    <w:semiHidden/>
    <w:rsid w:val="00273B07"/>
    <w:rPr>
      <w:rFonts w:asciiTheme="majorHAnsi" w:eastAsiaTheme="majorEastAsia" w:hAnsiTheme="majorHAnsi" w:cstheme="majorBidi"/>
      <w:color w:val="243F60" w:themeColor="accent1" w:themeShade="7F"/>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273B07"/>
    <w:rPr>
      <w:rFonts w:ascii="Arial" w:hAnsi="Arial"/>
      <w:lang w:val="fr-FR"/>
    </w:rPr>
  </w:style>
  <w:style w:type="paragraph" w:styleId="Footer">
    <w:name w:val="footer"/>
    <w:aliases w:val="doc_path_name"/>
    <w:autoRedefine/>
    <w:rsid w:val="00DE42A3"/>
    <w:pPr>
      <w:ind w:right="595"/>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7710B"/>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106AE2"/>
    <w:pPr>
      <w:tabs>
        <w:tab w:val="right" w:leader="dot" w:pos="9639"/>
      </w:tabs>
      <w:spacing w:after="120"/>
      <w:ind w:left="284" w:right="283"/>
    </w:pPr>
    <w:rPr>
      <w:rFonts w:ascii="Arial" w:hAnsi="Arial"/>
      <w:noProof/>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06AE2"/>
    <w:pPr>
      <w:tabs>
        <w:tab w:val="right" w:leader="dot" w:pos="9639"/>
      </w:tabs>
      <w:spacing w:after="120"/>
      <w:jc w:val="center"/>
    </w:pPr>
    <w:rPr>
      <w:rFonts w:ascii="Arial" w:hAnsi="Arial"/>
      <w:caps/>
      <w:noProof/>
      <w:snapToGrid w:val="0"/>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273B07"/>
    <w:rPr>
      <w:b/>
    </w:rPr>
  </w:style>
  <w:style w:type="paragraph" w:customStyle="1" w:styleId="Sessiontwpplacedate">
    <w:name w:val="Session_twp_place_date"/>
    <w:basedOn w:val="Normal"/>
    <w:next w:val="Normal"/>
    <w:qFormat/>
    <w:rsid w:val="00273B07"/>
  </w:style>
  <w:style w:type="paragraph" w:styleId="ListParagraph">
    <w:name w:val="List Paragraph"/>
    <w:basedOn w:val="Normal"/>
    <w:uiPriority w:val="34"/>
    <w:qFormat/>
    <w:rsid w:val="00273B07"/>
    <w:pPr>
      <w:ind w:left="720"/>
      <w:contextualSpacing/>
    </w:pPr>
  </w:style>
  <w:style w:type="table" w:styleId="TableGrid">
    <w:name w:val="Table Grid"/>
    <w:basedOn w:val="TableNormal"/>
    <w:rsid w:val="0027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73B07"/>
    <w:rPr>
      <w:color w:val="800080" w:themeColor="followedHyperlink"/>
      <w:u w:val="single"/>
    </w:rPr>
  </w:style>
  <w:style w:type="character" w:customStyle="1" w:styleId="DecisionParagraphsChar">
    <w:name w:val="DecisionParagraphs Char"/>
    <w:basedOn w:val="DefaultParagraphFont"/>
    <w:link w:val="DecisionParagraphs"/>
    <w:rsid w:val="003A2170"/>
    <w:rPr>
      <w:rFonts w:ascii="Arial" w:hAnsi="Arial"/>
      <w:i/>
    </w:rPr>
  </w:style>
  <w:style w:type="character" w:styleId="CommentReference">
    <w:name w:val="annotation reference"/>
    <w:basedOn w:val="DefaultParagraphFont"/>
    <w:semiHidden/>
    <w:unhideWhenUsed/>
    <w:rsid w:val="00A722BC"/>
    <w:rPr>
      <w:sz w:val="16"/>
      <w:szCs w:val="16"/>
    </w:rPr>
  </w:style>
  <w:style w:type="paragraph" w:styleId="CommentText">
    <w:name w:val="annotation text"/>
    <w:basedOn w:val="Normal"/>
    <w:link w:val="CommentTextChar"/>
    <w:semiHidden/>
    <w:unhideWhenUsed/>
    <w:rsid w:val="00A722BC"/>
  </w:style>
  <w:style w:type="character" w:customStyle="1" w:styleId="CommentTextChar">
    <w:name w:val="Comment Text Char"/>
    <w:basedOn w:val="DefaultParagraphFont"/>
    <w:link w:val="CommentText"/>
    <w:semiHidden/>
    <w:rsid w:val="00A722BC"/>
    <w:rPr>
      <w:rFonts w:ascii="Arial" w:hAnsi="Arial"/>
    </w:rPr>
  </w:style>
  <w:style w:type="paragraph" w:styleId="CommentSubject">
    <w:name w:val="annotation subject"/>
    <w:basedOn w:val="CommentText"/>
    <w:next w:val="CommentText"/>
    <w:link w:val="CommentSubjectChar"/>
    <w:semiHidden/>
    <w:unhideWhenUsed/>
    <w:rsid w:val="00A722BC"/>
    <w:rPr>
      <w:b/>
      <w:bCs/>
    </w:rPr>
  </w:style>
  <w:style w:type="character" w:customStyle="1" w:styleId="CommentSubjectChar">
    <w:name w:val="Comment Subject Char"/>
    <w:basedOn w:val="CommentTextChar"/>
    <w:link w:val="CommentSubject"/>
    <w:semiHidden/>
    <w:rsid w:val="00A722BC"/>
    <w:rPr>
      <w:rFonts w:ascii="Arial" w:hAnsi="Arial"/>
      <w:b/>
      <w:bCs/>
    </w:rPr>
  </w:style>
  <w:style w:type="character" w:customStyle="1" w:styleId="EndnoteTextChar">
    <w:name w:val="Endnote Text Char"/>
    <w:basedOn w:val="DefaultParagraphFont"/>
    <w:link w:val="EndnoteText"/>
    <w:semiHidden/>
    <w:rsid w:val="005755F0"/>
    <w:rPr>
      <w:rFonts w:ascii="Arial" w:hAnsi="Arial"/>
    </w:rPr>
  </w:style>
  <w:style w:type="character" w:customStyle="1" w:styleId="UnresolvedMention">
    <w:name w:val="Unresolved Mention"/>
    <w:basedOn w:val="DefaultParagraphFont"/>
    <w:uiPriority w:val="99"/>
    <w:semiHidden/>
    <w:unhideWhenUsed/>
    <w:rsid w:val="00746842"/>
    <w:rPr>
      <w:color w:val="605E5C"/>
      <w:shd w:val="clear" w:color="auto" w:fill="E1DFDD"/>
    </w:rPr>
  </w:style>
  <w:style w:type="character" w:customStyle="1" w:styleId="FootnoteTextChar">
    <w:name w:val="Footnote Text Char"/>
    <w:basedOn w:val="DefaultParagraphFont"/>
    <w:link w:val="FootnoteText"/>
    <w:rsid w:val="0097710B"/>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450">
      <w:bodyDiv w:val="1"/>
      <w:marLeft w:val="0"/>
      <w:marRight w:val="0"/>
      <w:marTop w:val="0"/>
      <w:marBottom w:val="0"/>
      <w:divBdr>
        <w:top w:val="none" w:sz="0" w:space="0" w:color="auto"/>
        <w:left w:val="none" w:sz="0" w:space="0" w:color="auto"/>
        <w:bottom w:val="none" w:sz="0" w:space="0" w:color="auto"/>
        <w:right w:val="none" w:sz="0" w:space="0" w:color="auto"/>
      </w:divBdr>
    </w:div>
    <w:div w:id="449326419">
      <w:bodyDiv w:val="1"/>
      <w:marLeft w:val="0"/>
      <w:marRight w:val="0"/>
      <w:marTop w:val="0"/>
      <w:marBottom w:val="0"/>
      <w:divBdr>
        <w:top w:val="none" w:sz="0" w:space="0" w:color="auto"/>
        <w:left w:val="none" w:sz="0" w:space="0" w:color="auto"/>
        <w:bottom w:val="none" w:sz="0" w:space="0" w:color="auto"/>
        <w:right w:val="none" w:sz="0" w:space="0" w:color="auto"/>
      </w:divBdr>
    </w:div>
    <w:div w:id="560405464">
      <w:bodyDiv w:val="1"/>
      <w:marLeft w:val="0"/>
      <w:marRight w:val="0"/>
      <w:marTop w:val="0"/>
      <w:marBottom w:val="0"/>
      <w:divBdr>
        <w:top w:val="none" w:sz="0" w:space="0" w:color="auto"/>
        <w:left w:val="none" w:sz="0" w:space="0" w:color="auto"/>
        <w:bottom w:val="none" w:sz="0" w:space="0" w:color="auto"/>
        <w:right w:val="none" w:sz="0" w:space="0" w:color="auto"/>
      </w:divBdr>
    </w:div>
    <w:div w:id="725035671">
      <w:bodyDiv w:val="1"/>
      <w:marLeft w:val="0"/>
      <w:marRight w:val="0"/>
      <w:marTop w:val="0"/>
      <w:marBottom w:val="0"/>
      <w:divBdr>
        <w:top w:val="none" w:sz="0" w:space="0" w:color="auto"/>
        <w:left w:val="none" w:sz="0" w:space="0" w:color="auto"/>
        <w:bottom w:val="none" w:sz="0" w:space="0" w:color="auto"/>
        <w:right w:val="none" w:sz="0" w:space="0" w:color="auto"/>
      </w:divBdr>
    </w:div>
    <w:div w:id="788164425">
      <w:bodyDiv w:val="1"/>
      <w:marLeft w:val="0"/>
      <w:marRight w:val="0"/>
      <w:marTop w:val="0"/>
      <w:marBottom w:val="0"/>
      <w:divBdr>
        <w:top w:val="none" w:sz="0" w:space="0" w:color="auto"/>
        <w:left w:val="none" w:sz="0" w:space="0" w:color="auto"/>
        <w:bottom w:val="none" w:sz="0" w:space="0" w:color="auto"/>
        <w:right w:val="none" w:sz="0" w:space="0" w:color="auto"/>
      </w:divBdr>
    </w:div>
    <w:div w:id="839976055">
      <w:bodyDiv w:val="1"/>
      <w:marLeft w:val="0"/>
      <w:marRight w:val="0"/>
      <w:marTop w:val="0"/>
      <w:marBottom w:val="0"/>
      <w:divBdr>
        <w:top w:val="none" w:sz="0" w:space="0" w:color="auto"/>
        <w:left w:val="none" w:sz="0" w:space="0" w:color="auto"/>
        <w:bottom w:val="none" w:sz="0" w:space="0" w:color="auto"/>
        <w:right w:val="none" w:sz="0" w:space="0" w:color="auto"/>
      </w:divBdr>
    </w:div>
    <w:div w:id="1676807944">
      <w:bodyDiv w:val="1"/>
      <w:marLeft w:val="0"/>
      <w:marRight w:val="0"/>
      <w:marTop w:val="0"/>
      <w:marBottom w:val="0"/>
      <w:divBdr>
        <w:top w:val="none" w:sz="0" w:space="0" w:color="auto"/>
        <w:left w:val="none" w:sz="0" w:space="0" w:color="auto"/>
        <w:bottom w:val="none" w:sz="0" w:space="0" w:color="auto"/>
        <w:right w:val="none" w:sz="0" w:space="0" w:color="auto"/>
      </w:divBdr>
    </w:div>
    <w:div w:id="1771046086">
      <w:bodyDiv w:val="1"/>
      <w:marLeft w:val="0"/>
      <w:marRight w:val="0"/>
      <w:marTop w:val="0"/>
      <w:marBottom w:val="0"/>
      <w:divBdr>
        <w:top w:val="none" w:sz="0" w:space="0" w:color="auto"/>
        <w:left w:val="none" w:sz="0" w:space="0" w:color="auto"/>
        <w:bottom w:val="none" w:sz="0" w:space="0" w:color="auto"/>
        <w:right w:val="none" w:sz="0" w:space="0" w:color="auto"/>
      </w:divBdr>
    </w:div>
    <w:div w:id="1896962956">
      <w:bodyDiv w:val="1"/>
      <w:marLeft w:val="0"/>
      <w:marRight w:val="0"/>
      <w:marTop w:val="0"/>
      <w:marBottom w:val="0"/>
      <w:divBdr>
        <w:top w:val="none" w:sz="0" w:space="0" w:color="auto"/>
        <w:left w:val="none" w:sz="0" w:space="0" w:color="auto"/>
        <w:bottom w:val="none" w:sz="0" w:space="0" w:color="auto"/>
        <w:right w:val="none" w:sz="0" w:space="0" w:color="auto"/>
      </w:divBdr>
    </w:div>
    <w:div w:id="191431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image" Target="media/image8.wmf"/><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hyperlink" Target="https://www.upov.int/edocs/mdocs/upov/de/tc_54/tc_54_31.pdf" TargetMode="External"/><Relationship Id="rId17" Type="http://schemas.openxmlformats.org/officeDocument/2006/relationships/header" Target="header4.xml"/><Relationship Id="rId25" Type="http://schemas.openxmlformats.org/officeDocument/2006/relationships/image" Target="media/image7.wmf"/><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upov_collection/de/" TargetMode="External"/><Relationship Id="rId24" Type="http://schemas.openxmlformats.org/officeDocument/2006/relationships/image" Target="media/image6.wmf"/><Relationship Id="rId32" Type="http://schemas.openxmlformats.org/officeDocument/2006/relationships/header" Target="header9.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12.xml"/><Relationship Id="rId10" Type="http://schemas.openxmlformats.org/officeDocument/2006/relationships/hyperlink" Target="https://www.upov.int/edocs/mdocs/upov/de/caj_75/caj_75_13.pdf" TargetMode="Externa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upov.int/edocs/mdocs/upov/de/tc_54/tc_54_5_rev.pdf" TargetMode="Externa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header" Target="header7.xm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upov.int/edocs/mdocs/upov/en/tc_54/tc_54_31.pdf" TargetMode="External"/><Relationship Id="rId13" Type="http://schemas.openxmlformats.org/officeDocument/2006/relationships/hyperlink" Target="https://www.upov.int/edocs/mdocs/upov/de/tc_54/tc_54_31.pdf" TargetMode="External"/><Relationship Id="rId18" Type="http://schemas.openxmlformats.org/officeDocument/2006/relationships/hyperlink" Target="https://www.upov.int/edocs/mdocs/upov/de/tc_54/tc_54_31.pdf" TargetMode="External"/><Relationship Id="rId26" Type="http://schemas.openxmlformats.org/officeDocument/2006/relationships/hyperlink" Target="https://www.upov.int/meetings/en/doc_details.jsp?meeting_id=48107&amp;doc_id=419311" TargetMode="External"/><Relationship Id="rId3" Type="http://schemas.openxmlformats.org/officeDocument/2006/relationships/hyperlink" Target="https://www.upov.int/edocs/mdocs/upov/en/tc_54/tc_54_31.pdf" TargetMode="External"/><Relationship Id="rId21" Type="http://schemas.openxmlformats.org/officeDocument/2006/relationships/hyperlink" Target="https://www.upov.int/edocs/mdocs/upov/en/tc_54/tc_54_31.pdf" TargetMode="External"/><Relationship Id="rId7" Type="http://schemas.openxmlformats.org/officeDocument/2006/relationships/hyperlink" Target="https://www.upov.int/edocs/mdocs/upov/de/tc_54/tc_54_31.pdf" TargetMode="External"/><Relationship Id="rId12" Type="http://schemas.openxmlformats.org/officeDocument/2006/relationships/hyperlink" Target="https://www.upov.int/edocs/mdocs/upov/en/tc_54/tc_54_31.pdf" TargetMode="External"/><Relationship Id="rId17" Type="http://schemas.openxmlformats.org/officeDocument/2006/relationships/hyperlink" Target="https://www.upov.int/edocs/mdocs/upov/en/tc_54/tc_54_31.pdf" TargetMode="External"/><Relationship Id="rId25" Type="http://schemas.openxmlformats.org/officeDocument/2006/relationships/hyperlink" Target="https://www.upov.int/edocs/mdocs/upov/de/tc_54/tc_54_31.pdf" TargetMode="External"/><Relationship Id="rId2" Type="http://schemas.openxmlformats.org/officeDocument/2006/relationships/hyperlink" Target="https://www.upov.int/edocs/mdocs/upov/de/tc_54/tc_54_31.pdf" TargetMode="External"/><Relationship Id="rId16" Type="http://schemas.openxmlformats.org/officeDocument/2006/relationships/hyperlink" Target="https://www.upov.int/meetings/en/doc_details.jsp?meeting_id=48107&amp;doc_id=419311" TargetMode="External"/><Relationship Id="rId20" Type="http://schemas.openxmlformats.org/officeDocument/2006/relationships/hyperlink" Target="https://www.upov.int/meetings/en/doc_details.jsp?meeting_id=48107&amp;doc_id=419311" TargetMode="External"/><Relationship Id="rId29" Type="http://schemas.openxmlformats.org/officeDocument/2006/relationships/hyperlink" Target="https://www.upov.int/meetings/en/doc_details.jsp?meeting_id=48107&amp;doc_id=419311" TargetMode="External"/><Relationship Id="rId1" Type="http://schemas.openxmlformats.org/officeDocument/2006/relationships/hyperlink" Target="https://www.upov.int/edocs/mdocs/upov/en/tc_54/tc_54_31.pdf" TargetMode="External"/><Relationship Id="rId6" Type="http://schemas.openxmlformats.org/officeDocument/2006/relationships/hyperlink" Target="https://www.upov.int/edocs/mdocs/upov/en/tc_54/tc_54_31.pdf" TargetMode="External"/><Relationship Id="rId11" Type="http://schemas.openxmlformats.org/officeDocument/2006/relationships/hyperlink" Target="https://www.upov.int/meetings/en/doc_details.jsp?meeting_id=48107&amp;doc_id=419311" TargetMode="External"/><Relationship Id="rId24" Type="http://schemas.openxmlformats.org/officeDocument/2006/relationships/hyperlink" Target="https://www.upov.int/edocs/mdocs/upov/en/tc_54/tc_54_31.pdf" TargetMode="External"/><Relationship Id="rId32" Type="http://schemas.openxmlformats.org/officeDocument/2006/relationships/hyperlink" Target="https://www.upov.int/edocs/mdocs/upov/de/caj_75/caj_75_14.pdf" TargetMode="External"/><Relationship Id="rId5" Type="http://schemas.openxmlformats.org/officeDocument/2006/relationships/hyperlink" Target="https://www.upov.int/edocs/mdocs/upov/de/caj_75/caj_75_14.pdf" TargetMode="External"/><Relationship Id="rId15" Type="http://schemas.openxmlformats.org/officeDocument/2006/relationships/hyperlink" Target="https://www.upov.int/edocs/mdocs/upov/de/tc_54/tc_54_31.pdf" TargetMode="External"/><Relationship Id="rId23" Type="http://schemas.openxmlformats.org/officeDocument/2006/relationships/hyperlink" Target="https://www.upov.int/meetings/en/doc_details.jsp?meeting_id=48107&amp;doc_id=419311" TargetMode="External"/><Relationship Id="rId28" Type="http://schemas.openxmlformats.org/officeDocument/2006/relationships/hyperlink" Target="https://www.upov.int/edocs/mdocs/upov/de/tc_54/tc_54_31.pdf" TargetMode="External"/><Relationship Id="rId10" Type="http://schemas.openxmlformats.org/officeDocument/2006/relationships/hyperlink" Target="https://www.upov.int/edocs/mdocs/upov/de/tc_53/tc_53_31.pdf" TargetMode="External"/><Relationship Id="rId19" Type="http://schemas.openxmlformats.org/officeDocument/2006/relationships/hyperlink" Target="https://www.upov.int/edocs/mdocs/upov/de/tc_53/tc_53_31.pdf" TargetMode="External"/><Relationship Id="rId31" Type="http://schemas.openxmlformats.org/officeDocument/2006/relationships/hyperlink" Target="https://www.upov.int/edocs/mdocs/upov/de/tc_54/tc_54_31.pdf" TargetMode="External"/><Relationship Id="rId4" Type="http://schemas.openxmlformats.org/officeDocument/2006/relationships/hyperlink" Target="https://www.upov.int/edocs/mdocs/upov/de/tc_54/tc_54_31.pdf" TargetMode="External"/><Relationship Id="rId9" Type="http://schemas.openxmlformats.org/officeDocument/2006/relationships/hyperlink" Target="https://www.upov.int/edocs/mdocs/upov/de/tc_54/tc_54_31.pdf" TargetMode="External"/><Relationship Id="rId14" Type="http://schemas.openxmlformats.org/officeDocument/2006/relationships/hyperlink" Target="https://www.upov.int/edocs/mdocs/upov/en/tc_54/tc_54_31.pdf" TargetMode="External"/><Relationship Id="rId22" Type="http://schemas.openxmlformats.org/officeDocument/2006/relationships/hyperlink" Target="https://www.upov.int/edocs/mdocs/upov/de/tc_54/tc_54_31.pdf" TargetMode="External"/><Relationship Id="rId27" Type="http://schemas.openxmlformats.org/officeDocument/2006/relationships/hyperlink" Target="https://www.upov.int/edocs/mdocs/upov/en/tc_54/tc_54_31.pdf" TargetMode="External"/><Relationship Id="rId30" Type="http://schemas.openxmlformats.org/officeDocument/2006/relationships/hyperlink" Target="https://www.upov.int/edocs/mdocs/upov/en/tc_54/tc_54_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522D-0B31-4AD1-983E-878765EE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7067</Words>
  <Characters>40286</Characters>
  <Application>Microsoft Office Word</Application>
  <DocSecurity>0</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CAJ/76/5</vt:lpstr>
      <vt:lpstr>CAJ/76/5</vt:lpstr>
    </vt:vector>
  </TitlesOfParts>
  <Company>UPOV</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CAJ/76/5</dc:title>
  <dc:creator>SANCHEZ VIZCAINO GOMEZ Rosa Maria</dc:creator>
  <cp:lastModifiedBy>SANCHEZ VIZCAINO GOMEZ Rosa Maria</cp:lastModifiedBy>
  <cp:revision>15</cp:revision>
  <cp:lastPrinted>2019-07-09T14:12:00Z</cp:lastPrinted>
  <dcterms:created xsi:type="dcterms:W3CDTF">2019-07-29T14:41:00Z</dcterms:created>
  <dcterms:modified xsi:type="dcterms:W3CDTF">2019-08-02T12:31:00Z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248120d8-2c3e-4e21-8d52-63102e8da733</vt:lpwstr>
  </property>
</Properties>
</file>