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BE4EB1">
        <w:tc>
          <w:tcPr>
            <w:tcW w:w="6522" w:type="dxa"/>
          </w:tcPr>
          <w:p w:rsidR="00BE4EB1" w:rsidRDefault="00743DCC">
            <w:pPr>
              <w:rPr>
                <w:szCs w:val="24"/>
              </w:rPr>
            </w:pPr>
            <w:r>
              <w:rPr>
                <w:noProof/>
                <w:szCs w:val="24"/>
                <w:lang w:eastAsia="en-US"/>
              </w:rPr>
              <w:drawing>
                <wp:inline distT="0" distB="0" distL="0" distR="0">
                  <wp:extent cx="946150" cy="2463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BE4EB1" w:rsidRDefault="00BE4EB1">
            <w:pPr>
              <w:pStyle w:val="Lettrine"/>
              <w:rPr>
                <w:bCs w:val="0"/>
                <w:szCs w:val="24"/>
              </w:rPr>
            </w:pPr>
            <w:r>
              <w:rPr>
                <w:bCs w:val="0"/>
                <w:noProof/>
                <w:szCs w:val="24"/>
              </w:rPr>
              <w:t>G</w:t>
            </w:r>
          </w:p>
        </w:tc>
      </w:tr>
      <w:tr w:rsidR="00BE4EB1" w:rsidRPr="00E26BB4">
        <w:trPr>
          <w:trHeight w:val="219"/>
        </w:trPr>
        <w:tc>
          <w:tcPr>
            <w:tcW w:w="6522" w:type="dxa"/>
          </w:tcPr>
          <w:p w:rsidR="00BE4EB1" w:rsidRPr="001150EF" w:rsidRDefault="00BE4EB1">
            <w:pPr>
              <w:pStyle w:val="upove"/>
              <w:rPr>
                <w:szCs w:val="24"/>
                <w:lang w:val="de-CH"/>
              </w:rPr>
            </w:pPr>
            <w:r>
              <w:rPr>
                <w:szCs w:val="24"/>
                <w:lang w:val="de-CH"/>
              </w:rPr>
              <w:t>Internationaler Verband zum Schutz von Pflanzenzüchtungen</w:t>
            </w:r>
          </w:p>
        </w:tc>
        <w:tc>
          <w:tcPr>
            <w:tcW w:w="3117" w:type="dxa"/>
          </w:tcPr>
          <w:p w:rsidR="00BE4EB1" w:rsidRDefault="00BE4EB1">
            <w:pPr>
              <w:rPr>
                <w:szCs w:val="24"/>
                <w:lang w:val="de-CH"/>
              </w:rPr>
            </w:pPr>
          </w:p>
        </w:tc>
      </w:tr>
    </w:tbl>
    <w:p w:rsidR="00BE4EB1" w:rsidRDefault="00BE4EB1">
      <w:pPr>
        <w:rPr>
          <w:szCs w:val="24"/>
          <w:lang w:val="de-CH"/>
        </w:rPr>
      </w:pPr>
    </w:p>
    <w:p w:rsidR="00BE4EB1" w:rsidRDefault="00BE4EB1">
      <w:pPr>
        <w:rPr>
          <w:szCs w:val="24"/>
          <w:lang w:val="de-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BE4EB1" w:rsidRPr="00E26BB4">
        <w:tc>
          <w:tcPr>
            <w:tcW w:w="6512" w:type="dxa"/>
            <w:tcBorders>
              <w:bottom w:val="single" w:sz="4" w:space="0" w:color="auto"/>
            </w:tcBorders>
          </w:tcPr>
          <w:p w:rsidR="00BE4EB1" w:rsidRDefault="00BE4EB1">
            <w:pPr>
              <w:pStyle w:val="Sessiontc"/>
              <w:spacing w:line="240" w:lineRule="auto"/>
              <w:rPr>
                <w:bCs w:val="0"/>
                <w:szCs w:val="24"/>
                <w:lang w:val="de-CH"/>
              </w:rPr>
            </w:pPr>
            <w:r>
              <w:rPr>
                <w:bCs w:val="0"/>
                <w:szCs w:val="24"/>
                <w:lang w:val="de-CH"/>
              </w:rPr>
              <w:t>Verwaltungs- und Rechtsausschuß</w:t>
            </w:r>
          </w:p>
          <w:p w:rsidR="00BE4EB1" w:rsidRDefault="00BE4EB1">
            <w:pPr>
              <w:pStyle w:val="Sessiontcplacedate"/>
              <w:rPr>
                <w:bCs w:val="0"/>
                <w:szCs w:val="24"/>
              </w:rPr>
            </w:pPr>
            <w:r>
              <w:rPr>
                <w:bCs w:val="0"/>
                <w:szCs w:val="24"/>
                <w:lang w:val="de-CH"/>
              </w:rPr>
              <w:t>Sechsundsiebzigste Tagung</w:t>
            </w:r>
            <w:r>
              <w:rPr>
                <w:bCs w:val="0"/>
                <w:szCs w:val="24"/>
                <w:lang w:val="de-CH"/>
              </w:rPr>
              <w:br/>
              <w:t>Genf, 30. Oktober 2019</w:t>
            </w:r>
          </w:p>
        </w:tc>
        <w:tc>
          <w:tcPr>
            <w:tcW w:w="3127" w:type="dxa"/>
            <w:tcBorders>
              <w:bottom w:val="single" w:sz="4" w:space="0" w:color="auto"/>
            </w:tcBorders>
          </w:tcPr>
          <w:p w:rsidR="00BE4EB1" w:rsidRPr="001150EF" w:rsidRDefault="00BE4EB1">
            <w:pPr>
              <w:pStyle w:val="Doccode"/>
              <w:rPr>
                <w:bCs w:val="0"/>
                <w:szCs w:val="24"/>
                <w:lang w:val="de-CH"/>
              </w:rPr>
            </w:pPr>
            <w:r w:rsidRPr="001150EF">
              <w:rPr>
                <w:bCs w:val="0"/>
                <w:szCs w:val="24"/>
                <w:lang w:val="de-CH"/>
              </w:rPr>
              <w:t>CAJ/76/4</w:t>
            </w:r>
          </w:p>
          <w:p w:rsidR="00BE4EB1" w:rsidRPr="001150EF" w:rsidRDefault="00BE4EB1">
            <w:pPr>
              <w:pStyle w:val="Docoriginal"/>
              <w:rPr>
                <w:bCs w:val="0"/>
                <w:szCs w:val="24"/>
                <w:lang w:val="de-CH"/>
              </w:rPr>
            </w:pPr>
            <w:r w:rsidRPr="001150EF">
              <w:rPr>
                <w:bCs w:val="0"/>
                <w:szCs w:val="24"/>
                <w:lang w:val="de-CH"/>
              </w:rPr>
              <w:t>Original:</w:t>
            </w:r>
            <w:r w:rsidRPr="001150EF">
              <w:rPr>
                <w:b w:val="0"/>
                <w:bCs w:val="0"/>
                <w:spacing w:val="0"/>
                <w:szCs w:val="24"/>
                <w:lang w:val="de-CH"/>
              </w:rPr>
              <w:t xml:space="preserve">  Englisch</w:t>
            </w:r>
          </w:p>
          <w:p w:rsidR="00BE4EB1" w:rsidRPr="001150EF" w:rsidRDefault="00BE4EB1">
            <w:pPr>
              <w:pStyle w:val="Docoriginal"/>
              <w:rPr>
                <w:bCs w:val="0"/>
                <w:szCs w:val="24"/>
                <w:lang w:val="de-CH"/>
              </w:rPr>
            </w:pPr>
            <w:r>
              <w:rPr>
                <w:bCs w:val="0"/>
                <w:szCs w:val="24"/>
                <w:lang w:val="de-CH"/>
              </w:rPr>
              <w:t>Datum:</w:t>
            </w:r>
            <w:r>
              <w:rPr>
                <w:b w:val="0"/>
                <w:bCs w:val="0"/>
                <w:spacing w:val="0"/>
                <w:szCs w:val="24"/>
                <w:lang w:val="de-CH"/>
              </w:rPr>
              <w:t xml:space="preserve">  </w:t>
            </w:r>
            <w:r w:rsidRPr="00504FED">
              <w:rPr>
                <w:b w:val="0"/>
                <w:bCs w:val="0"/>
                <w:spacing w:val="0"/>
                <w:szCs w:val="24"/>
                <w:lang w:val="de-CH"/>
              </w:rPr>
              <w:t>23. Juli 2019</w:t>
            </w:r>
          </w:p>
        </w:tc>
      </w:tr>
    </w:tbl>
    <w:p w:rsidR="00BE4EB1" w:rsidRPr="001150EF" w:rsidRDefault="00BE4EB1">
      <w:pPr>
        <w:pStyle w:val="Titleofdoc0"/>
        <w:rPr>
          <w:szCs w:val="24"/>
          <w:lang w:val="de-CH"/>
        </w:rPr>
      </w:pPr>
      <w:bookmarkStart w:id="0" w:name="Prepared"/>
      <w:bookmarkStart w:id="1" w:name="TitleOfDoc"/>
      <w:r>
        <w:rPr>
          <w:szCs w:val="24"/>
          <w:lang w:val="de-CH"/>
        </w:rPr>
        <w:t>Ausarbeitung von Informationsmaterial zum UPOV-Übereinkommen</w:t>
      </w:r>
    </w:p>
    <w:bookmarkEnd w:id="0"/>
    <w:bookmarkEnd w:id="1"/>
    <w:p w:rsidR="00BE4EB1" w:rsidRPr="001150EF" w:rsidRDefault="00BE4EB1">
      <w:pPr>
        <w:pStyle w:val="preparedby1"/>
        <w:jc w:val="left"/>
        <w:rPr>
          <w:iCs w:val="0"/>
          <w:szCs w:val="24"/>
          <w:lang w:val="de-CH"/>
        </w:rPr>
      </w:pPr>
      <w:r w:rsidRPr="001150EF">
        <w:rPr>
          <w:iCs w:val="0"/>
          <w:szCs w:val="24"/>
          <w:lang w:val="de-CH"/>
        </w:rPr>
        <w:t>Vom Verbandsbüro erstelltes Dokument</w:t>
      </w:r>
    </w:p>
    <w:p w:rsidR="00BE4EB1" w:rsidRPr="001150EF" w:rsidRDefault="00BE4EB1">
      <w:pPr>
        <w:pStyle w:val="Disclaimer"/>
        <w:rPr>
          <w:iCs w:val="0"/>
          <w:szCs w:val="24"/>
          <w:lang w:val="de-CH"/>
        </w:rPr>
      </w:pPr>
      <w:r w:rsidRPr="001150EF">
        <w:rPr>
          <w:iCs w:val="0"/>
          <w:szCs w:val="24"/>
          <w:lang w:val="de-CH"/>
        </w:rPr>
        <w:t>Haftungsausschluß:  dieses Dokument gibt nicht die Grundsätze oder eine Anleitung der UPOV wieder</w:t>
      </w:r>
    </w:p>
    <w:p w:rsidR="00BE4EB1" w:rsidRDefault="00BE4EB1">
      <w:pPr>
        <w:pStyle w:val="Heading1"/>
        <w:rPr>
          <w:szCs w:val="24"/>
          <w:lang w:val="de-CH"/>
        </w:rPr>
      </w:pPr>
      <w:bookmarkStart w:id="2" w:name="_Toc15553470"/>
      <w:r>
        <w:rPr>
          <w:szCs w:val="24"/>
          <w:lang w:val="de-CH"/>
        </w:rPr>
        <w:t>ZUSAMMENFASSUNG</w:t>
      </w:r>
      <w:bookmarkEnd w:id="2"/>
    </w:p>
    <w:p w:rsidR="00BE4EB1" w:rsidRPr="00A45C42" w:rsidRDefault="00BE4EB1">
      <w:pPr>
        <w:rPr>
          <w:sz w:val="18"/>
          <w:szCs w:val="18"/>
          <w:lang w:val="de-CH"/>
        </w:rPr>
      </w:pPr>
    </w:p>
    <w:p w:rsidR="00BE4EB1" w:rsidRPr="001150EF"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 xml:space="preserve">Zweck dieses Dokuments ist es, Hintergrundinformationen zur Unterstützung des Verwaltungs- und Rechtsausschußes (CAJ) bei seiner Prüfung wichtiger Angelegenheiten betreffend die Ausarbeitung von Informationsmaterial bereitzustellen. </w:t>
      </w:r>
    </w:p>
    <w:p w:rsidR="00BE4EB1" w:rsidRPr="00A45C42" w:rsidRDefault="00BE4EB1">
      <w:pPr>
        <w:rPr>
          <w:sz w:val="18"/>
          <w:szCs w:val="18"/>
          <w:lang w:val="de-CH"/>
        </w:rPr>
      </w:pPr>
    </w:p>
    <w:p w:rsidR="00BE4EB1" w:rsidRPr="001150EF" w:rsidRDefault="00BE4EB1">
      <w:pPr>
        <w:keepNext/>
        <w:rPr>
          <w:szCs w:val="24"/>
          <w:u w:val="single"/>
          <w:lang w:val="de-CH"/>
        </w:rPr>
      </w:pPr>
      <w:r>
        <w:rPr>
          <w:szCs w:val="24"/>
        </w:rPr>
        <w:fldChar w:fldCharType="begin"/>
      </w:r>
      <w:r w:rsidRPr="001150EF">
        <w:rPr>
          <w:szCs w:val="24"/>
          <w:lang w:val="de-CH"/>
        </w:rPr>
        <w:instrText xml:space="preserve"> AUTONUM  </w:instrText>
      </w:r>
      <w:r>
        <w:rPr>
          <w:szCs w:val="24"/>
        </w:rPr>
        <w:fldChar w:fldCharType="end"/>
      </w:r>
      <w:r w:rsidRPr="001150EF">
        <w:rPr>
          <w:szCs w:val="24"/>
          <w:lang w:val="de-CH"/>
        </w:rPr>
        <w:tab/>
        <w:t>Der CAJ wird ersucht,</w:t>
      </w:r>
    </w:p>
    <w:p w:rsidR="00BE4EB1" w:rsidRPr="00A45C42" w:rsidRDefault="00BE4EB1">
      <w:pPr>
        <w:rPr>
          <w:sz w:val="18"/>
          <w:szCs w:val="18"/>
          <w:lang w:val="de-CH"/>
        </w:rPr>
      </w:pPr>
    </w:p>
    <w:p w:rsidR="00BE4EB1" w:rsidRDefault="00BE4EB1">
      <w:pPr>
        <w:rPr>
          <w:szCs w:val="24"/>
          <w:lang w:val="de-CH"/>
        </w:rPr>
      </w:pPr>
      <w:r w:rsidRPr="001150EF">
        <w:rPr>
          <w:szCs w:val="24"/>
          <w:lang w:val="de-CH"/>
        </w:rPr>
        <w:tab/>
      </w:r>
      <w:r>
        <w:rPr>
          <w:szCs w:val="24"/>
          <w:lang w:val="de-CH"/>
        </w:rPr>
        <w:t>a)</w:t>
      </w:r>
      <w:r>
        <w:rPr>
          <w:szCs w:val="24"/>
          <w:lang w:val="de-CH"/>
        </w:rPr>
        <w:tab/>
        <w:t>zur Kenntnis zu nehmen, da</w:t>
      </w:r>
      <w:r w:rsidRPr="006C0535">
        <w:rPr>
          <w:szCs w:val="24"/>
          <w:lang w:val="de-CH"/>
        </w:rPr>
        <w:t>ß</w:t>
      </w:r>
      <w:r>
        <w:rPr>
          <w:szCs w:val="24"/>
          <w:lang w:val="de-CH"/>
        </w:rPr>
        <w:t xml:space="preserve"> Angelegenheiten, die im wesentlichen abgeleitete Sorten betreffen, in Dokument CAJ/76/3 geprüft werden; </w:t>
      </w:r>
    </w:p>
    <w:p w:rsidR="00BE4EB1" w:rsidRPr="00A45C42" w:rsidRDefault="00BE4EB1">
      <w:pPr>
        <w:rPr>
          <w:sz w:val="18"/>
          <w:szCs w:val="18"/>
          <w:lang w:val="de-CH"/>
        </w:rPr>
      </w:pPr>
    </w:p>
    <w:p w:rsidR="00BE4EB1" w:rsidRDefault="00BE4EB1">
      <w:pPr>
        <w:rPr>
          <w:szCs w:val="24"/>
          <w:lang w:val="de-CH"/>
        </w:rPr>
      </w:pPr>
      <w:r>
        <w:rPr>
          <w:szCs w:val="24"/>
          <w:lang w:val="de-CH"/>
        </w:rPr>
        <w:tab/>
        <w:t>b)</w:t>
      </w:r>
      <w:r>
        <w:rPr>
          <w:szCs w:val="24"/>
          <w:lang w:val="de-CH"/>
        </w:rPr>
        <w:tab/>
        <w:t>zur Kenntnis zu nehmen, da</w:t>
      </w:r>
      <w:r w:rsidRPr="006C0535">
        <w:rPr>
          <w:szCs w:val="24"/>
          <w:lang w:val="de-CH"/>
        </w:rPr>
        <w:t>ß</w:t>
      </w:r>
      <w:r>
        <w:rPr>
          <w:szCs w:val="24"/>
          <w:lang w:val="de-CH"/>
        </w:rPr>
        <w:t xml:space="preserve"> Angelegenheiten, die Sortenbezeichnungen betreffen, in Dokument CAJ/76/6 „Sortenbezeichnungen“ geprüft werden; und</w:t>
      </w:r>
    </w:p>
    <w:p w:rsidR="00BE4EB1" w:rsidRPr="00A45C42" w:rsidRDefault="00BE4EB1">
      <w:pPr>
        <w:rPr>
          <w:sz w:val="18"/>
          <w:szCs w:val="18"/>
          <w:lang w:val="de-CH"/>
        </w:rPr>
      </w:pPr>
    </w:p>
    <w:p w:rsidR="00BE4EB1" w:rsidRDefault="00BE4EB1">
      <w:pPr>
        <w:rPr>
          <w:szCs w:val="24"/>
          <w:lang w:val="de-CH"/>
        </w:rPr>
      </w:pPr>
      <w:r>
        <w:rPr>
          <w:szCs w:val="24"/>
          <w:lang w:val="de-CH"/>
        </w:rPr>
        <w:tab/>
        <w:t>c)</w:t>
      </w:r>
      <w:r>
        <w:rPr>
          <w:szCs w:val="24"/>
          <w:lang w:val="de-CH"/>
        </w:rPr>
        <w:tab/>
        <w:t>das Programm für die Ausarbeitung von Informationsmaterial zu prüfen.</w:t>
      </w:r>
    </w:p>
    <w:p w:rsidR="00BE4EB1" w:rsidRPr="00A45C42" w:rsidRDefault="00BE4EB1">
      <w:pPr>
        <w:jc w:val="left"/>
        <w:rPr>
          <w:sz w:val="18"/>
          <w:szCs w:val="18"/>
          <w:lang w:val="de-CH"/>
        </w:rPr>
      </w:pPr>
    </w:p>
    <w:p w:rsidR="00BE4EB1" w:rsidRPr="00A45C42" w:rsidRDefault="00BE4EB1">
      <w:pPr>
        <w:jc w:val="left"/>
        <w:rPr>
          <w:sz w:val="18"/>
          <w:szCs w:val="18"/>
          <w:lang w:val="de-CH"/>
        </w:rPr>
      </w:pPr>
    </w:p>
    <w:p w:rsidR="00BE4EB1" w:rsidRPr="00504FED" w:rsidRDefault="00BE4EB1">
      <w:pPr>
        <w:keepNext/>
        <w:rPr>
          <w:szCs w:val="24"/>
          <w:u w:val="single"/>
          <w:lang w:val="de-DE"/>
        </w:rPr>
      </w:pPr>
      <w:r>
        <w:rPr>
          <w:szCs w:val="24"/>
          <w:u w:val="single"/>
          <w:lang w:val="de-CH"/>
        </w:rPr>
        <w:t>Inhaltsverzeichnis</w:t>
      </w:r>
    </w:p>
    <w:p w:rsidR="00BE4EB1" w:rsidRPr="00A45C42" w:rsidRDefault="00BE4EB1">
      <w:pPr>
        <w:keepNext/>
        <w:rPr>
          <w:sz w:val="18"/>
          <w:szCs w:val="18"/>
          <w:lang w:val="de-DE"/>
        </w:rPr>
      </w:pPr>
    </w:p>
    <w:p w:rsidR="00B468B8" w:rsidRPr="00B468B8" w:rsidRDefault="00BE4EB1">
      <w:pPr>
        <w:pStyle w:val="TOC1"/>
        <w:rPr>
          <w:rFonts w:asciiTheme="minorHAnsi" w:eastAsiaTheme="minorEastAsia" w:hAnsiTheme="minorHAnsi" w:cstheme="minorBidi"/>
          <w:caps w:val="0"/>
          <w:noProof/>
          <w:snapToGrid/>
          <w:sz w:val="22"/>
          <w:szCs w:val="22"/>
          <w:lang w:val="de-DE" w:eastAsia="en-US"/>
        </w:rPr>
      </w:pPr>
      <w:r>
        <w:rPr>
          <w:b/>
          <w:szCs w:val="24"/>
        </w:rPr>
        <w:fldChar w:fldCharType="begin"/>
      </w:r>
      <w:r w:rsidRPr="00504FED">
        <w:rPr>
          <w:b/>
          <w:szCs w:val="24"/>
          <w:lang w:val="de-DE"/>
        </w:rPr>
        <w:instrText xml:space="preserve"> TOC \"Heading 1;1" </w:instrText>
      </w:r>
      <w:r>
        <w:rPr>
          <w:b/>
          <w:szCs w:val="24"/>
        </w:rPr>
        <w:fldChar w:fldCharType="separate"/>
      </w:r>
      <w:r w:rsidR="00B468B8" w:rsidRPr="00F3000E">
        <w:rPr>
          <w:noProof/>
          <w:lang w:val="de-CH"/>
        </w:rPr>
        <w:t>ZUSAMMENFASSUNG</w:t>
      </w:r>
      <w:r w:rsidR="00B468B8" w:rsidRPr="00B468B8">
        <w:rPr>
          <w:noProof/>
          <w:lang w:val="de-DE"/>
        </w:rPr>
        <w:tab/>
      </w:r>
      <w:r w:rsidR="00B468B8">
        <w:rPr>
          <w:noProof/>
        </w:rPr>
        <w:fldChar w:fldCharType="begin"/>
      </w:r>
      <w:r w:rsidR="00B468B8" w:rsidRPr="00B468B8">
        <w:rPr>
          <w:noProof/>
          <w:lang w:val="de-DE"/>
        </w:rPr>
        <w:instrText xml:space="preserve"> PAGEREF _Toc15553470 \h </w:instrText>
      </w:r>
      <w:r w:rsidR="00B468B8">
        <w:rPr>
          <w:noProof/>
        </w:rPr>
      </w:r>
      <w:r w:rsidR="00B468B8">
        <w:rPr>
          <w:noProof/>
        </w:rPr>
        <w:fldChar w:fldCharType="separate"/>
      </w:r>
      <w:r w:rsidR="00B468B8">
        <w:rPr>
          <w:noProof/>
          <w:lang w:val="de-DE"/>
        </w:rPr>
        <w:t>1</w:t>
      </w:r>
      <w:r w:rsidR="00B468B8">
        <w:rPr>
          <w:noProof/>
        </w:rPr>
        <w:fldChar w:fldCharType="end"/>
      </w:r>
    </w:p>
    <w:p w:rsidR="00B468B8" w:rsidRPr="00B468B8" w:rsidRDefault="00B468B8">
      <w:pPr>
        <w:pStyle w:val="TOC1"/>
        <w:rPr>
          <w:rFonts w:asciiTheme="minorHAnsi" w:eastAsiaTheme="minorEastAsia" w:hAnsiTheme="minorHAnsi" w:cstheme="minorBidi"/>
          <w:caps w:val="0"/>
          <w:noProof/>
          <w:snapToGrid/>
          <w:sz w:val="22"/>
          <w:szCs w:val="22"/>
          <w:lang w:val="de-DE" w:eastAsia="en-US"/>
        </w:rPr>
      </w:pPr>
      <w:r w:rsidRPr="00F3000E">
        <w:rPr>
          <w:noProof/>
          <w:lang w:val="de-CH"/>
        </w:rPr>
        <w:t>EINleitung</w:t>
      </w:r>
      <w:r w:rsidRPr="00B468B8">
        <w:rPr>
          <w:noProof/>
          <w:lang w:val="de-DE"/>
        </w:rPr>
        <w:tab/>
      </w:r>
      <w:r>
        <w:rPr>
          <w:noProof/>
        </w:rPr>
        <w:fldChar w:fldCharType="begin"/>
      </w:r>
      <w:r w:rsidRPr="00B468B8">
        <w:rPr>
          <w:noProof/>
          <w:lang w:val="de-DE"/>
        </w:rPr>
        <w:instrText xml:space="preserve"> PAGEREF _Toc15553471 \h </w:instrText>
      </w:r>
      <w:r>
        <w:rPr>
          <w:noProof/>
        </w:rPr>
      </w:r>
      <w:r>
        <w:rPr>
          <w:noProof/>
        </w:rPr>
        <w:fldChar w:fldCharType="separate"/>
      </w:r>
      <w:r>
        <w:rPr>
          <w:noProof/>
          <w:lang w:val="de-DE"/>
        </w:rPr>
        <w:t>1</w:t>
      </w:r>
      <w:r>
        <w:rPr>
          <w:noProof/>
        </w:rPr>
        <w:fldChar w:fldCharType="end"/>
      </w:r>
    </w:p>
    <w:p w:rsidR="00B468B8" w:rsidRPr="00B468B8" w:rsidRDefault="00B468B8">
      <w:pPr>
        <w:pStyle w:val="TOC1"/>
        <w:rPr>
          <w:rFonts w:asciiTheme="minorHAnsi" w:eastAsiaTheme="minorEastAsia" w:hAnsiTheme="minorHAnsi" w:cstheme="minorBidi"/>
          <w:caps w:val="0"/>
          <w:noProof/>
          <w:snapToGrid/>
          <w:sz w:val="22"/>
          <w:szCs w:val="22"/>
          <w:lang w:val="de-DE" w:eastAsia="en-US"/>
        </w:rPr>
      </w:pPr>
      <w:r w:rsidRPr="00F3000E">
        <w:rPr>
          <w:noProof/>
          <w:lang w:val="de-CH"/>
        </w:rPr>
        <w:t>Überblick über die Ausarbeitung von Informationsmaterial</w:t>
      </w:r>
      <w:r w:rsidRPr="00B468B8">
        <w:rPr>
          <w:noProof/>
          <w:lang w:val="de-DE"/>
        </w:rPr>
        <w:tab/>
      </w:r>
      <w:r>
        <w:rPr>
          <w:noProof/>
        </w:rPr>
        <w:fldChar w:fldCharType="begin"/>
      </w:r>
      <w:r w:rsidRPr="00B468B8">
        <w:rPr>
          <w:noProof/>
          <w:lang w:val="de-DE"/>
        </w:rPr>
        <w:instrText xml:space="preserve"> PAGEREF _Toc15553472 \h </w:instrText>
      </w:r>
      <w:r>
        <w:rPr>
          <w:noProof/>
        </w:rPr>
      </w:r>
      <w:r>
        <w:rPr>
          <w:noProof/>
        </w:rPr>
        <w:fldChar w:fldCharType="separate"/>
      </w:r>
      <w:r>
        <w:rPr>
          <w:noProof/>
          <w:lang w:val="de-DE"/>
        </w:rPr>
        <w:t>2</w:t>
      </w:r>
      <w:r>
        <w:rPr>
          <w:noProof/>
        </w:rPr>
        <w:fldChar w:fldCharType="end"/>
      </w:r>
    </w:p>
    <w:p w:rsidR="00B468B8" w:rsidRPr="00B468B8" w:rsidRDefault="00B468B8">
      <w:pPr>
        <w:pStyle w:val="TOC1"/>
        <w:rPr>
          <w:rFonts w:asciiTheme="minorHAnsi" w:eastAsiaTheme="minorEastAsia" w:hAnsiTheme="minorHAnsi" w:cstheme="minorBidi"/>
          <w:caps w:val="0"/>
          <w:noProof/>
          <w:snapToGrid/>
          <w:sz w:val="22"/>
          <w:szCs w:val="22"/>
          <w:lang w:val="de-DE" w:eastAsia="en-US"/>
        </w:rPr>
      </w:pPr>
      <w:r w:rsidRPr="00F3000E">
        <w:rPr>
          <w:noProof/>
          <w:lang w:val="de-CH"/>
        </w:rPr>
        <w:t>INFORMATIONSMATERIAL</w:t>
      </w:r>
      <w:r w:rsidRPr="00B468B8">
        <w:rPr>
          <w:noProof/>
          <w:lang w:val="de-DE"/>
        </w:rPr>
        <w:tab/>
      </w:r>
      <w:r>
        <w:rPr>
          <w:noProof/>
        </w:rPr>
        <w:fldChar w:fldCharType="begin"/>
      </w:r>
      <w:r w:rsidRPr="00B468B8">
        <w:rPr>
          <w:noProof/>
          <w:lang w:val="de-DE"/>
        </w:rPr>
        <w:instrText xml:space="preserve"> PAGEREF _Toc15553473 \h </w:instrText>
      </w:r>
      <w:r>
        <w:rPr>
          <w:noProof/>
        </w:rPr>
      </w:r>
      <w:r>
        <w:rPr>
          <w:noProof/>
        </w:rPr>
        <w:fldChar w:fldCharType="separate"/>
      </w:r>
      <w:r>
        <w:rPr>
          <w:noProof/>
          <w:lang w:val="de-DE"/>
        </w:rPr>
        <w:t>2</w:t>
      </w:r>
      <w:r>
        <w:rPr>
          <w:noProof/>
        </w:rPr>
        <w:fldChar w:fldCharType="end"/>
      </w:r>
    </w:p>
    <w:p w:rsidR="00B468B8" w:rsidRPr="00B468B8" w:rsidRDefault="00B468B8">
      <w:pPr>
        <w:pStyle w:val="TOC2"/>
        <w:rPr>
          <w:rFonts w:asciiTheme="minorHAnsi" w:eastAsiaTheme="minorEastAsia" w:hAnsiTheme="minorHAnsi" w:cstheme="minorBidi"/>
          <w:noProof/>
          <w:snapToGrid/>
          <w:sz w:val="22"/>
          <w:szCs w:val="22"/>
          <w:lang w:val="de-DE" w:eastAsia="en-US"/>
        </w:rPr>
      </w:pPr>
      <w:r w:rsidRPr="00F3000E">
        <w:rPr>
          <w:noProof/>
          <w:lang w:val="de-CH"/>
        </w:rPr>
        <w:t>Im wesentlichen abgeleitete Sorten</w:t>
      </w:r>
      <w:r w:rsidRPr="00B468B8">
        <w:rPr>
          <w:noProof/>
          <w:lang w:val="de-DE"/>
        </w:rPr>
        <w:tab/>
      </w:r>
      <w:r>
        <w:rPr>
          <w:noProof/>
        </w:rPr>
        <w:fldChar w:fldCharType="begin"/>
      </w:r>
      <w:r w:rsidRPr="00B468B8">
        <w:rPr>
          <w:noProof/>
          <w:lang w:val="de-DE"/>
        </w:rPr>
        <w:instrText xml:space="preserve"> PAGEREF _Toc15553474 \h </w:instrText>
      </w:r>
      <w:r>
        <w:rPr>
          <w:noProof/>
        </w:rPr>
      </w:r>
      <w:r>
        <w:rPr>
          <w:noProof/>
        </w:rPr>
        <w:fldChar w:fldCharType="separate"/>
      </w:r>
      <w:r>
        <w:rPr>
          <w:noProof/>
          <w:lang w:val="de-DE"/>
        </w:rPr>
        <w:t>2</w:t>
      </w:r>
      <w:r>
        <w:rPr>
          <w:noProof/>
        </w:rPr>
        <w:fldChar w:fldCharType="end"/>
      </w:r>
    </w:p>
    <w:p w:rsidR="00B468B8" w:rsidRPr="00B468B8" w:rsidRDefault="00B468B8">
      <w:pPr>
        <w:pStyle w:val="TOC2"/>
        <w:rPr>
          <w:rFonts w:asciiTheme="minorHAnsi" w:eastAsiaTheme="minorEastAsia" w:hAnsiTheme="minorHAnsi" w:cstheme="minorBidi"/>
          <w:noProof/>
          <w:snapToGrid/>
          <w:sz w:val="22"/>
          <w:szCs w:val="22"/>
          <w:lang w:val="de-DE" w:eastAsia="en-US"/>
        </w:rPr>
      </w:pPr>
      <w:r w:rsidRPr="00F3000E">
        <w:rPr>
          <w:noProof/>
          <w:lang w:val="de-CH"/>
        </w:rPr>
        <w:t>Sortenbezeichnungen</w:t>
      </w:r>
      <w:r w:rsidRPr="00B468B8">
        <w:rPr>
          <w:noProof/>
          <w:lang w:val="de-DE"/>
        </w:rPr>
        <w:tab/>
      </w:r>
      <w:r>
        <w:rPr>
          <w:noProof/>
        </w:rPr>
        <w:fldChar w:fldCharType="begin"/>
      </w:r>
      <w:r w:rsidRPr="00B468B8">
        <w:rPr>
          <w:noProof/>
          <w:lang w:val="de-DE"/>
        </w:rPr>
        <w:instrText xml:space="preserve"> PAGEREF _Toc15553475 \h </w:instrText>
      </w:r>
      <w:r>
        <w:rPr>
          <w:noProof/>
        </w:rPr>
      </w:r>
      <w:r>
        <w:rPr>
          <w:noProof/>
        </w:rPr>
        <w:fldChar w:fldCharType="separate"/>
      </w:r>
      <w:r>
        <w:rPr>
          <w:noProof/>
          <w:lang w:val="de-DE"/>
        </w:rPr>
        <w:t>2</w:t>
      </w:r>
      <w:r>
        <w:rPr>
          <w:noProof/>
        </w:rPr>
        <w:fldChar w:fldCharType="end"/>
      </w:r>
    </w:p>
    <w:p w:rsidR="00B468B8" w:rsidRPr="00B468B8" w:rsidRDefault="00B468B8">
      <w:pPr>
        <w:pStyle w:val="TOC1"/>
        <w:rPr>
          <w:rFonts w:asciiTheme="minorHAnsi" w:eastAsiaTheme="minorEastAsia" w:hAnsiTheme="minorHAnsi" w:cstheme="minorBidi"/>
          <w:caps w:val="0"/>
          <w:noProof/>
          <w:snapToGrid/>
          <w:sz w:val="22"/>
          <w:szCs w:val="22"/>
          <w:lang w:val="de-DE" w:eastAsia="en-US"/>
        </w:rPr>
      </w:pPr>
      <w:r w:rsidRPr="00F3000E">
        <w:rPr>
          <w:noProof/>
          <w:lang w:val="de-CH"/>
        </w:rPr>
        <w:t>VORLÄUFIGES PROGRAMM FÜR DIE AUSARBEITUNG VON INFORMATIONSMATERIAL</w:t>
      </w:r>
      <w:r w:rsidRPr="00B468B8">
        <w:rPr>
          <w:noProof/>
          <w:lang w:val="de-DE"/>
        </w:rPr>
        <w:tab/>
      </w:r>
      <w:r>
        <w:rPr>
          <w:noProof/>
        </w:rPr>
        <w:fldChar w:fldCharType="begin"/>
      </w:r>
      <w:r w:rsidRPr="00B468B8">
        <w:rPr>
          <w:noProof/>
          <w:lang w:val="de-DE"/>
        </w:rPr>
        <w:instrText xml:space="preserve"> PAGEREF _Toc15553476 \h </w:instrText>
      </w:r>
      <w:r>
        <w:rPr>
          <w:noProof/>
        </w:rPr>
      </w:r>
      <w:r>
        <w:rPr>
          <w:noProof/>
        </w:rPr>
        <w:fldChar w:fldCharType="separate"/>
      </w:r>
      <w:r>
        <w:rPr>
          <w:noProof/>
          <w:lang w:val="de-DE"/>
        </w:rPr>
        <w:t>2</w:t>
      </w:r>
      <w:r>
        <w:rPr>
          <w:noProof/>
        </w:rPr>
        <w:fldChar w:fldCharType="end"/>
      </w:r>
    </w:p>
    <w:p w:rsidR="00BE4EB1" w:rsidRPr="001150EF" w:rsidRDefault="00BE4EB1" w:rsidP="00504FED">
      <w:pPr>
        <w:pStyle w:val="TOC1"/>
        <w:rPr>
          <w:lang w:val="de-CH"/>
        </w:rPr>
      </w:pPr>
      <w:r>
        <w:rPr>
          <w:b/>
        </w:rPr>
        <w:fldChar w:fldCharType="end"/>
      </w:r>
      <w:r w:rsidR="00504FED">
        <w:rPr>
          <w:lang w:val="de-CH"/>
        </w:rPr>
        <w:t xml:space="preserve">ANLAGE </w:t>
      </w:r>
      <w:r w:rsidR="00504FED">
        <w:rPr>
          <w:lang w:val="de-CH"/>
        </w:rPr>
        <w:tab/>
      </w:r>
      <w:r w:rsidRPr="001150EF">
        <w:rPr>
          <w:lang w:val="de-CH"/>
        </w:rPr>
        <w:t>Überblick über die Ausarbeitung von Informationsmaterial</w:t>
      </w:r>
    </w:p>
    <w:p w:rsidR="00BE4EB1" w:rsidRPr="00A45C42" w:rsidRDefault="00BE4EB1">
      <w:pPr>
        <w:rPr>
          <w:sz w:val="18"/>
          <w:szCs w:val="18"/>
          <w:lang w:val="de-CH"/>
        </w:rPr>
      </w:pPr>
    </w:p>
    <w:p w:rsidR="00E26BB4" w:rsidRPr="00A45C42" w:rsidRDefault="00E26BB4">
      <w:pPr>
        <w:rPr>
          <w:sz w:val="18"/>
          <w:szCs w:val="18"/>
          <w:lang w:val="de-CH"/>
        </w:rPr>
      </w:pPr>
    </w:p>
    <w:p w:rsidR="00BE4EB1" w:rsidRPr="00A45C42" w:rsidRDefault="00BE4EB1">
      <w:pPr>
        <w:rPr>
          <w:sz w:val="18"/>
          <w:szCs w:val="18"/>
          <w:lang w:val="de-CH"/>
        </w:rPr>
      </w:pPr>
    </w:p>
    <w:p w:rsidR="00BE4EB1" w:rsidRPr="00F670F6" w:rsidRDefault="00BE4EB1">
      <w:pPr>
        <w:pStyle w:val="Heading1"/>
        <w:rPr>
          <w:szCs w:val="24"/>
          <w:lang w:val="de-CH"/>
        </w:rPr>
      </w:pPr>
      <w:bookmarkStart w:id="3" w:name="_Toc15553471"/>
      <w:r w:rsidRPr="00F670F6">
        <w:rPr>
          <w:szCs w:val="24"/>
          <w:lang w:val="de-CH"/>
        </w:rPr>
        <w:t>EINleitung</w:t>
      </w:r>
      <w:bookmarkEnd w:id="3"/>
    </w:p>
    <w:p w:rsidR="00BE4EB1" w:rsidRPr="00A45C42" w:rsidRDefault="00BE4EB1">
      <w:pPr>
        <w:keepNext/>
        <w:rPr>
          <w:sz w:val="18"/>
          <w:szCs w:val="18"/>
          <w:lang w:val="de-CH"/>
        </w:rPr>
      </w:pPr>
    </w:p>
    <w:p w:rsidR="00BE4EB1" w:rsidRDefault="00BE4EB1">
      <w:pPr>
        <w:autoSpaceDE w:val="0"/>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vereinbarte auf seiner zweiundfünfzigsten Tagung</w:t>
      </w:r>
      <w:r w:rsidR="00F670F6">
        <w:rPr>
          <w:rStyle w:val="FootnoteReference"/>
          <w:szCs w:val="24"/>
          <w:lang w:val="de-CH"/>
        </w:rPr>
        <w:footnoteReference w:id="2"/>
      </w:r>
      <w:r>
        <w:rPr>
          <w:szCs w:val="24"/>
          <w:lang w:val="de-CH"/>
        </w:rPr>
        <w:t xml:space="preserve"> ein Vorgehen zur Ausarbeitung von Informationsmaterial zum UPOV-Übereinkommen</w:t>
      </w:r>
      <w:r w:rsidR="00F670F6">
        <w:rPr>
          <w:rStyle w:val="FootnoteReference"/>
          <w:szCs w:val="24"/>
          <w:lang w:val="de-CH"/>
        </w:rPr>
        <w:footnoteReference w:id="3"/>
      </w:r>
      <w:r>
        <w:rPr>
          <w:szCs w:val="24"/>
          <w:lang w:val="de-CH"/>
        </w:rPr>
        <w:t>.</w:t>
      </w:r>
      <w:r w:rsidR="001150EF">
        <w:rPr>
          <w:szCs w:val="24"/>
          <w:lang w:val="de-CH"/>
        </w:rPr>
        <w:t xml:space="preserve"> </w:t>
      </w:r>
      <w:r>
        <w:rPr>
          <w:szCs w:val="24"/>
          <w:lang w:val="de-CH"/>
        </w:rPr>
        <w:t>Er vereinbarte auch die Einsetzung einer Beratungsgruppe des CAJ (CAJ-AG) zur Unterstützung bei der Ausarbeitung von Dokumenten im Zusammenhang mit diesem Material</w:t>
      </w:r>
      <w:r w:rsidR="00F670F6">
        <w:rPr>
          <w:rStyle w:val="FootnoteReference"/>
          <w:szCs w:val="24"/>
          <w:lang w:val="de-CH"/>
        </w:rPr>
        <w:footnoteReference w:id="4"/>
      </w:r>
      <w:r>
        <w:rPr>
          <w:szCs w:val="24"/>
          <w:lang w:val="de-CH"/>
        </w:rPr>
        <w:t>.</w:t>
      </w:r>
      <w:r w:rsidR="001150EF">
        <w:rPr>
          <w:szCs w:val="24"/>
          <w:lang w:val="de-CH"/>
        </w:rPr>
        <w:t xml:space="preserve"> </w:t>
      </w:r>
      <w:r>
        <w:rPr>
          <w:szCs w:val="24"/>
          <w:lang w:val="de-CH"/>
        </w:rPr>
        <w:t>Das vereinbarte Vorgehen wird wie folgt zusammengefaßt:</w:t>
      </w:r>
      <w:r w:rsidR="001150EF">
        <w:rPr>
          <w:szCs w:val="24"/>
          <w:lang w:val="de-CH"/>
        </w:rPr>
        <w:t xml:space="preserve"> </w:t>
      </w:r>
      <w:r>
        <w:rPr>
          <w:szCs w:val="24"/>
          <w:lang w:val="de-CH"/>
        </w:rPr>
        <w:t>Das</w:t>
      </w:r>
      <w:r w:rsidR="00504FED">
        <w:rPr>
          <w:szCs w:val="24"/>
          <w:lang w:val="de-CH"/>
        </w:rPr>
        <w:t> </w:t>
      </w:r>
      <w:r>
        <w:rPr>
          <w:szCs w:val="24"/>
          <w:lang w:val="de-CH"/>
        </w:rPr>
        <w:t xml:space="preserve">Verbandsbüro wird bestimmte Entwürfe von Material ausarbeiten, die seines Erachtens unkomplizierte Aspekte erfassen, und diese an den CAJ verbreiten, der innerhalb einer festgelegten Frist seine Bemerkungen </w:t>
      </w:r>
      <w:r>
        <w:rPr>
          <w:szCs w:val="24"/>
          <w:lang w:val="de-CH"/>
        </w:rPr>
        <w:lastRenderedPageBreak/>
        <w:t>abgibt.</w:t>
      </w:r>
      <w:r w:rsidR="001150EF">
        <w:rPr>
          <w:szCs w:val="24"/>
          <w:lang w:val="de-CH"/>
        </w:rPr>
        <w:t xml:space="preserve"> </w:t>
      </w:r>
      <w:r>
        <w:rPr>
          <w:szCs w:val="24"/>
          <w:lang w:val="de-CH"/>
        </w:rPr>
        <w:t>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w:t>
      </w:r>
      <w:r w:rsidR="00906C55">
        <w:rPr>
          <w:szCs w:val="24"/>
          <w:lang w:val="de-CH"/>
        </w:rPr>
        <w:t>et wurden, die Beratung der CAJ</w:t>
      </w:r>
      <w:r w:rsidR="00906C55">
        <w:rPr>
          <w:szCs w:val="24"/>
          <w:lang w:val="de-CH"/>
        </w:rPr>
        <w:noBreakHyphen/>
      </w:r>
      <w:r>
        <w:rPr>
          <w:szCs w:val="24"/>
          <w:lang w:val="de-CH"/>
        </w:rPr>
        <w:t xml:space="preserve">AG einzuholen ist, bevor der CAJ ersucht wird, diese Angelegenheiten auf seinen Tagungen zu erörtern. </w:t>
      </w:r>
    </w:p>
    <w:p w:rsidR="00BE4EB1" w:rsidRPr="00A45C42" w:rsidRDefault="00BE4EB1">
      <w:pPr>
        <w:rPr>
          <w:sz w:val="18"/>
          <w:szCs w:val="18"/>
          <w:lang w:val="de-CH"/>
        </w:rPr>
      </w:pPr>
    </w:p>
    <w:p w:rsidR="00BE4EB1" w:rsidRPr="00906C55" w:rsidRDefault="00BE4EB1">
      <w:pPr>
        <w:tabs>
          <w:tab w:val="left" w:pos="567"/>
        </w:tabs>
        <w:autoSpaceDE w:val="0"/>
        <w:rPr>
          <w:spacing w:val="-2"/>
          <w:szCs w:val="24"/>
          <w:lang w:val="de-CH"/>
        </w:rPr>
      </w:pPr>
      <w:r w:rsidRPr="00906C55">
        <w:rPr>
          <w:spacing w:val="-2"/>
          <w:szCs w:val="24"/>
          <w:lang w:val="de-CH"/>
        </w:rPr>
        <w:fldChar w:fldCharType="begin"/>
      </w:r>
      <w:r w:rsidRPr="00906C55">
        <w:rPr>
          <w:spacing w:val="-2"/>
          <w:szCs w:val="24"/>
          <w:lang w:val="de-CH"/>
        </w:rPr>
        <w:instrText xml:space="preserve"> AUTONUM  </w:instrText>
      </w:r>
      <w:r w:rsidRPr="00906C55">
        <w:rPr>
          <w:spacing w:val="-2"/>
          <w:szCs w:val="24"/>
          <w:lang w:val="de-CH"/>
        </w:rPr>
        <w:fldChar w:fldCharType="end"/>
      </w:r>
      <w:r w:rsidRPr="00906C55">
        <w:rPr>
          <w:spacing w:val="-2"/>
          <w:szCs w:val="24"/>
          <w:lang w:val="de-CH"/>
        </w:rPr>
        <w:tab/>
        <w:t>Der CAJ vereinbarte auf seiner siebzigsten Tagung</w:t>
      </w:r>
      <w:r w:rsidR="00F670F6" w:rsidRPr="00906C55">
        <w:rPr>
          <w:rStyle w:val="FootnoteReference"/>
          <w:spacing w:val="-2"/>
          <w:szCs w:val="24"/>
          <w:lang w:val="de-CH"/>
        </w:rPr>
        <w:footnoteReference w:id="5"/>
      </w:r>
      <w:r w:rsidRPr="00906C55">
        <w:rPr>
          <w:spacing w:val="-2"/>
          <w:szCs w:val="24"/>
          <w:lang w:val="de-CH"/>
        </w:rPr>
        <w:t>, daß alle A</w:t>
      </w:r>
      <w:r w:rsidR="00906C55" w:rsidRPr="00906C55">
        <w:rPr>
          <w:spacing w:val="-2"/>
          <w:szCs w:val="24"/>
          <w:lang w:val="de-CH"/>
        </w:rPr>
        <w:t>ngelegenheiten, die von der CAJ</w:t>
      </w:r>
      <w:r w:rsidR="00906C55" w:rsidRPr="00906C55">
        <w:rPr>
          <w:spacing w:val="-2"/>
          <w:szCs w:val="24"/>
          <w:lang w:val="de-CH"/>
        </w:rPr>
        <w:noBreakHyphen/>
      </w:r>
      <w:r w:rsidRPr="00906C55">
        <w:rPr>
          <w:spacing w:val="-2"/>
          <w:szCs w:val="24"/>
          <w:lang w:val="de-CH"/>
        </w:rPr>
        <w:t>AG auf ihrer neunten Tagung</w:t>
      </w:r>
      <w:r w:rsidR="00F670F6" w:rsidRPr="00906C55">
        <w:rPr>
          <w:rStyle w:val="FootnoteReference"/>
          <w:spacing w:val="-2"/>
          <w:szCs w:val="24"/>
          <w:lang w:val="de-CH"/>
        </w:rPr>
        <w:footnoteReference w:id="6"/>
      </w:r>
      <w:r w:rsidRPr="00906C55">
        <w:rPr>
          <w:spacing w:val="-2"/>
          <w:szCs w:val="24"/>
          <w:lang w:val="de-CH"/>
        </w:rPr>
        <w:t xml:space="preserve"> geprüft werden, nach der neunten Tagung der CAJ-AG vom CAJ geprüft werden sollten, und daß die CAJ-AG nur auf </w:t>
      </w:r>
      <w:r w:rsidRPr="00906C55">
        <w:rPr>
          <w:i/>
          <w:spacing w:val="-2"/>
          <w:szCs w:val="24"/>
          <w:lang w:val="de-CH"/>
        </w:rPr>
        <w:t>Ad-hoc-</w:t>
      </w:r>
      <w:r w:rsidRPr="00906C55">
        <w:rPr>
          <w:spacing w:val="-2"/>
          <w:szCs w:val="24"/>
          <w:lang w:val="de-CH"/>
        </w:rPr>
        <w:t>Basis, wenn vom CAJ</w:t>
      </w:r>
      <w:r w:rsidR="00F670F6" w:rsidRPr="00906C55">
        <w:rPr>
          <w:rStyle w:val="FootnoteReference"/>
          <w:spacing w:val="-2"/>
          <w:szCs w:val="24"/>
          <w:lang w:val="de-CH"/>
        </w:rPr>
        <w:footnoteReference w:id="7"/>
      </w:r>
      <w:r w:rsidRPr="00906C55">
        <w:rPr>
          <w:spacing w:val="-2"/>
          <w:szCs w:val="24"/>
          <w:lang w:val="de-CH"/>
        </w:rPr>
        <w:t xml:space="preserve"> für zweckmäßig erachtet, einberufen werden sollte.</w:t>
      </w:r>
    </w:p>
    <w:p w:rsidR="00BE4EB1" w:rsidRPr="00A45C42" w:rsidRDefault="00BE4EB1">
      <w:pPr>
        <w:rPr>
          <w:sz w:val="18"/>
          <w:szCs w:val="18"/>
          <w:lang w:val="de-CH"/>
        </w:rPr>
      </w:pPr>
    </w:p>
    <w:p w:rsidR="00BE4EB1" w:rsidRPr="00A45C42" w:rsidRDefault="00BE4EB1">
      <w:pPr>
        <w:rPr>
          <w:sz w:val="18"/>
          <w:szCs w:val="18"/>
          <w:lang w:val="de-CH"/>
        </w:rPr>
      </w:pPr>
    </w:p>
    <w:p w:rsidR="00BF1634" w:rsidRPr="00A45C42" w:rsidRDefault="00BF1634">
      <w:pPr>
        <w:rPr>
          <w:sz w:val="16"/>
          <w:szCs w:val="18"/>
          <w:lang w:val="de-CH"/>
        </w:rPr>
      </w:pPr>
    </w:p>
    <w:p w:rsidR="00BE4EB1" w:rsidRDefault="00BE4EB1">
      <w:pPr>
        <w:pStyle w:val="Heading1"/>
        <w:rPr>
          <w:szCs w:val="24"/>
          <w:lang w:val="de-CH"/>
        </w:rPr>
      </w:pPr>
      <w:bookmarkStart w:id="4" w:name="_Toc15553472"/>
      <w:r>
        <w:rPr>
          <w:szCs w:val="24"/>
          <w:lang w:val="de-CH"/>
        </w:rPr>
        <w:t>Überblick über die Ausarbeitung von Informationsmaterial</w:t>
      </w:r>
      <w:bookmarkEnd w:id="4"/>
    </w:p>
    <w:p w:rsidR="00BE4EB1" w:rsidRPr="00A45C42" w:rsidRDefault="00BE4EB1">
      <w:pPr>
        <w:keepNext/>
        <w:rPr>
          <w:sz w:val="18"/>
          <w:szCs w:val="18"/>
          <w:lang w:val="de-CH"/>
        </w:rPr>
      </w:pPr>
    </w:p>
    <w:p w:rsidR="00BE4EB1"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r>
      <w:r>
        <w:rPr>
          <w:spacing w:val="-2"/>
          <w:szCs w:val="24"/>
          <w:lang w:val="de-CH"/>
        </w:rPr>
        <w:t>Ein Überblick über die Ausarbeitung von Informationsmaterial ist in der Anlage dieses Dokuments enthalten.</w:t>
      </w:r>
    </w:p>
    <w:p w:rsidR="00BE4EB1" w:rsidRPr="00A45C42" w:rsidRDefault="00BE4EB1">
      <w:pPr>
        <w:rPr>
          <w:sz w:val="18"/>
          <w:szCs w:val="18"/>
          <w:lang w:val="de-CH"/>
        </w:rPr>
      </w:pPr>
    </w:p>
    <w:p w:rsidR="00BE4EB1" w:rsidRPr="00A45C42" w:rsidRDefault="00BE4EB1">
      <w:pPr>
        <w:rPr>
          <w:sz w:val="18"/>
          <w:szCs w:val="18"/>
          <w:lang w:val="de-CH"/>
        </w:rPr>
      </w:pPr>
    </w:p>
    <w:p w:rsidR="00BF1634" w:rsidRPr="00A45C42" w:rsidRDefault="00BF1634">
      <w:pPr>
        <w:rPr>
          <w:sz w:val="16"/>
          <w:szCs w:val="18"/>
          <w:lang w:val="de-CH"/>
        </w:rPr>
      </w:pPr>
    </w:p>
    <w:p w:rsidR="00BE4EB1" w:rsidRDefault="00BE4EB1">
      <w:pPr>
        <w:pStyle w:val="Heading1"/>
        <w:rPr>
          <w:szCs w:val="24"/>
          <w:lang w:val="de-CH"/>
        </w:rPr>
      </w:pPr>
      <w:bookmarkStart w:id="5" w:name="_Toc15553473"/>
      <w:r>
        <w:rPr>
          <w:szCs w:val="24"/>
          <w:lang w:val="de-CH"/>
        </w:rPr>
        <w:t>INFORMATIONSMATERIAL</w:t>
      </w:r>
      <w:bookmarkEnd w:id="5"/>
    </w:p>
    <w:p w:rsidR="00BE4EB1" w:rsidRPr="00A45C42" w:rsidRDefault="00BE4EB1">
      <w:pPr>
        <w:rPr>
          <w:sz w:val="18"/>
          <w:szCs w:val="18"/>
          <w:lang w:val="de-CH"/>
        </w:rPr>
      </w:pPr>
    </w:p>
    <w:p w:rsidR="00BE4EB1" w:rsidRDefault="00BE4EB1">
      <w:pPr>
        <w:pStyle w:val="Heading2"/>
        <w:rPr>
          <w:rFonts w:cs="Times New Roman"/>
          <w:szCs w:val="24"/>
          <w:lang w:val="de-CH"/>
        </w:rPr>
      </w:pPr>
      <w:bookmarkStart w:id="6" w:name="_Toc15553474"/>
      <w:r>
        <w:rPr>
          <w:rFonts w:cs="Times New Roman"/>
          <w:szCs w:val="24"/>
          <w:lang w:val="de-CH"/>
        </w:rPr>
        <w:t>Im wesentlichen abgeleitete Sorten</w:t>
      </w:r>
      <w:bookmarkEnd w:id="6"/>
    </w:p>
    <w:p w:rsidR="00BE4EB1" w:rsidRPr="00A45C42" w:rsidRDefault="00BE4EB1">
      <w:pPr>
        <w:rPr>
          <w:sz w:val="18"/>
          <w:szCs w:val="18"/>
          <w:lang w:val="de-CH"/>
        </w:rPr>
      </w:pPr>
    </w:p>
    <w:p w:rsidR="00BE4EB1"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wird ersucht, zur Kenntnis zu nehmen, da</w:t>
      </w:r>
      <w:r w:rsidRPr="00F670F6">
        <w:rPr>
          <w:szCs w:val="24"/>
          <w:lang w:val="de-CH"/>
        </w:rPr>
        <w:t>ß</w:t>
      </w:r>
      <w:r>
        <w:rPr>
          <w:szCs w:val="24"/>
          <w:lang w:val="de-CH"/>
        </w:rPr>
        <w:t xml:space="preserve"> Angelegenheiten, die im wesentlichen abgeleitete Sorten betreffen, in Dokument CAJ/76/3 „Im wesentlichen abgeleitete Sorten“ geprüft werden</w:t>
      </w:r>
      <w:r w:rsidR="006C0535">
        <w:rPr>
          <w:szCs w:val="24"/>
          <w:lang w:val="de-CH"/>
        </w:rPr>
        <w:t>.</w:t>
      </w:r>
    </w:p>
    <w:p w:rsidR="00BE4EB1" w:rsidRPr="00A45C42" w:rsidRDefault="00BE4EB1">
      <w:pPr>
        <w:rPr>
          <w:sz w:val="18"/>
          <w:szCs w:val="18"/>
          <w:lang w:val="de-CH"/>
        </w:rPr>
      </w:pPr>
    </w:p>
    <w:bookmarkStart w:id="7" w:name="_Ref14800486"/>
    <w:p w:rsidR="00BE4EB1"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vereinbarte auf seiner fünfundsiebzigsten Tagung</w:t>
      </w:r>
      <w:r w:rsidR="00F670F6">
        <w:rPr>
          <w:rStyle w:val="FootnoteReference"/>
          <w:szCs w:val="24"/>
          <w:lang w:val="de-CH"/>
        </w:rPr>
        <w:footnoteReference w:id="8"/>
      </w:r>
      <w:r>
        <w:rPr>
          <w:szCs w:val="24"/>
          <w:lang w:val="de-CH"/>
        </w:rPr>
        <w:t>, da</w:t>
      </w:r>
      <w:r w:rsidRPr="00F670F6">
        <w:rPr>
          <w:szCs w:val="24"/>
          <w:lang w:val="de-CH"/>
        </w:rPr>
        <w:t>ß</w:t>
      </w:r>
      <w:r>
        <w:rPr>
          <w:szCs w:val="24"/>
          <w:lang w:val="de-CH"/>
        </w:rPr>
        <w:t xml:space="preserve"> die Prüfung der Überarbeitung der Erläuterungen zu im wesentlichen abgeleiteten Sorten in die Tagesordnung der sechsundsiebzigsten Tagung</w:t>
      </w:r>
      <w:bookmarkStart w:id="9" w:name="_Ref15457990"/>
      <w:r w:rsidR="00F670F6">
        <w:rPr>
          <w:rStyle w:val="FootnoteReference"/>
          <w:szCs w:val="24"/>
          <w:lang w:val="de-CH"/>
        </w:rPr>
        <w:footnoteReference w:id="9"/>
      </w:r>
      <w:bookmarkEnd w:id="9"/>
      <w:r>
        <w:rPr>
          <w:szCs w:val="24"/>
          <w:lang w:val="de-CH"/>
        </w:rPr>
        <w:t xml:space="preserve"> des CAJ aufgenommen würde, und da</w:t>
      </w:r>
      <w:r w:rsidRPr="00F670F6">
        <w:rPr>
          <w:szCs w:val="24"/>
          <w:lang w:val="de-CH"/>
        </w:rPr>
        <w:t>ß</w:t>
      </w:r>
      <w:r>
        <w:rPr>
          <w:szCs w:val="24"/>
          <w:lang w:val="de-CH"/>
        </w:rPr>
        <w:t xml:space="preserve"> das Ergebnis des Seminars als Grundlage für diese Prüfung dienen würde (vergleiche Dokument </w:t>
      </w:r>
      <w:hyperlink r:id="rId9" w:history="1">
        <w:r w:rsidRPr="00EA6D87">
          <w:rPr>
            <w:rStyle w:val="Hyperlink"/>
            <w:szCs w:val="24"/>
            <w:lang w:val="de-CH"/>
          </w:rPr>
          <w:t>CAJ/75/14</w:t>
        </w:r>
      </w:hyperlink>
      <w:r>
        <w:rPr>
          <w:szCs w:val="24"/>
          <w:lang w:val="de-CH"/>
        </w:rPr>
        <w:t xml:space="preserve"> „Bericht“, Absatz 17).</w:t>
      </w:r>
    </w:p>
    <w:bookmarkEnd w:id="7"/>
    <w:p w:rsidR="00BE4EB1" w:rsidRPr="00A45C42" w:rsidRDefault="00BE4EB1">
      <w:pPr>
        <w:rPr>
          <w:sz w:val="18"/>
          <w:szCs w:val="18"/>
          <w:lang w:val="de-CH"/>
        </w:rPr>
      </w:pPr>
    </w:p>
    <w:p w:rsidR="00BE4EB1" w:rsidRPr="00944907" w:rsidRDefault="00BE4EB1">
      <w:pPr>
        <w:pStyle w:val="DecisionParagraphs"/>
        <w:rPr>
          <w:spacing w:val="-2"/>
          <w:szCs w:val="24"/>
          <w:lang w:val="de-CH"/>
        </w:rPr>
      </w:pPr>
      <w:r w:rsidRPr="00944907">
        <w:rPr>
          <w:spacing w:val="-2"/>
          <w:szCs w:val="24"/>
          <w:lang w:val="de-CH"/>
        </w:rPr>
        <w:fldChar w:fldCharType="begin"/>
      </w:r>
      <w:r w:rsidRPr="00944907">
        <w:rPr>
          <w:spacing w:val="-2"/>
          <w:szCs w:val="24"/>
          <w:lang w:val="de-CH"/>
        </w:rPr>
        <w:instrText xml:space="preserve"> AUTONUM  </w:instrText>
      </w:r>
      <w:r w:rsidRPr="00944907">
        <w:rPr>
          <w:spacing w:val="-2"/>
          <w:szCs w:val="24"/>
          <w:lang w:val="de-CH"/>
        </w:rPr>
        <w:fldChar w:fldCharType="end"/>
      </w:r>
      <w:r w:rsidRPr="00944907">
        <w:rPr>
          <w:spacing w:val="-2"/>
          <w:szCs w:val="24"/>
          <w:lang w:val="de-CH"/>
        </w:rPr>
        <w:tab/>
        <w:t>Der CAJ wird ersucht, zur Kenntnis zu nehmen, daß Angelegenheiten, die im wesentlichen abgeleitete Sorten betreffen, in Dokument CAJ/76/3 geprüft werden</w:t>
      </w:r>
      <w:r w:rsidR="006C0535" w:rsidRPr="00944907">
        <w:rPr>
          <w:spacing w:val="-2"/>
          <w:szCs w:val="24"/>
          <w:lang w:val="de-CH"/>
        </w:rPr>
        <w:t>.</w:t>
      </w:r>
    </w:p>
    <w:p w:rsidR="00BE4EB1" w:rsidRPr="00A45C42" w:rsidRDefault="00BE4EB1">
      <w:pPr>
        <w:rPr>
          <w:sz w:val="18"/>
          <w:szCs w:val="18"/>
          <w:lang w:val="de-CH"/>
        </w:rPr>
      </w:pPr>
    </w:p>
    <w:p w:rsidR="00BE4EB1" w:rsidRPr="00A45C42" w:rsidRDefault="00BE4EB1">
      <w:pPr>
        <w:rPr>
          <w:sz w:val="18"/>
          <w:szCs w:val="18"/>
          <w:lang w:val="de-CH"/>
        </w:rPr>
      </w:pPr>
    </w:p>
    <w:p w:rsidR="00BE4EB1" w:rsidRDefault="00BE4EB1">
      <w:pPr>
        <w:pStyle w:val="Heading2"/>
        <w:rPr>
          <w:rFonts w:cs="Times New Roman"/>
          <w:szCs w:val="24"/>
          <w:lang w:val="de-CH"/>
        </w:rPr>
      </w:pPr>
      <w:bookmarkStart w:id="10" w:name="_Toc15553475"/>
      <w:r>
        <w:rPr>
          <w:rFonts w:cs="Times New Roman"/>
          <w:szCs w:val="24"/>
          <w:lang w:val="de-CH"/>
        </w:rPr>
        <w:t>Sortenbezeichnungen</w:t>
      </w:r>
      <w:bookmarkEnd w:id="10"/>
    </w:p>
    <w:p w:rsidR="00BE4EB1" w:rsidRPr="00A45C42" w:rsidRDefault="00BE4EB1">
      <w:pPr>
        <w:rPr>
          <w:sz w:val="18"/>
          <w:szCs w:val="18"/>
          <w:lang w:val="de-CH"/>
        </w:rPr>
      </w:pPr>
    </w:p>
    <w:p w:rsidR="00BE4EB1"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Angelegenheiten, die Sortenbezeichnung betreffen, werden in Dokument CAJ/76/6 „Sortenbezeichnungen“ geprüft.</w:t>
      </w:r>
    </w:p>
    <w:p w:rsidR="00BE4EB1" w:rsidRPr="00A45C42" w:rsidRDefault="00BE4EB1">
      <w:pPr>
        <w:pStyle w:val="DecisionParagraphs"/>
        <w:keepLines/>
        <w:tabs>
          <w:tab w:val="clear" w:pos="5387"/>
          <w:tab w:val="clear" w:pos="5954"/>
        </w:tabs>
        <w:ind w:left="0"/>
        <w:rPr>
          <w:sz w:val="18"/>
          <w:szCs w:val="18"/>
          <w:highlight w:val="yellow"/>
          <w:lang w:val="de-CH"/>
        </w:rPr>
      </w:pPr>
    </w:p>
    <w:p w:rsidR="00BE4EB1" w:rsidRDefault="00BE4EB1">
      <w:pPr>
        <w:pStyle w:val="DecisionParagraphs"/>
        <w:keepLines/>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wird ersucht, zur Kenntnis zu nehmen, daß Angelegenheiten, die Sortenbezeichnungen betreffen, in Dokument CAJ/76/6 „Sortenbezeichnungen“ geprüft werden.</w:t>
      </w:r>
    </w:p>
    <w:p w:rsidR="00BE4EB1" w:rsidRPr="00A45C42" w:rsidRDefault="00BE4EB1">
      <w:pPr>
        <w:rPr>
          <w:sz w:val="18"/>
          <w:szCs w:val="18"/>
          <w:lang w:val="de-CH"/>
        </w:rPr>
      </w:pPr>
    </w:p>
    <w:p w:rsidR="00A45C42" w:rsidRPr="00A45C42" w:rsidRDefault="00A45C42">
      <w:pPr>
        <w:rPr>
          <w:sz w:val="18"/>
          <w:szCs w:val="18"/>
          <w:lang w:val="de-CH"/>
        </w:rPr>
      </w:pPr>
    </w:p>
    <w:p w:rsidR="00BE4EB1" w:rsidRPr="00A45C42" w:rsidRDefault="00BE4EB1">
      <w:pPr>
        <w:rPr>
          <w:sz w:val="16"/>
          <w:szCs w:val="18"/>
          <w:lang w:val="de-CH"/>
        </w:rPr>
      </w:pPr>
    </w:p>
    <w:p w:rsidR="00BE4EB1" w:rsidRDefault="00BE4EB1">
      <w:pPr>
        <w:pStyle w:val="Heading1"/>
        <w:rPr>
          <w:szCs w:val="24"/>
          <w:lang w:val="de-CH"/>
        </w:rPr>
      </w:pPr>
      <w:bookmarkStart w:id="11" w:name="_Toc15553476"/>
      <w:r>
        <w:rPr>
          <w:szCs w:val="24"/>
          <w:lang w:val="de-CH"/>
        </w:rPr>
        <w:t>VORLÄUFIGES PROGRAMM FÜR DIE AUSARBEITUNG VON INFORMATIONSMATERIAL</w:t>
      </w:r>
      <w:bookmarkEnd w:id="11"/>
      <w:r>
        <w:rPr>
          <w:szCs w:val="24"/>
          <w:lang w:val="de-CH"/>
        </w:rPr>
        <w:t xml:space="preserve"> </w:t>
      </w:r>
    </w:p>
    <w:p w:rsidR="00BE4EB1" w:rsidRPr="00A45C42" w:rsidRDefault="00BE4EB1">
      <w:pPr>
        <w:pStyle w:val="Heading2"/>
        <w:rPr>
          <w:rFonts w:cs="Times New Roman"/>
          <w:sz w:val="18"/>
          <w:szCs w:val="18"/>
          <w:lang w:val="de-CH"/>
        </w:rPr>
      </w:pPr>
    </w:p>
    <w:p w:rsidR="00BE4EB1" w:rsidRDefault="00BE4EB1">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 xml:space="preserve">Der CAJ wird ersucht, das Programm </w:t>
      </w:r>
      <w:r w:rsidR="006C0535">
        <w:rPr>
          <w:szCs w:val="24"/>
          <w:lang w:val="de-CH"/>
        </w:rPr>
        <w:t>für die</w:t>
      </w:r>
      <w:r>
        <w:rPr>
          <w:szCs w:val="24"/>
          <w:lang w:val="de-CH"/>
        </w:rPr>
        <w:t xml:space="preserve"> Ausarbeitung </w:t>
      </w:r>
      <w:r w:rsidR="006C0535">
        <w:rPr>
          <w:szCs w:val="24"/>
          <w:lang w:val="de-CH"/>
        </w:rPr>
        <w:t>von</w:t>
      </w:r>
      <w:r>
        <w:rPr>
          <w:szCs w:val="24"/>
          <w:lang w:val="de-CH"/>
        </w:rPr>
        <w:t xml:space="preserve"> Informationsmaterial, wie in der Anlage zu diesem Dokument dargelegt, vorbehaltlich seiner </w:t>
      </w:r>
      <w:r w:rsidR="00E14BE2">
        <w:rPr>
          <w:szCs w:val="24"/>
          <w:lang w:val="de-CH"/>
        </w:rPr>
        <w:t>Entschließungen</w:t>
      </w:r>
      <w:r>
        <w:rPr>
          <w:szCs w:val="24"/>
          <w:lang w:val="de-CH"/>
        </w:rPr>
        <w:t xml:space="preserve"> auf seiner </w:t>
      </w:r>
      <w:r w:rsidR="00E14BE2">
        <w:rPr>
          <w:szCs w:val="24"/>
          <w:lang w:val="de-CH"/>
        </w:rPr>
        <w:t>sechsundsiebzigsten</w:t>
      </w:r>
      <w:r>
        <w:rPr>
          <w:szCs w:val="24"/>
          <w:lang w:val="de-CH"/>
        </w:rPr>
        <w:t xml:space="preserve"> Tagung</w:t>
      </w:r>
      <w:r w:rsidR="006C0535">
        <w:rPr>
          <w:szCs w:val="24"/>
          <w:lang w:val="de-CH"/>
        </w:rPr>
        <w:fldChar w:fldCharType="begin"/>
      </w:r>
      <w:r w:rsidR="006C0535">
        <w:rPr>
          <w:szCs w:val="24"/>
          <w:lang w:val="de-CH"/>
        </w:rPr>
        <w:instrText xml:space="preserve"> NOTEREF _Ref15457990 \f \h </w:instrText>
      </w:r>
      <w:r w:rsidR="006C0535">
        <w:rPr>
          <w:szCs w:val="24"/>
          <w:lang w:val="de-CH"/>
        </w:rPr>
      </w:r>
      <w:r w:rsidR="006C0535">
        <w:rPr>
          <w:szCs w:val="24"/>
          <w:lang w:val="de-CH"/>
        </w:rPr>
        <w:fldChar w:fldCharType="separate"/>
      </w:r>
      <w:r w:rsidR="00B468B8" w:rsidRPr="00B468B8">
        <w:rPr>
          <w:rStyle w:val="FootnoteReference"/>
          <w:lang w:val="de-DE"/>
        </w:rPr>
        <w:t>8</w:t>
      </w:r>
      <w:r w:rsidR="006C0535">
        <w:rPr>
          <w:szCs w:val="24"/>
          <w:lang w:val="de-CH"/>
        </w:rPr>
        <w:fldChar w:fldCharType="end"/>
      </w:r>
      <w:r>
        <w:rPr>
          <w:szCs w:val="24"/>
          <w:lang w:val="de-CH"/>
        </w:rPr>
        <w:t xml:space="preserve"> in der oben genannten Angelegenheit zu prüfen. </w:t>
      </w:r>
    </w:p>
    <w:p w:rsidR="00BE4EB1" w:rsidRPr="00A45C42" w:rsidRDefault="00BE4EB1">
      <w:pPr>
        <w:rPr>
          <w:rFonts w:ascii="MS Mincho" w:eastAsia="MS Mincho" w:hAnsi="Times New Roman"/>
          <w:sz w:val="18"/>
          <w:szCs w:val="18"/>
          <w:lang w:val="de-CH"/>
        </w:rPr>
      </w:pPr>
    </w:p>
    <w:p w:rsidR="00BE4EB1" w:rsidRDefault="00BE4EB1">
      <w:pPr>
        <w:pStyle w:val="DecisionParagraphs"/>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Der CAJ wird ersucht, das Programm für die Ausarbeitung von Informationsmaterial zu prüfen.</w:t>
      </w:r>
    </w:p>
    <w:p w:rsidR="00BE4EB1" w:rsidRPr="00A45C42" w:rsidRDefault="00BE4EB1">
      <w:pPr>
        <w:pStyle w:val="DecisionParagraphs"/>
        <w:rPr>
          <w:sz w:val="16"/>
          <w:szCs w:val="18"/>
          <w:lang w:val="de-CH"/>
        </w:rPr>
      </w:pPr>
    </w:p>
    <w:p w:rsidR="00BE4EB1" w:rsidRPr="00A45C42" w:rsidRDefault="00BE4EB1">
      <w:pPr>
        <w:pStyle w:val="DecisionParagraphs"/>
        <w:rPr>
          <w:sz w:val="16"/>
          <w:szCs w:val="18"/>
          <w:lang w:val="de-CH"/>
        </w:rPr>
      </w:pPr>
    </w:p>
    <w:p w:rsidR="00A45C42" w:rsidRPr="00A45C42" w:rsidRDefault="00A45C42">
      <w:pPr>
        <w:pStyle w:val="DecisionParagraphs"/>
        <w:rPr>
          <w:sz w:val="8"/>
          <w:szCs w:val="18"/>
          <w:lang w:val="de-CH"/>
        </w:rPr>
      </w:pPr>
    </w:p>
    <w:p w:rsidR="00BE4EB1" w:rsidRDefault="00BE4EB1" w:rsidP="00FA0415">
      <w:pPr>
        <w:pStyle w:val="DecisionParagraphs"/>
        <w:jc w:val="right"/>
        <w:rPr>
          <w:szCs w:val="24"/>
          <w:lang w:val="de-CH"/>
        </w:rPr>
      </w:pPr>
      <w:r>
        <w:rPr>
          <w:i w:val="0"/>
          <w:szCs w:val="24"/>
          <w:lang w:val="de-CH"/>
        </w:rPr>
        <w:t>[Anlage folgt]</w:t>
      </w:r>
    </w:p>
    <w:p w:rsidR="00BE4EB1" w:rsidRDefault="00BE4EB1">
      <w:pPr>
        <w:jc w:val="left"/>
        <w:rPr>
          <w:szCs w:val="24"/>
          <w:lang w:val="de-CH"/>
        </w:rPr>
        <w:sectPr w:rsidR="00BE4EB1" w:rsidSect="00944907">
          <w:headerReference w:type="default" r:id="rId10"/>
          <w:pgSz w:w="11907" w:h="16840" w:code="9"/>
          <w:pgMar w:top="504" w:right="1138" w:bottom="1138" w:left="1138" w:header="504" w:footer="619" w:gutter="0"/>
          <w:cols w:space="720"/>
          <w:titlePg/>
        </w:sectPr>
      </w:pPr>
    </w:p>
    <w:p w:rsidR="00BE4EB1" w:rsidRDefault="00BE4EB1">
      <w:pPr>
        <w:jc w:val="center"/>
        <w:rPr>
          <w:szCs w:val="24"/>
          <w:lang w:val="de-CH"/>
        </w:rPr>
      </w:pPr>
      <w:r>
        <w:rPr>
          <w:szCs w:val="24"/>
          <w:lang w:val="de-CH"/>
        </w:rPr>
        <w:lastRenderedPageBreak/>
        <w:t>CAJ/76/4</w:t>
      </w:r>
    </w:p>
    <w:p w:rsidR="00BE4EB1" w:rsidRDefault="00BE4EB1">
      <w:pPr>
        <w:jc w:val="center"/>
        <w:rPr>
          <w:szCs w:val="24"/>
          <w:lang w:val="de-CH"/>
        </w:rPr>
      </w:pPr>
    </w:p>
    <w:p w:rsidR="00BE4EB1" w:rsidRDefault="00BE4EB1">
      <w:pPr>
        <w:jc w:val="center"/>
        <w:rPr>
          <w:szCs w:val="24"/>
          <w:lang w:val="de-CH"/>
        </w:rPr>
      </w:pPr>
      <w:r>
        <w:rPr>
          <w:szCs w:val="24"/>
          <w:lang w:val="de-CH"/>
        </w:rPr>
        <w:t>ANLAGE</w:t>
      </w:r>
    </w:p>
    <w:p w:rsidR="00BE4EB1" w:rsidRDefault="00BE4EB1">
      <w:pPr>
        <w:jc w:val="center"/>
        <w:rPr>
          <w:szCs w:val="24"/>
          <w:lang w:val="de-CH"/>
        </w:rPr>
      </w:pPr>
    </w:p>
    <w:p w:rsidR="00BE4EB1" w:rsidRDefault="00BE4EB1">
      <w:pPr>
        <w:jc w:val="center"/>
        <w:rPr>
          <w:szCs w:val="24"/>
          <w:lang w:val="de-CH"/>
        </w:rPr>
      </w:pPr>
    </w:p>
    <w:p w:rsidR="001150EF" w:rsidRPr="00C155B8" w:rsidRDefault="001150EF" w:rsidP="001150EF">
      <w:pPr>
        <w:jc w:val="center"/>
        <w:rPr>
          <w:lang w:val="de-DE"/>
        </w:rPr>
      </w:pPr>
      <w:r w:rsidRPr="00C155B8">
        <w:rPr>
          <w:lang w:val="de-DE"/>
        </w:rPr>
        <w:t>ÜBERBLICK ÜBER DIE AUSARBEITUNG VON INFORMATIONSMATERIAL</w:t>
      </w:r>
    </w:p>
    <w:p w:rsidR="001150EF" w:rsidRPr="001150EF" w:rsidRDefault="001150EF" w:rsidP="001150EF">
      <w:pPr>
        <w:jc w:val="left"/>
        <w:rPr>
          <w:lang w:val="de-CH"/>
        </w:rPr>
      </w:pPr>
    </w:p>
    <w:p w:rsidR="001150EF" w:rsidRPr="00C155B8" w:rsidRDefault="001150EF" w:rsidP="001150EF">
      <w:pPr>
        <w:jc w:val="left"/>
      </w:pPr>
      <w:r w:rsidRPr="00C155B8">
        <w:t>ERLÄUTERUNGEN</w:t>
      </w:r>
    </w:p>
    <w:p w:rsidR="001150EF" w:rsidRPr="00C155B8" w:rsidRDefault="001150EF" w:rsidP="001150EF"/>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1150EF" w:rsidRPr="00C155B8" w:rsidTr="001150EF">
        <w:trPr>
          <w:cantSplit/>
          <w:jc w:val="center"/>
        </w:trPr>
        <w:tc>
          <w:tcPr>
            <w:tcW w:w="1741" w:type="dxa"/>
            <w:shd w:val="clear" w:color="auto" w:fill="D9D9D9"/>
          </w:tcPr>
          <w:p w:rsidR="001150EF" w:rsidRPr="00C155B8" w:rsidRDefault="001150EF" w:rsidP="001150EF">
            <w:pPr>
              <w:jc w:val="left"/>
              <w:rPr>
                <w:sz w:val="18"/>
                <w:szCs w:val="18"/>
              </w:rPr>
            </w:pPr>
            <w:proofErr w:type="spellStart"/>
            <w:r w:rsidRPr="00C155B8">
              <w:rPr>
                <w:sz w:val="18"/>
                <w:szCs w:val="18"/>
              </w:rPr>
              <w:t>Verweiszeichen</w:t>
            </w:r>
            <w:proofErr w:type="spellEnd"/>
          </w:p>
        </w:tc>
        <w:tc>
          <w:tcPr>
            <w:tcW w:w="4717" w:type="dxa"/>
            <w:shd w:val="clear" w:color="auto" w:fill="D9D9D9"/>
          </w:tcPr>
          <w:p w:rsidR="001150EF" w:rsidRPr="00C155B8" w:rsidRDefault="001150EF" w:rsidP="001150EF">
            <w:pPr>
              <w:jc w:val="left"/>
              <w:rPr>
                <w:sz w:val="18"/>
                <w:szCs w:val="18"/>
              </w:rPr>
            </w:pPr>
            <w:proofErr w:type="spellStart"/>
            <w:r w:rsidRPr="00C155B8">
              <w:rPr>
                <w:sz w:val="18"/>
                <w:szCs w:val="18"/>
              </w:rPr>
              <w:t>Erläuterungen</w:t>
            </w:r>
            <w:proofErr w:type="spellEnd"/>
            <w:r w:rsidRPr="00C155B8">
              <w:rPr>
                <w:sz w:val="18"/>
                <w:szCs w:val="18"/>
              </w:rPr>
              <w:t xml:space="preserve"> </w:t>
            </w:r>
            <w:proofErr w:type="spellStart"/>
            <w:r w:rsidRPr="00C155B8">
              <w:rPr>
                <w:sz w:val="18"/>
                <w:szCs w:val="18"/>
              </w:rPr>
              <w:t>zu</w:t>
            </w:r>
            <w:proofErr w:type="spellEnd"/>
            <w:r w:rsidRPr="00C155B8">
              <w:rPr>
                <w:sz w:val="18"/>
                <w:szCs w:val="18"/>
              </w:rPr>
              <w:t>:</w:t>
            </w:r>
          </w:p>
        </w:tc>
        <w:tc>
          <w:tcPr>
            <w:tcW w:w="3912" w:type="dxa"/>
            <w:shd w:val="clear" w:color="auto" w:fill="D9D9D9"/>
          </w:tcPr>
          <w:p w:rsidR="001150EF" w:rsidRPr="00C155B8" w:rsidRDefault="001150EF" w:rsidP="001150EF">
            <w:pPr>
              <w:jc w:val="left"/>
              <w:rPr>
                <w:sz w:val="18"/>
                <w:szCs w:val="18"/>
              </w:rPr>
            </w:pPr>
            <w:r w:rsidRPr="00C155B8">
              <w:rPr>
                <w:sz w:val="18"/>
                <w:szCs w:val="18"/>
              </w:rPr>
              <w:t>Status</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UPOV/EXN/BRD</w:t>
            </w:r>
          </w:p>
        </w:tc>
        <w:tc>
          <w:tcPr>
            <w:tcW w:w="4717" w:type="dxa"/>
          </w:tcPr>
          <w:p w:rsidR="001150EF" w:rsidRPr="00C155B8" w:rsidRDefault="001150EF" w:rsidP="001150EF">
            <w:pPr>
              <w:jc w:val="left"/>
              <w:rPr>
                <w:sz w:val="18"/>
                <w:szCs w:val="18"/>
                <w:lang w:val="de-DE"/>
              </w:rPr>
            </w:pPr>
            <w:r w:rsidRPr="008C18AF">
              <w:rPr>
                <w:spacing w:val="-2"/>
                <w:sz w:val="18"/>
                <w:lang w:val="de-DE"/>
              </w:rPr>
              <w:t>Begriffsbestimmung des Züchters nach der Akte von 1991</w:t>
            </w:r>
            <w:r w:rsidRPr="00C155B8">
              <w:rPr>
                <w:sz w:val="18"/>
                <w:lang w:val="de-DE"/>
              </w:rPr>
              <w:t xml:space="preserve"> des UPOV-Übereinkommens</w:t>
            </w:r>
          </w:p>
        </w:tc>
        <w:tc>
          <w:tcPr>
            <w:tcW w:w="3912" w:type="dxa"/>
          </w:tcPr>
          <w:p w:rsidR="001150EF" w:rsidRPr="00C155B8" w:rsidRDefault="001150EF" w:rsidP="001150EF">
            <w:pPr>
              <w:jc w:val="left"/>
              <w:rPr>
                <w:strike/>
                <w:sz w:val="18"/>
                <w:szCs w:val="18"/>
                <w:lang w:val="de-DE"/>
              </w:rPr>
            </w:pPr>
            <w:r w:rsidRPr="00C155B8">
              <w:rPr>
                <w:sz w:val="18"/>
                <w:szCs w:val="18"/>
                <w:lang w:val="de-DE"/>
              </w:rPr>
              <w:t>UPOV/EXN/BRD/1 im Oktober 2013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UPOV/EXN/CAL</w:t>
            </w:r>
          </w:p>
        </w:tc>
        <w:tc>
          <w:tcPr>
            <w:tcW w:w="4717" w:type="dxa"/>
          </w:tcPr>
          <w:p w:rsidR="001150EF" w:rsidRPr="00C155B8" w:rsidRDefault="001150EF" w:rsidP="001150EF">
            <w:pPr>
              <w:jc w:val="left"/>
              <w:rPr>
                <w:sz w:val="18"/>
                <w:szCs w:val="18"/>
                <w:lang w:val="de-DE"/>
              </w:rPr>
            </w:pPr>
            <w:r w:rsidRPr="00C155B8">
              <w:rPr>
                <w:sz w:val="18"/>
                <w:lang w:val="de-DE"/>
              </w:rPr>
              <w:t>Bedingungen und Einschränkungen im Zusammenhang mit der Zustimmung des Züchters in bezug auf Vermehrungsmaterial nach dem UPOV-Übereinkommen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UPOV/EXN/CAL/1 im Oktober 2010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UPOV/EXN/CAN</w:t>
            </w:r>
          </w:p>
        </w:tc>
        <w:tc>
          <w:tcPr>
            <w:tcW w:w="4717" w:type="dxa"/>
          </w:tcPr>
          <w:p w:rsidR="001150EF" w:rsidRPr="00C155B8" w:rsidRDefault="001150EF" w:rsidP="001150EF">
            <w:pPr>
              <w:jc w:val="left"/>
              <w:rPr>
                <w:sz w:val="18"/>
                <w:szCs w:val="18"/>
                <w:lang w:val="de-DE"/>
              </w:rPr>
            </w:pPr>
            <w:r w:rsidRPr="00C155B8">
              <w:rPr>
                <w:sz w:val="18"/>
                <w:lang w:val="de-DE"/>
              </w:rPr>
              <w:t xml:space="preserve">Aufhebung </w:t>
            </w:r>
            <w:r w:rsidR="00580991">
              <w:rPr>
                <w:sz w:val="18"/>
                <w:lang w:val="de-DE"/>
              </w:rPr>
              <w:t>des Züchterrechts nach dem UPOV</w:t>
            </w:r>
            <w:r w:rsidR="00580991">
              <w:rPr>
                <w:sz w:val="18"/>
                <w:lang w:val="de-DE"/>
              </w:rPr>
              <w:noBreakHyphen/>
            </w:r>
            <w:r w:rsidRPr="00C155B8">
              <w:rPr>
                <w:sz w:val="18"/>
                <w:lang w:val="de-DE"/>
              </w:rPr>
              <w:t>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UPOV/EXN/CAN/2 im Oktober 2015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UPOV/EXN/EDV</w:t>
            </w:r>
          </w:p>
        </w:tc>
        <w:tc>
          <w:tcPr>
            <w:tcW w:w="4717" w:type="dxa"/>
          </w:tcPr>
          <w:p w:rsidR="001150EF" w:rsidRPr="00C155B8" w:rsidRDefault="001150EF" w:rsidP="001150EF">
            <w:pPr>
              <w:jc w:val="left"/>
              <w:rPr>
                <w:sz w:val="18"/>
                <w:szCs w:val="18"/>
                <w:lang w:val="de-DE"/>
              </w:rPr>
            </w:pPr>
            <w:r w:rsidRPr="00C155B8">
              <w:rPr>
                <w:sz w:val="18"/>
                <w:lang w:val="de-DE"/>
              </w:rPr>
              <w:t xml:space="preserve">Im wesentlichen abgeleitete Sorten nach </w:t>
            </w:r>
            <w:r w:rsidR="00580991">
              <w:rPr>
                <w:sz w:val="18"/>
                <w:lang w:val="de-DE"/>
              </w:rPr>
              <w:t>der Akte von </w:t>
            </w:r>
            <w:r w:rsidRPr="00C155B8">
              <w:rPr>
                <w:sz w:val="18"/>
                <w:lang w:val="de-DE"/>
              </w:rPr>
              <w:t>1991 des UPOV Übereinkommens</w:t>
            </w:r>
          </w:p>
        </w:tc>
        <w:tc>
          <w:tcPr>
            <w:tcW w:w="3912" w:type="dxa"/>
          </w:tcPr>
          <w:p w:rsidR="001150EF" w:rsidRPr="00C155B8" w:rsidRDefault="001150EF" w:rsidP="001150EF">
            <w:pPr>
              <w:jc w:val="left"/>
              <w:rPr>
                <w:sz w:val="18"/>
                <w:szCs w:val="18"/>
                <w:lang w:val="de-DE"/>
              </w:rPr>
            </w:pPr>
            <w:r w:rsidRPr="00C155B8">
              <w:rPr>
                <w:sz w:val="18"/>
                <w:szCs w:val="18"/>
                <w:lang w:val="de-DE"/>
              </w:rPr>
              <w:t>UPOV/EXN/EDV/2 im April 2017 angenommen</w:t>
            </w:r>
          </w:p>
          <w:p w:rsidR="001150EF" w:rsidRPr="00C155B8" w:rsidRDefault="001150EF" w:rsidP="001150EF">
            <w:pPr>
              <w:jc w:val="left"/>
              <w:rPr>
                <w:sz w:val="18"/>
                <w:szCs w:val="18"/>
                <w:lang w:val="de-DE"/>
              </w:rPr>
            </w:pPr>
            <w:r w:rsidRPr="00C155B8">
              <w:rPr>
                <w:i/>
                <w:sz w:val="18"/>
                <w:szCs w:val="18"/>
                <w:lang w:val="de-DE"/>
              </w:rPr>
              <w:t>Die Notwendigkeit einer Überarbeitung wird vom CAJ im Oktober 2019 geprüft</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UPOV/EXN/ENF</w:t>
            </w:r>
          </w:p>
        </w:tc>
        <w:tc>
          <w:tcPr>
            <w:tcW w:w="4717" w:type="dxa"/>
          </w:tcPr>
          <w:p w:rsidR="001150EF" w:rsidRPr="00C155B8" w:rsidRDefault="001150EF" w:rsidP="001150EF">
            <w:pPr>
              <w:jc w:val="left"/>
              <w:rPr>
                <w:sz w:val="18"/>
                <w:szCs w:val="18"/>
                <w:lang w:val="de-DE"/>
              </w:rPr>
            </w:pPr>
            <w:r w:rsidRPr="00C155B8">
              <w:rPr>
                <w:sz w:val="18"/>
                <w:lang w:val="de-DE"/>
              </w:rPr>
              <w:t xml:space="preserve">Wahrung </w:t>
            </w:r>
            <w:r w:rsidR="00580991">
              <w:rPr>
                <w:sz w:val="18"/>
                <w:lang w:val="de-DE"/>
              </w:rPr>
              <w:t>der Züchterrechte nach dem UPOV</w:t>
            </w:r>
            <w:r w:rsidR="00580991">
              <w:rPr>
                <w:sz w:val="18"/>
                <w:lang w:val="de-DE"/>
              </w:rPr>
              <w:noBreakHyphen/>
            </w:r>
            <w:r w:rsidRPr="00C155B8">
              <w:rPr>
                <w:sz w:val="18"/>
                <w:lang w:val="de-DE"/>
              </w:rPr>
              <w:t>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UPOV/EXN/ENF/1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UPOV/EXN/EXC</w:t>
            </w:r>
          </w:p>
        </w:tc>
        <w:tc>
          <w:tcPr>
            <w:tcW w:w="4717" w:type="dxa"/>
          </w:tcPr>
          <w:p w:rsidR="001150EF" w:rsidRPr="00C155B8" w:rsidRDefault="001150EF" w:rsidP="001150EF">
            <w:pPr>
              <w:jc w:val="left"/>
              <w:rPr>
                <w:sz w:val="18"/>
                <w:szCs w:val="18"/>
                <w:lang w:val="de-DE"/>
              </w:rPr>
            </w:pPr>
            <w:r w:rsidRPr="00C155B8">
              <w:rPr>
                <w:sz w:val="18"/>
                <w:lang w:val="de-DE"/>
              </w:rPr>
              <w:t>Ausna</w:t>
            </w:r>
            <w:r w:rsidR="00580991">
              <w:rPr>
                <w:sz w:val="18"/>
                <w:lang w:val="de-DE"/>
              </w:rPr>
              <w:t xml:space="preserve">hmen vom Züchterrecht nach der </w:t>
            </w:r>
            <w:r w:rsidRPr="00C155B8">
              <w:rPr>
                <w:sz w:val="18"/>
                <w:lang w:val="de-DE"/>
              </w:rPr>
              <w:t>Akte von 1991 des UPOV Übereinkommens</w:t>
            </w:r>
          </w:p>
        </w:tc>
        <w:tc>
          <w:tcPr>
            <w:tcW w:w="3912" w:type="dxa"/>
          </w:tcPr>
          <w:p w:rsidR="001150EF" w:rsidRPr="00C155B8" w:rsidRDefault="001150EF" w:rsidP="001150EF">
            <w:pPr>
              <w:jc w:val="left"/>
              <w:rPr>
                <w:sz w:val="18"/>
                <w:szCs w:val="18"/>
                <w:lang w:val="de-DE"/>
              </w:rPr>
            </w:pPr>
            <w:r w:rsidRPr="00C155B8">
              <w:rPr>
                <w:sz w:val="18"/>
                <w:szCs w:val="18"/>
                <w:lang w:val="de-DE"/>
              </w:rPr>
              <w:t>UPOV/EXN/EXC/1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UPOV/EXN/GEN</w:t>
            </w:r>
          </w:p>
        </w:tc>
        <w:tc>
          <w:tcPr>
            <w:tcW w:w="4717" w:type="dxa"/>
          </w:tcPr>
          <w:p w:rsidR="001150EF" w:rsidRPr="00C155B8" w:rsidRDefault="001150EF" w:rsidP="001150EF">
            <w:pPr>
              <w:jc w:val="left"/>
              <w:rPr>
                <w:sz w:val="18"/>
                <w:szCs w:val="18"/>
                <w:lang w:val="de-DE"/>
              </w:rPr>
            </w:pPr>
            <w:r w:rsidRPr="00C155B8">
              <w:rPr>
                <w:sz w:val="18"/>
                <w:lang w:val="de-DE"/>
              </w:rPr>
              <w:t>Gattungen und Arten, die nach der Akte von 1991 des UPOV-Übereinkommens geschützt werden müssen</w:t>
            </w:r>
          </w:p>
        </w:tc>
        <w:tc>
          <w:tcPr>
            <w:tcW w:w="3912" w:type="dxa"/>
          </w:tcPr>
          <w:p w:rsidR="001150EF" w:rsidRPr="00C155B8" w:rsidRDefault="001150EF" w:rsidP="001150EF">
            <w:pPr>
              <w:jc w:val="left"/>
              <w:rPr>
                <w:sz w:val="18"/>
                <w:szCs w:val="18"/>
                <w:lang w:val="de-DE"/>
              </w:rPr>
            </w:pPr>
            <w:r w:rsidRPr="00C155B8">
              <w:rPr>
                <w:sz w:val="18"/>
                <w:szCs w:val="18"/>
                <w:lang w:val="de-DE"/>
              </w:rPr>
              <w:t>UPOV/EXN/GEN/1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UPOV/EXN/HRV</w:t>
            </w:r>
          </w:p>
        </w:tc>
        <w:tc>
          <w:tcPr>
            <w:tcW w:w="4717" w:type="dxa"/>
          </w:tcPr>
          <w:p w:rsidR="001150EF" w:rsidRPr="00C155B8" w:rsidRDefault="001150EF" w:rsidP="001150EF">
            <w:pPr>
              <w:jc w:val="left"/>
              <w:rPr>
                <w:sz w:val="18"/>
                <w:szCs w:val="18"/>
                <w:lang w:val="de-DE"/>
              </w:rPr>
            </w:pPr>
            <w:r w:rsidRPr="00C155B8">
              <w:rPr>
                <w:sz w:val="18"/>
                <w:lang w:val="de-DE"/>
              </w:rPr>
              <w:t>Handlungen in bezug</w:t>
            </w:r>
            <w:r w:rsidR="00580991">
              <w:rPr>
                <w:sz w:val="18"/>
                <w:lang w:val="de-DE"/>
              </w:rPr>
              <w:t xml:space="preserve"> auf Erntegut nach der Akte von </w:t>
            </w:r>
            <w:r w:rsidRPr="00C155B8">
              <w:rPr>
                <w:sz w:val="18"/>
                <w:lang w:val="de-DE"/>
              </w:rPr>
              <w:t>1991 des UPOV-Übereinkommens</w:t>
            </w:r>
          </w:p>
        </w:tc>
        <w:tc>
          <w:tcPr>
            <w:tcW w:w="3912" w:type="dxa"/>
          </w:tcPr>
          <w:p w:rsidR="001150EF" w:rsidRPr="00C155B8" w:rsidRDefault="001150EF" w:rsidP="001150EF">
            <w:pPr>
              <w:jc w:val="left"/>
              <w:rPr>
                <w:sz w:val="18"/>
                <w:szCs w:val="18"/>
                <w:lang w:val="de-DE"/>
              </w:rPr>
            </w:pPr>
            <w:r w:rsidRPr="00C155B8">
              <w:rPr>
                <w:sz w:val="18"/>
                <w:szCs w:val="18"/>
                <w:lang w:val="de-DE"/>
              </w:rPr>
              <w:t>UPOV/EXN/HRV/1 im Oktober 2013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UPOV/EXN/NAT</w:t>
            </w:r>
          </w:p>
        </w:tc>
        <w:tc>
          <w:tcPr>
            <w:tcW w:w="4717" w:type="dxa"/>
          </w:tcPr>
          <w:p w:rsidR="001150EF" w:rsidRPr="00C155B8" w:rsidRDefault="001150EF" w:rsidP="001150EF">
            <w:pPr>
              <w:jc w:val="left"/>
              <w:rPr>
                <w:sz w:val="18"/>
                <w:szCs w:val="18"/>
                <w:lang w:val="de-DE"/>
              </w:rPr>
            </w:pPr>
            <w:r w:rsidRPr="00C155B8">
              <w:rPr>
                <w:sz w:val="18"/>
                <w:lang w:val="de-DE"/>
              </w:rPr>
              <w:t xml:space="preserve">Inländerbehandlung </w:t>
            </w:r>
            <w:r w:rsidR="00580991">
              <w:rPr>
                <w:sz w:val="18"/>
                <w:lang w:val="de-DE"/>
              </w:rPr>
              <w:t>nach der Akte von 1991 des UPOV</w:t>
            </w:r>
            <w:r w:rsidR="00580991">
              <w:rPr>
                <w:sz w:val="18"/>
                <w:lang w:val="de-DE"/>
              </w:rPr>
              <w:noBreakHyphen/>
            </w:r>
            <w:r w:rsidRPr="00C155B8">
              <w:rPr>
                <w:sz w:val="18"/>
                <w:lang w:val="de-DE"/>
              </w:rPr>
              <w:t>Übereinkommens</w:t>
            </w:r>
          </w:p>
        </w:tc>
        <w:tc>
          <w:tcPr>
            <w:tcW w:w="3912" w:type="dxa"/>
          </w:tcPr>
          <w:p w:rsidR="001150EF" w:rsidRPr="00C155B8" w:rsidRDefault="001150EF" w:rsidP="001150EF">
            <w:pPr>
              <w:jc w:val="left"/>
              <w:rPr>
                <w:sz w:val="18"/>
                <w:szCs w:val="18"/>
                <w:lang w:val="de-DE"/>
              </w:rPr>
            </w:pPr>
            <w:r w:rsidRPr="00C155B8">
              <w:rPr>
                <w:sz w:val="18"/>
                <w:szCs w:val="18"/>
                <w:lang w:val="de-DE"/>
              </w:rPr>
              <w:t>UPOV/EXN/NAT/1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UPOV/EXN/NOV</w:t>
            </w:r>
          </w:p>
        </w:tc>
        <w:tc>
          <w:tcPr>
            <w:tcW w:w="4717" w:type="dxa"/>
          </w:tcPr>
          <w:p w:rsidR="001150EF" w:rsidRPr="00C155B8" w:rsidRDefault="001150EF" w:rsidP="001150EF">
            <w:pPr>
              <w:jc w:val="left"/>
              <w:rPr>
                <w:sz w:val="18"/>
                <w:szCs w:val="18"/>
                <w:lang w:val="de-DE"/>
              </w:rPr>
            </w:pPr>
            <w:r w:rsidRPr="00C155B8">
              <w:rPr>
                <w:sz w:val="18"/>
                <w:lang w:val="de-DE"/>
              </w:rPr>
              <w:t>Neuheit nach dem UPOV-Übereinkommen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UPOV/EXN//NOV/1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UPOV/EXN/NUL</w:t>
            </w:r>
          </w:p>
        </w:tc>
        <w:tc>
          <w:tcPr>
            <w:tcW w:w="4717" w:type="dxa"/>
          </w:tcPr>
          <w:p w:rsidR="001150EF" w:rsidRPr="00C155B8" w:rsidRDefault="001150EF" w:rsidP="001150EF">
            <w:pPr>
              <w:jc w:val="left"/>
              <w:rPr>
                <w:sz w:val="18"/>
                <w:szCs w:val="18"/>
                <w:lang w:val="de-DE"/>
              </w:rPr>
            </w:pPr>
            <w:r w:rsidRPr="00C155B8">
              <w:rPr>
                <w:sz w:val="18"/>
                <w:lang w:val="de-DE"/>
              </w:rPr>
              <w:t xml:space="preserve">Nichtigkeit </w:t>
            </w:r>
            <w:r w:rsidR="00580991">
              <w:rPr>
                <w:sz w:val="18"/>
                <w:lang w:val="de-DE"/>
              </w:rPr>
              <w:t>des Züchterrechts nach dem UPOV</w:t>
            </w:r>
            <w:r w:rsidR="00580991">
              <w:rPr>
                <w:sz w:val="18"/>
                <w:lang w:val="de-DE"/>
              </w:rPr>
              <w:noBreakHyphen/>
            </w:r>
            <w:r w:rsidRPr="00C155B8">
              <w:rPr>
                <w:sz w:val="18"/>
                <w:lang w:val="de-DE"/>
              </w:rPr>
              <w:t>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UPOV/EXN//NUL/2 im Oktober 2015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UPOV/EXN/PPM</w:t>
            </w:r>
          </w:p>
        </w:tc>
        <w:tc>
          <w:tcPr>
            <w:tcW w:w="4717" w:type="dxa"/>
          </w:tcPr>
          <w:p w:rsidR="001150EF" w:rsidRPr="00C155B8" w:rsidRDefault="001150EF" w:rsidP="001150EF">
            <w:pPr>
              <w:jc w:val="left"/>
              <w:rPr>
                <w:sz w:val="18"/>
                <w:szCs w:val="18"/>
                <w:lang w:val="de-DE"/>
              </w:rPr>
            </w:pPr>
            <w:r w:rsidRPr="00C155B8">
              <w:rPr>
                <w:sz w:val="18"/>
                <w:lang w:val="de-DE"/>
              </w:rPr>
              <w:t>Vermehrungsmaterial nach der Akte von 1991 des UPOV-Übereinkommens</w:t>
            </w:r>
          </w:p>
        </w:tc>
        <w:tc>
          <w:tcPr>
            <w:tcW w:w="3912" w:type="dxa"/>
          </w:tcPr>
          <w:p w:rsidR="001150EF" w:rsidRPr="00580991" w:rsidRDefault="001150EF" w:rsidP="001150EF">
            <w:pPr>
              <w:jc w:val="left"/>
              <w:rPr>
                <w:sz w:val="18"/>
                <w:szCs w:val="18"/>
                <w:lang w:val="de-DE"/>
              </w:rPr>
            </w:pPr>
            <w:r w:rsidRPr="00580991">
              <w:rPr>
                <w:sz w:val="18"/>
                <w:szCs w:val="18"/>
                <w:lang w:val="de-DE"/>
              </w:rPr>
              <w:t>UPOV/EXN/PPM/1 im April 2017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UPOV/EXN/PRI</w:t>
            </w:r>
          </w:p>
        </w:tc>
        <w:tc>
          <w:tcPr>
            <w:tcW w:w="4717" w:type="dxa"/>
          </w:tcPr>
          <w:p w:rsidR="001150EF" w:rsidRPr="00C155B8" w:rsidRDefault="001150EF" w:rsidP="001150EF">
            <w:pPr>
              <w:jc w:val="left"/>
              <w:rPr>
                <w:sz w:val="18"/>
                <w:szCs w:val="18"/>
                <w:lang w:val="de-DE"/>
              </w:rPr>
            </w:pPr>
            <w:r w:rsidRPr="00C155B8">
              <w:rPr>
                <w:sz w:val="18"/>
                <w:lang w:val="de-DE"/>
              </w:rPr>
              <w:t>Prioritätsrecht nach dem UPOV-Übereinkommen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UPOV/EXN//PRI/1 im Oktober 2009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UPOV/EXN/PRP</w:t>
            </w:r>
          </w:p>
        </w:tc>
        <w:tc>
          <w:tcPr>
            <w:tcW w:w="4717" w:type="dxa"/>
          </w:tcPr>
          <w:p w:rsidR="001150EF" w:rsidRPr="00C155B8" w:rsidRDefault="001150EF" w:rsidP="001150EF">
            <w:pPr>
              <w:jc w:val="left"/>
              <w:rPr>
                <w:sz w:val="18"/>
                <w:szCs w:val="18"/>
                <w:lang w:val="de-DE"/>
              </w:rPr>
            </w:pPr>
            <w:r w:rsidRPr="00C155B8">
              <w:rPr>
                <w:sz w:val="18"/>
                <w:lang w:val="de-DE"/>
              </w:rPr>
              <w:t>Vorläufiger Schutz nach dem UPOV-Übereinkommen</w:t>
            </w:r>
          </w:p>
        </w:tc>
        <w:tc>
          <w:tcPr>
            <w:tcW w:w="3912" w:type="dxa"/>
          </w:tcPr>
          <w:p w:rsidR="001150EF" w:rsidRPr="00C155B8" w:rsidRDefault="001150EF" w:rsidP="001150EF">
            <w:pPr>
              <w:jc w:val="left"/>
              <w:rPr>
                <w:sz w:val="18"/>
                <w:szCs w:val="18"/>
                <w:lang w:val="de-DE"/>
              </w:rPr>
            </w:pPr>
            <w:r w:rsidRPr="00C155B8">
              <w:rPr>
                <w:sz w:val="18"/>
                <w:szCs w:val="18"/>
                <w:lang w:val="de-DE"/>
              </w:rPr>
              <w:t>UPOV/EXN/PRP/1 im Oktober 2015 angenommen</w:t>
            </w:r>
          </w:p>
        </w:tc>
      </w:tr>
      <w:tr w:rsidR="001150EF" w:rsidRPr="00E26BB4" w:rsidTr="001150EF">
        <w:trPr>
          <w:cantSplit/>
          <w:jc w:val="center"/>
        </w:trPr>
        <w:tc>
          <w:tcPr>
            <w:tcW w:w="1741" w:type="dxa"/>
          </w:tcPr>
          <w:p w:rsidR="001150EF" w:rsidRPr="00C155B8" w:rsidRDefault="001150EF" w:rsidP="001150EF">
            <w:pPr>
              <w:jc w:val="left"/>
              <w:rPr>
                <w:sz w:val="18"/>
                <w:szCs w:val="18"/>
                <w:lang w:val="de-DE"/>
              </w:rPr>
            </w:pPr>
            <w:r w:rsidRPr="00C155B8">
              <w:rPr>
                <w:sz w:val="18"/>
                <w:lang w:val="de-DE"/>
              </w:rPr>
              <w:t>UPOV/EXN/VAR</w:t>
            </w:r>
          </w:p>
        </w:tc>
        <w:tc>
          <w:tcPr>
            <w:tcW w:w="4717" w:type="dxa"/>
          </w:tcPr>
          <w:p w:rsidR="001150EF" w:rsidRPr="00C155B8" w:rsidRDefault="001150EF" w:rsidP="001150EF">
            <w:pPr>
              <w:jc w:val="left"/>
              <w:rPr>
                <w:sz w:val="18"/>
                <w:szCs w:val="18"/>
                <w:lang w:val="de-DE"/>
              </w:rPr>
            </w:pPr>
            <w:r w:rsidRPr="00C155B8">
              <w:rPr>
                <w:sz w:val="18"/>
                <w:lang w:val="de-DE"/>
              </w:rPr>
              <w:t>Begriffsbestimmung der Sorte nach der Akte von 1991 des UPOV-Übereinkommens</w:t>
            </w:r>
          </w:p>
        </w:tc>
        <w:tc>
          <w:tcPr>
            <w:tcW w:w="3912" w:type="dxa"/>
          </w:tcPr>
          <w:p w:rsidR="001150EF" w:rsidRPr="00C155B8" w:rsidRDefault="001150EF" w:rsidP="001150EF">
            <w:pPr>
              <w:jc w:val="left"/>
              <w:rPr>
                <w:sz w:val="18"/>
                <w:szCs w:val="18"/>
                <w:lang w:val="de-DE"/>
              </w:rPr>
            </w:pPr>
            <w:r w:rsidRPr="00C155B8">
              <w:rPr>
                <w:sz w:val="18"/>
                <w:szCs w:val="18"/>
                <w:lang w:val="de-DE"/>
              </w:rPr>
              <w:t>UPOV/EXN//VAR/1 im Oktober 2010 angenommen</w:t>
            </w:r>
          </w:p>
        </w:tc>
      </w:tr>
    </w:tbl>
    <w:p w:rsidR="001150EF" w:rsidRPr="001150EF" w:rsidRDefault="001150EF" w:rsidP="001150EF">
      <w:pPr>
        <w:jc w:val="center"/>
        <w:rPr>
          <w:lang w:val="de-CH"/>
        </w:rPr>
      </w:pPr>
      <w:r w:rsidRPr="001150EF">
        <w:rPr>
          <w:sz w:val="18"/>
          <w:szCs w:val="18"/>
          <w:lang w:val="de-CH"/>
        </w:rPr>
        <w:br w:type="page"/>
      </w:r>
    </w:p>
    <w:p w:rsidR="001150EF" w:rsidRPr="00C155B8" w:rsidRDefault="00D82B74" w:rsidP="001150EF">
      <w:r w:rsidRPr="00C155B8">
        <w:lastRenderedPageBreak/>
        <w:t>INFORMATIONSDOKUMENTE</w:t>
      </w:r>
    </w:p>
    <w:p w:rsidR="001150EF" w:rsidRPr="00C155B8" w:rsidRDefault="001150EF" w:rsidP="001150EF"/>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1150EF" w:rsidRPr="00C155B8" w:rsidTr="001150EF">
        <w:trPr>
          <w:cantSplit/>
          <w:jc w:val="center"/>
        </w:trPr>
        <w:tc>
          <w:tcPr>
            <w:tcW w:w="1758" w:type="dxa"/>
            <w:tcBorders>
              <w:top w:val="single" w:sz="4" w:space="0" w:color="auto"/>
            </w:tcBorders>
            <w:shd w:val="clear" w:color="auto" w:fill="D9D9D9"/>
          </w:tcPr>
          <w:p w:rsidR="001150EF" w:rsidRPr="00C155B8" w:rsidRDefault="001150EF" w:rsidP="001150EF">
            <w:pPr>
              <w:jc w:val="left"/>
              <w:rPr>
                <w:sz w:val="18"/>
                <w:szCs w:val="18"/>
              </w:rPr>
            </w:pPr>
            <w:proofErr w:type="spellStart"/>
            <w:r w:rsidRPr="00C155B8">
              <w:rPr>
                <w:sz w:val="18"/>
                <w:szCs w:val="18"/>
              </w:rPr>
              <w:t>Jüngstes</w:t>
            </w:r>
            <w:proofErr w:type="spellEnd"/>
            <w:r w:rsidRPr="00C155B8">
              <w:rPr>
                <w:sz w:val="18"/>
                <w:szCs w:val="18"/>
              </w:rPr>
              <w:t xml:space="preserve"> </w:t>
            </w:r>
            <w:proofErr w:type="spellStart"/>
            <w:r w:rsidRPr="00C155B8">
              <w:rPr>
                <w:sz w:val="18"/>
                <w:szCs w:val="18"/>
              </w:rPr>
              <w:t>Verweiszeichen</w:t>
            </w:r>
            <w:proofErr w:type="spellEnd"/>
          </w:p>
        </w:tc>
        <w:tc>
          <w:tcPr>
            <w:tcW w:w="4807" w:type="dxa"/>
            <w:tcBorders>
              <w:top w:val="single" w:sz="4" w:space="0" w:color="auto"/>
            </w:tcBorders>
            <w:shd w:val="clear" w:color="auto" w:fill="D9D9D9"/>
          </w:tcPr>
          <w:p w:rsidR="001150EF" w:rsidRPr="00C155B8" w:rsidRDefault="001150EF" w:rsidP="001150EF">
            <w:pPr>
              <w:jc w:val="center"/>
              <w:rPr>
                <w:sz w:val="18"/>
                <w:szCs w:val="18"/>
              </w:rPr>
            </w:pPr>
            <w:r w:rsidRPr="00C155B8">
              <w:rPr>
                <w:sz w:val="18"/>
                <w:szCs w:val="18"/>
              </w:rPr>
              <w:t>INF-</w:t>
            </w:r>
            <w:proofErr w:type="spellStart"/>
            <w:r w:rsidRPr="00C155B8">
              <w:rPr>
                <w:sz w:val="18"/>
                <w:szCs w:val="18"/>
              </w:rPr>
              <w:t>Dokumente</w:t>
            </w:r>
            <w:proofErr w:type="spellEnd"/>
          </w:p>
        </w:tc>
        <w:tc>
          <w:tcPr>
            <w:tcW w:w="3920" w:type="dxa"/>
            <w:tcBorders>
              <w:top w:val="single" w:sz="4" w:space="0" w:color="auto"/>
            </w:tcBorders>
            <w:shd w:val="clear" w:color="auto" w:fill="D9D9D9"/>
          </w:tcPr>
          <w:p w:rsidR="001150EF" w:rsidRPr="00C155B8" w:rsidRDefault="001150EF" w:rsidP="001150EF">
            <w:pPr>
              <w:jc w:val="left"/>
              <w:rPr>
                <w:sz w:val="18"/>
                <w:szCs w:val="18"/>
              </w:rPr>
            </w:pPr>
            <w:r w:rsidRPr="00C155B8">
              <w:rPr>
                <w:sz w:val="18"/>
                <w:szCs w:val="18"/>
              </w:rPr>
              <w:t>Status</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UPOV/INF-EXN</w:t>
            </w:r>
          </w:p>
        </w:tc>
        <w:tc>
          <w:tcPr>
            <w:tcW w:w="4807" w:type="dxa"/>
          </w:tcPr>
          <w:p w:rsidR="001150EF" w:rsidRPr="00C155B8" w:rsidRDefault="001150EF" w:rsidP="001150EF">
            <w:pPr>
              <w:jc w:val="left"/>
              <w:rPr>
                <w:sz w:val="18"/>
                <w:szCs w:val="18"/>
                <w:lang w:val="de-DE"/>
              </w:rPr>
            </w:pPr>
            <w:r w:rsidRPr="00C155B8">
              <w:rPr>
                <w:sz w:val="18"/>
                <w:lang w:val="de-DE"/>
              </w:rPr>
              <w:t>Liste der UPOV/INF-EXN-Dokumente und Datum der jüngsten Ausgabe</w:t>
            </w:r>
          </w:p>
        </w:tc>
        <w:tc>
          <w:tcPr>
            <w:tcW w:w="3920" w:type="dxa"/>
          </w:tcPr>
          <w:p w:rsidR="001150EF" w:rsidRPr="001150EF" w:rsidRDefault="001150EF" w:rsidP="001150EF">
            <w:pPr>
              <w:spacing w:after="60"/>
              <w:jc w:val="left"/>
              <w:rPr>
                <w:sz w:val="18"/>
                <w:szCs w:val="18"/>
                <w:lang w:val="de-CH"/>
              </w:rPr>
            </w:pPr>
            <w:r w:rsidRPr="001150EF">
              <w:rPr>
                <w:sz w:val="18"/>
                <w:szCs w:val="18"/>
                <w:lang w:val="de-CH"/>
              </w:rPr>
              <w:t>UPOV/INF-EXN/12 im November 2018 angenommen</w:t>
            </w:r>
          </w:p>
          <w:p w:rsidR="001150EF" w:rsidRPr="001150EF" w:rsidRDefault="001150EF" w:rsidP="001150EF">
            <w:pPr>
              <w:jc w:val="left"/>
              <w:rPr>
                <w:sz w:val="18"/>
                <w:szCs w:val="18"/>
                <w:lang w:val="de-CH"/>
              </w:rPr>
            </w:pPr>
            <w:r w:rsidRPr="001150EF">
              <w:rPr>
                <w:i/>
                <w:sz w:val="18"/>
                <w:szCs w:val="18"/>
                <w:lang w:val="de-CH"/>
              </w:rPr>
              <w:t>UPOV/INF-EXN/13 Draft 1 vom Rat im November 2019 zu prüfe</w:t>
            </w:r>
            <w:r w:rsidRPr="001150EF">
              <w:rPr>
                <w:sz w:val="18"/>
                <w:szCs w:val="18"/>
                <w:lang w:val="de-CH"/>
              </w:rPr>
              <w:t>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UPOV/INF/4</w:t>
            </w:r>
          </w:p>
        </w:tc>
        <w:tc>
          <w:tcPr>
            <w:tcW w:w="4807" w:type="dxa"/>
          </w:tcPr>
          <w:p w:rsidR="001150EF" w:rsidRPr="00C155B8" w:rsidRDefault="001150EF" w:rsidP="001150EF">
            <w:pPr>
              <w:jc w:val="left"/>
              <w:rPr>
                <w:sz w:val="18"/>
                <w:szCs w:val="18"/>
                <w:lang w:val="de-DE"/>
              </w:rPr>
            </w:pPr>
            <w:r w:rsidRPr="00C155B8">
              <w:rPr>
                <w:sz w:val="18"/>
                <w:lang w:val="de-DE"/>
              </w:rPr>
              <w:t>Finanzordnung und ihre Durchführungsbestimmungen der UPOV</w:t>
            </w:r>
          </w:p>
        </w:tc>
        <w:tc>
          <w:tcPr>
            <w:tcW w:w="3920" w:type="dxa"/>
          </w:tcPr>
          <w:p w:rsidR="001150EF" w:rsidRPr="001150EF" w:rsidRDefault="001150EF" w:rsidP="001150EF">
            <w:pPr>
              <w:jc w:val="left"/>
              <w:rPr>
                <w:sz w:val="18"/>
                <w:szCs w:val="18"/>
                <w:lang w:val="de-CH"/>
              </w:rPr>
            </w:pPr>
            <w:r w:rsidRPr="001150EF">
              <w:rPr>
                <w:sz w:val="18"/>
                <w:szCs w:val="18"/>
                <w:lang w:val="de-CH"/>
              </w:rPr>
              <w:t>UPOV/INF/4/5 im November 2018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UPOV/INF/5</w:t>
            </w:r>
          </w:p>
        </w:tc>
        <w:tc>
          <w:tcPr>
            <w:tcW w:w="4807" w:type="dxa"/>
          </w:tcPr>
          <w:p w:rsidR="001150EF" w:rsidRPr="00C155B8" w:rsidRDefault="001150EF" w:rsidP="001150EF">
            <w:pPr>
              <w:jc w:val="left"/>
              <w:rPr>
                <w:sz w:val="18"/>
                <w:szCs w:val="18"/>
                <w:lang w:val="de-DE"/>
              </w:rPr>
            </w:pPr>
            <w:r w:rsidRPr="00C155B8">
              <w:rPr>
                <w:sz w:val="18"/>
                <w:lang w:val="de-DE"/>
              </w:rPr>
              <w:t>UPOV-Musteramtsblatt für Sortenschutz</w:t>
            </w:r>
          </w:p>
        </w:tc>
        <w:tc>
          <w:tcPr>
            <w:tcW w:w="3920" w:type="dxa"/>
          </w:tcPr>
          <w:p w:rsidR="001150EF" w:rsidRPr="001150EF" w:rsidRDefault="001150EF" w:rsidP="001150EF">
            <w:pPr>
              <w:spacing w:after="60"/>
              <w:jc w:val="left"/>
              <w:rPr>
                <w:sz w:val="18"/>
                <w:szCs w:val="18"/>
                <w:lang w:val="de-CH"/>
              </w:rPr>
            </w:pPr>
            <w:r w:rsidRPr="001150EF">
              <w:rPr>
                <w:sz w:val="18"/>
                <w:szCs w:val="18"/>
                <w:lang w:val="de-CH"/>
              </w:rPr>
              <w:t>UPOV/INF/5 im Oktober 1979 angenommen</w:t>
            </w:r>
          </w:p>
          <w:p w:rsidR="001150EF" w:rsidRPr="001150EF" w:rsidRDefault="001150EF" w:rsidP="001150EF">
            <w:pPr>
              <w:jc w:val="left"/>
              <w:rPr>
                <w:i/>
                <w:sz w:val="18"/>
                <w:szCs w:val="18"/>
                <w:lang w:val="de-CH"/>
              </w:rPr>
            </w:pPr>
            <w:r w:rsidRPr="001150EF">
              <w:rPr>
                <w:i/>
                <w:sz w:val="18"/>
                <w:szCs w:val="18"/>
                <w:lang w:val="de-CH"/>
              </w:rPr>
              <w:t>UPOV/INF/</w:t>
            </w:r>
            <w:r w:rsidR="00580991">
              <w:rPr>
                <w:i/>
                <w:sz w:val="18"/>
                <w:szCs w:val="18"/>
                <w:lang w:val="de-CH"/>
              </w:rPr>
              <w:t>5/2 Draft 2 vom Rat im November </w:t>
            </w:r>
            <w:r w:rsidRPr="001150EF">
              <w:rPr>
                <w:i/>
                <w:sz w:val="18"/>
                <w:szCs w:val="18"/>
                <w:lang w:val="de-CH"/>
              </w:rPr>
              <w:t>2019 zu prüfen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UPOV/INF/6</w:t>
            </w:r>
          </w:p>
        </w:tc>
        <w:tc>
          <w:tcPr>
            <w:tcW w:w="4807" w:type="dxa"/>
          </w:tcPr>
          <w:p w:rsidR="001150EF" w:rsidRPr="00C155B8" w:rsidRDefault="001150EF" w:rsidP="001150EF">
            <w:pPr>
              <w:jc w:val="left"/>
              <w:rPr>
                <w:sz w:val="18"/>
                <w:szCs w:val="18"/>
                <w:lang w:val="de-DE"/>
              </w:rPr>
            </w:pPr>
            <w:r w:rsidRPr="00C155B8">
              <w:rPr>
                <w:sz w:val="18"/>
                <w:lang w:val="de-DE"/>
              </w:rPr>
              <w:t>Anleitung zur Ausarbeitung von Rechtsvorschriften aufgrund der Akte von 1991 des UPOV-Übereinkommens</w:t>
            </w:r>
          </w:p>
        </w:tc>
        <w:tc>
          <w:tcPr>
            <w:tcW w:w="3920" w:type="dxa"/>
          </w:tcPr>
          <w:p w:rsidR="001150EF" w:rsidRPr="001150EF" w:rsidRDefault="001150EF" w:rsidP="001150EF">
            <w:pPr>
              <w:jc w:val="left"/>
              <w:rPr>
                <w:sz w:val="18"/>
                <w:szCs w:val="18"/>
                <w:lang w:val="de-CH"/>
              </w:rPr>
            </w:pPr>
            <w:r w:rsidRPr="001150EF">
              <w:rPr>
                <w:sz w:val="18"/>
                <w:szCs w:val="18"/>
                <w:lang w:val="de-CH"/>
              </w:rPr>
              <w:t>UPOV/INF/6/5 im April 2017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UPOV/INF/7</w:t>
            </w:r>
          </w:p>
        </w:tc>
        <w:tc>
          <w:tcPr>
            <w:tcW w:w="4807" w:type="dxa"/>
          </w:tcPr>
          <w:p w:rsidR="001150EF" w:rsidRPr="00C155B8" w:rsidRDefault="001150EF" w:rsidP="001150EF">
            <w:pPr>
              <w:jc w:val="left"/>
              <w:rPr>
                <w:sz w:val="18"/>
                <w:szCs w:val="18"/>
                <w:lang w:val="de-DE"/>
              </w:rPr>
            </w:pPr>
            <w:r w:rsidRPr="00C155B8">
              <w:rPr>
                <w:sz w:val="18"/>
                <w:lang w:val="de-DE"/>
              </w:rPr>
              <w:t>Geschäftsordnung des Rates</w:t>
            </w:r>
          </w:p>
        </w:tc>
        <w:tc>
          <w:tcPr>
            <w:tcW w:w="3920" w:type="dxa"/>
          </w:tcPr>
          <w:p w:rsidR="001150EF" w:rsidRPr="001150EF" w:rsidRDefault="001150EF" w:rsidP="001150EF">
            <w:pPr>
              <w:jc w:val="left"/>
              <w:rPr>
                <w:sz w:val="18"/>
                <w:szCs w:val="18"/>
                <w:lang w:val="de-CH"/>
              </w:rPr>
            </w:pPr>
            <w:r w:rsidRPr="001150EF">
              <w:rPr>
                <w:sz w:val="18"/>
                <w:szCs w:val="18"/>
                <w:lang w:val="de-CH"/>
              </w:rPr>
              <w:t>UPOV/INF/7 im Oktober 1982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UPOV/INF/8</w:t>
            </w:r>
          </w:p>
        </w:tc>
        <w:tc>
          <w:tcPr>
            <w:tcW w:w="4807" w:type="dxa"/>
          </w:tcPr>
          <w:p w:rsidR="001150EF" w:rsidRPr="00C155B8" w:rsidRDefault="001150EF" w:rsidP="001150EF">
            <w:pPr>
              <w:jc w:val="left"/>
              <w:rPr>
                <w:sz w:val="18"/>
                <w:szCs w:val="18"/>
                <w:lang w:val="de-DE"/>
              </w:rPr>
            </w:pPr>
            <w:r w:rsidRPr="00C155B8">
              <w:rPr>
                <w:sz w:val="18"/>
                <w:lang w:val="de-DE"/>
              </w:rPr>
              <w:t>Vereinbarung zwischen der Weltorganisation für geistiges Eigentum und dem Internationalen Verband zum Schutz von Pflanzenzüchtungen</w:t>
            </w:r>
          </w:p>
        </w:tc>
        <w:tc>
          <w:tcPr>
            <w:tcW w:w="3920" w:type="dxa"/>
          </w:tcPr>
          <w:p w:rsidR="001150EF" w:rsidRPr="001150EF" w:rsidRDefault="001150EF" w:rsidP="001150EF">
            <w:pPr>
              <w:jc w:val="left"/>
              <w:rPr>
                <w:sz w:val="18"/>
                <w:szCs w:val="18"/>
                <w:lang w:val="de-CH"/>
              </w:rPr>
            </w:pPr>
            <w:r w:rsidRPr="001150EF">
              <w:rPr>
                <w:sz w:val="18"/>
                <w:szCs w:val="18"/>
                <w:lang w:val="de-CH"/>
              </w:rPr>
              <w:t>UPOV/INF/8 im November 1982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UPOV/INF/9</w:t>
            </w:r>
          </w:p>
        </w:tc>
        <w:tc>
          <w:tcPr>
            <w:tcW w:w="4807" w:type="dxa"/>
          </w:tcPr>
          <w:p w:rsidR="001150EF" w:rsidRPr="00C155B8" w:rsidRDefault="001150EF" w:rsidP="001150EF">
            <w:pPr>
              <w:jc w:val="left"/>
              <w:rPr>
                <w:sz w:val="18"/>
                <w:szCs w:val="18"/>
                <w:lang w:val="de-DE"/>
              </w:rPr>
            </w:pPr>
            <w:r w:rsidRPr="00C155B8">
              <w:rPr>
                <w:sz w:val="18"/>
                <w:lang w:val="de-DE"/>
              </w:rPr>
              <w:t>Abkommen zwischen dem Internationalen Verband zum Schutz von Pflanzenzüchtungen und dem Schweizerischen Bundesrat zur Regelung des rechtlichen Statuts dieses Verbandes in der Schweiz (Sitzabkommen)</w:t>
            </w:r>
          </w:p>
        </w:tc>
        <w:tc>
          <w:tcPr>
            <w:tcW w:w="3920" w:type="dxa"/>
          </w:tcPr>
          <w:p w:rsidR="001150EF" w:rsidRPr="001150EF" w:rsidRDefault="001150EF" w:rsidP="001150EF">
            <w:pPr>
              <w:jc w:val="left"/>
              <w:rPr>
                <w:sz w:val="18"/>
                <w:szCs w:val="18"/>
                <w:lang w:val="de-CH"/>
              </w:rPr>
            </w:pPr>
            <w:r w:rsidRPr="001150EF">
              <w:rPr>
                <w:sz w:val="18"/>
                <w:szCs w:val="18"/>
                <w:lang w:val="de-CH"/>
              </w:rPr>
              <w:t>UPOV/INF/9 im November 1983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UPOV/INF/10</w:t>
            </w:r>
          </w:p>
        </w:tc>
        <w:tc>
          <w:tcPr>
            <w:tcW w:w="4807" w:type="dxa"/>
          </w:tcPr>
          <w:p w:rsidR="001150EF" w:rsidRPr="00C155B8" w:rsidRDefault="001150EF" w:rsidP="001150EF">
            <w:pPr>
              <w:jc w:val="left"/>
              <w:rPr>
                <w:sz w:val="18"/>
                <w:szCs w:val="18"/>
                <w:lang w:val="de-DE"/>
              </w:rPr>
            </w:pPr>
            <w:r w:rsidRPr="00C155B8">
              <w:rPr>
                <w:sz w:val="18"/>
                <w:lang w:val="de-DE"/>
              </w:rPr>
              <w:t>Interne Überarbeitung</w:t>
            </w:r>
          </w:p>
        </w:tc>
        <w:tc>
          <w:tcPr>
            <w:tcW w:w="3920" w:type="dxa"/>
          </w:tcPr>
          <w:p w:rsidR="001150EF" w:rsidRPr="001150EF" w:rsidRDefault="001150EF" w:rsidP="001150EF">
            <w:pPr>
              <w:jc w:val="left"/>
              <w:rPr>
                <w:sz w:val="18"/>
                <w:szCs w:val="18"/>
                <w:lang w:val="de-CH"/>
              </w:rPr>
            </w:pPr>
            <w:r w:rsidRPr="001150EF">
              <w:rPr>
                <w:sz w:val="18"/>
                <w:szCs w:val="18"/>
                <w:lang w:val="de-CH"/>
              </w:rPr>
              <w:t>UPOV/INF/10/1 im Oktober 2010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UPOV/INF/12</w:t>
            </w:r>
          </w:p>
        </w:tc>
        <w:tc>
          <w:tcPr>
            <w:tcW w:w="4807" w:type="dxa"/>
          </w:tcPr>
          <w:p w:rsidR="001150EF" w:rsidRPr="00C155B8" w:rsidRDefault="001150EF" w:rsidP="001150EF">
            <w:pPr>
              <w:jc w:val="left"/>
              <w:rPr>
                <w:sz w:val="18"/>
                <w:szCs w:val="18"/>
                <w:lang w:val="de-DE"/>
              </w:rPr>
            </w:pPr>
            <w:r w:rsidRPr="00C155B8">
              <w:rPr>
                <w:sz w:val="18"/>
                <w:lang w:val="de-DE"/>
              </w:rPr>
              <w:t>Erläuterungen zu Sortenbezeichnungen nach dem UPOV</w:t>
            </w:r>
            <w:r w:rsidR="00555E1E">
              <w:rPr>
                <w:sz w:val="18"/>
                <w:lang w:val="de-DE"/>
              </w:rPr>
              <w:noBreakHyphen/>
            </w:r>
            <w:r w:rsidRPr="00C155B8">
              <w:rPr>
                <w:sz w:val="18"/>
                <w:lang w:val="de-DE"/>
              </w:rPr>
              <w:t>Übereinkommen</w:t>
            </w:r>
          </w:p>
        </w:tc>
        <w:tc>
          <w:tcPr>
            <w:tcW w:w="3920" w:type="dxa"/>
          </w:tcPr>
          <w:p w:rsidR="001150EF" w:rsidRPr="001150EF" w:rsidRDefault="001150EF" w:rsidP="001150EF">
            <w:pPr>
              <w:spacing w:after="60"/>
              <w:jc w:val="left"/>
              <w:rPr>
                <w:bCs/>
                <w:sz w:val="18"/>
                <w:szCs w:val="18"/>
                <w:lang w:val="de-CH"/>
              </w:rPr>
            </w:pPr>
            <w:r w:rsidRPr="001150EF">
              <w:rPr>
                <w:bCs/>
                <w:sz w:val="18"/>
                <w:szCs w:val="18"/>
                <w:lang w:val="de-CH"/>
              </w:rPr>
              <w:t>UPOV/INF/12/5 im Oktober 2015 angenommen</w:t>
            </w:r>
          </w:p>
          <w:p w:rsidR="001150EF" w:rsidRPr="001150EF" w:rsidRDefault="001150EF" w:rsidP="001150EF">
            <w:pPr>
              <w:jc w:val="left"/>
              <w:rPr>
                <w:spacing w:val="-2"/>
                <w:sz w:val="18"/>
                <w:szCs w:val="18"/>
                <w:lang w:val="de-CH"/>
              </w:rPr>
            </w:pPr>
            <w:r w:rsidRPr="001150EF">
              <w:rPr>
                <w:i/>
                <w:sz w:val="18"/>
                <w:szCs w:val="18"/>
                <w:lang w:val="de-CH"/>
              </w:rPr>
              <w:t>UPOV/EXN/DEN/1 Draft 2</w:t>
            </w:r>
            <w:r w:rsidRPr="001150EF">
              <w:rPr>
                <w:sz w:val="18"/>
                <w:szCs w:val="18"/>
                <w:lang w:val="de-CH"/>
              </w:rPr>
              <w:t xml:space="preserve"> </w:t>
            </w:r>
            <w:r w:rsidRPr="001150EF">
              <w:rPr>
                <w:i/>
                <w:sz w:val="18"/>
                <w:szCs w:val="18"/>
                <w:lang w:val="de-CH"/>
              </w:rPr>
              <w:t xml:space="preserve">von der CAJ </w:t>
            </w:r>
            <w:r w:rsidRPr="001150EF">
              <w:rPr>
                <w:bCs/>
                <w:i/>
                <w:sz w:val="18"/>
                <w:szCs w:val="18"/>
                <w:lang w:val="de-CH"/>
              </w:rPr>
              <w:t xml:space="preserve">im Oktober 2019 </w:t>
            </w:r>
            <w:r w:rsidRPr="00C155B8">
              <w:rPr>
                <w:i/>
                <w:sz w:val="18"/>
                <w:lang w:val="de-DE"/>
              </w:rPr>
              <w:t>zu prüfen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UPOV/INF/13</w:t>
            </w:r>
          </w:p>
        </w:tc>
        <w:tc>
          <w:tcPr>
            <w:tcW w:w="4807" w:type="dxa"/>
          </w:tcPr>
          <w:p w:rsidR="001150EF" w:rsidRPr="00C155B8" w:rsidRDefault="001150EF" w:rsidP="001150EF">
            <w:pPr>
              <w:jc w:val="left"/>
              <w:rPr>
                <w:sz w:val="18"/>
                <w:szCs w:val="18"/>
                <w:lang w:val="de-DE"/>
              </w:rPr>
            </w:pPr>
            <w:r w:rsidRPr="00C155B8">
              <w:rPr>
                <w:sz w:val="18"/>
                <w:lang w:val="de-DE"/>
              </w:rPr>
              <w:t>Anleitung zum Verfahren für den Beitritt zur UPOV</w:t>
            </w:r>
          </w:p>
        </w:tc>
        <w:tc>
          <w:tcPr>
            <w:tcW w:w="3920" w:type="dxa"/>
          </w:tcPr>
          <w:p w:rsidR="001150EF" w:rsidRPr="001150EF" w:rsidRDefault="001150EF" w:rsidP="001150EF">
            <w:pPr>
              <w:jc w:val="left"/>
              <w:rPr>
                <w:sz w:val="18"/>
                <w:szCs w:val="18"/>
                <w:lang w:val="de-CH"/>
              </w:rPr>
            </w:pPr>
            <w:r w:rsidRPr="001150EF">
              <w:rPr>
                <w:sz w:val="18"/>
                <w:szCs w:val="18"/>
                <w:lang w:val="de-CH"/>
              </w:rPr>
              <w:t>UPOV/INF/13/2 im Oktober 2017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UPOV/INF/14</w:t>
            </w:r>
          </w:p>
        </w:tc>
        <w:tc>
          <w:tcPr>
            <w:tcW w:w="4807" w:type="dxa"/>
          </w:tcPr>
          <w:p w:rsidR="001150EF" w:rsidRPr="00C155B8" w:rsidRDefault="001150EF" w:rsidP="001150EF">
            <w:pPr>
              <w:jc w:val="left"/>
              <w:rPr>
                <w:sz w:val="18"/>
                <w:szCs w:val="18"/>
                <w:lang w:val="de-DE"/>
              </w:rPr>
            </w:pPr>
            <w:r w:rsidRPr="00C155B8">
              <w:rPr>
                <w:sz w:val="18"/>
                <w:lang w:val="de-DE"/>
              </w:rPr>
              <w:t>Anleitung für UPOV-Mitglieder zum Verfahren für die Ratifizierung der oder den Beitritt zur Akte von 1991 des UPOV-Übereinkommens</w:t>
            </w:r>
          </w:p>
        </w:tc>
        <w:tc>
          <w:tcPr>
            <w:tcW w:w="3920" w:type="dxa"/>
          </w:tcPr>
          <w:p w:rsidR="001150EF" w:rsidRPr="001150EF" w:rsidRDefault="001150EF" w:rsidP="001150EF">
            <w:pPr>
              <w:jc w:val="left"/>
              <w:rPr>
                <w:sz w:val="18"/>
                <w:szCs w:val="18"/>
                <w:lang w:val="de-CH"/>
              </w:rPr>
            </w:pPr>
            <w:r w:rsidRPr="001150EF">
              <w:rPr>
                <w:sz w:val="18"/>
                <w:szCs w:val="18"/>
                <w:lang w:val="de-CH"/>
              </w:rPr>
              <w:t>UPOV/INF/14/1 im Oktober 2009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UPOV/INF/15</w:t>
            </w:r>
          </w:p>
        </w:tc>
        <w:tc>
          <w:tcPr>
            <w:tcW w:w="4807" w:type="dxa"/>
          </w:tcPr>
          <w:p w:rsidR="001150EF" w:rsidRPr="00C155B8" w:rsidRDefault="001150EF" w:rsidP="001150EF">
            <w:pPr>
              <w:jc w:val="left"/>
              <w:rPr>
                <w:sz w:val="18"/>
                <w:szCs w:val="18"/>
                <w:lang w:val="de-DE"/>
              </w:rPr>
            </w:pPr>
            <w:r w:rsidRPr="00C155B8">
              <w:rPr>
                <w:sz w:val="18"/>
                <w:lang w:val="de-DE"/>
              </w:rPr>
              <w:t>Anleitung für UPOV-Mitglieder</w:t>
            </w:r>
          </w:p>
        </w:tc>
        <w:tc>
          <w:tcPr>
            <w:tcW w:w="3920" w:type="dxa"/>
          </w:tcPr>
          <w:p w:rsidR="001150EF" w:rsidRPr="001150EF" w:rsidRDefault="001150EF" w:rsidP="001150EF">
            <w:pPr>
              <w:jc w:val="left"/>
              <w:rPr>
                <w:sz w:val="18"/>
                <w:szCs w:val="18"/>
                <w:lang w:val="de-CH"/>
              </w:rPr>
            </w:pPr>
            <w:r w:rsidRPr="001150EF">
              <w:rPr>
                <w:sz w:val="18"/>
                <w:szCs w:val="18"/>
                <w:lang w:val="de-CH"/>
              </w:rPr>
              <w:t xml:space="preserve">UPOV/INF/15/3 im März 2015 angenommen </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UPOV/INF/16</w:t>
            </w:r>
          </w:p>
        </w:tc>
        <w:tc>
          <w:tcPr>
            <w:tcW w:w="4807" w:type="dxa"/>
          </w:tcPr>
          <w:p w:rsidR="001150EF" w:rsidRPr="00C155B8" w:rsidRDefault="001150EF" w:rsidP="001150EF">
            <w:pPr>
              <w:jc w:val="left"/>
              <w:rPr>
                <w:sz w:val="18"/>
                <w:szCs w:val="18"/>
                <w:lang w:val="de-DE"/>
              </w:rPr>
            </w:pPr>
            <w:r w:rsidRPr="00C155B8">
              <w:rPr>
                <w:sz w:val="18"/>
                <w:lang w:val="de-DE"/>
              </w:rPr>
              <w:t>Austauschbare Software</w:t>
            </w:r>
          </w:p>
        </w:tc>
        <w:tc>
          <w:tcPr>
            <w:tcW w:w="3920" w:type="dxa"/>
          </w:tcPr>
          <w:p w:rsidR="001150EF" w:rsidRPr="001150EF" w:rsidRDefault="001150EF" w:rsidP="001150EF">
            <w:pPr>
              <w:jc w:val="left"/>
              <w:rPr>
                <w:sz w:val="18"/>
                <w:szCs w:val="18"/>
                <w:lang w:val="de-CH"/>
              </w:rPr>
            </w:pPr>
            <w:r w:rsidRPr="001150EF">
              <w:rPr>
                <w:sz w:val="18"/>
                <w:szCs w:val="18"/>
                <w:lang w:val="de-CH"/>
              </w:rPr>
              <w:t>UPOV/INF/16/8 im November 2018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UPOV/INF/17</w:t>
            </w:r>
          </w:p>
        </w:tc>
        <w:tc>
          <w:tcPr>
            <w:tcW w:w="4807" w:type="dxa"/>
          </w:tcPr>
          <w:p w:rsidR="001150EF" w:rsidRPr="00C155B8" w:rsidRDefault="001150EF" w:rsidP="001150EF">
            <w:pPr>
              <w:jc w:val="left"/>
              <w:rPr>
                <w:sz w:val="18"/>
                <w:szCs w:val="18"/>
                <w:lang w:val="de-DE"/>
              </w:rPr>
            </w:pPr>
            <w:r w:rsidRPr="00C155B8">
              <w:rPr>
                <w:sz w:val="18"/>
                <w:lang w:val="de-DE"/>
              </w:rPr>
              <w:t>Richtlinien für die DNS-Profilierung: Auswahl molekularer Marker und Aufbau von Datenbanken („BMT-Richtlinien“)</w:t>
            </w:r>
          </w:p>
        </w:tc>
        <w:tc>
          <w:tcPr>
            <w:tcW w:w="3920" w:type="dxa"/>
          </w:tcPr>
          <w:p w:rsidR="001150EF" w:rsidRPr="001150EF" w:rsidRDefault="001150EF" w:rsidP="001150EF">
            <w:pPr>
              <w:jc w:val="left"/>
              <w:rPr>
                <w:sz w:val="18"/>
                <w:szCs w:val="18"/>
                <w:lang w:val="de-CH"/>
              </w:rPr>
            </w:pPr>
            <w:r w:rsidRPr="001150EF">
              <w:rPr>
                <w:sz w:val="18"/>
                <w:szCs w:val="18"/>
                <w:lang w:val="de-CH"/>
              </w:rPr>
              <w:t>UPOV/INF/17/1 im Oktober 2010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UPOV/INF/18</w:t>
            </w:r>
          </w:p>
        </w:tc>
        <w:tc>
          <w:tcPr>
            <w:tcW w:w="4807" w:type="dxa"/>
          </w:tcPr>
          <w:p w:rsidR="001150EF" w:rsidRPr="00C155B8" w:rsidRDefault="001150EF" w:rsidP="001150EF">
            <w:pPr>
              <w:jc w:val="left"/>
              <w:rPr>
                <w:sz w:val="18"/>
                <w:szCs w:val="18"/>
                <w:lang w:val="de-DE"/>
              </w:rPr>
            </w:pPr>
            <w:r w:rsidRPr="00C155B8">
              <w:rPr>
                <w:sz w:val="18"/>
                <w:lang w:val="de-DE"/>
              </w:rPr>
              <w:t>Etwaige Verwendung molekularer Marker bei der Prüfung der Unterscheidbarkeit, der Homogenität und der Beständigkeit (DUS)</w:t>
            </w:r>
          </w:p>
        </w:tc>
        <w:tc>
          <w:tcPr>
            <w:tcW w:w="3920" w:type="dxa"/>
          </w:tcPr>
          <w:p w:rsidR="001150EF" w:rsidRPr="001150EF" w:rsidRDefault="001150EF" w:rsidP="001150EF">
            <w:pPr>
              <w:jc w:val="left"/>
              <w:rPr>
                <w:sz w:val="18"/>
                <w:szCs w:val="18"/>
                <w:lang w:val="de-CH"/>
              </w:rPr>
            </w:pPr>
            <w:r w:rsidRPr="001150EF">
              <w:rPr>
                <w:sz w:val="18"/>
                <w:szCs w:val="18"/>
                <w:lang w:val="de-CH"/>
              </w:rPr>
              <w:t>UPOV/INF/18/1 im Oktober 2011 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UPOV/INF/19</w:t>
            </w:r>
          </w:p>
        </w:tc>
        <w:tc>
          <w:tcPr>
            <w:tcW w:w="4807" w:type="dxa"/>
          </w:tcPr>
          <w:p w:rsidR="001150EF" w:rsidRPr="00C155B8" w:rsidRDefault="001150EF" w:rsidP="001150EF">
            <w:pPr>
              <w:jc w:val="left"/>
              <w:rPr>
                <w:sz w:val="18"/>
                <w:szCs w:val="18"/>
                <w:lang w:val="de-DE"/>
              </w:rPr>
            </w:pPr>
            <w:r w:rsidRPr="00C155B8">
              <w:rPr>
                <w:sz w:val="18"/>
                <w:lang w:val="de-DE"/>
              </w:rPr>
              <w:t>Regeln für die Erteilung des Beobachterstatus an Staaten, zwischenstaatliche Organisationen und internationale Nichtre</w:t>
            </w:r>
            <w:r w:rsidR="00555E1E">
              <w:rPr>
                <w:sz w:val="18"/>
                <w:lang w:val="de-DE"/>
              </w:rPr>
              <w:t>gierungsorganisationen bei UPOV</w:t>
            </w:r>
            <w:r w:rsidR="00555E1E">
              <w:rPr>
                <w:sz w:val="18"/>
                <w:lang w:val="de-DE"/>
              </w:rPr>
              <w:noBreakHyphen/>
            </w:r>
            <w:r w:rsidRPr="00C155B8">
              <w:rPr>
                <w:sz w:val="18"/>
                <w:lang w:val="de-DE"/>
              </w:rPr>
              <w:t>Organen</w:t>
            </w:r>
          </w:p>
        </w:tc>
        <w:tc>
          <w:tcPr>
            <w:tcW w:w="3920" w:type="dxa"/>
          </w:tcPr>
          <w:p w:rsidR="001150EF" w:rsidRPr="001150EF" w:rsidRDefault="001150EF" w:rsidP="001150EF">
            <w:pPr>
              <w:jc w:val="left"/>
              <w:rPr>
                <w:iCs/>
                <w:sz w:val="18"/>
                <w:szCs w:val="18"/>
                <w:lang w:val="de-CH"/>
              </w:rPr>
            </w:pPr>
            <w:r w:rsidRPr="001150EF">
              <w:rPr>
                <w:sz w:val="18"/>
                <w:szCs w:val="18"/>
                <w:lang w:val="de-CH"/>
              </w:rPr>
              <w:t xml:space="preserve">UPOV/INF/19/1 </w:t>
            </w:r>
            <w:r w:rsidRPr="001150EF">
              <w:rPr>
                <w:iCs/>
                <w:sz w:val="18"/>
                <w:szCs w:val="18"/>
                <w:lang w:val="de-CH"/>
              </w:rPr>
              <w:t xml:space="preserve">im November 2012 </w:t>
            </w:r>
            <w:r w:rsidRPr="001150EF">
              <w:rPr>
                <w:sz w:val="18"/>
                <w:szCs w:val="18"/>
                <w:lang w:val="de-CH"/>
              </w:rPr>
              <w:t>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UPOV/INF/20</w:t>
            </w:r>
          </w:p>
        </w:tc>
        <w:tc>
          <w:tcPr>
            <w:tcW w:w="4807" w:type="dxa"/>
          </w:tcPr>
          <w:p w:rsidR="001150EF" w:rsidRPr="00C155B8" w:rsidRDefault="001150EF" w:rsidP="001150EF">
            <w:pPr>
              <w:jc w:val="left"/>
              <w:rPr>
                <w:sz w:val="18"/>
                <w:szCs w:val="18"/>
                <w:lang w:val="de-DE"/>
              </w:rPr>
            </w:pPr>
            <w:r w:rsidRPr="00C155B8">
              <w:rPr>
                <w:sz w:val="18"/>
                <w:lang w:val="de-DE"/>
              </w:rPr>
              <w:t>Regeln für den Zugang zu UPOV-Dokumenten</w:t>
            </w:r>
          </w:p>
        </w:tc>
        <w:tc>
          <w:tcPr>
            <w:tcW w:w="3920" w:type="dxa"/>
          </w:tcPr>
          <w:p w:rsidR="001150EF" w:rsidRPr="001150EF" w:rsidRDefault="001150EF" w:rsidP="001150EF">
            <w:pPr>
              <w:jc w:val="left"/>
              <w:rPr>
                <w:iCs/>
                <w:sz w:val="18"/>
                <w:szCs w:val="18"/>
                <w:lang w:val="de-CH"/>
              </w:rPr>
            </w:pPr>
            <w:r w:rsidRPr="001150EF">
              <w:rPr>
                <w:sz w:val="18"/>
                <w:szCs w:val="18"/>
                <w:lang w:val="de-CH"/>
              </w:rPr>
              <w:t xml:space="preserve">UPOV/INF/20/1 </w:t>
            </w:r>
            <w:r w:rsidRPr="001150EF">
              <w:rPr>
                <w:iCs/>
                <w:sz w:val="18"/>
                <w:szCs w:val="18"/>
                <w:lang w:val="de-CH"/>
              </w:rPr>
              <w:t xml:space="preserve">im November 2012 </w:t>
            </w:r>
            <w:r w:rsidRPr="001150EF">
              <w:rPr>
                <w:sz w:val="18"/>
                <w:szCs w:val="18"/>
                <w:lang w:val="de-CH"/>
              </w:rPr>
              <w:t>angenommen</w:t>
            </w:r>
          </w:p>
        </w:tc>
      </w:tr>
      <w:tr w:rsidR="001150EF" w:rsidRPr="00E26BB4" w:rsidTr="001150EF">
        <w:trPr>
          <w:cantSplit/>
          <w:jc w:val="center"/>
        </w:trPr>
        <w:tc>
          <w:tcPr>
            <w:tcW w:w="1758" w:type="dxa"/>
          </w:tcPr>
          <w:p w:rsidR="001150EF" w:rsidRPr="00C155B8" w:rsidRDefault="001150EF" w:rsidP="001150EF">
            <w:pPr>
              <w:jc w:val="left"/>
              <w:rPr>
                <w:sz w:val="18"/>
                <w:szCs w:val="18"/>
              </w:rPr>
            </w:pPr>
            <w:r w:rsidRPr="00C155B8">
              <w:rPr>
                <w:sz w:val="18"/>
                <w:szCs w:val="18"/>
              </w:rPr>
              <w:t>UPOV/INF/21</w:t>
            </w:r>
          </w:p>
        </w:tc>
        <w:tc>
          <w:tcPr>
            <w:tcW w:w="4807" w:type="dxa"/>
          </w:tcPr>
          <w:p w:rsidR="001150EF" w:rsidRPr="00C155B8" w:rsidRDefault="001150EF" w:rsidP="001150EF">
            <w:pPr>
              <w:jc w:val="left"/>
              <w:rPr>
                <w:sz w:val="18"/>
                <w:szCs w:val="18"/>
                <w:lang w:val="de-DE"/>
              </w:rPr>
            </w:pPr>
            <w:r w:rsidRPr="00C155B8">
              <w:rPr>
                <w:sz w:val="18"/>
                <w:lang w:val="de-DE"/>
              </w:rPr>
              <w:t>Alternative Mechanismen zur Streitbeilegung</w:t>
            </w:r>
          </w:p>
        </w:tc>
        <w:tc>
          <w:tcPr>
            <w:tcW w:w="3920" w:type="dxa"/>
          </w:tcPr>
          <w:p w:rsidR="001150EF" w:rsidRPr="001150EF" w:rsidRDefault="001150EF" w:rsidP="001150EF">
            <w:pPr>
              <w:jc w:val="left"/>
              <w:rPr>
                <w:sz w:val="18"/>
                <w:szCs w:val="18"/>
                <w:lang w:val="de-CH"/>
              </w:rPr>
            </w:pPr>
            <w:r w:rsidRPr="001150EF">
              <w:rPr>
                <w:sz w:val="18"/>
                <w:szCs w:val="18"/>
                <w:lang w:val="de-CH"/>
              </w:rPr>
              <w:t xml:space="preserve">UPOV/INF/21/1 </w:t>
            </w:r>
            <w:r w:rsidRPr="001150EF">
              <w:rPr>
                <w:iCs/>
                <w:sz w:val="18"/>
                <w:szCs w:val="18"/>
                <w:lang w:val="de-CH"/>
              </w:rPr>
              <w:t xml:space="preserve">im November 2012 </w:t>
            </w:r>
            <w:r w:rsidRPr="001150EF">
              <w:rPr>
                <w:sz w:val="18"/>
                <w:szCs w:val="18"/>
                <w:lang w:val="de-CH"/>
              </w:rPr>
              <w:t>angenommen</w:t>
            </w:r>
          </w:p>
        </w:tc>
      </w:tr>
      <w:tr w:rsidR="001150EF" w:rsidRPr="00E26BB4" w:rsidTr="001150EF">
        <w:trPr>
          <w:cantSplit/>
          <w:jc w:val="center"/>
        </w:trPr>
        <w:tc>
          <w:tcPr>
            <w:tcW w:w="1758" w:type="dxa"/>
          </w:tcPr>
          <w:p w:rsidR="001150EF" w:rsidRPr="00C155B8" w:rsidRDefault="001150EF" w:rsidP="001150EF">
            <w:pPr>
              <w:rPr>
                <w:sz w:val="18"/>
                <w:szCs w:val="18"/>
              </w:rPr>
            </w:pPr>
            <w:r w:rsidRPr="00C155B8">
              <w:rPr>
                <w:sz w:val="18"/>
                <w:szCs w:val="18"/>
              </w:rPr>
              <w:t>UPOV/INF/22</w:t>
            </w:r>
          </w:p>
        </w:tc>
        <w:tc>
          <w:tcPr>
            <w:tcW w:w="4807" w:type="dxa"/>
          </w:tcPr>
          <w:p w:rsidR="001150EF" w:rsidRPr="00C155B8" w:rsidRDefault="001150EF" w:rsidP="001150EF">
            <w:pPr>
              <w:rPr>
                <w:sz w:val="18"/>
                <w:szCs w:val="18"/>
                <w:lang w:val="de-DE"/>
              </w:rPr>
            </w:pPr>
            <w:r w:rsidRPr="00C155B8">
              <w:rPr>
                <w:sz w:val="18"/>
                <w:lang w:val="de-DE"/>
              </w:rPr>
              <w:t xml:space="preserve">Von Verbandsmitgliedern verwendete Software und Ausrüstung </w:t>
            </w:r>
          </w:p>
        </w:tc>
        <w:tc>
          <w:tcPr>
            <w:tcW w:w="3920" w:type="dxa"/>
          </w:tcPr>
          <w:p w:rsidR="001150EF" w:rsidRPr="001150EF" w:rsidRDefault="001150EF" w:rsidP="001150EF">
            <w:pPr>
              <w:spacing w:after="60"/>
              <w:jc w:val="left"/>
              <w:rPr>
                <w:sz w:val="18"/>
                <w:szCs w:val="18"/>
                <w:lang w:val="de-CH"/>
              </w:rPr>
            </w:pPr>
            <w:r w:rsidRPr="001150EF">
              <w:rPr>
                <w:sz w:val="18"/>
                <w:szCs w:val="18"/>
                <w:lang w:val="de-CH"/>
              </w:rPr>
              <w:t xml:space="preserve">UPOV/INF/22/5 </w:t>
            </w:r>
            <w:r w:rsidRPr="001150EF">
              <w:rPr>
                <w:iCs/>
                <w:sz w:val="18"/>
                <w:szCs w:val="18"/>
                <w:lang w:val="de-CH"/>
              </w:rPr>
              <w:t xml:space="preserve">im November 2018 </w:t>
            </w:r>
            <w:r w:rsidRPr="001150EF">
              <w:rPr>
                <w:sz w:val="18"/>
                <w:szCs w:val="18"/>
                <w:lang w:val="de-CH"/>
              </w:rPr>
              <w:t>angenommen</w:t>
            </w:r>
          </w:p>
          <w:p w:rsidR="001150EF" w:rsidRPr="001150EF" w:rsidRDefault="001150EF" w:rsidP="001150EF">
            <w:pPr>
              <w:jc w:val="left"/>
              <w:rPr>
                <w:i/>
                <w:sz w:val="18"/>
                <w:szCs w:val="18"/>
                <w:lang w:val="de-CH"/>
              </w:rPr>
            </w:pPr>
            <w:r w:rsidRPr="001150EF">
              <w:rPr>
                <w:i/>
                <w:sz w:val="18"/>
                <w:szCs w:val="18"/>
                <w:lang w:val="de-CH"/>
              </w:rPr>
              <w:t xml:space="preserve">UPOV/INF/22/6 Draft 1 </w:t>
            </w:r>
            <w:r w:rsidRPr="00C155B8">
              <w:rPr>
                <w:i/>
                <w:sz w:val="18"/>
                <w:lang w:val="de-DE"/>
              </w:rPr>
              <w:t xml:space="preserve">vom CAJ und </w:t>
            </w:r>
            <w:r w:rsidRPr="00C155B8">
              <w:rPr>
                <w:i/>
                <w:spacing w:val="-4"/>
                <w:sz w:val="18"/>
                <w:lang w:val="de-DE"/>
              </w:rPr>
              <w:t>vom Rat im November 2019 zu prüfen</w:t>
            </w:r>
          </w:p>
        </w:tc>
      </w:tr>
    </w:tbl>
    <w:p w:rsidR="001150EF" w:rsidRDefault="001150EF" w:rsidP="001150EF">
      <w:pPr>
        <w:rPr>
          <w:lang w:val="de-CH"/>
        </w:rPr>
      </w:pPr>
    </w:p>
    <w:p w:rsidR="00580991" w:rsidRPr="00580991" w:rsidRDefault="00580991" w:rsidP="001150EF">
      <w:pPr>
        <w:rPr>
          <w:sz w:val="16"/>
          <w:lang w:val="de-CH"/>
        </w:rPr>
      </w:pPr>
    </w:p>
    <w:p w:rsidR="00BE4EB1" w:rsidRPr="001150EF" w:rsidRDefault="001150EF" w:rsidP="003F59B3">
      <w:pPr>
        <w:jc w:val="right"/>
        <w:rPr>
          <w:szCs w:val="24"/>
          <w:lang w:val="de-CH"/>
        </w:rPr>
      </w:pPr>
      <w:r w:rsidRPr="001150EF">
        <w:rPr>
          <w:lang w:val="de-CH"/>
        </w:rPr>
        <w:t>[Ende der Anlage des Dokuments]</w:t>
      </w:r>
    </w:p>
    <w:sectPr w:rsidR="00BE4EB1" w:rsidRPr="001150E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EB1" w:rsidRDefault="00BE4EB1">
      <w:pPr>
        <w:rPr>
          <w:szCs w:val="24"/>
        </w:rPr>
      </w:pPr>
      <w:r>
        <w:rPr>
          <w:szCs w:val="24"/>
        </w:rPr>
        <w:separator/>
      </w:r>
    </w:p>
    <w:p w:rsidR="00BE4EB1" w:rsidRDefault="00BE4EB1">
      <w:pPr>
        <w:rPr>
          <w:szCs w:val="24"/>
        </w:rPr>
      </w:pPr>
    </w:p>
    <w:p w:rsidR="00BE4EB1" w:rsidRDefault="00BE4EB1">
      <w:pPr>
        <w:rPr>
          <w:szCs w:val="24"/>
        </w:rPr>
      </w:pPr>
    </w:p>
  </w:endnote>
  <w:endnote w:type="continuationSeparator" w:id="0">
    <w:p w:rsidR="00BE4EB1" w:rsidRDefault="00BE4EB1">
      <w:pPr>
        <w:rPr>
          <w:szCs w:val="24"/>
        </w:rPr>
      </w:pPr>
      <w:r>
        <w:rPr>
          <w:szCs w:val="24"/>
        </w:rPr>
        <w:separator/>
      </w:r>
    </w:p>
    <w:p w:rsidR="00BE4EB1" w:rsidRDefault="00BE4EB1">
      <w:pPr>
        <w:pStyle w:val="Footer"/>
        <w:spacing w:after="60"/>
        <w:rPr>
          <w:sz w:val="18"/>
          <w:szCs w:val="24"/>
          <w:lang w:val="fr-FR"/>
        </w:rPr>
      </w:pPr>
      <w:r>
        <w:rPr>
          <w:noProof/>
          <w:sz w:val="18"/>
          <w:szCs w:val="24"/>
          <w:lang w:val="fr-FR"/>
        </w:rPr>
        <w:t>[Suite de la note de la page précédente]</w:t>
      </w:r>
    </w:p>
    <w:p w:rsidR="00BE4EB1" w:rsidRDefault="00BE4EB1">
      <w:pPr>
        <w:rPr>
          <w:szCs w:val="24"/>
          <w:lang w:val="fr-FR"/>
        </w:rPr>
      </w:pPr>
    </w:p>
    <w:p w:rsidR="00BE4EB1" w:rsidRDefault="00BE4EB1">
      <w:pPr>
        <w:rPr>
          <w:szCs w:val="24"/>
          <w:lang w:val="fr-FR"/>
        </w:rPr>
      </w:pPr>
    </w:p>
  </w:endnote>
  <w:endnote w:type="continuationNotice" w:id="1">
    <w:p w:rsidR="00BE4EB1" w:rsidRDefault="00BE4EB1">
      <w:pPr>
        <w:rPr>
          <w:szCs w:val="24"/>
          <w:lang w:val="fr-FR"/>
        </w:rPr>
      </w:pPr>
      <w:r>
        <w:rPr>
          <w:noProof/>
          <w:szCs w:val="24"/>
          <w:lang w:val="fr-FR"/>
        </w:rPr>
        <w:t>[Suite de la note page suivante]</w:t>
      </w:r>
    </w:p>
    <w:p w:rsidR="00BE4EB1" w:rsidRDefault="00BE4EB1">
      <w:pPr>
        <w:rPr>
          <w:szCs w:val="24"/>
          <w:lang w:val="fr-FR"/>
        </w:rPr>
      </w:pPr>
    </w:p>
    <w:p w:rsidR="00BE4EB1" w:rsidRDefault="00BE4EB1">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EB1" w:rsidRDefault="00BE4EB1">
      <w:pPr>
        <w:rPr>
          <w:szCs w:val="24"/>
        </w:rPr>
      </w:pPr>
      <w:r>
        <w:rPr>
          <w:szCs w:val="24"/>
        </w:rPr>
        <w:separator/>
      </w:r>
    </w:p>
  </w:footnote>
  <w:footnote w:type="continuationSeparator" w:id="0">
    <w:p w:rsidR="00BE4EB1" w:rsidRDefault="00BE4EB1">
      <w:pPr>
        <w:rPr>
          <w:szCs w:val="24"/>
        </w:rPr>
      </w:pPr>
      <w:r>
        <w:rPr>
          <w:szCs w:val="24"/>
        </w:rPr>
        <w:separator/>
      </w:r>
    </w:p>
  </w:footnote>
  <w:footnote w:type="continuationNotice" w:id="1">
    <w:p w:rsidR="00BE4EB1" w:rsidRDefault="00BE4EB1">
      <w:pPr>
        <w:pStyle w:val="Footer"/>
        <w:rPr>
          <w:szCs w:val="24"/>
        </w:rPr>
      </w:pPr>
    </w:p>
  </w:footnote>
  <w:footnote w:id="2">
    <w:p w:rsidR="00F670F6" w:rsidRPr="00F670F6" w:rsidRDefault="00F670F6">
      <w:pPr>
        <w:pStyle w:val="FootnoteText"/>
        <w:rPr>
          <w:lang w:val="de-CH"/>
        </w:rPr>
      </w:pPr>
      <w:r>
        <w:rPr>
          <w:rStyle w:val="FootnoteReference"/>
        </w:rPr>
        <w:footnoteRef/>
      </w:r>
      <w:r w:rsidRPr="00F670F6">
        <w:rPr>
          <w:lang w:val="de-CH"/>
        </w:rPr>
        <w:t xml:space="preserve"> </w:t>
      </w:r>
      <w:r w:rsidRPr="00F670F6">
        <w:rPr>
          <w:lang w:val="de-CH"/>
        </w:rPr>
        <w:tab/>
      </w:r>
      <w:r w:rsidRPr="00F670F6">
        <w:rPr>
          <w:lang w:val="de-DE"/>
        </w:rPr>
        <w:t>Abgehalten am 24. Oktober 2005 in Genf.</w:t>
      </w:r>
    </w:p>
  </w:footnote>
  <w:footnote w:id="3">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r>
      <w:r w:rsidRPr="00D82B74">
        <w:rPr>
          <w:spacing w:val="-2"/>
          <w:lang w:val="de-DE"/>
        </w:rPr>
        <w:t xml:space="preserve">Vergleiche Dokument </w:t>
      </w:r>
      <w:hyperlink r:id="rId1" w:history="1">
        <w:r w:rsidRPr="00D82B74">
          <w:rPr>
            <w:rStyle w:val="Hyperlink"/>
            <w:spacing w:val="-2"/>
            <w:lang w:val="de-DE"/>
          </w:rPr>
          <w:t>CAJ/52/4</w:t>
        </w:r>
      </w:hyperlink>
      <w:r w:rsidRPr="00D82B74">
        <w:rPr>
          <w:rStyle w:val="Hyperlink"/>
          <w:spacing w:val="-2"/>
          <w:u w:val="none"/>
          <w:lang w:val="de-DE"/>
        </w:rPr>
        <w:t xml:space="preserve"> </w:t>
      </w:r>
      <w:r w:rsidRPr="00D82B74">
        <w:rPr>
          <w:spacing w:val="-2"/>
          <w:lang w:val="de-DE"/>
        </w:rPr>
        <w:t xml:space="preserve">„Vorgehen zur Ausarbeitung von Informationsmaterial </w:t>
      </w:r>
      <w:r w:rsidR="006C0535" w:rsidRPr="00D82B74">
        <w:rPr>
          <w:spacing w:val="-2"/>
          <w:lang w:val="de-DE"/>
        </w:rPr>
        <w:t>zum</w:t>
      </w:r>
      <w:r w:rsidRPr="00D82B74">
        <w:rPr>
          <w:spacing w:val="-2"/>
          <w:lang w:val="de-DE"/>
        </w:rPr>
        <w:t xml:space="preserve"> UPO</w:t>
      </w:r>
      <w:r w:rsidR="00D82B74" w:rsidRPr="00D82B74">
        <w:rPr>
          <w:spacing w:val="-2"/>
          <w:lang w:val="de-DE"/>
        </w:rPr>
        <w:t>V-Übereinkommen“, Absätze 8 bis </w:t>
      </w:r>
      <w:r w:rsidRPr="00D82B74">
        <w:rPr>
          <w:spacing w:val="-2"/>
          <w:lang w:val="de-DE"/>
        </w:rPr>
        <w:t>10.</w:t>
      </w:r>
    </w:p>
  </w:footnote>
  <w:footnote w:id="4">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r>
      <w:r w:rsidRPr="00F670F6">
        <w:rPr>
          <w:lang w:val="de-DE"/>
        </w:rPr>
        <w:t xml:space="preserve">Vergleiche Dokument </w:t>
      </w:r>
      <w:hyperlink r:id="rId2" w:history="1">
        <w:r w:rsidR="00E24ED3" w:rsidRPr="00D82B74">
          <w:rPr>
            <w:rStyle w:val="Hyperlink"/>
            <w:spacing w:val="-2"/>
            <w:lang w:val="de-DE"/>
          </w:rPr>
          <w:t>CAJ/52/4</w:t>
        </w:r>
      </w:hyperlink>
      <w:r w:rsidRPr="00F670F6">
        <w:rPr>
          <w:lang w:val="de-DE"/>
        </w:rPr>
        <w:t xml:space="preserve">, Absätze 11 bis 14, und </w:t>
      </w:r>
      <w:hyperlink r:id="rId3" w:history="1">
        <w:r w:rsidRPr="00F670F6">
          <w:rPr>
            <w:rStyle w:val="Hyperlink"/>
            <w:lang w:val="de-DE"/>
          </w:rPr>
          <w:t>CAJ/52/5</w:t>
        </w:r>
      </w:hyperlink>
      <w:r w:rsidRPr="006C0535">
        <w:rPr>
          <w:rStyle w:val="Hyperlink"/>
          <w:u w:val="none"/>
          <w:lang w:val="de-DE"/>
        </w:rPr>
        <w:t xml:space="preserve"> </w:t>
      </w:r>
      <w:r w:rsidRPr="00F670F6">
        <w:rPr>
          <w:lang w:val="de-DE"/>
        </w:rPr>
        <w:t>„Bericht“, Absatz 67.</w:t>
      </w:r>
    </w:p>
  </w:footnote>
  <w:footnote w:id="5">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r>
      <w:r w:rsidRPr="00F670F6">
        <w:rPr>
          <w:lang w:val="de-DE"/>
        </w:rPr>
        <w:t>Abgehalten am 13. Oktober 2014 in Genf.</w:t>
      </w:r>
    </w:p>
  </w:footnote>
  <w:footnote w:id="6">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r>
      <w:r w:rsidRPr="00F670F6">
        <w:rPr>
          <w:lang w:val="de-DE"/>
        </w:rPr>
        <w:t>Abgehalten am 14. und 17. Oktober 2014 in Genf.</w:t>
      </w:r>
    </w:p>
  </w:footnote>
  <w:footnote w:id="7">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r>
      <w:r w:rsidRPr="00F670F6">
        <w:rPr>
          <w:lang w:val="de-DE"/>
        </w:rPr>
        <w:t xml:space="preserve">Vergleiche Dokument </w:t>
      </w:r>
      <w:hyperlink r:id="rId4" w:history="1">
        <w:r w:rsidRPr="00F670F6">
          <w:rPr>
            <w:rStyle w:val="Hyperlink"/>
            <w:lang w:val="de-DE"/>
          </w:rPr>
          <w:t xml:space="preserve">CAJ/70/10 </w:t>
        </w:r>
      </w:hyperlink>
      <w:r w:rsidR="00B82F7A" w:rsidRPr="00E14BE2">
        <w:rPr>
          <w:lang w:val="de-CH"/>
        </w:rPr>
        <w:t xml:space="preserve"> </w:t>
      </w:r>
      <w:r w:rsidRPr="00F670F6">
        <w:rPr>
          <w:lang w:val="de-DE"/>
        </w:rPr>
        <w:t>„Bericht über die Entschließungen“, Absätze 38 bis 41.</w:t>
      </w:r>
    </w:p>
  </w:footnote>
  <w:footnote w:id="8">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t>Abgehalten am 31. Oktober 2018 in Genf.</w:t>
      </w:r>
      <w:bookmarkStart w:id="8" w:name="_GoBack"/>
      <w:bookmarkEnd w:id="8"/>
    </w:p>
  </w:footnote>
  <w:footnote w:id="9">
    <w:p w:rsidR="00F670F6" w:rsidRPr="00F670F6" w:rsidRDefault="00F670F6">
      <w:pPr>
        <w:pStyle w:val="FootnoteText"/>
        <w:rPr>
          <w:lang w:val="de-CH"/>
        </w:rPr>
      </w:pPr>
      <w:r w:rsidRPr="00F670F6">
        <w:rPr>
          <w:rStyle w:val="FootnoteReference"/>
        </w:rPr>
        <w:footnoteRef/>
      </w:r>
      <w:r w:rsidRPr="00F670F6">
        <w:rPr>
          <w:lang w:val="de-CH"/>
        </w:rPr>
        <w:t xml:space="preserve"> </w:t>
      </w:r>
      <w:r w:rsidRPr="00F670F6">
        <w:rPr>
          <w:lang w:val="de-CH"/>
        </w:rPr>
        <w:tab/>
        <w:t>Tagung vom 30. Oktober 2019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B1" w:rsidRDefault="00BE4EB1">
    <w:pPr>
      <w:pStyle w:val="Header"/>
      <w:rPr>
        <w:rStyle w:val="PageNumber"/>
        <w:szCs w:val="24"/>
        <w:lang w:val="en-US"/>
      </w:rPr>
    </w:pPr>
    <w:r>
      <w:rPr>
        <w:rStyle w:val="PageNumber"/>
        <w:noProof/>
        <w:szCs w:val="24"/>
        <w:lang w:val="en-US"/>
      </w:rPr>
      <w:t>CAJ/76/4</w:t>
    </w:r>
  </w:p>
  <w:p w:rsidR="00BE4EB1" w:rsidRDefault="006C0535">
    <w:pPr>
      <w:pStyle w:val="Header"/>
      <w:rPr>
        <w:szCs w:val="24"/>
        <w:lang w:val="en-US"/>
      </w:rPr>
    </w:pPr>
    <w:proofErr w:type="spellStart"/>
    <w:r>
      <w:rPr>
        <w:szCs w:val="24"/>
        <w:lang w:val="en-US"/>
      </w:rPr>
      <w:t>Seite</w:t>
    </w:r>
    <w:proofErr w:type="spellEnd"/>
    <w:r w:rsidR="00BE4EB1">
      <w:rPr>
        <w:szCs w:val="24"/>
        <w:lang w:val="en-US"/>
      </w:rPr>
      <w:t xml:space="preserve"> </w:t>
    </w:r>
    <w:r w:rsidR="00BE4EB1">
      <w:rPr>
        <w:rStyle w:val="PageNumber"/>
        <w:szCs w:val="24"/>
        <w:lang w:val="en-US"/>
      </w:rPr>
      <w:fldChar w:fldCharType="begin"/>
    </w:r>
    <w:r w:rsidR="00BE4EB1">
      <w:rPr>
        <w:rStyle w:val="PageNumber"/>
        <w:szCs w:val="24"/>
        <w:lang w:val="en-US"/>
      </w:rPr>
      <w:instrText xml:space="preserve"> PAGE </w:instrText>
    </w:r>
    <w:r w:rsidR="00BE4EB1">
      <w:rPr>
        <w:rStyle w:val="PageNumber"/>
        <w:szCs w:val="24"/>
        <w:lang w:val="en-US"/>
      </w:rPr>
      <w:fldChar w:fldCharType="separate"/>
    </w:r>
    <w:r w:rsidR="00E24ED3">
      <w:rPr>
        <w:rStyle w:val="PageNumber"/>
        <w:noProof/>
        <w:szCs w:val="24"/>
        <w:lang w:val="en-US"/>
      </w:rPr>
      <w:t>2</w:t>
    </w:r>
    <w:r w:rsidR="00BE4EB1">
      <w:rPr>
        <w:rStyle w:val="PageNumber"/>
        <w:szCs w:val="24"/>
        <w:lang w:val="en-US"/>
      </w:rPr>
      <w:fldChar w:fldCharType="end"/>
    </w:r>
  </w:p>
  <w:p w:rsidR="00BE4EB1" w:rsidRDefault="00BE4EB1">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EB1" w:rsidRDefault="00BE4EB1">
    <w:pPr>
      <w:pStyle w:val="Header"/>
      <w:rPr>
        <w:rStyle w:val="PageNumber"/>
        <w:szCs w:val="24"/>
        <w:lang w:val="en-US"/>
      </w:rPr>
    </w:pPr>
    <w:r>
      <w:rPr>
        <w:rStyle w:val="PageNumber"/>
        <w:noProof/>
        <w:szCs w:val="24"/>
        <w:lang w:val="en-US"/>
      </w:rPr>
      <w:t>CAJ/76/4</w:t>
    </w:r>
  </w:p>
  <w:p w:rsidR="00BE4EB1" w:rsidRDefault="00BE4EB1">
    <w:pPr>
      <w:pStyle w:val="Header"/>
      <w:rPr>
        <w:szCs w:val="24"/>
        <w:lang w:val="en-US"/>
      </w:rPr>
    </w:pPr>
    <w:r>
      <w:rPr>
        <w:szCs w:val="24"/>
        <w:lang w:val="en-US"/>
      </w:rPr>
      <w:t>A</w:t>
    </w:r>
    <w:r w:rsidR="006C0535">
      <w:rPr>
        <w:szCs w:val="24"/>
        <w:lang w:val="en-US"/>
      </w:rPr>
      <w:t xml:space="preserve">nlage, </w:t>
    </w:r>
    <w:proofErr w:type="spellStart"/>
    <w:r w:rsidR="006C0535">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E24ED3">
      <w:rPr>
        <w:rStyle w:val="PageNumber"/>
        <w:noProof/>
        <w:szCs w:val="24"/>
        <w:lang w:val="en-US"/>
      </w:rPr>
      <w:t>2</w:t>
    </w:r>
    <w:r>
      <w:rPr>
        <w:rStyle w:val="PageNumber"/>
        <w:szCs w:val="24"/>
        <w:lang w:val="en-US"/>
      </w:rPr>
      <w:fldChar w:fldCharType="end"/>
    </w:r>
  </w:p>
  <w:p w:rsidR="00BE4EB1" w:rsidRDefault="00BE4EB1">
    <w:pPr>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309C6"/>
    <w:multiLevelType w:val="hybridMultilevel"/>
    <w:tmpl w:val="546044F2"/>
    <w:lvl w:ilvl="0" w:tplc="3132AA86">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abstractNum w:abstractNumId="1" w15:restartNumberingAfterBreak="0">
    <w:nsid w:val="4DE33CB8"/>
    <w:multiLevelType w:val="hybridMultilevel"/>
    <w:tmpl w:val="786AFC40"/>
    <w:lvl w:ilvl="0" w:tplc="83D892FC">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9273BB"/>
    <w:multiLevelType w:val="hybridMultilevel"/>
    <w:tmpl w:val="4956DB84"/>
    <w:lvl w:ilvl="0" w:tplc="E990ED32">
      <w:start w:val="1"/>
      <w:numFmt w:val="lowerLetter"/>
      <w:lvlText w:val="(%1)"/>
      <w:lvlJc w:val="left"/>
      <w:pPr>
        <w:ind w:left="5180" w:hanging="360"/>
      </w:pPr>
      <w:rPr>
        <w:rFonts w:cs="Times New Roman" w:hint="default"/>
      </w:rPr>
    </w:lvl>
    <w:lvl w:ilvl="1" w:tplc="04090019" w:tentative="1">
      <w:start w:val="1"/>
      <w:numFmt w:val="lowerLetter"/>
      <w:lvlText w:val="%2."/>
      <w:lvlJc w:val="left"/>
      <w:pPr>
        <w:ind w:left="5900" w:hanging="360"/>
      </w:pPr>
      <w:rPr>
        <w:rFonts w:cs="Times New Roman"/>
      </w:rPr>
    </w:lvl>
    <w:lvl w:ilvl="2" w:tplc="0409001B" w:tentative="1">
      <w:start w:val="1"/>
      <w:numFmt w:val="lowerRoman"/>
      <w:lvlText w:val="%3."/>
      <w:lvlJc w:val="right"/>
      <w:pPr>
        <w:ind w:left="6620" w:hanging="180"/>
      </w:pPr>
      <w:rPr>
        <w:rFonts w:cs="Times New Roman"/>
      </w:rPr>
    </w:lvl>
    <w:lvl w:ilvl="3" w:tplc="0409000F" w:tentative="1">
      <w:start w:val="1"/>
      <w:numFmt w:val="decimal"/>
      <w:lvlText w:val="%4."/>
      <w:lvlJc w:val="left"/>
      <w:pPr>
        <w:ind w:left="7340" w:hanging="360"/>
      </w:pPr>
      <w:rPr>
        <w:rFonts w:cs="Times New Roman"/>
      </w:rPr>
    </w:lvl>
    <w:lvl w:ilvl="4" w:tplc="04090019" w:tentative="1">
      <w:start w:val="1"/>
      <w:numFmt w:val="lowerLetter"/>
      <w:lvlText w:val="%5."/>
      <w:lvlJc w:val="left"/>
      <w:pPr>
        <w:ind w:left="8060" w:hanging="360"/>
      </w:pPr>
      <w:rPr>
        <w:rFonts w:cs="Times New Roman"/>
      </w:rPr>
    </w:lvl>
    <w:lvl w:ilvl="5" w:tplc="0409001B" w:tentative="1">
      <w:start w:val="1"/>
      <w:numFmt w:val="lowerRoman"/>
      <w:lvlText w:val="%6."/>
      <w:lvlJc w:val="right"/>
      <w:pPr>
        <w:ind w:left="8780" w:hanging="180"/>
      </w:pPr>
      <w:rPr>
        <w:rFonts w:cs="Times New Roman"/>
      </w:rPr>
    </w:lvl>
    <w:lvl w:ilvl="6" w:tplc="0409000F" w:tentative="1">
      <w:start w:val="1"/>
      <w:numFmt w:val="decimal"/>
      <w:lvlText w:val="%7."/>
      <w:lvlJc w:val="left"/>
      <w:pPr>
        <w:ind w:left="9500" w:hanging="360"/>
      </w:pPr>
      <w:rPr>
        <w:rFonts w:cs="Times New Roman"/>
      </w:rPr>
    </w:lvl>
    <w:lvl w:ilvl="7" w:tplc="04090019" w:tentative="1">
      <w:start w:val="1"/>
      <w:numFmt w:val="lowerLetter"/>
      <w:lvlText w:val="%8."/>
      <w:lvlJc w:val="left"/>
      <w:pPr>
        <w:ind w:left="10220" w:hanging="360"/>
      </w:pPr>
      <w:rPr>
        <w:rFonts w:cs="Times New Roman"/>
      </w:rPr>
    </w:lvl>
    <w:lvl w:ilvl="8" w:tplc="0409001B" w:tentative="1">
      <w:start w:val="1"/>
      <w:numFmt w:val="lowerRoman"/>
      <w:lvlText w:val="%9."/>
      <w:lvlJc w:val="right"/>
      <w:pPr>
        <w:ind w:left="109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272"/>
    <w:rsid w:val="00010CF3"/>
    <w:rsid w:val="00011E27"/>
    <w:rsid w:val="000148BC"/>
    <w:rsid w:val="00024AB8"/>
    <w:rsid w:val="00030854"/>
    <w:rsid w:val="00036028"/>
    <w:rsid w:val="00043D56"/>
    <w:rsid w:val="00044642"/>
    <w:rsid w:val="000446B9"/>
    <w:rsid w:val="00047E21"/>
    <w:rsid w:val="00050E16"/>
    <w:rsid w:val="00061A89"/>
    <w:rsid w:val="00085505"/>
    <w:rsid w:val="000B063A"/>
    <w:rsid w:val="000C4E25"/>
    <w:rsid w:val="000C7021"/>
    <w:rsid w:val="000D6BBC"/>
    <w:rsid w:val="000D7780"/>
    <w:rsid w:val="000E636A"/>
    <w:rsid w:val="000F2F11"/>
    <w:rsid w:val="000F3948"/>
    <w:rsid w:val="00105929"/>
    <w:rsid w:val="00110BED"/>
    <w:rsid w:val="00110C36"/>
    <w:rsid w:val="001131D5"/>
    <w:rsid w:val="001150EF"/>
    <w:rsid w:val="001218B3"/>
    <w:rsid w:val="00141DB8"/>
    <w:rsid w:val="00172084"/>
    <w:rsid w:val="0017474A"/>
    <w:rsid w:val="001758C6"/>
    <w:rsid w:val="00182B99"/>
    <w:rsid w:val="001C0517"/>
    <w:rsid w:val="001C1525"/>
    <w:rsid w:val="0021332C"/>
    <w:rsid w:val="00213982"/>
    <w:rsid w:val="0021431F"/>
    <w:rsid w:val="0024416D"/>
    <w:rsid w:val="00244317"/>
    <w:rsid w:val="00271911"/>
    <w:rsid w:val="002800A0"/>
    <w:rsid w:val="002801B3"/>
    <w:rsid w:val="00281060"/>
    <w:rsid w:val="002940E8"/>
    <w:rsid w:val="00294751"/>
    <w:rsid w:val="002A6E50"/>
    <w:rsid w:val="002B4298"/>
    <w:rsid w:val="002B7A36"/>
    <w:rsid w:val="002C256A"/>
    <w:rsid w:val="002C2812"/>
    <w:rsid w:val="00305A7F"/>
    <w:rsid w:val="003152FE"/>
    <w:rsid w:val="0032591E"/>
    <w:rsid w:val="00327436"/>
    <w:rsid w:val="003358AC"/>
    <w:rsid w:val="00344BD6"/>
    <w:rsid w:val="003507D5"/>
    <w:rsid w:val="0035528D"/>
    <w:rsid w:val="00361821"/>
    <w:rsid w:val="00361E9E"/>
    <w:rsid w:val="00365DC1"/>
    <w:rsid w:val="003754C5"/>
    <w:rsid w:val="003952E2"/>
    <w:rsid w:val="003C7FBE"/>
    <w:rsid w:val="003D227C"/>
    <w:rsid w:val="003D2B4D"/>
    <w:rsid w:val="003F59B3"/>
    <w:rsid w:val="00411E74"/>
    <w:rsid w:val="00443F99"/>
    <w:rsid w:val="00444A88"/>
    <w:rsid w:val="0044526F"/>
    <w:rsid w:val="00454FD7"/>
    <w:rsid w:val="00474DA4"/>
    <w:rsid w:val="00476B4D"/>
    <w:rsid w:val="004805FA"/>
    <w:rsid w:val="004935D2"/>
    <w:rsid w:val="004A7B3B"/>
    <w:rsid w:val="004B0FC0"/>
    <w:rsid w:val="004B1215"/>
    <w:rsid w:val="004D047D"/>
    <w:rsid w:val="004D079C"/>
    <w:rsid w:val="004D3D90"/>
    <w:rsid w:val="004E4103"/>
    <w:rsid w:val="004F1804"/>
    <w:rsid w:val="004F1E9E"/>
    <w:rsid w:val="004F305A"/>
    <w:rsid w:val="00504FED"/>
    <w:rsid w:val="00510349"/>
    <w:rsid w:val="00511E92"/>
    <w:rsid w:val="00512164"/>
    <w:rsid w:val="00513D05"/>
    <w:rsid w:val="00520297"/>
    <w:rsid w:val="00524A85"/>
    <w:rsid w:val="005262ED"/>
    <w:rsid w:val="005338F9"/>
    <w:rsid w:val="0054281C"/>
    <w:rsid w:val="00544581"/>
    <w:rsid w:val="0055268D"/>
    <w:rsid w:val="00555E1E"/>
    <w:rsid w:val="00556D8A"/>
    <w:rsid w:val="005638F9"/>
    <w:rsid w:val="00576BE4"/>
    <w:rsid w:val="005779DB"/>
    <w:rsid w:val="00580991"/>
    <w:rsid w:val="005A400A"/>
    <w:rsid w:val="005A4EC4"/>
    <w:rsid w:val="005F3DD5"/>
    <w:rsid w:val="005F7B92"/>
    <w:rsid w:val="00612379"/>
    <w:rsid w:val="006153B6"/>
    <w:rsid w:val="0061555F"/>
    <w:rsid w:val="00636CA6"/>
    <w:rsid w:val="00641200"/>
    <w:rsid w:val="00645CA8"/>
    <w:rsid w:val="00664838"/>
    <w:rsid w:val="006655D3"/>
    <w:rsid w:val="00667404"/>
    <w:rsid w:val="00676DC9"/>
    <w:rsid w:val="0067753D"/>
    <w:rsid w:val="00687EB4"/>
    <w:rsid w:val="00695C56"/>
    <w:rsid w:val="006A5CDE"/>
    <w:rsid w:val="006A644A"/>
    <w:rsid w:val="006B17D2"/>
    <w:rsid w:val="006B682C"/>
    <w:rsid w:val="006C0535"/>
    <w:rsid w:val="006C224E"/>
    <w:rsid w:val="006D4190"/>
    <w:rsid w:val="006D444B"/>
    <w:rsid w:val="006D780A"/>
    <w:rsid w:val="0071271E"/>
    <w:rsid w:val="00732DEC"/>
    <w:rsid w:val="00735BD5"/>
    <w:rsid w:val="00743DCC"/>
    <w:rsid w:val="007451EC"/>
    <w:rsid w:val="00745870"/>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07C2A"/>
    <w:rsid w:val="008108B0"/>
    <w:rsid w:val="00811B20"/>
    <w:rsid w:val="00812609"/>
    <w:rsid w:val="00815738"/>
    <w:rsid w:val="008211B5"/>
    <w:rsid w:val="0082296E"/>
    <w:rsid w:val="00824099"/>
    <w:rsid w:val="00846D7C"/>
    <w:rsid w:val="00867AC1"/>
    <w:rsid w:val="00877B9B"/>
    <w:rsid w:val="00890DF8"/>
    <w:rsid w:val="008A20FB"/>
    <w:rsid w:val="008A743F"/>
    <w:rsid w:val="008C0970"/>
    <w:rsid w:val="008C18AF"/>
    <w:rsid w:val="008D0BC5"/>
    <w:rsid w:val="008D2CF7"/>
    <w:rsid w:val="008D7E15"/>
    <w:rsid w:val="00900C26"/>
    <w:rsid w:val="0090197F"/>
    <w:rsid w:val="00903264"/>
    <w:rsid w:val="00906B72"/>
    <w:rsid w:val="00906C55"/>
    <w:rsid w:val="00906DDC"/>
    <w:rsid w:val="00934E09"/>
    <w:rsid w:val="00936253"/>
    <w:rsid w:val="00940D46"/>
    <w:rsid w:val="00944907"/>
    <w:rsid w:val="00946B32"/>
    <w:rsid w:val="00952DD4"/>
    <w:rsid w:val="009538C4"/>
    <w:rsid w:val="00965AE7"/>
    <w:rsid w:val="00970FED"/>
    <w:rsid w:val="00980611"/>
    <w:rsid w:val="00992D82"/>
    <w:rsid w:val="00997029"/>
    <w:rsid w:val="009A7339"/>
    <w:rsid w:val="009B3507"/>
    <w:rsid w:val="009B440E"/>
    <w:rsid w:val="009C4083"/>
    <w:rsid w:val="009C5CAF"/>
    <w:rsid w:val="009D690D"/>
    <w:rsid w:val="009D7CAB"/>
    <w:rsid w:val="009E4242"/>
    <w:rsid w:val="009E65B6"/>
    <w:rsid w:val="009E77F3"/>
    <w:rsid w:val="009F77CF"/>
    <w:rsid w:val="00A06FCF"/>
    <w:rsid w:val="00A24C10"/>
    <w:rsid w:val="00A42AC3"/>
    <w:rsid w:val="00A430CF"/>
    <w:rsid w:val="00A45C42"/>
    <w:rsid w:val="00A54309"/>
    <w:rsid w:val="00A7259F"/>
    <w:rsid w:val="00A80F2A"/>
    <w:rsid w:val="00AB2B93"/>
    <w:rsid w:val="00AB530F"/>
    <w:rsid w:val="00AB7E5B"/>
    <w:rsid w:val="00AC2883"/>
    <w:rsid w:val="00AC28AA"/>
    <w:rsid w:val="00AC55B3"/>
    <w:rsid w:val="00AD6D1D"/>
    <w:rsid w:val="00AE0CB3"/>
    <w:rsid w:val="00AE0EF1"/>
    <w:rsid w:val="00AE2937"/>
    <w:rsid w:val="00B07301"/>
    <w:rsid w:val="00B11F3E"/>
    <w:rsid w:val="00B224DE"/>
    <w:rsid w:val="00B25BFB"/>
    <w:rsid w:val="00B324D4"/>
    <w:rsid w:val="00B46575"/>
    <w:rsid w:val="00B468B8"/>
    <w:rsid w:val="00B61777"/>
    <w:rsid w:val="00B622E6"/>
    <w:rsid w:val="00B82F7A"/>
    <w:rsid w:val="00B84BBD"/>
    <w:rsid w:val="00BA43FB"/>
    <w:rsid w:val="00BC127D"/>
    <w:rsid w:val="00BC1FE6"/>
    <w:rsid w:val="00BD32F6"/>
    <w:rsid w:val="00BE4EB1"/>
    <w:rsid w:val="00BF010E"/>
    <w:rsid w:val="00BF1634"/>
    <w:rsid w:val="00C061B6"/>
    <w:rsid w:val="00C06E7D"/>
    <w:rsid w:val="00C2446C"/>
    <w:rsid w:val="00C25AC1"/>
    <w:rsid w:val="00C302E3"/>
    <w:rsid w:val="00C32765"/>
    <w:rsid w:val="00C36AE5"/>
    <w:rsid w:val="00C41F17"/>
    <w:rsid w:val="00C527FA"/>
    <w:rsid w:val="00C5280D"/>
    <w:rsid w:val="00C53EB3"/>
    <w:rsid w:val="00C5791C"/>
    <w:rsid w:val="00C66290"/>
    <w:rsid w:val="00C72B7A"/>
    <w:rsid w:val="00C973F2"/>
    <w:rsid w:val="00CA304C"/>
    <w:rsid w:val="00CA774A"/>
    <w:rsid w:val="00CB2272"/>
    <w:rsid w:val="00CC11B0"/>
    <w:rsid w:val="00CC2841"/>
    <w:rsid w:val="00CF1330"/>
    <w:rsid w:val="00CF6569"/>
    <w:rsid w:val="00CF7E36"/>
    <w:rsid w:val="00D1634D"/>
    <w:rsid w:val="00D3708D"/>
    <w:rsid w:val="00D40426"/>
    <w:rsid w:val="00D57C96"/>
    <w:rsid w:val="00D57D18"/>
    <w:rsid w:val="00D82B74"/>
    <w:rsid w:val="00D91203"/>
    <w:rsid w:val="00D95174"/>
    <w:rsid w:val="00DA4973"/>
    <w:rsid w:val="00DA6F36"/>
    <w:rsid w:val="00DB596E"/>
    <w:rsid w:val="00DB7773"/>
    <w:rsid w:val="00DC00EA"/>
    <w:rsid w:val="00DC1C2A"/>
    <w:rsid w:val="00DC3802"/>
    <w:rsid w:val="00E06B56"/>
    <w:rsid w:val="00E07D87"/>
    <w:rsid w:val="00E14BE2"/>
    <w:rsid w:val="00E249C8"/>
    <w:rsid w:val="00E24ED3"/>
    <w:rsid w:val="00E26BB4"/>
    <w:rsid w:val="00E32F7E"/>
    <w:rsid w:val="00E5267B"/>
    <w:rsid w:val="00E63C0E"/>
    <w:rsid w:val="00E65C6F"/>
    <w:rsid w:val="00E72D49"/>
    <w:rsid w:val="00E7593C"/>
    <w:rsid w:val="00E7678A"/>
    <w:rsid w:val="00E935F1"/>
    <w:rsid w:val="00E94A81"/>
    <w:rsid w:val="00EA1FFB"/>
    <w:rsid w:val="00EA6D87"/>
    <w:rsid w:val="00EB048E"/>
    <w:rsid w:val="00EB0CE5"/>
    <w:rsid w:val="00EB4E9C"/>
    <w:rsid w:val="00ED2A67"/>
    <w:rsid w:val="00ED4336"/>
    <w:rsid w:val="00EE34DF"/>
    <w:rsid w:val="00EE4664"/>
    <w:rsid w:val="00EF2F89"/>
    <w:rsid w:val="00EF7AAA"/>
    <w:rsid w:val="00F03E98"/>
    <w:rsid w:val="00F1237A"/>
    <w:rsid w:val="00F22CBD"/>
    <w:rsid w:val="00F272F1"/>
    <w:rsid w:val="00F31412"/>
    <w:rsid w:val="00F45372"/>
    <w:rsid w:val="00F560F7"/>
    <w:rsid w:val="00F6334D"/>
    <w:rsid w:val="00F63599"/>
    <w:rsid w:val="00F670F6"/>
    <w:rsid w:val="00F71C4C"/>
    <w:rsid w:val="00FA0415"/>
    <w:rsid w:val="00FA49AB"/>
    <w:rsid w:val="00FE2B51"/>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EFF5CE-7AC2-46C1-9948-2FAC3C4D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2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rFonts w:cs="Arial"/>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basedOn w:val="Normal"/>
    <w:autoRedefine/>
    <w:pPr>
      <w:spacing w:before="60"/>
      <w:ind w:left="284" w:hanging="284"/>
    </w:pPr>
    <w:rPr>
      <w:sz w:val="16"/>
    </w:rPr>
  </w:style>
  <w:style w:type="character" w:styleId="FootnoteReference">
    <w:name w:val="footnote reference"/>
    <w:basedOn w:val="DefaultParagraphFont"/>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uiPriority w:val="39"/>
    <w:rsid w:val="00B468B8"/>
    <w:pPr>
      <w:tabs>
        <w:tab w:val="right" w:leader="dot" w:pos="9639"/>
      </w:tabs>
      <w:spacing w:after="120"/>
      <w:ind w:left="432" w:right="1"/>
      <w:jc w:val="left"/>
    </w:pPr>
  </w:style>
  <w:style w:type="paragraph" w:styleId="TOC3">
    <w:name w:val="toc 3"/>
    <w:basedOn w:val="Normal"/>
    <w:next w:val="Normal"/>
    <w:autoRedefine/>
    <w:pPr>
      <w:tabs>
        <w:tab w:val="right" w:leader="dot" w:pos="9639"/>
      </w:tabs>
      <w:spacing w:after="120"/>
      <w:ind w:left="568" w:right="851" w:hanging="284"/>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pPr>
      <w:tabs>
        <w:tab w:val="right" w:leader="dot" w:pos="9639"/>
      </w:tabs>
      <w:spacing w:after="120"/>
      <w:ind w:left="738" w:right="851" w:hanging="284"/>
      <w:jc w:val="left"/>
    </w:pPr>
    <w:rPr>
      <w:i/>
      <w:sz w:val="18"/>
      <w:lang w:val="fr-FR"/>
    </w:rPr>
  </w:style>
  <w:style w:type="paragraph" w:styleId="TOC1">
    <w:name w:val="toc 1"/>
    <w:basedOn w:val="Normal"/>
    <w:next w:val="Normal"/>
    <w:autoRedefine/>
    <w:uiPriority w:val="39"/>
    <w:rsid w:val="00504FED"/>
    <w:pPr>
      <w:tabs>
        <w:tab w:val="left" w:pos="1170"/>
        <w:tab w:val="right" w:leader="dot" w:pos="9639"/>
      </w:tabs>
      <w:spacing w:after="120"/>
    </w:pPr>
    <w:rPr>
      <w:caps/>
    </w:rPr>
  </w:style>
  <w:style w:type="paragraph" w:styleId="TOC5">
    <w:name w:val="toc 5"/>
    <w:basedOn w:val="Normal"/>
    <w:next w:val="Normal"/>
    <w:autoRedefine/>
    <w:pPr>
      <w:tabs>
        <w:tab w:val="right" w:leader="dot" w:pos="9639"/>
      </w:tabs>
      <w:spacing w:after="120"/>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character" w:customStyle="1" w:styleId="Heading1Char">
    <w:name w:val="Heading 1 Char"/>
    <w:basedOn w:val="DefaultParagraphFont"/>
    <w:locked/>
    <w:rPr>
      <w:rFonts w:ascii="Arial" w:hAnsi="Arial" w:cs="Times New Roman"/>
      <w:caps/>
      <w:lang w:val="en-US" w:bidi="ar-SA"/>
    </w:rPr>
  </w:style>
  <w:style w:type="character" w:customStyle="1" w:styleId="Heading2Char">
    <w:name w:val="Heading 2 Char"/>
    <w:basedOn w:val="DefaultParagraphFont"/>
    <w:locked/>
    <w:rPr>
      <w:rFonts w:ascii="Arial" w:hAnsi="Arial" w:cs="Arial"/>
      <w:u w:val="single"/>
      <w:lang w:val="en-US" w:bidi="ar-SA"/>
    </w:rPr>
  </w:style>
  <w:style w:type="character" w:customStyle="1" w:styleId="HeaderChar">
    <w:name w:val="Header Char"/>
    <w:basedOn w:val="DefaultParagraphFont"/>
    <w:locked/>
    <w:rPr>
      <w:rFonts w:ascii="Arial" w:hAnsi="Arial" w:cs="Times New Roman"/>
      <w:lang w:val="fr-FR" w:bidi="ar-SA"/>
    </w:rPr>
  </w:style>
  <w:style w:type="character" w:customStyle="1" w:styleId="DecisionParagraphsChar">
    <w:name w:val="DecisionParagraphs Char"/>
    <w:basedOn w:val="DefaultParagraphFont"/>
    <w:locked/>
    <w:rPr>
      <w:rFonts w:ascii="Arial" w:hAnsi="Arial" w:cs="Times New Roman"/>
      <w:i/>
    </w:rPr>
  </w:style>
  <w:style w:type="character" w:customStyle="1" w:styleId="FootnoteTextChar">
    <w:name w:val="Footnote Text Char"/>
    <w:basedOn w:val="DefaultParagraphFont"/>
    <w:locked/>
    <w:rPr>
      <w:rFonts w:ascii="Arial" w:hAnsi="Arial" w:cs="Times New Roman"/>
      <w:sz w:val="16"/>
      <w:lang w:val="en-US" w:bidi="ar-SA"/>
    </w:rPr>
  </w:style>
  <w:style w:type="paragraph" w:styleId="ListParagraph">
    <w:name w:val="List Paragraph"/>
    <w:basedOn w:val="Normal"/>
    <w:qFormat/>
    <w:pPr>
      <w:ind w:left="720"/>
      <w:contextualSpacing/>
    </w:pPr>
  </w:style>
  <w:style w:type="character" w:styleId="FollowedHyperlink">
    <w:name w:val="FollowedHyperlink"/>
    <w:basedOn w:val="DefaultParagraphFont"/>
    <w:semiHidden/>
    <w:rPr>
      <w:rFonts w:cs="Times New Roman"/>
      <w:color w:val="800080"/>
      <w:u w:val="single"/>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de/caj_75/caj_75_14.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edocs/mdocs/upov/de/caj/52/caj_52_05.pdf" TargetMode="External"/><Relationship Id="rId2" Type="http://schemas.openxmlformats.org/officeDocument/2006/relationships/hyperlink" Target="https://www.upov.int/edocs/mdocs/upov/de/caj/52/caj_52_04.pdf" TargetMode="External"/><Relationship Id="rId1" Type="http://schemas.openxmlformats.org/officeDocument/2006/relationships/hyperlink" Target="https://www.upov.int/edocs/mdocs/upov/de/caj/52/caj_52_04.pdf" TargetMode="External"/><Relationship Id="rId4" Type="http://schemas.openxmlformats.org/officeDocument/2006/relationships/hyperlink" Target="https://www.upov.int/edocs/mdocs/upov/de/caj_70/caj_70_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FDEBA-4993-4CD2-AF3E-3043487D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1150</Words>
  <Characters>8724</Characters>
  <Application>Microsoft Office Word</Application>
  <DocSecurity>0</DocSecurity>
  <Lines>72</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CAJ/76/4</vt:lpstr>
      <vt:lpstr>CAJ/76/4</vt:lpstr>
    </vt:vector>
  </TitlesOfParts>
  <Company>UPOV</Company>
  <LinksUpToDate>false</LinksUpToDate>
  <CharactersWithSpaces>9855</CharactersWithSpaces>
  <SharedDoc>false</SharedDoc>
  <HLinks>
    <vt:vector size="30" baseType="variant">
      <vt:variant>
        <vt:i4>6357079</vt:i4>
      </vt:variant>
      <vt:variant>
        <vt:i4>38</vt:i4>
      </vt:variant>
      <vt:variant>
        <vt:i4>0</vt:i4>
      </vt:variant>
      <vt:variant>
        <vt:i4>5</vt:i4>
      </vt:variant>
      <vt:variant>
        <vt:lpwstr>https://www.upov.int/edocs/mdocs/upov/en/caj_75/caj_75_14.pdf</vt:lpwstr>
      </vt:variant>
      <vt:variant>
        <vt:lpwstr/>
      </vt:variant>
      <vt:variant>
        <vt:i4>6291534</vt:i4>
      </vt:variant>
      <vt:variant>
        <vt:i4>9</vt:i4>
      </vt:variant>
      <vt:variant>
        <vt:i4>0</vt:i4>
      </vt:variant>
      <vt:variant>
        <vt:i4>5</vt:i4>
      </vt:variant>
      <vt:variant>
        <vt:lpwstr>http://www.upov.int/meetings/de/details.jsp?meeting_id=33387</vt:lpwstr>
      </vt:variant>
      <vt:variant>
        <vt:lpwstr/>
      </vt:variant>
      <vt:variant>
        <vt:i4>6226044</vt:i4>
      </vt:variant>
      <vt:variant>
        <vt:i4>6</vt:i4>
      </vt:variant>
      <vt:variant>
        <vt:i4>0</vt:i4>
      </vt:variant>
      <vt:variant>
        <vt:i4>5</vt:i4>
      </vt:variant>
      <vt:variant>
        <vt:lpwstr>http://www.upov.int/meetings/de/details.jsp?meeting_id=8907</vt:lpwstr>
      </vt:variant>
      <vt:variant>
        <vt:lpwstr/>
      </vt:variant>
      <vt:variant>
        <vt:i4>6226044</vt:i4>
      </vt:variant>
      <vt:variant>
        <vt:i4>3</vt:i4>
      </vt:variant>
      <vt:variant>
        <vt:i4>0</vt:i4>
      </vt:variant>
      <vt:variant>
        <vt:i4>5</vt:i4>
      </vt:variant>
      <vt:variant>
        <vt:lpwstr>http://www.upov.int/meetings/de/details.jsp?meeting_id=8907</vt:lpwstr>
      </vt:variant>
      <vt:variant>
        <vt:lpwstr/>
      </vt:variant>
      <vt:variant>
        <vt:i4>6226044</vt:i4>
      </vt:variant>
      <vt:variant>
        <vt:i4>0</vt:i4>
      </vt:variant>
      <vt:variant>
        <vt:i4>0</vt:i4>
      </vt:variant>
      <vt:variant>
        <vt:i4>5</vt:i4>
      </vt:variant>
      <vt:variant>
        <vt:lpwstr>http://www.upov.int/meetings/de/details.jsp?meeting_id=8907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CAJ/76/4</dc:title>
  <dc:subject/>
  <dc:creator>SANCHEZ VIZCAINO GOMEZ Rosa Maria</dc:creator>
  <cp:keywords/>
  <dc:description/>
  <cp:lastModifiedBy>SANCHEZ VIZCAINO GOMEZ Rosa Maria</cp:lastModifiedBy>
  <cp:revision>18</cp:revision>
  <cp:lastPrinted>2019-08-01T10:04:00Z</cp:lastPrinted>
  <dcterms:created xsi:type="dcterms:W3CDTF">2019-07-31T09:05:00Z</dcterms:created>
  <dcterms:modified xsi:type="dcterms:W3CDTF">2019-08-02T09:04:00Z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0f186271-dc2b-4216-b0de-64a4f528cf03</vt:lpwstr>
  </property>
</Properties>
</file>