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E3BC8">
        <w:tc>
          <w:tcPr>
            <w:tcW w:w="6522" w:type="dxa"/>
          </w:tcPr>
          <w:p w:rsidR="009E3BC8" w:rsidRDefault="00A93E7A">
            <w:pPr>
              <w:rPr>
                <w:szCs w:val="24"/>
                <w:lang w:val="de-DE"/>
              </w:rPr>
            </w:pPr>
            <w:r>
              <w:rPr>
                <w:noProof/>
                <w:szCs w:val="24"/>
                <w:lang w:eastAsia="en-US"/>
              </w:rPr>
              <w:drawing>
                <wp:inline distT="0" distB="0" distL="0" distR="0">
                  <wp:extent cx="946150" cy="2463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9E3BC8" w:rsidRDefault="009E3BC8">
            <w:pPr>
              <w:pStyle w:val="Lettrine"/>
              <w:rPr>
                <w:bCs w:val="0"/>
                <w:szCs w:val="24"/>
                <w:lang w:val="de-DE"/>
              </w:rPr>
            </w:pPr>
            <w:r>
              <w:rPr>
                <w:bCs w:val="0"/>
                <w:noProof/>
                <w:szCs w:val="24"/>
                <w:lang w:val="de-DE"/>
              </w:rPr>
              <w:t>G</w:t>
            </w:r>
          </w:p>
        </w:tc>
      </w:tr>
      <w:tr w:rsidR="009E3BC8" w:rsidRPr="00C73C6D">
        <w:trPr>
          <w:trHeight w:val="219"/>
        </w:trPr>
        <w:tc>
          <w:tcPr>
            <w:tcW w:w="6522" w:type="dxa"/>
          </w:tcPr>
          <w:p w:rsidR="009E3BC8" w:rsidRDefault="009E3BC8">
            <w:pPr>
              <w:pStyle w:val="upove"/>
              <w:rPr>
                <w:szCs w:val="24"/>
                <w:lang w:val="de-DE"/>
              </w:rPr>
            </w:pPr>
            <w:r>
              <w:rPr>
                <w:szCs w:val="24"/>
                <w:lang w:val="de-DE"/>
              </w:rPr>
              <w:t>Internationaler Verband zum Schutz von Pflanzenzüchtungen</w:t>
            </w:r>
          </w:p>
        </w:tc>
        <w:tc>
          <w:tcPr>
            <w:tcW w:w="3117" w:type="dxa"/>
          </w:tcPr>
          <w:p w:rsidR="009E3BC8" w:rsidRDefault="009E3BC8">
            <w:pPr>
              <w:rPr>
                <w:szCs w:val="24"/>
                <w:lang w:val="de-DE"/>
              </w:rPr>
            </w:pPr>
          </w:p>
        </w:tc>
      </w:tr>
    </w:tbl>
    <w:p w:rsidR="009E3BC8" w:rsidRDefault="009E3BC8">
      <w:pPr>
        <w:rPr>
          <w:szCs w:val="24"/>
          <w:lang w:val="de-DE"/>
        </w:rPr>
      </w:pPr>
    </w:p>
    <w:p w:rsidR="009E3BC8" w:rsidRDefault="009E3BC8">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E3BC8" w:rsidRPr="00C73C6D">
        <w:tc>
          <w:tcPr>
            <w:tcW w:w="6512" w:type="dxa"/>
            <w:tcBorders>
              <w:bottom w:val="single" w:sz="4" w:space="0" w:color="auto"/>
            </w:tcBorders>
          </w:tcPr>
          <w:p w:rsidR="009E3BC8" w:rsidRDefault="009E3BC8">
            <w:pPr>
              <w:pStyle w:val="Sessiontc"/>
              <w:spacing w:line="240" w:lineRule="auto"/>
              <w:rPr>
                <w:bCs w:val="0"/>
                <w:szCs w:val="24"/>
                <w:lang w:val="de-DE"/>
              </w:rPr>
            </w:pPr>
            <w:r>
              <w:rPr>
                <w:bCs w:val="0"/>
                <w:szCs w:val="24"/>
                <w:lang w:val="de-DE"/>
              </w:rPr>
              <w:t>Verwaltungs- und Rechtsausschuß</w:t>
            </w:r>
          </w:p>
          <w:p w:rsidR="009E3BC8" w:rsidRDefault="009E3BC8">
            <w:pPr>
              <w:pStyle w:val="Sessiontcplacedate"/>
              <w:rPr>
                <w:bCs w:val="0"/>
                <w:szCs w:val="24"/>
                <w:lang w:val="de-DE"/>
              </w:rPr>
            </w:pPr>
            <w:r>
              <w:rPr>
                <w:bCs w:val="0"/>
                <w:szCs w:val="24"/>
                <w:lang w:val="de-DE"/>
              </w:rPr>
              <w:t>Sechsundsiebzigste Tagung</w:t>
            </w:r>
            <w:r>
              <w:rPr>
                <w:bCs w:val="0"/>
                <w:szCs w:val="24"/>
                <w:lang w:val="de-DE"/>
              </w:rPr>
              <w:br/>
              <w:t>Genf, 30. Oktober 2019</w:t>
            </w:r>
          </w:p>
        </w:tc>
        <w:tc>
          <w:tcPr>
            <w:tcW w:w="3127" w:type="dxa"/>
            <w:tcBorders>
              <w:bottom w:val="single" w:sz="4" w:space="0" w:color="auto"/>
            </w:tcBorders>
          </w:tcPr>
          <w:p w:rsidR="009E3BC8" w:rsidRDefault="009E3BC8">
            <w:pPr>
              <w:pStyle w:val="Doccode"/>
              <w:rPr>
                <w:bCs w:val="0"/>
                <w:szCs w:val="24"/>
                <w:lang w:val="de-DE"/>
              </w:rPr>
            </w:pPr>
            <w:r>
              <w:rPr>
                <w:bCs w:val="0"/>
                <w:szCs w:val="24"/>
                <w:lang w:val="de-DE"/>
              </w:rPr>
              <w:t>CAJ/76/3</w:t>
            </w:r>
          </w:p>
          <w:p w:rsidR="009E3BC8" w:rsidRDefault="009E3BC8">
            <w:pPr>
              <w:pStyle w:val="Docoriginal"/>
              <w:rPr>
                <w:bCs w:val="0"/>
                <w:szCs w:val="24"/>
                <w:lang w:val="de-DE"/>
              </w:rPr>
            </w:pPr>
            <w:r>
              <w:rPr>
                <w:bCs w:val="0"/>
                <w:szCs w:val="24"/>
                <w:lang w:val="de-DE"/>
              </w:rPr>
              <w:t>Original:</w:t>
            </w:r>
            <w:r>
              <w:rPr>
                <w:b w:val="0"/>
                <w:bCs w:val="0"/>
                <w:spacing w:val="0"/>
                <w:szCs w:val="24"/>
                <w:lang w:val="de-DE"/>
              </w:rPr>
              <w:t xml:space="preserve">  Englisch</w:t>
            </w:r>
          </w:p>
          <w:p w:rsidR="009E3BC8" w:rsidRDefault="009E3BC8">
            <w:pPr>
              <w:pStyle w:val="Docoriginal"/>
              <w:rPr>
                <w:bCs w:val="0"/>
                <w:szCs w:val="24"/>
                <w:lang w:val="de-DE"/>
              </w:rPr>
            </w:pPr>
            <w:r>
              <w:rPr>
                <w:bCs w:val="0"/>
                <w:szCs w:val="24"/>
                <w:lang w:val="de-DE"/>
              </w:rPr>
              <w:t>Datum:</w:t>
            </w:r>
            <w:r>
              <w:rPr>
                <w:b w:val="0"/>
                <w:bCs w:val="0"/>
                <w:spacing w:val="0"/>
                <w:szCs w:val="24"/>
                <w:lang w:val="de-DE"/>
              </w:rPr>
              <w:t xml:space="preserve">  </w:t>
            </w:r>
            <w:r w:rsidRPr="005C1EBA">
              <w:rPr>
                <w:b w:val="0"/>
                <w:bCs w:val="0"/>
                <w:spacing w:val="0"/>
                <w:szCs w:val="24"/>
                <w:lang w:val="de-DE"/>
              </w:rPr>
              <w:t>23. Juli 2019</w:t>
            </w:r>
          </w:p>
        </w:tc>
      </w:tr>
    </w:tbl>
    <w:p w:rsidR="009E3BC8" w:rsidRDefault="009E3BC8">
      <w:pPr>
        <w:pStyle w:val="Titleofdoc0"/>
        <w:rPr>
          <w:szCs w:val="24"/>
          <w:lang w:val="de-DE"/>
        </w:rPr>
      </w:pPr>
      <w:bookmarkStart w:id="0" w:name="Prepared"/>
      <w:bookmarkStart w:id="1" w:name="TitleOfDoc"/>
      <w:r>
        <w:rPr>
          <w:szCs w:val="24"/>
          <w:lang w:val="de-DE"/>
        </w:rPr>
        <w:t>im wesentlichen abgeleitete SorteN</w:t>
      </w:r>
    </w:p>
    <w:bookmarkEnd w:id="0"/>
    <w:bookmarkEnd w:id="1"/>
    <w:p w:rsidR="009E3BC8" w:rsidRDefault="009E3BC8">
      <w:pPr>
        <w:pStyle w:val="preparedby1"/>
        <w:jc w:val="left"/>
        <w:rPr>
          <w:iCs w:val="0"/>
          <w:szCs w:val="24"/>
          <w:lang w:val="de-DE"/>
        </w:rPr>
      </w:pPr>
      <w:r>
        <w:rPr>
          <w:iCs w:val="0"/>
          <w:szCs w:val="24"/>
          <w:lang w:val="de-DE"/>
        </w:rPr>
        <w:t>Vom Verbandsbüro erstelltes Dokument</w:t>
      </w:r>
    </w:p>
    <w:p w:rsidR="009E3BC8" w:rsidRDefault="009E3BC8">
      <w:pPr>
        <w:pStyle w:val="Disclaimer"/>
        <w:rPr>
          <w:iCs w:val="0"/>
          <w:szCs w:val="24"/>
          <w:lang w:val="de-DE"/>
        </w:rPr>
      </w:pPr>
      <w:r>
        <w:rPr>
          <w:iCs w:val="0"/>
          <w:szCs w:val="24"/>
          <w:lang w:val="de-DE"/>
        </w:rPr>
        <w:t>Haftungsausschluß:  dieses Dokument gibt nicht die Grundsätze oder eine Anleitung der UPOV wieder</w:t>
      </w:r>
    </w:p>
    <w:p w:rsidR="009E3BC8" w:rsidRDefault="009E3BC8">
      <w:pPr>
        <w:pStyle w:val="Heading1"/>
        <w:rPr>
          <w:b/>
          <w:szCs w:val="24"/>
          <w:lang w:val="de-DE"/>
        </w:rPr>
      </w:pPr>
      <w:bookmarkStart w:id="2" w:name="_Toc15480332"/>
      <w:r>
        <w:rPr>
          <w:szCs w:val="24"/>
          <w:lang w:val="de-DE"/>
        </w:rPr>
        <w:t>ZUSAMMENFASSUNG</w:t>
      </w:r>
      <w:bookmarkEnd w:id="2"/>
      <w:r>
        <w:rPr>
          <w:szCs w:val="24"/>
          <w:lang w:val="de-DE"/>
        </w:rPr>
        <w:t xml:space="preserve"> </w:t>
      </w:r>
    </w:p>
    <w:p w:rsidR="009E3BC8" w:rsidRDefault="009E3BC8">
      <w:pPr>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Zweck dieses Dokuments ist es, Hintergrundinformationen zu vermitteln und über Entwicklungen betreffend im wesentlichen abgeleitete Sorten zu berichten, einschließlich </w:t>
      </w:r>
      <w:r w:rsidR="00B07AD1">
        <w:rPr>
          <w:szCs w:val="24"/>
          <w:lang w:val="de-DE"/>
        </w:rPr>
        <w:t xml:space="preserve">wichtige </w:t>
      </w:r>
      <w:r>
        <w:rPr>
          <w:szCs w:val="24"/>
          <w:lang w:val="de-DE"/>
        </w:rPr>
        <w:t xml:space="preserve">Angelegenheiten in Zusammenhang mit dem </w:t>
      </w:r>
      <w:r w:rsidR="00B07AD1" w:rsidRPr="00B07AD1">
        <w:rPr>
          <w:szCs w:val="24"/>
          <w:lang w:val="de-DE"/>
        </w:rPr>
        <w:t>„Seminar über die Auswirkungen der Politik bezüglich der im wesentlichen abgeleiteten Sorten auf die Züchtungsstrategie“</w:t>
      </w:r>
      <w:r>
        <w:rPr>
          <w:szCs w:val="24"/>
          <w:lang w:val="de-DE"/>
        </w:rPr>
        <w:t>, um den Verwaltungs- und Rechtsausschuß (CAJ) bei der Prüfung der Überarbeitung der Anleitung zu im wesentlichen abgeleiteten Sorten zu unterstützen, die in Dokument UPOV/EXN/EDV/2 „Erläuterungen zu Sortenbezeichnungen nach dem UPOV-Übereinkommen“ wiedergegeben ist.</w:t>
      </w:r>
    </w:p>
    <w:p w:rsidR="009E3BC8" w:rsidRDefault="009E3BC8">
      <w:pPr>
        <w:jc w:val="left"/>
        <w:rPr>
          <w:szCs w:val="24"/>
          <w:u w:val="single"/>
          <w:lang w:val="de-DE"/>
        </w:rPr>
      </w:pPr>
    </w:p>
    <w:p w:rsidR="009E3BC8" w:rsidRDefault="009E3BC8">
      <w:pPr>
        <w:jc w:val="lef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ersucht,</w:t>
      </w:r>
    </w:p>
    <w:p w:rsidR="009E3BC8" w:rsidRDefault="009E3BC8">
      <w:pPr>
        <w:jc w:val="left"/>
        <w:rPr>
          <w:szCs w:val="24"/>
          <w:u w:val="single"/>
          <w:lang w:val="de-DE"/>
        </w:rPr>
      </w:pPr>
    </w:p>
    <w:p w:rsidR="009E3BC8" w:rsidRDefault="009E3BC8">
      <w:pPr>
        <w:rPr>
          <w:szCs w:val="24"/>
          <w:lang w:val="de-DE"/>
        </w:rPr>
      </w:pPr>
      <w:r>
        <w:rPr>
          <w:szCs w:val="24"/>
          <w:lang w:val="de-DE"/>
        </w:rPr>
        <w:tab/>
        <w:t>a)</w:t>
      </w:r>
      <w:r>
        <w:rPr>
          <w:szCs w:val="24"/>
          <w:lang w:val="de-DE"/>
        </w:rPr>
        <w:tab/>
        <w:t xml:space="preserve">die Hintergrundinformationen und Entwicklungen betreffend im wesentlichen abgeleitete Sorten zur Kenntnis zu nehmen, einschließlich wichtige Angelegenheiten in Zusammenhang mit dem </w:t>
      </w:r>
      <w:r w:rsidR="00B07AD1">
        <w:rPr>
          <w:szCs w:val="24"/>
          <w:lang w:val="de-CH"/>
        </w:rPr>
        <w:t>„Seminar über die Auswirkungen der Politik bezüglich der im wesentlichen abgeleiteten Sorten auf die Züchtungsstrategie“</w:t>
      </w:r>
      <w:r>
        <w:rPr>
          <w:szCs w:val="24"/>
          <w:lang w:val="de-DE"/>
        </w:rPr>
        <w:t>, wie in den Absätzen 4 bis 15 dieses Dokuments dargelegt;</w:t>
      </w:r>
    </w:p>
    <w:p w:rsidR="009E3BC8" w:rsidRDefault="009E3BC8">
      <w:pPr>
        <w:rPr>
          <w:szCs w:val="24"/>
          <w:lang w:val="de-DE"/>
        </w:rPr>
      </w:pPr>
    </w:p>
    <w:p w:rsidR="009E3BC8" w:rsidRDefault="009E3BC8">
      <w:pPr>
        <w:rPr>
          <w:szCs w:val="24"/>
          <w:lang w:val="de-DE"/>
        </w:rPr>
      </w:pPr>
      <w:r>
        <w:rPr>
          <w:szCs w:val="24"/>
          <w:lang w:val="de-DE"/>
        </w:rPr>
        <w:tab/>
        <w:t>b)</w:t>
      </w:r>
      <w:r>
        <w:rPr>
          <w:szCs w:val="24"/>
          <w:lang w:val="de-DE"/>
        </w:rPr>
        <w:tab/>
        <w:t xml:space="preserve">das Ergebnis des Seminars über im wesentlichen abgeleitete Sorten, das dem CAJ auf seiner sechsundsiebzigsten Tagung in einem mündlichen Bericht des Vorsitzenden des CAJ vorgelegt werden soll, wie in den Absätzen 16 bis 18 dieses Dokuments dargelegt, </w:t>
      </w:r>
      <w:r w:rsidR="00B07AD1">
        <w:rPr>
          <w:szCs w:val="24"/>
          <w:lang w:val="de-DE"/>
        </w:rPr>
        <w:t xml:space="preserve">zu </w:t>
      </w:r>
      <w:r>
        <w:rPr>
          <w:szCs w:val="24"/>
          <w:lang w:val="de-DE"/>
        </w:rPr>
        <w:t>prüfen;</w:t>
      </w:r>
    </w:p>
    <w:p w:rsidR="009E3BC8" w:rsidRDefault="009E3BC8">
      <w:pPr>
        <w:rPr>
          <w:szCs w:val="24"/>
          <w:lang w:val="de-DE"/>
        </w:rPr>
      </w:pPr>
    </w:p>
    <w:p w:rsidR="009E3BC8" w:rsidRDefault="009E3BC8">
      <w:pPr>
        <w:rPr>
          <w:szCs w:val="24"/>
          <w:lang w:val="de-DE"/>
        </w:rPr>
      </w:pPr>
      <w:r>
        <w:rPr>
          <w:szCs w:val="24"/>
          <w:lang w:val="de-DE"/>
        </w:rPr>
        <w:tab/>
        <w:t>c)</w:t>
      </w:r>
      <w:r>
        <w:rPr>
          <w:szCs w:val="24"/>
          <w:lang w:val="de-DE"/>
        </w:rPr>
        <w:tab/>
        <w:t>zur Kenntnis zu nehmen, daß es keine Entwicklungen betreffend ein etwaiges Treffen des Verbandsbüros mit CIOPORA, ISF und WIPO gab, 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bookmarkStart w:id="3" w:name="_GoBack"/>
      <w:bookmarkEnd w:id="3"/>
    </w:p>
    <w:p w:rsidR="009E3BC8" w:rsidRDefault="009E3BC8">
      <w:pPr>
        <w:rPr>
          <w:szCs w:val="24"/>
          <w:u w:val="single"/>
          <w:lang w:val="de-DE"/>
        </w:rPr>
      </w:pPr>
    </w:p>
    <w:p w:rsidR="009E3BC8" w:rsidRDefault="009E3BC8">
      <w:pPr>
        <w:jc w:val="left"/>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Aufbau dieses Dokuments ist nachstehend zusammengefasst:</w:t>
      </w:r>
    </w:p>
    <w:p w:rsidR="009E3BC8" w:rsidRDefault="009E3BC8">
      <w:pPr>
        <w:rPr>
          <w:szCs w:val="24"/>
          <w:lang w:val="de-DE"/>
        </w:rPr>
      </w:pPr>
    </w:p>
    <w:p w:rsidR="00D145B2" w:rsidRDefault="009E3BC8" w:rsidP="00F2493D">
      <w:pPr>
        <w:pStyle w:val="TOC1"/>
        <w:rPr>
          <w:rFonts w:asciiTheme="minorHAnsi" w:eastAsiaTheme="minorEastAsia" w:hAnsiTheme="minorHAnsi" w:cstheme="minorBidi"/>
          <w:noProof/>
          <w:snapToGrid/>
          <w:sz w:val="22"/>
          <w:szCs w:val="22"/>
          <w:lang w:eastAsia="en-US"/>
        </w:rPr>
      </w:pPr>
      <w:r>
        <w:rPr>
          <w:szCs w:val="24"/>
          <w:lang w:val="de-DE"/>
        </w:rPr>
        <w:fldChar w:fldCharType="begin"/>
      </w:r>
      <w:r>
        <w:rPr>
          <w:szCs w:val="24"/>
          <w:lang w:val="de-DE"/>
        </w:rPr>
        <w:instrText xml:space="preserve"> TOC \o "1-3" \h \z \u </w:instrText>
      </w:r>
      <w:r>
        <w:rPr>
          <w:szCs w:val="24"/>
          <w:lang w:val="de-DE"/>
        </w:rPr>
        <w:fldChar w:fldCharType="separate"/>
      </w:r>
      <w:hyperlink w:anchor="_Toc15480332" w:history="1">
        <w:r w:rsidR="00D145B2" w:rsidRPr="00161C06">
          <w:rPr>
            <w:rStyle w:val="Hyperlink"/>
            <w:noProof/>
            <w:lang w:val="de-DE"/>
          </w:rPr>
          <w:t>ZUSAMMENFASSUNG</w:t>
        </w:r>
        <w:r w:rsidR="00D145B2">
          <w:rPr>
            <w:noProof/>
            <w:webHidden/>
          </w:rPr>
          <w:tab/>
        </w:r>
        <w:r w:rsidR="00D145B2">
          <w:rPr>
            <w:noProof/>
            <w:webHidden/>
          </w:rPr>
          <w:fldChar w:fldCharType="begin"/>
        </w:r>
        <w:r w:rsidR="00D145B2">
          <w:rPr>
            <w:noProof/>
            <w:webHidden/>
          </w:rPr>
          <w:instrText xml:space="preserve"> PAGEREF _Toc15480332 \h </w:instrText>
        </w:r>
        <w:r w:rsidR="00D145B2">
          <w:rPr>
            <w:noProof/>
            <w:webHidden/>
          </w:rPr>
        </w:r>
        <w:r w:rsidR="00D145B2">
          <w:rPr>
            <w:noProof/>
            <w:webHidden/>
          </w:rPr>
          <w:fldChar w:fldCharType="separate"/>
        </w:r>
        <w:r w:rsidR="00D145B2">
          <w:rPr>
            <w:noProof/>
            <w:webHidden/>
          </w:rPr>
          <w:t>1</w:t>
        </w:r>
        <w:r w:rsidR="00D145B2">
          <w:rPr>
            <w:noProof/>
            <w:webHidden/>
          </w:rPr>
          <w:fldChar w:fldCharType="end"/>
        </w:r>
      </w:hyperlink>
    </w:p>
    <w:p w:rsidR="00D145B2" w:rsidRDefault="00164814" w:rsidP="00F2493D">
      <w:pPr>
        <w:pStyle w:val="TOC1"/>
        <w:rPr>
          <w:rFonts w:asciiTheme="minorHAnsi" w:eastAsiaTheme="minorEastAsia" w:hAnsiTheme="minorHAnsi" w:cstheme="minorBidi"/>
          <w:noProof/>
          <w:snapToGrid/>
          <w:sz w:val="22"/>
          <w:szCs w:val="22"/>
          <w:lang w:eastAsia="en-US"/>
        </w:rPr>
      </w:pPr>
      <w:hyperlink w:anchor="_Toc15480333" w:history="1">
        <w:r w:rsidR="00D145B2" w:rsidRPr="00161C06">
          <w:rPr>
            <w:rStyle w:val="Hyperlink"/>
            <w:noProof/>
            <w:lang w:val="de-DE"/>
          </w:rPr>
          <w:t>Hintergrund</w:t>
        </w:r>
        <w:r w:rsidR="00D145B2">
          <w:rPr>
            <w:noProof/>
            <w:webHidden/>
          </w:rPr>
          <w:tab/>
        </w:r>
        <w:r w:rsidR="00D145B2">
          <w:rPr>
            <w:noProof/>
            <w:webHidden/>
          </w:rPr>
          <w:fldChar w:fldCharType="begin"/>
        </w:r>
        <w:r w:rsidR="00D145B2">
          <w:rPr>
            <w:noProof/>
            <w:webHidden/>
          </w:rPr>
          <w:instrText xml:space="preserve"> PAGEREF _Toc15480333 \h </w:instrText>
        </w:r>
        <w:r w:rsidR="00D145B2">
          <w:rPr>
            <w:noProof/>
            <w:webHidden/>
          </w:rPr>
        </w:r>
        <w:r w:rsidR="00D145B2">
          <w:rPr>
            <w:noProof/>
            <w:webHidden/>
          </w:rPr>
          <w:fldChar w:fldCharType="separate"/>
        </w:r>
        <w:r w:rsidR="00D145B2">
          <w:rPr>
            <w:noProof/>
            <w:webHidden/>
          </w:rPr>
          <w:t>2</w:t>
        </w:r>
        <w:r w:rsidR="00D145B2">
          <w:rPr>
            <w:noProof/>
            <w:webHidden/>
          </w:rPr>
          <w:fldChar w:fldCharType="end"/>
        </w:r>
      </w:hyperlink>
    </w:p>
    <w:p w:rsidR="00D145B2" w:rsidRDefault="00164814" w:rsidP="00C73C6D">
      <w:pPr>
        <w:pStyle w:val="TOC2"/>
        <w:rPr>
          <w:rFonts w:asciiTheme="minorHAnsi" w:eastAsiaTheme="minorEastAsia" w:hAnsiTheme="minorHAnsi" w:cstheme="minorBidi"/>
          <w:noProof/>
          <w:snapToGrid/>
          <w:sz w:val="22"/>
          <w:szCs w:val="22"/>
          <w:lang w:eastAsia="en-US"/>
        </w:rPr>
      </w:pPr>
      <w:hyperlink w:anchor="_Toc15480334" w:history="1">
        <w:r w:rsidR="00D145B2" w:rsidRPr="00161C06">
          <w:rPr>
            <w:rStyle w:val="Hyperlink"/>
            <w:noProof/>
            <w:lang w:val="de-DE"/>
          </w:rPr>
          <w:t>Antworten auf das UPOV-Rundschreiben E-19/032 mit vorgeschlagenen Fragen und Themen, die im Seminar über die im wesentlichen abgeleiteten Sorten behandelt werden sollen</w:t>
        </w:r>
        <w:r w:rsidR="00D145B2">
          <w:rPr>
            <w:noProof/>
            <w:webHidden/>
          </w:rPr>
          <w:tab/>
        </w:r>
        <w:r w:rsidR="00D145B2">
          <w:rPr>
            <w:noProof/>
            <w:webHidden/>
          </w:rPr>
          <w:fldChar w:fldCharType="begin"/>
        </w:r>
        <w:r w:rsidR="00D145B2">
          <w:rPr>
            <w:noProof/>
            <w:webHidden/>
          </w:rPr>
          <w:instrText xml:space="preserve"> PAGEREF _Toc15480334 \h </w:instrText>
        </w:r>
        <w:r w:rsidR="00D145B2">
          <w:rPr>
            <w:noProof/>
            <w:webHidden/>
          </w:rPr>
        </w:r>
        <w:r w:rsidR="00D145B2">
          <w:rPr>
            <w:noProof/>
            <w:webHidden/>
          </w:rPr>
          <w:fldChar w:fldCharType="separate"/>
        </w:r>
        <w:r w:rsidR="00D145B2">
          <w:rPr>
            <w:noProof/>
            <w:webHidden/>
          </w:rPr>
          <w:t>2</w:t>
        </w:r>
        <w:r w:rsidR="00D145B2">
          <w:rPr>
            <w:noProof/>
            <w:webHidden/>
          </w:rPr>
          <w:fldChar w:fldCharType="end"/>
        </w:r>
      </w:hyperlink>
    </w:p>
    <w:p w:rsidR="00D145B2" w:rsidRDefault="00164814" w:rsidP="00C73C6D">
      <w:pPr>
        <w:pStyle w:val="TOC2"/>
        <w:rPr>
          <w:rFonts w:asciiTheme="minorHAnsi" w:eastAsiaTheme="minorEastAsia" w:hAnsiTheme="minorHAnsi" w:cstheme="minorBidi"/>
          <w:noProof/>
          <w:snapToGrid/>
          <w:sz w:val="22"/>
          <w:szCs w:val="22"/>
          <w:lang w:eastAsia="en-US"/>
        </w:rPr>
      </w:pPr>
      <w:hyperlink w:anchor="_Toc15480335" w:history="1">
        <w:r w:rsidR="00D145B2" w:rsidRPr="00161C06">
          <w:rPr>
            <w:rStyle w:val="Hyperlink"/>
            <w:noProof/>
            <w:lang w:val="de-DE"/>
          </w:rPr>
          <w:t>Erstellung des Entwurfs eines Programms für das Seminar über im wesentlichen abgeleitete Sorten zur Billigung durch den CAJ auf dem Korrespondenzweg</w:t>
        </w:r>
        <w:r w:rsidR="00D145B2">
          <w:rPr>
            <w:noProof/>
            <w:webHidden/>
          </w:rPr>
          <w:tab/>
        </w:r>
        <w:r w:rsidR="00D145B2">
          <w:rPr>
            <w:noProof/>
            <w:webHidden/>
          </w:rPr>
          <w:fldChar w:fldCharType="begin"/>
        </w:r>
        <w:r w:rsidR="00D145B2">
          <w:rPr>
            <w:noProof/>
            <w:webHidden/>
          </w:rPr>
          <w:instrText xml:space="preserve"> PAGEREF _Toc15480335 \h </w:instrText>
        </w:r>
        <w:r w:rsidR="00D145B2">
          <w:rPr>
            <w:noProof/>
            <w:webHidden/>
          </w:rPr>
        </w:r>
        <w:r w:rsidR="00D145B2">
          <w:rPr>
            <w:noProof/>
            <w:webHidden/>
          </w:rPr>
          <w:fldChar w:fldCharType="separate"/>
        </w:r>
        <w:r w:rsidR="00D145B2">
          <w:rPr>
            <w:noProof/>
            <w:webHidden/>
          </w:rPr>
          <w:t>3</w:t>
        </w:r>
        <w:r w:rsidR="00D145B2">
          <w:rPr>
            <w:noProof/>
            <w:webHidden/>
          </w:rPr>
          <w:fldChar w:fldCharType="end"/>
        </w:r>
      </w:hyperlink>
    </w:p>
    <w:p w:rsidR="00D145B2" w:rsidRDefault="00164814" w:rsidP="00F2493D">
      <w:pPr>
        <w:pStyle w:val="TOC1"/>
        <w:rPr>
          <w:rFonts w:asciiTheme="minorHAnsi" w:eastAsiaTheme="minorEastAsia" w:hAnsiTheme="minorHAnsi" w:cstheme="minorBidi"/>
          <w:noProof/>
          <w:snapToGrid/>
          <w:sz w:val="22"/>
          <w:szCs w:val="22"/>
          <w:lang w:eastAsia="en-US"/>
        </w:rPr>
      </w:pPr>
      <w:hyperlink w:anchor="_Toc15480336" w:history="1">
        <w:r w:rsidR="00D145B2" w:rsidRPr="00161C06">
          <w:rPr>
            <w:rStyle w:val="Hyperlink"/>
            <w:noProof/>
            <w:lang w:val="de-DE"/>
          </w:rPr>
          <w:t>ERGEBNISSE DES SEMINARS ÜBER IM WESENTLICHEN ABGELEITETE SORTEN UND ÜBERARBEITUNG DER ANLEITUNG ZU IM WESENTLICHEN ABGELEITETE SORTEN IN Dokument UPOV/EXN/EDV/2 „Erläuterungen zu den im wesentlichen abgeleiteten Sorten nach der Akte von 1991 des UPOV-Übereinkommens“</w:t>
        </w:r>
        <w:r w:rsidR="00D145B2">
          <w:rPr>
            <w:noProof/>
            <w:webHidden/>
          </w:rPr>
          <w:tab/>
        </w:r>
        <w:r w:rsidR="00D145B2">
          <w:rPr>
            <w:noProof/>
            <w:webHidden/>
          </w:rPr>
          <w:fldChar w:fldCharType="begin"/>
        </w:r>
        <w:r w:rsidR="00D145B2">
          <w:rPr>
            <w:noProof/>
            <w:webHidden/>
          </w:rPr>
          <w:instrText xml:space="preserve"> PAGEREF _Toc15480336 \h </w:instrText>
        </w:r>
        <w:r w:rsidR="00D145B2">
          <w:rPr>
            <w:noProof/>
            <w:webHidden/>
          </w:rPr>
        </w:r>
        <w:r w:rsidR="00D145B2">
          <w:rPr>
            <w:noProof/>
            <w:webHidden/>
          </w:rPr>
          <w:fldChar w:fldCharType="separate"/>
        </w:r>
        <w:r w:rsidR="00D145B2">
          <w:rPr>
            <w:noProof/>
            <w:webHidden/>
          </w:rPr>
          <w:t>4</w:t>
        </w:r>
        <w:r w:rsidR="00D145B2">
          <w:rPr>
            <w:noProof/>
            <w:webHidden/>
          </w:rPr>
          <w:fldChar w:fldCharType="end"/>
        </w:r>
      </w:hyperlink>
    </w:p>
    <w:p w:rsidR="00D145B2" w:rsidRDefault="00164814" w:rsidP="00F2493D">
      <w:pPr>
        <w:pStyle w:val="TOC1"/>
        <w:rPr>
          <w:rFonts w:asciiTheme="minorHAnsi" w:eastAsiaTheme="minorEastAsia" w:hAnsiTheme="minorHAnsi" w:cstheme="minorBidi"/>
          <w:noProof/>
          <w:snapToGrid/>
          <w:sz w:val="22"/>
          <w:szCs w:val="22"/>
          <w:lang w:eastAsia="en-US"/>
        </w:rPr>
      </w:pPr>
      <w:hyperlink w:anchor="_Toc15480337" w:history="1">
        <w:r w:rsidR="00D145B2" w:rsidRPr="00161C06">
          <w:rPr>
            <w:rStyle w:val="Hyperlink"/>
            <w:noProof/>
            <w:lang w:val="de-DE"/>
          </w:rPr>
          <w:t>ALTERNATIVE STREITBEILEGUNGSMECHANISMEN für angelegenheiten, die im wesentlicHen abgeleitete sorten betreffen</w:t>
        </w:r>
        <w:r w:rsidR="00D145B2">
          <w:rPr>
            <w:noProof/>
            <w:webHidden/>
          </w:rPr>
          <w:tab/>
        </w:r>
        <w:r w:rsidR="00D145B2">
          <w:rPr>
            <w:noProof/>
            <w:webHidden/>
          </w:rPr>
          <w:fldChar w:fldCharType="begin"/>
        </w:r>
        <w:r w:rsidR="00D145B2">
          <w:rPr>
            <w:noProof/>
            <w:webHidden/>
          </w:rPr>
          <w:instrText xml:space="preserve"> PAGEREF _Toc15480337 \h </w:instrText>
        </w:r>
        <w:r w:rsidR="00D145B2">
          <w:rPr>
            <w:noProof/>
            <w:webHidden/>
          </w:rPr>
        </w:r>
        <w:r w:rsidR="00D145B2">
          <w:rPr>
            <w:noProof/>
            <w:webHidden/>
          </w:rPr>
          <w:fldChar w:fldCharType="separate"/>
        </w:r>
        <w:r w:rsidR="00D145B2">
          <w:rPr>
            <w:noProof/>
            <w:webHidden/>
          </w:rPr>
          <w:t>4</w:t>
        </w:r>
        <w:r w:rsidR="00D145B2">
          <w:rPr>
            <w:noProof/>
            <w:webHidden/>
          </w:rPr>
          <w:fldChar w:fldCharType="end"/>
        </w:r>
      </w:hyperlink>
    </w:p>
    <w:p w:rsidR="009E3BC8" w:rsidRPr="007F795B" w:rsidRDefault="009E3BC8" w:rsidP="00164814">
      <w:pPr>
        <w:tabs>
          <w:tab w:val="left" w:pos="1134"/>
        </w:tabs>
        <w:ind w:left="1134" w:hanging="1134"/>
        <w:jc w:val="left"/>
        <w:rPr>
          <w:noProof/>
          <w:szCs w:val="24"/>
          <w:lang w:val="de-CH"/>
        </w:rPr>
      </w:pPr>
      <w:r>
        <w:rPr>
          <w:szCs w:val="24"/>
          <w:lang w:val="de-DE"/>
        </w:rPr>
        <w:fldChar w:fldCharType="end"/>
      </w:r>
      <w:r w:rsidRPr="007F795B">
        <w:rPr>
          <w:noProof/>
          <w:szCs w:val="24"/>
          <w:lang w:val="de-CH"/>
        </w:rPr>
        <w:t>AN</w:t>
      </w:r>
      <w:r w:rsidR="007F795B" w:rsidRPr="007F795B">
        <w:rPr>
          <w:noProof/>
          <w:szCs w:val="24"/>
          <w:lang w:val="de-CH"/>
        </w:rPr>
        <w:t>LAGE</w:t>
      </w:r>
      <w:r w:rsidRPr="007F795B">
        <w:rPr>
          <w:noProof/>
          <w:szCs w:val="24"/>
          <w:lang w:val="de-CH"/>
        </w:rPr>
        <w:t>:</w:t>
      </w:r>
      <w:r w:rsidRPr="007F795B">
        <w:rPr>
          <w:szCs w:val="24"/>
          <w:lang w:val="de-CH"/>
        </w:rPr>
        <w:tab/>
      </w:r>
      <w:r w:rsidR="007F795B" w:rsidRPr="007F795B">
        <w:rPr>
          <w:noProof/>
          <w:szCs w:val="24"/>
          <w:lang w:val="de-CH"/>
        </w:rPr>
        <w:t xml:space="preserve">ENTWURF EINES PROGRAMMS FÜR </w:t>
      </w:r>
      <w:r w:rsidR="00B07AD1">
        <w:rPr>
          <w:noProof/>
          <w:szCs w:val="24"/>
          <w:lang w:val="de-CH"/>
        </w:rPr>
        <w:t>DAS</w:t>
      </w:r>
      <w:r w:rsidR="007F795B" w:rsidRPr="007F795B">
        <w:rPr>
          <w:noProof/>
          <w:szCs w:val="24"/>
          <w:lang w:val="de-CH"/>
        </w:rPr>
        <w:t xml:space="preserve"> „SE</w:t>
      </w:r>
      <w:r w:rsidR="00164814">
        <w:rPr>
          <w:noProof/>
          <w:szCs w:val="24"/>
          <w:lang w:val="de-CH"/>
        </w:rPr>
        <w:t>MINAR ÜBER DIE AUSWIRKUNGEN DER </w:t>
      </w:r>
      <w:r w:rsidR="007F795B" w:rsidRPr="007F795B">
        <w:rPr>
          <w:noProof/>
          <w:szCs w:val="24"/>
          <w:lang w:val="de-CH"/>
        </w:rPr>
        <w:t>POLITIK BEZÜGLICH DER IM WESENTIC</w:t>
      </w:r>
      <w:r w:rsidR="00164814">
        <w:rPr>
          <w:noProof/>
          <w:szCs w:val="24"/>
          <w:lang w:val="de-CH"/>
        </w:rPr>
        <w:t>HEN ABGELEITETEN SORTEN AUF DIE </w:t>
      </w:r>
      <w:r w:rsidR="007F795B" w:rsidRPr="007F795B">
        <w:rPr>
          <w:noProof/>
          <w:szCs w:val="24"/>
          <w:lang w:val="de-CH"/>
        </w:rPr>
        <w:t>ZÜCHTUNGSSTRATEGIE“</w:t>
      </w:r>
    </w:p>
    <w:p w:rsidR="009E3BC8" w:rsidRDefault="009E3BC8">
      <w:pPr>
        <w:pStyle w:val="Heading1"/>
        <w:rPr>
          <w:szCs w:val="24"/>
          <w:lang w:val="de-DE"/>
        </w:rPr>
      </w:pPr>
      <w:bookmarkStart w:id="4" w:name="_Toc15480333"/>
      <w:r>
        <w:rPr>
          <w:szCs w:val="24"/>
          <w:lang w:val="de-DE"/>
        </w:rPr>
        <w:lastRenderedPageBreak/>
        <w:t>Hintergrund</w:t>
      </w:r>
      <w:bookmarkEnd w:id="4"/>
    </w:p>
    <w:p w:rsidR="009E3BC8" w:rsidRDefault="009E3BC8" w:rsidP="00F2493D">
      <w:pPr>
        <w:keepNext/>
        <w:jc w:val="left"/>
        <w:rPr>
          <w:szCs w:val="24"/>
          <w:u w:val="single"/>
          <w:lang w:val="de-DE"/>
        </w:rPr>
      </w:pPr>
    </w:p>
    <w:bookmarkStart w:id="5" w:name="_Ref14793986"/>
    <w:p w:rsidR="009E3BC8" w:rsidRDefault="009E3BC8">
      <w:pPr>
        <w:keepNext/>
        <w:rPr>
          <w:kern w:val="28"/>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DE"/>
        </w:rPr>
        <w:t>Der CAJ prüfte auf seiner fünfundsiebzigsten Tagung</w:t>
      </w:r>
      <w:bookmarkStart w:id="6" w:name="_Ref15401967"/>
      <w:r w:rsidR="00A815B6">
        <w:rPr>
          <w:rStyle w:val="FootnoteReference"/>
          <w:spacing w:val="2"/>
          <w:szCs w:val="24"/>
          <w:lang w:val="de-DE"/>
        </w:rPr>
        <w:footnoteReference w:id="2"/>
      </w:r>
      <w:bookmarkEnd w:id="6"/>
      <w:r>
        <w:rPr>
          <w:spacing w:val="2"/>
          <w:szCs w:val="24"/>
          <w:lang w:val="de-DE"/>
        </w:rPr>
        <w:t xml:space="preserve"> Dokument </w:t>
      </w:r>
      <w:r w:rsidR="00B07AD1" w:rsidRPr="00B07AD1">
        <w:rPr>
          <w:noProof/>
          <w:spacing w:val="-2"/>
          <w:kern w:val="28"/>
          <w:szCs w:val="24"/>
          <w:lang w:val="de-CH"/>
        </w:rPr>
        <w:t xml:space="preserve">CAJ/75/3 </w:t>
      </w:r>
      <w:r>
        <w:rPr>
          <w:szCs w:val="24"/>
          <w:lang w:val="de-DE"/>
        </w:rPr>
        <w:t>„</w:t>
      </w:r>
      <w:r>
        <w:rPr>
          <w:spacing w:val="-2"/>
          <w:kern w:val="28"/>
          <w:szCs w:val="24"/>
          <w:lang w:val="de-DE"/>
        </w:rPr>
        <w:t xml:space="preserve">Referate über im wesentlichen abgeleitete Sorten“ sowie die Referate </w:t>
      </w:r>
      <w:r>
        <w:rPr>
          <w:spacing w:val="2"/>
          <w:szCs w:val="24"/>
          <w:lang w:val="de-DE"/>
        </w:rPr>
        <w:t>der</w:t>
      </w:r>
      <w:r>
        <w:rPr>
          <w:spacing w:val="-2"/>
          <w:szCs w:val="24"/>
          <w:lang w:val="de-DE"/>
        </w:rPr>
        <w:t xml:space="preserve"> </w:t>
      </w:r>
      <w:r w:rsidR="00AC7526" w:rsidRPr="00AC7526">
        <w:rPr>
          <w:spacing w:val="2"/>
          <w:szCs w:val="24"/>
          <w:lang w:val="de-DE"/>
        </w:rPr>
        <w:t>Vereinigten Staaten v</w:t>
      </w:r>
      <w:r w:rsidR="00AC7526">
        <w:rPr>
          <w:spacing w:val="2"/>
          <w:szCs w:val="24"/>
          <w:lang w:val="de-DE"/>
        </w:rPr>
        <w:t>on Amerika, der Internationalen </w:t>
      </w:r>
      <w:r w:rsidR="00AC7526" w:rsidRPr="00AC7526">
        <w:rPr>
          <w:spacing w:val="2"/>
          <w:szCs w:val="24"/>
          <w:lang w:val="de-DE"/>
        </w:rPr>
        <w:t xml:space="preserve">Gemeinschaft der Züchter vegetativ vermehrbarer Zier- und Obstpflanzen (CIOPORA), der </w:t>
      </w:r>
      <w:r w:rsidR="00AC7526" w:rsidRPr="00AC7526">
        <w:rPr>
          <w:i/>
          <w:spacing w:val="2"/>
          <w:szCs w:val="24"/>
          <w:lang w:val="de-DE"/>
        </w:rPr>
        <w:t>European Seed Association</w:t>
      </w:r>
      <w:r w:rsidR="00AC7526" w:rsidRPr="00AC7526">
        <w:rPr>
          <w:spacing w:val="2"/>
          <w:szCs w:val="24"/>
          <w:lang w:val="de-DE"/>
        </w:rPr>
        <w:t xml:space="preserve"> (ESA) und des </w:t>
      </w:r>
      <w:r w:rsidR="00AC7526" w:rsidRPr="00AC7526">
        <w:rPr>
          <w:i/>
          <w:spacing w:val="2"/>
          <w:szCs w:val="24"/>
          <w:lang w:val="de-DE"/>
        </w:rPr>
        <w:t>International Seed Federation</w:t>
      </w:r>
      <w:r w:rsidR="00AC7526" w:rsidRPr="00AC7526">
        <w:rPr>
          <w:spacing w:val="2"/>
          <w:szCs w:val="24"/>
          <w:lang w:val="de-DE"/>
        </w:rPr>
        <w:t xml:space="preserve"> (ISF)</w:t>
      </w:r>
      <w:r w:rsidR="00B53A97">
        <w:rPr>
          <w:spacing w:val="2"/>
          <w:szCs w:val="24"/>
          <w:lang w:val="de-DE"/>
        </w:rPr>
        <w:t xml:space="preserve"> </w:t>
      </w:r>
      <w:r>
        <w:rPr>
          <w:spacing w:val="2"/>
          <w:szCs w:val="24"/>
          <w:lang w:val="de-DE"/>
        </w:rPr>
        <w:t>über im wesentlichen abgeleitete Sorten.</w:t>
      </w:r>
    </w:p>
    <w:bookmarkEnd w:id="5"/>
    <w:p w:rsidR="009E3BC8" w:rsidRDefault="009E3BC8">
      <w:pPr>
        <w:rPr>
          <w:szCs w:val="24"/>
          <w:lang w:val="de-DE"/>
        </w:rPr>
      </w:pPr>
    </w:p>
    <w:p w:rsidR="009E3BC8" w:rsidRDefault="009E3BC8">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vereinbarte:</w:t>
      </w:r>
    </w:p>
    <w:p w:rsidR="009E3BC8" w:rsidRDefault="009E3BC8">
      <w:pPr>
        <w:keepNext/>
        <w:rPr>
          <w:szCs w:val="24"/>
          <w:lang w:val="de-DE"/>
        </w:rPr>
      </w:pPr>
    </w:p>
    <w:p w:rsidR="009E3BC8" w:rsidRDefault="009E3BC8">
      <w:pPr>
        <w:keepNext/>
        <w:numPr>
          <w:ilvl w:val="0"/>
          <w:numId w:val="2"/>
        </w:numPr>
        <w:rPr>
          <w:szCs w:val="24"/>
          <w:lang w:val="de-DE"/>
        </w:rPr>
      </w:pPr>
      <w:r>
        <w:rPr>
          <w:szCs w:val="24"/>
          <w:lang w:val="de-DE"/>
        </w:rPr>
        <w:t>„dem Rat vorzuschlagen, am Vormittag des 30. Oktober 2019 ein ‚Seminar über die Auswirkungen der Politik bezüglich der im wesentlichen abgeleiteten Sorten auf die Züchtungsstrategie‘ durchzuführen;</w:t>
      </w:r>
    </w:p>
    <w:p w:rsidR="009E3BC8" w:rsidRDefault="009E3BC8">
      <w:pPr>
        <w:rPr>
          <w:szCs w:val="24"/>
          <w:lang w:val="de-DE"/>
        </w:rPr>
      </w:pPr>
    </w:p>
    <w:p w:rsidR="009E3BC8" w:rsidRDefault="00B07AD1">
      <w:pPr>
        <w:numPr>
          <w:ilvl w:val="0"/>
          <w:numId w:val="2"/>
        </w:numPr>
        <w:rPr>
          <w:szCs w:val="24"/>
          <w:lang w:val="de-DE"/>
        </w:rPr>
      </w:pPr>
      <w:r>
        <w:rPr>
          <w:szCs w:val="24"/>
          <w:lang w:val="de-DE"/>
        </w:rPr>
        <w:t>„</w:t>
      </w:r>
      <w:r w:rsidR="009E3BC8">
        <w:rPr>
          <w:szCs w:val="24"/>
          <w:lang w:val="de-DE"/>
        </w:rPr>
        <w:t>daß das Seminar Referate von Züchtern, Richtern, Akademikern und Behörden der UPOV-Mitglieder umfassen sollte, um eine Palette von Perspektiven zu di</w:t>
      </w:r>
      <w:r w:rsidR="00B53A97">
        <w:rPr>
          <w:szCs w:val="24"/>
          <w:lang w:val="de-DE"/>
        </w:rPr>
        <w:t>esem Thema bereitzustellen. Das </w:t>
      </w:r>
      <w:r w:rsidR="009E3BC8">
        <w:rPr>
          <w:szCs w:val="24"/>
          <w:lang w:val="de-DE"/>
        </w:rPr>
        <w:t>Verbandsbüro soll Mitglieder und Beobachter ersuchen, Fragen und Themen einzureichen, die sie auf dem Seminar behandelt haben möchten. Das Verbandsbüro soll sodann nach Rücksprache mit dem Vorsitzenden des CAJ einen Entwurf eines Programms im Hinblick auf vom CAJ auf dem Schriftweg einzureichende Bemerkungen ausarbeiten. Der Vorsitzende des CAJ soll das Programm zusammen mit dem Verbandsbüro auf der Grundlage der vom CAJ eingegang</w:t>
      </w:r>
      <w:r>
        <w:rPr>
          <w:szCs w:val="24"/>
          <w:lang w:val="de-DE"/>
        </w:rPr>
        <w:t>enen Bemerkungen fertigstellen</w:t>
      </w:r>
      <w:r w:rsidR="009E3BC8">
        <w:rPr>
          <w:szCs w:val="24"/>
          <w:lang w:val="de-DE"/>
        </w:rPr>
        <w:t>.</w:t>
      </w:r>
    </w:p>
    <w:p w:rsidR="009E3BC8" w:rsidRDefault="009E3BC8">
      <w:pPr>
        <w:rPr>
          <w:szCs w:val="24"/>
          <w:lang w:val="de-DE"/>
        </w:rPr>
      </w:pPr>
    </w:p>
    <w:p w:rsidR="009E3BC8" w:rsidRDefault="009E3BC8">
      <w:pPr>
        <w:numPr>
          <w:ilvl w:val="0"/>
          <w:numId w:val="2"/>
        </w:numPr>
        <w:rPr>
          <w:szCs w:val="24"/>
          <w:lang w:val="de-DE"/>
        </w:rPr>
      </w:pPr>
      <w:r>
        <w:rPr>
          <w:szCs w:val="24"/>
          <w:lang w:val="de-DE"/>
        </w:rPr>
        <w:t xml:space="preserve">„daß das Seminar der Öffentlichkeit zugänglich sein sollte, wobei die Aufzeichnung des Seminars nach einer angemessenen Sendeverzögerung auf der UPOV-Website verfügbar gemacht würde (vergleiche Dokument CAJ/75/14 „Bericht“, Absätze 15 und 16). </w:t>
      </w:r>
    </w:p>
    <w:p w:rsidR="009E3BC8" w:rsidRDefault="009E3BC8">
      <w:pPr>
        <w:pStyle w:val="ListParagraph"/>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CAJ vereinbarte, daß die Prüfung der Überarbeitung der Erläuterungen zu im wesentlichen abgeleiteten Sorten in die Tagesordnung der sechsundsiebzigsten Tagung des CAJ aufgenommen werden sollte, und daß das Ergebnis des Seminars als Grundlage für </w:t>
      </w:r>
      <w:r w:rsidR="00B07AD1">
        <w:rPr>
          <w:szCs w:val="24"/>
          <w:lang w:val="de-DE"/>
        </w:rPr>
        <w:t>diese</w:t>
      </w:r>
      <w:r>
        <w:rPr>
          <w:szCs w:val="24"/>
          <w:lang w:val="de-DE"/>
        </w:rPr>
        <w:t xml:space="preserve"> Pr</w:t>
      </w:r>
      <w:r w:rsidR="00B53A97">
        <w:rPr>
          <w:szCs w:val="24"/>
          <w:lang w:val="de-DE"/>
        </w:rPr>
        <w:t>üfung dienen sollte (vergleiche </w:t>
      </w:r>
      <w:r>
        <w:rPr>
          <w:szCs w:val="24"/>
          <w:lang w:val="de-DE"/>
        </w:rPr>
        <w:t>Dokument CAJ/75/14 „Bericht“, Absatz 17).</w:t>
      </w:r>
    </w:p>
    <w:p w:rsidR="009E3BC8" w:rsidRDefault="009E3BC8">
      <w:pPr>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Rat billigte auf seiner zweiundfünfzigsten ordentlichen Tagung</w:t>
      </w:r>
      <w:r w:rsidR="00A815B6">
        <w:rPr>
          <w:rStyle w:val="FootnoteReference"/>
          <w:szCs w:val="24"/>
          <w:lang w:val="de-DE"/>
        </w:rPr>
        <w:footnoteReference w:id="3"/>
      </w:r>
      <w:r>
        <w:rPr>
          <w:szCs w:val="24"/>
          <w:lang w:val="de-DE"/>
        </w:rPr>
        <w:t xml:space="preserve"> „die Organisation eines ‚Seminars über die Auswirkungen der Politik bezüglich der im wesentlichen abgeleiteten Sorten auf die Züchtungsstrategie‘ am Vormittag des 30. Oktobers 2019 in Genf“ (vergleiche Dok</w:t>
      </w:r>
      <w:r w:rsidR="00B53A97">
        <w:rPr>
          <w:szCs w:val="24"/>
          <w:lang w:val="de-DE"/>
        </w:rPr>
        <w:t>ument C/52/20 „Bericht“, Absatz </w:t>
      </w:r>
      <w:r>
        <w:rPr>
          <w:szCs w:val="24"/>
          <w:lang w:val="de-DE"/>
        </w:rPr>
        <w:t>12 Buchstabe b)).</w:t>
      </w:r>
    </w:p>
    <w:p w:rsidR="009E3BC8" w:rsidRDefault="009E3BC8">
      <w:pPr>
        <w:rPr>
          <w:szCs w:val="24"/>
          <w:lang w:val="de-DE"/>
        </w:rPr>
      </w:pPr>
    </w:p>
    <w:p w:rsidR="009E3BC8" w:rsidRDefault="009E3BC8">
      <w:pPr>
        <w:jc w:val="left"/>
        <w:rPr>
          <w:szCs w:val="24"/>
          <w:lang w:val="de-DE"/>
        </w:rPr>
      </w:pPr>
    </w:p>
    <w:p w:rsidR="009E3BC8" w:rsidRDefault="009E3BC8">
      <w:pPr>
        <w:pStyle w:val="Heading2"/>
        <w:rPr>
          <w:szCs w:val="24"/>
          <w:lang w:val="de-DE"/>
        </w:rPr>
      </w:pPr>
      <w:bookmarkStart w:id="7" w:name="_Toc15480334"/>
      <w:r>
        <w:rPr>
          <w:szCs w:val="24"/>
          <w:lang w:val="de-DE"/>
        </w:rPr>
        <w:t>Antworten auf das UPOV-Rundschreiben E-19/032 mit vorgeschlagenen Fragen und Themen, die im Seminar über die im wesentlichen abgeleiteten Sorten behandelt werden sollen</w:t>
      </w:r>
      <w:bookmarkEnd w:id="7"/>
    </w:p>
    <w:p w:rsidR="009E3BC8" w:rsidRDefault="009E3BC8">
      <w:pPr>
        <w:jc w:val="left"/>
        <w:rPr>
          <w:spacing w:val="-2"/>
          <w:szCs w:val="24"/>
          <w:lang w:val="de-DE"/>
        </w:rPr>
      </w:pPr>
    </w:p>
    <w:p w:rsidR="009E3BC8" w:rsidRDefault="009E3BC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In Übereinstimmung mit dem oben</w:t>
      </w:r>
      <w:r w:rsidR="00B07AD1">
        <w:rPr>
          <w:spacing w:val="-2"/>
          <w:szCs w:val="24"/>
          <w:lang w:val="de-DE"/>
        </w:rPr>
        <w:t xml:space="preserve"> dargelegten </w:t>
      </w:r>
      <w:r>
        <w:rPr>
          <w:spacing w:val="-2"/>
          <w:szCs w:val="24"/>
          <w:lang w:val="de-DE"/>
        </w:rPr>
        <w:t xml:space="preserve">Ansatz unterbreiteten folgende </w:t>
      </w:r>
      <w:r w:rsidRPr="00B07AD1">
        <w:rPr>
          <w:spacing w:val="-2"/>
          <w:szCs w:val="24"/>
          <w:lang w:val="de-DE"/>
        </w:rPr>
        <w:t xml:space="preserve">Mitglieder und Beobachter Fragen </w:t>
      </w:r>
      <w:r w:rsidR="00B07AD1" w:rsidRPr="00B07AD1">
        <w:rPr>
          <w:spacing w:val="-2"/>
          <w:szCs w:val="24"/>
          <w:lang w:val="de-DE"/>
        </w:rPr>
        <w:t>und/</w:t>
      </w:r>
      <w:r w:rsidRPr="00B07AD1">
        <w:rPr>
          <w:spacing w:val="-2"/>
          <w:szCs w:val="24"/>
          <w:lang w:val="de-DE"/>
        </w:rPr>
        <w:t>oder Themen, die sie auf dem Seminar über im wesentlichen abgeleitete Sorten in Antwort auf das UPOV-Rundschreiben E19/032 vom 8. März 2019 behandelt haben möchten</w:t>
      </w:r>
      <w:r w:rsidR="00B07AD1" w:rsidRPr="00B07AD1">
        <w:rPr>
          <w:spacing w:val="-2"/>
          <w:szCs w:val="24"/>
          <w:lang w:val="de-DE"/>
        </w:rPr>
        <w:t>:</w:t>
      </w:r>
      <w:r w:rsidRPr="00B07AD1">
        <w:rPr>
          <w:spacing w:val="-2"/>
          <w:szCs w:val="24"/>
          <w:lang w:val="de-DE"/>
        </w:rPr>
        <w:t xml:space="preserve"> China,</w:t>
      </w:r>
      <w:r>
        <w:rPr>
          <w:spacing w:val="-2"/>
          <w:szCs w:val="24"/>
          <w:lang w:val="de-DE"/>
        </w:rPr>
        <w:t xml:space="preserve"> Europäische Union, Russische Föderation, Schweden, CIOPORA, ESA und ISF.</w:t>
      </w:r>
    </w:p>
    <w:p w:rsidR="009E3BC8" w:rsidRDefault="009E3BC8">
      <w:pPr>
        <w:rPr>
          <w:szCs w:val="24"/>
          <w:lang w:val="de-DE"/>
        </w:rPr>
      </w:pPr>
    </w:p>
    <w:p w:rsidR="009E3BC8" w:rsidRDefault="009E3BC8">
      <w:pPr>
        <w:jc w:val="left"/>
        <w:rPr>
          <w:szCs w:val="24"/>
          <w:u w:val="single"/>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Fragen und Themen in Antwort auf das UPOV-Rundschreiben E-19/032 sind nachstehend zusammengefasst:</w:t>
      </w:r>
    </w:p>
    <w:p w:rsidR="009E3BC8" w:rsidRDefault="009E3BC8">
      <w:pPr>
        <w:jc w:val="left"/>
        <w:rPr>
          <w:szCs w:val="24"/>
          <w:lang w:val="de-DE"/>
        </w:rPr>
      </w:pPr>
    </w:p>
    <w:p w:rsidR="009E3BC8" w:rsidRDefault="009E3BC8" w:rsidP="00F2493D">
      <w:pPr>
        <w:numPr>
          <w:ilvl w:val="0"/>
          <w:numId w:val="12"/>
        </w:numPr>
        <w:ind w:left="1134" w:hanging="567"/>
        <w:rPr>
          <w:szCs w:val="24"/>
          <w:lang w:val="de-DE"/>
        </w:rPr>
      </w:pPr>
      <w:r>
        <w:rPr>
          <w:szCs w:val="24"/>
          <w:lang w:val="de-DE"/>
        </w:rPr>
        <w:t>Ursprung und Erfahrung bei der Umsetzung des Konzepts der im wesentlichen abgeleiteten Sorten (z. B. Mutanten und moderne Verfahren);</w:t>
      </w:r>
    </w:p>
    <w:p w:rsidR="009E3BC8" w:rsidRDefault="009E3BC8" w:rsidP="00B07AD1">
      <w:pPr>
        <w:ind w:left="1134" w:hanging="340"/>
        <w:rPr>
          <w:szCs w:val="24"/>
          <w:lang w:val="de-DE"/>
        </w:rPr>
      </w:pPr>
    </w:p>
    <w:p w:rsidR="009E3BC8" w:rsidRDefault="009E3BC8" w:rsidP="00F2493D">
      <w:pPr>
        <w:numPr>
          <w:ilvl w:val="0"/>
          <w:numId w:val="12"/>
        </w:numPr>
        <w:ind w:left="1134" w:hanging="567"/>
        <w:rPr>
          <w:szCs w:val="24"/>
          <w:lang w:val="de-DE"/>
        </w:rPr>
      </w:pPr>
      <w:r>
        <w:rPr>
          <w:szCs w:val="24"/>
          <w:lang w:val="de-DE"/>
        </w:rPr>
        <w:t>Verhältnis zwischen Züchtungsmethoden und Bestimmung einer im wesentlichen abgeleiteten Sorte;</w:t>
      </w:r>
    </w:p>
    <w:p w:rsidR="009E3BC8" w:rsidRDefault="009E3BC8" w:rsidP="00B07AD1">
      <w:pPr>
        <w:ind w:left="1134" w:hanging="340"/>
        <w:rPr>
          <w:szCs w:val="24"/>
          <w:lang w:val="de-DE"/>
        </w:rPr>
      </w:pPr>
    </w:p>
    <w:p w:rsidR="009E3BC8" w:rsidRDefault="009E3BC8" w:rsidP="00F2493D">
      <w:pPr>
        <w:numPr>
          <w:ilvl w:val="0"/>
          <w:numId w:val="12"/>
        </w:numPr>
        <w:ind w:left="1134" w:hanging="567"/>
        <w:rPr>
          <w:szCs w:val="24"/>
          <w:lang w:val="de-DE"/>
        </w:rPr>
      </w:pPr>
      <w:r>
        <w:rPr>
          <w:szCs w:val="24"/>
          <w:lang w:val="de-DE"/>
        </w:rPr>
        <w:t>Herausforderungen in Zusammenhang mit der zunehmenden Flut neuer Pflanzensorten, die mit modernen Züchtungsverfahren entwickelt wurden;</w:t>
      </w:r>
    </w:p>
    <w:p w:rsidR="009E3BC8" w:rsidRDefault="009E3BC8" w:rsidP="00B07AD1">
      <w:pPr>
        <w:ind w:left="1134" w:hanging="340"/>
        <w:rPr>
          <w:szCs w:val="24"/>
          <w:lang w:val="de-DE"/>
        </w:rPr>
      </w:pPr>
    </w:p>
    <w:p w:rsidR="009E3BC8" w:rsidRDefault="009E3BC8" w:rsidP="00F2493D">
      <w:pPr>
        <w:numPr>
          <w:ilvl w:val="0"/>
          <w:numId w:val="12"/>
        </w:numPr>
        <w:ind w:left="1134" w:hanging="567"/>
        <w:rPr>
          <w:szCs w:val="24"/>
          <w:lang w:val="de-DE"/>
        </w:rPr>
      </w:pPr>
      <w:r>
        <w:rPr>
          <w:szCs w:val="24"/>
          <w:lang w:val="de-DE"/>
        </w:rPr>
        <w:t>Wie kann das Konzept der im wesentlichen abgeleiteten Sorten sicherstellen, daß die Züchter von Ursprungssorten zusätzliche Einkommensmöglichkeiten haben?</w:t>
      </w:r>
    </w:p>
    <w:p w:rsidR="009E3BC8" w:rsidRDefault="009E3BC8" w:rsidP="00B07AD1">
      <w:pPr>
        <w:ind w:left="1134" w:hanging="340"/>
        <w:rPr>
          <w:szCs w:val="24"/>
          <w:lang w:val="de-DE"/>
        </w:rPr>
      </w:pPr>
    </w:p>
    <w:p w:rsidR="009E3BC8" w:rsidRDefault="009E3BC8" w:rsidP="00F2493D">
      <w:pPr>
        <w:numPr>
          <w:ilvl w:val="0"/>
          <w:numId w:val="12"/>
        </w:numPr>
        <w:ind w:left="1134" w:hanging="567"/>
        <w:rPr>
          <w:szCs w:val="24"/>
          <w:lang w:val="de-DE"/>
        </w:rPr>
      </w:pPr>
      <w:r>
        <w:rPr>
          <w:szCs w:val="24"/>
          <w:lang w:val="de-DE"/>
        </w:rPr>
        <w:lastRenderedPageBreak/>
        <w:t>Wo liegt das Gleichgewicht zwischen dem Konzept der im wesentlichen abgeleiteten Sorten und der Züchterausnahme?</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 xml:space="preserve">Mögliche Anleitung zur Anforderung der „Vereinbarkeit“ nach Artikel 14 Absatz 5 Buchstabe b) Nummer iii der Akte von 1991 im Verhältnis zum Begriff der „wesentlichen Merkmale“; </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Wie wird das Konzept der im wesentlichen abgeleiteten Sorten von Richtern ausgelegt?</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Wie wird die Entwicklung der Anzahl Fälle von im wesentlichen abgeleiteten Sorten wahrgenommen?</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Welches ist der Nachweis genetischer Übereinstimmung mit der Ursprungssorte und der Übereinstimmung in der Ausprägung der wesentlichen Merkmale der Ursprungssorte?</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Auf welcher Grundlage sollte die Umkehr der Beweislast bei Fällen von im wesentlichen abgeleiteten Sorten erfolgen?</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Welches sind die Strategien für Züchtungsprogramme, die verschiedene Züchtungsverfahren und verschiedene Pflanzen und Arten verwenden (z. B. landwirtschaftliche Arten, Obstarten, Gemüsearten und Zierarten)?</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Erfahrungen über Unterschiede bei den wesentlichen Merkmalen von Sorten mit spezifischen Beispielen je nach Art und Züchtungsverfahren;</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Auswirkungen des Konzepts der im wesentlichen abgeleiteten Sorten bei der Pflanzenzüchtung (z. B. zielgerichtete Mutagenese, Genom des Mutanten beinnahe identisch mit der Ursprungssorte, während der Phänotyp signifikant unterschiedlich sein kann; mehrmalige Rückkreuzung; Editieren von Genomen); und</w:t>
      </w:r>
    </w:p>
    <w:p w:rsidR="009E3BC8" w:rsidRDefault="009E3BC8" w:rsidP="00F2493D">
      <w:pPr>
        <w:ind w:left="1134"/>
        <w:rPr>
          <w:szCs w:val="24"/>
          <w:lang w:val="de-DE"/>
        </w:rPr>
      </w:pPr>
    </w:p>
    <w:p w:rsidR="009E3BC8" w:rsidRDefault="009E3BC8" w:rsidP="00F2493D">
      <w:pPr>
        <w:numPr>
          <w:ilvl w:val="0"/>
          <w:numId w:val="12"/>
        </w:numPr>
        <w:ind w:left="1134" w:hanging="567"/>
        <w:rPr>
          <w:szCs w:val="24"/>
          <w:lang w:val="de-DE"/>
        </w:rPr>
      </w:pPr>
      <w:r>
        <w:rPr>
          <w:szCs w:val="24"/>
          <w:lang w:val="de-DE"/>
        </w:rPr>
        <w:t>Erfüllt die derzeitige Anleitung in Dokument UPOV/EXN/EDV/2 die Bedürfnisse aller Arten von Züchtungsprogrammen?</w:t>
      </w:r>
    </w:p>
    <w:p w:rsidR="009E3BC8" w:rsidRDefault="009E3BC8">
      <w:pPr>
        <w:rPr>
          <w:szCs w:val="24"/>
          <w:lang w:val="de-DE"/>
        </w:rPr>
      </w:pPr>
    </w:p>
    <w:p w:rsidR="009E3BC8" w:rsidRDefault="009E3BC8">
      <w:pPr>
        <w:pStyle w:val="Heading2"/>
        <w:rPr>
          <w:szCs w:val="24"/>
          <w:lang w:val="de-DE"/>
        </w:rPr>
      </w:pPr>
      <w:bookmarkStart w:id="8" w:name="_Toc15480335"/>
      <w:r>
        <w:rPr>
          <w:szCs w:val="24"/>
          <w:lang w:val="de-DE"/>
        </w:rPr>
        <w:t xml:space="preserve">Erstellung des Entwurfs eines Programms für </w:t>
      </w:r>
      <w:r w:rsidR="00B07AD1">
        <w:rPr>
          <w:szCs w:val="24"/>
          <w:lang w:val="de-DE"/>
        </w:rPr>
        <w:t>das</w:t>
      </w:r>
      <w:r>
        <w:rPr>
          <w:szCs w:val="24"/>
          <w:lang w:val="de-DE"/>
        </w:rPr>
        <w:t xml:space="preserve"> Seminar über im wesentlichen abgeleitete Sorten zur Billigung durch den CAJ auf dem Korrespondenzweg</w:t>
      </w:r>
      <w:bookmarkEnd w:id="8"/>
    </w:p>
    <w:p w:rsidR="009E3BC8" w:rsidRDefault="009E3BC8">
      <w:pPr>
        <w:rPr>
          <w:szCs w:val="24"/>
          <w:lang w:val="de-DE"/>
        </w:rPr>
      </w:pPr>
    </w:p>
    <w:p w:rsidR="009E3BC8" w:rsidRDefault="009E3BC8">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In Erörterungen mit dem Vorsitzenden des CAJ bei der Erstellung des Entwurfs eines Programms über </w:t>
      </w:r>
      <w:r w:rsidR="00B07AD1">
        <w:rPr>
          <w:szCs w:val="24"/>
          <w:lang w:val="de-CH"/>
        </w:rPr>
        <w:t xml:space="preserve">das </w:t>
      </w:r>
      <w:r>
        <w:rPr>
          <w:szCs w:val="24"/>
          <w:lang w:val="de-CH"/>
        </w:rPr>
        <w:t xml:space="preserve">Seminar über im wesentlichen abgeleitete Sorten wurde daran erinnert, daß das im Jahr 2013 abgehaltene </w:t>
      </w:r>
      <w:r w:rsidR="00B07AD1" w:rsidRPr="00B07AD1">
        <w:rPr>
          <w:szCs w:val="24"/>
          <w:lang w:val="de-CH"/>
        </w:rPr>
        <w:t xml:space="preserve">„Seminar über im wesentlichen abgeleitete Sorten“ </w:t>
      </w:r>
      <w:r>
        <w:rPr>
          <w:szCs w:val="24"/>
          <w:lang w:val="de-CH"/>
        </w:rPr>
        <w:t xml:space="preserve">bereits Referate von Behörden der UPOV-Mitglieder und Referate über Gerichtsentscheide im Hinblick auf im wesentliche abgeleitete Sorten enthielt (vergleiche </w:t>
      </w:r>
      <w:hyperlink r:id="rId8" w:history="1">
        <w:r w:rsidR="00F2493D">
          <w:rPr>
            <w:rStyle w:val="Hyperlink"/>
            <w:szCs w:val="24"/>
            <w:lang w:val="de-CH"/>
          </w:rPr>
          <w:t>https://www.upov.int/meetings/de/details.jsp?meeting_id=29782</w:t>
        </w:r>
      </w:hyperlink>
      <w:r>
        <w:rPr>
          <w:szCs w:val="24"/>
          <w:lang w:val="de-CH"/>
        </w:rPr>
        <w:t>).</w:t>
      </w:r>
    </w:p>
    <w:p w:rsidR="009E3BC8" w:rsidRDefault="009E3BC8">
      <w:pPr>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Daher soll in Sitzung I des Entwurfs eines Programms ein Überblick über die Entwicklungen seit dem Seminar über im wesentlichen abgeleitete Sorten von 2013 im Hinblick auf die wissenschaftlichen Perspektiven und die Erfahrungen von Richtern und Behörden vorgelegt werden.</w:t>
      </w:r>
    </w:p>
    <w:p w:rsidR="009E3BC8" w:rsidRDefault="009E3BC8">
      <w:pPr>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Es wurde im Weiteren daran erinnert, daß das Ziel des Seminars in der Prüfung der Auswirkungen der im wesentlichen abgeleiteten Sorten auf die Züchtungsstrategie besteht, was insbesondere Beiträge seitens der Züchter verlangt. Daher und angesichts der beschränkten Dauer des Seminars stehen bei den Referaten in Sitzung II die Perspektiven der Züchter im Vordergrund. Die Referenten werden ersucht werden, die in Antwort auf das Rundschreiben E-19/032 (vergleiche Absatz 9) genannten Themen und Fragen angemessen zu behandeln. </w:t>
      </w:r>
    </w:p>
    <w:p w:rsidR="009E3BC8" w:rsidRDefault="009E3BC8">
      <w:pPr>
        <w:rPr>
          <w:szCs w:val="24"/>
          <w:lang w:val="de-DE"/>
        </w:rPr>
      </w:pPr>
    </w:p>
    <w:p w:rsidR="00B07AD1"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00B07AD1" w:rsidRPr="00B07AD1">
        <w:rPr>
          <w:szCs w:val="24"/>
          <w:lang w:val="de-DE"/>
        </w:rPr>
        <w:t>Der Entwurf eines Programms für das Seminar über im wesentlichen abgeleitete Sorten, das in Absprache mit dem Vorsitzenden des CAJ erstellt wurde, wurde mit dem UPOV</w:t>
      </w:r>
      <w:r w:rsidR="009C04C8">
        <w:rPr>
          <w:szCs w:val="24"/>
          <w:lang w:val="de-DE"/>
        </w:rPr>
        <w:t>-Rundschreiben E-19/090 vom 20. </w:t>
      </w:r>
      <w:r w:rsidR="00B07AD1" w:rsidRPr="00B07AD1">
        <w:rPr>
          <w:szCs w:val="24"/>
          <w:lang w:val="de-DE"/>
        </w:rPr>
        <w:t>Juni 2019 auf dem Korrespondenzweg an den CAJ verbreitet.</w:t>
      </w:r>
      <w:r>
        <w:rPr>
          <w:szCs w:val="24"/>
          <w:lang w:val="de-DE"/>
        </w:rPr>
        <w:t xml:space="preserve"> </w:t>
      </w:r>
      <w:r w:rsidR="00B07AD1" w:rsidRPr="00B07AD1">
        <w:rPr>
          <w:szCs w:val="24"/>
          <w:lang w:val="de-DE"/>
        </w:rPr>
        <w:t xml:space="preserve">Es sind keine Bemerkungen zum Entwurf eines Programms eingegangen, </w:t>
      </w:r>
      <w:r w:rsidR="00F6423F">
        <w:rPr>
          <w:szCs w:val="24"/>
          <w:lang w:val="de-DE"/>
        </w:rPr>
        <w:t>das</w:t>
      </w:r>
      <w:r w:rsidR="00B07AD1" w:rsidRPr="00B07AD1">
        <w:rPr>
          <w:szCs w:val="24"/>
          <w:lang w:val="de-DE"/>
        </w:rPr>
        <w:t xml:space="preserve"> in der Anlage dieses Dokuments wiedergegeben ist</w:t>
      </w:r>
      <w:r w:rsidR="00B07AD1">
        <w:rPr>
          <w:szCs w:val="24"/>
          <w:lang w:val="de-DE"/>
        </w:rPr>
        <w:t>.</w:t>
      </w:r>
    </w:p>
    <w:p w:rsidR="009E3BC8" w:rsidRDefault="009E3BC8">
      <w:pPr>
        <w:rPr>
          <w:spacing w:val="-2"/>
          <w:szCs w:val="24"/>
          <w:lang w:val="de-DE"/>
        </w:rPr>
      </w:pPr>
    </w:p>
    <w:p w:rsidR="009E3BC8" w:rsidRDefault="009E3BC8">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Der CAJ vereinbarte, da</w:t>
      </w:r>
      <w:r>
        <w:rPr>
          <w:szCs w:val="24"/>
          <w:lang w:val="de-DE"/>
        </w:rPr>
        <w:t>ß</w:t>
      </w:r>
      <w:r>
        <w:rPr>
          <w:spacing w:val="-2"/>
          <w:szCs w:val="24"/>
          <w:lang w:val="de-DE"/>
        </w:rPr>
        <w:t xml:space="preserve"> das Seminar über im wesentlichen abgeleitete Sorten dem Publikum offen stehen soll und die Aufzeichnung des Seminars nach einer angemessenen Übertragungsverzögerung auf der UPOV-Website verfügbar gemacht werden soll. </w:t>
      </w:r>
      <w:r>
        <w:rPr>
          <w:szCs w:val="24"/>
          <w:lang w:val="de-DE"/>
        </w:rPr>
        <w:t xml:space="preserve">Die Online-Anmeldung und der vom CAJ gebilligte Entwurf eines Programms für das Seminar über im wesentlichen abgeleiteten Sorten sind verfügbar unter </w:t>
      </w:r>
      <w:hyperlink r:id="rId9" w:history="1">
        <w:r w:rsidR="00F2493D">
          <w:rPr>
            <w:rStyle w:val="Hyperlink"/>
            <w:spacing w:val="-2"/>
            <w:szCs w:val="24"/>
            <w:lang w:val="de-DE"/>
          </w:rPr>
          <w:t>https://www.upov.int/meetings/de/details.jsp?meeting_id=50787</w:t>
        </w:r>
      </w:hyperlink>
      <w:r>
        <w:rPr>
          <w:szCs w:val="24"/>
          <w:lang w:val="de-DE"/>
        </w:rPr>
        <w:t>.</w:t>
      </w:r>
    </w:p>
    <w:p w:rsidR="009E3BC8" w:rsidRDefault="009E3BC8">
      <w:pPr>
        <w:rPr>
          <w:spacing w:val="-2"/>
          <w:szCs w:val="24"/>
          <w:lang w:val="de-DE"/>
        </w:rPr>
      </w:pPr>
    </w:p>
    <w:p w:rsidR="009E3BC8" w:rsidRDefault="009E3BC8">
      <w:pPr>
        <w:rPr>
          <w:szCs w:val="24"/>
          <w:lang w:val="de-DE"/>
        </w:rPr>
      </w:pPr>
      <w:r>
        <w:rPr>
          <w:spacing w:val="-2"/>
          <w:szCs w:val="24"/>
          <w:lang w:val="de-DE"/>
        </w:rPr>
        <w:lastRenderedPageBreak/>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 xml:space="preserve">Es ist geplant, die Ergebnisse des Seminars über im wesentlichen abgeleitete Sorten, einschließlich der Referate und Erörterungen, </w:t>
      </w:r>
      <w:r w:rsidR="00B07AD1">
        <w:rPr>
          <w:spacing w:val="-2"/>
          <w:szCs w:val="24"/>
          <w:lang w:val="de-DE"/>
        </w:rPr>
        <w:t xml:space="preserve">so bald wie möglich </w:t>
      </w:r>
      <w:r>
        <w:rPr>
          <w:spacing w:val="-2"/>
          <w:szCs w:val="24"/>
          <w:lang w:val="de-DE"/>
        </w:rPr>
        <w:t xml:space="preserve">in den vier UPOV-Sprachen (Deutsch, Englisch, Französisch, Spanisch) zu veröffentlichen. </w:t>
      </w:r>
    </w:p>
    <w:p w:rsidR="00C73C6D" w:rsidRDefault="00C73C6D">
      <w:pPr>
        <w:rPr>
          <w:spacing w:val="-2"/>
          <w:szCs w:val="24"/>
          <w:lang w:val="de-DE"/>
        </w:rPr>
      </w:pPr>
    </w:p>
    <w:p w:rsidR="009E3BC8" w:rsidRDefault="009E3BC8">
      <w:pPr>
        <w:rPr>
          <w:spacing w:val="-2"/>
          <w:szCs w:val="24"/>
          <w:lang w:val="de-DE"/>
        </w:rPr>
      </w:pPr>
    </w:p>
    <w:p w:rsidR="009E3BC8" w:rsidRDefault="009E3BC8">
      <w:pPr>
        <w:pStyle w:val="Heading1"/>
        <w:rPr>
          <w:szCs w:val="24"/>
          <w:lang w:val="de-DE"/>
        </w:rPr>
      </w:pPr>
      <w:bookmarkStart w:id="9" w:name="_Toc15480336"/>
      <w:r>
        <w:rPr>
          <w:szCs w:val="24"/>
          <w:lang w:val="de-DE"/>
        </w:rPr>
        <w:t>ERGEBNISSE DES SEMINARS ÜBER IM WESENTLICHEN ABGELEITETE SORTEN UND ÜBERARBEITUNG DER ANLEITUNG ZU IM WESENTLICHEN ABGELEITETE SORTEN IN Dokument UPOV/EXN/EDV/2 „Erläuterungen zu den im wesentlichen abgeleiteten Sorten nach der Akte von 1991 des UPOV-Übereinkommens“</w:t>
      </w:r>
      <w:bookmarkEnd w:id="9"/>
    </w:p>
    <w:p w:rsidR="009E3BC8" w:rsidRDefault="009E3BC8">
      <w:pPr>
        <w:rPr>
          <w:spacing w:val="-2"/>
          <w:szCs w:val="24"/>
          <w:lang w:val="de-DE"/>
        </w:rPr>
      </w:pPr>
    </w:p>
    <w:p w:rsidR="009E3BC8" w:rsidRDefault="009E3BC8">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Der CAJ vereinbarte auf seiner fünfundsiebzigsten Tagung</w:t>
      </w:r>
      <w:r w:rsidR="00B82A55">
        <w:rPr>
          <w:spacing w:val="-2"/>
          <w:szCs w:val="24"/>
          <w:lang w:val="de-DE"/>
        </w:rPr>
        <w:fldChar w:fldCharType="begin"/>
      </w:r>
      <w:r w:rsidR="00B82A55">
        <w:rPr>
          <w:spacing w:val="-2"/>
          <w:szCs w:val="24"/>
          <w:lang w:val="de-DE"/>
        </w:rPr>
        <w:instrText xml:space="preserve"> NOTEREF _Ref15401967 \f \h </w:instrText>
      </w:r>
      <w:r w:rsidR="00B82A55">
        <w:rPr>
          <w:spacing w:val="-2"/>
          <w:szCs w:val="24"/>
          <w:lang w:val="de-DE"/>
        </w:rPr>
      </w:r>
      <w:r w:rsidR="00B82A55">
        <w:rPr>
          <w:spacing w:val="-2"/>
          <w:szCs w:val="24"/>
          <w:lang w:val="de-DE"/>
        </w:rPr>
        <w:fldChar w:fldCharType="separate"/>
      </w:r>
      <w:r w:rsidR="00F6423F" w:rsidRPr="00F6423F">
        <w:rPr>
          <w:rStyle w:val="FootnoteReference"/>
          <w:lang w:val="de-CH"/>
        </w:rPr>
        <w:t>1</w:t>
      </w:r>
      <w:r w:rsidR="00B82A55">
        <w:rPr>
          <w:spacing w:val="-2"/>
          <w:szCs w:val="24"/>
          <w:lang w:val="de-DE"/>
        </w:rPr>
        <w:fldChar w:fldCharType="end"/>
      </w:r>
      <w:r>
        <w:rPr>
          <w:spacing w:val="-2"/>
          <w:szCs w:val="24"/>
          <w:lang w:val="de-DE"/>
        </w:rPr>
        <w:t xml:space="preserve">, </w:t>
      </w:r>
      <w:proofErr w:type="spellStart"/>
      <w:r>
        <w:rPr>
          <w:spacing w:val="-2"/>
          <w:szCs w:val="24"/>
          <w:lang w:val="de-DE"/>
        </w:rPr>
        <w:t>daß</w:t>
      </w:r>
      <w:proofErr w:type="spellEnd"/>
      <w:r>
        <w:rPr>
          <w:spacing w:val="-2"/>
          <w:szCs w:val="24"/>
          <w:lang w:val="de-DE"/>
        </w:rPr>
        <w:t xml:space="preserve"> die Prüfung der Überarbeitung der Erläuterungen zu im wesentlichen abgeleiteten Sorten in die Tagesordnung der sechsundsiebzigsten Tagung des CAJ aufgenommen werden sollte, und daß das Ergebnis des Seminars als Grundlage für diese Prüfung dienen sollte (vergleiche Dokument CAJ/75/14 „Bericht“, Absatz 17).</w:t>
      </w:r>
    </w:p>
    <w:p w:rsidR="009E3BC8" w:rsidRDefault="009E3BC8">
      <w:pPr>
        <w:rPr>
          <w:spacing w:val="-2"/>
          <w:szCs w:val="24"/>
          <w:lang w:val="de-DE"/>
        </w:rPr>
      </w:pPr>
    </w:p>
    <w:bookmarkStart w:id="10" w:name="_Ref14794265"/>
    <w:p w:rsidR="009E3BC8" w:rsidRDefault="009E3BC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Eine Zusammenfassung des Ergebnisses des Seminars über im wesentlichen abgeleitete Sorten wird dem CAJ auf seiner sechsundsiebzigsten Tagung</w:t>
      </w:r>
      <w:r w:rsidR="00B82A55">
        <w:rPr>
          <w:spacing w:val="-2"/>
          <w:szCs w:val="24"/>
          <w:lang w:val="de-DE"/>
        </w:rPr>
        <w:fldChar w:fldCharType="begin"/>
      </w:r>
      <w:r w:rsidR="00B82A55">
        <w:rPr>
          <w:spacing w:val="-2"/>
          <w:szCs w:val="24"/>
          <w:lang w:val="de-DE"/>
        </w:rPr>
        <w:instrText xml:space="preserve"> NOTEREF _Ref15402014 \f \h </w:instrText>
      </w:r>
      <w:r w:rsidR="00B82A55">
        <w:rPr>
          <w:spacing w:val="-2"/>
          <w:szCs w:val="24"/>
          <w:lang w:val="de-DE"/>
        </w:rPr>
      </w:r>
      <w:r w:rsidR="00B82A55">
        <w:rPr>
          <w:spacing w:val="-2"/>
          <w:szCs w:val="24"/>
          <w:lang w:val="de-DE"/>
        </w:rPr>
        <w:fldChar w:fldCharType="separate"/>
      </w:r>
      <w:r w:rsidR="00F6423F" w:rsidRPr="00F6423F">
        <w:rPr>
          <w:rStyle w:val="FootnoteReference"/>
          <w:lang w:val="de-CH"/>
        </w:rPr>
        <w:t>3</w:t>
      </w:r>
      <w:r w:rsidR="00B82A55">
        <w:rPr>
          <w:spacing w:val="-2"/>
          <w:szCs w:val="24"/>
          <w:lang w:val="de-DE"/>
        </w:rPr>
        <w:fldChar w:fldCharType="end"/>
      </w:r>
      <w:r>
        <w:rPr>
          <w:spacing w:val="-2"/>
          <w:szCs w:val="24"/>
          <w:lang w:val="de-DE"/>
        </w:rPr>
        <w:t xml:space="preserve"> in einem mündlichen Bericht des Vorsitzenden des CAJ vorgelegt werden. </w:t>
      </w:r>
    </w:p>
    <w:bookmarkEnd w:id="10"/>
    <w:p w:rsidR="009E3BC8" w:rsidRDefault="009E3BC8">
      <w:pPr>
        <w:rPr>
          <w:spacing w:val="-2"/>
          <w:szCs w:val="24"/>
          <w:lang w:val="de-DE"/>
        </w:rPr>
      </w:pPr>
    </w:p>
    <w:p w:rsidR="009E3BC8" w:rsidRDefault="009E3BC8">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t>Auf obengenannter Grundlage wird der CAJ ersucht werden, zu prüfen, ob eine Überarbeitung der Anleitung zu im wesentlichen abgeleitete</w:t>
      </w:r>
      <w:r w:rsidR="00B07AD1">
        <w:rPr>
          <w:spacing w:val="-2"/>
          <w:szCs w:val="24"/>
          <w:lang w:val="de-DE"/>
        </w:rPr>
        <w:t>n</w:t>
      </w:r>
      <w:r>
        <w:rPr>
          <w:spacing w:val="-2"/>
          <w:szCs w:val="24"/>
          <w:lang w:val="de-DE"/>
        </w:rPr>
        <w:t xml:space="preserve"> Sorten in Dokument UPOV/EXN/EDV/2 „Erläuterungen zu den im wesentlichen abgeleiteten Sorten nach der Akte von 1991 des UPOV-Übereinkommens“ eingeleitet werden soll.</w:t>
      </w:r>
    </w:p>
    <w:p w:rsidR="009C04C8" w:rsidRDefault="009C04C8">
      <w:pPr>
        <w:rPr>
          <w:spacing w:val="-2"/>
          <w:szCs w:val="24"/>
          <w:lang w:val="de-DE"/>
        </w:rPr>
      </w:pPr>
    </w:p>
    <w:p w:rsidR="00C73C6D" w:rsidRDefault="00C73C6D">
      <w:pPr>
        <w:rPr>
          <w:spacing w:val="-2"/>
          <w:szCs w:val="24"/>
          <w:lang w:val="de-DE"/>
        </w:rPr>
      </w:pPr>
    </w:p>
    <w:p w:rsidR="009E3BC8" w:rsidRDefault="009E3BC8">
      <w:pPr>
        <w:pStyle w:val="Heading1"/>
        <w:rPr>
          <w:spacing w:val="-2"/>
          <w:szCs w:val="24"/>
          <w:lang w:val="de-DE"/>
        </w:rPr>
      </w:pPr>
      <w:bookmarkStart w:id="11" w:name="_Toc15480337"/>
      <w:r>
        <w:rPr>
          <w:szCs w:val="24"/>
          <w:lang w:val="de-DE"/>
        </w:rPr>
        <w:t>ALTERNATIVE STREITBEILEGUNGSMECHANISMEN für angelegenheiten, die im wesentlicHen abgeleitete sorten betreffen</w:t>
      </w:r>
      <w:bookmarkEnd w:id="11"/>
    </w:p>
    <w:p w:rsidR="009E3BC8" w:rsidRDefault="009E3BC8">
      <w:pPr>
        <w:rPr>
          <w:szCs w:val="24"/>
          <w:lang w:val="de-DE"/>
        </w:rPr>
      </w:pPr>
    </w:p>
    <w:p w:rsidR="009E3BC8" w:rsidRDefault="009E3BC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Es gab keine Entwicklungen betreffend ein etwaiges Treffen des Verbandsbüros mit CIOPORA, ISF und </w:t>
      </w:r>
      <w:r w:rsidR="009C04C8">
        <w:rPr>
          <w:szCs w:val="24"/>
          <w:lang w:val="de-DE"/>
        </w:rPr>
        <w:t xml:space="preserve">der </w:t>
      </w:r>
      <w:r w:rsidR="009C04C8" w:rsidRPr="009C04C8">
        <w:rPr>
          <w:szCs w:val="24"/>
          <w:lang w:val="de-DE"/>
        </w:rPr>
        <w:t>Weltorganisation für geistiges Eigentum</w:t>
      </w:r>
      <w:r w:rsidR="009C04C8">
        <w:rPr>
          <w:szCs w:val="24"/>
          <w:lang w:val="de-DE"/>
        </w:rPr>
        <w:t xml:space="preserve"> (</w:t>
      </w:r>
      <w:r>
        <w:rPr>
          <w:szCs w:val="24"/>
          <w:lang w:val="de-DE"/>
        </w:rPr>
        <w:t>WIPO</w:t>
      </w:r>
      <w:r w:rsidR="009C04C8">
        <w:rPr>
          <w:szCs w:val="24"/>
          <w:lang w:val="de-DE"/>
        </w:rPr>
        <w:t>)</w:t>
      </w:r>
      <w:r w:rsidR="00B07AD1">
        <w:rPr>
          <w:szCs w:val="24"/>
          <w:lang w:val="de-DE"/>
        </w:rPr>
        <w:t>,</w:t>
      </w:r>
      <w:r>
        <w:rPr>
          <w:szCs w:val="24"/>
          <w:lang w:val="de-DE"/>
        </w:rPr>
        <w:t xml:space="preserve"> um die mögliche Rolle der UPOV bei alternativen Streitbeilegungsmechanismen für Angelegenheiten betreffend im wesentlichen abgeleitete Sorten, einschließlich der Bereitstellung von Sachverständigen für Angelegenheiten von im wesentlichen abgeleiteten Sorten, zu erkunden, und das Verbandsbüro hat keine Pläne, diese Angelegenheit weiter zu verfolgen, sofern sich die Umstände nicht ändern.</w:t>
      </w:r>
    </w:p>
    <w:p w:rsidR="009E3BC8" w:rsidRDefault="009E3BC8">
      <w:pPr>
        <w:rPr>
          <w:szCs w:val="24"/>
          <w:lang w:val="de-DE"/>
        </w:rPr>
      </w:pPr>
    </w:p>
    <w:p w:rsidR="009E3BC8" w:rsidRDefault="009E3BC8">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ersucht,</w:t>
      </w:r>
    </w:p>
    <w:p w:rsidR="009E3BC8" w:rsidRDefault="009E3BC8">
      <w:pPr>
        <w:pStyle w:val="DecisionParagraphs"/>
        <w:rPr>
          <w:szCs w:val="24"/>
          <w:lang w:val="de-DE"/>
        </w:rPr>
      </w:pPr>
    </w:p>
    <w:p w:rsidR="009E3BC8" w:rsidRDefault="009E3BC8">
      <w:pPr>
        <w:pStyle w:val="DecisionParagraphs"/>
        <w:rPr>
          <w:szCs w:val="24"/>
          <w:lang w:val="de-DE"/>
        </w:rPr>
      </w:pPr>
      <w:r>
        <w:rPr>
          <w:szCs w:val="24"/>
          <w:lang w:val="de-DE"/>
        </w:rPr>
        <w:tab/>
        <w:t>a)</w:t>
      </w:r>
      <w:r>
        <w:rPr>
          <w:szCs w:val="24"/>
          <w:lang w:val="de-DE"/>
        </w:rPr>
        <w:tab/>
        <w:t>die Hintergrundinformationen und Entwicklungen betreffend im wesentlichen abgeleitete Sorten zur Kenntnis zu nehmen, einschließlich wichtige Angelegenheiten in Zusammenhang mit dem ‚Seminar über die Auswirkungen der Politik bezüglich der im wesentlichen abgeleiteten Sorten auf die Züchtungsstrategie‘, wie in den Absätzen 4 bis 15 dieses Dokuments dargelegt;</w:t>
      </w:r>
    </w:p>
    <w:p w:rsidR="009E3BC8" w:rsidRDefault="009E3BC8">
      <w:pPr>
        <w:pStyle w:val="DecisionParagraphs"/>
        <w:rPr>
          <w:szCs w:val="24"/>
          <w:lang w:val="de-DE"/>
        </w:rPr>
      </w:pPr>
    </w:p>
    <w:p w:rsidR="009E3BC8" w:rsidRDefault="009E3BC8" w:rsidP="009C04C8">
      <w:pPr>
        <w:pStyle w:val="DecisionParagraphs"/>
        <w:keepLines/>
        <w:rPr>
          <w:szCs w:val="24"/>
          <w:lang w:val="de-DE"/>
        </w:rPr>
      </w:pPr>
      <w:r>
        <w:rPr>
          <w:szCs w:val="24"/>
          <w:lang w:val="de-DE"/>
        </w:rPr>
        <w:tab/>
        <w:t>b)</w:t>
      </w:r>
      <w:r>
        <w:rPr>
          <w:szCs w:val="24"/>
          <w:lang w:val="de-DE"/>
        </w:rPr>
        <w:tab/>
        <w:t>das Ergebnis des Seminars über im wesentlichen abgeleitete Sorten, das dem CAJ auf seiner sechsundsiebzigsten Tagung</w:t>
      </w:r>
      <w:bookmarkStart w:id="12" w:name="_Ref15402014"/>
      <w:r w:rsidR="00A815B6">
        <w:rPr>
          <w:rStyle w:val="FootnoteReference"/>
          <w:szCs w:val="24"/>
          <w:lang w:val="de-DE"/>
        </w:rPr>
        <w:footnoteReference w:id="4"/>
      </w:r>
      <w:bookmarkEnd w:id="12"/>
      <w:r>
        <w:rPr>
          <w:szCs w:val="24"/>
          <w:lang w:val="de-DE"/>
        </w:rPr>
        <w:t xml:space="preserve"> in einem mündlichen Bericht des Vorsitzenden des CAJ vorgelegt werden soll, wie in den Absätzen 16 bis 18 dieses Dokuments dargelegt, </w:t>
      </w:r>
      <w:r w:rsidR="00B07AD1">
        <w:rPr>
          <w:szCs w:val="24"/>
          <w:lang w:val="de-DE"/>
        </w:rPr>
        <w:t xml:space="preserve">zu </w:t>
      </w:r>
      <w:r>
        <w:rPr>
          <w:szCs w:val="24"/>
          <w:lang w:val="de-DE"/>
        </w:rPr>
        <w:t>prüfen;</w:t>
      </w:r>
    </w:p>
    <w:p w:rsidR="009E3BC8" w:rsidRDefault="009E3BC8">
      <w:pPr>
        <w:pStyle w:val="DecisionParagraphs"/>
        <w:rPr>
          <w:szCs w:val="24"/>
          <w:lang w:val="de-DE"/>
        </w:rPr>
      </w:pPr>
    </w:p>
    <w:p w:rsidR="009E3BC8" w:rsidRDefault="009E3BC8">
      <w:pPr>
        <w:pStyle w:val="DecisionParagraphs"/>
        <w:rPr>
          <w:szCs w:val="24"/>
          <w:lang w:val="de-DE"/>
        </w:rPr>
      </w:pPr>
      <w:r>
        <w:rPr>
          <w:szCs w:val="24"/>
          <w:lang w:val="de-DE"/>
        </w:rPr>
        <w:tab/>
        <w:t>c)</w:t>
      </w:r>
      <w:r>
        <w:rPr>
          <w:szCs w:val="24"/>
          <w:lang w:val="de-DE"/>
        </w:rPr>
        <w:tab/>
        <w:t>zur Kenntnis zu nehmen, daß es keine Entwicklungen betreffend ein etwaiges Treffen des Verbandsbüros mit CIOPORA, ISF und WIPO gab, 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p>
    <w:p w:rsidR="009E3BC8" w:rsidRDefault="00F2493D">
      <w:pPr>
        <w:jc w:val="left"/>
        <w:rPr>
          <w:szCs w:val="24"/>
          <w:lang w:val="de-DE"/>
        </w:rPr>
      </w:pPr>
      <w:r>
        <w:rPr>
          <w:noProof/>
          <w:snapToGrid/>
          <w:szCs w:val="24"/>
          <w:lang w:eastAsia="en-US"/>
        </w:rPr>
        <mc:AlternateContent>
          <mc:Choice Requires="wps">
            <w:drawing>
              <wp:anchor distT="0" distB="0" distL="114300" distR="114300" simplePos="0" relativeHeight="251659264" behindDoc="0" locked="0" layoutInCell="1" allowOverlap="1">
                <wp:simplePos x="0" y="0"/>
                <wp:positionH relativeFrom="column">
                  <wp:posOffset>4654992</wp:posOffset>
                </wp:positionH>
                <wp:positionV relativeFrom="paragraph">
                  <wp:posOffset>133543</wp:posOffset>
                </wp:positionV>
                <wp:extent cx="1486894" cy="2146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6894" cy="214685"/>
                        </a:xfrm>
                        <a:prstGeom prst="rect">
                          <a:avLst/>
                        </a:prstGeom>
                        <a:noFill/>
                        <a:ln w="6350">
                          <a:noFill/>
                        </a:ln>
                      </wps:spPr>
                      <wps:txbx>
                        <w:txbxContent>
                          <w:p w:rsidR="00F2493D" w:rsidRPr="00F2493D" w:rsidRDefault="00F2493D" w:rsidP="00F2493D">
                            <w:pPr>
                              <w:jc w:val="right"/>
                            </w:pPr>
                            <w:r w:rsidRPr="00F2493D">
                              <w:rPr>
                                <w:szCs w:val="24"/>
                                <w:lang w:val="de-DE"/>
                              </w:rPr>
                              <w:t>[Anlage folgt]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6.55pt;margin-top:10.5pt;width:117.1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" filled="f" stroked="f" strokeweight=".5pt">
                <v:textbox style="mso-fit-shape-to-text:t" inset="0,0,0,0">
                  <w:txbxContent>
                    <w:p w:rsidR="00F2493D" w:rsidRPr="00F2493D" w:rsidRDefault="00F2493D" w:rsidP="00F2493D">
                      <w:pPr>
                        <w:jc w:val="right"/>
                      </w:pPr>
                      <w:r w:rsidRPr="00F2493D">
                        <w:rPr>
                          <w:szCs w:val="24"/>
                          <w:lang w:val="de-DE"/>
                        </w:rPr>
                        <w:t>[Anlage folgt]</w:t>
                      </w:r>
                    </w:p>
                  </w:txbxContent>
                </v:textbox>
              </v:shape>
            </w:pict>
          </mc:Fallback>
        </mc:AlternateContent>
      </w:r>
    </w:p>
    <w:p w:rsidR="009E3BC8" w:rsidRDefault="009E3BC8">
      <w:pPr>
        <w:jc w:val="left"/>
        <w:rPr>
          <w:szCs w:val="24"/>
          <w:lang w:val="de-DE"/>
        </w:rPr>
        <w:sectPr w:rsidR="009E3BC8" w:rsidSect="00F2493D">
          <w:headerReference w:type="default" r:id="rId10"/>
          <w:pgSz w:w="11907" w:h="16840" w:code="9"/>
          <w:pgMar w:top="510" w:right="1134" w:bottom="709" w:left="1134" w:header="510" w:footer="680"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9E3BC8">
        <w:tc>
          <w:tcPr>
            <w:tcW w:w="6522" w:type="dxa"/>
          </w:tcPr>
          <w:p w:rsidR="009E3BC8" w:rsidRDefault="00A93E7A">
            <w:pPr>
              <w:rPr>
                <w:szCs w:val="24"/>
                <w:lang w:val="de-DE"/>
              </w:rPr>
            </w:pPr>
            <w:r>
              <w:rPr>
                <w:noProof/>
                <w:szCs w:val="24"/>
                <w:lang w:eastAsia="en-US"/>
              </w:rPr>
              <w:lastRenderedPageBreak/>
              <w:drawing>
                <wp:inline distT="0" distB="0" distL="0" distR="0">
                  <wp:extent cx="946150" cy="24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9E3BC8" w:rsidRDefault="007F795B">
            <w:pPr>
              <w:pStyle w:val="Lettrine"/>
              <w:rPr>
                <w:bCs w:val="0"/>
                <w:szCs w:val="24"/>
                <w:lang w:val="de-DE"/>
              </w:rPr>
            </w:pPr>
            <w:r>
              <w:rPr>
                <w:bCs w:val="0"/>
                <w:noProof/>
                <w:szCs w:val="24"/>
                <w:lang w:val="de-DE"/>
              </w:rPr>
              <w:t>G</w:t>
            </w:r>
          </w:p>
        </w:tc>
      </w:tr>
      <w:tr w:rsidR="009E3BC8" w:rsidRPr="00C73C6D">
        <w:trPr>
          <w:trHeight w:val="219"/>
        </w:trPr>
        <w:tc>
          <w:tcPr>
            <w:tcW w:w="6522" w:type="dxa"/>
          </w:tcPr>
          <w:p w:rsidR="009E3BC8" w:rsidRPr="007F795B" w:rsidRDefault="007F795B">
            <w:pPr>
              <w:pStyle w:val="upove"/>
              <w:rPr>
                <w:szCs w:val="24"/>
                <w:lang w:val="de-CH"/>
              </w:rPr>
            </w:pPr>
            <w:r w:rsidRPr="007F795B">
              <w:rPr>
                <w:lang w:val="de-CH"/>
              </w:rPr>
              <w:t>Internationaler Verband zum Schutz von Pflanzenzüchtungen</w:t>
            </w:r>
          </w:p>
        </w:tc>
        <w:tc>
          <w:tcPr>
            <w:tcW w:w="3117" w:type="dxa"/>
          </w:tcPr>
          <w:p w:rsidR="009E3BC8" w:rsidRPr="007F795B" w:rsidRDefault="009E3BC8">
            <w:pPr>
              <w:rPr>
                <w:szCs w:val="24"/>
                <w:lang w:val="de-CH"/>
              </w:rPr>
            </w:pPr>
          </w:p>
        </w:tc>
      </w:tr>
    </w:tbl>
    <w:p w:rsidR="009E3BC8" w:rsidRPr="007F795B" w:rsidRDefault="009E3BC8">
      <w:pPr>
        <w:rPr>
          <w:szCs w:val="24"/>
          <w:lang w:val="de-CH"/>
        </w:rPr>
      </w:pPr>
    </w:p>
    <w:p w:rsidR="009E3BC8" w:rsidRPr="007F795B" w:rsidRDefault="009E3BC8">
      <w:pPr>
        <w:rPr>
          <w:szCs w:val="24"/>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C04C8">
        <w:tc>
          <w:tcPr>
            <w:tcW w:w="6512" w:type="dxa"/>
            <w:tcBorders>
              <w:bottom w:val="single" w:sz="4" w:space="0" w:color="auto"/>
            </w:tcBorders>
          </w:tcPr>
          <w:p w:rsidR="009C04C8" w:rsidRPr="00B63A6E" w:rsidRDefault="009C04C8" w:rsidP="009C04C8">
            <w:pPr>
              <w:pStyle w:val="Sessiontcplacedate"/>
              <w:spacing w:before="0"/>
              <w:rPr>
                <w:bCs w:val="0"/>
                <w:szCs w:val="24"/>
                <w:lang w:val="de-CH"/>
              </w:rPr>
            </w:pPr>
            <w:r w:rsidRPr="00B63A6E">
              <w:rPr>
                <w:bCs w:val="0"/>
                <w:szCs w:val="24"/>
                <w:lang w:val="de-CH"/>
              </w:rPr>
              <w:t>Seminar über die Auswirkungen der Politik bezüglich der im wesentlichen abgeleiteten Sorten auf die Züchtungsstrategie</w:t>
            </w:r>
            <w:r w:rsidRPr="00B63A6E">
              <w:rPr>
                <w:bCs w:val="0"/>
                <w:szCs w:val="24"/>
                <w:lang w:val="de-CH"/>
              </w:rPr>
              <w:br/>
            </w:r>
          </w:p>
          <w:p w:rsidR="009C04C8" w:rsidRPr="00B63A6E" w:rsidRDefault="009C04C8" w:rsidP="009C04C8">
            <w:pPr>
              <w:pStyle w:val="Sessiontcplacedate"/>
              <w:rPr>
                <w:bCs w:val="0"/>
                <w:szCs w:val="24"/>
              </w:rPr>
            </w:pPr>
            <w:r w:rsidRPr="00B63A6E">
              <w:rPr>
                <w:bCs w:val="0"/>
                <w:szCs w:val="24"/>
                <w:lang w:val="de-CH"/>
              </w:rPr>
              <w:t>Genf, 30. Oktober 2019</w:t>
            </w:r>
          </w:p>
        </w:tc>
        <w:tc>
          <w:tcPr>
            <w:tcW w:w="3127" w:type="dxa"/>
            <w:tcBorders>
              <w:bottom w:val="single" w:sz="4" w:space="0" w:color="auto"/>
            </w:tcBorders>
          </w:tcPr>
          <w:p w:rsidR="009C04C8" w:rsidRPr="00B63A6E" w:rsidRDefault="009C04C8" w:rsidP="009C04C8">
            <w:pPr>
              <w:pStyle w:val="Doccode"/>
              <w:rPr>
                <w:bCs w:val="0"/>
                <w:szCs w:val="24"/>
                <w:lang w:val="de-CH"/>
              </w:rPr>
            </w:pPr>
            <w:r w:rsidRPr="00B63A6E">
              <w:rPr>
                <w:bCs w:val="0"/>
                <w:szCs w:val="24"/>
                <w:lang w:val="de-CH"/>
              </w:rPr>
              <w:t>UPOV/SEM/GE/19/</w:t>
            </w:r>
            <w:r>
              <w:rPr>
                <w:bCs w:val="0"/>
                <w:szCs w:val="24"/>
                <w:lang w:val="de-CH"/>
              </w:rPr>
              <w:t>1 Prov. 1</w:t>
            </w:r>
          </w:p>
          <w:p w:rsidR="009C04C8" w:rsidRPr="00B63A6E" w:rsidRDefault="009C04C8" w:rsidP="009C04C8">
            <w:pPr>
              <w:pStyle w:val="Docoriginal"/>
              <w:rPr>
                <w:bCs w:val="0"/>
                <w:szCs w:val="24"/>
                <w:lang w:val="de-CH"/>
              </w:rPr>
            </w:pPr>
            <w:r w:rsidRPr="00B63A6E">
              <w:rPr>
                <w:bCs w:val="0"/>
                <w:szCs w:val="24"/>
                <w:lang w:val="de-CH"/>
              </w:rPr>
              <w:t>Original:</w:t>
            </w:r>
            <w:r w:rsidRPr="00B63A6E">
              <w:rPr>
                <w:b w:val="0"/>
                <w:bCs w:val="0"/>
                <w:spacing w:val="0"/>
                <w:szCs w:val="24"/>
                <w:lang w:val="de-CH"/>
              </w:rPr>
              <w:t xml:space="preserve">  Englisch</w:t>
            </w:r>
          </w:p>
          <w:p w:rsidR="009C04C8" w:rsidRPr="00B63A6E" w:rsidRDefault="009C04C8" w:rsidP="009C04C8">
            <w:pPr>
              <w:pStyle w:val="Docoriginal"/>
              <w:rPr>
                <w:bCs w:val="0"/>
                <w:szCs w:val="24"/>
              </w:rPr>
            </w:pPr>
            <w:r w:rsidRPr="00B63A6E">
              <w:rPr>
                <w:bCs w:val="0"/>
                <w:szCs w:val="24"/>
                <w:lang w:val="de-CH"/>
              </w:rPr>
              <w:t>Datum:</w:t>
            </w:r>
            <w:r w:rsidRPr="00B63A6E">
              <w:rPr>
                <w:b w:val="0"/>
                <w:bCs w:val="0"/>
                <w:spacing w:val="0"/>
                <w:szCs w:val="24"/>
                <w:lang w:val="de-CH"/>
              </w:rPr>
              <w:t xml:space="preserve">  </w:t>
            </w:r>
            <w:r w:rsidRPr="00457928">
              <w:rPr>
                <w:b w:val="0"/>
                <w:bCs w:val="0"/>
                <w:spacing w:val="0"/>
                <w:szCs w:val="24"/>
                <w:lang w:val="de-CH"/>
              </w:rPr>
              <w:t>2</w:t>
            </w:r>
            <w:r>
              <w:rPr>
                <w:b w:val="0"/>
                <w:bCs w:val="0"/>
                <w:spacing w:val="0"/>
                <w:szCs w:val="24"/>
                <w:lang w:val="de-CH"/>
              </w:rPr>
              <w:t>5</w:t>
            </w:r>
            <w:r w:rsidRPr="00457928">
              <w:rPr>
                <w:b w:val="0"/>
                <w:bCs w:val="0"/>
                <w:spacing w:val="0"/>
                <w:szCs w:val="24"/>
                <w:lang w:val="de-CH"/>
              </w:rPr>
              <w:t>. Juli 2019</w:t>
            </w:r>
          </w:p>
        </w:tc>
      </w:tr>
    </w:tbl>
    <w:p w:rsidR="009C04C8" w:rsidRPr="00B63A6E" w:rsidRDefault="009C04C8" w:rsidP="00771075">
      <w:pPr>
        <w:pStyle w:val="Titleofdoc0"/>
        <w:rPr>
          <w:szCs w:val="24"/>
          <w:lang w:val="de-CH"/>
        </w:rPr>
      </w:pPr>
      <w:r w:rsidRPr="00B63A6E">
        <w:rPr>
          <w:szCs w:val="24"/>
          <w:lang w:val="de-CH"/>
        </w:rPr>
        <w:t xml:space="preserve">ENTWURF EINES pROGRAMMS </w:t>
      </w:r>
    </w:p>
    <w:p w:rsidR="009C04C8" w:rsidRPr="009C04C8" w:rsidRDefault="009C04C8" w:rsidP="009C04C8">
      <w:pPr>
        <w:pStyle w:val="preparedby1"/>
        <w:jc w:val="left"/>
        <w:rPr>
          <w:lang w:val="de-DE"/>
        </w:rPr>
      </w:pPr>
      <w:r w:rsidRPr="001D19F8">
        <w:rPr>
          <w:snapToGrid/>
          <w:lang w:val="de-DE" w:eastAsia="en-US"/>
        </w:rPr>
        <w:t xml:space="preserve">vom </w:t>
      </w:r>
      <w:r w:rsidRPr="001D19F8">
        <w:rPr>
          <w:lang w:val="de-DE"/>
        </w:rPr>
        <w:t>Verwaltungs- und Rechtsausschuß gebilligt</w:t>
      </w:r>
    </w:p>
    <w:p w:rsidR="009C04C8" w:rsidRDefault="009C04C8" w:rsidP="009C04C8">
      <w:pPr>
        <w:pStyle w:val="Disclaimer"/>
        <w:rPr>
          <w:iCs w:val="0"/>
          <w:szCs w:val="24"/>
          <w:lang w:val="de-CH"/>
        </w:rPr>
      </w:pPr>
      <w:r>
        <w:rPr>
          <w:iCs w:val="0"/>
          <w:szCs w:val="24"/>
          <w:lang w:val="de-CH"/>
        </w:rPr>
        <w:t>Haftungsausschluß:  dieses Dokument gibt nicht die Grundsätze oder eine Anleitung der UPOV wieder</w:t>
      </w:r>
    </w:p>
    <w:tbl>
      <w:tblPr>
        <w:tblW w:w="8085" w:type="dxa"/>
        <w:jc w:val="center"/>
        <w:tblBorders>
          <w:top w:val="single" w:sz="4" w:space="0" w:color="auto"/>
          <w:left w:val="single" w:sz="4" w:space="0" w:color="auto"/>
          <w:bottom w:val="single" w:sz="4" w:space="0" w:color="auto"/>
          <w:right w:val="single" w:sz="4" w:space="0" w:color="auto"/>
        </w:tblBorders>
        <w:tblCellMar>
          <w:top w:w="113" w:type="dxa"/>
          <w:left w:w="113" w:type="dxa"/>
          <w:bottom w:w="113" w:type="dxa"/>
          <w:right w:w="113" w:type="dxa"/>
        </w:tblCellMar>
        <w:tblLook w:val="01E0" w:firstRow="1" w:lastRow="1" w:firstColumn="1" w:lastColumn="1" w:noHBand="0" w:noVBand="0"/>
      </w:tblPr>
      <w:tblGrid>
        <w:gridCol w:w="8085"/>
      </w:tblGrid>
      <w:tr w:rsidR="009C04C8" w:rsidRPr="00C73C6D" w:rsidTr="00771075">
        <w:trPr>
          <w:cantSplit/>
          <w:trHeight w:val="255"/>
          <w:jc w:val="center"/>
        </w:trPr>
        <w:tc>
          <w:tcPr>
            <w:tcW w:w="8085" w:type="dxa"/>
            <w:shd w:val="clear" w:color="auto" w:fill="auto"/>
            <w:noWrap/>
          </w:tcPr>
          <w:p w:rsidR="009C04C8" w:rsidRPr="00E250C5" w:rsidRDefault="009C04C8" w:rsidP="00771075">
            <w:pPr>
              <w:rPr>
                <w:b/>
                <w:color w:val="006600"/>
                <w:sz w:val="18"/>
                <w:lang w:val="de-DE"/>
              </w:rPr>
            </w:pPr>
            <w:r w:rsidRPr="00E250C5">
              <w:rPr>
                <w:b/>
                <w:color w:val="006600"/>
                <w:sz w:val="18"/>
                <w:lang w:val="de-DE"/>
              </w:rPr>
              <w:t xml:space="preserve">Zusammenfassung </w:t>
            </w:r>
          </w:p>
          <w:p w:rsidR="009C04C8" w:rsidRPr="00E250C5" w:rsidRDefault="009C04C8" w:rsidP="00771075">
            <w:pPr>
              <w:rPr>
                <w:sz w:val="18"/>
                <w:lang w:val="de-DE"/>
              </w:rPr>
            </w:pPr>
          </w:p>
          <w:p w:rsidR="009C04C8" w:rsidRPr="00E250C5" w:rsidRDefault="009C04C8" w:rsidP="00771075">
            <w:pPr>
              <w:rPr>
                <w:sz w:val="18"/>
                <w:lang w:val="de-DE"/>
              </w:rPr>
            </w:pPr>
            <w:r w:rsidRPr="00E250C5">
              <w:rPr>
                <w:sz w:val="18"/>
                <w:lang w:val="de-CH"/>
              </w:rPr>
              <w:t>Das Internationale Übereinkommen zum Schutz von Pflanzenzüchtungen („UPOV 1991“) führte im Jahr 1991 das Konzept von ‚im wesentlichen abgeleiteten Sorten‘ (EDVs) als eine Erweiterung des Geltungsbereichs von Züchterrechten ein. Der Zweck des Konzept von im wesentlichen abgeleiteten Sorten ist die Schaffung eines wirksamen Anreizes für Pflanzenzüchtungen, der den Fortschritt bei der Entwicklung neuer, verbesserter Pflanzensorten zum Nutzen der Gesellschaft auf ein Höchstmaß steigert.</w:t>
            </w:r>
            <w:r w:rsidRPr="00E250C5">
              <w:rPr>
                <w:sz w:val="18"/>
                <w:lang w:val="de-DE"/>
              </w:rPr>
              <w:t xml:space="preserve"> </w:t>
            </w:r>
          </w:p>
          <w:p w:rsidR="009C04C8" w:rsidRPr="00E250C5" w:rsidRDefault="009C04C8" w:rsidP="00771075">
            <w:pPr>
              <w:rPr>
                <w:sz w:val="18"/>
                <w:lang w:val="de-DE"/>
              </w:rPr>
            </w:pPr>
          </w:p>
          <w:p w:rsidR="009C04C8" w:rsidRPr="00E250C5" w:rsidRDefault="009C04C8" w:rsidP="00771075">
            <w:pPr>
              <w:rPr>
                <w:sz w:val="18"/>
                <w:lang w:val="de-CH"/>
              </w:rPr>
            </w:pPr>
            <w:r w:rsidRPr="00E250C5">
              <w:rPr>
                <w:sz w:val="18"/>
                <w:lang w:val="de-CH"/>
              </w:rPr>
              <w:t xml:space="preserve">Der Zweck des Seminars besteht darin, die Auswirkungen der Politik bezüglich der im wesentlichen abgeleiteten Sorten auf die Züchtungsstrategie und die Folgen für die Entwicklung neuer, verbesserter Pflanzensorten zum Nutzen der Gesellschaft zu prüfen. Das Seminar wird Perspektiven darlegen, die verschiedene Züchtungsmethoden und verschiedene Pflanzentypen betreffen. Es soll den Verwaltungs- und Rechtsausschuß (CAJ) bei der Prüfung der Anleitung zu im wesentlichen abgeleiteten Sorten in Dokument </w:t>
            </w:r>
            <w:hyperlink r:id="rId11" w:history="1">
              <w:r w:rsidRPr="00E250C5">
                <w:rPr>
                  <w:rStyle w:val="Hyperlink"/>
                  <w:sz w:val="18"/>
                  <w:lang w:val="de-CH"/>
                </w:rPr>
                <w:t>UPOV/EXN/EDV/2</w:t>
              </w:r>
            </w:hyperlink>
            <w:r w:rsidRPr="00E250C5">
              <w:rPr>
                <w:sz w:val="18"/>
                <w:lang w:val="de-CH"/>
              </w:rPr>
              <w:t xml:space="preserve"> unterstützen</w:t>
            </w:r>
            <w:r>
              <w:rPr>
                <w:sz w:val="18"/>
                <w:lang w:val="de-CH"/>
              </w:rPr>
              <w:t>.</w:t>
            </w:r>
          </w:p>
        </w:tc>
      </w:tr>
    </w:tbl>
    <w:p w:rsidR="007F795B" w:rsidRPr="009C04C8" w:rsidRDefault="007F795B" w:rsidP="007F795B">
      <w:pPr>
        <w:rPr>
          <w:rFonts w:cs="Arial"/>
          <w:lang w:val="de-DE"/>
        </w:rPr>
      </w:pPr>
    </w:p>
    <w:p w:rsidR="007F795B" w:rsidRPr="007F795B" w:rsidRDefault="007F795B" w:rsidP="007F795B">
      <w:pPr>
        <w:rPr>
          <w:lang w:val="de-CH"/>
        </w:rPr>
      </w:pPr>
    </w:p>
    <w:tbl>
      <w:tblPr>
        <w:tblW w:w="9639" w:type="dxa"/>
        <w:tblLayout w:type="fixed"/>
        <w:tblCellMar>
          <w:left w:w="57" w:type="dxa"/>
          <w:right w:w="57" w:type="dxa"/>
        </w:tblCellMar>
        <w:tblLook w:val="01E0" w:firstRow="1" w:lastRow="1" w:firstColumn="1" w:lastColumn="1" w:noHBand="0" w:noVBand="0"/>
      </w:tblPr>
      <w:tblGrid>
        <w:gridCol w:w="722"/>
        <w:gridCol w:w="8917"/>
      </w:tblGrid>
      <w:tr w:rsidR="007F795B" w:rsidRPr="00621992"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8.30</w:t>
            </w:r>
          </w:p>
        </w:tc>
        <w:tc>
          <w:tcPr>
            <w:tcW w:w="8917" w:type="dxa"/>
            <w:noWrap/>
          </w:tcPr>
          <w:p w:rsidR="007F795B" w:rsidRPr="00B07AD1" w:rsidRDefault="007F795B" w:rsidP="007F795B">
            <w:pPr>
              <w:rPr>
                <w:color w:val="006600"/>
                <w:szCs w:val="24"/>
              </w:rPr>
            </w:pPr>
            <w:r w:rsidRPr="00B07AD1">
              <w:rPr>
                <w:b/>
                <w:color w:val="006600"/>
                <w:szCs w:val="24"/>
                <w:lang w:val="de-CH"/>
              </w:rPr>
              <w:t>Registrierung</w:t>
            </w:r>
          </w:p>
        </w:tc>
      </w:tr>
      <w:tr w:rsidR="007F795B" w:rsidRPr="00621992" w:rsidTr="007F795B">
        <w:trPr>
          <w:cantSplit/>
        </w:trPr>
        <w:tc>
          <w:tcPr>
            <w:tcW w:w="722" w:type="dxa"/>
            <w:noWrap/>
          </w:tcPr>
          <w:p w:rsidR="007F795B" w:rsidRPr="00621992" w:rsidRDefault="007F795B" w:rsidP="007F795B">
            <w:pPr>
              <w:jc w:val="left"/>
              <w:rPr>
                <w:sz w:val="16"/>
                <w:szCs w:val="24"/>
              </w:rPr>
            </w:pPr>
          </w:p>
        </w:tc>
        <w:tc>
          <w:tcPr>
            <w:tcW w:w="8917" w:type="dxa"/>
            <w:noWrap/>
          </w:tcPr>
          <w:p w:rsidR="007F795B" w:rsidRPr="00621992" w:rsidRDefault="007F795B" w:rsidP="007F795B">
            <w:pPr>
              <w:rPr>
                <w:sz w:val="16"/>
                <w:szCs w:val="24"/>
              </w:rPr>
            </w:pPr>
          </w:p>
        </w:tc>
      </w:tr>
      <w:tr w:rsidR="007F795B" w:rsidRPr="00621992"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9.30</w:t>
            </w:r>
          </w:p>
        </w:tc>
        <w:tc>
          <w:tcPr>
            <w:tcW w:w="8917" w:type="dxa"/>
            <w:noWrap/>
          </w:tcPr>
          <w:p w:rsidR="007F795B" w:rsidRPr="00B07AD1" w:rsidRDefault="007F795B" w:rsidP="007F795B">
            <w:pPr>
              <w:rPr>
                <w:color w:val="006600"/>
                <w:szCs w:val="24"/>
                <w:lang w:val="de-CH"/>
              </w:rPr>
            </w:pPr>
            <w:r w:rsidRPr="00B07AD1">
              <w:rPr>
                <w:b/>
                <w:color w:val="006600"/>
                <w:szCs w:val="24"/>
                <w:lang w:val="de-CH"/>
              </w:rPr>
              <w:t>Begrüßungsansprache und Eröffnung</w:t>
            </w:r>
          </w:p>
        </w:tc>
      </w:tr>
      <w:tr w:rsidR="007F795B" w:rsidRPr="00C73C6D"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621992" w:rsidRDefault="007F795B" w:rsidP="007F795B">
            <w:pPr>
              <w:rPr>
                <w:i/>
                <w:sz w:val="18"/>
                <w:szCs w:val="24"/>
                <w:lang w:val="de-CH"/>
              </w:rPr>
            </w:pPr>
            <w:r w:rsidRPr="00621992">
              <w:rPr>
                <w:i/>
                <w:sz w:val="18"/>
                <w:szCs w:val="24"/>
                <w:lang w:val="de-CH"/>
              </w:rPr>
              <w:t>Herr Peter Button,</w:t>
            </w:r>
            <w:r w:rsidRPr="00621992">
              <w:rPr>
                <w:b/>
                <w:i/>
                <w:sz w:val="18"/>
                <w:szCs w:val="24"/>
                <w:lang w:val="de-CH"/>
              </w:rPr>
              <w:t xml:space="preserve"> </w:t>
            </w:r>
            <w:r w:rsidRPr="00621992">
              <w:rPr>
                <w:i/>
                <w:sz w:val="18"/>
                <w:szCs w:val="24"/>
                <w:lang w:val="de-CH"/>
              </w:rPr>
              <w:t>Stellvertretender Generalsekretär der UPOV</w:t>
            </w:r>
          </w:p>
          <w:p w:rsidR="007F795B" w:rsidRPr="00621992" w:rsidRDefault="007F795B" w:rsidP="007F795B">
            <w:pPr>
              <w:rPr>
                <w:sz w:val="16"/>
                <w:szCs w:val="24"/>
                <w:lang w:val="de-CH"/>
              </w:rPr>
            </w:pPr>
          </w:p>
        </w:tc>
      </w:tr>
      <w:tr w:rsidR="007F795B" w:rsidRPr="00C73C6D"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B07AD1" w:rsidRDefault="007F795B" w:rsidP="007F795B">
            <w:pPr>
              <w:spacing w:before="240"/>
              <w:jc w:val="left"/>
              <w:rPr>
                <w:color w:val="006600"/>
                <w:szCs w:val="24"/>
                <w:lang w:val="de-CH"/>
              </w:rPr>
            </w:pPr>
            <w:r w:rsidRPr="00B07AD1">
              <w:rPr>
                <w:b/>
                <w:color w:val="006600"/>
                <w:szCs w:val="24"/>
                <w:u w:val="single"/>
                <w:lang w:val="de-CH"/>
              </w:rPr>
              <w:t>SITZUNG I:  EIN KONZEPT DER IM WESENTLICHEN ABGELEITETEN SORTEN FÜR DIE GEGENWART UND DIE ZUKUNFT</w:t>
            </w:r>
          </w:p>
        </w:tc>
      </w:tr>
      <w:tr w:rsidR="007F795B" w:rsidRPr="00621992"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621992" w:rsidRDefault="007F795B" w:rsidP="007F795B">
            <w:pPr>
              <w:rPr>
                <w:sz w:val="18"/>
                <w:szCs w:val="24"/>
              </w:rPr>
            </w:pPr>
            <w:r w:rsidRPr="00621992">
              <w:rPr>
                <w:i/>
                <w:sz w:val="18"/>
                <w:szCs w:val="24"/>
                <w:lang w:val="de-CH"/>
              </w:rPr>
              <w:t xml:space="preserve">Moderator: </w:t>
            </w:r>
            <w:r w:rsidRPr="00621992">
              <w:rPr>
                <w:i/>
                <w:sz w:val="18"/>
                <w:szCs w:val="24"/>
              </w:rPr>
              <w:t xml:space="preserve"> </w:t>
            </w:r>
            <w:r w:rsidRPr="00621992">
              <w:rPr>
                <w:i/>
                <w:sz w:val="18"/>
                <w:szCs w:val="24"/>
                <w:lang w:val="de-CH"/>
              </w:rPr>
              <w:t>Herr Peter Button</w:t>
            </w:r>
          </w:p>
        </w:tc>
      </w:tr>
      <w:tr w:rsidR="007F795B" w:rsidRPr="00621992" w:rsidTr="007F795B">
        <w:trPr>
          <w:cantSplit/>
        </w:trPr>
        <w:tc>
          <w:tcPr>
            <w:tcW w:w="722" w:type="dxa"/>
            <w:noWrap/>
          </w:tcPr>
          <w:p w:rsidR="007F795B" w:rsidRPr="00621992" w:rsidRDefault="007F795B" w:rsidP="007F795B">
            <w:pPr>
              <w:jc w:val="left"/>
              <w:rPr>
                <w:sz w:val="16"/>
                <w:szCs w:val="24"/>
              </w:rPr>
            </w:pPr>
          </w:p>
        </w:tc>
        <w:tc>
          <w:tcPr>
            <w:tcW w:w="8917" w:type="dxa"/>
            <w:noWrap/>
          </w:tcPr>
          <w:p w:rsidR="007F795B" w:rsidRPr="00621992" w:rsidRDefault="007F795B" w:rsidP="007F795B">
            <w:pPr>
              <w:rPr>
                <w:sz w:val="12"/>
                <w:szCs w:val="24"/>
              </w:rPr>
            </w:pPr>
          </w:p>
        </w:tc>
      </w:tr>
      <w:tr w:rsidR="007F795B" w:rsidRPr="00C73C6D"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9.40</w:t>
            </w:r>
          </w:p>
        </w:tc>
        <w:tc>
          <w:tcPr>
            <w:tcW w:w="8917" w:type="dxa"/>
            <w:noWrap/>
          </w:tcPr>
          <w:p w:rsidR="007F795B" w:rsidRPr="00B07AD1" w:rsidRDefault="007F795B" w:rsidP="007F795B">
            <w:pPr>
              <w:rPr>
                <w:color w:val="006600"/>
                <w:szCs w:val="24"/>
                <w:lang w:val="de-CH"/>
              </w:rPr>
            </w:pPr>
            <w:r w:rsidRPr="00B07AD1">
              <w:rPr>
                <w:b/>
                <w:color w:val="006600"/>
                <w:szCs w:val="24"/>
                <w:lang w:val="de-CH"/>
              </w:rPr>
              <w:t>Pflanzenzüchtung und Konzept der im wesentlichen abgeleiteten Sorten: Herausforderungen der Vergangenheit, Chancen für die Zukunft?</w:t>
            </w:r>
          </w:p>
        </w:tc>
      </w:tr>
      <w:tr w:rsidR="007F795B" w:rsidRPr="00621992"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621992" w:rsidRDefault="007F795B" w:rsidP="007F795B">
            <w:pPr>
              <w:rPr>
                <w:sz w:val="18"/>
                <w:szCs w:val="24"/>
                <w:lang w:val="de-CH"/>
              </w:rPr>
            </w:pPr>
            <w:r w:rsidRPr="00621992">
              <w:rPr>
                <w:i/>
                <w:sz w:val="18"/>
                <w:szCs w:val="24"/>
                <w:lang w:val="de-CH"/>
              </w:rPr>
              <w:t>Hauptreferent: Herr Sven J.R. Bostyn, Universität Kopenhagen, Rechtsfakultät, Centre for Advanced studies in Biomedical Innovation Law (CeBIL), Dänemark</w:t>
            </w:r>
          </w:p>
        </w:tc>
      </w:tr>
      <w:tr w:rsidR="007F795B" w:rsidRPr="00621992"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621992" w:rsidRDefault="007F795B" w:rsidP="007F795B">
            <w:pPr>
              <w:rPr>
                <w:sz w:val="16"/>
                <w:szCs w:val="24"/>
                <w:lang w:val="de-CH"/>
              </w:rPr>
            </w:pPr>
          </w:p>
        </w:tc>
      </w:tr>
      <w:tr w:rsidR="007F795B" w:rsidRPr="00C73C6D" w:rsidTr="007F795B">
        <w:trPr>
          <w:cantSplit/>
        </w:trPr>
        <w:tc>
          <w:tcPr>
            <w:tcW w:w="722" w:type="dxa"/>
            <w:noWrap/>
          </w:tcPr>
          <w:p w:rsidR="007F795B" w:rsidRPr="00B07AD1" w:rsidRDefault="007F795B" w:rsidP="007F795B">
            <w:pPr>
              <w:jc w:val="left"/>
              <w:rPr>
                <w:b/>
                <w:color w:val="006600"/>
                <w:sz w:val="16"/>
                <w:szCs w:val="24"/>
              </w:rPr>
            </w:pPr>
            <w:r w:rsidRPr="00B07AD1">
              <w:rPr>
                <w:b/>
                <w:color w:val="006600"/>
                <w:szCs w:val="24"/>
              </w:rPr>
              <w:t>10.10</w:t>
            </w:r>
          </w:p>
        </w:tc>
        <w:tc>
          <w:tcPr>
            <w:tcW w:w="8917" w:type="dxa"/>
            <w:noWrap/>
          </w:tcPr>
          <w:p w:rsidR="007F795B" w:rsidRPr="00B07AD1" w:rsidRDefault="007F795B" w:rsidP="007F795B">
            <w:pPr>
              <w:rPr>
                <w:color w:val="006600"/>
                <w:szCs w:val="24"/>
                <w:lang w:val="de-CH"/>
              </w:rPr>
            </w:pPr>
            <w:r w:rsidRPr="00B07AD1">
              <w:rPr>
                <w:b/>
                <w:color w:val="006600"/>
                <w:szCs w:val="24"/>
                <w:lang w:val="de-CH"/>
              </w:rPr>
              <w:t>UPOV-Anleitung zu im wesentlichen abgeleiteten Sorten</w:t>
            </w:r>
          </w:p>
        </w:tc>
      </w:tr>
      <w:tr w:rsidR="007F795B" w:rsidRPr="00C73C6D" w:rsidTr="007F795B">
        <w:trPr>
          <w:cantSplit/>
        </w:trPr>
        <w:tc>
          <w:tcPr>
            <w:tcW w:w="722" w:type="dxa"/>
            <w:noWrap/>
          </w:tcPr>
          <w:p w:rsidR="007F795B" w:rsidRPr="00621992" w:rsidRDefault="007F795B" w:rsidP="007F795B">
            <w:pPr>
              <w:jc w:val="left"/>
              <w:rPr>
                <w:szCs w:val="24"/>
                <w:lang w:val="de-CH"/>
              </w:rPr>
            </w:pPr>
          </w:p>
        </w:tc>
        <w:tc>
          <w:tcPr>
            <w:tcW w:w="8917" w:type="dxa"/>
            <w:noWrap/>
          </w:tcPr>
          <w:p w:rsidR="007F795B" w:rsidRPr="00621992" w:rsidRDefault="007F795B" w:rsidP="007F795B">
            <w:pPr>
              <w:rPr>
                <w:szCs w:val="24"/>
                <w:lang w:val="de-CH"/>
              </w:rPr>
            </w:pPr>
            <w:r w:rsidRPr="00621992">
              <w:rPr>
                <w:i/>
                <w:sz w:val="18"/>
                <w:szCs w:val="24"/>
                <w:lang w:val="de-CH"/>
              </w:rPr>
              <w:t>Frau Yolanda Huerta,</w:t>
            </w:r>
            <w:r w:rsidRPr="00621992">
              <w:rPr>
                <w:b/>
                <w:i/>
                <w:sz w:val="18"/>
                <w:szCs w:val="24"/>
                <w:lang w:val="de-CH"/>
              </w:rPr>
              <w:t xml:space="preserve"> </w:t>
            </w:r>
            <w:r w:rsidRPr="00621992">
              <w:rPr>
                <w:i/>
                <w:sz w:val="18"/>
                <w:szCs w:val="24"/>
                <w:lang w:val="de-CH"/>
              </w:rPr>
              <w:t xml:space="preserve">Rechtsberaterin und Direktorin für Ausbildung und Unterstützung, UPOV </w:t>
            </w:r>
          </w:p>
        </w:tc>
      </w:tr>
      <w:tr w:rsidR="007F795B" w:rsidRPr="00C73C6D" w:rsidTr="007F795B">
        <w:trPr>
          <w:cantSplit/>
        </w:trPr>
        <w:tc>
          <w:tcPr>
            <w:tcW w:w="722" w:type="dxa"/>
            <w:noWrap/>
          </w:tcPr>
          <w:p w:rsidR="007F795B" w:rsidRPr="00621992" w:rsidRDefault="007F795B" w:rsidP="007F795B">
            <w:pPr>
              <w:jc w:val="left"/>
              <w:rPr>
                <w:sz w:val="14"/>
                <w:szCs w:val="24"/>
                <w:lang w:val="de-CH"/>
              </w:rPr>
            </w:pPr>
          </w:p>
        </w:tc>
        <w:tc>
          <w:tcPr>
            <w:tcW w:w="8917" w:type="dxa"/>
            <w:noWrap/>
          </w:tcPr>
          <w:p w:rsidR="007F795B" w:rsidRPr="00621992" w:rsidRDefault="007F795B" w:rsidP="007F795B">
            <w:pPr>
              <w:rPr>
                <w:sz w:val="14"/>
                <w:szCs w:val="24"/>
                <w:lang w:val="de-CH"/>
              </w:rPr>
            </w:pPr>
          </w:p>
        </w:tc>
      </w:tr>
      <w:tr w:rsidR="007F795B" w:rsidRPr="00C73C6D" w:rsidTr="007F795B">
        <w:trPr>
          <w:cantSplit/>
        </w:trPr>
        <w:tc>
          <w:tcPr>
            <w:tcW w:w="722" w:type="dxa"/>
            <w:noWrap/>
          </w:tcPr>
          <w:p w:rsidR="007F795B" w:rsidRPr="00621992" w:rsidRDefault="007F795B" w:rsidP="007F795B">
            <w:pPr>
              <w:jc w:val="left"/>
              <w:rPr>
                <w:sz w:val="16"/>
                <w:szCs w:val="24"/>
                <w:lang w:val="de-CH"/>
              </w:rPr>
            </w:pPr>
          </w:p>
        </w:tc>
        <w:tc>
          <w:tcPr>
            <w:tcW w:w="8917" w:type="dxa"/>
            <w:noWrap/>
          </w:tcPr>
          <w:p w:rsidR="007F795B" w:rsidRPr="00B07AD1" w:rsidRDefault="007F795B" w:rsidP="007F795B">
            <w:pPr>
              <w:spacing w:before="240"/>
              <w:jc w:val="left"/>
              <w:rPr>
                <w:color w:val="006600"/>
                <w:szCs w:val="24"/>
                <w:u w:val="single"/>
                <w:lang w:val="de-CH"/>
              </w:rPr>
            </w:pPr>
            <w:r w:rsidRPr="00B07AD1">
              <w:rPr>
                <w:b/>
                <w:color w:val="006600"/>
                <w:szCs w:val="24"/>
                <w:u w:val="single"/>
                <w:lang w:val="de-CH"/>
              </w:rPr>
              <w:t>SITZUNG II:  AUSWIRKUNGEN DES KONZEPTS DER IM WESENTLICHEN ABGELEITETEN SORTEN AUF DIE PFLANZENZÜCHTUNG</w:t>
            </w:r>
          </w:p>
        </w:tc>
      </w:tr>
      <w:tr w:rsidR="007F795B" w:rsidRPr="00C73C6D" w:rsidTr="007F795B">
        <w:trPr>
          <w:cantSplit/>
        </w:trPr>
        <w:tc>
          <w:tcPr>
            <w:tcW w:w="722" w:type="dxa"/>
            <w:noWrap/>
          </w:tcPr>
          <w:p w:rsidR="007F795B" w:rsidRPr="00621992" w:rsidRDefault="007F795B" w:rsidP="007F795B">
            <w:pPr>
              <w:jc w:val="left"/>
              <w:rPr>
                <w:sz w:val="18"/>
                <w:szCs w:val="24"/>
                <w:lang w:val="de-CH"/>
              </w:rPr>
            </w:pPr>
          </w:p>
        </w:tc>
        <w:tc>
          <w:tcPr>
            <w:tcW w:w="8917" w:type="dxa"/>
            <w:noWrap/>
          </w:tcPr>
          <w:p w:rsidR="007F795B" w:rsidRPr="00621992" w:rsidRDefault="007F795B" w:rsidP="007F795B">
            <w:pPr>
              <w:rPr>
                <w:sz w:val="18"/>
                <w:szCs w:val="24"/>
                <w:lang w:val="de-CH"/>
              </w:rPr>
            </w:pPr>
            <w:r w:rsidRPr="00621992">
              <w:rPr>
                <w:i/>
                <w:spacing w:val="-2"/>
                <w:sz w:val="18"/>
                <w:szCs w:val="24"/>
                <w:lang w:val="de-CH"/>
              </w:rPr>
              <w:t>Moderator:  Herr Anthony Parker, Vorsitzender, Verwaltungs- und Rechtsausschuß (CAJ), UPOV</w:t>
            </w:r>
          </w:p>
        </w:tc>
      </w:tr>
      <w:tr w:rsidR="007F795B" w:rsidRPr="00C73C6D" w:rsidTr="007F795B">
        <w:trPr>
          <w:cantSplit/>
        </w:trPr>
        <w:tc>
          <w:tcPr>
            <w:tcW w:w="722" w:type="dxa"/>
            <w:noWrap/>
          </w:tcPr>
          <w:p w:rsidR="007F795B" w:rsidRPr="00621992" w:rsidRDefault="007F795B" w:rsidP="007F795B">
            <w:pPr>
              <w:jc w:val="left"/>
              <w:rPr>
                <w:sz w:val="12"/>
                <w:szCs w:val="24"/>
                <w:lang w:val="de-CH"/>
              </w:rPr>
            </w:pPr>
          </w:p>
        </w:tc>
        <w:tc>
          <w:tcPr>
            <w:tcW w:w="8917" w:type="dxa"/>
            <w:noWrap/>
          </w:tcPr>
          <w:p w:rsidR="007F795B" w:rsidRPr="00621992" w:rsidRDefault="007F795B" w:rsidP="007F795B">
            <w:pPr>
              <w:rPr>
                <w:sz w:val="12"/>
                <w:szCs w:val="24"/>
                <w:lang w:val="de-CH"/>
              </w:rPr>
            </w:pPr>
          </w:p>
        </w:tc>
      </w:tr>
      <w:tr w:rsidR="007F795B" w:rsidRPr="00621992"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10.20</w:t>
            </w:r>
          </w:p>
        </w:tc>
        <w:tc>
          <w:tcPr>
            <w:tcW w:w="8917" w:type="dxa"/>
            <w:noWrap/>
          </w:tcPr>
          <w:p w:rsidR="007F795B" w:rsidRPr="00B07AD1" w:rsidRDefault="007F795B" w:rsidP="007F795B">
            <w:pPr>
              <w:rPr>
                <w:color w:val="006600"/>
                <w:szCs w:val="24"/>
                <w:lang w:val="de-CH"/>
              </w:rPr>
            </w:pPr>
            <w:r w:rsidRPr="00B07AD1">
              <w:rPr>
                <w:b/>
                <w:color w:val="006600"/>
                <w:szCs w:val="24"/>
                <w:lang w:val="de-CH"/>
              </w:rPr>
              <w:t>Ausblick für landwirtschaftliche Arten</w:t>
            </w:r>
          </w:p>
        </w:tc>
      </w:tr>
      <w:tr w:rsidR="007F795B" w:rsidRPr="00C73C6D" w:rsidTr="007F795B">
        <w:trPr>
          <w:cantSplit/>
        </w:trPr>
        <w:tc>
          <w:tcPr>
            <w:tcW w:w="722" w:type="dxa"/>
            <w:noWrap/>
          </w:tcPr>
          <w:p w:rsidR="007F795B" w:rsidRPr="00621992" w:rsidRDefault="007F795B" w:rsidP="007F795B">
            <w:pPr>
              <w:jc w:val="left"/>
              <w:rPr>
                <w:spacing w:val="-4"/>
                <w:sz w:val="18"/>
                <w:szCs w:val="24"/>
                <w:lang w:val="de-CH"/>
              </w:rPr>
            </w:pPr>
          </w:p>
        </w:tc>
        <w:tc>
          <w:tcPr>
            <w:tcW w:w="8917" w:type="dxa"/>
            <w:noWrap/>
          </w:tcPr>
          <w:p w:rsidR="007F795B" w:rsidRPr="00621992" w:rsidRDefault="007F795B" w:rsidP="007F795B">
            <w:pPr>
              <w:rPr>
                <w:sz w:val="18"/>
                <w:szCs w:val="24"/>
                <w:lang w:val="de-CH"/>
              </w:rPr>
            </w:pPr>
            <w:r w:rsidRPr="00621992">
              <w:rPr>
                <w:i/>
                <w:spacing w:val="-4"/>
                <w:sz w:val="18"/>
                <w:szCs w:val="24"/>
                <w:lang w:val="de-CH"/>
              </w:rPr>
              <w:t>Frau Magali Pla, Stellvertretende Direktorin für den gewerblichen Rechtsschutz, Limagrain, Frankreich</w:t>
            </w:r>
          </w:p>
        </w:tc>
      </w:tr>
      <w:tr w:rsidR="007F795B" w:rsidRPr="00C73C6D" w:rsidTr="007F795B">
        <w:trPr>
          <w:cantSplit/>
        </w:trPr>
        <w:tc>
          <w:tcPr>
            <w:tcW w:w="722" w:type="dxa"/>
            <w:noWrap/>
          </w:tcPr>
          <w:p w:rsidR="007F795B" w:rsidRPr="00621992" w:rsidRDefault="007F795B" w:rsidP="007F795B">
            <w:pPr>
              <w:jc w:val="left"/>
              <w:rPr>
                <w:sz w:val="14"/>
                <w:szCs w:val="24"/>
                <w:lang w:val="de-CH"/>
              </w:rPr>
            </w:pPr>
          </w:p>
        </w:tc>
        <w:tc>
          <w:tcPr>
            <w:tcW w:w="8917" w:type="dxa"/>
            <w:noWrap/>
          </w:tcPr>
          <w:p w:rsidR="007F795B" w:rsidRPr="00621992" w:rsidRDefault="007F795B" w:rsidP="007F795B">
            <w:pPr>
              <w:rPr>
                <w:sz w:val="14"/>
                <w:szCs w:val="24"/>
                <w:lang w:val="de-CH"/>
              </w:rPr>
            </w:pPr>
          </w:p>
        </w:tc>
      </w:tr>
      <w:tr w:rsidR="007F795B" w:rsidRPr="00621992" w:rsidTr="007F795B">
        <w:trPr>
          <w:cantSplit/>
        </w:trPr>
        <w:tc>
          <w:tcPr>
            <w:tcW w:w="722" w:type="dxa"/>
            <w:noWrap/>
          </w:tcPr>
          <w:p w:rsidR="007F795B" w:rsidRPr="00B07AD1" w:rsidRDefault="007F795B" w:rsidP="007F795B">
            <w:pPr>
              <w:keepNext/>
              <w:jc w:val="left"/>
              <w:rPr>
                <w:b/>
                <w:color w:val="006600"/>
                <w:szCs w:val="24"/>
              </w:rPr>
            </w:pPr>
            <w:r w:rsidRPr="00B07AD1">
              <w:rPr>
                <w:b/>
                <w:color w:val="006600"/>
                <w:szCs w:val="24"/>
              </w:rPr>
              <w:lastRenderedPageBreak/>
              <w:t>10.40</w:t>
            </w:r>
          </w:p>
        </w:tc>
        <w:tc>
          <w:tcPr>
            <w:tcW w:w="8917" w:type="dxa"/>
            <w:noWrap/>
          </w:tcPr>
          <w:p w:rsidR="007F795B" w:rsidRPr="00B07AD1" w:rsidRDefault="007F795B" w:rsidP="007F795B">
            <w:pPr>
              <w:keepNext/>
              <w:rPr>
                <w:color w:val="006600"/>
                <w:szCs w:val="24"/>
                <w:lang w:val="de-CH"/>
              </w:rPr>
            </w:pPr>
            <w:r w:rsidRPr="00B07AD1">
              <w:rPr>
                <w:b/>
                <w:color w:val="006600"/>
                <w:szCs w:val="24"/>
                <w:lang w:val="de-CH"/>
              </w:rPr>
              <w:t>Ausblick für Zierpflanzen</w:t>
            </w:r>
          </w:p>
        </w:tc>
      </w:tr>
      <w:tr w:rsidR="007F795B" w:rsidRPr="00C73C6D" w:rsidTr="007F795B">
        <w:trPr>
          <w:cantSplit/>
        </w:trPr>
        <w:tc>
          <w:tcPr>
            <w:tcW w:w="722" w:type="dxa"/>
            <w:noWrap/>
          </w:tcPr>
          <w:p w:rsidR="007F795B" w:rsidRPr="00621992" w:rsidRDefault="007F795B" w:rsidP="007F795B">
            <w:pPr>
              <w:jc w:val="left"/>
              <w:rPr>
                <w:sz w:val="18"/>
                <w:szCs w:val="24"/>
                <w:lang w:val="de-CH"/>
              </w:rPr>
            </w:pPr>
          </w:p>
        </w:tc>
        <w:tc>
          <w:tcPr>
            <w:tcW w:w="8917" w:type="dxa"/>
            <w:noWrap/>
          </w:tcPr>
          <w:p w:rsidR="007F795B" w:rsidRPr="00621992" w:rsidRDefault="007F795B" w:rsidP="007F795B">
            <w:pPr>
              <w:rPr>
                <w:sz w:val="18"/>
                <w:szCs w:val="24"/>
                <w:lang w:val="de-CH"/>
              </w:rPr>
            </w:pPr>
            <w:r w:rsidRPr="00621992">
              <w:rPr>
                <w:i/>
                <w:sz w:val="18"/>
                <w:szCs w:val="24"/>
                <w:lang w:val="de-CH"/>
              </w:rPr>
              <w:t>Herr Micha Danziger, Danziger "Dan" Flower Farm, Israel</w:t>
            </w:r>
          </w:p>
        </w:tc>
      </w:tr>
      <w:tr w:rsidR="007F795B" w:rsidRPr="00C73C6D" w:rsidTr="007F795B">
        <w:trPr>
          <w:cantSplit/>
        </w:trPr>
        <w:tc>
          <w:tcPr>
            <w:tcW w:w="722" w:type="dxa"/>
            <w:noWrap/>
          </w:tcPr>
          <w:p w:rsidR="007F795B" w:rsidRPr="00621992" w:rsidRDefault="007F795B" w:rsidP="007F795B">
            <w:pPr>
              <w:jc w:val="left"/>
              <w:rPr>
                <w:sz w:val="14"/>
                <w:szCs w:val="24"/>
                <w:lang w:val="de-DE"/>
              </w:rPr>
            </w:pPr>
          </w:p>
        </w:tc>
        <w:tc>
          <w:tcPr>
            <w:tcW w:w="8917" w:type="dxa"/>
            <w:noWrap/>
          </w:tcPr>
          <w:p w:rsidR="007F795B" w:rsidRPr="00621992" w:rsidRDefault="007F795B" w:rsidP="007F795B">
            <w:pPr>
              <w:rPr>
                <w:sz w:val="14"/>
                <w:szCs w:val="24"/>
                <w:lang w:val="de-DE"/>
              </w:rPr>
            </w:pPr>
          </w:p>
        </w:tc>
      </w:tr>
      <w:tr w:rsidR="007F795B" w:rsidRPr="00621992" w:rsidTr="007F795B">
        <w:trPr>
          <w:cantSplit/>
        </w:trPr>
        <w:tc>
          <w:tcPr>
            <w:tcW w:w="722" w:type="dxa"/>
            <w:noWrap/>
          </w:tcPr>
          <w:p w:rsidR="007F795B" w:rsidRPr="00621992" w:rsidRDefault="007F795B" w:rsidP="007F795B">
            <w:pPr>
              <w:jc w:val="left"/>
              <w:rPr>
                <w:sz w:val="18"/>
                <w:szCs w:val="24"/>
              </w:rPr>
            </w:pPr>
            <w:r w:rsidRPr="00621992">
              <w:rPr>
                <w:b/>
                <w:i/>
                <w:sz w:val="18"/>
                <w:szCs w:val="24"/>
              </w:rPr>
              <w:t>11.00</w:t>
            </w:r>
          </w:p>
        </w:tc>
        <w:tc>
          <w:tcPr>
            <w:tcW w:w="8917" w:type="dxa"/>
            <w:noWrap/>
          </w:tcPr>
          <w:p w:rsidR="007F795B" w:rsidRPr="00621992" w:rsidRDefault="007F795B" w:rsidP="007F795B">
            <w:pPr>
              <w:rPr>
                <w:sz w:val="18"/>
                <w:szCs w:val="24"/>
              </w:rPr>
            </w:pPr>
            <w:r w:rsidRPr="00621992">
              <w:rPr>
                <w:b/>
                <w:i/>
                <w:sz w:val="18"/>
                <w:szCs w:val="24"/>
                <w:lang w:val="de-CH"/>
              </w:rPr>
              <w:t>Kaffeepause</w:t>
            </w:r>
          </w:p>
        </w:tc>
      </w:tr>
    </w:tbl>
    <w:p w:rsidR="007F795B" w:rsidRPr="00621992" w:rsidRDefault="007F795B" w:rsidP="007F795B"/>
    <w:tbl>
      <w:tblPr>
        <w:tblW w:w="9639" w:type="dxa"/>
        <w:tblLayout w:type="fixed"/>
        <w:tblCellMar>
          <w:left w:w="57" w:type="dxa"/>
          <w:right w:w="57" w:type="dxa"/>
        </w:tblCellMar>
        <w:tblLook w:val="01E0" w:firstRow="1" w:lastRow="1" w:firstColumn="1" w:lastColumn="1" w:noHBand="0" w:noVBand="0"/>
      </w:tblPr>
      <w:tblGrid>
        <w:gridCol w:w="722"/>
        <w:gridCol w:w="8917"/>
      </w:tblGrid>
      <w:tr w:rsidR="007F795B" w:rsidRPr="00621992" w:rsidTr="007F795B">
        <w:trPr>
          <w:cantSplit/>
        </w:trPr>
        <w:tc>
          <w:tcPr>
            <w:tcW w:w="722" w:type="dxa"/>
            <w:noWrap/>
          </w:tcPr>
          <w:p w:rsidR="007F795B" w:rsidRPr="00B07AD1" w:rsidRDefault="007F795B" w:rsidP="007F795B">
            <w:pPr>
              <w:keepNext/>
              <w:jc w:val="left"/>
              <w:rPr>
                <w:b/>
                <w:color w:val="006600"/>
                <w:szCs w:val="24"/>
              </w:rPr>
            </w:pPr>
            <w:r w:rsidRPr="00B07AD1">
              <w:rPr>
                <w:b/>
                <w:color w:val="006600"/>
                <w:szCs w:val="24"/>
              </w:rPr>
              <w:t>11.20</w:t>
            </w:r>
          </w:p>
        </w:tc>
        <w:tc>
          <w:tcPr>
            <w:tcW w:w="8917" w:type="dxa"/>
            <w:noWrap/>
          </w:tcPr>
          <w:p w:rsidR="007F795B" w:rsidRPr="00B07AD1" w:rsidRDefault="007F795B" w:rsidP="007F795B">
            <w:pPr>
              <w:keepNext/>
              <w:rPr>
                <w:color w:val="006600"/>
                <w:szCs w:val="24"/>
              </w:rPr>
            </w:pPr>
            <w:r w:rsidRPr="00B07AD1">
              <w:rPr>
                <w:b/>
                <w:color w:val="006600"/>
                <w:szCs w:val="24"/>
                <w:lang w:val="de-CH"/>
              </w:rPr>
              <w:t>Ausblick für Gemüsearten</w:t>
            </w:r>
          </w:p>
        </w:tc>
      </w:tr>
      <w:tr w:rsidR="007F795B" w:rsidRPr="00C73C6D" w:rsidTr="007F795B">
        <w:trPr>
          <w:cantSplit/>
        </w:trPr>
        <w:tc>
          <w:tcPr>
            <w:tcW w:w="722" w:type="dxa"/>
            <w:noWrap/>
          </w:tcPr>
          <w:p w:rsidR="007F795B" w:rsidRPr="00621992" w:rsidRDefault="007F795B" w:rsidP="007F795B">
            <w:pPr>
              <w:jc w:val="left"/>
              <w:rPr>
                <w:sz w:val="18"/>
                <w:szCs w:val="24"/>
                <w:lang w:val="de-CH"/>
              </w:rPr>
            </w:pPr>
          </w:p>
        </w:tc>
        <w:tc>
          <w:tcPr>
            <w:tcW w:w="8917" w:type="dxa"/>
            <w:noWrap/>
          </w:tcPr>
          <w:p w:rsidR="007F795B" w:rsidRPr="00621992" w:rsidRDefault="007F795B" w:rsidP="007F795B">
            <w:pPr>
              <w:rPr>
                <w:sz w:val="18"/>
                <w:szCs w:val="24"/>
                <w:lang w:val="de-CH"/>
              </w:rPr>
            </w:pPr>
            <w:r w:rsidRPr="00621992">
              <w:rPr>
                <w:i/>
                <w:sz w:val="18"/>
                <w:szCs w:val="24"/>
                <w:lang w:val="de-CH"/>
              </w:rPr>
              <w:t>Herr Laurens Kroon, Forschungsleiter, Bejo, Niederlande</w:t>
            </w:r>
          </w:p>
        </w:tc>
      </w:tr>
      <w:tr w:rsidR="007F795B" w:rsidRPr="00C73C6D" w:rsidTr="007F795B">
        <w:trPr>
          <w:cantSplit/>
        </w:trPr>
        <w:tc>
          <w:tcPr>
            <w:tcW w:w="722" w:type="dxa"/>
            <w:noWrap/>
          </w:tcPr>
          <w:p w:rsidR="007F795B" w:rsidRPr="00621992" w:rsidRDefault="007F795B" w:rsidP="007F795B">
            <w:pPr>
              <w:jc w:val="left"/>
              <w:rPr>
                <w:sz w:val="14"/>
                <w:szCs w:val="24"/>
                <w:lang w:val="de-CH"/>
              </w:rPr>
            </w:pPr>
          </w:p>
        </w:tc>
        <w:tc>
          <w:tcPr>
            <w:tcW w:w="8917" w:type="dxa"/>
            <w:noWrap/>
          </w:tcPr>
          <w:p w:rsidR="007F795B" w:rsidRPr="00621992" w:rsidRDefault="007F795B" w:rsidP="007F795B">
            <w:pPr>
              <w:rPr>
                <w:sz w:val="14"/>
                <w:szCs w:val="24"/>
                <w:lang w:val="de-CH"/>
              </w:rPr>
            </w:pPr>
          </w:p>
        </w:tc>
      </w:tr>
      <w:tr w:rsidR="007F795B" w:rsidRPr="00621992"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11.40</w:t>
            </w:r>
          </w:p>
        </w:tc>
        <w:tc>
          <w:tcPr>
            <w:tcW w:w="8917" w:type="dxa"/>
            <w:noWrap/>
          </w:tcPr>
          <w:p w:rsidR="007F795B" w:rsidRPr="00B07AD1" w:rsidRDefault="007F795B" w:rsidP="007F795B">
            <w:pPr>
              <w:rPr>
                <w:color w:val="006600"/>
                <w:szCs w:val="24"/>
              </w:rPr>
            </w:pPr>
            <w:r w:rsidRPr="00B07AD1">
              <w:rPr>
                <w:b/>
                <w:color w:val="006600"/>
                <w:szCs w:val="24"/>
                <w:lang w:val="de-CH"/>
              </w:rPr>
              <w:t>Ausblick für Obstarten</w:t>
            </w:r>
          </w:p>
        </w:tc>
      </w:tr>
      <w:tr w:rsidR="007F795B" w:rsidRPr="00621992" w:rsidTr="007F795B">
        <w:trPr>
          <w:cantSplit/>
        </w:trPr>
        <w:tc>
          <w:tcPr>
            <w:tcW w:w="722" w:type="dxa"/>
            <w:noWrap/>
          </w:tcPr>
          <w:p w:rsidR="007F795B" w:rsidRPr="00621992" w:rsidRDefault="007F795B" w:rsidP="007F795B">
            <w:pPr>
              <w:jc w:val="left"/>
              <w:rPr>
                <w:sz w:val="18"/>
                <w:szCs w:val="24"/>
              </w:rPr>
            </w:pPr>
          </w:p>
        </w:tc>
        <w:tc>
          <w:tcPr>
            <w:tcW w:w="8917" w:type="dxa"/>
            <w:noWrap/>
          </w:tcPr>
          <w:p w:rsidR="007F795B" w:rsidRPr="00621992" w:rsidRDefault="007F795B" w:rsidP="007F795B">
            <w:pPr>
              <w:rPr>
                <w:sz w:val="18"/>
                <w:szCs w:val="24"/>
              </w:rPr>
            </w:pPr>
            <w:r w:rsidRPr="00621992">
              <w:rPr>
                <w:i/>
                <w:sz w:val="18"/>
                <w:szCs w:val="24"/>
                <w:lang w:val="en-GB"/>
              </w:rPr>
              <w:t xml:space="preserve">Frau Emma Brown, Business Development Manager, Plant &amp; Food Research, </w:t>
            </w:r>
            <w:proofErr w:type="spellStart"/>
            <w:r w:rsidRPr="00621992">
              <w:rPr>
                <w:i/>
                <w:sz w:val="18"/>
                <w:szCs w:val="24"/>
                <w:lang w:val="en-GB"/>
              </w:rPr>
              <w:t>Neuseeland</w:t>
            </w:r>
            <w:proofErr w:type="spellEnd"/>
            <w:r w:rsidRPr="00621992">
              <w:rPr>
                <w:i/>
                <w:sz w:val="18"/>
                <w:szCs w:val="24"/>
                <w:lang w:val="en-GB"/>
              </w:rPr>
              <w:t xml:space="preserve"> </w:t>
            </w:r>
          </w:p>
        </w:tc>
      </w:tr>
      <w:tr w:rsidR="007F795B" w:rsidRPr="00621992" w:rsidTr="007F795B">
        <w:trPr>
          <w:cantSplit/>
        </w:trPr>
        <w:tc>
          <w:tcPr>
            <w:tcW w:w="722" w:type="dxa"/>
            <w:noWrap/>
          </w:tcPr>
          <w:p w:rsidR="007F795B" w:rsidRPr="00621992" w:rsidRDefault="007F795B" w:rsidP="007F795B">
            <w:pPr>
              <w:jc w:val="left"/>
              <w:rPr>
                <w:sz w:val="14"/>
                <w:szCs w:val="24"/>
                <w:lang w:val="en-GB"/>
              </w:rPr>
            </w:pPr>
          </w:p>
        </w:tc>
        <w:tc>
          <w:tcPr>
            <w:tcW w:w="8917" w:type="dxa"/>
            <w:noWrap/>
          </w:tcPr>
          <w:p w:rsidR="007F795B" w:rsidRPr="00621992" w:rsidRDefault="007F795B" w:rsidP="007F795B">
            <w:pPr>
              <w:rPr>
                <w:sz w:val="14"/>
                <w:szCs w:val="24"/>
                <w:lang w:val="en-GB"/>
              </w:rPr>
            </w:pPr>
          </w:p>
        </w:tc>
      </w:tr>
      <w:tr w:rsidR="007F795B" w:rsidRPr="00621992" w:rsidTr="007F795B">
        <w:trPr>
          <w:cantSplit/>
        </w:trPr>
        <w:tc>
          <w:tcPr>
            <w:tcW w:w="722" w:type="dxa"/>
            <w:noWrap/>
          </w:tcPr>
          <w:p w:rsidR="007F795B" w:rsidRPr="00B07AD1" w:rsidRDefault="007F795B" w:rsidP="007F795B">
            <w:pPr>
              <w:jc w:val="left"/>
              <w:rPr>
                <w:b/>
                <w:color w:val="006600"/>
                <w:szCs w:val="24"/>
              </w:rPr>
            </w:pPr>
            <w:r w:rsidRPr="00B07AD1">
              <w:rPr>
                <w:b/>
                <w:color w:val="006600"/>
                <w:szCs w:val="24"/>
              </w:rPr>
              <w:t>12.00</w:t>
            </w:r>
          </w:p>
        </w:tc>
        <w:tc>
          <w:tcPr>
            <w:tcW w:w="8917" w:type="dxa"/>
            <w:noWrap/>
          </w:tcPr>
          <w:p w:rsidR="007F795B" w:rsidRPr="00B07AD1" w:rsidRDefault="007F795B" w:rsidP="007F795B">
            <w:pPr>
              <w:jc w:val="left"/>
              <w:rPr>
                <w:color w:val="006600"/>
                <w:szCs w:val="24"/>
              </w:rPr>
            </w:pPr>
            <w:r w:rsidRPr="00B07AD1">
              <w:rPr>
                <w:b/>
                <w:color w:val="006600"/>
                <w:szCs w:val="24"/>
                <w:lang w:val="de-CH"/>
              </w:rPr>
              <w:t>Podiumsdiskussion und Fragen</w:t>
            </w:r>
          </w:p>
        </w:tc>
      </w:tr>
      <w:tr w:rsidR="007F795B" w:rsidRPr="00621992" w:rsidTr="007F795B">
        <w:trPr>
          <w:cantSplit/>
        </w:trPr>
        <w:tc>
          <w:tcPr>
            <w:tcW w:w="722" w:type="dxa"/>
            <w:noWrap/>
          </w:tcPr>
          <w:p w:rsidR="007F795B" w:rsidRPr="00621992" w:rsidRDefault="007F795B" w:rsidP="007F795B">
            <w:pPr>
              <w:jc w:val="left"/>
              <w:rPr>
                <w:sz w:val="14"/>
                <w:szCs w:val="24"/>
                <w:lang w:val="de-CH"/>
              </w:rPr>
            </w:pPr>
          </w:p>
        </w:tc>
        <w:tc>
          <w:tcPr>
            <w:tcW w:w="8917" w:type="dxa"/>
            <w:noWrap/>
          </w:tcPr>
          <w:p w:rsidR="007F795B" w:rsidRPr="00621992" w:rsidRDefault="007F795B" w:rsidP="007F795B">
            <w:pPr>
              <w:jc w:val="left"/>
              <w:rPr>
                <w:sz w:val="14"/>
                <w:szCs w:val="24"/>
                <w:lang w:val="de-CH"/>
              </w:rPr>
            </w:pPr>
          </w:p>
        </w:tc>
      </w:tr>
      <w:tr w:rsidR="007F795B" w:rsidRPr="00621992" w:rsidTr="007F795B">
        <w:trPr>
          <w:cantSplit/>
        </w:trPr>
        <w:tc>
          <w:tcPr>
            <w:tcW w:w="722" w:type="dxa"/>
            <w:noWrap/>
          </w:tcPr>
          <w:p w:rsidR="007F795B" w:rsidRPr="00B07AD1" w:rsidRDefault="007F795B" w:rsidP="007F795B">
            <w:pPr>
              <w:jc w:val="left"/>
              <w:rPr>
                <w:b/>
                <w:color w:val="006600"/>
                <w:sz w:val="16"/>
                <w:szCs w:val="24"/>
              </w:rPr>
            </w:pPr>
            <w:r w:rsidRPr="00B07AD1">
              <w:rPr>
                <w:b/>
                <w:color w:val="006600"/>
                <w:szCs w:val="24"/>
              </w:rPr>
              <w:t>12.25</w:t>
            </w:r>
          </w:p>
        </w:tc>
        <w:tc>
          <w:tcPr>
            <w:tcW w:w="8917" w:type="dxa"/>
            <w:noWrap/>
          </w:tcPr>
          <w:p w:rsidR="007F795B" w:rsidRPr="00B07AD1" w:rsidRDefault="007F795B" w:rsidP="007F795B">
            <w:pPr>
              <w:jc w:val="left"/>
              <w:rPr>
                <w:color w:val="006600"/>
                <w:szCs w:val="24"/>
              </w:rPr>
            </w:pPr>
            <w:r w:rsidRPr="00B07AD1">
              <w:rPr>
                <w:b/>
                <w:color w:val="006600"/>
                <w:szCs w:val="24"/>
                <w:lang w:val="de-CH"/>
              </w:rPr>
              <w:t>Schlußworte</w:t>
            </w:r>
          </w:p>
        </w:tc>
      </w:tr>
      <w:tr w:rsidR="007F795B" w:rsidRPr="00621992" w:rsidTr="007F795B">
        <w:trPr>
          <w:cantSplit/>
        </w:trPr>
        <w:tc>
          <w:tcPr>
            <w:tcW w:w="722" w:type="dxa"/>
            <w:noWrap/>
          </w:tcPr>
          <w:p w:rsidR="007F795B" w:rsidRPr="00621992" w:rsidRDefault="007F795B" w:rsidP="007F795B">
            <w:pPr>
              <w:jc w:val="left"/>
              <w:rPr>
                <w:sz w:val="18"/>
                <w:szCs w:val="24"/>
              </w:rPr>
            </w:pPr>
          </w:p>
        </w:tc>
        <w:tc>
          <w:tcPr>
            <w:tcW w:w="8917" w:type="dxa"/>
            <w:noWrap/>
          </w:tcPr>
          <w:p w:rsidR="007F795B" w:rsidRPr="00621992" w:rsidRDefault="007F795B" w:rsidP="007F795B">
            <w:pPr>
              <w:jc w:val="left"/>
              <w:rPr>
                <w:i/>
                <w:spacing w:val="-2"/>
                <w:sz w:val="18"/>
                <w:szCs w:val="24"/>
              </w:rPr>
            </w:pPr>
            <w:r w:rsidRPr="00621992">
              <w:rPr>
                <w:i/>
                <w:spacing w:val="-2"/>
                <w:sz w:val="18"/>
                <w:szCs w:val="24"/>
                <w:lang w:val="de-CH"/>
              </w:rPr>
              <w:t>Herr Anthony Parker</w:t>
            </w:r>
          </w:p>
          <w:p w:rsidR="007F795B" w:rsidRPr="00621992" w:rsidRDefault="007F795B" w:rsidP="007F795B">
            <w:pPr>
              <w:jc w:val="left"/>
              <w:rPr>
                <w:sz w:val="18"/>
                <w:szCs w:val="24"/>
              </w:rPr>
            </w:pPr>
          </w:p>
        </w:tc>
      </w:tr>
    </w:tbl>
    <w:p w:rsidR="007F795B" w:rsidRPr="00621992" w:rsidRDefault="007F795B" w:rsidP="007F795B">
      <w:pPr>
        <w:rPr>
          <w:sz w:val="12"/>
          <w:szCs w:val="24"/>
        </w:rPr>
      </w:pPr>
    </w:p>
    <w:p w:rsidR="007F795B" w:rsidRPr="00621992" w:rsidRDefault="007F795B" w:rsidP="007F795B">
      <w:pPr>
        <w:jc w:val="right"/>
      </w:pPr>
    </w:p>
    <w:p w:rsidR="007F795B" w:rsidRPr="00621992" w:rsidRDefault="007F795B" w:rsidP="007F795B">
      <w:pPr>
        <w:jc w:val="right"/>
      </w:pPr>
    </w:p>
    <w:p w:rsidR="007F795B" w:rsidRPr="00621992" w:rsidRDefault="007F795B" w:rsidP="007F795B">
      <w:pPr>
        <w:jc w:val="right"/>
      </w:pPr>
    </w:p>
    <w:p w:rsidR="009E3BC8" w:rsidRPr="005C1EBA" w:rsidRDefault="007F795B">
      <w:pPr>
        <w:jc w:val="right"/>
        <w:rPr>
          <w:szCs w:val="24"/>
          <w:lang w:val="de-DE"/>
        </w:rPr>
      </w:pPr>
      <w:r w:rsidRPr="007F795B">
        <w:rPr>
          <w:lang w:val="de-CH"/>
        </w:rPr>
        <w:t>[Ende der Anlage und des Dokuments]</w:t>
      </w:r>
    </w:p>
    <w:sectPr w:rsidR="009E3BC8" w:rsidRPr="005C1EBA">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C8" w:rsidRDefault="009E3BC8">
      <w:pPr>
        <w:rPr>
          <w:szCs w:val="24"/>
        </w:rPr>
      </w:pPr>
      <w:r>
        <w:rPr>
          <w:szCs w:val="24"/>
        </w:rPr>
        <w:separator/>
      </w:r>
    </w:p>
    <w:p w:rsidR="009E3BC8" w:rsidRDefault="009E3BC8">
      <w:pPr>
        <w:rPr>
          <w:szCs w:val="24"/>
        </w:rPr>
      </w:pPr>
    </w:p>
    <w:p w:rsidR="009E3BC8" w:rsidRDefault="009E3BC8">
      <w:pPr>
        <w:rPr>
          <w:szCs w:val="24"/>
        </w:rPr>
      </w:pPr>
    </w:p>
  </w:endnote>
  <w:endnote w:type="continuationSeparator" w:id="0">
    <w:p w:rsidR="009E3BC8" w:rsidRDefault="009E3BC8">
      <w:pPr>
        <w:rPr>
          <w:szCs w:val="24"/>
        </w:rPr>
      </w:pPr>
      <w:r>
        <w:rPr>
          <w:szCs w:val="24"/>
        </w:rPr>
        <w:separator/>
      </w:r>
    </w:p>
    <w:p w:rsidR="009E3BC8" w:rsidRDefault="009E3BC8">
      <w:pPr>
        <w:pStyle w:val="Footer"/>
        <w:spacing w:after="60"/>
        <w:rPr>
          <w:sz w:val="18"/>
          <w:szCs w:val="24"/>
          <w:lang w:val="fr-FR"/>
        </w:rPr>
      </w:pPr>
      <w:r>
        <w:rPr>
          <w:noProof/>
          <w:sz w:val="18"/>
          <w:szCs w:val="24"/>
          <w:lang w:val="fr-FR"/>
        </w:rPr>
        <w:t>[Suite de la note de la page précédente]</w:t>
      </w:r>
    </w:p>
    <w:p w:rsidR="009E3BC8" w:rsidRDefault="009E3BC8">
      <w:pPr>
        <w:rPr>
          <w:szCs w:val="24"/>
          <w:lang w:val="fr-FR"/>
        </w:rPr>
      </w:pPr>
    </w:p>
    <w:p w:rsidR="009E3BC8" w:rsidRDefault="009E3BC8">
      <w:pPr>
        <w:rPr>
          <w:szCs w:val="24"/>
          <w:lang w:val="fr-FR"/>
        </w:rPr>
      </w:pPr>
    </w:p>
  </w:endnote>
  <w:endnote w:type="continuationNotice" w:id="1">
    <w:p w:rsidR="009E3BC8" w:rsidRDefault="009E3BC8">
      <w:pPr>
        <w:rPr>
          <w:szCs w:val="24"/>
          <w:lang w:val="fr-FR"/>
        </w:rPr>
      </w:pPr>
      <w:r>
        <w:rPr>
          <w:noProof/>
          <w:szCs w:val="24"/>
          <w:lang w:val="fr-FR"/>
        </w:rPr>
        <w:t>[Suite de la note page suivante]</w:t>
      </w:r>
    </w:p>
    <w:p w:rsidR="009E3BC8" w:rsidRDefault="009E3BC8">
      <w:pPr>
        <w:rPr>
          <w:szCs w:val="24"/>
          <w:lang w:val="fr-FR"/>
        </w:rPr>
      </w:pPr>
    </w:p>
    <w:p w:rsidR="009E3BC8" w:rsidRDefault="009E3BC8">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C8" w:rsidRDefault="009E3BC8">
      <w:pPr>
        <w:rPr>
          <w:szCs w:val="24"/>
        </w:rPr>
      </w:pPr>
      <w:r>
        <w:rPr>
          <w:szCs w:val="24"/>
        </w:rPr>
        <w:separator/>
      </w:r>
    </w:p>
  </w:footnote>
  <w:footnote w:type="continuationSeparator" w:id="0">
    <w:p w:rsidR="009E3BC8" w:rsidRDefault="009E3BC8">
      <w:pPr>
        <w:rPr>
          <w:szCs w:val="24"/>
        </w:rPr>
      </w:pPr>
      <w:r>
        <w:rPr>
          <w:szCs w:val="24"/>
        </w:rPr>
        <w:separator/>
      </w:r>
    </w:p>
  </w:footnote>
  <w:footnote w:type="continuationNotice" w:id="1">
    <w:p w:rsidR="009E3BC8" w:rsidRDefault="009E3BC8">
      <w:pPr>
        <w:pStyle w:val="Footer"/>
        <w:rPr>
          <w:szCs w:val="24"/>
        </w:rPr>
      </w:pPr>
    </w:p>
  </w:footnote>
  <w:footnote w:id="2">
    <w:p w:rsidR="00A815B6" w:rsidRPr="00A815B6" w:rsidRDefault="00A815B6">
      <w:pPr>
        <w:pStyle w:val="FootnoteText"/>
        <w:rPr>
          <w:lang w:val="de-CH"/>
        </w:rPr>
      </w:pPr>
      <w:r>
        <w:rPr>
          <w:rStyle w:val="FootnoteReference"/>
        </w:rPr>
        <w:footnoteRef/>
      </w:r>
      <w:r w:rsidRPr="00A815B6">
        <w:rPr>
          <w:lang w:val="de-CH"/>
        </w:rPr>
        <w:t xml:space="preserve"> </w:t>
      </w:r>
      <w:r w:rsidRPr="00A815B6">
        <w:rPr>
          <w:lang w:val="de-CH"/>
        </w:rPr>
        <w:tab/>
        <w:t>Abgehalten am 31. Oktober 2018 in Genf.</w:t>
      </w:r>
    </w:p>
  </w:footnote>
  <w:footnote w:id="3">
    <w:p w:rsidR="00A815B6" w:rsidRPr="00A815B6" w:rsidRDefault="00A815B6">
      <w:pPr>
        <w:pStyle w:val="FootnoteText"/>
        <w:rPr>
          <w:lang w:val="de-CH"/>
        </w:rPr>
      </w:pPr>
      <w:r>
        <w:rPr>
          <w:rStyle w:val="FootnoteReference"/>
        </w:rPr>
        <w:footnoteRef/>
      </w:r>
      <w:r w:rsidRPr="00A815B6">
        <w:rPr>
          <w:lang w:val="de-CH"/>
        </w:rPr>
        <w:t xml:space="preserve"> </w:t>
      </w:r>
      <w:r w:rsidRPr="00A815B6">
        <w:rPr>
          <w:lang w:val="de-CH"/>
        </w:rPr>
        <w:tab/>
        <w:t>Abgehalten am 2. November 2018 in Genf.</w:t>
      </w:r>
    </w:p>
  </w:footnote>
  <w:footnote w:id="4">
    <w:p w:rsidR="00A815B6" w:rsidRPr="00A815B6" w:rsidRDefault="00A815B6">
      <w:pPr>
        <w:pStyle w:val="FootnoteText"/>
        <w:rPr>
          <w:lang w:val="de-CH"/>
        </w:rPr>
      </w:pPr>
      <w:r>
        <w:rPr>
          <w:rStyle w:val="FootnoteReference"/>
        </w:rPr>
        <w:footnoteRef/>
      </w:r>
      <w:r w:rsidRPr="00A815B6">
        <w:rPr>
          <w:lang w:val="de-CH"/>
        </w:rPr>
        <w:t xml:space="preserve"> </w:t>
      </w:r>
      <w:r w:rsidRPr="00A815B6">
        <w:rPr>
          <w:lang w:val="de-CH"/>
        </w:rPr>
        <w:tab/>
        <w:t>Tagung vom 30. Oktober 2019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C8" w:rsidRDefault="009E3BC8">
    <w:pPr>
      <w:pStyle w:val="Header"/>
      <w:rPr>
        <w:rStyle w:val="PageNumber"/>
        <w:szCs w:val="24"/>
        <w:lang w:val="en-US"/>
      </w:rPr>
    </w:pPr>
    <w:r>
      <w:rPr>
        <w:rStyle w:val="PageNumber"/>
        <w:noProof/>
        <w:szCs w:val="24"/>
        <w:lang w:val="en-US"/>
      </w:rPr>
      <w:t>CAJ/76/3</w:t>
    </w:r>
  </w:p>
  <w:p w:rsidR="009E3BC8" w:rsidRDefault="009E3BC8">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164814">
      <w:rPr>
        <w:rStyle w:val="PageNumber"/>
        <w:noProof/>
        <w:szCs w:val="24"/>
        <w:lang w:val="en-US"/>
      </w:rPr>
      <w:t>2</w:t>
    </w:r>
    <w:r>
      <w:rPr>
        <w:rStyle w:val="PageNumber"/>
        <w:szCs w:val="24"/>
        <w:lang w:val="en-US"/>
      </w:rPr>
      <w:fldChar w:fldCharType="end"/>
    </w:r>
  </w:p>
  <w:p w:rsidR="009E3BC8" w:rsidRDefault="009E3BC8">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C8" w:rsidRDefault="009E3BC8">
    <w:pPr>
      <w:pStyle w:val="Header"/>
      <w:rPr>
        <w:rStyle w:val="PageNumber"/>
        <w:szCs w:val="24"/>
        <w:lang w:val="en-US"/>
      </w:rPr>
    </w:pPr>
    <w:r>
      <w:rPr>
        <w:rStyle w:val="PageNumber"/>
        <w:noProof/>
        <w:szCs w:val="24"/>
        <w:lang w:val="en-US"/>
      </w:rPr>
      <w:t>CAJ/76/3</w:t>
    </w:r>
  </w:p>
  <w:p w:rsidR="009E3BC8" w:rsidRDefault="00B07AD1">
    <w:pPr>
      <w:pStyle w:val="Header"/>
      <w:rPr>
        <w:szCs w:val="24"/>
        <w:lang w:val="en-US"/>
      </w:rPr>
    </w:pPr>
    <w:r>
      <w:rPr>
        <w:rStyle w:val="PageNumber"/>
        <w:szCs w:val="24"/>
        <w:lang w:val="en-US"/>
      </w:rPr>
      <w:t>Anlage</w:t>
    </w:r>
    <w:r w:rsidR="009E3BC8">
      <w:rPr>
        <w:rStyle w:val="PageNumber"/>
        <w:szCs w:val="24"/>
        <w:lang w:val="en-US"/>
      </w:rPr>
      <w:t xml:space="preserve">, </w:t>
    </w:r>
    <w:proofErr w:type="spellStart"/>
    <w:r>
      <w:rPr>
        <w:szCs w:val="24"/>
        <w:lang w:val="en-US"/>
      </w:rPr>
      <w:t>Seite</w:t>
    </w:r>
    <w:proofErr w:type="spellEnd"/>
    <w:r w:rsidR="009E3BC8">
      <w:rPr>
        <w:szCs w:val="24"/>
        <w:lang w:val="en-US"/>
      </w:rPr>
      <w:t xml:space="preserve"> </w:t>
    </w:r>
    <w:r w:rsidR="009E3BC8">
      <w:rPr>
        <w:rStyle w:val="PageNumber"/>
        <w:szCs w:val="24"/>
        <w:lang w:val="en-US"/>
      </w:rPr>
      <w:fldChar w:fldCharType="begin"/>
    </w:r>
    <w:r w:rsidR="009E3BC8">
      <w:rPr>
        <w:rStyle w:val="PageNumber"/>
        <w:szCs w:val="24"/>
        <w:lang w:val="en-US"/>
      </w:rPr>
      <w:instrText xml:space="preserve"> PAGE </w:instrText>
    </w:r>
    <w:r w:rsidR="009E3BC8">
      <w:rPr>
        <w:rStyle w:val="PageNumber"/>
        <w:szCs w:val="24"/>
        <w:lang w:val="en-US"/>
      </w:rPr>
      <w:fldChar w:fldCharType="separate"/>
    </w:r>
    <w:r w:rsidR="00E93D72">
      <w:rPr>
        <w:rStyle w:val="PageNumber"/>
        <w:noProof/>
        <w:szCs w:val="24"/>
        <w:lang w:val="en-US"/>
      </w:rPr>
      <w:t>2</w:t>
    </w:r>
    <w:r w:rsidR="009E3BC8">
      <w:rPr>
        <w:rStyle w:val="PageNumber"/>
        <w:szCs w:val="24"/>
        <w:lang w:val="en-US"/>
      </w:rPr>
      <w:fldChar w:fldCharType="end"/>
    </w:r>
  </w:p>
  <w:p w:rsidR="009E3BC8" w:rsidRDefault="009E3BC8">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C8" w:rsidRDefault="009E3BC8">
    <w:pPr>
      <w:pStyle w:val="Header"/>
      <w:rPr>
        <w:szCs w:val="24"/>
        <w:lang w:val="en-US"/>
      </w:rPr>
    </w:pPr>
    <w:r>
      <w:rPr>
        <w:noProof/>
        <w:szCs w:val="24"/>
        <w:lang w:val="en-US"/>
      </w:rPr>
      <w:t>CAJ/76/3</w:t>
    </w:r>
  </w:p>
  <w:p w:rsidR="009E3BC8" w:rsidRDefault="009E3BC8">
    <w:pPr>
      <w:pStyle w:val="Header"/>
      <w:rPr>
        <w:szCs w:val="24"/>
        <w:lang w:val="en-US"/>
      </w:rPr>
    </w:pPr>
  </w:p>
  <w:p w:rsidR="009E3BC8" w:rsidRDefault="009E3BC8">
    <w:pPr>
      <w:pStyle w:val="Header"/>
      <w:rPr>
        <w:szCs w:val="24"/>
        <w:lang w:val="en-US"/>
      </w:rPr>
    </w:pPr>
    <w:r>
      <w:rPr>
        <w:noProof/>
        <w:szCs w:val="24"/>
        <w:lang w:val="en-US"/>
      </w:rPr>
      <w:t>ANLAGE</w:t>
    </w:r>
  </w:p>
  <w:p w:rsidR="009E3BC8" w:rsidRDefault="009E3BC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EF5"/>
    <w:multiLevelType w:val="hybridMultilevel"/>
    <w:tmpl w:val="B7746FBE"/>
    <w:lvl w:ilvl="0" w:tplc="5792DE9A">
      <w:start w:val="1"/>
      <w:numFmt w:val="lowerLetter"/>
      <w:lvlText w:val="%1)"/>
      <w:lvlJc w:val="left"/>
      <w:pPr>
        <w:tabs>
          <w:tab w:val="num" w:pos="0"/>
        </w:tabs>
        <w:ind w:left="1134" w:hanging="774"/>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80ADE"/>
    <w:multiLevelType w:val="multilevel"/>
    <w:tmpl w:val="AA8A1B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0C63AD"/>
    <w:multiLevelType w:val="hybridMultilevel"/>
    <w:tmpl w:val="6428CA26"/>
    <w:lvl w:ilvl="0" w:tplc="46DE00EE">
      <w:start w:val="1"/>
      <w:numFmt w:val="lowerLetter"/>
      <w:lvlText w:val="%1)"/>
      <w:lvlJc w:val="left"/>
      <w:pPr>
        <w:tabs>
          <w:tab w:val="num" w:pos="0"/>
        </w:tabs>
        <w:ind w:left="907" w:hanging="547"/>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B90CEC"/>
    <w:multiLevelType w:val="hybridMultilevel"/>
    <w:tmpl w:val="AF3C35B2"/>
    <w:lvl w:ilvl="0" w:tplc="6EC05394">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56B26A1"/>
    <w:multiLevelType w:val="hybridMultilevel"/>
    <w:tmpl w:val="4B10213C"/>
    <w:lvl w:ilvl="0" w:tplc="E75C38FA">
      <w:start w:val="1"/>
      <w:numFmt w:val="lowerLetter"/>
      <w:lvlText w:val="%1)"/>
      <w:lvlJc w:val="left"/>
      <w:pPr>
        <w:tabs>
          <w:tab w:val="num" w:pos="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BD71B61"/>
    <w:multiLevelType w:val="hybridMultilevel"/>
    <w:tmpl w:val="AE928E16"/>
    <w:lvl w:ilvl="0" w:tplc="0E9250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B7834DF"/>
    <w:multiLevelType w:val="hybridMultilevel"/>
    <w:tmpl w:val="139CC960"/>
    <w:lvl w:ilvl="0" w:tplc="E75C38FA">
      <w:start w:val="1"/>
      <w:numFmt w:val="lowerLetter"/>
      <w:lvlText w:val="%1)"/>
      <w:lvlJc w:val="left"/>
      <w:pPr>
        <w:tabs>
          <w:tab w:val="num" w:pos="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137E56"/>
    <w:multiLevelType w:val="multilevel"/>
    <w:tmpl w:val="4B10213C"/>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E33CB8"/>
    <w:multiLevelType w:val="hybridMultilevel"/>
    <w:tmpl w:val="786AFC40"/>
    <w:lvl w:ilvl="0" w:tplc="83D892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2E05"/>
    <w:multiLevelType w:val="multilevel"/>
    <w:tmpl w:val="139CC960"/>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65681B7B"/>
    <w:multiLevelType w:val="hybridMultilevel"/>
    <w:tmpl w:val="56B60C34"/>
    <w:lvl w:ilvl="0" w:tplc="12CEBAB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5877F39"/>
    <w:multiLevelType w:val="multilevel"/>
    <w:tmpl w:val="B7746FBE"/>
    <w:lvl w:ilvl="0">
      <w:start w:val="1"/>
      <w:numFmt w:val="lowerLetter"/>
      <w:lvlText w:val="%1)"/>
      <w:lvlJc w:val="left"/>
      <w:pPr>
        <w:tabs>
          <w:tab w:val="num" w:pos="0"/>
        </w:tabs>
        <w:ind w:left="1134" w:hanging="774"/>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10"/>
  </w:num>
  <w:num w:numId="4">
    <w:abstractNumId w:val="5"/>
  </w:num>
  <w:num w:numId="5">
    <w:abstractNumId w:val="3"/>
  </w:num>
  <w:num w:numId="6">
    <w:abstractNumId w:val="1"/>
  </w:num>
  <w:num w:numId="7">
    <w:abstractNumId w:val="9"/>
  </w:num>
  <w:num w:numId="8">
    <w:abstractNumId w:val="4"/>
  </w:num>
  <w:num w:numId="9">
    <w:abstractNumId w:val="7"/>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6028"/>
    <w:rsid w:val="00044642"/>
    <w:rsid w:val="000446B9"/>
    <w:rsid w:val="00047E21"/>
    <w:rsid w:val="00050E16"/>
    <w:rsid w:val="00085505"/>
    <w:rsid w:val="000857C9"/>
    <w:rsid w:val="000C4E25"/>
    <w:rsid w:val="000C7021"/>
    <w:rsid w:val="000D6BBC"/>
    <w:rsid w:val="000D7780"/>
    <w:rsid w:val="000E636A"/>
    <w:rsid w:val="000F2F11"/>
    <w:rsid w:val="0010281B"/>
    <w:rsid w:val="00105929"/>
    <w:rsid w:val="00110BED"/>
    <w:rsid w:val="00110C36"/>
    <w:rsid w:val="001131D5"/>
    <w:rsid w:val="00141DB8"/>
    <w:rsid w:val="00162185"/>
    <w:rsid w:val="00164814"/>
    <w:rsid w:val="00172084"/>
    <w:rsid w:val="0017474A"/>
    <w:rsid w:val="001758C6"/>
    <w:rsid w:val="00182B99"/>
    <w:rsid w:val="001C1525"/>
    <w:rsid w:val="001D30C2"/>
    <w:rsid w:val="001F2922"/>
    <w:rsid w:val="00212555"/>
    <w:rsid w:val="0021332C"/>
    <w:rsid w:val="00213982"/>
    <w:rsid w:val="0024416D"/>
    <w:rsid w:val="00264BEF"/>
    <w:rsid w:val="00271911"/>
    <w:rsid w:val="00272741"/>
    <w:rsid w:val="002800A0"/>
    <w:rsid w:val="002801B3"/>
    <w:rsid w:val="00281060"/>
    <w:rsid w:val="00284BA4"/>
    <w:rsid w:val="002940E8"/>
    <w:rsid w:val="00294751"/>
    <w:rsid w:val="002A6E50"/>
    <w:rsid w:val="002B4298"/>
    <w:rsid w:val="002B7A36"/>
    <w:rsid w:val="002C256A"/>
    <w:rsid w:val="002E603E"/>
    <w:rsid w:val="002E75E1"/>
    <w:rsid w:val="00305A7F"/>
    <w:rsid w:val="00311595"/>
    <w:rsid w:val="003152FE"/>
    <w:rsid w:val="00321EA6"/>
    <w:rsid w:val="00327436"/>
    <w:rsid w:val="00344BD6"/>
    <w:rsid w:val="003539A2"/>
    <w:rsid w:val="0035528D"/>
    <w:rsid w:val="00361821"/>
    <w:rsid w:val="00361E9E"/>
    <w:rsid w:val="00365DC1"/>
    <w:rsid w:val="00387E9E"/>
    <w:rsid w:val="003C7FBE"/>
    <w:rsid w:val="003D227C"/>
    <w:rsid w:val="003D2B4D"/>
    <w:rsid w:val="003F3485"/>
    <w:rsid w:val="00444A88"/>
    <w:rsid w:val="004705F9"/>
    <w:rsid w:val="00474DA4"/>
    <w:rsid w:val="00476B4D"/>
    <w:rsid w:val="004805FA"/>
    <w:rsid w:val="00482CF4"/>
    <w:rsid w:val="004935D2"/>
    <w:rsid w:val="004A55FB"/>
    <w:rsid w:val="004B1215"/>
    <w:rsid w:val="004C02D2"/>
    <w:rsid w:val="004C1CD0"/>
    <w:rsid w:val="004D047D"/>
    <w:rsid w:val="004D0FC7"/>
    <w:rsid w:val="004E4103"/>
    <w:rsid w:val="004F1E9E"/>
    <w:rsid w:val="004F305A"/>
    <w:rsid w:val="00512164"/>
    <w:rsid w:val="00520297"/>
    <w:rsid w:val="005338F9"/>
    <w:rsid w:val="0054281C"/>
    <w:rsid w:val="00544581"/>
    <w:rsid w:val="0055268D"/>
    <w:rsid w:val="005638F9"/>
    <w:rsid w:val="0056504E"/>
    <w:rsid w:val="00576BE4"/>
    <w:rsid w:val="005779DB"/>
    <w:rsid w:val="005921B0"/>
    <w:rsid w:val="005A400A"/>
    <w:rsid w:val="005C1EBA"/>
    <w:rsid w:val="005F7B92"/>
    <w:rsid w:val="00600A9C"/>
    <w:rsid w:val="00612379"/>
    <w:rsid w:val="006153B6"/>
    <w:rsid w:val="0061555F"/>
    <w:rsid w:val="00636CA6"/>
    <w:rsid w:val="00641200"/>
    <w:rsid w:val="00645CA8"/>
    <w:rsid w:val="006655D3"/>
    <w:rsid w:val="00667404"/>
    <w:rsid w:val="006816C0"/>
    <w:rsid w:val="00687EB4"/>
    <w:rsid w:val="00695C56"/>
    <w:rsid w:val="006A5CDE"/>
    <w:rsid w:val="006A644A"/>
    <w:rsid w:val="006B17D2"/>
    <w:rsid w:val="006C224E"/>
    <w:rsid w:val="006C79BF"/>
    <w:rsid w:val="006D224A"/>
    <w:rsid w:val="006D780A"/>
    <w:rsid w:val="007040FB"/>
    <w:rsid w:val="0070548A"/>
    <w:rsid w:val="0071271E"/>
    <w:rsid w:val="007324BB"/>
    <w:rsid w:val="00732DEC"/>
    <w:rsid w:val="00735BD5"/>
    <w:rsid w:val="007451EC"/>
    <w:rsid w:val="00751613"/>
    <w:rsid w:val="00753EE9"/>
    <w:rsid w:val="007556F6"/>
    <w:rsid w:val="00760EEF"/>
    <w:rsid w:val="00761618"/>
    <w:rsid w:val="00767E42"/>
    <w:rsid w:val="00777EE5"/>
    <w:rsid w:val="00784836"/>
    <w:rsid w:val="0079023E"/>
    <w:rsid w:val="007A2854"/>
    <w:rsid w:val="007A4B07"/>
    <w:rsid w:val="007A6080"/>
    <w:rsid w:val="007B4B4C"/>
    <w:rsid w:val="007B59E8"/>
    <w:rsid w:val="007C1D92"/>
    <w:rsid w:val="007C4CB9"/>
    <w:rsid w:val="007C76BA"/>
    <w:rsid w:val="007D0B9D"/>
    <w:rsid w:val="007D19B0"/>
    <w:rsid w:val="007D299D"/>
    <w:rsid w:val="007E408F"/>
    <w:rsid w:val="007F498F"/>
    <w:rsid w:val="007F795B"/>
    <w:rsid w:val="0080591C"/>
    <w:rsid w:val="0080679D"/>
    <w:rsid w:val="008108B0"/>
    <w:rsid w:val="00811B20"/>
    <w:rsid w:val="00812609"/>
    <w:rsid w:val="00815738"/>
    <w:rsid w:val="008211B5"/>
    <w:rsid w:val="0082296E"/>
    <w:rsid w:val="00822A0B"/>
    <w:rsid w:val="00824099"/>
    <w:rsid w:val="00836C25"/>
    <w:rsid w:val="00846D7C"/>
    <w:rsid w:val="00853B29"/>
    <w:rsid w:val="00867AC1"/>
    <w:rsid w:val="00890DF8"/>
    <w:rsid w:val="008A743F"/>
    <w:rsid w:val="008C0970"/>
    <w:rsid w:val="008D0BC5"/>
    <w:rsid w:val="008D2430"/>
    <w:rsid w:val="008D2CF7"/>
    <w:rsid w:val="008E6B2B"/>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C04C8"/>
    <w:rsid w:val="009D1F38"/>
    <w:rsid w:val="009D30E9"/>
    <w:rsid w:val="009D690D"/>
    <w:rsid w:val="009E3BC8"/>
    <w:rsid w:val="009E65B6"/>
    <w:rsid w:val="009F77CF"/>
    <w:rsid w:val="00A15F46"/>
    <w:rsid w:val="00A16DE7"/>
    <w:rsid w:val="00A24C10"/>
    <w:rsid w:val="00A30861"/>
    <w:rsid w:val="00A33B9D"/>
    <w:rsid w:val="00A42AC3"/>
    <w:rsid w:val="00A430CF"/>
    <w:rsid w:val="00A54309"/>
    <w:rsid w:val="00A710E1"/>
    <w:rsid w:val="00A80F2A"/>
    <w:rsid w:val="00A815B6"/>
    <w:rsid w:val="00A93E7A"/>
    <w:rsid w:val="00AB2B93"/>
    <w:rsid w:val="00AB530F"/>
    <w:rsid w:val="00AB7E5B"/>
    <w:rsid w:val="00AC2883"/>
    <w:rsid w:val="00AC7526"/>
    <w:rsid w:val="00AD316B"/>
    <w:rsid w:val="00AD6D1D"/>
    <w:rsid w:val="00AE0EF1"/>
    <w:rsid w:val="00AE2937"/>
    <w:rsid w:val="00AE4F63"/>
    <w:rsid w:val="00AE5E05"/>
    <w:rsid w:val="00B07301"/>
    <w:rsid w:val="00B07AD1"/>
    <w:rsid w:val="00B11F3E"/>
    <w:rsid w:val="00B224DE"/>
    <w:rsid w:val="00B324D4"/>
    <w:rsid w:val="00B46575"/>
    <w:rsid w:val="00B53A97"/>
    <w:rsid w:val="00B61777"/>
    <w:rsid w:val="00B622E6"/>
    <w:rsid w:val="00B63262"/>
    <w:rsid w:val="00B7138F"/>
    <w:rsid w:val="00B746A5"/>
    <w:rsid w:val="00B82A55"/>
    <w:rsid w:val="00B84BBD"/>
    <w:rsid w:val="00BA43FB"/>
    <w:rsid w:val="00BC127D"/>
    <w:rsid w:val="00BC1FE6"/>
    <w:rsid w:val="00BF010E"/>
    <w:rsid w:val="00C061B6"/>
    <w:rsid w:val="00C14355"/>
    <w:rsid w:val="00C229C4"/>
    <w:rsid w:val="00C2446C"/>
    <w:rsid w:val="00C27305"/>
    <w:rsid w:val="00C36AE5"/>
    <w:rsid w:val="00C41F17"/>
    <w:rsid w:val="00C527FA"/>
    <w:rsid w:val="00C5280D"/>
    <w:rsid w:val="00C53EB3"/>
    <w:rsid w:val="00C5791C"/>
    <w:rsid w:val="00C66290"/>
    <w:rsid w:val="00C72B7A"/>
    <w:rsid w:val="00C73C6D"/>
    <w:rsid w:val="00C973F2"/>
    <w:rsid w:val="00CA304C"/>
    <w:rsid w:val="00CA61EA"/>
    <w:rsid w:val="00CA774A"/>
    <w:rsid w:val="00CB2272"/>
    <w:rsid w:val="00CC11B0"/>
    <w:rsid w:val="00CC2841"/>
    <w:rsid w:val="00CC31DE"/>
    <w:rsid w:val="00CF1330"/>
    <w:rsid w:val="00CF1E57"/>
    <w:rsid w:val="00CF7DE5"/>
    <w:rsid w:val="00CF7E36"/>
    <w:rsid w:val="00D100ED"/>
    <w:rsid w:val="00D1102A"/>
    <w:rsid w:val="00D145B2"/>
    <w:rsid w:val="00D3708D"/>
    <w:rsid w:val="00D40426"/>
    <w:rsid w:val="00D45D03"/>
    <w:rsid w:val="00D560FA"/>
    <w:rsid w:val="00D57C96"/>
    <w:rsid w:val="00D57D18"/>
    <w:rsid w:val="00D76A2D"/>
    <w:rsid w:val="00D91203"/>
    <w:rsid w:val="00D95174"/>
    <w:rsid w:val="00DA4973"/>
    <w:rsid w:val="00DA6F36"/>
    <w:rsid w:val="00DB51B4"/>
    <w:rsid w:val="00DB596E"/>
    <w:rsid w:val="00DB7773"/>
    <w:rsid w:val="00DC00EA"/>
    <w:rsid w:val="00DC3802"/>
    <w:rsid w:val="00DD212F"/>
    <w:rsid w:val="00E07D87"/>
    <w:rsid w:val="00E249C8"/>
    <w:rsid w:val="00E32F7E"/>
    <w:rsid w:val="00E36C91"/>
    <w:rsid w:val="00E5267B"/>
    <w:rsid w:val="00E63C0E"/>
    <w:rsid w:val="00E72D49"/>
    <w:rsid w:val="00E7593C"/>
    <w:rsid w:val="00E7678A"/>
    <w:rsid w:val="00E843F0"/>
    <w:rsid w:val="00E85C19"/>
    <w:rsid w:val="00E935F1"/>
    <w:rsid w:val="00E93D72"/>
    <w:rsid w:val="00E94A81"/>
    <w:rsid w:val="00EA1FFB"/>
    <w:rsid w:val="00EA5810"/>
    <w:rsid w:val="00EB048E"/>
    <w:rsid w:val="00EB4E9C"/>
    <w:rsid w:val="00ED4EA4"/>
    <w:rsid w:val="00EE34DF"/>
    <w:rsid w:val="00EF2F89"/>
    <w:rsid w:val="00EF6650"/>
    <w:rsid w:val="00EF7FB8"/>
    <w:rsid w:val="00F03E98"/>
    <w:rsid w:val="00F1237A"/>
    <w:rsid w:val="00F2257D"/>
    <w:rsid w:val="00F22CBD"/>
    <w:rsid w:val="00F2493D"/>
    <w:rsid w:val="00F272F1"/>
    <w:rsid w:val="00F31412"/>
    <w:rsid w:val="00F41032"/>
    <w:rsid w:val="00F45372"/>
    <w:rsid w:val="00F560F7"/>
    <w:rsid w:val="00F570BD"/>
    <w:rsid w:val="00F6334D"/>
    <w:rsid w:val="00F63599"/>
    <w:rsid w:val="00F6423F"/>
    <w:rsid w:val="00FA49AB"/>
    <w:rsid w:val="00FE2339"/>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446"/>
  <w15:chartTrackingRefBased/>
  <w15:docId w15:val="{D64C8D1E-D6C2-4714-BE11-36E2C33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head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1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C73C6D"/>
    <w:pPr>
      <w:tabs>
        <w:tab w:val="right" w:leader="dot" w:pos="9639"/>
      </w:tabs>
      <w:spacing w:after="120"/>
      <w:ind w:left="432" w:right="562"/>
      <w:jc w:val="left"/>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F2493D"/>
    <w:pPr>
      <w:tabs>
        <w:tab w:val="right" w:leader="dot" w:pos="9639"/>
      </w:tabs>
      <w:spacing w:after="120"/>
      <w:ind w:right="284"/>
      <w:jc w:val="left"/>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DecisionParagraphsChar">
    <w:name w:val="DecisionParagraphs Char"/>
    <w:basedOn w:val="DefaultParagraphFont"/>
    <w:locked/>
    <w:rPr>
      <w:rFonts w:ascii="Arial" w:hAnsi="Arial" w:cs="Times New Roman"/>
      <w:i/>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Heading1Char">
    <w:name w:val="Heading 1 Char"/>
    <w:basedOn w:val="DefaultParagraphFont"/>
    <w:locked/>
    <w:rPr>
      <w:rFonts w:ascii="Arial" w:hAnsi="Arial" w:cs="Times New Roman"/>
      <w:caps/>
      <w:lang w:val="en-US" w:bidi="ar-SA"/>
    </w:rPr>
  </w:style>
  <w:style w:type="paragraph" w:styleId="ListParagraph">
    <w:name w:val="List Paragraph"/>
    <w:basedOn w:val="Normal"/>
    <w:qFormat/>
    <w:pPr>
      <w:ind w:left="720"/>
      <w:contextualSpacing/>
    </w:pPr>
  </w:style>
  <w:style w:type="character" w:customStyle="1" w:styleId="HeaderChar">
    <w:name w:val="Header Char"/>
    <w:basedOn w:val="DefaultParagraphFont"/>
    <w:locked/>
    <w:rPr>
      <w:rFonts w:ascii="Arial" w:hAnsi="Arial" w:cs="Times New Roman"/>
      <w:lang w:val="fr-FR"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etails.jsp?meeting_id=2978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expndocs/de/upov_exn_edv.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de/details.jsp?meeting_id=5078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caj_76_EN.dotx</Template>
  <TotalTime>30</TotalTime>
  <Pages>6</Pages>
  <Words>2105</Words>
  <Characters>15101</Characters>
  <Application>Microsoft Office Word</Application>
  <DocSecurity>0</DocSecurity>
  <Lines>125</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CAJ/76/3</vt:lpstr>
      <vt:lpstr>CAJ/76/3</vt:lpstr>
    </vt:vector>
  </TitlesOfParts>
  <Company>UPOV</Company>
  <LinksUpToDate>false</LinksUpToDate>
  <CharactersWithSpaces>17172</CharactersWithSpaces>
  <SharedDoc>false</SharedDoc>
  <HLinks>
    <vt:vector size="54" baseType="variant">
      <vt:variant>
        <vt:i4>4063282</vt:i4>
      </vt:variant>
      <vt:variant>
        <vt:i4>91</vt:i4>
      </vt:variant>
      <vt:variant>
        <vt:i4>0</vt:i4>
      </vt:variant>
      <vt:variant>
        <vt:i4>5</vt:i4>
      </vt:variant>
      <vt:variant>
        <vt:lpwstr>https://www.upov.int/edocs/expndocs/de/upov_exn_edv.pdf</vt:lpwstr>
      </vt:variant>
      <vt:variant>
        <vt:lpwstr/>
      </vt:variant>
      <vt:variant>
        <vt:i4>6160447</vt:i4>
      </vt:variant>
      <vt:variant>
        <vt:i4>70</vt:i4>
      </vt:variant>
      <vt:variant>
        <vt:i4>0</vt:i4>
      </vt:variant>
      <vt:variant>
        <vt:i4>5</vt:i4>
      </vt:variant>
      <vt:variant>
        <vt:lpwstr>https://www.upov.int/meetings/en/details.jsp?meeting_id=50787</vt:lpwstr>
      </vt:variant>
      <vt:variant>
        <vt:lpwstr/>
      </vt:variant>
      <vt:variant>
        <vt:i4>5701688</vt:i4>
      </vt:variant>
      <vt:variant>
        <vt:i4>59</vt:i4>
      </vt:variant>
      <vt:variant>
        <vt:i4>0</vt:i4>
      </vt:variant>
      <vt:variant>
        <vt:i4>5</vt:i4>
      </vt:variant>
      <vt:variant>
        <vt:lpwstr>https://www.upov.int/meetings/en/details.jsp?meeting_id=29782</vt:lpwstr>
      </vt:variant>
      <vt:variant>
        <vt:lpwstr/>
      </vt:variant>
      <vt:variant>
        <vt:i4>2031668</vt:i4>
      </vt:variant>
      <vt:variant>
        <vt:i4>38</vt:i4>
      </vt:variant>
      <vt:variant>
        <vt:i4>0</vt:i4>
      </vt:variant>
      <vt:variant>
        <vt:i4>5</vt:i4>
      </vt:variant>
      <vt:variant>
        <vt:lpwstr/>
      </vt:variant>
      <vt:variant>
        <vt:lpwstr>_Toc15402439</vt:lpwstr>
      </vt:variant>
      <vt:variant>
        <vt:i4>1966132</vt:i4>
      </vt:variant>
      <vt:variant>
        <vt:i4>32</vt:i4>
      </vt:variant>
      <vt:variant>
        <vt:i4>0</vt:i4>
      </vt:variant>
      <vt:variant>
        <vt:i4>5</vt:i4>
      </vt:variant>
      <vt:variant>
        <vt:lpwstr/>
      </vt:variant>
      <vt:variant>
        <vt:lpwstr>_Toc15402438</vt:lpwstr>
      </vt:variant>
      <vt:variant>
        <vt:i4>1114164</vt:i4>
      </vt:variant>
      <vt:variant>
        <vt:i4>26</vt:i4>
      </vt:variant>
      <vt:variant>
        <vt:i4>0</vt:i4>
      </vt:variant>
      <vt:variant>
        <vt:i4>5</vt:i4>
      </vt:variant>
      <vt:variant>
        <vt:lpwstr/>
      </vt:variant>
      <vt:variant>
        <vt:lpwstr>_Toc15402437</vt:lpwstr>
      </vt:variant>
      <vt:variant>
        <vt:i4>1048628</vt:i4>
      </vt:variant>
      <vt:variant>
        <vt:i4>20</vt:i4>
      </vt:variant>
      <vt:variant>
        <vt:i4>0</vt:i4>
      </vt:variant>
      <vt:variant>
        <vt:i4>5</vt:i4>
      </vt:variant>
      <vt:variant>
        <vt:lpwstr/>
      </vt:variant>
      <vt:variant>
        <vt:lpwstr>_Toc15402436</vt:lpwstr>
      </vt:variant>
      <vt:variant>
        <vt:i4>1245236</vt:i4>
      </vt:variant>
      <vt:variant>
        <vt:i4>14</vt:i4>
      </vt:variant>
      <vt:variant>
        <vt:i4>0</vt:i4>
      </vt:variant>
      <vt:variant>
        <vt:i4>5</vt:i4>
      </vt:variant>
      <vt:variant>
        <vt:lpwstr/>
      </vt:variant>
      <vt:variant>
        <vt:lpwstr>_Toc15402435</vt:lpwstr>
      </vt:variant>
      <vt:variant>
        <vt:i4>1179700</vt:i4>
      </vt:variant>
      <vt:variant>
        <vt:i4>8</vt:i4>
      </vt:variant>
      <vt:variant>
        <vt:i4>0</vt:i4>
      </vt:variant>
      <vt:variant>
        <vt:i4>5</vt:i4>
      </vt:variant>
      <vt:variant>
        <vt:lpwstr/>
      </vt:variant>
      <vt:variant>
        <vt:lpwstr>_Toc15402434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CAJ/76/3</dc:title>
  <dc:subject/>
  <dc:creator>SANCHEZ VIZCAINO GOMEZ Rosa Maria</dc:creator>
  <cp:keywords/>
  <dc:description/>
  <cp:lastModifiedBy>SANCHEZ VIZCAINO GOMEZ Rosa Maria</cp:lastModifiedBy>
  <cp:revision>11</cp:revision>
  <cp:lastPrinted>2019-07-31T09:28:00Z</cp:lastPrinted>
  <dcterms:created xsi:type="dcterms:W3CDTF">2019-07-31T12:48:00Z</dcterms:created>
  <dcterms:modified xsi:type="dcterms:W3CDTF">2019-08-02T09:11:00Z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2a35f1b2-1c78-4d30-ad81-6a8f83e54d5d</vt:lpwstr>
  </property>
</Properties>
</file>