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1666E" w:rsidTr="00A1666E">
        <w:tc>
          <w:tcPr>
            <w:tcW w:w="6522" w:type="dxa"/>
            <w:shd w:val="clear" w:color="auto" w:fill="auto"/>
          </w:tcPr>
          <w:p w:rsidR="00DC3802" w:rsidRPr="00A1666E" w:rsidRDefault="00DC3802" w:rsidP="00AC2883"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00EBC491" wp14:editId="6FE0ACF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DC3802" w:rsidRPr="00A1666E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A1666E" w:rsidTr="00A1666E">
        <w:trPr>
          <w:trHeight w:val="219"/>
        </w:trPr>
        <w:tc>
          <w:tcPr>
            <w:tcW w:w="6522" w:type="dxa"/>
            <w:shd w:val="clear" w:color="auto" w:fill="auto"/>
          </w:tcPr>
          <w:p w:rsidR="00DC3802" w:rsidRPr="00A1666E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  <w:shd w:val="clear" w:color="auto" w:fill="auto"/>
          </w:tcPr>
          <w:p w:rsidR="00DC3802" w:rsidRPr="00A1666E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Verwaltungs- und Rechtsausschuss</w:t>
            </w:r>
          </w:p>
          <w:p w:rsidR="00EB4E9C" w:rsidRPr="00DC3802" w:rsidRDefault="00B622E6" w:rsidP="00B622E6">
            <w:pPr>
              <w:pStyle w:val="Sessiontcplacedate"/>
              <w:rPr>
                <w:sz w:val="22"/>
              </w:rPr>
            </w:pPr>
            <w:r>
              <w:t>Vierundsiebzigste Tagung</w:t>
            </w:r>
            <w:r>
              <w:br/>
              <w:t>Genf, 23. und 24. Oktober 2017</w:t>
            </w:r>
          </w:p>
        </w:tc>
        <w:tc>
          <w:tcPr>
            <w:tcW w:w="3127" w:type="dxa"/>
          </w:tcPr>
          <w:p w:rsidR="00EB4E9C" w:rsidRPr="003C7FBE" w:rsidRDefault="009F77CF" w:rsidP="003C7FBE">
            <w:pPr>
              <w:pStyle w:val="Doccode"/>
            </w:pPr>
            <w:r>
              <w:t>CAJ/74/6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englisch</w:t>
            </w:r>
          </w:p>
          <w:p w:rsidR="00EB4E9C" w:rsidRPr="007C1D92" w:rsidRDefault="00EB4E9C" w:rsidP="0025153D">
            <w:pPr>
              <w:pStyle w:val="Docoriginal"/>
            </w:pPr>
            <w:r>
              <w:t>Datum:</w:t>
            </w:r>
            <w:r>
              <w:rPr>
                <w:b w:val="0"/>
              </w:rPr>
              <w:t xml:space="preserve">  26. September 2017</w:t>
            </w:r>
          </w:p>
        </w:tc>
      </w:tr>
    </w:tbl>
    <w:p w:rsidR="000D7780" w:rsidRPr="006A644A" w:rsidRDefault="00322B8C" w:rsidP="006A644A">
      <w:pPr>
        <w:pStyle w:val="Titleofdoc0"/>
      </w:pPr>
      <w:bookmarkStart w:id="1" w:name="TitleOfDoc"/>
      <w:bookmarkEnd w:id="1"/>
      <w:r>
        <w:t>Austausch und Verwendung von Software und Ausrüstung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>
        <w:t>vom Verbandsbüro erstelltes Dokument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80633F" w:rsidRPr="0008136F" w:rsidRDefault="0080633F" w:rsidP="00932FD6">
      <w:pPr>
        <w:pStyle w:val="Heading1"/>
      </w:pPr>
      <w:bookmarkStart w:id="3" w:name="_Toc387757149"/>
      <w:bookmarkStart w:id="4" w:name="_Toc404931496"/>
      <w:bookmarkStart w:id="5" w:name="_Toc404931550"/>
      <w:bookmarkStart w:id="6" w:name="_Toc404931721"/>
      <w:bookmarkStart w:id="7" w:name="_Toc404932170"/>
      <w:bookmarkStart w:id="8" w:name="_Toc404935671"/>
      <w:bookmarkStart w:id="9" w:name="_Toc410717532"/>
      <w:bookmarkStart w:id="10" w:name="_Toc410899658"/>
      <w:bookmarkStart w:id="11" w:name="_Toc461808188"/>
      <w:r>
        <w:t>Zusammenfassung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0633F" w:rsidRPr="0008136F" w:rsidRDefault="0080633F" w:rsidP="0080633F">
      <w:pPr>
        <w:ind w:firstLine="567"/>
        <w:rPr>
          <w:snapToGrid w:val="0"/>
          <w:lang w:eastAsia="ja-JP"/>
        </w:rPr>
      </w:pPr>
    </w:p>
    <w:p w:rsidR="0080633F" w:rsidRPr="0008136F" w:rsidRDefault="0080633F" w:rsidP="0080633F">
      <w:r w:rsidRPr="0008136F">
        <w:rPr>
          <w:snapToGrid w:val="0"/>
        </w:rPr>
        <w:fldChar w:fldCharType="begin"/>
      </w:r>
      <w:r w:rsidRPr="0008136F">
        <w:rPr>
          <w:snapToGrid w:val="0"/>
        </w:rPr>
        <w:instrText xml:space="preserve"> AUTONUM  </w:instrText>
      </w:r>
      <w:r w:rsidRPr="0008136F">
        <w:rPr>
          <w:snapToGrid w:val="0"/>
        </w:rPr>
        <w:fldChar w:fldCharType="end"/>
      </w:r>
      <w:r>
        <w:rPr>
          <w:snapToGrid w:val="0"/>
        </w:rPr>
        <w:tab/>
        <w:t xml:space="preserve">Zweck dieses Dokument ist es, über Entwicklungen betreffend den Austausch und die Verwendung von Software und Ausrüstung zu berichten und Vorschläge zur Überarbeitung der Dokumente </w:t>
      </w:r>
      <w:r>
        <w:t>UPOV/INF/16 „Austauschbare Software“ und</w:t>
      </w:r>
      <w:r>
        <w:rPr>
          <w:snapToGrid w:val="0"/>
        </w:rPr>
        <w:t xml:space="preserve"> </w:t>
      </w:r>
      <w:r>
        <w:t>UPOV/INF/22/2 „Von Verbandsmitgliedern verwendete Software und Ausrüstung“ zu prüfen.</w:t>
      </w:r>
    </w:p>
    <w:p w:rsidR="0080633F" w:rsidRPr="0008136F" w:rsidRDefault="0080633F" w:rsidP="0080633F">
      <w:pPr>
        <w:rPr>
          <w:snapToGrid w:val="0"/>
          <w:lang w:eastAsia="ja-JP"/>
        </w:rPr>
      </w:pPr>
    </w:p>
    <w:p w:rsidR="0080633F" w:rsidRPr="00CC3FCF" w:rsidRDefault="0080633F" w:rsidP="0080633F">
      <w:pPr>
        <w:tabs>
          <w:tab w:val="left" w:pos="540"/>
        </w:tabs>
        <w:rPr>
          <w:rFonts w:eastAsia="MS Mincho"/>
        </w:rPr>
      </w:pPr>
      <w:r w:rsidRPr="00CC3FCF">
        <w:rPr>
          <w:rFonts w:eastAsia="MS Mincho"/>
        </w:rPr>
        <w:fldChar w:fldCharType="begin"/>
      </w:r>
      <w:r w:rsidRPr="00CC3FCF">
        <w:rPr>
          <w:rFonts w:eastAsia="MS Mincho"/>
        </w:rPr>
        <w:instrText xml:space="preserve"> AUTONUM  </w:instrText>
      </w:r>
      <w:r w:rsidRPr="00CC3FCF">
        <w:rPr>
          <w:rFonts w:eastAsia="MS Mincho"/>
        </w:rPr>
        <w:fldChar w:fldCharType="end"/>
      </w:r>
      <w:r>
        <w:tab/>
        <w:t xml:space="preserve">Der CAJ wird ersucht, </w:t>
      </w:r>
    </w:p>
    <w:p w:rsidR="0080633F" w:rsidRPr="00CC3FCF" w:rsidRDefault="0080633F" w:rsidP="0080633F"/>
    <w:p w:rsidR="00932FD6" w:rsidRDefault="00932FD6" w:rsidP="00932FD6">
      <w:pPr>
        <w:ind w:firstLine="567"/>
      </w:pPr>
      <w:r>
        <w:t>a)</w:t>
      </w:r>
      <w:r>
        <w:tab/>
        <w:t xml:space="preserve">die vorgeschlagene Überarbeitung von Dokument UPOV/INF/16/6 betreffend die Aufnahme von Informationen über die Nutzung von Software durch die Verbandsmitglieder, wie in Dokument  UPOV/INF/16/7 Draft 1dargelegt, zu prüfen; </w:t>
      </w:r>
    </w:p>
    <w:p w:rsidR="00932FD6" w:rsidRDefault="00932FD6" w:rsidP="00932FD6">
      <w:pPr>
        <w:ind w:firstLine="567"/>
      </w:pPr>
    </w:p>
    <w:p w:rsidR="0080633F" w:rsidRDefault="00932FD6" w:rsidP="00D72C4A">
      <w:pPr>
        <w:ind w:firstLine="567"/>
      </w:pPr>
      <w:r>
        <w:t>b)</w:t>
      </w:r>
      <w:r>
        <w:tab/>
        <w:t>zur Kenntnis zu nehmen, daß, falls vom CAJ vereinbart, ein Entwurf von Dokument UPOV/INF/16/7 „Austauschbare Software“ vom Rat auf seiner einundfünfzigsten ordentlichen Tagung am 26. Oktober 2017 zur Annahme vorgelegt werden würde;</w:t>
      </w:r>
    </w:p>
    <w:p w:rsidR="00D72C4A" w:rsidRDefault="00D72C4A" w:rsidP="00D72C4A">
      <w:pPr>
        <w:ind w:firstLine="567"/>
      </w:pPr>
    </w:p>
    <w:p w:rsidR="00D72C4A" w:rsidRDefault="00D72C4A" w:rsidP="00D72C4A">
      <w:r>
        <w:tab/>
        <w:t>c)</w:t>
      </w:r>
      <w:r>
        <w:tab/>
        <w:t xml:space="preserve"> die vorgeschlagene Überarbeitung von Dokument UPOV/INF/22/3 betreffend von Verbandsmitgliedern verwendete Software und Ausrüstung, wie in Dokument UPOV/INF/22/4 Draft 1 dargelegt zu prüfen; und</w:t>
      </w:r>
    </w:p>
    <w:p w:rsidR="00D72C4A" w:rsidRDefault="00D72C4A" w:rsidP="00D72C4A"/>
    <w:p w:rsidR="00D72C4A" w:rsidRDefault="00D72C4A" w:rsidP="00D72C4A">
      <w:r>
        <w:tab/>
        <w:t>d)</w:t>
      </w:r>
      <w:r>
        <w:tab/>
        <w:t>zur Kenntnis zu nehmen, daß dem Rat auf seiner einundfünfzigsten ordentlichen Tagung vom 26. Oktober 2017 im Falle der Zustimmung durch den CAJ ein Entwurf von Dokument UPOV/INF/22 betreffend von Verbandsmitgliedern verwendete Software und Ausrüstung vorgelegt werden würde.</w:t>
      </w:r>
    </w:p>
    <w:p w:rsidR="00D72C4A" w:rsidRDefault="00D72C4A" w:rsidP="0080633F"/>
    <w:p w:rsidR="0080633F" w:rsidRPr="00CC3FCF" w:rsidRDefault="0080633F" w:rsidP="0080633F">
      <w:pPr>
        <w:spacing w:line="360" w:lineRule="auto"/>
      </w:pPr>
      <w:bookmarkStart w:id="12" w:name="_Toc380588283"/>
    </w:p>
    <w:p w:rsidR="0080633F" w:rsidRPr="00CC3FCF" w:rsidRDefault="00932FD6" w:rsidP="00932FD6">
      <w:pPr>
        <w:pStyle w:val="Heading1"/>
        <w:rPr>
          <w:snapToGrid w:val="0"/>
        </w:rPr>
      </w:pPr>
      <w:bookmarkStart w:id="13" w:name="_Toc461808190"/>
      <w:r>
        <w:rPr>
          <w:snapToGrid w:val="0"/>
        </w:rPr>
        <w:lastRenderedPageBreak/>
        <w:t>UPOV/INF/16</w:t>
      </w:r>
      <w:r>
        <w:rPr>
          <w:snapToGrid w:val="0"/>
        </w:rPr>
        <w:tab/>
        <w:t>„Austauschbare Software”</w:t>
      </w:r>
      <w:bookmarkEnd w:id="12"/>
      <w:bookmarkEnd w:id="13"/>
    </w:p>
    <w:p w:rsidR="0080633F" w:rsidRPr="00CC3FCF" w:rsidRDefault="0080633F" w:rsidP="00D72C4A">
      <w:pPr>
        <w:keepNext/>
        <w:rPr>
          <w:rFonts w:eastAsia="MS Mincho"/>
          <w:lang w:eastAsia="ja-JP"/>
        </w:rPr>
      </w:pPr>
    </w:p>
    <w:bookmarkStart w:id="14" w:name="_Toc461808191"/>
    <w:p w:rsidR="00932FD6" w:rsidRDefault="00932FD6" w:rsidP="00D72C4A">
      <w:pPr>
        <w:keepNext/>
        <w:rPr>
          <w:rFonts w:eastAsia="MS Mincho"/>
          <w:snapToGrid w:val="0"/>
        </w:rPr>
      </w:pPr>
      <w:r w:rsidRPr="00A41F91">
        <w:rPr>
          <w:rFonts w:eastAsia="MS Mincho"/>
          <w:snapToGrid w:val="0"/>
        </w:rPr>
        <w:fldChar w:fldCharType="begin"/>
      </w:r>
      <w:r w:rsidRPr="00A41F91">
        <w:rPr>
          <w:rFonts w:eastAsia="MS Mincho"/>
          <w:snapToGrid w:val="0"/>
        </w:rPr>
        <w:instrText xml:space="preserve"> AUTONUM  </w:instrText>
      </w:r>
      <w:r w:rsidRPr="00A41F91">
        <w:rPr>
          <w:rFonts w:eastAsia="MS Mincho"/>
          <w:snapToGrid w:val="0"/>
        </w:rPr>
        <w:fldChar w:fldCharType="end"/>
      </w:r>
      <w:r>
        <w:rPr>
          <w:snapToGrid w:val="0"/>
        </w:rPr>
        <w:tab/>
        <w:t>Der Technische Ausschuß (TC)</w:t>
      </w:r>
      <w:r>
        <w:t xml:space="preserve"> nahm auf seiner dreiundfünfzigsten Tagung</w:t>
      </w:r>
      <w:r w:rsidR="004A5257" w:rsidRPr="00CC3FCF">
        <w:rPr>
          <w:rStyle w:val="FootnoteReference"/>
          <w:lang w:eastAsia="ja-JP"/>
        </w:rPr>
        <w:footnoteReference w:id="2"/>
      </w:r>
      <w:r>
        <w:t xml:space="preserve"> </w:t>
      </w:r>
      <w:r>
        <w:rPr>
          <w:snapToGrid w:val="0"/>
        </w:rPr>
        <w:t>die Streichung der SIVAVE-Software aus dem Dokument UPOV/INF/16 wie folgt zur Kenntnis:</w:t>
      </w:r>
    </w:p>
    <w:p w:rsidR="00932FD6" w:rsidRDefault="00932FD6" w:rsidP="00D72C4A">
      <w:pPr>
        <w:keepNext/>
        <w:rPr>
          <w:rFonts w:eastAsia="MS Mincho"/>
          <w:snapToGrid w:val="0"/>
          <w:lang w:eastAsia="ja-JP"/>
        </w:rPr>
      </w:pPr>
    </w:p>
    <w:p w:rsidR="00932FD6" w:rsidRDefault="00932FD6" w:rsidP="00D72C4A">
      <w:pPr>
        <w:keepNext/>
        <w:ind w:left="567"/>
        <w:rPr>
          <w:rFonts w:eastAsia="MS Mincho"/>
          <w:snapToGrid w:val="0"/>
          <w:sz w:val="18"/>
          <w:u w:val="single"/>
        </w:rPr>
      </w:pPr>
      <w:r>
        <w:rPr>
          <w:snapToGrid w:val="0"/>
          <w:sz w:val="18"/>
        </w:rPr>
        <w:t>„a)</w:t>
      </w:r>
      <w:r>
        <w:rPr>
          <w:snapToGrid w:val="0"/>
          <w:sz w:val="18"/>
        </w:rPr>
        <w:tab/>
      </w:r>
      <w:r>
        <w:rPr>
          <w:snapToGrid w:val="0"/>
          <w:sz w:val="18"/>
          <w:u w:val="single"/>
        </w:rPr>
        <w:t>Verwaltung von Anträgen</w:t>
      </w:r>
    </w:p>
    <w:p w:rsidR="00932FD6" w:rsidRPr="00D15B51" w:rsidRDefault="00932FD6" w:rsidP="00D72C4A">
      <w:pPr>
        <w:keepNext/>
        <w:rPr>
          <w:rFonts w:eastAsia="MS Mincho"/>
          <w:snapToGrid w:val="0"/>
          <w:sz w:val="18"/>
          <w:lang w:eastAsia="ja-JP"/>
        </w:rPr>
      </w:pPr>
    </w:p>
    <w:tbl>
      <w:tblPr>
        <w:tblStyle w:val="TableGrid"/>
        <w:tblW w:w="10169" w:type="dxa"/>
        <w:jc w:val="center"/>
        <w:tblInd w:w="897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766"/>
        <w:gridCol w:w="1827"/>
        <w:gridCol w:w="1688"/>
        <w:gridCol w:w="2187"/>
        <w:gridCol w:w="1521"/>
        <w:gridCol w:w="586"/>
        <w:gridCol w:w="548"/>
      </w:tblGrid>
      <w:tr w:rsidR="00932FD6" w:rsidRPr="00D15B51" w:rsidTr="00D72C4A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szCs w:val="18"/>
                <w:highlight w:val="lightGray"/>
              </w:rPr>
            </w:pPr>
            <w:r>
              <w:rPr>
                <w:strike/>
                <w:snapToGrid w:val="0"/>
                <w:sz w:val="16"/>
                <w:szCs w:val="18"/>
                <w:highlight w:val="lightGray"/>
              </w:rPr>
              <w:t>16. Oktober 2014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SIVAVE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Datenbank: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Mysql 5.1</w:t>
            </w:r>
          </w:p>
          <w:p w:rsidR="00932FD6" w:rsidRPr="00CC100F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PHP  Version 2.5.9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Ajax.</w:t>
            </w:r>
          </w:p>
          <w:p w:rsidR="00932FD6" w:rsidRPr="00BE7CF5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Javascript.</w:t>
            </w:r>
          </w:p>
          <w:p w:rsidR="00932FD6" w:rsidRPr="00BE7CF5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eastAsia="ja-JP"/>
              </w:rPr>
            </w:pP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Programmteile sind über Java Applets und mehrere Java Archives (JARS) integriert.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932FD6" w:rsidRPr="00BE7CF5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Ergänzungen:</w:t>
            </w:r>
          </w:p>
          <w:p w:rsidR="00932FD6" w:rsidRPr="00BE7CF5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Zend Optimizer 3.3</w:t>
            </w:r>
          </w:p>
          <w:p w:rsidR="00932FD6" w:rsidRPr="00BE7CF5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932FD6" w:rsidRPr="00BE7CF5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Compiler:</w:t>
            </w:r>
          </w:p>
          <w:p w:rsidR="00932FD6" w:rsidRPr="00BE7CF5" w:rsidRDefault="00932FD6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Zend Studio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z w:val="16"/>
                <w:szCs w:val="18"/>
                <w:highlight w:val="lightGray"/>
              </w:rPr>
              <w:t>ScriptCase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Ermöglicht Sortengruppierungen gemäß morphologischen Merkmalen, anhand derer ein Paar oder eine kleine Untergruppe verwirrend ähnlicher Sorten erkannt werden können.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CC100F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es-ES"/>
              </w:rPr>
            </w:pPr>
            <w:r w:rsidRPr="00CC100F">
              <w:rPr>
                <w:strike/>
                <w:snapToGrid w:val="0"/>
                <w:color w:val="000000"/>
                <w:sz w:val="16"/>
                <w:highlight w:val="lightGray"/>
                <w:lang w:val="es-ES"/>
              </w:rPr>
              <w:t xml:space="preserve">Mexiko: </w:t>
            </w:r>
            <w:r w:rsidRPr="00CC100F">
              <w:rPr>
                <w:strike/>
                <w:snapToGrid w:val="0"/>
                <w:color w:val="000000"/>
                <w:sz w:val="16"/>
                <w:highlight w:val="lightGray"/>
                <w:lang w:val="es-ES"/>
              </w:rPr>
              <w:br/>
              <w:t xml:space="preserve">Manuel Rafael Villa Issa, </w:t>
            </w:r>
            <w:r w:rsidRPr="00CC100F">
              <w:rPr>
                <w:strike/>
                <w:snapToGrid w:val="0"/>
                <w:color w:val="000000"/>
                <w:sz w:val="16"/>
                <w:highlight w:val="lightGray"/>
                <w:lang w:val="es-ES"/>
              </w:rPr>
              <w:br/>
              <w:t>Generaldirektor, SNICS</w:t>
            </w:r>
          </w:p>
          <w:p w:rsidR="00932FD6" w:rsidRPr="00CC100F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es-ES"/>
              </w:rPr>
            </w:pPr>
            <w:r w:rsidRPr="00CC100F">
              <w:rPr>
                <w:strike/>
                <w:snapToGrid w:val="0"/>
                <w:color w:val="000000"/>
                <w:sz w:val="16"/>
                <w:highlight w:val="lightGray"/>
                <w:lang w:val="es-ES"/>
              </w:rPr>
              <w:t xml:space="preserve">E-Mail:  </w:t>
            </w:r>
            <w:hyperlink r:id="rId9" w:history="1">
              <w:r w:rsidRPr="00CC100F">
                <w:rPr>
                  <w:rStyle w:val="Hyperlink"/>
                  <w:strike/>
                  <w:snapToGrid w:val="0"/>
                  <w:sz w:val="16"/>
                  <w:highlight w:val="lightGray"/>
                  <w:lang w:val="es-ES"/>
                </w:rPr>
                <w:t>manuel.villaissa@sagarpa.gob.mx</w:t>
              </w:r>
            </w:hyperlink>
            <w:r w:rsidRPr="00CC100F">
              <w:rPr>
                <w:strike/>
                <w:snapToGrid w:val="0"/>
                <w:color w:val="000000"/>
                <w:sz w:val="16"/>
                <w:highlight w:val="lightGray"/>
                <w:lang w:val="es-ES"/>
              </w:rPr>
              <w:t xml:space="preserve"> </w:t>
            </w:r>
          </w:p>
          <w:p w:rsidR="00932FD6" w:rsidRPr="00CC100F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es-ES"/>
              </w:rPr>
            </w:pPr>
            <w:r w:rsidRPr="00CC100F">
              <w:rPr>
                <w:strike/>
                <w:snapToGrid w:val="0"/>
                <w:color w:val="000000"/>
                <w:sz w:val="16"/>
                <w:highlight w:val="lightGray"/>
                <w:lang w:val="es-ES"/>
              </w:rPr>
              <w:t>Eduardo Padilla Vaca, Direktor,</w:t>
            </w:r>
            <w:r w:rsidRPr="00CC100F">
              <w:rPr>
                <w:strike/>
                <w:snapToGrid w:val="0"/>
                <w:color w:val="000000"/>
                <w:sz w:val="16"/>
                <w:highlight w:val="lightGray"/>
                <w:lang w:val="es-ES"/>
              </w:rPr>
              <w:br/>
              <w:t>Pflanzensoten, SNICS</w:t>
            </w:r>
          </w:p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 xml:space="preserve">E-Mail: </w:t>
            </w:r>
            <w:hyperlink r:id="rId10" w:history="1">
              <w:r>
                <w:rPr>
                  <w:rStyle w:val="Hyperlink"/>
                  <w:strike/>
                  <w:snapToGrid w:val="0"/>
                  <w:sz w:val="16"/>
                  <w:highlight w:val="lightGray"/>
                </w:rPr>
                <w:t>eduardo.padilla@snics.gob.mx</w:t>
              </w:r>
            </w:hyperlink>
            <w:r>
              <w:rPr>
                <w:strike/>
                <w:snapToGrid w:val="0"/>
                <w:color w:val="000000"/>
                <w:sz w:val="16"/>
                <w:highlight w:val="lightGray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Schriftlicher Antrag und Begründung des Nutzungsbedarfs.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32FD6" w:rsidRPr="00D15B51" w:rsidRDefault="00932FD6" w:rsidP="00D72C4A">
            <w:pPr>
              <w:jc w:val="center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>
              <w:rPr>
                <w:strike/>
                <w:snapToGrid w:val="0"/>
                <w:sz w:val="16"/>
                <w:highlight w:val="lightGray"/>
              </w:rPr>
              <w:t>MX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2FD6" w:rsidRPr="00D15B51" w:rsidRDefault="00932FD6" w:rsidP="00E57D24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alle Pflanzen</w:t>
            </w:r>
          </w:p>
        </w:tc>
      </w:tr>
    </w:tbl>
    <w:p w:rsidR="00932FD6" w:rsidRPr="00A41F91" w:rsidRDefault="00932FD6" w:rsidP="00932FD6">
      <w:pPr>
        <w:rPr>
          <w:rFonts w:eastAsia="MS Mincho"/>
          <w:snapToGrid w:val="0"/>
          <w:lang w:eastAsia="ja-JP"/>
        </w:rPr>
      </w:pPr>
    </w:p>
    <w:p w:rsidR="00932FD6" w:rsidRPr="006B2B28" w:rsidRDefault="00932FD6" w:rsidP="00932FD6">
      <w:r w:rsidRPr="006B2B28">
        <w:fldChar w:fldCharType="begin"/>
      </w:r>
      <w:r w:rsidRPr="006B2B28">
        <w:instrText xml:space="preserve"> AUTONUM  </w:instrText>
      </w:r>
      <w:r w:rsidRPr="006B2B28">
        <w:fldChar w:fldCharType="end"/>
      </w:r>
      <w:r>
        <w:tab/>
        <w:t>Der TC prüfte die vorgeschlagene Überarbeitung von Dokument UPOV/INF/16/6 betreffend die Aufnahme von Informationen über die Nutzung von Software durch die Verbandsmitglieder mit Informationen, die von Brasilien und Mexiko zur Verfügung gestellt werden.</w:t>
      </w:r>
    </w:p>
    <w:p w:rsidR="00932FD6" w:rsidRPr="006B2B28" w:rsidRDefault="00932FD6" w:rsidP="00932FD6"/>
    <w:p w:rsidR="00932FD6" w:rsidRPr="00F15B05" w:rsidRDefault="00932FD6" w:rsidP="00932FD6">
      <w:pPr>
        <w:rPr>
          <w:spacing w:val="-2"/>
        </w:rPr>
      </w:pPr>
      <w:r w:rsidRPr="00F15B05">
        <w:rPr>
          <w:spacing w:val="-2"/>
        </w:rPr>
        <w:fldChar w:fldCharType="begin"/>
      </w:r>
      <w:r w:rsidRPr="00F15B05">
        <w:rPr>
          <w:spacing w:val="-2"/>
        </w:rPr>
        <w:instrText xml:space="preserve"> AUTONUM  </w:instrText>
      </w:r>
      <w:r w:rsidRPr="00F15B05">
        <w:rPr>
          <w:spacing w:val="-2"/>
        </w:rPr>
        <w:fldChar w:fldCharType="end"/>
      </w:r>
      <w:r w:rsidR="00CC100F" w:rsidRPr="00F15B05">
        <w:rPr>
          <w:spacing w:val="-2"/>
        </w:rPr>
        <w:tab/>
      </w:r>
      <w:r w:rsidRPr="00F15B05">
        <w:rPr>
          <w:spacing w:val="-2"/>
        </w:rPr>
        <w:t>Der TC nahm zur Kenntnis, daß die Bemerkungen des TC auf seiner dreiundfünfzigsten Tagung</w:t>
      </w:r>
      <w:r w:rsidRPr="00F15B05">
        <w:rPr>
          <w:spacing w:val="-2"/>
          <w:vertAlign w:val="superscript"/>
        </w:rPr>
        <w:t xml:space="preserve">1 </w:t>
      </w:r>
      <w:r w:rsidRPr="00F15B05">
        <w:rPr>
          <w:spacing w:val="-2"/>
        </w:rPr>
        <w:t>betreffend die Ausschließung der Software und die Verwendung von Software von Verbandsmitgliedern dem CAJ auf seiner vierundsiebzigsten Tagung</w:t>
      </w:r>
      <w:r w:rsidR="002C5C43" w:rsidRPr="00F15B05">
        <w:rPr>
          <w:rStyle w:val="FootnoteReference"/>
          <w:spacing w:val="-2"/>
          <w:lang w:eastAsia="ja-JP"/>
        </w:rPr>
        <w:footnoteReference w:id="3"/>
      </w:r>
      <w:r w:rsidRPr="00F15B05">
        <w:rPr>
          <w:spacing w:val="-2"/>
        </w:rPr>
        <w:t xml:space="preserve"> </w:t>
      </w:r>
      <w:r w:rsidR="00CC100F" w:rsidRPr="00F15B05">
        <w:rPr>
          <w:spacing w:val="-2"/>
        </w:rPr>
        <w:t xml:space="preserve">berichtet werden würden </w:t>
      </w:r>
      <w:r w:rsidRPr="00F15B05">
        <w:rPr>
          <w:spacing w:val="-2"/>
        </w:rPr>
        <w:t>und, im Falle der Zustimmung durch den CAJ, ein Entwurf des Dokuments UPOV/INF/16/7 (Dokument UPOV/INF/16/7 Draft 1) auf dieser Grundlage dem Rat auf seiner einundfünfzigsten ordentlichen Tagung</w:t>
      </w:r>
      <w:r w:rsidR="004A5257" w:rsidRPr="00F15B05">
        <w:rPr>
          <w:rStyle w:val="FootnoteReference"/>
          <w:spacing w:val="-2"/>
          <w:lang w:eastAsia="ja-JP"/>
        </w:rPr>
        <w:footnoteReference w:id="4"/>
      </w:r>
      <w:r w:rsidRPr="00F15B05">
        <w:rPr>
          <w:spacing w:val="-2"/>
        </w:rPr>
        <w:t xml:space="preserve"> zur Annahme vorgelegt werden würde.</w:t>
      </w:r>
    </w:p>
    <w:p w:rsidR="00932FD6" w:rsidRDefault="00932FD6" w:rsidP="00932FD6"/>
    <w:p w:rsidR="00932FD6" w:rsidRPr="00294914" w:rsidRDefault="00932FD6" w:rsidP="00932FD6">
      <w:r w:rsidRPr="006B2B28">
        <w:fldChar w:fldCharType="begin"/>
      </w:r>
      <w:r w:rsidRPr="006B2B28">
        <w:instrText xml:space="preserve"> AUTONUM  </w:instrText>
      </w:r>
      <w:r w:rsidRPr="006B2B28">
        <w:fldChar w:fldCharType="end"/>
      </w:r>
      <w:r>
        <w:tab/>
        <w:t>Der TC vereinbarte, daß die Informationen in Dokument UPOV/INF/16 in einer durchsuchbaren Form auf der UPOV-Website verfügbar gemacht werden sollten, und nahm zur Kenntnis, daß das Verbandsbüro ein Instrument für diesen Zweck überprüfen würde.</w:t>
      </w:r>
      <w:r w:rsidR="002C5C43" w:rsidRPr="00CC3FCF">
        <w:rPr>
          <w:rStyle w:val="FootnoteReference"/>
        </w:rPr>
        <w:footnoteReference w:id="5"/>
      </w:r>
      <w:r>
        <w:t xml:space="preserve"> </w:t>
      </w:r>
    </w:p>
    <w:p w:rsidR="00932FD6" w:rsidRDefault="00932FD6" w:rsidP="00932FD6"/>
    <w:p w:rsidR="00F75A2E" w:rsidRDefault="00F75A2E" w:rsidP="00F75A2E">
      <w:r>
        <w:fldChar w:fldCharType="begin"/>
      </w:r>
      <w:r>
        <w:instrText xml:space="preserve"> AUTONUM  </w:instrText>
      </w:r>
      <w:r>
        <w:fldChar w:fldCharType="end"/>
      </w:r>
      <w:r>
        <w:tab/>
        <w:t>Ein Bericht über die Entschließungen des CAJ auf seiner vierundsiebzigsten Tagung betreffend die Vorschläge zur Überarbeitung von Dokument UPOV/INF/16/6 wird dem Rat auf seiner einundfünfzigsten ordentlichen</w:t>
      </w:r>
      <w:r>
        <w:rPr>
          <w:vertAlign w:val="superscript"/>
        </w:rPr>
        <w:t>3</w:t>
      </w:r>
      <w:r>
        <w:t xml:space="preserve"> Tagung (Dokument C/51/18 „Bericht des Präsidenten über die Arbeiten der vierundneunzigsten Tagung des Beratenden Ausschusses; gegebenenfalls Annahme von Empfehlungen, die dieser Ausschuß ausgearbeitet hat“) vorgelegt werden.</w:t>
      </w:r>
    </w:p>
    <w:p w:rsidR="004A5257" w:rsidRPr="00F75A2E" w:rsidRDefault="004A5257" w:rsidP="00932FD6"/>
    <w:p w:rsidR="00932FD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Der CAJ wird ersucht,</w:t>
      </w:r>
    </w:p>
    <w:p w:rsidR="00932FD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</w:p>
    <w:p w:rsidR="00932FD6" w:rsidRPr="00565C4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  <w:rPr>
          <w:spacing w:val="-2"/>
        </w:rPr>
      </w:pPr>
      <w:r>
        <w:tab/>
        <w:t>a)</w:t>
      </w:r>
      <w:r>
        <w:tab/>
        <w:t>die vorgeschlagene Überarbeitung von Dokument UPOV/INF/16/6 betreffend die Aufnahme von Informationen über die Nutzung von Software durch die Verbandsmitglieder, wie in Dokument  UPOV/INF/16/7 Draft 1 dargelegt, zu</w:t>
      </w:r>
      <w:r w:rsidR="00F15B05">
        <w:t xml:space="preserve"> prüfen;  </w:t>
      </w:r>
      <w:r>
        <w:t>und</w:t>
      </w:r>
    </w:p>
    <w:p w:rsidR="00932FD6" w:rsidRDefault="00932FD6" w:rsidP="00565C46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</w:pPr>
    </w:p>
    <w:p w:rsidR="00932FD6" w:rsidRPr="00F15B05" w:rsidRDefault="00CC100F" w:rsidP="00565C46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  <w:rPr>
          <w:spacing w:val="-2"/>
        </w:rPr>
      </w:pPr>
      <w:r w:rsidRPr="00F15B05">
        <w:rPr>
          <w:spacing w:val="-2"/>
        </w:rPr>
        <w:tab/>
        <w:t>b)</w:t>
      </w:r>
      <w:r w:rsidRPr="00F15B05">
        <w:rPr>
          <w:spacing w:val="-2"/>
        </w:rPr>
        <w:tab/>
      </w:r>
      <w:r w:rsidR="00932FD6" w:rsidRPr="00F15B05">
        <w:rPr>
          <w:spacing w:val="-2"/>
        </w:rPr>
        <w:t>zur Kenntnis zu nehmen, daß, falls vom CAJ vereinbart, ein Entwurf von Dokument UPOV/INF/16/7 „Austauschbare Software“ vom Rat auf seiner einundfünfzigsten ordentlichen Tagung am 26. Oktober 2017 zur Annahme vorgelegt werden würde.</w:t>
      </w:r>
    </w:p>
    <w:p w:rsidR="00932FD6" w:rsidRDefault="00932FD6" w:rsidP="00932FD6"/>
    <w:p w:rsidR="00932FD6" w:rsidRDefault="00932FD6" w:rsidP="00932FD6">
      <w:pPr>
        <w:pStyle w:val="Heading1"/>
        <w:rPr>
          <w:snapToGrid w:val="0"/>
        </w:rPr>
      </w:pPr>
      <w:r>
        <w:rPr>
          <w:snapToGrid w:val="0"/>
        </w:rPr>
        <w:lastRenderedPageBreak/>
        <w:t>UPOV/INF/22:</w:t>
      </w:r>
      <w:r>
        <w:rPr>
          <w:snapToGrid w:val="0"/>
        </w:rPr>
        <w:tab/>
        <w:t>Von Verbandsmitgliedern verwendete Software und Ausrüstung (Überarbeitung) (Dokument UPOV/INF/22/4 Draft 1)</w:t>
      </w:r>
    </w:p>
    <w:p w:rsidR="00932FD6" w:rsidRPr="00294914" w:rsidRDefault="00932FD6" w:rsidP="00932FD6">
      <w:pPr>
        <w:keepNext/>
        <w:rPr>
          <w:bCs/>
          <w:snapToGrid w:val="0"/>
          <w:spacing w:val="-4"/>
          <w:szCs w:val="24"/>
        </w:rPr>
      </w:pPr>
    </w:p>
    <w:p w:rsidR="00932FD6" w:rsidRPr="00D51062" w:rsidRDefault="00932FD6" w:rsidP="00932FD6">
      <w:pPr>
        <w:keepNext/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>
        <w:tab/>
        <w:t>Auf seiner dreiundfünfzigsten Tagung</w:t>
      </w:r>
      <w:r w:rsidR="00D72C4A" w:rsidRPr="00CC3FCF">
        <w:rPr>
          <w:rStyle w:val="FootnoteReference"/>
          <w:lang w:eastAsia="ja-JP"/>
        </w:rPr>
        <w:footnoteReference w:id="6"/>
      </w:r>
      <w:r w:rsidR="009E1548">
        <w:t xml:space="preserve"> prüfte der TC</w:t>
      </w:r>
      <w:r>
        <w:rPr>
          <w:snapToGrid w:val="0"/>
        </w:rPr>
        <w:t xml:space="preserve"> eine vorgeschlagene Überarbeitung von Dokument UPOV/INF/22/3 und vereinbarte folgende Änderungen an Dokument UPOV/INF/22/3:</w:t>
      </w: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932FD6" w:rsidRPr="005B2031" w:rsidTr="00E57D24">
        <w:tc>
          <w:tcPr>
            <w:tcW w:w="3369" w:type="dxa"/>
          </w:tcPr>
          <w:p w:rsidR="00932FD6" w:rsidRPr="005B2031" w:rsidRDefault="00932FD6" w:rsidP="00F15B05">
            <w:pPr>
              <w:keepNext/>
              <w:tabs>
                <w:tab w:val="left" w:pos="397"/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u w:val="single"/>
              </w:rPr>
            </w:pPr>
            <w:r>
              <w:rPr>
                <w:snapToGrid w:val="0"/>
                <w:sz w:val="18"/>
              </w:rPr>
              <w:t>c)</w:t>
            </w:r>
            <w:r>
              <w:rPr>
                <w:snapToGrid w:val="0"/>
                <w:sz w:val="18"/>
              </w:rPr>
              <w:tab/>
              <w:t>Prüfen von Sortenbezeichnungen (Zeile: Deutschland)</w:t>
            </w:r>
          </w:p>
        </w:tc>
        <w:tc>
          <w:tcPr>
            <w:tcW w:w="5811" w:type="dxa"/>
          </w:tcPr>
          <w:p w:rsidR="00932FD6" w:rsidRPr="005B2031" w:rsidRDefault="00932FD6" w:rsidP="00E57D24">
            <w:pPr>
              <w:jc w:val="left"/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sollte lauten: „Prüfen von Sortenbezeichnungen in nationalen Verfahren nach phonetischen Regeln</w:t>
            </w:r>
            <w:r>
              <w:rPr>
                <w:snapToGrid w:val="0"/>
                <w:color w:val="000000"/>
                <w:sz w:val="18"/>
              </w:rPr>
              <w:t xml:space="preserve"> </w:t>
            </w:r>
            <w:r>
              <w:rPr>
                <w:strike/>
                <w:snapToGrid w:val="0"/>
                <w:color w:val="000000"/>
                <w:sz w:val="18"/>
                <w:highlight w:val="lightGray"/>
              </w:rPr>
              <w:t>in Ergänzung zur Prüfung</w:t>
            </w:r>
            <w:r>
              <w:rPr>
                <w:snapToGrid w:val="0"/>
                <w:color w:val="000000"/>
                <w:sz w:val="18"/>
              </w:rPr>
              <w:t>”</w:t>
            </w:r>
          </w:p>
        </w:tc>
      </w:tr>
      <w:tr w:rsidR="00932FD6" w:rsidRPr="005B2031" w:rsidTr="00E57D24">
        <w:tc>
          <w:tcPr>
            <w:tcW w:w="3369" w:type="dxa"/>
          </w:tcPr>
          <w:p w:rsidR="00932FD6" w:rsidRPr="005B2031" w:rsidRDefault="00932FD6" w:rsidP="00F15B05">
            <w:pPr>
              <w:tabs>
                <w:tab w:val="left" w:pos="397"/>
              </w:tabs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f)</w:t>
            </w:r>
            <w:r>
              <w:rPr>
                <w:snapToGrid w:val="0"/>
                <w:sz w:val="18"/>
              </w:rPr>
              <w:tab/>
              <w:t>Bildanalyse</w:t>
            </w:r>
          </w:p>
        </w:tc>
        <w:tc>
          <w:tcPr>
            <w:tcW w:w="5811" w:type="dxa"/>
          </w:tcPr>
          <w:p w:rsidR="00932FD6" w:rsidRPr="005B2031" w:rsidRDefault="00932FD6" w:rsidP="00E57D24">
            <w:pPr>
              <w:rPr>
                <w:rFonts w:eastAsia="MS Mincho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 xml:space="preserve">sollte lauten: „E-mail: </w:t>
            </w:r>
            <w:hyperlink r:id="rId11" w:history="1">
              <w:r>
                <w:rPr>
                  <w:rStyle w:val="Hyperlink"/>
                  <w:snapToGrid w:val="0"/>
                  <w:sz w:val="18"/>
                </w:rPr>
                <w:t>a.roberts@bioss.ac.uk</w:t>
              </w:r>
            </w:hyperlink>
            <w:r>
              <w:rPr>
                <w:snapToGrid w:val="0"/>
                <w:sz w:val="18"/>
              </w:rPr>
              <w:t>”</w:t>
            </w:r>
          </w:p>
        </w:tc>
      </w:tr>
    </w:tbl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p w:rsidR="00932FD6" w:rsidRPr="00D51062" w:rsidRDefault="00932FD6" w:rsidP="00932FD6">
      <w:pPr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>
        <w:tab/>
        <w:t xml:space="preserve">Der TC </w:t>
      </w:r>
      <w:r>
        <w:rPr>
          <w:snapToGrid w:val="0"/>
        </w:rPr>
        <w:t>vereinbarte, das Hinzufügen eines Haftungsausschlusses zu Doku</w:t>
      </w:r>
      <w:r w:rsidR="009E1548">
        <w:rPr>
          <w:snapToGrid w:val="0"/>
        </w:rPr>
        <w:t>ment UPOV/INF/22 vorzuschlagen,</w:t>
      </w:r>
      <w:r>
        <w:t xml:space="preserve"> um zu erklären, daß das Dokument Auskünfte über die von Verbandsmitgliedern verwendete Software und Ausrüstung erteilen soll, und um klarzustellen, daß weder die UPOV noch die mitwirkende Behörde  </w:t>
      </w:r>
      <w:r>
        <w:rPr>
          <w:snapToGrid w:val="0"/>
        </w:rPr>
        <w:t xml:space="preserve">für die Arbeitsleistung der </w:t>
      </w:r>
      <w:r>
        <w:t>Software oder Ausrüstung verantwortlich seien</w:t>
      </w:r>
      <w:r>
        <w:rPr>
          <w:snapToGrid w:val="0"/>
        </w:rPr>
        <w:t>.</w:t>
      </w: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p w:rsidR="00932FD6" w:rsidRPr="00D51062" w:rsidRDefault="00932FD6" w:rsidP="00932FD6">
      <w:pPr>
        <w:rPr>
          <w:rFonts w:eastAsia="MS Mincho"/>
          <w:snapToGrid w:val="0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>
        <w:tab/>
        <w:t>Der TC</w:t>
      </w:r>
      <w:r>
        <w:rPr>
          <w:snapToGrid w:val="0"/>
        </w:rPr>
        <w:t xml:space="preserve"> prüfte, ob die Informationen in Dokument UPOV/INF/22 in einer alternativen Form (z. B. in einem Online-Format) anstatt in einem INF-Dokument vorgelegt werden sollten, und vereinbarte, daß nur das bestehende Format von Dokument UPOV/INF/22 erhalten bleiben solle.</w:t>
      </w:r>
    </w:p>
    <w:p w:rsidR="00932FD6" w:rsidRPr="00D51062" w:rsidRDefault="00932FD6" w:rsidP="00932FD6">
      <w:pPr>
        <w:rPr>
          <w:rFonts w:eastAsia="MS Mincho"/>
          <w:snapToGrid w:val="0"/>
          <w:lang w:eastAsia="ja-JP"/>
        </w:rPr>
      </w:pPr>
    </w:p>
    <w:p w:rsidR="00CC100F" w:rsidRDefault="00932FD6" w:rsidP="00CC100F"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>
        <w:tab/>
        <w:t>Der TC</w:t>
      </w:r>
      <w:r>
        <w:rPr>
          <w:snapToGrid w:val="0"/>
        </w:rPr>
        <w:t xml:space="preserve"> nahm zur Kenntnis, daß die Vorschläge des TC auf seiner dreiundfünfzigsten Tagung</w:t>
      </w:r>
      <w:r>
        <w:rPr>
          <w:snapToGrid w:val="0"/>
          <w:vertAlign w:val="superscript"/>
        </w:rPr>
        <w:t>5</w:t>
      </w:r>
      <w:r>
        <w:rPr>
          <w:snapToGrid w:val="0"/>
        </w:rPr>
        <w:t xml:space="preserve"> betreffend die Überarbeitung des Dokuments UPOV/INF/22 dem CAJ auf seiner vierundsiebzigsten Tagung</w:t>
      </w:r>
      <w:r w:rsidR="00216F3B" w:rsidRPr="00CC3FCF">
        <w:rPr>
          <w:rStyle w:val="FootnoteReference"/>
          <w:lang w:eastAsia="ja-JP"/>
        </w:rPr>
        <w:footnoteReference w:id="7"/>
      </w:r>
      <w:r>
        <w:rPr>
          <w:snapToGrid w:val="0"/>
        </w:rPr>
        <w:t xml:space="preserve"> berichtet werden sollen, und im Falle der Zustimmung durch den CAJ, ein Entwurf des Dokuments UPOV/INF/22/4 (Dokument UPOV/INF/22/4 Draft 1) dem Rat auf seiner einundfünfzigsten ordentlichen Tagung zur</w:t>
      </w:r>
      <w:r w:rsidR="00216F3B">
        <w:rPr>
          <w:snapToGrid w:val="0"/>
        </w:rPr>
        <w:t xml:space="preserve"> Annahme vorgelegt werden würde</w:t>
      </w:r>
      <w:r w:rsidR="00CC100F" w:rsidRPr="00CC3FCF">
        <w:rPr>
          <w:rStyle w:val="FootnoteReference"/>
          <w:lang w:eastAsia="ja-JP"/>
        </w:rPr>
        <w:footnoteReference w:id="8"/>
      </w:r>
      <w:r w:rsidR="00216F3B">
        <w:rPr>
          <w:rFonts w:eastAsia="MS Mincho"/>
          <w:snapToGrid w:val="0"/>
          <w:lang w:eastAsia="ja-JP"/>
        </w:rPr>
        <w:t xml:space="preserve">. </w:t>
      </w:r>
      <w:r w:rsidR="00CC100F" w:rsidRPr="00CC3FCF">
        <w:rPr>
          <w:rStyle w:val="FootnoteReference"/>
        </w:rPr>
        <w:footnoteReference w:id="9"/>
      </w:r>
    </w:p>
    <w:p w:rsidR="00932FD6" w:rsidRDefault="00932FD6" w:rsidP="00932FD6"/>
    <w:p w:rsidR="00F75A2E" w:rsidRDefault="00F75A2E" w:rsidP="00F75A2E">
      <w:r>
        <w:fldChar w:fldCharType="begin"/>
      </w:r>
      <w:r>
        <w:instrText xml:space="preserve"> AUTONUM  </w:instrText>
      </w:r>
      <w:r>
        <w:fldChar w:fldCharType="end"/>
      </w:r>
      <w:r>
        <w:tab/>
        <w:t>Ein Bericht über die Entschließungen des CAJ auf seiner vierundsiebzigsten Tagung betreffend die Vor</w:t>
      </w:r>
      <w:r w:rsidR="00216F3B">
        <w:t xml:space="preserve">schläge zur Überarbeitung </w:t>
      </w:r>
      <w:r>
        <w:t>von Dokument UPOV/INF/22/3 wird dem Rat auf seiner einundfünfzigsten ordentlichen</w:t>
      </w:r>
      <w:r>
        <w:rPr>
          <w:vertAlign w:val="superscript"/>
        </w:rPr>
        <w:t>7</w:t>
      </w:r>
      <w:r>
        <w:t xml:space="preserve"> Tagung (vgl. Dokument C/51/18 „Bericht des Präsidenten über die Arbeiten der vierundneunzigsten Tagung des Beratenden Ausschusses; gegebenenfalls Annahme von Empfehlungen, die dieser Ausschuß ausgearbeitet hat“) vorgelegt werden.</w:t>
      </w:r>
    </w:p>
    <w:p w:rsidR="00932FD6" w:rsidRPr="00294914" w:rsidRDefault="00932FD6" w:rsidP="00932FD6">
      <w:pPr>
        <w:rPr>
          <w:rFonts w:eastAsia="MS Mincho"/>
        </w:rPr>
      </w:pPr>
    </w:p>
    <w:p w:rsidR="002C5C43" w:rsidRDefault="002C5C43" w:rsidP="002C5C43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Der CAJ wird ersucht,</w:t>
      </w:r>
    </w:p>
    <w:p w:rsidR="002C5C43" w:rsidRDefault="002C5C43" w:rsidP="002C5C43">
      <w:pPr>
        <w:pStyle w:val="DecisionParagraphs"/>
      </w:pPr>
    </w:p>
    <w:p w:rsidR="002C5C43" w:rsidRDefault="002C5C43" w:rsidP="002C5C43">
      <w:pPr>
        <w:pStyle w:val="DecisionParagraphs"/>
      </w:pPr>
      <w:r>
        <w:tab/>
        <w:t>a)</w:t>
      </w:r>
      <w:r>
        <w:tab/>
        <w:t xml:space="preserve"> die vorgeschlagene Überarbeitung von Dokument UPOV/INF/22/3 betreffend </w:t>
      </w:r>
      <w:r>
        <w:rPr>
          <w:snapToGrid w:val="0"/>
        </w:rPr>
        <w:t>von Verbandsmitgliedern verwendete Software und Ausrüstung</w:t>
      </w:r>
      <w:r>
        <w:t>, wie in Dokument UPOV/INF/22/4 Draft 1 dargelegt, zu prüfen; und</w:t>
      </w:r>
    </w:p>
    <w:p w:rsidR="002C5C43" w:rsidRDefault="002C5C43" w:rsidP="002C5C43">
      <w:pPr>
        <w:pStyle w:val="DecisionParagraphs"/>
      </w:pPr>
    </w:p>
    <w:p w:rsidR="002C5C43" w:rsidRPr="0008136F" w:rsidRDefault="002C5C43" w:rsidP="002C5C43">
      <w:pPr>
        <w:tabs>
          <w:tab w:val="left" w:pos="5387"/>
          <w:tab w:val="left" w:pos="5954"/>
        </w:tabs>
        <w:ind w:left="4820"/>
      </w:pPr>
      <w:r>
        <w:rPr>
          <w:i/>
          <w:snapToGrid w:val="0"/>
        </w:rPr>
        <w:tab/>
      </w:r>
      <w:r>
        <w:rPr>
          <w:i/>
        </w:rPr>
        <w:t>b)</w:t>
      </w:r>
      <w:r>
        <w:rPr>
          <w:i/>
        </w:rPr>
        <w:tab/>
        <w:t xml:space="preserve">zur Kenntnis zu nehmen, daß dem Rat auf seiner einundfünfzigsten ordentlichen Tagung vom 26. Oktober 2017 im Falle der Zustimmung durch den CAJ </w:t>
      </w:r>
      <w:r>
        <w:rPr>
          <w:i/>
          <w:snapToGrid w:val="0"/>
        </w:rPr>
        <w:t>ein Entwurf von Dokument UPOV/INF/22 betreffend von Verbandsmitgliedern verwendete Software und Ausrüstung</w:t>
      </w:r>
      <w:r>
        <w:rPr>
          <w:i/>
        </w:rPr>
        <w:t xml:space="preserve"> vorgelegt werden würde.</w:t>
      </w:r>
    </w:p>
    <w:p w:rsidR="00932FD6" w:rsidRPr="00294914" w:rsidRDefault="00932FD6" w:rsidP="002C5C43">
      <w:pPr>
        <w:rPr>
          <w:lang w:eastAsia="zh-CN"/>
        </w:rPr>
      </w:pPr>
    </w:p>
    <w:bookmarkEnd w:id="14"/>
    <w:p w:rsidR="0080633F" w:rsidRPr="0008136F" w:rsidRDefault="0080633F" w:rsidP="002C5C43">
      <w:pPr>
        <w:rPr>
          <w:lang w:eastAsia="ja-JP"/>
        </w:rPr>
      </w:pPr>
    </w:p>
    <w:p w:rsidR="0080633F" w:rsidRPr="0008136F" w:rsidRDefault="0080633F" w:rsidP="002C5C43">
      <w:pPr>
        <w:rPr>
          <w:lang w:eastAsia="ja-JP"/>
        </w:rPr>
      </w:pPr>
    </w:p>
    <w:p w:rsidR="00360B4F" w:rsidRDefault="0080633F" w:rsidP="00D72C4A">
      <w:pPr>
        <w:jc w:val="right"/>
      </w:pPr>
      <w:r>
        <w:t xml:space="preserve">[Ende des Dokuments] </w:t>
      </w:r>
    </w:p>
    <w:p w:rsidR="00360B4F" w:rsidRPr="0008136F" w:rsidRDefault="00360B4F" w:rsidP="0080633F"/>
    <w:sectPr w:rsidR="00360B4F" w:rsidRPr="0008136F" w:rsidSect="00D72C4A">
      <w:headerReference w:type="default" r:id="rId12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FC" w:rsidRDefault="00DA6EFC" w:rsidP="006655D3">
      <w:r>
        <w:separator/>
      </w:r>
    </w:p>
    <w:p w:rsidR="00DA6EFC" w:rsidRDefault="00DA6EFC" w:rsidP="006655D3"/>
    <w:p w:rsidR="00DA6EFC" w:rsidRDefault="00DA6EFC" w:rsidP="006655D3"/>
  </w:endnote>
  <w:endnote w:type="continuationSeparator" w:id="0">
    <w:p w:rsidR="00DA6EFC" w:rsidRDefault="00DA6EFC" w:rsidP="006655D3">
      <w:r>
        <w:separator/>
      </w:r>
    </w:p>
    <w:p w:rsidR="00DA6EFC" w:rsidRPr="00294751" w:rsidRDefault="00DA6EF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6EFC" w:rsidRPr="00294751" w:rsidRDefault="00DA6EFC" w:rsidP="006655D3">
      <w:pPr>
        <w:rPr>
          <w:lang w:val="fr-FR"/>
        </w:rPr>
      </w:pPr>
    </w:p>
    <w:p w:rsidR="00DA6EFC" w:rsidRPr="00294751" w:rsidRDefault="00DA6EFC" w:rsidP="006655D3">
      <w:pPr>
        <w:rPr>
          <w:lang w:val="fr-FR"/>
        </w:rPr>
      </w:pPr>
    </w:p>
  </w:endnote>
  <w:endnote w:type="continuationNotice" w:id="1">
    <w:p w:rsidR="00DA6EFC" w:rsidRPr="00294751" w:rsidRDefault="00DA6EF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6EFC" w:rsidRPr="00294751" w:rsidRDefault="00DA6EFC" w:rsidP="006655D3">
      <w:pPr>
        <w:rPr>
          <w:lang w:val="fr-FR"/>
        </w:rPr>
      </w:pPr>
    </w:p>
    <w:p w:rsidR="00DA6EFC" w:rsidRPr="00294751" w:rsidRDefault="00DA6EF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FC" w:rsidRDefault="00DA6EFC" w:rsidP="006655D3">
      <w:r>
        <w:separator/>
      </w:r>
    </w:p>
  </w:footnote>
  <w:footnote w:type="continuationSeparator" w:id="0">
    <w:p w:rsidR="00DA6EFC" w:rsidRDefault="00DA6EFC" w:rsidP="006655D3">
      <w:r>
        <w:separator/>
      </w:r>
    </w:p>
  </w:footnote>
  <w:footnote w:type="continuationNotice" w:id="1">
    <w:p w:rsidR="00DA6EFC" w:rsidRPr="00AB530F" w:rsidRDefault="00DA6EFC" w:rsidP="00AB530F">
      <w:pPr>
        <w:pStyle w:val="Footer"/>
      </w:pPr>
    </w:p>
  </w:footnote>
  <w:footnote w:id="2">
    <w:p w:rsidR="004A5257" w:rsidRDefault="004A5257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Abgehalten vom 3. bis 5. April 2017 in Genf.</w:t>
      </w:r>
    </w:p>
  </w:footnote>
  <w:footnote w:id="3">
    <w:p w:rsidR="002C5C43" w:rsidRDefault="002C5C43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Wird am 23. und 24. Oktober 2017 in Genf abgehalten.</w:t>
      </w:r>
    </w:p>
  </w:footnote>
  <w:footnote w:id="4">
    <w:p w:rsidR="004A5257" w:rsidRDefault="004A5257" w:rsidP="00507AFF">
      <w:pPr>
        <w:pStyle w:val="FootnoteText"/>
        <w:ind w:left="284" w:hanging="284"/>
      </w:pPr>
      <w:r>
        <w:rPr>
          <w:rStyle w:val="FootnoteReference"/>
        </w:rPr>
        <w:footnoteRef/>
      </w:r>
      <w:r w:rsidR="00CC100F">
        <w:tab/>
        <w:t>Wird am und 26</w:t>
      </w:r>
      <w:r>
        <w:t>. Oktober 2017 in Genf abgehalten.</w:t>
      </w:r>
    </w:p>
  </w:footnote>
  <w:footnote w:id="5">
    <w:p w:rsidR="002C5C43" w:rsidRPr="00DA760B" w:rsidRDefault="002C5C43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Vergleiche Dokument </w:t>
      </w:r>
      <w:hyperlink r:id="rId1" w:history="1">
        <w:r>
          <w:rPr>
            <w:rStyle w:val="Hyperlink"/>
          </w:rPr>
          <w:t>TC/53/31</w:t>
        </w:r>
      </w:hyperlink>
      <w:r>
        <w:t xml:space="preserve"> „Bericht“, Absätze 166 bis 169.</w:t>
      </w:r>
    </w:p>
  </w:footnote>
  <w:footnote w:id="6">
    <w:p w:rsidR="00D72C4A" w:rsidRDefault="00D72C4A" w:rsidP="00507AFF">
      <w:pPr>
        <w:pStyle w:val="FootnoteText"/>
        <w:ind w:left="284" w:hanging="284"/>
      </w:pPr>
      <w:r>
        <w:rPr>
          <w:rStyle w:val="FootnoteReference"/>
        </w:rPr>
        <w:footnoteRef/>
      </w:r>
      <w:r>
        <w:tab/>
        <w:t>Abgehalten vom 3. bis 5. April 2017 in Genf.</w:t>
      </w:r>
    </w:p>
  </w:footnote>
  <w:footnote w:id="7">
    <w:p w:rsidR="00216F3B" w:rsidRPr="00216F3B" w:rsidRDefault="00216F3B" w:rsidP="00216F3B">
      <w:pPr>
        <w:pStyle w:val="FootnoteText"/>
        <w:ind w:left="284" w:hanging="284"/>
      </w:pPr>
      <w:r>
        <w:rPr>
          <w:rStyle w:val="FootnoteReference"/>
        </w:rPr>
        <w:footnoteRef/>
      </w:r>
      <w:r w:rsidRPr="00216F3B">
        <w:tab/>
      </w:r>
      <w:r w:rsidRPr="00997538">
        <w:t>Wird am 23. und 24. Oktober 2017 in Genf abgehalten</w:t>
      </w:r>
      <w:r w:rsidRPr="00216F3B">
        <w:t>.</w:t>
      </w:r>
    </w:p>
  </w:footnote>
  <w:footnote w:id="8">
    <w:p w:rsidR="00CC100F" w:rsidRPr="00216F3B" w:rsidRDefault="00CC100F" w:rsidP="00CC100F">
      <w:pPr>
        <w:pStyle w:val="FootnoteText"/>
        <w:ind w:left="284" w:hanging="284"/>
      </w:pPr>
      <w:r>
        <w:rPr>
          <w:rStyle w:val="FootnoteReference"/>
        </w:rPr>
        <w:footnoteRef/>
      </w:r>
      <w:r w:rsidRPr="00216F3B">
        <w:tab/>
      </w:r>
      <w:r w:rsidR="00216F3B" w:rsidRPr="00997538">
        <w:t>Wird am 26. Oktober 2017 in Genf abgehalten</w:t>
      </w:r>
      <w:r w:rsidRPr="00216F3B">
        <w:t>.</w:t>
      </w:r>
    </w:p>
  </w:footnote>
  <w:footnote w:id="9">
    <w:p w:rsidR="00CC100F" w:rsidRPr="00216F3B" w:rsidRDefault="00CC100F" w:rsidP="00CC100F">
      <w:pPr>
        <w:pStyle w:val="FootnoteText"/>
        <w:ind w:left="284" w:hanging="284"/>
        <w:rPr>
          <w:lang w:eastAsia="ja-JP"/>
        </w:rPr>
      </w:pPr>
      <w:r>
        <w:rPr>
          <w:rStyle w:val="FootnoteReference"/>
        </w:rPr>
        <w:footnoteRef/>
      </w:r>
      <w:r w:rsidRPr="00216F3B">
        <w:t xml:space="preserve"> </w:t>
      </w:r>
      <w:r w:rsidRPr="00216F3B">
        <w:rPr>
          <w:rFonts w:hint="eastAsia"/>
          <w:lang w:eastAsia="ja-JP"/>
        </w:rPr>
        <w:tab/>
      </w:r>
      <w:r w:rsidR="00216F3B" w:rsidRPr="00997538">
        <w:rPr>
          <w:lang w:eastAsia="ja-JP"/>
        </w:rPr>
        <w:t>Vergleiche Dok</w:t>
      </w:r>
      <w:r w:rsidR="00216F3B" w:rsidRPr="00997538">
        <w:rPr>
          <w:rFonts w:hint="eastAsia"/>
          <w:lang w:eastAsia="ja-JP"/>
        </w:rPr>
        <w:t xml:space="preserve">ument </w:t>
      </w:r>
      <w:hyperlink r:id="rId2" w:history="1">
        <w:r w:rsidR="00216F3B" w:rsidRPr="00997538">
          <w:rPr>
            <w:rStyle w:val="Hyperlink"/>
            <w:rFonts w:eastAsiaTheme="minorEastAsia" w:hint="eastAsia"/>
            <w:lang w:eastAsia="ja-JP"/>
          </w:rPr>
          <w:t>TC/5</w:t>
        </w:r>
        <w:r w:rsidR="00216F3B" w:rsidRPr="00997538">
          <w:rPr>
            <w:rStyle w:val="Hyperlink"/>
            <w:rFonts w:eastAsiaTheme="minorEastAsia"/>
            <w:lang w:eastAsia="ja-JP"/>
          </w:rPr>
          <w:t>3</w:t>
        </w:r>
        <w:r w:rsidR="00216F3B" w:rsidRPr="00997538">
          <w:rPr>
            <w:rStyle w:val="Hyperlink"/>
            <w:rFonts w:eastAsiaTheme="minorEastAsia" w:hint="eastAsia"/>
            <w:lang w:eastAsia="ja-JP"/>
          </w:rPr>
          <w:t>/</w:t>
        </w:r>
        <w:r w:rsidR="00216F3B" w:rsidRPr="00997538">
          <w:rPr>
            <w:rStyle w:val="Hyperlink"/>
            <w:rFonts w:eastAsiaTheme="minorEastAsia"/>
            <w:lang w:eastAsia="ja-JP"/>
          </w:rPr>
          <w:t>31</w:t>
        </w:r>
      </w:hyperlink>
      <w:r w:rsidR="00216F3B" w:rsidRPr="00997538">
        <w:rPr>
          <w:rFonts w:hint="eastAsia"/>
          <w:lang w:eastAsia="ja-JP"/>
        </w:rPr>
        <w:t xml:space="preserve"> </w:t>
      </w:r>
      <w:r w:rsidR="00216F3B">
        <w:rPr>
          <w:lang w:eastAsia="ja-JP"/>
        </w:rPr>
        <w:t>„Bericht</w:t>
      </w:r>
      <w:r w:rsidR="00216F3B" w:rsidRPr="00997538">
        <w:rPr>
          <w:lang w:eastAsia="ja-JP"/>
        </w:rPr>
        <w:t>”</w:t>
      </w:r>
      <w:r w:rsidR="00216F3B">
        <w:rPr>
          <w:rFonts w:hint="eastAsia"/>
          <w:lang w:eastAsia="ja-JP"/>
        </w:rPr>
        <w:t xml:space="preserve">, </w:t>
      </w:r>
      <w:r w:rsidR="00216F3B">
        <w:rPr>
          <w:lang w:eastAsia="ja-JP"/>
        </w:rPr>
        <w:t>Absätze</w:t>
      </w:r>
      <w:r w:rsidR="00216F3B" w:rsidRPr="00997538">
        <w:rPr>
          <w:rFonts w:hint="eastAsia"/>
          <w:lang w:eastAsia="ja-JP"/>
        </w:rPr>
        <w:t xml:space="preserve"> 1</w:t>
      </w:r>
      <w:r w:rsidR="00216F3B">
        <w:rPr>
          <w:lang w:eastAsia="ja-JP"/>
        </w:rPr>
        <w:t>71 bis</w:t>
      </w:r>
      <w:r w:rsidR="00216F3B" w:rsidRPr="00997538">
        <w:rPr>
          <w:lang w:eastAsia="ja-JP"/>
        </w:rPr>
        <w:t xml:space="preserve"> 174</w:t>
      </w:r>
      <w:r w:rsidRPr="00216F3B">
        <w:rPr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B05" w:rsidRDefault="00F15B05">
    <w:pPr>
      <w:pStyle w:val="Header"/>
    </w:pPr>
    <w:r>
      <w:t>CAJ/74/6</w:t>
    </w:r>
  </w:p>
  <w:p w:rsidR="00F15B05" w:rsidRDefault="00F15B05">
    <w:pPr>
      <w:pStyle w:val="Header"/>
      <w:rPr>
        <w:noProof/>
      </w:rPr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E0B4C">
      <w:rPr>
        <w:noProof/>
      </w:rPr>
      <w:t>3</w:t>
    </w:r>
    <w:r>
      <w:rPr>
        <w:noProof/>
      </w:rPr>
      <w:fldChar w:fldCharType="end"/>
    </w:r>
  </w:p>
  <w:p w:rsidR="00F15B05" w:rsidRDefault="00F15B05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1B15D02"/>
    <w:multiLevelType w:val="hybridMultilevel"/>
    <w:tmpl w:val="F7ECAA1A"/>
    <w:lvl w:ilvl="0" w:tplc="733C26C0">
      <w:start w:val="1"/>
      <w:numFmt w:val="lowerLetter"/>
      <w:lvlText w:val="(%1)"/>
      <w:lvlJc w:val="left"/>
      <w:pPr>
        <w:ind w:left="652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8"/>
  </w:num>
  <w:num w:numId="5">
    <w:abstractNumId w:val="9"/>
  </w:num>
  <w:num w:numId="6">
    <w:abstractNumId w:val="1"/>
  </w:num>
  <w:num w:numId="7">
    <w:abstractNumId w:val="21"/>
  </w:num>
  <w:num w:numId="8">
    <w:abstractNumId w:val="5"/>
  </w:num>
  <w:num w:numId="9">
    <w:abstractNumId w:val="2"/>
  </w:num>
  <w:num w:numId="10">
    <w:abstractNumId w:val="15"/>
  </w:num>
  <w:num w:numId="11">
    <w:abstractNumId w:val="3"/>
  </w:num>
  <w:num w:numId="12">
    <w:abstractNumId w:val="17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  <w:num w:numId="17">
    <w:abstractNumId w:val="16"/>
  </w:num>
  <w:num w:numId="18">
    <w:abstractNumId w:val="7"/>
  </w:num>
  <w:num w:numId="19">
    <w:abstractNumId w:val="13"/>
  </w:num>
  <w:num w:numId="20">
    <w:abstractNumId w:val="20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3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0E31"/>
    <w:rsid w:val="000634D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C64E1"/>
    <w:rsid w:val="001E0B4C"/>
    <w:rsid w:val="0021332C"/>
    <w:rsid w:val="00213982"/>
    <w:rsid w:val="00216F3B"/>
    <w:rsid w:val="0024416D"/>
    <w:rsid w:val="0025153D"/>
    <w:rsid w:val="00271911"/>
    <w:rsid w:val="002800A0"/>
    <w:rsid w:val="002801B3"/>
    <w:rsid w:val="00281060"/>
    <w:rsid w:val="002940E8"/>
    <w:rsid w:val="00294751"/>
    <w:rsid w:val="002A3814"/>
    <w:rsid w:val="002A6E50"/>
    <w:rsid w:val="002B4298"/>
    <w:rsid w:val="002B7A36"/>
    <w:rsid w:val="002C256A"/>
    <w:rsid w:val="002C5C43"/>
    <w:rsid w:val="00305A7F"/>
    <w:rsid w:val="003152FE"/>
    <w:rsid w:val="00322B8C"/>
    <w:rsid w:val="00327436"/>
    <w:rsid w:val="00344BD6"/>
    <w:rsid w:val="0035215A"/>
    <w:rsid w:val="0035528D"/>
    <w:rsid w:val="00360B4F"/>
    <w:rsid w:val="00361821"/>
    <w:rsid w:val="00361E9E"/>
    <w:rsid w:val="00374B58"/>
    <w:rsid w:val="003B19E7"/>
    <w:rsid w:val="003C7FBE"/>
    <w:rsid w:val="003D227C"/>
    <w:rsid w:val="003D2B4D"/>
    <w:rsid w:val="00411789"/>
    <w:rsid w:val="00430EFC"/>
    <w:rsid w:val="00444A88"/>
    <w:rsid w:val="004719CA"/>
    <w:rsid w:val="00474DA4"/>
    <w:rsid w:val="00476B4D"/>
    <w:rsid w:val="004805FA"/>
    <w:rsid w:val="004935D2"/>
    <w:rsid w:val="004A5257"/>
    <w:rsid w:val="004B1215"/>
    <w:rsid w:val="004D047D"/>
    <w:rsid w:val="004F1E9E"/>
    <w:rsid w:val="004F305A"/>
    <w:rsid w:val="00507AFF"/>
    <w:rsid w:val="00512164"/>
    <w:rsid w:val="00520297"/>
    <w:rsid w:val="005338F9"/>
    <w:rsid w:val="0054281C"/>
    <w:rsid w:val="00544581"/>
    <w:rsid w:val="0055268D"/>
    <w:rsid w:val="00565C46"/>
    <w:rsid w:val="00576BE4"/>
    <w:rsid w:val="005779DB"/>
    <w:rsid w:val="0058051C"/>
    <w:rsid w:val="005A400A"/>
    <w:rsid w:val="005B2B28"/>
    <w:rsid w:val="005F7B92"/>
    <w:rsid w:val="00612379"/>
    <w:rsid w:val="006153B6"/>
    <w:rsid w:val="0061555F"/>
    <w:rsid w:val="00621370"/>
    <w:rsid w:val="00636CA6"/>
    <w:rsid w:val="00641200"/>
    <w:rsid w:val="00642CB9"/>
    <w:rsid w:val="00645CA8"/>
    <w:rsid w:val="006655D3"/>
    <w:rsid w:val="00667404"/>
    <w:rsid w:val="0068219A"/>
    <w:rsid w:val="00687EB4"/>
    <w:rsid w:val="00695C56"/>
    <w:rsid w:val="006A5CDE"/>
    <w:rsid w:val="006A644A"/>
    <w:rsid w:val="006B17D2"/>
    <w:rsid w:val="006C224E"/>
    <w:rsid w:val="006D780A"/>
    <w:rsid w:val="007048A1"/>
    <w:rsid w:val="007101C5"/>
    <w:rsid w:val="0071271E"/>
    <w:rsid w:val="00732DEC"/>
    <w:rsid w:val="00735BD5"/>
    <w:rsid w:val="007451EC"/>
    <w:rsid w:val="00751613"/>
    <w:rsid w:val="00753EE9"/>
    <w:rsid w:val="007556F6"/>
    <w:rsid w:val="00760EEF"/>
    <w:rsid w:val="00771E7C"/>
    <w:rsid w:val="00777EE5"/>
    <w:rsid w:val="00784836"/>
    <w:rsid w:val="0079023E"/>
    <w:rsid w:val="007A2854"/>
    <w:rsid w:val="007C1D92"/>
    <w:rsid w:val="007C4CB9"/>
    <w:rsid w:val="007D0B9D"/>
    <w:rsid w:val="007D19B0"/>
    <w:rsid w:val="007E5637"/>
    <w:rsid w:val="007F498F"/>
    <w:rsid w:val="0080633F"/>
    <w:rsid w:val="0080679D"/>
    <w:rsid w:val="00810387"/>
    <w:rsid w:val="008108B0"/>
    <w:rsid w:val="00811B20"/>
    <w:rsid w:val="00812609"/>
    <w:rsid w:val="008157C1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15CF"/>
    <w:rsid w:val="00932FD6"/>
    <w:rsid w:val="00934E09"/>
    <w:rsid w:val="00936253"/>
    <w:rsid w:val="00940D46"/>
    <w:rsid w:val="00951F6E"/>
    <w:rsid w:val="00952DD4"/>
    <w:rsid w:val="00965AE7"/>
    <w:rsid w:val="00970FED"/>
    <w:rsid w:val="00992D82"/>
    <w:rsid w:val="00997029"/>
    <w:rsid w:val="009979E5"/>
    <w:rsid w:val="009A7339"/>
    <w:rsid w:val="009B440E"/>
    <w:rsid w:val="009D3E5E"/>
    <w:rsid w:val="009D690D"/>
    <w:rsid w:val="009E1548"/>
    <w:rsid w:val="009E65B6"/>
    <w:rsid w:val="009E6794"/>
    <w:rsid w:val="009F77CF"/>
    <w:rsid w:val="00A1666E"/>
    <w:rsid w:val="00A24C10"/>
    <w:rsid w:val="00A31891"/>
    <w:rsid w:val="00A31DBD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0EC9"/>
    <w:rsid w:val="00B84BBD"/>
    <w:rsid w:val="00BA43FB"/>
    <w:rsid w:val="00BC127D"/>
    <w:rsid w:val="00BC1FE6"/>
    <w:rsid w:val="00BD1A3C"/>
    <w:rsid w:val="00BE7CF5"/>
    <w:rsid w:val="00C061B6"/>
    <w:rsid w:val="00C2446C"/>
    <w:rsid w:val="00C36AE5"/>
    <w:rsid w:val="00C41F17"/>
    <w:rsid w:val="00C44DB0"/>
    <w:rsid w:val="00C527FA"/>
    <w:rsid w:val="00C5280D"/>
    <w:rsid w:val="00C53EB3"/>
    <w:rsid w:val="00C5791C"/>
    <w:rsid w:val="00C66290"/>
    <w:rsid w:val="00C72B7A"/>
    <w:rsid w:val="00C952A5"/>
    <w:rsid w:val="00C973F2"/>
    <w:rsid w:val="00CA304C"/>
    <w:rsid w:val="00CA774A"/>
    <w:rsid w:val="00CC100F"/>
    <w:rsid w:val="00CC11B0"/>
    <w:rsid w:val="00CC2841"/>
    <w:rsid w:val="00CF1330"/>
    <w:rsid w:val="00CF7E36"/>
    <w:rsid w:val="00D17440"/>
    <w:rsid w:val="00D3708D"/>
    <w:rsid w:val="00D40426"/>
    <w:rsid w:val="00D57C96"/>
    <w:rsid w:val="00D57D18"/>
    <w:rsid w:val="00D72C4A"/>
    <w:rsid w:val="00D91203"/>
    <w:rsid w:val="00D93300"/>
    <w:rsid w:val="00D95174"/>
    <w:rsid w:val="00DA4973"/>
    <w:rsid w:val="00DA6EFC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2A0F"/>
    <w:rsid w:val="00E63C0E"/>
    <w:rsid w:val="00E72D49"/>
    <w:rsid w:val="00E7593C"/>
    <w:rsid w:val="00E7678A"/>
    <w:rsid w:val="00E85A7C"/>
    <w:rsid w:val="00E86C42"/>
    <w:rsid w:val="00E935F1"/>
    <w:rsid w:val="00E94A81"/>
    <w:rsid w:val="00EA1FFB"/>
    <w:rsid w:val="00EB048E"/>
    <w:rsid w:val="00EB4E9C"/>
    <w:rsid w:val="00EE34DF"/>
    <w:rsid w:val="00EF2F89"/>
    <w:rsid w:val="00F01ACA"/>
    <w:rsid w:val="00F03E98"/>
    <w:rsid w:val="00F1237A"/>
    <w:rsid w:val="00F15B05"/>
    <w:rsid w:val="00F22CBD"/>
    <w:rsid w:val="00F272F1"/>
    <w:rsid w:val="00F45372"/>
    <w:rsid w:val="00F560F7"/>
    <w:rsid w:val="00F6334D"/>
    <w:rsid w:val="00F63599"/>
    <w:rsid w:val="00F75A2E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32FD6"/>
    <w:pPr>
      <w:keepNext/>
      <w:ind w:left="1701" w:hanging="1701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FD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0633F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80633F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0633F"/>
    <w:pPr>
      <w:spacing w:before="0" w:line="280" w:lineRule="exact"/>
      <w:ind w:left="1589"/>
      <w:contextualSpacing w:val="0"/>
    </w:pPr>
    <w:rPr>
      <w:rFonts w:eastAsiaTheme="minorEastAsi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0633F"/>
    <w:rPr>
      <w:rFonts w:ascii="Arial" w:eastAsiaTheme="minorEastAsia" w:hAnsi="Arial"/>
      <w:b/>
      <w:bCs/>
      <w:spacing w:val="10"/>
      <w:sz w:val="18"/>
      <w:lang w:val="de-DE" w:eastAsia="en-US" w:bidi="ar-SA"/>
    </w:rPr>
  </w:style>
  <w:style w:type="paragraph" w:customStyle="1" w:styleId="StyleDocnumber">
    <w:name w:val="Style Doc_number"/>
    <w:basedOn w:val="Docoriginal"/>
    <w:rsid w:val="0080633F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80633F"/>
    <w:pPr>
      <w:spacing w:before="0" w:line="280" w:lineRule="exact"/>
      <w:ind w:left="1361"/>
      <w:contextualSpacing w:val="0"/>
      <w:jc w:val="both"/>
    </w:pPr>
    <w:rPr>
      <w:rFonts w:eastAsiaTheme="minorEastAsia"/>
    </w:rPr>
  </w:style>
  <w:style w:type="character" w:customStyle="1" w:styleId="StyleDocoriginalChar">
    <w:name w:val="Style Doc_original Char"/>
    <w:basedOn w:val="DocoriginalChar"/>
    <w:link w:val="StyleDocoriginal"/>
    <w:rsid w:val="0080633F"/>
    <w:rPr>
      <w:rFonts w:ascii="Arial" w:eastAsiaTheme="minorEastAsia" w:hAnsi="Arial"/>
      <w:b/>
      <w:bCs/>
      <w:spacing w:val="10"/>
      <w:sz w:val="18"/>
      <w:lang w:val="de-DE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80633F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80633F"/>
    <w:rPr>
      <w:rFonts w:ascii="Arial" w:eastAsiaTheme="minorEastAsia" w:hAnsi="Arial"/>
      <w:b w:val="0"/>
      <w:bCs w:val="0"/>
      <w:spacing w:val="10"/>
      <w:sz w:val="18"/>
      <w:lang w:val="de-DE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80633F"/>
    <w:rPr>
      <w:rFonts w:ascii="Arial" w:eastAsiaTheme="minorEastAsia" w:hAnsi="Arial"/>
      <w:b w:val="0"/>
      <w:bCs w:val="0"/>
      <w:spacing w:val="10"/>
      <w:sz w:val="18"/>
      <w:lang w:val="de-DE" w:eastAsia="en-US" w:bidi="ar-SA"/>
    </w:rPr>
  </w:style>
  <w:style w:type="character" w:customStyle="1" w:styleId="StyleDoclangBold">
    <w:name w:val="Style Doc_lang + Bold"/>
    <w:basedOn w:val="Doclang"/>
    <w:rsid w:val="0080633F"/>
    <w:rPr>
      <w:rFonts w:ascii="Arial" w:hAnsi="Arial"/>
      <w:b/>
      <w:bCs/>
      <w:sz w:val="20"/>
      <w:lang w:val="de-DE"/>
    </w:rPr>
  </w:style>
  <w:style w:type="paragraph" w:styleId="ListParagraph">
    <w:name w:val="List Paragraph"/>
    <w:basedOn w:val="Normal"/>
    <w:uiPriority w:val="34"/>
    <w:qFormat/>
    <w:rsid w:val="0080633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0633F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063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32FD6"/>
    <w:pPr>
      <w:keepNext/>
      <w:ind w:left="1701" w:hanging="1701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FD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0633F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80633F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0633F"/>
    <w:pPr>
      <w:spacing w:before="0" w:line="280" w:lineRule="exact"/>
      <w:ind w:left="1589"/>
      <w:contextualSpacing w:val="0"/>
    </w:pPr>
    <w:rPr>
      <w:rFonts w:eastAsiaTheme="minorEastAsi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0633F"/>
    <w:rPr>
      <w:rFonts w:ascii="Arial" w:eastAsiaTheme="minorEastAsia" w:hAnsi="Arial"/>
      <w:b/>
      <w:bCs/>
      <w:spacing w:val="10"/>
      <w:sz w:val="18"/>
      <w:lang w:val="de-DE" w:eastAsia="en-US" w:bidi="ar-SA"/>
    </w:rPr>
  </w:style>
  <w:style w:type="paragraph" w:customStyle="1" w:styleId="StyleDocnumber">
    <w:name w:val="Style Doc_number"/>
    <w:basedOn w:val="Docoriginal"/>
    <w:rsid w:val="0080633F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80633F"/>
    <w:pPr>
      <w:spacing w:before="0" w:line="280" w:lineRule="exact"/>
      <w:ind w:left="1361"/>
      <w:contextualSpacing w:val="0"/>
      <w:jc w:val="both"/>
    </w:pPr>
    <w:rPr>
      <w:rFonts w:eastAsiaTheme="minorEastAsia"/>
    </w:rPr>
  </w:style>
  <w:style w:type="character" w:customStyle="1" w:styleId="StyleDocoriginalChar">
    <w:name w:val="Style Doc_original Char"/>
    <w:basedOn w:val="DocoriginalChar"/>
    <w:link w:val="StyleDocoriginal"/>
    <w:rsid w:val="0080633F"/>
    <w:rPr>
      <w:rFonts w:ascii="Arial" w:eastAsiaTheme="minorEastAsia" w:hAnsi="Arial"/>
      <w:b/>
      <w:bCs/>
      <w:spacing w:val="10"/>
      <w:sz w:val="18"/>
      <w:lang w:val="de-DE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80633F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80633F"/>
    <w:rPr>
      <w:rFonts w:ascii="Arial" w:eastAsiaTheme="minorEastAsia" w:hAnsi="Arial"/>
      <w:b w:val="0"/>
      <w:bCs w:val="0"/>
      <w:spacing w:val="10"/>
      <w:sz w:val="18"/>
      <w:lang w:val="de-DE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80633F"/>
    <w:rPr>
      <w:rFonts w:ascii="Arial" w:eastAsiaTheme="minorEastAsia" w:hAnsi="Arial"/>
      <w:b w:val="0"/>
      <w:bCs w:val="0"/>
      <w:spacing w:val="10"/>
      <w:sz w:val="18"/>
      <w:lang w:val="de-DE" w:eastAsia="en-US" w:bidi="ar-SA"/>
    </w:rPr>
  </w:style>
  <w:style w:type="character" w:customStyle="1" w:styleId="StyleDoclangBold">
    <w:name w:val="Style Doc_lang + Bold"/>
    <w:basedOn w:val="Doclang"/>
    <w:rsid w:val="0080633F"/>
    <w:rPr>
      <w:rFonts w:ascii="Arial" w:hAnsi="Arial"/>
      <w:b/>
      <w:bCs/>
      <w:sz w:val="20"/>
      <w:lang w:val="de-DE"/>
    </w:rPr>
  </w:style>
  <w:style w:type="paragraph" w:styleId="ListParagraph">
    <w:name w:val="List Paragraph"/>
    <w:basedOn w:val="Normal"/>
    <w:uiPriority w:val="34"/>
    <w:qFormat/>
    <w:rsid w:val="0080633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0633F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.roberts@bioss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uardo.padilla@snic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uel.villaissa@sagarpa.gob.m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ov.int/meetings/en/details.jsp?meeting_id=42485" TargetMode="External"/><Relationship Id="rId1" Type="http://schemas.openxmlformats.org/officeDocument/2006/relationships/hyperlink" Target="http://www.upov.int/meetings/en/details.jsp?meeting_id=42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2017-09-30T10:22:00Z</dcterms:created>
  <dcterms:modified xsi:type="dcterms:W3CDTF">2017-10-02T16:24:00Z</dcterms:modified>
</cp:coreProperties>
</file>