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lang w:val="en-US" w:eastAsia="en-US" w:bidi="ar-SA"/>
              </w:rPr>
              <w:drawing>
                <wp:inline distT="0" distB="0" distL="0" distR="0" wp14:anchorId="37B9C468" wp14:editId="6CB09FA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t>G</w:t>
            </w:r>
          </w:p>
          <w:p w:rsidR="000D7780" w:rsidRPr="00997029" w:rsidRDefault="0061574C" w:rsidP="00474DA4">
            <w:pPr>
              <w:pStyle w:val="Docoriginal"/>
              <w:jc w:val="left"/>
            </w:pPr>
            <w:r>
              <w:t>CAJ/73/</w:t>
            </w:r>
            <w:bookmarkStart w:id="0" w:name="Code"/>
            <w:bookmarkEnd w:id="0"/>
            <w:r>
              <w:t>3</w:t>
            </w:r>
          </w:p>
          <w:p w:rsidR="000D7780" w:rsidRPr="00735BD5" w:rsidRDefault="0061555F" w:rsidP="00474DA4">
            <w:pPr>
              <w:pStyle w:val="Docoriginal"/>
              <w:jc w:val="left"/>
            </w:pPr>
            <w:r>
              <w:rPr>
                <w:rStyle w:val="StyleDoclangBold"/>
                <w:b/>
                <w:spacing w:val="0"/>
              </w:rPr>
              <w:t>ORIGINAL:</w:t>
            </w:r>
            <w:r>
              <w:rPr>
                <w:rStyle w:val="StyleDocoriginalNotBold1"/>
                <w:spacing w:val="0"/>
              </w:rPr>
              <w:t xml:space="preserve">  </w:t>
            </w:r>
            <w:bookmarkStart w:id="1" w:name="Original"/>
            <w:bookmarkEnd w:id="1"/>
            <w:r>
              <w:rPr>
                <w:b w:val="0"/>
                <w:spacing w:val="0"/>
              </w:rPr>
              <w:t>englisch</w:t>
            </w:r>
          </w:p>
          <w:p w:rsidR="000D7780" w:rsidRPr="00EB3EFA" w:rsidRDefault="000D7780" w:rsidP="00331A9E">
            <w:pPr>
              <w:pStyle w:val="Docoriginal"/>
              <w:jc w:val="left"/>
              <w:rPr>
                <w:b w:val="0"/>
                <w:spacing w:val="0"/>
                <w:highlight w:val="cyan"/>
              </w:rPr>
            </w:pPr>
            <w:r>
              <w:t>DATUM:</w:t>
            </w:r>
            <w:r>
              <w:rPr>
                <w:b w:val="0"/>
                <w:spacing w:val="0"/>
              </w:rPr>
              <w:t xml:space="preserve"> </w:t>
            </w:r>
            <w:r>
              <w:rPr>
                <w:rStyle w:val="StyleDocoriginalNotBold1"/>
                <w:spacing w:val="0"/>
              </w:rPr>
              <w:t xml:space="preserve"> </w:t>
            </w:r>
            <w:bookmarkStart w:id="2" w:name="Date"/>
            <w:bookmarkEnd w:id="2"/>
            <w:r>
              <w:rPr>
                <w:rStyle w:val="StyleDocoriginalNotBold1"/>
                <w:spacing w:val="0"/>
              </w:rPr>
              <w:t xml:space="preserve"> </w:t>
            </w:r>
            <w:r w:rsidR="00331A9E">
              <w:rPr>
                <w:rStyle w:val="StyleDocoriginalNotBold1"/>
                <w:spacing w:val="0"/>
              </w:rPr>
              <w:t>11</w:t>
            </w:r>
            <w:r>
              <w:rPr>
                <w:rStyle w:val="StyleDocoriginalNotBold1"/>
                <w:spacing w:val="0"/>
              </w:rPr>
              <w:t>. Oktober 2016</w:t>
            </w:r>
          </w:p>
        </w:tc>
      </w:tr>
      <w:tr w:rsidR="000D7780" w:rsidRPr="00997029" w:rsidTr="00FB0D37">
        <w:tc>
          <w:tcPr>
            <w:tcW w:w="10131" w:type="dxa"/>
            <w:gridSpan w:val="3"/>
          </w:tcPr>
          <w:p w:rsidR="000D7780" w:rsidRPr="00997029" w:rsidRDefault="0024416D" w:rsidP="0080679D">
            <w:pPr>
              <w:pStyle w:val="upove"/>
              <w:rPr>
                <w:sz w:val="28"/>
              </w:rPr>
            </w:pPr>
            <w:r>
              <w:t xml:space="preserve">INTERNATIONALER VERBAND ZUM SCHUTZ VON PFLANZENZÜCHTUNGEN </w:t>
            </w:r>
          </w:p>
        </w:tc>
      </w:tr>
      <w:tr w:rsidR="000D7780" w:rsidRPr="00997029" w:rsidTr="00FB0D37">
        <w:tc>
          <w:tcPr>
            <w:tcW w:w="10131" w:type="dxa"/>
            <w:gridSpan w:val="3"/>
          </w:tcPr>
          <w:p w:rsidR="000D7780" w:rsidRPr="00997029" w:rsidRDefault="00867AC1" w:rsidP="0080679D">
            <w:pPr>
              <w:pStyle w:val="Country"/>
            </w:pPr>
            <w:r>
              <w:t>Genf</w:t>
            </w:r>
          </w:p>
        </w:tc>
      </w:tr>
    </w:tbl>
    <w:p w:rsidR="000D7780" w:rsidRPr="00997029" w:rsidRDefault="00FB0D37" w:rsidP="0080679D">
      <w:pPr>
        <w:pStyle w:val="Sessiontc"/>
      </w:pPr>
      <w:r>
        <w:t>VERWALTUNGS- UND RECHTSAUSSCHUSS</w:t>
      </w:r>
    </w:p>
    <w:p w:rsidR="00361821" w:rsidRPr="00997029" w:rsidRDefault="00155F6F" w:rsidP="0080679D">
      <w:pPr>
        <w:pStyle w:val="Sessiontcplacedate"/>
      </w:pPr>
      <w:r>
        <w:t>Dreiundsiebzigste Tagung</w:t>
      </w:r>
      <w:r>
        <w:br/>
        <w:t>Genf, 25. Oktober 2016</w:t>
      </w:r>
    </w:p>
    <w:p w:rsidR="000D7780" w:rsidRPr="00997029" w:rsidRDefault="001C4984" w:rsidP="0080679D">
      <w:pPr>
        <w:pStyle w:val="Titleofdoc0"/>
      </w:pPr>
      <w:bookmarkStart w:id="3" w:name="TitleOfDoc"/>
      <w:bookmarkEnd w:id="3"/>
      <w:r>
        <w:t>Sortenbezeichnungen</w:t>
      </w:r>
    </w:p>
    <w:p w:rsidR="000D7780" w:rsidRPr="00997029" w:rsidRDefault="00AE0EF1" w:rsidP="0080679D">
      <w:pPr>
        <w:pStyle w:val="preparedby1"/>
      </w:pPr>
      <w:bookmarkStart w:id="4" w:name="Prepared"/>
      <w:bookmarkEnd w:id="4"/>
      <w:r>
        <w:t>vom Verbandsbüro erstelltes Dokument</w:t>
      </w:r>
      <w:r>
        <w:br/>
      </w:r>
      <w:r>
        <w:br/>
      </w:r>
      <w:proofErr w:type="spellStart"/>
      <w:r>
        <w:rPr>
          <w:color w:val="A6A6A6" w:themeColor="background1" w:themeShade="A6"/>
        </w:rPr>
        <w:t>Haftungsausschluß</w:t>
      </w:r>
      <w:proofErr w:type="spellEnd"/>
      <w:r>
        <w:rPr>
          <w:color w:val="A6A6A6" w:themeColor="background1" w:themeShade="A6"/>
        </w:rPr>
        <w:t>:  dieses Dokument gibt nicht die Grundsätze oder eine Anleitung der UPOV wieder</w:t>
      </w:r>
    </w:p>
    <w:p w:rsidR="00B734CF" w:rsidRPr="00E10886" w:rsidRDefault="00B734CF" w:rsidP="009175FC">
      <w:pPr>
        <w:pStyle w:val="Heading1"/>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27161605"/>
      <w:bookmarkStart w:id="13" w:name="_Toc463634909"/>
      <w:bookmarkStart w:id="14" w:name="_Toc464291154"/>
      <w:r>
        <w:t>ZUSAMMENFASSUNG</w:t>
      </w:r>
      <w:bookmarkEnd w:id="5"/>
      <w:bookmarkEnd w:id="6"/>
      <w:bookmarkEnd w:id="7"/>
      <w:bookmarkEnd w:id="8"/>
      <w:bookmarkEnd w:id="9"/>
      <w:bookmarkEnd w:id="10"/>
      <w:bookmarkEnd w:id="11"/>
      <w:bookmarkEnd w:id="12"/>
      <w:bookmarkEnd w:id="13"/>
      <w:bookmarkEnd w:id="14"/>
    </w:p>
    <w:p w:rsidR="00B734CF" w:rsidRDefault="00B734CF" w:rsidP="0080679D">
      <w:pPr>
        <w:rPr>
          <w:snapToGrid w:val="0"/>
          <w:highlight w:val="cyan"/>
        </w:rPr>
      </w:pPr>
    </w:p>
    <w:p w:rsidR="00E10886" w:rsidRDefault="00B734CF" w:rsidP="00644877">
      <w:r w:rsidRPr="00822A3B">
        <w:fldChar w:fldCharType="begin"/>
      </w:r>
      <w:r w:rsidRPr="00822A3B">
        <w:instrText xml:space="preserve"> AUTONUM  </w:instrText>
      </w:r>
      <w:r w:rsidRPr="00822A3B">
        <w:fldChar w:fldCharType="end"/>
      </w:r>
      <w:r>
        <w:tab/>
        <w:t>Zweck dieses Dokuments ist es, über die Arbeiten zur etwaigen Entwicklung eines UPOV-Suchinstruments für Ähnlichkeiten zum Zweck der Sortenbezeichnung zu berichten und die etwaige Überarbeitung des Dokuments UPOV/INF/12 „Erläuterungen zu Sortenbezeichnungen nach dem UPOV-Übereinkommen“, zu prüfen.</w:t>
      </w:r>
    </w:p>
    <w:p w:rsidR="00B734CF" w:rsidRPr="00822A3B" w:rsidRDefault="00B734CF" w:rsidP="00B734CF"/>
    <w:p w:rsidR="008B5ED9" w:rsidRPr="008B5ED9" w:rsidRDefault="00B734CF" w:rsidP="00644877">
      <w:r w:rsidRPr="00CA3196">
        <w:fldChar w:fldCharType="begin"/>
      </w:r>
      <w:r w:rsidRPr="00CA3196">
        <w:instrText xml:space="preserve"> AUTONUM  </w:instrText>
      </w:r>
      <w:r w:rsidRPr="00CA3196">
        <w:fldChar w:fldCharType="end"/>
      </w:r>
      <w:r>
        <w:tab/>
        <w:t>Der CAJ wird ersucht, folgendes zur Kenntnis zu nehmen:</w:t>
      </w:r>
    </w:p>
    <w:p w:rsidR="008B5ED9" w:rsidRPr="008B5ED9" w:rsidRDefault="008B5ED9" w:rsidP="008B5ED9">
      <w:pPr>
        <w:rPr>
          <w:iCs/>
          <w:spacing w:val="-4"/>
        </w:rPr>
      </w:pPr>
    </w:p>
    <w:p w:rsidR="00C524B7" w:rsidRPr="00C524B7" w:rsidRDefault="00267CBB" w:rsidP="00C524B7">
      <w:pPr>
        <w:ind w:firstLine="567"/>
        <w:rPr>
          <w:iCs/>
          <w:spacing w:val="-4"/>
        </w:rPr>
      </w:pPr>
      <w:r>
        <w:t>a)</w:t>
      </w:r>
      <w:r>
        <w:tab/>
        <w:t xml:space="preserve">die Arbeit der Arbeitsgruppe für Sortenbezeichnungen (WG-DEN) betreffend die Überarbeitung von Dokument UPOV/INF/12 „Erläuterungen zu Sortenbezeichnungen nach dem UPOV-Übereinkommen“; </w:t>
      </w:r>
    </w:p>
    <w:p w:rsidR="00C524B7" w:rsidRPr="00C524B7" w:rsidRDefault="00C524B7" w:rsidP="00C524B7">
      <w:pPr>
        <w:rPr>
          <w:iCs/>
          <w:spacing w:val="-4"/>
        </w:rPr>
      </w:pPr>
    </w:p>
    <w:p w:rsidR="0038194C" w:rsidRDefault="00C524B7" w:rsidP="00C524B7">
      <w:pPr>
        <w:rPr>
          <w:iCs/>
          <w:spacing w:val="-4"/>
        </w:rPr>
      </w:pPr>
      <w:r>
        <w:tab/>
        <w:t>b)</w:t>
      </w:r>
      <w:r>
        <w:tab/>
      </w:r>
      <w:proofErr w:type="spellStart"/>
      <w:r>
        <w:t>daß</w:t>
      </w:r>
      <w:proofErr w:type="spellEnd"/>
      <w:r>
        <w:t xml:space="preserve"> Frankreich, die Niederlande, Neuseeland und die Europäische Union Bemerkungen betreffend Dokument UPOV/INF/12/6 </w:t>
      </w:r>
      <w:proofErr w:type="spellStart"/>
      <w:r>
        <w:t>Draft</w:t>
      </w:r>
      <w:proofErr w:type="spellEnd"/>
      <w:r>
        <w:t xml:space="preserve"> 1 abgegeben haben, und </w:t>
      </w:r>
      <w:proofErr w:type="spellStart"/>
      <w:r>
        <w:t>d</w:t>
      </w:r>
      <w:r w:rsidR="00331A9E">
        <w:t>aß</w:t>
      </w:r>
      <w:proofErr w:type="spellEnd"/>
      <w:r w:rsidR="00331A9E">
        <w:t xml:space="preserve"> diese Bemerkungen von der WG</w:t>
      </w:r>
      <w:r w:rsidR="00331A9E">
        <w:noBreakHyphen/>
      </w:r>
      <w:r>
        <w:t>DEN auf ihrer zweiten Tagung geprüft werden;</w:t>
      </w:r>
    </w:p>
    <w:p w:rsidR="00C524B7" w:rsidRDefault="00C524B7" w:rsidP="00C524B7">
      <w:pPr>
        <w:rPr>
          <w:iCs/>
          <w:spacing w:val="-4"/>
        </w:rPr>
      </w:pPr>
    </w:p>
    <w:p w:rsidR="00C524B7" w:rsidRDefault="00C524B7" w:rsidP="00C524B7">
      <w:pPr>
        <w:ind w:firstLine="567"/>
        <w:rPr>
          <w:iCs/>
          <w:spacing w:val="-4"/>
        </w:rPr>
      </w:pPr>
      <w:r>
        <w:t>c)</w:t>
      </w:r>
      <w:r>
        <w:tab/>
        <w:t>die Arbeit der WG-DEN betreffend die etwaige Entwicklung eines UPOV-Suchinstruments für Ähnlichkeiten zum Zweck der Sortenbezeichnung;</w:t>
      </w:r>
      <w:r>
        <w:tab/>
        <w:t>und</w:t>
      </w:r>
    </w:p>
    <w:p w:rsidR="00267CBB" w:rsidRDefault="00267CBB" w:rsidP="00C524B7">
      <w:pPr>
        <w:ind w:firstLine="567"/>
        <w:rPr>
          <w:iCs/>
          <w:spacing w:val="-4"/>
        </w:rPr>
      </w:pPr>
    </w:p>
    <w:p w:rsidR="00C524B7" w:rsidRDefault="00267CBB" w:rsidP="00C524B7">
      <w:pPr>
        <w:ind w:firstLine="567"/>
        <w:rPr>
          <w:iCs/>
          <w:spacing w:val="-4"/>
        </w:rPr>
      </w:pPr>
      <w:r>
        <w:t>d)</w:t>
      </w:r>
      <w:r>
        <w:tab/>
        <w:t>die Arbeit der WG-DEN betreffend die Erweiterung des Inhalts der PLUTO-Datenbank.</w:t>
      </w:r>
    </w:p>
    <w:p w:rsidR="009175FC" w:rsidRDefault="009175FC">
      <w:pPr>
        <w:jc w:val="left"/>
        <w:rPr>
          <w:rFonts w:cs="Arial"/>
          <w:snapToGrid w:val="0"/>
        </w:rPr>
      </w:pPr>
    </w:p>
    <w:p w:rsidR="00B734CF" w:rsidRDefault="00B734CF" w:rsidP="00B734CF">
      <w:pPr>
        <w:keepNext/>
        <w:rPr>
          <w:rFonts w:cs="Arial"/>
          <w:snapToGrid w:val="0"/>
        </w:rPr>
      </w:pPr>
      <w:r w:rsidRPr="00644877">
        <w:fldChar w:fldCharType="begin"/>
      </w:r>
      <w:r w:rsidRPr="00644877">
        <w:instrText xml:space="preserve"> AUTONUM  </w:instrText>
      </w:r>
      <w:r w:rsidRPr="00644877">
        <w:fldChar w:fldCharType="end"/>
      </w:r>
      <w:r>
        <w:tab/>
        <w:t>Der Aufbau dieses Dokuments ist wie folgt:</w:t>
      </w:r>
    </w:p>
    <w:p w:rsidR="00B734CF" w:rsidRDefault="00B734CF" w:rsidP="00B734CF">
      <w:pPr>
        <w:keepNext/>
        <w:rPr>
          <w:rFonts w:cs="Arial"/>
          <w:snapToGrid w:val="0"/>
        </w:rPr>
      </w:pPr>
    </w:p>
    <w:p w:rsidR="00484B8D" w:rsidRDefault="00B734CF" w:rsidP="00331A9E">
      <w:pPr>
        <w:pStyle w:val="TOC1"/>
        <w:rPr>
          <w:rFonts w:asciiTheme="minorHAnsi" w:hAnsiTheme="minorHAnsi" w:cstheme="minorBidi"/>
          <w:sz w:val="22"/>
          <w:szCs w:val="22"/>
          <w:lang w:bidi="ar-SA"/>
        </w:rPr>
      </w:pPr>
      <w:r>
        <w:rPr>
          <w:rFonts w:cs="Arial"/>
          <w:bCs/>
          <w:noProof w:val="0"/>
          <w:snapToGrid w:val="0"/>
          <w:sz w:val="18"/>
        </w:rPr>
        <w:fldChar w:fldCharType="begin"/>
      </w:r>
      <w:r>
        <w:rPr>
          <w:rFonts w:cs="Arial"/>
          <w:bCs/>
          <w:snapToGrid w:val="0"/>
          <w:sz w:val="18"/>
        </w:rPr>
        <w:instrText xml:space="preserve"> TOC \o "1-3" \h \z \u </w:instrText>
      </w:r>
      <w:r>
        <w:rPr>
          <w:rFonts w:cs="Arial"/>
          <w:bCs/>
          <w:noProof w:val="0"/>
          <w:snapToGrid w:val="0"/>
          <w:sz w:val="18"/>
        </w:rPr>
        <w:fldChar w:fldCharType="separate"/>
      </w:r>
      <w:hyperlink w:anchor="_Toc464291154" w:history="1">
        <w:r w:rsidR="00484B8D" w:rsidRPr="00D26D14">
          <w:rPr>
            <w:rStyle w:val="Hyperlink"/>
          </w:rPr>
          <w:t>ZUSAMMENFASSUNG</w:t>
        </w:r>
        <w:r w:rsidR="00484B8D">
          <w:rPr>
            <w:webHidden/>
          </w:rPr>
          <w:tab/>
        </w:r>
        <w:r w:rsidR="00484B8D">
          <w:rPr>
            <w:webHidden/>
          </w:rPr>
          <w:fldChar w:fldCharType="begin"/>
        </w:r>
        <w:r w:rsidR="00484B8D">
          <w:rPr>
            <w:webHidden/>
          </w:rPr>
          <w:instrText xml:space="preserve"> PAGEREF _Toc464291154 \h </w:instrText>
        </w:r>
        <w:r w:rsidR="00484B8D">
          <w:rPr>
            <w:webHidden/>
          </w:rPr>
        </w:r>
        <w:r w:rsidR="00484B8D">
          <w:rPr>
            <w:webHidden/>
          </w:rPr>
          <w:fldChar w:fldCharType="separate"/>
        </w:r>
        <w:r w:rsidR="006F5CEB">
          <w:rPr>
            <w:webHidden/>
          </w:rPr>
          <w:t>1</w:t>
        </w:r>
        <w:r w:rsidR="00484B8D">
          <w:rPr>
            <w:webHidden/>
          </w:rPr>
          <w:fldChar w:fldCharType="end"/>
        </w:r>
      </w:hyperlink>
    </w:p>
    <w:p w:rsidR="00484B8D" w:rsidRDefault="006F5CEB" w:rsidP="00331A9E">
      <w:pPr>
        <w:pStyle w:val="TOC1"/>
        <w:rPr>
          <w:rFonts w:asciiTheme="minorHAnsi" w:hAnsiTheme="minorHAnsi" w:cstheme="minorBidi"/>
          <w:sz w:val="22"/>
          <w:szCs w:val="22"/>
          <w:lang w:bidi="ar-SA"/>
        </w:rPr>
      </w:pPr>
      <w:hyperlink w:anchor="_Toc464291155" w:history="1">
        <w:r w:rsidR="00484B8D" w:rsidRPr="00D26D14">
          <w:rPr>
            <w:rStyle w:val="Hyperlink"/>
          </w:rPr>
          <w:t>ZWECK</w:t>
        </w:r>
        <w:r w:rsidR="00484B8D">
          <w:rPr>
            <w:webHidden/>
          </w:rPr>
          <w:tab/>
        </w:r>
        <w:r w:rsidR="00484B8D">
          <w:rPr>
            <w:webHidden/>
          </w:rPr>
          <w:fldChar w:fldCharType="begin"/>
        </w:r>
        <w:r w:rsidR="00484B8D">
          <w:rPr>
            <w:webHidden/>
          </w:rPr>
          <w:instrText xml:space="preserve"> PAGEREF _Toc464291155 \h </w:instrText>
        </w:r>
        <w:r w:rsidR="00484B8D">
          <w:rPr>
            <w:webHidden/>
          </w:rPr>
        </w:r>
        <w:r w:rsidR="00484B8D">
          <w:rPr>
            <w:webHidden/>
          </w:rPr>
          <w:fldChar w:fldCharType="separate"/>
        </w:r>
        <w:r>
          <w:rPr>
            <w:webHidden/>
          </w:rPr>
          <w:t>2</w:t>
        </w:r>
        <w:r w:rsidR="00484B8D">
          <w:rPr>
            <w:webHidden/>
          </w:rPr>
          <w:fldChar w:fldCharType="end"/>
        </w:r>
      </w:hyperlink>
    </w:p>
    <w:p w:rsidR="00484B8D" w:rsidRDefault="006F5CEB" w:rsidP="00331A9E">
      <w:pPr>
        <w:pStyle w:val="TOC1"/>
        <w:rPr>
          <w:rFonts w:asciiTheme="minorHAnsi" w:hAnsiTheme="minorHAnsi" w:cstheme="minorBidi"/>
          <w:sz w:val="22"/>
          <w:szCs w:val="22"/>
          <w:lang w:bidi="ar-SA"/>
        </w:rPr>
      </w:pPr>
      <w:hyperlink w:anchor="_Toc464291156" w:history="1">
        <w:r w:rsidR="00484B8D" w:rsidRPr="00D26D14">
          <w:rPr>
            <w:rStyle w:val="Hyperlink"/>
          </w:rPr>
          <w:t>ÜBERARBEITUNG VON UPOV/INF/12 „ERLÄUTERUNGEN ZU SORTENBEZEICHNUNGEN NACH DEM UPOV-ÜBEREINKOMMEN”</w:t>
        </w:r>
        <w:r w:rsidR="00484B8D">
          <w:rPr>
            <w:webHidden/>
          </w:rPr>
          <w:tab/>
        </w:r>
        <w:r w:rsidR="00484B8D">
          <w:rPr>
            <w:webHidden/>
          </w:rPr>
          <w:fldChar w:fldCharType="begin"/>
        </w:r>
        <w:r w:rsidR="00484B8D">
          <w:rPr>
            <w:webHidden/>
          </w:rPr>
          <w:instrText xml:space="preserve"> PAGEREF _Toc464291156 \h </w:instrText>
        </w:r>
        <w:r w:rsidR="00484B8D">
          <w:rPr>
            <w:webHidden/>
          </w:rPr>
        </w:r>
        <w:r w:rsidR="00484B8D">
          <w:rPr>
            <w:webHidden/>
          </w:rPr>
          <w:fldChar w:fldCharType="separate"/>
        </w:r>
        <w:r>
          <w:rPr>
            <w:webHidden/>
          </w:rPr>
          <w:t>2</w:t>
        </w:r>
        <w:r w:rsidR="00484B8D">
          <w:rPr>
            <w:webHidden/>
          </w:rPr>
          <w:fldChar w:fldCharType="end"/>
        </w:r>
      </w:hyperlink>
    </w:p>
    <w:p w:rsidR="00484B8D" w:rsidRDefault="006F5CEB">
      <w:pPr>
        <w:pStyle w:val="TOC2"/>
        <w:rPr>
          <w:rFonts w:asciiTheme="minorHAnsi" w:hAnsiTheme="minorHAnsi" w:cstheme="minorBidi"/>
          <w:sz w:val="22"/>
          <w:szCs w:val="22"/>
          <w:lang w:bidi="ar-SA"/>
        </w:rPr>
      </w:pPr>
      <w:hyperlink w:anchor="_Toc464291157" w:history="1">
        <w:r w:rsidR="00484B8D" w:rsidRPr="00D26D14">
          <w:rPr>
            <w:rStyle w:val="Hyperlink"/>
          </w:rPr>
          <w:t>Erörterungen im CAJ</w:t>
        </w:r>
        <w:r w:rsidR="00484B8D">
          <w:rPr>
            <w:webHidden/>
          </w:rPr>
          <w:tab/>
        </w:r>
        <w:r w:rsidR="00484B8D">
          <w:rPr>
            <w:webHidden/>
          </w:rPr>
          <w:fldChar w:fldCharType="begin"/>
        </w:r>
        <w:r w:rsidR="00484B8D">
          <w:rPr>
            <w:webHidden/>
          </w:rPr>
          <w:instrText xml:space="preserve"> PAGEREF _Toc464291157 \h </w:instrText>
        </w:r>
        <w:r w:rsidR="00484B8D">
          <w:rPr>
            <w:webHidden/>
          </w:rPr>
        </w:r>
        <w:r w:rsidR="00484B8D">
          <w:rPr>
            <w:webHidden/>
          </w:rPr>
          <w:fldChar w:fldCharType="separate"/>
        </w:r>
        <w:r>
          <w:rPr>
            <w:webHidden/>
          </w:rPr>
          <w:t>2</w:t>
        </w:r>
        <w:r w:rsidR="00484B8D">
          <w:rPr>
            <w:webHidden/>
          </w:rPr>
          <w:fldChar w:fldCharType="end"/>
        </w:r>
      </w:hyperlink>
    </w:p>
    <w:p w:rsidR="00484B8D" w:rsidRDefault="006F5CEB">
      <w:pPr>
        <w:pStyle w:val="TOC2"/>
        <w:rPr>
          <w:rFonts w:asciiTheme="minorHAnsi" w:hAnsiTheme="minorHAnsi" w:cstheme="minorBidi"/>
          <w:sz w:val="22"/>
          <w:szCs w:val="22"/>
          <w:lang w:bidi="ar-SA"/>
        </w:rPr>
      </w:pPr>
      <w:hyperlink w:anchor="_Toc464291158" w:history="1">
        <w:r w:rsidR="00484B8D" w:rsidRPr="00D26D14">
          <w:rPr>
            <w:rStyle w:val="Hyperlink"/>
          </w:rPr>
          <w:t>Erörterungen in der WG-DEN auf ihrer ersten Sitzung</w:t>
        </w:r>
        <w:r w:rsidR="00484B8D">
          <w:rPr>
            <w:webHidden/>
          </w:rPr>
          <w:tab/>
        </w:r>
        <w:r w:rsidR="00484B8D">
          <w:rPr>
            <w:webHidden/>
          </w:rPr>
          <w:fldChar w:fldCharType="begin"/>
        </w:r>
        <w:r w:rsidR="00484B8D">
          <w:rPr>
            <w:webHidden/>
          </w:rPr>
          <w:instrText xml:space="preserve"> PAGEREF _Toc464291158 \h </w:instrText>
        </w:r>
        <w:r w:rsidR="00484B8D">
          <w:rPr>
            <w:webHidden/>
          </w:rPr>
        </w:r>
        <w:r w:rsidR="00484B8D">
          <w:rPr>
            <w:webHidden/>
          </w:rPr>
          <w:fldChar w:fldCharType="separate"/>
        </w:r>
        <w:r>
          <w:rPr>
            <w:webHidden/>
          </w:rPr>
          <w:t>3</w:t>
        </w:r>
        <w:r w:rsidR="00484B8D">
          <w:rPr>
            <w:webHidden/>
          </w:rPr>
          <w:fldChar w:fldCharType="end"/>
        </w:r>
      </w:hyperlink>
    </w:p>
    <w:p w:rsidR="00484B8D" w:rsidRDefault="006F5CEB" w:rsidP="00331A9E">
      <w:pPr>
        <w:pStyle w:val="TOC1"/>
        <w:rPr>
          <w:rFonts w:asciiTheme="minorHAnsi" w:hAnsiTheme="minorHAnsi" w:cstheme="minorBidi"/>
          <w:sz w:val="22"/>
          <w:szCs w:val="22"/>
          <w:lang w:bidi="ar-SA"/>
        </w:rPr>
      </w:pPr>
      <w:hyperlink w:anchor="_Toc464291159" w:history="1">
        <w:r w:rsidR="00484B8D" w:rsidRPr="00D26D14">
          <w:rPr>
            <w:rStyle w:val="Hyperlink"/>
          </w:rPr>
          <w:t>ETWAIGE ENTWICKLUNG EINES UPOV-SUCHINSTRUMENTS  FÜR ÄHNLICHKEITEN ZUM ZWECK DER SORTENBEZEICHNUNG</w:t>
        </w:r>
        <w:r w:rsidR="00484B8D">
          <w:rPr>
            <w:webHidden/>
          </w:rPr>
          <w:tab/>
        </w:r>
        <w:r w:rsidR="00484B8D">
          <w:rPr>
            <w:webHidden/>
          </w:rPr>
          <w:fldChar w:fldCharType="begin"/>
        </w:r>
        <w:r w:rsidR="00484B8D">
          <w:rPr>
            <w:webHidden/>
          </w:rPr>
          <w:instrText xml:space="preserve"> PAGEREF _Toc464291159 \h </w:instrText>
        </w:r>
        <w:r w:rsidR="00484B8D">
          <w:rPr>
            <w:webHidden/>
          </w:rPr>
        </w:r>
        <w:r w:rsidR="00484B8D">
          <w:rPr>
            <w:webHidden/>
          </w:rPr>
          <w:fldChar w:fldCharType="separate"/>
        </w:r>
        <w:r>
          <w:rPr>
            <w:webHidden/>
          </w:rPr>
          <w:t>4</w:t>
        </w:r>
        <w:r w:rsidR="00484B8D">
          <w:rPr>
            <w:webHidden/>
          </w:rPr>
          <w:fldChar w:fldCharType="end"/>
        </w:r>
      </w:hyperlink>
    </w:p>
    <w:p w:rsidR="00484B8D" w:rsidRDefault="006F5CEB">
      <w:pPr>
        <w:pStyle w:val="TOC2"/>
        <w:rPr>
          <w:rFonts w:asciiTheme="minorHAnsi" w:hAnsiTheme="minorHAnsi" w:cstheme="minorBidi"/>
          <w:sz w:val="22"/>
          <w:szCs w:val="22"/>
          <w:lang w:bidi="ar-SA"/>
        </w:rPr>
      </w:pPr>
      <w:hyperlink w:anchor="_Toc464291160" w:history="1">
        <w:r w:rsidR="00484B8D" w:rsidRPr="00D26D14">
          <w:rPr>
            <w:rStyle w:val="Hyperlink"/>
          </w:rPr>
          <w:t>Teststudie</w:t>
        </w:r>
        <w:r w:rsidR="00484B8D">
          <w:rPr>
            <w:webHidden/>
          </w:rPr>
          <w:tab/>
        </w:r>
        <w:r w:rsidR="00484B8D">
          <w:rPr>
            <w:webHidden/>
          </w:rPr>
          <w:fldChar w:fldCharType="begin"/>
        </w:r>
        <w:r w:rsidR="00484B8D">
          <w:rPr>
            <w:webHidden/>
          </w:rPr>
          <w:instrText xml:space="preserve"> PAGEREF _Toc464291160 \h </w:instrText>
        </w:r>
        <w:r w:rsidR="00484B8D">
          <w:rPr>
            <w:webHidden/>
          </w:rPr>
        </w:r>
        <w:r w:rsidR="00484B8D">
          <w:rPr>
            <w:webHidden/>
          </w:rPr>
          <w:fldChar w:fldCharType="separate"/>
        </w:r>
        <w:r>
          <w:rPr>
            <w:webHidden/>
          </w:rPr>
          <w:t>4</w:t>
        </w:r>
        <w:r w:rsidR="00484B8D">
          <w:rPr>
            <w:webHidden/>
          </w:rPr>
          <w:fldChar w:fldCharType="end"/>
        </w:r>
      </w:hyperlink>
    </w:p>
    <w:p w:rsidR="00484B8D" w:rsidRDefault="006F5CEB">
      <w:pPr>
        <w:pStyle w:val="TOC2"/>
        <w:rPr>
          <w:rFonts w:asciiTheme="minorHAnsi" w:hAnsiTheme="minorHAnsi" w:cstheme="minorBidi"/>
          <w:sz w:val="22"/>
          <w:szCs w:val="22"/>
          <w:lang w:bidi="ar-SA"/>
        </w:rPr>
      </w:pPr>
      <w:hyperlink w:anchor="_Toc464291161" w:history="1">
        <w:r w:rsidR="00484B8D" w:rsidRPr="00D26D14">
          <w:rPr>
            <w:rStyle w:val="Hyperlink"/>
          </w:rPr>
          <w:t>Nicht akzeptable Begriffe für die Sortenbezeichnung</w:t>
        </w:r>
        <w:r w:rsidR="00484B8D">
          <w:rPr>
            <w:webHidden/>
          </w:rPr>
          <w:tab/>
        </w:r>
        <w:r w:rsidR="00484B8D">
          <w:rPr>
            <w:webHidden/>
          </w:rPr>
          <w:fldChar w:fldCharType="begin"/>
        </w:r>
        <w:r w:rsidR="00484B8D">
          <w:rPr>
            <w:webHidden/>
          </w:rPr>
          <w:instrText xml:space="preserve"> PAGEREF _Toc464291161 \h </w:instrText>
        </w:r>
        <w:r w:rsidR="00484B8D">
          <w:rPr>
            <w:webHidden/>
          </w:rPr>
        </w:r>
        <w:r w:rsidR="00484B8D">
          <w:rPr>
            <w:webHidden/>
          </w:rPr>
          <w:fldChar w:fldCharType="separate"/>
        </w:r>
        <w:r>
          <w:rPr>
            <w:webHidden/>
          </w:rPr>
          <w:t>5</w:t>
        </w:r>
        <w:r w:rsidR="00484B8D">
          <w:rPr>
            <w:webHidden/>
          </w:rPr>
          <w:fldChar w:fldCharType="end"/>
        </w:r>
      </w:hyperlink>
    </w:p>
    <w:p w:rsidR="00484B8D" w:rsidRDefault="006F5CEB" w:rsidP="00331A9E">
      <w:pPr>
        <w:pStyle w:val="TOC1"/>
        <w:rPr>
          <w:rFonts w:asciiTheme="minorHAnsi" w:hAnsiTheme="minorHAnsi" w:cstheme="minorBidi"/>
          <w:sz w:val="22"/>
          <w:szCs w:val="22"/>
          <w:lang w:bidi="ar-SA"/>
        </w:rPr>
      </w:pPr>
      <w:hyperlink w:anchor="_Toc464291162" w:history="1">
        <w:r w:rsidR="00484B8D" w:rsidRPr="00D26D14">
          <w:rPr>
            <w:rStyle w:val="Hyperlink"/>
          </w:rPr>
          <w:t>Erweiterung des Inhalts der PLUTO-Datenbank</w:t>
        </w:r>
        <w:r w:rsidR="00484B8D">
          <w:rPr>
            <w:webHidden/>
          </w:rPr>
          <w:tab/>
        </w:r>
        <w:r w:rsidR="00484B8D">
          <w:rPr>
            <w:webHidden/>
          </w:rPr>
          <w:fldChar w:fldCharType="begin"/>
        </w:r>
        <w:r w:rsidR="00484B8D">
          <w:rPr>
            <w:webHidden/>
          </w:rPr>
          <w:instrText xml:space="preserve"> PAGEREF _Toc464291162 \h </w:instrText>
        </w:r>
        <w:r w:rsidR="00484B8D">
          <w:rPr>
            <w:webHidden/>
          </w:rPr>
        </w:r>
        <w:r w:rsidR="00484B8D">
          <w:rPr>
            <w:webHidden/>
          </w:rPr>
          <w:fldChar w:fldCharType="separate"/>
        </w:r>
        <w:r>
          <w:rPr>
            <w:webHidden/>
          </w:rPr>
          <w:t>5</w:t>
        </w:r>
        <w:r w:rsidR="00484B8D">
          <w:rPr>
            <w:webHidden/>
          </w:rPr>
          <w:fldChar w:fldCharType="end"/>
        </w:r>
      </w:hyperlink>
    </w:p>
    <w:p w:rsidR="00484B8D" w:rsidRDefault="006F5CEB" w:rsidP="00331A9E">
      <w:pPr>
        <w:pStyle w:val="TOC1"/>
        <w:rPr>
          <w:rFonts w:asciiTheme="minorHAnsi" w:hAnsiTheme="minorHAnsi" w:cstheme="minorBidi"/>
          <w:sz w:val="22"/>
          <w:szCs w:val="22"/>
          <w:lang w:bidi="ar-SA"/>
        </w:rPr>
      </w:pPr>
      <w:hyperlink w:anchor="_Toc464291163" w:history="1">
        <w:r w:rsidR="00484B8D" w:rsidRPr="00D26D14">
          <w:rPr>
            <w:rStyle w:val="Hyperlink"/>
          </w:rPr>
          <w:t>Ort und Datum der nächsten Tagung</w:t>
        </w:r>
        <w:r w:rsidR="00484B8D">
          <w:rPr>
            <w:webHidden/>
          </w:rPr>
          <w:tab/>
        </w:r>
        <w:r w:rsidR="00484B8D">
          <w:rPr>
            <w:webHidden/>
          </w:rPr>
          <w:fldChar w:fldCharType="begin"/>
        </w:r>
        <w:r w:rsidR="00484B8D">
          <w:rPr>
            <w:webHidden/>
          </w:rPr>
          <w:instrText xml:space="preserve"> PAGEREF _Toc464291163 \h </w:instrText>
        </w:r>
        <w:r w:rsidR="00484B8D">
          <w:rPr>
            <w:webHidden/>
          </w:rPr>
        </w:r>
        <w:r w:rsidR="00484B8D">
          <w:rPr>
            <w:webHidden/>
          </w:rPr>
          <w:fldChar w:fldCharType="separate"/>
        </w:r>
        <w:r>
          <w:rPr>
            <w:webHidden/>
          </w:rPr>
          <w:t>5</w:t>
        </w:r>
        <w:r w:rsidR="00484B8D">
          <w:rPr>
            <w:webHidden/>
          </w:rPr>
          <w:fldChar w:fldCharType="end"/>
        </w:r>
      </w:hyperlink>
    </w:p>
    <w:p w:rsidR="00FB5311" w:rsidRDefault="00B734CF" w:rsidP="00331A9E">
      <w:pPr>
        <w:rPr>
          <w:rFonts w:asciiTheme="minorHAnsi" w:hAnsiTheme="minorHAnsi" w:cstheme="minorBidi"/>
          <w:caps/>
          <w:sz w:val="22"/>
          <w:szCs w:val="22"/>
        </w:rPr>
      </w:pPr>
      <w:r>
        <w:rPr>
          <w:snapToGrid w:val="0"/>
        </w:rPr>
        <w:fldChar w:fldCharType="end"/>
      </w:r>
      <w:r w:rsidR="00644877">
        <w:fldChar w:fldCharType="begin"/>
      </w:r>
      <w:r w:rsidR="00644877">
        <w:instrText xml:space="preserve"> AUTONUM  </w:instrText>
      </w:r>
      <w:r w:rsidR="00644877">
        <w:fldChar w:fldCharType="end"/>
      </w:r>
      <w:r>
        <w:tab/>
        <w:t>In diesem Dokument werden folgende Abkürzungen verwendet:</w:t>
      </w:r>
    </w:p>
    <w:p w:rsidR="00B734CF" w:rsidRPr="009B48EB" w:rsidRDefault="00B734CF" w:rsidP="009175FC">
      <w:pPr>
        <w:keepNext/>
        <w:rPr>
          <w:rFonts w:cs="Arial"/>
          <w:color w:val="000000"/>
        </w:rPr>
      </w:pPr>
    </w:p>
    <w:p w:rsidR="00F73F12" w:rsidRPr="00822A3B" w:rsidRDefault="00F73F12" w:rsidP="00F73F12">
      <w:pPr>
        <w:keepNext/>
        <w:ind w:left="567"/>
        <w:rPr>
          <w:rFonts w:cs="Arial"/>
          <w:snapToGrid w:val="0"/>
        </w:rPr>
      </w:pPr>
      <w:r>
        <w:rPr>
          <w:snapToGrid w:val="0"/>
          <w:color w:val="000000"/>
        </w:rPr>
        <w:t xml:space="preserve">CAJ:  </w:t>
      </w:r>
      <w:r>
        <w:tab/>
      </w:r>
      <w:r>
        <w:tab/>
      </w:r>
      <w:r>
        <w:rPr>
          <w:snapToGrid w:val="0"/>
          <w:color w:val="000000"/>
        </w:rPr>
        <w:t xml:space="preserve">Verwaltungs- und </w:t>
      </w:r>
      <w:proofErr w:type="spellStart"/>
      <w:r>
        <w:rPr>
          <w:snapToGrid w:val="0"/>
          <w:color w:val="000000"/>
        </w:rPr>
        <w:t>Rechtsausschuß</w:t>
      </w:r>
      <w:proofErr w:type="spellEnd"/>
      <w:r>
        <w:rPr>
          <w:snapToGrid w:val="0"/>
          <w:color w:val="000000"/>
        </w:rPr>
        <w:t xml:space="preserve"> </w:t>
      </w:r>
    </w:p>
    <w:p w:rsidR="004A34E0" w:rsidRPr="00822A3B" w:rsidRDefault="004A34E0" w:rsidP="004A34E0">
      <w:pPr>
        <w:keepNext/>
        <w:ind w:left="567"/>
        <w:rPr>
          <w:rFonts w:cs="Arial"/>
          <w:snapToGrid w:val="0"/>
        </w:rPr>
      </w:pPr>
      <w:r>
        <w:t xml:space="preserve">CAJ-AG:  </w:t>
      </w:r>
      <w:r>
        <w:tab/>
        <w:t xml:space="preserve">Beratungsgruppe des Verwaltungs- und Rechtsausschusses </w:t>
      </w:r>
    </w:p>
    <w:p w:rsidR="00F73F12" w:rsidRDefault="00F73F12" w:rsidP="009175FC">
      <w:pPr>
        <w:ind w:left="567"/>
        <w:rPr>
          <w:snapToGrid w:val="0"/>
        </w:rPr>
      </w:pPr>
      <w:r>
        <w:t>WG-DEN:</w:t>
      </w:r>
      <w:r>
        <w:tab/>
        <w:t>Arbeitsgruppe für Sortenbezeichnungen</w:t>
      </w:r>
    </w:p>
    <w:p w:rsidR="00C524B7" w:rsidRDefault="00C524B7" w:rsidP="00484B8D">
      <w:pPr>
        <w:ind w:left="1701" w:hanging="1134"/>
        <w:rPr>
          <w:snapToGrid w:val="0"/>
        </w:rPr>
      </w:pPr>
      <w:r>
        <w:t>WG-DST:</w:t>
      </w:r>
      <w:r>
        <w:tab/>
        <w:t>Arbeitsgruppe für die Entwicklung eines UPOV-Suchinstruments für Ähnlichkeiten zum Zweck der Sortenbezeichnung</w:t>
      </w:r>
    </w:p>
    <w:p w:rsidR="008B5ED9" w:rsidRDefault="008B5ED9" w:rsidP="00884CEA">
      <w:pPr>
        <w:rPr>
          <w:rFonts w:cs="Arial"/>
          <w:szCs w:val="24"/>
        </w:rPr>
      </w:pPr>
    </w:p>
    <w:p w:rsidR="009B1DCB" w:rsidRDefault="009B1DCB" w:rsidP="00884CEA">
      <w:pPr>
        <w:rPr>
          <w:rFonts w:cs="Arial"/>
          <w:szCs w:val="24"/>
        </w:rPr>
      </w:pPr>
    </w:p>
    <w:p w:rsidR="00E10886" w:rsidRDefault="00E10886" w:rsidP="009175FC">
      <w:pPr>
        <w:pStyle w:val="Heading1"/>
      </w:pPr>
      <w:bookmarkStart w:id="15" w:name="_Toc427161606"/>
      <w:bookmarkStart w:id="16" w:name="_Toc463634910"/>
      <w:bookmarkStart w:id="17" w:name="_Toc464291155"/>
      <w:r>
        <w:rPr>
          <w:rStyle w:val="Heading1Char"/>
        </w:rPr>
        <w:t>ZWEC</w:t>
      </w:r>
      <w:r>
        <w:t>K</w:t>
      </w:r>
      <w:bookmarkEnd w:id="15"/>
      <w:bookmarkEnd w:id="16"/>
      <w:bookmarkEnd w:id="17"/>
      <w:r>
        <w:t xml:space="preserve"> </w:t>
      </w:r>
    </w:p>
    <w:p w:rsidR="00F349B3" w:rsidRPr="00F349B3" w:rsidRDefault="00F349B3" w:rsidP="00F349B3"/>
    <w:p w:rsidR="00E10886" w:rsidRDefault="00E10886" w:rsidP="00E10886">
      <w:pPr>
        <w:rPr>
          <w:snapToGrid w:val="0"/>
          <w:highlight w:val="cyan"/>
        </w:rPr>
      </w:pPr>
      <w:r w:rsidRPr="009B48EB">
        <w:fldChar w:fldCharType="begin"/>
      </w:r>
      <w:r w:rsidRPr="009B48EB">
        <w:instrText xml:space="preserve"> AUTONUM  </w:instrText>
      </w:r>
      <w:r w:rsidRPr="009B48EB">
        <w:fldChar w:fldCharType="end"/>
      </w:r>
      <w:r>
        <w:tab/>
        <w:t>Zweck dieses Dokuments ist es, über die Arbeiten zur etwaigen Entwicklung eines UPOV-Suchinstruments für Ähnlichkeiten zum Zweck der Sortenbezeichnung und zur etwaigen Überarbeitung des Dokuments UPOV/INF/12 „Erläuterungen zu Sortenbezeichnungen nach dem UPOV-Übereinkommen“ zu berichten.</w:t>
      </w:r>
    </w:p>
    <w:p w:rsidR="009B1DCB" w:rsidRDefault="009B1DCB" w:rsidP="0080679D">
      <w:pPr>
        <w:rPr>
          <w:snapToGrid w:val="0"/>
          <w:highlight w:val="cyan"/>
        </w:rPr>
      </w:pPr>
    </w:p>
    <w:p w:rsidR="009175FC" w:rsidRDefault="009175FC">
      <w:pPr>
        <w:jc w:val="left"/>
        <w:rPr>
          <w:caps/>
          <w:snapToGrid w:val="0"/>
        </w:rPr>
      </w:pPr>
      <w:bookmarkStart w:id="18" w:name="_Toc427161611"/>
    </w:p>
    <w:p w:rsidR="00E10886" w:rsidRPr="00E10886" w:rsidRDefault="00E10886" w:rsidP="009175FC">
      <w:pPr>
        <w:pStyle w:val="Heading1"/>
        <w:rPr>
          <w:snapToGrid w:val="0"/>
        </w:rPr>
      </w:pPr>
      <w:bookmarkStart w:id="19" w:name="_Toc463634911"/>
      <w:bookmarkStart w:id="20" w:name="_Toc464291156"/>
      <w:r>
        <w:t>ÜBERARBEITUNG VON UPOV/INF/12 „ERLÄUTERUNGEN ZU SORTENBEZEICHNUNGEN NACH DEM UPOV-ÜBEREINKOMMEN”</w:t>
      </w:r>
      <w:bookmarkEnd w:id="18"/>
      <w:bookmarkEnd w:id="19"/>
      <w:bookmarkEnd w:id="20"/>
    </w:p>
    <w:p w:rsidR="00E10886" w:rsidRDefault="00E10886" w:rsidP="00E10886">
      <w:pPr>
        <w:rPr>
          <w:snapToGrid w:val="0"/>
        </w:rPr>
      </w:pPr>
    </w:p>
    <w:p w:rsidR="006B4B5C" w:rsidRDefault="006B4B5C" w:rsidP="006B4B5C">
      <w:pPr>
        <w:pStyle w:val="Heading2"/>
        <w:rPr>
          <w:snapToGrid w:val="0"/>
        </w:rPr>
      </w:pPr>
      <w:bookmarkStart w:id="21" w:name="_Toc463634912"/>
      <w:bookmarkStart w:id="22" w:name="_Toc464291157"/>
      <w:r>
        <w:t>Erörterungen im CAJ</w:t>
      </w:r>
      <w:bookmarkEnd w:id="21"/>
      <w:bookmarkEnd w:id="22"/>
    </w:p>
    <w:p w:rsidR="006B4B5C" w:rsidRDefault="006B4B5C" w:rsidP="00E10886">
      <w:pPr>
        <w:rPr>
          <w:snapToGrid w:val="0"/>
        </w:rPr>
      </w:pPr>
    </w:p>
    <w:p w:rsidR="00037A85" w:rsidRDefault="00037A85" w:rsidP="00037A85">
      <w:r w:rsidRPr="009B48EB">
        <w:fldChar w:fldCharType="begin"/>
      </w:r>
      <w:r w:rsidRPr="009B48EB">
        <w:instrText xml:space="preserve"> AUTONUM  </w:instrText>
      </w:r>
      <w:r w:rsidRPr="009B48EB">
        <w:fldChar w:fldCharType="end"/>
      </w:r>
      <w:r>
        <w:tab/>
        <w:t>Der Hintergrund zu dieser Angelegenheit ist in Dokument CAJ/72/3 „Sortenbezeichnungen“ dargelegt.</w:t>
      </w:r>
    </w:p>
    <w:p w:rsidR="00C406C5" w:rsidRDefault="00C406C5" w:rsidP="00E10886">
      <w:pPr>
        <w:rPr>
          <w:snapToGrid w:val="0"/>
        </w:rPr>
      </w:pPr>
    </w:p>
    <w:p w:rsidR="00AA2932" w:rsidRDefault="00037A85" w:rsidP="00AA2932">
      <w:pPr>
        <w:rPr>
          <w:snapToGrid w:val="0"/>
        </w:rPr>
      </w:pPr>
      <w:r w:rsidRPr="009B48EB">
        <w:fldChar w:fldCharType="begin"/>
      </w:r>
      <w:r w:rsidRPr="009B48EB">
        <w:instrText xml:space="preserve"> AUTONUM  </w:instrText>
      </w:r>
      <w:r w:rsidRPr="009B48EB">
        <w:fldChar w:fldCharType="end"/>
      </w:r>
      <w:r>
        <w:tab/>
        <w:t>Der CAJ nahm auf seiner zweiundsiebzigsten Tagung</w:t>
      </w:r>
      <w:r>
        <w:rPr>
          <w:rStyle w:val="FootnoteReference"/>
        </w:rPr>
        <w:footnoteReference w:id="2"/>
      </w:r>
      <w:r>
        <w:t xml:space="preserve"> die Arbeit der WG-DST betreffend die etwaige Entwicklung eines UPOV-Suchinstruments für Ähnlichkeiten zum Zweck der Sortenbezeichnung zur Kenntnis.</w:t>
      </w:r>
      <w:r>
        <w:rPr>
          <w:rStyle w:val="FootnoteReference"/>
          <w:snapToGrid w:val="0"/>
        </w:rPr>
        <w:footnoteReference w:id="3"/>
      </w:r>
    </w:p>
    <w:p w:rsidR="00AA2932" w:rsidRDefault="00AA2932" w:rsidP="00AA2932">
      <w:pPr>
        <w:rPr>
          <w:snapToGrid w:val="0"/>
        </w:rPr>
      </w:pPr>
    </w:p>
    <w:p w:rsidR="00AA2932" w:rsidRDefault="00AA2932" w:rsidP="00AA2932">
      <w:pPr>
        <w:rPr>
          <w:snapToGrid w:val="0"/>
        </w:rPr>
      </w:pPr>
      <w:r>
        <w:rPr>
          <w:snapToGrid w:val="0"/>
        </w:rPr>
        <w:fldChar w:fldCharType="begin"/>
      </w:r>
      <w:r>
        <w:rPr>
          <w:snapToGrid w:val="0"/>
        </w:rPr>
        <w:instrText xml:space="preserve"> AUTONUM  </w:instrText>
      </w:r>
      <w:r>
        <w:rPr>
          <w:snapToGrid w:val="0"/>
        </w:rPr>
        <w:fldChar w:fldCharType="end"/>
      </w:r>
      <w:r>
        <w:tab/>
        <w:t>Der CAJ nahm auf seiner zweiundsiebzigsten Tagung folgende Elemente aus dem mündlichen Bericht des stellvertretenden Generalsekretärs auf der dritten S</w:t>
      </w:r>
      <w:r w:rsidR="006B676B">
        <w:t>itzung der WG-DST zur Kenntnis:</w:t>
      </w:r>
      <w:r>
        <w:rPr>
          <w:rStyle w:val="FootnoteReference"/>
          <w:snapToGrid w:val="0"/>
        </w:rPr>
        <w:footnoteReference w:id="4"/>
      </w:r>
      <w:r>
        <w:rPr>
          <w:rFonts w:hint="eastAsia"/>
          <w:snapToGrid w:val="0"/>
          <w:vertAlign w:val="superscript"/>
        </w:rPr>
        <w:t>,</w:t>
      </w:r>
      <w:r>
        <w:rPr>
          <w:snapToGrid w:val="0"/>
          <w:vertAlign w:val="superscript"/>
        </w:rPr>
        <w:t xml:space="preserve"> </w:t>
      </w:r>
      <w:r>
        <w:rPr>
          <w:rStyle w:val="FootnoteReference"/>
          <w:snapToGrid w:val="0"/>
        </w:rPr>
        <w:footnoteReference w:id="5"/>
      </w:r>
    </w:p>
    <w:p w:rsidR="00AA2932" w:rsidRDefault="00AA2932" w:rsidP="00AA2932"/>
    <w:p w:rsidR="00AA2932" w:rsidRDefault="00AA2932" w:rsidP="00AA2932">
      <w:pPr>
        <w:rPr>
          <w:rFonts w:cs="Arial"/>
        </w:rPr>
      </w:pPr>
      <w:r>
        <w:tab/>
        <w:t>a)</w:t>
      </w:r>
      <w:r>
        <w:tab/>
        <w:t>Verbandsmitglieder waren mittels eines Rundschreibens E-15/156 vom 19. August 2015 zur Teilnahme am zweiten Schritt der Teststudie für die Entwicklung eines wirksamen Suchwerkzeugs für ähnliche Sortenbezeichnungen eingeladen worden</w:t>
      </w:r>
      <w:r w:rsidR="00484B8D">
        <w:t xml:space="preserve">. </w:t>
      </w:r>
      <w:r>
        <w:t>Ziel des zweiten Schritts war, den Algorithmus, der im ersten Schritt der Teststudie als bester Algorithmus identifiziert worden war, zu verfeinern</w:t>
      </w:r>
      <w:r w:rsidR="00484B8D">
        <w:t xml:space="preserve">. </w:t>
      </w:r>
      <w:r>
        <w:t>Ausgehend von den Ergebnissen des zweiten Schritts würde das Verbandsbüro den Algorithmus im Verlauf von November/Dezember 2015 verfeinern und den Algorithmus bis Dezember 2015 anpassen</w:t>
      </w:r>
      <w:r w:rsidR="00484B8D">
        <w:t xml:space="preserve">. </w:t>
      </w:r>
      <w:r>
        <w:t>Der überarbeitete Algorithmus würde von der WG-DST auf ihrer vierten Sitzung am 4. Februar 2016 überprüft werden;</w:t>
      </w:r>
    </w:p>
    <w:p w:rsidR="00AA2932" w:rsidRDefault="00AA2932" w:rsidP="00AA2932"/>
    <w:p w:rsidR="00AA2932" w:rsidRDefault="00AA2932" w:rsidP="00AA2932">
      <w:r>
        <w:tab/>
        <w:t>b)</w:t>
      </w:r>
      <w:r>
        <w:tab/>
        <w:t>Im Hinblick auf nicht akzeptable Begriffe hatte die WG-DST vorgeschlagen, botanische und landesübliche Namen als nicht annehmbare Begriffe zu betrachten</w:t>
      </w:r>
      <w:r w:rsidR="00484B8D">
        <w:t xml:space="preserve">. </w:t>
      </w:r>
      <w:r>
        <w:t>Im Fall landesüblicher Namen hatte sie vereinbart, dass es notwendig wäre, landesübliche Namen einzuschränken, vielleicht auf jene in der GENIE-Datenbank und lediglich für ausgewählte Pflanzen/Arten;</w:t>
      </w:r>
    </w:p>
    <w:p w:rsidR="00AA2932" w:rsidRDefault="00AA2932" w:rsidP="00AA2932"/>
    <w:p w:rsidR="00AA2932" w:rsidRDefault="00AA2932" w:rsidP="00AA2932">
      <w:r>
        <w:tab/>
        <w:t>c)</w:t>
      </w:r>
      <w:r>
        <w:tab/>
        <w:t>Was Komparative/Superlative betrifft, so hatte die WG-DST vereinbart, zu prüfen, ob es durchführbar wäre, eine Liste mit Komparativen/Superlativen als nicht annehmbare Begriffe aufzunehmen</w:t>
      </w:r>
      <w:r w:rsidR="00484B8D">
        <w:t xml:space="preserve">. </w:t>
      </w:r>
      <w:r>
        <w:t>Diese Möglichkeit würde von der WG-DST auf ihrer vierten Sitzung geprüft werden;</w:t>
      </w:r>
    </w:p>
    <w:p w:rsidR="00AA2932" w:rsidRDefault="00AA2932" w:rsidP="00AA2932"/>
    <w:p w:rsidR="00AA2932" w:rsidRDefault="00AA2932" w:rsidP="00C95DDE">
      <w:pPr>
        <w:spacing w:after="240"/>
      </w:pPr>
      <w:r>
        <w:tab/>
        <w:t>d)</w:t>
      </w:r>
      <w:r>
        <w:tab/>
        <w:t xml:space="preserve">Die WG-DST hatte den </w:t>
      </w:r>
      <w:proofErr w:type="spellStart"/>
      <w:r>
        <w:t>Schluß</w:t>
      </w:r>
      <w:proofErr w:type="spellEnd"/>
      <w:r>
        <w:t xml:space="preserve"> gezogen, </w:t>
      </w:r>
      <w:proofErr w:type="spellStart"/>
      <w:r>
        <w:t>daß</w:t>
      </w:r>
      <w:proofErr w:type="spellEnd"/>
      <w:r>
        <w:t xml:space="preserve"> es nicht durchführbar wäre, sich mit „feststehender Praxis” im Hinblick auf die Verwendung von Bezeichnungen, die ausschließlich aus Zahlen bestehen, zu befassen und hatte angemerkt, </w:t>
      </w:r>
      <w:proofErr w:type="spellStart"/>
      <w:r>
        <w:t>daß</w:t>
      </w:r>
      <w:proofErr w:type="spellEnd"/>
      <w:r>
        <w:t xml:space="preserve"> das für Verbandsmitglieder keine schwer umzusetzende Angelegenheit sei.</w:t>
      </w:r>
    </w:p>
    <w:p w:rsidR="00AA2932" w:rsidRDefault="00AA2932" w:rsidP="00A91295">
      <w:pPr>
        <w:keepNext/>
      </w:pPr>
      <w:r>
        <w:lastRenderedPageBreak/>
        <w:fldChar w:fldCharType="begin"/>
      </w:r>
      <w:r>
        <w:instrText xml:space="preserve"> AUTONUM  </w:instrText>
      </w:r>
      <w:r>
        <w:fldChar w:fldCharType="end"/>
      </w:r>
      <w:r>
        <w:tab/>
        <w:t>Der CAJ vereinbarte folgende Schritte für die Überarbeitung der „Erläuterungen zu Sortenbezeichnungen nach dem UPOV-Übereinkommen“:</w:t>
      </w:r>
      <w:r>
        <w:rPr>
          <w:rStyle w:val="FootnoteReference"/>
        </w:rPr>
        <w:footnoteReference w:id="6"/>
      </w:r>
    </w:p>
    <w:p w:rsidR="00AA2932" w:rsidRDefault="00AA2932" w:rsidP="00A91295">
      <w:pPr>
        <w:keepNext/>
      </w:pPr>
    </w:p>
    <w:p w:rsidR="00AA2932" w:rsidRDefault="00AA2932" w:rsidP="00644877">
      <w:pPr>
        <w:spacing w:after="240"/>
        <w:ind w:firstLine="567"/>
      </w:pPr>
      <w:r>
        <w:t>a)</w:t>
      </w:r>
      <w:r>
        <w:tab/>
        <w:t>das Mandat und die Zusammensetzung der WG-DST zu erweitern, um Empfehlungen für den CAJ betreffend die Überarbeitung von Dokument UPOV/INF/12 „Erläuterungen zu Sortenbezeichnungen nach dem UPOV-Übereinkommen“ auszuarbeiten (Arbeitsgruppe für Sortenbezeichnungen (WG-DEN));</w:t>
      </w:r>
    </w:p>
    <w:p w:rsidR="00AA2932" w:rsidRDefault="00AA2932" w:rsidP="00AA2932">
      <w:r>
        <w:tab/>
        <w:t>b)</w:t>
      </w:r>
      <w:r>
        <w:tab/>
        <w:t>das Verbandsbüro soll ein Rundschreiben mit der Bitte an CAJ-Mitglieder und Beobachter, sich an der WG-DEN zu beteiligen und gegebenenfalls bis zum 20. Januar 2016 Vorschläge für die Überarbeitung von Dokument UPOV/INF/12 zu unterbreiten, herausgeben;</w:t>
      </w:r>
    </w:p>
    <w:p w:rsidR="00AA2932" w:rsidRDefault="00AA2932" w:rsidP="00AA2932"/>
    <w:p w:rsidR="00AA2932" w:rsidRDefault="00AA2932" w:rsidP="00AA2932">
      <w:r>
        <w:tab/>
        <w:t>c)</w:t>
      </w:r>
      <w:r>
        <w:tab/>
        <w:t>die WG-DEN soll in der Woche der UPOV-Tagungen im März 2016 tagen;</w:t>
      </w:r>
    </w:p>
    <w:p w:rsidR="00AA2932" w:rsidRDefault="00AA2932" w:rsidP="00AA2932"/>
    <w:p w:rsidR="00AA2932" w:rsidRDefault="00AA2932" w:rsidP="00AA2932">
      <w:r>
        <w:tab/>
        <w:t>d)</w:t>
      </w:r>
      <w:r>
        <w:tab/>
        <w:t>die WG-DEN soll die in Antwort auf das Rundschreiben in Absatz b) oben eingegangenen Vorschläge und die Vorschläge aus den Absätzen 28 bis 37 und 41 von Dokument CAJ/72/3 in Verbindung mit der Arbeit an der Entwicklung eines wirksamen UPOV-Suchinstruments für Ähnlichkeiten aufgreifen;</w:t>
      </w:r>
    </w:p>
    <w:p w:rsidR="00AA2932" w:rsidRDefault="00AA2932" w:rsidP="00AA2932"/>
    <w:p w:rsidR="00AA2932" w:rsidRDefault="00AA2932" w:rsidP="00AA2932">
      <w:pPr>
        <w:rPr>
          <w:snapToGrid w:val="0"/>
        </w:rPr>
      </w:pPr>
      <w:r>
        <w:tab/>
        <w:t>e)</w:t>
      </w:r>
      <w:r>
        <w:tab/>
        <w:t xml:space="preserve">die WG-DEN soll die Vorschläge zur Erweiterung des Inhalts der PLUTO-Datenbank, damit sie alle anerkannten Sorten, einschließlich jener, die nicht </w:t>
      </w:r>
      <w:proofErr w:type="spellStart"/>
      <w:r>
        <w:t>erfaßt</w:t>
      </w:r>
      <w:proofErr w:type="spellEnd"/>
      <w:r>
        <w:t xml:space="preserve"> oder geschützt wurden oder nicht mehr </w:t>
      </w:r>
      <w:proofErr w:type="spellStart"/>
      <w:r>
        <w:t>erfaßt</w:t>
      </w:r>
      <w:proofErr w:type="spellEnd"/>
      <w:r>
        <w:t xml:space="preserve"> oder geschützt sind, </w:t>
      </w:r>
      <w:proofErr w:type="spellStart"/>
      <w:r>
        <w:t>umfaßt</w:t>
      </w:r>
      <w:proofErr w:type="spellEnd"/>
      <w:r>
        <w:t xml:space="preserve"> (vergleiche Dokument CAJ/72/6 „UPOV-Informationsdatenbanken”, Absatz 38), prüfen.</w:t>
      </w:r>
    </w:p>
    <w:p w:rsidR="00AA2932" w:rsidRDefault="00AA2932" w:rsidP="00037A85"/>
    <w:p w:rsidR="006B4B5C" w:rsidRDefault="006B4B5C" w:rsidP="00037A85"/>
    <w:p w:rsidR="006B4B5C" w:rsidRDefault="006B4B5C" w:rsidP="006B4B5C">
      <w:pPr>
        <w:pStyle w:val="Heading2"/>
      </w:pPr>
      <w:bookmarkStart w:id="23" w:name="_Toc463634913"/>
      <w:bookmarkStart w:id="24" w:name="_Toc464291158"/>
      <w:r>
        <w:t>Erörterungen in der WG-DEN auf ihrer ersten Sitzung</w:t>
      </w:r>
      <w:bookmarkEnd w:id="23"/>
      <w:bookmarkEnd w:id="24"/>
    </w:p>
    <w:p w:rsidR="006B4B5C" w:rsidRDefault="006B4B5C" w:rsidP="00037A85"/>
    <w:p w:rsidR="008E2A07" w:rsidRDefault="00E75E16" w:rsidP="00E75E16">
      <w:r w:rsidRPr="007B07B2">
        <w:fldChar w:fldCharType="begin"/>
      </w:r>
      <w:r w:rsidRPr="007B07B2">
        <w:instrText xml:space="preserve"> AUTONUM  </w:instrText>
      </w:r>
      <w:r w:rsidRPr="007B07B2">
        <w:fldChar w:fldCharType="end"/>
      </w:r>
      <w:r>
        <w:tab/>
        <w:t>Das Verbandsbüro gab am 3. Dezember 2015 Rundschreiben E-15/276 „Arbeitsgruppe für Sortenbezeichnungen (WG</w:t>
      </w:r>
      <w:r>
        <w:noBreakHyphen/>
        <w:t>DEN)” heraus, das auch eine Einladung zur Einreichung von Bemerkungen zu UPOV/INF/12/5 enthielt</w:t>
      </w:r>
      <w:r w:rsidR="00484B8D">
        <w:t xml:space="preserve">. </w:t>
      </w:r>
      <w:r>
        <w:t>In Antwort auf Rundschreiben E-15/276 erhielt das Verbandsbüro Bemerkungen vom Gemeinschaftlichen Sortenamt der Europäischen UNION (CPVO), Neuseeland und gemeinsame Bemerkungen vom Europäischem Saatgutverband (ESA) und dem Internationalen Saatgutverband (ISF)</w:t>
      </w:r>
      <w:r w:rsidR="00484B8D">
        <w:t xml:space="preserve">. </w:t>
      </w:r>
      <w:r>
        <w:t xml:space="preserve">Die Bemerkungen wurden in Dokument UPOVINF/12/6 </w:t>
      </w:r>
      <w:proofErr w:type="spellStart"/>
      <w:r>
        <w:t>Draft</w:t>
      </w:r>
      <w:proofErr w:type="spellEnd"/>
      <w:r>
        <w:t xml:space="preserve"> 1 „Erläuterungen zu Sortenbezeichnungen nach dem UPOV-Übereinkommen“ aufgenommen.</w:t>
      </w:r>
    </w:p>
    <w:p w:rsidR="00E75E16" w:rsidRDefault="00E75E16" w:rsidP="00037A85"/>
    <w:p w:rsidR="00766C13" w:rsidRPr="007B07B2" w:rsidRDefault="00766C13" w:rsidP="00766C13">
      <w:r w:rsidRPr="007B07B2">
        <w:fldChar w:fldCharType="begin"/>
      </w:r>
      <w:r w:rsidRPr="007B07B2">
        <w:instrText xml:space="preserve"> AUTONUM  </w:instrText>
      </w:r>
      <w:r w:rsidRPr="007B07B2">
        <w:fldChar w:fldCharType="end"/>
      </w:r>
      <w:r>
        <w:tab/>
        <w:t>Auf ihrer ersten Sitzung prüfte die WG-DEN</w:t>
      </w:r>
      <w:r>
        <w:rPr>
          <w:rStyle w:val="FootnoteReference"/>
        </w:rPr>
        <w:footnoteReference w:id="7"/>
      </w:r>
      <w:r>
        <w:t xml:space="preserve"> die Dokumente UPOV/WG-DEN/1/2 „Überarbeitung von Dokument UPOV/INF/12/5 ‘Erläuterungen zu Sortenbezeichnungen nach dem UPOV-Übereinkommen’” und UPOV/INF/12/6 </w:t>
      </w:r>
      <w:proofErr w:type="spellStart"/>
      <w:r>
        <w:t>Draft</w:t>
      </w:r>
      <w:proofErr w:type="spellEnd"/>
      <w:r>
        <w:t xml:space="preserve"> 1 „Erläuterungen zu Sortenbezeichnungen nach dem UPOV-Übereinkommen“.</w:t>
      </w:r>
    </w:p>
    <w:p w:rsidR="00766C13" w:rsidRDefault="00766C13" w:rsidP="00766C13">
      <w:pPr>
        <w:pStyle w:val="ListParagraph"/>
        <w:autoSpaceDE w:val="0"/>
        <w:autoSpaceDN w:val="0"/>
        <w:adjustRightInd w:val="0"/>
        <w:ind w:left="0"/>
        <w:contextualSpacing w:val="0"/>
        <w:rPr>
          <w:szCs w:val="24"/>
        </w:rPr>
      </w:pPr>
    </w:p>
    <w:p w:rsidR="009203E5" w:rsidRDefault="009203E5" w:rsidP="009203E5">
      <w:pPr>
        <w:pStyle w:val="ListParagraph"/>
        <w:autoSpaceDE w:val="0"/>
        <w:autoSpaceDN w:val="0"/>
        <w:adjustRightInd w:val="0"/>
        <w:ind w:left="0"/>
        <w:contextualSpacing w:val="0"/>
        <w:rPr>
          <w:szCs w:val="24"/>
        </w:rPr>
      </w:pPr>
      <w:r>
        <w:rPr>
          <w:szCs w:val="24"/>
        </w:rPr>
        <w:fldChar w:fldCharType="begin"/>
      </w:r>
      <w:r>
        <w:rPr>
          <w:szCs w:val="24"/>
        </w:rPr>
        <w:instrText xml:space="preserve"> AUTONUM  </w:instrText>
      </w:r>
      <w:r>
        <w:rPr>
          <w:szCs w:val="24"/>
        </w:rPr>
        <w:fldChar w:fldCharType="end"/>
      </w:r>
      <w:r>
        <w:tab/>
        <w:t xml:space="preserve">Die WG-DEN vereinbarte, das Verbandsbüro zu ersuchen, einen neuen Entwurf von Dokument UPOV/INF/12 (Dokument UPOV/INF/12/6 </w:t>
      </w:r>
      <w:proofErr w:type="spellStart"/>
      <w:r>
        <w:t>Draft</w:t>
      </w:r>
      <w:proofErr w:type="spellEnd"/>
      <w:r>
        <w:t xml:space="preserve"> 2) zur Prüfung auf ihrer zweiten Sitzung auszuarbeiten, der die </w:t>
      </w:r>
      <w:proofErr w:type="spellStart"/>
      <w:r>
        <w:t>Schlußfolgerungen</w:t>
      </w:r>
      <w:proofErr w:type="spellEnd"/>
      <w:r>
        <w:t xml:space="preserve"> der WG-DEN auf ihrer ersten Sitzung und die Bemerkungen, die in Bezug auf die Angelegenheiten, die für weitere Kommentare durch die WG-DEN auf ihrer ersten Sitzung abgegeben wurden, wiedergibt.</w:t>
      </w:r>
      <w:r>
        <w:rPr>
          <w:rStyle w:val="FootnoteReference"/>
        </w:rPr>
        <w:footnoteReference w:id="8"/>
      </w:r>
    </w:p>
    <w:p w:rsidR="00172661" w:rsidRPr="007B07B2" w:rsidRDefault="00172661" w:rsidP="00766C13">
      <w:pPr>
        <w:pStyle w:val="ListParagraph"/>
        <w:autoSpaceDE w:val="0"/>
        <w:autoSpaceDN w:val="0"/>
        <w:adjustRightInd w:val="0"/>
        <w:ind w:left="0"/>
        <w:contextualSpacing w:val="0"/>
        <w:rPr>
          <w:szCs w:val="24"/>
        </w:rPr>
      </w:pPr>
    </w:p>
    <w:p w:rsidR="006047D0" w:rsidRDefault="006B4B5C" w:rsidP="006047D0">
      <w:r>
        <w:rPr>
          <w:szCs w:val="24"/>
        </w:rPr>
        <w:fldChar w:fldCharType="begin"/>
      </w:r>
      <w:r>
        <w:rPr>
          <w:szCs w:val="24"/>
        </w:rPr>
        <w:instrText xml:space="preserve"> AUTONUM  </w:instrText>
      </w:r>
      <w:r>
        <w:rPr>
          <w:szCs w:val="24"/>
        </w:rPr>
        <w:fldChar w:fldCharType="end"/>
      </w:r>
      <w:r>
        <w:tab/>
        <w:t>Das Verbandsbüro gab das Rundschreiben E-16/088 heraus, um Sachverständige einzuladen, bis zum 20. Mai 2016 Informationen betreffend folgende Angelegenheiten, wie in Dokument UPOV/WG-DEN/1/6 dargelegt, einzureichen:</w:t>
      </w:r>
    </w:p>
    <w:p w:rsidR="006047D0" w:rsidRDefault="006047D0" w:rsidP="006047D0"/>
    <w:p w:rsidR="006047D0" w:rsidRPr="006B676B" w:rsidRDefault="00644877" w:rsidP="00644877">
      <w:pPr>
        <w:ind w:left="709" w:right="567" w:hanging="142"/>
        <w:rPr>
          <w:sz w:val="18"/>
          <w:szCs w:val="18"/>
        </w:rPr>
      </w:pPr>
      <w:r w:rsidRPr="006B676B">
        <w:rPr>
          <w:rFonts w:hint="eastAsia"/>
          <w:sz w:val="18"/>
          <w:szCs w:val="18"/>
        </w:rPr>
        <w:t>-</w:t>
      </w:r>
      <w:r w:rsidR="00621128">
        <w:rPr>
          <w:sz w:val="18"/>
          <w:szCs w:val="18"/>
        </w:rPr>
        <w:tab/>
        <w:t>Beispiele für akzeptable</w:t>
      </w:r>
      <w:r w:rsidRPr="006B676B">
        <w:rPr>
          <w:sz w:val="18"/>
          <w:szCs w:val="18"/>
        </w:rPr>
        <w:t xml:space="preserve"> Fälle von Sortenbezeichnungen, die ausschließlich aus beschreibenden Begriffen bestehen, einzureichen;</w:t>
      </w:r>
    </w:p>
    <w:p w:rsidR="00CD7ED9" w:rsidRPr="006B676B" w:rsidRDefault="00CD7ED9" w:rsidP="00644877">
      <w:pPr>
        <w:ind w:left="709" w:right="567" w:hanging="142"/>
        <w:rPr>
          <w:sz w:val="18"/>
          <w:szCs w:val="18"/>
        </w:rPr>
      </w:pPr>
    </w:p>
    <w:p w:rsidR="006047D0" w:rsidRPr="006B676B" w:rsidRDefault="00644877" w:rsidP="00644877">
      <w:pPr>
        <w:ind w:left="709" w:right="567" w:hanging="142"/>
        <w:rPr>
          <w:sz w:val="18"/>
          <w:szCs w:val="18"/>
        </w:rPr>
      </w:pPr>
      <w:r w:rsidRPr="006B676B">
        <w:rPr>
          <w:rFonts w:hint="eastAsia"/>
          <w:sz w:val="18"/>
          <w:szCs w:val="18"/>
        </w:rPr>
        <w:t>-</w:t>
      </w:r>
      <w:r w:rsidR="00621128">
        <w:rPr>
          <w:sz w:val="18"/>
          <w:szCs w:val="18"/>
        </w:rPr>
        <w:tab/>
        <w:t>Beispiele für akzeptable oder nicht akzeptable</w:t>
      </w:r>
      <w:r w:rsidRPr="006B676B">
        <w:rPr>
          <w:sz w:val="18"/>
          <w:szCs w:val="18"/>
        </w:rPr>
        <w:t xml:space="preserve"> Verwendung von Superlativen und Komparativen einzureichen;</w:t>
      </w:r>
    </w:p>
    <w:p w:rsidR="00CD7ED9" w:rsidRPr="006B676B" w:rsidRDefault="00CD7ED9" w:rsidP="00644877">
      <w:pPr>
        <w:ind w:left="709" w:right="567" w:hanging="142"/>
        <w:rPr>
          <w:sz w:val="18"/>
          <w:szCs w:val="18"/>
        </w:rPr>
      </w:pPr>
    </w:p>
    <w:p w:rsidR="006047D0" w:rsidRPr="006B676B" w:rsidRDefault="00644877" w:rsidP="00644877">
      <w:pPr>
        <w:ind w:left="709" w:right="567" w:hanging="142"/>
        <w:rPr>
          <w:sz w:val="18"/>
          <w:szCs w:val="18"/>
        </w:rPr>
      </w:pPr>
      <w:r w:rsidRPr="006B676B">
        <w:rPr>
          <w:rFonts w:hint="eastAsia"/>
          <w:sz w:val="18"/>
          <w:szCs w:val="18"/>
        </w:rPr>
        <w:t>-</w:t>
      </w:r>
      <w:r w:rsidRPr="006B676B">
        <w:rPr>
          <w:sz w:val="18"/>
          <w:szCs w:val="18"/>
        </w:rPr>
        <w:tab/>
        <w:t>Beispiele und Informationen zur Verwendung von Präfixen zur Identifizierung der Züchter und Angelegenheiten, die sich ergeben könnten, einzureichen;</w:t>
      </w:r>
    </w:p>
    <w:p w:rsidR="006047D0" w:rsidRPr="006B676B" w:rsidRDefault="006047D0" w:rsidP="00644877">
      <w:pPr>
        <w:ind w:left="709" w:right="567" w:hanging="142"/>
        <w:rPr>
          <w:sz w:val="18"/>
          <w:szCs w:val="18"/>
        </w:rPr>
      </w:pPr>
    </w:p>
    <w:p w:rsidR="006047D0" w:rsidRPr="006B676B" w:rsidRDefault="00644877" w:rsidP="00644877">
      <w:pPr>
        <w:ind w:left="709" w:right="567" w:hanging="142"/>
        <w:rPr>
          <w:sz w:val="18"/>
          <w:szCs w:val="18"/>
        </w:rPr>
      </w:pPr>
      <w:r w:rsidRPr="006B676B">
        <w:rPr>
          <w:rFonts w:hint="eastAsia"/>
          <w:sz w:val="18"/>
          <w:szCs w:val="18"/>
        </w:rPr>
        <w:t>-</w:t>
      </w:r>
      <w:r w:rsidRPr="006B676B">
        <w:rPr>
          <w:sz w:val="18"/>
          <w:szCs w:val="18"/>
        </w:rPr>
        <w:tab/>
        <w:t>Vorschläge betreffend eine etwaige Überarbeitung der Sortenbezeichnungsklassen zu machen;</w:t>
      </w:r>
    </w:p>
    <w:p w:rsidR="006047D0" w:rsidRPr="006B676B" w:rsidRDefault="006047D0" w:rsidP="00644877">
      <w:pPr>
        <w:ind w:left="709" w:right="567" w:hanging="142"/>
        <w:rPr>
          <w:sz w:val="18"/>
          <w:szCs w:val="18"/>
        </w:rPr>
      </w:pPr>
    </w:p>
    <w:p w:rsidR="006047D0" w:rsidRPr="006B676B" w:rsidRDefault="00CD7ED9" w:rsidP="006B676B">
      <w:pPr>
        <w:ind w:left="709" w:right="567" w:hanging="142"/>
        <w:rPr>
          <w:sz w:val="18"/>
          <w:szCs w:val="18"/>
        </w:rPr>
      </w:pPr>
      <w:r w:rsidRPr="006B676B">
        <w:rPr>
          <w:rFonts w:hint="eastAsia"/>
          <w:sz w:val="18"/>
          <w:szCs w:val="18"/>
        </w:rPr>
        <w:t>-</w:t>
      </w:r>
      <w:r w:rsidRPr="006B676B">
        <w:rPr>
          <w:sz w:val="18"/>
          <w:szCs w:val="18"/>
        </w:rPr>
        <w:tab/>
        <w:t>Bemerkungen/Vorschläge zu Abschnitt 4 a) in Bezug auf ihre Praktiken betreffend Suchvorgänge und Maßnahmen betreffend ältere Rechte einzureichen; und</w:t>
      </w:r>
    </w:p>
    <w:p w:rsidR="006047D0" w:rsidRPr="006B676B" w:rsidRDefault="006047D0" w:rsidP="00644877">
      <w:pPr>
        <w:ind w:left="709" w:right="567" w:hanging="142"/>
        <w:rPr>
          <w:sz w:val="18"/>
          <w:szCs w:val="18"/>
        </w:rPr>
      </w:pPr>
    </w:p>
    <w:p w:rsidR="00CD7ED9" w:rsidRPr="006B676B" w:rsidRDefault="00644877" w:rsidP="00644877">
      <w:pPr>
        <w:ind w:left="709" w:right="567" w:hanging="142"/>
        <w:rPr>
          <w:sz w:val="18"/>
          <w:szCs w:val="18"/>
        </w:rPr>
      </w:pPr>
      <w:r w:rsidRPr="006B676B">
        <w:rPr>
          <w:rFonts w:hint="eastAsia"/>
          <w:sz w:val="18"/>
          <w:szCs w:val="18"/>
        </w:rPr>
        <w:t>-</w:t>
      </w:r>
      <w:r w:rsidRPr="006B676B">
        <w:rPr>
          <w:sz w:val="18"/>
          <w:szCs w:val="18"/>
        </w:rPr>
        <w:tab/>
        <w:t>Informationen von Fällen, in denen die in der ersten Anmeldung angenommene Bezeichnung nicht die von anderen Behörden verwendete Bezeichnung war, wenn eine unterschiedliche Bezeichnung von einer zweiten Behörde akzeptiert wurde.</w:t>
      </w:r>
    </w:p>
    <w:p w:rsidR="006047D0" w:rsidRPr="006B676B" w:rsidRDefault="006047D0" w:rsidP="00037A85">
      <w:pPr>
        <w:rPr>
          <w:sz w:val="18"/>
          <w:szCs w:val="18"/>
        </w:rPr>
      </w:pPr>
    </w:p>
    <w:p w:rsidR="006047D0" w:rsidRDefault="006047D0" w:rsidP="00037A85">
      <w:r>
        <w:rPr>
          <w:szCs w:val="24"/>
        </w:rPr>
        <w:fldChar w:fldCharType="begin"/>
      </w:r>
      <w:r>
        <w:rPr>
          <w:szCs w:val="24"/>
        </w:rPr>
        <w:instrText xml:space="preserve"> AUTONUM  </w:instrText>
      </w:r>
      <w:r>
        <w:rPr>
          <w:szCs w:val="24"/>
        </w:rPr>
        <w:fldChar w:fldCharType="end"/>
      </w:r>
      <w:r>
        <w:tab/>
        <w:t xml:space="preserve">Das Verbandsbüro erhielt bis zum 20. Mai 2016 Bemerkungen aus Frankreich, den Niederlanden und Neuseeland. </w:t>
      </w:r>
    </w:p>
    <w:p w:rsidR="006047D0" w:rsidRDefault="006047D0" w:rsidP="00037A85"/>
    <w:p w:rsidR="006047D0" w:rsidRDefault="006047D0" w:rsidP="00037A85">
      <w:r>
        <w:rPr>
          <w:szCs w:val="24"/>
        </w:rPr>
        <w:fldChar w:fldCharType="begin"/>
      </w:r>
      <w:r>
        <w:rPr>
          <w:szCs w:val="24"/>
        </w:rPr>
        <w:instrText xml:space="preserve"> AUTONUM  </w:instrText>
      </w:r>
      <w:r>
        <w:rPr>
          <w:szCs w:val="24"/>
        </w:rPr>
        <w:fldChar w:fldCharType="end"/>
      </w:r>
      <w:r>
        <w:tab/>
        <w:t>Die von Frankreich, den Niederlanden und Neuseeland eingereichten Bemerkungen werden von der WG</w:t>
      </w:r>
      <w:r>
        <w:noBreakHyphen/>
        <w:t>DEN auf ihrer zweiten Sitzung geprüft werden.</w:t>
      </w:r>
    </w:p>
    <w:p w:rsidR="00013610" w:rsidRDefault="00013610" w:rsidP="00BF29F6"/>
    <w:p w:rsidR="00AA2C2B" w:rsidRDefault="00532FB6" w:rsidP="009E36D7">
      <w:pPr>
        <w:pStyle w:val="DecisionParagraphs"/>
        <w:keepNext/>
        <w:keepLines/>
        <w:rPr>
          <w:iCs/>
          <w:spacing w:val="-4"/>
        </w:rPr>
      </w:pPr>
      <w:r w:rsidRPr="006B6D27">
        <w:fldChar w:fldCharType="begin"/>
      </w:r>
      <w:r w:rsidRPr="006B6D27">
        <w:instrText xml:space="preserve"> AUTONUM  </w:instrText>
      </w:r>
      <w:r w:rsidRPr="006B6D27">
        <w:fldChar w:fldCharType="end"/>
      </w:r>
      <w:r>
        <w:tab/>
        <w:t>Der CAJ wird ersucht, folgendes zur Kenntnis zu nehmen:</w:t>
      </w:r>
    </w:p>
    <w:p w:rsidR="00AA2C2B" w:rsidRDefault="00AA2C2B" w:rsidP="009E36D7">
      <w:pPr>
        <w:pStyle w:val="DecisionParagraphs"/>
        <w:keepNext/>
        <w:keepLines/>
        <w:rPr>
          <w:iCs/>
          <w:spacing w:val="-4"/>
        </w:rPr>
      </w:pPr>
    </w:p>
    <w:p w:rsidR="00C524B7" w:rsidRDefault="00AA2C2B" w:rsidP="00FF1931">
      <w:pPr>
        <w:pStyle w:val="DecisionParagraphs"/>
        <w:keepLines/>
        <w:tabs>
          <w:tab w:val="left" w:pos="5954"/>
        </w:tabs>
        <w:rPr>
          <w:snapToGrid w:val="0"/>
        </w:rPr>
      </w:pPr>
      <w:r>
        <w:tab/>
        <w:t>a)</w:t>
      </w:r>
      <w:r>
        <w:tab/>
        <w:t>die Arbeit der WG</w:t>
      </w:r>
      <w:r>
        <w:noBreakHyphen/>
        <w:t>DEN betreffend die Überarbeitung von Dokument UPOV/INF/12 „Erläuterungen zu Sortenbezeichnungen nach dem UPOV-Übereinkommen“;</w:t>
      </w:r>
      <w:r>
        <w:tab/>
        <w:t>und</w:t>
      </w:r>
    </w:p>
    <w:p w:rsidR="00BF786F" w:rsidRDefault="00BF786F" w:rsidP="00FF1931">
      <w:pPr>
        <w:pStyle w:val="DecisionParagraphs"/>
        <w:keepLines/>
        <w:tabs>
          <w:tab w:val="left" w:pos="5954"/>
        </w:tabs>
        <w:ind w:left="5103" w:firstLine="426"/>
      </w:pPr>
    </w:p>
    <w:p w:rsidR="00C524B7" w:rsidRDefault="00BF786F" w:rsidP="00967C60">
      <w:pPr>
        <w:pStyle w:val="DecisionParagraphs"/>
        <w:tabs>
          <w:tab w:val="left" w:pos="5954"/>
        </w:tabs>
        <w:rPr>
          <w:rFonts w:cs="Arial"/>
        </w:rPr>
      </w:pPr>
      <w:r>
        <w:tab/>
        <w:t>b)</w:t>
      </w:r>
      <w:r>
        <w:tab/>
      </w:r>
      <w:proofErr w:type="spellStart"/>
      <w:r>
        <w:t>daß</w:t>
      </w:r>
      <w:proofErr w:type="spellEnd"/>
      <w:r>
        <w:t xml:space="preserve"> Frankreich, die Niederlande und Neuseeland Bemerkungen betreffend Dokument UPOV/INF/12/6 </w:t>
      </w:r>
      <w:proofErr w:type="spellStart"/>
      <w:r>
        <w:t>Draft</w:t>
      </w:r>
      <w:proofErr w:type="spellEnd"/>
      <w:r>
        <w:t xml:space="preserve"> 1 abgegeben haben, und </w:t>
      </w:r>
      <w:proofErr w:type="spellStart"/>
      <w:r>
        <w:t>daß</w:t>
      </w:r>
      <w:proofErr w:type="spellEnd"/>
      <w:r>
        <w:t xml:space="preserve"> diese Bemerkungen von der WG-DEN auf ihrer zweiten Sitzung geprüft werden.</w:t>
      </w:r>
    </w:p>
    <w:p w:rsidR="00C524B7" w:rsidRDefault="00C524B7" w:rsidP="00715173"/>
    <w:p w:rsidR="007A6AF5" w:rsidRDefault="007A6AF5" w:rsidP="00857BCE">
      <w:pPr>
        <w:spacing w:after="240"/>
      </w:pPr>
      <w:bookmarkStart w:id="25" w:name="_Toc427161619"/>
    </w:p>
    <w:p w:rsidR="006047D0" w:rsidRPr="00E10886" w:rsidRDefault="006047D0" w:rsidP="00757389">
      <w:pPr>
        <w:pStyle w:val="Heading1"/>
        <w:keepNext/>
        <w:rPr>
          <w:snapToGrid w:val="0"/>
        </w:rPr>
      </w:pPr>
      <w:bookmarkStart w:id="26" w:name="_Toc427161607"/>
      <w:bookmarkStart w:id="27" w:name="_Toc463634914"/>
      <w:bookmarkStart w:id="28" w:name="_Toc464291159"/>
      <w:bookmarkEnd w:id="25"/>
      <w:r>
        <w:t>ETWAIGE ENTWICKL</w:t>
      </w:r>
      <w:r w:rsidR="007C330A">
        <w:t xml:space="preserve">UNG EINES UPOV-SUCHINSTRUMENTS </w:t>
      </w:r>
      <w:r>
        <w:t>FÜR ÄHNLICHKEITEN ZUM ZWECK DER SORTENBEZEICHNUNG</w:t>
      </w:r>
      <w:bookmarkEnd w:id="26"/>
      <w:bookmarkEnd w:id="27"/>
      <w:bookmarkEnd w:id="28"/>
    </w:p>
    <w:p w:rsidR="006047D0" w:rsidRDefault="006047D0" w:rsidP="00757389">
      <w:pPr>
        <w:keepNext/>
        <w:rPr>
          <w:snapToGrid w:val="0"/>
        </w:rPr>
      </w:pPr>
    </w:p>
    <w:p w:rsidR="006047D0" w:rsidRDefault="006047D0" w:rsidP="006047D0">
      <w:r w:rsidRPr="009B48EB">
        <w:fldChar w:fldCharType="begin"/>
      </w:r>
      <w:r w:rsidRPr="009B48EB">
        <w:instrText xml:space="preserve"> AUTONUM  </w:instrText>
      </w:r>
      <w:r w:rsidRPr="009B48EB">
        <w:fldChar w:fldCharType="end"/>
      </w:r>
      <w:r>
        <w:tab/>
        <w:t>Der Hintergrund zu dieser Angelegenheit ist in Dokument CAJ/72/3 „Sortenbezeichnungen“ dargelegt.</w:t>
      </w:r>
    </w:p>
    <w:p w:rsidR="006047D0" w:rsidRDefault="006047D0" w:rsidP="006047D0">
      <w:pPr>
        <w:rPr>
          <w:snapToGrid w:val="0"/>
        </w:rPr>
      </w:pPr>
    </w:p>
    <w:p w:rsidR="006047D0" w:rsidRDefault="006047D0" w:rsidP="006047D0">
      <w:pPr>
        <w:rPr>
          <w:snapToGrid w:val="0"/>
        </w:rPr>
      </w:pPr>
    </w:p>
    <w:p w:rsidR="006047D0" w:rsidRDefault="006047D0" w:rsidP="006047D0">
      <w:pPr>
        <w:pStyle w:val="Heading2"/>
      </w:pPr>
      <w:bookmarkStart w:id="29" w:name="_Toc427161609"/>
      <w:bookmarkStart w:id="30" w:name="_Toc463634915"/>
      <w:bookmarkStart w:id="31" w:name="_Toc464291160"/>
      <w:r>
        <w:t>Teststudie</w:t>
      </w:r>
      <w:bookmarkEnd w:id="29"/>
      <w:bookmarkEnd w:id="30"/>
      <w:bookmarkEnd w:id="31"/>
    </w:p>
    <w:p w:rsidR="006047D0" w:rsidRPr="007B07B2" w:rsidRDefault="006047D0" w:rsidP="006047D0">
      <w:pPr>
        <w:autoSpaceDE w:val="0"/>
        <w:autoSpaceDN w:val="0"/>
        <w:adjustRightInd w:val="0"/>
        <w:rPr>
          <w:szCs w:val="24"/>
        </w:rPr>
      </w:pPr>
    </w:p>
    <w:p w:rsidR="006047D0" w:rsidRPr="007B07B2" w:rsidRDefault="006047D0" w:rsidP="006047D0">
      <w:pPr>
        <w:rPr>
          <w:szCs w:val="24"/>
        </w:rPr>
      </w:pPr>
      <w:r w:rsidRPr="007B07B2">
        <w:fldChar w:fldCharType="begin"/>
      </w:r>
      <w:r w:rsidRPr="007B07B2">
        <w:instrText xml:space="preserve"> AUTONUM  </w:instrText>
      </w:r>
      <w:r w:rsidRPr="007B07B2">
        <w:fldChar w:fldCharType="end"/>
      </w:r>
      <w:r>
        <w:tab/>
        <w:t>Auf ihrer ersten Sitzung prüfte die WG-DEN Dokument UPOV/WG-DEN/1/3 „</w:t>
      </w:r>
      <w:r>
        <w:rPr>
          <w:i/>
        </w:rPr>
        <w:t xml:space="preserve">UPOV Denomination </w:t>
      </w:r>
      <w:proofErr w:type="spellStart"/>
      <w:r>
        <w:rPr>
          <w:i/>
        </w:rPr>
        <w:t>Similarity</w:t>
      </w:r>
      <w:proofErr w:type="spellEnd"/>
      <w:r>
        <w:rPr>
          <w:i/>
        </w:rPr>
        <w:t xml:space="preserve"> Search Tool</w:t>
      </w:r>
      <w:r>
        <w:t>”.</w:t>
      </w:r>
    </w:p>
    <w:p w:rsidR="006047D0" w:rsidRPr="007B07B2" w:rsidRDefault="006047D0" w:rsidP="006047D0">
      <w:pPr>
        <w:autoSpaceDE w:val="0"/>
        <w:autoSpaceDN w:val="0"/>
        <w:adjustRightInd w:val="0"/>
        <w:rPr>
          <w:szCs w:val="24"/>
        </w:rPr>
      </w:pPr>
      <w:r>
        <w:t xml:space="preserve"> </w:t>
      </w:r>
    </w:p>
    <w:p w:rsidR="006047D0" w:rsidRPr="007B07B2" w:rsidRDefault="006047D0" w:rsidP="006047D0">
      <w:pPr>
        <w:pStyle w:val="ListParagraph"/>
        <w:autoSpaceDE w:val="0"/>
        <w:autoSpaceDN w:val="0"/>
        <w:adjustRightInd w:val="0"/>
        <w:ind w:left="0"/>
        <w:contextualSpacing w:val="0"/>
      </w:pPr>
      <w:r w:rsidRPr="007B07B2">
        <w:fldChar w:fldCharType="begin"/>
      </w:r>
      <w:r w:rsidRPr="007B07B2">
        <w:instrText xml:space="preserve"> AUTONUM  </w:instrText>
      </w:r>
      <w:r w:rsidRPr="007B07B2">
        <w:fldChar w:fldCharType="end"/>
      </w:r>
      <w:r>
        <w:tab/>
        <w:t>Die WG-DEN nahm die Entwicklungen in der WG-DST zur Kenntnis.</w:t>
      </w:r>
    </w:p>
    <w:p w:rsidR="006047D0" w:rsidRPr="007B07B2" w:rsidRDefault="006047D0" w:rsidP="006047D0">
      <w:pPr>
        <w:pStyle w:val="ListParagraph"/>
        <w:autoSpaceDE w:val="0"/>
        <w:autoSpaceDN w:val="0"/>
        <w:adjustRightInd w:val="0"/>
        <w:ind w:left="0"/>
        <w:contextualSpacing w:val="0"/>
      </w:pPr>
    </w:p>
    <w:p w:rsidR="006047D0" w:rsidRPr="007B07B2" w:rsidRDefault="006047D0" w:rsidP="006047D0">
      <w:pPr>
        <w:pStyle w:val="ListParagraph"/>
        <w:autoSpaceDE w:val="0"/>
        <w:autoSpaceDN w:val="0"/>
        <w:adjustRightInd w:val="0"/>
        <w:ind w:left="0"/>
        <w:contextualSpacing w:val="0"/>
      </w:pPr>
      <w:r w:rsidRPr="007B07B2">
        <w:fldChar w:fldCharType="begin"/>
      </w:r>
      <w:r w:rsidRPr="007B07B2">
        <w:instrText xml:space="preserve"> AUTONUM  </w:instrText>
      </w:r>
      <w:r w:rsidRPr="007B07B2">
        <w:fldChar w:fldCharType="end"/>
      </w:r>
      <w:r>
        <w:tab/>
        <w:t xml:space="preserve">Die WG-DEN nahm zur Kenntnis, </w:t>
      </w:r>
      <w:proofErr w:type="spellStart"/>
      <w:r>
        <w:t>daß</w:t>
      </w:r>
      <w:proofErr w:type="spellEnd"/>
      <w:r>
        <w:t xml:space="preserve"> bis Ende Mär</w:t>
      </w:r>
      <w:r w:rsidR="007C330A">
        <w:t>z 2016 die Schaffung einer Webs</w:t>
      </w:r>
      <w:r>
        <w:t>ite für den Vergleich der Suchergebnisse des verfeinerten Algorithmus und des bestehenden Suchinstruments in der PLUTO-Datenbank geplant sei</w:t>
      </w:r>
      <w:r w:rsidR="00484B8D">
        <w:t xml:space="preserve">. </w:t>
      </w:r>
      <w:r>
        <w:t>Es würde ein Rundschreiben an die WG-DEN verschickt werden, mit dem Sachverständige ersucht würden, den verfeinerten Algorithmus zu beurteilen und bis Ende Juni 2016 Rückmeldung zu geben.</w:t>
      </w:r>
    </w:p>
    <w:p w:rsidR="006047D0" w:rsidRPr="007B07B2" w:rsidRDefault="006047D0" w:rsidP="006047D0">
      <w:pPr>
        <w:pStyle w:val="ListParagraph"/>
        <w:autoSpaceDE w:val="0"/>
        <w:autoSpaceDN w:val="0"/>
        <w:adjustRightInd w:val="0"/>
        <w:ind w:left="0"/>
        <w:contextualSpacing w:val="0"/>
      </w:pPr>
    </w:p>
    <w:p w:rsidR="006047D0" w:rsidRDefault="006047D0" w:rsidP="006047D0">
      <w:pPr>
        <w:pStyle w:val="ListParagraph"/>
        <w:autoSpaceDE w:val="0"/>
        <w:autoSpaceDN w:val="0"/>
        <w:adjustRightInd w:val="0"/>
        <w:ind w:left="0"/>
        <w:contextualSpacing w:val="0"/>
      </w:pPr>
      <w:r w:rsidRPr="00A64487">
        <w:fldChar w:fldCharType="begin"/>
      </w:r>
      <w:r w:rsidRPr="00A64487">
        <w:instrText xml:space="preserve"> AUTONUM  </w:instrText>
      </w:r>
      <w:r w:rsidRPr="00A64487">
        <w:fldChar w:fldCharType="end"/>
      </w:r>
      <w:r>
        <w:tab/>
        <w:t xml:space="preserve">Die WG-DEN vereinbarte, </w:t>
      </w:r>
      <w:proofErr w:type="spellStart"/>
      <w:r>
        <w:t>daß</w:t>
      </w:r>
      <w:proofErr w:type="spellEnd"/>
      <w:r>
        <w:t xml:space="preserve"> die WG-DEN auf ihrer zweiten Sitzung die Ergebnisse der Beurteilung und die eingegangenen Rück</w:t>
      </w:r>
      <w:r w:rsidR="00621128">
        <w:t>meldungen prüfen sollte und überleg</w:t>
      </w:r>
      <w:r>
        <w:t>en sollte, ob es ang</w:t>
      </w:r>
      <w:r w:rsidR="00621128">
        <w:t>emessen wäre, eine Experten-</w:t>
      </w:r>
      <w:r>
        <w:t>Anpassung des verfeinerten Algorithmus zur Verbesserung der Performance anzustreben.</w:t>
      </w:r>
    </w:p>
    <w:p w:rsidR="006047D0" w:rsidRDefault="006047D0" w:rsidP="006047D0">
      <w:pPr>
        <w:pStyle w:val="ListParagraph"/>
        <w:autoSpaceDE w:val="0"/>
        <w:autoSpaceDN w:val="0"/>
        <w:adjustRightInd w:val="0"/>
        <w:ind w:left="0"/>
        <w:contextualSpacing w:val="0"/>
      </w:pPr>
    </w:p>
    <w:p w:rsidR="005F2580" w:rsidRDefault="005F2580" w:rsidP="005F2580">
      <w:pPr>
        <w:pStyle w:val="ListParagraph"/>
        <w:autoSpaceDE w:val="0"/>
        <w:autoSpaceDN w:val="0"/>
        <w:adjustRightInd w:val="0"/>
        <w:ind w:left="0"/>
        <w:contextualSpacing w:val="0"/>
      </w:pPr>
      <w:r w:rsidRPr="00A64487">
        <w:fldChar w:fldCharType="begin"/>
      </w:r>
      <w:r w:rsidRPr="00A64487">
        <w:instrText xml:space="preserve"> AUTONUM  </w:instrText>
      </w:r>
      <w:r w:rsidRPr="00A64487">
        <w:fldChar w:fldCharType="end"/>
      </w:r>
      <w:r>
        <w:tab/>
        <w:t>Die Schaffung einer Webseite für den Vergleich der Suchergebnisse des verfeinerten Algorithmus und des bestehenden Suchinstruments in der PLUTO-Datenbank wurde aufgrund von Entwicklungen innerhalb der WIPO verschoben.</w:t>
      </w:r>
    </w:p>
    <w:p w:rsidR="005F2580" w:rsidRDefault="005F2580" w:rsidP="006047D0">
      <w:pPr>
        <w:pStyle w:val="ListParagraph"/>
        <w:autoSpaceDE w:val="0"/>
        <w:autoSpaceDN w:val="0"/>
        <w:adjustRightInd w:val="0"/>
        <w:ind w:left="0"/>
        <w:contextualSpacing w:val="0"/>
      </w:pPr>
    </w:p>
    <w:p w:rsidR="006047D0" w:rsidRDefault="006047D0" w:rsidP="005F2580">
      <w:pPr>
        <w:autoSpaceDE w:val="0"/>
        <w:autoSpaceDN w:val="0"/>
        <w:adjustRightInd w:val="0"/>
      </w:pPr>
      <w:r w:rsidRPr="00A64487">
        <w:fldChar w:fldCharType="begin"/>
      </w:r>
      <w:r w:rsidRPr="00A64487">
        <w:instrText xml:space="preserve"> AUTONUM  </w:instrText>
      </w:r>
      <w:r w:rsidRPr="00A64487">
        <w:fldChar w:fldCharType="end"/>
      </w:r>
      <w:r>
        <w:tab/>
        <w:t>Das Verbandsbüro wird ein Rundschreiben vorbereiten, um Sachverständige vorbehaltlich der Entwicklungen in der WG-DEN betreffend die Überarbeitung von Dokument UPOV/INF/12/5 „Erläuterungen zu Sortenbezeichnungen nach dem UPOV-Übereinkommen“ dazu einzuladen, den verfeinerten Algorithmus zu beurteilen und Rückmeldung zu geben.</w:t>
      </w:r>
    </w:p>
    <w:p w:rsidR="009203E5" w:rsidRDefault="009203E5" w:rsidP="009203E5">
      <w:pPr>
        <w:pStyle w:val="ListParagraph"/>
        <w:autoSpaceDE w:val="0"/>
        <w:autoSpaceDN w:val="0"/>
        <w:adjustRightInd w:val="0"/>
        <w:ind w:left="0"/>
        <w:contextualSpacing w:val="0"/>
        <w:rPr>
          <w:szCs w:val="24"/>
        </w:rPr>
      </w:pPr>
    </w:p>
    <w:p w:rsidR="00C404B8" w:rsidRDefault="00C404B8" w:rsidP="00714C6E"/>
    <w:p w:rsidR="006047D0" w:rsidRDefault="006047D0" w:rsidP="006047D0">
      <w:pPr>
        <w:pStyle w:val="Heading2"/>
      </w:pPr>
      <w:bookmarkStart w:id="32" w:name="_Toc463634916"/>
      <w:bookmarkStart w:id="33" w:name="_Toc464291161"/>
      <w:r>
        <w:t>Nicht akzeptable Begriffe für die Sortenbezeichnung</w:t>
      </w:r>
      <w:bookmarkEnd w:id="32"/>
      <w:bookmarkEnd w:id="33"/>
    </w:p>
    <w:p w:rsidR="006047D0" w:rsidRPr="007B07B2" w:rsidRDefault="006047D0" w:rsidP="006047D0">
      <w:pPr>
        <w:pStyle w:val="ListParagraph"/>
        <w:keepNext/>
        <w:autoSpaceDE w:val="0"/>
        <w:autoSpaceDN w:val="0"/>
        <w:adjustRightInd w:val="0"/>
        <w:ind w:left="0"/>
        <w:contextualSpacing w:val="0"/>
        <w:jc w:val="left"/>
        <w:rPr>
          <w:szCs w:val="24"/>
        </w:rPr>
      </w:pPr>
    </w:p>
    <w:p w:rsidR="006047D0" w:rsidRPr="00681497" w:rsidRDefault="006047D0" w:rsidP="006047D0">
      <w:pPr>
        <w:pStyle w:val="ListParagraph"/>
        <w:autoSpaceDE w:val="0"/>
        <w:autoSpaceDN w:val="0"/>
        <w:adjustRightInd w:val="0"/>
        <w:ind w:left="0"/>
        <w:contextualSpacing w:val="0"/>
        <w:rPr>
          <w:szCs w:val="24"/>
        </w:rPr>
      </w:pPr>
      <w:r w:rsidRPr="00681497">
        <w:fldChar w:fldCharType="begin"/>
      </w:r>
      <w:r w:rsidRPr="00681497">
        <w:instrText xml:space="preserve"> AUTONUM  </w:instrText>
      </w:r>
      <w:r w:rsidRPr="00681497">
        <w:fldChar w:fldCharType="end"/>
      </w:r>
      <w:r>
        <w:tab/>
        <w:t>Auf ihrer ersten Sitzung prüfte die WG-DEN Dokument UPOV/WG-DEN/1/5 „</w:t>
      </w:r>
      <w:r>
        <w:rPr>
          <w:i/>
        </w:rPr>
        <w:t>Non-</w:t>
      </w:r>
      <w:proofErr w:type="spellStart"/>
      <w:r>
        <w:rPr>
          <w:i/>
        </w:rPr>
        <w:t>Acceptable</w:t>
      </w:r>
      <w:proofErr w:type="spellEnd"/>
      <w:r>
        <w:rPr>
          <w:i/>
        </w:rPr>
        <w:t xml:space="preserve"> Terms</w:t>
      </w:r>
      <w:r>
        <w:t>” und nahm die Entwicklungen, über die in diesem Dokument berichtet wird, zur Kenntnis.</w:t>
      </w:r>
    </w:p>
    <w:p w:rsidR="006047D0" w:rsidRPr="00681497" w:rsidRDefault="006047D0" w:rsidP="006047D0">
      <w:pPr>
        <w:pStyle w:val="ListParagraph"/>
        <w:autoSpaceDE w:val="0"/>
        <w:autoSpaceDN w:val="0"/>
        <w:adjustRightInd w:val="0"/>
        <w:ind w:left="0"/>
        <w:contextualSpacing w:val="0"/>
        <w:rPr>
          <w:szCs w:val="24"/>
        </w:rPr>
      </w:pPr>
    </w:p>
    <w:p w:rsidR="006047D0" w:rsidRDefault="006047D0" w:rsidP="006047D0">
      <w:pPr>
        <w:pStyle w:val="ListParagraph"/>
        <w:autoSpaceDE w:val="0"/>
        <w:autoSpaceDN w:val="0"/>
        <w:adjustRightInd w:val="0"/>
        <w:ind w:left="0"/>
        <w:contextualSpacing w:val="0"/>
        <w:rPr>
          <w:szCs w:val="24"/>
        </w:rPr>
      </w:pPr>
      <w:r w:rsidRPr="00681497">
        <w:fldChar w:fldCharType="begin"/>
      </w:r>
      <w:r w:rsidRPr="00681497">
        <w:instrText xml:space="preserve"> AUTONUM  </w:instrText>
      </w:r>
      <w:r w:rsidRPr="00681497">
        <w:fldChar w:fldCharType="end"/>
      </w:r>
      <w:r>
        <w:tab/>
        <w:t>Die WG-DEN vereinbarte, die Überlegung einer etwaigen Befragung von Verbandsmitgliedern im Hinblick auf botanische und landesübliche Namen von Gattungen, die eine breitere Bedeutung haben, bis zu ihrer zweiten oder einer darauf folgenden Sitzung zu vertagen.</w:t>
      </w:r>
    </w:p>
    <w:p w:rsidR="006047D0" w:rsidRDefault="006047D0" w:rsidP="006047D0">
      <w:pPr>
        <w:pStyle w:val="ListParagraph"/>
        <w:autoSpaceDE w:val="0"/>
        <w:autoSpaceDN w:val="0"/>
        <w:adjustRightInd w:val="0"/>
        <w:ind w:left="0"/>
        <w:contextualSpacing w:val="0"/>
        <w:rPr>
          <w:szCs w:val="24"/>
        </w:rPr>
      </w:pPr>
    </w:p>
    <w:p w:rsidR="006047D0" w:rsidRPr="007B07B2" w:rsidRDefault="006047D0" w:rsidP="006047D0">
      <w:pPr>
        <w:pStyle w:val="ListParagraph"/>
        <w:autoSpaceDE w:val="0"/>
        <w:autoSpaceDN w:val="0"/>
        <w:adjustRightInd w:val="0"/>
        <w:ind w:left="0"/>
        <w:contextualSpacing w:val="0"/>
        <w:rPr>
          <w:szCs w:val="24"/>
        </w:rPr>
      </w:pPr>
      <w:r w:rsidRPr="00681497">
        <w:fldChar w:fldCharType="begin"/>
      </w:r>
      <w:r w:rsidRPr="00681497">
        <w:instrText xml:space="preserve"> AUTONUM  </w:instrText>
      </w:r>
      <w:r w:rsidRPr="00681497">
        <w:fldChar w:fldCharType="end"/>
      </w:r>
      <w:r>
        <w:tab/>
        <w:t>Die WG-DEN vereinbarte, die Untersuchung einer Liste üblicher Komparative/Superlative bis zu ihrer zweiten oder einer darauf folgenden Sitzung zu vertagen.</w:t>
      </w:r>
    </w:p>
    <w:p w:rsidR="006047D0" w:rsidRDefault="006047D0" w:rsidP="006047D0"/>
    <w:p w:rsidR="006047D0" w:rsidRDefault="006047D0" w:rsidP="006047D0">
      <w:pPr>
        <w:pStyle w:val="DecisionParagraphs"/>
        <w:tabs>
          <w:tab w:val="clear" w:pos="5387"/>
          <w:tab w:val="left" w:pos="5400"/>
        </w:tabs>
        <w:rPr>
          <w:snapToGrid w:val="0"/>
        </w:rPr>
      </w:pPr>
      <w:r w:rsidRPr="006B6D27">
        <w:fldChar w:fldCharType="begin"/>
      </w:r>
      <w:r w:rsidRPr="006B6D27">
        <w:instrText xml:space="preserve"> AUTONUM  </w:instrText>
      </w:r>
      <w:r w:rsidRPr="006B6D27">
        <w:fldChar w:fldCharType="end"/>
      </w:r>
      <w:r>
        <w:tab/>
        <w:t>Der CAJ wird ersucht, die  Arbeit der WG</w:t>
      </w:r>
      <w:r>
        <w:noBreakHyphen/>
        <w:t>DEN betreffend die etwaige Entwicklung eines UPOV-Suchinstruments für Ähnlichkeiten zum Zweck der Sortenbezeichnung zur Kenntnis zu nehmen.</w:t>
      </w:r>
    </w:p>
    <w:p w:rsidR="006047D0" w:rsidRDefault="006047D0" w:rsidP="006047D0">
      <w:pPr>
        <w:pStyle w:val="Heading1"/>
        <w:rPr>
          <w:snapToGrid w:val="0"/>
        </w:rPr>
      </w:pPr>
    </w:p>
    <w:p w:rsidR="00714C6E" w:rsidRPr="00714C6E" w:rsidRDefault="00714C6E" w:rsidP="00714C6E"/>
    <w:p w:rsidR="006047D0" w:rsidRDefault="006047D0" w:rsidP="006047D0"/>
    <w:p w:rsidR="006047D0" w:rsidRDefault="006047D0" w:rsidP="006047D0">
      <w:pPr>
        <w:pStyle w:val="Heading1"/>
      </w:pPr>
      <w:bookmarkStart w:id="34" w:name="_Toc463634917"/>
      <w:bookmarkStart w:id="35" w:name="_Toc464291162"/>
      <w:r>
        <w:t>Erweiterung des Inhalts der PLUTO-Datenbank</w:t>
      </w:r>
      <w:bookmarkEnd w:id="34"/>
      <w:bookmarkEnd w:id="35"/>
    </w:p>
    <w:p w:rsidR="006047D0" w:rsidRPr="007B07B2" w:rsidRDefault="006047D0" w:rsidP="006047D0">
      <w:pPr>
        <w:pStyle w:val="ListParagraph"/>
        <w:autoSpaceDE w:val="0"/>
        <w:autoSpaceDN w:val="0"/>
        <w:adjustRightInd w:val="0"/>
        <w:ind w:left="0"/>
        <w:contextualSpacing w:val="0"/>
        <w:rPr>
          <w:szCs w:val="24"/>
        </w:rPr>
      </w:pPr>
    </w:p>
    <w:p w:rsidR="006047D0" w:rsidRPr="007B07B2" w:rsidRDefault="006047D0" w:rsidP="006047D0">
      <w:pPr>
        <w:pStyle w:val="ListParagraph"/>
        <w:autoSpaceDE w:val="0"/>
        <w:autoSpaceDN w:val="0"/>
        <w:adjustRightInd w:val="0"/>
        <w:ind w:left="0"/>
        <w:contextualSpacing w:val="0"/>
        <w:rPr>
          <w:szCs w:val="24"/>
        </w:rPr>
      </w:pPr>
      <w:r w:rsidRPr="007B07B2">
        <w:fldChar w:fldCharType="begin"/>
      </w:r>
      <w:r w:rsidRPr="007B07B2">
        <w:instrText xml:space="preserve"> AUTONUM  </w:instrText>
      </w:r>
      <w:r w:rsidRPr="007B07B2">
        <w:fldChar w:fldCharType="end"/>
      </w:r>
      <w:r>
        <w:tab/>
        <w:t>Auf ihrer ersten Sitzung prüfte die WG-DEN Dokument UPOV/WG-DEN/1/4 „</w:t>
      </w:r>
      <w:r>
        <w:rPr>
          <w:i/>
        </w:rPr>
        <w:t xml:space="preserve">Expansion </w:t>
      </w:r>
      <w:proofErr w:type="spellStart"/>
      <w:r>
        <w:rPr>
          <w:i/>
        </w:rPr>
        <w:t>of</w:t>
      </w:r>
      <w:proofErr w:type="spellEnd"/>
      <w:r>
        <w:rPr>
          <w:i/>
        </w:rPr>
        <w:t xml:space="preserve"> </w:t>
      </w:r>
      <w:proofErr w:type="spellStart"/>
      <w:r>
        <w:rPr>
          <w:i/>
        </w:rPr>
        <w:t>the</w:t>
      </w:r>
      <w:proofErr w:type="spellEnd"/>
      <w:r>
        <w:rPr>
          <w:i/>
        </w:rPr>
        <w:t xml:space="preserve"> Content </w:t>
      </w:r>
      <w:proofErr w:type="spellStart"/>
      <w:r>
        <w:rPr>
          <w:i/>
        </w:rPr>
        <w:t>of</w:t>
      </w:r>
      <w:proofErr w:type="spellEnd"/>
      <w:r>
        <w:rPr>
          <w:i/>
        </w:rPr>
        <w:t xml:space="preserve"> </w:t>
      </w:r>
      <w:proofErr w:type="spellStart"/>
      <w:r>
        <w:rPr>
          <w:i/>
        </w:rPr>
        <w:t>the</w:t>
      </w:r>
      <w:proofErr w:type="spellEnd"/>
      <w:r>
        <w:rPr>
          <w:i/>
        </w:rPr>
        <w:t xml:space="preserve"> PLUTO Database</w:t>
      </w:r>
      <w:r>
        <w:t>”.</w:t>
      </w:r>
    </w:p>
    <w:p w:rsidR="006047D0" w:rsidRPr="007B07B2" w:rsidRDefault="006047D0" w:rsidP="006047D0">
      <w:pPr>
        <w:pStyle w:val="ListParagraph"/>
        <w:autoSpaceDE w:val="0"/>
        <w:autoSpaceDN w:val="0"/>
        <w:adjustRightInd w:val="0"/>
        <w:ind w:left="0"/>
        <w:contextualSpacing w:val="0"/>
        <w:rPr>
          <w:szCs w:val="24"/>
        </w:rPr>
      </w:pPr>
    </w:p>
    <w:p w:rsidR="006047D0" w:rsidRDefault="006047D0" w:rsidP="006047D0">
      <w:pPr>
        <w:pStyle w:val="ListParagraph"/>
        <w:autoSpaceDE w:val="0"/>
        <w:autoSpaceDN w:val="0"/>
        <w:adjustRightInd w:val="0"/>
        <w:ind w:left="0"/>
        <w:contextualSpacing w:val="0"/>
        <w:rPr>
          <w:szCs w:val="24"/>
        </w:rPr>
      </w:pPr>
      <w:r w:rsidRPr="007B07B2">
        <w:fldChar w:fldCharType="begin"/>
      </w:r>
      <w:r w:rsidRPr="007B07B2">
        <w:instrText xml:space="preserve"> AUTONUM  </w:instrText>
      </w:r>
      <w:r w:rsidRPr="007B07B2">
        <w:fldChar w:fldCharType="end"/>
      </w:r>
      <w:r>
        <w:tab/>
        <w:t>Die WG-DEN vereinbarte, die Prüfung der Angelegenheiten in Dokument UPOV/WG-DEN/1/4 bis zu ihrer zweiten oder einer darauf folgenden Sitzung zu vertagen.</w:t>
      </w:r>
    </w:p>
    <w:p w:rsidR="005B65AC" w:rsidRDefault="005B65AC" w:rsidP="00714C6E">
      <w:pPr>
        <w:pStyle w:val="ListParagraph"/>
        <w:autoSpaceDE w:val="0"/>
        <w:autoSpaceDN w:val="0"/>
        <w:adjustRightInd w:val="0"/>
        <w:ind w:left="0"/>
        <w:contextualSpacing w:val="0"/>
        <w:rPr>
          <w:szCs w:val="24"/>
        </w:rPr>
      </w:pPr>
    </w:p>
    <w:p w:rsidR="006047D0" w:rsidRDefault="006047D0" w:rsidP="006047D0">
      <w:pPr>
        <w:pStyle w:val="DecisionParagraphs"/>
        <w:tabs>
          <w:tab w:val="clear" w:pos="5387"/>
          <w:tab w:val="left" w:pos="5400"/>
        </w:tabs>
        <w:rPr>
          <w:snapToGrid w:val="0"/>
        </w:rPr>
      </w:pPr>
      <w:r w:rsidRPr="006B6D27">
        <w:fldChar w:fldCharType="begin"/>
      </w:r>
      <w:r w:rsidRPr="006B6D27">
        <w:instrText xml:space="preserve"> AUTONUM  </w:instrText>
      </w:r>
      <w:r w:rsidRPr="006B6D27">
        <w:fldChar w:fldCharType="end"/>
      </w:r>
      <w:r>
        <w:tab/>
        <w:t>Der CAJ wird ersucht, die Arbeit der WG</w:t>
      </w:r>
      <w:r>
        <w:noBreakHyphen/>
        <w:t xml:space="preserve">DEN betreffend die Erweiterung des Inhalts der PLUTO-Datenbank zur Kenntnis zu nehmen. </w:t>
      </w:r>
    </w:p>
    <w:p w:rsidR="00CA3196" w:rsidRDefault="00CA3196" w:rsidP="00E10886">
      <w:pPr>
        <w:rPr>
          <w:snapToGrid w:val="0"/>
        </w:rPr>
      </w:pPr>
    </w:p>
    <w:p w:rsidR="00CD7ED9" w:rsidRDefault="00CD7ED9" w:rsidP="00967C60">
      <w:pPr>
        <w:spacing w:line="360" w:lineRule="auto"/>
      </w:pPr>
    </w:p>
    <w:p w:rsidR="00CD7ED9" w:rsidRDefault="00CD7ED9" w:rsidP="00CD7ED9">
      <w:pPr>
        <w:pStyle w:val="Heading1"/>
      </w:pPr>
      <w:bookmarkStart w:id="36" w:name="_Toc463634918"/>
      <w:bookmarkStart w:id="37" w:name="_Toc464291163"/>
      <w:r>
        <w:t>Ort und Datum der nächsten Tagung</w:t>
      </w:r>
      <w:bookmarkEnd w:id="36"/>
      <w:bookmarkEnd w:id="37"/>
    </w:p>
    <w:p w:rsidR="00CD7ED9" w:rsidRDefault="00CD7ED9" w:rsidP="00CD7ED9"/>
    <w:p w:rsidR="00CD7ED9" w:rsidRDefault="00CD7ED9" w:rsidP="00CD7ED9">
      <w:pPr>
        <w:rPr>
          <w:color w:val="000000" w:themeColor="text1"/>
        </w:rPr>
      </w:pPr>
      <w:r w:rsidRPr="007B07B2">
        <w:fldChar w:fldCharType="begin"/>
      </w:r>
      <w:r w:rsidRPr="007B07B2">
        <w:instrText xml:space="preserve"> AUTONUM  </w:instrText>
      </w:r>
      <w:r w:rsidRPr="007B07B2">
        <w:fldChar w:fldCharType="end"/>
      </w:r>
      <w:r>
        <w:tab/>
        <w:t xml:space="preserve">Die WG-DEN vereinbarte auf ihrer ersten Sitzung, </w:t>
      </w:r>
      <w:proofErr w:type="spellStart"/>
      <w:r>
        <w:t>daß</w:t>
      </w:r>
      <w:proofErr w:type="spellEnd"/>
      <w:r>
        <w:t xml:space="preserve"> die zweite Sitzung der </w:t>
      </w:r>
      <w:r>
        <w:rPr>
          <w:color w:val="000000" w:themeColor="text1"/>
        </w:rPr>
        <w:t>WG-DEN am Abend des 25. Oktober 2016 in Genf abgehalten werden soll.</w:t>
      </w:r>
    </w:p>
    <w:p w:rsidR="00CD7ED9" w:rsidRPr="007B07B2" w:rsidRDefault="00CD7ED9" w:rsidP="00CD7ED9">
      <w:pPr>
        <w:rPr>
          <w:color w:val="000000" w:themeColor="text1"/>
        </w:rPr>
      </w:pPr>
    </w:p>
    <w:p w:rsidR="00CD7ED9" w:rsidRPr="007B07B2" w:rsidRDefault="00CD7ED9" w:rsidP="00CD7ED9">
      <w:pPr>
        <w:rPr>
          <w:color w:val="000000" w:themeColor="text1"/>
        </w:rPr>
      </w:pPr>
      <w:r w:rsidRPr="007B07B2">
        <w:fldChar w:fldCharType="begin"/>
      </w:r>
      <w:r w:rsidRPr="007B07B2">
        <w:instrText xml:space="preserve"> AUTONUM  </w:instrText>
      </w:r>
      <w:r w:rsidRPr="007B07B2">
        <w:fldChar w:fldCharType="end"/>
      </w:r>
      <w:r>
        <w:tab/>
        <w:t>Für die zweite Sitzung der WG-DEN wurde folgendes Programm vereinbart:</w:t>
      </w:r>
    </w:p>
    <w:p w:rsidR="00CD7ED9" w:rsidRPr="007B07B2" w:rsidRDefault="00CD7ED9" w:rsidP="00CD7ED9">
      <w:pPr>
        <w:ind w:left="540"/>
        <w:rPr>
          <w:color w:val="000000" w:themeColor="text1"/>
        </w:rPr>
      </w:pPr>
    </w:p>
    <w:p w:rsidR="00CD7ED9" w:rsidRPr="007B07B2" w:rsidRDefault="00CD7ED9" w:rsidP="00CD7ED9">
      <w:pPr>
        <w:pStyle w:val="ListParagraph"/>
        <w:numPr>
          <w:ilvl w:val="0"/>
          <w:numId w:val="5"/>
        </w:numPr>
        <w:autoSpaceDE w:val="0"/>
        <w:autoSpaceDN w:val="0"/>
        <w:adjustRightInd w:val="0"/>
        <w:ind w:left="1134" w:hanging="594"/>
        <w:contextualSpacing w:val="0"/>
        <w:jc w:val="left"/>
        <w:rPr>
          <w:szCs w:val="24"/>
        </w:rPr>
      </w:pPr>
      <w:r>
        <w:t xml:space="preserve">Eröffnung der Sitzung </w:t>
      </w:r>
    </w:p>
    <w:p w:rsidR="00CD7ED9" w:rsidRPr="007B07B2" w:rsidRDefault="00CD7ED9" w:rsidP="00CD7ED9">
      <w:pPr>
        <w:pStyle w:val="ListParagraph"/>
        <w:autoSpaceDE w:val="0"/>
        <w:autoSpaceDN w:val="0"/>
        <w:adjustRightInd w:val="0"/>
        <w:ind w:left="1134" w:hanging="594"/>
        <w:contextualSpacing w:val="0"/>
        <w:jc w:val="left"/>
        <w:rPr>
          <w:szCs w:val="24"/>
        </w:rPr>
      </w:pPr>
    </w:p>
    <w:p w:rsidR="00CD7ED9" w:rsidRPr="007B07B2" w:rsidRDefault="00CD7ED9" w:rsidP="00CD7ED9">
      <w:pPr>
        <w:pStyle w:val="ListParagraph"/>
        <w:numPr>
          <w:ilvl w:val="0"/>
          <w:numId w:val="5"/>
        </w:numPr>
        <w:autoSpaceDE w:val="0"/>
        <w:autoSpaceDN w:val="0"/>
        <w:adjustRightInd w:val="0"/>
        <w:ind w:left="1134" w:hanging="594"/>
        <w:contextualSpacing w:val="0"/>
        <w:jc w:val="left"/>
        <w:rPr>
          <w:szCs w:val="24"/>
        </w:rPr>
      </w:pPr>
      <w:r>
        <w:t>Annahme der Tagesordnung</w:t>
      </w:r>
    </w:p>
    <w:p w:rsidR="00CD7ED9" w:rsidRPr="007B07B2" w:rsidRDefault="00CD7ED9" w:rsidP="00CD7ED9">
      <w:pPr>
        <w:pStyle w:val="ListParagraph"/>
        <w:autoSpaceDE w:val="0"/>
        <w:autoSpaceDN w:val="0"/>
        <w:adjustRightInd w:val="0"/>
        <w:ind w:left="1134" w:hanging="594"/>
        <w:contextualSpacing w:val="0"/>
        <w:jc w:val="left"/>
        <w:rPr>
          <w:szCs w:val="24"/>
        </w:rPr>
      </w:pPr>
    </w:p>
    <w:p w:rsidR="00CD7ED9" w:rsidRPr="007B07B2" w:rsidRDefault="00CD7ED9" w:rsidP="00CD7ED9">
      <w:pPr>
        <w:pStyle w:val="ListParagraph"/>
        <w:numPr>
          <w:ilvl w:val="0"/>
          <w:numId w:val="5"/>
        </w:numPr>
        <w:autoSpaceDE w:val="0"/>
        <w:autoSpaceDN w:val="0"/>
        <w:adjustRightInd w:val="0"/>
        <w:ind w:left="1134" w:hanging="594"/>
        <w:contextualSpacing w:val="0"/>
        <w:rPr>
          <w:szCs w:val="24"/>
        </w:rPr>
      </w:pPr>
      <w:r>
        <w:t>Überarbeitung von UPOV/INF/12/5 „Erläuterungen zu Sortenbezeichnungen nach dem UPOV-Übereinkommen”</w:t>
      </w:r>
    </w:p>
    <w:p w:rsidR="00CD7ED9" w:rsidRPr="007B07B2" w:rsidRDefault="00CD7ED9" w:rsidP="00CD7ED9">
      <w:pPr>
        <w:pStyle w:val="ListParagraph"/>
        <w:autoSpaceDE w:val="0"/>
        <w:autoSpaceDN w:val="0"/>
        <w:adjustRightInd w:val="0"/>
        <w:ind w:left="1134" w:hanging="594"/>
        <w:contextualSpacing w:val="0"/>
        <w:jc w:val="left"/>
        <w:rPr>
          <w:szCs w:val="24"/>
        </w:rPr>
      </w:pPr>
    </w:p>
    <w:p w:rsidR="00CD7ED9" w:rsidRDefault="00CD7ED9" w:rsidP="00CD7ED9">
      <w:pPr>
        <w:pStyle w:val="ListParagraph"/>
        <w:numPr>
          <w:ilvl w:val="0"/>
          <w:numId w:val="5"/>
        </w:numPr>
        <w:autoSpaceDE w:val="0"/>
        <w:autoSpaceDN w:val="0"/>
        <w:adjustRightInd w:val="0"/>
        <w:ind w:left="1170" w:hanging="630"/>
        <w:contextualSpacing w:val="0"/>
        <w:jc w:val="left"/>
        <w:rPr>
          <w:szCs w:val="24"/>
        </w:rPr>
      </w:pPr>
      <w:r>
        <w:t>UPOV-Suchfunktion für ähnliche Sortenbezeichnungen</w:t>
      </w:r>
    </w:p>
    <w:p w:rsidR="00CD7ED9" w:rsidRPr="00F566F0" w:rsidRDefault="00CD7ED9" w:rsidP="00CD7ED9">
      <w:pPr>
        <w:autoSpaceDE w:val="0"/>
        <w:autoSpaceDN w:val="0"/>
        <w:adjustRightInd w:val="0"/>
        <w:jc w:val="left"/>
        <w:rPr>
          <w:szCs w:val="24"/>
        </w:rPr>
      </w:pPr>
    </w:p>
    <w:p w:rsidR="00CD7ED9" w:rsidRDefault="00CD7ED9" w:rsidP="00CD7ED9">
      <w:pPr>
        <w:pStyle w:val="ListParagraph"/>
        <w:numPr>
          <w:ilvl w:val="0"/>
          <w:numId w:val="5"/>
        </w:numPr>
        <w:autoSpaceDE w:val="0"/>
        <w:autoSpaceDN w:val="0"/>
        <w:adjustRightInd w:val="0"/>
        <w:ind w:left="1170" w:hanging="630"/>
        <w:contextualSpacing w:val="0"/>
        <w:jc w:val="left"/>
        <w:rPr>
          <w:szCs w:val="24"/>
        </w:rPr>
      </w:pPr>
      <w:r>
        <w:t>Erweiterung des Inhalts der PLUTO-Datenbank</w:t>
      </w:r>
    </w:p>
    <w:p w:rsidR="00CD7ED9" w:rsidRDefault="00CD7ED9" w:rsidP="00CD7ED9"/>
    <w:p w:rsidR="00CD7ED9" w:rsidRPr="00F566F0" w:rsidRDefault="00CD7ED9" w:rsidP="00CD7ED9">
      <w:pPr>
        <w:pStyle w:val="ListParagraph"/>
        <w:numPr>
          <w:ilvl w:val="0"/>
          <w:numId w:val="5"/>
        </w:numPr>
        <w:autoSpaceDE w:val="0"/>
        <w:autoSpaceDN w:val="0"/>
        <w:adjustRightInd w:val="0"/>
        <w:ind w:left="1170" w:hanging="630"/>
        <w:contextualSpacing w:val="0"/>
        <w:jc w:val="left"/>
        <w:rPr>
          <w:szCs w:val="24"/>
        </w:rPr>
      </w:pPr>
      <w:r>
        <w:t>Nicht akzeptable Begriffe</w:t>
      </w:r>
    </w:p>
    <w:p w:rsidR="00CD7ED9" w:rsidRPr="007B07B2" w:rsidRDefault="00CD7ED9" w:rsidP="00CD7ED9">
      <w:pPr>
        <w:pStyle w:val="ListParagraph"/>
        <w:autoSpaceDE w:val="0"/>
        <w:autoSpaceDN w:val="0"/>
        <w:adjustRightInd w:val="0"/>
        <w:ind w:left="1134" w:hanging="594"/>
        <w:contextualSpacing w:val="0"/>
        <w:jc w:val="left"/>
        <w:rPr>
          <w:szCs w:val="24"/>
        </w:rPr>
      </w:pPr>
    </w:p>
    <w:p w:rsidR="00CD7ED9" w:rsidRPr="007B07B2" w:rsidRDefault="00CD7ED9" w:rsidP="00CD7ED9">
      <w:pPr>
        <w:pStyle w:val="ListParagraph"/>
        <w:numPr>
          <w:ilvl w:val="0"/>
          <w:numId w:val="5"/>
        </w:numPr>
        <w:autoSpaceDE w:val="0"/>
        <w:autoSpaceDN w:val="0"/>
        <w:adjustRightInd w:val="0"/>
        <w:ind w:left="1134" w:hanging="594"/>
        <w:contextualSpacing w:val="0"/>
        <w:jc w:val="left"/>
        <w:rPr>
          <w:szCs w:val="24"/>
        </w:rPr>
      </w:pPr>
      <w:r>
        <w:t>Datum, Ort und Programm der nächsten Sitzung</w:t>
      </w:r>
    </w:p>
    <w:p w:rsidR="00CD7ED9" w:rsidRDefault="00CD7ED9" w:rsidP="00E10886">
      <w:pPr>
        <w:rPr>
          <w:snapToGrid w:val="0"/>
        </w:rPr>
      </w:pPr>
    </w:p>
    <w:p w:rsidR="005B65AC" w:rsidRDefault="005B65AC" w:rsidP="005B65AC">
      <w:pPr>
        <w:pStyle w:val="DecisionParagraphs"/>
        <w:tabs>
          <w:tab w:val="clear" w:pos="5387"/>
          <w:tab w:val="left" w:pos="5400"/>
        </w:tabs>
        <w:rPr>
          <w:snapToGrid w:val="0"/>
        </w:rPr>
      </w:pPr>
      <w:r w:rsidRPr="006B6D27">
        <w:fldChar w:fldCharType="begin"/>
      </w:r>
      <w:r w:rsidRPr="006B6D27">
        <w:instrText xml:space="preserve"> AUTONUM  </w:instrText>
      </w:r>
      <w:r w:rsidRPr="006B6D27">
        <w:fldChar w:fldCharType="end"/>
      </w:r>
      <w:r>
        <w:tab/>
        <w:t>Der CAJ wird ersucht, das Datum und den Ort der nächsten Sitzung zur Kenntnis zu nehmen.</w:t>
      </w:r>
    </w:p>
    <w:p w:rsidR="0077424B" w:rsidRDefault="0077424B" w:rsidP="00E10886">
      <w:pPr>
        <w:rPr>
          <w:snapToGrid w:val="0"/>
        </w:rPr>
      </w:pPr>
    </w:p>
    <w:p w:rsidR="00967C60" w:rsidRDefault="00967C60" w:rsidP="00E10886">
      <w:pPr>
        <w:rPr>
          <w:snapToGrid w:val="0"/>
        </w:rPr>
      </w:pPr>
    </w:p>
    <w:p w:rsidR="00967C60" w:rsidRDefault="00967C60" w:rsidP="00E10886">
      <w:pPr>
        <w:rPr>
          <w:snapToGrid w:val="0"/>
        </w:rPr>
      </w:pPr>
      <w:bookmarkStart w:id="38" w:name="_GoBack"/>
      <w:bookmarkEnd w:id="38"/>
    </w:p>
    <w:p w:rsidR="00E10886" w:rsidRPr="00CA3196" w:rsidRDefault="00532FB6" w:rsidP="00532FB6">
      <w:pPr>
        <w:jc w:val="right"/>
        <w:rPr>
          <w:snapToGrid w:val="0"/>
        </w:rPr>
      </w:pPr>
      <w:r>
        <w:t>[Ende des Dokuments]</w:t>
      </w:r>
    </w:p>
    <w:p w:rsidR="00900C26" w:rsidRDefault="00900C26" w:rsidP="00664515">
      <w:pPr>
        <w:jc w:val="left"/>
        <w:rPr>
          <w:snapToGrid w:val="0"/>
        </w:rPr>
      </w:pPr>
    </w:p>
    <w:sectPr w:rsidR="00900C26" w:rsidSect="00331A9E">
      <w:headerReference w:type="default" r:id="rId10"/>
      <w:pgSz w:w="11907" w:h="16840" w:code="9"/>
      <w:pgMar w:top="510" w:right="1134" w:bottom="993"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0F7" w:rsidRDefault="001E50F7">
      <w:r>
        <w:separator/>
      </w:r>
    </w:p>
    <w:p w:rsidR="001E50F7" w:rsidRDefault="001E50F7"/>
    <w:p w:rsidR="001E50F7" w:rsidRDefault="001E50F7"/>
  </w:endnote>
  <w:endnote w:type="continuationSeparator" w:id="0">
    <w:p w:rsidR="001E50F7" w:rsidRDefault="001E50F7">
      <w:r>
        <w:separator/>
      </w:r>
    </w:p>
    <w:p w:rsidR="001E50F7" w:rsidRPr="00664515" w:rsidRDefault="001E50F7">
      <w:pPr>
        <w:pStyle w:val="Footer"/>
        <w:spacing w:after="60"/>
        <w:rPr>
          <w:sz w:val="18"/>
          <w:lang w:val="fr-CH"/>
        </w:rPr>
      </w:pPr>
      <w:r w:rsidRPr="00664515">
        <w:rPr>
          <w:sz w:val="18"/>
          <w:lang w:val="fr-CH"/>
        </w:rPr>
        <w:t>[Suite de la note de la page précédente]</w:t>
      </w:r>
    </w:p>
    <w:p w:rsidR="001E50F7" w:rsidRPr="00664515" w:rsidRDefault="001E50F7">
      <w:pPr>
        <w:rPr>
          <w:lang w:val="fr-CH"/>
        </w:rPr>
      </w:pPr>
    </w:p>
    <w:p w:rsidR="001E50F7" w:rsidRPr="00664515" w:rsidRDefault="001E50F7">
      <w:pPr>
        <w:rPr>
          <w:lang w:val="fr-CH"/>
        </w:rPr>
      </w:pPr>
    </w:p>
  </w:endnote>
  <w:endnote w:type="continuationNotice" w:id="1">
    <w:p w:rsidR="001E50F7" w:rsidRPr="00664515" w:rsidRDefault="001E50F7">
      <w:pPr>
        <w:spacing w:before="60"/>
        <w:jc w:val="right"/>
        <w:rPr>
          <w:sz w:val="18"/>
          <w:lang w:val="fr-CH"/>
        </w:rPr>
      </w:pPr>
      <w:r w:rsidRPr="00664515">
        <w:rPr>
          <w:sz w:val="18"/>
          <w:lang w:val="fr-CH"/>
        </w:rPr>
        <w:t>[Suite de la note page suivante]</w:t>
      </w:r>
    </w:p>
    <w:p w:rsidR="001E50F7" w:rsidRPr="00664515" w:rsidRDefault="001E50F7">
      <w:pPr>
        <w:rPr>
          <w:lang w:val="fr-CH"/>
        </w:rPr>
      </w:pPr>
    </w:p>
    <w:p w:rsidR="001E50F7" w:rsidRPr="00664515" w:rsidRDefault="001E50F7">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0F7" w:rsidRDefault="001E50F7" w:rsidP="009D690D">
      <w:pPr>
        <w:spacing w:before="120"/>
      </w:pPr>
      <w:r>
        <w:separator/>
      </w:r>
    </w:p>
  </w:footnote>
  <w:footnote w:type="continuationSeparator" w:id="0">
    <w:p w:rsidR="001E50F7" w:rsidRDefault="001E50F7" w:rsidP="00520297">
      <w:pPr>
        <w:spacing w:before="120"/>
        <w:jc w:val="left"/>
      </w:pPr>
      <w:r>
        <w:separator/>
      </w:r>
    </w:p>
  </w:footnote>
  <w:footnote w:type="continuationNotice" w:id="1">
    <w:p w:rsidR="001E50F7" w:rsidRDefault="001E50F7"/>
  </w:footnote>
  <w:footnote w:id="2">
    <w:p w:rsidR="00555AE6" w:rsidRPr="00037A85" w:rsidRDefault="00555AE6">
      <w:pPr>
        <w:pStyle w:val="FootnoteText"/>
        <w:rPr>
          <w:lang w:eastAsia="ja-JP"/>
        </w:rPr>
      </w:pPr>
      <w:r>
        <w:rPr>
          <w:rStyle w:val="FootnoteReference"/>
        </w:rPr>
        <w:footnoteRef/>
      </w:r>
      <w:r>
        <w:t xml:space="preserve"> </w:t>
      </w:r>
      <w:r>
        <w:tab/>
        <w:t>A</w:t>
      </w:r>
      <w:r w:rsidR="006B676B">
        <w:t>bgehalten a</w:t>
      </w:r>
      <w:r>
        <w:t>m 26. März 2015 in Genf.</w:t>
      </w:r>
    </w:p>
  </w:footnote>
  <w:footnote w:id="3">
    <w:p w:rsidR="00555AE6" w:rsidRDefault="00555AE6">
      <w:pPr>
        <w:pStyle w:val="FootnoteText"/>
      </w:pPr>
      <w:r>
        <w:rPr>
          <w:rStyle w:val="FootnoteReference"/>
        </w:rPr>
        <w:footnoteRef/>
      </w:r>
      <w:r>
        <w:t xml:space="preserve"> </w:t>
      </w:r>
      <w:r>
        <w:tab/>
        <w:t xml:space="preserve">Vergleiche Dokument </w:t>
      </w:r>
      <w:hyperlink r:id="rId1">
        <w:r>
          <w:rPr>
            <w:rStyle w:val="Hyperlink"/>
          </w:rPr>
          <w:t>CAJ/72/9</w:t>
        </w:r>
      </w:hyperlink>
      <w:r>
        <w:t xml:space="preserve"> „Bericht über die Entschließungen“, Absatz 21. </w:t>
      </w:r>
    </w:p>
  </w:footnote>
  <w:footnote w:id="4">
    <w:p w:rsidR="00555AE6" w:rsidRPr="00042C90" w:rsidRDefault="00555AE6">
      <w:pPr>
        <w:pStyle w:val="FootnoteText"/>
        <w:rPr>
          <w:lang w:eastAsia="ja-JP"/>
        </w:rPr>
      </w:pPr>
      <w:r>
        <w:rPr>
          <w:rStyle w:val="FootnoteReference"/>
        </w:rPr>
        <w:footnoteRef/>
      </w:r>
      <w:r>
        <w:t xml:space="preserve"> </w:t>
      </w:r>
      <w:r>
        <w:tab/>
        <w:t>Abgehalten am 2. Oktober 2005 in Genf.</w:t>
      </w:r>
    </w:p>
  </w:footnote>
  <w:footnote w:id="5">
    <w:p w:rsidR="00555AE6" w:rsidRDefault="00555AE6">
      <w:pPr>
        <w:pStyle w:val="FootnoteText"/>
      </w:pPr>
      <w:r>
        <w:rPr>
          <w:rStyle w:val="FootnoteReference"/>
        </w:rPr>
        <w:footnoteRef/>
      </w:r>
      <w:r>
        <w:t xml:space="preserve"> </w:t>
      </w:r>
      <w:r>
        <w:tab/>
        <w:t xml:space="preserve">Vergleiche Dokument </w:t>
      </w:r>
      <w:hyperlink r:id="rId2">
        <w:r>
          <w:rPr>
            <w:rStyle w:val="Hyperlink"/>
          </w:rPr>
          <w:t>CAJ/72/9</w:t>
        </w:r>
      </w:hyperlink>
      <w:r>
        <w:t xml:space="preserve"> „Bericht über die Entschließungen“, Absatz 22.</w:t>
      </w:r>
    </w:p>
  </w:footnote>
  <w:footnote w:id="6">
    <w:p w:rsidR="00555AE6" w:rsidRDefault="00555AE6">
      <w:pPr>
        <w:pStyle w:val="FootnoteText"/>
      </w:pPr>
      <w:r>
        <w:rPr>
          <w:rStyle w:val="FootnoteReference"/>
        </w:rPr>
        <w:footnoteRef/>
      </w:r>
      <w:r>
        <w:t xml:space="preserve"> </w:t>
      </w:r>
      <w:r>
        <w:tab/>
        <w:t xml:space="preserve">Vergleiche Dokument </w:t>
      </w:r>
      <w:hyperlink r:id="rId3">
        <w:r>
          <w:rPr>
            <w:rStyle w:val="Hyperlink"/>
          </w:rPr>
          <w:t>CAJ/72/9</w:t>
        </w:r>
      </w:hyperlink>
      <w:r>
        <w:t xml:space="preserve"> „Bericht über die Entschließungen“, Absatz 23.</w:t>
      </w:r>
    </w:p>
  </w:footnote>
  <w:footnote w:id="7">
    <w:p w:rsidR="00555AE6" w:rsidRDefault="00555AE6">
      <w:pPr>
        <w:pStyle w:val="FootnoteText"/>
      </w:pPr>
      <w:r>
        <w:rPr>
          <w:rStyle w:val="FootnoteReference"/>
        </w:rPr>
        <w:footnoteRef/>
      </w:r>
      <w:r>
        <w:t xml:space="preserve"> </w:t>
      </w:r>
      <w:r>
        <w:tab/>
        <w:t xml:space="preserve">Abgehalten am 8. März 2016 in </w:t>
      </w:r>
      <w:proofErr w:type="gramStart"/>
      <w:r>
        <w:t>Genf .</w:t>
      </w:r>
      <w:proofErr w:type="gramEnd"/>
    </w:p>
  </w:footnote>
  <w:footnote w:id="8">
    <w:p w:rsidR="009203E5" w:rsidRPr="009203E5" w:rsidRDefault="009203E5">
      <w:pPr>
        <w:pStyle w:val="FootnoteText"/>
        <w:rPr>
          <w:lang w:eastAsia="ja-JP"/>
        </w:rPr>
      </w:pPr>
      <w:r>
        <w:rPr>
          <w:rStyle w:val="FootnoteReference"/>
        </w:rPr>
        <w:footnoteRef/>
      </w:r>
      <w:r>
        <w:t xml:space="preserve"> </w:t>
      </w:r>
      <w:r>
        <w:tab/>
        <w:t xml:space="preserve">Vergleiche Dokument </w:t>
      </w:r>
      <w:hyperlink r:id="rId4">
        <w:r>
          <w:rPr>
            <w:rStyle w:val="Hyperlink"/>
            <w:rFonts w:hint="eastAsia"/>
          </w:rPr>
          <w:t>UPOV/WG-DEN/1/6</w:t>
        </w:r>
      </w:hyperlink>
      <w:r>
        <w:t xml:space="preserve"> „Bericht“, Absatz 49</w:t>
      </w:r>
      <w:r w:rsidR="006B676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E6" w:rsidRPr="00997029" w:rsidRDefault="00555AE6" w:rsidP="00E23920">
    <w:pPr>
      <w:jc w:val="center"/>
      <w:rPr>
        <w:rStyle w:val="PageNumber"/>
      </w:rPr>
    </w:pPr>
    <w:r>
      <w:rPr>
        <w:rStyle w:val="PageNumber"/>
      </w:rPr>
      <w:t>CAJ/73/3</w:t>
    </w:r>
  </w:p>
  <w:p w:rsidR="00555AE6" w:rsidRPr="00997029" w:rsidRDefault="00555AE6" w:rsidP="00E23920">
    <w:pPr>
      <w:jc w:val="center"/>
    </w:pPr>
    <w:r>
      <w:t xml:space="preserve">Seite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6F5CEB">
      <w:rPr>
        <w:rStyle w:val="PageNumber"/>
        <w:noProof/>
      </w:rPr>
      <w:t>5</w:t>
    </w:r>
    <w:r w:rsidRPr="00997029">
      <w:rPr>
        <w:rStyle w:val="PageNumber"/>
      </w:rPr>
      <w:fldChar w:fldCharType="end"/>
    </w:r>
  </w:p>
  <w:p w:rsidR="00555AE6" w:rsidRPr="00997029" w:rsidRDefault="00555AE6"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32C"/>
    <w:multiLevelType w:val="hybridMultilevel"/>
    <w:tmpl w:val="3E20B87E"/>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95628"/>
    <w:multiLevelType w:val="hybridMultilevel"/>
    <w:tmpl w:val="25F47BBE"/>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D5E0D"/>
    <w:multiLevelType w:val="hybridMultilevel"/>
    <w:tmpl w:val="CC08F4F8"/>
    <w:lvl w:ilvl="0" w:tplc="1B6688FC">
      <w:start w:val="1"/>
      <w:numFmt w:val="lowerRoman"/>
      <w:lvlText w:val="(%1)"/>
      <w:lvlJc w:val="right"/>
      <w:pPr>
        <w:ind w:left="1287" w:hanging="360"/>
      </w:pPr>
      <w:rPr>
        <w:rFonts w:cs="Times New Roman" w:hint="default"/>
        <w:color w:val="auto"/>
        <w:sz w:val="2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59317982"/>
    <w:multiLevelType w:val="hybridMultilevel"/>
    <w:tmpl w:val="68C49002"/>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4B"/>
    <w:rsid w:val="00001380"/>
    <w:rsid w:val="00001D48"/>
    <w:rsid w:val="00004C35"/>
    <w:rsid w:val="0001076D"/>
    <w:rsid w:val="00010CF3"/>
    <w:rsid w:val="00011E27"/>
    <w:rsid w:val="00013610"/>
    <w:rsid w:val="000148BC"/>
    <w:rsid w:val="00020BFA"/>
    <w:rsid w:val="00024AB8"/>
    <w:rsid w:val="00036028"/>
    <w:rsid w:val="00037A85"/>
    <w:rsid w:val="00041C75"/>
    <w:rsid w:val="00042C90"/>
    <w:rsid w:val="000446B9"/>
    <w:rsid w:val="00047E21"/>
    <w:rsid w:val="0006472C"/>
    <w:rsid w:val="000825CE"/>
    <w:rsid w:val="00085505"/>
    <w:rsid w:val="000861F9"/>
    <w:rsid w:val="00092F1C"/>
    <w:rsid w:val="000955BC"/>
    <w:rsid w:val="00097BB4"/>
    <w:rsid w:val="000C7021"/>
    <w:rsid w:val="000D1B39"/>
    <w:rsid w:val="000D1EA8"/>
    <w:rsid w:val="000D492E"/>
    <w:rsid w:val="000D6BBC"/>
    <w:rsid w:val="000D7780"/>
    <w:rsid w:val="001036AC"/>
    <w:rsid w:val="00105929"/>
    <w:rsid w:val="00110481"/>
    <w:rsid w:val="001131D5"/>
    <w:rsid w:val="00123458"/>
    <w:rsid w:val="001318E9"/>
    <w:rsid w:val="00140C66"/>
    <w:rsid w:val="00141DB8"/>
    <w:rsid w:val="001449AB"/>
    <w:rsid w:val="00145C8B"/>
    <w:rsid w:val="00155F6F"/>
    <w:rsid w:val="00165F1E"/>
    <w:rsid w:val="00171032"/>
    <w:rsid w:val="00172661"/>
    <w:rsid w:val="0017474A"/>
    <w:rsid w:val="001758C6"/>
    <w:rsid w:val="00197777"/>
    <w:rsid w:val="001A2505"/>
    <w:rsid w:val="001C3335"/>
    <w:rsid w:val="001C3DF3"/>
    <w:rsid w:val="001C4984"/>
    <w:rsid w:val="001E1FCC"/>
    <w:rsid w:val="001E50F7"/>
    <w:rsid w:val="001F1F2A"/>
    <w:rsid w:val="001F5558"/>
    <w:rsid w:val="00201CBB"/>
    <w:rsid w:val="002113CC"/>
    <w:rsid w:val="0021332C"/>
    <w:rsid w:val="00213982"/>
    <w:rsid w:val="00230611"/>
    <w:rsid w:val="0023550A"/>
    <w:rsid w:val="00237C7D"/>
    <w:rsid w:val="0024416D"/>
    <w:rsid w:val="002545B9"/>
    <w:rsid w:val="00257ACE"/>
    <w:rsid w:val="00260A90"/>
    <w:rsid w:val="002627FF"/>
    <w:rsid w:val="00265B83"/>
    <w:rsid w:val="00267CBB"/>
    <w:rsid w:val="0027309C"/>
    <w:rsid w:val="002800A0"/>
    <w:rsid w:val="00280FCF"/>
    <w:rsid w:val="00281060"/>
    <w:rsid w:val="0029439F"/>
    <w:rsid w:val="002A6E50"/>
    <w:rsid w:val="002B2C4B"/>
    <w:rsid w:val="002C256A"/>
    <w:rsid w:val="002C7B60"/>
    <w:rsid w:val="002E04ED"/>
    <w:rsid w:val="002E2D47"/>
    <w:rsid w:val="002E7BA1"/>
    <w:rsid w:val="002F78FA"/>
    <w:rsid w:val="00305A7F"/>
    <w:rsid w:val="00313CFE"/>
    <w:rsid w:val="003152FE"/>
    <w:rsid w:val="00315B5E"/>
    <w:rsid w:val="00327436"/>
    <w:rsid w:val="003308D3"/>
    <w:rsid w:val="00331016"/>
    <w:rsid w:val="00331A9E"/>
    <w:rsid w:val="00340EDD"/>
    <w:rsid w:val="00344BD6"/>
    <w:rsid w:val="0035528D"/>
    <w:rsid w:val="00361821"/>
    <w:rsid w:val="00364346"/>
    <w:rsid w:val="00367A2E"/>
    <w:rsid w:val="0038194C"/>
    <w:rsid w:val="0038410B"/>
    <w:rsid w:val="0038738D"/>
    <w:rsid w:val="003A17C8"/>
    <w:rsid w:val="003C563E"/>
    <w:rsid w:val="003C7F21"/>
    <w:rsid w:val="003D227C"/>
    <w:rsid w:val="003D2B4D"/>
    <w:rsid w:val="003E362A"/>
    <w:rsid w:val="003E5E33"/>
    <w:rsid w:val="003F6136"/>
    <w:rsid w:val="0041129A"/>
    <w:rsid w:val="00414FD1"/>
    <w:rsid w:val="00415F5E"/>
    <w:rsid w:val="00417498"/>
    <w:rsid w:val="00427139"/>
    <w:rsid w:val="00432DA8"/>
    <w:rsid w:val="00444A88"/>
    <w:rsid w:val="00447E49"/>
    <w:rsid w:val="00461F5D"/>
    <w:rsid w:val="00466910"/>
    <w:rsid w:val="00467ACD"/>
    <w:rsid w:val="00467CF9"/>
    <w:rsid w:val="00474DA4"/>
    <w:rsid w:val="00476E8D"/>
    <w:rsid w:val="00484B8D"/>
    <w:rsid w:val="004965E1"/>
    <w:rsid w:val="004A34E0"/>
    <w:rsid w:val="004C0A39"/>
    <w:rsid w:val="004D047D"/>
    <w:rsid w:val="004D41BA"/>
    <w:rsid w:val="004D773A"/>
    <w:rsid w:val="004F305A"/>
    <w:rsid w:val="0050430E"/>
    <w:rsid w:val="00506F0C"/>
    <w:rsid w:val="00512164"/>
    <w:rsid w:val="00514278"/>
    <w:rsid w:val="00520297"/>
    <w:rsid w:val="00524589"/>
    <w:rsid w:val="005249F3"/>
    <w:rsid w:val="00530DDB"/>
    <w:rsid w:val="00532FB6"/>
    <w:rsid w:val="005338F9"/>
    <w:rsid w:val="00536BAB"/>
    <w:rsid w:val="0054281C"/>
    <w:rsid w:val="00551E76"/>
    <w:rsid w:val="0055268D"/>
    <w:rsid w:val="00555AE6"/>
    <w:rsid w:val="00560BC9"/>
    <w:rsid w:val="00562DEE"/>
    <w:rsid w:val="00572E44"/>
    <w:rsid w:val="00576BE4"/>
    <w:rsid w:val="00590C7D"/>
    <w:rsid w:val="005A400A"/>
    <w:rsid w:val="005B5B69"/>
    <w:rsid w:val="005B65AC"/>
    <w:rsid w:val="005C7052"/>
    <w:rsid w:val="005C7998"/>
    <w:rsid w:val="005E165F"/>
    <w:rsid w:val="005F2580"/>
    <w:rsid w:val="006047D0"/>
    <w:rsid w:val="00612379"/>
    <w:rsid w:val="0061555F"/>
    <w:rsid w:val="0061574C"/>
    <w:rsid w:val="00621128"/>
    <w:rsid w:val="00641200"/>
    <w:rsid w:val="00644738"/>
    <w:rsid w:val="00644877"/>
    <w:rsid w:val="00653911"/>
    <w:rsid w:val="00663ED8"/>
    <w:rsid w:val="00664515"/>
    <w:rsid w:val="00677BDB"/>
    <w:rsid w:val="00687EB4"/>
    <w:rsid w:val="006918C8"/>
    <w:rsid w:val="006964E4"/>
    <w:rsid w:val="006A4218"/>
    <w:rsid w:val="006B17D2"/>
    <w:rsid w:val="006B45FA"/>
    <w:rsid w:val="006B4B5C"/>
    <w:rsid w:val="006B676B"/>
    <w:rsid w:val="006C224E"/>
    <w:rsid w:val="006C7A3D"/>
    <w:rsid w:val="006D412B"/>
    <w:rsid w:val="006E35DA"/>
    <w:rsid w:val="006F5CEB"/>
    <w:rsid w:val="007000D8"/>
    <w:rsid w:val="00714C6E"/>
    <w:rsid w:val="00715173"/>
    <w:rsid w:val="00716D3B"/>
    <w:rsid w:val="00721283"/>
    <w:rsid w:val="00732DEC"/>
    <w:rsid w:val="00735BD5"/>
    <w:rsid w:val="0075117E"/>
    <w:rsid w:val="007556F6"/>
    <w:rsid w:val="00757389"/>
    <w:rsid w:val="00760EEF"/>
    <w:rsid w:val="00766C13"/>
    <w:rsid w:val="0077424B"/>
    <w:rsid w:val="00777EE5"/>
    <w:rsid w:val="00784836"/>
    <w:rsid w:val="0079023E"/>
    <w:rsid w:val="007A04E8"/>
    <w:rsid w:val="007A6AF5"/>
    <w:rsid w:val="007B6853"/>
    <w:rsid w:val="007B6894"/>
    <w:rsid w:val="007C330A"/>
    <w:rsid w:val="007C6639"/>
    <w:rsid w:val="007D0B9D"/>
    <w:rsid w:val="007D19B0"/>
    <w:rsid w:val="007F498F"/>
    <w:rsid w:val="007F6A17"/>
    <w:rsid w:val="0080679D"/>
    <w:rsid w:val="008108B0"/>
    <w:rsid w:val="00811B20"/>
    <w:rsid w:val="00812178"/>
    <w:rsid w:val="0081607A"/>
    <w:rsid w:val="00820F72"/>
    <w:rsid w:val="0082296E"/>
    <w:rsid w:val="00824099"/>
    <w:rsid w:val="008327DC"/>
    <w:rsid w:val="00836E88"/>
    <w:rsid w:val="00844FCC"/>
    <w:rsid w:val="00852407"/>
    <w:rsid w:val="00855DBD"/>
    <w:rsid w:val="00857BCE"/>
    <w:rsid w:val="00863EBE"/>
    <w:rsid w:val="00867AC1"/>
    <w:rsid w:val="00876E16"/>
    <w:rsid w:val="00884CEA"/>
    <w:rsid w:val="008A395B"/>
    <w:rsid w:val="008A743F"/>
    <w:rsid w:val="008A7D42"/>
    <w:rsid w:val="008B291A"/>
    <w:rsid w:val="008B51D0"/>
    <w:rsid w:val="008B5ED9"/>
    <w:rsid w:val="008C0970"/>
    <w:rsid w:val="008D2CF7"/>
    <w:rsid w:val="008D769B"/>
    <w:rsid w:val="008E2A07"/>
    <w:rsid w:val="008E793E"/>
    <w:rsid w:val="008F00B3"/>
    <w:rsid w:val="00900C26"/>
    <w:rsid w:val="0090197F"/>
    <w:rsid w:val="00906AAF"/>
    <w:rsid w:val="00906DDC"/>
    <w:rsid w:val="00911B1D"/>
    <w:rsid w:val="009175FC"/>
    <w:rsid w:val="00917EEE"/>
    <w:rsid w:val="009203E5"/>
    <w:rsid w:val="00934E09"/>
    <w:rsid w:val="00936253"/>
    <w:rsid w:val="00937C60"/>
    <w:rsid w:val="00952258"/>
    <w:rsid w:val="0095578A"/>
    <w:rsid w:val="00967C60"/>
    <w:rsid w:val="00970FED"/>
    <w:rsid w:val="00975AD5"/>
    <w:rsid w:val="00986567"/>
    <w:rsid w:val="00987015"/>
    <w:rsid w:val="00997029"/>
    <w:rsid w:val="009B1DCB"/>
    <w:rsid w:val="009C5A31"/>
    <w:rsid w:val="009D0DE5"/>
    <w:rsid w:val="009D22E0"/>
    <w:rsid w:val="009D690D"/>
    <w:rsid w:val="009E36D7"/>
    <w:rsid w:val="009E65B6"/>
    <w:rsid w:val="009F1D52"/>
    <w:rsid w:val="009F2140"/>
    <w:rsid w:val="00A00AB9"/>
    <w:rsid w:val="00A064EA"/>
    <w:rsid w:val="00A229BD"/>
    <w:rsid w:val="00A42AC3"/>
    <w:rsid w:val="00A430CF"/>
    <w:rsid w:val="00A54309"/>
    <w:rsid w:val="00A62978"/>
    <w:rsid w:val="00A7764E"/>
    <w:rsid w:val="00A91295"/>
    <w:rsid w:val="00AA2932"/>
    <w:rsid w:val="00AA2C2B"/>
    <w:rsid w:val="00AA4DD8"/>
    <w:rsid w:val="00AB2B93"/>
    <w:rsid w:val="00AE0EF1"/>
    <w:rsid w:val="00AE542E"/>
    <w:rsid w:val="00B02C57"/>
    <w:rsid w:val="00B07301"/>
    <w:rsid w:val="00B224DE"/>
    <w:rsid w:val="00B253EB"/>
    <w:rsid w:val="00B26742"/>
    <w:rsid w:val="00B36D60"/>
    <w:rsid w:val="00B608C7"/>
    <w:rsid w:val="00B70BD3"/>
    <w:rsid w:val="00B734CF"/>
    <w:rsid w:val="00B84BBD"/>
    <w:rsid w:val="00B93464"/>
    <w:rsid w:val="00B974BF"/>
    <w:rsid w:val="00BA2E7D"/>
    <w:rsid w:val="00BA43FB"/>
    <w:rsid w:val="00BC127D"/>
    <w:rsid w:val="00BC1FE6"/>
    <w:rsid w:val="00BC2AB9"/>
    <w:rsid w:val="00BD4C24"/>
    <w:rsid w:val="00BF009E"/>
    <w:rsid w:val="00BF29F6"/>
    <w:rsid w:val="00BF6B57"/>
    <w:rsid w:val="00BF786F"/>
    <w:rsid w:val="00C01892"/>
    <w:rsid w:val="00C05295"/>
    <w:rsid w:val="00C061B6"/>
    <w:rsid w:val="00C118C9"/>
    <w:rsid w:val="00C147FB"/>
    <w:rsid w:val="00C151E1"/>
    <w:rsid w:val="00C21DBF"/>
    <w:rsid w:val="00C2446C"/>
    <w:rsid w:val="00C36907"/>
    <w:rsid w:val="00C36AE5"/>
    <w:rsid w:val="00C404B8"/>
    <w:rsid w:val="00C406C5"/>
    <w:rsid w:val="00C41F17"/>
    <w:rsid w:val="00C524B7"/>
    <w:rsid w:val="00C54BF4"/>
    <w:rsid w:val="00C5791C"/>
    <w:rsid w:val="00C66290"/>
    <w:rsid w:val="00C663DE"/>
    <w:rsid w:val="00C72B7A"/>
    <w:rsid w:val="00C86274"/>
    <w:rsid w:val="00C95DDE"/>
    <w:rsid w:val="00C973F2"/>
    <w:rsid w:val="00CA3196"/>
    <w:rsid w:val="00CA774A"/>
    <w:rsid w:val="00CB4DA9"/>
    <w:rsid w:val="00CC11B0"/>
    <w:rsid w:val="00CD432F"/>
    <w:rsid w:val="00CD6966"/>
    <w:rsid w:val="00CD7ED9"/>
    <w:rsid w:val="00CF7E36"/>
    <w:rsid w:val="00D02B72"/>
    <w:rsid w:val="00D02FD2"/>
    <w:rsid w:val="00D06623"/>
    <w:rsid w:val="00D201F5"/>
    <w:rsid w:val="00D233D8"/>
    <w:rsid w:val="00D24210"/>
    <w:rsid w:val="00D338E6"/>
    <w:rsid w:val="00D3708D"/>
    <w:rsid w:val="00D40426"/>
    <w:rsid w:val="00D511BA"/>
    <w:rsid w:val="00D57C96"/>
    <w:rsid w:val="00D67433"/>
    <w:rsid w:val="00D82CA6"/>
    <w:rsid w:val="00D91203"/>
    <w:rsid w:val="00D95174"/>
    <w:rsid w:val="00D95A5C"/>
    <w:rsid w:val="00DA6F36"/>
    <w:rsid w:val="00DB02B0"/>
    <w:rsid w:val="00DB10E5"/>
    <w:rsid w:val="00DB2E0B"/>
    <w:rsid w:val="00DC00EA"/>
    <w:rsid w:val="00E040B2"/>
    <w:rsid w:val="00E10886"/>
    <w:rsid w:val="00E23920"/>
    <w:rsid w:val="00E419C7"/>
    <w:rsid w:val="00E72D49"/>
    <w:rsid w:val="00E7593C"/>
    <w:rsid w:val="00E75A37"/>
    <w:rsid w:val="00E75E16"/>
    <w:rsid w:val="00E7678A"/>
    <w:rsid w:val="00E8698D"/>
    <w:rsid w:val="00E935F1"/>
    <w:rsid w:val="00E94A81"/>
    <w:rsid w:val="00E95D7F"/>
    <w:rsid w:val="00EA1FFB"/>
    <w:rsid w:val="00EA4CFC"/>
    <w:rsid w:val="00EB048E"/>
    <w:rsid w:val="00EB2DE0"/>
    <w:rsid w:val="00EB3EFA"/>
    <w:rsid w:val="00EB53E3"/>
    <w:rsid w:val="00ED7594"/>
    <w:rsid w:val="00EF2F89"/>
    <w:rsid w:val="00F038C5"/>
    <w:rsid w:val="00F04DEB"/>
    <w:rsid w:val="00F1237A"/>
    <w:rsid w:val="00F147E0"/>
    <w:rsid w:val="00F22CBD"/>
    <w:rsid w:val="00F30997"/>
    <w:rsid w:val="00F349B3"/>
    <w:rsid w:val="00F37829"/>
    <w:rsid w:val="00F37961"/>
    <w:rsid w:val="00F45897"/>
    <w:rsid w:val="00F61C9D"/>
    <w:rsid w:val="00F6334D"/>
    <w:rsid w:val="00F73F12"/>
    <w:rsid w:val="00F801E6"/>
    <w:rsid w:val="00F85186"/>
    <w:rsid w:val="00F91828"/>
    <w:rsid w:val="00FA4556"/>
    <w:rsid w:val="00FA49AB"/>
    <w:rsid w:val="00FB0D37"/>
    <w:rsid w:val="00FB19DE"/>
    <w:rsid w:val="00FB5311"/>
    <w:rsid w:val="00FB6651"/>
    <w:rsid w:val="00FC6CEF"/>
    <w:rsid w:val="00FE39C7"/>
    <w:rsid w:val="00FE433D"/>
    <w:rsid w:val="00FE4AF3"/>
    <w:rsid w:val="00FF1931"/>
    <w:rsid w:val="00FF4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9175FC"/>
    <w:pPr>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8B5ED9"/>
    <w:pPr>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uiPriority w:val="39"/>
    <w:rsid w:val="00364346"/>
    <w:pPr>
      <w:tabs>
        <w:tab w:val="right" w:leader="dot" w:pos="9639"/>
      </w:tabs>
      <w:spacing w:after="120"/>
      <w:ind w:left="284" w:right="851"/>
      <w:contextualSpacing/>
    </w:pPr>
    <w:rPr>
      <w:rFonts w:ascii="Arial" w:hAnsi="Arial"/>
      <w:noProof/>
    </w:rPr>
  </w:style>
  <w:style w:type="paragraph" w:styleId="TOC3">
    <w:name w:val="toc 3"/>
    <w:next w:val="Normal"/>
    <w:autoRedefine/>
    <w:uiPriority w:val="39"/>
    <w:rsid w:val="00364346"/>
    <w:pPr>
      <w:tabs>
        <w:tab w:val="right" w:leader="dot" w:pos="9639"/>
      </w:tabs>
      <w:spacing w:after="120"/>
      <w:ind w:left="567" w:right="851"/>
      <w:contextualSpacing/>
    </w:pPr>
    <w:rPr>
      <w:rFonts w:ascii="Arial" w:hAnsi="Arial"/>
      <w:i/>
      <w:noProof/>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331A9E"/>
    <w:pPr>
      <w:tabs>
        <w:tab w:val="right" w:leader="dot" w:pos="9639"/>
      </w:tabs>
      <w:spacing w:after="80"/>
      <w:ind w:right="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9175FC"/>
    <w:rPr>
      <w:rFonts w:ascii="Arial" w:hAnsi="Arial"/>
      <w:caps/>
    </w:rPr>
  </w:style>
  <w:style w:type="paragraph" w:customStyle="1" w:styleId="Default">
    <w:name w:val="Default"/>
    <w:rsid w:val="00E10886"/>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rsid w:val="00FB6651"/>
    <w:rPr>
      <w:rFonts w:ascii="Arial" w:hAnsi="Arial"/>
      <w:sz w:val="16"/>
    </w:rPr>
  </w:style>
  <w:style w:type="paragraph" w:styleId="ListParagraph">
    <w:name w:val="List Paragraph"/>
    <w:basedOn w:val="Normal"/>
    <w:uiPriority w:val="34"/>
    <w:qFormat/>
    <w:rsid w:val="00876E16"/>
    <w:pPr>
      <w:ind w:left="720"/>
      <w:contextualSpacing/>
    </w:pPr>
  </w:style>
  <w:style w:type="character" w:customStyle="1" w:styleId="Heading2Char">
    <w:name w:val="Heading 2 Char"/>
    <w:basedOn w:val="DefaultParagraphFont"/>
    <w:link w:val="Heading2"/>
    <w:rsid w:val="00766C13"/>
    <w:rPr>
      <w:rFonts w:ascii="Arial" w:hAnsi="Arial"/>
      <w:u w:val="single"/>
    </w:rPr>
  </w:style>
  <w:style w:type="character" w:styleId="FollowedHyperlink">
    <w:name w:val="FollowedHyperlink"/>
    <w:basedOn w:val="DefaultParagraphFont"/>
    <w:rsid w:val="00165F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9175FC"/>
    <w:pPr>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8B5ED9"/>
    <w:pPr>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uiPriority w:val="39"/>
    <w:rsid w:val="00364346"/>
    <w:pPr>
      <w:tabs>
        <w:tab w:val="right" w:leader="dot" w:pos="9639"/>
      </w:tabs>
      <w:spacing w:after="120"/>
      <w:ind w:left="284" w:right="851"/>
      <w:contextualSpacing/>
    </w:pPr>
    <w:rPr>
      <w:rFonts w:ascii="Arial" w:hAnsi="Arial"/>
      <w:noProof/>
    </w:rPr>
  </w:style>
  <w:style w:type="paragraph" w:styleId="TOC3">
    <w:name w:val="toc 3"/>
    <w:next w:val="Normal"/>
    <w:autoRedefine/>
    <w:uiPriority w:val="39"/>
    <w:rsid w:val="00364346"/>
    <w:pPr>
      <w:tabs>
        <w:tab w:val="right" w:leader="dot" w:pos="9639"/>
      </w:tabs>
      <w:spacing w:after="120"/>
      <w:ind w:left="567" w:right="851"/>
      <w:contextualSpacing/>
    </w:pPr>
    <w:rPr>
      <w:rFonts w:ascii="Arial" w:hAnsi="Arial"/>
      <w:i/>
      <w:noProof/>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331A9E"/>
    <w:pPr>
      <w:tabs>
        <w:tab w:val="right" w:leader="dot" w:pos="9639"/>
      </w:tabs>
      <w:spacing w:after="80"/>
      <w:ind w:right="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9175FC"/>
    <w:rPr>
      <w:rFonts w:ascii="Arial" w:hAnsi="Arial"/>
      <w:caps/>
    </w:rPr>
  </w:style>
  <w:style w:type="paragraph" w:customStyle="1" w:styleId="Default">
    <w:name w:val="Default"/>
    <w:rsid w:val="00E10886"/>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rsid w:val="00FB6651"/>
    <w:rPr>
      <w:rFonts w:ascii="Arial" w:hAnsi="Arial"/>
      <w:sz w:val="16"/>
    </w:rPr>
  </w:style>
  <w:style w:type="paragraph" w:styleId="ListParagraph">
    <w:name w:val="List Paragraph"/>
    <w:basedOn w:val="Normal"/>
    <w:uiPriority w:val="34"/>
    <w:qFormat/>
    <w:rsid w:val="00876E16"/>
    <w:pPr>
      <w:ind w:left="720"/>
      <w:contextualSpacing/>
    </w:pPr>
  </w:style>
  <w:style w:type="character" w:customStyle="1" w:styleId="Heading2Char">
    <w:name w:val="Heading 2 Char"/>
    <w:basedOn w:val="DefaultParagraphFont"/>
    <w:link w:val="Heading2"/>
    <w:rsid w:val="00766C13"/>
    <w:rPr>
      <w:rFonts w:ascii="Arial" w:hAnsi="Arial"/>
      <w:u w:val="single"/>
    </w:rPr>
  </w:style>
  <w:style w:type="character" w:styleId="FollowedHyperlink">
    <w:name w:val="FollowedHyperlink"/>
    <w:basedOn w:val="DefaultParagraphFont"/>
    <w:rsid w:val="00165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825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upov.int/meetings/en/details.jsp?meeting_id=37027" TargetMode="External"/><Relationship Id="rId2" Type="http://schemas.openxmlformats.org/officeDocument/2006/relationships/hyperlink" Target="http://www.upov.int/meetings/en/details.jsp?meeting_id=37027" TargetMode="External"/><Relationship Id="rId1" Type="http://schemas.openxmlformats.org/officeDocument/2006/relationships/hyperlink" Target="http://www.upov.int/meetings/en/details.jsp?meeting_id=37027" TargetMode="External"/><Relationship Id="rId4" Type="http://schemas.openxmlformats.org/officeDocument/2006/relationships/hyperlink" Target="http://www.upov.int/edocs/mdocs/upov/en/upov_wg_den_1/upov_wg_den_1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2\templates\CAJ_7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4E9B4-BC13-44C3-B063-B42B4EC0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CAJ_72_EN.dotx</Template>
  <TotalTime>3</TotalTime>
  <Pages>5</Pages>
  <Words>2186</Words>
  <Characters>11697</Characters>
  <Application>Microsoft Office Word</Application>
  <DocSecurity>0</DocSecurity>
  <Lines>731</Lines>
  <Paragraphs>514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CAJ/72/3</vt:lpstr>
      <vt:lpstr>CAJ/72/3</vt:lpstr>
    </vt:vector>
  </TitlesOfParts>
  <Company>UPOV</Company>
  <LinksUpToDate>false</LinksUpToDate>
  <CharactersWithSpaces>13369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CAJ/72/3</dc:title>
  <dc:creator>KOIDE Jun</dc:creator>
  <cp:lastModifiedBy>SANCHEZ-VIZCAINO GOMEZ Rosa Maria</cp:lastModifiedBy>
  <cp:revision>5</cp:revision>
  <cp:lastPrinted>2016-10-21T19:11:00Z</cp:lastPrinted>
  <dcterms:created xsi:type="dcterms:W3CDTF">2016-10-17T07:54:00Z</dcterms:created>
  <dcterms:modified xsi:type="dcterms:W3CDTF">2016-10-21T19:11:00Z</dcterms:modified>
</cp:coreProperties>
</file>