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97029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576BE4" w:rsidRDefault="00110481" w:rsidP="00576BE4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F643CAB" wp14:editId="03783BD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97029" w:rsidRDefault="0024416D" w:rsidP="00576BE4">
            <w:pPr>
              <w:pStyle w:val="Lettrine"/>
            </w:pPr>
            <w:r>
              <w:t>G</w:t>
            </w:r>
          </w:p>
          <w:p w:rsidR="000D7780" w:rsidRPr="00997029" w:rsidRDefault="00F37961" w:rsidP="00474DA4">
            <w:pPr>
              <w:pStyle w:val="Docoriginal"/>
              <w:jc w:val="left"/>
            </w:pPr>
            <w:r>
              <w:t>CAJ/72/</w:t>
            </w:r>
            <w:bookmarkStart w:id="0" w:name="Code"/>
            <w:bookmarkEnd w:id="0"/>
            <w:r>
              <w:t>6</w:t>
            </w:r>
          </w:p>
          <w:p w:rsidR="000D7780" w:rsidRPr="00735BD5" w:rsidRDefault="0061555F" w:rsidP="00474DA4">
            <w:pPr>
              <w:pStyle w:val="Docoriginal"/>
              <w:jc w:val="left"/>
            </w:pPr>
            <w:r>
              <w:rPr>
                <w:rStyle w:val="StyleDoclangBold"/>
                <w:b/>
                <w:spacing w:val="0"/>
              </w:rPr>
              <w:t>ORIGINAL:</w:t>
            </w:r>
            <w:r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>
              <w:rPr>
                <w:b w:val="0"/>
                <w:spacing w:val="0"/>
              </w:rPr>
              <w:t>englisch</w:t>
            </w:r>
          </w:p>
          <w:p w:rsidR="000D7780" w:rsidRPr="00EB3EFA" w:rsidRDefault="000D7780" w:rsidP="00554389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>
              <w:t>DATUM:</w:t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54389">
              <w:rPr>
                <w:rStyle w:val="StyleDocoriginalNotBold1"/>
                <w:spacing w:val="0"/>
              </w:rPr>
              <w:t>5</w:t>
            </w:r>
            <w:r>
              <w:rPr>
                <w:rStyle w:val="StyleDocoriginalNotBold1"/>
                <w:spacing w:val="0"/>
              </w:rPr>
              <w:t xml:space="preserve">. </w:t>
            </w:r>
            <w:r w:rsidR="00554389">
              <w:rPr>
                <w:rStyle w:val="StyleDocoriginalNotBold1"/>
                <w:spacing w:val="0"/>
              </w:rPr>
              <w:t xml:space="preserve">Oktober </w:t>
            </w:r>
            <w:r>
              <w:rPr>
                <w:rStyle w:val="StyleDocoriginalNotBold1"/>
                <w:spacing w:val="0"/>
              </w:rPr>
              <w:t>2015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24416D" w:rsidP="0080679D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997029" w:rsidTr="00FB0D37">
        <w:tc>
          <w:tcPr>
            <w:tcW w:w="10131" w:type="dxa"/>
            <w:gridSpan w:val="3"/>
          </w:tcPr>
          <w:p w:rsidR="000D7780" w:rsidRPr="00997029" w:rsidRDefault="00867AC1" w:rsidP="0080679D">
            <w:pPr>
              <w:pStyle w:val="Country"/>
            </w:pPr>
            <w:r>
              <w:t>Genf</w:t>
            </w:r>
          </w:p>
        </w:tc>
      </w:tr>
    </w:tbl>
    <w:p w:rsidR="000D7780" w:rsidRPr="00997029" w:rsidRDefault="00FB0D37" w:rsidP="0080679D">
      <w:pPr>
        <w:pStyle w:val="Sessiontc"/>
      </w:pPr>
      <w:r>
        <w:t>VERWALTUNGS- UND RECHTSAUSSCHUSS</w:t>
      </w:r>
    </w:p>
    <w:p w:rsidR="00361821" w:rsidRPr="00997029" w:rsidRDefault="00155F6F" w:rsidP="0080679D">
      <w:pPr>
        <w:pStyle w:val="Sessiontcplacedate"/>
      </w:pPr>
      <w:r>
        <w:t>Zweiundsiebzigste Tagung</w:t>
      </w:r>
      <w:r>
        <w:br/>
        <w:t>Genf, 26. und 27. Oktober 2015</w:t>
      </w:r>
    </w:p>
    <w:p w:rsidR="000D7780" w:rsidRPr="00997029" w:rsidRDefault="00E20407" w:rsidP="0080679D">
      <w:pPr>
        <w:pStyle w:val="Titleofdoc0"/>
      </w:pPr>
      <w:bookmarkStart w:id="3" w:name="TitleOfDoc"/>
      <w:bookmarkEnd w:id="3"/>
      <w:r>
        <w:t>UPOV-Informationsdatenbanken</w:t>
      </w:r>
    </w:p>
    <w:p w:rsidR="000D7780" w:rsidRPr="00997029" w:rsidRDefault="00AE0EF1" w:rsidP="0080679D">
      <w:pPr>
        <w:pStyle w:val="preparedby1"/>
      </w:pPr>
      <w:bookmarkStart w:id="4" w:name="Prepared"/>
      <w:bookmarkEnd w:id="4"/>
      <w:r>
        <w:t>vom Verbandsbüro erstelltes Dokument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 eine Anleitung der UPOV wieder</w:t>
      </w:r>
    </w:p>
    <w:p w:rsidR="009A2460" w:rsidRDefault="009A2460" w:rsidP="009A2460">
      <w:pPr>
        <w:pStyle w:val="Heading1"/>
      </w:pPr>
      <w:bookmarkStart w:id="5" w:name="_Toc431478159"/>
      <w:bookmarkStart w:id="6" w:name="_Toc432140510"/>
      <w:r>
        <w:t>ZUSAMMENFASSUNG</w:t>
      </w:r>
      <w:bookmarkEnd w:id="5"/>
      <w:bookmarkEnd w:id="6"/>
    </w:p>
    <w:p w:rsidR="009A2460" w:rsidRDefault="009A2460" w:rsidP="00796671"/>
    <w:p w:rsidR="00B3750B" w:rsidRDefault="006E4BF5" w:rsidP="00B3750B">
      <w:pPr>
        <w:rPr>
          <w:rFonts w:cs="Arial"/>
        </w:rPr>
      </w:pPr>
      <w:r w:rsidRPr="001E700D">
        <w:fldChar w:fldCharType="begin"/>
      </w:r>
      <w:r w:rsidRPr="001E700D">
        <w:instrText xml:space="preserve"> AUTONUM  </w:instrText>
      </w:r>
      <w:r w:rsidRPr="001E700D">
        <w:fldChar w:fldCharType="end"/>
      </w:r>
      <w:r>
        <w:tab/>
        <w:t>Zweck dieses Dokuments ist es, einen aktuellen Bericht über die Entwicklungen betreffend die GENIE Datenbank und über die Arbeit und die unterbreiteten Vorschläge der Arbeitsgruppe für die Entwicklung eines UPOV-Suchwerkzeugs für Ähnlichkeiten zum Zweck der Sortenbezeichnung (WG-DST) im Hinblick auf die PLUTO-Datenbank zu geben.</w:t>
      </w:r>
    </w:p>
    <w:p w:rsidR="00796671" w:rsidRDefault="00796671" w:rsidP="00796671">
      <w:pPr>
        <w:rPr>
          <w:rFonts w:cs="Arial"/>
        </w:rPr>
      </w:pPr>
    </w:p>
    <w:p w:rsidR="00B32C07" w:rsidRDefault="008E62C9" w:rsidP="00B32C07">
      <w:r>
        <w:fldChar w:fldCharType="begin"/>
      </w:r>
      <w:r>
        <w:instrText xml:space="preserve"> AUTONUM  </w:instrText>
      </w:r>
      <w:r>
        <w:fldChar w:fldCharType="end"/>
      </w:r>
      <w:r>
        <w:tab/>
        <w:t>Der Verwaltungs- und Rechtsausschuß (CAJ) wird ersucht:</w:t>
      </w:r>
    </w:p>
    <w:p w:rsidR="00B32C07" w:rsidRPr="00554389" w:rsidRDefault="00B32C07" w:rsidP="00B32C07">
      <w:pPr>
        <w:rPr>
          <w:sz w:val="16"/>
        </w:rPr>
      </w:pPr>
    </w:p>
    <w:p w:rsidR="009C2FB4" w:rsidRDefault="009C2FB4" w:rsidP="009C2FB4">
      <w:pPr>
        <w:ind w:firstLine="567"/>
      </w:pPr>
      <w:r>
        <w:t>a)</w:t>
      </w:r>
      <w:r>
        <w:tab/>
        <w:t>den aktuellen Berich</w:t>
      </w:r>
      <w:bookmarkStart w:id="7" w:name="_GoBack"/>
      <w:bookmarkEnd w:id="7"/>
      <w:r>
        <w:t>t betreffend die GENIE- und PLUTO-Datenbanken, wie in den Absätzen 6 bis 16 dargelegt, zur Kenntnis zu nehmen;</w:t>
      </w:r>
    </w:p>
    <w:p w:rsidR="009C2FB4" w:rsidRPr="00554389" w:rsidRDefault="009C2FB4" w:rsidP="009C2FB4">
      <w:pPr>
        <w:rPr>
          <w:sz w:val="16"/>
        </w:rPr>
      </w:pPr>
    </w:p>
    <w:p w:rsidR="009C2FB4" w:rsidRDefault="009C2FB4" w:rsidP="009C2FB4">
      <w:pPr>
        <w:ind w:firstLine="567"/>
      </w:pPr>
      <w:r>
        <w:t>b)</w:t>
      </w:r>
      <w:r>
        <w:tab/>
        <w:t>zu prüfen, ob Akzente und Sonderzeichen in Bezeichnungen in der PLUTO-Datenbank akzeptiert werden sollen, wobei zu berücksichtigen ist, daß das Bezeichnungssuchinstrument der PLUTO-Datenbank ausschließlich den Zeichensatz ASCII [American Standard Code for Information Interchange] gemäß ISO-Norm 646 [International Standards Organization] verwenden würde, wie in Absatz 20 dargelegt;</w:t>
      </w:r>
    </w:p>
    <w:p w:rsidR="009C2FB4" w:rsidRPr="00554389" w:rsidRDefault="009C2FB4" w:rsidP="009C2FB4">
      <w:pPr>
        <w:rPr>
          <w:sz w:val="16"/>
        </w:rPr>
      </w:pPr>
    </w:p>
    <w:p w:rsidR="009C2FB4" w:rsidRDefault="009C2FB4" w:rsidP="009C2FB4">
      <w:pPr>
        <w:ind w:firstLine="567"/>
      </w:pPr>
      <w:r>
        <w:t>c)</w:t>
      </w:r>
      <w:r>
        <w:tab/>
        <w:t xml:space="preserve">zu prüfen, ob das </w:t>
      </w:r>
      <w:r w:rsidR="009A727E">
        <w:t>„</w:t>
      </w:r>
      <w:r>
        <w:t>Programm für Verbesserungen der Datenbank</w:t>
      </w:r>
      <w:r w:rsidR="00554389">
        <w:t xml:space="preserve"> für Pflanzensorten“, Abschnitt </w:t>
      </w:r>
      <w:r>
        <w:t>3.1.3, wie in Absatz 22 dargelegt, zu überprüfen ist, um den zulässigen Zeichensatz in die ISO/IEC-Norm 8859 1: 1998 zu ändern;</w:t>
      </w:r>
    </w:p>
    <w:p w:rsidR="009C2FB4" w:rsidRPr="00554389" w:rsidRDefault="009C2FB4" w:rsidP="009C2FB4">
      <w:pPr>
        <w:rPr>
          <w:sz w:val="16"/>
        </w:rPr>
      </w:pPr>
    </w:p>
    <w:p w:rsidR="009C2FB4" w:rsidRDefault="009C2FB4" w:rsidP="000E71F2">
      <w:pPr>
        <w:ind w:firstLine="567"/>
      </w:pPr>
      <w:r>
        <w:t>d)</w:t>
      </w:r>
      <w:r>
        <w:tab/>
        <w:t>zu prüfen, ob der Inhalt der PLUTO-Datenbank zu erweitern ist, damit er alle anerkannten Sorten, einschließlich jener, die nicht erfaßt oder geschützt wurden</w:t>
      </w:r>
      <w:r w:rsidR="00814B0B">
        <w:t xml:space="preserve"> oder</w:t>
      </w:r>
      <w:r>
        <w:t xml:space="preserve"> nicht mehr erfaßt oder geschützt</w:t>
      </w:r>
      <w:r w:rsidR="009A727E">
        <w:t xml:space="preserve"> sind</w:t>
      </w:r>
      <w:r>
        <w:t>, umfaßt, wie in Absatz 24 dargelegt; und</w:t>
      </w:r>
    </w:p>
    <w:p w:rsidR="009C2FB4" w:rsidRPr="00554389" w:rsidRDefault="009C2FB4" w:rsidP="009C2FB4">
      <w:pPr>
        <w:rPr>
          <w:sz w:val="16"/>
        </w:rPr>
      </w:pPr>
    </w:p>
    <w:p w:rsidR="00DE4A7D" w:rsidRDefault="009C2FB4" w:rsidP="009C2FB4">
      <w:pPr>
        <w:rPr>
          <w:rFonts w:cs="Arial"/>
        </w:rPr>
      </w:pPr>
      <w:r>
        <w:tab/>
        <w:t>e)</w:t>
      </w:r>
      <w:r>
        <w:tab/>
        <w:t>zur Kenntnis zu nehmen, daß über Entwicklungen betreffend nicht annehmbare Begriffe für Sortenbezeichnungen in Dokument CAJ/72/3 „Sortenbezeichnungen“ berichtet wird.</w:t>
      </w:r>
    </w:p>
    <w:p w:rsidR="00A604A5" w:rsidRPr="009B37B9" w:rsidRDefault="00A604A5" w:rsidP="002F132E">
      <w:pPr>
        <w:rPr>
          <w:rFonts w:cs="Arial"/>
        </w:rPr>
      </w:pPr>
    </w:p>
    <w:p w:rsidR="00796671" w:rsidRPr="002C2C18" w:rsidRDefault="00796671" w:rsidP="00796671">
      <w:pPr>
        <w:keepNext/>
        <w:rPr>
          <w:color w:val="000000"/>
        </w:rPr>
      </w:pPr>
      <w:r w:rsidRPr="002C2C18">
        <w:rPr>
          <w:color w:val="000000"/>
        </w:rPr>
        <w:fldChar w:fldCharType="begin"/>
      </w:r>
      <w:r w:rsidRPr="002C2C18">
        <w:rPr>
          <w:color w:val="000000"/>
        </w:rPr>
        <w:instrText xml:space="preserve"> AUTONUM  </w:instrText>
      </w:r>
      <w:r w:rsidRPr="002C2C18">
        <w:rPr>
          <w:color w:val="000000"/>
        </w:rPr>
        <w:fldChar w:fldCharType="end"/>
      </w:r>
      <w:r>
        <w:tab/>
      </w:r>
      <w:r>
        <w:rPr>
          <w:color w:val="000000"/>
        </w:rPr>
        <w:t>In diesem Dokument werden folgende Abkürzungen verwendet:</w:t>
      </w:r>
    </w:p>
    <w:p w:rsidR="00796671" w:rsidRPr="002C2C18" w:rsidRDefault="00796671" w:rsidP="00796671">
      <w:pPr>
        <w:keepNext/>
        <w:ind w:left="1692" w:hanging="1125"/>
        <w:jc w:val="left"/>
        <w:rPr>
          <w:color w:val="000000"/>
        </w:rPr>
      </w:pPr>
    </w:p>
    <w:p w:rsidR="00796671" w:rsidRPr="00554389" w:rsidRDefault="00796671" w:rsidP="00796671">
      <w:pPr>
        <w:keepNext/>
        <w:tabs>
          <w:tab w:val="left" w:pos="567"/>
          <w:tab w:val="left" w:pos="1701"/>
        </w:tabs>
        <w:rPr>
          <w:sz w:val="19"/>
          <w:szCs w:val="19"/>
        </w:rPr>
      </w:pPr>
      <w:r w:rsidRPr="00554389">
        <w:rPr>
          <w:sz w:val="19"/>
          <w:szCs w:val="19"/>
        </w:rPr>
        <w:tab/>
        <w:t>CAJ:</w:t>
      </w:r>
      <w:r w:rsidRPr="00554389">
        <w:rPr>
          <w:sz w:val="19"/>
          <w:szCs w:val="19"/>
        </w:rPr>
        <w:tab/>
        <w:t>Verwaltungs- und Rechtsausschuß</w:t>
      </w:r>
    </w:p>
    <w:p w:rsidR="00796671" w:rsidRPr="00554389" w:rsidRDefault="00796671" w:rsidP="00796671">
      <w:pPr>
        <w:keepNext/>
        <w:tabs>
          <w:tab w:val="left" w:pos="567"/>
          <w:tab w:val="left" w:pos="1701"/>
        </w:tabs>
        <w:rPr>
          <w:sz w:val="19"/>
          <w:szCs w:val="19"/>
        </w:rPr>
      </w:pPr>
      <w:r w:rsidRPr="00554389">
        <w:rPr>
          <w:sz w:val="19"/>
          <w:szCs w:val="19"/>
        </w:rPr>
        <w:tab/>
        <w:t>TC:</w:t>
      </w:r>
      <w:r w:rsidRPr="00554389">
        <w:rPr>
          <w:sz w:val="19"/>
          <w:szCs w:val="19"/>
        </w:rPr>
        <w:tab/>
        <w:t>Technischer Ausschuß</w:t>
      </w:r>
    </w:p>
    <w:p w:rsidR="00796671" w:rsidRPr="00554389" w:rsidRDefault="00796671" w:rsidP="00796671">
      <w:pPr>
        <w:keepNext/>
        <w:tabs>
          <w:tab w:val="left" w:pos="567"/>
          <w:tab w:val="left" w:pos="1701"/>
        </w:tabs>
        <w:rPr>
          <w:rFonts w:eastAsia="PMingLiU"/>
          <w:sz w:val="19"/>
          <w:szCs w:val="19"/>
        </w:rPr>
      </w:pPr>
      <w:r w:rsidRPr="00554389">
        <w:rPr>
          <w:sz w:val="19"/>
          <w:szCs w:val="19"/>
        </w:rPr>
        <w:tab/>
        <w:t>TWA:</w:t>
      </w:r>
      <w:r w:rsidRPr="00554389">
        <w:rPr>
          <w:sz w:val="19"/>
          <w:szCs w:val="19"/>
        </w:rPr>
        <w:tab/>
        <w:t>Technische Arbeitsgruppe für landwirtschaftliche Arten</w:t>
      </w:r>
    </w:p>
    <w:p w:rsidR="00796671" w:rsidRPr="00554389" w:rsidRDefault="00796671" w:rsidP="00796671">
      <w:pPr>
        <w:keepNext/>
        <w:tabs>
          <w:tab w:val="left" w:pos="567"/>
          <w:tab w:val="left" w:pos="1701"/>
        </w:tabs>
        <w:rPr>
          <w:rFonts w:eastAsia="PMingLiU"/>
          <w:sz w:val="19"/>
          <w:szCs w:val="19"/>
        </w:rPr>
      </w:pPr>
      <w:r w:rsidRPr="00554389">
        <w:rPr>
          <w:sz w:val="19"/>
          <w:szCs w:val="19"/>
        </w:rPr>
        <w:tab/>
        <w:t>TWC:</w:t>
      </w:r>
      <w:r w:rsidRPr="00554389">
        <w:rPr>
          <w:sz w:val="19"/>
          <w:szCs w:val="19"/>
        </w:rPr>
        <w:tab/>
        <w:t>Technische Arbeitsgruppe für Automatisierung und Computerprogramme</w:t>
      </w:r>
    </w:p>
    <w:p w:rsidR="00796671" w:rsidRPr="00554389" w:rsidRDefault="00796671" w:rsidP="00796671">
      <w:pPr>
        <w:keepNext/>
        <w:tabs>
          <w:tab w:val="left" w:pos="567"/>
          <w:tab w:val="left" w:pos="1701"/>
        </w:tabs>
        <w:rPr>
          <w:rFonts w:eastAsia="PMingLiU"/>
          <w:sz w:val="19"/>
          <w:szCs w:val="19"/>
        </w:rPr>
      </w:pPr>
      <w:r w:rsidRPr="00554389">
        <w:rPr>
          <w:sz w:val="19"/>
          <w:szCs w:val="19"/>
        </w:rPr>
        <w:tab/>
        <w:t xml:space="preserve">TWF: </w:t>
      </w:r>
      <w:r w:rsidRPr="00554389">
        <w:rPr>
          <w:sz w:val="19"/>
          <w:szCs w:val="19"/>
        </w:rPr>
        <w:tab/>
        <w:t>Technische Arbeitsgruppe für Obstarten</w:t>
      </w:r>
    </w:p>
    <w:p w:rsidR="00796671" w:rsidRPr="00554389" w:rsidRDefault="00796671" w:rsidP="00796671">
      <w:pPr>
        <w:keepNext/>
        <w:tabs>
          <w:tab w:val="left" w:pos="567"/>
          <w:tab w:val="left" w:pos="1701"/>
        </w:tabs>
        <w:rPr>
          <w:rFonts w:eastAsia="PMingLiU"/>
          <w:sz w:val="19"/>
          <w:szCs w:val="19"/>
        </w:rPr>
      </w:pPr>
      <w:r w:rsidRPr="00554389">
        <w:rPr>
          <w:sz w:val="19"/>
          <w:szCs w:val="19"/>
        </w:rPr>
        <w:tab/>
        <w:t>TWO:</w:t>
      </w:r>
      <w:r w:rsidRPr="00554389">
        <w:rPr>
          <w:sz w:val="19"/>
          <w:szCs w:val="19"/>
        </w:rPr>
        <w:tab/>
        <w:t>Technische Arbeitsgruppe für Zierpflanzen und forstliche Baumarten</w:t>
      </w:r>
    </w:p>
    <w:p w:rsidR="00796671" w:rsidRPr="00554389" w:rsidRDefault="00796671" w:rsidP="00796671">
      <w:pPr>
        <w:keepNext/>
        <w:tabs>
          <w:tab w:val="left" w:pos="567"/>
          <w:tab w:val="left" w:pos="1701"/>
        </w:tabs>
        <w:rPr>
          <w:rFonts w:eastAsia="PMingLiU"/>
          <w:sz w:val="19"/>
          <w:szCs w:val="19"/>
        </w:rPr>
      </w:pPr>
      <w:r w:rsidRPr="00554389">
        <w:rPr>
          <w:sz w:val="19"/>
          <w:szCs w:val="19"/>
        </w:rPr>
        <w:tab/>
        <w:t>TWP:</w:t>
      </w:r>
      <w:r w:rsidRPr="00554389">
        <w:rPr>
          <w:sz w:val="19"/>
          <w:szCs w:val="19"/>
        </w:rPr>
        <w:tab/>
        <w:t>Technische Arbeitsgruppe(n)</w:t>
      </w:r>
    </w:p>
    <w:p w:rsidR="00796671" w:rsidRPr="00554389" w:rsidRDefault="00796671" w:rsidP="00796671">
      <w:pPr>
        <w:tabs>
          <w:tab w:val="left" w:pos="567"/>
          <w:tab w:val="left" w:pos="1701"/>
        </w:tabs>
        <w:rPr>
          <w:sz w:val="19"/>
          <w:szCs w:val="19"/>
        </w:rPr>
      </w:pPr>
      <w:r w:rsidRPr="00554389">
        <w:rPr>
          <w:sz w:val="19"/>
          <w:szCs w:val="19"/>
        </w:rPr>
        <w:tab/>
        <w:t>TWV:</w:t>
      </w:r>
      <w:r w:rsidRPr="00554389">
        <w:rPr>
          <w:sz w:val="19"/>
          <w:szCs w:val="19"/>
        </w:rPr>
        <w:tab/>
        <w:t>Technische Arbeitsgruppe für Gemüsearten</w:t>
      </w:r>
    </w:p>
    <w:p w:rsidR="00E418A4" w:rsidRPr="00554389" w:rsidRDefault="00E418A4" w:rsidP="00554389">
      <w:pPr>
        <w:tabs>
          <w:tab w:val="left" w:pos="567"/>
          <w:tab w:val="left" w:pos="1701"/>
        </w:tabs>
        <w:spacing w:after="240"/>
        <w:ind w:left="1695" w:hanging="1695"/>
        <w:rPr>
          <w:sz w:val="19"/>
          <w:szCs w:val="19"/>
        </w:rPr>
      </w:pPr>
      <w:r w:rsidRPr="00554389">
        <w:rPr>
          <w:sz w:val="19"/>
          <w:szCs w:val="19"/>
        </w:rPr>
        <w:tab/>
        <w:t>WG-DST</w:t>
      </w:r>
      <w:r w:rsidRPr="00554389">
        <w:rPr>
          <w:sz w:val="19"/>
          <w:szCs w:val="19"/>
        </w:rPr>
        <w:tab/>
        <w:t>Arbeitsgruppe für die Entwicklung eines UPOV-Suchwerkzeugs für Ähnlichkeiten zum Zweck der Sortenbezeichnung</w:t>
      </w:r>
    </w:p>
    <w:p w:rsidR="00796671" w:rsidRPr="00CF608A" w:rsidRDefault="00796671" w:rsidP="00796671">
      <w:pPr>
        <w:keepNext/>
        <w:spacing w:after="240"/>
        <w:rPr>
          <w:color w:val="000000"/>
        </w:rPr>
      </w:pPr>
      <w:r w:rsidRPr="002C2C18">
        <w:rPr>
          <w:color w:val="000000"/>
        </w:rPr>
        <w:lastRenderedPageBreak/>
        <w:fldChar w:fldCharType="begin"/>
      </w:r>
      <w:r w:rsidRPr="002C2C18">
        <w:rPr>
          <w:color w:val="000000"/>
        </w:rPr>
        <w:instrText xml:space="preserve"> AUTONUM  </w:instrText>
      </w:r>
      <w:r w:rsidRPr="002C2C18">
        <w:rPr>
          <w:color w:val="000000"/>
        </w:rPr>
        <w:fldChar w:fldCharType="end"/>
      </w:r>
      <w:r>
        <w:tab/>
      </w:r>
      <w:r>
        <w:rPr>
          <w:color w:val="000000"/>
        </w:rPr>
        <w:t>Der Aufbau dieses Dokuments ist wie folgt:</w:t>
      </w:r>
    </w:p>
    <w:p w:rsidR="00AC06DF" w:rsidRDefault="00796671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bidi="ar-SA"/>
        </w:rPr>
      </w:pPr>
      <w:r w:rsidRPr="00DD7287">
        <w:rPr>
          <w:rFonts w:cs="Arial"/>
        </w:rPr>
        <w:fldChar w:fldCharType="begin"/>
      </w:r>
      <w:r w:rsidRPr="00DD7287">
        <w:rPr>
          <w:rFonts w:cs="Arial"/>
        </w:rPr>
        <w:instrText xml:space="preserve"> TOC \o "1-3" \u </w:instrText>
      </w:r>
      <w:r w:rsidRPr="00DD7287">
        <w:rPr>
          <w:rFonts w:cs="Arial"/>
        </w:rPr>
        <w:fldChar w:fldCharType="separate"/>
      </w:r>
      <w:r w:rsidR="00AC06DF">
        <w:t>ZUSAMMENFASSUNG</w:t>
      </w:r>
      <w:r w:rsidR="00AC06DF">
        <w:tab/>
      </w:r>
      <w:r w:rsidR="00AC06DF">
        <w:fldChar w:fldCharType="begin"/>
      </w:r>
      <w:r w:rsidR="00AC06DF">
        <w:instrText xml:space="preserve"> PAGEREF _Toc432140510 \h </w:instrText>
      </w:r>
      <w:r w:rsidR="00AC06DF">
        <w:fldChar w:fldCharType="separate"/>
      </w:r>
      <w:r w:rsidR="00DE4DE8">
        <w:t>1</w:t>
      </w:r>
      <w:r w:rsidR="00AC06DF">
        <w:fldChar w:fldCharType="end"/>
      </w:r>
    </w:p>
    <w:p w:rsidR="00AC06DF" w:rsidRDefault="00AC06D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bidi="ar-SA"/>
        </w:rPr>
      </w:pPr>
      <w:r>
        <w:t>ZWECK</w:t>
      </w:r>
      <w:r>
        <w:tab/>
      </w:r>
      <w:r>
        <w:fldChar w:fldCharType="begin"/>
      </w:r>
      <w:r>
        <w:instrText xml:space="preserve"> PAGEREF _Toc432140511 \h </w:instrText>
      </w:r>
      <w:r>
        <w:fldChar w:fldCharType="separate"/>
      </w:r>
      <w:r w:rsidR="00DE4DE8">
        <w:t>2</w:t>
      </w:r>
      <w:r>
        <w:fldChar w:fldCharType="end"/>
      </w:r>
    </w:p>
    <w:p w:rsidR="00AC06DF" w:rsidRDefault="00AC06D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bidi="ar-SA"/>
        </w:rPr>
      </w:pPr>
      <w:r>
        <w:t>GENIE-DATENBANK</w:t>
      </w:r>
      <w:r>
        <w:tab/>
      </w:r>
      <w:r>
        <w:fldChar w:fldCharType="begin"/>
      </w:r>
      <w:r>
        <w:instrText xml:space="preserve"> PAGEREF _Toc432140512 \h </w:instrText>
      </w:r>
      <w:r>
        <w:fldChar w:fldCharType="separate"/>
      </w:r>
      <w:r w:rsidR="00DE4DE8">
        <w:t>2</w:t>
      </w:r>
      <w:r>
        <w:fldChar w:fldCharType="end"/>
      </w:r>
    </w:p>
    <w:p w:rsidR="00AC06DF" w:rsidRDefault="00AC06D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t>Aktuelle Berichte</w:t>
      </w:r>
      <w:r>
        <w:tab/>
      </w:r>
      <w:r>
        <w:fldChar w:fldCharType="begin"/>
      </w:r>
      <w:r>
        <w:instrText xml:space="preserve"> PAGEREF _Toc432140513 \h </w:instrText>
      </w:r>
      <w:r>
        <w:fldChar w:fldCharType="separate"/>
      </w:r>
      <w:r w:rsidR="00DE4DE8">
        <w:t>2</w:t>
      </w:r>
      <w:r>
        <w:fldChar w:fldCharType="end"/>
      </w:r>
    </w:p>
    <w:p w:rsidR="00AC06DF" w:rsidRDefault="00AC06D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bidi="ar-SA"/>
        </w:rPr>
      </w:pPr>
      <w:r>
        <w:t>PLUTO-DATENBANK</w:t>
      </w:r>
      <w:r>
        <w:tab/>
      </w:r>
      <w:r>
        <w:fldChar w:fldCharType="begin"/>
      </w:r>
      <w:r>
        <w:instrText xml:space="preserve"> PAGEREF _Toc432140514 \h </w:instrText>
      </w:r>
      <w:r>
        <w:fldChar w:fldCharType="separate"/>
      </w:r>
      <w:r w:rsidR="00DE4DE8">
        <w:t>3</w:t>
      </w:r>
      <w:r>
        <w:fldChar w:fldCharType="end"/>
      </w:r>
    </w:p>
    <w:p w:rsidR="00AC06DF" w:rsidRDefault="00AC06D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t>Aktuelle Berichte</w:t>
      </w:r>
      <w:r>
        <w:tab/>
      </w:r>
      <w:r>
        <w:fldChar w:fldCharType="begin"/>
      </w:r>
      <w:r>
        <w:instrText xml:space="preserve"> PAGEREF _Toc432140515 \h </w:instrText>
      </w:r>
      <w:r>
        <w:fldChar w:fldCharType="separate"/>
      </w:r>
      <w:r w:rsidR="00DE4DE8">
        <w:t>3</w:t>
      </w:r>
      <w:r>
        <w:fldChar w:fldCharType="end"/>
      </w:r>
    </w:p>
    <w:p w:rsidR="00AC06DF" w:rsidRDefault="00AC06D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t>Lehrgang für Beiträge zur PLUTO-Datenbank</w:t>
      </w:r>
      <w:r>
        <w:tab/>
      </w:r>
      <w:r>
        <w:fldChar w:fldCharType="begin"/>
      </w:r>
      <w:r>
        <w:instrText xml:space="preserve"> PAGEREF _Toc432140516 \h </w:instrText>
      </w:r>
      <w:r>
        <w:fldChar w:fldCharType="separate"/>
      </w:r>
      <w:r w:rsidR="00DE4DE8">
        <w:t>3</w:t>
      </w:r>
      <w:r>
        <w:fldChar w:fldCharType="end"/>
      </w:r>
    </w:p>
    <w:p w:rsidR="00AC06DF" w:rsidRDefault="00AC06DF">
      <w:pPr>
        <w:pStyle w:val="TOC2"/>
        <w:rPr>
          <w:rFonts w:asciiTheme="minorHAnsi" w:eastAsiaTheme="minorEastAsia" w:hAnsiTheme="minorHAnsi" w:cstheme="minorBidi"/>
          <w:sz w:val="22"/>
          <w:szCs w:val="22"/>
          <w:lang w:bidi="ar-SA"/>
        </w:rPr>
      </w:pPr>
      <w:r>
        <w:t>Vorschläge der WG-DST</w:t>
      </w:r>
      <w:r>
        <w:tab/>
      </w:r>
      <w:r>
        <w:fldChar w:fldCharType="begin"/>
      </w:r>
      <w:r>
        <w:instrText xml:space="preserve"> PAGEREF _Toc432140517 \h </w:instrText>
      </w:r>
      <w:r>
        <w:fldChar w:fldCharType="separate"/>
      </w:r>
      <w:r w:rsidR="00DE4DE8">
        <w:t>3</w:t>
      </w:r>
      <w:r>
        <w:fldChar w:fldCharType="end"/>
      </w:r>
    </w:p>
    <w:p w:rsidR="00AC06DF" w:rsidRDefault="00AC06DF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bidi="ar-SA"/>
        </w:rPr>
      </w:pPr>
      <w:r>
        <w:t>Akzente und Sonderzeichen</w:t>
      </w:r>
      <w:r>
        <w:tab/>
      </w:r>
      <w:r>
        <w:fldChar w:fldCharType="begin"/>
      </w:r>
      <w:r>
        <w:instrText xml:space="preserve"> PAGEREF _Toc432140518 \h </w:instrText>
      </w:r>
      <w:r>
        <w:fldChar w:fldCharType="separate"/>
      </w:r>
      <w:r w:rsidR="00DE4DE8">
        <w:t>4</w:t>
      </w:r>
      <w:r>
        <w:fldChar w:fldCharType="end"/>
      </w:r>
    </w:p>
    <w:p w:rsidR="00AC06DF" w:rsidRDefault="00AC06DF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bidi="ar-SA"/>
        </w:rPr>
      </w:pPr>
      <w:r>
        <w:t>Inhalt der PLUTO-Datenbank</w:t>
      </w:r>
      <w:r>
        <w:tab/>
      </w:r>
      <w:r>
        <w:fldChar w:fldCharType="begin"/>
      </w:r>
      <w:r>
        <w:instrText xml:space="preserve"> PAGEREF _Toc432140519 \h </w:instrText>
      </w:r>
      <w:r>
        <w:fldChar w:fldCharType="separate"/>
      </w:r>
      <w:r w:rsidR="00DE4DE8">
        <w:t>4</w:t>
      </w:r>
      <w:r>
        <w:fldChar w:fldCharType="end"/>
      </w:r>
    </w:p>
    <w:p w:rsidR="00AC06DF" w:rsidRDefault="00AC06DF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bidi="ar-SA"/>
        </w:rPr>
      </w:pPr>
      <w:r w:rsidRPr="00212EEC">
        <w:rPr>
          <w:rFonts w:eastAsiaTheme="minorEastAsia"/>
        </w:rPr>
        <w:t>Nicht annehmbare Begriffe für Sortenbezeichnungen</w:t>
      </w:r>
      <w:r>
        <w:tab/>
      </w:r>
      <w:r>
        <w:fldChar w:fldCharType="begin"/>
      </w:r>
      <w:r>
        <w:instrText xml:space="preserve"> PAGEREF _Toc432140520 \h </w:instrText>
      </w:r>
      <w:r>
        <w:fldChar w:fldCharType="separate"/>
      </w:r>
      <w:r w:rsidR="00DE4DE8">
        <w:t>5</w:t>
      </w:r>
      <w:r>
        <w:fldChar w:fldCharType="end"/>
      </w:r>
    </w:p>
    <w:p w:rsidR="00111A35" w:rsidRPr="00E418A4" w:rsidRDefault="00796671" w:rsidP="00554389">
      <w:r w:rsidRPr="00DD7287">
        <w:fldChar w:fldCharType="end"/>
      </w:r>
    </w:p>
    <w:p w:rsidR="002574CD" w:rsidRDefault="002574CD">
      <w:pPr>
        <w:jc w:val="left"/>
        <w:rPr>
          <w:caps/>
        </w:rPr>
      </w:pPr>
    </w:p>
    <w:p w:rsidR="009A2460" w:rsidRDefault="009A2460" w:rsidP="009A2460">
      <w:pPr>
        <w:pStyle w:val="Heading1"/>
      </w:pPr>
      <w:bookmarkStart w:id="8" w:name="_Toc431478160"/>
      <w:bookmarkStart w:id="9" w:name="_Toc432140511"/>
      <w:r>
        <w:t>ZWECK</w:t>
      </w:r>
      <w:bookmarkEnd w:id="8"/>
      <w:bookmarkEnd w:id="9"/>
    </w:p>
    <w:p w:rsidR="009A2460" w:rsidRDefault="009A2460" w:rsidP="00796671"/>
    <w:p w:rsidR="009A2460" w:rsidRDefault="009A2460" w:rsidP="00796671">
      <w:pPr>
        <w:rPr>
          <w:rFonts w:cs="Arial"/>
        </w:rPr>
      </w:pPr>
      <w:r w:rsidRPr="001E700D">
        <w:fldChar w:fldCharType="begin"/>
      </w:r>
      <w:r w:rsidRPr="001E700D">
        <w:instrText xml:space="preserve"> AUTONUM  </w:instrText>
      </w:r>
      <w:r w:rsidRPr="001E700D">
        <w:fldChar w:fldCharType="end"/>
      </w:r>
      <w:r>
        <w:tab/>
        <w:t>Zweck dieses Dokuments ist es, einen aktuellen Bericht über die Entwicklungen betreffend die GENIE Datenbank und über die Arbeit und die unterbreiteten Vorschläge der Arbeitsgruppe für die Entwicklung eines UPOV-Suchwerkzeugs für Ähnlichkeiten zum Zweck der Sortenbezeichnung (WG-DST) im Hinblick auf die PLUTO-Datenbank zu geben.</w:t>
      </w:r>
    </w:p>
    <w:p w:rsidR="006E4BF5" w:rsidRDefault="006E4BF5" w:rsidP="00796671"/>
    <w:p w:rsidR="002574CD" w:rsidRDefault="002574CD">
      <w:pPr>
        <w:jc w:val="left"/>
        <w:rPr>
          <w:caps/>
        </w:rPr>
      </w:pPr>
    </w:p>
    <w:p w:rsidR="00C645FA" w:rsidRPr="001E700D" w:rsidRDefault="00C645FA" w:rsidP="00C645FA">
      <w:pPr>
        <w:pStyle w:val="Heading1"/>
      </w:pPr>
      <w:bookmarkStart w:id="10" w:name="_Toc431478161"/>
      <w:bookmarkStart w:id="11" w:name="_Toc432140512"/>
      <w:r>
        <w:t>GENIE-DATENBANK</w:t>
      </w:r>
      <w:bookmarkEnd w:id="10"/>
      <w:bookmarkEnd w:id="11"/>
    </w:p>
    <w:p w:rsidR="00C645FA" w:rsidRDefault="00C645FA" w:rsidP="00C645FA">
      <w:pPr>
        <w:keepNext/>
      </w:pPr>
    </w:p>
    <w:p w:rsidR="000D4111" w:rsidRDefault="000D4111" w:rsidP="000D4111">
      <w:pPr>
        <w:pStyle w:val="Heading2"/>
        <w:rPr>
          <w:snapToGrid w:val="0"/>
        </w:rPr>
      </w:pPr>
      <w:bookmarkStart w:id="12" w:name="_Toc431478162"/>
      <w:bookmarkStart w:id="13" w:name="_Toc432140513"/>
      <w:r>
        <w:t>Aktuelle Berichte</w:t>
      </w:r>
      <w:bookmarkEnd w:id="12"/>
      <w:bookmarkEnd w:id="13"/>
    </w:p>
    <w:p w:rsidR="000D4111" w:rsidRDefault="000D4111" w:rsidP="00C645FA">
      <w:pPr>
        <w:keepNext/>
      </w:pPr>
    </w:p>
    <w:p w:rsidR="00B547D4" w:rsidRDefault="00285C4C" w:rsidP="00285C4C">
      <w:pPr>
        <w:rPr>
          <w:rFonts w:cs="Arial"/>
        </w:rPr>
      </w:pPr>
      <w:r w:rsidRPr="00FB2998">
        <w:rPr>
          <w:rFonts w:cs="Arial"/>
        </w:rPr>
        <w:fldChar w:fldCharType="begin"/>
      </w:r>
      <w:r w:rsidRPr="00FB2998">
        <w:rPr>
          <w:rFonts w:cs="Arial"/>
        </w:rPr>
        <w:instrText xml:space="preserve"> AUTONUM  </w:instrText>
      </w:r>
      <w:r w:rsidRPr="00FB2998">
        <w:rPr>
          <w:rFonts w:cs="Arial"/>
        </w:rPr>
        <w:fldChar w:fldCharType="end"/>
      </w:r>
      <w:r>
        <w:tab/>
        <w:t xml:space="preserve">Auf seiner </w:t>
      </w:r>
      <w:r w:rsidR="00F225B8">
        <w:t>einundsiebzigsten Tagung</w:t>
      </w:r>
      <w:r>
        <w:rPr>
          <w:rStyle w:val="FootnoteReference"/>
        </w:rPr>
        <w:footnoteReference w:id="2"/>
      </w:r>
      <w:r>
        <w:t xml:space="preserve"> </w:t>
      </w:r>
      <w:r w:rsidR="00F225B8">
        <w:t xml:space="preserve">nahm </w:t>
      </w:r>
      <w:r>
        <w:t>der CAJ zur Kenntnis:</w:t>
      </w:r>
    </w:p>
    <w:p w:rsidR="00B547D4" w:rsidRDefault="00B547D4" w:rsidP="00285C4C">
      <w:pPr>
        <w:rPr>
          <w:rFonts w:cs="Arial"/>
        </w:rPr>
      </w:pPr>
    </w:p>
    <w:p w:rsidR="00D10A3C" w:rsidRPr="00D10A3C" w:rsidRDefault="00D10A3C" w:rsidP="00D10A3C">
      <w:pPr>
        <w:pStyle w:val="ListParagraph"/>
        <w:numPr>
          <w:ilvl w:val="0"/>
          <w:numId w:val="12"/>
        </w:numPr>
        <w:rPr>
          <w:rFonts w:cs="Arial"/>
        </w:rPr>
      </w:pPr>
      <w:r>
        <w:t>die Information über die Zuordnung eines/von Pflanzentyps/Pflanzentypen für UPOV-Codes, die derzeit in der PLUTO-Datenbank verwendet werden, wie in Dokument CAJ/71/5, Absätze 10 und 11 dargelegt;</w:t>
      </w:r>
      <w:r>
        <w:rPr>
          <w:rStyle w:val="FootnoteReference"/>
        </w:rPr>
        <w:footnoteReference w:id="3"/>
      </w:r>
    </w:p>
    <w:p w:rsidR="00D10A3C" w:rsidRPr="00D10A3C" w:rsidRDefault="00D10A3C" w:rsidP="00D10A3C">
      <w:pPr>
        <w:rPr>
          <w:rFonts w:cs="Arial"/>
        </w:rPr>
      </w:pPr>
    </w:p>
    <w:p w:rsidR="00D10A3C" w:rsidRPr="00D10A3C" w:rsidRDefault="00D10A3C" w:rsidP="00D10A3C">
      <w:pPr>
        <w:pStyle w:val="ListParagraph"/>
        <w:numPr>
          <w:ilvl w:val="0"/>
          <w:numId w:val="12"/>
        </w:numPr>
        <w:rPr>
          <w:rFonts w:cs="Arial"/>
        </w:rPr>
      </w:pPr>
      <w:r>
        <w:t>daß die Information über den/die Pflanzentyp/en in die GENIE-Datenbank aufgenommen werden würde und die GENIE-Datenbank geändert werden würde, damit der/die Pflanzentyp/en für jeden UPOV-Code bis Ende März 2015 angezeigt wird/werden;</w:t>
      </w:r>
      <w:r>
        <w:rPr>
          <w:rStyle w:val="FootnoteReference"/>
        </w:rPr>
        <w:footnoteReference w:id="4"/>
      </w:r>
    </w:p>
    <w:p w:rsidR="00D10A3C" w:rsidRPr="00D10A3C" w:rsidRDefault="00D10A3C" w:rsidP="00D10A3C">
      <w:pPr>
        <w:rPr>
          <w:rFonts w:cs="Arial"/>
        </w:rPr>
      </w:pPr>
    </w:p>
    <w:p w:rsidR="00D10A3C" w:rsidRDefault="00D10A3C" w:rsidP="00D10A3C">
      <w:pPr>
        <w:pStyle w:val="ListParagraph"/>
        <w:numPr>
          <w:ilvl w:val="0"/>
          <w:numId w:val="12"/>
        </w:numPr>
        <w:rPr>
          <w:rFonts w:cs="Arial"/>
        </w:rPr>
      </w:pPr>
      <w:r>
        <w:t>daß bis Ende März 2015 ein Standardbericht für TWP-Zuweisungen für UPOV-Codes in die GENIE-Website aufgenommen werden würde;</w:t>
      </w:r>
      <w:r>
        <w:rPr>
          <w:rStyle w:val="FootnoteReference"/>
        </w:rPr>
        <w:footnoteReference w:id="5"/>
      </w:r>
    </w:p>
    <w:p w:rsidR="00D10A3C" w:rsidRDefault="00D10A3C" w:rsidP="00D10A3C">
      <w:pPr>
        <w:rPr>
          <w:rFonts w:cs="Arial"/>
        </w:rPr>
      </w:pPr>
    </w:p>
    <w:p w:rsidR="00D10A3C" w:rsidRPr="00D10A3C" w:rsidRDefault="00D10A3C" w:rsidP="00D10A3C">
      <w:pPr>
        <w:pStyle w:val="ListParagraph"/>
        <w:numPr>
          <w:ilvl w:val="0"/>
          <w:numId w:val="12"/>
        </w:numPr>
        <w:rPr>
          <w:rFonts w:cs="Arial"/>
        </w:rPr>
      </w:pPr>
      <w:r>
        <w:t>daß die Zuordnung eines/von Pflanzentyps/Pflanzentypen für weitere UPOV-Codes erfolgen würde, wenn UPOV-Codes erstmalig in der PLUTO-Datenbank verwendet werden würden;</w:t>
      </w:r>
      <w:r>
        <w:rPr>
          <w:rStyle w:val="FootnoteReference"/>
        </w:rPr>
        <w:footnoteReference w:id="6"/>
      </w:r>
      <w:r>
        <w:tab/>
        <w:t>und</w:t>
      </w:r>
    </w:p>
    <w:p w:rsidR="00D10A3C" w:rsidRPr="00D10A3C" w:rsidRDefault="00D10A3C" w:rsidP="00D10A3C">
      <w:pPr>
        <w:rPr>
          <w:rFonts w:cs="Arial"/>
        </w:rPr>
      </w:pPr>
    </w:p>
    <w:p w:rsidR="00B547D4" w:rsidRPr="00D10A3C" w:rsidRDefault="00D10A3C" w:rsidP="00D10A3C">
      <w:pPr>
        <w:pStyle w:val="ListParagraph"/>
        <w:numPr>
          <w:ilvl w:val="0"/>
          <w:numId w:val="12"/>
        </w:numPr>
        <w:rPr>
          <w:rFonts w:cs="Arial"/>
        </w:rPr>
      </w:pPr>
      <w:r>
        <w:t>daß das Verbandsbüro Tabellen für die Zuordnung eines Pflanzentyps/von Pflanzentypen für UPOV-Codes, die erstmals in der PLUTO-Datenbank verwendet werden, die von den zuständigen Behörden zu überprüfen sind, für jede der TWP-Tagungen im Jahr 2015 erstellen würde.</w:t>
      </w:r>
      <w:r>
        <w:rPr>
          <w:rStyle w:val="FootnoteReference"/>
        </w:rPr>
        <w:footnoteReference w:id="7"/>
      </w:r>
    </w:p>
    <w:p w:rsidR="00937773" w:rsidRDefault="00937773" w:rsidP="007E1CB5">
      <w:pPr>
        <w:rPr>
          <w:rFonts w:eastAsia="SimSun"/>
          <w:snapToGrid w:val="0"/>
        </w:rPr>
      </w:pPr>
    </w:p>
    <w:p w:rsidR="007E1CB5" w:rsidRPr="007C0D12" w:rsidRDefault="007E1CB5" w:rsidP="007E1CB5">
      <w:pPr>
        <w:rPr>
          <w:snapToGrid w:val="0"/>
        </w:rPr>
      </w:pPr>
      <w:r w:rsidRPr="007C0D12">
        <w:rPr>
          <w:rFonts w:eastAsia="SimSun"/>
          <w:snapToGrid w:val="0"/>
        </w:rPr>
        <w:fldChar w:fldCharType="begin"/>
      </w:r>
      <w:r w:rsidRPr="007C0D12">
        <w:rPr>
          <w:rFonts w:eastAsia="SimSun"/>
          <w:snapToGrid w:val="0"/>
        </w:rPr>
        <w:instrText xml:space="preserve"> AUTONUM  </w:instrText>
      </w:r>
      <w:r w:rsidRPr="007C0D12">
        <w:rPr>
          <w:rFonts w:eastAsia="SimSun"/>
          <w:snapToGrid w:val="0"/>
        </w:rPr>
        <w:fldChar w:fldCharType="end"/>
      </w:r>
      <w:r>
        <w:tab/>
        <w:t>Die Informationen über den Pflanzentyp wurden in die GENIE-Datenbank, die so geändert wurde, daß sie den/die Pflanzentyp(en) für jeden UPOV-Code anzeigt, aufgenommen.</w:t>
      </w:r>
      <w:r>
        <w:rPr>
          <w:rStyle w:val="FootnoteReference"/>
        </w:rPr>
        <w:footnoteReference w:id="8"/>
      </w:r>
      <w:r>
        <w:t xml:space="preserve"> Zudem wurde auch ein Standardbericht für TWP-Zuweisungen für UPOV-Codes in die GENIE-Website aufgenommen.</w:t>
      </w:r>
      <w:r>
        <w:rPr>
          <w:rStyle w:val="FootnoteReference"/>
          <w:snapToGrid w:val="0"/>
        </w:rPr>
        <w:footnoteReference w:id="9"/>
      </w:r>
    </w:p>
    <w:p w:rsidR="007E1CB5" w:rsidRPr="007C0D12" w:rsidRDefault="007E1CB5" w:rsidP="007E1CB5">
      <w:pPr>
        <w:rPr>
          <w:snapToGrid w:val="0"/>
        </w:rPr>
      </w:pPr>
    </w:p>
    <w:p w:rsidR="002145E7" w:rsidRDefault="002145E7" w:rsidP="002145E7">
      <w:r w:rsidRPr="007C0D12">
        <w:rPr>
          <w:snapToGrid w:val="0"/>
        </w:rPr>
        <w:fldChar w:fldCharType="begin"/>
      </w:r>
      <w:r w:rsidRPr="007C0D12">
        <w:rPr>
          <w:snapToGrid w:val="0"/>
        </w:rPr>
        <w:instrText xml:space="preserve"> AUTONUM  </w:instrText>
      </w:r>
      <w:r w:rsidRPr="007C0D12">
        <w:rPr>
          <w:snapToGrid w:val="0"/>
        </w:rPr>
        <w:fldChar w:fldCharType="end"/>
      </w:r>
      <w:r>
        <w:tab/>
        <w:t>(Ein) Pflanzentyp/en wurde/n nur den derzeit in der PLUTO-Datenbank verwendeten 3.412 UPOV-Codes zugeordnet.</w:t>
      </w:r>
      <w:r>
        <w:rPr>
          <w:rStyle w:val="FootnoteReference"/>
          <w:snapToGrid w:val="0"/>
        </w:rPr>
        <w:footnoteReference w:id="10"/>
      </w:r>
      <w:r>
        <w:t xml:space="preserve">  Eine Zuordnung des Pflanzentyps (der Pflanzentypen) für weitere UPOV-Codes wird zu dem Zeitpunkt erfolgen, zu dem die UPOV-Codes erstmals in der PLUTO-Datenbank verwendet werden.  Für jede der TWP-Tagungen im Jahr 2015 erstellt das Verbandsbüro Tabellen mit der Zuordnung eines/von Pflanzentyps/Pflanzentypen für UPOV-Codes, die erstmals in der PLUTO-Datenbank verwendet werden, die von den zuständigen Behörden zu überprüfen sind.</w:t>
      </w:r>
      <w:r>
        <w:rPr>
          <w:rStyle w:val="FootnoteReference"/>
        </w:rPr>
        <w:footnoteReference w:id="11"/>
      </w:r>
    </w:p>
    <w:p w:rsidR="002145E7" w:rsidRPr="007528A3" w:rsidRDefault="002145E7" w:rsidP="002145E7">
      <w:pPr>
        <w:rPr>
          <w:rFonts w:cs="Arial"/>
        </w:rPr>
      </w:pPr>
    </w:p>
    <w:p w:rsidR="007E1CB5" w:rsidRDefault="007E1CB5" w:rsidP="00B3750B"/>
    <w:p w:rsidR="00DA327B" w:rsidRPr="001E700D" w:rsidRDefault="00DA327B" w:rsidP="00DA327B">
      <w:pPr>
        <w:pStyle w:val="Heading1"/>
      </w:pPr>
      <w:bookmarkStart w:id="14" w:name="_Toc431478163"/>
      <w:bookmarkStart w:id="15" w:name="_Toc432140514"/>
      <w:r>
        <w:t>PLUTO-DATENBANK</w:t>
      </w:r>
      <w:bookmarkEnd w:id="14"/>
      <w:bookmarkEnd w:id="15"/>
    </w:p>
    <w:p w:rsidR="00DA327B" w:rsidRDefault="00DA327B" w:rsidP="0032753C">
      <w:pPr>
        <w:rPr>
          <w:snapToGrid w:val="0"/>
        </w:rPr>
      </w:pPr>
    </w:p>
    <w:p w:rsidR="00454FEA" w:rsidRDefault="00454FEA" w:rsidP="00454FEA">
      <w:pPr>
        <w:pStyle w:val="Heading2"/>
        <w:rPr>
          <w:snapToGrid w:val="0"/>
        </w:rPr>
      </w:pPr>
      <w:bookmarkStart w:id="16" w:name="_Toc431478164"/>
      <w:bookmarkStart w:id="17" w:name="_Toc432140515"/>
      <w:r>
        <w:t>Aktuelle Berichte</w:t>
      </w:r>
      <w:bookmarkEnd w:id="16"/>
      <w:bookmarkEnd w:id="17"/>
      <w:r>
        <w:t xml:space="preserve"> </w:t>
      </w:r>
    </w:p>
    <w:p w:rsidR="00454FEA" w:rsidRDefault="00454FEA" w:rsidP="0032753C">
      <w:pPr>
        <w:rPr>
          <w:snapToGrid w:val="0"/>
        </w:rPr>
      </w:pPr>
    </w:p>
    <w:p w:rsidR="00937773" w:rsidRDefault="00937773" w:rsidP="00937773">
      <w:pPr>
        <w:rPr>
          <w:rFonts w:cs="Arial"/>
        </w:rPr>
      </w:pPr>
      <w:r w:rsidRPr="00FB2998">
        <w:rPr>
          <w:rFonts w:cs="Arial"/>
        </w:rPr>
        <w:fldChar w:fldCharType="begin"/>
      </w:r>
      <w:r w:rsidRPr="00FB2998">
        <w:rPr>
          <w:rFonts w:cs="Arial"/>
        </w:rPr>
        <w:instrText xml:space="preserve"> AUTONUM  </w:instrText>
      </w:r>
      <w:r w:rsidRPr="00FB2998">
        <w:rPr>
          <w:rFonts w:cs="Arial"/>
        </w:rPr>
        <w:fldChar w:fldCharType="end"/>
      </w:r>
      <w:r>
        <w:tab/>
        <w:t>Auf seiner einundsiebzigsten Tagung behandelte der CAJ folgende Punkte:</w:t>
      </w:r>
    </w:p>
    <w:p w:rsidR="00937773" w:rsidRDefault="00937773" w:rsidP="0032753C">
      <w:pPr>
        <w:rPr>
          <w:snapToGrid w:val="0"/>
        </w:rPr>
      </w:pPr>
    </w:p>
    <w:p w:rsidR="00937773" w:rsidRPr="00937773" w:rsidRDefault="00937773" w:rsidP="00937773">
      <w:pPr>
        <w:pStyle w:val="ListParagraph"/>
        <w:numPr>
          <w:ilvl w:val="0"/>
          <w:numId w:val="13"/>
        </w:numPr>
        <w:rPr>
          <w:snapToGrid w:val="0"/>
        </w:rPr>
      </w:pPr>
      <w:r>
        <w:t>Er nahm zur Kenntnis, daß bis Ende März 2015 eine zusätzliche Spalte im PLUTO-Suchfeld, welche das Datum enthält, an dem die Information eingereicht wurde, aufgenommen werden würde;</w:t>
      </w:r>
      <w:r>
        <w:rPr>
          <w:rStyle w:val="FootnoteReference"/>
          <w:snapToGrid w:val="0"/>
        </w:rPr>
        <w:footnoteReference w:id="12"/>
      </w:r>
      <w:r>
        <w:tab/>
        <w:t>und</w:t>
      </w:r>
    </w:p>
    <w:p w:rsidR="00937773" w:rsidRPr="00937773" w:rsidRDefault="00937773" w:rsidP="00937773">
      <w:pPr>
        <w:rPr>
          <w:snapToGrid w:val="0"/>
        </w:rPr>
      </w:pPr>
    </w:p>
    <w:p w:rsidR="00937773" w:rsidRPr="00937773" w:rsidRDefault="00F225B8" w:rsidP="00937773">
      <w:pPr>
        <w:pStyle w:val="ListParagraph"/>
        <w:numPr>
          <w:ilvl w:val="0"/>
          <w:numId w:val="13"/>
        </w:numPr>
        <w:rPr>
          <w:snapToGrid w:val="0"/>
        </w:rPr>
      </w:pPr>
      <w:r>
        <w:t>e</w:t>
      </w:r>
      <w:r w:rsidR="00937773">
        <w:t>r vereinbarte, daß beide Datenfelder „Bezeichnung“ und „Anmeldebezeichnung“ anhand von Bezeichnungssuchinstrumenten auf der Seite „Bezeichnungssuche“ der PLUTO-Datenbank entweder unabhängig voneinander oder in Kombination durchsucht werden können, wie in Dokument CAJ/71/5, Absätze 25 und 26, dargelegt.</w:t>
      </w:r>
      <w:r w:rsidR="00937773">
        <w:rPr>
          <w:rStyle w:val="FootnoteReference"/>
          <w:snapToGrid w:val="0"/>
        </w:rPr>
        <w:footnoteReference w:id="13"/>
      </w:r>
    </w:p>
    <w:p w:rsidR="00937773" w:rsidRDefault="00937773" w:rsidP="0032753C">
      <w:pPr>
        <w:rPr>
          <w:snapToGrid w:val="0"/>
        </w:rPr>
      </w:pPr>
    </w:p>
    <w:p w:rsidR="0032753C" w:rsidRPr="007C0D12" w:rsidRDefault="0032753C" w:rsidP="0032753C">
      <w:pPr>
        <w:rPr>
          <w:rFonts w:eastAsia="SimSun"/>
          <w:snapToGrid w:val="0"/>
        </w:rPr>
      </w:pPr>
      <w:r w:rsidRPr="007C0D12">
        <w:rPr>
          <w:rFonts w:eastAsia="SimSun"/>
          <w:snapToGrid w:val="0"/>
        </w:rPr>
        <w:fldChar w:fldCharType="begin"/>
      </w:r>
      <w:r w:rsidRPr="007C0D12">
        <w:rPr>
          <w:rFonts w:eastAsia="SimSun"/>
          <w:snapToGrid w:val="0"/>
        </w:rPr>
        <w:instrText xml:space="preserve"> AUTONUM  </w:instrText>
      </w:r>
      <w:r w:rsidRPr="007C0D12">
        <w:rPr>
          <w:rFonts w:eastAsia="SimSun"/>
          <w:snapToGrid w:val="0"/>
        </w:rPr>
        <w:fldChar w:fldCharType="end"/>
      </w:r>
      <w:r>
        <w:tab/>
        <w:t>Eine zusätzliche Spalte im PLUTO-Suchfeld, welche das Datum enthält, an dem die Information eingereicht wurde, wurde aufgenommen.</w:t>
      </w:r>
    </w:p>
    <w:p w:rsidR="0032753C" w:rsidRPr="007C0D12" w:rsidRDefault="0032753C" w:rsidP="0032753C">
      <w:pPr>
        <w:rPr>
          <w:rFonts w:eastAsia="SimSun"/>
          <w:snapToGrid w:val="0"/>
        </w:rPr>
      </w:pPr>
    </w:p>
    <w:p w:rsidR="000B178E" w:rsidRDefault="0032753C" w:rsidP="007C0D12">
      <w:pPr>
        <w:rPr>
          <w:rFonts w:eastAsia="SimSun"/>
          <w:snapToGrid w:val="0"/>
        </w:rPr>
      </w:pPr>
      <w:r w:rsidRPr="007C0D12">
        <w:rPr>
          <w:rFonts w:eastAsia="SimSun"/>
          <w:snapToGrid w:val="0"/>
        </w:rPr>
        <w:fldChar w:fldCharType="begin"/>
      </w:r>
      <w:r w:rsidRPr="007C0D12">
        <w:rPr>
          <w:rFonts w:eastAsia="SimSun"/>
          <w:snapToGrid w:val="0"/>
        </w:rPr>
        <w:instrText xml:space="preserve"> AUTONUM  </w:instrText>
      </w:r>
      <w:r w:rsidRPr="007C0D12">
        <w:rPr>
          <w:rFonts w:eastAsia="SimSun"/>
          <w:snapToGrid w:val="0"/>
        </w:rPr>
        <w:fldChar w:fldCharType="end"/>
      </w:r>
      <w:r>
        <w:tab/>
        <w:t xml:space="preserve">Eine neue Funktion wurde eingeführt, um beide Datenfelder „Bezeichnung“ und „Anmeldebezeichnung“ anhand </w:t>
      </w:r>
      <w:r w:rsidR="009A727E">
        <w:t>der Bezeichnungssuchinstrumente</w:t>
      </w:r>
      <w:r>
        <w:t xml:space="preserve"> auf der Seite „Bezeichnungssuche“ der PLUTO-Datenbank entweder unabhängig voneinander oder in Kombination durchsuchen zu können.</w:t>
      </w:r>
    </w:p>
    <w:p w:rsidR="007C0D12" w:rsidRDefault="007C0D12" w:rsidP="007C0D12">
      <w:pPr>
        <w:rPr>
          <w:u w:val="single"/>
        </w:rPr>
      </w:pPr>
    </w:p>
    <w:p w:rsidR="00F66E48" w:rsidRDefault="00F66E48" w:rsidP="007C0D12">
      <w:pPr>
        <w:rPr>
          <w:u w:val="single"/>
        </w:rPr>
      </w:pPr>
    </w:p>
    <w:p w:rsidR="00923D12" w:rsidRDefault="00923D12" w:rsidP="00923D12">
      <w:pPr>
        <w:pStyle w:val="Heading2"/>
      </w:pPr>
      <w:bookmarkStart w:id="18" w:name="_Toc431478165"/>
      <w:bookmarkStart w:id="19" w:name="_Toc432140516"/>
      <w:r>
        <w:t>Lehrgang für Beiträge zur PLUTO-Datenbank</w:t>
      </w:r>
      <w:bookmarkEnd w:id="18"/>
      <w:bookmarkEnd w:id="19"/>
    </w:p>
    <w:p w:rsidR="00923D12" w:rsidRDefault="00923D12" w:rsidP="0032753C">
      <w:pPr>
        <w:rPr>
          <w:snapToGrid w:val="0"/>
        </w:rPr>
      </w:pPr>
    </w:p>
    <w:p w:rsidR="00923D12" w:rsidRDefault="00923D12" w:rsidP="006A1DC4">
      <w:pPr>
        <w:rPr>
          <w:rFonts w:cs="Arial"/>
          <w:sz w:val="19"/>
          <w:szCs w:val="19"/>
        </w:rPr>
      </w:pPr>
      <w:r w:rsidRPr="007528A3">
        <w:rPr>
          <w:rFonts w:eastAsia="SimSun"/>
          <w:snapToGrid w:val="0"/>
        </w:rPr>
        <w:fldChar w:fldCharType="begin"/>
      </w:r>
      <w:r w:rsidRPr="007528A3">
        <w:rPr>
          <w:rFonts w:eastAsia="SimSun"/>
          <w:snapToGrid w:val="0"/>
        </w:rPr>
        <w:instrText xml:space="preserve"> AUTONUM  </w:instrText>
      </w:r>
      <w:r w:rsidRPr="007528A3">
        <w:rPr>
          <w:rFonts w:eastAsia="SimSun"/>
          <w:snapToGrid w:val="0"/>
        </w:rPr>
        <w:fldChar w:fldCharType="end"/>
      </w:r>
      <w:r>
        <w:tab/>
        <w:t>Der zweite Lehrgang über „Einreichung von Daten für die PLUTO-Datenbank“ wurde vom 7. bis 9. September i</w:t>
      </w:r>
      <w:r w:rsidR="009A727E">
        <w:t>n Genf auf Englisch abgehalten.</w:t>
      </w:r>
      <w:r>
        <w:t xml:space="preserve"> </w:t>
      </w:r>
      <w:r>
        <w:rPr>
          <w:sz w:val="19"/>
        </w:rPr>
        <w:t xml:space="preserve">Ziel des Lehrgangs war es, die Verbandsmitglieder, die keine Daten für die PLUTO-Datenbank einreichten oder nicht regelmäßig Daten einreichten, zu unterstützen, um sie in die Lage zu versetzen, regelmäßig Daten für die PLUTO-Datenbank einzureichen. </w:t>
      </w:r>
    </w:p>
    <w:p w:rsidR="00923D12" w:rsidRDefault="00923D12" w:rsidP="00923D12">
      <w:pPr>
        <w:rPr>
          <w:snapToGrid w:val="0"/>
        </w:rPr>
      </w:pPr>
    </w:p>
    <w:p w:rsidR="00923D12" w:rsidRDefault="00923D12" w:rsidP="00923D12">
      <w:pPr>
        <w:rPr>
          <w:rFonts w:cs="Arial"/>
          <w:sz w:val="19"/>
          <w:szCs w:val="19"/>
        </w:rPr>
      </w:pPr>
      <w:r w:rsidRPr="007528A3">
        <w:rPr>
          <w:rFonts w:eastAsia="SimSun"/>
          <w:snapToGrid w:val="0"/>
        </w:rPr>
        <w:fldChar w:fldCharType="begin"/>
      </w:r>
      <w:r w:rsidRPr="007528A3">
        <w:rPr>
          <w:rFonts w:eastAsia="SimSun"/>
          <w:snapToGrid w:val="0"/>
        </w:rPr>
        <w:instrText xml:space="preserve"> AUTONUM  </w:instrText>
      </w:r>
      <w:r w:rsidRPr="007528A3">
        <w:rPr>
          <w:rFonts w:eastAsia="SimSun"/>
          <w:snapToGrid w:val="0"/>
        </w:rPr>
        <w:fldChar w:fldCharType="end"/>
      </w:r>
      <w:r>
        <w:tab/>
      </w:r>
      <w:r>
        <w:rPr>
          <w:sz w:val="19"/>
        </w:rPr>
        <w:t>An dem Lehrgang nahmen folgende Teilnehmer aus drei</w:t>
      </w:r>
      <w:r w:rsidR="00F225B8">
        <w:rPr>
          <w:sz w:val="19"/>
        </w:rPr>
        <w:t xml:space="preserve"> Verbandsmitgliedern teil: Oman, Südafrika</w:t>
      </w:r>
      <w:r>
        <w:rPr>
          <w:sz w:val="19"/>
        </w:rPr>
        <w:t xml:space="preserve"> und die Ehemalige Jugoslawische Republik Mazedonien.</w:t>
      </w:r>
    </w:p>
    <w:p w:rsidR="00923D12" w:rsidRDefault="00923D12" w:rsidP="00923D12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:rsidR="00923D12" w:rsidRPr="00923D12" w:rsidRDefault="00923D12" w:rsidP="000B178E">
      <w:pPr>
        <w:autoSpaceDE w:val="0"/>
        <w:autoSpaceDN w:val="0"/>
        <w:adjustRightInd w:val="0"/>
        <w:rPr>
          <w:snapToGrid w:val="0"/>
        </w:rPr>
      </w:pPr>
      <w:r w:rsidRPr="007528A3">
        <w:rPr>
          <w:rFonts w:eastAsia="SimSun"/>
          <w:snapToGrid w:val="0"/>
        </w:rPr>
        <w:fldChar w:fldCharType="begin"/>
      </w:r>
      <w:r w:rsidRPr="007528A3">
        <w:rPr>
          <w:rFonts w:eastAsia="SimSun"/>
          <w:snapToGrid w:val="0"/>
        </w:rPr>
        <w:instrText xml:space="preserve"> AUTONUM  </w:instrText>
      </w:r>
      <w:r w:rsidRPr="007528A3">
        <w:rPr>
          <w:rFonts w:eastAsia="SimSun"/>
          <w:snapToGrid w:val="0"/>
        </w:rPr>
        <w:fldChar w:fldCharType="end"/>
      </w:r>
      <w:r>
        <w:tab/>
        <w:t xml:space="preserve">Der Teilnehmer aus Südafrika berichtete, daß er </w:t>
      </w:r>
      <w:r>
        <w:rPr>
          <w:sz w:val="19"/>
        </w:rPr>
        <w:t>ab Dezember 2015, nach der Veröffentlichung, viermal pro Jahr Daten für PLUTO einreichen werde.</w:t>
      </w:r>
    </w:p>
    <w:p w:rsidR="00923D12" w:rsidRPr="00923D12" w:rsidRDefault="00923D12" w:rsidP="00923D12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:rsidR="00923D12" w:rsidRDefault="000B178E" w:rsidP="000B178E">
      <w:pPr>
        <w:autoSpaceDE w:val="0"/>
        <w:autoSpaceDN w:val="0"/>
        <w:adjustRightInd w:val="0"/>
        <w:rPr>
          <w:rFonts w:cs="Arial"/>
          <w:sz w:val="19"/>
          <w:szCs w:val="19"/>
        </w:rPr>
      </w:pPr>
      <w:r w:rsidRPr="007528A3">
        <w:rPr>
          <w:rFonts w:eastAsia="SimSun"/>
          <w:snapToGrid w:val="0"/>
        </w:rPr>
        <w:fldChar w:fldCharType="begin"/>
      </w:r>
      <w:r w:rsidRPr="007528A3">
        <w:rPr>
          <w:rFonts w:eastAsia="SimSun"/>
          <w:snapToGrid w:val="0"/>
        </w:rPr>
        <w:instrText xml:space="preserve"> AUTONUM  </w:instrText>
      </w:r>
      <w:r w:rsidRPr="007528A3">
        <w:rPr>
          <w:rFonts w:eastAsia="SimSun"/>
          <w:snapToGrid w:val="0"/>
        </w:rPr>
        <w:fldChar w:fldCharType="end"/>
      </w:r>
      <w:r>
        <w:tab/>
        <w:t xml:space="preserve">Die Teilnehmer aus dem Oman und </w:t>
      </w:r>
      <w:r>
        <w:rPr>
          <w:rFonts w:hint="eastAsia"/>
          <w:sz w:val="19"/>
        </w:rPr>
        <w:t>der Ehemaligen Jugoslawischen Republik Mazedonien berichteten, daß sie keine Anträge erhalten hätten und äußerten ihre Absicht,</w:t>
      </w:r>
      <w:r w:rsidR="00F225B8">
        <w:rPr>
          <w:sz w:val="19"/>
        </w:rPr>
        <w:t xml:space="preserve"> </w:t>
      </w:r>
      <w:r>
        <w:rPr>
          <w:sz w:val="19"/>
        </w:rPr>
        <w:t xml:space="preserve">Daten für PLUTO einzureichen, sobald </w:t>
      </w:r>
      <w:r w:rsidR="006770AD">
        <w:rPr>
          <w:sz w:val="19"/>
        </w:rPr>
        <w:t>sie Anträge erhielt</w:t>
      </w:r>
      <w:r>
        <w:rPr>
          <w:sz w:val="19"/>
        </w:rPr>
        <w:t>en.</w:t>
      </w:r>
    </w:p>
    <w:p w:rsidR="000B178E" w:rsidRDefault="000B178E" w:rsidP="00923D12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:rsidR="00DA327B" w:rsidRDefault="0032753C" w:rsidP="0032753C">
      <w:pPr>
        <w:rPr>
          <w:snapToGrid w:val="0"/>
        </w:rPr>
      </w:pPr>
      <w:r w:rsidRPr="007528A3">
        <w:rPr>
          <w:rFonts w:eastAsia="SimSun"/>
          <w:snapToGrid w:val="0"/>
        </w:rPr>
        <w:fldChar w:fldCharType="begin"/>
      </w:r>
      <w:r w:rsidRPr="007528A3">
        <w:rPr>
          <w:rFonts w:eastAsia="SimSun"/>
          <w:snapToGrid w:val="0"/>
        </w:rPr>
        <w:instrText xml:space="preserve"> AUTONUM  </w:instrText>
      </w:r>
      <w:r w:rsidRPr="007528A3">
        <w:rPr>
          <w:rFonts w:eastAsia="SimSun"/>
          <w:snapToGrid w:val="0"/>
        </w:rPr>
        <w:fldChar w:fldCharType="end"/>
      </w:r>
      <w:r>
        <w:tab/>
        <w:t>Der dritte Lehrgang über „Einreichung von Daten für die PLUTO-Datenbank“ soll vom 12. bis 14. Oktober in Genf auf Spanisch durchgeführt werden.</w:t>
      </w:r>
    </w:p>
    <w:p w:rsidR="00DA327B" w:rsidRDefault="00DA327B" w:rsidP="0032753C">
      <w:pPr>
        <w:rPr>
          <w:snapToGrid w:val="0"/>
        </w:rPr>
      </w:pPr>
    </w:p>
    <w:p w:rsidR="00F66E48" w:rsidRDefault="00F66E48" w:rsidP="0032753C">
      <w:pPr>
        <w:rPr>
          <w:snapToGrid w:val="0"/>
        </w:rPr>
      </w:pPr>
    </w:p>
    <w:p w:rsidR="00454FEA" w:rsidRDefault="00454FEA" w:rsidP="00454FEA">
      <w:pPr>
        <w:pStyle w:val="Heading2"/>
        <w:rPr>
          <w:snapToGrid w:val="0"/>
        </w:rPr>
      </w:pPr>
      <w:bookmarkStart w:id="20" w:name="_Toc431478166"/>
      <w:bookmarkStart w:id="21" w:name="_Toc432140517"/>
      <w:r>
        <w:t>Vorschläge der WG-DST</w:t>
      </w:r>
      <w:bookmarkEnd w:id="20"/>
      <w:bookmarkEnd w:id="21"/>
    </w:p>
    <w:p w:rsidR="00D22E74" w:rsidRDefault="00D22E74" w:rsidP="00CB0459">
      <w:pPr>
        <w:keepNext/>
      </w:pPr>
    </w:p>
    <w:p w:rsidR="00D22E74" w:rsidRDefault="00D22E74" w:rsidP="00D22E74">
      <w:r w:rsidRPr="007528A3">
        <w:rPr>
          <w:rFonts w:eastAsia="SimSun"/>
          <w:snapToGrid w:val="0"/>
        </w:rPr>
        <w:fldChar w:fldCharType="begin"/>
      </w:r>
      <w:r w:rsidRPr="007528A3">
        <w:rPr>
          <w:rFonts w:eastAsia="SimSun"/>
          <w:snapToGrid w:val="0"/>
        </w:rPr>
        <w:instrText xml:space="preserve"> AUTONUM  </w:instrText>
      </w:r>
      <w:r w:rsidRPr="007528A3">
        <w:rPr>
          <w:rFonts w:eastAsia="SimSun"/>
          <w:snapToGrid w:val="0"/>
        </w:rPr>
        <w:fldChar w:fldCharType="end"/>
      </w:r>
      <w:r>
        <w:tab/>
        <w:t>Der Hintergrund zu dieser Angelegenheit ist in Dokument TC/71/3 „Sortenbezeichnungen“ dargelegt.</w:t>
      </w:r>
    </w:p>
    <w:p w:rsidR="00D22E74" w:rsidRDefault="00D22E74" w:rsidP="00F66E48">
      <w:pPr>
        <w:spacing w:line="360" w:lineRule="auto"/>
      </w:pPr>
    </w:p>
    <w:p w:rsidR="00014D5F" w:rsidRDefault="00014D5F" w:rsidP="00F66E48">
      <w:pPr>
        <w:pStyle w:val="Heading3"/>
      </w:pPr>
      <w:bookmarkStart w:id="22" w:name="_Toc431478167"/>
      <w:bookmarkStart w:id="23" w:name="_Toc432140518"/>
      <w:r>
        <w:lastRenderedPageBreak/>
        <w:t>Akzente und Sonderzeichen</w:t>
      </w:r>
      <w:bookmarkEnd w:id="22"/>
      <w:bookmarkEnd w:id="23"/>
    </w:p>
    <w:p w:rsidR="00014D5F" w:rsidRDefault="00014D5F" w:rsidP="00F66E48">
      <w:pPr>
        <w:keepNext/>
      </w:pPr>
    </w:p>
    <w:p w:rsidR="00014D5F" w:rsidRDefault="00D22E74" w:rsidP="001A7AB7">
      <w:pPr>
        <w:spacing w:after="240"/>
      </w:pPr>
      <w:r w:rsidRPr="007528A3">
        <w:rPr>
          <w:rFonts w:eastAsia="SimSun"/>
          <w:snapToGrid w:val="0"/>
        </w:rPr>
        <w:fldChar w:fldCharType="begin"/>
      </w:r>
      <w:r w:rsidRPr="007528A3">
        <w:rPr>
          <w:rFonts w:eastAsia="SimSun"/>
          <w:snapToGrid w:val="0"/>
        </w:rPr>
        <w:instrText xml:space="preserve"> AUTONUM  </w:instrText>
      </w:r>
      <w:r w:rsidRPr="007528A3">
        <w:rPr>
          <w:rFonts w:eastAsia="SimSun"/>
          <w:snapToGrid w:val="0"/>
        </w:rPr>
        <w:fldChar w:fldCharType="end"/>
      </w:r>
      <w:r>
        <w:tab/>
        <w:t>Die WG-DST prüfte auf</w:t>
      </w:r>
      <w:r w:rsidR="006770AD" w:rsidRPr="006770AD">
        <w:t xml:space="preserve"> </w:t>
      </w:r>
      <w:r w:rsidR="006770AD">
        <w:t>ihrer zweiten Tagung</w:t>
      </w:r>
      <w:r>
        <w:rPr>
          <w:rStyle w:val="FootnoteReference"/>
        </w:rPr>
        <w:footnoteReference w:id="14"/>
      </w:r>
      <w:r>
        <w:t xml:space="preserve"> Dokument UPOV/WG-DST/2/5 „</w:t>
      </w:r>
      <w:r w:rsidRPr="006770AD">
        <w:rPr>
          <w:i/>
        </w:rPr>
        <w:t>Linguistic issues</w:t>
      </w:r>
      <w:r>
        <w:t>”.</w:t>
      </w:r>
    </w:p>
    <w:p w:rsidR="00014D5F" w:rsidRPr="00C60AFC" w:rsidRDefault="00014D5F" w:rsidP="00014D5F">
      <w:pPr>
        <w:rPr>
          <w:rFonts w:cs="Arial"/>
          <w:spacing w:val="-2"/>
        </w:rPr>
      </w:pPr>
      <w:r w:rsidRPr="00C60AFC">
        <w:rPr>
          <w:spacing w:val="-2"/>
        </w:rPr>
        <w:fldChar w:fldCharType="begin"/>
      </w:r>
      <w:r w:rsidRPr="00C60AFC">
        <w:rPr>
          <w:spacing w:val="-2"/>
        </w:rPr>
        <w:instrText xml:space="preserve"> AUTONUM  </w:instrText>
      </w:r>
      <w:r w:rsidRPr="00C60AFC">
        <w:rPr>
          <w:spacing w:val="-2"/>
        </w:rPr>
        <w:fldChar w:fldCharType="end"/>
      </w:r>
      <w:r>
        <w:tab/>
        <w:t>Die WG-DST vereinbarte, daß es zweckmäßig wäre, die Möglichkeit dafür bereitzustellen, daß Akzente und Sonderzeichen in Bezeichnungen in der PLU</w:t>
      </w:r>
      <w:r w:rsidR="006770AD">
        <w:t>TO-Datenbank akzeptiert werden.</w:t>
      </w:r>
      <w:r>
        <w:t xml:space="preserve"> Sie nahm zur Kenntnis, daß die PLUTO-Datenbank derzeit zwar keine Akzente und Sonderzeichen enthält,</w:t>
      </w:r>
      <w:r>
        <w:rPr>
          <w:rStyle w:val="FootnoteReference"/>
          <w:spacing w:val="-2"/>
        </w:rPr>
        <w:footnoteReference w:id="15"/>
      </w:r>
      <w:r>
        <w:rPr>
          <w:rStyle w:val="FootnoteReference"/>
          <w:spacing w:val="-2"/>
        </w:rPr>
        <w:t xml:space="preserve"> </w:t>
      </w:r>
      <w:r>
        <w:rPr>
          <w:rStyle w:val="FootnoteReference"/>
          <w:spacing w:val="-2"/>
        </w:rPr>
        <w:footnoteReference w:id="16"/>
      </w:r>
      <w:r w:rsidR="00F225B8">
        <w:rPr>
          <w:rStyle w:val="FootnoteReference"/>
          <w:spacing w:val="-2"/>
        </w:rPr>
        <w:t xml:space="preserve"> </w:t>
      </w:r>
      <w:r>
        <w:t>aber daß die Aufnahme dieser Elemente möglich wäre.</w:t>
      </w:r>
      <w:r>
        <w:rPr>
          <w:rStyle w:val="FootnoteReference"/>
          <w:spacing w:val="-2"/>
        </w:rPr>
        <w:footnoteReference w:id="17"/>
      </w:r>
    </w:p>
    <w:p w:rsidR="00C273DF" w:rsidRDefault="00C273DF" w:rsidP="00014D5F">
      <w:pPr>
        <w:rPr>
          <w:rFonts w:cs="Arial"/>
        </w:rPr>
      </w:pPr>
    </w:p>
    <w:p w:rsidR="00014D5F" w:rsidRDefault="00014D5F" w:rsidP="00014D5F">
      <w:pPr>
        <w:rPr>
          <w:rFonts w:cs="Arial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>Bei der Unterbreitung</w:t>
      </w:r>
      <w:r w:rsidR="006770AD">
        <w:t xml:space="preserve"> des Vorschlags, zu ermöglichen</w:t>
      </w:r>
      <w:r>
        <w:t>, daß Akzente und Sonderzeichen in Bezeichnungen in der PLU</w:t>
      </w:r>
      <w:r w:rsidR="006770AD">
        <w:t xml:space="preserve">TO-Datenbank akzeptiert werden, </w:t>
      </w:r>
      <w:r>
        <w:t>merkte die WG-DST an, daß das Bezeichnungssuchinstrument der PLUTO-Datenbank in seiner derzeitigen Form ausschließlich den Zeichensatz ASCII [American Standard Code for Information Interchange] gemäß ISO-Norm 646 [International Standards Organization] verwenden würde.</w:t>
      </w:r>
      <w:r>
        <w:rPr>
          <w:rStyle w:val="FootnoteReference"/>
        </w:rPr>
        <w:footnoteReference w:id="18"/>
      </w:r>
    </w:p>
    <w:p w:rsidR="00D90030" w:rsidRDefault="00D90030" w:rsidP="00014D5F">
      <w:pPr>
        <w:rPr>
          <w:rFonts w:cs="Arial"/>
        </w:rPr>
      </w:pPr>
    </w:p>
    <w:p w:rsidR="00D90030" w:rsidRDefault="00D90030" w:rsidP="00014D5F">
      <w:pPr>
        <w:rPr>
          <w:rFonts w:cs="Arial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>Im Hinblick auf Akzente und Sonderzeichen ist die ISO/IEC [International Elect</w:t>
      </w:r>
      <w:r w:rsidR="006770AD">
        <w:t>rotechnical Commission] Norm</w:t>
      </w:r>
      <w:r>
        <w:t xml:space="preserve"> 8859-1: 1998 ein Zeichensatz, der den ASCII-Zeichensatz und eine große Vielfalt an Akzenten und Sonderzeichen für das lateinische Alphabet enthält.</w:t>
      </w:r>
    </w:p>
    <w:p w:rsidR="00441830" w:rsidRDefault="00441830" w:rsidP="00014D5F">
      <w:pPr>
        <w:rPr>
          <w:rFonts w:cs="Arial"/>
        </w:rPr>
      </w:pPr>
    </w:p>
    <w:p w:rsidR="00441830" w:rsidRDefault="00441830" w:rsidP="00014D5F">
      <w:pPr>
        <w:rPr>
          <w:rFonts w:cs="Arial"/>
        </w:rPr>
      </w:pPr>
      <w:r w:rsidRPr="008C12CB">
        <w:fldChar w:fldCharType="begin"/>
      </w:r>
      <w:r w:rsidRPr="008C12CB">
        <w:instrText xml:space="preserve"> AUTONUM  </w:instrText>
      </w:r>
      <w:r w:rsidRPr="008C12CB">
        <w:fldChar w:fldCharType="end"/>
      </w:r>
      <w:r>
        <w:tab/>
        <w:t>Auf dieser Grundlage könnte der CAJ in Erwägung ziehen, die Überarbeitung des „Programms für Verbesserungen der Datenbank für Pflanzensorten“, Abschnitt 3.1.3, wie folgt zu prüfen:</w:t>
      </w:r>
    </w:p>
    <w:p w:rsidR="00441830" w:rsidRDefault="00441830" w:rsidP="00014D5F">
      <w:pPr>
        <w:rPr>
          <w:rFonts w:cs="Arial"/>
        </w:rPr>
      </w:pPr>
    </w:p>
    <w:p w:rsidR="00441830" w:rsidRDefault="00CB0459" w:rsidP="00CB0459">
      <w:pPr>
        <w:tabs>
          <w:tab w:val="left" w:pos="1418"/>
        </w:tabs>
        <w:ind w:left="567" w:right="567"/>
        <w:rPr>
          <w:rFonts w:cs="Arial"/>
        </w:rPr>
      </w:pPr>
      <w:r>
        <w:t>„3.1.3</w:t>
      </w:r>
      <w:r>
        <w:tab/>
        <w:t xml:space="preserve">Vorbehaltlich von Abschnitt 3.1.4 gilt für den Zeichensatz die Darstellung in </w:t>
      </w:r>
      <w:r>
        <w:rPr>
          <w:strike/>
          <w:shd w:val="pct15" w:color="auto" w:fill="FFFFFF"/>
        </w:rPr>
        <w:t>ASCII [American Standard Code for Information Interchange] gemäß</w:t>
      </w:r>
      <w:r>
        <w:t xml:space="preserve"> ISO [International Standards Organization] / IEC [International Electrotechnical Commission]-Norm 8859</w:t>
      </w:r>
      <w:r>
        <w:noBreakHyphen/>
        <w:t>1: 1998</w:t>
      </w:r>
      <w:r>
        <w:rPr>
          <w:rStyle w:val="FootnoteReference"/>
        </w:rPr>
        <w:footnoteReference w:id="19"/>
      </w:r>
      <w:r>
        <w:rPr>
          <w:strike/>
          <w:shd w:val="pct15" w:color="auto" w:fill="FFFFFF"/>
        </w:rPr>
        <w:t xml:space="preserve">646 </w:t>
      </w:r>
      <w:r>
        <w:rPr>
          <w:strike/>
          <w:highlight w:val="lightGray"/>
          <w:shd w:val="pct15" w:color="auto" w:fill="FFFFFF"/>
        </w:rPr>
        <w:t>S</w:t>
      </w:r>
      <w:r>
        <w:rPr>
          <w:strike/>
          <w:shd w:val="pct15" w:color="auto" w:fill="FFFFFF"/>
        </w:rPr>
        <w:t xml:space="preserve">onderzeichen, Symbole oder Akzente (˜, ˆ, ¨, º, usw.) werden </w:t>
      </w:r>
      <w:r>
        <w:rPr>
          <w:strike/>
          <w:highlight w:val="lightGray"/>
          <w:shd w:val="pct15" w:color="auto" w:fill="FFFFFF"/>
        </w:rPr>
        <w:t>nicht</w:t>
      </w:r>
      <w:r>
        <w:rPr>
          <w:strike/>
          <w:shd w:val="pct15" w:color="auto" w:fill="FFFFFF"/>
        </w:rPr>
        <w:t xml:space="preserve"> akzeptiert.  </w:t>
      </w:r>
      <w:r>
        <w:rPr>
          <w:strike/>
          <w:highlight w:val="lightGray"/>
          <w:shd w:val="pct15" w:color="auto" w:fill="FFFFFF"/>
        </w:rPr>
        <w:t>Es dürfen nur Zeichen aus dem englischen Alphabet verwendet werden.</w:t>
      </w:r>
      <w:r>
        <w:rPr>
          <w:strike/>
          <w:shd w:val="pct15" w:color="auto" w:fill="FFFFFF"/>
        </w:rPr>
        <w:t>”</w:t>
      </w:r>
    </w:p>
    <w:p w:rsidR="00530455" w:rsidRDefault="00530455" w:rsidP="00F66E48">
      <w:pPr>
        <w:spacing w:line="360" w:lineRule="auto"/>
      </w:pPr>
    </w:p>
    <w:p w:rsidR="00014D5F" w:rsidRDefault="000010AE" w:rsidP="00F66E48">
      <w:pPr>
        <w:pStyle w:val="Heading3"/>
      </w:pPr>
      <w:bookmarkStart w:id="24" w:name="_Toc431478168"/>
      <w:bookmarkStart w:id="25" w:name="_Toc432140519"/>
      <w:r>
        <w:t>Inhalt der PLUTO-Datenbank</w:t>
      </w:r>
      <w:bookmarkEnd w:id="24"/>
      <w:bookmarkEnd w:id="25"/>
    </w:p>
    <w:p w:rsidR="00014D5F" w:rsidRDefault="00014D5F" w:rsidP="00F66E48"/>
    <w:p w:rsidR="00014D5F" w:rsidRDefault="00014D5F" w:rsidP="00014D5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>
        <w:tab/>
        <w:t>Die WG-DST prüfte auf ihrer zweiten Sitzung Dokument UPOV/WG-DST/2/2 „</w:t>
      </w:r>
      <w:r w:rsidRPr="006770AD">
        <w:rPr>
          <w:i/>
        </w:rPr>
        <w:t>Revision of UPOV/INF/12 ‘Explanatory notes on variety denominations under the UPOV Convention’</w:t>
      </w:r>
      <w:r>
        <w:t>”.</w:t>
      </w:r>
    </w:p>
    <w:p w:rsidR="00014D5F" w:rsidRDefault="00014D5F" w:rsidP="00014D5F">
      <w:pPr>
        <w:rPr>
          <w:rFonts w:cs="Arial"/>
        </w:rPr>
      </w:pPr>
    </w:p>
    <w:p w:rsidR="000010AE" w:rsidRPr="00C273DF" w:rsidRDefault="00014D5F" w:rsidP="00014D5F">
      <w:r w:rsidRPr="00C273DF">
        <w:lastRenderedPageBreak/>
        <w:fldChar w:fldCharType="begin"/>
      </w:r>
      <w:r w:rsidRPr="00C273DF">
        <w:instrText xml:space="preserve"> AUTONUM  </w:instrText>
      </w:r>
      <w:r w:rsidRPr="00C273DF">
        <w:fldChar w:fldCharType="end"/>
      </w:r>
      <w:r>
        <w:tab/>
        <w:t>Die WG-DST vereinbarte</w:t>
      </w:r>
      <w:r w:rsidR="006770AD">
        <w:t>,</w:t>
      </w:r>
      <w:r>
        <w:t xml:space="preserve"> zu e</w:t>
      </w:r>
      <w:r w:rsidR="00F225B8">
        <w:t>mpfehlen, daß die Vermeidung der</w:t>
      </w:r>
      <w:r>
        <w:t xml:space="preserve"> Wiederverwendung von Bezeichnungen</w:t>
      </w:r>
      <w:r w:rsidR="006770AD">
        <w:t xml:space="preserve"> in allen Fällen zu prüfen ist.</w:t>
      </w:r>
      <w:r>
        <w:t xml:space="preserve"> In dieser Hinsicht vereinbarte die WG</w:t>
      </w:r>
      <w:r>
        <w:noBreakHyphen/>
        <w:t>DST, den CAJ zu ersuchen, zu prüfen, ob der Inhalt der PLUTO-Datenbank zu erweitern ist, um alle anerkannten Sorten, einschließlich jener, die nicht eingetragen/geschützt wurden</w:t>
      </w:r>
      <w:r w:rsidR="00AC06DF">
        <w:t xml:space="preserve"> oder</w:t>
      </w:r>
      <w:r>
        <w:t xml:space="preserve"> nicht mehr</w:t>
      </w:r>
      <w:r w:rsidR="006770AD">
        <w:t xml:space="preserve"> eingetragen/geschützt sind</w:t>
      </w:r>
      <w:r>
        <w:t>, aufzunehmen.</w:t>
      </w:r>
      <w:r>
        <w:rPr>
          <w:rStyle w:val="FootnoteReference"/>
        </w:rPr>
        <w:footnoteReference w:id="20"/>
      </w:r>
    </w:p>
    <w:p w:rsidR="00C273DF" w:rsidRPr="00C273DF" w:rsidRDefault="00C273DF" w:rsidP="00014D5F"/>
    <w:p w:rsidR="00C273DF" w:rsidRDefault="00C273DF" w:rsidP="00014D5F">
      <w:r w:rsidRPr="00C273DF">
        <w:fldChar w:fldCharType="begin"/>
      </w:r>
      <w:r w:rsidRPr="00C273DF">
        <w:instrText xml:space="preserve"> AUTONUM  </w:instrText>
      </w:r>
      <w:r w:rsidRPr="00C273DF">
        <w:fldChar w:fldCharType="end"/>
      </w:r>
      <w:r>
        <w:tab/>
        <w:t>Diese Angelegenheit wird auf der dritten Sitzung der WG-DST am 2. Okto</w:t>
      </w:r>
      <w:r w:rsidR="006770AD">
        <w:t>ber 2015 weiter geprüft werden.</w:t>
      </w:r>
      <w:r>
        <w:t xml:space="preserve"> Dem CAJ wird auf seiner zweiundsiebzigsten Tagung Bericht über die Erörterungen auf der dritten Sitzung der WG-DST erstattet werden.</w:t>
      </w:r>
    </w:p>
    <w:p w:rsidR="00C273DF" w:rsidRDefault="00C273DF" w:rsidP="00F66E48">
      <w:pPr>
        <w:spacing w:line="360" w:lineRule="auto"/>
      </w:pPr>
    </w:p>
    <w:p w:rsidR="00014D5F" w:rsidRPr="00014D5F" w:rsidRDefault="00F225B8" w:rsidP="00014D5F">
      <w:pPr>
        <w:keepNext/>
        <w:outlineLvl w:val="2"/>
        <w:rPr>
          <w:rFonts w:eastAsiaTheme="minorEastAsia"/>
          <w:i/>
        </w:rPr>
      </w:pPr>
      <w:bookmarkStart w:id="26" w:name="_Toc432140520"/>
      <w:bookmarkStart w:id="27" w:name="_Toc425258849"/>
      <w:bookmarkStart w:id="28" w:name="_Toc431478169"/>
      <w:r>
        <w:rPr>
          <w:rFonts w:eastAsiaTheme="minorEastAsia"/>
          <w:i/>
        </w:rPr>
        <w:t>Nicht annehmbare</w:t>
      </w:r>
      <w:r w:rsidR="00014D5F">
        <w:rPr>
          <w:rFonts w:eastAsiaTheme="minorEastAsia" w:hint="eastAsia"/>
          <w:i/>
        </w:rPr>
        <w:t xml:space="preserve"> Begriffe für Sortenbezeichnungen</w:t>
      </w:r>
      <w:bookmarkEnd w:id="26"/>
      <w:r w:rsidR="00014D5F">
        <w:rPr>
          <w:rFonts w:eastAsiaTheme="minorEastAsia" w:hint="eastAsia"/>
          <w:i/>
        </w:rPr>
        <w:t xml:space="preserve"> </w:t>
      </w:r>
      <w:bookmarkEnd w:id="27"/>
      <w:bookmarkEnd w:id="28"/>
    </w:p>
    <w:p w:rsidR="00014D5F" w:rsidRPr="00014D5F" w:rsidRDefault="00014D5F" w:rsidP="00014D5F">
      <w:pPr>
        <w:autoSpaceDE w:val="0"/>
        <w:autoSpaceDN w:val="0"/>
        <w:adjustRightInd w:val="0"/>
        <w:jc w:val="left"/>
        <w:rPr>
          <w:rFonts w:eastAsiaTheme="minorEastAsia"/>
        </w:rPr>
      </w:pPr>
    </w:p>
    <w:p w:rsidR="00111A35" w:rsidRDefault="00014D5F" w:rsidP="000B178E">
      <w:pPr>
        <w:autoSpaceDE w:val="0"/>
        <w:autoSpaceDN w:val="0"/>
        <w:adjustRightInd w:val="0"/>
      </w:pPr>
      <w:r w:rsidRPr="00014D5F">
        <w:rPr>
          <w:rFonts w:eastAsiaTheme="minorEastAsia"/>
        </w:rPr>
        <w:fldChar w:fldCharType="begin"/>
      </w:r>
      <w:r w:rsidRPr="00014D5F">
        <w:rPr>
          <w:rFonts w:eastAsiaTheme="minorEastAsia"/>
        </w:rPr>
        <w:instrText xml:space="preserve"> AUTONUM  </w:instrText>
      </w:r>
      <w:r w:rsidRPr="00014D5F">
        <w:rPr>
          <w:rFonts w:eastAsiaTheme="minorEastAsia"/>
        </w:rPr>
        <w:fldChar w:fldCharType="end"/>
      </w:r>
      <w:r>
        <w:tab/>
        <w:t>Die WG-DST vereinbarte, den CAJ zu ersuchen, zu</w:t>
      </w:r>
      <w:r w:rsidR="00F225B8">
        <w:t xml:space="preserve"> prüfen, ob eine Liste nicht annehmbarer</w:t>
      </w:r>
      <w:r>
        <w:t xml:space="preserve"> Begriffe für Sortenbezeichnungen als Zusatzfunktion für das UPOV-Bezeichnungssuchinstrument zu erstellen ist.  Entwicklungen zu diesem Thema sind in Dokument CAJ/72/3 „Sortenbezeichnungen“ dargelegt.</w:t>
      </w:r>
      <w:r>
        <w:rPr>
          <w:rStyle w:val="FootnoteReference"/>
        </w:rPr>
        <w:footnoteReference w:id="21"/>
      </w:r>
    </w:p>
    <w:p w:rsidR="000B178E" w:rsidRDefault="000B178E" w:rsidP="000B178E">
      <w:pPr>
        <w:autoSpaceDE w:val="0"/>
        <w:autoSpaceDN w:val="0"/>
        <w:adjustRightInd w:val="0"/>
      </w:pPr>
    </w:p>
    <w:p w:rsidR="00285C4C" w:rsidRPr="001020DE" w:rsidRDefault="00285C4C" w:rsidP="001A7840">
      <w:pPr>
        <w:pStyle w:val="DecisionInvitingPara"/>
        <w:tabs>
          <w:tab w:val="left" w:pos="5387"/>
          <w:tab w:val="left" w:pos="5954"/>
        </w:tabs>
        <w:ind w:left="4820"/>
      </w:pPr>
      <w:r w:rsidRPr="001020DE">
        <w:fldChar w:fldCharType="begin"/>
      </w:r>
      <w:r w:rsidRPr="001020DE">
        <w:instrText xml:space="preserve"> AUTONUM  </w:instrText>
      </w:r>
      <w:r w:rsidRPr="001020DE">
        <w:fldChar w:fldCharType="end"/>
      </w:r>
      <w:r>
        <w:tab/>
        <w:t>Der CAJ wird ersucht,</w:t>
      </w:r>
    </w:p>
    <w:p w:rsidR="00285C4C" w:rsidRPr="001020DE" w:rsidRDefault="00285C4C" w:rsidP="001A7840">
      <w:pPr>
        <w:pStyle w:val="DecisionInvitingPara"/>
        <w:tabs>
          <w:tab w:val="left" w:pos="5387"/>
          <w:tab w:val="left" w:pos="5954"/>
        </w:tabs>
        <w:ind w:left="4820"/>
      </w:pPr>
    </w:p>
    <w:p w:rsidR="00285C4C" w:rsidRPr="001020DE" w:rsidRDefault="00F90763" w:rsidP="001A7840">
      <w:pPr>
        <w:pStyle w:val="DecisionInvitingPara"/>
        <w:tabs>
          <w:tab w:val="left" w:pos="5387"/>
          <w:tab w:val="left" w:pos="5954"/>
        </w:tabs>
        <w:ind w:left="4820" w:firstLine="567"/>
        <w:rPr>
          <w:snapToGrid w:val="0"/>
        </w:rPr>
      </w:pPr>
      <w:r>
        <w:t>a)</w:t>
      </w:r>
      <w:r>
        <w:tab/>
        <w:t>den aktuellen Bericht betreffend die GENIE- und PLUTO-Datenbanken, wie in den Absätzen 6 bis 16 oben dargelegt, zur Kenntnis zu nehmen;</w:t>
      </w:r>
    </w:p>
    <w:p w:rsidR="00285C4C" w:rsidRPr="001020DE" w:rsidRDefault="00285C4C" w:rsidP="001A7840">
      <w:pPr>
        <w:pStyle w:val="DecisionInvitingPara"/>
        <w:tabs>
          <w:tab w:val="left" w:pos="5387"/>
          <w:tab w:val="left" w:pos="5954"/>
        </w:tabs>
        <w:ind w:left="4820" w:firstLine="567"/>
        <w:rPr>
          <w:snapToGrid w:val="0"/>
        </w:rPr>
      </w:pPr>
    </w:p>
    <w:p w:rsidR="00285C4C" w:rsidRPr="001020DE" w:rsidRDefault="00F90763" w:rsidP="001A7840">
      <w:pPr>
        <w:pStyle w:val="DecisionInvitingPara"/>
        <w:tabs>
          <w:tab w:val="left" w:pos="5387"/>
          <w:tab w:val="left" w:pos="5954"/>
        </w:tabs>
        <w:ind w:left="4820" w:firstLine="567"/>
        <w:rPr>
          <w:snapToGrid w:val="0"/>
        </w:rPr>
      </w:pPr>
      <w:r>
        <w:t>b)</w:t>
      </w:r>
      <w:r>
        <w:tab/>
        <w:t>zu prüfen, ob Akzente und Sonderzeichen in Bezeichnungen in der PLUTO-Datenbank akzeptiert werden sollen, wobei zu berücksichtigen ist, daß das Bezeichnungssuchinstrument der PLUTO-Datenbank ausschließlich den Zeichensatz ASCII [American Standard Code for Information Interchange] gemäß ISO-Norm 646 [International Standards Organization] verwenden würde, wie in Absatz 20 dargelegt;</w:t>
      </w:r>
    </w:p>
    <w:p w:rsidR="00285C4C" w:rsidRPr="001020DE" w:rsidRDefault="00285C4C" w:rsidP="001A7840">
      <w:pPr>
        <w:pStyle w:val="DecisionInvitingPara"/>
        <w:tabs>
          <w:tab w:val="left" w:pos="5387"/>
          <w:tab w:val="left" w:pos="5954"/>
        </w:tabs>
        <w:ind w:left="4820" w:firstLine="567"/>
      </w:pPr>
    </w:p>
    <w:p w:rsidR="009C2FB4" w:rsidRDefault="00F90763" w:rsidP="002F132E">
      <w:pPr>
        <w:pStyle w:val="DecisionInvitingPara"/>
        <w:tabs>
          <w:tab w:val="left" w:pos="5387"/>
          <w:tab w:val="left" w:pos="5954"/>
        </w:tabs>
        <w:ind w:left="4820" w:firstLine="567"/>
      </w:pPr>
      <w:r>
        <w:t>c)</w:t>
      </w:r>
      <w:r>
        <w:tab/>
        <w:t>zu prüfen, ob das „Programm für Verbesserungen der Datenbank für Pflanzensorten“, Abschnitt 3.1.3, wie in Absatz 22 oben dargelegt, zu überprüfen ist, um den zulässigen Zeichensatz in ISO/IEC-Norm 8859 1: 1998 zu ändern;</w:t>
      </w:r>
    </w:p>
    <w:p w:rsidR="002F132E" w:rsidRPr="002145E7" w:rsidRDefault="002F132E" w:rsidP="002F132E">
      <w:pPr>
        <w:pStyle w:val="DecisionInvitingPara"/>
        <w:tabs>
          <w:tab w:val="left" w:pos="5387"/>
          <w:tab w:val="left" w:pos="5954"/>
        </w:tabs>
        <w:ind w:left="4820" w:firstLine="567"/>
        <w:rPr>
          <w:rFonts w:eastAsia="MS Mincho"/>
        </w:rPr>
      </w:pPr>
    </w:p>
    <w:p w:rsidR="008E62C9" w:rsidRPr="002145E7" w:rsidRDefault="00F90763" w:rsidP="00111A35">
      <w:pPr>
        <w:pStyle w:val="DecisionInvitingPara"/>
        <w:tabs>
          <w:tab w:val="left" w:pos="5387"/>
          <w:tab w:val="left" w:pos="5954"/>
        </w:tabs>
        <w:ind w:left="4820" w:firstLine="567"/>
      </w:pPr>
      <w:r>
        <w:t>d)</w:t>
      </w:r>
      <w:r>
        <w:tab/>
        <w:t>zu prüfen, ob der Inhalt der PLUTO-Datenbank zu erweitern ist, damit er alle anerkannten Sorten, einschließlich jener, die nicht er</w:t>
      </w:r>
      <w:r w:rsidR="00814B0B">
        <w:t>faßt oder geschützt wurden oder</w:t>
      </w:r>
      <w:r>
        <w:t xml:space="preserve"> nicht mehr</w:t>
      </w:r>
      <w:r w:rsidR="006770AD">
        <w:t xml:space="preserve"> eingetragen/geschützt</w:t>
      </w:r>
      <w:r w:rsidR="00CD20AB">
        <w:t xml:space="preserve"> sind</w:t>
      </w:r>
      <w:r>
        <w:t>, umfaßt, wie in Absatz 24 oben dargelegt; und</w:t>
      </w:r>
    </w:p>
    <w:p w:rsidR="00F96687" w:rsidRPr="003433F6" w:rsidRDefault="00F96687" w:rsidP="002F132E">
      <w:pPr>
        <w:pStyle w:val="DecisionParagraphs"/>
        <w:tabs>
          <w:tab w:val="left" w:pos="5954"/>
        </w:tabs>
      </w:pPr>
    </w:p>
    <w:p w:rsidR="00A93078" w:rsidRDefault="00E4482D" w:rsidP="00B32C07">
      <w:pPr>
        <w:pStyle w:val="DecisionParagraphs"/>
        <w:tabs>
          <w:tab w:val="left" w:pos="5954"/>
        </w:tabs>
        <w:rPr>
          <w:rFonts w:cs="Arial"/>
        </w:rPr>
      </w:pPr>
      <w:r>
        <w:tab/>
        <w:t>e)</w:t>
      </w:r>
      <w:r>
        <w:tab/>
      </w:r>
      <w:r>
        <w:rPr>
          <w:color w:val="000000"/>
        </w:rPr>
        <w:t>zur Kenntnis zu nehmen, daß über Entwicklungen betreffend nicht annehmbare Begriffe für Sortenbezeichnungen in Dokument CAJ/72/3 „Sortenbezeichnungen“ berichtet wird.</w:t>
      </w:r>
    </w:p>
    <w:p w:rsidR="00A93078" w:rsidRDefault="00A93078" w:rsidP="00C4624A">
      <w:pPr>
        <w:jc w:val="right"/>
        <w:rPr>
          <w:rFonts w:cs="Arial"/>
        </w:rPr>
      </w:pPr>
    </w:p>
    <w:p w:rsidR="00F66E48" w:rsidRDefault="00F66E48" w:rsidP="00C4624A">
      <w:pPr>
        <w:jc w:val="right"/>
        <w:rPr>
          <w:rFonts w:cs="Arial"/>
        </w:rPr>
      </w:pPr>
    </w:p>
    <w:p w:rsidR="00F66E48" w:rsidRDefault="00F66E48" w:rsidP="00C4624A">
      <w:pPr>
        <w:jc w:val="right"/>
        <w:rPr>
          <w:rFonts w:cs="Arial"/>
        </w:rPr>
      </w:pPr>
    </w:p>
    <w:p w:rsidR="00C4624A" w:rsidRDefault="00796671" w:rsidP="00C4624A">
      <w:pPr>
        <w:jc w:val="right"/>
        <w:rPr>
          <w:rFonts w:cs="Arial"/>
        </w:rPr>
      </w:pPr>
      <w:r>
        <w:t>[Ende des Dokuments]</w:t>
      </w:r>
    </w:p>
    <w:p w:rsidR="00A93078" w:rsidRDefault="00A93078">
      <w:pPr>
        <w:jc w:val="left"/>
        <w:rPr>
          <w:snapToGrid w:val="0"/>
        </w:rPr>
      </w:pPr>
    </w:p>
    <w:sectPr w:rsidR="00A93078" w:rsidSect="00554389">
      <w:headerReference w:type="default" r:id="rId10"/>
      <w:pgSz w:w="11907" w:h="16840" w:code="9"/>
      <w:pgMar w:top="454" w:right="1134" w:bottom="96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05" w:rsidRDefault="00B47005">
      <w:r>
        <w:separator/>
      </w:r>
    </w:p>
    <w:p w:rsidR="00B47005" w:rsidRDefault="00B47005"/>
    <w:p w:rsidR="00B47005" w:rsidRDefault="00B47005"/>
  </w:endnote>
  <w:endnote w:type="continuationSeparator" w:id="0">
    <w:p w:rsidR="00B47005" w:rsidRDefault="00B47005">
      <w:r>
        <w:separator/>
      </w:r>
    </w:p>
    <w:p w:rsidR="00B47005" w:rsidRPr="00664515" w:rsidRDefault="00B47005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B47005" w:rsidRPr="00664515" w:rsidRDefault="00B47005">
      <w:pPr>
        <w:rPr>
          <w:lang w:val="fr-CH"/>
        </w:rPr>
      </w:pPr>
    </w:p>
    <w:p w:rsidR="00B47005" w:rsidRPr="00664515" w:rsidRDefault="00B47005">
      <w:pPr>
        <w:rPr>
          <w:lang w:val="fr-CH"/>
        </w:rPr>
      </w:pPr>
    </w:p>
  </w:endnote>
  <w:endnote w:type="continuationNotice" w:id="1">
    <w:p w:rsidR="00B47005" w:rsidRPr="00664515" w:rsidRDefault="00B47005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B47005" w:rsidRPr="00664515" w:rsidRDefault="00B47005">
      <w:pPr>
        <w:rPr>
          <w:lang w:val="fr-CH"/>
        </w:rPr>
      </w:pPr>
    </w:p>
    <w:p w:rsidR="00B47005" w:rsidRPr="00664515" w:rsidRDefault="00B47005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05" w:rsidRDefault="00B47005" w:rsidP="009D690D">
      <w:pPr>
        <w:spacing w:before="120"/>
      </w:pPr>
      <w:r>
        <w:separator/>
      </w:r>
    </w:p>
  </w:footnote>
  <w:footnote w:type="continuationSeparator" w:id="0">
    <w:p w:rsidR="00B47005" w:rsidRDefault="00B47005" w:rsidP="00520297">
      <w:pPr>
        <w:spacing w:before="120"/>
        <w:jc w:val="left"/>
      </w:pPr>
      <w:r>
        <w:separator/>
      </w:r>
    </w:p>
  </w:footnote>
  <w:footnote w:type="continuationNotice" w:id="1">
    <w:p w:rsidR="00B47005" w:rsidRDefault="00B47005"/>
  </w:footnote>
  <w:footnote w:id="2">
    <w:p w:rsidR="002E1BA5" w:rsidRDefault="002E1BA5" w:rsidP="000010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Am 26. März 2015 in Genf abgehalten.</w:t>
      </w:r>
    </w:p>
  </w:footnote>
  <w:footnote w:id="3">
    <w:p w:rsidR="0071371B" w:rsidRDefault="0071371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CAJ/71/10 „Bericht über die Entschließungen“, Absatz 44.</w:t>
      </w:r>
    </w:p>
  </w:footnote>
  <w:footnote w:id="4">
    <w:p w:rsidR="0071371B" w:rsidRPr="0071371B" w:rsidRDefault="0071371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CAJ/71/10 „Bericht über die Entschließungen“, Absatz 45.</w:t>
      </w:r>
    </w:p>
  </w:footnote>
  <w:footnote w:id="5">
    <w:p w:rsidR="0071371B" w:rsidRPr="0071371B" w:rsidRDefault="0071371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CAJ/71/10 „Bericht über die Entschließungen“, Absatz 46.</w:t>
      </w:r>
    </w:p>
  </w:footnote>
  <w:footnote w:id="6">
    <w:p w:rsidR="0071371B" w:rsidRPr="0071371B" w:rsidRDefault="0071371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CAJ/71/10 „Bericht über die Entschließungen“, Absatz 47.</w:t>
      </w:r>
    </w:p>
  </w:footnote>
  <w:footnote w:id="7">
    <w:p w:rsidR="00C273DF" w:rsidRDefault="00C273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CAJ/71/10 „Bericht über die Entschließungen“, Absatz 48.</w:t>
      </w:r>
    </w:p>
  </w:footnote>
  <w:footnote w:id="8">
    <w:p w:rsidR="007C0D12" w:rsidRPr="00C273DF" w:rsidRDefault="007C0D12" w:rsidP="000010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Vergleiche </w:t>
      </w:r>
      <w:hyperlink r:id="rId1">
        <w:r>
          <w:rPr>
            <w:rStyle w:val="Hyperlink"/>
          </w:rPr>
          <w:t>http://www.upov.int/genie/en/species.jsp</w:t>
        </w:r>
      </w:hyperlink>
      <w:r>
        <w:t xml:space="preserve"> .</w:t>
      </w:r>
    </w:p>
  </w:footnote>
  <w:footnote w:id="9">
    <w:p w:rsidR="007C0D12" w:rsidRPr="00C273DF" w:rsidRDefault="007C0D12" w:rsidP="000010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Vergleiche </w:t>
      </w:r>
      <w:hyperlink r:id="rId2">
        <w:r>
          <w:rPr>
            <w:rStyle w:val="Hyperlink"/>
          </w:rPr>
          <w:t>http://www.upov.int/genie/en/reports/</w:t>
        </w:r>
      </w:hyperlink>
      <w:r>
        <w:t>.</w:t>
      </w:r>
    </w:p>
  </w:footnote>
  <w:footnote w:id="10">
    <w:p w:rsidR="002E1BA5" w:rsidRDefault="002E1BA5" w:rsidP="000010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CAJ/71/5 Corr. „UPOV-Informationsdatenbanken“, Absatz 11.</w:t>
      </w:r>
    </w:p>
  </w:footnote>
  <w:footnote w:id="11">
    <w:p w:rsidR="002E1BA5" w:rsidRDefault="002E1BA5" w:rsidP="000010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Vergleiche Anlage III, Teil C der Dokumente TWA/44/5, TWF/46/5, TWO/48/5 und  TWV/49/5.</w:t>
      </w:r>
    </w:p>
  </w:footnote>
  <w:footnote w:id="12">
    <w:p w:rsidR="0071371B" w:rsidRPr="0071371B" w:rsidRDefault="0071371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CAJ/71/10 „Bericht über die Entschließungen“, Absatz 52.</w:t>
      </w:r>
    </w:p>
  </w:footnote>
  <w:footnote w:id="13">
    <w:p w:rsidR="00C273DF" w:rsidRDefault="00C273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CAJ/71/10 „Bericht über die Entschließungen“, Absatz 53.</w:t>
      </w:r>
    </w:p>
  </w:footnote>
  <w:footnote w:id="14">
    <w:p w:rsidR="00530455" w:rsidRPr="00530455" w:rsidRDefault="00530455" w:rsidP="000010AE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Am 9. Juni 2015 in Genf abgehalten.</w:t>
      </w:r>
    </w:p>
  </w:footnote>
  <w:footnote w:id="15">
    <w:p w:rsidR="007C0D12" w:rsidRDefault="007C0D12" w:rsidP="00F66E48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  <w:t>Vergleiche Dokument CAJ/69/6 „Informations-Datenbanken“, Anlage I „Programm für Verbesserungen der Datenbank für Pflanzensorten, Abschnitt 3.1.3“.</w:t>
      </w:r>
    </w:p>
  </w:footnote>
  <w:footnote w:id="16">
    <w:p w:rsidR="007C0D12" w:rsidRDefault="007C0D12" w:rsidP="00F66E48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  <w:t>„3.1.3</w:t>
      </w:r>
      <w:r>
        <w:tab/>
        <w:t>Vorbehaltlich von Abschnitt 3.1.4 gilt für den Zeichensatz die Darstellung in ASCII [American Standard Code for Information Interchange] gemäß ISO-Norm 646 [International Standards Organization]. Sonderzeichen, Symbole oder Akzente (˜, ˆ, ¨, º, usw.) werden nicht akzeptiert. Es dürfen nur Zeichen aus dem englischen Alphabet verwendet werden.“</w:t>
      </w:r>
    </w:p>
  </w:footnote>
  <w:footnote w:id="17">
    <w:p w:rsidR="0071371B" w:rsidRPr="0071371B" w:rsidRDefault="0071371B" w:rsidP="00F66E48">
      <w:pPr>
        <w:pStyle w:val="FootnoteText"/>
        <w:ind w:left="567" w:hanging="567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UPOV/WG-DST/2/6 „</w:t>
      </w:r>
      <w:r w:rsidRPr="00494C79">
        <w:rPr>
          <w:i/>
        </w:rPr>
        <w:t>Report</w:t>
      </w:r>
      <w:r w:rsidR="00F225B8">
        <w:t>“, Absätze 17 und 18</w:t>
      </w:r>
      <w:r>
        <w:t>.</w:t>
      </w:r>
    </w:p>
  </w:footnote>
  <w:footnote w:id="18">
    <w:p w:rsidR="0071371B" w:rsidRPr="0071371B" w:rsidRDefault="0071371B" w:rsidP="00F66E48">
      <w:pPr>
        <w:pStyle w:val="FootnoteText"/>
        <w:ind w:left="567" w:hanging="567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UPOV/WG-DST/2/6 „</w:t>
      </w:r>
      <w:r w:rsidRPr="00494C79">
        <w:rPr>
          <w:i/>
        </w:rPr>
        <w:t>Report</w:t>
      </w:r>
      <w:r w:rsidR="00F225B8">
        <w:t>“, Absatz 19</w:t>
      </w:r>
      <w:r>
        <w:t>.</w:t>
      </w:r>
    </w:p>
  </w:footnote>
  <w:footnote w:id="19">
    <w:p w:rsidR="00D90030" w:rsidRPr="0071371B" w:rsidRDefault="004E14E8" w:rsidP="00F66E48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ISO/IEC 8859 – 1: 1998 „Informationstechnologie </w:t>
      </w:r>
      <w:r w:rsidR="00494C79">
        <w:t>–</w:t>
      </w:r>
      <w:r>
        <w:t xml:space="preserve"> </w:t>
      </w:r>
      <w:r w:rsidR="00494C79">
        <w:t xml:space="preserve">in 8-Bit Single-Byte </w:t>
      </w:r>
      <w:r>
        <w:t xml:space="preserve">kodierter graphischer Zeichensatz -- Teil 1: Lateinisches Alphabet Nr. 1”. Siehe unten Auszug aus der ISO-Website betreffend ISO/IEC 8859 – 1: 1998 (auch verfügbar unter </w:t>
      </w:r>
      <w:hyperlink r:id="rId3">
        <w:r>
          <w:rPr>
            <w:rStyle w:val="Hyperlink"/>
          </w:rPr>
          <w:t>http://www.iso.org/iso/home/store/catalogue_tc/catalogue_detail.htm?csnumber=28245</w:t>
        </w:r>
      </w:hyperlink>
      <w:r>
        <w:t>) :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“Foreword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 xml:space="preserve">“ISO (the International Organization for Standardization) and IEC (the International Electrotechnical Commission) form the specialized system for worldwide standardization. 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“[…]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“Introduction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“ISO/IEC 8859 consists of several parts. Each part specifies a set of up to 191 graphic characters and the coded representation of these characters by means of a single 8-bit byte. Each set is intended for use for a particular group of languages.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“1   Scope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“This part of ISO/IEC 8859 specifies a set of 191 coded graphic characters identified as Latin alphabet No. 1.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“This set of coded graphic characters is intended for use in data and text processing applications and also for information interchange.</w:t>
      </w:r>
    </w:p>
    <w:p w:rsidR="00946661" w:rsidRPr="00946661" w:rsidRDefault="00946661" w:rsidP="00946661">
      <w:pPr>
        <w:pStyle w:val="FootnoteText"/>
        <w:ind w:left="567"/>
        <w:rPr>
          <w:i/>
        </w:rPr>
      </w:pPr>
      <w:r w:rsidRPr="00946661">
        <w:rPr>
          <w:i/>
        </w:rPr>
        <w:t>“The set contains graphic characters used for general purpose applications in typical office environments in at least the following languages:</w:t>
      </w:r>
    </w:p>
    <w:p w:rsidR="004E14E8" w:rsidRDefault="00946661" w:rsidP="00946661">
      <w:pPr>
        <w:pStyle w:val="FootnoteText"/>
        <w:ind w:left="567"/>
      </w:pPr>
      <w:r w:rsidRPr="00946661">
        <w:rPr>
          <w:i/>
        </w:rPr>
        <w:t>“Albanian, Basque, Breton, Catalan, Danish, Dutch, English, Faroese, Finnish, French (with restrictions, see Annex A.1, Notes), Frisian, Galician, German, Greenlandic, Icelandic, Irish Gaelic (new orthography), Italian, Latin, Luxemburgish, Norwegian, Portuguese, Rhaeto</w:t>
      </w:r>
      <w:r w:rsidRPr="00946661">
        <w:rPr>
          <w:rFonts w:hint="eastAsia"/>
          <w:i/>
          <w:lang w:eastAsia="ja-JP"/>
        </w:rPr>
        <w:noBreakHyphen/>
      </w:r>
      <w:r w:rsidRPr="00946661">
        <w:rPr>
          <w:i/>
        </w:rPr>
        <w:t>Romanic, Scottish Gaelic, Spanish and Swedish. […]”.</w:t>
      </w:r>
    </w:p>
  </w:footnote>
  <w:footnote w:id="20">
    <w:p w:rsidR="0065295B" w:rsidRDefault="0065295B" w:rsidP="00F66E48">
      <w:pPr>
        <w:pStyle w:val="FootnoteText"/>
        <w:ind w:left="567" w:hanging="567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UPOV/WG-DST/2/6 „</w:t>
      </w:r>
      <w:r w:rsidRPr="00494C79">
        <w:rPr>
          <w:i/>
        </w:rPr>
        <w:t>Report</w:t>
      </w:r>
      <w:r>
        <w:t>“, Absatz 30.</w:t>
      </w:r>
    </w:p>
  </w:footnote>
  <w:footnote w:id="21">
    <w:p w:rsidR="0065295B" w:rsidRDefault="0065295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tab/>
        <w:t>Vergleiche Dokument UPOV/WG-DST/2/6 „</w:t>
      </w:r>
      <w:r w:rsidRPr="00CD20AB">
        <w:rPr>
          <w:i/>
        </w:rPr>
        <w:t>Report</w:t>
      </w:r>
      <w:r>
        <w:t>“, Absatz 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3C" w:rsidRPr="00997029" w:rsidRDefault="0032753C" w:rsidP="00E23920">
    <w:pPr>
      <w:jc w:val="center"/>
      <w:rPr>
        <w:rStyle w:val="PageNumber"/>
      </w:rPr>
    </w:pPr>
    <w:r>
      <w:rPr>
        <w:rStyle w:val="PageNumber"/>
      </w:rPr>
      <w:t>CAJ/72/6</w:t>
    </w:r>
  </w:p>
  <w:p w:rsidR="0032753C" w:rsidRPr="00997029" w:rsidRDefault="0032753C" w:rsidP="00E23920">
    <w:pPr>
      <w:jc w:val="center"/>
    </w:pPr>
    <w:r>
      <w:t>Seite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DE4DE8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32753C" w:rsidRPr="00997029" w:rsidRDefault="0032753C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13C936E6"/>
    <w:multiLevelType w:val="hybridMultilevel"/>
    <w:tmpl w:val="56322C6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DB2C26"/>
    <w:multiLevelType w:val="hybridMultilevel"/>
    <w:tmpl w:val="D49E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77AB2"/>
    <w:multiLevelType w:val="hybridMultilevel"/>
    <w:tmpl w:val="AAA60BE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7B7D7F"/>
    <w:multiLevelType w:val="hybridMultilevel"/>
    <w:tmpl w:val="0A78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F"/>
    <w:rsid w:val="000010AE"/>
    <w:rsid w:val="00001380"/>
    <w:rsid w:val="00001D48"/>
    <w:rsid w:val="00010CF3"/>
    <w:rsid w:val="00011E27"/>
    <w:rsid w:val="000148BC"/>
    <w:rsid w:val="00014D5F"/>
    <w:rsid w:val="000221B6"/>
    <w:rsid w:val="000226BF"/>
    <w:rsid w:val="00024AB8"/>
    <w:rsid w:val="00036028"/>
    <w:rsid w:val="000446B9"/>
    <w:rsid w:val="00047E21"/>
    <w:rsid w:val="0006472C"/>
    <w:rsid w:val="000661C2"/>
    <w:rsid w:val="00083230"/>
    <w:rsid w:val="00085505"/>
    <w:rsid w:val="00095E5A"/>
    <w:rsid w:val="000B178E"/>
    <w:rsid w:val="000C7021"/>
    <w:rsid w:val="000D097C"/>
    <w:rsid w:val="000D4111"/>
    <w:rsid w:val="000D492E"/>
    <w:rsid w:val="000D6BBC"/>
    <w:rsid w:val="000D7780"/>
    <w:rsid w:val="000E71F2"/>
    <w:rsid w:val="00105929"/>
    <w:rsid w:val="00110481"/>
    <w:rsid w:val="00111A35"/>
    <w:rsid w:val="001131D5"/>
    <w:rsid w:val="00126B77"/>
    <w:rsid w:val="00141DB8"/>
    <w:rsid w:val="001451A4"/>
    <w:rsid w:val="00154DC4"/>
    <w:rsid w:val="00155F6F"/>
    <w:rsid w:val="00171D5C"/>
    <w:rsid w:val="0017474A"/>
    <w:rsid w:val="001758C6"/>
    <w:rsid w:val="0017700D"/>
    <w:rsid w:val="001A7840"/>
    <w:rsid w:val="001A7AB7"/>
    <w:rsid w:val="001B7113"/>
    <w:rsid w:val="001C3DF3"/>
    <w:rsid w:val="001E260B"/>
    <w:rsid w:val="001F1F2A"/>
    <w:rsid w:val="0021332C"/>
    <w:rsid w:val="00213982"/>
    <w:rsid w:val="002145E7"/>
    <w:rsid w:val="00237C7D"/>
    <w:rsid w:val="0024416D"/>
    <w:rsid w:val="00250E78"/>
    <w:rsid w:val="002574CD"/>
    <w:rsid w:val="002625B3"/>
    <w:rsid w:val="0027309C"/>
    <w:rsid w:val="002800A0"/>
    <w:rsid w:val="00281060"/>
    <w:rsid w:val="00285C4C"/>
    <w:rsid w:val="0029439F"/>
    <w:rsid w:val="0029785A"/>
    <w:rsid w:val="002A6E50"/>
    <w:rsid w:val="002C1236"/>
    <w:rsid w:val="002C256A"/>
    <w:rsid w:val="002E1BA5"/>
    <w:rsid w:val="002E47A1"/>
    <w:rsid w:val="002E7BA1"/>
    <w:rsid w:val="002F132E"/>
    <w:rsid w:val="002F78FA"/>
    <w:rsid w:val="00305A7F"/>
    <w:rsid w:val="003152FE"/>
    <w:rsid w:val="00327436"/>
    <w:rsid w:val="0032753C"/>
    <w:rsid w:val="0033180E"/>
    <w:rsid w:val="003402C7"/>
    <w:rsid w:val="003405CF"/>
    <w:rsid w:val="003433F6"/>
    <w:rsid w:val="00344BD6"/>
    <w:rsid w:val="0035528D"/>
    <w:rsid w:val="00361821"/>
    <w:rsid w:val="00380003"/>
    <w:rsid w:val="00397E50"/>
    <w:rsid w:val="003A17C8"/>
    <w:rsid w:val="003C563E"/>
    <w:rsid w:val="003C621F"/>
    <w:rsid w:val="003D227C"/>
    <w:rsid w:val="003D2B4D"/>
    <w:rsid w:val="003F6136"/>
    <w:rsid w:val="00427139"/>
    <w:rsid w:val="00441830"/>
    <w:rsid w:val="00444A88"/>
    <w:rsid w:val="00454FEA"/>
    <w:rsid w:val="00472D4F"/>
    <w:rsid w:val="00474105"/>
    <w:rsid w:val="00474DA4"/>
    <w:rsid w:val="00494C79"/>
    <w:rsid w:val="004A6DDF"/>
    <w:rsid w:val="004C7B89"/>
    <w:rsid w:val="004D047D"/>
    <w:rsid w:val="004E14E8"/>
    <w:rsid w:val="004E2334"/>
    <w:rsid w:val="004F305A"/>
    <w:rsid w:val="00512164"/>
    <w:rsid w:val="00520297"/>
    <w:rsid w:val="005275EB"/>
    <w:rsid w:val="00530455"/>
    <w:rsid w:val="005338F9"/>
    <w:rsid w:val="0054281C"/>
    <w:rsid w:val="00545A7D"/>
    <w:rsid w:val="00551E76"/>
    <w:rsid w:val="0055268D"/>
    <w:rsid w:val="00554389"/>
    <w:rsid w:val="00572E44"/>
    <w:rsid w:val="0057537B"/>
    <w:rsid w:val="00576BE4"/>
    <w:rsid w:val="00591847"/>
    <w:rsid w:val="005A400A"/>
    <w:rsid w:val="00612379"/>
    <w:rsid w:val="0061555F"/>
    <w:rsid w:val="00641200"/>
    <w:rsid w:val="0065295B"/>
    <w:rsid w:val="00663ED8"/>
    <w:rsid w:val="00664515"/>
    <w:rsid w:val="0067512D"/>
    <w:rsid w:val="006770AD"/>
    <w:rsid w:val="00686B21"/>
    <w:rsid w:val="00687EB4"/>
    <w:rsid w:val="006A1DC4"/>
    <w:rsid w:val="006B17D2"/>
    <w:rsid w:val="006B45FA"/>
    <w:rsid w:val="006C224E"/>
    <w:rsid w:val="006D469B"/>
    <w:rsid w:val="006E4BF5"/>
    <w:rsid w:val="00703359"/>
    <w:rsid w:val="00711E95"/>
    <w:rsid w:val="0071371B"/>
    <w:rsid w:val="00732DEC"/>
    <w:rsid w:val="00735BD5"/>
    <w:rsid w:val="00742B01"/>
    <w:rsid w:val="0075117E"/>
    <w:rsid w:val="007556F6"/>
    <w:rsid w:val="00760EEF"/>
    <w:rsid w:val="00763438"/>
    <w:rsid w:val="00766C3D"/>
    <w:rsid w:val="00777EE5"/>
    <w:rsid w:val="00784836"/>
    <w:rsid w:val="0079023E"/>
    <w:rsid w:val="00796671"/>
    <w:rsid w:val="007B144F"/>
    <w:rsid w:val="007B6894"/>
    <w:rsid w:val="007C0D12"/>
    <w:rsid w:val="007C6639"/>
    <w:rsid w:val="007D0B9D"/>
    <w:rsid w:val="007D19B0"/>
    <w:rsid w:val="007E1CB5"/>
    <w:rsid w:val="007F498F"/>
    <w:rsid w:val="00805999"/>
    <w:rsid w:val="0080679D"/>
    <w:rsid w:val="008108B0"/>
    <w:rsid w:val="00811B20"/>
    <w:rsid w:val="00814B0B"/>
    <w:rsid w:val="0082296E"/>
    <w:rsid w:val="00824099"/>
    <w:rsid w:val="00836E88"/>
    <w:rsid w:val="00855DBD"/>
    <w:rsid w:val="00867AC1"/>
    <w:rsid w:val="00874B98"/>
    <w:rsid w:val="00883B58"/>
    <w:rsid w:val="008A395B"/>
    <w:rsid w:val="008A743F"/>
    <w:rsid w:val="008A7DAD"/>
    <w:rsid w:val="008B51D0"/>
    <w:rsid w:val="008C0970"/>
    <w:rsid w:val="008C12CB"/>
    <w:rsid w:val="008C61F0"/>
    <w:rsid w:val="008D2CF7"/>
    <w:rsid w:val="008E62C9"/>
    <w:rsid w:val="008E6770"/>
    <w:rsid w:val="008E793E"/>
    <w:rsid w:val="00900C26"/>
    <w:rsid w:val="0090197F"/>
    <w:rsid w:val="009020A2"/>
    <w:rsid w:val="00906DDC"/>
    <w:rsid w:val="00923AE6"/>
    <w:rsid w:val="00923D12"/>
    <w:rsid w:val="00934E09"/>
    <w:rsid w:val="00936253"/>
    <w:rsid w:val="00937773"/>
    <w:rsid w:val="00946661"/>
    <w:rsid w:val="00970FED"/>
    <w:rsid w:val="00986764"/>
    <w:rsid w:val="00987DC3"/>
    <w:rsid w:val="00997029"/>
    <w:rsid w:val="009A2460"/>
    <w:rsid w:val="009A727E"/>
    <w:rsid w:val="009B37B9"/>
    <w:rsid w:val="009C2FB4"/>
    <w:rsid w:val="009D0DE5"/>
    <w:rsid w:val="009D690D"/>
    <w:rsid w:val="009E65B6"/>
    <w:rsid w:val="00A13395"/>
    <w:rsid w:val="00A42AC3"/>
    <w:rsid w:val="00A430CF"/>
    <w:rsid w:val="00A54309"/>
    <w:rsid w:val="00A573A2"/>
    <w:rsid w:val="00A604A5"/>
    <w:rsid w:val="00A64912"/>
    <w:rsid w:val="00A93078"/>
    <w:rsid w:val="00AA36F8"/>
    <w:rsid w:val="00AB2B2D"/>
    <w:rsid w:val="00AB2B93"/>
    <w:rsid w:val="00AC06DF"/>
    <w:rsid w:val="00AE0EF1"/>
    <w:rsid w:val="00B07301"/>
    <w:rsid w:val="00B14F4C"/>
    <w:rsid w:val="00B224DE"/>
    <w:rsid w:val="00B32C07"/>
    <w:rsid w:val="00B3750B"/>
    <w:rsid w:val="00B47005"/>
    <w:rsid w:val="00B547D4"/>
    <w:rsid w:val="00B630CA"/>
    <w:rsid w:val="00B635A2"/>
    <w:rsid w:val="00B84BBD"/>
    <w:rsid w:val="00B87848"/>
    <w:rsid w:val="00BA43FB"/>
    <w:rsid w:val="00BA6BB5"/>
    <w:rsid w:val="00BA73DF"/>
    <w:rsid w:val="00BC127D"/>
    <w:rsid w:val="00BC1FE6"/>
    <w:rsid w:val="00BD0E80"/>
    <w:rsid w:val="00BD4C24"/>
    <w:rsid w:val="00BF20B2"/>
    <w:rsid w:val="00BF4B74"/>
    <w:rsid w:val="00BF589B"/>
    <w:rsid w:val="00C061B6"/>
    <w:rsid w:val="00C21DBF"/>
    <w:rsid w:val="00C23D44"/>
    <w:rsid w:val="00C2446C"/>
    <w:rsid w:val="00C273DF"/>
    <w:rsid w:val="00C36AE5"/>
    <w:rsid w:val="00C41F17"/>
    <w:rsid w:val="00C4624A"/>
    <w:rsid w:val="00C54BF4"/>
    <w:rsid w:val="00C5791C"/>
    <w:rsid w:val="00C60AFC"/>
    <w:rsid w:val="00C645FA"/>
    <w:rsid w:val="00C66290"/>
    <w:rsid w:val="00C71735"/>
    <w:rsid w:val="00C72B7A"/>
    <w:rsid w:val="00C91846"/>
    <w:rsid w:val="00C973F2"/>
    <w:rsid w:val="00CA69A1"/>
    <w:rsid w:val="00CA774A"/>
    <w:rsid w:val="00CB0459"/>
    <w:rsid w:val="00CC11B0"/>
    <w:rsid w:val="00CC1ACC"/>
    <w:rsid w:val="00CC446B"/>
    <w:rsid w:val="00CD20AB"/>
    <w:rsid w:val="00CD22F3"/>
    <w:rsid w:val="00CF7E36"/>
    <w:rsid w:val="00D0561D"/>
    <w:rsid w:val="00D05DF0"/>
    <w:rsid w:val="00D06E6A"/>
    <w:rsid w:val="00D10A3C"/>
    <w:rsid w:val="00D22E74"/>
    <w:rsid w:val="00D233D8"/>
    <w:rsid w:val="00D24210"/>
    <w:rsid w:val="00D277C7"/>
    <w:rsid w:val="00D3708D"/>
    <w:rsid w:val="00D40426"/>
    <w:rsid w:val="00D518ED"/>
    <w:rsid w:val="00D56458"/>
    <w:rsid w:val="00D57C96"/>
    <w:rsid w:val="00D90030"/>
    <w:rsid w:val="00D91203"/>
    <w:rsid w:val="00D95174"/>
    <w:rsid w:val="00D95A5C"/>
    <w:rsid w:val="00DA2784"/>
    <w:rsid w:val="00DA327B"/>
    <w:rsid w:val="00DA6F36"/>
    <w:rsid w:val="00DC00EA"/>
    <w:rsid w:val="00DD7287"/>
    <w:rsid w:val="00DE4A7D"/>
    <w:rsid w:val="00DE4DE8"/>
    <w:rsid w:val="00DE600A"/>
    <w:rsid w:val="00E00FFC"/>
    <w:rsid w:val="00E02A58"/>
    <w:rsid w:val="00E20407"/>
    <w:rsid w:val="00E23920"/>
    <w:rsid w:val="00E418A4"/>
    <w:rsid w:val="00E4482D"/>
    <w:rsid w:val="00E72D49"/>
    <w:rsid w:val="00E7593C"/>
    <w:rsid w:val="00E7678A"/>
    <w:rsid w:val="00E935F1"/>
    <w:rsid w:val="00E94A81"/>
    <w:rsid w:val="00E97C9B"/>
    <w:rsid w:val="00EA1FFB"/>
    <w:rsid w:val="00EB048E"/>
    <w:rsid w:val="00EB3EFA"/>
    <w:rsid w:val="00EB4009"/>
    <w:rsid w:val="00EB6FF2"/>
    <w:rsid w:val="00EC2CEE"/>
    <w:rsid w:val="00EE3532"/>
    <w:rsid w:val="00EF2F89"/>
    <w:rsid w:val="00F04DEB"/>
    <w:rsid w:val="00F1237A"/>
    <w:rsid w:val="00F225B8"/>
    <w:rsid w:val="00F22CBD"/>
    <w:rsid w:val="00F37961"/>
    <w:rsid w:val="00F5531A"/>
    <w:rsid w:val="00F6334D"/>
    <w:rsid w:val="00F64308"/>
    <w:rsid w:val="00F66E48"/>
    <w:rsid w:val="00F90763"/>
    <w:rsid w:val="00F91F62"/>
    <w:rsid w:val="00F96687"/>
    <w:rsid w:val="00F9682F"/>
    <w:rsid w:val="00FA49AB"/>
    <w:rsid w:val="00FB0D37"/>
    <w:rsid w:val="00FE39C7"/>
    <w:rsid w:val="00FE4AF3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66E48"/>
    <w:pPr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010AE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uiPriority w:val="39"/>
    <w:rsid w:val="00DD7287"/>
    <w:pPr>
      <w:tabs>
        <w:tab w:val="right" w:leader="dot" w:pos="9639"/>
      </w:tabs>
      <w:spacing w:before="120"/>
      <w:ind w:left="1135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rsid w:val="00DD7287"/>
    <w:pPr>
      <w:tabs>
        <w:tab w:val="right" w:leader="dot" w:pos="9639"/>
      </w:tabs>
      <w:spacing w:before="120"/>
      <w:ind w:left="1418" w:right="851" w:hanging="284"/>
      <w:contextualSpacing/>
    </w:pPr>
    <w:rPr>
      <w:rFonts w:ascii="Arial" w:hAnsi="Arial"/>
      <w:i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uiPriority w:val="39"/>
    <w:rsid w:val="00DD7287"/>
    <w:pPr>
      <w:tabs>
        <w:tab w:val="right" w:leader="dot" w:pos="9639"/>
      </w:tabs>
      <w:spacing w:before="120"/>
      <w:ind w:left="851" w:right="284" w:hanging="284"/>
    </w:pPr>
    <w:rPr>
      <w:rFonts w:ascii="Arial" w:hAnsi="Arial"/>
      <w:caps/>
      <w:noProof/>
      <w:sz w:val="18"/>
      <w:szCs w:val="18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667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796671"/>
    <w:pPr>
      <w:ind w:left="4536"/>
    </w:pPr>
    <w:rPr>
      <w:rFonts w:eastAsiaTheme="minorEastAsia"/>
      <w:i/>
    </w:rPr>
  </w:style>
  <w:style w:type="paragraph" w:customStyle="1" w:styleId="TOCAnnex">
    <w:name w:val="TOC Annex"/>
    <w:basedOn w:val="Normal"/>
    <w:rsid w:val="0079667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7966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6671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796671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0010AE"/>
    <w:rPr>
      <w:rFonts w:ascii="Arial" w:hAnsi="Arial"/>
      <w:sz w:val="16"/>
    </w:rPr>
  </w:style>
  <w:style w:type="table" w:styleId="TableGrid">
    <w:name w:val="Table Grid"/>
    <w:basedOn w:val="TableNormal"/>
    <w:rsid w:val="007966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7966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79667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7966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66E48"/>
    <w:pPr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010AE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uiPriority w:val="39"/>
    <w:rsid w:val="00DD7287"/>
    <w:pPr>
      <w:tabs>
        <w:tab w:val="right" w:leader="dot" w:pos="9639"/>
      </w:tabs>
      <w:spacing w:before="120"/>
      <w:ind w:left="1135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rsid w:val="00DD7287"/>
    <w:pPr>
      <w:tabs>
        <w:tab w:val="right" w:leader="dot" w:pos="9639"/>
      </w:tabs>
      <w:spacing w:before="120"/>
      <w:ind w:left="1418" w:right="851" w:hanging="284"/>
      <w:contextualSpacing/>
    </w:pPr>
    <w:rPr>
      <w:rFonts w:ascii="Arial" w:hAnsi="Arial"/>
      <w:i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uiPriority w:val="39"/>
    <w:rsid w:val="00DD7287"/>
    <w:pPr>
      <w:tabs>
        <w:tab w:val="right" w:leader="dot" w:pos="9639"/>
      </w:tabs>
      <w:spacing w:before="120"/>
      <w:ind w:left="851" w:right="284" w:hanging="284"/>
    </w:pPr>
    <w:rPr>
      <w:rFonts w:ascii="Arial" w:hAnsi="Arial"/>
      <w:caps/>
      <w:noProof/>
      <w:sz w:val="18"/>
      <w:szCs w:val="18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667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796671"/>
    <w:pPr>
      <w:ind w:left="4536"/>
    </w:pPr>
    <w:rPr>
      <w:rFonts w:eastAsiaTheme="minorEastAsia"/>
      <w:i/>
    </w:rPr>
  </w:style>
  <w:style w:type="paragraph" w:customStyle="1" w:styleId="TOCAnnex">
    <w:name w:val="TOC Annex"/>
    <w:basedOn w:val="Normal"/>
    <w:rsid w:val="0079667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7966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6671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796671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0010AE"/>
    <w:rPr>
      <w:rFonts w:ascii="Arial" w:hAnsi="Arial"/>
      <w:sz w:val="16"/>
    </w:rPr>
  </w:style>
  <w:style w:type="table" w:styleId="TableGrid">
    <w:name w:val="Table Grid"/>
    <w:basedOn w:val="TableNormal"/>
    <w:rsid w:val="007966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7966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79667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7966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39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5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2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1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310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2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4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87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286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69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o.org/iso/home/store/catalogue_tc/catalogue_detail.htm?csnumber=28245" TargetMode="External"/><Relationship Id="rId2" Type="http://schemas.openxmlformats.org/officeDocument/2006/relationships/hyperlink" Target="http://www.upov.int/genie/en/reports/" TargetMode="External"/><Relationship Id="rId1" Type="http://schemas.openxmlformats.org/officeDocument/2006/relationships/hyperlink" Target="http://www.upov.int/genie/en/species.j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AJ\CAJ71\templates\CAJ_7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A295-E1BE-47B9-B01D-A5946CA3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CAJ_71_EN.dotx</Template>
  <TotalTime>305</TotalTime>
  <Pages>5</Pages>
  <Words>1504</Words>
  <Characters>10641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CAJ/70/</vt:lpstr>
      <vt:lpstr>CAJ/70/</vt:lpstr>
    </vt:vector>
  </TitlesOfParts>
  <Company>UPOV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PASIEKA Allie</dc:creator>
  <cp:lastModifiedBy>BESSE Ariane</cp:lastModifiedBy>
  <cp:revision>12</cp:revision>
  <cp:lastPrinted>2015-10-14T10:06:00Z</cp:lastPrinted>
  <dcterms:created xsi:type="dcterms:W3CDTF">2015-10-07T05:20:00Z</dcterms:created>
  <dcterms:modified xsi:type="dcterms:W3CDTF">2015-10-14T10:06:00Z</dcterms:modified>
</cp:coreProperties>
</file>