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6D0C17" w:rsidTr="009A3C1D">
        <w:trPr>
          <w:trHeight w:val="1760"/>
        </w:trPr>
        <w:tc>
          <w:tcPr>
            <w:tcW w:w="4243" w:type="dxa"/>
          </w:tcPr>
          <w:p w:rsidR="000D7780" w:rsidRPr="006D0C17" w:rsidRDefault="000D7780" w:rsidP="006655D3">
            <w:pPr>
              <w:rPr>
                <w:lang w:val="de-DE"/>
              </w:rPr>
            </w:pPr>
          </w:p>
        </w:tc>
        <w:tc>
          <w:tcPr>
            <w:tcW w:w="1646" w:type="dxa"/>
            <w:vAlign w:val="center"/>
          </w:tcPr>
          <w:p w:rsidR="000D7780" w:rsidRPr="006D0C17" w:rsidRDefault="00A03648" w:rsidP="006655D3">
            <w:pPr>
              <w:pStyle w:val="LogoUPOV"/>
              <w:rPr>
                <w:lang w:val="de-DE"/>
              </w:rPr>
            </w:pPr>
            <w:r w:rsidRPr="006D0C17">
              <w:rPr>
                <w:noProof/>
                <w:lang w:val="de-DE"/>
              </w:rPr>
              <w:drawing>
                <wp:inline distT="0" distB="0" distL="0" distR="0" wp14:anchorId="0DB55A0F" wp14:editId="014C9BB7">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6D0C17" w:rsidRDefault="0024416D" w:rsidP="006655D3">
            <w:pPr>
              <w:pStyle w:val="Lettrine"/>
              <w:rPr>
                <w:lang w:val="de-DE"/>
              </w:rPr>
            </w:pPr>
            <w:r w:rsidRPr="006D0C17">
              <w:rPr>
                <w:lang w:val="de-DE"/>
              </w:rPr>
              <w:t>G</w:t>
            </w:r>
          </w:p>
          <w:p w:rsidR="000D7780" w:rsidRPr="006D0C17" w:rsidRDefault="00667404" w:rsidP="006655D3">
            <w:pPr>
              <w:pStyle w:val="Docoriginal"/>
              <w:rPr>
                <w:lang w:val="de-DE"/>
              </w:rPr>
            </w:pPr>
            <w:r w:rsidRPr="006D0C17">
              <w:rPr>
                <w:lang w:val="de-DE"/>
              </w:rPr>
              <w:t>CAJ/71/</w:t>
            </w:r>
            <w:bookmarkStart w:id="0" w:name="Code"/>
            <w:bookmarkEnd w:id="0"/>
            <w:r w:rsidRPr="006D0C17">
              <w:rPr>
                <w:lang w:val="de-DE"/>
              </w:rPr>
              <w:t>8</w:t>
            </w:r>
          </w:p>
          <w:p w:rsidR="000D7780" w:rsidRPr="006D0C17" w:rsidRDefault="0061555F" w:rsidP="006655D3">
            <w:pPr>
              <w:pStyle w:val="Docoriginal"/>
              <w:rPr>
                <w:b w:val="0"/>
                <w:spacing w:val="0"/>
                <w:lang w:val="de-DE"/>
              </w:rPr>
            </w:pPr>
            <w:r w:rsidRPr="006D0C17">
              <w:rPr>
                <w:rStyle w:val="StyleDoclangBold"/>
                <w:b/>
                <w:spacing w:val="0"/>
                <w:lang w:val="de-DE"/>
              </w:rPr>
              <w:t>ORIGINAL:</w:t>
            </w:r>
            <w:r w:rsidRPr="006D0C17">
              <w:rPr>
                <w:rStyle w:val="StyleDocoriginalNotBold1"/>
                <w:spacing w:val="0"/>
                <w:lang w:val="de-DE"/>
              </w:rPr>
              <w:t xml:space="preserve"> </w:t>
            </w:r>
            <w:bookmarkStart w:id="1" w:name="Original"/>
            <w:bookmarkEnd w:id="1"/>
            <w:r w:rsidRPr="006D0C17">
              <w:rPr>
                <w:b w:val="0"/>
                <w:spacing w:val="0"/>
                <w:lang w:val="de-DE"/>
              </w:rPr>
              <w:t>englisch</w:t>
            </w:r>
          </w:p>
          <w:p w:rsidR="000D7780" w:rsidRPr="006D0C17" w:rsidRDefault="000D7780" w:rsidP="004656D9">
            <w:pPr>
              <w:pStyle w:val="Docoriginal"/>
              <w:rPr>
                <w:lang w:val="de-DE"/>
              </w:rPr>
            </w:pPr>
            <w:r w:rsidRPr="006D0C17">
              <w:rPr>
                <w:lang w:val="de-DE"/>
              </w:rPr>
              <w:t xml:space="preserve">DATUM: </w:t>
            </w:r>
            <w:bookmarkStart w:id="2" w:name="Date"/>
            <w:bookmarkEnd w:id="2"/>
            <w:r w:rsidRPr="006D0C17">
              <w:rPr>
                <w:b w:val="0"/>
                <w:spacing w:val="0"/>
                <w:lang w:val="de-DE"/>
              </w:rPr>
              <w:t>2</w:t>
            </w:r>
            <w:r w:rsidR="006D0C17" w:rsidRPr="006D0C17">
              <w:rPr>
                <w:b w:val="0"/>
                <w:spacing w:val="0"/>
                <w:lang w:val="de-DE"/>
              </w:rPr>
              <w:t>6</w:t>
            </w:r>
            <w:r w:rsidRPr="006D0C17">
              <w:rPr>
                <w:b w:val="0"/>
                <w:spacing w:val="0"/>
                <w:lang w:val="de-DE"/>
              </w:rPr>
              <w:t>. Februar</w:t>
            </w:r>
            <w:r w:rsidR="00C55AAC" w:rsidRPr="006D0C17">
              <w:rPr>
                <w:b w:val="0"/>
                <w:spacing w:val="0"/>
                <w:lang w:val="de-DE"/>
              </w:rPr>
              <w:t xml:space="preserve"> </w:t>
            </w:r>
            <w:r w:rsidRPr="006D0C17">
              <w:rPr>
                <w:b w:val="0"/>
                <w:spacing w:val="0"/>
                <w:lang w:val="de-DE"/>
              </w:rPr>
              <w:t>2015</w:t>
            </w:r>
          </w:p>
        </w:tc>
      </w:tr>
      <w:tr w:rsidR="000D7780" w:rsidRPr="006D0C17" w:rsidTr="009A3C1D">
        <w:tc>
          <w:tcPr>
            <w:tcW w:w="10131" w:type="dxa"/>
            <w:gridSpan w:val="3"/>
          </w:tcPr>
          <w:p w:rsidR="000D7780" w:rsidRPr="006D0C17" w:rsidRDefault="0024416D" w:rsidP="006655D3">
            <w:pPr>
              <w:pStyle w:val="upove"/>
              <w:rPr>
                <w:sz w:val="28"/>
                <w:lang w:val="de-DE"/>
              </w:rPr>
            </w:pPr>
            <w:r w:rsidRPr="006D0C17">
              <w:rPr>
                <w:lang w:val="de-DE"/>
              </w:rPr>
              <w:t xml:space="preserve">INTERNATIONALER VERBAND ZUM SCHUTZ VON PFLANZENZÜCHTUNGEN </w:t>
            </w:r>
          </w:p>
        </w:tc>
      </w:tr>
      <w:tr w:rsidR="000D7780" w:rsidRPr="006D0C17" w:rsidTr="009A3C1D">
        <w:tc>
          <w:tcPr>
            <w:tcW w:w="10131" w:type="dxa"/>
            <w:gridSpan w:val="3"/>
          </w:tcPr>
          <w:p w:rsidR="000D7780" w:rsidRPr="006D0C17" w:rsidRDefault="00867AC1" w:rsidP="006655D3">
            <w:pPr>
              <w:pStyle w:val="Country"/>
              <w:rPr>
                <w:lang w:val="de-DE"/>
              </w:rPr>
            </w:pPr>
            <w:r w:rsidRPr="006D0C17">
              <w:rPr>
                <w:lang w:val="de-DE"/>
              </w:rPr>
              <w:t>Genf</w:t>
            </w:r>
          </w:p>
        </w:tc>
      </w:tr>
    </w:tbl>
    <w:p w:rsidR="009A3C1D" w:rsidRPr="006D0C17" w:rsidRDefault="009A3C1D" w:rsidP="009A3C1D">
      <w:pPr>
        <w:pStyle w:val="Sessiontc"/>
        <w:rPr>
          <w:lang w:val="de-DE"/>
        </w:rPr>
      </w:pPr>
      <w:bookmarkStart w:id="3" w:name="TitleOfDoc"/>
      <w:bookmarkEnd w:id="3"/>
      <w:r w:rsidRPr="006D0C17">
        <w:rPr>
          <w:lang w:val="de-DE"/>
        </w:rPr>
        <w:t>verwaltungs- UND rechtsAUSSCHUSS</w:t>
      </w:r>
    </w:p>
    <w:p w:rsidR="009A3C1D" w:rsidRPr="006D0C17" w:rsidRDefault="009A3C1D" w:rsidP="009A3C1D">
      <w:pPr>
        <w:pStyle w:val="Sessiontcplacedate"/>
        <w:rPr>
          <w:lang w:val="de-DE"/>
        </w:rPr>
      </w:pPr>
      <w:r w:rsidRPr="006D0C17">
        <w:rPr>
          <w:lang w:val="de-DE"/>
        </w:rPr>
        <w:t>Einundsiebzigste Tagung</w:t>
      </w:r>
      <w:r w:rsidRPr="006D0C17">
        <w:rPr>
          <w:lang w:val="de-DE"/>
        </w:rPr>
        <w:br/>
        <w:t>Genf, 26. März 2015</w:t>
      </w:r>
    </w:p>
    <w:p w:rsidR="000D7780" w:rsidRPr="006D0C17" w:rsidRDefault="00AE48EB" w:rsidP="006655D3">
      <w:pPr>
        <w:pStyle w:val="Titleofdoc0"/>
        <w:rPr>
          <w:lang w:val="de-DE"/>
        </w:rPr>
      </w:pPr>
      <w:r w:rsidRPr="006D0C17">
        <w:rPr>
          <w:lang w:val="de-DE"/>
        </w:rPr>
        <w:t>Molekulare Verfahren</w:t>
      </w:r>
    </w:p>
    <w:p w:rsidR="00050E16" w:rsidRPr="006D0C17" w:rsidRDefault="00AE0EF1" w:rsidP="00050E16">
      <w:pPr>
        <w:pStyle w:val="preparedby1"/>
        <w:rPr>
          <w:lang w:val="de-DE"/>
        </w:rPr>
      </w:pPr>
      <w:bookmarkStart w:id="4" w:name="Prepared"/>
      <w:bookmarkEnd w:id="4"/>
      <w:r w:rsidRPr="006D0C17">
        <w:rPr>
          <w:lang w:val="de-DE"/>
        </w:rPr>
        <w:t>vom Verbandsbüro erstelltes Dokument</w:t>
      </w:r>
      <w:r w:rsidRPr="006D0C17">
        <w:rPr>
          <w:lang w:val="de-DE"/>
        </w:rPr>
        <w:br/>
      </w:r>
      <w:r w:rsidRPr="006D0C17">
        <w:rPr>
          <w:lang w:val="de-DE"/>
        </w:rPr>
        <w:br/>
      </w:r>
      <w:r w:rsidRPr="006D0C17">
        <w:rPr>
          <w:color w:val="A6A6A6" w:themeColor="background1" w:themeShade="A6"/>
          <w:lang w:val="de-DE"/>
        </w:rPr>
        <w:t>Haftungsausschluß: dieses Dokument gibt nicht die Grundsätze oder eine Anleitung der UPOV wieder</w:t>
      </w:r>
    </w:p>
    <w:p w:rsidR="009A3C1D" w:rsidRPr="006D0C17" w:rsidRDefault="009A3C1D" w:rsidP="006505F5">
      <w:pPr>
        <w:pStyle w:val="Heading1"/>
        <w:rPr>
          <w:lang w:val="de-DE"/>
        </w:rPr>
      </w:pPr>
      <w:bookmarkStart w:id="5" w:name="_Toc387757149"/>
      <w:bookmarkStart w:id="6" w:name="_Toc404931496"/>
      <w:bookmarkStart w:id="7" w:name="_Toc404931550"/>
      <w:bookmarkStart w:id="8" w:name="_Toc404931721"/>
      <w:bookmarkStart w:id="9" w:name="_Toc404932170"/>
      <w:bookmarkStart w:id="10" w:name="_Toc404935671"/>
      <w:bookmarkStart w:id="11" w:name="_Toc410717532"/>
      <w:bookmarkStart w:id="12" w:name="_Toc410899658"/>
      <w:bookmarkStart w:id="13" w:name="_Toc412456852"/>
      <w:bookmarkStart w:id="14" w:name="_Toc374716168"/>
      <w:bookmarkStart w:id="15" w:name="_Toc414358729"/>
      <w:r w:rsidRPr="006D0C17">
        <w:rPr>
          <w:lang w:val="de-DE"/>
        </w:rPr>
        <w:t>Zusammenfassung</w:t>
      </w:r>
      <w:bookmarkEnd w:id="5"/>
      <w:bookmarkEnd w:id="6"/>
      <w:bookmarkEnd w:id="7"/>
      <w:bookmarkEnd w:id="8"/>
      <w:bookmarkEnd w:id="9"/>
      <w:bookmarkEnd w:id="10"/>
      <w:bookmarkEnd w:id="11"/>
      <w:bookmarkEnd w:id="12"/>
      <w:bookmarkEnd w:id="13"/>
      <w:bookmarkEnd w:id="15"/>
    </w:p>
    <w:p w:rsidR="009A3C1D" w:rsidRPr="006D0C17" w:rsidRDefault="009A3C1D" w:rsidP="009A3C1D">
      <w:pPr>
        <w:rPr>
          <w:lang w:val="de-DE"/>
        </w:rPr>
      </w:pPr>
    </w:p>
    <w:p w:rsidR="009A3C1D" w:rsidRPr="006D0C17" w:rsidRDefault="00FF0C5F" w:rsidP="009A3C1D">
      <w:pPr>
        <w:rPr>
          <w:lang w:val="de-DE"/>
        </w:rPr>
      </w:pPr>
      <w:r w:rsidRPr="006D0C17">
        <w:rPr>
          <w:lang w:val="de-DE"/>
        </w:rPr>
        <w:fldChar w:fldCharType="begin"/>
      </w:r>
      <w:r w:rsidR="009A3C1D" w:rsidRPr="006D0C17">
        <w:rPr>
          <w:lang w:val="de-DE"/>
        </w:rPr>
        <w:instrText xml:space="preserve"> AUTONUM  </w:instrText>
      </w:r>
      <w:r w:rsidRPr="006D0C17">
        <w:rPr>
          <w:lang w:val="de-DE"/>
        </w:rPr>
        <w:fldChar w:fldCharType="end"/>
      </w:r>
      <w:r w:rsidR="009A3C1D" w:rsidRPr="006D0C17">
        <w:rPr>
          <w:lang w:val="de-DE"/>
        </w:rPr>
        <w:tab/>
        <w:t xml:space="preserve">Zweck dieses Dokument ist es, über Entwicklungen </w:t>
      </w:r>
      <w:proofErr w:type="gramStart"/>
      <w:r w:rsidR="009A3C1D" w:rsidRPr="006D0C17">
        <w:rPr>
          <w:lang w:val="de-DE"/>
        </w:rPr>
        <w:t>seit</w:t>
      </w:r>
      <w:proofErr w:type="gramEnd"/>
      <w:r w:rsidR="009A3C1D" w:rsidRPr="006D0C17">
        <w:rPr>
          <w:lang w:val="de-DE"/>
        </w:rPr>
        <w:t xml:space="preserve"> der siebzigsten Tagung des Verwaltungs- und Rechtsausschusse</w:t>
      </w:r>
      <w:r w:rsidR="00E77BAD" w:rsidRPr="006D0C17">
        <w:rPr>
          <w:lang w:val="de-DE"/>
        </w:rPr>
        <w:t>s</w:t>
      </w:r>
      <w:r w:rsidR="009A3C1D" w:rsidRPr="006D0C17">
        <w:rPr>
          <w:lang w:val="de-DE"/>
        </w:rPr>
        <w:t xml:space="preserve"> (CAJ) betreffend molekulare Verfahren Bericht zu erstatten in Bezug auf: </w:t>
      </w:r>
    </w:p>
    <w:p w:rsidR="009A3C1D" w:rsidRPr="006D0C17" w:rsidRDefault="009A3C1D" w:rsidP="009A3C1D">
      <w:pPr>
        <w:rPr>
          <w:lang w:val="de-DE"/>
        </w:rPr>
      </w:pPr>
    </w:p>
    <w:p w:rsidR="009A3C1D" w:rsidRPr="006D0C17" w:rsidRDefault="009A3C1D" w:rsidP="009A3C1D">
      <w:pPr>
        <w:ind w:left="1170" w:hanging="603"/>
        <w:rPr>
          <w:lang w:val="de-DE"/>
        </w:rPr>
      </w:pPr>
      <w:r w:rsidRPr="006D0C17">
        <w:rPr>
          <w:lang w:val="de-DE"/>
        </w:rPr>
        <w:t>a)</w:t>
      </w:r>
      <w:r w:rsidRPr="006D0C17">
        <w:rPr>
          <w:lang w:val="de-DE"/>
        </w:rPr>
        <w:tab/>
        <w:t>Arbeitsgruppe für biochemische und molekulare Verfahren und insbesondere für DNS</w:t>
      </w:r>
      <w:r w:rsidR="00C55AAC" w:rsidRPr="006D0C17">
        <w:rPr>
          <w:lang w:val="de-DE"/>
        </w:rPr>
        <w:noBreakHyphen/>
      </w:r>
      <w:r w:rsidRPr="006D0C17">
        <w:rPr>
          <w:lang w:val="de-DE"/>
        </w:rPr>
        <w:t>Profilierungsverfahren (BMT)</w:t>
      </w:r>
    </w:p>
    <w:p w:rsidR="009A3C1D" w:rsidRPr="006D0C17" w:rsidRDefault="009A3C1D" w:rsidP="009A3C1D">
      <w:pPr>
        <w:ind w:left="1170" w:hanging="603"/>
        <w:rPr>
          <w:lang w:val="de-DE"/>
        </w:rPr>
      </w:pPr>
      <w:r w:rsidRPr="006D0C17">
        <w:rPr>
          <w:lang w:val="de-DE"/>
        </w:rPr>
        <w:t>b)</w:t>
      </w:r>
      <w:r w:rsidRPr="006D0C17">
        <w:rPr>
          <w:lang w:val="de-DE"/>
        </w:rPr>
        <w:tab/>
        <w:t>Gemeinsame Arbeitstagung von OECD, UPOV, ISTA über molekulare Verfahren</w:t>
      </w:r>
    </w:p>
    <w:p w:rsidR="009A3C1D" w:rsidRPr="006D0C17" w:rsidRDefault="009A3C1D" w:rsidP="009A3C1D">
      <w:pPr>
        <w:ind w:left="1170" w:hanging="603"/>
        <w:rPr>
          <w:lang w:val="de-DE"/>
        </w:rPr>
      </w:pPr>
      <w:r w:rsidRPr="006D0C17">
        <w:rPr>
          <w:lang w:val="de-DE"/>
        </w:rPr>
        <w:t>c)</w:t>
      </w:r>
      <w:r w:rsidRPr="006D0C17">
        <w:rPr>
          <w:lang w:val="de-DE"/>
        </w:rPr>
        <w:tab/>
        <w:t>Erörterung über molekulare Verfahren auf der fünfzigsten Tagung des Technischen Ausschusses (TC)</w:t>
      </w:r>
    </w:p>
    <w:p w:rsidR="009A3C1D" w:rsidRPr="006D0C17" w:rsidRDefault="009A3C1D" w:rsidP="009A3C1D">
      <w:pPr>
        <w:ind w:left="1170" w:hanging="603"/>
        <w:rPr>
          <w:lang w:val="de-DE"/>
        </w:rPr>
      </w:pPr>
      <w:r w:rsidRPr="006D0C17">
        <w:rPr>
          <w:lang w:val="de-DE"/>
        </w:rPr>
        <w:t>d)</w:t>
      </w:r>
      <w:r w:rsidRPr="006D0C17">
        <w:rPr>
          <w:lang w:val="de-DE"/>
        </w:rPr>
        <w:tab/>
        <w:t>Erteilung von Informationen über die Lage in der UPOV bezüglich der Verwendung molekularer Verfahren</w:t>
      </w:r>
    </w:p>
    <w:p w:rsidR="009A3C1D" w:rsidRPr="006D0C17" w:rsidRDefault="009A3C1D" w:rsidP="009A3C1D">
      <w:pPr>
        <w:rPr>
          <w:lang w:val="de-DE"/>
        </w:rPr>
      </w:pPr>
    </w:p>
    <w:p w:rsidR="009A3C1D" w:rsidRPr="006D0C17" w:rsidRDefault="00FF0C5F" w:rsidP="009A3C1D">
      <w:pPr>
        <w:pStyle w:val="DecisionParagraphs"/>
        <w:tabs>
          <w:tab w:val="clear" w:pos="5387"/>
          <w:tab w:val="left" w:pos="540"/>
        </w:tabs>
        <w:ind w:left="0"/>
        <w:rPr>
          <w:i w:val="0"/>
          <w:lang w:val="de-DE"/>
        </w:rPr>
      </w:pPr>
      <w:r w:rsidRPr="006D0C17">
        <w:rPr>
          <w:i w:val="0"/>
          <w:lang w:val="de-DE"/>
        </w:rPr>
        <w:fldChar w:fldCharType="begin"/>
      </w:r>
      <w:r w:rsidR="009A3C1D" w:rsidRPr="006D0C17">
        <w:rPr>
          <w:i w:val="0"/>
          <w:lang w:val="de-DE"/>
        </w:rPr>
        <w:instrText xml:space="preserve"> AUTONUM  </w:instrText>
      </w:r>
      <w:r w:rsidRPr="006D0C17">
        <w:rPr>
          <w:i w:val="0"/>
          <w:lang w:val="de-DE"/>
        </w:rPr>
        <w:fldChar w:fldCharType="end"/>
      </w:r>
      <w:r w:rsidR="009A3C1D" w:rsidRPr="006D0C17">
        <w:rPr>
          <w:i w:val="0"/>
          <w:lang w:val="de-DE"/>
        </w:rPr>
        <w:tab/>
        <w:t>Der CAJ wird ersucht,</w:t>
      </w:r>
    </w:p>
    <w:p w:rsidR="009A3C1D" w:rsidRPr="006D0C17" w:rsidRDefault="009A3C1D" w:rsidP="009A3C1D">
      <w:pPr>
        <w:rPr>
          <w:lang w:val="de-DE"/>
        </w:rPr>
      </w:pPr>
    </w:p>
    <w:p w:rsidR="009A3C1D" w:rsidRPr="006D0C17" w:rsidRDefault="00C06191" w:rsidP="00C06191">
      <w:pPr>
        <w:rPr>
          <w:lang w:val="de-DE"/>
        </w:rPr>
      </w:pPr>
      <w:r w:rsidRPr="006D0C17">
        <w:rPr>
          <w:lang w:val="de-DE"/>
        </w:rPr>
        <w:tab/>
        <w:t>a)</w:t>
      </w:r>
      <w:r w:rsidRPr="006D0C17">
        <w:rPr>
          <w:lang w:val="de-DE"/>
        </w:rPr>
        <w:tab/>
        <w:t>den Bericht über die Entwicklungen in der BMT</w:t>
      </w:r>
      <w:r w:rsidRPr="006D0C17">
        <w:rPr>
          <w:rStyle w:val="FootnoteReference"/>
          <w:lang w:val="de-DE"/>
        </w:rPr>
        <w:footnoteReference w:id="2"/>
      </w:r>
      <w:r w:rsidRPr="006D0C17">
        <w:rPr>
          <w:lang w:val="de-DE"/>
        </w:rPr>
        <w:t>, wie in den Absätzen 6 bis 9 dieses Dokuments dargelegt, zur Kenntnis zu nehmen;</w:t>
      </w:r>
    </w:p>
    <w:p w:rsidR="009A3C1D" w:rsidRPr="006D0C17" w:rsidRDefault="009A3C1D" w:rsidP="00C06191">
      <w:pPr>
        <w:rPr>
          <w:lang w:val="de-DE"/>
        </w:rPr>
      </w:pPr>
    </w:p>
    <w:p w:rsidR="00C06191" w:rsidRPr="006D0C17" w:rsidRDefault="00C06191" w:rsidP="00C06191">
      <w:pPr>
        <w:rPr>
          <w:lang w:val="de-DE"/>
        </w:rPr>
      </w:pPr>
      <w:r w:rsidRPr="006D0C17">
        <w:rPr>
          <w:lang w:val="de-DE"/>
        </w:rPr>
        <w:tab/>
      </w:r>
      <w:r w:rsidR="006D0C17" w:rsidRPr="006D0C17">
        <w:rPr>
          <w:lang w:val="de-DE"/>
        </w:rPr>
        <w:t>b</w:t>
      </w:r>
      <w:r w:rsidRPr="006D0C17">
        <w:rPr>
          <w:lang w:val="de-DE"/>
        </w:rPr>
        <w:t>)</w:t>
      </w:r>
      <w:r w:rsidRPr="006D0C17">
        <w:rPr>
          <w:lang w:val="de-DE"/>
        </w:rPr>
        <w:tab/>
        <w:t xml:space="preserve">zur Kenntnis zu nehmen, daß </w:t>
      </w:r>
      <w:r w:rsidR="00E77BAD" w:rsidRPr="006D0C17">
        <w:rPr>
          <w:lang w:val="de-DE"/>
        </w:rPr>
        <w:t xml:space="preserve">die </w:t>
      </w:r>
      <w:r w:rsidRPr="006D0C17">
        <w:rPr>
          <w:lang w:val="de-DE"/>
        </w:rPr>
        <w:t>Gemeinsame Arbeitstagung von OECD, UPOV, ISTA über molekulare Verfahren</w:t>
      </w:r>
      <w:r w:rsidRPr="006D0C17">
        <w:rPr>
          <w:rStyle w:val="FootnoteReference"/>
          <w:lang w:val="de-DE"/>
        </w:rPr>
        <w:footnoteReference w:id="3"/>
      </w:r>
      <w:r w:rsidRPr="006D0C17">
        <w:rPr>
          <w:lang w:val="de-DE"/>
        </w:rPr>
        <w:t xml:space="preserve"> vereinbart hatte, daß es zweckmäßig wäre, die gemeinsame Arbeitstagung auf einschlägigen Tagungen der OECD und der ISTA zu wiederholen und in dieser Hinsicht, daß die Tagung der Arbeitsgruppe der OECD-Saatgutsysteme vereinbart hatte, daß eine weitere gemeinsame Arbeitstagung von OECD, UPOV, ISTA über molekulare Verfahren entweder in Verbindung mit der Jahrestagung der OECD</w:t>
      </w:r>
      <w:r w:rsidR="00E77BAD" w:rsidRPr="006D0C17">
        <w:rPr>
          <w:lang w:val="de-DE"/>
        </w:rPr>
        <w:noBreakHyphen/>
      </w:r>
      <w:r w:rsidRPr="006D0C17">
        <w:rPr>
          <w:lang w:val="de-DE"/>
        </w:rPr>
        <w:t>Saatgutsysteme im Juni 2015 in Paris oder in Verbindung mit der Tagung der Technischen Arbeitsgruppe im Januar 2016 organisiert werden soll;</w:t>
      </w:r>
    </w:p>
    <w:p w:rsidR="00C06191" w:rsidRPr="006D0C17" w:rsidRDefault="00C06191" w:rsidP="00C06191">
      <w:pPr>
        <w:rPr>
          <w:lang w:val="de-DE"/>
        </w:rPr>
      </w:pPr>
    </w:p>
    <w:p w:rsidR="00C06191" w:rsidRPr="006D0C17" w:rsidRDefault="00C06191" w:rsidP="00C06191">
      <w:pPr>
        <w:rPr>
          <w:lang w:val="de-DE"/>
        </w:rPr>
      </w:pPr>
      <w:r w:rsidRPr="006D0C17">
        <w:rPr>
          <w:lang w:val="de-DE"/>
        </w:rPr>
        <w:tab/>
        <w:t>c)</w:t>
      </w:r>
      <w:r w:rsidRPr="006D0C17">
        <w:rPr>
          <w:lang w:val="de-DE"/>
        </w:rPr>
        <w:tab/>
        <w:t>zur Kenntnis zu nehmen, daß der TC auf seiner dreiundfünfzigsten Tagung im Jahr 2017</w:t>
      </w:r>
      <w:r w:rsidR="009B31C1" w:rsidRPr="006D0C17">
        <w:rPr>
          <w:lang w:val="de-DE"/>
        </w:rPr>
        <w:t xml:space="preserve"> ersucht werden wird</w:t>
      </w:r>
      <w:r w:rsidRPr="006D0C17">
        <w:rPr>
          <w:lang w:val="de-DE"/>
        </w:rPr>
        <w:t xml:space="preserve">: </w:t>
      </w:r>
    </w:p>
    <w:p w:rsidR="00C06191" w:rsidRPr="006D0C17" w:rsidRDefault="00C06191" w:rsidP="00C06191">
      <w:pPr>
        <w:rPr>
          <w:lang w:val="de-DE"/>
        </w:rPr>
      </w:pPr>
    </w:p>
    <w:p w:rsidR="009A3C1D" w:rsidRPr="006D0C17" w:rsidRDefault="00066251" w:rsidP="00066251">
      <w:pPr>
        <w:rPr>
          <w:lang w:val="de-DE"/>
        </w:rPr>
      </w:pPr>
      <w:r w:rsidRPr="006D0C17">
        <w:rPr>
          <w:lang w:val="de-DE"/>
        </w:rPr>
        <w:tab/>
      </w:r>
      <w:r w:rsidRPr="006D0C17">
        <w:rPr>
          <w:lang w:val="de-DE"/>
        </w:rPr>
        <w:tab/>
        <w:t>i)</w:t>
      </w:r>
      <w:r w:rsidRPr="006D0C17">
        <w:rPr>
          <w:lang w:val="de-DE"/>
        </w:rPr>
        <w:tab/>
        <w:t>das Programm für die fünfzehnte Tagung der BMT im Jahr 2016, einschließlich der Einplanung eines speziellen Datums („Tag der Züchter“) für die Punkte über die Verwendung molekularer Verfahren bei der Prüfung der wesentlichen Ableitung und bei der Sortenidentifikation, zu billigen</w:t>
      </w:r>
      <w:r w:rsidR="00E77BAD" w:rsidRPr="006D0C17">
        <w:rPr>
          <w:lang w:val="de-DE"/>
        </w:rPr>
        <w:t>;</w:t>
      </w:r>
    </w:p>
    <w:p w:rsidR="009A3C1D" w:rsidRPr="006D0C17" w:rsidRDefault="009A3C1D" w:rsidP="00066251">
      <w:pPr>
        <w:rPr>
          <w:lang w:val="de-DE"/>
        </w:rPr>
      </w:pPr>
    </w:p>
    <w:p w:rsidR="009A3C1D" w:rsidRPr="006D0C17" w:rsidRDefault="009B31C1" w:rsidP="00066251">
      <w:pPr>
        <w:rPr>
          <w:lang w:val="de-DE"/>
        </w:rPr>
      </w:pPr>
      <w:r w:rsidRPr="006D0C17">
        <w:rPr>
          <w:lang w:val="de-DE"/>
        </w:rPr>
        <w:lastRenderedPageBreak/>
        <w:tab/>
      </w:r>
      <w:r w:rsidRPr="006D0C17">
        <w:rPr>
          <w:lang w:val="de-DE"/>
        </w:rPr>
        <w:tab/>
        <w:t>ii)</w:t>
      </w:r>
      <w:r w:rsidRPr="006D0C17">
        <w:rPr>
          <w:lang w:val="de-DE"/>
        </w:rPr>
        <w:tab/>
        <w:t>zu prüfen</w:t>
      </w:r>
      <w:r w:rsidR="00066251" w:rsidRPr="006D0C17">
        <w:rPr>
          <w:lang w:val="de-DE"/>
        </w:rPr>
        <w:t>, ob ein gemeinsames Dokument zur Erläuterung der wesentlichen Besonderheiten der Systeme von OECD, UPOV und ISTA erstellt werden soll;</w:t>
      </w:r>
    </w:p>
    <w:p w:rsidR="009A3C1D" w:rsidRPr="006D0C17" w:rsidRDefault="009A3C1D" w:rsidP="00066251">
      <w:pPr>
        <w:rPr>
          <w:lang w:val="de-DE"/>
        </w:rPr>
      </w:pPr>
    </w:p>
    <w:p w:rsidR="009A3C1D" w:rsidRPr="006D0C17" w:rsidRDefault="00066251" w:rsidP="00066251">
      <w:pPr>
        <w:rPr>
          <w:lang w:val="de-DE"/>
        </w:rPr>
      </w:pPr>
      <w:r w:rsidRPr="006D0C17">
        <w:rPr>
          <w:lang w:val="de-DE"/>
        </w:rPr>
        <w:tab/>
      </w:r>
      <w:r w:rsidRPr="006D0C17">
        <w:rPr>
          <w:lang w:val="de-DE"/>
        </w:rPr>
        <w:tab/>
        <w:t>iii)</w:t>
      </w:r>
      <w:r w:rsidRPr="006D0C17">
        <w:rPr>
          <w:lang w:val="de-DE"/>
        </w:rPr>
        <w:tab/>
      </w:r>
      <w:r w:rsidR="009B31C1" w:rsidRPr="006D0C17">
        <w:rPr>
          <w:lang w:val="de-DE"/>
        </w:rPr>
        <w:t>zu prüfen,</w:t>
      </w:r>
      <w:r w:rsidRPr="006D0C17">
        <w:rPr>
          <w:lang w:val="de-DE"/>
        </w:rPr>
        <w:t xml:space="preserve"> ob eine Bestandsaufnahme zur Verwendung molekularer Markerverfahren nach Pflanze im Hinblick auf die Ausarbeitung eines gemeinsamen Dokuments von OECD, UPOV und ISTA mit diesen Informationen in einem ähnlichen Format wie das UPOV-Dokument UPOV/INF/16 „Austauschbare Software“ erstellt werden soll;</w:t>
      </w:r>
    </w:p>
    <w:p w:rsidR="009A3C1D" w:rsidRPr="006D0C17" w:rsidRDefault="009A3C1D" w:rsidP="00066251">
      <w:pPr>
        <w:rPr>
          <w:lang w:val="de-DE"/>
        </w:rPr>
      </w:pPr>
    </w:p>
    <w:p w:rsidR="009A3C1D" w:rsidRPr="006D0C17" w:rsidRDefault="00066251" w:rsidP="00066251">
      <w:pPr>
        <w:rPr>
          <w:lang w:val="de-DE"/>
        </w:rPr>
      </w:pPr>
      <w:r w:rsidRPr="006D0C17">
        <w:rPr>
          <w:lang w:val="de-DE"/>
        </w:rPr>
        <w:tab/>
      </w:r>
      <w:r w:rsidRPr="006D0C17">
        <w:rPr>
          <w:lang w:val="de-DE"/>
        </w:rPr>
        <w:tab/>
        <w:t>iv)</w:t>
      </w:r>
      <w:r w:rsidRPr="006D0C17">
        <w:rPr>
          <w:lang w:val="de-DE"/>
        </w:rPr>
        <w:tab/>
        <w:t xml:space="preserve">den Vorschlag </w:t>
      </w:r>
      <w:r w:rsidR="009B31C1" w:rsidRPr="006D0C17">
        <w:rPr>
          <w:lang w:val="de-DE"/>
        </w:rPr>
        <w:t>zu prüfen</w:t>
      </w:r>
      <w:r w:rsidRPr="006D0C17">
        <w:rPr>
          <w:lang w:val="de-DE"/>
        </w:rPr>
        <w:t xml:space="preserve">, daß die BMT auf ihrer fünfzehnten Tagung Listen möglicher gemeinsamer Initiativen mit OECD und ISTA hinsichtlich molekularer Verfahren erstellen soll; </w:t>
      </w:r>
    </w:p>
    <w:p w:rsidR="009A3C1D" w:rsidRPr="006D0C17" w:rsidRDefault="009A3C1D" w:rsidP="00066251">
      <w:pPr>
        <w:rPr>
          <w:lang w:val="de-DE"/>
        </w:rPr>
      </w:pPr>
    </w:p>
    <w:p w:rsidR="009A3C1D" w:rsidRPr="006D0C17" w:rsidRDefault="00066251" w:rsidP="00066251">
      <w:pPr>
        <w:rPr>
          <w:lang w:val="de-DE"/>
        </w:rPr>
      </w:pPr>
      <w:r w:rsidRPr="006D0C17">
        <w:rPr>
          <w:lang w:val="de-DE"/>
        </w:rPr>
        <w:tab/>
      </w:r>
      <w:r w:rsidRPr="006D0C17">
        <w:rPr>
          <w:lang w:val="de-DE"/>
        </w:rPr>
        <w:tab/>
        <w:t>v)</w:t>
      </w:r>
      <w:r w:rsidRPr="006D0C17">
        <w:rPr>
          <w:lang w:val="de-DE"/>
        </w:rPr>
        <w:tab/>
      </w:r>
      <w:r w:rsidR="009B31C1" w:rsidRPr="006D0C17">
        <w:rPr>
          <w:lang w:val="de-DE"/>
        </w:rPr>
        <w:t>zu prüfen</w:t>
      </w:r>
      <w:r w:rsidRPr="006D0C17">
        <w:rPr>
          <w:lang w:val="de-DE"/>
        </w:rPr>
        <w:t>, ob die Erörterung über molekulare Verfahren auf der Präsentation von Höhepunkten von der vierzehnten Tagung der BMT vom 10. bis 13. November 2014 in Seoul, Republik Korea, und der gemeinsamen Arbeitstagung von OECD, UPOV und ISTA vom 12. November 2014 in Seoul, Republik Korea, basieren soll;</w:t>
      </w:r>
      <w:r w:rsidR="00E77BAD" w:rsidRPr="006D0C17">
        <w:rPr>
          <w:lang w:val="de-DE"/>
        </w:rPr>
        <w:t xml:space="preserve"> </w:t>
      </w:r>
      <w:r w:rsidRPr="006D0C17">
        <w:rPr>
          <w:lang w:val="de-DE"/>
        </w:rPr>
        <w:t>und</w:t>
      </w:r>
    </w:p>
    <w:p w:rsidR="009A3C1D" w:rsidRPr="006D0C17" w:rsidRDefault="009A3C1D" w:rsidP="00066251">
      <w:pPr>
        <w:rPr>
          <w:lang w:val="de-DE"/>
        </w:rPr>
      </w:pPr>
    </w:p>
    <w:p w:rsidR="009A3C1D" w:rsidRPr="006D0C17" w:rsidRDefault="00066251" w:rsidP="00066251">
      <w:pPr>
        <w:rPr>
          <w:lang w:val="de-DE"/>
        </w:rPr>
      </w:pPr>
      <w:r w:rsidRPr="006D0C17">
        <w:rPr>
          <w:lang w:val="de-DE"/>
        </w:rPr>
        <w:tab/>
      </w:r>
      <w:r w:rsidRPr="006D0C17">
        <w:rPr>
          <w:lang w:val="de-DE"/>
        </w:rPr>
        <w:tab/>
        <w:t>vi)</w:t>
      </w:r>
      <w:r w:rsidRPr="006D0C17">
        <w:rPr>
          <w:lang w:val="de-DE"/>
        </w:rPr>
        <w:tab/>
        <w:t xml:space="preserve">einen Entwurf für Frage und Antwort bezüglich der Informationen über die Lage in der UPOV hinsichtlich der Verwendung molekularer Verfahren für ein breiteres Publikum, einschließlich der Öffentlichkeit im </w:t>
      </w:r>
      <w:proofErr w:type="gramStart"/>
      <w:r w:rsidRPr="006D0C17">
        <w:rPr>
          <w:lang w:val="de-DE"/>
        </w:rPr>
        <w:t>allgemeinen</w:t>
      </w:r>
      <w:proofErr w:type="gramEnd"/>
      <w:r w:rsidRPr="006D0C17">
        <w:rPr>
          <w:lang w:val="de-DE"/>
        </w:rPr>
        <w:t xml:space="preserve"> auszuarbeiten.</w:t>
      </w:r>
    </w:p>
    <w:p w:rsidR="008D6750" w:rsidRPr="006D0C17" w:rsidRDefault="008D6750" w:rsidP="00213DB3">
      <w:pPr>
        <w:ind w:left="1170" w:hanging="603"/>
        <w:rPr>
          <w:lang w:val="de-DE"/>
        </w:rPr>
      </w:pPr>
    </w:p>
    <w:bookmarkEnd w:id="14"/>
    <w:p w:rsidR="00362C4E" w:rsidRPr="006D0C17" w:rsidRDefault="00FF0C5F" w:rsidP="00362C4E">
      <w:pPr>
        <w:keepNext/>
        <w:rPr>
          <w:color w:val="000000"/>
          <w:lang w:val="de-DE"/>
        </w:rPr>
      </w:pPr>
      <w:r w:rsidRPr="006D0C17">
        <w:rPr>
          <w:lang w:val="de-DE"/>
        </w:rPr>
        <w:fldChar w:fldCharType="begin"/>
      </w:r>
      <w:r w:rsidR="00C65728" w:rsidRPr="006D0C17">
        <w:rPr>
          <w:lang w:val="de-DE"/>
        </w:rPr>
        <w:instrText xml:space="preserve"> AUTONUM  </w:instrText>
      </w:r>
      <w:r w:rsidRPr="006D0C17">
        <w:rPr>
          <w:lang w:val="de-DE"/>
        </w:rPr>
        <w:fldChar w:fldCharType="end"/>
      </w:r>
      <w:r w:rsidR="00C65728" w:rsidRPr="006D0C17">
        <w:rPr>
          <w:lang w:val="de-DE"/>
        </w:rPr>
        <w:tab/>
        <w:t>In diesem Dokument werden folgende Abkürzungen verwendet:</w:t>
      </w:r>
    </w:p>
    <w:p w:rsidR="00362C4E" w:rsidRPr="006D0C17" w:rsidRDefault="00362C4E" w:rsidP="00362C4E">
      <w:pPr>
        <w:keepNext/>
        <w:ind w:left="1692" w:hanging="1125"/>
        <w:jc w:val="left"/>
        <w:rPr>
          <w:color w:val="000000"/>
          <w:lang w:val="de-DE"/>
        </w:rPr>
      </w:pPr>
    </w:p>
    <w:p w:rsidR="002F749F" w:rsidRPr="006D0C17" w:rsidRDefault="00362C4E" w:rsidP="002F749F">
      <w:pPr>
        <w:keepNext/>
        <w:tabs>
          <w:tab w:val="left" w:pos="567"/>
          <w:tab w:val="left" w:pos="1701"/>
        </w:tabs>
        <w:ind w:left="1701" w:hanging="1134"/>
        <w:rPr>
          <w:lang w:val="de-DE"/>
        </w:rPr>
      </w:pPr>
      <w:r w:rsidRPr="006D0C17">
        <w:rPr>
          <w:lang w:val="de-DE"/>
        </w:rPr>
        <w:t>BMT</w:t>
      </w:r>
      <w:r w:rsidR="00A01E6E" w:rsidRPr="006D0C17">
        <w:rPr>
          <w:lang w:val="de-DE"/>
        </w:rPr>
        <w:t>:</w:t>
      </w:r>
      <w:r w:rsidRPr="006D0C17">
        <w:rPr>
          <w:lang w:val="de-DE"/>
        </w:rPr>
        <w:tab/>
        <w:t xml:space="preserve">Arbeitsgruppe für biochemische und molekulare Verfahren und insbesondere für DNS-Profilierungsverfahren </w:t>
      </w:r>
    </w:p>
    <w:p w:rsidR="00362C4E" w:rsidRPr="006D0C17" w:rsidRDefault="00362C4E" w:rsidP="00362C4E">
      <w:pPr>
        <w:keepNext/>
        <w:tabs>
          <w:tab w:val="left" w:pos="567"/>
          <w:tab w:val="left" w:pos="1701"/>
        </w:tabs>
        <w:ind w:firstLine="567"/>
        <w:rPr>
          <w:lang w:val="de-DE"/>
        </w:rPr>
      </w:pPr>
      <w:r w:rsidRPr="006D0C17">
        <w:rPr>
          <w:lang w:val="de-DE"/>
        </w:rPr>
        <w:t xml:space="preserve">CAJ:  </w:t>
      </w:r>
      <w:r w:rsidRPr="006D0C17">
        <w:rPr>
          <w:lang w:val="de-DE"/>
        </w:rPr>
        <w:tab/>
        <w:t>Verwaltungs- und Rechtsausschuß</w:t>
      </w:r>
    </w:p>
    <w:p w:rsidR="00C45724" w:rsidRPr="006D0C17" w:rsidRDefault="00362C4E" w:rsidP="00C45724">
      <w:pPr>
        <w:keepNext/>
        <w:tabs>
          <w:tab w:val="left" w:pos="567"/>
          <w:tab w:val="left" w:pos="1701"/>
        </w:tabs>
        <w:ind w:firstLine="567"/>
        <w:rPr>
          <w:lang w:val="de-DE"/>
        </w:rPr>
      </w:pPr>
      <w:r w:rsidRPr="006D0C17">
        <w:rPr>
          <w:lang w:val="de-DE"/>
        </w:rPr>
        <w:t xml:space="preserve">TC:  </w:t>
      </w:r>
      <w:r w:rsidRPr="006D0C17">
        <w:rPr>
          <w:lang w:val="de-DE"/>
        </w:rPr>
        <w:tab/>
        <w:t>Technischer Ausschuß</w:t>
      </w:r>
    </w:p>
    <w:p w:rsidR="00554D3E" w:rsidRPr="006D0C17" w:rsidRDefault="00C45724" w:rsidP="00554D3E">
      <w:pPr>
        <w:keepNext/>
        <w:tabs>
          <w:tab w:val="left" w:pos="567"/>
          <w:tab w:val="left" w:pos="1701"/>
        </w:tabs>
        <w:ind w:firstLine="567"/>
        <w:rPr>
          <w:rFonts w:eastAsia="PMingLiU" w:cs="Arial"/>
          <w:szCs w:val="24"/>
          <w:lang w:val="de-DE"/>
        </w:rPr>
      </w:pPr>
      <w:r w:rsidRPr="006D0C17">
        <w:rPr>
          <w:lang w:val="de-DE"/>
        </w:rPr>
        <w:t xml:space="preserve">TC-EDC:  </w:t>
      </w:r>
      <w:r w:rsidRPr="006D0C17">
        <w:rPr>
          <w:lang w:val="de-DE"/>
        </w:rPr>
        <w:tab/>
        <w:t>Erweiterter Redaktionsausschuß</w:t>
      </w:r>
    </w:p>
    <w:p w:rsidR="00554D3E" w:rsidRPr="006D0C17" w:rsidRDefault="00554D3E" w:rsidP="00554D3E">
      <w:pPr>
        <w:rPr>
          <w:rFonts w:eastAsia="PMingLiU" w:cs="Arial"/>
          <w:szCs w:val="24"/>
          <w:lang w:val="de-DE"/>
        </w:rPr>
      </w:pPr>
      <w:r w:rsidRPr="006D0C17">
        <w:rPr>
          <w:lang w:val="de-DE"/>
        </w:rPr>
        <w:tab/>
        <w:t xml:space="preserve">TWA:  </w:t>
      </w:r>
      <w:r w:rsidRPr="006D0C17">
        <w:rPr>
          <w:lang w:val="de-DE"/>
        </w:rPr>
        <w:tab/>
        <w:t>Technische Arbeitsgruppe für landwirtschaftliche Arten</w:t>
      </w:r>
    </w:p>
    <w:p w:rsidR="00554D3E" w:rsidRPr="006D0C17" w:rsidRDefault="00554D3E" w:rsidP="00554D3E">
      <w:pPr>
        <w:rPr>
          <w:rFonts w:eastAsia="PMingLiU" w:cs="Arial"/>
          <w:szCs w:val="24"/>
          <w:lang w:val="de-DE"/>
        </w:rPr>
      </w:pPr>
      <w:r w:rsidRPr="006D0C17">
        <w:rPr>
          <w:lang w:val="de-DE"/>
        </w:rPr>
        <w:tab/>
        <w:t xml:space="preserve">TWC:  </w:t>
      </w:r>
      <w:r w:rsidR="00A01E6E" w:rsidRPr="006D0C17">
        <w:rPr>
          <w:lang w:val="de-DE"/>
        </w:rPr>
        <w:tab/>
      </w:r>
      <w:r w:rsidRPr="006D0C17">
        <w:rPr>
          <w:lang w:val="de-DE"/>
        </w:rPr>
        <w:t>Technische Arbeitsgruppe für Automatisierung und Computerprogramme</w:t>
      </w:r>
    </w:p>
    <w:p w:rsidR="00554D3E" w:rsidRPr="006D0C17" w:rsidRDefault="00554D3E" w:rsidP="00554D3E">
      <w:pPr>
        <w:rPr>
          <w:rFonts w:eastAsia="PMingLiU" w:cs="Arial"/>
          <w:szCs w:val="24"/>
          <w:lang w:val="de-DE"/>
        </w:rPr>
      </w:pPr>
      <w:r w:rsidRPr="006D0C17">
        <w:rPr>
          <w:lang w:val="de-DE"/>
        </w:rPr>
        <w:tab/>
        <w:t xml:space="preserve">TWF:  </w:t>
      </w:r>
      <w:r w:rsidR="00A01E6E" w:rsidRPr="006D0C17">
        <w:rPr>
          <w:lang w:val="de-DE"/>
        </w:rPr>
        <w:tab/>
      </w:r>
      <w:r w:rsidRPr="006D0C17">
        <w:rPr>
          <w:lang w:val="de-DE"/>
        </w:rPr>
        <w:t>Technische Arbeitsgruppe für Obstarten</w:t>
      </w:r>
    </w:p>
    <w:p w:rsidR="00554D3E" w:rsidRPr="006D0C17" w:rsidRDefault="00554D3E" w:rsidP="00554D3E">
      <w:pPr>
        <w:rPr>
          <w:rFonts w:eastAsia="PMingLiU" w:cs="Arial"/>
          <w:szCs w:val="24"/>
          <w:lang w:val="de-DE"/>
        </w:rPr>
      </w:pPr>
      <w:r w:rsidRPr="006D0C17">
        <w:rPr>
          <w:lang w:val="de-DE"/>
        </w:rPr>
        <w:tab/>
        <w:t xml:space="preserve">TWO:  </w:t>
      </w:r>
      <w:r w:rsidR="00A01E6E" w:rsidRPr="006D0C17">
        <w:rPr>
          <w:lang w:val="de-DE"/>
        </w:rPr>
        <w:tab/>
      </w:r>
      <w:r w:rsidRPr="006D0C17">
        <w:rPr>
          <w:lang w:val="de-DE"/>
        </w:rPr>
        <w:t>Technische Arbeitsgruppe für Zierpflanzen und forstliche Baumarten</w:t>
      </w:r>
    </w:p>
    <w:p w:rsidR="00554D3E" w:rsidRPr="006D0C17" w:rsidRDefault="00554D3E" w:rsidP="00554D3E">
      <w:pPr>
        <w:rPr>
          <w:rFonts w:eastAsia="PMingLiU" w:cs="Arial"/>
          <w:szCs w:val="24"/>
          <w:lang w:val="de-DE"/>
        </w:rPr>
      </w:pPr>
      <w:r w:rsidRPr="006D0C17">
        <w:rPr>
          <w:lang w:val="de-DE"/>
        </w:rPr>
        <w:tab/>
        <w:t>TWP:</w:t>
      </w:r>
      <w:r w:rsidRPr="006D0C17">
        <w:rPr>
          <w:lang w:val="de-DE"/>
        </w:rPr>
        <w:tab/>
      </w:r>
      <w:r w:rsidR="00A01E6E" w:rsidRPr="006D0C17">
        <w:rPr>
          <w:lang w:val="de-DE"/>
        </w:rPr>
        <w:tab/>
      </w:r>
      <w:r w:rsidRPr="006D0C17">
        <w:rPr>
          <w:lang w:val="de-DE"/>
        </w:rPr>
        <w:t>Technische Arbeitsgruppen</w:t>
      </w:r>
    </w:p>
    <w:p w:rsidR="007330DD" w:rsidRPr="006D0C17" w:rsidRDefault="00554D3E" w:rsidP="008D6750">
      <w:pPr>
        <w:rPr>
          <w:rFonts w:cs="Arial"/>
          <w:szCs w:val="24"/>
          <w:lang w:val="de-DE"/>
        </w:rPr>
      </w:pPr>
      <w:r w:rsidRPr="006D0C17">
        <w:rPr>
          <w:lang w:val="de-DE"/>
        </w:rPr>
        <w:tab/>
        <w:t xml:space="preserve">TWV:  </w:t>
      </w:r>
      <w:r w:rsidR="00A01E6E" w:rsidRPr="006D0C17">
        <w:rPr>
          <w:lang w:val="de-DE"/>
        </w:rPr>
        <w:tab/>
      </w:r>
      <w:r w:rsidRPr="006D0C17">
        <w:rPr>
          <w:lang w:val="de-DE"/>
        </w:rPr>
        <w:t>Technische Arbeitsgruppe für Gemüsearten</w:t>
      </w:r>
    </w:p>
    <w:p w:rsidR="008D6750" w:rsidRPr="006D0C17" w:rsidRDefault="00540A2B" w:rsidP="008D6750">
      <w:pPr>
        <w:rPr>
          <w:rFonts w:cs="Arial"/>
          <w:snapToGrid w:val="0"/>
          <w:szCs w:val="24"/>
          <w:lang w:val="de-DE"/>
        </w:rPr>
      </w:pPr>
      <w:r w:rsidRPr="006D0C17">
        <w:rPr>
          <w:lang w:val="de-DE"/>
        </w:rPr>
        <w:tab/>
        <w:t>OECD</w:t>
      </w:r>
      <w:r w:rsidRPr="006D0C17">
        <w:rPr>
          <w:lang w:val="de-DE"/>
        </w:rPr>
        <w:tab/>
        <w:t xml:space="preserve">Organisation für wirtschaftliche Zusammenarbeit und Entwicklung </w:t>
      </w:r>
    </w:p>
    <w:p w:rsidR="00540A2B" w:rsidRPr="006D0C17" w:rsidRDefault="00540A2B" w:rsidP="008D6750">
      <w:pPr>
        <w:rPr>
          <w:rFonts w:cs="Arial"/>
          <w:snapToGrid w:val="0"/>
          <w:szCs w:val="24"/>
          <w:lang w:val="de-DE"/>
        </w:rPr>
      </w:pPr>
      <w:r w:rsidRPr="006D0C17">
        <w:rPr>
          <w:lang w:val="de-DE"/>
        </w:rPr>
        <w:tab/>
        <w:t>ISTA</w:t>
      </w:r>
      <w:r w:rsidRPr="006D0C17">
        <w:rPr>
          <w:lang w:val="de-DE"/>
        </w:rPr>
        <w:tab/>
      </w:r>
      <w:r w:rsidRPr="006D0C17">
        <w:rPr>
          <w:lang w:val="de-DE"/>
        </w:rPr>
        <w:tab/>
        <w:t>Internationale Vereinigung für Saatgutprüfung</w:t>
      </w:r>
    </w:p>
    <w:p w:rsidR="00540A2B" w:rsidRPr="006D0C17" w:rsidRDefault="00540A2B" w:rsidP="008D6750">
      <w:pPr>
        <w:rPr>
          <w:lang w:val="de-DE"/>
        </w:rPr>
      </w:pPr>
    </w:p>
    <w:p w:rsidR="00F11BFD" w:rsidRPr="006D0C17" w:rsidRDefault="00FF0C5F" w:rsidP="00F11BFD">
      <w:pPr>
        <w:keepNext/>
        <w:rPr>
          <w:lang w:val="de-DE"/>
        </w:rPr>
      </w:pPr>
      <w:r w:rsidRPr="006D0C17">
        <w:rPr>
          <w:lang w:val="de-DE"/>
        </w:rPr>
        <w:fldChar w:fldCharType="begin"/>
      </w:r>
      <w:r w:rsidR="003D27DD" w:rsidRPr="006D0C17">
        <w:rPr>
          <w:lang w:val="de-DE"/>
        </w:rPr>
        <w:instrText xml:space="preserve"> AUTONUM  </w:instrText>
      </w:r>
      <w:r w:rsidRPr="006D0C17">
        <w:rPr>
          <w:lang w:val="de-DE"/>
        </w:rPr>
        <w:fldChar w:fldCharType="end"/>
      </w:r>
      <w:r w:rsidR="003D27DD" w:rsidRPr="006D0C17">
        <w:rPr>
          <w:lang w:val="de-DE"/>
        </w:rPr>
        <w:tab/>
        <w:t>Der Aufbau dieses Dokuments ist nachstehend zusammengefaßt:</w:t>
      </w:r>
    </w:p>
    <w:sdt>
      <w:sdtPr>
        <w:rPr>
          <w:caps/>
          <w:noProof/>
          <w:lang w:val="de-DE"/>
        </w:rPr>
        <w:id w:val="-1800911247"/>
        <w:docPartObj>
          <w:docPartGallery w:val="Table of Contents"/>
          <w:docPartUnique/>
        </w:docPartObj>
      </w:sdtPr>
      <w:sdtEndPr>
        <w:rPr>
          <w:b/>
          <w:bCs/>
        </w:rPr>
      </w:sdtEndPr>
      <w:sdtContent>
        <w:p w:rsidR="00DC6260" w:rsidRPr="006D0C17" w:rsidRDefault="00DC6260" w:rsidP="00F11BFD">
          <w:pPr>
            <w:keepNext/>
            <w:rPr>
              <w:rFonts w:cs="Arial"/>
              <w:b/>
              <w:lang w:val="de-DE"/>
            </w:rPr>
          </w:pPr>
        </w:p>
        <w:p w:rsidR="006D0C17" w:rsidRDefault="00FF0C5F">
          <w:pPr>
            <w:pStyle w:val="TOC1"/>
            <w:rPr>
              <w:rFonts w:asciiTheme="minorHAnsi" w:hAnsiTheme="minorHAnsi" w:cstheme="minorBidi"/>
              <w:caps w:val="0"/>
              <w:sz w:val="22"/>
              <w:szCs w:val="22"/>
            </w:rPr>
          </w:pPr>
          <w:r w:rsidRPr="006D0C17">
            <w:rPr>
              <w:lang w:val="de-DE"/>
            </w:rPr>
            <w:fldChar w:fldCharType="begin"/>
          </w:r>
          <w:r w:rsidR="00DC6260" w:rsidRPr="006D0C17">
            <w:rPr>
              <w:lang w:val="de-DE"/>
            </w:rPr>
            <w:instrText xml:space="preserve"> TOC \o "1-3" \h \z \u </w:instrText>
          </w:r>
          <w:r w:rsidRPr="006D0C17">
            <w:rPr>
              <w:lang w:val="de-DE"/>
            </w:rPr>
            <w:fldChar w:fldCharType="separate"/>
          </w:r>
          <w:hyperlink w:anchor="_Toc414358729" w:history="1">
            <w:r w:rsidR="006D0C17" w:rsidRPr="00103AE2">
              <w:rPr>
                <w:rStyle w:val="Hyperlink"/>
                <w:lang w:val="de-DE"/>
              </w:rPr>
              <w:t>Zusammenfassung</w:t>
            </w:r>
            <w:r w:rsidR="006D0C17">
              <w:rPr>
                <w:webHidden/>
              </w:rPr>
              <w:tab/>
            </w:r>
            <w:r w:rsidR="006D0C17">
              <w:rPr>
                <w:webHidden/>
              </w:rPr>
              <w:fldChar w:fldCharType="begin"/>
            </w:r>
            <w:r w:rsidR="006D0C17">
              <w:rPr>
                <w:webHidden/>
              </w:rPr>
              <w:instrText xml:space="preserve"> PAGEREF _Toc414358729 \h </w:instrText>
            </w:r>
            <w:r w:rsidR="006D0C17">
              <w:rPr>
                <w:webHidden/>
              </w:rPr>
            </w:r>
            <w:r w:rsidR="006D0C17">
              <w:rPr>
                <w:webHidden/>
              </w:rPr>
              <w:fldChar w:fldCharType="separate"/>
            </w:r>
            <w:r w:rsidR="009D51CC">
              <w:rPr>
                <w:webHidden/>
              </w:rPr>
              <w:t>1</w:t>
            </w:r>
            <w:r w:rsidR="006D0C17">
              <w:rPr>
                <w:webHidden/>
              </w:rPr>
              <w:fldChar w:fldCharType="end"/>
            </w:r>
          </w:hyperlink>
        </w:p>
        <w:p w:rsidR="006D0C17" w:rsidRDefault="006D0C17">
          <w:pPr>
            <w:pStyle w:val="TOC1"/>
            <w:rPr>
              <w:rFonts w:asciiTheme="minorHAnsi" w:hAnsiTheme="minorHAnsi" w:cstheme="minorBidi"/>
              <w:caps w:val="0"/>
              <w:sz w:val="22"/>
              <w:szCs w:val="22"/>
            </w:rPr>
          </w:pPr>
          <w:hyperlink w:anchor="_Toc414358730" w:history="1">
            <w:r w:rsidRPr="00103AE2">
              <w:rPr>
                <w:rStyle w:val="Hyperlink"/>
                <w:lang w:val="de-DE"/>
              </w:rPr>
              <w:t>Zweck</w:t>
            </w:r>
            <w:r>
              <w:rPr>
                <w:webHidden/>
              </w:rPr>
              <w:tab/>
            </w:r>
            <w:r>
              <w:rPr>
                <w:webHidden/>
              </w:rPr>
              <w:fldChar w:fldCharType="begin"/>
            </w:r>
            <w:r>
              <w:rPr>
                <w:webHidden/>
              </w:rPr>
              <w:instrText xml:space="preserve"> PAGEREF _Toc414358730 \h </w:instrText>
            </w:r>
            <w:r>
              <w:rPr>
                <w:webHidden/>
              </w:rPr>
            </w:r>
            <w:r>
              <w:rPr>
                <w:webHidden/>
              </w:rPr>
              <w:fldChar w:fldCharType="separate"/>
            </w:r>
            <w:r w:rsidR="009D51CC">
              <w:rPr>
                <w:webHidden/>
              </w:rPr>
              <w:t>3</w:t>
            </w:r>
            <w:r>
              <w:rPr>
                <w:webHidden/>
              </w:rPr>
              <w:fldChar w:fldCharType="end"/>
            </w:r>
          </w:hyperlink>
        </w:p>
        <w:p w:rsidR="006D0C17" w:rsidRDefault="006D0C17">
          <w:pPr>
            <w:pStyle w:val="TOC1"/>
            <w:rPr>
              <w:rFonts w:asciiTheme="minorHAnsi" w:hAnsiTheme="minorHAnsi" w:cstheme="minorBidi"/>
              <w:caps w:val="0"/>
              <w:sz w:val="22"/>
              <w:szCs w:val="22"/>
            </w:rPr>
          </w:pPr>
          <w:hyperlink w:anchor="_Toc414358731" w:history="1">
            <w:r w:rsidRPr="00103AE2">
              <w:rPr>
                <w:rStyle w:val="Hyperlink"/>
                <w:lang w:val="de-DE"/>
              </w:rPr>
              <w:t>vierzehnte Tagung der Arbeitsgruppe für biochemische und molekulare Verfahren und insbesondere für DNS-Profilierungsverfahren</w:t>
            </w:r>
            <w:r>
              <w:rPr>
                <w:webHidden/>
              </w:rPr>
              <w:tab/>
            </w:r>
            <w:r>
              <w:rPr>
                <w:webHidden/>
              </w:rPr>
              <w:fldChar w:fldCharType="begin"/>
            </w:r>
            <w:r>
              <w:rPr>
                <w:webHidden/>
              </w:rPr>
              <w:instrText xml:space="preserve"> PAGEREF _Toc414358731 \h </w:instrText>
            </w:r>
            <w:r>
              <w:rPr>
                <w:webHidden/>
              </w:rPr>
            </w:r>
            <w:r>
              <w:rPr>
                <w:webHidden/>
              </w:rPr>
              <w:fldChar w:fldCharType="separate"/>
            </w:r>
            <w:r w:rsidR="009D51CC">
              <w:rPr>
                <w:webHidden/>
              </w:rPr>
              <w:t>3</w:t>
            </w:r>
            <w:r>
              <w:rPr>
                <w:webHidden/>
              </w:rPr>
              <w:fldChar w:fldCharType="end"/>
            </w:r>
          </w:hyperlink>
        </w:p>
        <w:p w:rsidR="006D0C17" w:rsidRDefault="006D0C17">
          <w:pPr>
            <w:pStyle w:val="TOC1"/>
            <w:rPr>
              <w:rFonts w:asciiTheme="minorHAnsi" w:hAnsiTheme="minorHAnsi" w:cstheme="minorBidi"/>
              <w:caps w:val="0"/>
              <w:sz w:val="22"/>
              <w:szCs w:val="22"/>
            </w:rPr>
          </w:pPr>
          <w:hyperlink w:anchor="_Toc414358732" w:history="1">
            <w:r w:rsidRPr="00103AE2">
              <w:rPr>
                <w:rStyle w:val="Hyperlink"/>
                <w:lang w:val="de-DE"/>
              </w:rPr>
              <w:t>Gemeinsame Arbeitstagung von OECD, UPOV, ISTA über molekulare Verfahren</w:t>
            </w:r>
            <w:r>
              <w:rPr>
                <w:webHidden/>
              </w:rPr>
              <w:tab/>
            </w:r>
            <w:r>
              <w:rPr>
                <w:webHidden/>
              </w:rPr>
              <w:fldChar w:fldCharType="begin"/>
            </w:r>
            <w:r>
              <w:rPr>
                <w:webHidden/>
              </w:rPr>
              <w:instrText xml:space="preserve"> PAGEREF _Toc414358732 \h </w:instrText>
            </w:r>
            <w:r>
              <w:rPr>
                <w:webHidden/>
              </w:rPr>
            </w:r>
            <w:r>
              <w:rPr>
                <w:webHidden/>
              </w:rPr>
              <w:fldChar w:fldCharType="separate"/>
            </w:r>
            <w:r w:rsidR="009D51CC">
              <w:rPr>
                <w:webHidden/>
              </w:rPr>
              <w:t>5</w:t>
            </w:r>
            <w:r>
              <w:rPr>
                <w:webHidden/>
              </w:rPr>
              <w:fldChar w:fldCharType="end"/>
            </w:r>
          </w:hyperlink>
        </w:p>
        <w:p w:rsidR="006D0C17" w:rsidRDefault="006D0C17">
          <w:pPr>
            <w:pStyle w:val="TOC1"/>
            <w:rPr>
              <w:rFonts w:asciiTheme="minorHAnsi" w:hAnsiTheme="minorHAnsi" w:cstheme="minorBidi"/>
              <w:caps w:val="0"/>
              <w:sz w:val="22"/>
              <w:szCs w:val="22"/>
            </w:rPr>
          </w:pPr>
          <w:hyperlink w:anchor="_Toc414358733" w:history="1">
            <w:r w:rsidRPr="00103AE2">
              <w:rPr>
                <w:rStyle w:val="Hyperlink"/>
                <w:lang w:val="de-DE"/>
              </w:rPr>
              <w:t>Erörterung über molekulare Verfahren auf der fünfzigsten Tagung des Technischen Ausschusses</w:t>
            </w:r>
            <w:r>
              <w:rPr>
                <w:webHidden/>
              </w:rPr>
              <w:tab/>
            </w:r>
            <w:r>
              <w:rPr>
                <w:webHidden/>
              </w:rPr>
              <w:fldChar w:fldCharType="begin"/>
            </w:r>
            <w:r>
              <w:rPr>
                <w:webHidden/>
              </w:rPr>
              <w:instrText xml:space="preserve"> PAGEREF _Toc414358733 \h </w:instrText>
            </w:r>
            <w:r>
              <w:rPr>
                <w:webHidden/>
              </w:rPr>
            </w:r>
            <w:r>
              <w:rPr>
                <w:webHidden/>
              </w:rPr>
              <w:fldChar w:fldCharType="separate"/>
            </w:r>
            <w:r w:rsidR="009D51CC">
              <w:rPr>
                <w:webHidden/>
              </w:rPr>
              <w:t>6</w:t>
            </w:r>
            <w:r>
              <w:rPr>
                <w:webHidden/>
              </w:rPr>
              <w:fldChar w:fldCharType="end"/>
            </w:r>
          </w:hyperlink>
        </w:p>
        <w:p w:rsidR="006D0C17" w:rsidRDefault="006D0C17">
          <w:pPr>
            <w:pStyle w:val="TOC1"/>
            <w:rPr>
              <w:rFonts w:asciiTheme="minorHAnsi" w:hAnsiTheme="minorHAnsi" w:cstheme="minorBidi"/>
              <w:caps w:val="0"/>
              <w:sz w:val="22"/>
              <w:szCs w:val="22"/>
            </w:rPr>
          </w:pPr>
          <w:hyperlink w:anchor="_Toc414358734" w:history="1">
            <w:r w:rsidRPr="00103AE2">
              <w:rPr>
                <w:rStyle w:val="Hyperlink"/>
                <w:lang w:val="de-DE"/>
              </w:rPr>
              <w:t>Erteilung von Informationen über die Lage in der UPOV bezüglich der Verwendung molekularer Verfahren</w:t>
            </w:r>
            <w:r>
              <w:rPr>
                <w:webHidden/>
              </w:rPr>
              <w:tab/>
            </w:r>
            <w:r>
              <w:rPr>
                <w:webHidden/>
              </w:rPr>
              <w:fldChar w:fldCharType="begin"/>
            </w:r>
            <w:r>
              <w:rPr>
                <w:webHidden/>
              </w:rPr>
              <w:instrText xml:space="preserve"> PAGEREF _Toc414358734 \h </w:instrText>
            </w:r>
            <w:r>
              <w:rPr>
                <w:webHidden/>
              </w:rPr>
            </w:r>
            <w:r>
              <w:rPr>
                <w:webHidden/>
              </w:rPr>
              <w:fldChar w:fldCharType="separate"/>
            </w:r>
            <w:r w:rsidR="009D51CC">
              <w:rPr>
                <w:webHidden/>
              </w:rPr>
              <w:t>6</w:t>
            </w:r>
            <w:r>
              <w:rPr>
                <w:webHidden/>
              </w:rPr>
              <w:fldChar w:fldCharType="end"/>
            </w:r>
          </w:hyperlink>
        </w:p>
        <w:p w:rsidR="0034437E" w:rsidRPr="006D0C17" w:rsidRDefault="00FF0C5F">
          <w:pPr>
            <w:pStyle w:val="TOC1"/>
            <w:rPr>
              <w:rFonts w:asciiTheme="minorHAnsi" w:hAnsiTheme="minorHAnsi" w:cstheme="minorBidi"/>
              <w:caps w:val="0"/>
              <w:sz w:val="22"/>
              <w:szCs w:val="22"/>
              <w:lang w:val="de-DE"/>
            </w:rPr>
          </w:pPr>
          <w:r w:rsidRPr="006D0C17">
            <w:rPr>
              <w:b/>
              <w:bCs/>
              <w:lang w:val="de-DE"/>
            </w:rPr>
            <w:fldChar w:fldCharType="end"/>
          </w:r>
        </w:p>
      </w:sdtContent>
    </w:sdt>
    <w:p w:rsidR="001873AF" w:rsidRPr="006D0C17" w:rsidRDefault="001873AF">
      <w:pPr>
        <w:jc w:val="left"/>
        <w:rPr>
          <w:rFonts w:eastAsia="PMingLiU" w:cs="Arial"/>
          <w:szCs w:val="24"/>
          <w:lang w:val="de-DE"/>
        </w:rPr>
      </w:pPr>
      <w:r w:rsidRPr="006D0C17">
        <w:rPr>
          <w:lang w:val="de-DE"/>
        </w:rPr>
        <w:br w:type="page"/>
      </w:r>
    </w:p>
    <w:p w:rsidR="00DC6260" w:rsidRPr="006D0C17" w:rsidRDefault="009A3C1D" w:rsidP="006505F5">
      <w:pPr>
        <w:pStyle w:val="Heading1"/>
        <w:rPr>
          <w:lang w:val="de-DE"/>
        </w:rPr>
      </w:pPr>
      <w:bookmarkStart w:id="16" w:name="_Toc412456853"/>
      <w:bookmarkStart w:id="17" w:name="_Toc414358730"/>
      <w:r w:rsidRPr="006D0C17">
        <w:rPr>
          <w:lang w:val="de-DE"/>
        </w:rPr>
        <w:lastRenderedPageBreak/>
        <w:t>Zweck</w:t>
      </w:r>
      <w:bookmarkEnd w:id="16"/>
      <w:bookmarkEnd w:id="17"/>
    </w:p>
    <w:p w:rsidR="009A3C1D" w:rsidRPr="006D0C17" w:rsidRDefault="009A3C1D" w:rsidP="006505F5">
      <w:pPr>
        <w:pStyle w:val="Heading1"/>
        <w:rPr>
          <w:lang w:val="de-DE"/>
        </w:rPr>
      </w:pPr>
      <w:bookmarkStart w:id="18" w:name="_Toc410822401"/>
      <w:bookmarkStart w:id="19" w:name="_Toc410822805"/>
      <w:bookmarkStart w:id="20" w:name="_Toc410823312"/>
      <w:bookmarkStart w:id="21" w:name="_Toc410899580"/>
    </w:p>
    <w:p w:rsidR="009A3C1D" w:rsidRPr="006D0C17" w:rsidRDefault="00FF0C5F" w:rsidP="009A3C1D">
      <w:pPr>
        <w:rPr>
          <w:lang w:val="de-DE"/>
        </w:rPr>
      </w:pPr>
      <w:r w:rsidRPr="006D0C17">
        <w:rPr>
          <w:lang w:val="de-DE"/>
        </w:rPr>
        <w:fldChar w:fldCharType="begin"/>
      </w:r>
      <w:r w:rsidR="009A3C1D" w:rsidRPr="006D0C17">
        <w:rPr>
          <w:lang w:val="de-DE"/>
        </w:rPr>
        <w:instrText xml:space="preserve"> AUTONUM  </w:instrText>
      </w:r>
      <w:r w:rsidRPr="006D0C17">
        <w:rPr>
          <w:lang w:val="de-DE"/>
        </w:rPr>
        <w:fldChar w:fldCharType="end"/>
      </w:r>
      <w:r w:rsidR="009A3C1D" w:rsidRPr="006D0C17">
        <w:rPr>
          <w:lang w:val="de-DE"/>
        </w:rPr>
        <w:tab/>
        <w:t xml:space="preserve">Zweck dieses Dokument ist es, über Entwicklungen </w:t>
      </w:r>
      <w:proofErr w:type="gramStart"/>
      <w:r w:rsidR="009A3C1D" w:rsidRPr="006D0C17">
        <w:rPr>
          <w:lang w:val="de-DE"/>
        </w:rPr>
        <w:t>seit</w:t>
      </w:r>
      <w:proofErr w:type="gramEnd"/>
      <w:r w:rsidR="009A3C1D" w:rsidRPr="006D0C17">
        <w:rPr>
          <w:lang w:val="de-DE"/>
        </w:rPr>
        <w:t xml:space="preserve"> der siebzigsten Tagung des CAJ betreffend molekulare Verfahren Bericht zu erstatten in Bezug auf: </w:t>
      </w:r>
    </w:p>
    <w:p w:rsidR="009A3C1D" w:rsidRPr="006D0C17" w:rsidRDefault="009A3C1D" w:rsidP="009A3C1D">
      <w:pPr>
        <w:rPr>
          <w:lang w:val="de-DE"/>
        </w:rPr>
      </w:pPr>
    </w:p>
    <w:p w:rsidR="009A3C1D" w:rsidRPr="006D0C17" w:rsidRDefault="00C50874" w:rsidP="009A3C1D">
      <w:pPr>
        <w:ind w:left="1170" w:hanging="603"/>
        <w:rPr>
          <w:lang w:val="de-DE"/>
        </w:rPr>
      </w:pPr>
      <w:r w:rsidRPr="006D0C17">
        <w:rPr>
          <w:lang w:val="de-DE"/>
        </w:rPr>
        <w:t>a)</w:t>
      </w:r>
      <w:r w:rsidRPr="006D0C17">
        <w:rPr>
          <w:lang w:val="de-DE"/>
        </w:rPr>
        <w:tab/>
        <w:t>Arbeitsgruppe für biochemische und molekulare Verfahren und insbesondere für DNS</w:t>
      </w:r>
      <w:r w:rsidR="00E77BAD" w:rsidRPr="006D0C17">
        <w:rPr>
          <w:lang w:val="de-DE"/>
        </w:rPr>
        <w:noBreakHyphen/>
      </w:r>
      <w:r w:rsidRPr="006D0C17">
        <w:rPr>
          <w:lang w:val="de-DE"/>
        </w:rPr>
        <w:t>Profilierungsverfahren</w:t>
      </w:r>
    </w:p>
    <w:p w:rsidR="009A3C1D" w:rsidRPr="006D0C17" w:rsidRDefault="00C50874" w:rsidP="009A3C1D">
      <w:pPr>
        <w:ind w:left="1170" w:hanging="603"/>
        <w:rPr>
          <w:lang w:val="de-DE"/>
        </w:rPr>
      </w:pPr>
      <w:r w:rsidRPr="006D0C17">
        <w:rPr>
          <w:lang w:val="de-DE"/>
        </w:rPr>
        <w:t>b)</w:t>
      </w:r>
      <w:r w:rsidRPr="006D0C17">
        <w:rPr>
          <w:lang w:val="de-DE"/>
        </w:rPr>
        <w:tab/>
        <w:t>Gemeinsame Arbeitstagung von OECD, UPOV, ISTA über molekulare Verfahren</w:t>
      </w:r>
    </w:p>
    <w:p w:rsidR="009A3C1D" w:rsidRPr="006D0C17" w:rsidRDefault="00C50874" w:rsidP="009A3C1D">
      <w:pPr>
        <w:ind w:left="1170" w:hanging="603"/>
        <w:rPr>
          <w:lang w:val="de-DE"/>
        </w:rPr>
      </w:pPr>
      <w:r w:rsidRPr="006D0C17">
        <w:rPr>
          <w:lang w:val="de-DE"/>
        </w:rPr>
        <w:t>c)</w:t>
      </w:r>
      <w:r w:rsidRPr="006D0C17">
        <w:rPr>
          <w:lang w:val="de-DE"/>
        </w:rPr>
        <w:tab/>
        <w:t>Erörterung über molekulare Verfahren auf der fünfzigsten Tagung des TC</w:t>
      </w:r>
    </w:p>
    <w:p w:rsidR="009A3C1D" w:rsidRPr="006D0C17" w:rsidRDefault="00C50874" w:rsidP="009A3C1D">
      <w:pPr>
        <w:ind w:left="1170" w:hanging="603"/>
        <w:rPr>
          <w:lang w:val="de-DE"/>
        </w:rPr>
      </w:pPr>
      <w:r w:rsidRPr="006D0C17">
        <w:rPr>
          <w:lang w:val="de-DE"/>
        </w:rPr>
        <w:t>d)</w:t>
      </w:r>
      <w:r w:rsidRPr="006D0C17">
        <w:rPr>
          <w:lang w:val="de-DE"/>
        </w:rPr>
        <w:tab/>
        <w:t>Erteilung von Informationen über die Lage in der UPOV bezüglich der Verwendung molekularer Verfahren</w:t>
      </w:r>
    </w:p>
    <w:p w:rsidR="009A3C1D" w:rsidRPr="006D0C17" w:rsidRDefault="009A3C1D" w:rsidP="006505F5">
      <w:pPr>
        <w:pStyle w:val="Heading1"/>
        <w:rPr>
          <w:lang w:val="de-DE"/>
        </w:rPr>
      </w:pPr>
    </w:p>
    <w:p w:rsidR="009D4F14" w:rsidRPr="006D0C17" w:rsidRDefault="00041D2D" w:rsidP="006505F5">
      <w:pPr>
        <w:pStyle w:val="Heading1"/>
        <w:rPr>
          <w:lang w:val="de-DE"/>
        </w:rPr>
      </w:pPr>
      <w:bookmarkStart w:id="22" w:name="_Toc410822403"/>
      <w:bookmarkStart w:id="23" w:name="_Toc410822807"/>
      <w:bookmarkStart w:id="24" w:name="_Toc410823314"/>
      <w:bookmarkStart w:id="25" w:name="_Toc410899582"/>
      <w:bookmarkStart w:id="26" w:name="_Toc412456854"/>
      <w:bookmarkStart w:id="27" w:name="_Toc414358731"/>
      <w:bookmarkEnd w:id="18"/>
      <w:bookmarkEnd w:id="19"/>
      <w:bookmarkEnd w:id="20"/>
      <w:bookmarkEnd w:id="21"/>
      <w:r w:rsidRPr="006D0C17">
        <w:rPr>
          <w:lang w:val="de-DE"/>
        </w:rPr>
        <w:t>vierzehnte Tagung der Arbeitsgruppe für biochemische und molekulare Verfahren und insbesondere für DNS-Profilierungsverfahren</w:t>
      </w:r>
      <w:bookmarkEnd w:id="22"/>
      <w:bookmarkEnd w:id="23"/>
      <w:bookmarkEnd w:id="24"/>
      <w:bookmarkEnd w:id="25"/>
      <w:bookmarkEnd w:id="26"/>
      <w:bookmarkEnd w:id="27"/>
    </w:p>
    <w:p w:rsidR="00041D2D" w:rsidRPr="006D0C17" w:rsidRDefault="00041D2D" w:rsidP="00233C64">
      <w:pPr>
        <w:rPr>
          <w:lang w:val="de-DE"/>
        </w:rPr>
      </w:pPr>
    </w:p>
    <w:p w:rsidR="008D6750" w:rsidRPr="006D0C17" w:rsidRDefault="00FF0C5F" w:rsidP="008D6750">
      <w:pPr>
        <w:rPr>
          <w:lang w:val="de-DE"/>
        </w:rPr>
      </w:pPr>
      <w:r w:rsidRPr="006D0C17">
        <w:rPr>
          <w:lang w:val="de-DE"/>
        </w:rPr>
        <w:fldChar w:fldCharType="begin"/>
      </w:r>
      <w:r w:rsidR="008D6750" w:rsidRPr="006D0C17">
        <w:rPr>
          <w:lang w:val="de-DE"/>
        </w:rPr>
        <w:instrText xml:space="preserve"> AUTONUM  </w:instrText>
      </w:r>
      <w:r w:rsidRPr="006D0C17">
        <w:rPr>
          <w:lang w:val="de-DE"/>
        </w:rPr>
        <w:fldChar w:fldCharType="end"/>
      </w:r>
      <w:r w:rsidR="008D6750" w:rsidRPr="006D0C17">
        <w:rPr>
          <w:lang w:val="de-DE"/>
        </w:rPr>
        <w:tab/>
        <w:t>Die Rolle der BMT ist in Anlage I dieses Dokuments wiedergegeben.</w:t>
      </w:r>
    </w:p>
    <w:p w:rsidR="008D6750" w:rsidRPr="006D0C17" w:rsidRDefault="008D6750" w:rsidP="00233C64">
      <w:pPr>
        <w:rPr>
          <w:lang w:val="de-DE"/>
        </w:rPr>
      </w:pPr>
    </w:p>
    <w:p w:rsidR="00041D2D" w:rsidRPr="006D0C17" w:rsidRDefault="00FF0C5F" w:rsidP="00041D2D">
      <w:pPr>
        <w:rPr>
          <w:lang w:val="de-DE"/>
        </w:rPr>
      </w:pPr>
      <w:r w:rsidRPr="006D0C17">
        <w:rPr>
          <w:color w:val="000000"/>
          <w:lang w:val="de-DE"/>
        </w:rPr>
        <w:fldChar w:fldCharType="begin"/>
      </w:r>
      <w:r w:rsidR="00041D2D" w:rsidRPr="006D0C17">
        <w:rPr>
          <w:color w:val="000000"/>
          <w:lang w:val="de-DE"/>
        </w:rPr>
        <w:instrText xml:space="preserve"> AUTONUM  </w:instrText>
      </w:r>
      <w:r w:rsidRPr="006D0C17">
        <w:rPr>
          <w:color w:val="000000"/>
          <w:lang w:val="de-DE"/>
        </w:rPr>
        <w:fldChar w:fldCharType="end"/>
      </w:r>
      <w:r w:rsidR="00041D2D" w:rsidRPr="006D0C17">
        <w:rPr>
          <w:lang w:val="de-DE"/>
        </w:rPr>
        <w:tab/>
        <w:t>Die vierzehnte Tagung der BMT wurde vom 10. bis 13. November 2014 in Seoul, Republik Korea, mit dem vorbereitenden Workshop am 9. November 2014 und einer gemeinsamen Arbeitstagung von OECD, UPOV, ISTA über molekulare Verfahren am 12. November 2014 abgehalten. Der den Tagesordnungspunkten „Bericht über die Arbeit an molekularen Verfahren in Bezug zur DUS-Prüfung“ und „Anwendung molekularer Verfahren bei der Sortenidentifikation“ („Tag der Züchter“) gewidmete Tag war der 12. November 2014.</w:t>
      </w:r>
    </w:p>
    <w:p w:rsidR="00041D2D" w:rsidRPr="006D0C17" w:rsidRDefault="00041D2D" w:rsidP="00041D2D">
      <w:pPr>
        <w:rPr>
          <w:lang w:val="de-DE"/>
        </w:rPr>
      </w:pPr>
    </w:p>
    <w:p w:rsidR="00041D2D" w:rsidRPr="006D0C17" w:rsidRDefault="00FF0C5F" w:rsidP="00041D2D">
      <w:pPr>
        <w:autoSpaceDE w:val="0"/>
        <w:autoSpaceDN w:val="0"/>
        <w:adjustRightInd w:val="0"/>
        <w:rPr>
          <w:rFonts w:cs="Arial"/>
          <w:lang w:val="de-DE"/>
        </w:rPr>
      </w:pPr>
      <w:r w:rsidRPr="006D0C17">
        <w:rPr>
          <w:rFonts w:cs="Arial"/>
          <w:lang w:val="de-DE"/>
        </w:rPr>
        <w:fldChar w:fldCharType="begin"/>
      </w:r>
      <w:r w:rsidR="00041D2D" w:rsidRPr="006D0C17">
        <w:rPr>
          <w:rFonts w:cs="Arial"/>
          <w:lang w:val="de-DE"/>
        </w:rPr>
        <w:instrText xml:space="preserve"> AUTONUM  </w:instrText>
      </w:r>
      <w:r w:rsidRPr="006D0C17">
        <w:rPr>
          <w:rFonts w:cs="Arial"/>
          <w:lang w:val="de-DE"/>
        </w:rPr>
        <w:fldChar w:fldCharType="end"/>
      </w:r>
      <w:r w:rsidR="00041D2D" w:rsidRPr="006D0C17">
        <w:rPr>
          <w:lang w:val="de-DE"/>
        </w:rPr>
        <w:tab/>
        <w:t>Die unter jedem Tagesordnungspunkt</w:t>
      </w:r>
      <w:r w:rsidR="00A01E6E" w:rsidRPr="006D0C17">
        <w:rPr>
          <w:lang w:val="de-DE"/>
        </w:rPr>
        <w:t xml:space="preserve"> der vierzehnten Tagung der BMT</w:t>
      </w:r>
      <w:r w:rsidR="00E77BAD" w:rsidRPr="006D0C17">
        <w:rPr>
          <w:lang w:val="de-DE"/>
        </w:rPr>
        <w:t xml:space="preserve"> </w:t>
      </w:r>
      <w:r w:rsidR="00041D2D" w:rsidRPr="006D0C17">
        <w:rPr>
          <w:lang w:val="de-DE"/>
        </w:rPr>
        <w:t>präsentierten Papiere waren folgende:</w:t>
      </w:r>
    </w:p>
    <w:p w:rsidR="00337523" w:rsidRPr="006D0C17" w:rsidRDefault="00337523" w:rsidP="00041D2D">
      <w:pPr>
        <w:autoSpaceDE w:val="0"/>
        <w:autoSpaceDN w:val="0"/>
        <w:adjustRightInd w:val="0"/>
        <w:rPr>
          <w:rFonts w:cs="Arial"/>
          <w:lang w:val="de-DE"/>
        </w:rPr>
      </w:pPr>
    </w:p>
    <w:p w:rsidR="00337523" w:rsidRPr="006D0C17" w:rsidRDefault="00337523" w:rsidP="00033064">
      <w:pPr>
        <w:ind w:left="567"/>
        <w:rPr>
          <w:rFonts w:cs="Arial"/>
          <w:i/>
          <w:lang w:val="de-DE"/>
        </w:rPr>
      </w:pPr>
      <w:bookmarkStart w:id="28" w:name="_Toc410822404"/>
      <w:r w:rsidRPr="006D0C17">
        <w:rPr>
          <w:i/>
          <w:lang w:val="de-DE"/>
        </w:rPr>
        <w:t xml:space="preserve">Berichte über Entwicklungen in der UPOV betreffend biochemische und molekulare Verfahren </w:t>
      </w:r>
      <w:bookmarkStart w:id="29" w:name="_Toc410822405"/>
      <w:bookmarkEnd w:id="28"/>
      <w:r w:rsidRPr="006D0C17">
        <w:rPr>
          <w:i/>
          <w:lang w:val="de-DE"/>
        </w:rPr>
        <w:t>(Dokument BMT/14/2 Rev.)</w:t>
      </w:r>
      <w:bookmarkEnd w:id="29"/>
    </w:p>
    <w:p w:rsidR="00337523" w:rsidRPr="006D0C17" w:rsidRDefault="00337523" w:rsidP="003D27DD">
      <w:pPr>
        <w:rPr>
          <w:rFonts w:cs="Arial"/>
          <w:i/>
          <w:lang w:val="de-DE"/>
        </w:rPr>
      </w:pPr>
    </w:p>
    <w:p w:rsidR="00041D2D" w:rsidRPr="006D0C17" w:rsidRDefault="00337523" w:rsidP="008D6750">
      <w:pPr>
        <w:ind w:left="540"/>
        <w:rPr>
          <w:rFonts w:cs="Arial"/>
          <w:i/>
          <w:lang w:val="de-DE"/>
        </w:rPr>
      </w:pPr>
      <w:bookmarkStart w:id="30" w:name="_Toc410822406"/>
      <w:r w:rsidRPr="006D0C17">
        <w:rPr>
          <w:i/>
          <w:lang w:val="de-DE"/>
        </w:rPr>
        <w:t xml:space="preserve">Kurzreferate von DUS-Sachverständigen, biochemischen und molekularen Fachleuten, Pflanzenzüchtern und einschlägigen internationalen Organisationen über neue Entwicklungen bei biochemischen und molekularen Verfahren </w:t>
      </w:r>
      <w:bookmarkEnd w:id="30"/>
      <w:r w:rsidRPr="006D0C17">
        <w:rPr>
          <w:i/>
          <w:lang w:val="de-DE"/>
        </w:rPr>
        <w:t>(Dokument BMT/14/15 Anlage I: Vereinigte Staaten von Amerika, Anlage III: Iran (Islamische Republik)</w:t>
      </w:r>
    </w:p>
    <w:p w:rsidR="00337523" w:rsidRPr="006D0C17" w:rsidRDefault="00337523" w:rsidP="003D27DD">
      <w:pPr>
        <w:rPr>
          <w:rFonts w:cs="Arial"/>
          <w:i/>
          <w:color w:val="000000"/>
          <w:lang w:val="de-DE"/>
        </w:rPr>
      </w:pPr>
    </w:p>
    <w:p w:rsidR="00337523" w:rsidRPr="006D0C17" w:rsidRDefault="00337523" w:rsidP="00033064">
      <w:pPr>
        <w:keepNext/>
        <w:ind w:firstLine="567"/>
        <w:rPr>
          <w:rFonts w:cs="Arial"/>
          <w:i/>
          <w:color w:val="000000"/>
          <w:lang w:val="de-DE"/>
        </w:rPr>
      </w:pPr>
      <w:bookmarkStart w:id="31" w:name="_Toc410822407"/>
      <w:r w:rsidRPr="006D0C17">
        <w:rPr>
          <w:i/>
          <w:lang w:val="de-DE"/>
        </w:rPr>
        <w:t>Bericht über die Arbeit an molekularen Verfahren hinsichtlich der DUS-Prüfung</w:t>
      </w:r>
      <w:bookmarkEnd w:id="31"/>
      <w:r w:rsidRPr="006D0C17">
        <w:rPr>
          <w:i/>
          <w:color w:val="000000"/>
          <w:lang w:val="de-DE"/>
        </w:rPr>
        <w:t xml:space="preserve"> </w:t>
      </w:r>
    </w:p>
    <w:p w:rsidR="00337523" w:rsidRPr="006D0C17" w:rsidRDefault="00337523" w:rsidP="00153421">
      <w:pPr>
        <w:keepNext/>
        <w:rPr>
          <w:rFonts w:cs="Arial"/>
          <w:i/>
          <w:lang w:val="de-DE"/>
        </w:rPr>
      </w:pPr>
    </w:p>
    <w:p w:rsidR="00BB63EA" w:rsidRPr="006D0C17" w:rsidRDefault="00337523" w:rsidP="008D6750">
      <w:pPr>
        <w:keepNext/>
        <w:ind w:left="540"/>
        <w:rPr>
          <w:rFonts w:cs="Arial"/>
          <w:i/>
          <w:iCs/>
          <w:lang w:val="de-DE"/>
        </w:rPr>
      </w:pPr>
      <w:r w:rsidRPr="006D0C17">
        <w:rPr>
          <w:i/>
          <w:lang w:val="de-DE"/>
        </w:rPr>
        <w:t>Verwendung von Vergleichssorten bei der Unterscheidbarkeit von Sorten: Ein derzeit in den Vereinigten Staaten von Amerika geprüfter Ansatz für die potentielle Anwendung im Sortenschutz</w:t>
      </w:r>
    </w:p>
    <w:p w:rsidR="00337523" w:rsidRPr="006D0C17" w:rsidRDefault="00E5782A" w:rsidP="008D6750">
      <w:pPr>
        <w:keepNext/>
        <w:ind w:left="540"/>
        <w:rPr>
          <w:rFonts w:cs="Arial"/>
          <w:i/>
          <w:iCs/>
          <w:lang w:val="de-DE"/>
        </w:rPr>
      </w:pPr>
      <w:r w:rsidRPr="006D0C17">
        <w:rPr>
          <w:i/>
          <w:lang w:val="de-DE"/>
        </w:rPr>
        <w:t>(Dokument BMT/14/5 und BMT/14/5 Add.)</w:t>
      </w:r>
    </w:p>
    <w:p w:rsidR="00337523" w:rsidRPr="006D0C17" w:rsidRDefault="00337523" w:rsidP="003D27DD">
      <w:pPr>
        <w:rPr>
          <w:rFonts w:cs="Arial"/>
          <w:i/>
          <w:iCs/>
          <w:lang w:val="de-DE"/>
        </w:rPr>
      </w:pPr>
    </w:p>
    <w:p w:rsidR="00337523" w:rsidRPr="006D0C17" w:rsidRDefault="005755E7" w:rsidP="008D6750">
      <w:pPr>
        <w:ind w:left="540"/>
        <w:rPr>
          <w:rFonts w:cs="Arial"/>
          <w:i/>
          <w:iCs/>
          <w:lang w:val="de-DE"/>
        </w:rPr>
      </w:pPr>
      <w:r w:rsidRPr="006D0C17">
        <w:rPr>
          <w:i/>
          <w:lang w:val="de-DE"/>
        </w:rPr>
        <w:t xml:space="preserve">Identifikation von Reissorten </w:t>
      </w:r>
      <w:r w:rsidR="00337523" w:rsidRPr="006D0C17">
        <w:rPr>
          <w:i/>
          <w:lang w:val="de-DE"/>
        </w:rPr>
        <w:t xml:space="preserve"> of Rice Varieties Using Genic Markers for Three DUS Characteristics </w:t>
      </w:r>
    </w:p>
    <w:p w:rsidR="00337523" w:rsidRPr="006D0C17" w:rsidRDefault="00337523" w:rsidP="00C50874">
      <w:pPr>
        <w:ind w:left="540"/>
        <w:rPr>
          <w:rFonts w:cs="Arial"/>
          <w:i/>
          <w:iCs/>
          <w:lang w:val="de-DE"/>
        </w:rPr>
      </w:pPr>
      <w:r w:rsidRPr="006D0C17">
        <w:rPr>
          <w:i/>
          <w:lang w:val="de-DE"/>
        </w:rPr>
        <w:t>(Dokument BMT/14/8 und BMT/14/8 Add.)</w:t>
      </w:r>
    </w:p>
    <w:p w:rsidR="00C91F77" w:rsidRPr="006D0C17" w:rsidRDefault="00C91F77" w:rsidP="008D6750">
      <w:pPr>
        <w:ind w:left="540"/>
        <w:rPr>
          <w:rFonts w:cs="Arial"/>
          <w:i/>
          <w:iCs/>
          <w:lang w:val="de-DE"/>
        </w:rPr>
      </w:pPr>
    </w:p>
    <w:p w:rsidR="00BB63EA" w:rsidRPr="006D0C17" w:rsidRDefault="00337523" w:rsidP="008D6750">
      <w:pPr>
        <w:ind w:left="540"/>
        <w:rPr>
          <w:rFonts w:cs="Arial"/>
          <w:i/>
          <w:iCs/>
          <w:lang w:val="de-DE"/>
        </w:rPr>
      </w:pPr>
      <w:r w:rsidRPr="006D0C17">
        <w:rPr>
          <w:i/>
          <w:lang w:val="de-DE"/>
        </w:rPr>
        <w:t xml:space="preserve">The Use of Molecular markers (SNP) for Maize DUS Testing </w:t>
      </w:r>
    </w:p>
    <w:p w:rsidR="00337523" w:rsidRPr="006D0C17" w:rsidRDefault="00337523" w:rsidP="008D6750">
      <w:pPr>
        <w:ind w:left="540"/>
        <w:rPr>
          <w:rFonts w:cs="Arial"/>
          <w:i/>
          <w:iCs/>
          <w:lang w:val="de-DE"/>
        </w:rPr>
      </w:pPr>
      <w:r w:rsidRPr="006D0C17">
        <w:rPr>
          <w:i/>
          <w:lang w:val="de-DE"/>
        </w:rPr>
        <w:t>(Dokument BMT/14/10 und BMT/14/10 Add.)</w:t>
      </w:r>
    </w:p>
    <w:p w:rsidR="00337523" w:rsidRPr="006D0C17" w:rsidRDefault="00337523" w:rsidP="00E5782A">
      <w:pPr>
        <w:ind w:left="567"/>
        <w:rPr>
          <w:rFonts w:cs="Arial"/>
          <w:i/>
          <w:iCs/>
          <w:lang w:val="de-DE"/>
        </w:rPr>
      </w:pPr>
    </w:p>
    <w:p w:rsidR="00BB63EA" w:rsidRPr="006D0C17" w:rsidRDefault="00337523" w:rsidP="008D6750">
      <w:pPr>
        <w:ind w:left="540"/>
        <w:rPr>
          <w:rFonts w:cs="Arial"/>
          <w:i/>
          <w:iCs/>
          <w:lang w:val="de-DE"/>
        </w:rPr>
      </w:pPr>
      <w:r w:rsidRPr="006D0C17">
        <w:rPr>
          <w:i/>
          <w:lang w:val="de-DE"/>
        </w:rPr>
        <w:t>Potential Uses of Molecular Markers in Management of Rose Varieties for the PVP System</w:t>
      </w:r>
    </w:p>
    <w:p w:rsidR="00337523" w:rsidRPr="006D0C17" w:rsidRDefault="00337523" w:rsidP="008D6750">
      <w:pPr>
        <w:ind w:left="540"/>
        <w:rPr>
          <w:rFonts w:cs="Arial"/>
          <w:i/>
          <w:iCs/>
          <w:lang w:val="de-DE"/>
        </w:rPr>
      </w:pPr>
      <w:r w:rsidRPr="006D0C17">
        <w:rPr>
          <w:i/>
          <w:lang w:val="de-DE"/>
        </w:rPr>
        <w:t>(Dokument BMT/14/12 und BMT/14/12 Add.)</w:t>
      </w:r>
    </w:p>
    <w:p w:rsidR="00337523" w:rsidRPr="006D0C17" w:rsidRDefault="00337523" w:rsidP="00E5782A">
      <w:pPr>
        <w:ind w:left="567"/>
        <w:rPr>
          <w:rFonts w:cs="Arial"/>
          <w:i/>
          <w:iCs/>
          <w:lang w:val="de-DE"/>
        </w:rPr>
      </w:pPr>
    </w:p>
    <w:p w:rsidR="00BB63EA" w:rsidRPr="006D0C17" w:rsidRDefault="00337523" w:rsidP="008D6750">
      <w:pPr>
        <w:ind w:left="540"/>
        <w:rPr>
          <w:rFonts w:cs="Arial"/>
          <w:i/>
          <w:iCs/>
          <w:lang w:val="de-DE"/>
        </w:rPr>
      </w:pPr>
      <w:r w:rsidRPr="006D0C17">
        <w:rPr>
          <w:i/>
          <w:lang w:val="de-DE"/>
        </w:rPr>
        <w:t>Development of EST-SSR Markers of Lettuce and Variety Identification Using EST-SSR Markers</w:t>
      </w:r>
    </w:p>
    <w:p w:rsidR="00337523" w:rsidRPr="006D0C17" w:rsidRDefault="00337523" w:rsidP="008D6750">
      <w:pPr>
        <w:ind w:left="540"/>
        <w:rPr>
          <w:rFonts w:cs="Arial"/>
          <w:i/>
          <w:iCs/>
          <w:lang w:val="de-DE"/>
        </w:rPr>
      </w:pPr>
      <w:r w:rsidRPr="006D0C17">
        <w:rPr>
          <w:i/>
          <w:lang w:val="de-DE"/>
        </w:rPr>
        <w:t>(Dokument BMT/14/13 Rev.)</w:t>
      </w:r>
    </w:p>
    <w:p w:rsidR="00337523" w:rsidRPr="006D0C17" w:rsidRDefault="00337523" w:rsidP="00E5782A">
      <w:pPr>
        <w:ind w:left="567"/>
        <w:rPr>
          <w:rFonts w:cs="Arial"/>
          <w:i/>
          <w:iCs/>
          <w:lang w:val="de-DE"/>
        </w:rPr>
      </w:pPr>
    </w:p>
    <w:p w:rsidR="00337523" w:rsidRPr="006D0C17" w:rsidRDefault="00337523" w:rsidP="008D6750">
      <w:pPr>
        <w:ind w:left="540"/>
        <w:rPr>
          <w:rFonts w:cs="Arial"/>
          <w:i/>
          <w:iCs/>
          <w:lang w:val="de-DE"/>
        </w:rPr>
      </w:pPr>
      <w:r w:rsidRPr="006D0C17">
        <w:rPr>
          <w:i/>
          <w:lang w:val="de-DE"/>
        </w:rPr>
        <w:t xml:space="preserve">Construction of DNA Profile Database of Strawberry Varieties Using SSR Markers </w:t>
      </w:r>
    </w:p>
    <w:p w:rsidR="00337523" w:rsidRPr="006D0C17" w:rsidRDefault="00337523" w:rsidP="008D6750">
      <w:pPr>
        <w:ind w:left="540"/>
        <w:rPr>
          <w:rFonts w:cs="Arial"/>
          <w:i/>
          <w:iCs/>
          <w:lang w:val="de-DE"/>
        </w:rPr>
      </w:pPr>
      <w:r w:rsidRPr="006D0C17">
        <w:rPr>
          <w:i/>
          <w:lang w:val="de-DE"/>
        </w:rPr>
        <w:t>(Dokument BMT/14/14 Rev.)</w:t>
      </w:r>
    </w:p>
    <w:p w:rsidR="006124B5" w:rsidRPr="006D0C17" w:rsidRDefault="006124B5" w:rsidP="00E5782A">
      <w:pPr>
        <w:ind w:left="567"/>
        <w:rPr>
          <w:rFonts w:cs="Arial"/>
          <w:i/>
          <w:iCs/>
          <w:lang w:val="de-DE"/>
        </w:rPr>
      </w:pPr>
    </w:p>
    <w:p w:rsidR="00337523" w:rsidRPr="006D0C17" w:rsidRDefault="00337523" w:rsidP="008D6750">
      <w:pPr>
        <w:ind w:left="540"/>
        <w:rPr>
          <w:rFonts w:cs="Arial"/>
          <w:i/>
          <w:iCs/>
          <w:lang w:val="de-DE"/>
        </w:rPr>
      </w:pPr>
      <w:r w:rsidRPr="006D0C17">
        <w:rPr>
          <w:i/>
          <w:lang w:val="de-DE"/>
        </w:rPr>
        <w:t>Use of Molecular Marker Techniques for Selection of ‘Similar Variety’ about ‘Candidate Variety’</w:t>
      </w:r>
    </w:p>
    <w:p w:rsidR="00337523" w:rsidRPr="006D0C17" w:rsidRDefault="00337523" w:rsidP="008D6750">
      <w:pPr>
        <w:ind w:left="540"/>
        <w:rPr>
          <w:rFonts w:cs="Arial"/>
          <w:i/>
          <w:lang w:val="de-DE"/>
        </w:rPr>
      </w:pPr>
      <w:r w:rsidRPr="006D0C17">
        <w:rPr>
          <w:i/>
          <w:lang w:val="de-DE"/>
        </w:rPr>
        <w:t>(Dokument BMT/14/16 Rev2.)</w:t>
      </w:r>
    </w:p>
    <w:p w:rsidR="00337523" w:rsidRPr="006D0C17" w:rsidRDefault="00337523" w:rsidP="00E5782A">
      <w:pPr>
        <w:ind w:left="567"/>
        <w:rPr>
          <w:rFonts w:cs="Arial"/>
          <w:i/>
          <w:iCs/>
          <w:lang w:val="de-DE"/>
        </w:rPr>
      </w:pPr>
    </w:p>
    <w:p w:rsidR="00337523" w:rsidRPr="006D0C17" w:rsidRDefault="00337523" w:rsidP="008D6750">
      <w:pPr>
        <w:ind w:left="540"/>
        <w:rPr>
          <w:rFonts w:cs="Arial"/>
          <w:i/>
          <w:iCs/>
          <w:lang w:val="de-DE"/>
        </w:rPr>
      </w:pPr>
      <w:r w:rsidRPr="006D0C17">
        <w:rPr>
          <w:i/>
          <w:lang w:val="de-DE"/>
        </w:rPr>
        <w:t>Improving Efficiency of DUS Testing of Perennial Ryegrass by Combining Morphological and Molecular Variety Distances (Dokument BMT/14/17 und BMT/14/17 Add.)</w:t>
      </w:r>
    </w:p>
    <w:p w:rsidR="00337523" w:rsidRPr="006D0C17" w:rsidRDefault="00337523" w:rsidP="00E5782A">
      <w:pPr>
        <w:ind w:left="567"/>
        <w:rPr>
          <w:rFonts w:cs="Arial"/>
          <w:i/>
          <w:iCs/>
          <w:lang w:val="de-DE"/>
        </w:rPr>
      </w:pPr>
    </w:p>
    <w:p w:rsidR="00337523" w:rsidRPr="006D0C17" w:rsidRDefault="00337523" w:rsidP="006D0C17">
      <w:pPr>
        <w:keepNext/>
        <w:ind w:left="540"/>
        <w:rPr>
          <w:rFonts w:cs="Arial"/>
          <w:i/>
          <w:iCs/>
          <w:lang w:val="de-DE"/>
        </w:rPr>
      </w:pPr>
      <w:r w:rsidRPr="006D0C17">
        <w:rPr>
          <w:i/>
          <w:lang w:val="de-DE"/>
        </w:rPr>
        <w:t>A European Potato Database as Centralized Collection of Varieties of Common Knowledge</w:t>
      </w:r>
    </w:p>
    <w:p w:rsidR="00337523" w:rsidRPr="006D0C17" w:rsidRDefault="00337523" w:rsidP="008D6750">
      <w:pPr>
        <w:ind w:left="540"/>
        <w:rPr>
          <w:rFonts w:cs="Arial"/>
          <w:i/>
          <w:iCs/>
          <w:lang w:val="de-DE"/>
        </w:rPr>
      </w:pPr>
      <w:r w:rsidRPr="006D0C17">
        <w:rPr>
          <w:i/>
          <w:lang w:val="de-DE"/>
        </w:rPr>
        <w:t>(Dokument BMT/14/18 und BMT/14/18 Add.)</w:t>
      </w:r>
    </w:p>
    <w:p w:rsidR="00337523" w:rsidRPr="006D0C17" w:rsidRDefault="00337523" w:rsidP="00E5782A">
      <w:pPr>
        <w:ind w:left="567"/>
        <w:rPr>
          <w:rFonts w:cs="Arial"/>
          <w:i/>
          <w:iCs/>
          <w:lang w:val="de-DE"/>
        </w:rPr>
      </w:pPr>
    </w:p>
    <w:p w:rsidR="00337523" w:rsidRPr="006D0C17" w:rsidRDefault="00337523" w:rsidP="008D6750">
      <w:pPr>
        <w:ind w:left="540"/>
        <w:rPr>
          <w:rFonts w:cs="Arial"/>
          <w:i/>
          <w:lang w:val="de-DE"/>
        </w:rPr>
      </w:pPr>
      <w:r w:rsidRPr="006D0C17">
        <w:rPr>
          <w:i/>
          <w:lang w:val="de-DE"/>
        </w:rPr>
        <w:t>Molecular Markers as Predictors for ‘Traditional’ Characteristics (Dokument BMT/14/19 Rev.)</w:t>
      </w:r>
    </w:p>
    <w:p w:rsidR="00337523" w:rsidRPr="006D0C17" w:rsidRDefault="00337523" w:rsidP="00E5782A">
      <w:pPr>
        <w:ind w:left="567"/>
        <w:rPr>
          <w:rFonts w:cs="Arial"/>
          <w:i/>
          <w:lang w:val="de-DE"/>
        </w:rPr>
      </w:pPr>
    </w:p>
    <w:p w:rsidR="00596251" w:rsidRPr="006D0C17" w:rsidRDefault="0063559D" w:rsidP="00E5782A">
      <w:pPr>
        <w:ind w:left="567"/>
        <w:rPr>
          <w:rFonts w:cs="Arial"/>
          <w:i/>
          <w:lang w:val="de-DE"/>
        </w:rPr>
      </w:pPr>
      <w:bookmarkStart w:id="32" w:name="_Toc410822408"/>
      <w:r w:rsidRPr="006D0C17">
        <w:rPr>
          <w:i/>
          <w:lang w:val="de-DE"/>
        </w:rPr>
        <w:t>International Guidelines on Molecular Methodologies (Dokument BMT/14/3)</w:t>
      </w:r>
      <w:bookmarkEnd w:id="32"/>
    </w:p>
    <w:p w:rsidR="00596251" w:rsidRPr="006D0C17" w:rsidRDefault="00596251" w:rsidP="00E5782A">
      <w:pPr>
        <w:ind w:left="567"/>
        <w:rPr>
          <w:rFonts w:cs="Arial"/>
          <w:i/>
          <w:lang w:val="de-DE"/>
        </w:rPr>
      </w:pPr>
    </w:p>
    <w:p w:rsidR="00596251" w:rsidRPr="006D0C17" w:rsidRDefault="00596251" w:rsidP="00E5782A">
      <w:pPr>
        <w:ind w:left="567"/>
        <w:rPr>
          <w:rFonts w:cs="Arial"/>
          <w:i/>
          <w:lang w:val="de-DE"/>
        </w:rPr>
      </w:pPr>
      <w:bookmarkStart w:id="33" w:name="_Toc410822409"/>
      <w:r w:rsidRPr="006D0C17">
        <w:rPr>
          <w:i/>
          <w:lang w:val="de-DE"/>
        </w:rPr>
        <w:t>Variety Description Databases (Dokument BMT/14/4)</w:t>
      </w:r>
      <w:bookmarkEnd w:id="33"/>
    </w:p>
    <w:p w:rsidR="00596251" w:rsidRPr="006D0C17" w:rsidRDefault="00596251" w:rsidP="00E5782A">
      <w:pPr>
        <w:ind w:left="567"/>
        <w:rPr>
          <w:rFonts w:cs="Arial"/>
          <w:i/>
          <w:iCs/>
          <w:lang w:val="de-DE"/>
        </w:rPr>
      </w:pPr>
    </w:p>
    <w:p w:rsidR="00596251" w:rsidRPr="006D0C17" w:rsidRDefault="00596251" w:rsidP="008D6750">
      <w:pPr>
        <w:ind w:left="540"/>
        <w:rPr>
          <w:rFonts w:cs="Arial"/>
          <w:i/>
          <w:iCs/>
          <w:lang w:val="de-DE"/>
        </w:rPr>
      </w:pPr>
      <w:r w:rsidRPr="006D0C17">
        <w:rPr>
          <w:i/>
          <w:lang w:val="de-DE"/>
        </w:rPr>
        <w:t>Ownership and Use of DUS Samples and of DNA and DNA Data During and After the DUS Tests (Dokument BMT/14/11)</w:t>
      </w:r>
    </w:p>
    <w:p w:rsidR="00596251" w:rsidRPr="006D0C17" w:rsidRDefault="00596251" w:rsidP="00E5782A">
      <w:pPr>
        <w:ind w:left="567"/>
        <w:rPr>
          <w:rFonts w:cs="Arial"/>
          <w:i/>
          <w:iCs/>
          <w:lang w:val="de-DE"/>
        </w:rPr>
      </w:pPr>
    </w:p>
    <w:p w:rsidR="00596251" w:rsidRPr="006D0C17" w:rsidRDefault="00596251" w:rsidP="00033064">
      <w:pPr>
        <w:ind w:firstLine="567"/>
        <w:rPr>
          <w:rFonts w:cs="Arial"/>
          <w:i/>
          <w:lang w:val="de-DE"/>
        </w:rPr>
      </w:pPr>
      <w:bookmarkStart w:id="34" w:name="_Toc410822410"/>
      <w:r w:rsidRPr="006D0C17">
        <w:rPr>
          <w:i/>
          <w:lang w:val="de-DE"/>
        </w:rPr>
        <w:t>Verwendung molekularer Verfahren bei der Prüfung der wesentlichen Ableitung</w:t>
      </w:r>
      <w:r w:rsidRPr="006D0C17">
        <w:rPr>
          <w:rStyle w:val="FootnoteReference"/>
          <w:i/>
          <w:color w:val="000000"/>
          <w:u w:val="single"/>
          <w:lang w:val="de-DE"/>
        </w:rPr>
        <w:footnoteReference w:id="4"/>
      </w:r>
      <w:bookmarkEnd w:id="34"/>
    </w:p>
    <w:p w:rsidR="00596251" w:rsidRPr="006D0C17" w:rsidRDefault="00596251" w:rsidP="003D27DD">
      <w:pPr>
        <w:rPr>
          <w:rFonts w:cs="Arial"/>
          <w:i/>
          <w:iCs/>
          <w:lang w:val="de-DE"/>
        </w:rPr>
      </w:pPr>
    </w:p>
    <w:p w:rsidR="00596251" w:rsidRPr="006D0C17" w:rsidRDefault="00596251" w:rsidP="008D6750">
      <w:pPr>
        <w:ind w:left="540"/>
        <w:rPr>
          <w:rFonts w:cs="Arial"/>
          <w:i/>
          <w:iCs/>
          <w:lang w:val="de-DE"/>
        </w:rPr>
      </w:pPr>
      <w:r w:rsidRPr="006D0C17">
        <w:rPr>
          <w:i/>
          <w:lang w:val="de-DE"/>
        </w:rPr>
        <w:t>Use of DNA Variety Identification Technique for Measures Against the Infringement of Plant Breeders’ Rights in Japan</w:t>
      </w:r>
    </w:p>
    <w:p w:rsidR="00596251" w:rsidRPr="006D0C17" w:rsidRDefault="00596251" w:rsidP="008D6750">
      <w:pPr>
        <w:ind w:left="540"/>
        <w:rPr>
          <w:rFonts w:cs="Arial"/>
          <w:i/>
          <w:iCs/>
          <w:lang w:val="de-DE"/>
        </w:rPr>
      </w:pPr>
      <w:r w:rsidRPr="006D0C17">
        <w:rPr>
          <w:i/>
          <w:lang w:val="de-DE"/>
        </w:rPr>
        <w:t>(Dokument BMT/14/7 Rev.)</w:t>
      </w:r>
    </w:p>
    <w:p w:rsidR="00596251" w:rsidRPr="006D0C17" w:rsidRDefault="00596251" w:rsidP="003D27DD">
      <w:pPr>
        <w:rPr>
          <w:rFonts w:cs="Arial"/>
          <w:i/>
          <w:lang w:val="de-DE"/>
        </w:rPr>
      </w:pPr>
    </w:p>
    <w:p w:rsidR="00596251" w:rsidRPr="006D0C17" w:rsidRDefault="00596251" w:rsidP="00033064">
      <w:pPr>
        <w:ind w:firstLine="567"/>
        <w:rPr>
          <w:rFonts w:cs="Arial"/>
          <w:i/>
          <w:lang w:val="de-DE"/>
        </w:rPr>
      </w:pPr>
      <w:bookmarkStart w:id="35" w:name="_Toc410822411"/>
      <w:r w:rsidRPr="006D0C17">
        <w:rPr>
          <w:i/>
          <w:lang w:val="de-DE"/>
        </w:rPr>
        <w:t>Die Verwendung molekularer Verfahren bei der Sortenidentifikation</w:t>
      </w:r>
      <w:r w:rsidRPr="006D0C17">
        <w:rPr>
          <w:i/>
          <w:vertAlign w:val="superscript"/>
          <w:lang w:val="de-DE"/>
        </w:rPr>
        <w:t>1</w:t>
      </w:r>
      <w:bookmarkEnd w:id="35"/>
    </w:p>
    <w:p w:rsidR="00596251" w:rsidRPr="006D0C17" w:rsidRDefault="00596251" w:rsidP="003D27DD">
      <w:pPr>
        <w:rPr>
          <w:rFonts w:cs="Arial"/>
          <w:i/>
          <w:iCs/>
          <w:lang w:val="de-DE"/>
        </w:rPr>
      </w:pPr>
    </w:p>
    <w:p w:rsidR="00596251" w:rsidRPr="006D0C17" w:rsidRDefault="00596251" w:rsidP="008D6750">
      <w:pPr>
        <w:tabs>
          <w:tab w:val="left" w:pos="540"/>
        </w:tabs>
        <w:ind w:left="540" w:firstLine="27"/>
        <w:rPr>
          <w:rFonts w:cs="Arial"/>
          <w:i/>
          <w:iCs/>
          <w:lang w:val="de-DE"/>
        </w:rPr>
      </w:pPr>
      <w:r w:rsidRPr="006D0C17">
        <w:rPr>
          <w:i/>
          <w:lang w:val="de-DE"/>
        </w:rPr>
        <w:t>Use of DNA Variety Identification Technique for Measures Against the Infringement of Plant Breeders’ Rights in Japan (Dokument BMT/14/6 und BMT/14/6 Add. Rev.)</w:t>
      </w:r>
    </w:p>
    <w:p w:rsidR="00596251" w:rsidRPr="006D0C17" w:rsidRDefault="00596251" w:rsidP="003D27DD">
      <w:pPr>
        <w:rPr>
          <w:rFonts w:cs="Arial"/>
          <w:i/>
          <w:iCs/>
          <w:lang w:val="de-DE"/>
        </w:rPr>
      </w:pPr>
    </w:p>
    <w:p w:rsidR="00596251" w:rsidRPr="006D0C17" w:rsidRDefault="00596251" w:rsidP="008D6750">
      <w:pPr>
        <w:ind w:firstLine="540"/>
        <w:rPr>
          <w:rFonts w:cs="Arial"/>
          <w:i/>
          <w:iCs/>
          <w:lang w:val="de-DE"/>
        </w:rPr>
      </w:pPr>
      <w:r w:rsidRPr="006D0C17">
        <w:rPr>
          <w:i/>
          <w:lang w:val="de-DE"/>
        </w:rPr>
        <w:t xml:space="preserve">Determining a Threshold for Genetic Conformity in Potato Seedlings </w:t>
      </w:r>
    </w:p>
    <w:p w:rsidR="00337523" w:rsidRPr="006D0C17" w:rsidRDefault="00596251" w:rsidP="008D6750">
      <w:pPr>
        <w:ind w:firstLine="540"/>
        <w:rPr>
          <w:rFonts w:cs="Arial"/>
          <w:i/>
          <w:lang w:val="de-DE"/>
        </w:rPr>
      </w:pPr>
      <w:r w:rsidRPr="006D0C17">
        <w:rPr>
          <w:i/>
          <w:lang w:val="de-DE"/>
        </w:rPr>
        <w:t>(Dokument BMT/14/9 und BMT/14/9 Add.)</w:t>
      </w:r>
    </w:p>
    <w:p w:rsidR="00596251" w:rsidRPr="006D0C17" w:rsidRDefault="00596251" w:rsidP="00337523">
      <w:pPr>
        <w:rPr>
          <w:rFonts w:cs="Arial"/>
          <w:lang w:val="de-DE"/>
        </w:rPr>
      </w:pPr>
    </w:p>
    <w:p w:rsidR="00BB63EA" w:rsidRPr="006D0C17" w:rsidRDefault="00FF0C5F" w:rsidP="00153421">
      <w:pPr>
        <w:keepNext/>
        <w:rPr>
          <w:rFonts w:cs="Arial"/>
          <w:lang w:val="de-DE"/>
        </w:rPr>
      </w:pPr>
      <w:r w:rsidRPr="006D0C17">
        <w:rPr>
          <w:rFonts w:cs="Arial"/>
          <w:iCs/>
          <w:snapToGrid w:val="0"/>
          <w:lang w:val="de-DE"/>
        </w:rPr>
        <w:fldChar w:fldCharType="begin"/>
      </w:r>
      <w:r w:rsidR="00BB63EA" w:rsidRPr="006D0C17">
        <w:rPr>
          <w:rFonts w:cs="Arial"/>
          <w:iCs/>
          <w:snapToGrid w:val="0"/>
          <w:lang w:val="de-DE"/>
        </w:rPr>
        <w:instrText xml:space="preserve"> AUTONUM  </w:instrText>
      </w:r>
      <w:r w:rsidRPr="006D0C17">
        <w:rPr>
          <w:rFonts w:cs="Arial"/>
          <w:iCs/>
          <w:snapToGrid w:val="0"/>
          <w:lang w:val="de-DE"/>
        </w:rPr>
        <w:fldChar w:fldCharType="end"/>
      </w:r>
      <w:r w:rsidR="00BB63EA" w:rsidRPr="006D0C17">
        <w:rPr>
          <w:lang w:val="de-DE"/>
        </w:rPr>
        <w:tab/>
        <w:t>Die BMT nahm eine Einladung der Russischen Föderation zur Abhaltung ihrer fünfzehnten Tagung im Mai 2016 in Moskau mit einem vorbereit</w:t>
      </w:r>
      <w:r w:rsidR="00E77BAD" w:rsidRPr="006D0C17">
        <w:rPr>
          <w:lang w:val="de-DE"/>
        </w:rPr>
        <w:t xml:space="preserve">enden Workshop im Mai 2016 an. </w:t>
      </w:r>
      <w:r w:rsidR="00BB63EA" w:rsidRPr="006D0C17">
        <w:rPr>
          <w:lang w:val="de-DE"/>
        </w:rPr>
        <w:t>Die BMT sah vor, folgende Punkte zu behandeln:</w:t>
      </w:r>
    </w:p>
    <w:p w:rsidR="00DB71F7" w:rsidRPr="006D0C17" w:rsidRDefault="00DB71F7" w:rsidP="00153421">
      <w:pPr>
        <w:keepNext/>
        <w:rPr>
          <w:rFonts w:cs="Arial"/>
          <w:lang w:val="de-DE"/>
        </w:rPr>
      </w:pPr>
    </w:p>
    <w:p w:rsidR="00BB63EA" w:rsidRPr="006D0C17" w:rsidRDefault="00BB63EA" w:rsidP="008D6750">
      <w:pPr>
        <w:pStyle w:val="BodyTextIndent"/>
        <w:keepNext/>
        <w:spacing w:after="240"/>
        <w:ind w:firstLine="284"/>
        <w:rPr>
          <w:rFonts w:cs="Arial"/>
          <w:lang w:val="de-DE"/>
        </w:rPr>
      </w:pPr>
      <w:r w:rsidRPr="006D0C17">
        <w:rPr>
          <w:lang w:val="de-DE"/>
        </w:rPr>
        <w:t>1.</w:t>
      </w:r>
      <w:r w:rsidRPr="006D0C17">
        <w:rPr>
          <w:lang w:val="de-DE"/>
        </w:rPr>
        <w:tab/>
        <w:t>Eröffnung der Tagung</w:t>
      </w:r>
    </w:p>
    <w:p w:rsidR="00BB63EA" w:rsidRPr="006D0C17" w:rsidRDefault="00BB63EA" w:rsidP="008D6750">
      <w:pPr>
        <w:pStyle w:val="BodyTextIndent"/>
        <w:keepNext/>
        <w:spacing w:after="240"/>
        <w:ind w:firstLine="284"/>
        <w:rPr>
          <w:rFonts w:cs="Arial"/>
          <w:lang w:val="de-DE"/>
        </w:rPr>
      </w:pPr>
      <w:r w:rsidRPr="006D0C17">
        <w:rPr>
          <w:lang w:val="de-DE"/>
        </w:rPr>
        <w:t>2.</w:t>
      </w:r>
      <w:r w:rsidRPr="006D0C17">
        <w:rPr>
          <w:lang w:val="de-DE"/>
        </w:rPr>
        <w:tab/>
        <w:t>Annahme der Tagesordnung</w:t>
      </w:r>
    </w:p>
    <w:p w:rsidR="00BB63EA" w:rsidRPr="006D0C17" w:rsidRDefault="00BB63EA" w:rsidP="008D6750">
      <w:pPr>
        <w:pStyle w:val="BodyTextIndent"/>
        <w:keepNext/>
        <w:spacing w:after="240"/>
        <w:ind w:firstLine="284"/>
        <w:rPr>
          <w:rFonts w:cs="Arial"/>
          <w:lang w:val="de-DE"/>
        </w:rPr>
      </w:pPr>
      <w:r w:rsidRPr="006D0C17">
        <w:rPr>
          <w:lang w:val="de-DE"/>
        </w:rPr>
        <w:t>3.</w:t>
      </w:r>
      <w:r w:rsidRPr="006D0C17">
        <w:rPr>
          <w:lang w:val="de-DE"/>
        </w:rPr>
        <w:tab/>
        <w:t>Berichte über Entwicklungen in der UPOV betreffend biochemische und molekulare Verfahren</w:t>
      </w:r>
    </w:p>
    <w:p w:rsidR="00BB63EA" w:rsidRPr="006D0C17" w:rsidRDefault="00BB63EA" w:rsidP="008D6750">
      <w:pPr>
        <w:pStyle w:val="BodyTextIndent"/>
        <w:keepNext/>
        <w:spacing w:after="240"/>
        <w:ind w:left="1170" w:hanging="603"/>
        <w:rPr>
          <w:rFonts w:cs="Arial"/>
          <w:lang w:val="de-DE"/>
        </w:rPr>
      </w:pPr>
      <w:r w:rsidRPr="006D0C17">
        <w:rPr>
          <w:lang w:val="de-DE"/>
        </w:rPr>
        <w:t>4.</w:t>
      </w:r>
      <w:r w:rsidRPr="006D0C17">
        <w:rPr>
          <w:lang w:val="de-DE"/>
        </w:rPr>
        <w:tab/>
        <w:t xml:space="preserve">Kurzreferate von DUS-Sachverständigen, biochemischen und molekularen Fachleuten, Pflanzenzüchtern und einschlägigen internationalen Organisationen über neue Entwicklungen bei biochemischen und molekularen Verfahren </w:t>
      </w:r>
    </w:p>
    <w:p w:rsidR="00BB63EA" w:rsidRPr="006D0C17" w:rsidRDefault="00BB63EA" w:rsidP="008D6750">
      <w:pPr>
        <w:pStyle w:val="BodyTextIndent"/>
        <w:keepNext/>
        <w:spacing w:after="240"/>
        <w:ind w:firstLine="284"/>
        <w:rPr>
          <w:rFonts w:cs="Arial"/>
          <w:lang w:val="de-DE"/>
        </w:rPr>
      </w:pPr>
      <w:r w:rsidRPr="006D0C17">
        <w:rPr>
          <w:lang w:val="de-DE"/>
        </w:rPr>
        <w:t>5.</w:t>
      </w:r>
      <w:r w:rsidRPr="006D0C17">
        <w:rPr>
          <w:lang w:val="de-DE"/>
        </w:rPr>
        <w:tab/>
        <w:t>Bericht über die Arbeit an molekularen Verfahren hinsichtlich der DUS-Prüfung</w:t>
      </w:r>
    </w:p>
    <w:p w:rsidR="00BB63EA" w:rsidRPr="006D0C17" w:rsidRDefault="00BB63EA" w:rsidP="008D6750">
      <w:pPr>
        <w:pStyle w:val="BodyTextIndent"/>
        <w:spacing w:after="240"/>
        <w:ind w:firstLine="284"/>
        <w:rPr>
          <w:rFonts w:cs="Arial"/>
          <w:lang w:val="de-DE"/>
        </w:rPr>
      </w:pPr>
      <w:r w:rsidRPr="006D0C17">
        <w:rPr>
          <w:lang w:val="de-DE"/>
        </w:rPr>
        <w:t>6.</w:t>
      </w:r>
      <w:r w:rsidRPr="006D0C17">
        <w:rPr>
          <w:lang w:val="de-DE"/>
        </w:rPr>
        <w:tab/>
        <w:t>Internationale Richtlinien für molekulare Methodiken</w:t>
      </w:r>
    </w:p>
    <w:p w:rsidR="00BB63EA" w:rsidRPr="006D0C17" w:rsidRDefault="00BB63EA" w:rsidP="008D6750">
      <w:pPr>
        <w:pStyle w:val="BodyTextIndent"/>
        <w:spacing w:after="240"/>
        <w:ind w:firstLine="284"/>
        <w:rPr>
          <w:rFonts w:cs="Arial"/>
          <w:lang w:val="de-DE"/>
        </w:rPr>
      </w:pPr>
      <w:r w:rsidRPr="006D0C17">
        <w:rPr>
          <w:lang w:val="de-DE"/>
        </w:rPr>
        <w:t>7.</w:t>
      </w:r>
      <w:r w:rsidRPr="006D0C17">
        <w:rPr>
          <w:lang w:val="de-DE"/>
        </w:rPr>
        <w:tab/>
        <w:t>Datenbanken für Sortenbeschreibungen</w:t>
      </w:r>
    </w:p>
    <w:p w:rsidR="00BB63EA" w:rsidRPr="006D0C17" w:rsidRDefault="00BB63EA" w:rsidP="008D6750">
      <w:pPr>
        <w:pStyle w:val="BodyTextIndent"/>
        <w:spacing w:after="240"/>
        <w:ind w:firstLine="284"/>
        <w:rPr>
          <w:rFonts w:cs="Arial"/>
          <w:dstrike/>
          <w:lang w:val="de-DE"/>
        </w:rPr>
      </w:pPr>
      <w:r w:rsidRPr="006D0C17">
        <w:rPr>
          <w:lang w:val="de-DE"/>
        </w:rPr>
        <w:t>8.</w:t>
      </w:r>
      <w:r w:rsidRPr="006D0C17">
        <w:rPr>
          <w:lang w:val="de-DE"/>
        </w:rPr>
        <w:tab/>
        <w:t>Methoden zur Analyse molekularer Daten</w:t>
      </w:r>
      <w:r w:rsidR="00E77BAD" w:rsidRPr="006D0C17">
        <w:rPr>
          <w:lang w:val="de-DE"/>
        </w:rPr>
        <w:t xml:space="preserve"> </w:t>
      </w:r>
    </w:p>
    <w:p w:rsidR="00BB63EA" w:rsidRPr="006D0C17" w:rsidRDefault="00BB63EA" w:rsidP="008D6750">
      <w:pPr>
        <w:pStyle w:val="BodyTextIndent"/>
        <w:spacing w:after="240"/>
        <w:ind w:firstLine="284"/>
        <w:rPr>
          <w:rFonts w:cs="Arial"/>
          <w:lang w:val="de-DE"/>
        </w:rPr>
      </w:pPr>
      <w:r w:rsidRPr="006D0C17">
        <w:rPr>
          <w:lang w:val="de-DE"/>
        </w:rPr>
        <w:t>9.</w:t>
      </w:r>
      <w:r w:rsidRPr="006D0C17">
        <w:rPr>
          <w:lang w:val="de-DE"/>
        </w:rPr>
        <w:tab/>
        <w:t>Verwendung molekularer Verfahren bei der Prüfung der wesentlichen Ableitung</w:t>
      </w:r>
      <w:bookmarkStart w:id="36" w:name="_Ref403641224"/>
      <w:r w:rsidRPr="006D0C17">
        <w:rPr>
          <w:rStyle w:val="FootnoteReference"/>
          <w:lang w:val="de-DE"/>
        </w:rPr>
        <w:footnoteReference w:id="5"/>
      </w:r>
      <w:bookmarkEnd w:id="36"/>
      <w:r w:rsidRPr="006D0C17">
        <w:rPr>
          <w:lang w:val="de-DE"/>
        </w:rPr>
        <w:t xml:space="preserve"> </w:t>
      </w:r>
    </w:p>
    <w:p w:rsidR="00BB63EA" w:rsidRPr="006D0C17" w:rsidRDefault="00BB63EA" w:rsidP="008D6750">
      <w:pPr>
        <w:pStyle w:val="BodyTextIndent"/>
        <w:spacing w:after="240"/>
        <w:ind w:firstLine="284"/>
        <w:rPr>
          <w:rFonts w:cs="Arial"/>
          <w:lang w:val="de-DE"/>
        </w:rPr>
      </w:pPr>
      <w:r w:rsidRPr="006D0C17">
        <w:rPr>
          <w:lang w:val="de-DE"/>
        </w:rPr>
        <w:t>10.</w:t>
      </w:r>
      <w:r w:rsidRPr="006D0C17">
        <w:rPr>
          <w:lang w:val="de-DE"/>
        </w:rPr>
        <w:tab/>
        <w:t>Verwendung molekularer Verfahren bei der Sortenidentifikation</w:t>
      </w:r>
      <w:r w:rsidRPr="006D0C17">
        <w:rPr>
          <w:vertAlign w:val="superscript"/>
          <w:lang w:val="de-DE"/>
        </w:rPr>
        <w:t>2</w:t>
      </w:r>
    </w:p>
    <w:p w:rsidR="00BB63EA" w:rsidRPr="006D0C17" w:rsidRDefault="00BB63EA" w:rsidP="008D6750">
      <w:pPr>
        <w:pStyle w:val="BodyTextIndent"/>
        <w:spacing w:after="240"/>
        <w:ind w:firstLine="284"/>
        <w:rPr>
          <w:rFonts w:cs="Arial"/>
          <w:lang w:val="de-DE"/>
        </w:rPr>
      </w:pPr>
      <w:r w:rsidRPr="006D0C17">
        <w:rPr>
          <w:lang w:val="de-DE"/>
        </w:rPr>
        <w:t>11.</w:t>
      </w:r>
      <w:r w:rsidRPr="006D0C17">
        <w:rPr>
          <w:lang w:val="de-DE"/>
        </w:rPr>
        <w:tab/>
        <w:t>Zusammenarbeit zwischen OECD, UPOV, ISTA und ISO</w:t>
      </w:r>
    </w:p>
    <w:p w:rsidR="00BB63EA" w:rsidRPr="006D0C17" w:rsidRDefault="00BB63EA" w:rsidP="008D6750">
      <w:pPr>
        <w:pStyle w:val="BodyTextIndent"/>
        <w:spacing w:after="240"/>
        <w:ind w:firstLine="284"/>
        <w:rPr>
          <w:rFonts w:cs="Arial"/>
          <w:lang w:val="de-DE"/>
        </w:rPr>
      </w:pPr>
      <w:r w:rsidRPr="006D0C17">
        <w:rPr>
          <w:lang w:val="de-DE"/>
        </w:rPr>
        <w:t>12.</w:t>
      </w:r>
      <w:r w:rsidRPr="006D0C17">
        <w:rPr>
          <w:lang w:val="de-DE"/>
        </w:rPr>
        <w:tab/>
        <w:t>Ort und Datum der nächsten Tagung</w:t>
      </w:r>
    </w:p>
    <w:p w:rsidR="00BB63EA" w:rsidRPr="006D0C17" w:rsidRDefault="00BB63EA" w:rsidP="008D6750">
      <w:pPr>
        <w:pStyle w:val="BodyTextIndent"/>
        <w:spacing w:after="240"/>
        <w:ind w:firstLine="284"/>
        <w:rPr>
          <w:rFonts w:cs="Arial"/>
          <w:lang w:val="de-DE"/>
        </w:rPr>
      </w:pPr>
      <w:r w:rsidRPr="006D0C17">
        <w:rPr>
          <w:lang w:val="de-DE"/>
        </w:rPr>
        <w:t>13.</w:t>
      </w:r>
      <w:r w:rsidRPr="006D0C17">
        <w:rPr>
          <w:lang w:val="de-DE"/>
        </w:rPr>
        <w:tab/>
        <w:t>Künftiges Programm</w:t>
      </w:r>
    </w:p>
    <w:p w:rsidR="00BB63EA" w:rsidRPr="006D0C17" w:rsidRDefault="00BB63EA" w:rsidP="008D6750">
      <w:pPr>
        <w:pStyle w:val="BodyTextIndent"/>
        <w:spacing w:after="240"/>
        <w:ind w:firstLine="284"/>
        <w:rPr>
          <w:rFonts w:cs="Arial"/>
          <w:lang w:val="de-DE"/>
        </w:rPr>
      </w:pPr>
      <w:r w:rsidRPr="006D0C17">
        <w:rPr>
          <w:lang w:val="de-DE"/>
        </w:rPr>
        <w:t>14.</w:t>
      </w:r>
      <w:r w:rsidRPr="006D0C17">
        <w:rPr>
          <w:lang w:val="de-DE"/>
        </w:rPr>
        <w:tab/>
        <w:t>Bericht über die Tagung (falls die Zeit es erlaubt)</w:t>
      </w:r>
    </w:p>
    <w:p w:rsidR="00BB63EA" w:rsidRPr="006D0C17" w:rsidRDefault="00BB63EA" w:rsidP="00597583">
      <w:pPr>
        <w:pStyle w:val="BodyTextIndent"/>
        <w:spacing w:after="0"/>
        <w:ind w:firstLine="284"/>
        <w:rPr>
          <w:rFonts w:cs="Arial"/>
          <w:lang w:val="de-DE"/>
        </w:rPr>
      </w:pPr>
      <w:r w:rsidRPr="006D0C17">
        <w:rPr>
          <w:lang w:val="de-DE"/>
        </w:rPr>
        <w:t>15.</w:t>
      </w:r>
      <w:r w:rsidRPr="006D0C17">
        <w:rPr>
          <w:lang w:val="de-DE"/>
        </w:rPr>
        <w:tab/>
        <w:t>Schließung der Tagung</w:t>
      </w:r>
    </w:p>
    <w:p w:rsidR="00A20CD7" w:rsidRPr="006D0C17" w:rsidRDefault="00A20CD7" w:rsidP="00597583">
      <w:pPr>
        <w:pStyle w:val="BodyTextIndent"/>
        <w:spacing w:after="0"/>
        <w:ind w:firstLine="284"/>
        <w:rPr>
          <w:rFonts w:cs="Arial"/>
          <w:lang w:val="de-DE"/>
        </w:rPr>
      </w:pPr>
    </w:p>
    <w:p w:rsidR="00033064" w:rsidRPr="006D0C17" w:rsidRDefault="00033064" w:rsidP="006505F5">
      <w:pPr>
        <w:pStyle w:val="Heading1"/>
        <w:keepNext/>
        <w:rPr>
          <w:lang w:val="de-DE"/>
        </w:rPr>
      </w:pPr>
      <w:bookmarkStart w:id="37" w:name="_Toc412456855"/>
      <w:bookmarkStart w:id="38" w:name="_Toc414358732"/>
      <w:r w:rsidRPr="006D0C17">
        <w:rPr>
          <w:lang w:val="de-DE"/>
        </w:rPr>
        <w:t>Gemeinsame Arbeitstagung von OECD, UPOV, ISTA über molekulare Verfahren</w:t>
      </w:r>
      <w:bookmarkEnd w:id="37"/>
      <w:bookmarkEnd w:id="38"/>
    </w:p>
    <w:p w:rsidR="00BB63EA" w:rsidRPr="006D0C17" w:rsidRDefault="00BB63EA" w:rsidP="006505F5">
      <w:pPr>
        <w:keepNext/>
        <w:autoSpaceDE w:val="0"/>
        <w:autoSpaceDN w:val="0"/>
        <w:adjustRightInd w:val="0"/>
        <w:rPr>
          <w:rFonts w:cs="Arial"/>
          <w:lang w:val="de-DE"/>
        </w:rPr>
      </w:pPr>
    </w:p>
    <w:p w:rsidR="007330DD" w:rsidRPr="006D0C17" w:rsidRDefault="00FF0C5F" w:rsidP="007330DD">
      <w:pPr>
        <w:autoSpaceDE w:val="0"/>
        <w:autoSpaceDN w:val="0"/>
        <w:adjustRightInd w:val="0"/>
        <w:rPr>
          <w:rFonts w:cs="Arial"/>
          <w:lang w:val="de-DE"/>
        </w:rPr>
      </w:pPr>
      <w:r w:rsidRPr="006D0C17">
        <w:rPr>
          <w:rFonts w:cs="Arial"/>
          <w:lang w:val="de-DE"/>
        </w:rPr>
        <w:fldChar w:fldCharType="begin"/>
      </w:r>
      <w:r w:rsidR="007330DD" w:rsidRPr="006D0C17">
        <w:rPr>
          <w:rFonts w:cs="Arial"/>
          <w:lang w:val="de-DE"/>
        </w:rPr>
        <w:instrText xml:space="preserve"> AUTONUM  </w:instrText>
      </w:r>
      <w:r w:rsidRPr="006D0C17">
        <w:rPr>
          <w:rFonts w:cs="Arial"/>
          <w:lang w:val="de-DE"/>
        </w:rPr>
        <w:fldChar w:fldCharType="end"/>
      </w:r>
      <w:r w:rsidR="007330DD" w:rsidRPr="006D0C17">
        <w:rPr>
          <w:lang w:val="de-DE"/>
        </w:rPr>
        <w:tab/>
        <w:t>Die gemeinsame Arbeitstagung von OECD, UPOV, ISTA über molekulare Verfahren wurde in Seoul, Republik Korea</w:t>
      </w:r>
      <w:r w:rsidR="007330DD" w:rsidRPr="006D0C17">
        <w:rPr>
          <w:rStyle w:val="FootnoteReference"/>
          <w:lang w:val="de-DE"/>
        </w:rPr>
        <w:footnoteReference w:id="6"/>
      </w:r>
      <w:r w:rsidR="007330DD" w:rsidRPr="006D0C17">
        <w:rPr>
          <w:lang w:val="de-DE"/>
        </w:rPr>
        <w:t>, in Verbindung mit der vierzehnten Tagung der BMT</w:t>
      </w:r>
      <w:r w:rsidR="007330DD" w:rsidRPr="006D0C17">
        <w:rPr>
          <w:rStyle w:val="FootnoteReference"/>
          <w:lang w:val="de-DE"/>
        </w:rPr>
        <w:footnoteReference w:id="7"/>
      </w:r>
      <w:r w:rsidR="007330DD" w:rsidRPr="006D0C17">
        <w:rPr>
          <w:lang w:val="de-DE"/>
        </w:rPr>
        <w:t>, abgehalten.</w:t>
      </w:r>
    </w:p>
    <w:p w:rsidR="007330DD" w:rsidRPr="006D0C17" w:rsidRDefault="007330DD" w:rsidP="00D37975">
      <w:pPr>
        <w:autoSpaceDE w:val="0"/>
        <w:autoSpaceDN w:val="0"/>
        <w:adjustRightInd w:val="0"/>
        <w:rPr>
          <w:rFonts w:cs="Arial"/>
          <w:lang w:val="de-DE"/>
        </w:rPr>
      </w:pPr>
    </w:p>
    <w:p w:rsidR="00D37975" w:rsidRPr="006D0C17" w:rsidRDefault="00FF0C5F" w:rsidP="00D37975">
      <w:pPr>
        <w:autoSpaceDE w:val="0"/>
        <w:autoSpaceDN w:val="0"/>
        <w:adjustRightInd w:val="0"/>
        <w:rPr>
          <w:rFonts w:cs="Arial"/>
          <w:lang w:val="de-DE"/>
        </w:rPr>
      </w:pPr>
      <w:r w:rsidRPr="006D0C17">
        <w:rPr>
          <w:rFonts w:cs="Arial"/>
          <w:lang w:val="de-DE"/>
        </w:rPr>
        <w:fldChar w:fldCharType="begin"/>
      </w:r>
      <w:r w:rsidR="00D37975" w:rsidRPr="006D0C17">
        <w:rPr>
          <w:rFonts w:cs="Arial"/>
          <w:lang w:val="de-DE"/>
        </w:rPr>
        <w:instrText xml:space="preserve"> AUTONUM  </w:instrText>
      </w:r>
      <w:r w:rsidRPr="006D0C17">
        <w:rPr>
          <w:rFonts w:cs="Arial"/>
          <w:lang w:val="de-DE"/>
        </w:rPr>
        <w:fldChar w:fldCharType="end"/>
      </w:r>
      <w:r w:rsidR="00D37975" w:rsidRPr="006D0C17">
        <w:rPr>
          <w:lang w:val="de-DE"/>
        </w:rPr>
        <w:tab/>
        <w:t>Die unter jedem Tagesordnungspunkt der gemeinsamen Arbeitstagung von OECD, UPOV, ISTA präsentierten Papiere waren folgende:</w:t>
      </w:r>
    </w:p>
    <w:p w:rsidR="00D37975" w:rsidRPr="006D0C17" w:rsidRDefault="00D37975" w:rsidP="00337523">
      <w:pPr>
        <w:rPr>
          <w:lang w:val="de-DE"/>
        </w:rPr>
      </w:pPr>
    </w:p>
    <w:p w:rsidR="00D37975" w:rsidRPr="006D0C17" w:rsidRDefault="00D37975" w:rsidP="00DC6260">
      <w:pPr>
        <w:ind w:left="567"/>
        <w:rPr>
          <w:i/>
          <w:lang w:val="de-DE"/>
        </w:rPr>
      </w:pPr>
      <w:bookmarkStart w:id="39" w:name="_Toc410822413"/>
      <w:bookmarkStart w:id="40" w:name="_Toc410822809"/>
      <w:bookmarkStart w:id="41" w:name="_Toc410823316"/>
      <w:r w:rsidRPr="006D0C17">
        <w:rPr>
          <w:i/>
          <w:lang w:val="de-DE"/>
        </w:rPr>
        <w:t>Introduction to the OECD Seed Schemes and the Situation with Regard to Molecular Techniques (Einführung in die Saatgutzertifizierungssysteme der OECD und die Lage bezüglich der molekularen Verfahren)</w:t>
      </w:r>
      <w:bookmarkEnd w:id="39"/>
      <w:bookmarkEnd w:id="40"/>
      <w:bookmarkEnd w:id="41"/>
      <w:r w:rsidRPr="006D0C17">
        <w:rPr>
          <w:i/>
          <w:lang w:val="de-DE"/>
        </w:rPr>
        <w:t xml:space="preserve"> </w:t>
      </w:r>
    </w:p>
    <w:p w:rsidR="00D37975" w:rsidRPr="006D0C17" w:rsidRDefault="00E5782A" w:rsidP="00DC6260">
      <w:pPr>
        <w:ind w:left="567"/>
        <w:rPr>
          <w:i/>
          <w:lang w:val="de-DE"/>
        </w:rPr>
      </w:pPr>
      <w:bookmarkStart w:id="42" w:name="_Toc410822414"/>
      <w:bookmarkStart w:id="43" w:name="_Toc410822810"/>
      <w:bookmarkStart w:id="44" w:name="_Toc410823317"/>
      <w:r w:rsidRPr="006D0C17">
        <w:rPr>
          <w:i/>
          <w:lang w:val="de-DE"/>
        </w:rPr>
        <w:t>(Dokument BMT/14/Joint/6)</w:t>
      </w:r>
      <w:bookmarkEnd w:id="42"/>
      <w:bookmarkEnd w:id="43"/>
      <w:bookmarkEnd w:id="44"/>
    </w:p>
    <w:p w:rsidR="00D37975" w:rsidRPr="006D0C17" w:rsidRDefault="00D37975" w:rsidP="00DC6260">
      <w:pPr>
        <w:ind w:left="567"/>
        <w:rPr>
          <w:i/>
          <w:lang w:val="de-DE"/>
        </w:rPr>
      </w:pPr>
    </w:p>
    <w:p w:rsidR="00D37975" w:rsidRPr="006D0C17" w:rsidRDefault="00D37975" w:rsidP="00DC6260">
      <w:pPr>
        <w:ind w:left="567"/>
        <w:rPr>
          <w:i/>
          <w:lang w:val="de-DE"/>
        </w:rPr>
      </w:pPr>
      <w:bookmarkStart w:id="45" w:name="_Toc410822415"/>
      <w:bookmarkStart w:id="46" w:name="_Toc410822811"/>
      <w:bookmarkStart w:id="47" w:name="_Toc410823318"/>
      <w:r w:rsidRPr="006D0C17">
        <w:rPr>
          <w:i/>
          <w:lang w:val="de-DE"/>
        </w:rPr>
        <w:t>Introduction to UPOV and the Situation with Regard to Molecular Techniques (Einführung in die UPOV und die Lage bezüglich der molekularen Verfahren)</w:t>
      </w:r>
      <w:bookmarkEnd w:id="45"/>
      <w:bookmarkEnd w:id="46"/>
      <w:bookmarkEnd w:id="47"/>
      <w:r w:rsidRPr="006D0C17">
        <w:rPr>
          <w:i/>
          <w:lang w:val="de-DE"/>
        </w:rPr>
        <w:t xml:space="preserve"> </w:t>
      </w:r>
    </w:p>
    <w:p w:rsidR="00D37975" w:rsidRPr="006D0C17" w:rsidRDefault="00E5782A" w:rsidP="00DC6260">
      <w:pPr>
        <w:ind w:left="567"/>
        <w:rPr>
          <w:i/>
          <w:lang w:val="de-DE"/>
        </w:rPr>
      </w:pPr>
      <w:bookmarkStart w:id="48" w:name="_Toc410822416"/>
      <w:bookmarkStart w:id="49" w:name="_Toc410822812"/>
      <w:bookmarkStart w:id="50" w:name="_Toc410823319"/>
      <w:r w:rsidRPr="006D0C17">
        <w:rPr>
          <w:i/>
          <w:lang w:val="de-DE"/>
        </w:rPr>
        <w:t>(Dokument BMT/14/Joint/4 Rev.)</w:t>
      </w:r>
      <w:bookmarkEnd w:id="48"/>
      <w:bookmarkEnd w:id="49"/>
      <w:bookmarkEnd w:id="50"/>
    </w:p>
    <w:p w:rsidR="00D37975" w:rsidRPr="006D0C17" w:rsidRDefault="00D37975" w:rsidP="00DC6260">
      <w:pPr>
        <w:ind w:left="567"/>
        <w:rPr>
          <w:i/>
          <w:lang w:val="de-DE"/>
        </w:rPr>
      </w:pPr>
    </w:p>
    <w:p w:rsidR="000E2E2A" w:rsidRPr="006D0C17" w:rsidRDefault="00D37975" w:rsidP="00DC6260">
      <w:pPr>
        <w:ind w:left="567"/>
        <w:rPr>
          <w:i/>
          <w:lang w:val="de-DE"/>
        </w:rPr>
      </w:pPr>
      <w:bookmarkStart w:id="51" w:name="_Toc410822417"/>
      <w:bookmarkStart w:id="52" w:name="_Toc410822813"/>
      <w:bookmarkStart w:id="53" w:name="_Toc410823320"/>
      <w:r w:rsidRPr="006D0C17">
        <w:rPr>
          <w:i/>
          <w:lang w:val="de-DE"/>
        </w:rPr>
        <w:t xml:space="preserve">Introduction to ISTA and the Situation with Regard to Molecular Techniques (Einführung in die ISTA und die Lage bezüglich der molekularen Verfahren) </w:t>
      </w:r>
    </w:p>
    <w:p w:rsidR="00D37975" w:rsidRPr="006D0C17" w:rsidRDefault="00D37975" w:rsidP="00DC6260">
      <w:pPr>
        <w:ind w:left="567"/>
        <w:rPr>
          <w:i/>
          <w:lang w:val="de-DE"/>
        </w:rPr>
      </w:pPr>
      <w:r w:rsidRPr="006D0C17">
        <w:rPr>
          <w:i/>
          <w:lang w:val="de-DE"/>
        </w:rPr>
        <w:t>(Dokument BMT/14/Joint/3 Rev.)</w:t>
      </w:r>
      <w:bookmarkEnd w:id="51"/>
      <w:bookmarkEnd w:id="52"/>
      <w:bookmarkEnd w:id="53"/>
    </w:p>
    <w:p w:rsidR="00D37975" w:rsidRPr="006D0C17" w:rsidRDefault="00D37975" w:rsidP="00DC6260">
      <w:pPr>
        <w:ind w:left="567"/>
        <w:rPr>
          <w:i/>
          <w:lang w:val="de-DE"/>
        </w:rPr>
      </w:pPr>
    </w:p>
    <w:p w:rsidR="00D37975" w:rsidRPr="006D0C17" w:rsidRDefault="00D37975" w:rsidP="00DC6260">
      <w:pPr>
        <w:ind w:left="567"/>
        <w:rPr>
          <w:i/>
          <w:lang w:val="de-DE"/>
        </w:rPr>
      </w:pPr>
      <w:bookmarkStart w:id="54" w:name="_Toc410822418"/>
      <w:bookmarkStart w:id="55" w:name="_Toc410822814"/>
      <w:bookmarkStart w:id="56" w:name="_Toc410823321"/>
      <w:r w:rsidRPr="006D0C17">
        <w:rPr>
          <w:i/>
          <w:lang w:val="de-DE"/>
        </w:rPr>
        <w:t>Introduction to ISO and the Situation with Regard to Molecular Techniques (Einführung in die ISO und die Lage bezüglich der molekularen Verfahren) (Dokument BMT/14/Joint/2)</w:t>
      </w:r>
      <w:bookmarkEnd w:id="54"/>
      <w:bookmarkEnd w:id="55"/>
      <w:bookmarkEnd w:id="56"/>
    </w:p>
    <w:p w:rsidR="00D37975" w:rsidRPr="006D0C17" w:rsidRDefault="00D37975" w:rsidP="00DC6260">
      <w:pPr>
        <w:ind w:left="567"/>
        <w:rPr>
          <w:i/>
          <w:lang w:val="de-DE"/>
        </w:rPr>
      </w:pPr>
    </w:p>
    <w:p w:rsidR="00D37975" w:rsidRPr="006D0C17" w:rsidRDefault="00D37975" w:rsidP="00DC6260">
      <w:pPr>
        <w:ind w:left="567"/>
        <w:rPr>
          <w:i/>
          <w:lang w:val="de-DE"/>
        </w:rPr>
      </w:pPr>
      <w:bookmarkStart w:id="57" w:name="_Toc410822419"/>
      <w:bookmarkStart w:id="58" w:name="_Toc410822815"/>
      <w:bookmarkStart w:id="59" w:name="_Toc410823322"/>
      <w:r w:rsidRPr="006D0C17">
        <w:rPr>
          <w:i/>
          <w:lang w:val="de-DE"/>
        </w:rPr>
        <w:t>Existing Areas of Cooperation between OECD, UPOV and ISTA (Bestehende Kooperationsbereiche zwischen OECD, UPOV und ISTA) (Dokument/BMT/14/Joint/5)</w:t>
      </w:r>
      <w:bookmarkEnd w:id="57"/>
      <w:bookmarkEnd w:id="58"/>
      <w:bookmarkEnd w:id="59"/>
    </w:p>
    <w:p w:rsidR="00D37975" w:rsidRPr="006D0C17" w:rsidRDefault="00D37975" w:rsidP="00337523">
      <w:pPr>
        <w:rPr>
          <w:lang w:val="de-DE"/>
        </w:rPr>
      </w:pPr>
    </w:p>
    <w:p w:rsidR="009A5CC2" w:rsidRPr="006D0C17" w:rsidRDefault="00FF0C5F" w:rsidP="009A5CC2">
      <w:pPr>
        <w:rPr>
          <w:rFonts w:cs="Arial"/>
          <w:lang w:val="de-DE"/>
        </w:rPr>
      </w:pPr>
      <w:r w:rsidRPr="006D0C17">
        <w:rPr>
          <w:rFonts w:cs="Arial"/>
          <w:lang w:val="de-DE"/>
        </w:rPr>
        <w:fldChar w:fldCharType="begin"/>
      </w:r>
      <w:r w:rsidR="009A5CC2" w:rsidRPr="006D0C17">
        <w:rPr>
          <w:rFonts w:cs="Arial"/>
          <w:lang w:val="de-DE"/>
        </w:rPr>
        <w:instrText xml:space="preserve"> AUTONUM  </w:instrText>
      </w:r>
      <w:r w:rsidRPr="006D0C17">
        <w:rPr>
          <w:rFonts w:cs="Arial"/>
          <w:lang w:val="de-DE"/>
        </w:rPr>
        <w:fldChar w:fldCharType="end"/>
      </w:r>
      <w:r w:rsidR="009A5CC2" w:rsidRPr="006D0C17">
        <w:rPr>
          <w:lang w:val="de-DE"/>
        </w:rPr>
        <w:tab/>
        <w:t xml:space="preserve"> Die Arbeitstagung vereinbarte, daß es zweckmäßig wäre, ein gemeinsames Dokument zur Erklärung der grundlegenden Besonderheiten (z. B. DUS, Sortenidentifizierung, Sortenreinheit usw.) der Systeme von OEC</w:t>
      </w:r>
      <w:r w:rsidR="00A01E6E" w:rsidRPr="006D0C17">
        <w:rPr>
          <w:lang w:val="de-DE"/>
        </w:rPr>
        <w:t xml:space="preserve">D, UPOV und ISTA zu erstellen. </w:t>
      </w:r>
      <w:r w:rsidR="009A5CC2" w:rsidRPr="006D0C17">
        <w:rPr>
          <w:lang w:val="de-DE"/>
        </w:rPr>
        <w:t xml:space="preserve">Ferner wurde vereinbart, daß es für das gegenseitige Verständnis zweckmäßig wäre, die gemeinsame Arbeitstagung auf einschlägigen Tagungen der OECD und der ISTA zu wiederholen (vergleiche Dokument BMT/14/20 „Report”, Absatz 54). </w:t>
      </w:r>
    </w:p>
    <w:p w:rsidR="009A5CC2" w:rsidRPr="006D0C17" w:rsidRDefault="009A5CC2" w:rsidP="009A5CC2">
      <w:pPr>
        <w:rPr>
          <w:rFonts w:cs="Arial"/>
          <w:lang w:val="de-DE"/>
        </w:rPr>
      </w:pPr>
    </w:p>
    <w:p w:rsidR="009A5CC2" w:rsidRPr="006D0C17" w:rsidRDefault="00FF0C5F" w:rsidP="006505F5">
      <w:pPr>
        <w:rPr>
          <w:rFonts w:cs="Arial"/>
          <w:lang w:val="de-DE"/>
        </w:rPr>
      </w:pPr>
      <w:r w:rsidRPr="006D0C17">
        <w:rPr>
          <w:rFonts w:cs="Arial"/>
          <w:lang w:val="de-DE"/>
        </w:rPr>
        <w:fldChar w:fldCharType="begin"/>
      </w:r>
      <w:r w:rsidR="009A5CC2" w:rsidRPr="006D0C17">
        <w:rPr>
          <w:rFonts w:cs="Arial"/>
          <w:lang w:val="de-DE"/>
        </w:rPr>
        <w:instrText xml:space="preserve"> AUTONUM  </w:instrText>
      </w:r>
      <w:r w:rsidRPr="006D0C17">
        <w:rPr>
          <w:rFonts w:cs="Arial"/>
          <w:lang w:val="de-DE"/>
        </w:rPr>
        <w:fldChar w:fldCharType="end"/>
      </w:r>
      <w:r w:rsidR="009A5CC2" w:rsidRPr="006D0C17">
        <w:rPr>
          <w:lang w:val="de-DE"/>
        </w:rPr>
        <w:tab/>
        <w:t>Die Arbeitstagung vereinbarte, eine Bestandsaufnahme durch UPOV, OECD und ISTA der Verwendung molekularer Markerverfahren nach Pflanze im Hinblick auf die Ausarbeitung eines Dokuments mit diesen Informationen in ähnlichem Format wie das UPOV-Dokument UPOV/INF/16 „Austauschbare Software“ vorzuschlagen.</w:t>
      </w:r>
      <w:r w:rsidR="00E77BAD" w:rsidRPr="006D0C17">
        <w:rPr>
          <w:lang w:val="de-DE"/>
        </w:rPr>
        <w:t xml:space="preserve"> </w:t>
      </w:r>
      <w:r w:rsidR="009A5CC2" w:rsidRPr="006D0C17">
        <w:rPr>
          <w:lang w:val="de-DE"/>
        </w:rPr>
        <w:t>Es wurde zur Kenntnis genommen, daß die OECD bereits einige Informationen betreffend die Verwendung molekularer Verfahren durch ihre benannten Behörden gesammelt hat (vergleiche Dokument BMT/14/20 „Report”, Absatz 55).</w:t>
      </w:r>
    </w:p>
    <w:p w:rsidR="009A5CC2" w:rsidRPr="006D0C17" w:rsidRDefault="009A5CC2" w:rsidP="006505F5">
      <w:pPr>
        <w:rPr>
          <w:rFonts w:cs="Arial"/>
          <w:lang w:val="de-DE"/>
        </w:rPr>
      </w:pPr>
    </w:p>
    <w:p w:rsidR="009A5CC2" w:rsidRPr="006D0C17" w:rsidRDefault="00FF0C5F" w:rsidP="006505F5">
      <w:pPr>
        <w:rPr>
          <w:rFonts w:cs="Arial"/>
          <w:lang w:val="de-DE"/>
        </w:rPr>
      </w:pPr>
      <w:r w:rsidRPr="006D0C17">
        <w:rPr>
          <w:rFonts w:cs="Arial"/>
          <w:lang w:val="de-DE"/>
        </w:rPr>
        <w:fldChar w:fldCharType="begin"/>
      </w:r>
      <w:r w:rsidR="009A5CC2" w:rsidRPr="006D0C17">
        <w:rPr>
          <w:rFonts w:cs="Arial"/>
          <w:lang w:val="de-DE"/>
        </w:rPr>
        <w:instrText xml:space="preserve"> AUTONUM  </w:instrText>
      </w:r>
      <w:r w:rsidRPr="006D0C17">
        <w:rPr>
          <w:rFonts w:cs="Arial"/>
          <w:lang w:val="de-DE"/>
        </w:rPr>
        <w:fldChar w:fldCharType="end"/>
      </w:r>
      <w:r w:rsidR="009A5CC2" w:rsidRPr="006D0C17">
        <w:rPr>
          <w:lang w:val="de-DE"/>
        </w:rPr>
        <w:tab/>
        <w:t>Ferner vereinbarte die Arbeitstagung vorzuschlagen, die UPOV, OECD und ISTA zu ersuchen, Listen möglicher gemeinsamer Initiativen im Hinblick auf molekulare Verfahren zu erstellen.</w:t>
      </w:r>
      <w:r w:rsidR="00E77BAD" w:rsidRPr="006D0C17">
        <w:rPr>
          <w:lang w:val="de-DE"/>
        </w:rPr>
        <w:t xml:space="preserve"> </w:t>
      </w:r>
      <w:r w:rsidR="009A5CC2" w:rsidRPr="006D0C17">
        <w:rPr>
          <w:lang w:val="de-DE"/>
        </w:rPr>
        <w:t>Es wurde angemerkt, daß die Liste im Falle der UPOV vorbehaltlich der Zustimmung durch den Technischen Ausschuß von der BMT auf ihrer fünfzehnten Tagung aufgesetzt werden könnte (vergleiche Dokument BMT/14/20 „Report”, Absatz 56).</w:t>
      </w:r>
    </w:p>
    <w:p w:rsidR="00BB63EA" w:rsidRPr="006D0C17" w:rsidRDefault="00BB63EA" w:rsidP="006505F5">
      <w:pPr>
        <w:rPr>
          <w:rFonts w:cs="Arial"/>
          <w:lang w:val="de-DE"/>
        </w:rPr>
      </w:pPr>
    </w:p>
    <w:p w:rsidR="007520E2" w:rsidRPr="006D0C17" w:rsidRDefault="00FF0C5F" w:rsidP="006505F5">
      <w:pPr>
        <w:rPr>
          <w:snapToGrid w:val="0"/>
          <w:lang w:val="de-DE"/>
        </w:rPr>
      </w:pPr>
      <w:r w:rsidRPr="006D0C17">
        <w:rPr>
          <w:snapToGrid w:val="0"/>
          <w:lang w:val="de-DE"/>
        </w:rPr>
        <w:fldChar w:fldCharType="begin"/>
      </w:r>
      <w:r w:rsidR="007520E2" w:rsidRPr="006D0C17">
        <w:rPr>
          <w:snapToGrid w:val="0"/>
          <w:lang w:val="de-DE"/>
        </w:rPr>
        <w:instrText xml:space="preserve"> AUTONUM  </w:instrText>
      </w:r>
      <w:r w:rsidRPr="006D0C17">
        <w:rPr>
          <w:snapToGrid w:val="0"/>
          <w:lang w:val="de-DE"/>
        </w:rPr>
        <w:fldChar w:fldCharType="end"/>
      </w:r>
      <w:r w:rsidR="007520E2" w:rsidRPr="006D0C17">
        <w:rPr>
          <w:lang w:val="de-DE"/>
        </w:rPr>
        <w:tab/>
        <w:t>Auf der am 28. und 29. Januar 2015 in Paris, Frankreich, abgehaltenen Tagung der Technischen Arbeitsgruppe der OECD-Saatgutsysteme berichtete Herr Gerry Hall (Vereinigtes Königreich), Vorsitzender der</w:t>
      </w:r>
      <w:r w:rsidR="00E77BAD" w:rsidRPr="006D0C17">
        <w:rPr>
          <w:lang w:val="de-DE"/>
        </w:rPr>
        <w:t xml:space="preserve"> </w:t>
      </w:r>
      <w:r w:rsidR="007520E2" w:rsidRPr="006D0C17">
        <w:rPr>
          <w:i/>
          <w:snapToGrid w:val="0"/>
          <w:lang w:val="de-DE"/>
        </w:rPr>
        <w:t>Ad-hoc</w:t>
      </w:r>
      <w:r w:rsidR="007520E2" w:rsidRPr="006D0C17">
        <w:rPr>
          <w:lang w:val="de-DE"/>
        </w:rPr>
        <w:t>-Arbeitsgruppe für biochemische und molekulare Verfahren (AHWG) der OECD-Saatgutsysteme, mündlich über die gemeinsame Arbeitstagung von OECD, UPOV, ISTA, die am 13. November 2014 während der vierzehnten Tagung der BMT abgehalten wurde.</w:t>
      </w:r>
    </w:p>
    <w:p w:rsidR="007520E2" w:rsidRPr="006D0C17" w:rsidRDefault="007520E2" w:rsidP="007520E2">
      <w:pPr>
        <w:rPr>
          <w:snapToGrid w:val="0"/>
          <w:lang w:val="de-DE"/>
        </w:rPr>
      </w:pPr>
    </w:p>
    <w:p w:rsidR="006505F5" w:rsidRPr="006D0C17" w:rsidRDefault="00FF0C5F" w:rsidP="006505F5">
      <w:pPr>
        <w:rPr>
          <w:snapToGrid w:val="0"/>
          <w:lang w:val="de-DE"/>
        </w:rPr>
      </w:pPr>
      <w:r w:rsidRPr="006D0C17">
        <w:rPr>
          <w:snapToGrid w:val="0"/>
          <w:lang w:val="de-DE"/>
        </w:rPr>
        <w:fldChar w:fldCharType="begin"/>
      </w:r>
      <w:r w:rsidR="007520E2" w:rsidRPr="006D0C17">
        <w:rPr>
          <w:snapToGrid w:val="0"/>
          <w:lang w:val="de-DE"/>
        </w:rPr>
        <w:instrText xml:space="preserve"> AUTONUM  </w:instrText>
      </w:r>
      <w:r w:rsidRPr="006D0C17">
        <w:rPr>
          <w:snapToGrid w:val="0"/>
          <w:lang w:val="de-DE"/>
        </w:rPr>
        <w:fldChar w:fldCharType="end"/>
      </w:r>
      <w:r w:rsidR="007520E2" w:rsidRPr="006D0C17">
        <w:rPr>
          <w:lang w:val="de-DE"/>
        </w:rPr>
        <w:tab/>
        <w:t>Die Technische Arbeitsgruppe vereinbarte, daß eine weitere gemeinsame Arbeitstagung von OECD, UPOV, ISTA über molekulare Verfahren entweder in Verbindung mit der Jahrestagung der OECD</w:t>
      </w:r>
      <w:r w:rsidR="00765671" w:rsidRPr="006D0C17">
        <w:rPr>
          <w:lang w:val="de-DE"/>
        </w:rPr>
        <w:noBreakHyphen/>
      </w:r>
      <w:r w:rsidR="007520E2" w:rsidRPr="006D0C17">
        <w:rPr>
          <w:lang w:val="de-DE"/>
        </w:rPr>
        <w:t>Saatgutsysteme im Juni 2015 in Paris oder in Verbindung mit der Tagung der Technischen Arbeitsgruppe im Januar 2016 abgehalten werden sollte.</w:t>
      </w:r>
    </w:p>
    <w:p w:rsidR="00213DB3" w:rsidRPr="006D0C17" w:rsidRDefault="00213DB3" w:rsidP="00033064">
      <w:pPr>
        <w:rPr>
          <w:lang w:val="de-DE"/>
        </w:rPr>
      </w:pPr>
    </w:p>
    <w:p w:rsidR="007520E2" w:rsidRPr="006D0C17" w:rsidRDefault="007520E2" w:rsidP="006505F5">
      <w:pPr>
        <w:pStyle w:val="Heading1"/>
        <w:rPr>
          <w:lang w:val="de-DE"/>
        </w:rPr>
      </w:pPr>
      <w:bookmarkStart w:id="60" w:name="_Toc412456856"/>
      <w:bookmarkStart w:id="61" w:name="_Toc410822422"/>
      <w:bookmarkStart w:id="62" w:name="_Toc410822818"/>
      <w:bookmarkStart w:id="63" w:name="_Toc410823325"/>
      <w:bookmarkStart w:id="64" w:name="_Toc410899586"/>
      <w:bookmarkStart w:id="65" w:name="_Toc414358733"/>
      <w:r w:rsidRPr="006D0C17">
        <w:rPr>
          <w:lang w:val="de-DE"/>
        </w:rPr>
        <w:t>Erörterung über molekulare Verfahren auf der fünfzigsten Tagung des Technischen Ausschusses</w:t>
      </w:r>
      <w:bookmarkEnd w:id="60"/>
      <w:bookmarkEnd w:id="65"/>
    </w:p>
    <w:p w:rsidR="00A20CD7" w:rsidRPr="006D0C17" w:rsidRDefault="00A20CD7" w:rsidP="00891326">
      <w:pPr>
        <w:keepNext/>
        <w:rPr>
          <w:lang w:val="de-DE"/>
        </w:rPr>
      </w:pPr>
    </w:p>
    <w:p w:rsidR="00A20CD7" w:rsidRPr="006D0C17" w:rsidRDefault="00FF0C5F" w:rsidP="006505F5">
      <w:pPr>
        <w:rPr>
          <w:lang w:val="de-DE"/>
        </w:rPr>
      </w:pPr>
      <w:r w:rsidRPr="006D0C17">
        <w:rPr>
          <w:lang w:val="de-DE"/>
        </w:rPr>
        <w:fldChar w:fldCharType="begin"/>
      </w:r>
      <w:r w:rsidR="00A20CD7" w:rsidRPr="006D0C17">
        <w:rPr>
          <w:lang w:val="de-DE"/>
        </w:rPr>
        <w:instrText xml:space="preserve"> AUTONUM  </w:instrText>
      </w:r>
      <w:r w:rsidRPr="006D0C17">
        <w:rPr>
          <w:lang w:val="de-DE"/>
        </w:rPr>
        <w:fldChar w:fldCharType="end"/>
      </w:r>
      <w:r w:rsidR="00A20CD7" w:rsidRPr="006D0C17">
        <w:rPr>
          <w:lang w:val="de-DE"/>
        </w:rPr>
        <w:tab/>
        <w:t>Der TC vereinbarte auf seiner fünfzigsten Tagung</w:t>
      </w:r>
      <w:r w:rsidR="00AE01ED" w:rsidRPr="006D0C17">
        <w:rPr>
          <w:lang w:val="de-DE"/>
        </w:rPr>
        <w:t xml:space="preserve"> in Genf</w:t>
      </w:r>
      <w:r w:rsidR="00A20CD7" w:rsidRPr="006D0C17">
        <w:rPr>
          <w:rStyle w:val="FootnoteReference"/>
          <w:lang w:val="de-DE"/>
        </w:rPr>
        <w:footnoteReference w:id="8"/>
      </w:r>
      <w:r w:rsidR="00A20CD7" w:rsidRPr="006D0C17">
        <w:rPr>
          <w:lang w:val="de-DE"/>
        </w:rPr>
        <w:t>, daß der Entwurf einer Tagesordnung für die einundfünfzigste Tagung des TC einen Tagesordnungspunkt für eine Erörterung über molekulare Verfahren enthalten sollte (vergleiche Dokument TC/50/26 „Bericht über die Entschließungen“, Absatz 164).</w:t>
      </w:r>
    </w:p>
    <w:p w:rsidR="00C50874" w:rsidRPr="006D0C17" w:rsidRDefault="00C50874" w:rsidP="00A20CD7">
      <w:pPr>
        <w:rPr>
          <w:lang w:val="de-DE"/>
        </w:rPr>
      </w:pPr>
    </w:p>
    <w:p w:rsidR="00A20CD7" w:rsidRPr="006D0C17" w:rsidRDefault="00FF0C5F" w:rsidP="00A20CD7">
      <w:pPr>
        <w:rPr>
          <w:rFonts w:cs="Arial"/>
          <w:lang w:val="de-DE"/>
        </w:rPr>
      </w:pPr>
      <w:r w:rsidRPr="006D0C17">
        <w:rPr>
          <w:lang w:val="de-DE"/>
        </w:rPr>
        <w:fldChar w:fldCharType="begin"/>
      </w:r>
      <w:r w:rsidR="00A20CD7" w:rsidRPr="006D0C17">
        <w:rPr>
          <w:lang w:val="de-DE"/>
        </w:rPr>
        <w:instrText xml:space="preserve"> AUTONUM  </w:instrText>
      </w:r>
      <w:r w:rsidRPr="006D0C17">
        <w:rPr>
          <w:lang w:val="de-DE"/>
        </w:rPr>
        <w:fldChar w:fldCharType="end"/>
      </w:r>
      <w:r w:rsidR="00A20CD7" w:rsidRPr="006D0C17">
        <w:rPr>
          <w:lang w:val="de-DE"/>
        </w:rPr>
        <w:tab/>
        <w:t>Auf der Tagung der TWP- und TC-Vorsitzenden am 9. Januar 2015 in Genf wurde vorgeschlagen, daß die Grundlage für die Erörterung die Präsentation von Höhepunkten von der vierzehnten Tagung der BMT vom 10. bis 13. November 2014 in Seoul, Republik Korea, und der gemeinsamen Arbeitstagung von OECD, UPOV und ISTA über molekulare Verfahren am 12. November 2014 in Seoul, Republik Korea, sein könnte.</w:t>
      </w:r>
    </w:p>
    <w:p w:rsidR="002C3CBE" w:rsidRPr="006D0C17" w:rsidRDefault="002C3CBE" w:rsidP="00A20CD7">
      <w:pPr>
        <w:rPr>
          <w:rFonts w:cs="Arial"/>
          <w:lang w:val="de-DE"/>
        </w:rPr>
      </w:pPr>
    </w:p>
    <w:p w:rsidR="002C3CBE" w:rsidRPr="006D0C17" w:rsidRDefault="00FF0C5F" w:rsidP="00A20CD7">
      <w:pPr>
        <w:rPr>
          <w:lang w:val="de-DE"/>
        </w:rPr>
      </w:pPr>
      <w:r w:rsidRPr="006D0C17">
        <w:rPr>
          <w:lang w:val="de-DE"/>
        </w:rPr>
        <w:fldChar w:fldCharType="begin"/>
      </w:r>
      <w:r w:rsidR="002C3CBE" w:rsidRPr="006D0C17">
        <w:rPr>
          <w:lang w:val="de-DE"/>
        </w:rPr>
        <w:instrText xml:space="preserve"> AUTONUM  </w:instrText>
      </w:r>
      <w:r w:rsidRPr="006D0C17">
        <w:rPr>
          <w:lang w:val="de-DE"/>
        </w:rPr>
        <w:fldChar w:fldCharType="end"/>
      </w:r>
      <w:r w:rsidR="002C3CBE" w:rsidRPr="006D0C17">
        <w:rPr>
          <w:lang w:val="de-DE"/>
        </w:rPr>
        <w:tab/>
        <w:t>Diesbezüglich wurde vorgeschlagen, Präsentationen zu folgenden Themenpunkten für die Erörterung über molekulare Verfahren auf der einundfünfzigsten Tagung des TC wie folgt zu organisieren:</w:t>
      </w:r>
    </w:p>
    <w:p w:rsidR="002C3CBE" w:rsidRPr="006D0C17" w:rsidRDefault="002C3CBE" w:rsidP="002C3CBE">
      <w:pPr>
        <w:rPr>
          <w:lang w:val="de-DE"/>
        </w:rPr>
      </w:pPr>
    </w:p>
    <w:p w:rsidR="002C3CBE" w:rsidRPr="006D0C17" w:rsidRDefault="002C3CBE" w:rsidP="00597583">
      <w:pPr>
        <w:ind w:left="567"/>
        <w:rPr>
          <w:i/>
          <w:lang w:val="de-DE"/>
        </w:rPr>
      </w:pPr>
      <w:r w:rsidRPr="006D0C17">
        <w:rPr>
          <w:i/>
          <w:lang w:val="de-DE"/>
        </w:rPr>
        <w:t>Berichte über Entwicklungen in der UPOV betreffend biochemische und molekulare Verfahren (vergleiche auch Dokument BMT/14/2 Rev2.)</w:t>
      </w:r>
    </w:p>
    <w:p w:rsidR="00EB2A97" w:rsidRPr="006D0C17" w:rsidRDefault="00EB2A97" w:rsidP="00597583">
      <w:pPr>
        <w:ind w:left="567"/>
        <w:rPr>
          <w:i/>
          <w:lang w:val="de-DE"/>
        </w:rPr>
      </w:pPr>
    </w:p>
    <w:p w:rsidR="00EB2A97" w:rsidRPr="006D0C17" w:rsidRDefault="00EB2A97" w:rsidP="00EB2A97">
      <w:pPr>
        <w:ind w:left="540" w:firstLine="27"/>
        <w:rPr>
          <w:i/>
          <w:lang w:val="de-DE"/>
        </w:rPr>
      </w:pPr>
      <w:r w:rsidRPr="006D0C17">
        <w:rPr>
          <w:i/>
          <w:lang w:val="de-DE"/>
        </w:rPr>
        <w:t>Verwendung molekularer Markerverfahren für die Selektion von ‘ähnliche Sorte’ für ‘Kandidatensorte’ (vergleiche auch Dokument BMT/14/16 Rev2.)</w:t>
      </w:r>
    </w:p>
    <w:p w:rsidR="00597583" w:rsidRPr="006D0C17" w:rsidRDefault="00597583" w:rsidP="00597583">
      <w:pPr>
        <w:ind w:left="540" w:firstLine="27"/>
        <w:rPr>
          <w:i/>
          <w:lang w:val="de-DE"/>
        </w:rPr>
      </w:pPr>
    </w:p>
    <w:p w:rsidR="002C3CBE" w:rsidRPr="006D0C17" w:rsidRDefault="002C3CBE" w:rsidP="00597583">
      <w:pPr>
        <w:ind w:left="540" w:firstLine="27"/>
        <w:rPr>
          <w:rFonts w:cs="Arial"/>
          <w:i/>
          <w:lang w:val="de-DE"/>
        </w:rPr>
      </w:pPr>
      <w:r w:rsidRPr="006D0C17">
        <w:rPr>
          <w:i/>
          <w:lang w:val="de-DE"/>
        </w:rPr>
        <w:t>Verwendung von Vergleichssorten bei der Unterscheidbarkeit von Sorten: Ein derzeit in den Vereinigten Staaten von Amerika geprüfter Ansatz für die potentielle Anwendung im Sortenschutz (vergleiche auch Dokumente BMT/14/5 und BMT/14/5 Add.)</w:t>
      </w:r>
    </w:p>
    <w:p w:rsidR="002C3CBE" w:rsidRPr="006D0C17" w:rsidRDefault="002C3CBE" w:rsidP="002C3CBE">
      <w:pPr>
        <w:rPr>
          <w:i/>
          <w:lang w:val="de-DE"/>
        </w:rPr>
      </w:pPr>
    </w:p>
    <w:p w:rsidR="002C3CBE" w:rsidRPr="006D0C17" w:rsidRDefault="002C3CBE" w:rsidP="00597583">
      <w:pPr>
        <w:ind w:left="540" w:firstLine="27"/>
        <w:rPr>
          <w:i/>
          <w:lang w:val="de-DE"/>
        </w:rPr>
      </w:pPr>
      <w:r w:rsidRPr="006D0C17">
        <w:rPr>
          <w:i/>
          <w:lang w:val="de-DE"/>
        </w:rPr>
        <w:t>Eine europäische Kartoffeldatenbank als zentralisierte Sammlung von allgemein bekannten Sorten (vergleiche auch Dokumente BMT/14/18 und BMT/14/18 Add)</w:t>
      </w:r>
    </w:p>
    <w:p w:rsidR="002C3CBE" w:rsidRPr="006D0C17" w:rsidRDefault="002C3CBE" w:rsidP="002C3CBE">
      <w:pPr>
        <w:rPr>
          <w:i/>
          <w:lang w:val="de-DE"/>
        </w:rPr>
      </w:pPr>
    </w:p>
    <w:p w:rsidR="002C3CBE" w:rsidRPr="006D0C17" w:rsidRDefault="002C3CBE" w:rsidP="00597583">
      <w:pPr>
        <w:ind w:left="540" w:firstLine="27"/>
        <w:rPr>
          <w:i/>
          <w:lang w:val="de-DE"/>
        </w:rPr>
      </w:pPr>
      <w:r w:rsidRPr="006D0C17">
        <w:rPr>
          <w:i/>
          <w:lang w:val="de-DE"/>
        </w:rPr>
        <w:t>Entwicklung von EST-SSR-Markern von Salat und Sortenidentifizierung anhand von EST-SSR-Markern (vergleiche auch Dokument BMT/14/13 Rev.)</w:t>
      </w:r>
    </w:p>
    <w:p w:rsidR="00597583" w:rsidRPr="006D0C17" w:rsidRDefault="00597583" w:rsidP="002C3CBE">
      <w:pPr>
        <w:rPr>
          <w:i/>
          <w:lang w:val="de-DE"/>
        </w:rPr>
      </w:pPr>
    </w:p>
    <w:p w:rsidR="002C3CBE" w:rsidRPr="006D0C17" w:rsidRDefault="002C3CBE" w:rsidP="00891326">
      <w:pPr>
        <w:ind w:left="540"/>
        <w:rPr>
          <w:i/>
          <w:lang w:val="de-DE"/>
        </w:rPr>
      </w:pPr>
      <w:r w:rsidRPr="006D0C17">
        <w:rPr>
          <w:i/>
          <w:lang w:val="de-DE"/>
        </w:rPr>
        <w:t>Inhaberschaft und Verwendung von DUS-Proben und von DNS und DNS-Daten während und nach den DUS-Prüfungen (Dokument BMT/14/11 Rev.)</w:t>
      </w:r>
    </w:p>
    <w:p w:rsidR="002C3CBE" w:rsidRPr="006D0C17" w:rsidRDefault="002C3CBE" w:rsidP="002C3CBE">
      <w:pPr>
        <w:rPr>
          <w:rFonts w:cs="Arial"/>
          <w:i/>
          <w:lang w:val="de-DE"/>
        </w:rPr>
      </w:pPr>
    </w:p>
    <w:p w:rsidR="002C3CBE" w:rsidRPr="006D0C17" w:rsidRDefault="002C3CBE" w:rsidP="00597583">
      <w:pPr>
        <w:ind w:left="540" w:firstLine="27"/>
        <w:rPr>
          <w:i/>
          <w:lang w:val="de-DE"/>
        </w:rPr>
      </w:pPr>
      <w:r w:rsidRPr="006D0C17">
        <w:rPr>
          <w:i/>
          <w:lang w:val="de-DE"/>
        </w:rPr>
        <w:t>Möglichkeiten für die Zusammenarbeit zwischen OECD, UPOV, ISO und ISTA im Hinblick auf molekulare Verfahren (vergleiche auch Dokument BMT/14/Joint/5)</w:t>
      </w:r>
    </w:p>
    <w:p w:rsidR="002C3CBE" w:rsidRPr="006D0C17" w:rsidRDefault="002C3CBE" w:rsidP="002C3CBE">
      <w:pPr>
        <w:rPr>
          <w:lang w:val="de-DE"/>
        </w:rPr>
      </w:pPr>
    </w:p>
    <w:p w:rsidR="00A20CD7" w:rsidRPr="006D0C17" w:rsidRDefault="00FF0C5F" w:rsidP="00A20CD7">
      <w:pPr>
        <w:rPr>
          <w:lang w:val="de-DE"/>
        </w:rPr>
      </w:pPr>
      <w:r w:rsidRPr="006D0C17">
        <w:rPr>
          <w:lang w:val="de-DE"/>
        </w:rPr>
        <w:fldChar w:fldCharType="begin"/>
      </w:r>
      <w:r w:rsidR="00597583" w:rsidRPr="006D0C17">
        <w:rPr>
          <w:lang w:val="de-DE"/>
        </w:rPr>
        <w:instrText xml:space="preserve"> AUTONUM  </w:instrText>
      </w:r>
      <w:r w:rsidRPr="006D0C17">
        <w:rPr>
          <w:lang w:val="de-DE"/>
        </w:rPr>
        <w:fldChar w:fldCharType="end"/>
      </w:r>
      <w:r w:rsidR="00597583" w:rsidRPr="006D0C17">
        <w:rPr>
          <w:lang w:val="de-DE"/>
        </w:rPr>
        <w:tab/>
        <w:t>Vorbehaltlich der Billigung durch den TC wird ein Entwurf eines Programms für die Erörterung als Anlage II dieses Dokuments bereitgestellt, einschließlich eines Hinweises darauf, wie diese Erörterung mit dem Tagesordnungspunkt „molekulare Verfahren“ koordiniert würde.</w:t>
      </w:r>
    </w:p>
    <w:p w:rsidR="001873AF" w:rsidRPr="006D0C17" w:rsidRDefault="001873AF" w:rsidP="00A20CD7">
      <w:pPr>
        <w:rPr>
          <w:lang w:val="de-DE"/>
        </w:rPr>
      </w:pPr>
    </w:p>
    <w:p w:rsidR="001D5E40" w:rsidRPr="006D0C17" w:rsidRDefault="00E339A6" w:rsidP="006505F5">
      <w:pPr>
        <w:pStyle w:val="Heading1"/>
        <w:rPr>
          <w:lang w:val="de-DE"/>
        </w:rPr>
      </w:pPr>
      <w:bookmarkStart w:id="66" w:name="_Toc412456857"/>
      <w:bookmarkStart w:id="67" w:name="_Toc414358734"/>
      <w:r w:rsidRPr="006D0C17">
        <w:rPr>
          <w:lang w:val="de-DE"/>
        </w:rPr>
        <w:t>Erteilung von Informationen über die Lage in der UPOV bezüglich der Verwendung molekularer Verfahren</w:t>
      </w:r>
      <w:bookmarkEnd w:id="61"/>
      <w:bookmarkEnd w:id="62"/>
      <w:bookmarkEnd w:id="63"/>
      <w:bookmarkEnd w:id="64"/>
      <w:bookmarkEnd w:id="66"/>
      <w:bookmarkEnd w:id="67"/>
    </w:p>
    <w:p w:rsidR="001D5E40" w:rsidRPr="006D0C17" w:rsidRDefault="001D5E40" w:rsidP="001D5E40">
      <w:pPr>
        <w:rPr>
          <w:lang w:val="de-DE"/>
        </w:rPr>
      </w:pPr>
    </w:p>
    <w:p w:rsidR="008F3EA7" w:rsidRPr="006D0C17" w:rsidRDefault="00FF0C5F" w:rsidP="0036170D">
      <w:pPr>
        <w:autoSpaceDE w:val="0"/>
        <w:autoSpaceDN w:val="0"/>
        <w:adjustRightInd w:val="0"/>
        <w:rPr>
          <w:rFonts w:cs="Arial"/>
          <w:lang w:val="de-DE"/>
        </w:rPr>
      </w:pPr>
      <w:r w:rsidRPr="006D0C17">
        <w:rPr>
          <w:lang w:val="de-DE"/>
        </w:rPr>
        <w:fldChar w:fldCharType="begin"/>
      </w:r>
      <w:r w:rsidR="0036170D" w:rsidRPr="006D0C17">
        <w:rPr>
          <w:lang w:val="de-DE"/>
        </w:rPr>
        <w:instrText xml:space="preserve"> AUTONUM  </w:instrText>
      </w:r>
      <w:r w:rsidRPr="006D0C17">
        <w:rPr>
          <w:lang w:val="de-DE"/>
        </w:rPr>
        <w:fldChar w:fldCharType="end"/>
      </w:r>
      <w:r w:rsidR="0036170D" w:rsidRPr="006D0C17">
        <w:rPr>
          <w:lang w:val="de-DE"/>
        </w:rPr>
        <w:tab/>
        <w:t>Der TC war sich auf seiner neunundvierzigsten Tagung</w:t>
      </w:r>
      <w:r w:rsidR="00AE01ED" w:rsidRPr="006D0C17">
        <w:rPr>
          <w:lang w:val="de-DE"/>
        </w:rPr>
        <w:t xml:space="preserve"> in Genf</w:t>
      </w:r>
      <w:r w:rsidR="0036170D" w:rsidRPr="006D0C17">
        <w:rPr>
          <w:lang w:val="de-DE"/>
        </w:rPr>
        <w:t xml:space="preserve"> </w:t>
      </w:r>
      <w:r w:rsidR="0036170D" w:rsidRPr="006D0C17">
        <w:rPr>
          <w:rStyle w:val="FootnoteReference"/>
          <w:lang w:val="de-DE"/>
        </w:rPr>
        <w:footnoteReference w:id="9"/>
      </w:r>
      <w:r w:rsidR="0036170D" w:rsidRPr="006D0C17">
        <w:rPr>
          <w:lang w:val="de-DE"/>
        </w:rPr>
        <w:t xml:space="preserve"> darin einig, daß es notwendig sei, einem breiteren Publikum, einschließlich Züchtern und der Öffentlichkeit im allgemeinen, geeignete Informationen über die Lage in der UPOV im Hinblick auf die Verwendung molekularer Verfahren zur Verfügung zu stellen (vergleiche Dokument TC/49/41, „Bericht über die Entschließungen“, Absatz 136).</w:t>
      </w:r>
    </w:p>
    <w:p w:rsidR="008F3EA7" w:rsidRPr="006D0C17" w:rsidRDefault="008F3EA7" w:rsidP="0036170D">
      <w:pPr>
        <w:autoSpaceDE w:val="0"/>
        <w:autoSpaceDN w:val="0"/>
        <w:adjustRightInd w:val="0"/>
        <w:rPr>
          <w:rFonts w:cs="Arial"/>
          <w:lang w:val="de-DE"/>
        </w:rPr>
      </w:pPr>
    </w:p>
    <w:p w:rsidR="008F3EA7" w:rsidRPr="006D0C17" w:rsidRDefault="00FF0C5F" w:rsidP="0036170D">
      <w:pPr>
        <w:autoSpaceDE w:val="0"/>
        <w:autoSpaceDN w:val="0"/>
        <w:adjustRightInd w:val="0"/>
        <w:rPr>
          <w:rFonts w:cs="Arial"/>
          <w:lang w:val="de-DE"/>
        </w:rPr>
      </w:pPr>
      <w:r w:rsidRPr="006D0C17">
        <w:rPr>
          <w:lang w:val="de-DE"/>
        </w:rPr>
        <w:fldChar w:fldCharType="begin"/>
      </w:r>
      <w:r w:rsidR="008F3EA7" w:rsidRPr="006D0C17">
        <w:rPr>
          <w:lang w:val="de-DE"/>
        </w:rPr>
        <w:instrText xml:space="preserve"> AUTONUM  </w:instrText>
      </w:r>
      <w:r w:rsidRPr="006D0C17">
        <w:rPr>
          <w:lang w:val="de-DE"/>
        </w:rPr>
        <w:fldChar w:fldCharType="end"/>
      </w:r>
      <w:r w:rsidR="006D0C17">
        <w:rPr>
          <w:lang w:val="de-DE"/>
        </w:rPr>
        <w:tab/>
      </w:r>
      <w:r w:rsidR="008F3EA7" w:rsidRPr="006D0C17">
        <w:rPr>
          <w:lang w:val="de-DE"/>
        </w:rPr>
        <w:t>Der TC auf seiner fünfzigsten Tagung</w:t>
      </w:r>
      <w:r w:rsidR="008F3EA7" w:rsidRPr="006D0C17">
        <w:rPr>
          <w:rStyle w:val="FootnoteReference"/>
          <w:snapToGrid w:val="0"/>
          <w:lang w:val="de-DE"/>
        </w:rPr>
        <w:footnoteReference w:id="10"/>
      </w:r>
      <w:r w:rsidR="008F3EA7" w:rsidRPr="006D0C17">
        <w:rPr>
          <w:lang w:val="de-DE"/>
        </w:rPr>
        <w:t xml:space="preserve"> und der CAJ auf seiner neunundsechzigsten</w:t>
      </w:r>
      <w:r w:rsidR="008F3EA7" w:rsidRPr="006D0C17">
        <w:rPr>
          <w:rStyle w:val="FootnoteReference"/>
          <w:snapToGrid w:val="0"/>
          <w:lang w:val="de-DE"/>
        </w:rPr>
        <w:footnoteReference w:id="11"/>
      </w:r>
      <w:r w:rsidR="008F3EA7" w:rsidRPr="006D0C17">
        <w:rPr>
          <w:lang w:val="de-DE"/>
        </w:rPr>
        <w:t xml:space="preserve"> Tagung billigten die vorgeschlagene Erläuterung über die Lage in der UPOV im Hinblick auf die Verwendung molekularer Verfahren für Züchter und Personen mit Kenntnis der DUS-Prüfung.</w:t>
      </w:r>
      <w:r w:rsidR="00E77BAD" w:rsidRPr="006D0C17">
        <w:rPr>
          <w:lang w:val="de-DE"/>
        </w:rPr>
        <w:t xml:space="preserve"> </w:t>
      </w:r>
      <w:r w:rsidR="008F3EA7" w:rsidRPr="006D0C17">
        <w:rPr>
          <w:lang w:val="de-DE"/>
        </w:rPr>
        <w:t>Hinsichtlich eines breiteren Publikums hatte der TC auf seiner fünfzigsten Tagung vereinbart, daß die Frage nicht angemessen formuliert sei und es deshalb nicht angebracht wäre, eine Antwort auf diese Frage auszuarbeiten (vergleiche Dokument CAJ/69/13 „Bericht über die Entschließungen“, Absatz 72).</w:t>
      </w:r>
    </w:p>
    <w:p w:rsidR="00A64867" w:rsidRPr="006D0C17" w:rsidRDefault="00A64867" w:rsidP="0036170D">
      <w:pPr>
        <w:autoSpaceDE w:val="0"/>
        <w:autoSpaceDN w:val="0"/>
        <w:adjustRightInd w:val="0"/>
        <w:rPr>
          <w:rFonts w:cs="Arial"/>
          <w:lang w:val="de-DE"/>
        </w:rPr>
      </w:pPr>
    </w:p>
    <w:p w:rsidR="008F3EA7" w:rsidRPr="006D0C17" w:rsidRDefault="00FF0C5F" w:rsidP="008F3EA7">
      <w:pPr>
        <w:rPr>
          <w:lang w:val="de-DE"/>
        </w:rPr>
      </w:pPr>
      <w:r w:rsidRPr="006D0C17">
        <w:rPr>
          <w:lang w:val="de-DE"/>
        </w:rPr>
        <w:fldChar w:fldCharType="begin"/>
      </w:r>
      <w:r w:rsidR="008F3EA7" w:rsidRPr="006D0C17">
        <w:rPr>
          <w:lang w:val="de-DE"/>
        </w:rPr>
        <w:instrText xml:space="preserve"> AUTONUM  </w:instrText>
      </w:r>
      <w:r w:rsidRPr="006D0C17">
        <w:rPr>
          <w:lang w:val="de-DE"/>
        </w:rPr>
        <w:fldChar w:fldCharType="end"/>
      </w:r>
      <w:r w:rsidR="006D0C17">
        <w:rPr>
          <w:lang w:val="de-DE"/>
        </w:rPr>
        <w:tab/>
      </w:r>
      <w:r w:rsidR="008F3EA7" w:rsidRPr="006D0C17">
        <w:rPr>
          <w:lang w:val="de-DE"/>
        </w:rPr>
        <w:t>Der Rat nahm auf seiner einunddreißigsten außerordentlichen Tagung</w:t>
      </w:r>
      <w:r w:rsidR="008F3EA7" w:rsidRPr="006D0C17">
        <w:rPr>
          <w:rStyle w:val="FootnoteReference"/>
          <w:lang w:val="de-DE"/>
        </w:rPr>
        <w:footnoteReference w:id="12"/>
      </w:r>
      <w:r w:rsidR="008F3EA7" w:rsidRPr="006D0C17">
        <w:rPr>
          <w:lang w:val="de-DE"/>
        </w:rPr>
        <w:t xml:space="preserve"> die Antworten auf häufig gestellte Fragen an, einschließlich die Frage: „Erlaubt die UPOV die Verwendung molekularer Marker (DNS</w:t>
      </w:r>
      <w:r w:rsidR="00C4163B" w:rsidRPr="006D0C17">
        <w:rPr>
          <w:lang w:val="de-DE"/>
        </w:rPr>
        <w:noBreakHyphen/>
      </w:r>
      <w:r w:rsidR="008F3EA7" w:rsidRPr="006D0C17">
        <w:rPr>
          <w:lang w:val="de-DE"/>
        </w:rPr>
        <w:t>Profile) bei der Prüfung der Unterscheidbarkeit, der Homogenität und der Beständigkeit („DUS“)?“ (vergleiche Dokument C(Extr.)/31/5 „Bericht über die Entscheidungen“ Absatz 15)</w:t>
      </w:r>
    </w:p>
    <w:p w:rsidR="008F3EA7" w:rsidRPr="006D0C17" w:rsidRDefault="008F3EA7" w:rsidP="008F3EA7">
      <w:pPr>
        <w:rPr>
          <w:snapToGrid w:val="0"/>
          <w:lang w:val="de-DE"/>
        </w:rPr>
      </w:pPr>
    </w:p>
    <w:p w:rsidR="008F3EA7" w:rsidRPr="006D0C17" w:rsidRDefault="00FF0C5F" w:rsidP="008F3EA7">
      <w:pPr>
        <w:rPr>
          <w:lang w:val="de-DE"/>
        </w:rPr>
      </w:pPr>
      <w:r w:rsidRPr="006D0C17">
        <w:rPr>
          <w:lang w:val="de-DE"/>
        </w:rPr>
        <w:fldChar w:fldCharType="begin"/>
      </w:r>
      <w:r w:rsidR="008F3EA7" w:rsidRPr="006D0C17">
        <w:rPr>
          <w:lang w:val="de-DE"/>
        </w:rPr>
        <w:instrText xml:space="preserve"> AUTONUM  </w:instrText>
      </w:r>
      <w:r w:rsidRPr="006D0C17">
        <w:rPr>
          <w:lang w:val="de-DE"/>
        </w:rPr>
        <w:fldChar w:fldCharType="end"/>
      </w:r>
      <w:r w:rsidR="008F3EA7" w:rsidRPr="006D0C17">
        <w:rPr>
          <w:lang w:val="de-DE"/>
        </w:rPr>
        <w:tab/>
        <w:t xml:space="preserve">Die Antworten auf häufig gestellte Fragen sind auf der Website unter </w:t>
      </w:r>
      <w:hyperlink r:id="rId10">
        <w:r w:rsidR="006D0C17">
          <w:rPr>
            <w:rStyle w:val="Hyperlink"/>
            <w:lang w:val="de-DE"/>
          </w:rPr>
          <w:t>http://www.upov.int/about/de/faq/</w:t>
        </w:r>
      </w:hyperlink>
      <w:r w:rsidR="008F3EA7" w:rsidRPr="006D0C17">
        <w:rPr>
          <w:lang w:val="de-DE"/>
        </w:rPr>
        <w:t xml:space="preserve"> veröffentlicht.</w:t>
      </w:r>
    </w:p>
    <w:p w:rsidR="00C50874" w:rsidRPr="006D0C17" w:rsidRDefault="00C50874">
      <w:pPr>
        <w:jc w:val="left"/>
        <w:rPr>
          <w:snapToGrid w:val="0"/>
          <w:color w:val="000000" w:themeColor="text1"/>
          <w:lang w:val="de-DE"/>
        </w:rPr>
      </w:pPr>
    </w:p>
    <w:p w:rsidR="002D3575" w:rsidRPr="006D0C17" w:rsidRDefault="00FF0C5F" w:rsidP="002D3575">
      <w:pPr>
        <w:rPr>
          <w:snapToGrid w:val="0"/>
          <w:color w:val="000000" w:themeColor="text1"/>
          <w:lang w:val="de-DE"/>
        </w:rPr>
      </w:pPr>
      <w:r w:rsidRPr="006D0C17">
        <w:rPr>
          <w:snapToGrid w:val="0"/>
          <w:color w:val="000000" w:themeColor="text1"/>
          <w:lang w:val="de-DE"/>
        </w:rPr>
        <w:fldChar w:fldCharType="begin"/>
      </w:r>
      <w:r w:rsidR="002D3575" w:rsidRPr="006D0C17">
        <w:rPr>
          <w:snapToGrid w:val="0"/>
          <w:color w:val="000000" w:themeColor="text1"/>
          <w:lang w:val="de-DE"/>
        </w:rPr>
        <w:instrText xml:space="preserve"> AUTONUM  </w:instrText>
      </w:r>
      <w:r w:rsidRPr="006D0C17">
        <w:rPr>
          <w:snapToGrid w:val="0"/>
          <w:color w:val="000000" w:themeColor="text1"/>
          <w:lang w:val="de-DE"/>
        </w:rPr>
        <w:fldChar w:fldCharType="end"/>
      </w:r>
      <w:r w:rsidR="002D3575" w:rsidRPr="006D0C17">
        <w:rPr>
          <w:lang w:val="de-DE"/>
        </w:rPr>
        <w:tab/>
      </w:r>
      <w:r w:rsidR="002D3575" w:rsidRPr="006D0C17">
        <w:rPr>
          <w:snapToGrid w:val="0"/>
          <w:color w:val="000000" w:themeColor="text1"/>
          <w:lang w:val="de-DE"/>
        </w:rPr>
        <w:t>Der Beratende Ausschuß vereinbarte auf seiner achtundachtzigsten Tagung am 15. Oktober 2014 in Genf, daß der Entwurf für Frage und Antwort bezüglich der Informationen über die Lage in der UPOV hinsichtlich der Verwendung molekularer Verfahren für ein breiteres Publikum, einschließlich der Öffentlichkeit im allgemeinen, dem Technischen Ausschuß zur Prüfung vorgelegt werden solle (vergleiche Dokument C/48/19 „Bericht des Präsidenten über die Arbeiten der sechsundachtzigsten Tagung des Beratenden Ausschusses; gegebenenfalls Annahme von Empfehlungen, die dieser Ausschuss ausgearbeitet hat”, Absatz 48).</w:t>
      </w:r>
    </w:p>
    <w:p w:rsidR="00C50874" w:rsidRPr="006D0C17" w:rsidRDefault="00C50874" w:rsidP="002D3575">
      <w:pPr>
        <w:rPr>
          <w:snapToGrid w:val="0"/>
          <w:color w:val="000000" w:themeColor="text1"/>
          <w:lang w:val="de-DE"/>
        </w:rPr>
      </w:pPr>
    </w:p>
    <w:p w:rsidR="006C418D" w:rsidRPr="006D0C17" w:rsidRDefault="00FF0C5F" w:rsidP="006C418D">
      <w:pPr>
        <w:pStyle w:val="DecisionParagraphs"/>
        <w:tabs>
          <w:tab w:val="clear" w:pos="5387"/>
          <w:tab w:val="left" w:pos="5103"/>
        </w:tabs>
        <w:ind w:left="4536"/>
        <w:rPr>
          <w:lang w:val="de-DE"/>
        </w:rPr>
      </w:pPr>
      <w:r w:rsidRPr="006D0C17">
        <w:rPr>
          <w:lang w:val="de-DE"/>
        </w:rPr>
        <w:fldChar w:fldCharType="begin"/>
      </w:r>
      <w:r w:rsidR="006C418D" w:rsidRPr="006D0C17">
        <w:rPr>
          <w:lang w:val="de-DE"/>
        </w:rPr>
        <w:instrText xml:space="preserve"> AUTONUM  </w:instrText>
      </w:r>
      <w:r w:rsidRPr="006D0C17">
        <w:rPr>
          <w:lang w:val="de-DE"/>
        </w:rPr>
        <w:fldChar w:fldCharType="end"/>
      </w:r>
      <w:r w:rsidR="006C418D" w:rsidRPr="006D0C17">
        <w:rPr>
          <w:lang w:val="de-DE"/>
        </w:rPr>
        <w:tab/>
        <w:t>Der CAJ wird ersucht,</w:t>
      </w:r>
    </w:p>
    <w:p w:rsidR="006C418D" w:rsidRPr="006D0C17" w:rsidRDefault="006C418D" w:rsidP="006C418D">
      <w:pPr>
        <w:pStyle w:val="DecisionParagraphs"/>
        <w:ind w:left="4536"/>
        <w:rPr>
          <w:lang w:val="de-DE"/>
        </w:rPr>
      </w:pPr>
    </w:p>
    <w:p w:rsidR="00066251" w:rsidRPr="006D0C17" w:rsidRDefault="00066251" w:rsidP="00066251">
      <w:pPr>
        <w:pStyle w:val="DecisionInvitingPara"/>
        <w:rPr>
          <w:lang w:val="de-DE"/>
        </w:rPr>
      </w:pPr>
      <w:r w:rsidRPr="006D0C17">
        <w:rPr>
          <w:lang w:val="de-DE"/>
        </w:rPr>
        <w:tab/>
      </w:r>
      <w:r w:rsidRPr="006D0C17">
        <w:rPr>
          <w:lang w:val="de-DE"/>
        </w:rPr>
        <w:tab/>
        <w:t>a)</w:t>
      </w:r>
      <w:r w:rsidRPr="006D0C17">
        <w:rPr>
          <w:lang w:val="de-DE"/>
        </w:rPr>
        <w:tab/>
        <w:t>den Bericht über die Entwicklungen in der BMT, wie in den Absätzen 6 bis 9 dieses Dokuments dargelegt, zur Kenntnis zu nehmen;</w:t>
      </w:r>
    </w:p>
    <w:p w:rsidR="00066251" w:rsidRPr="006D0C17" w:rsidRDefault="00066251" w:rsidP="00066251">
      <w:pPr>
        <w:pStyle w:val="DecisionInvitingPara"/>
        <w:rPr>
          <w:lang w:val="de-DE"/>
        </w:rPr>
      </w:pPr>
    </w:p>
    <w:p w:rsidR="00066251" w:rsidRPr="006D0C17" w:rsidRDefault="00066251" w:rsidP="00066251">
      <w:pPr>
        <w:pStyle w:val="DecisionInvitingPara"/>
        <w:rPr>
          <w:lang w:val="de-DE"/>
        </w:rPr>
      </w:pPr>
      <w:r w:rsidRPr="006D0C17">
        <w:rPr>
          <w:lang w:val="de-DE"/>
        </w:rPr>
        <w:tab/>
      </w:r>
      <w:r w:rsidRPr="006D0C17">
        <w:rPr>
          <w:lang w:val="de-DE"/>
        </w:rPr>
        <w:tab/>
        <w:t>b)</w:t>
      </w:r>
      <w:r w:rsidRPr="006D0C17">
        <w:rPr>
          <w:lang w:val="de-DE"/>
        </w:rPr>
        <w:tab/>
        <w:t>zur Kenntnis zu nehmen, daß die Gemeinsame Arbeitstagung von OECD, UPOV, ISTA über molekulare Verfahren</w:t>
      </w:r>
      <w:r w:rsidRPr="006D0C17">
        <w:rPr>
          <w:rStyle w:val="FootnoteReference"/>
          <w:lang w:val="de-DE"/>
        </w:rPr>
        <w:footnoteReference w:id="13"/>
      </w:r>
      <w:r w:rsidRPr="006D0C17">
        <w:rPr>
          <w:lang w:val="de-DE"/>
        </w:rPr>
        <w:t xml:space="preserve"> vereinbart hatte, daß es zweckmäßig wäre, die gemeinsame Arbeitstagung auf einschlägigen Tagungen der OECD und der ISTA zu wiederholen und in dieser Hinsicht, daß die Tagung der Arbeitsgruppe der OECD-Saatgutsysteme vereinbart hatte, daß eine weitere gemeinsame Arbeitstagung von OECD, UPOV, ISTA über molekulare Verfahren entweder in Verbindung mit der Jahrestagung der OECD</w:t>
      </w:r>
      <w:r w:rsidR="00C4163B" w:rsidRPr="006D0C17">
        <w:rPr>
          <w:lang w:val="de-DE"/>
        </w:rPr>
        <w:noBreakHyphen/>
      </w:r>
      <w:r w:rsidRPr="006D0C17">
        <w:rPr>
          <w:lang w:val="de-DE"/>
        </w:rPr>
        <w:t>Saatgutsysteme im Juni 2015 in Paris oder in Verbindung mit der Tagung der Technischen Arbeitsgruppe im Januar 2016 organisiert werden soll;</w:t>
      </w:r>
    </w:p>
    <w:p w:rsidR="00066251" w:rsidRPr="006D0C17" w:rsidRDefault="00066251" w:rsidP="00066251">
      <w:pPr>
        <w:pStyle w:val="DecisionInvitingPara"/>
        <w:rPr>
          <w:lang w:val="de-DE"/>
        </w:rPr>
      </w:pPr>
    </w:p>
    <w:p w:rsidR="00066251" w:rsidRPr="006D0C17" w:rsidRDefault="00066251" w:rsidP="00066251">
      <w:pPr>
        <w:pStyle w:val="DecisionInvitingPara"/>
        <w:rPr>
          <w:lang w:val="de-DE"/>
        </w:rPr>
      </w:pPr>
      <w:r w:rsidRPr="006D0C17">
        <w:rPr>
          <w:lang w:val="de-DE"/>
        </w:rPr>
        <w:tab/>
      </w:r>
      <w:r w:rsidRPr="006D0C17">
        <w:rPr>
          <w:lang w:val="de-DE"/>
        </w:rPr>
        <w:tab/>
        <w:t>c)</w:t>
      </w:r>
      <w:r w:rsidRPr="006D0C17">
        <w:rPr>
          <w:lang w:val="de-DE"/>
        </w:rPr>
        <w:tab/>
        <w:t>zur Kenntnis zu nehmen, daß der TC auf seiner dreiundfünfzigsten Tagung im Jahr 2017</w:t>
      </w:r>
      <w:r w:rsidR="00765671" w:rsidRPr="006D0C17">
        <w:rPr>
          <w:lang w:val="de-DE"/>
        </w:rPr>
        <w:t xml:space="preserve"> ersucht werden wird</w:t>
      </w:r>
      <w:r w:rsidRPr="006D0C17">
        <w:rPr>
          <w:lang w:val="de-DE"/>
        </w:rPr>
        <w:t xml:space="preserve">: </w:t>
      </w:r>
    </w:p>
    <w:p w:rsidR="00066251" w:rsidRPr="006D0C17" w:rsidRDefault="00066251" w:rsidP="00066251">
      <w:pPr>
        <w:pStyle w:val="DecisionInvitingPara"/>
        <w:rPr>
          <w:lang w:val="de-DE"/>
        </w:rPr>
      </w:pPr>
    </w:p>
    <w:p w:rsidR="00066251" w:rsidRPr="006D0C17" w:rsidRDefault="00066251" w:rsidP="00066251">
      <w:pPr>
        <w:pStyle w:val="DecisionInvitingPara"/>
        <w:rPr>
          <w:lang w:val="de-DE"/>
        </w:rPr>
      </w:pPr>
      <w:r w:rsidRPr="006D0C17">
        <w:rPr>
          <w:lang w:val="de-DE"/>
        </w:rPr>
        <w:tab/>
      </w:r>
      <w:r w:rsidRPr="006D0C17">
        <w:rPr>
          <w:lang w:val="de-DE"/>
        </w:rPr>
        <w:tab/>
      </w:r>
      <w:r w:rsidRPr="006D0C17">
        <w:rPr>
          <w:lang w:val="de-DE"/>
        </w:rPr>
        <w:tab/>
        <w:t>i)</w:t>
      </w:r>
      <w:r w:rsidRPr="006D0C17">
        <w:rPr>
          <w:lang w:val="de-DE"/>
        </w:rPr>
        <w:tab/>
        <w:t>das Programm für die fünfzehnte Tagung der BMT im Jahr 2016, einschließlich der Einplanung eines speziellen Datums („Tag der Züchter“) für die Punkte über die Verwendung molekularer Verfahren bei der Prüfung der wesentlichen Ableitung und bei der Sortenidentifikation, zu billigen.</w:t>
      </w:r>
    </w:p>
    <w:p w:rsidR="00066251" w:rsidRPr="006D0C17" w:rsidRDefault="00066251" w:rsidP="00066251">
      <w:pPr>
        <w:pStyle w:val="DecisionInvitingPara"/>
        <w:rPr>
          <w:lang w:val="de-DE"/>
        </w:rPr>
      </w:pPr>
    </w:p>
    <w:p w:rsidR="00066251" w:rsidRPr="006D0C17" w:rsidRDefault="00066251" w:rsidP="00066251">
      <w:pPr>
        <w:pStyle w:val="DecisionInvitingPara"/>
        <w:rPr>
          <w:lang w:val="de-DE"/>
        </w:rPr>
      </w:pPr>
      <w:r w:rsidRPr="006D0C17">
        <w:rPr>
          <w:lang w:val="de-DE"/>
        </w:rPr>
        <w:tab/>
      </w:r>
      <w:r w:rsidRPr="006D0C17">
        <w:rPr>
          <w:lang w:val="de-DE"/>
        </w:rPr>
        <w:tab/>
      </w:r>
      <w:r w:rsidRPr="006D0C17">
        <w:rPr>
          <w:lang w:val="de-DE"/>
        </w:rPr>
        <w:tab/>
        <w:t>ii)</w:t>
      </w:r>
      <w:r w:rsidRPr="006D0C17">
        <w:rPr>
          <w:lang w:val="de-DE"/>
        </w:rPr>
        <w:tab/>
      </w:r>
      <w:r w:rsidR="00765671" w:rsidRPr="006D0C17">
        <w:rPr>
          <w:lang w:val="de-DE"/>
        </w:rPr>
        <w:t>zu prüfen</w:t>
      </w:r>
      <w:r w:rsidRPr="006D0C17">
        <w:rPr>
          <w:lang w:val="de-DE"/>
        </w:rPr>
        <w:t>, ob ein gemeinsames Dokument zur Erläuterung der wesentlichen Besonderheiten der Systeme von OECD, UPOV und ISTA</w:t>
      </w:r>
      <w:r w:rsidR="00765671" w:rsidRPr="006D0C17">
        <w:rPr>
          <w:lang w:val="de-DE"/>
        </w:rPr>
        <w:t xml:space="preserve"> erstellt werden soll</w:t>
      </w:r>
      <w:r w:rsidRPr="006D0C17">
        <w:rPr>
          <w:lang w:val="de-DE"/>
        </w:rPr>
        <w:t>;</w:t>
      </w:r>
    </w:p>
    <w:p w:rsidR="00066251" w:rsidRPr="006D0C17" w:rsidRDefault="00066251" w:rsidP="00066251">
      <w:pPr>
        <w:pStyle w:val="DecisionInvitingPara"/>
        <w:rPr>
          <w:lang w:val="de-DE"/>
        </w:rPr>
      </w:pPr>
    </w:p>
    <w:p w:rsidR="00066251" w:rsidRPr="006D0C17" w:rsidRDefault="00066251" w:rsidP="00066251">
      <w:pPr>
        <w:pStyle w:val="DecisionInvitingPara"/>
        <w:rPr>
          <w:lang w:val="de-DE"/>
        </w:rPr>
      </w:pPr>
      <w:r w:rsidRPr="006D0C17">
        <w:rPr>
          <w:lang w:val="de-DE"/>
        </w:rPr>
        <w:tab/>
      </w:r>
      <w:r w:rsidRPr="006D0C17">
        <w:rPr>
          <w:lang w:val="de-DE"/>
        </w:rPr>
        <w:tab/>
      </w:r>
      <w:r w:rsidRPr="006D0C17">
        <w:rPr>
          <w:lang w:val="de-DE"/>
        </w:rPr>
        <w:tab/>
        <w:t>iii)</w:t>
      </w:r>
      <w:r w:rsidRPr="006D0C17">
        <w:rPr>
          <w:lang w:val="de-DE"/>
        </w:rPr>
        <w:tab/>
      </w:r>
      <w:r w:rsidR="00765671" w:rsidRPr="006D0C17">
        <w:rPr>
          <w:lang w:val="de-DE"/>
        </w:rPr>
        <w:t>zu prüfen</w:t>
      </w:r>
      <w:r w:rsidRPr="006D0C17">
        <w:rPr>
          <w:lang w:val="de-DE"/>
        </w:rPr>
        <w:t>, ob eine Bestandsaufnahme zur Verwendung molekularer Markerverfahren nach Pflanze im Hinblick auf die Ausarbeitung eines gemeinsamen Dokuments von OECD, UPOV und ISTA mit diesen Informationen in einem ähnlichen Format wie das UPOV-Dokument UPOV/INF/16 „Austauschbare Software“</w:t>
      </w:r>
      <w:r w:rsidR="00765671" w:rsidRPr="006D0C17">
        <w:rPr>
          <w:lang w:val="de-DE"/>
        </w:rPr>
        <w:t xml:space="preserve"> erstellt werden soll</w:t>
      </w:r>
      <w:r w:rsidRPr="006D0C17">
        <w:rPr>
          <w:lang w:val="de-DE"/>
        </w:rPr>
        <w:t>;</w:t>
      </w:r>
    </w:p>
    <w:p w:rsidR="00066251" w:rsidRPr="006D0C17" w:rsidRDefault="00066251" w:rsidP="00066251">
      <w:pPr>
        <w:pStyle w:val="DecisionInvitingPara"/>
        <w:rPr>
          <w:lang w:val="de-DE"/>
        </w:rPr>
      </w:pPr>
    </w:p>
    <w:p w:rsidR="00066251" w:rsidRPr="006D0C17" w:rsidRDefault="00066251" w:rsidP="00066251">
      <w:pPr>
        <w:pStyle w:val="DecisionInvitingPara"/>
        <w:rPr>
          <w:lang w:val="de-DE"/>
        </w:rPr>
      </w:pPr>
      <w:r w:rsidRPr="006D0C17">
        <w:rPr>
          <w:lang w:val="de-DE"/>
        </w:rPr>
        <w:tab/>
      </w:r>
      <w:r w:rsidRPr="006D0C17">
        <w:rPr>
          <w:lang w:val="de-DE"/>
        </w:rPr>
        <w:tab/>
      </w:r>
      <w:r w:rsidRPr="006D0C17">
        <w:rPr>
          <w:lang w:val="de-DE"/>
        </w:rPr>
        <w:tab/>
        <w:t>iv)</w:t>
      </w:r>
      <w:r w:rsidRPr="006D0C17">
        <w:rPr>
          <w:lang w:val="de-DE"/>
        </w:rPr>
        <w:tab/>
        <w:t xml:space="preserve">den Vorschlag zu prüfen, daß die BMT auf ihrer fünfzehnten Tagung Listen möglicher gemeinsamer Initiativen mit OECD und ISTA hinsichtlich molekularer Verfahren; </w:t>
      </w:r>
    </w:p>
    <w:p w:rsidR="00066251" w:rsidRPr="006D0C17" w:rsidRDefault="00066251" w:rsidP="00066251">
      <w:pPr>
        <w:pStyle w:val="DecisionInvitingPara"/>
        <w:rPr>
          <w:lang w:val="de-DE"/>
        </w:rPr>
      </w:pPr>
    </w:p>
    <w:p w:rsidR="00066251" w:rsidRPr="006D0C17" w:rsidRDefault="00066251" w:rsidP="00066251">
      <w:pPr>
        <w:pStyle w:val="DecisionInvitingPara"/>
        <w:rPr>
          <w:lang w:val="de-DE"/>
        </w:rPr>
      </w:pPr>
      <w:r w:rsidRPr="006D0C17">
        <w:rPr>
          <w:lang w:val="de-DE"/>
        </w:rPr>
        <w:tab/>
      </w:r>
      <w:r w:rsidRPr="006D0C17">
        <w:rPr>
          <w:lang w:val="de-DE"/>
        </w:rPr>
        <w:tab/>
      </w:r>
      <w:r w:rsidRPr="006D0C17">
        <w:rPr>
          <w:lang w:val="de-DE"/>
        </w:rPr>
        <w:tab/>
        <w:t>v)</w:t>
      </w:r>
      <w:r w:rsidRPr="006D0C17">
        <w:rPr>
          <w:lang w:val="de-DE"/>
        </w:rPr>
        <w:tab/>
        <w:t>zu prüfen, ob die Erörterung über molekulare Verfahren auf der Präsentation von Höhepunkten von der vierzehnten Tagung der BMT vom 10. bis 13. November 2014 in Seoul, Republik Korea, und der gemeinsamen Arbeitstagung von OECD, UPOV und ISTA vom 12. November 2014 in Seoul, Republik Korea, basieren soll;</w:t>
      </w:r>
      <w:r w:rsidR="00E77BAD" w:rsidRPr="006D0C17">
        <w:rPr>
          <w:lang w:val="de-DE"/>
        </w:rPr>
        <w:t xml:space="preserve"> </w:t>
      </w:r>
      <w:r w:rsidRPr="006D0C17">
        <w:rPr>
          <w:lang w:val="de-DE"/>
        </w:rPr>
        <w:t>und</w:t>
      </w:r>
    </w:p>
    <w:p w:rsidR="00066251" w:rsidRPr="006D0C17" w:rsidRDefault="00066251" w:rsidP="00066251">
      <w:pPr>
        <w:pStyle w:val="DecisionInvitingPara"/>
        <w:rPr>
          <w:lang w:val="de-DE"/>
        </w:rPr>
      </w:pPr>
    </w:p>
    <w:p w:rsidR="00F00F8C" w:rsidRPr="006D0C17" w:rsidRDefault="00066251" w:rsidP="00891471">
      <w:pPr>
        <w:pStyle w:val="DecisionInvitingPara"/>
        <w:rPr>
          <w:lang w:val="de-DE"/>
        </w:rPr>
      </w:pPr>
      <w:r w:rsidRPr="006D0C17">
        <w:rPr>
          <w:lang w:val="de-DE"/>
        </w:rPr>
        <w:tab/>
      </w:r>
      <w:r w:rsidRPr="006D0C17">
        <w:rPr>
          <w:lang w:val="de-DE"/>
        </w:rPr>
        <w:tab/>
      </w:r>
      <w:r w:rsidRPr="006D0C17">
        <w:rPr>
          <w:lang w:val="de-DE"/>
        </w:rPr>
        <w:tab/>
        <w:t>vi)</w:t>
      </w:r>
      <w:r w:rsidRPr="006D0C17">
        <w:rPr>
          <w:lang w:val="de-DE"/>
        </w:rPr>
        <w:tab/>
        <w:t xml:space="preserve">einen Entwurf für Frage und Antwort bezüglich der Informationen über die Lage in der UPOV hinsichtlich der Verwendung molekularer Verfahren für ein breiteres Publikum, einschließlich der Öffentlichkeit im </w:t>
      </w:r>
      <w:proofErr w:type="gramStart"/>
      <w:r w:rsidRPr="006D0C17">
        <w:rPr>
          <w:lang w:val="de-DE"/>
        </w:rPr>
        <w:t>allgemeinen</w:t>
      </w:r>
      <w:proofErr w:type="gramEnd"/>
      <w:r w:rsidR="00765671" w:rsidRPr="006D0C17">
        <w:rPr>
          <w:lang w:val="de-DE"/>
        </w:rPr>
        <w:t xml:space="preserve"> auszuarbeiten</w:t>
      </w:r>
      <w:r w:rsidRPr="006D0C17">
        <w:rPr>
          <w:lang w:val="de-DE"/>
        </w:rPr>
        <w:t>.</w:t>
      </w:r>
    </w:p>
    <w:p w:rsidR="00A01E6E" w:rsidRPr="006D0C17" w:rsidRDefault="00A01E6E" w:rsidP="00891471">
      <w:pPr>
        <w:pStyle w:val="DecisionInvitingPara"/>
        <w:rPr>
          <w:lang w:val="de-DE"/>
        </w:rPr>
      </w:pPr>
    </w:p>
    <w:p w:rsidR="00A01E6E" w:rsidRPr="006D0C17" w:rsidRDefault="00A01E6E" w:rsidP="00891471">
      <w:pPr>
        <w:pStyle w:val="DecisionInvitingPara"/>
        <w:rPr>
          <w:lang w:val="de-DE"/>
        </w:rPr>
      </w:pPr>
    </w:p>
    <w:p w:rsidR="00A01E6E" w:rsidRPr="006D0C17" w:rsidRDefault="00A01E6E" w:rsidP="00891471">
      <w:pPr>
        <w:pStyle w:val="DecisionInvitingPara"/>
        <w:rPr>
          <w:lang w:val="de-DE"/>
        </w:rPr>
      </w:pPr>
    </w:p>
    <w:p w:rsidR="00A01E6E" w:rsidRPr="006D0C17" w:rsidRDefault="00A01E6E" w:rsidP="00A01E6E">
      <w:pPr>
        <w:pStyle w:val="DecisionInvitingPara"/>
        <w:jc w:val="right"/>
        <w:rPr>
          <w:i w:val="0"/>
          <w:lang w:val="de-DE"/>
        </w:rPr>
      </w:pPr>
      <w:r w:rsidRPr="006D0C17">
        <w:rPr>
          <w:i w:val="0"/>
          <w:lang w:val="de-DE"/>
        </w:rPr>
        <w:t>[Anlagen folgen]</w:t>
      </w:r>
    </w:p>
    <w:p w:rsidR="00A01E6E" w:rsidRPr="006D0C17" w:rsidRDefault="00A01E6E" w:rsidP="00891471">
      <w:pPr>
        <w:pStyle w:val="DecisionInvitingPara"/>
        <w:rPr>
          <w:lang w:val="de-DE"/>
        </w:rPr>
      </w:pPr>
    </w:p>
    <w:p w:rsidR="00182CF6" w:rsidRPr="006D0C17" w:rsidRDefault="00182CF6" w:rsidP="00F00F8C">
      <w:pPr>
        <w:pStyle w:val="Header"/>
        <w:jc w:val="left"/>
        <w:rPr>
          <w:lang w:val="de-DE"/>
        </w:rPr>
        <w:sectPr w:rsidR="00182CF6" w:rsidRPr="006D0C17" w:rsidSect="00E71894">
          <w:headerReference w:type="default" r:id="rId11"/>
          <w:pgSz w:w="11907" w:h="16840" w:code="9"/>
          <w:pgMar w:top="510" w:right="1134" w:bottom="1134" w:left="1134" w:header="510" w:footer="680" w:gutter="0"/>
          <w:cols w:space="720"/>
          <w:titlePg/>
        </w:sectPr>
      </w:pPr>
    </w:p>
    <w:p w:rsidR="00954973" w:rsidRPr="006D0C17" w:rsidRDefault="00954973" w:rsidP="00954973">
      <w:pPr>
        <w:pStyle w:val="Header"/>
        <w:jc w:val="left"/>
        <w:rPr>
          <w:lang w:val="de-DE"/>
        </w:rPr>
      </w:pPr>
    </w:p>
    <w:p w:rsidR="00954973" w:rsidRPr="006D0C17" w:rsidRDefault="00C55AAC" w:rsidP="00954973">
      <w:pPr>
        <w:spacing w:before="60" w:after="120"/>
        <w:jc w:val="center"/>
        <w:rPr>
          <w:lang w:val="de-DE"/>
        </w:rPr>
      </w:pPr>
      <w:r w:rsidRPr="006D0C17">
        <w:rPr>
          <w:lang w:val="de-DE"/>
        </w:rPr>
        <w:t>ROLLE</w:t>
      </w:r>
      <w:r w:rsidR="00954973" w:rsidRPr="006D0C17">
        <w:rPr>
          <w:lang w:val="de-DE"/>
        </w:rPr>
        <w:t xml:space="preserve"> DER ARBEITSGRUPPE FÜR BIOCHEMISCHE UND MOLEKULARE VERFAHREN UND INSBESONDERE FÜR DNS-PROFILIERUNGSVERFAHREN (BMT)</w:t>
      </w:r>
    </w:p>
    <w:p w:rsidR="00954973" w:rsidRPr="006D0C17" w:rsidRDefault="00954973" w:rsidP="00954973">
      <w:pPr>
        <w:spacing w:before="60" w:after="120"/>
        <w:jc w:val="center"/>
        <w:rPr>
          <w:i/>
          <w:lang w:val="de-DE"/>
        </w:rPr>
      </w:pPr>
      <w:r w:rsidRPr="006D0C17">
        <w:rPr>
          <w:i/>
          <w:lang w:val="de-DE"/>
        </w:rPr>
        <w:t>(vom Technischen Ausschuß auf seiner achtunddreißigsten Tagung vom 15. bis 17. April 2002 in Genf vereinbart (vergleiche Dokument TC/38/16, Absatz 204))</w:t>
      </w:r>
    </w:p>
    <w:p w:rsidR="00954973" w:rsidRPr="006D0C17" w:rsidRDefault="00954973" w:rsidP="00954973">
      <w:pPr>
        <w:spacing w:before="60" w:after="60"/>
        <w:rPr>
          <w:lang w:val="de-DE"/>
        </w:rPr>
      </w:pPr>
    </w:p>
    <w:p w:rsidR="00954973" w:rsidRPr="006D0C17" w:rsidRDefault="00954973" w:rsidP="00954973">
      <w:pPr>
        <w:spacing w:before="60" w:after="60"/>
        <w:rPr>
          <w:lang w:val="de-DE"/>
        </w:rPr>
      </w:pPr>
      <w:r w:rsidRPr="006D0C17">
        <w:rPr>
          <w:lang w:val="de-DE"/>
        </w:rPr>
        <w:t>Die BMT ist eine den DUS-Sachverständigen, biochemischen und molekularen Fachleuten und Pflanzenzüchtern offenstehende Gruppe.</w:t>
      </w:r>
      <w:r w:rsidR="00925163" w:rsidRPr="006D0C17">
        <w:rPr>
          <w:lang w:val="de-DE"/>
        </w:rPr>
        <w:t xml:space="preserve"> </w:t>
      </w:r>
      <w:r w:rsidRPr="006D0C17">
        <w:rPr>
          <w:lang w:val="de-DE"/>
        </w:rPr>
        <w:t>Sie betrachtet es als ihre Funktion,</w:t>
      </w:r>
    </w:p>
    <w:p w:rsidR="00954973" w:rsidRPr="006D0C17" w:rsidRDefault="00954973" w:rsidP="00954973">
      <w:pPr>
        <w:spacing w:before="60" w:after="60"/>
        <w:rPr>
          <w:lang w:val="de-DE"/>
        </w:rPr>
      </w:pPr>
    </w:p>
    <w:p w:rsidR="00954973" w:rsidRPr="006D0C17" w:rsidRDefault="00954973" w:rsidP="00954973">
      <w:pPr>
        <w:pStyle w:val="ListParagraph"/>
        <w:numPr>
          <w:ilvl w:val="0"/>
          <w:numId w:val="2"/>
        </w:numPr>
        <w:tabs>
          <w:tab w:val="left" w:pos="1134"/>
        </w:tabs>
        <w:spacing w:before="60" w:after="60"/>
        <w:ind w:left="1134" w:hanging="708"/>
        <w:rPr>
          <w:lang w:val="de-DE"/>
        </w:rPr>
      </w:pPr>
      <w:r w:rsidRPr="006D0C17">
        <w:rPr>
          <w:lang w:val="de-DE"/>
        </w:rPr>
        <w:t>die allgemeinen Entwicklungen auf dem Gebiet der biochemischen und molekularen Verfahren zu überprüfen;</w:t>
      </w:r>
    </w:p>
    <w:p w:rsidR="00954973" w:rsidRPr="006D0C17" w:rsidRDefault="00954973" w:rsidP="00954973">
      <w:pPr>
        <w:pStyle w:val="ListParagraph"/>
        <w:tabs>
          <w:tab w:val="left" w:pos="1134"/>
        </w:tabs>
        <w:spacing w:before="60" w:after="60"/>
        <w:ind w:left="1134" w:hanging="708"/>
        <w:rPr>
          <w:lang w:val="de-DE"/>
        </w:rPr>
      </w:pPr>
    </w:p>
    <w:p w:rsidR="00954973" w:rsidRPr="006D0C17" w:rsidRDefault="00954973" w:rsidP="00954973">
      <w:pPr>
        <w:pStyle w:val="ListParagraph"/>
        <w:numPr>
          <w:ilvl w:val="0"/>
          <w:numId w:val="2"/>
        </w:numPr>
        <w:tabs>
          <w:tab w:val="left" w:pos="1134"/>
        </w:tabs>
        <w:spacing w:before="60" w:after="60"/>
        <w:ind w:left="1134" w:hanging="708"/>
        <w:rPr>
          <w:lang w:val="de-DE"/>
        </w:rPr>
      </w:pPr>
      <w:r w:rsidRPr="006D0C17">
        <w:rPr>
          <w:lang w:val="de-DE"/>
        </w:rPr>
        <w:t xml:space="preserve">die Kenntnis einschlägiger Anwendungen biochemischer und molekularer Verfahren in der Pflanzenzüchtung aufrechtzuerhalten; </w:t>
      </w:r>
    </w:p>
    <w:p w:rsidR="00954973" w:rsidRPr="006D0C17" w:rsidRDefault="00954973" w:rsidP="00954973">
      <w:pPr>
        <w:pStyle w:val="ListParagraph"/>
        <w:tabs>
          <w:tab w:val="left" w:pos="1134"/>
        </w:tabs>
        <w:ind w:left="1134" w:hanging="708"/>
        <w:rPr>
          <w:lang w:val="de-DE"/>
        </w:rPr>
      </w:pPr>
    </w:p>
    <w:p w:rsidR="00954973" w:rsidRPr="006D0C17" w:rsidRDefault="00954973" w:rsidP="00954973">
      <w:pPr>
        <w:pStyle w:val="ListParagraph"/>
        <w:numPr>
          <w:ilvl w:val="0"/>
          <w:numId w:val="2"/>
        </w:numPr>
        <w:tabs>
          <w:tab w:val="left" w:pos="1134"/>
        </w:tabs>
        <w:spacing w:before="60" w:after="60"/>
        <w:ind w:left="1134" w:hanging="708"/>
        <w:rPr>
          <w:lang w:val="de-DE"/>
        </w:rPr>
      </w:pPr>
      <w:r w:rsidRPr="006D0C17">
        <w:rPr>
          <w:lang w:val="de-DE"/>
        </w:rPr>
        <w:t>die mögliche Anwendung biochemischer und molekularer Verfahren bei der DUS-Prüfung zu untersuchen und ihre Überlegungen dem Technischen Ausschuß darzulegen;</w:t>
      </w:r>
    </w:p>
    <w:p w:rsidR="00954973" w:rsidRPr="006D0C17" w:rsidRDefault="00954973" w:rsidP="00954973">
      <w:pPr>
        <w:pStyle w:val="ListParagraph"/>
        <w:tabs>
          <w:tab w:val="left" w:pos="1134"/>
        </w:tabs>
        <w:spacing w:before="60" w:after="60"/>
        <w:ind w:left="1134" w:hanging="708"/>
        <w:rPr>
          <w:lang w:val="de-DE"/>
        </w:rPr>
      </w:pPr>
    </w:p>
    <w:p w:rsidR="00954973" w:rsidRPr="006D0C17" w:rsidRDefault="00954973" w:rsidP="00954973">
      <w:pPr>
        <w:pStyle w:val="ListParagraph"/>
        <w:numPr>
          <w:ilvl w:val="0"/>
          <w:numId w:val="2"/>
        </w:numPr>
        <w:tabs>
          <w:tab w:val="left" w:pos="1134"/>
        </w:tabs>
        <w:spacing w:before="60" w:after="60"/>
        <w:ind w:left="1134" w:hanging="708"/>
        <w:rPr>
          <w:lang w:val="de-DE"/>
        </w:rPr>
      </w:pPr>
      <w:r w:rsidRPr="006D0C17">
        <w:rPr>
          <w:lang w:val="de-DE"/>
        </w:rPr>
        <w:t>gegebenenfalls Richtlinien für biochemische und molekulare Verfahren und deren Harmonisierung aufzustellen und insbesondere Beiträge zur Erstellung des Dokuments TGP/15, „Neue Merkmalstypen“, zu leisten.</w:t>
      </w:r>
      <w:r w:rsidR="00E77BAD" w:rsidRPr="006D0C17">
        <w:rPr>
          <w:lang w:val="de-DE"/>
        </w:rPr>
        <w:t xml:space="preserve"> </w:t>
      </w:r>
      <w:r w:rsidRPr="006D0C17">
        <w:rPr>
          <w:lang w:val="de-DE"/>
        </w:rPr>
        <w:t xml:space="preserve">Diese Richtlinien sollen in Verbindung mit den Technischen Arbeitsgruppen entwickelt werden; </w:t>
      </w:r>
    </w:p>
    <w:p w:rsidR="00954973" w:rsidRPr="006D0C17" w:rsidRDefault="00954973" w:rsidP="00954973">
      <w:pPr>
        <w:tabs>
          <w:tab w:val="left" w:pos="1134"/>
        </w:tabs>
        <w:spacing w:before="60" w:after="60"/>
        <w:ind w:left="1134" w:hanging="708"/>
        <w:rPr>
          <w:lang w:val="de-DE"/>
        </w:rPr>
      </w:pPr>
    </w:p>
    <w:p w:rsidR="00954973" w:rsidRPr="006D0C17" w:rsidRDefault="00954973" w:rsidP="00954973">
      <w:pPr>
        <w:pStyle w:val="ListParagraph"/>
        <w:numPr>
          <w:ilvl w:val="0"/>
          <w:numId w:val="2"/>
        </w:numPr>
        <w:tabs>
          <w:tab w:val="left" w:pos="1134"/>
        </w:tabs>
        <w:spacing w:before="60" w:after="60"/>
        <w:ind w:left="1134" w:hanging="708"/>
        <w:rPr>
          <w:lang w:val="de-DE"/>
        </w:rPr>
      </w:pPr>
      <w:r w:rsidRPr="006D0C17">
        <w:rPr>
          <w:lang w:val="de-DE"/>
        </w:rPr>
        <w:t>Initiativen der TWP zur Einsetzung artenspezifischer Untergruppen zu prüfen, indem den verfügbaren Informationen und der Notwendigkeit biochemischer und molekularer Verfahren Rechnung getragen wird;</w:t>
      </w:r>
    </w:p>
    <w:p w:rsidR="00954973" w:rsidRPr="006D0C17" w:rsidRDefault="00954973" w:rsidP="00954973">
      <w:pPr>
        <w:pStyle w:val="ListParagraph"/>
        <w:tabs>
          <w:tab w:val="left" w:pos="1134"/>
        </w:tabs>
        <w:ind w:left="1134" w:hanging="708"/>
        <w:rPr>
          <w:lang w:val="de-DE"/>
        </w:rPr>
      </w:pPr>
    </w:p>
    <w:p w:rsidR="00954973" w:rsidRPr="006D0C17" w:rsidRDefault="00954973" w:rsidP="00954973">
      <w:pPr>
        <w:pStyle w:val="ListParagraph"/>
        <w:numPr>
          <w:ilvl w:val="0"/>
          <w:numId w:val="2"/>
        </w:numPr>
        <w:tabs>
          <w:tab w:val="left" w:pos="1134"/>
        </w:tabs>
        <w:spacing w:before="60" w:after="60"/>
        <w:ind w:left="1134" w:hanging="708"/>
        <w:rPr>
          <w:lang w:val="de-DE"/>
        </w:rPr>
      </w:pPr>
      <w:r w:rsidRPr="006D0C17">
        <w:rPr>
          <w:lang w:val="de-DE"/>
        </w:rPr>
        <w:t>Richtlinien für die Verwaltung und Harmonisierung von Datenbanken mit biochemischen und molekularen Informationen in Verbindung mit der TWC aufzustellen;</w:t>
      </w:r>
    </w:p>
    <w:p w:rsidR="00954973" w:rsidRPr="006D0C17" w:rsidRDefault="00954973" w:rsidP="00954973">
      <w:pPr>
        <w:pStyle w:val="ListParagraph"/>
        <w:tabs>
          <w:tab w:val="left" w:pos="1134"/>
        </w:tabs>
        <w:spacing w:before="60" w:after="60"/>
        <w:ind w:left="1134" w:hanging="708"/>
        <w:rPr>
          <w:lang w:val="de-DE"/>
        </w:rPr>
      </w:pPr>
    </w:p>
    <w:p w:rsidR="00954973" w:rsidRPr="006D0C17" w:rsidRDefault="00954973" w:rsidP="00954973">
      <w:pPr>
        <w:pStyle w:val="ListParagraph"/>
        <w:numPr>
          <w:ilvl w:val="0"/>
          <w:numId w:val="2"/>
        </w:numPr>
        <w:tabs>
          <w:tab w:val="left" w:pos="1134"/>
        </w:tabs>
        <w:spacing w:before="60" w:after="60"/>
        <w:ind w:left="1134" w:hanging="708"/>
        <w:rPr>
          <w:lang w:val="de-DE"/>
        </w:rPr>
      </w:pPr>
      <w:r w:rsidRPr="006D0C17">
        <w:rPr>
          <w:lang w:val="de-DE"/>
        </w:rPr>
        <w:t>die Berichte der artenspezifischen Untergruppen und der BMT-Überprüfungsgruppe entgegenzunehmen;</w:t>
      </w:r>
    </w:p>
    <w:p w:rsidR="00954973" w:rsidRPr="006D0C17" w:rsidRDefault="00954973" w:rsidP="00954973">
      <w:pPr>
        <w:tabs>
          <w:tab w:val="left" w:pos="1134"/>
        </w:tabs>
        <w:spacing w:before="60" w:after="60"/>
        <w:ind w:left="1134" w:hanging="708"/>
        <w:rPr>
          <w:lang w:val="de-DE"/>
        </w:rPr>
      </w:pPr>
    </w:p>
    <w:p w:rsidR="00954973" w:rsidRPr="006D0C17" w:rsidRDefault="00954973" w:rsidP="00954973">
      <w:pPr>
        <w:pStyle w:val="ListParagraph"/>
        <w:numPr>
          <w:ilvl w:val="0"/>
          <w:numId w:val="2"/>
        </w:numPr>
        <w:tabs>
          <w:tab w:val="left" w:pos="1134"/>
        </w:tabs>
        <w:spacing w:before="60" w:after="60"/>
        <w:ind w:left="1134" w:hanging="708"/>
        <w:rPr>
          <w:lang w:val="de-DE"/>
        </w:rPr>
      </w:pPr>
      <w:r w:rsidRPr="006D0C17">
        <w:rPr>
          <w:lang w:val="de-DE"/>
        </w:rPr>
        <w:t>ein Diskussionsforum über die Anwendung biochemischer und molekularer Verfahren bei der Prüfung der wesentlichen Ableitung und bei der Sortenidentifikation bereitzustellen.</w:t>
      </w:r>
    </w:p>
    <w:p w:rsidR="00954973" w:rsidRPr="006D0C17" w:rsidRDefault="00954973" w:rsidP="00954973">
      <w:pPr>
        <w:rPr>
          <w:lang w:val="de-DE"/>
        </w:rPr>
      </w:pPr>
    </w:p>
    <w:p w:rsidR="00954973" w:rsidRPr="006D0C17" w:rsidRDefault="00954973" w:rsidP="00954973">
      <w:pPr>
        <w:ind w:right="-1"/>
        <w:rPr>
          <w:lang w:val="de-DE"/>
        </w:rPr>
      </w:pPr>
    </w:p>
    <w:p w:rsidR="00954973" w:rsidRPr="006D0C17" w:rsidRDefault="00954973" w:rsidP="00954973">
      <w:pPr>
        <w:ind w:right="-1"/>
        <w:rPr>
          <w:lang w:val="de-DE"/>
        </w:rPr>
      </w:pPr>
    </w:p>
    <w:p w:rsidR="0088336D" w:rsidRPr="006D0C17" w:rsidRDefault="0088336D" w:rsidP="00891471">
      <w:pPr>
        <w:jc w:val="right"/>
        <w:rPr>
          <w:lang w:val="de-DE"/>
        </w:rPr>
      </w:pPr>
      <w:r w:rsidRPr="006D0C17">
        <w:rPr>
          <w:lang w:val="de-DE"/>
        </w:rPr>
        <w:t>[Anlage II folgt]</w:t>
      </w:r>
    </w:p>
    <w:p w:rsidR="0088336D" w:rsidRPr="006D0C17" w:rsidRDefault="0088336D" w:rsidP="0088336D">
      <w:pPr>
        <w:ind w:right="369"/>
        <w:jc w:val="right"/>
        <w:rPr>
          <w:lang w:val="de-DE"/>
        </w:rPr>
        <w:sectPr w:rsidR="0088336D" w:rsidRPr="006D0C17" w:rsidSect="003423DF">
          <w:headerReference w:type="first" r:id="rId12"/>
          <w:pgSz w:w="11907" w:h="16840" w:code="9"/>
          <w:pgMar w:top="510" w:right="1134" w:bottom="1134" w:left="1134" w:header="510" w:footer="680" w:gutter="0"/>
          <w:cols w:space="720"/>
          <w:titlePg/>
          <w:docGrid w:linePitch="272"/>
        </w:sectPr>
      </w:pPr>
    </w:p>
    <w:p w:rsidR="0088336D" w:rsidRPr="006D0C17" w:rsidRDefault="0088336D" w:rsidP="0088336D">
      <w:pPr>
        <w:ind w:right="369"/>
        <w:jc w:val="left"/>
        <w:rPr>
          <w:lang w:val="de-DE"/>
        </w:rPr>
      </w:pPr>
    </w:p>
    <w:p w:rsidR="00A61DC3" w:rsidRPr="006D0C17" w:rsidRDefault="0088336D" w:rsidP="0088336D">
      <w:pPr>
        <w:jc w:val="center"/>
        <w:rPr>
          <w:lang w:val="de-DE"/>
        </w:rPr>
      </w:pPr>
      <w:r w:rsidRPr="006D0C17">
        <w:rPr>
          <w:lang w:val="de-DE"/>
        </w:rPr>
        <w:t>ERÖRTERUNG ÜBER MOLEKULARE VERFAHREN AUF DER FÜNFZIGSTEN TAGUNG DES TECHNISCHEN AUSSCHUSSES (24. MÄRZ)</w:t>
      </w:r>
    </w:p>
    <w:p w:rsidR="0088336D" w:rsidRPr="006D0C17" w:rsidRDefault="0088336D" w:rsidP="0088336D">
      <w:pPr>
        <w:jc w:val="center"/>
        <w:rPr>
          <w:lang w:val="de-DE"/>
        </w:rPr>
      </w:pPr>
    </w:p>
    <w:p w:rsidR="0088336D" w:rsidRPr="006D0C17" w:rsidRDefault="00A01E6E" w:rsidP="0088336D">
      <w:pPr>
        <w:jc w:val="center"/>
        <w:rPr>
          <w:lang w:val="de-DE"/>
        </w:rPr>
      </w:pPr>
      <w:r w:rsidRPr="006D0C17">
        <w:rPr>
          <w:lang w:val="de-DE"/>
        </w:rPr>
        <w:t>ENTWURF EINES PROGRAMMES</w:t>
      </w:r>
    </w:p>
    <w:p w:rsidR="00817E85" w:rsidRDefault="00817E85" w:rsidP="0088336D">
      <w:pPr>
        <w:ind w:right="369"/>
        <w:jc w:val="left"/>
        <w:rPr>
          <w:lang w:val="de-DE"/>
        </w:rPr>
      </w:pPr>
    </w:p>
    <w:p w:rsidR="006D0C17" w:rsidRPr="006D0C17" w:rsidRDefault="006D0C17" w:rsidP="0088336D">
      <w:pPr>
        <w:ind w:right="369"/>
        <w:jc w:val="left"/>
        <w:rPr>
          <w:lang w:val="de-DE"/>
        </w:rPr>
      </w:pPr>
      <w:bookmarkStart w:id="70" w:name="_GoBack"/>
      <w:bookmarkEnd w:id="70"/>
    </w:p>
    <w:p w:rsidR="00A61DC3" w:rsidRPr="006D0C17" w:rsidRDefault="00891326" w:rsidP="0088336D">
      <w:pPr>
        <w:ind w:right="369"/>
        <w:jc w:val="left"/>
        <w:rPr>
          <w:u w:val="single"/>
          <w:lang w:val="de-DE"/>
        </w:rPr>
      </w:pPr>
      <w:r w:rsidRPr="006D0C17">
        <w:rPr>
          <w:u w:val="single"/>
          <w:lang w:val="de-DE"/>
        </w:rPr>
        <w:t>Höhepunkte der vierzehnten Tagung der BMT</w:t>
      </w:r>
    </w:p>
    <w:p w:rsidR="00A61DC3" w:rsidRPr="006D0C17" w:rsidRDefault="00A61DC3" w:rsidP="0088336D">
      <w:pPr>
        <w:ind w:right="369"/>
        <w:jc w:val="left"/>
        <w:rPr>
          <w:lang w:val="de-DE"/>
        </w:rPr>
      </w:pPr>
    </w:p>
    <w:p w:rsidR="0088336D" w:rsidRPr="006D0C17" w:rsidRDefault="00817E85" w:rsidP="00891326">
      <w:pPr>
        <w:ind w:left="810" w:hanging="810"/>
        <w:rPr>
          <w:lang w:val="de-DE"/>
        </w:rPr>
      </w:pPr>
      <w:r w:rsidRPr="006D0C17">
        <w:rPr>
          <w:lang w:val="de-DE"/>
        </w:rPr>
        <w:t>11:15</w:t>
      </w:r>
      <w:r w:rsidRPr="006D0C17">
        <w:rPr>
          <w:lang w:val="de-DE"/>
        </w:rPr>
        <w:tab/>
        <w:t>Berichte über Entwicklungen in der UPOV betreffend biochemische und molekulare Verfahren (Verbandsbüro, vergleiche auch Dokument BMT/14/2 Rev2.)</w:t>
      </w:r>
    </w:p>
    <w:p w:rsidR="001175FD" w:rsidRPr="006D0C17" w:rsidRDefault="001175FD" w:rsidP="00891326">
      <w:pPr>
        <w:ind w:left="810" w:hanging="810"/>
        <w:rPr>
          <w:lang w:val="de-DE"/>
        </w:rPr>
      </w:pPr>
    </w:p>
    <w:p w:rsidR="001175FD" w:rsidRPr="006D0C17" w:rsidRDefault="001175FD" w:rsidP="001175FD">
      <w:pPr>
        <w:ind w:left="810" w:hanging="810"/>
        <w:rPr>
          <w:lang w:val="de-DE"/>
        </w:rPr>
      </w:pPr>
      <w:r w:rsidRPr="006D0C17">
        <w:rPr>
          <w:lang w:val="de-DE"/>
        </w:rPr>
        <w:t>11:30</w:t>
      </w:r>
      <w:r w:rsidRPr="006D0C17">
        <w:rPr>
          <w:lang w:val="de-DE"/>
        </w:rPr>
        <w:tab/>
        <w:t>Verwendung molekularer Markerverfahren für die Selektion ‘ähnliche Sorte’ für ‘Kandidatensorte’</w:t>
      </w:r>
    </w:p>
    <w:p w:rsidR="0088336D" w:rsidRPr="006D0C17" w:rsidRDefault="0088336D" w:rsidP="00891326">
      <w:pPr>
        <w:ind w:left="810" w:hanging="810"/>
        <w:rPr>
          <w:lang w:val="de-DE"/>
        </w:rPr>
      </w:pPr>
    </w:p>
    <w:p w:rsidR="0088336D" w:rsidRPr="006D0C17" w:rsidRDefault="00817E85" w:rsidP="00891326">
      <w:pPr>
        <w:ind w:left="810" w:hanging="810"/>
        <w:rPr>
          <w:rFonts w:cs="Arial"/>
          <w:lang w:val="de-DE"/>
        </w:rPr>
      </w:pPr>
      <w:r w:rsidRPr="006D0C17">
        <w:rPr>
          <w:lang w:val="de-DE"/>
        </w:rPr>
        <w:t>12:00</w:t>
      </w:r>
      <w:r w:rsidRPr="006D0C17">
        <w:rPr>
          <w:lang w:val="de-DE"/>
        </w:rPr>
        <w:tab/>
        <w:t xml:space="preserve">Ein derzeit in den Vereinigten Staaten geprüfter Ansatz zur potentiellen Anwendung beim Sortenschutz </w:t>
      </w:r>
    </w:p>
    <w:p w:rsidR="006635A8" w:rsidRPr="006D0C17" w:rsidRDefault="006635A8" w:rsidP="006635A8">
      <w:pPr>
        <w:ind w:left="810" w:hanging="810"/>
        <w:rPr>
          <w:lang w:val="de-DE"/>
        </w:rPr>
      </w:pPr>
    </w:p>
    <w:p w:rsidR="006635A8" w:rsidRPr="006D0C17" w:rsidRDefault="006635A8" w:rsidP="006635A8">
      <w:pPr>
        <w:ind w:left="810" w:hanging="810"/>
        <w:rPr>
          <w:i/>
          <w:lang w:val="de-DE"/>
        </w:rPr>
      </w:pPr>
      <w:r w:rsidRPr="006D0C17">
        <w:rPr>
          <w:i/>
          <w:lang w:val="de-DE"/>
        </w:rPr>
        <w:t xml:space="preserve">12:30 </w:t>
      </w:r>
      <w:r w:rsidRPr="006D0C17">
        <w:rPr>
          <w:lang w:val="de-DE"/>
        </w:rPr>
        <w:tab/>
      </w:r>
      <w:r w:rsidRPr="006D0C17">
        <w:rPr>
          <w:i/>
          <w:lang w:val="de-DE"/>
        </w:rPr>
        <w:t>Mittagspause</w:t>
      </w:r>
    </w:p>
    <w:p w:rsidR="0088336D" w:rsidRPr="006D0C17" w:rsidRDefault="0088336D" w:rsidP="00891326">
      <w:pPr>
        <w:ind w:left="810" w:hanging="810"/>
        <w:rPr>
          <w:lang w:val="de-DE"/>
        </w:rPr>
      </w:pPr>
    </w:p>
    <w:p w:rsidR="0088336D" w:rsidRPr="006D0C17" w:rsidRDefault="006E0B74" w:rsidP="00891326">
      <w:pPr>
        <w:ind w:left="810" w:hanging="810"/>
        <w:rPr>
          <w:lang w:val="de-DE"/>
        </w:rPr>
      </w:pPr>
      <w:r w:rsidRPr="006D0C17">
        <w:rPr>
          <w:lang w:val="de-DE"/>
        </w:rPr>
        <w:t>14:30</w:t>
      </w:r>
      <w:r w:rsidRPr="006D0C17">
        <w:rPr>
          <w:lang w:val="de-DE"/>
        </w:rPr>
        <w:tab/>
        <w:t xml:space="preserve">Eine europäische Kartoffeldatenbank als zentralisierte Sammlung von allgemein bekannten Sorten </w:t>
      </w:r>
    </w:p>
    <w:p w:rsidR="0088336D" w:rsidRPr="006D0C17" w:rsidRDefault="0088336D" w:rsidP="00891326">
      <w:pPr>
        <w:ind w:left="810" w:hanging="810"/>
        <w:rPr>
          <w:lang w:val="de-DE"/>
        </w:rPr>
      </w:pPr>
    </w:p>
    <w:p w:rsidR="00A61DC3" w:rsidRPr="006D0C17" w:rsidRDefault="006E0B74" w:rsidP="00891326">
      <w:pPr>
        <w:ind w:left="810" w:hanging="810"/>
        <w:rPr>
          <w:lang w:val="de-DE"/>
        </w:rPr>
      </w:pPr>
      <w:r w:rsidRPr="006D0C17">
        <w:rPr>
          <w:lang w:val="de-DE"/>
        </w:rPr>
        <w:t>14:50</w:t>
      </w:r>
      <w:r w:rsidRPr="006D0C17">
        <w:rPr>
          <w:lang w:val="de-DE"/>
        </w:rPr>
        <w:tab/>
        <w:t>Entwicklung von EST-SSR-Markern von Salat und Sortenidentifizierung anhand von EST-SSR-Markern</w:t>
      </w:r>
    </w:p>
    <w:p w:rsidR="0088336D" w:rsidRPr="006D0C17" w:rsidRDefault="0088336D" w:rsidP="00891326">
      <w:pPr>
        <w:ind w:left="810" w:hanging="810"/>
        <w:rPr>
          <w:lang w:val="de-DE"/>
        </w:rPr>
      </w:pPr>
    </w:p>
    <w:p w:rsidR="0088336D" w:rsidRPr="006D0C17" w:rsidRDefault="006E0B74" w:rsidP="00891326">
      <w:pPr>
        <w:ind w:left="810" w:hanging="810"/>
        <w:rPr>
          <w:lang w:val="de-DE"/>
        </w:rPr>
      </w:pPr>
      <w:r w:rsidRPr="006D0C17">
        <w:rPr>
          <w:lang w:val="de-DE"/>
        </w:rPr>
        <w:t>15:10</w:t>
      </w:r>
      <w:r w:rsidRPr="006D0C17">
        <w:rPr>
          <w:lang w:val="de-DE"/>
        </w:rPr>
        <w:tab/>
        <w:t xml:space="preserve">Inhaberschaft und Verwendung von DUS-Proben und DNS und DNS-Daten WÄHREND und NACH den DUS-Prüfungen </w:t>
      </w:r>
    </w:p>
    <w:p w:rsidR="0088336D" w:rsidRPr="006D0C17" w:rsidRDefault="0088336D" w:rsidP="00891326">
      <w:pPr>
        <w:ind w:left="810" w:hanging="810"/>
        <w:rPr>
          <w:rFonts w:cs="Arial"/>
          <w:lang w:val="de-DE"/>
        </w:rPr>
      </w:pPr>
    </w:p>
    <w:p w:rsidR="00891326" w:rsidRPr="006D0C17" w:rsidRDefault="00891326" w:rsidP="00891326">
      <w:pPr>
        <w:ind w:left="810" w:hanging="810"/>
        <w:rPr>
          <w:rFonts w:cs="Arial"/>
          <w:lang w:val="de-DE"/>
        </w:rPr>
      </w:pPr>
    </w:p>
    <w:p w:rsidR="00A61DC3" w:rsidRPr="006D0C17" w:rsidRDefault="00A61DC3" w:rsidP="00891326">
      <w:pPr>
        <w:ind w:left="810" w:hanging="810"/>
        <w:rPr>
          <w:rFonts w:cs="Arial"/>
          <w:u w:val="single"/>
          <w:lang w:val="de-DE"/>
        </w:rPr>
      </w:pPr>
      <w:r w:rsidRPr="006D0C17">
        <w:rPr>
          <w:u w:val="single"/>
          <w:lang w:val="de-DE"/>
        </w:rPr>
        <w:t>Gemeinsame Arbeitstagung von OECD, UPOV, ISTA über molekulare Verfahren</w:t>
      </w:r>
    </w:p>
    <w:p w:rsidR="00A61DC3" w:rsidRPr="006D0C17" w:rsidRDefault="00A61DC3" w:rsidP="00891326">
      <w:pPr>
        <w:ind w:left="810" w:hanging="810"/>
        <w:rPr>
          <w:rFonts w:cs="Arial"/>
          <w:lang w:val="de-DE"/>
        </w:rPr>
      </w:pPr>
    </w:p>
    <w:p w:rsidR="0088336D" w:rsidRPr="006D0C17" w:rsidRDefault="006E0B74" w:rsidP="00891326">
      <w:pPr>
        <w:ind w:left="810" w:hanging="810"/>
        <w:rPr>
          <w:lang w:val="de-DE"/>
        </w:rPr>
      </w:pPr>
      <w:r w:rsidRPr="006D0C17">
        <w:rPr>
          <w:lang w:val="de-DE"/>
        </w:rPr>
        <w:t>15:30</w:t>
      </w:r>
      <w:r w:rsidRPr="006D0C17">
        <w:rPr>
          <w:lang w:val="de-DE"/>
        </w:rPr>
        <w:tab/>
        <w:t>Möglichkeiten für die Zusammenarbeit zwischen OECD, UPOV, ISO und ISTA im Hinblick auf molekulare Verfahren</w:t>
      </w:r>
    </w:p>
    <w:p w:rsidR="00891326" w:rsidRPr="006D0C17" w:rsidRDefault="00891326" w:rsidP="00891326">
      <w:pPr>
        <w:ind w:left="810" w:right="369" w:hanging="810"/>
        <w:jc w:val="left"/>
        <w:rPr>
          <w:lang w:val="de-DE"/>
        </w:rPr>
      </w:pPr>
    </w:p>
    <w:p w:rsidR="0088336D" w:rsidRPr="006D0C17" w:rsidRDefault="006E0B74" w:rsidP="00891326">
      <w:pPr>
        <w:ind w:left="810" w:right="369" w:hanging="810"/>
        <w:jc w:val="left"/>
        <w:rPr>
          <w:lang w:val="de-DE"/>
        </w:rPr>
      </w:pPr>
      <w:r w:rsidRPr="006D0C17">
        <w:rPr>
          <w:lang w:val="de-DE"/>
        </w:rPr>
        <w:t xml:space="preserve">15:50 </w:t>
      </w:r>
      <w:r w:rsidRPr="006D0C17">
        <w:rPr>
          <w:lang w:val="de-DE"/>
        </w:rPr>
        <w:tab/>
        <w:t>Allgemeine Erörterung (25 Minuten)</w:t>
      </w:r>
    </w:p>
    <w:p w:rsidR="00891326" w:rsidRPr="006D0C17" w:rsidRDefault="00891326" w:rsidP="00891326">
      <w:pPr>
        <w:ind w:left="810" w:right="369" w:hanging="810"/>
        <w:jc w:val="left"/>
        <w:rPr>
          <w:lang w:val="de-DE"/>
        </w:rPr>
      </w:pPr>
    </w:p>
    <w:p w:rsidR="00A067FE" w:rsidRPr="006D0C17" w:rsidRDefault="00A067FE" w:rsidP="00891326">
      <w:pPr>
        <w:ind w:left="810" w:right="369" w:hanging="810"/>
        <w:jc w:val="left"/>
        <w:rPr>
          <w:lang w:val="de-DE"/>
        </w:rPr>
      </w:pPr>
    </w:p>
    <w:p w:rsidR="00A067FE" w:rsidRPr="006D0C17" w:rsidRDefault="00A067FE" w:rsidP="00891326">
      <w:pPr>
        <w:ind w:left="810" w:right="369" w:hanging="810"/>
        <w:jc w:val="left"/>
        <w:rPr>
          <w:u w:val="single"/>
          <w:lang w:val="de-DE"/>
        </w:rPr>
      </w:pPr>
      <w:r w:rsidRPr="006D0C17">
        <w:rPr>
          <w:u w:val="single"/>
          <w:lang w:val="de-DE"/>
        </w:rPr>
        <w:t>Technischer Ausschuß Tagesordnungspunkt 8 „Molekulare Verfahren“</w:t>
      </w:r>
    </w:p>
    <w:p w:rsidR="00A067FE" w:rsidRPr="006D0C17" w:rsidRDefault="00A067FE" w:rsidP="00891326">
      <w:pPr>
        <w:ind w:left="810" w:right="369" w:hanging="810"/>
        <w:jc w:val="left"/>
        <w:rPr>
          <w:lang w:val="de-DE"/>
        </w:rPr>
      </w:pPr>
    </w:p>
    <w:p w:rsidR="00891326" w:rsidRPr="006D0C17" w:rsidRDefault="00A067FE" w:rsidP="00891326">
      <w:pPr>
        <w:ind w:left="810" w:right="369" w:hanging="810"/>
        <w:jc w:val="left"/>
        <w:rPr>
          <w:lang w:val="de-DE"/>
        </w:rPr>
      </w:pPr>
      <w:r w:rsidRPr="006D0C17">
        <w:rPr>
          <w:lang w:val="de-DE"/>
        </w:rPr>
        <w:t>16:15</w:t>
      </w:r>
      <w:r w:rsidRPr="006D0C17">
        <w:rPr>
          <w:lang w:val="de-DE"/>
        </w:rPr>
        <w:tab/>
        <w:t>Tagesordnungspunkt 8 „Molekulare Verfahren“</w:t>
      </w:r>
    </w:p>
    <w:p w:rsidR="0088336D" w:rsidRPr="006D0C17" w:rsidRDefault="0088336D" w:rsidP="0088336D">
      <w:pPr>
        <w:ind w:right="369"/>
        <w:jc w:val="left"/>
        <w:rPr>
          <w:lang w:val="de-DE"/>
        </w:rPr>
      </w:pPr>
    </w:p>
    <w:p w:rsidR="0088336D" w:rsidRPr="006D0C17" w:rsidRDefault="0088336D" w:rsidP="0088336D">
      <w:pPr>
        <w:ind w:right="369"/>
        <w:jc w:val="left"/>
        <w:rPr>
          <w:lang w:val="de-DE"/>
        </w:rPr>
      </w:pPr>
    </w:p>
    <w:p w:rsidR="0088336D" w:rsidRPr="006D0C17" w:rsidRDefault="00E77BAD" w:rsidP="0088336D">
      <w:pPr>
        <w:ind w:right="369"/>
        <w:jc w:val="left"/>
        <w:rPr>
          <w:lang w:val="de-DE"/>
        </w:rPr>
      </w:pPr>
      <w:r w:rsidRPr="006D0C17">
        <w:rPr>
          <w:lang w:val="de-DE"/>
        </w:rPr>
        <w:t xml:space="preserve"> </w:t>
      </w:r>
    </w:p>
    <w:p w:rsidR="00093F0C" w:rsidRPr="006D0C17" w:rsidRDefault="003423DF" w:rsidP="00891471">
      <w:pPr>
        <w:jc w:val="right"/>
        <w:rPr>
          <w:bCs/>
          <w:snapToGrid w:val="0"/>
          <w:lang w:val="de-DE"/>
        </w:rPr>
      </w:pPr>
      <w:r w:rsidRPr="006D0C17">
        <w:rPr>
          <w:lang w:val="de-DE"/>
        </w:rPr>
        <w:t>[Ende der Anlage II und des Dokuments]</w:t>
      </w:r>
    </w:p>
    <w:p w:rsidR="00954973" w:rsidRPr="006D0C17" w:rsidRDefault="003423DF" w:rsidP="00E71894">
      <w:pPr>
        <w:jc w:val="right"/>
        <w:rPr>
          <w:lang w:val="de-DE"/>
        </w:rPr>
      </w:pPr>
      <w:r w:rsidRPr="006D0C17">
        <w:rPr>
          <w:lang w:val="de-DE"/>
        </w:rPr>
        <w:t xml:space="preserve"> </w:t>
      </w:r>
    </w:p>
    <w:sectPr w:rsidR="00954973" w:rsidRPr="006D0C17" w:rsidSect="003423DF">
      <w:headerReference w:type="first" r:id="rId13"/>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789" w:rsidRDefault="00492789" w:rsidP="006655D3">
      <w:r>
        <w:separator/>
      </w:r>
    </w:p>
    <w:p w:rsidR="00492789" w:rsidRDefault="00492789" w:rsidP="006655D3"/>
    <w:p w:rsidR="00492789" w:rsidRDefault="00492789" w:rsidP="006655D3"/>
  </w:endnote>
  <w:endnote w:type="continuationSeparator" w:id="0">
    <w:p w:rsidR="00492789" w:rsidRDefault="00492789" w:rsidP="006655D3">
      <w:r>
        <w:separator/>
      </w:r>
    </w:p>
    <w:p w:rsidR="00492789" w:rsidRPr="00477345" w:rsidRDefault="00492789">
      <w:pPr>
        <w:pStyle w:val="Footer"/>
        <w:spacing w:after="60"/>
        <w:rPr>
          <w:sz w:val="18"/>
          <w:lang w:val="fr-FR"/>
        </w:rPr>
      </w:pPr>
      <w:r w:rsidRPr="00477345">
        <w:rPr>
          <w:sz w:val="18"/>
          <w:lang w:val="fr-FR"/>
        </w:rPr>
        <w:t>[Suite de la note de la page précédente]</w:t>
      </w:r>
    </w:p>
    <w:p w:rsidR="00492789" w:rsidRPr="00477345" w:rsidRDefault="00492789" w:rsidP="006655D3">
      <w:pPr>
        <w:rPr>
          <w:lang w:val="fr-FR"/>
        </w:rPr>
      </w:pPr>
    </w:p>
    <w:p w:rsidR="00492789" w:rsidRPr="00477345" w:rsidRDefault="00492789" w:rsidP="006655D3">
      <w:pPr>
        <w:rPr>
          <w:lang w:val="fr-FR"/>
        </w:rPr>
      </w:pPr>
    </w:p>
  </w:endnote>
  <w:endnote w:type="continuationNotice" w:id="1">
    <w:p w:rsidR="00492789" w:rsidRPr="00477345" w:rsidRDefault="00492789" w:rsidP="006655D3">
      <w:pPr>
        <w:rPr>
          <w:lang w:val="fr-FR"/>
        </w:rPr>
      </w:pPr>
      <w:r w:rsidRPr="00477345">
        <w:rPr>
          <w:lang w:val="fr-FR"/>
        </w:rPr>
        <w:t>[Suite de la note page suivante]</w:t>
      </w:r>
    </w:p>
    <w:p w:rsidR="00492789" w:rsidRPr="00477345" w:rsidRDefault="00492789" w:rsidP="006655D3">
      <w:pPr>
        <w:rPr>
          <w:lang w:val="fr-FR"/>
        </w:rPr>
      </w:pPr>
    </w:p>
    <w:p w:rsidR="00492789" w:rsidRPr="00477345" w:rsidRDefault="0049278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789" w:rsidRDefault="00492789" w:rsidP="006655D3">
      <w:r>
        <w:separator/>
      </w:r>
    </w:p>
  </w:footnote>
  <w:footnote w:type="continuationSeparator" w:id="0">
    <w:p w:rsidR="00492789" w:rsidRDefault="00492789" w:rsidP="006655D3">
      <w:r>
        <w:separator/>
      </w:r>
    </w:p>
  </w:footnote>
  <w:footnote w:type="continuationNotice" w:id="1">
    <w:p w:rsidR="00492789" w:rsidRPr="00AB530F" w:rsidRDefault="00492789" w:rsidP="00AB530F">
      <w:pPr>
        <w:pStyle w:val="Footer"/>
      </w:pPr>
    </w:p>
  </w:footnote>
  <w:footnote w:id="2">
    <w:p w:rsidR="006505F5" w:rsidRDefault="006505F5">
      <w:pPr>
        <w:pStyle w:val="FootnoteText"/>
      </w:pPr>
      <w:r>
        <w:rPr>
          <w:rStyle w:val="FootnoteReference"/>
        </w:rPr>
        <w:footnoteRef/>
      </w:r>
      <w:r>
        <w:tab/>
      </w:r>
      <w:proofErr w:type="gramStart"/>
      <w:r>
        <w:t>vom</w:t>
      </w:r>
      <w:proofErr w:type="gramEnd"/>
      <w:r>
        <w:t xml:space="preserve"> 10. </w:t>
      </w:r>
      <w:proofErr w:type="gramStart"/>
      <w:r>
        <w:t>bis</w:t>
      </w:r>
      <w:proofErr w:type="gramEnd"/>
      <w:r>
        <w:t xml:space="preserve"> 13. November </w:t>
      </w:r>
      <w:r w:rsidR="00C55AAC">
        <w:t xml:space="preserve">2014 </w:t>
      </w:r>
      <w:r>
        <w:t>in Seoul, Republik Korea</w:t>
      </w:r>
    </w:p>
  </w:footnote>
  <w:footnote w:id="3">
    <w:p w:rsidR="006505F5" w:rsidRDefault="006505F5">
      <w:pPr>
        <w:pStyle w:val="FootnoteText"/>
      </w:pPr>
      <w:r>
        <w:rPr>
          <w:rStyle w:val="FootnoteReference"/>
        </w:rPr>
        <w:footnoteRef/>
      </w:r>
      <w:r>
        <w:tab/>
      </w:r>
      <w:proofErr w:type="gramStart"/>
      <w:r w:rsidRPr="00A01E6E">
        <w:t>am</w:t>
      </w:r>
      <w:proofErr w:type="gramEnd"/>
      <w:r w:rsidRPr="00A01E6E">
        <w:t xml:space="preserve"> 12. November</w:t>
      </w:r>
      <w:r w:rsidR="00C55AAC">
        <w:t xml:space="preserve"> 2014</w:t>
      </w:r>
      <w:r w:rsidRPr="00A01E6E">
        <w:t xml:space="preserve"> in Seoul, Republik Korea</w:t>
      </w:r>
    </w:p>
  </w:footnote>
  <w:footnote w:id="4">
    <w:p w:rsidR="003844A4" w:rsidRDefault="003844A4" w:rsidP="004656D9">
      <w:pPr>
        <w:pStyle w:val="FootnoteText"/>
        <w:rPr>
          <w:lang w:eastAsia="ja-JP"/>
        </w:rPr>
      </w:pPr>
      <w:r>
        <w:rPr>
          <w:rStyle w:val="FootnoteReference"/>
        </w:rPr>
        <w:footnoteRef/>
      </w:r>
      <w:r>
        <w:tab/>
        <w:t xml:space="preserve">Diese Tagesordnungspunkte wurden am Mittwoch, dem 12. </w:t>
      </w:r>
      <w:proofErr w:type="gramStart"/>
      <w:r>
        <w:t>November 2014 („Tag der Züchter“) erörtert.</w:t>
      </w:r>
      <w:proofErr w:type="gramEnd"/>
    </w:p>
  </w:footnote>
  <w:footnote w:id="5">
    <w:p w:rsidR="003844A4" w:rsidRPr="003D27DD" w:rsidRDefault="003844A4" w:rsidP="004656D9">
      <w:pPr>
        <w:pStyle w:val="FootnoteText"/>
      </w:pPr>
      <w:r>
        <w:rPr>
          <w:rStyle w:val="FootnoteReference"/>
        </w:rPr>
        <w:footnoteRef/>
      </w:r>
      <w:r>
        <w:tab/>
        <w:t>Tag der Züchter</w:t>
      </w:r>
    </w:p>
  </w:footnote>
  <w:footnote w:id="6">
    <w:p w:rsidR="00165B3E" w:rsidRDefault="00165B3E" w:rsidP="004656D9">
      <w:pPr>
        <w:pStyle w:val="FootnoteText"/>
        <w:rPr>
          <w:lang w:eastAsia="ja-JP"/>
        </w:rPr>
      </w:pPr>
      <w:r>
        <w:rPr>
          <w:rStyle w:val="FootnoteReference"/>
        </w:rPr>
        <w:footnoteRef/>
      </w:r>
      <w:r>
        <w:t xml:space="preserve"> </w:t>
      </w:r>
      <w:r>
        <w:tab/>
      </w:r>
      <w:proofErr w:type="gramStart"/>
      <w:r>
        <w:t>am</w:t>
      </w:r>
      <w:proofErr w:type="gramEnd"/>
      <w:r>
        <w:t xml:space="preserve"> 12. November 2014</w:t>
      </w:r>
    </w:p>
  </w:footnote>
  <w:footnote w:id="7">
    <w:p w:rsidR="00165B3E" w:rsidRDefault="00165B3E" w:rsidP="004656D9">
      <w:pPr>
        <w:pStyle w:val="FootnoteText"/>
        <w:rPr>
          <w:lang w:eastAsia="ja-JP"/>
        </w:rPr>
      </w:pPr>
      <w:r>
        <w:rPr>
          <w:rStyle w:val="FootnoteReference"/>
        </w:rPr>
        <w:footnoteRef/>
      </w:r>
      <w:r>
        <w:t xml:space="preserve"> </w:t>
      </w:r>
      <w:r>
        <w:tab/>
      </w:r>
      <w:proofErr w:type="gramStart"/>
      <w:r>
        <w:t>vom</w:t>
      </w:r>
      <w:proofErr w:type="gramEnd"/>
      <w:r>
        <w:t xml:space="preserve"> 10. </w:t>
      </w:r>
      <w:proofErr w:type="gramStart"/>
      <w:r>
        <w:t>bis</w:t>
      </w:r>
      <w:proofErr w:type="gramEnd"/>
      <w:r>
        <w:t xml:space="preserve"> 13. November 2014</w:t>
      </w:r>
    </w:p>
  </w:footnote>
  <w:footnote w:id="8">
    <w:p w:rsidR="00165B3E" w:rsidRDefault="00165B3E" w:rsidP="004656D9">
      <w:pPr>
        <w:pStyle w:val="FootnoteText"/>
        <w:rPr>
          <w:lang w:eastAsia="ja-JP"/>
        </w:rPr>
      </w:pPr>
      <w:r>
        <w:rPr>
          <w:rStyle w:val="FootnoteReference"/>
        </w:rPr>
        <w:footnoteRef/>
      </w:r>
      <w:r>
        <w:t xml:space="preserve"> </w:t>
      </w:r>
      <w:r>
        <w:tab/>
      </w:r>
      <w:proofErr w:type="gramStart"/>
      <w:r w:rsidR="00C55AAC">
        <w:t>vom</w:t>
      </w:r>
      <w:proofErr w:type="gramEnd"/>
      <w:r w:rsidR="00C55AAC">
        <w:t xml:space="preserve"> 7. </w:t>
      </w:r>
      <w:proofErr w:type="gramStart"/>
      <w:r w:rsidR="00C55AAC">
        <w:t>bis</w:t>
      </w:r>
      <w:proofErr w:type="gramEnd"/>
      <w:r w:rsidR="00C55AAC">
        <w:t xml:space="preserve"> 9. April 2014</w:t>
      </w:r>
    </w:p>
  </w:footnote>
  <w:footnote w:id="9">
    <w:p w:rsidR="00165B3E" w:rsidRDefault="00165B3E" w:rsidP="004656D9">
      <w:pPr>
        <w:pStyle w:val="FootnoteText"/>
        <w:rPr>
          <w:lang w:eastAsia="ja-JP"/>
        </w:rPr>
      </w:pPr>
      <w:r>
        <w:rPr>
          <w:rStyle w:val="FootnoteReference"/>
        </w:rPr>
        <w:footnoteRef/>
      </w:r>
      <w:r>
        <w:t xml:space="preserve"> </w:t>
      </w:r>
      <w:r>
        <w:tab/>
      </w:r>
      <w:proofErr w:type="gramStart"/>
      <w:r>
        <w:t>v</w:t>
      </w:r>
      <w:r w:rsidR="00C55AAC">
        <w:t>om</w:t>
      </w:r>
      <w:proofErr w:type="gramEnd"/>
      <w:r w:rsidR="00C55AAC">
        <w:t xml:space="preserve"> 18. </w:t>
      </w:r>
      <w:proofErr w:type="gramStart"/>
      <w:r w:rsidR="00C55AAC">
        <w:t>bis</w:t>
      </w:r>
      <w:proofErr w:type="gramEnd"/>
      <w:r w:rsidR="00C55AAC">
        <w:t xml:space="preserve"> 20. März 2013</w:t>
      </w:r>
    </w:p>
  </w:footnote>
  <w:footnote w:id="10">
    <w:p w:rsidR="00165B3E" w:rsidRDefault="00165B3E" w:rsidP="004656D9">
      <w:pPr>
        <w:pStyle w:val="FootnoteText"/>
        <w:rPr>
          <w:lang w:eastAsia="ja-JP"/>
        </w:rPr>
      </w:pPr>
      <w:r>
        <w:rPr>
          <w:rStyle w:val="FootnoteReference"/>
        </w:rPr>
        <w:footnoteRef/>
      </w:r>
      <w:r>
        <w:t xml:space="preserve"> </w:t>
      </w:r>
      <w:r>
        <w:tab/>
      </w:r>
      <w:proofErr w:type="gramStart"/>
      <w:r w:rsidR="00C55AAC">
        <w:t>vom</w:t>
      </w:r>
      <w:proofErr w:type="gramEnd"/>
      <w:r w:rsidR="00C55AAC">
        <w:t xml:space="preserve"> 7. </w:t>
      </w:r>
      <w:proofErr w:type="gramStart"/>
      <w:r w:rsidR="00C55AAC">
        <w:t>bis</w:t>
      </w:r>
      <w:proofErr w:type="gramEnd"/>
      <w:r w:rsidR="00C55AAC">
        <w:t xml:space="preserve"> 9. April 2014</w:t>
      </w:r>
    </w:p>
  </w:footnote>
  <w:footnote w:id="11">
    <w:p w:rsidR="00165B3E" w:rsidRDefault="00165B3E" w:rsidP="004656D9">
      <w:pPr>
        <w:pStyle w:val="FootnoteText"/>
        <w:rPr>
          <w:lang w:eastAsia="ja-JP"/>
        </w:rPr>
      </w:pPr>
      <w:r>
        <w:rPr>
          <w:rStyle w:val="FootnoteReference"/>
        </w:rPr>
        <w:footnoteRef/>
      </w:r>
      <w:r w:rsidR="00C55AAC">
        <w:t xml:space="preserve"> </w:t>
      </w:r>
      <w:r w:rsidR="00C55AAC">
        <w:tab/>
      </w:r>
      <w:proofErr w:type="gramStart"/>
      <w:r w:rsidR="00C55AAC">
        <w:t>am</w:t>
      </w:r>
      <w:proofErr w:type="gramEnd"/>
      <w:r w:rsidR="00C55AAC">
        <w:t xml:space="preserve"> 10. April 2014</w:t>
      </w:r>
    </w:p>
  </w:footnote>
  <w:footnote w:id="12">
    <w:p w:rsidR="00165B3E" w:rsidRDefault="00165B3E" w:rsidP="004656D9">
      <w:pPr>
        <w:pStyle w:val="FootnoteText"/>
        <w:rPr>
          <w:lang w:eastAsia="ja-JP"/>
        </w:rPr>
      </w:pPr>
      <w:r>
        <w:rPr>
          <w:rStyle w:val="FootnoteReference"/>
        </w:rPr>
        <w:footnoteRef/>
      </w:r>
      <w:r w:rsidR="00C55AAC">
        <w:t xml:space="preserve"> </w:t>
      </w:r>
      <w:r w:rsidR="00C55AAC">
        <w:tab/>
      </w:r>
      <w:proofErr w:type="gramStart"/>
      <w:r w:rsidR="00C55AAC">
        <w:t>am</w:t>
      </w:r>
      <w:proofErr w:type="gramEnd"/>
      <w:r w:rsidR="00C55AAC">
        <w:t xml:space="preserve"> 12. April 2014</w:t>
      </w:r>
    </w:p>
  </w:footnote>
  <w:footnote w:id="13">
    <w:p w:rsidR="00891471" w:rsidRPr="00891471" w:rsidRDefault="00066251" w:rsidP="006D0C17">
      <w:pPr>
        <w:pStyle w:val="FootnoteText"/>
      </w:pPr>
      <w:r>
        <w:rPr>
          <w:rStyle w:val="FootnoteReference"/>
        </w:rPr>
        <w:footnoteRef/>
      </w:r>
      <w:r>
        <w:tab/>
      </w:r>
      <w:proofErr w:type="gramStart"/>
      <w:r>
        <w:t>am</w:t>
      </w:r>
      <w:proofErr w:type="gramEnd"/>
      <w:r>
        <w:t xml:space="preserve"> 12. November</w:t>
      </w:r>
      <w:r w:rsidR="00C55AAC">
        <w:t xml:space="preserve"> 2014</w:t>
      </w:r>
      <w:r>
        <w:t xml:space="preserve"> in Seoul, Republik Korea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4A4" w:rsidRPr="00C5280D" w:rsidRDefault="003844A4" w:rsidP="00EB048E">
    <w:pPr>
      <w:pStyle w:val="Header"/>
      <w:rPr>
        <w:rStyle w:val="PageNumber"/>
      </w:rPr>
    </w:pPr>
    <w:r>
      <w:rPr>
        <w:rStyle w:val="PageNumber"/>
      </w:rPr>
      <w:t>CAJ/71/8</w:t>
    </w:r>
  </w:p>
  <w:p w:rsidR="003844A4" w:rsidRPr="00C5280D" w:rsidRDefault="003844A4" w:rsidP="00EB048E">
    <w:pPr>
      <w:pStyle w:val="Header"/>
    </w:pPr>
    <w:r>
      <w:t xml:space="preserve">Seite </w:t>
    </w:r>
    <w:r w:rsidR="00FF0C5F" w:rsidRPr="00C5280D">
      <w:rPr>
        <w:rStyle w:val="PageNumber"/>
      </w:rPr>
      <w:fldChar w:fldCharType="begin"/>
    </w:r>
    <w:r w:rsidRPr="00C5280D">
      <w:rPr>
        <w:rStyle w:val="PageNumber"/>
      </w:rPr>
      <w:instrText xml:space="preserve"> PAGE </w:instrText>
    </w:r>
    <w:r w:rsidR="00FF0C5F" w:rsidRPr="00C5280D">
      <w:rPr>
        <w:rStyle w:val="PageNumber"/>
      </w:rPr>
      <w:fldChar w:fldCharType="separate"/>
    </w:r>
    <w:r w:rsidR="009D51CC">
      <w:rPr>
        <w:rStyle w:val="PageNumber"/>
        <w:noProof/>
      </w:rPr>
      <w:t>8</w:t>
    </w:r>
    <w:r w:rsidR="00FF0C5F" w:rsidRPr="00C5280D">
      <w:rPr>
        <w:rStyle w:val="PageNumber"/>
      </w:rPr>
      <w:fldChar w:fldCharType="end"/>
    </w:r>
    <w:bookmarkStart w:id="68" w:name="_Toc410822398"/>
    <w:bookmarkStart w:id="69" w:name="_Toc410822802"/>
  </w:p>
  <w:bookmarkEnd w:id="68"/>
  <w:bookmarkEnd w:id="69"/>
  <w:p w:rsidR="003844A4" w:rsidRPr="00C5280D" w:rsidRDefault="003844A4"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4A4" w:rsidRDefault="003844A4">
    <w:pPr>
      <w:pStyle w:val="Header"/>
    </w:pPr>
    <w:r>
      <w:t>CAJ/71/8</w:t>
    </w:r>
  </w:p>
  <w:p w:rsidR="003844A4" w:rsidRDefault="003844A4">
    <w:pPr>
      <w:pStyle w:val="Header"/>
    </w:pPr>
  </w:p>
  <w:p w:rsidR="003844A4" w:rsidRPr="00954973" w:rsidRDefault="003844A4">
    <w:pPr>
      <w:pStyle w:val="Header"/>
    </w:pPr>
    <w:r>
      <w:t>ANLAGE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4A4" w:rsidRDefault="003844A4">
    <w:pPr>
      <w:pStyle w:val="Header"/>
    </w:pPr>
    <w:r>
      <w:t>CAJ/71/8</w:t>
    </w:r>
  </w:p>
  <w:p w:rsidR="003844A4" w:rsidRDefault="003844A4">
    <w:pPr>
      <w:pStyle w:val="Header"/>
    </w:pPr>
  </w:p>
  <w:p w:rsidR="003844A4" w:rsidRPr="00954973" w:rsidRDefault="003844A4">
    <w:pPr>
      <w:pStyle w:val="Header"/>
    </w:pPr>
    <w:r>
      <w:t>ANLAGE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36FC9"/>
    <w:multiLevelType w:val="hybridMultilevel"/>
    <w:tmpl w:val="847628F2"/>
    <w:lvl w:ilvl="0" w:tplc="04464F4C">
      <w:start w:val="1"/>
      <w:numFmt w:val="lowerLetter"/>
      <w:lvlText w:val="(%1)"/>
      <w:lvlJc w:val="left"/>
      <w:pPr>
        <w:tabs>
          <w:tab w:val="num" w:pos="4926"/>
        </w:tabs>
        <w:ind w:left="4926" w:hanging="390"/>
      </w:pPr>
      <w:rPr>
        <w:rFonts w:cs="Times New Roman" w:hint="default"/>
      </w:rPr>
    </w:lvl>
    <w:lvl w:ilvl="1" w:tplc="04090019" w:tentative="1">
      <w:start w:val="1"/>
      <w:numFmt w:val="lowerLetter"/>
      <w:lvlText w:val="%2."/>
      <w:lvlJc w:val="left"/>
      <w:pPr>
        <w:tabs>
          <w:tab w:val="num" w:pos="5616"/>
        </w:tabs>
        <w:ind w:left="5616" w:hanging="360"/>
      </w:pPr>
      <w:rPr>
        <w:rFonts w:cs="Times New Roman"/>
      </w:rPr>
    </w:lvl>
    <w:lvl w:ilvl="2" w:tplc="0409001B" w:tentative="1">
      <w:start w:val="1"/>
      <w:numFmt w:val="lowerRoman"/>
      <w:lvlText w:val="%3."/>
      <w:lvlJc w:val="right"/>
      <w:pPr>
        <w:tabs>
          <w:tab w:val="num" w:pos="6336"/>
        </w:tabs>
        <w:ind w:left="6336" w:hanging="180"/>
      </w:pPr>
      <w:rPr>
        <w:rFonts w:cs="Times New Roman"/>
      </w:rPr>
    </w:lvl>
    <w:lvl w:ilvl="3" w:tplc="0409000F" w:tentative="1">
      <w:start w:val="1"/>
      <w:numFmt w:val="decimal"/>
      <w:lvlText w:val="%4."/>
      <w:lvlJc w:val="left"/>
      <w:pPr>
        <w:tabs>
          <w:tab w:val="num" w:pos="7056"/>
        </w:tabs>
        <w:ind w:left="7056" w:hanging="360"/>
      </w:pPr>
      <w:rPr>
        <w:rFonts w:cs="Times New Roman"/>
      </w:rPr>
    </w:lvl>
    <w:lvl w:ilvl="4" w:tplc="04090019" w:tentative="1">
      <w:start w:val="1"/>
      <w:numFmt w:val="lowerLetter"/>
      <w:lvlText w:val="%5."/>
      <w:lvlJc w:val="left"/>
      <w:pPr>
        <w:tabs>
          <w:tab w:val="num" w:pos="7776"/>
        </w:tabs>
        <w:ind w:left="7776" w:hanging="360"/>
      </w:pPr>
      <w:rPr>
        <w:rFonts w:cs="Times New Roman"/>
      </w:rPr>
    </w:lvl>
    <w:lvl w:ilvl="5" w:tplc="0409001B" w:tentative="1">
      <w:start w:val="1"/>
      <w:numFmt w:val="lowerRoman"/>
      <w:lvlText w:val="%6."/>
      <w:lvlJc w:val="right"/>
      <w:pPr>
        <w:tabs>
          <w:tab w:val="num" w:pos="8496"/>
        </w:tabs>
        <w:ind w:left="8496" w:hanging="180"/>
      </w:pPr>
      <w:rPr>
        <w:rFonts w:cs="Times New Roman"/>
      </w:rPr>
    </w:lvl>
    <w:lvl w:ilvl="6" w:tplc="0409000F" w:tentative="1">
      <w:start w:val="1"/>
      <w:numFmt w:val="decimal"/>
      <w:lvlText w:val="%7."/>
      <w:lvlJc w:val="left"/>
      <w:pPr>
        <w:tabs>
          <w:tab w:val="num" w:pos="9216"/>
        </w:tabs>
        <w:ind w:left="9216" w:hanging="360"/>
      </w:pPr>
      <w:rPr>
        <w:rFonts w:cs="Times New Roman"/>
      </w:rPr>
    </w:lvl>
    <w:lvl w:ilvl="7" w:tplc="04090019" w:tentative="1">
      <w:start w:val="1"/>
      <w:numFmt w:val="lowerLetter"/>
      <w:lvlText w:val="%8."/>
      <w:lvlJc w:val="left"/>
      <w:pPr>
        <w:tabs>
          <w:tab w:val="num" w:pos="9936"/>
        </w:tabs>
        <w:ind w:left="9936" w:hanging="360"/>
      </w:pPr>
      <w:rPr>
        <w:rFonts w:cs="Times New Roman"/>
      </w:rPr>
    </w:lvl>
    <w:lvl w:ilvl="8" w:tplc="0409001B" w:tentative="1">
      <w:start w:val="1"/>
      <w:numFmt w:val="lowerRoman"/>
      <w:lvlText w:val="%9."/>
      <w:lvlJc w:val="right"/>
      <w:pPr>
        <w:tabs>
          <w:tab w:val="num" w:pos="10656"/>
        </w:tabs>
        <w:ind w:left="10656" w:hanging="180"/>
      </w:pPr>
      <w:rPr>
        <w:rFonts w:cs="Times New Roman"/>
      </w:rPr>
    </w:lvl>
  </w:abstractNum>
  <w:abstractNum w:abstractNumId="1">
    <w:nsid w:val="2BFB0472"/>
    <w:multiLevelType w:val="hybridMultilevel"/>
    <w:tmpl w:val="3F2E5AAA"/>
    <w:lvl w:ilvl="0" w:tplc="FBC435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23DA3"/>
    <w:multiLevelType w:val="hybridMultilevel"/>
    <w:tmpl w:val="4880E962"/>
    <w:lvl w:ilvl="0" w:tplc="E57089B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
    <w:nsid w:val="301E1F87"/>
    <w:multiLevelType w:val="hybridMultilevel"/>
    <w:tmpl w:val="47864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2620BE6"/>
    <w:multiLevelType w:val="hybridMultilevel"/>
    <w:tmpl w:val="CA84BF40"/>
    <w:lvl w:ilvl="0" w:tplc="AC3CF6AC">
      <w:start w:val="1"/>
      <w:numFmt w:val="lowerLetter"/>
      <w:lvlText w:val="%1)"/>
      <w:lvlJc w:val="left"/>
      <w:pPr>
        <w:ind w:left="7590" w:hanging="360"/>
      </w:pPr>
      <w:rPr>
        <w:rFonts w:eastAsia="MS Mincho"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D140B4"/>
    <w:multiLevelType w:val="hybridMultilevel"/>
    <w:tmpl w:val="93467F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4D744B"/>
    <w:multiLevelType w:val="hybridMultilevel"/>
    <w:tmpl w:val="85DCA81E"/>
    <w:lvl w:ilvl="0" w:tplc="3920EB18">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6D3DA0"/>
    <w:multiLevelType w:val="hybridMultilevel"/>
    <w:tmpl w:val="21C26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D84FA6"/>
    <w:multiLevelType w:val="hybridMultilevel"/>
    <w:tmpl w:val="1A08E8AC"/>
    <w:lvl w:ilvl="0" w:tplc="9CF86C16">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608E619A"/>
    <w:multiLevelType w:val="hybridMultilevel"/>
    <w:tmpl w:val="75EA1B9A"/>
    <w:lvl w:ilvl="0" w:tplc="AB8217D4">
      <w:start w:val="1"/>
      <w:numFmt w:val="decimal"/>
      <w:lvlText w:val="%1)"/>
      <w:lvlJc w:val="left"/>
      <w:pPr>
        <w:ind w:left="5180" w:hanging="360"/>
      </w:pPr>
      <w:rPr>
        <w:rFonts w:eastAsia="MS Mincho" w:cs="Arial" w:hint="default"/>
        <w:color w:val="000000"/>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0">
    <w:nsid w:val="66175CB0"/>
    <w:multiLevelType w:val="hybridMultilevel"/>
    <w:tmpl w:val="847628F2"/>
    <w:lvl w:ilvl="0" w:tplc="04464F4C">
      <w:start w:val="1"/>
      <w:numFmt w:val="lowerLetter"/>
      <w:lvlText w:val="(%1)"/>
      <w:lvlJc w:val="left"/>
      <w:pPr>
        <w:tabs>
          <w:tab w:val="num" w:pos="4926"/>
        </w:tabs>
        <w:ind w:left="4926" w:hanging="390"/>
      </w:pPr>
      <w:rPr>
        <w:rFonts w:cs="Times New Roman" w:hint="default"/>
      </w:rPr>
    </w:lvl>
    <w:lvl w:ilvl="1" w:tplc="04090019" w:tentative="1">
      <w:start w:val="1"/>
      <w:numFmt w:val="lowerLetter"/>
      <w:lvlText w:val="%2."/>
      <w:lvlJc w:val="left"/>
      <w:pPr>
        <w:tabs>
          <w:tab w:val="num" w:pos="5616"/>
        </w:tabs>
        <w:ind w:left="5616" w:hanging="360"/>
      </w:pPr>
      <w:rPr>
        <w:rFonts w:cs="Times New Roman"/>
      </w:rPr>
    </w:lvl>
    <w:lvl w:ilvl="2" w:tplc="0409001B" w:tentative="1">
      <w:start w:val="1"/>
      <w:numFmt w:val="lowerRoman"/>
      <w:lvlText w:val="%3."/>
      <w:lvlJc w:val="right"/>
      <w:pPr>
        <w:tabs>
          <w:tab w:val="num" w:pos="6336"/>
        </w:tabs>
        <w:ind w:left="6336" w:hanging="180"/>
      </w:pPr>
      <w:rPr>
        <w:rFonts w:cs="Times New Roman"/>
      </w:rPr>
    </w:lvl>
    <w:lvl w:ilvl="3" w:tplc="0409000F" w:tentative="1">
      <w:start w:val="1"/>
      <w:numFmt w:val="decimal"/>
      <w:lvlText w:val="%4."/>
      <w:lvlJc w:val="left"/>
      <w:pPr>
        <w:tabs>
          <w:tab w:val="num" w:pos="7056"/>
        </w:tabs>
        <w:ind w:left="7056" w:hanging="360"/>
      </w:pPr>
      <w:rPr>
        <w:rFonts w:cs="Times New Roman"/>
      </w:rPr>
    </w:lvl>
    <w:lvl w:ilvl="4" w:tplc="04090019" w:tentative="1">
      <w:start w:val="1"/>
      <w:numFmt w:val="lowerLetter"/>
      <w:lvlText w:val="%5."/>
      <w:lvlJc w:val="left"/>
      <w:pPr>
        <w:tabs>
          <w:tab w:val="num" w:pos="7776"/>
        </w:tabs>
        <w:ind w:left="7776" w:hanging="360"/>
      </w:pPr>
      <w:rPr>
        <w:rFonts w:cs="Times New Roman"/>
      </w:rPr>
    </w:lvl>
    <w:lvl w:ilvl="5" w:tplc="0409001B" w:tentative="1">
      <w:start w:val="1"/>
      <w:numFmt w:val="lowerRoman"/>
      <w:lvlText w:val="%6."/>
      <w:lvlJc w:val="right"/>
      <w:pPr>
        <w:tabs>
          <w:tab w:val="num" w:pos="8496"/>
        </w:tabs>
        <w:ind w:left="8496" w:hanging="180"/>
      </w:pPr>
      <w:rPr>
        <w:rFonts w:cs="Times New Roman"/>
      </w:rPr>
    </w:lvl>
    <w:lvl w:ilvl="6" w:tplc="0409000F" w:tentative="1">
      <w:start w:val="1"/>
      <w:numFmt w:val="decimal"/>
      <w:lvlText w:val="%7."/>
      <w:lvlJc w:val="left"/>
      <w:pPr>
        <w:tabs>
          <w:tab w:val="num" w:pos="9216"/>
        </w:tabs>
        <w:ind w:left="9216" w:hanging="360"/>
      </w:pPr>
      <w:rPr>
        <w:rFonts w:cs="Times New Roman"/>
      </w:rPr>
    </w:lvl>
    <w:lvl w:ilvl="7" w:tplc="04090019" w:tentative="1">
      <w:start w:val="1"/>
      <w:numFmt w:val="lowerLetter"/>
      <w:lvlText w:val="%8."/>
      <w:lvlJc w:val="left"/>
      <w:pPr>
        <w:tabs>
          <w:tab w:val="num" w:pos="9936"/>
        </w:tabs>
        <w:ind w:left="9936" w:hanging="360"/>
      </w:pPr>
      <w:rPr>
        <w:rFonts w:cs="Times New Roman"/>
      </w:rPr>
    </w:lvl>
    <w:lvl w:ilvl="8" w:tplc="0409001B" w:tentative="1">
      <w:start w:val="1"/>
      <w:numFmt w:val="lowerRoman"/>
      <w:lvlText w:val="%9."/>
      <w:lvlJc w:val="right"/>
      <w:pPr>
        <w:tabs>
          <w:tab w:val="num" w:pos="10656"/>
        </w:tabs>
        <w:ind w:left="10656" w:hanging="180"/>
      </w:pPr>
      <w:rPr>
        <w:rFonts w:cs="Times New Roman"/>
      </w:rPr>
    </w:lvl>
  </w:abstractNum>
  <w:abstractNum w:abstractNumId="11">
    <w:nsid w:val="673E0B56"/>
    <w:multiLevelType w:val="hybridMultilevel"/>
    <w:tmpl w:val="91144E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B67671"/>
    <w:multiLevelType w:val="hybridMultilevel"/>
    <w:tmpl w:val="61E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234A3F"/>
    <w:multiLevelType w:val="hybridMultilevel"/>
    <w:tmpl w:val="407C452C"/>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num w:numId="1">
    <w:abstractNumId w:val="6"/>
  </w:num>
  <w:num w:numId="2">
    <w:abstractNumId w:val="2"/>
  </w:num>
  <w:num w:numId="3">
    <w:abstractNumId w:val="13"/>
  </w:num>
  <w:num w:numId="4">
    <w:abstractNumId w:val="9"/>
  </w:num>
  <w:num w:numId="5">
    <w:abstractNumId w:val="4"/>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11"/>
  </w:num>
  <w:num w:numId="11">
    <w:abstractNumId w:val="1"/>
  </w:num>
  <w:num w:numId="12">
    <w:abstractNumId w:val="0"/>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69"/>
    <w:rsid w:val="00010CF3"/>
    <w:rsid w:val="00011122"/>
    <w:rsid w:val="00011E27"/>
    <w:rsid w:val="000148BC"/>
    <w:rsid w:val="00024AB8"/>
    <w:rsid w:val="00030854"/>
    <w:rsid w:val="00033064"/>
    <w:rsid w:val="00036028"/>
    <w:rsid w:val="00041D2D"/>
    <w:rsid w:val="00044642"/>
    <w:rsid w:val="000446B9"/>
    <w:rsid w:val="00047E21"/>
    <w:rsid w:val="00050E16"/>
    <w:rsid w:val="00055042"/>
    <w:rsid w:val="000552A7"/>
    <w:rsid w:val="00066251"/>
    <w:rsid w:val="000816AB"/>
    <w:rsid w:val="000825CD"/>
    <w:rsid w:val="00083D60"/>
    <w:rsid w:val="00085505"/>
    <w:rsid w:val="0009135B"/>
    <w:rsid w:val="00093F0C"/>
    <w:rsid w:val="000A4E4F"/>
    <w:rsid w:val="000B7B9A"/>
    <w:rsid w:val="000C3340"/>
    <w:rsid w:val="000C7021"/>
    <w:rsid w:val="000D123A"/>
    <w:rsid w:val="000D6BBC"/>
    <w:rsid w:val="000D7780"/>
    <w:rsid w:val="000E2E2A"/>
    <w:rsid w:val="000E5EE5"/>
    <w:rsid w:val="000F1D05"/>
    <w:rsid w:val="000F2F11"/>
    <w:rsid w:val="000F7E6A"/>
    <w:rsid w:val="00105929"/>
    <w:rsid w:val="001131D5"/>
    <w:rsid w:val="001153E5"/>
    <w:rsid w:val="001175FD"/>
    <w:rsid w:val="00121AA6"/>
    <w:rsid w:val="00137D62"/>
    <w:rsid w:val="00141DB8"/>
    <w:rsid w:val="00152D79"/>
    <w:rsid w:val="00153421"/>
    <w:rsid w:val="00157DF4"/>
    <w:rsid w:val="00165B3E"/>
    <w:rsid w:val="0017474A"/>
    <w:rsid w:val="001758C6"/>
    <w:rsid w:val="00176692"/>
    <w:rsid w:val="0018053D"/>
    <w:rsid w:val="00182701"/>
    <w:rsid w:val="00182B99"/>
    <w:rsid w:val="00182CF6"/>
    <w:rsid w:val="00186929"/>
    <w:rsid w:val="001873AF"/>
    <w:rsid w:val="00195A44"/>
    <w:rsid w:val="001B036B"/>
    <w:rsid w:val="001B0FF3"/>
    <w:rsid w:val="001D2E32"/>
    <w:rsid w:val="001D3B2E"/>
    <w:rsid w:val="001D5E40"/>
    <w:rsid w:val="001E32F0"/>
    <w:rsid w:val="001E349E"/>
    <w:rsid w:val="001E6801"/>
    <w:rsid w:val="001F1E4C"/>
    <w:rsid w:val="0021332C"/>
    <w:rsid w:val="00213982"/>
    <w:rsid w:val="00213DB3"/>
    <w:rsid w:val="00220FEE"/>
    <w:rsid w:val="00226590"/>
    <w:rsid w:val="002275B8"/>
    <w:rsid w:val="00233C64"/>
    <w:rsid w:val="0024416D"/>
    <w:rsid w:val="00271911"/>
    <w:rsid w:val="0027510D"/>
    <w:rsid w:val="00275B4D"/>
    <w:rsid w:val="002800A0"/>
    <w:rsid w:val="002801B3"/>
    <w:rsid w:val="00281060"/>
    <w:rsid w:val="00290DCA"/>
    <w:rsid w:val="0029409E"/>
    <w:rsid w:val="002940E8"/>
    <w:rsid w:val="002966CC"/>
    <w:rsid w:val="002A6534"/>
    <w:rsid w:val="002A6E50"/>
    <w:rsid w:val="002C256A"/>
    <w:rsid w:val="002C3CBE"/>
    <w:rsid w:val="002D3575"/>
    <w:rsid w:val="002D59C1"/>
    <w:rsid w:val="002D74E7"/>
    <w:rsid w:val="002D7F83"/>
    <w:rsid w:val="002F1823"/>
    <w:rsid w:val="002F749F"/>
    <w:rsid w:val="00305A7F"/>
    <w:rsid w:val="00306FDE"/>
    <w:rsid w:val="00310440"/>
    <w:rsid w:val="0031501C"/>
    <w:rsid w:val="003152FE"/>
    <w:rsid w:val="00327436"/>
    <w:rsid w:val="00337523"/>
    <w:rsid w:val="00341943"/>
    <w:rsid w:val="003423DF"/>
    <w:rsid w:val="0034437E"/>
    <w:rsid w:val="00344BD6"/>
    <w:rsid w:val="0035528D"/>
    <w:rsid w:val="0036170D"/>
    <w:rsid w:val="00361821"/>
    <w:rsid w:val="00362C4E"/>
    <w:rsid w:val="0036369B"/>
    <w:rsid w:val="003844A4"/>
    <w:rsid w:val="003B6462"/>
    <w:rsid w:val="003B778C"/>
    <w:rsid w:val="003D227C"/>
    <w:rsid w:val="003D27DD"/>
    <w:rsid w:val="003D2B4D"/>
    <w:rsid w:val="003D3BC8"/>
    <w:rsid w:val="003D6C70"/>
    <w:rsid w:val="004033F9"/>
    <w:rsid w:val="0041245D"/>
    <w:rsid w:val="00416A53"/>
    <w:rsid w:val="00417C69"/>
    <w:rsid w:val="00444A88"/>
    <w:rsid w:val="004512FF"/>
    <w:rsid w:val="0045470D"/>
    <w:rsid w:val="004656D9"/>
    <w:rsid w:val="00470244"/>
    <w:rsid w:val="004723C0"/>
    <w:rsid w:val="00474386"/>
    <w:rsid w:val="00474DA4"/>
    <w:rsid w:val="00476B4D"/>
    <w:rsid w:val="00477345"/>
    <w:rsid w:val="004805FA"/>
    <w:rsid w:val="00487215"/>
    <w:rsid w:val="00490C48"/>
    <w:rsid w:val="00492789"/>
    <w:rsid w:val="004977E9"/>
    <w:rsid w:val="004C7C85"/>
    <w:rsid w:val="004D047D"/>
    <w:rsid w:val="004D4C77"/>
    <w:rsid w:val="004F305A"/>
    <w:rsid w:val="00502EAC"/>
    <w:rsid w:val="00505459"/>
    <w:rsid w:val="00512164"/>
    <w:rsid w:val="0051572D"/>
    <w:rsid w:val="00520297"/>
    <w:rsid w:val="0052394A"/>
    <w:rsid w:val="005245AD"/>
    <w:rsid w:val="005338F9"/>
    <w:rsid w:val="00535D58"/>
    <w:rsid w:val="00540A2B"/>
    <w:rsid w:val="00542291"/>
    <w:rsid w:val="0054281C"/>
    <w:rsid w:val="0054520C"/>
    <w:rsid w:val="0055268D"/>
    <w:rsid w:val="00554D3E"/>
    <w:rsid w:val="005663C1"/>
    <w:rsid w:val="005755E7"/>
    <w:rsid w:val="00576BE4"/>
    <w:rsid w:val="00582380"/>
    <w:rsid w:val="00582B2D"/>
    <w:rsid w:val="00596251"/>
    <w:rsid w:val="00597583"/>
    <w:rsid w:val="005A260D"/>
    <w:rsid w:val="005A400A"/>
    <w:rsid w:val="005C50EC"/>
    <w:rsid w:val="005C5272"/>
    <w:rsid w:val="005C5B75"/>
    <w:rsid w:val="005D260A"/>
    <w:rsid w:val="005D5881"/>
    <w:rsid w:val="005E590E"/>
    <w:rsid w:val="005F30A7"/>
    <w:rsid w:val="005F39AC"/>
    <w:rsid w:val="005F45B0"/>
    <w:rsid w:val="005F5745"/>
    <w:rsid w:val="00604DCD"/>
    <w:rsid w:val="00612379"/>
    <w:rsid w:val="006124B5"/>
    <w:rsid w:val="00612C69"/>
    <w:rsid w:val="0061555F"/>
    <w:rsid w:val="00621527"/>
    <w:rsid w:val="0063139E"/>
    <w:rsid w:val="0063243A"/>
    <w:rsid w:val="00633EA9"/>
    <w:rsid w:val="0063559D"/>
    <w:rsid w:val="00641200"/>
    <w:rsid w:val="00642A4B"/>
    <w:rsid w:val="006445EE"/>
    <w:rsid w:val="0064547F"/>
    <w:rsid w:val="00645B1F"/>
    <w:rsid w:val="006505F5"/>
    <w:rsid w:val="00656B24"/>
    <w:rsid w:val="006635A8"/>
    <w:rsid w:val="006655D3"/>
    <w:rsid w:val="00667404"/>
    <w:rsid w:val="00676DFD"/>
    <w:rsid w:val="00681967"/>
    <w:rsid w:val="00684ACE"/>
    <w:rsid w:val="006852BC"/>
    <w:rsid w:val="006866C4"/>
    <w:rsid w:val="00687EB4"/>
    <w:rsid w:val="006914F1"/>
    <w:rsid w:val="006918C6"/>
    <w:rsid w:val="00695458"/>
    <w:rsid w:val="006A561F"/>
    <w:rsid w:val="006B0161"/>
    <w:rsid w:val="006B17D2"/>
    <w:rsid w:val="006B3AEF"/>
    <w:rsid w:val="006C19F9"/>
    <w:rsid w:val="006C224E"/>
    <w:rsid w:val="006C418D"/>
    <w:rsid w:val="006D0C17"/>
    <w:rsid w:val="006D780A"/>
    <w:rsid w:val="006E0B74"/>
    <w:rsid w:val="006E737F"/>
    <w:rsid w:val="006F22E1"/>
    <w:rsid w:val="006F551D"/>
    <w:rsid w:val="0071595A"/>
    <w:rsid w:val="007250E4"/>
    <w:rsid w:val="00732DEC"/>
    <w:rsid w:val="007330DD"/>
    <w:rsid w:val="00735BD5"/>
    <w:rsid w:val="007473D2"/>
    <w:rsid w:val="007520E2"/>
    <w:rsid w:val="007556F6"/>
    <w:rsid w:val="00760EEF"/>
    <w:rsid w:val="00765671"/>
    <w:rsid w:val="00776750"/>
    <w:rsid w:val="00777EE5"/>
    <w:rsid w:val="00784836"/>
    <w:rsid w:val="00787DEF"/>
    <w:rsid w:val="0079023E"/>
    <w:rsid w:val="0079128B"/>
    <w:rsid w:val="007A2854"/>
    <w:rsid w:val="007A6AA3"/>
    <w:rsid w:val="007C25BD"/>
    <w:rsid w:val="007D0B9D"/>
    <w:rsid w:val="007D19B0"/>
    <w:rsid w:val="007D3B0D"/>
    <w:rsid w:val="007F498F"/>
    <w:rsid w:val="00803AB1"/>
    <w:rsid w:val="0080482B"/>
    <w:rsid w:val="0080679D"/>
    <w:rsid w:val="008108B0"/>
    <w:rsid w:val="00810AA9"/>
    <w:rsid w:val="0081106E"/>
    <w:rsid w:val="00811B20"/>
    <w:rsid w:val="00813850"/>
    <w:rsid w:val="008161A5"/>
    <w:rsid w:val="00816776"/>
    <w:rsid w:val="00817E85"/>
    <w:rsid w:val="0082296E"/>
    <w:rsid w:val="00824099"/>
    <w:rsid w:val="00834411"/>
    <w:rsid w:val="00837FBC"/>
    <w:rsid w:val="00854C32"/>
    <w:rsid w:val="00862910"/>
    <w:rsid w:val="00863113"/>
    <w:rsid w:val="00864FB2"/>
    <w:rsid w:val="00867AC1"/>
    <w:rsid w:val="00876B8F"/>
    <w:rsid w:val="00881081"/>
    <w:rsid w:val="00881D81"/>
    <w:rsid w:val="0088336D"/>
    <w:rsid w:val="008841D9"/>
    <w:rsid w:val="00891326"/>
    <w:rsid w:val="00891471"/>
    <w:rsid w:val="008929D6"/>
    <w:rsid w:val="00895F99"/>
    <w:rsid w:val="00896336"/>
    <w:rsid w:val="00897616"/>
    <w:rsid w:val="008A743F"/>
    <w:rsid w:val="008B026A"/>
    <w:rsid w:val="008C0970"/>
    <w:rsid w:val="008D2CF7"/>
    <w:rsid w:val="008D6750"/>
    <w:rsid w:val="008E5807"/>
    <w:rsid w:val="008F3EA7"/>
    <w:rsid w:val="00900C26"/>
    <w:rsid w:val="0090197F"/>
    <w:rsid w:val="00903FAE"/>
    <w:rsid w:val="00906DDC"/>
    <w:rsid w:val="00911B95"/>
    <w:rsid w:val="00925163"/>
    <w:rsid w:val="00934E09"/>
    <w:rsid w:val="00936253"/>
    <w:rsid w:val="00944D1B"/>
    <w:rsid w:val="00952DD4"/>
    <w:rsid w:val="00953897"/>
    <w:rsid w:val="00954973"/>
    <w:rsid w:val="009676F5"/>
    <w:rsid w:val="00970FED"/>
    <w:rsid w:val="00992D82"/>
    <w:rsid w:val="00995397"/>
    <w:rsid w:val="00997029"/>
    <w:rsid w:val="009A3C1D"/>
    <w:rsid w:val="009A4635"/>
    <w:rsid w:val="009A4AC6"/>
    <w:rsid w:val="009A5CC2"/>
    <w:rsid w:val="009A7071"/>
    <w:rsid w:val="009B31C1"/>
    <w:rsid w:val="009C1286"/>
    <w:rsid w:val="009C51B2"/>
    <w:rsid w:val="009D08D3"/>
    <w:rsid w:val="009D4E38"/>
    <w:rsid w:val="009D4F14"/>
    <w:rsid w:val="009D51CC"/>
    <w:rsid w:val="009D690D"/>
    <w:rsid w:val="009E1BD6"/>
    <w:rsid w:val="009E65B6"/>
    <w:rsid w:val="009E696D"/>
    <w:rsid w:val="009F60CA"/>
    <w:rsid w:val="00A01E6E"/>
    <w:rsid w:val="00A03296"/>
    <w:rsid w:val="00A03648"/>
    <w:rsid w:val="00A05D8B"/>
    <w:rsid w:val="00A067FE"/>
    <w:rsid w:val="00A12B36"/>
    <w:rsid w:val="00A20CD7"/>
    <w:rsid w:val="00A24C10"/>
    <w:rsid w:val="00A42AC3"/>
    <w:rsid w:val="00A430CF"/>
    <w:rsid w:val="00A45FFC"/>
    <w:rsid w:val="00A511AC"/>
    <w:rsid w:val="00A53CDD"/>
    <w:rsid w:val="00A54309"/>
    <w:rsid w:val="00A6084F"/>
    <w:rsid w:val="00A61DC3"/>
    <w:rsid w:val="00A61F47"/>
    <w:rsid w:val="00A63453"/>
    <w:rsid w:val="00A637AE"/>
    <w:rsid w:val="00A64867"/>
    <w:rsid w:val="00A72BBD"/>
    <w:rsid w:val="00A8342C"/>
    <w:rsid w:val="00A920F6"/>
    <w:rsid w:val="00AB2812"/>
    <w:rsid w:val="00AB2B93"/>
    <w:rsid w:val="00AB530F"/>
    <w:rsid w:val="00AB6523"/>
    <w:rsid w:val="00AB7E5B"/>
    <w:rsid w:val="00AC57B9"/>
    <w:rsid w:val="00AD54CD"/>
    <w:rsid w:val="00AD7537"/>
    <w:rsid w:val="00AE01ED"/>
    <w:rsid w:val="00AE0EF1"/>
    <w:rsid w:val="00AE2937"/>
    <w:rsid w:val="00AE48EB"/>
    <w:rsid w:val="00AF2367"/>
    <w:rsid w:val="00B07301"/>
    <w:rsid w:val="00B20E48"/>
    <w:rsid w:val="00B21DDB"/>
    <w:rsid w:val="00B224DE"/>
    <w:rsid w:val="00B266AC"/>
    <w:rsid w:val="00B271EC"/>
    <w:rsid w:val="00B27435"/>
    <w:rsid w:val="00B31904"/>
    <w:rsid w:val="00B46575"/>
    <w:rsid w:val="00B567D2"/>
    <w:rsid w:val="00B62A42"/>
    <w:rsid w:val="00B84BBD"/>
    <w:rsid w:val="00BA07CF"/>
    <w:rsid w:val="00BA1695"/>
    <w:rsid w:val="00BA43FB"/>
    <w:rsid w:val="00BB63EA"/>
    <w:rsid w:val="00BC127D"/>
    <w:rsid w:val="00BC1FE6"/>
    <w:rsid w:val="00BD6F18"/>
    <w:rsid w:val="00BD728F"/>
    <w:rsid w:val="00C06191"/>
    <w:rsid w:val="00C061B6"/>
    <w:rsid w:val="00C17629"/>
    <w:rsid w:val="00C22F5D"/>
    <w:rsid w:val="00C2332F"/>
    <w:rsid w:val="00C2446C"/>
    <w:rsid w:val="00C36AE5"/>
    <w:rsid w:val="00C4163B"/>
    <w:rsid w:val="00C41F17"/>
    <w:rsid w:val="00C45724"/>
    <w:rsid w:val="00C46C3A"/>
    <w:rsid w:val="00C50874"/>
    <w:rsid w:val="00C5280D"/>
    <w:rsid w:val="00C55AAC"/>
    <w:rsid w:val="00C5791C"/>
    <w:rsid w:val="00C65728"/>
    <w:rsid w:val="00C66290"/>
    <w:rsid w:val="00C7044B"/>
    <w:rsid w:val="00C72B7A"/>
    <w:rsid w:val="00C75835"/>
    <w:rsid w:val="00C84020"/>
    <w:rsid w:val="00C903FB"/>
    <w:rsid w:val="00C91F77"/>
    <w:rsid w:val="00C973F2"/>
    <w:rsid w:val="00CA304C"/>
    <w:rsid w:val="00CA774A"/>
    <w:rsid w:val="00CB7125"/>
    <w:rsid w:val="00CC11B0"/>
    <w:rsid w:val="00CC5C93"/>
    <w:rsid w:val="00CC75D8"/>
    <w:rsid w:val="00CD720B"/>
    <w:rsid w:val="00CF31E7"/>
    <w:rsid w:val="00CF7E36"/>
    <w:rsid w:val="00D12B9E"/>
    <w:rsid w:val="00D13B74"/>
    <w:rsid w:val="00D13F23"/>
    <w:rsid w:val="00D1712A"/>
    <w:rsid w:val="00D3708D"/>
    <w:rsid w:val="00D37975"/>
    <w:rsid w:val="00D40426"/>
    <w:rsid w:val="00D41FEC"/>
    <w:rsid w:val="00D57C96"/>
    <w:rsid w:val="00D6340A"/>
    <w:rsid w:val="00D67F9D"/>
    <w:rsid w:val="00D731EA"/>
    <w:rsid w:val="00D87251"/>
    <w:rsid w:val="00D91203"/>
    <w:rsid w:val="00D94D3A"/>
    <w:rsid w:val="00D95174"/>
    <w:rsid w:val="00DA05B2"/>
    <w:rsid w:val="00DA6F36"/>
    <w:rsid w:val="00DB49FA"/>
    <w:rsid w:val="00DB596E"/>
    <w:rsid w:val="00DB71F7"/>
    <w:rsid w:val="00DB7773"/>
    <w:rsid w:val="00DC00EA"/>
    <w:rsid w:val="00DC04F7"/>
    <w:rsid w:val="00DC2279"/>
    <w:rsid w:val="00DC38A1"/>
    <w:rsid w:val="00DC6260"/>
    <w:rsid w:val="00DD21A3"/>
    <w:rsid w:val="00DE0B36"/>
    <w:rsid w:val="00DF0D29"/>
    <w:rsid w:val="00E0335A"/>
    <w:rsid w:val="00E32F7E"/>
    <w:rsid w:val="00E339A6"/>
    <w:rsid w:val="00E34B8A"/>
    <w:rsid w:val="00E53CD3"/>
    <w:rsid w:val="00E5782A"/>
    <w:rsid w:val="00E71894"/>
    <w:rsid w:val="00E72D49"/>
    <w:rsid w:val="00E7593C"/>
    <w:rsid w:val="00E7678A"/>
    <w:rsid w:val="00E77BAD"/>
    <w:rsid w:val="00E82F50"/>
    <w:rsid w:val="00E86B4F"/>
    <w:rsid w:val="00E935F1"/>
    <w:rsid w:val="00E94A81"/>
    <w:rsid w:val="00EA1FFB"/>
    <w:rsid w:val="00EB048E"/>
    <w:rsid w:val="00EB2A97"/>
    <w:rsid w:val="00EB7BF9"/>
    <w:rsid w:val="00ED37DA"/>
    <w:rsid w:val="00EE2724"/>
    <w:rsid w:val="00EE3495"/>
    <w:rsid w:val="00EE34DF"/>
    <w:rsid w:val="00EF2F89"/>
    <w:rsid w:val="00F00F8C"/>
    <w:rsid w:val="00F042A5"/>
    <w:rsid w:val="00F11BFD"/>
    <w:rsid w:val="00F1237A"/>
    <w:rsid w:val="00F221FB"/>
    <w:rsid w:val="00F22CBD"/>
    <w:rsid w:val="00F25CDB"/>
    <w:rsid w:val="00F40673"/>
    <w:rsid w:val="00F449CD"/>
    <w:rsid w:val="00F45372"/>
    <w:rsid w:val="00F5330E"/>
    <w:rsid w:val="00F551DC"/>
    <w:rsid w:val="00F560F7"/>
    <w:rsid w:val="00F617CC"/>
    <w:rsid w:val="00F6334D"/>
    <w:rsid w:val="00F74FB8"/>
    <w:rsid w:val="00F74FDE"/>
    <w:rsid w:val="00F9175E"/>
    <w:rsid w:val="00F9538D"/>
    <w:rsid w:val="00FA49AB"/>
    <w:rsid w:val="00FC0DD4"/>
    <w:rsid w:val="00FC12D3"/>
    <w:rsid w:val="00FD3B89"/>
    <w:rsid w:val="00FD7B1A"/>
    <w:rsid w:val="00FE1DDE"/>
    <w:rsid w:val="00FE39C7"/>
    <w:rsid w:val="00FF0C5F"/>
    <w:rsid w:val="00FF22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E6A"/>
    <w:pPr>
      <w:jc w:val="both"/>
    </w:pPr>
    <w:rPr>
      <w:rFonts w:ascii="Arial" w:hAnsi="Arial"/>
    </w:rPr>
  </w:style>
  <w:style w:type="paragraph" w:styleId="Heading1">
    <w:name w:val="heading 1"/>
    <w:next w:val="Normal"/>
    <w:link w:val="Heading1Char"/>
    <w:autoRedefine/>
    <w:qFormat/>
    <w:rsid w:val="006505F5"/>
    <w:pPr>
      <w:jc w:val="both"/>
      <w:outlineLvl w:val="0"/>
    </w:pPr>
    <w:rPr>
      <w:rFonts w:ascii="Arial" w:hAnsi="Arial"/>
      <w:caps/>
    </w:rPr>
  </w:style>
  <w:style w:type="paragraph" w:styleId="Heading2">
    <w:name w:val="heading 2"/>
    <w:next w:val="Normal"/>
    <w:autoRedefine/>
    <w:qFormat/>
    <w:rsid w:val="00BD6F18"/>
    <w:pPr>
      <w:keepNext/>
      <w:jc w:val="both"/>
      <w:outlineLvl w:val="1"/>
    </w:pPr>
    <w:rPr>
      <w:rFonts w:ascii="Arial" w:hAnsi="Arial" w:cs="Arial"/>
      <w:u w:val="single"/>
    </w:rPr>
  </w:style>
  <w:style w:type="paragraph" w:styleId="Heading3">
    <w:name w:val="heading 3"/>
    <w:next w:val="Normal"/>
    <w:autoRedefine/>
    <w:qFormat/>
    <w:rsid w:val="000E2E2A"/>
    <w:pPr>
      <w:keepNext/>
      <w:ind w:left="567"/>
      <w:jc w:val="both"/>
      <w:outlineLvl w:val="2"/>
    </w:pPr>
    <w:rPr>
      <w:rFonts w:ascii="Arial" w:hAnsi="Arial"/>
      <w:i/>
      <w:lang w:eastAsia="ja-JP"/>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4656D9"/>
    <w:pPr>
      <w:spacing w:before="60"/>
      <w:ind w:left="284" w:hanging="284"/>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qFormat/>
    <w:rsid w:val="00695458"/>
    <w:pPr>
      <w:tabs>
        <w:tab w:val="right" w:leader="dot" w:pos="9639"/>
      </w:tabs>
      <w:spacing w:before="120"/>
      <w:ind w:left="454" w:right="851" w:hanging="284"/>
      <w:contextualSpacing/>
    </w:pPr>
    <w:rPr>
      <w:rFonts w:ascii="Arial" w:hAnsi="Arial"/>
      <w:smallCaps/>
      <w:noProof/>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unhideWhenUsed/>
    <w:rsid w:val="00DC6260"/>
    <w:rPr>
      <w:color w:val="0000FF" w:themeColor="hyperlink"/>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F449CD"/>
    <w:pPr>
      <w:tabs>
        <w:tab w:val="right" w:leader="dot" w:pos="9639"/>
      </w:tabs>
      <w:spacing w:before="60" w:after="120"/>
    </w:pPr>
    <w:rPr>
      <w:rFonts w:ascii="Arial" w:hAnsi="Arial"/>
      <w:caps/>
      <w:noProof/>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6505F5"/>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FootnoteTextChar">
    <w:name w:val="Footnote Text Char"/>
    <w:basedOn w:val="DefaultParagraphFont"/>
    <w:link w:val="FootnoteText"/>
    <w:uiPriority w:val="99"/>
    <w:rsid w:val="004656D9"/>
    <w:rPr>
      <w:rFonts w:ascii="Arial" w:hAnsi="Arial"/>
      <w:sz w:val="16"/>
    </w:rPr>
  </w:style>
  <w:style w:type="character" w:customStyle="1" w:styleId="HeaderChar">
    <w:name w:val="Header Char"/>
    <w:basedOn w:val="DefaultParagraphFont"/>
    <w:link w:val="Header"/>
    <w:uiPriority w:val="99"/>
    <w:rsid w:val="00337523"/>
    <w:rPr>
      <w:rFonts w:ascii="Arial" w:hAnsi="Arial"/>
      <w:lang w:val="fr-FR"/>
    </w:rPr>
  </w:style>
  <w:style w:type="paragraph" w:customStyle="1" w:styleId="DecisionInvitingPara">
    <w:name w:val="Decision Inviting Para."/>
    <w:basedOn w:val="Normal"/>
    <w:rsid w:val="00554D3E"/>
    <w:pPr>
      <w:ind w:left="4536"/>
    </w:pPr>
    <w:rPr>
      <w:rFonts w:eastAsia="Times New Roman"/>
      <w:i/>
      <w:lang w:val="es-ES_tradnl"/>
    </w:rPr>
  </w:style>
  <w:style w:type="paragraph" w:customStyle="1" w:styleId="Style1">
    <w:name w:val="Style1"/>
    <w:basedOn w:val="Normal"/>
    <w:rsid w:val="00554D3E"/>
    <w:pPr>
      <w:tabs>
        <w:tab w:val="decimal" w:pos="907"/>
        <w:tab w:val="left" w:pos="1077"/>
      </w:tabs>
    </w:pPr>
    <w:rPr>
      <w:rFonts w:ascii="Times New Roman" w:eastAsia="Times New Roman" w:hAnsi="Times New Roman"/>
      <w:sz w:val="24"/>
      <w:szCs w:val="24"/>
      <w:lang w:eastAsia="ja-JP"/>
    </w:rPr>
  </w:style>
  <w:style w:type="paragraph" w:styleId="TOCHeading">
    <w:name w:val="TOC Heading"/>
    <w:basedOn w:val="Heading1"/>
    <w:next w:val="Normal"/>
    <w:uiPriority w:val="39"/>
    <w:unhideWhenUsed/>
    <w:qFormat/>
    <w:rsid w:val="003D27DD"/>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E6A"/>
    <w:pPr>
      <w:jc w:val="both"/>
    </w:pPr>
    <w:rPr>
      <w:rFonts w:ascii="Arial" w:hAnsi="Arial"/>
    </w:rPr>
  </w:style>
  <w:style w:type="paragraph" w:styleId="Heading1">
    <w:name w:val="heading 1"/>
    <w:next w:val="Normal"/>
    <w:link w:val="Heading1Char"/>
    <w:autoRedefine/>
    <w:qFormat/>
    <w:rsid w:val="006505F5"/>
    <w:pPr>
      <w:jc w:val="both"/>
      <w:outlineLvl w:val="0"/>
    </w:pPr>
    <w:rPr>
      <w:rFonts w:ascii="Arial" w:hAnsi="Arial"/>
      <w:caps/>
    </w:rPr>
  </w:style>
  <w:style w:type="paragraph" w:styleId="Heading2">
    <w:name w:val="heading 2"/>
    <w:next w:val="Normal"/>
    <w:autoRedefine/>
    <w:qFormat/>
    <w:rsid w:val="00BD6F18"/>
    <w:pPr>
      <w:keepNext/>
      <w:jc w:val="both"/>
      <w:outlineLvl w:val="1"/>
    </w:pPr>
    <w:rPr>
      <w:rFonts w:ascii="Arial" w:hAnsi="Arial" w:cs="Arial"/>
      <w:u w:val="single"/>
    </w:rPr>
  </w:style>
  <w:style w:type="paragraph" w:styleId="Heading3">
    <w:name w:val="heading 3"/>
    <w:next w:val="Normal"/>
    <w:autoRedefine/>
    <w:qFormat/>
    <w:rsid w:val="000E2E2A"/>
    <w:pPr>
      <w:keepNext/>
      <w:ind w:left="567"/>
      <w:jc w:val="both"/>
      <w:outlineLvl w:val="2"/>
    </w:pPr>
    <w:rPr>
      <w:rFonts w:ascii="Arial" w:hAnsi="Arial"/>
      <w:i/>
      <w:lang w:eastAsia="ja-JP"/>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4656D9"/>
    <w:pPr>
      <w:spacing w:before="60"/>
      <w:ind w:left="284" w:hanging="284"/>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qFormat/>
    <w:rsid w:val="00695458"/>
    <w:pPr>
      <w:tabs>
        <w:tab w:val="right" w:leader="dot" w:pos="9639"/>
      </w:tabs>
      <w:spacing w:before="120"/>
      <w:ind w:left="454" w:right="851" w:hanging="284"/>
      <w:contextualSpacing/>
    </w:pPr>
    <w:rPr>
      <w:rFonts w:ascii="Arial" w:hAnsi="Arial"/>
      <w:smallCaps/>
      <w:noProof/>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unhideWhenUsed/>
    <w:rsid w:val="00DC6260"/>
    <w:rPr>
      <w:color w:val="0000FF" w:themeColor="hyperlink"/>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F449CD"/>
    <w:pPr>
      <w:tabs>
        <w:tab w:val="right" w:leader="dot" w:pos="9639"/>
      </w:tabs>
      <w:spacing w:before="60" w:after="120"/>
    </w:pPr>
    <w:rPr>
      <w:rFonts w:ascii="Arial" w:hAnsi="Arial"/>
      <w:caps/>
      <w:noProof/>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6505F5"/>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FootnoteTextChar">
    <w:name w:val="Footnote Text Char"/>
    <w:basedOn w:val="DefaultParagraphFont"/>
    <w:link w:val="FootnoteText"/>
    <w:uiPriority w:val="99"/>
    <w:rsid w:val="004656D9"/>
    <w:rPr>
      <w:rFonts w:ascii="Arial" w:hAnsi="Arial"/>
      <w:sz w:val="16"/>
    </w:rPr>
  </w:style>
  <w:style w:type="character" w:customStyle="1" w:styleId="HeaderChar">
    <w:name w:val="Header Char"/>
    <w:basedOn w:val="DefaultParagraphFont"/>
    <w:link w:val="Header"/>
    <w:uiPriority w:val="99"/>
    <w:rsid w:val="00337523"/>
    <w:rPr>
      <w:rFonts w:ascii="Arial" w:hAnsi="Arial"/>
      <w:lang w:val="fr-FR"/>
    </w:rPr>
  </w:style>
  <w:style w:type="paragraph" w:customStyle="1" w:styleId="DecisionInvitingPara">
    <w:name w:val="Decision Inviting Para."/>
    <w:basedOn w:val="Normal"/>
    <w:rsid w:val="00554D3E"/>
    <w:pPr>
      <w:ind w:left="4536"/>
    </w:pPr>
    <w:rPr>
      <w:rFonts w:eastAsia="Times New Roman"/>
      <w:i/>
      <w:lang w:val="es-ES_tradnl"/>
    </w:rPr>
  </w:style>
  <w:style w:type="paragraph" w:customStyle="1" w:styleId="Style1">
    <w:name w:val="Style1"/>
    <w:basedOn w:val="Normal"/>
    <w:rsid w:val="00554D3E"/>
    <w:pPr>
      <w:tabs>
        <w:tab w:val="decimal" w:pos="907"/>
        <w:tab w:val="left" w:pos="1077"/>
      </w:tabs>
    </w:pPr>
    <w:rPr>
      <w:rFonts w:ascii="Times New Roman" w:eastAsia="Times New Roman" w:hAnsi="Times New Roman"/>
      <w:sz w:val="24"/>
      <w:szCs w:val="24"/>
      <w:lang w:eastAsia="ja-JP"/>
    </w:rPr>
  </w:style>
  <w:style w:type="paragraph" w:styleId="TOCHeading">
    <w:name w:val="TOC Heading"/>
    <w:basedOn w:val="Heading1"/>
    <w:next w:val="Normal"/>
    <w:uiPriority w:val="39"/>
    <w:unhideWhenUsed/>
    <w:qFormat/>
    <w:rsid w:val="003D27DD"/>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161066">
      <w:bodyDiv w:val="1"/>
      <w:marLeft w:val="0"/>
      <w:marRight w:val="0"/>
      <w:marTop w:val="0"/>
      <w:marBottom w:val="0"/>
      <w:divBdr>
        <w:top w:val="none" w:sz="0" w:space="0" w:color="auto"/>
        <w:left w:val="none" w:sz="0" w:space="0" w:color="auto"/>
        <w:bottom w:val="none" w:sz="0" w:space="0" w:color="auto"/>
        <w:right w:val="none" w:sz="0" w:space="0" w:color="auto"/>
      </w:divBdr>
    </w:div>
    <w:div w:id="1328166914">
      <w:bodyDiv w:val="1"/>
      <w:marLeft w:val="0"/>
      <w:marRight w:val="0"/>
      <w:marTop w:val="0"/>
      <w:marBottom w:val="0"/>
      <w:divBdr>
        <w:top w:val="none" w:sz="0" w:space="0" w:color="auto"/>
        <w:left w:val="none" w:sz="0" w:space="0" w:color="auto"/>
        <w:bottom w:val="none" w:sz="0" w:space="0" w:color="auto"/>
        <w:right w:val="none" w:sz="0" w:space="0" w:color="auto"/>
      </w:divBdr>
    </w:div>
    <w:div w:id="2139645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pov.int/about/de/faq/"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4AF9A-F35A-4582-8905-6A7ED7E5B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tc_50_EN.dotx</Template>
  <TotalTime>6</TotalTime>
  <Pages>10</Pages>
  <Words>3035</Words>
  <Characters>20830</Characters>
  <Application>Microsoft Office Word</Application>
  <DocSecurity>0</DocSecurity>
  <Lines>173</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tc_5_xx_xxx</vt:lpstr>
      <vt:lpstr>tc_5_xx_xxx</vt:lpstr>
    </vt:vector>
  </TitlesOfParts>
  <Company>UPOV</Company>
  <LinksUpToDate>false</LinksUpToDate>
  <CharactersWithSpaces>23818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SANCHEZ-VIZCAINO GOMEZ Rosa Maria</cp:lastModifiedBy>
  <cp:revision>5</cp:revision>
  <cp:lastPrinted>2015-03-17T11:34:00Z</cp:lastPrinted>
  <dcterms:created xsi:type="dcterms:W3CDTF">2015-03-17T11:27:00Z</dcterms:created>
  <dcterms:modified xsi:type="dcterms:W3CDTF">2015-03-17T11:38:00Z</dcterms:modified>
</cp:coreProperties>
</file>