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87226" w:rsidTr="00FB0D37">
        <w:trPr>
          <w:trHeight w:val="1760"/>
        </w:trPr>
        <w:tc>
          <w:tcPr>
            <w:tcW w:w="4243" w:type="dxa"/>
          </w:tcPr>
          <w:p w:rsidR="000D7780" w:rsidRPr="00987226" w:rsidRDefault="000D7780" w:rsidP="007D0B9D"/>
        </w:tc>
        <w:tc>
          <w:tcPr>
            <w:tcW w:w="1646" w:type="dxa"/>
            <w:vAlign w:val="center"/>
          </w:tcPr>
          <w:p w:rsidR="000D7780" w:rsidRPr="00987226" w:rsidRDefault="00110481" w:rsidP="00576BE4">
            <w:pPr>
              <w:pStyle w:val="LogoUPOV"/>
            </w:pPr>
            <w:r>
              <w:rPr>
                <w:noProof/>
                <w:lang w:val="en-US" w:eastAsia="en-US" w:bidi="ar-SA"/>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F0223" w:rsidRDefault="0024416D" w:rsidP="00576BE4">
            <w:pPr>
              <w:pStyle w:val="Lettrine"/>
            </w:pPr>
            <w:r w:rsidRPr="003F0223">
              <w:t>G</w:t>
            </w:r>
          </w:p>
          <w:p w:rsidR="000D7780" w:rsidRPr="003F0223" w:rsidRDefault="00F37961" w:rsidP="00474DA4">
            <w:pPr>
              <w:pStyle w:val="Docoriginal"/>
              <w:jc w:val="left"/>
            </w:pPr>
            <w:r w:rsidRPr="003F0223">
              <w:t>CAJ/69/</w:t>
            </w:r>
            <w:bookmarkStart w:id="0" w:name="Code"/>
            <w:bookmarkEnd w:id="0"/>
            <w:r w:rsidRPr="003F0223">
              <w:t>10</w:t>
            </w:r>
          </w:p>
          <w:p w:rsidR="000D7780" w:rsidRPr="003F0223" w:rsidRDefault="0061555F" w:rsidP="00474DA4">
            <w:pPr>
              <w:pStyle w:val="Docoriginal"/>
              <w:jc w:val="left"/>
            </w:pPr>
            <w:r w:rsidRPr="003F0223">
              <w:rPr>
                <w:rStyle w:val="StyleDoclangBold"/>
                <w:b/>
                <w:bCs/>
                <w:spacing w:val="0"/>
              </w:rPr>
              <w:t>ORIGINAL:</w:t>
            </w:r>
            <w:r w:rsidRPr="003F0223">
              <w:rPr>
                <w:rStyle w:val="StyleDocoriginalNotBold1"/>
                <w:spacing w:val="0"/>
              </w:rPr>
              <w:t xml:space="preserve"> </w:t>
            </w:r>
            <w:bookmarkStart w:id="1" w:name="Original"/>
            <w:bookmarkEnd w:id="1"/>
            <w:r w:rsidRPr="003F0223">
              <w:rPr>
                <w:b w:val="0"/>
                <w:spacing w:val="0"/>
              </w:rPr>
              <w:t>Englisch</w:t>
            </w:r>
          </w:p>
          <w:p w:rsidR="000D7780" w:rsidRPr="003F0223" w:rsidRDefault="000D7780" w:rsidP="003F0223">
            <w:pPr>
              <w:pStyle w:val="Docoriginal"/>
              <w:jc w:val="left"/>
              <w:rPr>
                <w:b w:val="0"/>
                <w:spacing w:val="0"/>
              </w:rPr>
            </w:pPr>
            <w:r w:rsidRPr="003F0223">
              <w:rPr>
                <w:spacing w:val="0"/>
              </w:rPr>
              <w:t>DATUM:</w:t>
            </w:r>
            <w:r w:rsidRPr="003F0223">
              <w:rPr>
                <w:b w:val="0"/>
                <w:spacing w:val="0"/>
              </w:rPr>
              <w:t xml:space="preserve"> </w:t>
            </w:r>
            <w:bookmarkStart w:id="2" w:name="Date"/>
            <w:bookmarkEnd w:id="2"/>
            <w:r w:rsidRPr="003F0223">
              <w:rPr>
                <w:rStyle w:val="StyleDocoriginalNotBold1"/>
                <w:spacing w:val="0"/>
              </w:rPr>
              <w:t>2</w:t>
            </w:r>
            <w:r w:rsidR="003F0223" w:rsidRPr="003F0223">
              <w:rPr>
                <w:rStyle w:val="StyleDocoriginalNotBold1"/>
                <w:spacing w:val="0"/>
              </w:rPr>
              <w:t>7</w:t>
            </w:r>
            <w:r w:rsidRPr="003F0223">
              <w:rPr>
                <w:rStyle w:val="StyleDocoriginalNotBold1"/>
                <w:spacing w:val="0"/>
              </w:rPr>
              <w:t>. Februar</w:t>
            </w:r>
            <w:r w:rsidRPr="003F0223">
              <w:rPr>
                <w:b w:val="0"/>
                <w:spacing w:val="0"/>
              </w:rPr>
              <w:t xml:space="preserve"> 2014</w:t>
            </w:r>
          </w:p>
        </w:tc>
      </w:tr>
      <w:tr w:rsidR="000D7780" w:rsidRPr="00987226" w:rsidTr="00FB0D37">
        <w:tc>
          <w:tcPr>
            <w:tcW w:w="10131" w:type="dxa"/>
            <w:gridSpan w:val="3"/>
          </w:tcPr>
          <w:p w:rsidR="000D7780" w:rsidRPr="00987226" w:rsidRDefault="0024416D" w:rsidP="0080679D">
            <w:pPr>
              <w:pStyle w:val="upove"/>
              <w:rPr>
                <w:sz w:val="28"/>
              </w:rPr>
            </w:pPr>
            <w:r>
              <w:t xml:space="preserve">INTERNATIONALER VERBAND ZUM SCHUTZ VON PFLANZENZÜCHTUNGEN </w:t>
            </w:r>
          </w:p>
        </w:tc>
      </w:tr>
      <w:tr w:rsidR="000D7780" w:rsidRPr="00987226" w:rsidTr="00FB0D37">
        <w:tc>
          <w:tcPr>
            <w:tcW w:w="10131" w:type="dxa"/>
            <w:gridSpan w:val="3"/>
          </w:tcPr>
          <w:p w:rsidR="000D7780" w:rsidRPr="00987226" w:rsidRDefault="00867AC1" w:rsidP="0080679D">
            <w:pPr>
              <w:pStyle w:val="Country"/>
            </w:pPr>
            <w:r>
              <w:t>Genf</w:t>
            </w:r>
          </w:p>
        </w:tc>
      </w:tr>
    </w:tbl>
    <w:p w:rsidR="000D7780" w:rsidRPr="00987226" w:rsidRDefault="00FB0D37" w:rsidP="0080679D">
      <w:pPr>
        <w:pStyle w:val="Sessiontc"/>
      </w:pPr>
      <w:r>
        <w:t>VERWALTUNGS- UND RECHTSAUSSCHUSS</w:t>
      </w:r>
    </w:p>
    <w:p w:rsidR="00361821" w:rsidRPr="00987226" w:rsidRDefault="00FB0D37" w:rsidP="0080679D">
      <w:pPr>
        <w:pStyle w:val="Sessiontcplacedate"/>
      </w:pPr>
      <w:r>
        <w:t>Neunundsechzigste Tagung</w:t>
      </w:r>
      <w:r>
        <w:br/>
        <w:t>Genf, 10. April 2014</w:t>
      </w:r>
    </w:p>
    <w:p w:rsidR="000D7780" w:rsidRPr="00987226" w:rsidRDefault="006529F6" w:rsidP="0080679D">
      <w:pPr>
        <w:pStyle w:val="Titleofdoc0"/>
      </w:pPr>
      <w:bookmarkStart w:id="3" w:name="TitleOfDoc"/>
      <w:bookmarkEnd w:id="3"/>
      <w:r>
        <w:rPr>
          <w:kern w:val="28"/>
        </w:rPr>
        <w:t xml:space="preserve">Vom </w:t>
      </w:r>
      <w:r w:rsidRPr="003F0223">
        <w:rPr>
          <w:i/>
          <w:kern w:val="28"/>
        </w:rPr>
        <w:t>INTERNATIONAL SEED FEDERATION</w:t>
      </w:r>
      <w:r>
        <w:rPr>
          <w:kern w:val="28"/>
        </w:rPr>
        <w:t xml:space="preserve"> (ISF) aufgeworfene Fragen</w:t>
      </w:r>
    </w:p>
    <w:p w:rsidR="000D7780" w:rsidRPr="00987226" w:rsidRDefault="003F0223" w:rsidP="0080679D">
      <w:pPr>
        <w:pStyle w:val="preparedby1"/>
      </w:pPr>
      <w:bookmarkStart w:id="4" w:name="Prepared"/>
      <w:bookmarkEnd w:id="4"/>
      <w:r>
        <w:t xml:space="preserve">vom </w:t>
      </w:r>
      <w:r w:rsidR="00AE0EF1">
        <w:t>Verbandsbüro erstelltes Dokument</w:t>
      </w:r>
      <w:r w:rsidR="00AE0EF1">
        <w:br/>
      </w:r>
      <w:r w:rsidR="00AE0EF1">
        <w:br/>
      </w:r>
      <w:r w:rsidR="00AE0EF1">
        <w:rPr>
          <w:color w:val="A6A6A6" w:themeColor="background1" w:themeShade="A6"/>
        </w:rPr>
        <w:t>Haftungsausschluß: dieses Dokument gibt nicht die Grundsätze oder eine Anleitung der UPOV wieder</w:t>
      </w:r>
    </w:p>
    <w:p w:rsidR="006C0E37" w:rsidRPr="00987226" w:rsidRDefault="00BA325E" w:rsidP="006C0E37">
      <w:r w:rsidRPr="00987226">
        <w:fldChar w:fldCharType="begin"/>
      </w:r>
      <w:r w:rsidR="006C0E37" w:rsidRPr="00987226">
        <w:instrText xml:space="preserve"> AUTONUM  </w:instrText>
      </w:r>
      <w:r w:rsidRPr="00987226">
        <w:fldChar w:fldCharType="end"/>
      </w:r>
      <w:r w:rsidR="00032D41">
        <w:tab/>
        <w:t xml:space="preserve">Zweck dieses Dokuments ist </w:t>
      </w:r>
      <w:r w:rsidR="00FF49CE">
        <w:t>es</w:t>
      </w:r>
      <w:r w:rsidR="00032D41">
        <w:t>:</w:t>
      </w:r>
    </w:p>
    <w:p w:rsidR="006C0E37" w:rsidRPr="00987226" w:rsidRDefault="006C0E37" w:rsidP="006C0E37"/>
    <w:p w:rsidR="00B60F56" w:rsidRDefault="00B60F56" w:rsidP="00B60F56">
      <w:pPr>
        <w:ind w:firstLine="567"/>
        <w:rPr>
          <w:rFonts w:cs="Arial"/>
        </w:rPr>
      </w:pPr>
      <w:r>
        <w:t>a)</w:t>
      </w:r>
      <w:r>
        <w:tab/>
        <w:t>Angelegenheiten</w:t>
      </w:r>
      <w:r w:rsidR="00282747">
        <w:t xml:space="preserve"> auszuführen</w:t>
      </w:r>
      <w:r>
        <w:t xml:space="preserve">, die vom Beratende Ausschuß auf seiner sechsundachtzigsten Tagung vom 23. und 24. Oktober 2013 in Genf </w:t>
      </w:r>
      <w:r w:rsidR="000D74FC">
        <w:t xml:space="preserve">ausgewiesen wurden, </w:t>
      </w:r>
      <w:r>
        <w:t xml:space="preserve">in bezug auf </w:t>
      </w:r>
      <w:r w:rsidR="000D74FC">
        <w:t xml:space="preserve">das Schreiben des </w:t>
      </w:r>
      <w:r w:rsidR="000D74FC">
        <w:rPr>
          <w:i/>
        </w:rPr>
        <w:t>International Seed Federation</w:t>
      </w:r>
      <w:r w:rsidR="000D74FC">
        <w:t xml:space="preserve"> (ISF) zum Thema </w:t>
      </w:r>
      <w:r w:rsidR="000D74FC" w:rsidRPr="000D74FC">
        <w:t>„Anträge, Prüfung und Erteilungsaspekte von Anträgen auf Erteilung von Züchterrechten“</w:t>
      </w:r>
      <w:r w:rsidR="000D74FC">
        <w:t xml:space="preserve"> (vergleiche Dokument C/47/15 Rev. „Bericht des Präsidenten über die Arbeiten der sechsundachtzigsten Tagung des Beratenden Ausschusses; gegebenenfalls Annahme von Empfehlungen, die dieser Ausschuß ausgearbeitet hat“, Absätze 62 bis 66) </w:t>
      </w:r>
      <w:r>
        <w:t>und den Verwaltungs- und Rechtsausschuß (CAJ) zu ersuchen, Vorschläge zu prüfen, wie diese Fragen mittels bestehender und künftiger UPOV-Informationsmateri</w:t>
      </w:r>
      <w:r w:rsidR="000D74FC">
        <w:t>alien angegangen werden könnten;</w:t>
      </w:r>
      <w:r>
        <w:t xml:space="preserve"> und</w:t>
      </w:r>
    </w:p>
    <w:p w:rsidR="00B60F56" w:rsidRPr="00987226" w:rsidRDefault="00B60F56" w:rsidP="00B60F56">
      <w:pPr>
        <w:ind w:firstLine="567"/>
        <w:rPr>
          <w:rFonts w:cs="Arial"/>
        </w:rPr>
      </w:pPr>
    </w:p>
    <w:p w:rsidR="006C0E37" w:rsidRDefault="00B60F56" w:rsidP="00B60F56">
      <w:pPr>
        <w:ind w:firstLine="567"/>
      </w:pPr>
      <w:r>
        <w:t>b)</w:t>
      </w:r>
      <w:r>
        <w:tab/>
        <w:t>den CAJ zu ersuchen, die Ausarbeitung von Dokument UPOV/INF/15 „Anleitung über die laufenden Verpflichtungen der Verbandsmitglieder und die damit verbundenen Notifizierungen und über die Erteilung von Auskünften zur Erleichterung der Zusammenarbeit“ zu einem Dachdokument zu prüfen, das Kernelemente für die Durchführung eines Sortenschutzsystems ausweisen und Links zu ausführlichen Informationsmaterialien bereitstellt.</w:t>
      </w:r>
    </w:p>
    <w:p w:rsidR="00117343" w:rsidRDefault="00117343">
      <w:pPr>
        <w:jc w:val="left"/>
      </w:pPr>
    </w:p>
    <w:p w:rsidR="000D74FC" w:rsidRDefault="000D74FC">
      <w:pPr>
        <w:jc w:val="left"/>
      </w:pPr>
    </w:p>
    <w:p w:rsidR="003F0223" w:rsidRDefault="003F0223">
      <w:pPr>
        <w:jc w:val="left"/>
      </w:pPr>
    </w:p>
    <w:p w:rsidR="00771553" w:rsidRDefault="007C0383" w:rsidP="003E42A5">
      <w:r>
        <w:t xml:space="preserve">INHALTSVERZEICHNIS </w:t>
      </w:r>
    </w:p>
    <w:p w:rsidR="00037D15" w:rsidRPr="00987226" w:rsidRDefault="00037D15" w:rsidP="00037D15">
      <w:pPr>
        <w:rPr>
          <w:kern w:val="28"/>
        </w:rPr>
      </w:pPr>
    </w:p>
    <w:p w:rsidR="00036D41" w:rsidRDefault="00BA325E">
      <w:pPr>
        <w:pStyle w:val="TOC1"/>
        <w:rPr>
          <w:rFonts w:asciiTheme="minorHAnsi" w:eastAsiaTheme="minorEastAsia" w:hAnsiTheme="minorHAnsi" w:cstheme="minorBidi"/>
          <w:caps w:val="0"/>
          <w:sz w:val="22"/>
          <w:szCs w:val="22"/>
          <w:lang w:val="en-US" w:eastAsia="en-US" w:bidi="ar-SA"/>
        </w:rPr>
      </w:pPr>
      <w:r w:rsidRPr="00987226">
        <w:rPr>
          <w:kern w:val="28"/>
        </w:rPr>
        <w:fldChar w:fldCharType="begin"/>
      </w:r>
      <w:r w:rsidR="007D04DE" w:rsidRPr="00987226">
        <w:rPr>
          <w:kern w:val="28"/>
        </w:rPr>
        <w:instrText xml:space="preserve"> TOC \o "1-3" \h \z \u </w:instrText>
      </w:r>
      <w:r w:rsidRPr="00987226">
        <w:rPr>
          <w:kern w:val="28"/>
        </w:rPr>
        <w:fldChar w:fldCharType="separate"/>
      </w:r>
      <w:hyperlink w:anchor="_Toc382820467" w:history="1">
        <w:r w:rsidR="00036D41" w:rsidRPr="004275EC">
          <w:rPr>
            <w:rStyle w:val="Hyperlink"/>
          </w:rPr>
          <w:t>HINTERGRUND</w:t>
        </w:r>
        <w:r w:rsidR="00036D41">
          <w:rPr>
            <w:webHidden/>
          </w:rPr>
          <w:tab/>
        </w:r>
        <w:r w:rsidR="00036D41">
          <w:rPr>
            <w:webHidden/>
          </w:rPr>
          <w:fldChar w:fldCharType="begin"/>
        </w:r>
        <w:r w:rsidR="00036D41">
          <w:rPr>
            <w:webHidden/>
          </w:rPr>
          <w:instrText xml:space="preserve"> PAGEREF _Toc382820467 \h </w:instrText>
        </w:r>
        <w:r w:rsidR="00036D41">
          <w:rPr>
            <w:webHidden/>
          </w:rPr>
        </w:r>
        <w:r w:rsidR="00036D41">
          <w:rPr>
            <w:webHidden/>
          </w:rPr>
          <w:fldChar w:fldCharType="separate"/>
        </w:r>
        <w:r w:rsidR="00036D41">
          <w:rPr>
            <w:webHidden/>
          </w:rPr>
          <w:t>2</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68" w:history="1">
        <w:r w:rsidR="00036D41" w:rsidRPr="004275EC">
          <w:rPr>
            <w:rStyle w:val="Hyperlink"/>
          </w:rPr>
          <w:t>I.</w:t>
        </w:r>
        <w:r w:rsidR="00036D41">
          <w:rPr>
            <w:rFonts w:asciiTheme="minorHAnsi" w:eastAsiaTheme="minorEastAsia" w:hAnsiTheme="minorHAnsi" w:cstheme="minorBidi"/>
            <w:caps w:val="0"/>
            <w:sz w:val="22"/>
            <w:szCs w:val="22"/>
            <w:lang w:val="en-US" w:eastAsia="en-US" w:bidi="ar-SA"/>
          </w:rPr>
          <w:tab/>
        </w:r>
        <w:r w:rsidR="00036D41" w:rsidRPr="004275EC">
          <w:rPr>
            <w:rStyle w:val="Hyperlink"/>
          </w:rPr>
          <w:t>Einzelne Angelegenheiten zuR prüfUNG DURCH DEN CAJ</w:t>
        </w:r>
        <w:r w:rsidR="00036D41">
          <w:rPr>
            <w:webHidden/>
          </w:rPr>
          <w:tab/>
        </w:r>
        <w:r w:rsidR="00036D41">
          <w:rPr>
            <w:webHidden/>
          </w:rPr>
          <w:fldChar w:fldCharType="begin"/>
        </w:r>
        <w:r w:rsidR="00036D41">
          <w:rPr>
            <w:webHidden/>
          </w:rPr>
          <w:instrText xml:space="preserve"> PAGEREF _Toc382820468 \h </w:instrText>
        </w:r>
        <w:r w:rsidR="00036D41">
          <w:rPr>
            <w:webHidden/>
          </w:rPr>
        </w:r>
        <w:r w:rsidR="00036D41">
          <w:rPr>
            <w:webHidden/>
          </w:rPr>
          <w:fldChar w:fldCharType="separate"/>
        </w:r>
        <w:r w:rsidR="00036D41">
          <w:rPr>
            <w:webHidden/>
          </w:rPr>
          <w:t>2</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69" w:history="1">
        <w:r w:rsidR="00036D41" w:rsidRPr="004275EC">
          <w:rPr>
            <w:rStyle w:val="Hyperlink"/>
          </w:rPr>
          <w:t>Antragszeitraum</w:t>
        </w:r>
        <w:r w:rsidR="00036D41">
          <w:rPr>
            <w:webHidden/>
          </w:rPr>
          <w:tab/>
        </w:r>
        <w:r w:rsidR="00036D41">
          <w:rPr>
            <w:webHidden/>
          </w:rPr>
          <w:fldChar w:fldCharType="begin"/>
        </w:r>
        <w:r w:rsidR="00036D41">
          <w:rPr>
            <w:webHidden/>
          </w:rPr>
          <w:instrText xml:space="preserve"> PAGEREF _Toc382820469 \h </w:instrText>
        </w:r>
        <w:r w:rsidR="00036D41">
          <w:rPr>
            <w:webHidden/>
          </w:rPr>
        </w:r>
        <w:r w:rsidR="00036D41">
          <w:rPr>
            <w:webHidden/>
          </w:rPr>
          <w:fldChar w:fldCharType="separate"/>
        </w:r>
        <w:r w:rsidR="00036D41">
          <w:rPr>
            <w:webHidden/>
          </w:rPr>
          <w:t>3</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70" w:history="1">
        <w:r w:rsidR="00036D41" w:rsidRPr="004275EC">
          <w:rPr>
            <w:rStyle w:val="Hyperlink"/>
          </w:rPr>
          <w:t>Zuchtformelinformation</w:t>
        </w:r>
        <w:r w:rsidR="00036D41">
          <w:rPr>
            <w:webHidden/>
          </w:rPr>
          <w:tab/>
        </w:r>
        <w:r w:rsidR="00036D41">
          <w:rPr>
            <w:webHidden/>
          </w:rPr>
          <w:fldChar w:fldCharType="begin"/>
        </w:r>
        <w:r w:rsidR="00036D41">
          <w:rPr>
            <w:webHidden/>
          </w:rPr>
          <w:instrText xml:space="preserve"> PAGEREF _Toc382820470 \h </w:instrText>
        </w:r>
        <w:r w:rsidR="00036D41">
          <w:rPr>
            <w:webHidden/>
          </w:rPr>
        </w:r>
        <w:r w:rsidR="00036D41">
          <w:rPr>
            <w:webHidden/>
          </w:rPr>
          <w:fldChar w:fldCharType="separate"/>
        </w:r>
        <w:r w:rsidR="00036D41">
          <w:rPr>
            <w:webHidden/>
          </w:rPr>
          <w:t>3</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71" w:history="1">
        <w:r w:rsidR="00036D41" w:rsidRPr="004275EC">
          <w:rPr>
            <w:rStyle w:val="Hyperlink"/>
          </w:rPr>
          <w:t>Elektronische Antragstellung</w:t>
        </w:r>
        <w:r w:rsidR="00036D41">
          <w:rPr>
            <w:webHidden/>
          </w:rPr>
          <w:tab/>
        </w:r>
        <w:r w:rsidR="00036D41">
          <w:rPr>
            <w:webHidden/>
          </w:rPr>
          <w:fldChar w:fldCharType="begin"/>
        </w:r>
        <w:r w:rsidR="00036D41">
          <w:rPr>
            <w:webHidden/>
          </w:rPr>
          <w:instrText xml:space="preserve"> PAGEREF _Toc382820471 \h </w:instrText>
        </w:r>
        <w:r w:rsidR="00036D41">
          <w:rPr>
            <w:webHidden/>
          </w:rPr>
        </w:r>
        <w:r w:rsidR="00036D41">
          <w:rPr>
            <w:webHidden/>
          </w:rPr>
          <w:fldChar w:fldCharType="separate"/>
        </w:r>
        <w:r w:rsidR="00036D41">
          <w:rPr>
            <w:webHidden/>
          </w:rPr>
          <w:t>4</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72" w:history="1">
        <w:r w:rsidR="00036D41" w:rsidRPr="004275EC">
          <w:rPr>
            <w:rStyle w:val="Hyperlink"/>
          </w:rPr>
          <w:t>Schriftwechsel</w:t>
        </w:r>
        <w:r w:rsidR="00036D41">
          <w:rPr>
            <w:webHidden/>
          </w:rPr>
          <w:tab/>
        </w:r>
        <w:r w:rsidR="00036D41">
          <w:rPr>
            <w:webHidden/>
          </w:rPr>
          <w:fldChar w:fldCharType="begin"/>
        </w:r>
        <w:r w:rsidR="00036D41">
          <w:rPr>
            <w:webHidden/>
          </w:rPr>
          <w:instrText xml:space="preserve"> PAGEREF _Toc382820472 \h </w:instrText>
        </w:r>
        <w:r w:rsidR="00036D41">
          <w:rPr>
            <w:webHidden/>
          </w:rPr>
        </w:r>
        <w:r w:rsidR="00036D41">
          <w:rPr>
            <w:webHidden/>
          </w:rPr>
          <w:fldChar w:fldCharType="separate"/>
        </w:r>
        <w:r w:rsidR="00036D41">
          <w:rPr>
            <w:webHidden/>
          </w:rPr>
          <w:t>5</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73" w:history="1">
        <w:r w:rsidR="00036D41" w:rsidRPr="004275EC">
          <w:rPr>
            <w:rStyle w:val="Hyperlink"/>
          </w:rPr>
          <w:t>Material</w:t>
        </w:r>
        <w:r w:rsidR="00036D41">
          <w:rPr>
            <w:webHidden/>
          </w:rPr>
          <w:tab/>
        </w:r>
        <w:r w:rsidR="00036D41">
          <w:rPr>
            <w:webHidden/>
          </w:rPr>
          <w:fldChar w:fldCharType="begin"/>
        </w:r>
        <w:r w:rsidR="00036D41">
          <w:rPr>
            <w:webHidden/>
          </w:rPr>
          <w:instrText xml:space="preserve"> PAGEREF _Toc382820473 \h </w:instrText>
        </w:r>
        <w:r w:rsidR="00036D41">
          <w:rPr>
            <w:webHidden/>
          </w:rPr>
        </w:r>
        <w:r w:rsidR="00036D41">
          <w:rPr>
            <w:webHidden/>
          </w:rPr>
          <w:fldChar w:fldCharType="separate"/>
        </w:r>
        <w:r w:rsidR="00036D41">
          <w:rPr>
            <w:webHidden/>
          </w:rPr>
          <w:t>6</w:t>
        </w:r>
        <w:r w:rsidR="00036D41">
          <w:rPr>
            <w:webHidden/>
          </w:rPr>
          <w:fldChar w:fldCharType="end"/>
        </w:r>
      </w:hyperlink>
    </w:p>
    <w:p w:rsidR="00036D41" w:rsidRDefault="000807BA">
      <w:pPr>
        <w:pStyle w:val="TOC3"/>
        <w:rPr>
          <w:rFonts w:asciiTheme="minorHAnsi" w:eastAsiaTheme="minorEastAsia" w:hAnsiTheme="minorHAnsi" w:cstheme="minorBidi"/>
          <w:i w:val="0"/>
          <w:sz w:val="22"/>
          <w:szCs w:val="22"/>
          <w:lang w:val="en-US" w:eastAsia="en-US" w:bidi="ar-SA"/>
        </w:rPr>
      </w:pPr>
      <w:hyperlink w:anchor="_Toc382820474" w:history="1">
        <w:r w:rsidR="00036D41" w:rsidRPr="004275EC">
          <w:rPr>
            <w:rStyle w:val="Hyperlink"/>
          </w:rPr>
          <w:t>a)</w:t>
        </w:r>
        <w:r w:rsidR="00036D41">
          <w:rPr>
            <w:rFonts w:asciiTheme="minorHAnsi" w:eastAsiaTheme="minorEastAsia" w:hAnsiTheme="minorHAnsi" w:cstheme="minorBidi"/>
            <w:i w:val="0"/>
            <w:sz w:val="22"/>
            <w:szCs w:val="22"/>
            <w:lang w:val="en-US" w:eastAsia="en-US" w:bidi="ar-SA"/>
          </w:rPr>
          <w:tab/>
        </w:r>
        <w:r w:rsidR="00036D41" w:rsidRPr="004275EC">
          <w:rPr>
            <w:rStyle w:val="Hyperlink"/>
          </w:rPr>
          <w:t>Zugang zu Elternlinien für Anträge betreffend Hybridsorten</w:t>
        </w:r>
        <w:r w:rsidR="00036D41">
          <w:rPr>
            <w:webHidden/>
          </w:rPr>
          <w:tab/>
        </w:r>
        <w:r w:rsidR="00036D41">
          <w:rPr>
            <w:webHidden/>
          </w:rPr>
          <w:fldChar w:fldCharType="begin"/>
        </w:r>
        <w:r w:rsidR="00036D41">
          <w:rPr>
            <w:webHidden/>
          </w:rPr>
          <w:instrText xml:space="preserve"> PAGEREF _Toc382820474 \h </w:instrText>
        </w:r>
        <w:r w:rsidR="00036D41">
          <w:rPr>
            <w:webHidden/>
          </w:rPr>
        </w:r>
        <w:r w:rsidR="00036D41">
          <w:rPr>
            <w:webHidden/>
          </w:rPr>
          <w:fldChar w:fldCharType="separate"/>
        </w:r>
        <w:r w:rsidR="00036D41">
          <w:rPr>
            <w:webHidden/>
          </w:rPr>
          <w:t>6</w:t>
        </w:r>
        <w:r w:rsidR="00036D41">
          <w:rPr>
            <w:webHidden/>
          </w:rPr>
          <w:fldChar w:fldCharType="end"/>
        </w:r>
      </w:hyperlink>
    </w:p>
    <w:p w:rsidR="00036D41" w:rsidRDefault="000807BA">
      <w:pPr>
        <w:pStyle w:val="TOC3"/>
        <w:rPr>
          <w:rFonts w:asciiTheme="minorHAnsi" w:eastAsiaTheme="minorEastAsia" w:hAnsiTheme="minorHAnsi" w:cstheme="minorBidi"/>
          <w:i w:val="0"/>
          <w:sz w:val="22"/>
          <w:szCs w:val="22"/>
          <w:lang w:val="en-US" w:eastAsia="en-US" w:bidi="ar-SA"/>
        </w:rPr>
      </w:pPr>
      <w:hyperlink w:anchor="_Toc382820475" w:history="1">
        <w:r w:rsidR="00036D41" w:rsidRPr="004275EC">
          <w:rPr>
            <w:rStyle w:val="Hyperlink"/>
          </w:rPr>
          <w:t>b)</w:t>
        </w:r>
        <w:r w:rsidR="00036D41">
          <w:rPr>
            <w:rFonts w:asciiTheme="minorHAnsi" w:eastAsiaTheme="minorEastAsia" w:hAnsiTheme="minorHAnsi" w:cstheme="minorBidi"/>
            <w:i w:val="0"/>
            <w:sz w:val="22"/>
            <w:szCs w:val="22"/>
            <w:lang w:val="en-US" w:eastAsia="en-US" w:bidi="ar-SA"/>
          </w:rPr>
          <w:tab/>
        </w:r>
        <w:r w:rsidR="00036D41" w:rsidRPr="004275EC">
          <w:rPr>
            <w:rStyle w:val="Hyperlink"/>
          </w:rPr>
          <w:t>Verfügbarkeit und Austausch von Material</w:t>
        </w:r>
        <w:r w:rsidR="00036D41">
          <w:rPr>
            <w:webHidden/>
          </w:rPr>
          <w:tab/>
        </w:r>
        <w:r w:rsidR="00036D41">
          <w:rPr>
            <w:webHidden/>
          </w:rPr>
          <w:fldChar w:fldCharType="begin"/>
        </w:r>
        <w:r w:rsidR="00036D41">
          <w:rPr>
            <w:webHidden/>
          </w:rPr>
          <w:instrText xml:space="preserve"> PAGEREF _Toc382820475 \h </w:instrText>
        </w:r>
        <w:r w:rsidR="00036D41">
          <w:rPr>
            <w:webHidden/>
          </w:rPr>
        </w:r>
        <w:r w:rsidR="00036D41">
          <w:rPr>
            <w:webHidden/>
          </w:rPr>
          <w:fldChar w:fldCharType="separate"/>
        </w:r>
        <w:r w:rsidR="00036D41">
          <w:rPr>
            <w:webHidden/>
          </w:rPr>
          <w:t>8</w:t>
        </w:r>
        <w:r w:rsidR="00036D41">
          <w:rPr>
            <w:webHidden/>
          </w:rPr>
          <w:fldChar w:fldCharType="end"/>
        </w:r>
      </w:hyperlink>
    </w:p>
    <w:p w:rsidR="00036D41" w:rsidRDefault="000807BA">
      <w:pPr>
        <w:pStyle w:val="TOC3"/>
        <w:rPr>
          <w:rFonts w:asciiTheme="minorHAnsi" w:eastAsiaTheme="minorEastAsia" w:hAnsiTheme="minorHAnsi" w:cstheme="minorBidi"/>
          <w:i w:val="0"/>
          <w:sz w:val="22"/>
          <w:szCs w:val="22"/>
          <w:lang w:val="en-US" w:eastAsia="en-US" w:bidi="ar-SA"/>
        </w:rPr>
      </w:pPr>
      <w:hyperlink w:anchor="_Toc382820476" w:history="1">
        <w:r w:rsidR="00036D41" w:rsidRPr="004275EC">
          <w:rPr>
            <w:rStyle w:val="Hyperlink"/>
          </w:rPr>
          <w:t>c)</w:t>
        </w:r>
        <w:r w:rsidR="00036D41">
          <w:rPr>
            <w:rFonts w:asciiTheme="minorHAnsi" w:eastAsiaTheme="minorEastAsia" w:hAnsiTheme="minorHAnsi" w:cstheme="minorBidi"/>
            <w:i w:val="0"/>
            <w:sz w:val="22"/>
            <w:szCs w:val="22"/>
            <w:lang w:val="en-US" w:eastAsia="en-US" w:bidi="ar-SA"/>
          </w:rPr>
          <w:tab/>
        </w:r>
        <w:r w:rsidR="00036D41" w:rsidRPr="004275EC">
          <w:rPr>
            <w:rStyle w:val="Hyperlink"/>
          </w:rPr>
          <w:t>vertrauliche Behandlung des Materials des Antragstellers in Fällen, in denen die für das Sortenschutz-Prüfungsverfahren zuständigen Einrichtungen selbst Sorten der gleichen Art züchten wie die Antragsteller</w:t>
        </w:r>
        <w:r w:rsidR="00036D41">
          <w:rPr>
            <w:webHidden/>
          </w:rPr>
          <w:tab/>
        </w:r>
        <w:r w:rsidR="00036D41">
          <w:rPr>
            <w:webHidden/>
          </w:rPr>
          <w:fldChar w:fldCharType="begin"/>
        </w:r>
        <w:r w:rsidR="00036D41">
          <w:rPr>
            <w:webHidden/>
          </w:rPr>
          <w:instrText xml:space="preserve"> PAGEREF _Toc382820476 \h </w:instrText>
        </w:r>
        <w:r w:rsidR="00036D41">
          <w:rPr>
            <w:webHidden/>
          </w:rPr>
        </w:r>
        <w:r w:rsidR="00036D41">
          <w:rPr>
            <w:webHidden/>
          </w:rPr>
          <w:fldChar w:fldCharType="separate"/>
        </w:r>
        <w:r w:rsidR="00036D41">
          <w:rPr>
            <w:webHidden/>
          </w:rPr>
          <w:t>9</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77" w:history="1">
        <w:r w:rsidR="00036D41" w:rsidRPr="004275EC">
          <w:rPr>
            <w:rStyle w:val="Hyperlink"/>
          </w:rPr>
          <w:t>Häufigkeit der Einreichung von Daten und Vollständigkeit der Datenbanken</w:t>
        </w:r>
        <w:r w:rsidR="00036D41">
          <w:rPr>
            <w:webHidden/>
          </w:rPr>
          <w:tab/>
        </w:r>
        <w:r w:rsidR="00036D41">
          <w:rPr>
            <w:webHidden/>
          </w:rPr>
          <w:fldChar w:fldCharType="begin"/>
        </w:r>
        <w:r w:rsidR="00036D41">
          <w:rPr>
            <w:webHidden/>
          </w:rPr>
          <w:instrText xml:space="preserve"> PAGEREF _Toc382820477 \h </w:instrText>
        </w:r>
        <w:r w:rsidR="00036D41">
          <w:rPr>
            <w:webHidden/>
          </w:rPr>
        </w:r>
        <w:r w:rsidR="00036D41">
          <w:rPr>
            <w:webHidden/>
          </w:rPr>
          <w:fldChar w:fldCharType="separate"/>
        </w:r>
        <w:r w:rsidR="00036D41">
          <w:rPr>
            <w:webHidden/>
          </w:rPr>
          <w:t>9</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78" w:history="1">
        <w:r w:rsidR="00036D41" w:rsidRPr="004275EC">
          <w:rPr>
            <w:rStyle w:val="Hyperlink"/>
          </w:rPr>
          <w:t>Bezeichnungsvorschriften</w:t>
        </w:r>
        <w:r w:rsidR="00036D41">
          <w:rPr>
            <w:webHidden/>
          </w:rPr>
          <w:tab/>
        </w:r>
        <w:r w:rsidR="00036D41">
          <w:rPr>
            <w:webHidden/>
          </w:rPr>
          <w:fldChar w:fldCharType="begin"/>
        </w:r>
        <w:r w:rsidR="00036D41">
          <w:rPr>
            <w:webHidden/>
          </w:rPr>
          <w:instrText xml:space="preserve"> PAGEREF _Toc382820478 \h </w:instrText>
        </w:r>
        <w:r w:rsidR="00036D41">
          <w:rPr>
            <w:webHidden/>
          </w:rPr>
        </w:r>
        <w:r w:rsidR="00036D41">
          <w:rPr>
            <w:webHidden/>
          </w:rPr>
          <w:fldChar w:fldCharType="separate"/>
        </w:r>
        <w:r w:rsidR="00036D41">
          <w:rPr>
            <w:webHidden/>
          </w:rPr>
          <w:t>11</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79" w:history="1">
        <w:r w:rsidR="00036D41" w:rsidRPr="004275EC">
          <w:rPr>
            <w:rStyle w:val="Hyperlink"/>
          </w:rPr>
          <w:t>II.</w:t>
        </w:r>
        <w:r w:rsidR="00036D41">
          <w:rPr>
            <w:rFonts w:asciiTheme="minorHAnsi" w:eastAsiaTheme="minorEastAsia" w:hAnsiTheme="minorHAnsi" w:cstheme="minorBidi"/>
            <w:caps w:val="0"/>
            <w:sz w:val="22"/>
            <w:szCs w:val="22"/>
            <w:lang w:val="en-US" w:eastAsia="en-US" w:bidi="ar-SA"/>
          </w:rPr>
          <w:tab/>
        </w:r>
        <w:r w:rsidR="00036D41" w:rsidRPr="004275EC">
          <w:rPr>
            <w:rStyle w:val="Hyperlink"/>
          </w:rPr>
          <w:t>DACHDOKUMENT UPOV/INF/15 „Anleitung über die laufenden Verpflichtungen der Verbandsmitglieder und die damit verbundenen Notifizierungen und über die Erteilung von Auskünften zur Erleichterung der Zusammenarbeit“</w:t>
        </w:r>
        <w:r w:rsidR="00036D41">
          <w:rPr>
            <w:webHidden/>
          </w:rPr>
          <w:tab/>
        </w:r>
        <w:r w:rsidR="00036D41">
          <w:rPr>
            <w:webHidden/>
          </w:rPr>
          <w:fldChar w:fldCharType="begin"/>
        </w:r>
        <w:r w:rsidR="00036D41">
          <w:rPr>
            <w:webHidden/>
          </w:rPr>
          <w:instrText xml:space="preserve"> PAGEREF _Toc382820479 \h </w:instrText>
        </w:r>
        <w:r w:rsidR="00036D41">
          <w:rPr>
            <w:webHidden/>
          </w:rPr>
        </w:r>
        <w:r w:rsidR="00036D41">
          <w:rPr>
            <w:webHidden/>
          </w:rPr>
          <w:fldChar w:fldCharType="separate"/>
        </w:r>
        <w:r w:rsidR="00036D41">
          <w:rPr>
            <w:webHidden/>
          </w:rPr>
          <w:t>11</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80" w:history="1">
        <w:r w:rsidR="00036D41" w:rsidRPr="004275EC">
          <w:rPr>
            <w:rStyle w:val="Hyperlink"/>
          </w:rPr>
          <w:t>EINFÜHRUNG</w:t>
        </w:r>
        <w:r w:rsidR="00036D41">
          <w:rPr>
            <w:webHidden/>
          </w:rPr>
          <w:tab/>
        </w:r>
        <w:r w:rsidR="00036D41">
          <w:rPr>
            <w:webHidden/>
          </w:rPr>
          <w:fldChar w:fldCharType="begin"/>
        </w:r>
        <w:r w:rsidR="00036D41">
          <w:rPr>
            <w:webHidden/>
          </w:rPr>
          <w:instrText xml:space="preserve"> PAGEREF _Toc382820480 \h </w:instrText>
        </w:r>
        <w:r w:rsidR="00036D41">
          <w:rPr>
            <w:webHidden/>
          </w:rPr>
        </w:r>
        <w:r w:rsidR="00036D41">
          <w:rPr>
            <w:webHidden/>
          </w:rPr>
          <w:fldChar w:fldCharType="separate"/>
        </w:r>
        <w:r w:rsidR="00036D41">
          <w:rPr>
            <w:webHidden/>
          </w:rPr>
          <w:t>2</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81" w:history="1">
        <w:r w:rsidR="00036D41" w:rsidRPr="004275EC">
          <w:rPr>
            <w:rStyle w:val="Hyperlink"/>
          </w:rPr>
          <w:t>ERRICHTuNg EINES ZÜCHTERRECHTSAMTES</w:t>
        </w:r>
        <w:r w:rsidR="00036D41">
          <w:rPr>
            <w:webHidden/>
          </w:rPr>
          <w:tab/>
        </w:r>
        <w:r w:rsidR="00036D41">
          <w:rPr>
            <w:webHidden/>
          </w:rPr>
          <w:fldChar w:fldCharType="begin"/>
        </w:r>
        <w:r w:rsidR="00036D41">
          <w:rPr>
            <w:webHidden/>
          </w:rPr>
          <w:instrText xml:space="preserve"> PAGEREF _Toc382820481 \h </w:instrText>
        </w:r>
        <w:r w:rsidR="00036D41">
          <w:rPr>
            <w:webHidden/>
          </w:rPr>
        </w:r>
        <w:r w:rsidR="00036D41">
          <w:rPr>
            <w:webHidden/>
          </w:rPr>
          <w:fldChar w:fldCharType="separate"/>
        </w:r>
        <w:r w:rsidR="00036D41">
          <w:rPr>
            <w:webHidden/>
          </w:rPr>
          <w:t>3</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82" w:history="1">
        <w:r w:rsidR="00036D41" w:rsidRPr="004275EC">
          <w:rPr>
            <w:rStyle w:val="Hyperlink"/>
          </w:rPr>
          <w:t>FunKTionEN Und AUFBAU EINES ZÜCHTERRECHTSAMTES</w:t>
        </w:r>
        <w:r w:rsidR="00036D41">
          <w:rPr>
            <w:webHidden/>
          </w:rPr>
          <w:tab/>
        </w:r>
        <w:r w:rsidR="00036D41">
          <w:rPr>
            <w:webHidden/>
          </w:rPr>
          <w:fldChar w:fldCharType="begin"/>
        </w:r>
        <w:r w:rsidR="00036D41">
          <w:rPr>
            <w:webHidden/>
          </w:rPr>
          <w:instrText xml:space="preserve"> PAGEREF _Toc382820482 \h </w:instrText>
        </w:r>
        <w:r w:rsidR="00036D41">
          <w:rPr>
            <w:webHidden/>
          </w:rPr>
        </w:r>
        <w:r w:rsidR="00036D41">
          <w:rPr>
            <w:webHidden/>
          </w:rPr>
          <w:fldChar w:fldCharType="separate"/>
        </w:r>
        <w:r w:rsidR="00036D41">
          <w:rPr>
            <w:webHidden/>
          </w:rPr>
          <w:t>3</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83" w:history="1">
        <w:r w:rsidR="00036D41" w:rsidRPr="004275EC">
          <w:rPr>
            <w:rStyle w:val="Hyperlink"/>
          </w:rPr>
          <w:t>ANTRAG AUF ERTEILUNG VON ZÜCHTERRECHTEN</w:t>
        </w:r>
        <w:r w:rsidR="00036D41">
          <w:rPr>
            <w:webHidden/>
          </w:rPr>
          <w:tab/>
        </w:r>
        <w:r w:rsidR="00036D41">
          <w:rPr>
            <w:webHidden/>
          </w:rPr>
          <w:fldChar w:fldCharType="begin"/>
        </w:r>
        <w:r w:rsidR="00036D41">
          <w:rPr>
            <w:webHidden/>
          </w:rPr>
          <w:instrText xml:space="preserve"> PAGEREF _Toc382820483 \h </w:instrText>
        </w:r>
        <w:r w:rsidR="00036D41">
          <w:rPr>
            <w:webHidden/>
          </w:rPr>
        </w:r>
        <w:r w:rsidR="00036D41">
          <w:rPr>
            <w:webHidden/>
          </w:rPr>
          <w:fldChar w:fldCharType="separate"/>
        </w:r>
        <w:r w:rsidR="00036D41">
          <w:rPr>
            <w:webHidden/>
          </w:rPr>
          <w:t>6</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84" w:history="1">
        <w:r w:rsidR="00036D41" w:rsidRPr="004275EC">
          <w:rPr>
            <w:rStyle w:val="Hyperlink"/>
          </w:rPr>
          <w:t>Einführung</w:t>
        </w:r>
        <w:r w:rsidR="00036D41">
          <w:rPr>
            <w:webHidden/>
          </w:rPr>
          <w:tab/>
        </w:r>
        <w:r w:rsidR="00036D41">
          <w:rPr>
            <w:webHidden/>
          </w:rPr>
          <w:fldChar w:fldCharType="begin"/>
        </w:r>
        <w:r w:rsidR="00036D41">
          <w:rPr>
            <w:webHidden/>
          </w:rPr>
          <w:instrText xml:space="preserve"> PAGEREF _Toc382820484 \h </w:instrText>
        </w:r>
        <w:r w:rsidR="00036D41">
          <w:rPr>
            <w:webHidden/>
          </w:rPr>
        </w:r>
        <w:r w:rsidR="00036D41">
          <w:rPr>
            <w:webHidden/>
          </w:rPr>
          <w:fldChar w:fldCharType="separate"/>
        </w:r>
        <w:r w:rsidR="00036D41">
          <w:rPr>
            <w:webHidden/>
          </w:rPr>
          <w:t>6</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85" w:history="1">
        <w:r w:rsidR="00036D41" w:rsidRPr="004275EC">
          <w:rPr>
            <w:rStyle w:val="Hyperlink"/>
          </w:rPr>
          <w:t>Erarbeitung von Formblättern</w:t>
        </w:r>
        <w:r w:rsidR="00036D41">
          <w:rPr>
            <w:webHidden/>
          </w:rPr>
          <w:tab/>
        </w:r>
        <w:r w:rsidR="00036D41">
          <w:rPr>
            <w:webHidden/>
          </w:rPr>
          <w:fldChar w:fldCharType="begin"/>
        </w:r>
        <w:r w:rsidR="00036D41">
          <w:rPr>
            <w:webHidden/>
          </w:rPr>
          <w:instrText xml:space="preserve"> PAGEREF _Toc382820485 \h </w:instrText>
        </w:r>
        <w:r w:rsidR="00036D41">
          <w:rPr>
            <w:webHidden/>
          </w:rPr>
        </w:r>
        <w:r w:rsidR="00036D41">
          <w:rPr>
            <w:webHidden/>
          </w:rPr>
          <w:fldChar w:fldCharType="separate"/>
        </w:r>
        <w:r w:rsidR="00036D41">
          <w:rPr>
            <w:webHidden/>
          </w:rPr>
          <w:t>6</w:t>
        </w:r>
        <w:r w:rsidR="00036D41">
          <w:rPr>
            <w:webHidden/>
          </w:rPr>
          <w:fldChar w:fldCharType="end"/>
        </w:r>
      </w:hyperlink>
    </w:p>
    <w:p w:rsidR="00036D41" w:rsidRDefault="000807BA">
      <w:pPr>
        <w:pStyle w:val="TOC3"/>
        <w:rPr>
          <w:rFonts w:asciiTheme="minorHAnsi" w:eastAsiaTheme="minorEastAsia" w:hAnsiTheme="minorHAnsi" w:cstheme="minorBidi"/>
          <w:i w:val="0"/>
          <w:sz w:val="22"/>
          <w:szCs w:val="22"/>
          <w:lang w:val="en-US" w:eastAsia="en-US" w:bidi="ar-SA"/>
        </w:rPr>
      </w:pPr>
      <w:hyperlink w:anchor="_Toc382820486" w:history="1">
        <w:r w:rsidR="00036D41" w:rsidRPr="004275EC">
          <w:rPr>
            <w:rStyle w:val="Hyperlink"/>
          </w:rPr>
          <w:t>UPOV-Musterantragsformblatt</w:t>
        </w:r>
        <w:r w:rsidR="00036D41">
          <w:rPr>
            <w:webHidden/>
          </w:rPr>
          <w:tab/>
        </w:r>
        <w:r w:rsidR="00036D41">
          <w:rPr>
            <w:webHidden/>
          </w:rPr>
          <w:fldChar w:fldCharType="begin"/>
        </w:r>
        <w:r w:rsidR="00036D41">
          <w:rPr>
            <w:webHidden/>
          </w:rPr>
          <w:instrText xml:space="preserve"> PAGEREF _Toc382820486 \h </w:instrText>
        </w:r>
        <w:r w:rsidR="00036D41">
          <w:rPr>
            <w:webHidden/>
          </w:rPr>
        </w:r>
        <w:r w:rsidR="00036D41">
          <w:rPr>
            <w:webHidden/>
          </w:rPr>
          <w:fldChar w:fldCharType="separate"/>
        </w:r>
        <w:r w:rsidR="00036D41">
          <w:rPr>
            <w:webHidden/>
          </w:rPr>
          <w:t>6</w:t>
        </w:r>
        <w:r w:rsidR="00036D41">
          <w:rPr>
            <w:webHidden/>
          </w:rPr>
          <w:fldChar w:fldCharType="end"/>
        </w:r>
      </w:hyperlink>
    </w:p>
    <w:p w:rsidR="00036D41" w:rsidRDefault="000807BA">
      <w:pPr>
        <w:pStyle w:val="TOC3"/>
        <w:rPr>
          <w:rFonts w:asciiTheme="minorHAnsi" w:eastAsiaTheme="minorEastAsia" w:hAnsiTheme="minorHAnsi" w:cstheme="minorBidi"/>
          <w:i w:val="0"/>
          <w:sz w:val="22"/>
          <w:szCs w:val="22"/>
          <w:lang w:val="en-US" w:eastAsia="en-US" w:bidi="ar-SA"/>
        </w:rPr>
      </w:pPr>
      <w:hyperlink w:anchor="_Toc382820487" w:history="1">
        <w:r w:rsidR="00036D41" w:rsidRPr="004275EC">
          <w:rPr>
            <w:rStyle w:val="Hyperlink"/>
          </w:rPr>
          <w:t>Technischer Fragebogen</w:t>
        </w:r>
        <w:r w:rsidR="00036D41">
          <w:rPr>
            <w:webHidden/>
          </w:rPr>
          <w:tab/>
        </w:r>
        <w:r w:rsidR="00036D41">
          <w:rPr>
            <w:webHidden/>
          </w:rPr>
          <w:fldChar w:fldCharType="begin"/>
        </w:r>
        <w:r w:rsidR="00036D41">
          <w:rPr>
            <w:webHidden/>
          </w:rPr>
          <w:instrText xml:space="preserve"> PAGEREF _Toc382820487 \h </w:instrText>
        </w:r>
        <w:r w:rsidR="00036D41">
          <w:rPr>
            <w:webHidden/>
          </w:rPr>
        </w:r>
        <w:r w:rsidR="00036D41">
          <w:rPr>
            <w:webHidden/>
          </w:rPr>
          <w:fldChar w:fldCharType="separate"/>
        </w:r>
        <w:r w:rsidR="00036D41">
          <w:rPr>
            <w:webHidden/>
          </w:rPr>
          <w:t>8</w:t>
        </w:r>
        <w:r w:rsidR="00036D41">
          <w:rPr>
            <w:webHidden/>
          </w:rPr>
          <w:fldChar w:fldCharType="end"/>
        </w:r>
      </w:hyperlink>
    </w:p>
    <w:p w:rsidR="00036D41" w:rsidRDefault="000807BA">
      <w:pPr>
        <w:pStyle w:val="TOC3"/>
        <w:rPr>
          <w:rFonts w:asciiTheme="minorHAnsi" w:eastAsiaTheme="minorEastAsia" w:hAnsiTheme="minorHAnsi" w:cstheme="minorBidi"/>
          <w:i w:val="0"/>
          <w:sz w:val="22"/>
          <w:szCs w:val="22"/>
          <w:lang w:val="en-US" w:eastAsia="en-US" w:bidi="ar-SA"/>
        </w:rPr>
      </w:pPr>
      <w:hyperlink w:anchor="_Toc382820488" w:history="1">
        <w:r w:rsidR="00036D41" w:rsidRPr="004275EC">
          <w:rPr>
            <w:rStyle w:val="Hyperlink"/>
          </w:rPr>
          <w:t>Sortenprobe</w:t>
        </w:r>
        <w:r w:rsidR="00036D41">
          <w:rPr>
            <w:webHidden/>
          </w:rPr>
          <w:tab/>
        </w:r>
        <w:r w:rsidR="00036D41">
          <w:rPr>
            <w:webHidden/>
          </w:rPr>
          <w:fldChar w:fldCharType="begin"/>
        </w:r>
        <w:r w:rsidR="00036D41">
          <w:rPr>
            <w:webHidden/>
          </w:rPr>
          <w:instrText xml:space="preserve"> PAGEREF _Toc382820488 \h </w:instrText>
        </w:r>
        <w:r w:rsidR="00036D41">
          <w:rPr>
            <w:webHidden/>
          </w:rPr>
        </w:r>
        <w:r w:rsidR="00036D41">
          <w:rPr>
            <w:webHidden/>
          </w:rPr>
          <w:fldChar w:fldCharType="separate"/>
        </w:r>
        <w:r w:rsidR="00036D41">
          <w:rPr>
            <w:webHidden/>
          </w:rPr>
          <w:t>8</w:t>
        </w:r>
        <w:r w:rsidR="00036D41">
          <w:rPr>
            <w:webHidden/>
          </w:rPr>
          <w:fldChar w:fldCharType="end"/>
        </w:r>
      </w:hyperlink>
    </w:p>
    <w:p w:rsidR="00036D41" w:rsidRDefault="000807BA">
      <w:pPr>
        <w:pStyle w:val="TOC2"/>
        <w:rPr>
          <w:rFonts w:asciiTheme="minorHAnsi" w:eastAsiaTheme="minorEastAsia" w:hAnsiTheme="minorHAnsi" w:cstheme="minorBidi"/>
          <w:sz w:val="22"/>
          <w:szCs w:val="22"/>
          <w:lang w:val="en-US" w:eastAsia="en-US" w:bidi="ar-SA"/>
        </w:rPr>
      </w:pPr>
      <w:hyperlink w:anchor="_Toc382820489" w:history="1">
        <w:r w:rsidR="00036D41" w:rsidRPr="004275EC">
          <w:rPr>
            <w:rStyle w:val="Hyperlink"/>
          </w:rPr>
          <w:t>Zuweisung des Datums für die Einreichung</w:t>
        </w:r>
        <w:r w:rsidR="00036D41">
          <w:rPr>
            <w:webHidden/>
          </w:rPr>
          <w:tab/>
        </w:r>
        <w:r w:rsidR="00036D41">
          <w:rPr>
            <w:webHidden/>
          </w:rPr>
          <w:fldChar w:fldCharType="begin"/>
        </w:r>
        <w:r w:rsidR="00036D41">
          <w:rPr>
            <w:webHidden/>
          </w:rPr>
          <w:instrText xml:space="preserve"> PAGEREF _Toc382820489 \h </w:instrText>
        </w:r>
        <w:r w:rsidR="00036D41">
          <w:rPr>
            <w:webHidden/>
          </w:rPr>
        </w:r>
        <w:r w:rsidR="00036D41">
          <w:rPr>
            <w:webHidden/>
          </w:rPr>
          <w:fldChar w:fldCharType="separate"/>
        </w:r>
        <w:r w:rsidR="00036D41">
          <w:rPr>
            <w:webHidden/>
          </w:rPr>
          <w:t>8</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90" w:history="1">
        <w:r w:rsidR="00036D41" w:rsidRPr="004275EC">
          <w:rPr>
            <w:rStyle w:val="Hyperlink"/>
          </w:rPr>
          <w:t>ordnungsgemäss eingereichter antrag</w:t>
        </w:r>
        <w:r w:rsidR="00036D41">
          <w:rPr>
            <w:webHidden/>
          </w:rPr>
          <w:tab/>
        </w:r>
        <w:r w:rsidR="00036D41">
          <w:rPr>
            <w:webHidden/>
          </w:rPr>
          <w:fldChar w:fldCharType="begin"/>
        </w:r>
        <w:r w:rsidR="00036D41">
          <w:rPr>
            <w:webHidden/>
          </w:rPr>
          <w:instrText xml:space="preserve"> PAGEREF _Toc382820490 \h </w:instrText>
        </w:r>
        <w:r w:rsidR="00036D41">
          <w:rPr>
            <w:webHidden/>
          </w:rPr>
        </w:r>
        <w:r w:rsidR="00036D41">
          <w:rPr>
            <w:webHidden/>
          </w:rPr>
          <w:fldChar w:fldCharType="separate"/>
        </w:r>
        <w:r w:rsidR="00036D41">
          <w:rPr>
            <w:webHidden/>
          </w:rPr>
          <w:t>8</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91" w:history="1">
        <w:r w:rsidR="00036D41" w:rsidRPr="004275EC">
          <w:rPr>
            <w:rStyle w:val="Hyperlink"/>
          </w:rPr>
          <w:t>veröffentlichung</w:t>
        </w:r>
        <w:r w:rsidR="00036D41">
          <w:rPr>
            <w:webHidden/>
          </w:rPr>
          <w:tab/>
        </w:r>
        <w:r w:rsidR="00036D41">
          <w:rPr>
            <w:webHidden/>
          </w:rPr>
          <w:fldChar w:fldCharType="begin"/>
        </w:r>
        <w:r w:rsidR="00036D41">
          <w:rPr>
            <w:webHidden/>
          </w:rPr>
          <w:instrText xml:space="preserve"> PAGEREF _Toc382820491 \h </w:instrText>
        </w:r>
        <w:r w:rsidR="00036D41">
          <w:rPr>
            <w:webHidden/>
          </w:rPr>
        </w:r>
        <w:r w:rsidR="00036D41">
          <w:rPr>
            <w:webHidden/>
          </w:rPr>
          <w:fldChar w:fldCharType="separate"/>
        </w:r>
        <w:r w:rsidR="00036D41">
          <w:rPr>
            <w:webHidden/>
          </w:rPr>
          <w:t>8</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92" w:history="1">
        <w:r w:rsidR="00036D41" w:rsidRPr="004275EC">
          <w:rPr>
            <w:rStyle w:val="Hyperlink"/>
          </w:rPr>
          <w:t>prüfung der voraussetzungen</w:t>
        </w:r>
        <w:r w:rsidR="00036D41">
          <w:rPr>
            <w:webHidden/>
          </w:rPr>
          <w:tab/>
        </w:r>
        <w:r w:rsidR="00036D41">
          <w:rPr>
            <w:webHidden/>
          </w:rPr>
          <w:fldChar w:fldCharType="begin"/>
        </w:r>
        <w:r w:rsidR="00036D41">
          <w:rPr>
            <w:webHidden/>
          </w:rPr>
          <w:instrText xml:space="preserve"> PAGEREF _Toc382820492 \h </w:instrText>
        </w:r>
        <w:r w:rsidR="00036D41">
          <w:rPr>
            <w:webHidden/>
          </w:rPr>
        </w:r>
        <w:r w:rsidR="00036D41">
          <w:rPr>
            <w:webHidden/>
          </w:rPr>
          <w:fldChar w:fldCharType="separate"/>
        </w:r>
        <w:r w:rsidR="00036D41">
          <w:rPr>
            <w:webHidden/>
          </w:rPr>
          <w:t>9</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93" w:history="1">
        <w:r w:rsidR="00036D41" w:rsidRPr="004275EC">
          <w:rPr>
            <w:rStyle w:val="Hyperlink"/>
          </w:rPr>
          <w:t>DUS-PRÜFUNG</w:t>
        </w:r>
        <w:r w:rsidR="00036D41">
          <w:rPr>
            <w:webHidden/>
          </w:rPr>
          <w:tab/>
        </w:r>
        <w:r w:rsidR="00036D41">
          <w:rPr>
            <w:webHidden/>
          </w:rPr>
          <w:fldChar w:fldCharType="begin"/>
        </w:r>
        <w:r w:rsidR="00036D41">
          <w:rPr>
            <w:webHidden/>
          </w:rPr>
          <w:instrText xml:space="preserve"> PAGEREF _Toc382820493 \h </w:instrText>
        </w:r>
        <w:r w:rsidR="00036D41">
          <w:rPr>
            <w:webHidden/>
          </w:rPr>
        </w:r>
        <w:r w:rsidR="00036D41">
          <w:rPr>
            <w:webHidden/>
          </w:rPr>
          <w:fldChar w:fldCharType="separate"/>
        </w:r>
        <w:r w:rsidR="00036D41">
          <w:rPr>
            <w:webHidden/>
          </w:rPr>
          <w:t>9</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94" w:history="1">
        <w:r w:rsidR="00036D41" w:rsidRPr="004275EC">
          <w:rPr>
            <w:rStyle w:val="Hyperlink"/>
          </w:rPr>
          <w:t>vorgeschlagene entscheidung</w:t>
        </w:r>
        <w:r w:rsidR="00036D41">
          <w:rPr>
            <w:webHidden/>
          </w:rPr>
          <w:tab/>
        </w:r>
        <w:r w:rsidR="00036D41">
          <w:rPr>
            <w:webHidden/>
          </w:rPr>
          <w:fldChar w:fldCharType="begin"/>
        </w:r>
        <w:r w:rsidR="00036D41">
          <w:rPr>
            <w:webHidden/>
          </w:rPr>
          <w:instrText xml:space="preserve"> PAGEREF _Toc382820494 \h </w:instrText>
        </w:r>
        <w:r w:rsidR="00036D41">
          <w:rPr>
            <w:webHidden/>
          </w:rPr>
        </w:r>
        <w:r w:rsidR="00036D41">
          <w:rPr>
            <w:webHidden/>
          </w:rPr>
          <w:fldChar w:fldCharType="separate"/>
        </w:r>
        <w:r w:rsidR="00036D41">
          <w:rPr>
            <w:webHidden/>
          </w:rPr>
          <w:t>9</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95" w:history="1">
        <w:r w:rsidR="00036D41" w:rsidRPr="004275EC">
          <w:rPr>
            <w:rStyle w:val="Hyperlink"/>
          </w:rPr>
          <w:t>EINWeNDungen</w:t>
        </w:r>
        <w:r w:rsidR="00036D41">
          <w:rPr>
            <w:webHidden/>
          </w:rPr>
          <w:tab/>
        </w:r>
        <w:r w:rsidR="00036D41">
          <w:rPr>
            <w:webHidden/>
          </w:rPr>
          <w:fldChar w:fldCharType="begin"/>
        </w:r>
        <w:r w:rsidR="00036D41">
          <w:rPr>
            <w:webHidden/>
          </w:rPr>
          <w:instrText xml:space="preserve"> PAGEREF _Toc382820495 \h </w:instrText>
        </w:r>
        <w:r w:rsidR="00036D41">
          <w:rPr>
            <w:webHidden/>
          </w:rPr>
        </w:r>
        <w:r w:rsidR="00036D41">
          <w:rPr>
            <w:webHidden/>
          </w:rPr>
          <w:fldChar w:fldCharType="separate"/>
        </w:r>
        <w:r w:rsidR="00036D41">
          <w:rPr>
            <w:webHidden/>
          </w:rPr>
          <w:t>9</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96" w:history="1">
        <w:r w:rsidR="00036D41" w:rsidRPr="004275EC">
          <w:rPr>
            <w:rStyle w:val="Hyperlink"/>
          </w:rPr>
          <w:t>erteilung des titels</w:t>
        </w:r>
        <w:r w:rsidR="00036D41">
          <w:rPr>
            <w:webHidden/>
          </w:rPr>
          <w:tab/>
        </w:r>
        <w:r w:rsidR="00036D41">
          <w:rPr>
            <w:webHidden/>
          </w:rPr>
          <w:fldChar w:fldCharType="begin"/>
        </w:r>
        <w:r w:rsidR="00036D41">
          <w:rPr>
            <w:webHidden/>
          </w:rPr>
          <w:instrText xml:space="preserve"> PAGEREF _Toc382820496 \h </w:instrText>
        </w:r>
        <w:r w:rsidR="00036D41">
          <w:rPr>
            <w:webHidden/>
          </w:rPr>
        </w:r>
        <w:r w:rsidR="00036D41">
          <w:rPr>
            <w:webHidden/>
          </w:rPr>
          <w:fldChar w:fldCharType="separate"/>
        </w:r>
        <w:r w:rsidR="00036D41">
          <w:rPr>
            <w:webHidden/>
          </w:rPr>
          <w:t>10</w:t>
        </w:r>
        <w:r w:rsidR="00036D41">
          <w:rPr>
            <w:webHidden/>
          </w:rPr>
          <w:fldChar w:fldCharType="end"/>
        </w:r>
      </w:hyperlink>
    </w:p>
    <w:p w:rsidR="00036D41" w:rsidRDefault="000807BA">
      <w:pPr>
        <w:pStyle w:val="TOC1"/>
        <w:rPr>
          <w:rFonts w:asciiTheme="minorHAnsi" w:eastAsiaTheme="minorEastAsia" w:hAnsiTheme="minorHAnsi" w:cstheme="minorBidi"/>
          <w:caps w:val="0"/>
          <w:sz w:val="22"/>
          <w:szCs w:val="22"/>
          <w:lang w:val="en-US" w:eastAsia="en-US" w:bidi="ar-SA"/>
        </w:rPr>
      </w:pPr>
      <w:hyperlink w:anchor="_Toc382820497" w:history="1">
        <w:r w:rsidR="00036D41" w:rsidRPr="004275EC">
          <w:rPr>
            <w:rStyle w:val="Hyperlink"/>
          </w:rPr>
          <w:t>angelegenheiten nach der erteilung</w:t>
        </w:r>
        <w:r w:rsidR="00036D41">
          <w:rPr>
            <w:webHidden/>
          </w:rPr>
          <w:tab/>
        </w:r>
        <w:r w:rsidR="00036D41">
          <w:rPr>
            <w:webHidden/>
          </w:rPr>
          <w:fldChar w:fldCharType="begin"/>
        </w:r>
        <w:r w:rsidR="00036D41">
          <w:rPr>
            <w:webHidden/>
          </w:rPr>
          <w:instrText xml:space="preserve"> PAGEREF _Toc382820497 \h </w:instrText>
        </w:r>
        <w:r w:rsidR="00036D41">
          <w:rPr>
            <w:webHidden/>
          </w:rPr>
        </w:r>
        <w:r w:rsidR="00036D41">
          <w:rPr>
            <w:webHidden/>
          </w:rPr>
          <w:fldChar w:fldCharType="separate"/>
        </w:r>
        <w:r w:rsidR="00036D41">
          <w:rPr>
            <w:webHidden/>
          </w:rPr>
          <w:t>10</w:t>
        </w:r>
        <w:r w:rsidR="00036D41">
          <w:rPr>
            <w:webHidden/>
          </w:rPr>
          <w:fldChar w:fldCharType="end"/>
        </w:r>
      </w:hyperlink>
    </w:p>
    <w:p w:rsidR="001618CD" w:rsidRDefault="00BA325E" w:rsidP="003F0223">
      <w:pPr>
        <w:pStyle w:val="TOC1"/>
      </w:pPr>
      <w:r w:rsidRPr="00987226">
        <w:fldChar w:fldCharType="end"/>
      </w:r>
      <w:r w:rsidR="001618CD">
        <w:rPr>
          <w:kern w:val="28"/>
        </w:rPr>
        <w:t>ANLAGE:</w:t>
      </w:r>
      <w:r w:rsidR="001618CD">
        <w:t xml:space="preserve"> UPOV-Fernlehrgangsprogramm „Prüfung von Anträgen auf Erteilung von Züchterrechten“ (DL</w:t>
      </w:r>
      <w:r w:rsidR="001618CD">
        <w:noBreakHyphen/>
        <w:t>305)</w:t>
      </w:r>
    </w:p>
    <w:p w:rsidR="001618CD" w:rsidRDefault="001618CD" w:rsidP="001618CD">
      <w:pPr>
        <w:ind w:left="1134"/>
      </w:pPr>
      <w:r>
        <w:t>-  Modul 1 „Die Sortenschutzbehörde“</w:t>
      </w:r>
    </w:p>
    <w:p w:rsidR="001618CD" w:rsidRPr="00987226" w:rsidRDefault="00E26E5C" w:rsidP="001618CD">
      <w:pPr>
        <w:ind w:left="1134"/>
        <w:rPr>
          <w:kern w:val="28"/>
        </w:rPr>
      </w:pPr>
      <w:r>
        <w:t>-  Modul 2 „</w:t>
      </w:r>
      <w:r w:rsidR="001618CD">
        <w:rPr>
          <w:bCs/>
        </w:rPr>
        <w:t>Verwaltung von Anträgen”</w:t>
      </w:r>
      <w:r w:rsidR="001618CD">
        <w:t xml:space="preserve"> </w:t>
      </w:r>
    </w:p>
    <w:p w:rsidR="00987226" w:rsidRDefault="00987226" w:rsidP="00037D15">
      <w:pPr>
        <w:rPr>
          <w:kern w:val="28"/>
        </w:rPr>
      </w:pPr>
    </w:p>
    <w:p w:rsidR="008850FA" w:rsidRDefault="008850FA" w:rsidP="00037D15">
      <w:pPr>
        <w:rPr>
          <w:kern w:val="28"/>
        </w:rPr>
      </w:pPr>
    </w:p>
    <w:p w:rsidR="008850FA" w:rsidRDefault="008850FA" w:rsidP="00037D15">
      <w:pPr>
        <w:rPr>
          <w:kern w:val="28"/>
        </w:rPr>
      </w:pPr>
    </w:p>
    <w:p w:rsidR="006078B3" w:rsidRPr="00C669D2" w:rsidRDefault="006078B3" w:rsidP="00C0469A">
      <w:pPr>
        <w:pStyle w:val="Heading1"/>
        <w:keepNext/>
      </w:pPr>
      <w:bookmarkStart w:id="5" w:name="_Toc381102828"/>
      <w:bookmarkStart w:id="6" w:name="_Toc381102856"/>
      <w:bookmarkStart w:id="7" w:name="_Toc381170730"/>
      <w:bookmarkStart w:id="8" w:name="_Toc382820467"/>
      <w:r>
        <w:t>HINTERGRUND</w:t>
      </w:r>
      <w:bookmarkEnd w:id="5"/>
      <w:bookmarkEnd w:id="6"/>
      <w:bookmarkEnd w:id="7"/>
      <w:bookmarkEnd w:id="8"/>
    </w:p>
    <w:p w:rsidR="0038248E" w:rsidRPr="00987226" w:rsidRDefault="0038248E" w:rsidP="00C0469A">
      <w:pPr>
        <w:pStyle w:val="Heading1"/>
        <w:keepNext/>
        <w:rPr>
          <w:snapToGrid w:val="0"/>
        </w:rPr>
      </w:pPr>
    </w:p>
    <w:p w:rsidR="003F0EE1" w:rsidRPr="00DB6F29" w:rsidRDefault="00BA325E" w:rsidP="003F0EE1">
      <w:r w:rsidRPr="00987226">
        <w:rPr>
          <w:rFonts w:cs="Arial"/>
        </w:rPr>
        <w:fldChar w:fldCharType="begin"/>
      </w:r>
      <w:r w:rsidR="003F0EE1" w:rsidRPr="00987226">
        <w:rPr>
          <w:rFonts w:cs="Arial"/>
        </w:rPr>
        <w:instrText xml:space="preserve"> AUTONUM  </w:instrText>
      </w:r>
      <w:r w:rsidRPr="00987226">
        <w:rPr>
          <w:rFonts w:cs="Arial"/>
        </w:rPr>
        <w:fldChar w:fldCharType="end"/>
      </w:r>
      <w:r w:rsidR="00032D41">
        <w:tab/>
        <w:t>Der Rat erhielt auf seiner siebenundvierzigsten ordentlichen Tagung vom 24. Oktober 2013 in Genf einen Bericht des Beratenden Ausschusses über dessen Prüfung eines Schreibens de</w:t>
      </w:r>
      <w:r w:rsidR="0091786C">
        <w:t>s</w:t>
      </w:r>
      <w:r w:rsidR="00032D41">
        <w:t xml:space="preserve"> </w:t>
      </w:r>
      <w:r w:rsidR="00032D41">
        <w:rPr>
          <w:i/>
        </w:rPr>
        <w:t>International Seed Federation</w:t>
      </w:r>
      <w:r w:rsidR="00032D41">
        <w:t xml:space="preserve"> (ISF) zum Thema </w:t>
      </w:r>
      <w:r w:rsidR="000D74FC" w:rsidRPr="000D74FC">
        <w:t>„Anträge, Prüfung und Erteilungsaspekte von Anträgen auf Erteilung von Züchterrechten“</w:t>
      </w:r>
      <w:r w:rsidR="00032D41">
        <w:t xml:space="preserve"> (vergleiche Dokument</w:t>
      </w:r>
      <w:r w:rsidR="00E26E5C">
        <w:t xml:space="preserve"> </w:t>
      </w:r>
      <w:r w:rsidR="00032D41">
        <w:t>C/47/15 Rev. „Bericht des Präsidenten über die Arbeiten der sechsundachtzigsten Tagung des Beratenden Ausschusses; gegebenenfalls Annahme von Empfehlungen, die dieser Ausschuß ausgearbeitet hat“</w:t>
      </w:r>
      <w:r w:rsidR="0091786C">
        <w:t>,</w:t>
      </w:r>
      <w:r w:rsidR="00032D41">
        <w:t xml:space="preserve"> Absätze 62 bis 66). </w:t>
      </w:r>
    </w:p>
    <w:p w:rsidR="003F0EE1" w:rsidRDefault="003F0EE1" w:rsidP="003F0EE1">
      <w:pPr>
        <w:rPr>
          <w:rFonts w:cs="Arial"/>
        </w:rPr>
      </w:pPr>
    </w:p>
    <w:p w:rsidR="003F0EE1" w:rsidRPr="008850FA" w:rsidRDefault="00BA325E" w:rsidP="003F0EE1">
      <w:pPr>
        <w:rPr>
          <w:spacing w:val="-2"/>
        </w:rPr>
      </w:pPr>
      <w:r w:rsidRPr="008850FA">
        <w:rPr>
          <w:rFonts w:cs="Arial"/>
          <w:spacing w:val="-2"/>
        </w:rPr>
        <w:fldChar w:fldCharType="begin"/>
      </w:r>
      <w:r w:rsidR="003F0EE1" w:rsidRPr="008850FA">
        <w:rPr>
          <w:rFonts w:cs="Arial"/>
          <w:spacing w:val="-2"/>
        </w:rPr>
        <w:instrText xml:space="preserve"> AUTONUM  </w:instrText>
      </w:r>
      <w:r w:rsidRPr="008850FA">
        <w:rPr>
          <w:rFonts w:cs="Arial"/>
          <w:spacing w:val="-2"/>
        </w:rPr>
        <w:fldChar w:fldCharType="end"/>
      </w:r>
      <w:r w:rsidR="00032D41" w:rsidRPr="008850FA">
        <w:rPr>
          <w:spacing w:val="-2"/>
        </w:rPr>
        <w:tab/>
        <w:t>Der Bericht merkte an, daß der Beratende Ausschu</w:t>
      </w:r>
      <w:r w:rsidR="00282747" w:rsidRPr="008850FA">
        <w:rPr>
          <w:spacing w:val="-2"/>
        </w:rPr>
        <w:t>ß</w:t>
      </w:r>
      <w:r w:rsidR="00032D41" w:rsidRPr="008850FA">
        <w:rPr>
          <w:spacing w:val="-2"/>
        </w:rPr>
        <w:t xml:space="preserve"> zum Schluß gekommen sei, daß viele der Fragen mittels bestehender und künftiger UPOV-Informationsmaterialien angegangen werden könnten.</w:t>
      </w:r>
      <w:r w:rsidR="00282747" w:rsidRPr="008850FA">
        <w:rPr>
          <w:spacing w:val="-2"/>
        </w:rPr>
        <w:t xml:space="preserve"> </w:t>
      </w:r>
      <w:r w:rsidR="00032D41" w:rsidRPr="008850FA">
        <w:rPr>
          <w:spacing w:val="-2"/>
        </w:rPr>
        <w:t>Solche Fragen würden von den entsprechenden Organen innerhalb der UPOV, insbesondere vom Verwaltungs- und Rechtsausschuß (CAJ) und Technischen Ausschuß (TC), geprüft werden.</w:t>
      </w:r>
      <w:r w:rsidR="00282747" w:rsidRPr="008850FA">
        <w:rPr>
          <w:spacing w:val="-2"/>
        </w:rPr>
        <w:t xml:space="preserve"> </w:t>
      </w:r>
      <w:r w:rsidR="00032D41" w:rsidRPr="008850FA">
        <w:rPr>
          <w:spacing w:val="-2"/>
        </w:rPr>
        <w:t xml:space="preserve">Hinsichtlich der Idee eines internationalen Systems für die Einreichung von Anträgen, eines UPOV-Qualitätssicherungsprogramms und einer zentralen Genehmigungsstelle für Sortenbezeichnungen wurde berichtet, daß der Beratende Ausschuß das Verbandsbüro und den ISF ersucht habe, die Schwierigkeiten und möglichen Lösungen bezüglich der Ideen des ISF zur Prüfung auf der nächsten Tagung des Beratenden Ausschusses genauer auszuführen (vergleiche Dokument C/47/19 „Bericht über </w:t>
      </w:r>
      <w:r w:rsidR="0091786C" w:rsidRPr="008850FA">
        <w:rPr>
          <w:spacing w:val="-2"/>
        </w:rPr>
        <w:t xml:space="preserve">die </w:t>
      </w:r>
      <w:r w:rsidR="00032D41" w:rsidRPr="008850FA">
        <w:rPr>
          <w:spacing w:val="-2"/>
        </w:rPr>
        <w:t>Entscheidungen“ Anlage</w:t>
      </w:r>
      <w:r w:rsidR="00FF49CE" w:rsidRPr="008850FA">
        <w:rPr>
          <w:spacing w:val="-2"/>
        </w:rPr>
        <w:t> II).</w:t>
      </w:r>
      <w:r w:rsidR="00282747" w:rsidRPr="008850FA">
        <w:rPr>
          <w:spacing w:val="-2"/>
        </w:rPr>
        <w:t xml:space="preserve"> </w:t>
      </w:r>
    </w:p>
    <w:p w:rsidR="003F0EE1" w:rsidRPr="00987226" w:rsidRDefault="003F0EE1" w:rsidP="003F0EE1">
      <w:pPr>
        <w:rPr>
          <w:snapToGrid w:val="0"/>
        </w:rPr>
      </w:pPr>
    </w:p>
    <w:p w:rsidR="003B07EC" w:rsidRDefault="003B07EC" w:rsidP="005C4485">
      <w:pPr>
        <w:rPr>
          <w:kern w:val="28"/>
        </w:rPr>
      </w:pPr>
    </w:p>
    <w:p w:rsidR="0055760B" w:rsidRPr="00987226" w:rsidRDefault="0055760B" w:rsidP="005C4485">
      <w:pPr>
        <w:rPr>
          <w:kern w:val="28"/>
        </w:rPr>
      </w:pPr>
    </w:p>
    <w:p w:rsidR="00571C59" w:rsidRPr="005735BF" w:rsidRDefault="00CB118D" w:rsidP="0055760B">
      <w:pPr>
        <w:pStyle w:val="Heading1"/>
        <w:keepNext/>
      </w:pPr>
      <w:bookmarkStart w:id="9" w:name="_Toc379530097"/>
      <w:bookmarkStart w:id="10" w:name="_Toc381102829"/>
      <w:bookmarkStart w:id="11" w:name="_Toc381102857"/>
      <w:bookmarkStart w:id="12" w:name="_Toc381170731"/>
      <w:bookmarkStart w:id="13" w:name="_Toc382820468"/>
      <w:r>
        <w:t>I</w:t>
      </w:r>
      <w:r w:rsidR="008850FA">
        <w:t>.</w:t>
      </w:r>
      <w:r>
        <w:tab/>
        <w:t>Einzelne Angelegenheiten zu</w:t>
      </w:r>
      <w:r w:rsidR="00FF49CE">
        <w:t>R</w:t>
      </w:r>
      <w:r>
        <w:t xml:space="preserve"> prüf</w:t>
      </w:r>
      <w:r w:rsidR="00282747">
        <w:t>UNG DURCH DEN</w:t>
      </w:r>
      <w:r>
        <w:t xml:space="preserve"> CAJ</w:t>
      </w:r>
      <w:bookmarkEnd w:id="9"/>
      <w:bookmarkEnd w:id="10"/>
      <w:bookmarkEnd w:id="11"/>
      <w:bookmarkEnd w:id="12"/>
      <w:bookmarkEnd w:id="13"/>
    </w:p>
    <w:p w:rsidR="007D04DE" w:rsidRDefault="007D04DE" w:rsidP="0055760B">
      <w:pPr>
        <w:keepNext/>
        <w:rPr>
          <w:snapToGrid w:val="0"/>
        </w:rPr>
      </w:pPr>
    </w:p>
    <w:p w:rsidR="007D6C5B" w:rsidRPr="00987226" w:rsidRDefault="00BA325E" w:rsidP="007D6C5B">
      <w:r w:rsidRPr="00987226">
        <w:fldChar w:fldCharType="begin"/>
      </w:r>
      <w:r w:rsidR="007D6C5B" w:rsidRPr="00987226">
        <w:instrText xml:space="preserve"> AUTONUM  </w:instrText>
      </w:r>
      <w:r w:rsidRPr="00987226">
        <w:fldChar w:fldCharType="end"/>
      </w:r>
      <w:r w:rsidR="00032D41">
        <w:tab/>
        <w:t xml:space="preserve">Der Beratende Ausschuß prüfte auf seiner sechsundachtzigsten Tagung das Schreiben des ISF zum Thema „Anträge, Prüfung und Erteilungsaspekte von Anträgen auf Erteilung von Züchterrechten“ (vergleiche </w:t>
      </w:r>
      <w:r w:rsidR="00032D41">
        <w:lastRenderedPageBreak/>
        <w:t>Dokument C/47/15 Rev. „Bericht des Präsidenten über die Arbeiten der sechsundachtzigsten Tagung des Beratenden Ausschusses; gegebenenfalls Annahme von Empfehlungen, die dieser Ausschuß ausgearbeitet hat“ Absätze 62 bis 66). Der Beratende Ausschuß vereinbarte, den CAJ und den TC zu ersuchen, die Empfehlungen des ISF im Zusammenhang mit bestehenden und möglichen zukünftigen Informationsmaterialien zu prüfen, parallel zu der Ausarbeitung von Dokument UPOV/INF/15 zu einem Dachdokument</w:t>
      </w:r>
      <w:r w:rsidR="00FF49CE">
        <w:t>.</w:t>
      </w:r>
      <w:r w:rsidR="00282747">
        <w:t xml:space="preserve"> </w:t>
      </w:r>
      <w:r w:rsidR="00032D41">
        <w:t>Die einzelnen vom ISF aufgeworfenen Fragen werden in diesem Zusammenhang geprüft.</w:t>
      </w:r>
    </w:p>
    <w:p w:rsidR="007D6C5B" w:rsidRDefault="007D6C5B" w:rsidP="007D6C5B">
      <w:pPr>
        <w:rPr>
          <w:snapToGrid w:val="0"/>
        </w:rPr>
      </w:pPr>
    </w:p>
    <w:p w:rsidR="007D6C5B" w:rsidRPr="00987226" w:rsidRDefault="007D6C5B" w:rsidP="007D6C5B">
      <w:pPr>
        <w:rPr>
          <w:snapToGrid w:val="0"/>
        </w:rPr>
      </w:pPr>
    </w:p>
    <w:p w:rsidR="00F4207E" w:rsidRPr="005735BF" w:rsidRDefault="009C51FE" w:rsidP="005735BF">
      <w:pPr>
        <w:pStyle w:val="Heading2"/>
      </w:pPr>
      <w:bookmarkStart w:id="14" w:name="_Toc381102830"/>
      <w:bookmarkStart w:id="15" w:name="_Toc381102858"/>
      <w:bookmarkStart w:id="16" w:name="_Toc381170732"/>
      <w:bookmarkStart w:id="17" w:name="_Toc382820469"/>
      <w:r>
        <w:t>Antragszeitraum</w:t>
      </w:r>
      <w:bookmarkEnd w:id="14"/>
      <w:bookmarkEnd w:id="15"/>
      <w:bookmarkEnd w:id="16"/>
      <w:bookmarkEnd w:id="17"/>
    </w:p>
    <w:p w:rsidR="007D04DE" w:rsidRPr="00987226" w:rsidRDefault="007D04DE" w:rsidP="007F5CF8">
      <w:pPr>
        <w:keepNext/>
        <w:rPr>
          <w:snapToGrid w:val="0"/>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7D04DE" w:rsidRPr="00987226" w:rsidTr="00987226">
        <w:tc>
          <w:tcPr>
            <w:tcW w:w="8788" w:type="dxa"/>
          </w:tcPr>
          <w:p w:rsidR="002E224A" w:rsidRPr="002C4075" w:rsidRDefault="002E224A" w:rsidP="002C4075">
            <w:pPr>
              <w:rPr>
                <w:sz w:val="18"/>
                <w:szCs w:val="18"/>
              </w:rPr>
            </w:pPr>
            <w:r>
              <w:rPr>
                <w:sz w:val="18"/>
                <w:szCs w:val="18"/>
              </w:rPr>
              <w:t>[Auszug aus dem Schreiben des ISF – (original Englisch)]</w:t>
            </w:r>
          </w:p>
          <w:p w:rsidR="007D04DE" w:rsidRPr="00987226" w:rsidRDefault="002E224A" w:rsidP="0091786C">
            <w:r>
              <w:rPr>
                <w:sz w:val="18"/>
                <w:szCs w:val="18"/>
                <w:u w:val="single"/>
              </w:rPr>
              <w:t>Antragszeitraum</w:t>
            </w:r>
            <w:r>
              <w:rPr>
                <w:sz w:val="18"/>
                <w:szCs w:val="18"/>
              </w:rPr>
              <w:t>: In manchen Ländern ist der Zeitraum für die Antragsstellung begrenzt. Dort kann zum Beispiel der Antrag für eine Art nur während eines bestimmten Zeitraums von einem oder zwei Monaten pro Jahr eingereicht werden.</w:t>
            </w:r>
            <w:r w:rsidR="00282747">
              <w:rPr>
                <w:sz w:val="18"/>
                <w:szCs w:val="18"/>
              </w:rPr>
              <w:t xml:space="preserve"> </w:t>
            </w:r>
            <w:r>
              <w:rPr>
                <w:sz w:val="18"/>
                <w:szCs w:val="18"/>
              </w:rPr>
              <w:t>Nach Ansicht der ISF-Mitglieder ist eine solche Bestimmung und Begrenzung des Zeitraums problematisch, vor allem dann, wenn der für Sorteneintragung vorgesehene Zeitraum ein anderer ist als der für PBR-Anträge vorgesehene.</w:t>
            </w:r>
            <w:r w:rsidR="00282747">
              <w:rPr>
                <w:sz w:val="18"/>
                <w:szCs w:val="18"/>
              </w:rPr>
              <w:t xml:space="preserve"> </w:t>
            </w:r>
            <w:r>
              <w:rPr>
                <w:sz w:val="18"/>
                <w:szCs w:val="18"/>
              </w:rPr>
              <w:t>Wenn um Vorrang für einen Antrag ersucht wird, ist die Wahl eines günstigen Zeitpunkts wesentlich, und ein fester Zeitraum kann in diesem Fall hinderlich sein.</w:t>
            </w:r>
            <w:r w:rsidR="00282747">
              <w:rPr>
                <w:sz w:val="18"/>
                <w:szCs w:val="18"/>
              </w:rPr>
              <w:t xml:space="preserve"> </w:t>
            </w:r>
            <w:r>
              <w:rPr>
                <w:sz w:val="18"/>
                <w:szCs w:val="18"/>
              </w:rPr>
              <w:t>Das Einreichen eines Antrags sollte während des ganzen Jahres möglich sein; in Fällen, in denen ein Zeitraum festgelegt wird, sollte dieser sinnvoll und realistisch sein.</w:t>
            </w:r>
            <w:r w:rsidR="00282747">
              <w:rPr>
                <w:sz w:val="18"/>
                <w:szCs w:val="18"/>
              </w:rPr>
              <w:t xml:space="preserve"> </w:t>
            </w:r>
          </w:p>
        </w:tc>
      </w:tr>
    </w:tbl>
    <w:p w:rsidR="007D04DE" w:rsidRPr="00987226" w:rsidRDefault="007D04DE" w:rsidP="00F4207E">
      <w:pPr>
        <w:rPr>
          <w:snapToGrid w:val="0"/>
        </w:rPr>
      </w:pPr>
    </w:p>
    <w:p w:rsidR="00F474B6" w:rsidRDefault="00BA325E" w:rsidP="00697024">
      <w:pPr>
        <w:rPr>
          <w:snapToGrid w:val="0"/>
        </w:rPr>
      </w:pPr>
      <w:r>
        <w:rPr>
          <w:snapToGrid w:val="0"/>
        </w:rPr>
        <w:fldChar w:fldCharType="begin"/>
      </w:r>
      <w:r w:rsidR="00D82399">
        <w:rPr>
          <w:snapToGrid w:val="0"/>
        </w:rPr>
        <w:instrText xml:space="preserve"> AUTONUM  </w:instrText>
      </w:r>
      <w:r>
        <w:rPr>
          <w:snapToGrid w:val="0"/>
        </w:rPr>
        <w:fldChar w:fldCharType="end"/>
      </w:r>
      <w:r w:rsidR="00032D41">
        <w:tab/>
        <w:t>Der CAJ könnte prüfen, ob in Dokument UPOV/INF/15 Anleitung zur Möglichkeit ausgearbeitet werden sollte, Anträge während des ganzen Jahres einzureichen und/oder ein eingeschränkter Zeitraum für die Einreichung von Anträgen gehandhabt werden sollte.</w:t>
      </w:r>
    </w:p>
    <w:p w:rsidR="00F32C0F" w:rsidRPr="00987226" w:rsidRDefault="00F32C0F" w:rsidP="00697024">
      <w:pPr>
        <w:rPr>
          <w:snapToGrid w:val="0"/>
        </w:rPr>
      </w:pPr>
    </w:p>
    <w:p w:rsidR="00064085" w:rsidRDefault="00BA325E" w:rsidP="000D74FC">
      <w:pPr>
        <w:pStyle w:val="DecisionParagraphs"/>
        <w:keepLines/>
        <w:spacing w:after="480"/>
        <w:rPr>
          <w:snapToGrid w:val="0"/>
        </w:rPr>
      </w:pPr>
      <w:r w:rsidRPr="00987226">
        <w:rPr>
          <w:iCs/>
        </w:rPr>
        <w:fldChar w:fldCharType="begin"/>
      </w:r>
      <w:r w:rsidR="004D680E" w:rsidRPr="00987226">
        <w:rPr>
          <w:iCs/>
        </w:rPr>
        <w:instrText xml:space="preserve"> AUTONUM  </w:instrText>
      </w:r>
      <w:r w:rsidRPr="00987226">
        <w:rPr>
          <w:iCs/>
        </w:rPr>
        <w:fldChar w:fldCharType="end"/>
      </w:r>
      <w:r w:rsidR="00032D41">
        <w:tab/>
        <w:t>Der CAJ wird ersucht</w:t>
      </w:r>
      <w:r w:rsidR="00FF49CE">
        <w:t>,</w:t>
      </w:r>
      <w:r w:rsidR="00032D41">
        <w:t xml:space="preserve"> die Ausarbeitung von Anleitung in Dokument UPOV/INF/15 zu prüfen, zur Möglichkeit, Anträge während des ganzen Jahres einzureichen und/oder der Handhabung eines eingeschränkten Zeitraums für die Einreichung von Anträgen.</w:t>
      </w:r>
    </w:p>
    <w:p w:rsidR="009C51FE" w:rsidRPr="00641FEB" w:rsidRDefault="009C51FE" w:rsidP="005735BF">
      <w:pPr>
        <w:pStyle w:val="Heading2"/>
      </w:pPr>
      <w:bookmarkStart w:id="18" w:name="_Toc381102831"/>
      <w:bookmarkStart w:id="19" w:name="_Toc381102859"/>
      <w:bookmarkStart w:id="20" w:name="_Toc381170733"/>
      <w:bookmarkStart w:id="21" w:name="_Toc382820470"/>
      <w:r>
        <w:t>Zuchtformelinformation</w:t>
      </w:r>
      <w:bookmarkEnd w:id="18"/>
      <w:bookmarkEnd w:id="19"/>
      <w:bookmarkEnd w:id="20"/>
      <w:bookmarkEnd w:id="21"/>
    </w:p>
    <w:p w:rsidR="009C51FE" w:rsidRPr="00987226" w:rsidRDefault="009C51FE" w:rsidP="005735BF">
      <w:pPr>
        <w:pStyle w:val="Heading2"/>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2E224A" w:rsidRPr="00987226" w:rsidTr="00987226">
        <w:tc>
          <w:tcPr>
            <w:tcW w:w="8788" w:type="dxa"/>
          </w:tcPr>
          <w:p w:rsidR="002E224A" w:rsidRPr="002C4075" w:rsidRDefault="002E224A" w:rsidP="002C4075">
            <w:pPr>
              <w:rPr>
                <w:sz w:val="18"/>
                <w:szCs w:val="18"/>
              </w:rPr>
            </w:pPr>
            <w:r>
              <w:rPr>
                <w:sz w:val="18"/>
                <w:szCs w:val="18"/>
              </w:rPr>
              <w:t>[Auszug aus dem Schreiben des ISF – (original Englisch)]</w:t>
            </w:r>
          </w:p>
          <w:p w:rsidR="00A8240F" w:rsidRPr="002C4075" w:rsidRDefault="00A8240F" w:rsidP="002C4075">
            <w:pPr>
              <w:rPr>
                <w:sz w:val="18"/>
                <w:szCs w:val="18"/>
              </w:rPr>
            </w:pPr>
          </w:p>
          <w:p w:rsidR="002E224A" w:rsidRPr="00987226" w:rsidRDefault="002E224A" w:rsidP="002C4075">
            <w:r>
              <w:rPr>
                <w:sz w:val="18"/>
                <w:szCs w:val="18"/>
                <w:u w:val="single"/>
              </w:rPr>
              <w:t>Zuchtformelinformation</w:t>
            </w:r>
            <w:r>
              <w:rPr>
                <w:sz w:val="18"/>
                <w:szCs w:val="18"/>
              </w:rPr>
              <w:t>: Die ISF-Mitglieder sind der Auffassung, daß Zuchtformelinformationen nicht angefordert werden sollten; falls einzelne Länder beschließen, diese Informationen anzufordern, dann sollten diese nicht veröffentlicht werden.</w:t>
            </w:r>
            <w:r w:rsidR="00282747">
              <w:rPr>
                <w:sz w:val="18"/>
                <w:szCs w:val="18"/>
              </w:rPr>
              <w:t xml:space="preserve"> </w:t>
            </w:r>
            <w:r>
              <w:rPr>
                <w:sz w:val="18"/>
                <w:szCs w:val="18"/>
              </w:rPr>
              <w:t>Zudem sollte ein Züchter angeben können, ob bestimmte Informationen im Antrag als vertraulich zu behandeln sind.</w:t>
            </w:r>
          </w:p>
        </w:tc>
      </w:tr>
    </w:tbl>
    <w:p w:rsidR="009C51FE" w:rsidRPr="00987226" w:rsidRDefault="009C51FE" w:rsidP="009C51FE">
      <w:pPr>
        <w:rPr>
          <w:snapToGrid w:val="0"/>
        </w:rPr>
      </w:pPr>
    </w:p>
    <w:p w:rsidR="00051FA2" w:rsidRPr="00987226" w:rsidRDefault="00BA325E" w:rsidP="00737D0E">
      <w:r>
        <w:rPr>
          <w:snapToGrid w:val="0"/>
        </w:rPr>
        <w:fldChar w:fldCharType="begin"/>
      </w:r>
      <w:r w:rsidR="00A8240F">
        <w:rPr>
          <w:snapToGrid w:val="0"/>
        </w:rPr>
        <w:instrText xml:space="preserve"> AUTONUM  </w:instrText>
      </w:r>
      <w:r>
        <w:rPr>
          <w:snapToGrid w:val="0"/>
        </w:rPr>
        <w:fldChar w:fldCharType="end"/>
      </w:r>
      <w:r w:rsidR="00032D41">
        <w:tab/>
        <w:t xml:space="preserve">Der CAJ könnte prüfen, ob die bestehende Anleitung in Dokument TGP/7 „Erstellung von Prüfungsrichtlinien“, Anlage 1: TG-Mustervorlage, Abschnitt 4 „Informationen über Züchtungsschema und Vermehrung der Sorte” sowie die Fußnote (vergleiche </w:t>
      </w:r>
      <w:hyperlink r:id="rId10" w:history="1">
        <w:r w:rsidR="00FF49CE" w:rsidRPr="00EA1A9B">
          <w:rPr>
            <w:rStyle w:val="Hyperlink"/>
          </w:rPr>
          <w:t>http://www.upov.int/edocs/tgpdocs/de/tgp_7.pdf</w:t>
        </w:r>
      </w:hyperlink>
      <w:r w:rsidR="00032D41">
        <w:t>) einen geeigneten Ansatz darstellt, um die Sachlage von Ersuchen nach Zuchtformelinformation</w:t>
      </w:r>
      <w:r w:rsidR="00FF49CE">
        <w:t>en</w:t>
      </w:r>
      <w:r w:rsidR="00032D41">
        <w:t xml:space="preserve"> (Abschnitt 4 ist unten</w:t>
      </w:r>
      <w:r w:rsidR="00FF49CE">
        <w:t xml:space="preserve"> </w:t>
      </w:r>
      <w:r w:rsidR="00032D41">
        <w:t>stehend wiedergegeben) anzugehen oder ob weitere Anleitung zweckdienlich wäre.</w:t>
      </w:r>
    </w:p>
    <w:p w:rsidR="003A12EA" w:rsidRPr="00987226" w:rsidRDefault="003A12EA" w:rsidP="00737D0E"/>
    <w:tbl>
      <w:tblPr>
        <w:tblStyle w:val="TableGrid"/>
        <w:tblW w:w="8472" w:type="dxa"/>
        <w:tblInd w:w="567" w:type="dxa"/>
        <w:tblLayout w:type="fixed"/>
        <w:tblCellMar>
          <w:top w:w="57" w:type="dxa"/>
          <w:left w:w="85" w:type="dxa"/>
          <w:bottom w:w="28" w:type="dxa"/>
          <w:right w:w="85" w:type="dxa"/>
        </w:tblCellMar>
        <w:tblLook w:val="04A0" w:firstRow="1" w:lastRow="0" w:firstColumn="1" w:lastColumn="0" w:noHBand="0" w:noVBand="1"/>
      </w:tblPr>
      <w:tblGrid>
        <w:gridCol w:w="8472"/>
      </w:tblGrid>
      <w:tr w:rsidR="00737D0E" w:rsidRPr="00987226" w:rsidTr="007D6C5B">
        <w:trPr>
          <w:cantSplit/>
        </w:trPr>
        <w:tc>
          <w:tcPr>
            <w:tcW w:w="8472" w:type="dxa"/>
          </w:tcPr>
          <w:p w:rsidR="00737D0E" w:rsidRPr="00987226" w:rsidRDefault="00FF49CE" w:rsidP="00737D0E">
            <w:pPr>
              <w:tabs>
                <w:tab w:val="left" w:pos="567"/>
                <w:tab w:val="left" w:pos="1106"/>
                <w:tab w:val="left" w:pos="2976"/>
                <w:tab w:val="left" w:pos="5856"/>
                <w:tab w:val="left" w:pos="7296"/>
                <w:tab w:val="left" w:pos="7910"/>
              </w:tabs>
              <w:ind w:left="113" w:right="255"/>
              <w:jc w:val="left"/>
              <w:rPr>
                <w:sz w:val="18"/>
              </w:rPr>
            </w:pPr>
            <w:r>
              <w:lastRenderedPageBreak/>
              <w:t>„</w:t>
            </w:r>
            <w:r w:rsidR="00923B9F">
              <w:t>4.</w:t>
            </w:r>
            <w:r w:rsidR="00923B9F">
              <w:tab/>
            </w:r>
            <w:r w:rsidR="00923B9F">
              <w:rPr>
                <w:sz w:val="18"/>
              </w:rPr>
              <w:t xml:space="preserve">Informationen über Züchtungsschema und Vermehrung der Sorte </w:t>
            </w:r>
          </w:p>
          <w:p w:rsidR="00737D0E" w:rsidRPr="00987226" w:rsidRDefault="00737D0E" w:rsidP="00737D0E">
            <w:pPr>
              <w:tabs>
                <w:tab w:val="left" w:pos="567"/>
                <w:tab w:val="left" w:pos="1106"/>
                <w:tab w:val="left" w:pos="2976"/>
                <w:tab w:val="left" w:pos="5856"/>
                <w:tab w:val="left" w:pos="7296"/>
                <w:tab w:val="left" w:pos="7910"/>
              </w:tabs>
              <w:ind w:left="113" w:right="255"/>
              <w:jc w:val="left"/>
              <w:rPr>
                <w:sz w:val="18"/>
              </w:rPr>
            </w:pPr>
          </w:p>
          <w:p w:rsidR="00737D0E" w:rsidRPr="00987226" w:rsidRDefault="00737D0E" w:rsidP="00737D0E">
            <w:pPr>
              <w:tabs>
                <w:tab w:val="left" w:pos="567"/>
                <w:tab w:val="left" w:pos="1106"/>
                <w:tab w:val="left" w:pos="2976"/>
                <w:tab w:val="left" w:pos="5856"/>
                <w:tab w:val="left" w:pos="7296"/>
                <w:tab w:val="left" w:pos="7910"/>
              </w:tabs>
              <w:ind w:left="113" w:right="255"/>
              <w:jc w:val="left"/>
              <w:rPr>
                <w:sz w:val="18"/>
              </w:rPr>
            </w:pPr>
            <w:r>
              <w:tab/>
            </w:r>
            <w:r>
              <w:rPr>
                <w:sz w:val="18"/>
              </w:rPr>
              <w:t>4.1</w:t>
            </w:r>
            <w:r>
              <w:tab/>
            </w:r>
            <w:r>
              <w:rPr>
                <w:sz w:val="18"/>
              </w:rPr>
              <w:t>Züchtungsschema</w:t>
            </w:r>
          </w:p>
          <w:p w:rsidR="00737D0E" w:rsidRPr="00987226" w:rsidRDefault="00737D0E" w:rsidP="00737D0E">
            <w:pPr>
              <w:tabs>
                <w:tab w:val="left" w:pos="567"/>
                <w:tab w:val="left" w:pos="1106"/>
                <w:tab w:val="left" w:pos="2976"/>
                <w:tab w:val="left" w:pos="5856"/>
                <w:tab w:val="left" w:pos="7296"/>
                <w:tab w:val="left" w:pos="7910"/>
              </w:tabs>
              <w:ind w:left="113" w:right="255"/>
              <w:jc w:val="left"/>
              <w:rPr>
                <w:sz w:val="18"/>
              </w:rPr>
            </w:pPr>
          </w:p>
          <w:p w:rsidR="00737D0E" w:rsidRPr="00987226" w:rsidRDefault="00737D0E" w:rsidP="00737D0E">
            <w:pPr>
              <w:tabs>
                <w:tab w:val="left" w:pos="567"/>
                <w:tab w:val="left" w:pos="1106"/>
                <w:tab w:val="left" w:pos="1673"/>
                <w:tab w:val="left" w:pos="1815"/>
                <w:tab w:val="left" w:pos="7296"/>
                <w:tab w:val="left" w:pos="7910"/>
              </w:tabs>
              <w:ind w:left="113" w:right="255"/>
              <w:jc w:val="left"/>
              <w:rPr>
                <w:sz w:val="18"/>
              </w:rPr>
            </w:pPr>
            <w:r>
              <w:tab/>
            </w:r>
            <w:r>
              <w:rPr>
                <w:sz w:val="18"/>
              </w:rPr>
              <w:t>{</w:t>
            </w:r>
            <w:bookmarkStart w:id="22" w:name="_Toc15713651"/>
            <w:r>
              <w:rPr>
                <w:sz w:val="18"/>
              </w:rPr>
              <w:t xml:space="preserve"> </w:t>
            </w:r>
            <w:r>
              <w:rPr>
                <w:b/>
                <w:sz w:val="18"/>
                <w:bdr w:val="single" w:sz="12" w:space="0" w:color="auto"/>
                <w:shd w:val="pct12" w:color="auto" w:fill="auto"/>
              </w:rPr>
              <w:t xml:space="preserve">ASW </w:t>
            </w:r>
            <w:r w:rsidRPr="00FF49CE">
              <w:rPr>
                <w:sz w:val="18"/>
                <w:bdr w:val="single" w:sz="12" w:space="0" w:color="auto"/>
              </w:rPr>
              <w:t>15</w:t>
            </w:r>
            <w:r w:rsidR="00FF49CE">
              <w:rPr>
                <w:sz w:val="18"/>
              </w:rPr>
              <w:t xml:space="preserve"> (</w:t>
            </w:r>
            <w:r>
              <w:rPr>
                <w:sz w:val="18"/>
              </w:rPr>
              <w:t>Kapitel 10: Technischer Fragebogen 4.1) – Informationen über das Züchtungsschema</w:t>
            </w:r>
            <w:bookmarkEnd w:id="22"/>
            <w:r w:rsidR="00282747">
              <w:rPr>
                <w:sz w:val="18"/>
              </w:rPr>
              <w:t xml:space="preserve"> </w:t>
            </w:r>
            <w:r>
              <w:rPr>
                <w:sz w:val="18"/>
              </w:rPr>
              <w:t>}</w:t>
            </w:r>
          </w:p>
          <w:p w:rsidR="00737D0E" w:rsidRPr="00987226" w:rsidRDefault="00737D0E" w:rsidP="00737D0E">
            <w:pPr>
              <w:tabs>
                <w:tab w:val="left" w:pos="567"/>
                <w:tab w:val="left" w:pos="1106"/>
                <w:tab w:val="left" w:pos="1956"/>
                <w:tab w:val="left" w:pos="5856"/>
                <w:tab w:val="left" w:pos="7296"/>
                <w:tab w:val="left" w:pos="7910"/>
              </w:tabs>
              <w:ind w:left="113" w:right="255"/>
              <w:jc w:val="left"/>
              <w:rPr>
                <w:sz w:val="18"/>
              </w:rPr>
            </w:pPr>
          </w:p>
          <w:p w:rsidR="00737D0E" w:rsidRPr="00987226" w:rsidRDefault="00737D0E" w:rsidP="00737D0E">
            <w:pPr>
              <w:tabs>
                <w:tab w:val="left" w:pos="567"/>
                <w:tab w:val="left" w:pos="1106"/>
                <w:tab w:val="left" w:pos="2976"/>
                <w:tab w:val="left" w:pos="5856"/>
                <w:tab w:val="left" w:pos="7296"/>
                <w:tab w:val="left" w:pos="7910"/>
              </w:tabs>
              <w:ind w:left="113" w:right="255"/>
              <w:jc w:val="left"/>
              <w:rPr>
                <w:sz w:val="18"/>
              </w:rPr>
            </w:pPr>
            <w:r>
              <w:tab/>
            </w:r>
            <w:r>
              <w:rPr>
                <w:sz w:val="18"/>
              </w:rPr>
              <w:t>4.2</w:t>
            </w:r>
            <w:r>
              <w:tab/>
            </w:r>
            <w:r>
              <w:rPr>
                <w:sz w:val="18"/>
              </w:rPr>
              <w:t>Methode zur Vermehrung der Sorte</w:t>
            </w:r>
          </w:p>
          <w:p w:rsidR="00737D0E" w:rsidRPr="00987226" w:rsidRDefault="00737D0E" w:rsidP="00737D0E">
            <w:pPr>
              <w:tabs>
                <w:tab w:val="left" w:pos="6705"/>
              </w:tabs>
              <w:ind w:left="113" w:right="255"/>
              <w:jc w:val="left"/>
              <w:rPr>
                <w:sz w:val="18"/>
              </w:rPr>
            </w:pPr>
          </w:p>
          <w:p w:rsidR="00737D0E" w:rsidRPr="00987226" w:rsidRDefault="00737D0E" w:rsidP="00737D0E">
            <w:pPr>
              <w:tabs>
                <w:tab w:val="left" w:pos="567"/>
                <w:tab w:val="left" w:pos="1106"/>
                <w:tab w:val="left" w:pos="1673"/>
                <w:tab w:val="left" w:pos="3941"/>
                <w:tab w:val="left" w:pos="5856"/>
                <w:tab w:val="left" w:pos="7296"/>
                <w:tab w:val="left" w:pos="7910"/>
              </w:tabs>
              <w:ind w:left="3941" w:right="255" w:hanging="3828"/>
              <w:jc w:val="left"/>
              <w:rPr>
                <w:sz w:val="18"/>
              </w:rPr>
            </w:pPr>
            <w:r>
              <w:tab/>
            </w:r>
            <w:r>
              <w:rPr>
                <w:sz w:val="18"/>
              </w:rPr>
              <w:t>{</w:t>
            </w:r>
            <w:bookmarkStart w:id="23" w:name="_Toc15713652"/>
            <w:r>
              <w:rPr>
                <w:sz w:val="18"/>
              </w:rPr>
              <w:t xml:space="preserve"> </w:t>
            </w:r>
            <w:r w:rsidRPr="00FF49CE">
              <w:rPr>
                <w:b/>
                <w:sz w:val="18"/>
                <w:bdr w:val="single" w:sz="12" w:space="0" w:color="auto"/>
                <w:shd w:val="pct12" w:color="auto" w:fill="auto"/>
              </w:rPr>
              <w:t>GN</w:t>
            </w:r>
            <w:r w:rsidRPr="00FF49CE">
              <w:rPr>
                <w:sz w:val="18"/>
                <w:bdr w:val="single" w:sz="12" w:space="0" w:color="auto"/>
              </w:rPr>
              <w:t xml:space="preserve"> 31</w:t>
            </w:r>
            <w:r>
              <w:t xml:space="preserve"> </w:t>
            </w:r>
            <w:r>
              <w:rPr>
                <w:sz w:val="18"/>
              </w:rPr>
              <w:t>(Kapitel 10: Technischer Fragebogen 4.2) – Informationen über die Methode zur Vermehrung der Sorte</w:t>
            </w:r>
            <w:bookmarkEnd w:id="23"/>
            <w:r>
              <w:t xml:space="preserve"> }</w:t>
            </w:r>
          </w:p>
          <w:p w:rsidR="00737D0E" w:rsidRPr="00987226" w:rsidRDefault="00737D0E" w:rsidP="00737D0E">
            <w:pPr>
              <w:tabs>
                <w:tab w:val="left" w:pos="1106"/>
                <w:tab w:val="left" w:pos="1673"/>
                <w:tab w:val="left" w:pos="3941"/>
                <w:tab w:val="left" w:pos="5856"/>
                <w:tab w:val="left" w:pos="7296"/>
                <w:tab w:val="left" w:pos="7910"/>
              </w:tabs>
              <w:ind w:left="3941" w:right="255" w:hanging="3374"/>
              <w:jc w:val="left"/>
              <w:rPr>
                <w:sz w:val="18"/>
              </w:rPr>
            </w:pPr>
            <w:r>
              <w:rPr>
                <w:sz w:val="18"/>
              </w:rPr>
              <w:t>{</w:t>
            </w:r>
            <w:bookmarkStart w:id="24" w:name="_Toc15713653"/>
            <w:r>
              <w:rPr>
                <w:sz w:val="18"/>
              </w:rPr>
              <w:t xml:space="preserve"> </w:t>
            </w:r>
            <w:r w:rsidRPr="00FF49CE">
              <w:rPr>
                <w:b/>
                <w:sz w:val="18"/>
                <w:highlight w:val="lightGray"/>
                <w:bdr w:val="single" w:sz="12" w:space="0" w:color="auto"/>
              </w:rPr>
              <w:t>GN</w:t>
            </w:r>
            <w:r w:rsidRPr="00FF49CE">
              <w:rPr>
                <w:sz w:val="18"/>
                <w:bdr w:val="single" w:sz="12" w:space="0" w:color="auto"/>
              </w:rPr>
              <w:t xml:space="preserve"> 32</w:t>
            </w:r>
            <w:r>
              <w:rPr>
                <w:sz w:val="18"/>
              </w:rPr>
              <w:t xml:space="preserve"> (Kapitel 10: Technischer Fragebogen 4.2) – Informationen über die Methode zur Vermehrung von Hybridsorten</w:t>
            </w:r>
            <w:bookmarkEnd w:id="24"/>
            <w:r>
              <w:t xml:space="preserve"> }</w:t>
            </w:r>
            <w:r>
              <w:rPr>
                <w:sz w:val="18"/>
              </w:rPr>
              <w:t xml:space="preserve"> </w:t>
            </w:r>
          </w:p>
          <w:p w:rsidR="00737D0E" w:rsidRPr="00987226" w:rsidRDefault="00737D0E" w:rsidP="00737D0E">
            <w:pPr>
              <w:tabs>
                <w:tab w:val="left" w:pos="1106"/>
                <w:tab w:val="left" w:pos="1673"/>
                <w:tab w:val="left" w:pos="3941"/>
                <w:tab w:val="left" w:pos="5856"/>
                <w:tab w:val="left" w:pos="7296"/>
                <w:tab w:val="left" w:pos="7910"/>
              </w:tabs>
              <w:ind w:left="3941" w:right="255" w:hanging="3374"/>
              <w:jc w:val="left"/>
              <w:rPr>
                <w:sz w:val="18"/>
              </w:rPr>
            </w:pPr>
          </w:p>
          <w:p w:rsidR="00737D0E" w:rsidRPr="00987226" w:rsidRDefault="00737D0E" w:rsidP="00737D0E">
            <w:pPr>
              <w:tabs>
                <w:tab w:val="left" w:pos="1106"/>
                <w:tab w:val="left" w:pos="1673"/>
                <w:tab w:val="left" w:pos="3941"/>
                <w:tab w:val="left" w:pos="5856"/>
                <w:tab w:val="left" w:pos="7296"/>
                <w:tab w:val="left" w:pos="7910"/>
              </w:tabs>
              <w:ind w:left="3941" w:right="255" w:hanging="3374"/>
              <w:jc w:val="left"/>
              <w:rPr>
                <w:sz w:val="18"/>
              </w:rPr>
            </w:pPr>
          </w:p>
          <w:p w:rsidR="00737D0E" w:rsidRPr="00987226" w:rsidRDefault="00737D0E" w:rsidP="007D6C5B">
            <w:pPr>
              <w:ind w:left="567" w:hanging="567"/>
              <w:rPr>
                <w:sz w:val="18"/>
              </w:rPr>
            </w:pPr>
            <w:r>
              <w:rPr>
                <w:rStyle w:val="FootnoteReference"/>
                <w:sz w:val="18"/>
              </w:rPr>
              <w:t>#</w:t>
            </w:r>
            <w:r>
              <w:tab/>
            </w:r>
            <w:r>
              <w:rPr>
                <w:sz w:val="18"/>
              </w:rPr>
              <w:t>Die Behörden könnten es zulassen, daß bestimmte dieser Auskünfte in einem vertraulichen Abschnitt des Technischen Fragebogens erteilt werden.</w:t>
            </w:r>
          </w:p>
        </w:tc>
      </w:tr>
    </w:tbl>
    <w:p w:rsidR="00051FA2" w:rsidRPr="00987226" w:rsidRDefault="00051FA2" w:rsidP="002E224A">
      <w:pPr>
        <w:rPr>
          <w:snapToGrid w:val="0"/>
        </w:rPr>
      </w:pPr>
    </w:p>
    <w:p w:rsidR="00064085" w:rsidRPr="00987226" w:rsidRDefault="00BA325E" w:rsidP="00064085">
      <w:pPr>
        <w:pStyle w:val="DecisionParagraphs"/>
      </w:pPr>
      <w:r w:rsidRPr="00987226">
        <w:rPr>
          <w:iCs/>
        </w:rPr>
        <w:fldChar w:fldCharType="begin"/>
      </w:r>
      <w:r w:rsidR="00E55FD8" w:rsidRPr="00987226">
        <w:rPr>
          <w:iCs/>
        </w:rPr>
        <w:instrText xml:space="preserve"> AUTONUM  </w:instrText>
      </w:r>
      <w:r w:rsidRPr="00987226">
        <w:rPr>
          <w:iCs/>
        </w:rPr>
        <w:fldChar w:fldCharType="end"/>
      </w:r>
      <w:r w:rsidR="00032D41">
        <w:tab/>
        <w:t>Der CAJ wird ersucht zu prüfen, ob die bestehende Anleitung in Dokument TGP/7</w:t>
      </w:r>
      <w:r w:rsidR="00282747">
        <w:t xml:space="preserve"> </w:t>
      </w:r>
      <w:r w:rsidR="00032D41">
        <w:t>„Erstellung von Prüfungsrichtlinien“, Anlage 1: TG-Mustervorlage, Abschnitt 4 „Informationen über Züchtungsschema und Vermehrung der Sorte” sowie die Fußnote einen geeigneten Ansatz darste</w:t>
      </w:r>
      <w:r w:rsidR="00FF49CE">
        <w:t>llt, um die Sachlage von Ersuch</w:t>
      </w:r>
      <w:r w:rsidR="00032D41">
        <w:t>en nach Zuchtformelinformation</w:t>
      </w:r>
      <w:r w:rsidR="00FF49CE">
        <w:t>en</w:t>
      </w:r>
      <w:r w:rsidR="00032D41">
        <w:t xml:space="preserve"> anzugehen oder ob weitere Anleitung zweckdienlich wäre.</w:t>
      </w:r>
    </w:p>
    <w:p w:rsidR="00064085" w:rsidRPr="00987226" w:rsidRDefault="00064085" w:rsidP="00AB3724"/>
    <w:p w:rsidR="00EC545A" w:rsidRPr="00987226" w:rsidRDefault="00EC545A" w:rsidP="009D070E">
      <w:pPr>
        <w:rPr>
          <w:strike/>
          <w:snapToGrid w:val="0"/>
        </w:rPr>
      </w:pPr>
    </w:p>
    <w:p w:rsidR="00EC545A" w:rsidRPr="00987226" w:rsidRDefault="00EC545A" w:rsidP="00C669D2">
      <w:pPr>
        <w:pStyle w:val="Heading2"/>
      </w:pPr>
      <w:bookmarkStart w:id="25" w:name="_Toc381102832"/>
      <w:bookmarkStart w:id="26" w:name="_Toc381102860"/>
      <w:bookmarkStart w:id="27" w:name="_Toc381170734"/>
      <w:bookmarkStart w:id="28" w:name="_Toc382820471"/>
      <w:r>
        <w:t>Elektronische Antragstellung</w:t>
      </w:r>
      <w:bookmarkEnd w:id="25"/>
      <w:bookmarkEnd w:id="26"/>
      <w:bookmarkEnd w:id="27"/>
      <w:bookmarkEnd w:id="28"/>
    </w:p>
    <w:p w:rsidR="00EC545A" w:rsidRPr="00987226" w:rsidRDefault="00EC545A" w:rsidP="006608AB">
      <w:pPr>
        <w:keepNext/>
        <w:rPr>
          <w:snapToGrid w:val="0"/>
          <w:u w:val="single"/>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6608AB" w:rsidRPr="00987226" w:rsidTr="00987226">
        <w:tc>
          <w:tcPr>
            <w:tcW w:w="8788" w:type="dxa"/>
          </w:tcPr>
          <w:p w:rsidR="006608AB" w:rsidRPr="002C4075" w:rsidRDefault="006608AB" w:rsidP="002C4075">
            <w:r>
              <w:t>[Auszug aus dem Schreiben des ISF – (original Englisch)]</w:t>
            </w:r>
          </w:p>
          <w:p w:rsidR="006608AB" w:rsidRPr="00987226" w:rsidRDefault="006608AB" w:rsidP="002C4075">
            <w:r>
              <w:rPr>
                <w:u w:val="single"/>
              </w:rPr>
              <w:t>Elektronische Antragsstellung</w:t>
            </w:r>
            <w:r>
              <w:t>: In manchen Ländern oder Regionen können Anträge elektronisch eingereicht werden, beispielsweise per E-Mail, während in anderen Ländern nur die Papierfassung zulässig ist.</w:t>
            </w:r>
            <w:r w:rsidR="00282747">
              <w:t xml:space="preserve"> </w:t>
            </w:r>
            <w:r>
              <w:t>Die ISF Mitglieder sprechen sich für eine Zulässigkeit des Antrags per E-Mail oder in anderer elektronischer Form sowie dafür aus, daß ein solches System in allen UPOV-Mitgliedstaaten eingeführt wird.</w:t>
            </w:r>
          </w:p>
        </w:tc>
      </w:tr>
    </w:tbl>
    <w:p w:rsidR="006608AB" w:rsidRPr="00987226" w:rsidRDefault="006608AB" w:rsidP="005A3D0C">
      <w:pPr>
        <w:rPr>
          <w:snapToGrid w:val="0"/>
        </w:rPr>
      </w:pPr>
    </w:p>
    <w:p w:rsidR="00064085" w:rsidRDefault="00BA325E" w:rsidP="000D74FC">
      <w:pPr>
        <w:keepNext/>
        <w:rPr>
          <w:snapToGrid w:val="0"/>
        </w:rPr>
      </w:pPr>
      <w:r w:rsidRPr="00295010">
        <w:rPr>
          <w:snapToGrid w:val="0"/>
        </w:rPr>
        <w:fldChar w:fldCharType="begin"/>
      </w:r>
      <w:r w:rsidR="00A8240F" w:rsidRPr="00295010">
        <w:rPr>
          <w:snapToGrid w:val="0"/>
        </w:rPr>
        <w:instrText xml:space="preserve"> AUTONUM  </w:instrText>
      </w:r>
      <w:r w:rsidRPr="00295010">
        <w:rPr>
          <w:snapToGrid w:val="0"/>
        </w:rPr>
        <w:fldChar w:fldCharType="end"/>
      </w:r>
      <w:r w:rsidR="00032D41">
        <w:tab/>
        <w:t>Der CAJ könnte folgende Initiativen in bezug auf elektronische Anträge zur Kenntnis nehmen:</w:t>
      </w:r>
    </w:p>
    <w:p w:rsidR="00064085" w:rsidRDefault="00064085" w:rsidP="000D74FC">
      <w:pPr>
        <w:keepNext/>
        <w:rPr>
          <w:snapToGrid w:val="0"/>
        </w:rPr>
      </w:pPr>
    </w:p>
    <w:p w:rsidR="00064085" w:rsidRDefault="00064085" w:rsidP="00064085">
      <w:pPr>
        <w:ind w:firstLine="567"/>
      </w:pPr>
      <w:r>
        <w:t>a)</w:t>
      </w:r>
      <w:r>
        <w:tab/>
        <w:t>das Projekt zur Ausarbeitung eines Prototyps eines elektronischen Formblatts (vergleiche Dokument CAJ/69/8 „Elektronische Systeme für die Einreichung von Anträgen“; und</w:t>
      </w:r>
    </w:p>
    <w:p w:rsidR="00064085" w:rsidRDefault="00064085" w:rsidP="00064085"/>
    <w:p w:rsidR="00064085" w:rsidRDefault="00C4212E" w:rsidP="00064085">
      <w:pPr>
        <w:ind w:firstLine="567"/>
        <w:rPr>
          <w:kern w:val="28"/>
        </w:rPr>
      </w:pPr>
      <w:r>
        <w:t>b)</w:t>
      </w:r>
      <w:r>
        <w:tab/>
        <w:t>die Befragung der Verbandsmitglieder über deren Nutzung der Datenbank für Pflanzensorten für Sortenschutzzwecke sowie über ihre Nutzung elektronischer Systeme für die Einreichung von Anträgen (vergleiche Dokument CAJ/69/6 „UPOV-Informationsdatenbanken“).</w:t>
      </w:r>
    </w:p>
    <w:p w:rsidR="00064085" w:rsidRDefault="00064085" w:rsidP="00064085">
      <w:pPr>
        <w:rPr>
          <w:snapToGrid w:val="0"/>
        </w:rPr>
      </w:pPr>
    </w:p>
    <w:p w:rsidR="00881DF5" w:rsidRPr="00987226" w:rsidRDefault="00BA325E" w:rsidP="00881DF5">
      <w:r>
        <w:fldChar w:fldCharType="begin"/>
      </w:r>
      <w:r w:rsidR="00326018">
        <w:instrText xml:space="preserve"> AUTONUM  </w:instrText>
      </w:r>
      <w:r>
        <w:fldChar w:fldCharType="end"/>
      </w:r>
      <w:r w:rsidR="00032D41">
        <w:tab/>
        <w:t>Der CAJ könnte prüfen, ob Anleitung in UPOV/INF/15 erarbeitet werden sollte betreffend die Möglichkeit, Anträge elektronisch einzureichen.</w:t>
      </w:r>
    </w:p>
    <w:p w:rsidR="006C72B6" w:rsidRDefault="006C72B6" w:rsidP="009D070E">
      <w:pPr>
        <w:rPr>
          <w:snapToGrid w:val="0"/>
          <w:highlight w:val="yellow"/>
          <w:u w:val="single"/>
        </w:rPr>
      </w:pPr>
    </w:p>
    <w:p w:rsidR="00326018" w:rsidRPr="00881DF5" w:rsidRDefault="00BA325E" w:rsidP="00064085">
      <w:pPr>
        <w:pStyle w:val="DecisionParagraphs"/>
        <w:rPr>
          <w:snapToGrid w:val="0"/>
        </w:rPr>
      </w:pPr>
      <w:r w:rsidRPr="00881DF5">
        <w:rPr>
          <w:iCs/>
        </w:rPr>
        <w:fldChar w:fldCharType="begin"/>
      </w:r>
      <w:r w:rsidR="00326018" w:rsidRPr="00881DF5">
        <w:rPr>
          <w:iCs/>
        </w:rPr>
        <w:instrText xml:space="preserve"> AUTONUM  </w:instrText>
      </w:r>
      <w:r w:rsidRPr="00881DF5">
        <w:rPr>
          <w:iCs/>
        </w:rPr>
        <w:fldChar w:fldCharType="end"/>
      </w:r>
      <w:r w:rsidR="00032D41">
        <w:tab/>
        <w:t>Der CAJ wird ersucht,</w:t>
      </w:r>
    </w:p>
    <w:p w:rsidR="00326018" w:rsidRPr="00881DF5" w:rsidRDefault="00326018" w:rsidP="00064085">
      <w:pPr>
        <w:pStyle w:val="DecisionParagraphs"/>
        <w:rPr>
          <w:snapToGrid w:val="0"/>
        </w:rPr>
      </w:pPr>
    </w:p>
    <w:p w:rsidR="00326018" w:rsidRPr="006359A2" w:rsidRDefault="00E0217B" w:rsidP="00AB3724">
      <w:pPr>
        <w:pStyle w:val="DecisionParagraphs"/>
        <w:tabs>
          <w:tab w:val="left" w:pos="5954"/>
        </w:tabs>
        <w:rPr>
          <w:rFonts w:eastAsia="SimSun"/>
          <w:spacing w:val="-2"/>
        </w:rPr>
      </w:pPr>
      <w:r>
        <w:tab/>
        <w:t>a)</w:t>
      </w:r>
      <w:r>
        <w:tab/>
        <w:t>die bestehenden Initiativen betreffend elektronische Anträge zur Kenntnis zu nehmen, wie in obigem Absatz 9 dargelegt; und</w:t>
      </w:r>
    </w:p>
    <w:p w:rsidR="00326018" w:rsidRPr="00881DF5" w:rsidRDefault="00326018" w:rsidP="00AB3724">
      <w:pPr>
        <w:pStyle w:val="DecisionParagraphs"/>
        <w:tabs>
          <w:tab w:val="left" w:pos="5954"/>
        </w:tabs>
        <w:rPr>
          <w:rFonts w:eastAsia="SimSun"/>
        </w:rPr>
      </w:pPr>
    </w:p>
    <w:p w:rsidR="00064085" w:rsidRPr="00987226" w:rsidRDefault="00E0217B" w:rsidP="00AB3724">
      <w:pPr>
        <w:pStyle w:val="DecisionParagraphs"/>
        <w:tabs>
          <w:tab w:val="left" w:pos="5954"/>
        </w:tabs>
      </w:pPr>
      <w:r>
        <w:tab/>
        <w:t>b)</w:t>
      </w:r>
      <w:r>
        <w:tab/>
        <w:t>zu prüfen, ob Anleitung in UPOV/INF/15 erarbeitet werden sollte betreffend die Möglichkeit, Anträge elektronisch einzureichen.</w:t>
      </w:r>
    </w:p>
    <w:p w:rsidR="00326018" w:rsidRDefault="00326018" w:rsidP="00064085">
      <w:pPr>
        <w:pStyle w:val="DecisionParagraphs"/>
        <w:rPr>
          <w:snapToGrid w:val="0"/>
          <w:highlight w:val="yellow"/>
          <w:u w:val="single"/>
        </w:rPr>
      </w:pPr>
    </w:p>
    <w:p w:rsidR="003E4AB9" w:rsidRPr="00881DF5" w:rsidRDefault="003E4AB9" w:rsidP="00064085">
      <w:pPr>
        <w:pStyle w:val="DecisionParagraphs"/>
        <w:rPr>
          <w:snapToGrid w:val="0"/>
          <w:highlight w:val="yellow"/>
          <w:u w:val="single"/>
        </w:rPr>
      </w:pPr>
    </w:p>
    <w:p w:rsidR="009C51FE" w:rsidRPr="00987226" w:rsidRDefault="00DB6F29" w:rsidP="00C669D2">
      <w:pPr>
        <w:pStyle w:val="Heading2"/>
      </w:pPr>
      <w:bookmarkStart w:id="29" w:name="_Toc381102833"/>
      <w:bookmarkStart w:id="30" w:name="_Toc381102861"/>
      <w:bookmarkStart w:id="31" w:name="_Toc381170735"/>
      <w:bookmarkStart w:id="32" w:name="_Toc382820472"/>
      <w:r>
        <w:lastRenderedPageBreak/>
        <w:t>Schriftwechsel</w:t>
      </w:r>
      <w:bookmarkEnd w:id="29"/>
      <w:bookmarkEnd w:id="30"/>
      <w:bookmarkEnd w:id="31"/>
      <w:bookmarkEnd w:id="32"/>
      <w:r>
        <w:t xml:space="preserve"> </w:t>
      </w:r>
    </w:p>
    <w:p w:rsidR="00987226" w:rsidRPr="00987226" w:rsidRDefault="00987226" w:rsidP="00987226">
      <w:pPr>
        <w:keepNext/>
        <w:rPr>
          <w:snapToGrid w:val="0"/>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987226" w:rsidRPr="00987226" w:rsidTr="00987226">
        <w:trPr>
          <w:cantSplit/>
        </w:trPr>
        <w:tc>
          <w:tcPr>
            <w:tcW w:w="8788" w:type="dxa"/>
          </w:tcPr>
          <w:p w:rsidR="00987226" w:rsidRPr="002C4075" w:rsidRDefault="00987226" w:rsidP="002C4075">
            <w:pPr>
              <w:rPr>
                <w:sz w:val="18"/>
                <w:szCs w:val="18"/>
              </w:rPr>
            </w:pPr>
            <w:r>
              <w:rPr>
                <w:sz w:val="18"/>
                <w:szCs w:val="18"/>
              </w:rPr>
              <w:t>[Auszug aus dem Schreiben des ISF – (original Englisch)]</w:t>
            </w:r>
          </w:p>
          <w:p w:rsidR="00987226" w:rsidRPr="00AB28D5" w:rsidRDefault="00987226" w:rsidP="002C4075">
            <w:r>
              <w:rPr>
                <w:sz w:val="18"/>
                <w:szCs w:val="18"/>
                <w:u w:val="single"/>
              </w:rPr>
              <w:t>Schriftwechsel</w:t>
            </w:r>
            <w:r>
              <w:rPr>
                <w:sz w:val="18"/>
                <w:szCs w:val="18"/>
              </w:rPr>
              <w:t>: In manchen Ländern schickt das Züchterrechtsamt Schriftstücke an den örtlichen Vertreter und nicht an den Antragsteller, da sich dieser in einem anderen Land aufhalten kann.</w:t>
            </w:r>
            <w:r w:rsidR="00282747">
              <w:rPr>
                <w:sz w:val="18"/>
                <w:szCs w:val="18"/>
              </w:rPr>
              <w:t xml:space="preserve"> </w:t>
            </w:r>
            <w:r>
              <w:rPr>
                <w:sz w:val="18"/>
                <w:szCs w:val="18"/>
              </w:rPr>
              <w:t>Dies könnte unerwünschte und riskante Verzögerungen zur Folge haben, etwa dann, wenn ein Antragsteller bis zu einem bestimmten Termin eine Antwort braucht.</w:t>
            </w:r>
            <w:r w:rsidR="00282747">
              <w:rPr>
                <w:sz w:val="18"/>
                <w:szCs w:val="18"/>
              </w:rPr>
              <w:t xml:space="preserve"> </w:t>
            </w:r>
            <w:r>
              <w:rPr>
                <w:sz w:val="18"/>
                <w:szCs w:val="18"/>
              </w:rPr>
              <w:t>Die ISF-Mitglieder sind der Auffassung, daß solche Schriftstücke vorzugsweise per E-Mail an die vom Antragsteller angegebene Adresse geschickt werden sollten.</w:t>
            </w:r>
            <w:r w:rsidR="00282747">
              <w:rPr>
                <w:sz w:val="18"/>
                <w:szCs w:val="18"/>
              </w:rPr>
              <w:t xml:space="preserve"> </w:t>
            </w:r>
            <w:r>
              <w:rPr>
                <w:sz w:val="18"/>
                <w:szCs w:val="18"/>
              </w:rPr>
              <w:t>Es kommt hinzu, daß es häufig schwierig ist, einen mit den lokalen PBR-Vorschriften vertrauten örtlichen Vertreter zu finden.</w:t>
            </w:r>
            <w:r w:rsidR="00282747">
              <w:rPr>
                <w:sz w:val="18"/>
                <w:szCs w:val="18"/>
              </w:rPr>
              <w:t xml:space="preserve"> </w:t>
            </w:r>
            <w:r>
              <w:rPr>
                <w:sz w:val="18"/>
                <w:szCs w:val="18"/>
              </w:rPr>
              <w:t>In jedem Fall sollte sowohl der örtliche Vertreter als auch der Antragsteller informiert werden.</w:t>
            </w:r>
            <w:r w:rsidR="00282747">
              <w:rPr>
                <w:sz w:val="18"/>
                <w:szCs w:val="18"/>
              </w:rPr>
              <w:t xml:space="preserve"> </w:t>
            </w:r>
            <w:r>
              <w:rPr>
                <w:sz w:val="18"/>
                <w:szCs w:val="18"/>
              </w:rPr>
              <w:t>In Ländern, deren Landessprache nicht das Englische ist, sollte sichergestellt werden, daß der Schriftwechsel in englischer Sprache geführt werden kann.</w:t>
            </w:r>
          </w:p>
        </w:tc>
      </w:tr>
    </w:tbl>
    <w:p w:rsidR="00BE38A2" w:rsidRPr="008E2023" w:rsidRDefault="00BE38A2" w:rsidP="009D070E">
      <w:pPr>
        <w:rPr>
          <w:snapToGrid w:val="0"/>
        </w:rPr>
      </w:pPr>
    </w:p>
    <w:p w:rsidR="008E2023" w:rsidRDefault="00BA325E" w:rsidP="008E2023">
      <w:r w:rsidRPr="008E2023">
        <w:rPr>
          <w:snapToGrid w:val="0"/>
        </w:rPr>
        <w:fldChar w:fldCharType="begin"/>
      </w:r>
      <w:r w:rsidR="007C0383" w:rsidRPr="008E2023">
        <w:rPr>
          <w:snapToGrid w:val="0"/>
        </w:rPr>
        <w:instrText xml:space="preserve"> AUTONUM  </w:instrText>
      </w:r>
      <w:r w:rsidRPr="008E2023">
        <w:rPr>
          <w:snapToGrid w:val="0"/>
        </w:rPr>
        <w:fldChar w:fldCharType="end"/>
      </w:r>
      <w:r w:rsidR="00032D41">
        <w:tab/>
        <w:t>Dokument TGP/5, Abschnitt 2 „UPOV-Musterformblatt für die Anmeldung einer Sorte zur Erteilung des Sortenschutzes“ gibt hinsichtlich Schriftwechsel folgendes an (vergleiche die unten stehend wiedergegebenen Punkte 1 und 2 von TGP/5 Abschnitt 2).</w:t>
      </w:r>
    </w:p>
    <w:p w:rsidR="00044C9F" w:rsidRDefault="00044C9F" w:rsidP="008E2023"/>
    <w:p w:rsidR="003E4AB9" w:rsidRDefault="003E4AB9" w:rsidP="003E4AB9">
      <w:pPr>
        <w:jc w:val="center"/>
      </w:pPr>
      <w:r w:rsidRPr="005F1E98">
        <w:t>UPOV-MUSTERFORMBLATT FÜR DIE ANMELDUNG EINER SORTE</w:t>
      </w:r>
      <w:r w:rsidRPr="005F1E98">
        <w:br/>
        <w:t>ZUR ERTEILUNG DES SORTENSCHUTZES</w:t>
      </w:r>
    </w:p>
    <w:p w:rsidR="003E4AB9" w:rsidRDefault="003E4AB9" w:rsidP="008E2023"/>
    <w:tbl>
      <w:tblPr>
        <w:tblW w:w="10434" w:type="dxa"/>
        <w:tblLayout w:type="fixed"/>
        <w:tblCellMar>
          <w:left w:w="57" w:type="dxa"/>
          <w:right w:w="57" w:type="dxa"/>
        </w:tblCellMar>
        <w:tblLook w:val="0000" w:firstRow="0" w:lastRow="0" w:firstColumn="0" w:lastColumn="0" w:noHBand="0" w:noVBand="0"/>
      </w:tblPr>
      <w:tblGrid>
        <w:gridCol w:w="3347"/>
        <w:gridCol w:w="1453"/>
        <w:gridCol w:w="2681"/>
        <w:gridCol w:w="1762"/>
        <w:gridCol w:w="142"/>
        <w:gridCol w:w="1049"/>
      </w:tblGrid>
      <w:tr w:rsidR="00044C9F" w:rsidRPr="00D71005" w:rsidTr="00362E55">
        <w:trPr>
          <w:cantSplit/>
        </w:trPr>
        <w:tc>
          <w:tcPr>
            <w:tcW w:w="3347" w:type="dxa"/>
            <w:vAlign w:val="center"/>
          </w:tcPr>
          <w:p w:rsidR="00044C9F" w:rsidRPr="00D71005" w:rsidRDefault="006069E4" w:rsidP="006069E4">
            <w:pPr>
              <w:jc w:val="left"/>
              <w:rPr>
                <w:sz w:val="14"/>
              </w:rPr>
            </w:pPr>
            <w:r w:rsidRPr="00D71005">
              <w:rPr>
                <w:sz w:val="14"/>
              </w:rPr>
              <w:t>(Behörde, bei der die Anmeldung</w:t>
            </w:r>
            <w:r w:rsidRPr="00D71005">
              <w:rPr>
                <w:sz w:val="14"/>
              </w:rPr>
              <w:br/>
            </w:r>
            <w:r w:rsidR="00044C9F" w:rsidRPr="00D71005">
              <w:rPr>
                <w:sz w:val="14"/>
              </w:rPr>
              <w:t>eingereicht wird)</w:t>
            </w:r>
          </w:p>
        </w:tc>
        <w:tc>
          <w:tcPr>
            <w:tcW w:w="4134" w:type="dxa"/>
            <w:gridSpan w:val="2"/>
            <w:vAlign w:val="center"/>
          </w:tcPr>
          <w:p w:rsidR="00044C9F" w:rsidRPr="00D71005" w:rsidRDefault="00044C9F" w:rsidP="005A7D7C">
            <w:pPr>
              <w:spacing w:line="240" w:lineRule="atLeast"/>
              <w:jc w:val="center"/>
              <w:rPr>
                <w:sz w:val="14"/>
              </w:rPr>
            </w:pPr>
            <w:r w:rsidRPr="00D71005">
              <w:rPr>
                <w:sz w:val="14"/>
              </w:rPr>
              <w:t>HINWEIS:  Zuerst Erläuterungen lesen</w:t>
            </w:r>
          </w:p>
        </w:tc>
        <w:tc>
          <w:tcPr>
            <w:tcW w:w="2953" w:type="dxa"/>
            <w:gridSpan w:val="3"/>
            <w:vAlign w:val="center"/>
          </w:tcPr>
          <w:p w:rsidR="00044C9F" w:rsidRPr="00D71005" w:rsidRDefault="00044C9F" w:rsidP="005A7D7C">
            <w:pPr>
              <w:spacing w:line="240" w:lineRule="atLeast"/>
              <w:jc w:val="right"/>
              <w:rPr>
                <w:sz w:val="14"/>
              </w:rPr>
            </w:pPr>
            <w:r w:rsidRPr="00D71005">
              <w:rPr>
                <w:sz w:val="14"/>
              </w:rPr>
              <w:t>(Aktenzeichen)</w:t>
            </w:r>
          </w:p>
          <w:p w:rsidR="00044C9F" w:rsidRPr="00D71005" w:rsidRDefault="00044C9F" w:rsidP="005A7D7C">
            <w:pPr>
              <w:jc w:val="right"/>
              <w:rPr>
                <w:sz w:val="14"/>
              </w:rPr>
            </w:pPr>
            <w:r w:rsidRPr="00D71005">
              <w:rPr>
                <w:sz w:val="14"/>
              </w:rPr>
              <w:t>(Datum des Eingangs)</w:t>
            </w:r>
          </w:p>
        </w:tc>
      </w:tr>
      <w:tr w:rsidR="00044C9F" w:rsidRPr="00D71005" w:rsidTr="00362E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4800" w:type="dxa"/>
            <w:gridSpan w:val="2"/>
            <w:vMerge w:val="restart"/>
          </w:tcPr>
          <w:p w:rsidR="00044C9F" w:rsidRPr="00D71005" w:rsidRDefault="00044C9F" w:rsidP="005A7D7C">
            <w:pPr>
              <w:spacing w:before="40"/>
              <w:rPr>
                <w:color w:val="000000"/>
                <w:sz w:val="14"/>
              </w:rPr>
            </w:pPr>
            <w:r w:rsidRPr="00D71005">
              <w:rPr>
                <w:sz w:val="14"/>
              </w:rPr>
              <w:t>1.(a)</w:t>
            </w:r>
            <w:r w:rsidRPr="00D71005">
              <w:rPr>
                <w:sz w:val="14"/>
              </w:rPr>
              <w:tab/>
              <w:t xml:space="preserve"> Anmelder</w:t>
            </w:r>
            <w:r w:rsidR="00D71005" w:rsidRPr="00D71005">
              <w:rPr>
                <w:sz w:val="14"/>
                <w:vertAlign w:val="superscript"/>
              </w:rPr>
              <w:t>1</w:t>
            </w:r>
          </w:p>
          <w:p w:rsidR="00044C9F" w:rsidRPr="00D71005" w:rsidRDefault="00044C9F" w:rsidP="005A7D7C">
            <w:pPr>
              <w:tabs>
                <w:tab w:val="left" w:pos="199"/>
                <w:tab w:val="left" w:pos="1334"/>
                <w:tab w:val="right" w:pos="4607"/>
              </w:tabs>
              <w:spacing w:before="120"/>
              <w:rPr>
                <w:snapToGrid w:val="0"/>
                <w:sz w:val="14"/>
                <w:szCs w:val="22"/>
              </w:rPr>
            </w:pPr>
            <w:r w:rsidRPr="00D71005">
              <w:rPr>
                <w:color w:val="000000"/>
                <w:sz w:val="14"/>
              </w:rPr>
              <w:tab/>
            </w:r>
            <w:r w:rsidRPr="00D71005">
              <w:rPr>
                <w:color w:val="000000"/>
                <w:sz w:val="14"/>
                <w:lang w:val="de-CH"/>
              </w:rPr>
              <w:t>N</w:t>
            </w:r>
            <w:r w:rsidRPr="00D71005">
              <w:rPr>
                <w:sz w:val="14"/>
                <w:lang w:val="de-CH"/>
              </w:rPr>
              <w:t>ame(n)</w:t>
            </w:r>
            <w:r w:rsidRPr="00D71005">
              <w:rPr>
                <w:sz w:val="14"/>
                <w:lang w:val="de-CH"/>
              </w:rPr>
              <w:tab/>
            </w:r>
            <w:r w:rsidRPr="00D71005">
              <w:rPr>
                <w:sz w:val="14"/>
                <w:u w:val="single"/>
              </w:rPr>
              <w:tab/>
            </w:r>
            <w:r w:rsidRPr="00D71005">
              <w:rPr>
                <w:sz w:val="14"/>
                <w:u w:val="single"/>
              </w:rPr>
              <w:br/>
            </w:r>
            <w:r w:rsidRPr="00D71005">
              <w:rPr>
                <w:snapToGrid w:val="0"/>
                <w:sz w:val="14"/>
                <w:szCs w:val="22"/>
              </w:rPr>
              <w:tab/>
              <w:t xml:space="preserve">   </w:t>
            </w:r>
            <w:r w:rsidRPr="00D71005">
              <w:rPr>
                <w:i/>
                <w:snapToGrid w:val="0"/>
                <w:sz w:val="14"/>
                <w:szCs w:val="16"/>
              </w:rPr>
              <w:t>UPOV-A1: 1(a)(i)</w:t>
            </w:r>
            <w:r w:rsidR="00D71005" w:rsidRPr="00D71005">
              <w:rPr>
                <w:i/>
                <w:snapToGrid w:val="0"/>
                <w:sz w:val="14"/>
                <w:szCs w:val="16"/>
                <w:vertAlign w:val="superscript"/>
              </w:rPr>
              <w:t>#</w:t>
            </w:r>
          </w:p>
          <w:p w:rsidR="00044C9F" w:rsidRPr="00D71005" w:rsidRDefault="00044C9F" w:rsidP="005A7D7C">
            <w:pPr>
              <w:tabs>
                <w:tab w:val="left" w:pos="199"/>
                <w:tab w:val="left" w:pos="1334"/>
                <w:tab w:val="right" w:pos="4607"/>
              </w:tabs>
              <w:rPr>
                <w:snapToGrid w:val="0"/>
                <w:sz w:val="14"/>
                <w:szCs w:val="12"/>
              </w:rPr>
            </w:pPr>
            <w:r w:rsidRPr="00D71005">
              <w:rPr>
                <w:sz w:val="14"/>
              </w:rPr>
              <w:tab/>
            </w:r>
            <w:r w:rsidRPr="00D71005">
              <w:rPr>
                <w:sz w:val="14"/>
                <w:lang w:val="de-CH"/>
              </w:rPr>
              <w:t>Anschrift(en)</w:t>
            </w:r>
            <w:r w:rsidRPr="00D71005">
              <w:rPr>
                <w:sz w:val="14"/>
                <w:lang w:val="de-CH"/>
              </w:rPr>
              <w:tab/>
            </w:r>
            <w:r w:rsidRPr="00D71005">
              <w:rPr>
                <w:sz w:val="14"/>
                <w:u w:val="single"/>
                <w:lang w:val="de-CH"/>
              </w:rPr>
              <w:t xml:space="preserve"> </w:t>
            </w:r>
            <w:r w:rsidRPr="00D71005">
              <w:rPr>
                <w:sz w:val="14"/>
                <w:u w:val="single"/>
              </w:rPr>
              <w:t xml:space="preserve"> </w:t>
            </w:r>
            <w:r w:rsidRPr="00D71005">
              <w:rPr>
                <w:sz w:val="14"/>
                <w:u w:val="single"/>
              </w:rPr>
              <w:tab/>
            </w:r>
            <w:r w:rsidRPr="00D71005">
              <w:rPr>
                <w:sz w:val="14"/>
                <w:u w:val="single"/>
              </w:rPr>
              <w:br/>
            </w:r>
            <w:r w:rsidRPr="00D71005">
              <w:rPr>
                <w:sz w:val="14"/>
              </w:rPr>
              <w:tab/>
              <w:t xml:space="preserve">  </w:t>
            </w:r>
            <w:r w:rsidRPr="00D71005">
              <w:rPr>
                <w:snapToGrid w:val="0"/>
                <w:sz w:val="14"/>
                <w:szCs w:val="22"/>
              </w:rPr>
              <w:t xml:space="preserve"> </w:t>
            </w:r>
            <w:r w:rsidRPr="00D71005">
              <w:rPr>
                <w:i/>
                <w:snapToGrid w:val="0"/>
                <w:sz w:val="14"/>
                <w:szCs w:val="16"/>
              </w:rPr>
              <w:t>UPOV-A1: 1(a)(ii)</w:t>
            </w:r>
          </w:p>
          <w:p w:rsidR="00044C9F" w:rsidRPr="00D71005" w:rsidRDefault="00044C9F" w:rsidP="005A7D7C">
            <w:pPr>
              <w:tabs>
                <w:tab w:val="left" w:pos="199"/>
                <w:tab w:val="left" w:pos="1334"/>
                <w:tab w:val="right" w:pos="4607"/>
              </w:tabs>
              <w:rPr>
                <w:sz w:val="14"/>
                <w:szCs w:val="12"/>
                <w:u w:val="single"/>
              </w:rPr>
            </w:pPr>
            <w:r w:rsidRPr="00D71005">
              <w:rPr>
                <w:snapToGrid w:val="0"/>
                <w:sz w:val="14"/>
                <w:szCs w:val="12"/>
              </w:rPr>
              <w:tab/>
            </w:r>
            <w:r w:rsidRPr="00D71005">
              <w:rPr>
                <w:sz w:val="14"/>
                <w:szCs w:val="12"/>
              </w:rPr>
              <w:tab/>
            </w:r>
            <w:r w:rsidRPr="00D71005">
              <w:rPr>
                <w:sz w:val="14"/>
                <w:szCs w:val="12"/>
                <w:u w:val="single"/>
              </w:rPr>
              <w:tab/>
            </w:r>
          </w:p>
          <w:p w:rsidR="00044C9F" w:rsidRPr="00D71005" w:rsidRDefault="00044C9F" w:rsidP="005A7D7C">
            <w:pPr>
              <w:tabs>
                <w:tab w:val="left" w:pos="1334"/>
                <w:tab w:val="right" w:pos="4607"/>
              </w:tabs>
              <w:spacing w:before="120"/>
              <w:rPr>
                <w:sz w:val="14"/>
                <w:u w:val="single"/>
              </w:rPr>
            </w:pPr>
            <w:r w:rsidRPr="00D71005">
              <w:rPr>
                <w:sz w:val="14"/>
              </w:rPr>
              <w:tab/>
            </w:r>
            <w:r w:rsidRPr="00D71005">
              <w:rPr>
                <w:sz w:val="14"/>
                <w:u w:val="single"/>
              </w:rPr>
              <w:tab/>
            </w:r>
          </w:p>
          <w:p w:rsidR="00044C9F" w:rsidRPr="00D71005" w:rsidRDefault="00044C9F" w:rsidP="005A7D7C">
            <w:pPr>
              <w:tabs>
                <w:tab w:val="left" w:pos="199"/>
                <w:tab w:val="left" w:pos="1901"/>
                <w:tab w:val="right" w:pos="4607"/>
              </w:tabs>
              <w:spacing w:before="120"/>
              <w:rPr>
                <w:sz w:val="14"/>
              </w:rPr>
            </w:pPr>
            <w:r w:rsidRPr="00D71005">
              <w:rPr>
                <w:color w:val="000000"/>
                <w:sz w:val="14"/>
              </w:rPr>
              <w:tab/>
            </w:r>
            <w:r w:rsidRPr="00D71005">
              <w:rPr>
                <w:color w:val="000000"/>
                <w:sz w:val="14"/>
                <w:lang w:val="de-CH"/>
              </w:rPr>
              <w:t>Telefonnummer(n)</w:t>
            </w:r>
            <w:r w:rsidRPr="00D71005">
              <w:rPr>
                <w:color w:val="000000"/>
                <w:sz w:val="14"/>
              </w:rPr>
              <w:tab/>
            </w:r>
            <w:r w:rsidRPr="00D71005">
              <w:rPr>
                <w:sz w:val="14"/>
                <w:u w:val="single"/>
              </w:rPr>
              <w:tab/>
            </w:r>
            <w:r w:rsidRPr="00D71005">
              <w:rPr>
                <w:sz w:val="14"/>
                <w:u w:val="single"/>
              </w:rPr>
              <w:br/>
            </w:r>
            <w:r w:rsidRPr="00D71005">
              <w:rPr>
                <w:snapToGrid w:val="0"/>
                <w:sz w:val="14"/>
                <w:szCs w:val="22"/>
              </w:rPr>
              <w:tab/>
              <w:t xml:space="preserve">   </w:t>
            </w:r>
            <w:r w:rsidRPr="00D71005">
              <w:rPr>
                <w:i/>
                <w:snapToGrid w:val="0"/>
                <w:sz w:val="14"/>
                <w:szCs w:val="16"/>
              </w:rPr>
              <w:t>UPOV-A1: 1(a)(iii)</w:t>
            </w:r>
          </w:p>
          <w:p w:rsidR="00044C9F" w:rsidRPr="00D71005" w:rsidRDefault="00044C9F" w:rsidP="005A7D7C">
            <w:pPr>
              <w:tabs>
                <w:tab w:val="left" w:pos="199"/>
                <w:tab w:val="left" w:pos="1901"/>
                <w:tab w:val="right" w:pos="4607"/>
              </w:tabs>
              <w:rPr>
                <w:sz w:val="14"/>
                <w:u w:val="single"/>
              </w:rPr>
            </w:pPr>
            <w:r w:rsidRPr="00D71005">
              <w:rPr>
                <w:color w:val="000000"/>
                <w:sz w:val="14"/>
              </w:rPr>
              <w:tab/>
            </w:r>
            <w:r w:rsidRPr="00D71005">
              <w:rPr>
                <w:color w:val="000000"/>
                <w:sz w:val="14"/>
                <w:lang w:val="pt-BR"/>
              </w:rPr>
              <w:t>Faxnummer(n)</w:t>
            </w:r>
            <w:r w:rsidRPr="00D71005">
              <w:rPr>
                <w:sz w:val="14"/>
              </w:rPr>
              <w:tab/>
            </w:r>
            <w:r w:rsidRPr="00D71005">
              <w:rPr>
                <w:sz w:val="14"/>
                <w:u w:val="single"/>
              </w:rPr>
              <w:tab/>
            </w:r>
            <w:r w:rsidRPr="00D71005">
              <w:rPr>
                <w:sz w:val="14"/>
                <w:u w:val="single"/>
              </w:rPr>
              <w:br/>
            </w:r>
            <w:r w:rsidRPr="00D71005">
              <w:rPr>
                <w:snapToGrid w:val="0"/>
                <w:sz w:val="14"/>
                <w:szCs w:val="22"/>
              </w:rPr>
              <w:tab/>
              <w:t xml:space="preserve">  </w:t>
            </w:r>
            <w:r w:rsidRPr="00D71005">
              <w:rPr>
                <w:i/>
                <w:snapToGrid w:val="0"/>
                <w:sz w:val="14"/>
                <w:szCs w:val="22"/>
              </w:rPr>
              <w:t xml:space="preserve"> </w:t>
            </w:r>
            <w:r w:rsidRPr="00D71005">
              <w:rPr>
                <w:i/>
                <w:snapToGrid w:val="0"/>
                <w:sz w:val="14"/>
                <w:szCs w:val="16"/>
              </w:rPr>
              <w:t>UPOV-A1: 1(a)(iv)</w:t>
            </w:r>
          </w:p>
          <w:p w:rsidR="00044C9F" w:rsidRPr="00D71005" w:rsidRDefault="00044C9F" w:rsidP="005A7D7C">
            <w:pPr>
              <w:tabs>
                <w:tab w:val="left" w:pos="199"/>
                <w:tab w:val="left" w:pos="1901"/>
                <w:tab w:val="right" w:pos="4607"/>
              </w:tabs>
              <w:rPr>
                <w:sz w:val="14"/>
                <w:lang w:val="fr-FR"/>
              </w:rPr>
            </w:pPr>
            <w:r w:rsidRPr="00D71005">
              <w:rPr>
                <w:color w:val="000000"/>
                <w:sz w:val="14"/>
              </w:rPr>
              <w:tab/>
            </w:r>
            <w:r w:rsidRPr="00D71005">
              <w:rPr>
                <w:color w:val="000000"/>
                <w:sz w:val="14"/>
                <w:lang w:val="pt-BR"/>
              </w:rPr>
              <w:t>E-Mail-Adresse(n)</w:t>
            </w:r>
            <w:r w:rsidRPr="00D71005">
              <w:rPr>
                <w:color w:val="000000"/>
                <w:sz w:val="14"/>
                <w:lang w:val="fr-FR"/>
              </w:rPr>
              <w:tab/>
            </w:r>
            <w:r w:rsidRPr="00D71005">
              <w:rPr>
                <w:sz w:val="14"/>
                <w:u w:val="single"/>
                <w:lang w:val="fr-FR"/>
              </w:rPr>
              <w:tab/>
            </w:r>
          </w:p>
          <w:p w:rsidR="00044C9F" w:rsidRPr="00D71005" w:rsidRDefault="00044C9F" w:rsidP="005A7D7C">
            <w:pPr>
              <w:tabs>
                <w:tab w:val="left" w:pos="199"/>
                <w:tab w:val="left" w:pos="1334"/>
                <w:tab w:val="right" w:pos="4607"/>
              </w:tabs>
              <w:rPr>
                <w:i/>
                <w:sz w:val="14"/>
                <w:lang w:val="fr-FR"/>
              </w:rPr>
            </w:pPr>
            <w:r w:rsidRPr="00D71005">
              <w:rPr>
                <w:snapToGrid w:val="0"/>
                <w:sz w:val="14"/>
                <w:szCs w:val="22"/>
                <w:lang w:val="fr-FR"/>
              </w:rPr>
              <w:tab/>
              <w:t xml:space="preserve">   </w:t>
            </w:r>
            <w:r w:rsidRPr="00D71005">
              <w:rPr>
                <w:i/>
                <w:snapToGrid w:val="0"/>
                <w:sz w:val="14"/>
                <w:szCs w:val="16"/>
                <w:lang w:val="fr-FR"/>
              </w:rPr>
              <w:t>UPOV-A1: 1(a)(v)</w:t>
            </w:r>
          </w:p>
          <w:p w:rsidR="00044C9F" w:rsidRPr="00D71005" w:rsidRDefault="00044C9F" w:rsidP="005A7D7C">
            <w:pPr>
              <w:tabs>
                <w:tab w:val="left" w:pos="199"/>
                <w:tab w:val="left" w:pos="567"/>
                <w:tab w:val="right" w:pos="4607"/>
              </w:tabs>
              <w:rPr>
                <w:sz w:val="14"/>
                <w:u w:val="single"/>
                <w:lang w:val="fr-FR"/>
              </w:rPr>
            </w:pPr>
            <w:r w:rsidRPr="00D71005">
              <w:rPr>
                <w:sz w:val="14"/>
                <w:lang w:val="fr-FR"/>
              </w:rPr>
              <w:tab/>
              <w:t>(b)</w:t>
            </w:r>
            <w:r w:rsidRPr="00D71005">
              <w:rPr>
                <w:sz w:val="14"/>
                <w:lang w:val="fr-FR"/>
              </w:rPr>
              <w:tab/>
              <w:t xml:space="preserve"> Staatsangehörigkeit(en): </w:t>
            </w:r>
            <w:r w:rsidRPr="00D71005">
              <w:rPr>
                <w:sz w:val="14"/>
                <w:u w:val="single"/>
                <w:lang w:val="fr-FR"/>
              </w:rPr>
              <w:tab/>
            </w:r>
          </w:p>
          <w:p w:rsidR="00044C9F" w:rsidRPr="00D71005" w:rsidRDefault="00044C9F" w:rsidP="005A7D7C">
            <w:pPr>
              <w:tabs>
                <w:tab w:val="left" w:pos="199"/>
                <w:tab w:val="left" w:pos="1334"/>
                <w:tab w:val="right" w:pos="4607"/>
              </w:tabs>
              <w:rPr>
                <w:i/>
                <w:sz w:val="14"/>
              </w:rPr>
            </w:pPr>
            <w:r w:rsidRPr="00D71005">
              <w:rPr>
                <w:snapToGrid w:val="0"/>
                <w:sz w:val="14"/>
                <w:szCs w:val="22"/>
                <w:lang w:val="fr-FR"/>
              </w:rPr>
              <w:tab/>
              <w:t xml:space="preserve">   </w:t>
            </w:r>
            <w:r w:rsidRPr="00D71005">
              <w:rPr>
                <w:i/>
                <w:snapToGrid w:val="0"/>
                <w:sz w:val="14"/>
                <w:szCs w:val="16"/>
              </w:rPr>
              <w:t>UPOV-A1: 1(b)</w:t>
            </w:r>
          </w:p>
          <w:p w:rsidR="00044C9F" w:rsidRPr="00D71005" w:rsidRDefault="00044C9F" w:rsidP="005A7D7C">
            <w:pPr>
              <w:tabs>
                <w:tab w:val="left" w:pos="199"/>
                <w:tab w:val="left" w:pos="567"/>
                <w:tab w:val="right" w:pos="4607"/>
              </w:tabs>
              <w:ind w:right="-85"/>
              <w:rPr>
                <w:sz w:val="14"/>
              </w:rPr>
            </w:pPr>
            <w:r w:rsidRPr="00D71005">
              <w:rPr>
                <w:sz w:val="14"/>
              </w:rPr>
              <w:tab/>
              <w:t>(c)</w:t>
            </w:r>
            <w:r w:rsidRPr="00D71005">
              <w:rPr>
                <w:sz w:val="14"/>
              </w:rPr>
              <w:tab/>
              <w:t xml:space="preserve"> Wohnsitz (Staat):</w:t>
            </w:r>
            <w:r w:rsidRPr="00D71005">
              <w:rPr>
                <w:sz w:val="14"/>
              </w:rPr>
              <w:tab/>
              <w:t>______________________</w:t>
            </w:r>
          </w:p>
          <w:p w:rsidR="00044C9F" w:rsidRPr="00D71005" w:rsidRDefault="00044C9F" w:rsidP="005A7D7C">
            <w:pPr>
              <w:tabs>
                <w:tab w:val="left" w:pos="199"/>
                <w:tab w:val="left" w:pos="1334"/>
              </w:tabs>
              <w:rPr>
                <w:i/>
                <w:sz w:val="14"/>
              </w:rPr>
            </w:pPr>
            <w:r w:rsidRPr="00D71005">
              <w:rPr>
                <w:snapToGrid w:val="0"/>
                <w:sz w:val="14"/>
                <w:szCs w:val="22"/>
              </w:rPr>
              <w:tab/>
              <w:t xml:space="preserve">   </w:t>
            </w:r>
            <w:r w:rsidRPr="00D71005">
              <w:rPr>
                <w:i/>
                <w:snapToGrid w:val="0"/>
                <w:sz w:val="14"/>
                <w:szCs w:val="16"/>
              </w:rPr>
              <w:t>UPOV-A1: 1(c)</w:t>
            </w:r>
          </w:p>
          <w:p w:rsidR="00044C9F" w:rsidRPr="00D71005" w:rsidRDefault="00044C9F" w:rsidP="005A7D7C">
            <w:pPr>
              <w:tabs>
                <w:tab w:val="left" w:pos="199"/>
                <w:tab w:val="left" w:pos="567"/>
                <w:tab w:val="left" w:pos="1900"/>
                <w:tab w:val="right" w:pos="4395"/>
              </w:tabs>
              <w:rPr>
                <w:sz w:val="14"/>
              </w:rPr>
            </w:pPr>
            <w:r w:rsidRPr="00D71005">
              <w:rPr>
                <w:sz w:val="14"/>
              </w:rPr>
              <w:tab/>
              <w:t>(d)</w:t>
            </w:r>
            <w:r w:rsidRPr="00D71005">
              <w:rPr>
                <w:sz w:val="14"/>
              </w:rPr>
              <w:tab/>
              <w:t xml:space="preserve"> Sitz für juristische Personen (Staat):</w:t>
            </w:r>
          </w:p>
          <w:p w:rsidR="00044C9F" w:rsidRPr="00D71005" w:rsidRDefault="00044C9F" w:rsidP="005A7D7C">
            <w:pPr>
              <w:tabs>
                <w:tab w:val="left" w:pos="199"/>
                <w:tab w:val="left" w:pos="1334"/>
              </w:tabs>
              <w:rPr>
                <w:i/>
                <w:sz w:val="14"/>
              </w:rPr>
            </w:pPr>
            <w:r w:rsidRPr="00D71005">
              <w:rPr>
                <w:snapToGrid w:val="0"/>
                <w:sz w:val="14"/>
                <w:szCs w:val="22"/>
              </w:rPr>
              <w:tab/>
              <w:t xml:space="preserve">   </w:t>
            </w:r>
            <w:r w:rsidRPr="00D71005">
              <w:rPr>
                <w:i/>
                <w:snapToGrid w:val="0"/>
                <w:sz w:val="14"/>
                <w:szCs w:val="16"/>
              </w:rPr>
              <w:t>UPOV-A1: 1(d)</w:t>
            </w:r>
          </w:p>
          <w:p w:rsidR="00044C9F" w:rsidRPr="00D71005" w:rsidRDefault="00044C9F" w:rsidP="005A7D7C">
            <w:pPr>
              <w:tabs>
                <w:tab w:val="left" w:pos="360"/>
                <w:tab w:val="left" w:pos="567"/>
                <w:tab w:val="left" w:pos="1900"/>
                <w:tab w:val="left" w:pos="4599"/>
              </w:tabs>
              <w:rPr>
                <w:sz w:val="14"/>
                <w:szCs w:val="12"/>
              </w:rPr>
            </w:pPr>
            <w:r w:rsidRPr="00D71005">
              <w:rPr>
                <w:sz w:val="14"/>
              </w:rPr>
              <w:tab/>
            </w:r>
            <w:r w:rsidRPr="00D71005">
              <w:rPr>
                <w:sz w:val="14"/>
                <w:szCs w:val="12"/>
                <w:u w:val="single"/>
              </w:rPr>
              <w:tab/>
            </w:r>
            <w:r w:rsidRPr="00D71005">
              <w:rPr>
                <w:sz w:val="14"/>
                <w:szCs w:val="12"/>
                <w:u w:val="single"/>
              </w:rPr>
              <w:tab/>
            </w:r>
            <w:r w:rsidRPr="00D71005">
              <w:rPr>
                <w:sz w:val="14"/>
                <w:szCs w:val="12"/>
                <w:u w:val="single"/>
              </w:rPr>
              <w:tab/>
            </w:r>
          </w:p>
          <w:p w:rsidR="00044C9F" w:rsidRPr="00D71005" w:rsidRDefault="00044C9F" w:rsidP="00044C9F">
            <w:pPr>
              <w:tabs>
                <w:tab w:val="left" w:pos="199"/>
                <w:tab w:val="left" w:pos="567"/>
                <w:tab w:val="left" w:pos="2042"/>
                <w:tab w:val="left" w:pos="2809"/>
              </w:tabs>
              <w:spacing w:before="40"/>
              <w:ind w:left="567" w:hanging="567"/>
              <w:jc w:val="left"/>
              <w:rPr>
                <w:sz w:val="14"/>
              </w:rPr>
            </w:pPr>
            <w:r w:rsidRPr="00D71005">
              <w:rPr>
                <w:sz w:val="14"/>
              </w:rPr>
              <w:tab/>
              <w:t>(e)</w:t>
            </w:r>
            <w:r w:rsidRPr="00D71005">
              <w:rPr>
                <w:sz w:val="14"/>
              </w:rPr>
              <w:tab/>
              <w:t xml:space="preserve"> Ein Verfahrensvertreter/ </w:t>
            </w:r>
            <w:r w:rsidRPr="00D71005">
              <w:rPr>
                <w:sz w:val="14"/>
              </w:rPr>
              <w:noBreakHyphen/>
              <w:t xml:space="preserve">bevollmächtigter wird herangezogen:  </w:t>
            </w:r>
            <w:r w:rsidRPr="00D71005">
              <w:rPr>
                <w:sz w:val="14"/>
              </w:rPr>
              <w:tab/>
              <w:t>Ja □</w:t>
            </w:r>
            <w:r w:rsidRPr="00D71005">
              <w:rPr>
                <w:sz w:val="14"/>
              </w:rPr>
              <w:tab/>
              <w:t>Nein □</w:t>
            </w:r>
          </w:p>
          <w:p w:rsidR="00044C9F" w:rsidRPr="00D71005" w:rsidRDefault="00044C9F" w:rsidP="005A7D7C">
            <w:pPr>
              <w:tabs>
                <w:tab w:val="left" w:pos="1276"/>
                <w:tab w:val="left" w:pos="1334"/>
              </w:tabs>
              <w:spacing w:after="40"/>
              <w:rPr>
                <w:i/>
                <w:sz w:val="14"/>
                <w:lang w:val="es-AR"/>
              </w:rPr>
            </w:pPr>
            <w:r w:rsidRPr="00D71005">
              <w:rPr>
                <w:snapToGrid w:val="0"/>
                <w:sz w:val="14"/>
                <w:szCs w:val="22"/>
              </w:rPr>
              <w:tab/>
            </w:r>
            <w:r w:rsidRPr="00D71005">
              <w:rPr>
                <w:sz w:val="14"/>
              </w:rPr>
              <w:tab/>
            </w:r>
            <w:r w:rsidRPr="00D71005">
              <w:rPr>
                <w:snapToGrid w:val="0"/>
                <w:sz w:val="14"/>
                <w:szCs w:val="22"/>
              </w:rPr>
              <w:t xml:space="preserve">   </w:t>
            </w:r>
            <w:r w:rsidRPr="00D71005">
              <w:rPr>
                <w:i/>
                <w:snapToGrid w:val="0"/>
                <w:sz w:val="14"/>
                <w:szCs w:val="16"/>
                <w:lang w:val="es-AR"/>
              </w:rPr>
              <w:t>UPOV-A1: 1(e)(i)</w:t>
            </w:r>
            <w:r w:rsidRPr="00D71005">
              <w:rPr>
                <w:i/>
                <w:sz w:val="14"/>
                <w:lang w:val="es-AR"/>
              </w:rPr>
              <w:t xml:space="preserve">     </w:t>
            </w:r>
            <w:r w:rsidRPr="00D71005">
              <w:rPr>
                <w:i/>
                <w:snapToGrid w:val="0"/>
                <w:sz w:val="14"/>
                <w:szCs w:val="16"/>
                <w:lang w:val="es-AR"/>
              </w:rPr>
              <w:t>UPOV-A1: 1(e)(ii)</w:t>
            </w:r>
          </w:p>
        </w:tc>
        <w:tc>
          <w:tcPr>
            <w:tcW w:w="4443" w:type="dxa"/>
            <w:gridSpan w:val="2"/>
            <w:vMerge w:val="restart"/>
            <w:shd w:val="clear" w:color="auto" w:fill="auto"/>
          </w:tcPr>
          <w:p w:rsidR="00044C9F" w:rsidRPr="00D71005" w:rsidRDefault="00044C9F" w:rsidP="005A7D7C">
            <w:pPr>
              <w:tabs>
                <w:tab w:val="left" w:pos="482"/>
              </w:tabs>
              <w:spacing w:before="40"/>
              <w:rPr>
                <w:sz w:val="14"/>
              </w:rPr>
            </w:pPr>
            <w:r w:rsidRPr="00D71005">
              <w:rPr>
                <w:sz w:val="14"/>
              </w:rPr>
              <w:t>2.(a)</w:t>
            </w:r>
            <w:r w:rsidRPr="00D71005">
              <w:rPr>
                <w:sz w:val="14"/>
              </w:rPr>
              <w:tab/>
              <w:t>Name und Anschrift, an die jeder Schrift-wechsel zu richten ist (sofern von 1.(a) verschieden):</w:t>
            </w:r>
          </w:p>
          <w:p w:rsidR="00044C9F" w:rsidRPr="00D71005" w:rsidRDefault="00044C9F" w:rsidP="005A7D7C">
            <w:pPr>
              <w:tabs>
                <w:tab w:val="left" w:pos="199"/>
                <w:tab w:val="left" w:pos="1334"/>
                <w:tab w:val="right" w:pos="4310"/>
              </w:tabs>
              <w:spacing w:before="120"/>
              <w:rPr>
                <w:sz w:val="14"/>
                <w:u w:val="single"/>
              </w:rPr>
            </w:pPr>
            <w:r w:rsidRPr="00D71005">
              <w:rPr>
                <w:color w:val="000000"/>
                <w:sz w:val="14"/>
              </w:rPr>
              <w:tab/>
              <w:t>N</w:t>
            </w:r>
            <w:r w:rsidRPr="00D71005">
              <w:rPr>
                <w:sz w:val="14"/>
              </w:rPr>
              <w:t>ame</w:t>
            </w:r>
            <w:r w:rsidRPr="00D71005">
              <w:rPr>
                <w:sz w:val="14"/>
              </w:rPr>
              <w:tab/>
            </w:r>
            <w:r w:rsidRPr="00D71005">
              <w:rPr>
                <w:sz w:val="14"/>
                <w:u w:val="single"/>
              </w:rPr>
              <w:tab/>
            </w:r>
            <w:r w:rsidRPr="00D71005">
              <w:rPr>
                <w:sz w:val="14"/>
                <w:u w:val="single"/>
              </w:rPr>
              <w:br/>
            </w:r>
            <w:r w:rsidRPr="00D71005">
              <w:rPr>
                <w:snapToGrid w:val="0"/>
                <w:sz w:val="14"/>
                <w:szCs w:val="22"/>
              </w:rPr>
              <w:tab/>
              <w:t xml:space="preserve">   </w:t>
            </w:r>
            <w:r w:rsidRPr="00D71005">
              <w:rPr>
                <w:i/>
                <w:snapToGrid w:val="0"/>
                <w:sz w:val="14"/>
                <w:szCs w:val="16"/>
              </w:rPr>
              <w:t>UPOV-A1: 2(a)(i)</w:t>
            </w:r>
          </w:p>
          <w:p w:rsidR="00044C9F" w:rsidRPr="00D71005" w:rsidRDefault="00044C9F" w:rsidP="005A7D7C">
            <w:pPr>
              <w:tabs>
                <w:tab w:val="left" w:pos="199"/>
                <w:tab w:val="left" w:pos="1334"/>
                <w:tab w:val="right" w:pos="4310"/>
              </w:tabs>
              <w:rPr>
                <w:i/>
                <w:snapToGrid w:val="0"/>
                <w:sz w:val="14"/>
                <w:szCs w:val="16"/>
              </w:rPr>
            </w:pPr>
            <w:r w:rsidRPr="00D71005">
              <w:rPr>
                <w:sz w:val="14"/>
              </w:rPr>
              <w:tab/>
            </w:r>
            <w:r w:rsidRPr="00D71005">
              <w:rPr>
                <w:color w:val="000000"/>
                <w:sz w:val="14"/>
                <w:lang w:val="de-CH"/>
              </w:rPr>
              <w:t xml:space="preserve"> Anschrift</w:t>
            </w:r>
            <w:r w:rsidRPr="00D71005">
              <w:rPr>
                <w:sz w:val="14"/>
              </w:rPr>
              <w:t xml:space="preserve"> </w:t>
            </w:r>
            <w:r w:rsidRPr="00D71005">
              <w:rPr>
                <w:sz w:val="14"/>
              </w:rPr>
              <w:tab/>
            </w:r>
            <w:r w:rsidRPr="00D71005">
              <w:rPr>
                <w:sz w:val="14"/>
                <w:u w:val="single"/>
              </w:rPr>
              <w:tab/>
            </w:r>
            <w:r w:rsidRPr="00D71005">
              <w:rPr>
                <w:sz w:val="14"/>
                <w:u w:val="single"/>
              </w:rPr>
              <w:br/>
            </w:r>
            <w:r w:rsidRPr="00D71005">
              <w:rPr>
                <w:snapToGrid w:val="0"/>
                <w:sz w:val="14"/>
                <w:szCs w:val="22"/>
              </w:rPr>
              <w:tab/>
              <w:t xml:space="preserve">   </w:t>
            </w:r>
            <w:r w:rsidRPr="00D71005">
              <w:rPr>
                <w:i/>
                <w:snapToGrid w:val="0"/>
                <w:sz w:val="14"/>
                <w:szCs w:val="16"/>
              </w:rPr>
              <w:t>UPOV-A1: 2(a)(ii)</w:t>
            </w:r>
          </w:p>
          <w:p w:rsidR="00044C9F" w:rsidRPr="00D71005" w:rsidRDefault="00044C9F" w:rsidP="005A7D7C">
            <w:pPr>
              <w:tabs>
                <w:tab w:val="left" w:pos="199"/>
                <w:tab w:val="left" w:pos="1334"/>
                <w:tab w:val="right" w:pos="4310"/>
              </w:tabs>
              <w:rPr>
                <w:sz w:val="14"/>
                <w:szCs w:val="12"/>
              </w:rPr>
            </w:pPr>
            <w:r w:rsidRPr="00D71005">
              <w:rPr>
                <w:i/>
                <w:snapToGrid w:val="0"/>
                <w:sz w:val="14"/>
                <w:szCs w:val="12"/>
              </w:rPr>
              <w:tab/>
            </w:r>
            <w:r w:rsidRPr="00D71005">
              <w:rPr>
                <w:i/>
                <w:snapToGrid w:val="0"/>
                <w:sz w:val="14"/>
                <w:szCs w:val="12"/>
              </w:rPr>
              <w:tab/>
            </w:r>
            <w:r w:rsidRPr="00D71005">
              <w:rPr>
                <w:sz w:val="14"/>
                <w:szCs w:val="12"/>
                <w:u w:val="single"/>
              </w:rPr>
              <w:tab/>
            </w:r>
          </w:p>
          <w:p w:rsidR="00044C9F" w:rsidRPr="00D71005" w:rsidRDefault="00044C9F" w:rsidP="005A7D7C">
            <w:pPr>
              <w:tabs>
                <w:tab w:val="left" w:pos="1334"/>
                <w:tab w:val="right" w:pos="4310"/>
              </w:tabs>
              <w:spacing w:before="120"/>
              <w:rPr>
                <w:sz w:val="14"/>
                <w:u w:val="single"/>
              </w:rPr>
            </w:pPr>
            <w:r w:rsidRPr="00D71005">
              <w:rPr>
                <w:sz w:val="14"/>
              </w:rPr>
              <w:tab/>
            </w:r>
            <w:r w:rsidRPr="00D71005">
              <w:rPr>
                <w:sz w:val="14"/>
                <w:u w:val="single"/>
              </w:rPr>
              <w:tab/>
            </w:r>
          </w:p>
          <w:p w:rsidR="00044C9F" w:rsidRPr="00D71005" w:rsidRDefault="00044C9F" w:rsidP="005A7D7C">
            <w:pPr>
              <w:tabs>
                <w:tab w:val="left" w:pos="199"/>
                <w:tab w:val="left" w:pos="1334"/>
                <w:tab w:val="right" w:pos="4310"/>
              </w:tabs>
              <w:spacing w:before="120"/>
              <w:rPr>
                <w:sz w:val="14"/>
              </w:rPr>
            </w:pPr>
            <w:r w:rsidRPr="00D71005">
              <w:rPr>
                <w:color w:val="000000"/>
                <w:sz w:val="14"/>
              </w:rPr>
              <w:tab/>
            </w:r>
            <w:r w:rsidRPr="00D71005">
              <w:rPr>
                <w:color w:val="000000"/>
                <w:sz w:val="14"/>
                <w:lang w:val="de-CH"/>
              </w:rPr>
              <w:t xml:space="preserve"> Telefonnummer(n)</w:t>
            </w:r>
            <w:r w:rsidRPr="00D71005">
              <w:rPr>
                <w:sz w:val="14"/>
                <w:u w:val="single"/>
              </w:rPr>
              <w:tab/>
            </w:r>
            <w:r w:rsidRPr="00D71005">
              <w:rPr>
                <w:sz w:val="14"/>
                <w:u w:val="single"/>
              </w:rPr>
              <w:br/>
            </w:r>
            <w:r w:rsidRPr="00D71005">
              <w:rPr>
                <w:snapToGrid w:val="0"/>
                <w:sz w:val="14"/>
                <w:szCs w:val="22"/>
              </w:rPr>
              <w:tab/>
              <w:t xml:space="preserve">   </w:t>
            </w:r>
            <w:r w:rsidRPr="00D71005">
              <w:rPr>
                <w:i/>
                <w:snapToGrid w:val="0"/>
                <w:sz w:val="14"/>
                <w:szCs w:val="16"/>
              </w:rPr>
              <w:t>UPOV-A1: 2(a)(iii)</w:t>
            </w:r>
          </w:p>
          <w:p w:rsidR="00044C9F" w:rsidRPr="00D71005" w:rsidRDefault="00044C9F" w:rsidP="005A7D7C">
            <w:pPr>
              <w:tabs>
                <w:tab w:val="left" w:pos="199"/>
                <w:tab w:val="left" w:pos="1334"/>
                <w:tab w:val="right" w:pos="4310"/>
              </w:tabs>
              <w:rPr>
                <w:sz w:val="14"/>
                <w:u w:val="single"/>
              </w:rPr>
            </w:pPr>
            <w:r w:rsidRPr="00D71005">
              <w:rPr>
                <w:color w:val="000000"/>
                <w:sz w:val="14"/>
              </w:rPr>
              <w:tab/>
            </w:r>
            <w:r w:rsidRPr="00D71005">
              <w:rPr>
                <w:color w:val="000000"/>
                <w:sz w:val="14"/>
                <w:lang w:val="de-CH"/>
              </w:rPr>
              <w:t xml:space="preserve"> Faxnummer(n)</w:t>
            </w:r>
            <w:r w:rsidRPr="00D71005">
              <w:rPr>
                <w:sz w:val="14"/>
                <w:u w:val="single"/>
              </w:rPr>
              <w:tab/>
            </w:r>
            <w:r w:rsidRPr="00D71005">
              <w:rPr>
                <w:sz w:val="14"/>
                <w:u w:val="single"/>
              </w:rPr>
              <w:br/>
            </w:r>
            <w:r w:rsidRPr="00D71005">
              <w:rPr>
                <w:snapToGrid w:val="0"/>
                <w:sz w:val="14"/>
                <w:szCs w:val="22"/>
              </w:rPr>
              <w:tab/>
              <w:t xml:space="preserve">   </w:t>
            </w:r>
            <w:r w:rsidRPr="00D71005">
              <w:rPr>
                <w:i/>
                <w:snapToGrid w:val="0"/>
                <w:sz w:val="14"/>
                <w:szCs w:val="16"/>
              </w:rPr>
              <w:t>UPOV-A1: 2(a)(iv)</w:t>
            </w:r>
          </w:p>
          <w:p w:rsidR="00044C9F" w:rsidRPr="00D71005" w:rsidRDefault="00044C9F" w:rsidP="005A7D7C">
            <w:pPr>
              <w:tabs>
                <w:tab w:val="left" w:pos="199"/>
                <w:tab w:val="left" w:pos="1334"/>
                <w:tab w:val="right" w:pos="4310"/>
              </w:tabs>
              <w:rPr>
                <w:sz w:val="14"/>
                <w:u w:val="single"/>
              </w:rPr>
            </w:pPr>
            <w:r w:rsidRPr="00D71005">
              <w:rPr>
                <w:color w:val="000000"/>
                <w:sz w:val="14"/>
              </w:rPr>
              <w:tab/>
            </w:r>
            <w:r w:rsidRPr="00D71005">
              <w:rPr>
                <w:color w:val="000000"/>
                <w:sz w:val="14"/>
                <w:lang w:val="de-CH"/>
              </w:rPr>
              <w:t xml:space="preserve"> E-Mail-Adresse(n)</w:t>
            </w:r>
            <w:r w:rsidRPr="00D71005">
              <w:rPr>
                <w:sz w:val="14"/>
                <w:u w:val="single"/>
              </w:rPr>
              <w:tab/>
            </w:r>
          </w:p>
          <w:p w:rsidR="00044C9F" w:rsidRPr="00D71005" w:rsidRDefault="00044C9F" w:rsidP="005A7D7C">
            <w:pPr>
              <w:tabs>
                <w:tab w:val="left" w:pos="199"/>
                <w:tab w:val="left" w:pos="1334"/>
                <w:tab w:val="right" w:pos="4310"/>
              </w:tabs>
              <w:rPr>
                <w:sz w:val="14"/>
              </w:rPr>
            </w:pPr>
            <w:r w:rsidRPr="00D71005">
              <w:rPr>
                <w:snapToGrid w:val="0"/>
                <w:sz w:val="14"/>
                <w:szCs w:val="22"/>
              </w:rPr>
              <w:tab/>
              <w:t xml:space="preserve">   </w:t>
            </w:r>
            <w:r w:rsidRPr="00D71005">
              <w:rPr>
                <w:i/>
                <w:snapToGrid w:val="0"/>
                <w:sz w:val="14"/>
                <w:szCs w:val="16"/>
              </w:rPr>
              <w:t>UPOV-A1: 2(a)(v)</w:t>
            </w:r>
          </w:p>
          <w:p w:rsidR="00044C9F" w:rsidRPr="00D71005" w:rsidRDefault="00044C9F" w:rsidP="005A7D7C">
            <w:pPr>
              <w:tabs>
                <w:tab w:val="left" w:pos="198"/>
                <w:tab w:val="left" w:pos="482"/>
              </w:tabs>
              <w:spacing w:before="120"/>
              <w:rPr>
                <w:sz w:val="14"/>
              </w:rPr>
            </w:pPr>
            <w:r w:rsidRPr="00D71005">
              <w:rPr>
                <w:sz w:val="14"/>
              </w:rPr>
              <w:tab/>
              <w:t>(b)</w:t>
            </w:r>
            <w:r w:rsidRPr="00D71005">
              <w:rPr>
                <w:sz w:val="14"/>
              </w:rPr>
              <w:tab/>
              <w:t xml:space="preserve"> Dies sind der Name und die Anschrift:</w:t>
            </w:r>
          </w:p>
          <w:p w:rsidR="00044C9F" w:rsidRPr="00D71005" w:rsidRDefault="00044C9F" w:rsidP="005A7D7C">
            <w:pPr>
              <w:tabs>
                <w:tab w:val="left" w:pos="482"/>
                <w:tab w:val="left" w:pos="908"/>
              </w:tabs>
              <w:rPr>
                <w:sz w:val="14"/>
              </w:rPr>
            </w:pPr>
            <w:r w:rsidRPr="00D71005">
              <w:rPr>
                <w:sz w:val="14"/>
              </w:rPr>
              <w:tab/>
              <w:t>□</w:t>
            </w:r>
            <w:r w:rsidRPr="00D71005">
              <w:rPr>
                <w:sz w:val="14"/>
              </w:rPr>
              <w:tab/>
              <w:t>eines Anmelders</w:t>
            </w:r>
          </w:p>
          <w:p w:rsidR="00044C9F" w:rsidRPr="00D71005" w:rsidRDefault="00044C9F" w:rsidP="005A7D7C">
            <w:pPr>
              <w:tabs>
                <w:tab w:val="left" w:pos="908"/>
                <w:tab w:val="left" w:pos="1334"/>
                <w:tab w:val="right" w:pos="4310"/>
              </w:tabs>
              <w:rPr>
                <w:sz w:val="14"/>
              </w:rPr>
            </w:pPr>
            <w:r w:rsidRPr="00D71005">
              <w:rPr>
                <w:snapToGrid w:val="0"/>
                <w:sz w:val="14"/>
                <w:szCs w:val="22"/>
              </w:rPr>
              <w:tab/>
              <w:t xml:space="preserve">   </w:t>
            </w:r>
            <w:r w:rsidRPr="00D71005">
              <w:rPr>
                <w:i/>
                <w:snapToGrid w:val="0"/>
                <w:sz w:val="14"/>
                <w:szCs w:val="16"/>
              </w:rPr>
              <w:t>UPOV-A1: 2(b)(i)</w:t>
            </w:r>
          </w:p>
          <w:p w:rsidR="00044C9F" w:rsidRPr="00D71005" w:rsidRDefault="00044C9F" w:rsidP="005A7D7C">
            <w:pPr>
              <w:tabs>
                <w:tab w:val="left" w:pos="482"/>
                <w:tab w:val="left" w:pos="908"/>
              </w:tabs>
              <w:ind w:right="-85"/>
              <w:rPr>
                <w:sz w:val="14"/>
              </w:rPr>
            </w:pPr>
            <w:r w:rsidRPr="00D71005">
              <w:rPr>
                <w:sz w:val="14"/>
              </w:rPr>
              <w:tab/>
              <w:t>□</w:t>
            </w:r>
            <w:r w:rsidRPr="00D71005">
              <w:rPr>
                <w:sz w:val="14"/>
              </w:rPr>
              <w:tab/>
              <w:t>des Verfahrensvertreters/</w:t>
            </w:r>
            <w:r w:rsidRPr="00D71005">
              <w:rPr>
                <w:sz w:val="14"/>
              </w:rPr>
              <w:tab/>
            </w:r>
            <w:r w:rsidRPr="00D71005">
              <w:rPr>
                <w:sz w:val="14"/>
              </w:rPr>
              <w:noBreakHyphen/>
              <w:t>bevollmächtigten</w:t>
            </w:r>
          </w:p>
          <w:p w:rsidR="00044C9F" w:rsidRPr="00D71005" w:rsidRDefault="00044C9F" w:rsidP="005A7D7C">
            <w:pPr>
              <w:tabs>
                <w:tab w:val="left" w:pos="908"/>
                <w:tab w:val="left" w:pos="1334"/>
                <w:tab w:val="right" w:pos="4310"/>
              </w:tabs>
              <w:rPr>
                <w:sz w:val="14"/>
              </w:rPr>
            </w:pPr>
            <w:r w:rsidRPr="00D71005">
              <w:rPr>
                <w:snapToGrid w:val="0"/>
                <w:sz w:val="14"/>
                <w:szCs w:val="22"/>
              </w:rPr>
              <w:tab/>
              <w:t xml:space="preserve">   </w:t>
            </w:r>
            <w:r w:rsidRPr="00D71005">
              <w:rPr>
                <w:i/>
                <w:snapToGrid w:val="0"/>
                <w:sz w:val="14"/>
                <w:szCs w:val="16"/>
              </w:rPr>
              <w:t>UPOV-A1: 2(b)(ii)</w:t>
            </w:r>
          </w:p>
          <w:p w:rsidR="00044C9F" w:rsidRPr="00D71005" w:rsidRDefault="00044C9F" w:rsidP="005A7D7C">
            <w:pPr>
              <w:tabs>
                <w:tab w:val="left" w:pos="482"/>
                <w:tab w:val="left" w:pos="908"/>
              </w:tabs>
              <w:spacing w:after="120"/>
              <w:rPr>
                <w:strike/>
                <w:sz w:val="14"/>
              </w:rPr>
            </w:pPr>
          </w:p>
        </w:tc>
        <w:tc>
          <w:tcPr>
            <w:tcW w:w="142" w:type="dxa"/>
            <w:vMerge w:val="restart"/>
            <w:tcBorders>
              <w:top w:val="nil"/>
              <w:right w:val="nil"/>
            </w:tcBorders>
          </w:tcPr>
          <w:p w:rsidR="00044C9F" w:rsidRPr="00D71005" w:rsidRDefault="00044C9F" w:rsidP="005A7D7C">
            <w:pPr>
              <w:tabs>
                <w:tab w:val="left" w:pos="482"/>
              </w:tabs>
              <w:spacing w:before="40"/>
              <w:jc w:val="center"/>
              <w:rPr>
                <w:sz w:val="14"/>
              </w:rPr>
            </w:pPr>
          </w:p>
        </w:tc>
        <w:tc>
          <w:tcPr>
            <w:tcW w:w="1049" w:type="dxa"/>
            <w:tcBorders>
              <w:top w:val="nil"/>
              <w:left w:val="nil"/>
              <w:bottom w:val="single" w:sz="6" w:space="0" w:color="000000"/>
              <w:right w:val="nil"/>
            </w:tcBorders>
          </w:tcPr>
          <w:p w:rsidR="00044C9F" w:rsidRPr="00D71005" w:rsidRDefault="00044C9F" w:rsidP="005A7D7C">
            <w:pPr>
              <w:tabs>
                <w:tab w:val="left" w:pos="482"/>
              </w:tabs>
              <w:spacing w:before="40"/>
              <w:ind w:left="-64"/>
              <w:jc w:val="center"/>
              <w:rPr>
                <w:sz w:val="14"/>
              </w:rPr>
            </w:pPr>
          </w:p>
        </w:tc>
      </w:tr>
      <w:tr w:rsidR="00044C9F" w:rsidRPr="00D71005" w:rsidTr="00362E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4800" w:type="dxa"/>
            <w:gridSpan w:val="2"/>
            <w:vMerge/>
          </w:tcPr>
          <w:p w:rsidR="00044C9F" w:rsidRPr="00D71005" w:rsidRDefault="00044C9F" w:rsidP="005A7D7C">
            <w:pPr>
              <w:spacing w:before="40"/>
              <w:rPr>
                <w:sz w:val="14"/>
              </w:rPr>
            </w:pPr>
          </w:p>
        </w:tc>
        <w:tc>
          <w:tcPr>
            <w:tcW w:w="4443" w:type="dxa"/>
            <w:gridSpan w:val="2"/>
            <w:vMerge/>
            <w:shd w:val="clear" w:color="auto" w:fill="auto"/>
          </w:tcPr>
          <w:p w:rsidR="00044C9F" w:rsidRPr="00D71005" w:rsidRDefault="00044C9F" w:rsidP="005A7D7C">
            <w:pPr>
              <w:tabs>
                <w:tab w:val="left" w:pos="482"/>
              </w:tabs>
              <w:spacing w:before="40"/>
              <w:rPr>
                <w:sz w:val="14"/>
              </w:rPr>
            </w:pPr>
          </w:p>
        </w:tc>
        <w:tc>
          <w:tcPr>
            <w:tcW w:w="142" w:type="dxa"/>
            <w:vMerge/>
            <w:tcBorders>
              <w:bottom w:val="nil"/>
              <w:right w:val="single" w:sz="6" w:space="0" w:color="000000"/>
            </w:tcBorders>
          </w:tcPr>
          <w:p w:rsidR="00044C9F" w:rsidRPr="00D71005" w:rsidRDefault="00044C9F" w:rsidP="005A7D7C">
            <w:pPr>
              <w:tabs>
                <w:tab w:val="left" w:pos="482"/>
              </w:tabs>
              <w:spacing w:before="40"/>
              <w:jc w:val="center"/>
              <w:rPr>
                <w:sz w:val="14"/>
              </w:rPr>
            </w:pPr>
          </w:p>
        </w:tc>
        <w:tc>
          <w:tcPr>
            <w:tcW w:w="1049" w:type="dxa"/>
            <w:tcBorders>
              <w:top w:val="single" w:sz="6" w:space="0" w:color="000000"/>
              <w:left w:val="single" w:sz="6" w:space="0" w:color="000000"/>
              <w:bottom w:val="single" w:sz="6" w:space="0" w:color="000000"/>
              <w:right w:val="single" w:sz="6" w:space="0" w:color="000000"/>
            </w:tcBorders>
          </w:tcPr>
          <w:p w:rsidR="00044C9F" w:rsidRPr="00D71005" w:rsidRDefault="00044C9F" w:rsidP="005A7D7C">
            <w:pPr>
              <w:tabs>
                <w:tab w:val="left" w:pos="482"/>
              </w:tabs>
              <w:spacing w:before="120" w:after="120"/>
              <w:ind w:left="-62"/>
              <w:jc w:val="center"/>
              <w:rPr>
                <w:sz w:val="14"/>
              </w:rPr>
            </w:pPr>
            <w:r w:rsidRPr="00D71005">
              <w:rPr>
                <w:sz w:val="14"/>
              </w:rPr>
              <w:t>NUR ZUM AMTLICHEN</w:t>
            </w:r>
            <w:r w:rsidRPr="00D71005">
              <w:rPr>
                <w:sz w:val="14"/>
              </w:rPr>
              <w:br/>
              <w:t>GEBRAUCH</w:t>
            </w:r>
          </w:p>
        </w:tc>
      </w:tr>
      <w:tr w:rsidR="00044C9F" w:rsidRPr="00D71005" w:rsidTr="00362E55">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trPr>
        <w:tc>
          <w:tcPr>
            <w:tcW w:w="4800" w:type="dxa"/>
            <w:gridSpan w:val="2"/>
            <w:vMerge/>
          </w:tcPr>
          <w:p w:rsidR="00044C9F" w:rsidRPr="00D71005" w:rsidRDefault="00044C9F" w:rsidP="005A7D7C">
            <w:pPr>
              <w:spacing w:before="40"/>
              <w:rPr>
                <w:sz w:val="14"/>
              </w:rPr>
            </w:pPr>
          </w:p>
        </w:tc>
        <w:tc>
          <w:tcPr>
            <w:tcW w:w="4443" w:type="dxa"/>
            <w:gridSpan w:val="2"/>
            <w:vMerge/>
            <w:shd w:val="clear" w:color="auto" w:fill="auto"/>
          </w:tcPr>
          <w:p w:rsidR="00044C9F" w:rsidRPr="00D71005" w:rsidRDefault="00044C9F" w:rsidP="005A7D7C">
            <w:pPr>
              <w:tabs>
                <w:tab w:val="left" w:pos="482"/>
              </w:tabs>
              <w:spacing w:before="40"/>
              <w:rPr>
                <w:sz w:val="14"/>
              </w:rPr>
            </w:pPr>
          </w:p>
        </w:tc>
        <w:tc>
          <w:tcPr>
            <w:tcW w:w="142" w:type="dxa"/>
            <w:vMerge/>
            <w:tcBorders>
              <w:top w:val="nil"/>
              <w:bottom w:val="nil"/>
              <w:right w:val="nil"/>
            </w:tcBorders>
          </w:tcPr>
          <w:p w:rsidR="00044C9F" w:rsidRPr="00D71005" w:rsidRDefault="00044C9F" w:rsidP="005A7D7C">
            <w:pPr>
              <w:tabs>
                <w:tab w:val="left" w:pos="482"/>
              </w:tabs>
              <w:spacing w:before="40"/>
              <w:jc w:val="center"/>
              <w:rPr>
                <w:sz w:val="14"/>
              </w:rPr>
            </w:pPr>
          </w:p>
        </w:tc>
        <w:tc>
          <w:tcPr>
            <w:tcW w:w="1049" w:type="dxa"/>
            <w:tcBorders>
              <w:top w:val="single" w:sz="6" w:space="0" w:color="000000"/>
              <w:left w:val="nil"/>
              <w:bottom w:val="nil"/>
              <w:right w:val="nil"/>
            </w:tcBorders>
          </w:tcPr>
          <w:p w:rsidR="00044C9F" w:rsidRPr="00D71005" w:rsidRDefault="00044C9F" w:rsidP="005A7D7C">
            <w:pPr>
              <w:tabs>
                <w:tab w:val="left" w:pos="482"/>
              </w:tabs>
              <w:spacing w:before="40"/>
              <w:ind w:left="-64"/>
              <w:jc w:val="center"/>
              <w:rPr>
                <w:sz w:val="14"/>
              </w:rPr>
            </w:pPr>
          </w:p>
        </w:tc>
      </w:tr>
    </w:tbl>
    <w:p w:rsidR="001D17EA" w:rsidRDefault="00BA325E" w:rsidP="001D17EA">
      <w:r>
        <w:rPr>
          <w:snapToGrid w:val="0"/>
        </w:rPr>
        <w:fldChar w:fldCharType="begin"/>
      </w:r>
      <w:r w:rsidR="00B55B77">
        <w:rPr>
          <w:snapToGrid w:val="0"/>
        </w:rPr>
        <w:instrText xml:space="preserve"> AUTONUM  </w:instrText>
      </w:r>
      <w:r>
        <w:rPr>
          <w:snapToGrid w:val="0"/>
        </w:rPr>
        <w:fldChar w:fldCharType="end"/>
      </w:r>
      <w:r w:rsidR="00032D41">
        <w:tab/>
        <w:t>Der CAJ könnte prüfen, ob es zweckmäßig sei, in Dokument TGP/5 Abschnitt 2 und/oder in Dokument UPOV/INF/15 weitere Anleitung auszuarbeiten, um vom ISF aufgeworfene Fragen in bezug auf den Schriftwechsel zu behandeln.</w:t>
      </w:r>
    </w:p>
    <w:p w:rsidR="001D17EA" w:rsidRDefault="001D17EA" w:rsidP="00B55B77">
      <w:pPr>
        <w:rPr>
          <w:snapToGrid w:val="0"/>
        </w:rPr>
      </w:pPr>
    </w:p>
    <w:p w:rsidR="001D17EA" w:rsidRDefault="00BA325E" w:rsidP="00362E55">
      <w:pPr>
        <w:pStyle w:val="DecisionParagraphs"/>
        <w:keepNext/>
        <w:rPr>
          <w:snapToGrid w:val="0"/>
        </w:rPr>
      </w:pPr>
      <w:r>
        <w:rPr>
          <w:snapToGrid w:val="0"/>
        </w:rPr>
        <w:fldChar w:fldCharType="begin"/>
      </w:r>
      <w:r w:rsidR="00F706CD">
        <w:rPr>
          <w:snapToGrid w:val="0"/>
        </w:rPr>
        <w:instrText xml:space="preserve"> AUTONUM  </w:instrText>
      </w:r>
      <w:r>
        <w:rPr>
          <w:snapToGrid w:val="0"/>
        </w:rPr>
        <w:fldChar w:fldCharType="end"/>
      </w:r>
      <w:r w:rsidR="00032D41">
        <w:tab/>
        <w:t>Der CAJ wird ersucht,</w:t>
      </w:r>
    </w:p>
    <w:p w:rsidR="001D17EA" w:rsidRDefault="001D17EA" w:rsidP="00362E55">
      <w:pPr>
        <w:pStyle w:val="DecisionParagraphs"/>
        <w:keepNext/>
        <w:rPr>
          <w:snapToGrid w:val="0"/>
        </w:rPr>
      </w:pPr>
    </w:p>
    <w:p w:rsidR="001D17EA" w:rsidRDefault="001D17EA" w:rsidP="00C0469A">
      <w:pPr>
        <w:pStyle w:val="DecisionParagraphs"/>
        <w:tabs>
          <w:tab w:val="left" w:pos="5954"/>
        </w:tabs>
        <w:rPr>
          <w:rFonts w:cs="Arial"/>
          <w:color w:val="0D0D0D"/>
        </w:rPr>
      </w:pPr>
      <w:r>
        <w:tab/>
        <w:t>a)</w:t>
      </w:r>
      <w:r>
        <w:tab/>
        <w:t xml:space="preserve">die bestehende Anleitung in Dokument TGP/5, Abschnitt 2 „UPOV-Musterformblatt für die Anmeldung einer Sorte zur Erteilung des Sortenschutzes“ hinsichtlich den Schriftwechsel zur Kenntnis zu nehmen; und </w:t>
      </w:r>
    </w:p>
    <w:p w:rsidR="001D17EA" w:rsidRDefault="001D17EA" w:rsidP="00C0469A">
      <w:pPr>
        <w:pStyle w:val="DecisionParagraphs"/>
        <w:tabs>
          <w:tab w:val="left" w:pos="5954"/>
        </w:tabs>
        <w:rPr>
          <w:rFonts w:cs="Arial"/>
          <w:color w:val="0D0D0D"/>
        </w:rPr>
      </w:pPr>
    </w:p>
    <w:p w:rsidR="00EE0680" w:rsidRDefault="001D17EA" w:rsidP="00C0469A">
      <w:pPr>
        <w:pStyle w:val="DecisionParagraphs"/>
        <w:tabs>
          <w:tab w:val="left" w:pos="5954"/>
        </w:tabs>
      </w:pPr>
      <w:r>
        <w:tab/>
        <w:t>b)</w:t>
      </w:r>
      <w:r>
        <w:tab/>
        <w:t>zu prüfen,</w:t>
      </w:r>
      <w:bookmarkStart w:id="33" w:name="_Toc381102834"/>
      <w:bookmarkStart w:id="34" w:name="_Toc381102862"/>
      <w:r>
        <w:t xml:space="preserve"> ob es zweckmäßig sei, in Dokument TGP/5 Abschnitt 2 und/oder in Dokument UPOV/INF/15 weitere Anleitung in bezug auf den Schriftwechsel </w:t>
      </w:r>
      <w:r w:rsidR="000D74FC">
        <w:t>auszuarbeiten</w:t>
      </w:r>
      <w:r>
        <w:t>.</w:t>
      </w:r>
    </w:p>
    <w:p w:rsidR="00EE0680" w:rsidRDefault="00EE0680" w:rsidP="00EE0680">
      <w:pPr>
        <w:pStyle w:val="DecisionParagraphs"/>
      </w:pPr>
    </w:p>
    <w:p w:rsidR="00EE0680" w:rsidRDefault="00EE0680" w:rsidP="00EE0680">
      <w:pPr>
        <w:pStyle w:val="DecisionParagraphs"/>
      </w:pPr>
    </w:p>
    <w:p w:rsidR="00DE7C05" w:rsidRPr="0099105A" w:rsidRDefault="0099105A" w:rsidP="00EE0680">
      <w:pPr>
        <w:pStyle w:val="Heading2"/>
      </w:pPr>
      <w:bookmarkStart w:id="35" w:name="_Toc381170736"/>
      <w:bookmarkStart w:id="36" w:name="_Toc382820473"/>
      <w:r>
        <w:lastRenderedPageBreak/>
        <w:t>Material</w:t>
      </w:r>
      <w:bookmarkEnd w:id="33"/>
      <w:bookmarkEnd w:id="34"/>
      <w:bookmarkEnd w:id="35"/>
      <w:bookmarkEnd w:id="36"/>
      <w:r w:rsidR="00282747">
        <w:t xml:space="preserve"> </w:t>
      </w:r>
    </w:p>
    <w:p w:rsidR="00DE7C05" w:rsidRDefault="00DE7C05" w:rsidP="00C66028">
      <w:pPr>
        <w:pStyle w:val="Heading3"/>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8D1D47" w:rsidRPr="008E408A" w:rsidTr="0054760F">
        <w:trPr>
          <w:cantSplit/>
        </w:trPr>
        <w:tc>
          <w:tcPr>
            <w:tcW w:w="8788" w:type="dxa"/>
          </w:tcPr>
          <w:p w:rsidR="008D1D47" w:rsidRPr="002C4075" w:rsidRDefault="008D1D47" w:rsidP="002C4075">
            <w:pPr>
              <w:rPr>
                <w:sz w:val="18"/>
                <w:szCs w:val="18"/>
              </w:rPr>
            </w:pPr>
            <w:r>
              <w:rPr>
                <w:sz w:val="18"/>
                <w:szCs w:val="18"/>
              </w:rPr>
              <w:t>[Auszug aus dem Schreiben des ISF – (original Englisch)]</w:t>
            </w:r>
          </w:p>
          <w:p w:rsidR="008D1D47" w:rsidRPr="002C4075" w:rsidRDefault="008D1D47" w:rsidP="002C4075">
            <w:pPr>
              <w:rPr>
                <w:sz w:val="18"/>
                <w:szCs w:val="18"/>
              </w:rPr>
            </w:pPr>
            <w:r>
              <w:rPr>
                <w:sz w:val="18"/>
                <w:szCs w:val="18"/>
                <w:u w:val="single"/>
              </w:rPr>
              <w:t>Vertraulichkeit von Material</w:t>
            </w:r>
            <w:r>
              <w:t xml:space="preserve">: </w:t>
            </w:r>
            <w:r>
              <w:rPr>
                <w:sz w:val="18"/>
                <w:szCs w:val="18"/>
              </w:rPr>
              <w:t>In manchen Ländern verpflichten die Behörden Antragsteller, die einen Antrag auf Erteilung von Züchterrechten für hybride Sorten einreichen, Saatgut (oder gegebenenfalls vegetativ vermehrtes Material) auch der Elternlinien zur Verfügung zu stellen, obwohl das Material für die Prüfung der Sorte häufig nicht verwendet wird.</w:t>
            </w:r>
            <w:r w:rsidR="00282747">
              <w:rPr>
                <w:sz w:val="18"/>
                <w:szCs w:val="18"/>
              </w:rPr>
              <w:t xml:space="preserve"> </w:t>
            </w:r>
            <w:r>
              <w:rPr>
                <w:sz w:val="18"/>
                <w:szCs w:val="18"/>
              </w:rPr>
              <w:t>Die ISF-Mitglieder betonen, es dürfe keinerlei Verpflichtung geben, die Zugang zu Elternlinien hybrider Sorten zu bieten.</w:t>
            </w:r>
          </w:p>
          <w:p w:rsidR="008D1D47" w:rsidRPr="002C4075" w:rsidRDefault="008D1D47" w:rsidP="002C4075">
            <w:pPr>
              <w:rPr>
                <w:sz w:val="18"/>
                <w:szCs w:val="18"/>
              </w:rPr>
            </w:pPr>
          </w:p>
          <w:p w:rsidR="008D1D47" w:rsidRPr="002C4075" w:rsidRDefault="008D1D47" w:rsidP="002C4075">
            <w:pPr>
              <w:rPr>
                <w:sz w:val="18"/>
                <w:szCs w:val="18"/>
              </w:rPr>
            </w:pPr>
            <w:r>
              <w:rPr>
                <w:sz w:val="18"/>
                <w:szCs w:val="18"/>
              </w:rPr>
              <w:t>In manchen Ländern wird die Vertraulichkeit der eingereichten Informationen oder des Saatguts von der Sortenschutzbehörde nicht garantiert.</w:t>
            </w:r>
            <w:r w:rsidR="00282747">
              <w:rPr>
                <w:sz w:val="18"/>
                <w:szCs w:val="18"/>
              </w:rPr>
              <w:t xml:space="preserve"> </w:t>
            </w:r>
            <w:r>
              <w:rPr>
                <w:sz w:val="18"/>
                <w:szCs w:val="18"/>
              </w:rPr>
              <w:t>Unter diesen Umständen besteht erhöhte Gefahr, daß Elternlinien öffentlich zugänglich werden.</w:t>
            </w:r>
            <w:r w:rsidR="00282747">
              <w:rPr>
                <w:sz w:val="18"/>
                <w:szCs w:val="18"/>
              </w:rPr>
              <w:t xml:space="preserve"> </w:t>
            </w:r>
            <w:r>
              <w:rPr>
                <w:sz w:val="18"/>
                <w:szCs w:val="18"/>
              </w:rPr>
              <w:t>Die Aufforderung, Saatgut der Elternlinien zur Verfügung zu stellen, ist einer der Hauptgründe, weshalb Saatgutunternehmen in manchen Fällen in diesen Ländern keinen Antrag einreichen.</w:t>
            </w:r>
          </w:p>
          <w:p w:rsidR="008D1D47" w:rsidRPr="002C4075" w:rsidRDefault="008D1D47" w:rsidP="002C4075">
            <w:pPr>
              <w:rPr>
                <w:sz w:val="18"/>
                <w:szCs w:val="18"/>
              </w:rPr>
            </w:pPr>
          </w:p>
          <w:p w:rsidR="008D1D47" w:rsidRPr="002C4075" w:rsidRDefault="008D1D47" w:rsidP="002C4075">
            <w:pPr>
              <w:rPr>
                <w:rFonts w:eastAsia="Arial"/>
                <w:sz w:val="18"/>
                <w:szCs w:val="18"/>
              </w:rPr>
            </w:pPr>
            <w:r>
              <w:rPr>
                <w:sz w:val="18"/>
                <w:szCs w:val="18"/>
              </w:rPr>
              <w:t>Gemäß TGP/4/1 ergreift die Sortenschutzbehörde alle erforderlichen Maßnahmen, um die Rechte des Antragstellers zu wahren.</w:t>
            </w:r>
            <w:r w:rsidR="00282747">
              <w:rPr>
                <w:sz w:val="18"/>
                <w:szCs w:val="18"/>
              </w:rPr>
              <w:t xml:space="preserve"> </w:t>
            </w:r>
            <w:r>
              <w:rPr>
                <w:sz w:val="18"/>
                <w:szCs w:val="18"/>
              </w:rPr>
              <w:t>Nach Auffassung des ISF umfaßt diese Aufgabe auch den absolut vertraulichen Umgang mit dem Material sowie den Einsatz eines Materialtransferabkommens zwischen der Sortenschutzbehörde und dem Antragsteller; dieses Abkommen sollte den vertraulichen Umgang mit dem Material gewährleisten.</w:t>
            </w:r>
            <w:r w:rsidR="00282747">
              <w:rPr>
                <w:sz w:val="18"/>
                <w:szCs w:val="18"/>
              </w:rPr>
              <w:t xml:space="preserve"> </w:t>
            </w:r>
            <w:r>
              <w:rPr>
                <w:sz w:val="18"/>
                <w:szCs w:val="18"/>
              </w:rPr>
              <w:t>Ist die Vertraulichkeit garantiert, sollte sich auch der Umfang des Saatgutmusters in vertretbarem Rahmen halten.</w:t>
            </w:r>
            <w:r w:rsidR="00282747">
              <w:rPr>
                <w:sz w:val="18"/>
                <w:szCs w:val="18"/>
              </w:rPr>
              <w:t xml:space="preserve"> </w:t>
            </w:r>
            <w:r>
              <w:rPr>
                <w:sz w:val="18"/>
                <w:szCs w:val="18"/>
              </w:rPr>
              <w:t>In Ländern, in denen sehr umfangreiche Muster angefordert werden, ist dies ein weiterer Grund für Saatgutunternehmen, keinen Antrag zu stellen.</w:t>
            </w:r>
          </w:p>
          <w:p w:rsidR="008D1D47" w:rsidRPr="002C4075" w:rsidRDefault="008D1D47" w:rsidP="002C4075">
            <w:pPr>
              <w:rPr>
                <w:sz w:val="18"/>
                <w:szCs w:val="18"/>
              </w:rPr>
            </w:pPr>
          </w:p>
          <w:p w:rsidR="008D1D47" w:rsidRPr="008E408A" w:rsidRDefault="008D1D47" w:rsidP="002C4075">
            <w:pPr>
              <w:rPr>
                <w:rFonts w:cs="Arial"/>
                <w:color w:val="0D0D0D"/>
                <w:u w:val="single"/>
              </w:rPr>
            </w:pPr>
            <w:r>
              <w:rPr>
                <w:sz w:val="18"/>
                <w:szCs w:val="18"/>
              </w:rPr>
              <w:t>In Fällen, in denen die für das Sortenschutz-Prüfungsverfahren zuständigen Einrichtungen selbst Sorten der gleichen Art züchten wie die Antragsteller, sind klare und strenge Maßnahmen zu ergreifen, um die vertrauliche Behandlung des Materials des Antragstellers sicherzustellen.</w:t>
            </w:r>
          </w:p>
        </w:tc>
      </w:tr>
    </w:tbl>
    <w:p w:rsidR="0099105A" w:rsidRPr="008E408A" w:rsidRDefault="0099105A" w:rsidP="004A7127">
      <w:pPr>
        <w:pStyle w:val="Heading4"/>
        <w:ind w:firstLine="0"/>
        <w:rPr>
          <w:kern w:val="28"/>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99105A" w:rsidRPr="008E408A" w:rsidTr="00140E1A">
        <w:trPr>
          <w:cantSplit/>
        </w:trPr>
        <w:tc>
          <w:tcPr>
            <w:tcW w:w="8788" w:type="dxa"/>
          </w:tcPr>
          <w:p w:rsidR="0099105A" w:rsidRPr="002C4075" w:rsidRDefault="0099105A" w:rsidP="002C4075">
            <w:pPr>
              <w:rPr>
                <w:sz w:val="18"/>
                <w:szCs w:val="18"/>
              </w:rPr>
            </w:pPr>
            <w:r>
              <w:rPr>
                <w:sz w:val="18"/>
                <w:szCs w:val="18"/>
              </w:rPr>
              <w:t>[Auszug aus dem Schreiben des ISF – (original Englisch)]</w:t>
            </w:r>
          </w:p>
          <w:p w:rsidR="0099105A" w:rsidRPr="008E408A" w:rsidRDefault="0099105A" w:rsidP="002C4075">
            <w:pPr>
              <w:rPr>
                <w:rFonts w:cs="Arial"/>
                <w:color w:val="0D0D0D"/>
                <w:u w:val="single"/>
              </w:rPr>
            </w:pPr>
            <w:r>
              <w:rPr>
                <w:sz w:val="18"/>
                <w:szCs w:val="18"/>
                <w:u w:val="single"/>
              </w:rPr>
              <w:t>Regelung des Materialaustauschs</w:t>
            </w:r>
            <w:r>
              <w:rPr>
                <w:sz w:val="18"/>
                <w:szCs w:val="18"/>
              </w:rPr>
              <w:t>: In vielen Ländern gibt es keine förmlichen Vorschriften oder Richtlinien für den Austausch von Pflanzenmaterial oder Saatgut zwischen Prüfungsämtern.</w:t>
            </w:r>
            <w:r w:rsidR="00282747">
              <w:rPr>
                <w:sz w:val="18"/>
                <w:szCs w:val="18"/>
              </w:rPr>
              <w:t xml:space="preserve"> </w:t>
            </w:r>
            <w:r>
              <w:rPr>
                <w:sz w:val="18"/>
                <w:szCs w:val="18"/>
              </w:rPr>
              <w:t>Die Mitglieder des ISF sind der Auffassung, daß gute Rückverfolgbarkeit sehr wichtig ist.</w:t>
            </w:r>
            <w:r w:rsidR="00282747">
              <w:rPr>
                <w:sz w:val="18"/>
                <w:szCs w:val="18"/>
              </w:rPr>
              <w:t xml:space="preserve"> </w:t>
            </w:r>
            <w:r>
              <w:rPr>
                <w:sz w:val="18"/>
                <w:szCs w:val="18"/>
              </w:rPr>
              <w:t xml:space="preserve"> Häufig weiß der Züchter nicht, was nach Abschluß des Antragsverfahrens mit seinem Material geschieht.</w:t>
            </w:r>
            <w:r w:rsidR="00282747">
              <w:rPr>
                <w:sz w:val="18"/>
                <w:szCs w:val="18"/>
              </w:rPr>
              <w:t xml:space="preserve"> </w:t>
            </w:r>
            <w:r>
              <w:rPr>
                <w:sz w:val="18"/>
                <w:szCs w:val="18"/>
              </w:rPr>
              <w:t>Er sollte zumindest darüber unterrichtet werden, daß sein Material an andere Behörden weitergegeben wird; im Idealfall sollte vor der Weitergabe seine Zustimmung eingeholt werden.</w:t>
            </w:r>
            <w:r w:rsidR="00282747">
              <w:rPr>
                <w:sz w:val="18"/>
                <w:szCs w:val="18"/>
              </w:rPr>
              <w:t xml:space="preserve"> </w:t>
            </w:r>
            <w:r>
              <w:rPr>
                <w:sz w:val="18"/>
                <w:szCs w:val="18"/>
              </w:rPr>
              <w:t>Besonders wichtig sind solche Austauschregeln für die Elternlinien.</w:t>
            </w:r>
            <w:r w:rsidR="00282747">
              <w:rPr>
                <w:sz w:val="18"/>
                <w:szCs w:val="18"/>
              </w:rPr>
              <w:t xml:space="preserve"> </w:t>
            </w:r>
            <w:r>
              <w:rPr>
                <w:sz w:val="18"/>
                <w:szCs w:val="18"/>
              </w:rPr>
              <w:t>Klare und harmonisierte Vorschriften in Verbindung mit einer vorherigen Vereinbarung würden dazu beitragen, die Integrität und Sicherheit von Pflanzenmaterial und Saatgut sicherzustellen.</w:t>
            </w:r>
            <w:r w:rsidR="00282747">
              <w:rPr>
                <w:sz w:val="18"/>
                <w:szCs w:val="18"/>
              </w:rPr>
              <w:t xml:space="preserve"> </w:t>
            </w:r>
            <w:r>
              <w:rPr>
                <w:sz w:val="18"/>
                <w:szCs w:val="18"/>
              </w:rPr>
              <w:t>Wenn es in einem Land keine förmlichen Vorschriften für den Austausch von Material gibt, verzichten manche Firmen darauf, dort Sortenschutz zu beantragen.</w:t>
            </w:r>
            <w:r>
              <w:rPr>
                <w:color w:val="0D0D0D"/>
                <w:sz w:val="18"/>
                <w:szCs w:val="18"/>
                <w:u w:val="single"/>
              </w:rPr>
              <w:t xml:space="preserve"> </w:t>
            </w:r>
          </w:p>
        </w:tc>
      </w:tr>
    </w:tbl>
    <w:p w:rsidR="0099105A" w:rsidRPr="008E408A" w:rsidRDefault="0099105A" w:rsidP="00F426E2">
      <w:pPr>
        <w:rPr>
          <w:snapToGrid w:val="0"/>
        </w:rPr>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99105A" w:rsidRPr="00D17A98" w:rsidTr="00140E1A">
        <w:trPr>
          <w:cantSplit/>
        </w:trPr>
        <w:tc>
          <w:tcPr>
            <w:tcW w:w="8788" w:type="dxa"/>
          </w:tcPr>
          <w:p w:rsidR="0099105A" w:rsidRPr="002C4075" w:rsidRDefault="0099105A" w:rsidP="002C4075">
            <w:pPr>
              <w:rPr>
                <w:sz w:val="18"/>
                <w:szCs w:val="18"/>
              </w:rPr>
            </w:pPr>
            <w:r>
              <w:rPr>
                <w:sz w:val="18"/>
                <w:szCs w:val="18"/>
              </w:rPr>
              <w:t>[Auszug aus dem Schreiben des ISF – (original Englisch)]</w:t>
            </w:r>
          </w:p>
          <w:p w:rsidR="0099105A" w:rsidRPr="002C4075" w:rsidRDefault="0099105A" w:rsidP="002C4075">
            <w:pPr>
              <w:rPr>
                <w:rFonts w:eastAsia="Arial"/>
                <w:sz w:val="18"/>
                <w:szCs w:val="18"/>
              </w:rPr>
            </w:pPr>
            <w:r>
              <w:rPr>
                <w:sz w:val="18"/>
                <w:szCs w:val="18"/>
                <w:u w:val="single"/>
              </w:rPr>
              <w:t>Verfügbarkeit des Materials</w:t>
            </w:r>
            <w:r>
              <w:rPr>
                <w:sz w:val="18"/>
                <w:szCs w:val="18"/>
              </w:rPr>
              <w:t>: Manche Länder fordern den Antragsteller auf, Material der geschützten Sorte öffentlich zugänglich zu machen.</w:t>
            </w:r>
            <w:r w:rsidR="00282747">
              <w:rPr>
                <w:sz w:val="18"/>
                <w:szCs w:val="18"/>
              </w:rPr>
              <w:t xml:space="preserve"> </w:t>
            </w:r>
            <w:r>
              <w:rPr>
                <w:sz w:val="18"/>
                <w:szCs w:val="18"/>
              </w:rPr>
              <w:t>Dies kann im Fall von Elternlinien ein Problem aufwerfen, namentlich dann, wenn ein Konkurrent Material aus der geschützten Elternlinie anfordern kann.</w:t>
            </w:r>
            <w:r w:rsidR="00282747">
              <w:rPr>
                <w:sz w:val="18"/>
                <w:szCs w:val="18"/>
              </w:rPr>
              <w:t xml:space="preserve"> </w:t>
            </w:r>
            <w:r>
              <w:rPr>
                <w:sz w:val="18"/>
                <w:szCs w:val="18"/>
              </w:rPr>
              <w:t>Laut unserer Erhebung sind die Saatgutunternehmen nicht oder nur widerstrebend bereit, anderen ihr Elternlinienmaterial zu überlassen.</w:t>
            </w:r>
            <w:r w:rsidR="00282747">
              <w:rPr>
                <w:sz w:val="18"/>
                <w:szCs w:val="18"/>
              </w:rPr>
              <w:t xml:space="preserve"> </w:t>
            </w:r>
            <w:r>
              <w:rPr>
                <w:sz w:val="18"/>
                <w:szCs w:val="18"/>
              </w:rPr>
              <w:t>Material sollte nicht ohne Zustimmung der Züchter öffentlich zugänglich gemacht werden.</w:t>
            </w:r>
            <w:r w:rsidR="00282747">
              <w:rPr>
                <w:sz w:val="18"/>
                <w:szCs w:val="18"/>
              </w:rPr>
              <w:t xml:space="preserve"> </w:t>
            </w:r>
            <w:r>
              <w:rPr>
                <w:sz w:val="18"/>
                <w:szCs w:val="18"/>
              </w:rPr>
              <w:t>Das UPOV-Übereinkommen enthält keine Bestimmung, derzufolge geschütztes Material öffentlich zugänglich gemacht werden muß.</w:t>
            </w:r>
            <w:r w:rsidR="00282747">
              <w:rPr>
                <w:sz w:val="18"/>
                <w:szCs w:val="18"/>
              </w:rPr>
              <w:t xml:space="preserve"> </w:t>
            </w:r>
            <w:r>
              <w:rPr>
                <w:sz w:val="18"/>
                <w:szCs w:val="18"/>
              </w:rPr>
              <w:t>Für manche Unternehmen ist eine entsprechende Anforderung ein Grund, in dem betreffenden Land keinen Sortenschutz zu beantragen.</w:t>
            </w:r>
          </w:p>
          <w:p w:rsidR="0099105A" w:rsidRPr="002C4075" w:rsidRDefault="0099105A" w:rsidP="002C4075">
            <w:pPr>
              <w:rPr>
                <w:rFonts w:eastAsia="Arial"/>
                <w:sz w:val="18"/>
                <w:szCs w:val="18"/>
              </w:rPr>
            </w:pPr>
          </w:p>
          <w:p w:rsidR="0099105A" w:rsidRPr="002C4075" w:rsidRDefault="0099105A" w:rsidP="002C4075">
            <w:pPr>
              <w:rPr>
                <w:sz w:val="18"/>
                <w:szCs w:val="18"/>
              </w:rPr>
            </w:pPr>
            <w:r>
              <w:rPr>
                <w:sz w:val="18"/>
                <w:szCs w:val="18"/>
              </w:rPr>
              <w:t>Es sollte ausschließlich das Material öffentlich zugänglich gemacht werden, das auf dem Markt zur Verfügung gestellt wird</w:t>
            </w:r>
          </w:p>
        </w:tc>
      </w:tr>
    </w:tbl>
    <w:p w:rsidR="00F426E2" w:rsidRDefault="00F426E2" w:rsidP="0099105A"/>
    <w:p w:rsidR="00224367" w:rsidRPr="00224367" w:rsidRDefault="00BA325E" w:rsidP="0099105A">
      <w:r w:rsidRPr="00224367">
        <w:fldChar w:fldCharType="begin"/>
      </w:r>
      <w:r w:rsidR="00224367" w:rsidRPr="00224367">
        <w:instrText xml:space="preserve"> AUTONUM  </w:instrText>
      </w:r>
      <w:r w:rsidRPr="00224367">
        <w:fldChar w:fldCharType="end"/>
      </w:r>
      <w:r w:rsidR="00032D41">
        <w:tab/>
        <w:t>Die bestehende Anleitung und mögliche Ansätze betreffend Materialanforderungen werden in den folgenden Absätzen ausgeführt:</w:t>
      </w:r>
    </w:p>
    <w:p w:rsidR="00224367" w:rsidRPr="00224367" w:rsidRDefault="00224367" w:rsidP="006F2B56">
      <w:pPr>
        <w:spacing w:line="360" w:lineRule="auto"/>
      </w:pPr>
    </w:p>
    <w:p w:rsidR="00224367" w:rsidRPr="004A7127" w:rsidRDefault="006C0479" w:rsidP="006F2B56">
      <w:pPr>
        <w:pStyle w:val="Heading3"/>
      </w:pPr>
      <w:bookmarkStart w:id="37" w:name="_Toc381170737"/>
      <w:bookmarkStart w:id="38" w:name="_Toc382820474"/>
      <w:r>
        <w:t>a)</w:t>
      </w:r>
      <w:r>
        <w:tab/>
        <w:t xml:space="preserve">Zugang zu Elternlinien für Anträge betreffend </w:t>
      </w:r>
      <w:r w:rsidR="00054441">
        <w:t>Hybrids</w:t>
      </w:r>
      <w:r>
        <w:t>orten</w:t>
      </w:r>
      <w:bookmarkEnd w:id="37"/>
      <w:bookmarkEnd w:id="38"/>
    </w:p>
    <w:p w:rsidR="004A7127" w:rsidRPr="004A7127" w:rsidRDefault="004A7127" w:rsidP="00EA2439">
      <w:pPr>
        <w:ind w:firstLine="567"/>
        <w:rPr>
          <w:rFonts w:cs="Arial"/>
          <w:i/>
          <w:color w:val="0D0D0D"/>
        </w:rPr>
      </w:pPr>
    </w:p>
    <w:p w:rsidR="00EA2439" w:rsidRDefault="00BA325E" w:rsidP="00B76373">
      <w:pPr>
        <w:rPr>
          <w:rFonts w:cs="Arial"/>
          <w:color w:val="0D0D0D"/>
        </w:rPr>
      </w:pPr>
      <w:r w:rsidRPr="00295010">
        <w:rPr>
          <w:rFonts w:cs="Arial"/>
          <w:color w:val="0D0D0D"/>
        </w:rPr>
        <w:fldChar w:fldCharType="begin"/>
      </w:r>
      <w:r w:rsidR="00B76373" w:rsidRPr="00295010">
        <w:rPr>
          <w:rFonts w:cs="Arial"/>
          <w:color w:val="0D0D0D"/>
        </w:rPr>
        <w:instrText xml:space="preserve"> AUTONUM  </w:instrText>
      </w:r>
      <w:r w:rsidRPr="00295010">
        <w:rPr>
          <w:rFonts w:cs="Arial"/>
          <w:color w:val="0D0D0D"/>
        </w:rPr>
        <w:fldChar w:fldCharType="end"/>
      </w:r>
      <w:r w:rsidR="00032D41">
        <w:tab/>
        <w:t xml:space="preserve">Anleitung zu Elternlinien in bezug auf Anträge betreffend </w:t>
      </w:r>
      <w:r w:rsidR="00054441">
        <w:t xml:space="preserve">Hybridsorten </w:t>
      </w:r>
      <w:r w:rsidR="00032D41">
        <w:t xml:space="preserve">wird in der „Allgemeinen Einführung zur Prüfung auf Unterscheidbarkeit, Homogenität und Beständigkeit und Erarbeitung harmonisierter Beschreibungen von neuen Pflanzensorten” (vergleiche „Allgemeine Einführung“, Dokument TG/1/3) und in Dokument TGP/7/3 „Erstellung von Prüfungsrichtlinien“ gegeben (vergleiche </w:t>
      </w:r>
      <w:hyperlink r:id="rId11">
        <w:r w:rsidR="00032D41">
          <w:rPr>
            <w:rStyle w:val="Hyperlink"/>
          </w:rPr>
          <w:t>http://www.upov.int/resource/de/dus_guidance.html</w:t>
        </w:r>
      </w:hyperlink>
      <w:r w:rsidR="00032D41">
        <w:rPr>
          <w:color w:val="0D0D0D"/>
        </w:rPr>
        <w:t>).</w:t>
      </w:r>
    </w:p>
    <w:p w:rsidR="001979DD" w:rsidRDefault="001979DD" w:rsidP="00B76373">
      <w:pPr>
        <w:rPr>
          <w:rFonts w:cs="Arial"/>
          <w:color w:val="0D0D0D"/>
          <w:u w:val="single"/>
        </w:rPr>
      </w:pPr>
    </w:p>
    <w:p w:rsidR="004723F6" w:rsidRPr="00A80B59" w:rsidRDefault="00A80B59" w:rsidP="00B76373">
      <w:pPr>
        <w:rPr>
          <w:rFonts w:cs="Arial"/>
          <w:color w:val="0D0D0D"/>
        </w:rPr>
      </w:pPr>
      <w:r>
        <w:rPr>
          <w:color w:val="0D0D0D"/>
        </w:rPr>
        <w:t>[Auszug aus der Allgemeinen Einführung]</w:t>
      </w:r>
    </w:p>
    <w:p w:rsidR="004723F6" w:rsidRDefault="004723F6" w:rsidP="00B76373">
      <w:pPr>
        <w:rPr>
          <w:rFonts w:cs="Arial"/>
          <w:color w:val="0D0D0D"/>
          <w:u w:val="single"/>
        </w:rPr>
      </w:pPr>
    </w:p>
    <w:p w:rsidR="004723F6" w:rsidRPr="00A86F1B" w:rsidRDefault="00ED7371" w:rsidP="00A86F1B">
      <w:pPr>
        <w:ind w:left="567"/>
        <w:rPr>
          <w:sz w:val="18"/>
          <w:u w:val="single"/>
        </w:rPr>
      </w:pPr>
      <w:bookmarkStart w:id="39" w:name="_Toc498511374"/>
      <w:bookmarkStart w:id="40" w:name="_Toc7923422"/>
      <w:r>
        <w:lastRenderedPageBreak/>
        <w:t>„</w:t>
      </w:r>
      <w:r w:rsidR="004723F6">
        <w:t>7.3.2</w:t>
      </w:r>
      <w:r w:rsidR="004723F6">
        <w:tab/>
      </w:r>
      <w:r w:rsidR="004723F6">
        <w:rPr>
          <w:sz w:val="18"/>
          <w:u w:val="single"/>
        </w:rPr>
        <w:t>Hybridsorten</w:t>
      </w:r>
      <w:bookmarkEnd w:id="39"/>
      <w:bookmarkEnd w:id="40"/>
    </w:p>
    <w:p w:rsidR="004723F6" w:rsidRPr="004723F6" w:rsidRDefault="004723F6" w:rsidP="004723F6"/>
    <w:p w:rsidR="004723F6" w:rsidRPr="004723F6" w:rsidRDefault="004723F6" w:rsidP="004723F6">
      <w:pPr>
        <w:ind w:left="567" w:right="567"/>
        <w:rPr>
          <w:sz w:val="18"/>
          <w:szCs w:val="18"/>
        </w:rPr>
      </w:pPr>
      <w:r>
        <w:rPr>
          <w:sz w:val="18"/>
          <w:szCs w:val="18"/>
        </w:rPr>
        <w:t>Die Beständigkeit einer Hybridsorte kann außer durch die Prüfung der Hybridsorte selbst auch durch die Prüfung der Homogenität und Beständigkeit ihrer Elternlinien geprüft werden.</w:t>
      </w:r>
    </w:p>
    <w:p w:rsidR="004723F6" w:rsidRDefault="004723F6" w:rsidP="00B76373">
      <w:pPr>
        <w:rPr>
          <w:rFonts w:cs="Arial"/>
          <w:color w:val="0D0D0D"/>
          <w:u w:val="single"/>
        </w:rPr>
      </w:pPr>
    </w:p>
    <w:p w:rsidR="004723F6" w:rsidRPr="00A80B59" w:rsidRDefault="00A80B59" w:rsidP="00B76373">
      <w:pPr>
        <w:rPr>
          <w:rFonts w:cs="Arial"/>
          <w:color w:val="0D0D0D"/>
        </w:rPr>
      </w:pPr>
      <w:r>
        <w:rPr>
          <w:color w:val="0D0D0D"/>
        </w:rPr>
        <w:t>[Auszüge aus Dokument TGP/7/3]</w:t>
      </w:r>
    </w:p>
    <w:p w:rsidR="004723F6" w:rsidRPr="001613B4" w:rsidRDefault="004723F6" w:rsidP="00B76373">
      <w:pPr>
        <w:rPr>
          <w:rFonts w:cs="Arial"/>
          <w:color w:val="0D0D0D"/>
          <w:u w:val="single"/>
        </w:rPr>
      </w:pPr>
    </w:p>
    <w:p w:rsidR="001613B4" w:rsidRPr="00A86F1B" w:rsidRDefault="00ED7371" w:rsidP="00A86F1B">
      <w:pPr>
        <w:ind w:left="567"/>
        <w:rPr>
          <w:i/>
          <w:sz w:val="18"/>
          <w:u w:val="single"/>
        </w:rPr>
      </w:pPr>
      <w:bookmarkStart w:id="41" w:name="_Toc309114863"/>
      <w:r>
        <w:t>„</w:t>
      </w:r>
      <w:r w:rsidR="001613B4">
        <w:rPr>
          <w:sz w:val="18"/>
          <w:u w:val="single"/>
        </w:rPr>
        <w:t>ASW 7(a)</w:t>
      </w:r>
      <w:r w:rsidR="00282747">
        <w:rPr>
          <w:sz w:val="18"/>
          <w:u w:val="single"/>
        </w:rPr>
        <w:t xml:space="preserve"> </w:t>
      </w:r>
      <w:r w:rsidR="001613B4">
        <w:rPr>
          <w:sz w:val="18"/>
          <w:u w:val="single"/>
        </w:rPr>
        <w:t>(Kapitel 4.1.1) – Unterscheidbarkeit: Elternformel</w:t>
      </w:r>
      <w:bookmarkEnd w:id="41"/>
    </w:p>
    <w:p w:rsidR="001613B4" w:rsidRPr="001613B4" w:rsidRDefault="001613B4" w:rsidP="001613B4"/>
    <w:p w:rsidR="001613B4" w:rsidRPr="001613B4" w:rsidRDefault="006359A2" w:rsidP="001613B4">
      <w:pPr>
        <w:ind w:left="567" w:right="708"/>
        <w:rPr>
          <w:color w:val="000000"/>
          <w:sz w:val="18"/>
          <w:szCs w:val="18"/>
        </w:rPr>
      </w:pPr>
      <w:r>
        <w:rPr>
          <w:color w:val="000000"/>
          <w:sz w:val="18"/>
          <w:szCs w:val="18"/>
        </w:rPr>
        <w:t>„Zur Bestimmung der Unterscheidbarkeit von Hybriden können die Elternlinien und die Zuchtformel gemäß den folgenden Empfehlungen verwendet werden:</w:t>
      </w:r>
    </w:p>
    <w:p w:rsidR="001613B4" w:rsidRPr="001613B4" w:rsidRDefault="001613B4" w:rsidP="001613B4">
      <w:pPr>
        <w:ind w:left="567" w:right="708"/>
        <w:rPr>
          <w:color w:val="000000"/>
          <w:sz w:val="18"/>
          <w:szCs w:val="18"/>
          <w:lang w:val="en-GB"/>
        </w:rPr>
      </w:pPr>
    </w:p>
    <w:p w:rsidR="001613B4" w:rsidRPr="001613B4" w:rsidRDefault="001613B4" w:rsidP="001613B4">
      <w:pPr>
        <w:numPr>
          <w:ilvl w:val="0"/>
          <w:numId w:val="8"/>
        </w:numPr>
        <w:ind w:left="567" w:right="708" w:firstLine="0"/>
        <w:rPr>
          <w:color w:val="000000"/>
          <w:sz w:val="18"/>
          <w:szCs w:val="18"/>
        </w:rPr>
      </w:pPr>
      <w:r>
        <w:rPr>
          <w:color w:val="000000"/>
          <w:sz w:val="18"/>
          <w:szCs w:val="18"/>
        </w:rPr>
        <w:t>Beschreibung der Elterlinien gemäß den Prüfungsrichtlinien;</w:t>
      </w:r>
    </w:p>
    <w:p w:rsidR="001613B4" w:rsidRPr="001613B4" w:rsidRDefault="001613B4" w:rsidP="001613B4">
      <w:pPr>
        <w:ind w:left="567" w:right="708"/>
        <w:rPr>
          <w:color w:val="000000"/>
          <w:sz w:val="18"/>
          <w:szCs w:val="18"/>
          <w:lang w:val="en-GB"/>
        </w:rPr>
      </w:pPr>
    </w:p>
    <w:p w:rsidR="001613B4" w:rsidRPr="001613B4" w:rsidRDefault="001613B4" w:rsidP="001613B4">
      <w:pPr>
        <w:numPr>
          <w:ilvl w:val="0"/>
          <w:numId w:val="8"/>
        </w:numPr>
        <w:ind w:left="567" w:right="708" w:firstLine="0"/>
        <w:rPr>
          <w:color w:val="000000"/>
          <w:sz w:val="18"/>
          <w:szCs w:val="18"/>
        </w:rPr>
      </w:pPr>
      <w:r>
        <w:rPr>
          <w:color w:val="000000"/>
          <w:sz w:val="18"/>
          <w:szCs w:val="18"/>
        </w:rPr>
        <w:t>Prüfung der Eigenständigkeit der Elterlinien im Vergleich zu der Vergleichssammlung auf der Grundlage der in Abschnitt 7 beschriebenen Merkmale, um die ähnlichsten Elternlinien zu ermitteln;</w:t>
      </w:r>
    </w:p>
    <w:p w:rsidR="001613B4" w:rsidRPr="001613B4" w:rsidRDefault="001613B4" w:rsidP="001613B4">
      <w:pPr>
        <w:ind w:left="567" w:right="708"/>
        <w:rPr>
          <w:color w:val="000000"/>
          <w:sz w:val="18"/>
          <w:szCs w:val="18"/>
          <w:lang w:val="en-GB"/>
        </w:rPr>
      </w:pPr>
    </w:p>
    <w:p w:rsidR="001613B4" w:rsidRPr="001613B4" w:rsidRDefault="001613B4" w:rsidP="001613B4">
      <w:pPr>
        <w:numPr>
          <w:ilvl w:val="0"/>
          <w:numId w:val="8"/>
        </w:numPr>
        <w:ind w:left="567" w:right="708" w:firstLine="0"/>
        <w:rPr>
          <w:color w:val="000000"/>
          <w:sz w:val="18"/>
          <w:szCs w:val="18"/>
        </w:rPr>
      </w:pPr>
      <w:r>
        <w:rPr>
          <w:color w:val="000000"/>
          <w:sz w:val="18"/>
          <w:szCs w:val="18"/>
        </w:rPr>
        <w:t>Prüfung der Eigenständigkeit der Hybridformel im Vergleich mit denen der allgemein bekannten Hybriden unter Berücksichtigung der ähnlichsten Linien;</w:t>
      </w:r>
    </w:p>
    <w:p w:rsidR="001613B4" w:rsidRPr="001613B4" w:rsidRDefault="001613B4" w:rsidP="001613B4">
      <w:pPr>
        <w:ind w:left="567" w:right="708"/>
        <w:rPr>
          <w:color w:val="000000"/>
          <w:sz w:val="18"/>
          <w:szCs w:val="18"/>
          <w:lang w:val="en-GB"/>
        </w:rPr>
      </w:pPr>
    </w:p>
    <w:p w:rsidR="001613B4" w:rsidRPr="001613B4" w:rsidRDefault="001613B4" w:rsidP="001613B4">
      <w:pPr>
        <w:numPr>
          <w:ilvl w:val="0"/>
          <w:numId w:val="8"/>
        </w:numPr>
        <w:ind w:left="567" w:right="708" w:firstLine="0"/>
        <w:rPr>
          <w:color w:val="000000"/>
          <w:sz w:val="18"/>
          <w:szCs w:val="18"/>
        </w:rPr>
      </w:pPr>
      <w:r>
        <w:rPr>
          <w:color w:val="000000"/>
          <w:sz w:val="18"/>
          <w:szCs w:val="18"/>
        </w:rPr>
        <w:t>Bestimmung</w:t>
      </w:r>
      <w:r>
        <w:t xml:space="preserve"> </w:t>
      </w:r>
      <w:r>
        <w:rPr>
          <w:sz w:val="18"/>
          <w:szCs w:val="18"/>
        </w:rPr>
        <w:t>der Unterscheidbarkeit an der Hybride bei Sorten mit ähnlicher Formel.</w:t>
      </w:r>
    </w:p>
    <w:p w:rsidR="001613B4" w:rsidRDefault="001613B4" w:rsidP="001613B4">
      <w:pPr>
        <w:ind w:left="567" w:right="708"/>
        <w:rPr>
          <w:sz w:val="18"/>
          <w:szCs w:val="18"/>
          <w:lang w:val="en-GB"/>
        </w:rPr>
      </w:pPr>
    </w:p>
    <w:p w:rsidR="001613B4" w:rsidRPr="001613B4" w:rsidRDefault="001613B4" w:rsidP="001613B4">
      <w:pPr>
        <w:ind w:left="567" w:right="708"/>
        <w:rPr>
          <w:color w:val="000000"/>
          <w:sz w:val="18"/>
          <w:szCs w:val="18"/>
        </w:rPr>
      </w:pPr>
      <w:r>
        <w:rPr>
          <w:sz w:val="18"/>
          <w:szCs w:val="18"/>
        </w:rPr>
        <w:t>Weitere Anleitung ist in den Dokumenten TGP/9 „Prüfung der Unterscheidbarkeit“ und in TGP/8 „Prüfungsanlage und Verfahren für die Prüfung der Unterscheidbarkeit, der Homogenität und der Beständigkeit“</w:t>
      </w:r>
      <w:r w:rsidR="00282747">
        <w:rPr>
          <w:sz w:val="18"/>
          <w:szCs w:val="18"/>
        </w:rPr>
        <w:t xml:space="preserve"> </w:t>
      </w:r>
      <w:r>
        <w:rPr>
          <w:sz w:val="18"/>
          <w:szCs w:val="18"/>
        </w:rPr>
        <w:t>zu finden.</w:t>
      </w:r>
    </w:p>
    <w:p w:rsidR="001613B4" w:rsidRDefault="001613B4" w:rsidP="001613B4">
      <w:pPr>
        <w:ind w:right="708"/>
        <w:rPr>
          <w:sz w:val="18"/>
          <w:szCs w:val="18"/>
          <w:lang w:val="en-GB"/>
        </w:rPr>
      </w:pPr>
    </w:p>
    <w:p w:rsidR="001613B4" w:rsidRDefault="001613B4" w:rsidP="001613B4">
      <w:pPr>
        <w:ind w:right="708" w:firstLine="567"/>
        <w:rPr>
          <w:sz w:val="18"/>
          <w:szCs w:val="18"/>
        </w:rPr>
      </w:pPr>
      <w:r>
        <w:rPr>
          <w:sz w:val="18"/>
          <w:szCs w:val="18"/>
        </w:rPr>
        <w:t>[…]</w:t>
      </w:r>
    </w:p>
    <w:p w:rsidR="001613B4" w:rsidRDefault="001613B4" w:rsidP="001613B4">
      <w:pPr>
        <w:ind w:right="708"/>
        <w:rPr>
          <w:sz w:val="18"/>
          <w:szCs w:val="18"/>
          <w:lang w:val="en-GB"/>
        </w:rPr>
      </w:pPr>
    </w:p>
    <w:p w:rsidR="001613B4" w:rsidRPr="00A86F1B" w:rsidRDefault="001613B4" w:rsidP="00A86F1B">
      <w:pPr>
        <w:ind w:left="567"/>
        <w:rPr>
          <w:i/>
          <w:sz w:val="18"/>
        </w:rPr>
      </w:pPr>
      <w:bookmarkStart w:id="42" w:name="_Toc309114877"/>
      <w:r>
        <w:rPr>
          <w:i/>
          <w:sz w:val="18"/>
        </w:rPr>
        <w:t>e)</w:t>
      </w:r>
      <w:r>
        <w:tab/>
      </w:r>
      <w:r>
        <w:rPr>
          <w:i/>
          <w:sz w:val="18"/>
        </w:rPr>
        <w:t>Prüfung der Homogenität bei Verwendung der Elternformel</w:t>
      </w:r>
      <w:bookmarkEnd w:id="42"/>
      <w:r>
        <w:rPr>
          <w:i/>
          <w:sz w:val="18"/>
        </w:rPr>
        <w:t xml:space="preserve"> </w:t>
      </w:r>
    </w:p>
    <w:p w:rsidR="001613B4" w:rsidRDefault="001613B4" w:rsidP="001613B4">
      <w:pPr>
        <w:ind w:left="567" w:right="567"/>
        <w:rPr>
          <w:sz w:val="18"/>
          <w:szCs w:val="18"/>
        </w:rPr>
      </w:pPr>
    </w:p>
    <w:p w:rsidR="001613B4" w:rsidRPr="001613B4" w:rsidRDefault="001613B4" w:rsidP="001613B4">
      <w:pPr>
        <w:ind w:left="567" w:right="567"/>
        <w:rPr>
          <w:sz w:val="18"/>
          <w:szCs w:val="18"/>
        </w:rPr>
      </w:pPr>
      <w:r>
        <w:rPr>
          <w:sz w:val="18"/>
          <w:szCs w:val="18"/>
        </w:rPr>
        <w:t>„Schließt die Prüfung einer Hybridsorte die Elternlinien ein, so sollte die Homogenität der Hybridsorte, außer der Prüfung der Hybridsorte selbst, auch durch Prüfung der Homogenität ihrer Elternlinien geprüft werden.“</w:t>
      </w:r>
    </w:p>
    <w:p w:rsidR="001613B4" w:rsidRDefault="001613B4" w:rsidP="001613B4">
      <w:pPr>
        <w:jc w:val="left"/>
      </w:pPr>
    </w:p>
    <w:p w:rsidR="001613B4" w:rsidRDefault="001613B4" w:rsidP="001613B4">
      <w:pPr>
        <w:ind w:right="708" w:firstLine="567"/>
        <w:rPr>
          <w:sz w:val="18"/>
          <w:szCs w:val="18"/>
        </w:rPr>
      </w:pPr>
      <w:r>
        <w:rPr>
          <w:sz w:val="18"/>
          <w:szCs w:val="18"/>
        </w:rPr>
        <w:t>[…]</w:t>
      </w:r>
    </w:p>
    <w:p w:rsidR="001613B4" w:rsidRPr="001613B4" w:rsidRDefault="001613B4" w:rsidP="001613B4">
      <w:pPr>
        <w:ind w:right="708"/>
        <w:rPr>
          <w:color w:val="000000"/>
          <w:sz w:val="18"/>
          <w:szCs w:val="18"/>
        </w:rPr>
      </w:pPr>
    </w:p>
    <w:p w:rsidR="001613B4" w:rsidRPr="00A86F1B" w:rsidRDefault="00282747" w:rsidP="00F426E2">
      <w:pPr>
        <w:keepNext/>
        <w:ind w:left="567"/>
        <w:rPr>
          <w:sz w:val="18"/>
          <w:u w:val="single"/>
        </w:rPr>
      </w:pPr>
      <w:bookmarkStart w:id="43" w:name="_Toc309114882"/>
      <w:r>
        <w:t>„</w:t>
      </w:r>
      <w:r w:rsidR="001613B4">
        <w:rPr>
          <w:sz w:val="18"/>
          <w:u w:val="single"/>
        </w:rPr>
        <w:t>ASW 10 (TG-Mustervorlage: Kapitel 4.3.3) – Prüfung der Beständigkeit: Hy</w:t>
      </w:r>
      <w:r w:rsidR="00054441">
        <w:rPr>
          <w:sz w:val="18"/>
          <w:u w:val="single"/>
        </w:rPr>
        <w:t>b</w:t>
      </w:r>
      <w:r w:rsidR="001613B4">
        <w:rPr>
          <w:sz w:val="18"/>
          <w:u w:val="single"/>
        </w:rPr>
        <w:t>ridsorten</w:t>
      </w:r>
      <w:bookmarkEnd w:id="43"/>
    </w:p>
    <w:p w:rsidR="001613B4" w:rsidRPr="001613B4" w:rsidRDefault="001613B4" w:rsidP="00F426E2">
      <w:pPr>
        <w:keepNext/>
        <w:ind w:left="567" w:right="567"/>
        <w:rPr>
          <w:sz w:val="18"/>
          <w:szCs w:val="18"/>
        </w:rPr>
      </w:pPr>
    </w:p>
    <w:p w:rsidR="001613B4" w:rsidRDefault="001613B4" w:rsidP="001613B4">
      <w:pPr>
        <w:ind w:left="567" w:right="567"/>
        <w:rPr>
          <w:sz w:val="18"/>
          <w:szCs w:val="18"/>
        </w:rPr>
      </w:pPr>
      <w:r>
        <w:rPr>
          <w:sz w:val="18"/>
          <w:szCs w:val="18"/>
        </w:rPr>
        <w:t>„Nach Bedarf oder im Zweifelsfall kann die Beständigkeit einer Hybridsorte außer durch die Prüfung der Hybridsorte selbst auch durch die Prüfung der Homogenität und Beständigkeit ihrer Elternlinien geprüft werden.“</w:t>
      </w:r>
    </w:p>
    <w:p w:rsidR="004723F6" w:rsidRDefault="004723F6" w:rsidP="001613B4">
      <w:pPr>
        <w:ind w:left="567" w:right="567"/>
        <w:rPr>
          <w:sz w:val="18"/>
          <w:szCs w:val="18"/>
        </w:rPr>
      </w:pPr>
    </w:p>
    <w:p w:rsidR="004723F6" w:rsidRDefault="004723F6" w:rsidP="001613B4">
      <w:pPr>
        <w:ind w:left="567" w:right="567"/>
        <w:rPr>
          <w:sz w:val="18"/>
          <w:szCs w:val="18"/>
        </w:rPr>
      </w:pPr>
      <w:r>
        <w:rPr>
          <w:sz w:val="18"/>
          <w:szCs w:val="18"/>
        </w:rPr>
        <w:t>[…]</w:t>
      </w:r>
    </w:p>
    <w:p w:rsidR="004723F6" w:rsidRDefault="004723F6" w:rsidP="001613B4">
      <w:pPr>
        <w:ind w:left="567" w:right="567"/>
        <w:rPr>
          <w:sz w:val="18"/>
          <w:szCs w:val="18"/>
        </w:rPr>
      </w:pPr>
    </w:p>
    <w:p w:rsidR="004723F6" w:rsidRPr="00A86F1B" w:rsidRDefault="00ED7371" w:rsidP="009C5592">
      <w:pPr>
        <w:ind w:left="567" w:right="567"/>
        <w:rPr>
          <w:sz w:val="18"/>
          <w:u w:val="single"/>
        </w:rPr>
      </w:pPr>
      <w:bookmarkStart w:id="44" w:name="_Toc27819153"/>
      <w:bookmarkStart w:id="45" w:name="_Toc27819334"/>
      <w:bookmarkStart w:id="46" w:name="_Toc27819515"/>
      <w:bookmarkStart w:id="47" w:name="_Toc309114888"/>
      <w:r>
        <w:t>„</w:t>
      </w:r>
      <w:r w:rsidR="004723F6">
        <w:rPr>
          <w:sz w:val="18"/>
          <w:u w:val="single"/>
        </w:rPr>
        <w:t>ASW 13 (TG-Mustervorlage: Kapitel 10: Überschrift des Technischen Fragebogens) – Technischer Fragebogen für Hybridsorten</w:t>
      </w:r>
      <w:bookmarkEnd w:id="44"/>
      <w:bookmarkEnd w:id="45"/>
      <w:bookmarkEnd w:id="46"/>
      <w:bookmarkEnd w:id="47"/>
      <w:r w:rsidR="004723F6">
        <w:rPr>
          <w:sz w:val="18"/>
          <w:u w:val="single"/>
        </w:rPr>
        <w:t xml:space="preserve"> </w:t>
      </w:r>
    </w:p>
    <w:p w:rsidR="00A86F1B" w:rsidRPr="00A86F1B" w:rsidRDefault="00A86F1B" w:rsidP="009C5592">
      <w:pPr>
        <w:ind w:left="567" w:right="567"/>
        <w:rPr>
          <w:sz w:val="18"/>
        </w:rPr>
      </w:pPr>
    </w:p>
    <w:p w:rsidR="004723F6" w:rsidRPr="004723F6" w:rsidRDefault="006359A2" w:rsidP="009C5592">
      <w:pPr>
        <w:ind w:left="567" w:right="567"/>
        <w:rPr>
          <w:sz w:val="18"/>
          <w:szCs w:val="18"/>
        </w:rPr>
      </w:pPr>
      <w:r>
        <w:rPr>
          <w:sz w:val="18"/>
          <w:szCs w:val="18"/>
        </w:rPr>
        <w:t>Wenn die Elternformel für die Prüfung der Unterscheidbarkeit verwendet werden kann (vergleiche ASW 7 a) (Kapitel 4.1.1) – Unterscheidbarkeit: Elternformel), kann folgender Wortlaut hinzugefügt werden:</w:t>
      </w:r>
    </w:p>
    <w:p w:rsidR="004723F6" w:rsidRPr="004723F6" w:rsidRDefault="004723F6" w:rsidP="009C5592">
      <w:pPr>
        <w:ind w:left="567" w:right="567"/>
        <w:rPr>
          <w:sz w:val="18"/>
          <w:szCs w:val="18"/>
        </w:rPr>
      </w:pPr>
    </w:p>
    <w:p w:rsidR="004723F6" w:rsidRDefault="004723F6" w:rsidP="009C5592">
      <w:pPr>
        <w:ind w:left="567" w:right="567"/>
        <w:rPr>
          <w:sz w:val="18"/>
          <w:szCs w:val="18"/>
        </w:rPr>
      </w:pPr>
      <w:r>
        <w:rPr>
          <w:sz w:val="18"/>
          <w:szCs w:val="18"/>
        </w:rPr>
        <w:t xml:space="preserve">„Bei Hybridsorten, die Gegenstand eines Antrags auf Erteilung von Sortenschutz sind, und bei denen die Elternlinien als Teil der Prüfung der Hybridsorten eingereicht werden müssen, ist dieser Technische Fragebogen für die Hybridsorte und für jede Elternlinie auszufüllen.“ </w:t>
      </w:r>
    </w:p>
    <w:p w:rsidR="00F426E2" w:rsidRPr="004723F6" w:rsidRDefault="00F426E2" w:rsidP="00F426E2"/>
    <w:p w:rsidR="00C4212E" w:rsidRDefault="00BA325E" w:rsidP="00B76373">
      <w:pPr>
        <w:rPr>
          <w:rFonts w:cs="Arial"/>
          <w:color w:val="0D0D0D"/>
        </w:rPr>
      </w:pPr>
      <w:r>
        <w:rPr>
          <w:rFonts w:cs="Arial"/>
          <w:color w:val="0D0D0D"/>
        </w:rPr>
        <w:fldChar w:fldCharType="begin"/>
      </w:r>
      <w:r w:rsidR="00C4212E">
        <w:rPr>
          <w:rFonts w:cs="Arial"/>
          <w:color w:val="0D0D0D"/>
        </w:rPr>
        <w:instrText xml:space="preserve"> AUTONUM  </w:instrText>
      </w:r>
      <w:r>
        <w:rPr>
          <w:rFonts w:cs="Arial"/>
          <w:color w:val="0D0D0D"/>
        </w:rPr>
        <w:fldChar w:fldCharType="end"/>
      </w:r>
      <w:r w:rsidR="00032D41">
        <w:tab/>
        <w:t xml:space="preserve">Der CAJ könnte prüfen, ob es zweckdienlich sei, weitere Anleitung zu Elternlinien in Bezug auf Anträge betreffend </w:t>
      </w:r>
      <w:r w:rsidR="00054441">
        <w:t>Hybridsorten</w:t>
      </w:r>
      <w:r w:rsidR="00032D41">
        <w:t xml:space="preserve"> auszuarbeiten und/oder ein Verweis auf die bestehende Anleitung zu Elternlinien in Dokument UPOV/INF/15 aufgenommen werden sollte.</w:t>
      </w:r>
    </w:p>
    <w:p w:rsidR="001613B4" w:rsidRDefault="001613B4" w:rsidP="00B76373">
      <w:pPr>
        <w:rPr>
          <w:rFonts w:cs="Arial"/>
          <w:color w:val="0D0D0D"/>
        </w:rPr>
      </w:pPr>
    </w:p>
    <w:p w:rsidR="00B76373" w:rsidRDefault="00BA325E" w:rsidP="00C4212E">
      <w:pPr>
        <w:pStyle w:val="DecisionParagraphs"/>
        <w:keepNext/>
        <w:rPr>
          <w:snapToGrid w:val="0"/>
        </w:rPr>
      </w:pPr>
      <w:r>
        <w:rPr>
          <w:snapToGrid w:val="0"/>
        </w:rPr>
        <w:fldChar w:fldCharType="begin"/>
      </w:r>
      <w:r w:rsidR="00B76373">
        <w:rPr>
          <w:snapToGrid w:val="0"/>
        </w:rPr>
        <w:instrText xml:space="preserve"> AUTONUM  </w:instrText>
      </w:r>
      <w:r>
        <w:rPr>
          <w:snapToGrid w:val="0"/>
        </w:rPr>
        <w:fldChar w:fldCharType="end"/>
      </w:r>
      <w:r w:rsidR="00032D41">
        <w:tab/>
        <w:t>Der CAJ wird ersucht,</w:t>
      </w:r>
    </w:p>
    <w:p w:rsidR="00B76373" w:rsidRDefault="00B76373" w:rsidP="00C4212E">
      <w:pPr>
        <w:pStyle w:val="DecisionParagraphs"/>
        <w:keepNext/>
        <w:rPr>
          <w:snapToGrid w:val="0"/>
        </w:rPr>
      </w:pPr>
    </w:p>
    <w:p w:rsidR="00B76373" w:rsidRDefault="00A20855" w:rsidP="00A20855">
      <w:pPr>
        <w:pStyle w:val="DecisionParagraphs"/>
        <w:tabs>
          <w:tab w:val="left" w:pos="5954"/>
        </w:tabs>
        <w:rPr>
          <w:rFonts w:cs="Arial"/>
          <w:color w:val="0D0D0D"/>
        </w:rPr>
      </w:pPr>
      <w:r>
        <w:tab/>
        <w:t>a)</w:t>
      </w:r>
      <w:r>
        <w:tab/>
        <w:t xml:space="preserve">die bestehende Anleitung zu Elternlinien in bezug auf Anträge betreffend </w:t>
      </w:r>
      <w:r w:rsidR="00054441">
        <w:t xml:space="preserve">Hybridsorten </w:t>
      </w:r>
      <w:r>
        <w:t>zur Kenntnis zu nehmen, wie in obigem Absatz 16 dargelegt; und</w:t>
      </w:r>
    </w:p>
    <w:p w:rsidR="00B76373" w:rsidRDefault="00B76373" w:rsidP="00A20855">
      <w:pPr>
        <w:pStyle w:val="DecisionParagraphs"/>
        <w:tabs>
          <w:tab w:val="left" w:pos="5954"/>
        </w:tabs>
        <w:ind w:left="0"/>
        <w:rPr>
          <w:rFonts w:cs="Arial"/>
          <w:color w:val="0D0D0D"/>
        </w:rPr>
      </w:pPr>
    </w:p>
    <w:p w:rsidR="004A7127" w:rsidRPr="009C5592" w:rsidRDefault="00B76373" w:rsidP="00A20855">
      <w:pPr>
        <w:pStyle w:val="DecisionParagraphs"/>
        <w:tabs>
          <w:tab w:val="left" w:pos="5954"/>
        </w:tabs>
        <w:rPr>
          <w:rFonts w:cs="Arial"/>
          <w:color w:val="0D0D0D"/>
          <w:spacing w:val="-2"/>
        </w:rPr>
      </w:pPr>
      <w:r w:rsidRPr="009C5592">
        <w:rPr>
          <w:spacing w:val="-2"/>
        </w:rPr>
        <w:tab/>
        <w:t>b)</w:t>
      </w:r>
      <w:r w:rsidRPr="009C5592">
        <w:rPr>
          <w:spacing w:val="-2"/>
        </w:rPr>
        <w:tab/>
        <w:t xml:space="preserve">zu prüfen, ob es zweckdienlich sei, weitere Anleitung zu Elternlinien in Bezug auf Anträge </w:t>
      </w:r>
      <w:r w:rsidRPr="009C5592">
        <w:rPr>
          <w:spacing w:val="-2"/>
        </w:rPr>
        <w:lastRenderedPageBreak/>
        <w:t xml:space="preserve">betreffend </w:t>
      </w:r>
      <w:r w:rsidR="00054441" w:rsidRPr="009C5592">
        <w:rPr>
          <w:spacing w:val="-2"/>
        </w:rPr>
        <w:t>Hybridsorten</w:t>
      </w:r>
      <w:r w:rsidRPr="009C5592">
        <w:rPr>
          <w:spacing w:val="-2"/>
        </w:rPr>
        <w:t xml:space="preserve"> auszuarbeiten und/oder ein Verweis auf die bestehende Anleitung zu Elternlinien in Dokument UPOV/INF/15 aufgenommen werden sollte.</w:t>
      </w:r>
    </w:p>
    <w:p w:rsidR="004A7127" w:rsidRDefault="004A7127" w:rsidP="006359A2">
      <w:pPr>
        <w:spacing w:line="360" w:lineRule="auto"/>
      </w:pPr>
    </w:p>
    <w:p w:rsidR="003B69A1" w:rsidRPr="00C66028" w:rsidRDefault="00EE0680" w:rsidP="00C66028">
      <w:pPr>
        <w:pStyle w:val="Heading3"/>
      </w:pPr>
      <w:bookmarkStart w:id="48" w:name="_Toc381102835"/>
      <w:bookmarkStart w:id="49" w:name="_Toc381102863"/>
      <w:bookmarkStart w:id="50" w:name="_Toc381170738"/>
      <w:bookmarkStart w:id="51" w:name="_Toc382820475"/>
      <w:r>
        <w:t>b)</w:t>
      </w:r>
      <w:r>
        <w:tab/>
        <w:t>Verfügbarkeit und Austausch von Material</w:t>
      </w:r>
      <w:bookmarkEnd w:id="48"/>
      <w:bookmarkEnd w:id="49"/>
      <w:bookmarkEnd w:id="50"/>
      <w:bookmarkEnd w:id="51"/>
    </w:p>
    <w:p w:rsidR="003B69A1" w:rsidRPr="00224367" w:rsidRDefault="003B69A1" w:rsidP="003B69A1">
      <w:pPr>
        <w:keepNext/>
      </w:pPr>
    </w:p>
    <w:p w:rsidR="00B76373" w:rsidRDefault="00BA325E" w:rsidP="00B76373">
      <w:pPr>
        <w:rPr>
          <w:rFonts w:eastAsia="Arial" w:cs="Arial"/>
          <w:i/>
          <w:color w:val="0C0C0C"/>
        </w:rPr>
      </w:pPr>
      <w:r>
        <w:rPr>
          <w:rFonts w:eastAsia="Arial"/>
        </w:rPr>
        <w:fldChar w:fldCharType="begin"/>
      </w:r>
      <w:r w:rsidR="00B76373">
        <w:rPr>
          <w:rFonts w:eastAsia="Arial"/>
        </w:rPr>
        <w:instrText xml:space="preserve"> AUTONUM  </w:instrText>
      </w:r>
      <w:r>
        <w:rPr>
          <w:rFonts w:eastAsia="Arial"/>
        </w:rPr>
        <w:fldChar w:fldCharType="end"/>
      </w:r>
      <w:r w:rsidR="00032D41">
        <w:tab/>
        <w:t>Anleitung betreffend vom Züchter für Prüfungszwecke eingereichtes Material wird angegeben in:</w:t>
      </w:r>
    </w:p>
    <w:p w:rsidR="00B76373" w:rsidRDefault="00B76373" w:rsidP="00EA2439">
      <w:pPr>
        <w:ind w:firstLine="567"/>
        <w:rPr>
          <w:rFonts w:eastAsia="Arial" w:cs="Arial"/>
          <w:i/>
          <w:color w:val="0C0C0C"/>
        </w:rPr>
      </w:pPr>
    </w:p>
    <w:p w:rsidR="00A80B59" w:rsidRDefault="00B76373" w:rsidP="00B76373">
      <w:pPr>
        <w:ind w:firstLine="567"/>
        <w:rPr>
          <w:snapToGrid w:val="0"/>
        </w:rPr>
      </w:pPr>
      <w:r>
        <w:t>i)</w:t>
      </w:r>
      <w:r>
        <w:tab/>
        <w:t xml:space="preserve">TGP/5 „Erfahrung und Zusammenarbeit bei der DUS-Prüfung”, Abschnitt 11 „Beispiele für Verfahren und Verträge bezüglich des vom Züchter eingereichten Materials” (vergleiche untenstehende entsprechende Auszüge, die ebenfalls verfügbar sind unter </w:t>
      </w:r>
      <w:hyperlink r:id="rId12">
        <w:r>
          <w:rPr>
            <w:rStyle w:val="Hyperlink"/>
            <w:snapToGrid w:val="0"/>
          </w:rPr>
          <w:t>http://www.upov.int/tgp/de/</w:t>
        </w:r>
      </w:hyperlink>
      <w:r>
        <w:t>).</w:t>
      </w:r>
    </w:p>
    <w:p w:rsidR="00A80B59" w:rsidRPr="00A80B59" w:rsidRDefault="00A80B59" w:rsidP="00A80B59">
      <w:pPr>
        <w:ind w:left="567" w:right="567"/>
        <w:rPr>
          <w:snapToGrid w:val="0"/>
          <w:sz w:val="18"/>
          <w:szCs w:val="18"/>
        </w:rPr>
      </w:pPr>
    </w:p>
    <w:p w:rsidR="00A80B59" w:rsidRPr="00A80B59" w:rsidRDefault="00054441" w:rsidP="00A80B59">
      <w:pPr>
        <w:ind w:left="567" w:right="567"/>
        <w:rPr>
          <w:snapToGrid w:val="0"/>
          <w:sz w:val="18"/>
          <w:szCs w:val="18"/>
        </w:rPr>
      </w:pPr>
      <w:r>
        <w:rPr>
          <w:snapToGrid w:val="0"/>
          <w:sz w:val="18"/>
          <w:szCs w:val="18"/>
        </w:rPr>
        <w:t>„</w:t>
      </w:r>
      <w:r w:rsidR="00A80B59">
        <w:rPr>
          <w:snapToGrid w:val="0"/>
          <w:sz w:val="18"/>
          <w:szCs w:val="18"/>
        </w:rPr>
        <w:t>Dieses Dokument [Dokument TGP/5, Abschnitt 11] gibt Beispiele für das Verfahren der Behörden, welches sicherstellen soll, daß die berechtigten Interessen des Züchters gewahrt bleiben.</w:t>
      </w:r>
    </w:p>
    <w:p w:rsidR="00A80B59" w:rsidRPr="00A80B59" w:rsidRDefault="00A80B59" w:rsidP="00A80B59">
      <w:pPr>
        <w:ind w:left="567" w:right="567"/>
        <w:rPr>
          <w:snapToGrid w:val="0"/>
          <w:sz w:val="18"/>
          <w:szCs w:val="18"/>
        </w:rPr>
      </w:pPr>
      <w:r>
        <w:rPr>
          <w:snapToGrid w:val="0"/>
          <w:sz w:val="18"/>
          <w:szCs w:val="18"/>
        </w:rPr>
        <w:t>[…]</w:t>
      </w:r>
    </w:p>
    <w:p w:rsidR="00A80B59" w:rsidRPr="00A80B59" w:rsidRDefault="00A80B59" w:rsidP="00A80B59">
      <w:pPr>
        <w:ind w:left="567" w:right="567"/>
        <w:rPr>
          <w:snapToGrid w:val="0"/>
          <w:sz w:val="18"/>
          <w:szCs w:val="18"/>
        </w:rPr>
      </w:pPr>
    </w:p>
    <w:p w:rsidR="00A80B59" w:rsidRPr="00A80B59" w:rsidRDefault="00A80B59" w:rsidP="00A80B59">
      <w:pPr>
        <w:ind w:left="567" w:right="567"/>
        <w:rPr>
          <w:snapToGrid w:val="0"/>
          <w:sz w:val="18"/>
          <w:szCs w:val="18"/>
        </w:rPr>
      </w:pPr>
      <w:r>
        <w:rPr>
          <w:snapToGrid w:val="0"/>
          <w:sz w:val="18"/>
          <w:szCs w:val="18"/>
        </w:rPr>
        <w:t>Anlage I dieses Dokument</w:t>
      </w:r>
      <w:r w:rsidR="00E26E5C">
        <w:rPr>
          <w:snapToGrid w:val="0"/>
          <w:sz w:val="18"/>
          <w:szCs w:val="18"/>
        </w:rPr>
        <w:t>s enthält ein Beispiel für eine</w:t>
      </w:r>
      <w:r>
        <w:rPr>
          <w:snapToGrid w:val="0"/>
          <w:sz w:val="18"/>
          <w:szCs w:val="18"/>
        </w:rPr>
        <w:t xml:space="preserve">n Vertrag zwischen </w:t>
      </w:r>
      <w:r w:rsidRPr="00ED7371">
        <w:rPr>
          <w:i/>
          <w:snapToGrid w:val="0"/>
          <w:sz w:val="18"/>
          <w:szCs w:val="18"/>
        </w:rPr>
        <w:t>Seminis Vegetable Seeds, Inc</w:t>
      </w:r>
      <w:r>
        <w:rPr>
          <w:snapToGrid w:val="0"/>
          <w:sz w:val="18"/>
          <w:szCs w:val="18"/>
        </w:rPr>
        <w:t>. und IP Australia.</w:t>
      </w:r>
    </w:p>
    <w:p w:rsidR="00A80B59" w:rsidRPr="00A80B59" w:rsidRDefault="00A80B59" w:rsidP="00A80B59">
      <w:pPr>
        <w:ind w:left="567" w:right="567"/>
        <w:rPr>
          <w:snapToGrid w:val="0"/>
          <w:sz w:val="18"/>
          <w:szCs w:val="18"/>
        </w:rPr>
      </w:pPr>
    </w:p>
    <w:p w:rsidR="00B76373" w:rsidRDefault="00A80B59" w:rsidP="00A80B59">
      <w:pPr>
        <w:ind w:left="567" w:right="567"/>
        <w:rPr>
          <w:snapToGrid w:val="0"/>
          <w:sz w:val="18"/>
          <w:szCs w:val="18"/>
        </w:rPr>
      </w:pPr>
      <w:r>
        <w:rPr>
          <w:snapToGrid w:val="0"/>
          <w:sz w:val="18"/>
          <w:szCs w:val="18"/>
        </w:rPr>
        <w:t>Anlage II dieses Dokuments erläutert das Verfahren des Gemeinschaftlichen Sortenamtes (CPVO) der Europäischen Gemeinschaft hinsichtlich des Status des im Rahmen der Anträge auf Erteilung gemeinschaftlicher Sortenrechte für die DUS-Prüfung eingereichten Pflanzenmaterials.</w:t>
      </w:r>
      <w:r w:rsidR="00054441">
        <w:rPr>
          <w:snapToGrid w:val="0"/>
          <w:sz w:val="18"/>
          <w:szCs w:val="18"/>
        </w:rPr>
        <w:t>“</w:t>
      </w:r>
    </w:p>
    <w:p w:rsidR="008A2480" w:rsidRPr="00A80B59" w:rsidRDefault="008A2480" w:rsidP="00A80B59">
      <w:pPr>
        <w:ind w:left="567" w:right="567"/>
        <w:rPr>
          <w:snapToGrid w:val="0"/>
          <w:sz w:val="18"/>
          <w:szCs w:val="18"/>
        </w:rPr>
      </w:pPr>
    </w:p>
    <w:p w:rsidR="003B69A1" w:rsidRPr="008A2480" w:rsidRDefault="003B69A1" w:rsidP="008A2480">
      <w:pPr>
        <w:ind w:firstLine="567"/>
        <w:rPr>
          <w:snapToGrid w:val="0"/>
        </w:rPr>
      </w:pPr>
      <w:r>
        <w:t>ii)</w:t>
      </w:r>
      <w:r>
        <w:tab/>
        <w:t xml:space="preserve">TGP/4 „Errichtung und Erhaltung von Sortensammlungen“, Abschnitt 3.1.2 „Lebendes Pflanzenmaterial” </w:t>
      </w:r>
    </w:p>
    <w:p w:rsidR="003B69A1" w:rsidRPr="00B55B77" w:rsidRDefault="003B69A1" w:rsidP="003B69A1">
      <w:pPr>
        <w:ind w:firstLine="567"/>
        <w:rPr>
          <w:snapToGrid w:val="0"/>
        </w:rPr>
      </w:pPr>
    </w:p>
    <w:p w:rsidR="003B69A1" w:rsidRPr="00253453" w:rsidRDefault="00054441" w:rsidP="003B69A1">
      <w:pPr>
        <w:ind w:left="567" w:right="567"/>
        <w:rPr>
          <w:snapToGrid w:val="0"/>
          <w:sz w:val="18"/>
          <w:szCs w:val="18"/>
        </w:rPr>
      </w:pPr>
      <w:r>
        <w:rPr>
          <w:snapToGrid w:val="0"/>
          <w:sz w:val="18"/>
          <w:szCs w:val="18"/>
        </w:rPr>
        <w:t>„</w:t>
      </w:r>
      <w:r w:rsidR="003B69A1">
        <w:rPr>
          <w:snapToGrid w:val="0"/>
          <w:sz w:val="18"/>
          <w:szCs w:val="18"/>
        </w:rPr>
        <w:t xml:space="preserve">3.1.2.2.2 Die </w:t>
      </w:r>
      <w:r w:rsidR="0091786C">
        <w:rPr>
          <w:snapToGrid w:val="0"/>
          <w:sz w:val="18"/>
          <w:szCs w:val="18"/>
        </w:rPr>
        <w:t>UPOV fördert zum Zwecke der DUS</w:t>
      </w:r>
      <w:r w:rsidR="003B69A1">
        <w:rPr>
          <w:snapToGrid w:val="0"/>
          <w:sz w:val="18"/>
          <w:szCs w:val="18"/>
        </w:rPr>
        <w:t>-Prüfung die Zusammenarbeit zwischen Sortensammlern (vergleiche Abschnitt 3.2), insbesondere auch den Austausch von Informationen und lebendem Pflanzenmaterial für die Prüfung der Unterscheidbarkeit. Im besonderen Fall von Elternlinien, die als ein Teil der Prüfung einer hybriden Kandidatensorte eingereicht werden, sollte das lebende Pflanzenmaterial anderen Sortensammlern jedoch nur so verfügbar gemacht werden, daß die berechtigten Interessen des Züchters gewahrt bleiben. Beispiele für Verfahren und Verträge bezüglich des vom Züchter eingereichten Material als werden in Dokument TGP/5 „Erfahrung und Zusammenarbeit bei der DUS-Prü</w:t>
      </w:r>
      <w:r>
        <w:rPr>
          <w:snapToGrid w:val="0"/>
          <w:sz w:val="18"/>
          <w:szCs w:val="18"/>
        </w:rPr>
        <w:t>fung“ (Dokument TGP/5) gegeben.“</w:t>
      </w:r>
    </w:p>
    <w:p w:rsidR="003B69A1" w:rsidRPr="00B55B77" w:rsidRDefault="003B69A1" w:rsidP="003B69A1">
      <w:pPr>
        <w:rPr>
          <w:snapToGrid w:val="0"/>
        </w:rPr>
      </w:pPr>
    </w:p>
    <w:p w:rsidR="003B69A1" w:rsidRDefault="003B69A1" w:rsidP="003B69A1">
      <w:pPr>
        <w:ind w:firstLine="567"/>
        <w:rPr>
          <w:snapToGrid w:val="0"/>
        </w:rPr>
      </w:pPr>
      <w:r>
        <w:t>iii)</w:t>
      </w:r>
      <w:r>
        <w:tab/>
        <w:t>TGP/5 „Erfahrung und Zusammenarbeit bei der DUS-Prüfung”, Abschnitt</w:t>
      </w:r>
      <w:r w:rsidR="00282747">
        <w:t> </w:t>
      </w:r>
      <w:r>
        <w:t>1 „Musterverwaltungsvereinbarung für die internationale Zusammenarbeit bei der Prüfung von Sorten”, Artikel</w:t>
      </w:r>
      <w:r w:rsidR="00282747">
        <w:t> </w:t>
      </w:r>
      <w:r>
        <w:t>4.</w:t>
      </w:r>
    </w:p>
    <w:p w:rsidR="003B69A1" w:rsidRDefault="003B69A1" w:rsidP="003B69A1">
      <w:pPr>
        <w:rPr>
          <w:snapToGrid w:val="0"/>
        </w:rPr>
      </w:pPr>
    </w:p>
    <w:p w:rsidR="003B69A1" w:rsidRPr="00A80B59" w:rsidRDefault="003B69A1" w:rsidP="00A80B59">
      <w:pPr>
        <w:ind w:left="567" w:right="567"/>
        <w:rPr>
          <w:sz w:val="18"/>
          <w:szCs w:val="18"/>
        </w:rPr>
      </w:pPr>
      <w:r>
        <w:rPr>
          <w:sz w:val="18"/>
          <w:szCs w:val="18"/>
        </w:rPr>
        <w:t>„</w:t>
      </w:r>
      <w:r>
        <w:rPr>
          <w:sz w:val="18"/>
          <w:szCs w:val="18"/>
          <w:u w:val="single"/>
        </w:rPr>
        <w:t>Artikel 4</w:t>
      </w:r>
    </w:p>
    <w:p w:rsidR="003B69A1" w:rsidRPr="00A80B59" w:rsidRDefault="003B69A1" w:rsidP="00A80B59">
      <w:pPr>
        <w:ind w:left="567" w:right="567"/>
        <w:rPr>
          <w:sz w:val="18"/>
          <w:szCs w:val="18"/>
        </w:rPr>
      </w:pPr>
    </w:p>
    <w:p w:rsidR="00A80B59" w:rsidRPr="00A80B59" w:rsidRDefault="00A80B59" w:rsidP="00A80B59">
      <w:pPr>
        <w:ind w:left="567" w:right="707"/>
        <w:rPr>
          <w:sz w:val="18"/>
          <w:szCs w:val="18"/>
        </w:rPr>
      </w:pPr>
      <w:r>
        <w:rPr>
          <w:sz w:val="18"/>
          <w:szCs w:val="18"/>
        </w:rPr>
        <w:t>1)</w:t>
      </w:r>
      <w:r>
        <w:tab/>
      </w:r>
      <w:r>
        <w:rPr>
          <w:sz w:val="18"/>
          <w:szCs w:val="18"/>
        </w:rPr>
        <w:t>Die Behörden ergreifen alle notwendigen Maßnahmen, um die Rechte des Antragstellers sicherzustellen.</w:t>
      </w:r>
    </w:p>
    <w:p w:rsidR="00A80B59" w:rsidRPr="00A80B59" w:rsidRDefault="00A80B59" w:rsidP="00A80B59">
      <w:pPr>
        <w:ind w:left="567" w:right="707"/>
        <w:rPr>
          <w:sz w:val="18"/>
          <w:szCs w:val="18"/>
        </w:rPr>
      </w:pPr>
    </w:p>
    <w:p w:rsidR="00A80B59" w:rsidRPr="00A80B59" w:rsidRDefault="00A80B59" w:rsidP="00A80B59">
      <w:pPr>
        <w:ind w:left="567" w:right="707"/>
        <w:rPr>
          <w:sz w:val="18"/>
          <w:szCs w:val="18"/>
        </w:rPr>
      </w:pPr>
      <w:r>
        <w:rPr>
          <w:sz w:val="18"/>
          <w:szCs w:val="18"/>
        </w:rPr>
        <w:t>2)</w:t>
      </w:r>
      <w:r>
        <w:tab/>
      </w:r>
      <w:r>
        <w:rPr>
          <w:sz w:val="18"/>
          <w:szCs w:val="18"/>
        </w:rPr>
        <w:t>Ohne ausdrückliche Genehmigung der übernehmenden Behörde und des Antragstellers überläßt die durchführende Behörde kein Material der Sorten, um deren Prüfung ersucht wurde, an Dritte.</w:t>
      </w:r>
    </w:p>
    <w:p w:rsidR="00A80B59" w:rsidRPr="00A80B59" w:rsidRDefault="00A80B59" w:rsidP="00A80B59">
      <w:pPr>
        <w:ind w:left="567" w:right="707"/>
        <w:rPr>
          <w:sz w:val="18"/>
          <w:szCs w:val="18"/>
        </w:rPr>
      </w:pPr>
    </w:p>
    <w:p w:rsidR="00A80B59" w:rsidRPr="00A80B59" w:rsidRDefault="00A80B59" w:rsidP="00A80B59">
      <w:pPr>
        <w:ind w:left="567" w:right="707"/>
        <w:rPr>
          <w:sz w:val="18"/>
          <w:szCs w:val="18"/>
        </w:rPr>
      </w:pPr>
      <w:r>
        <w:rPr>
          <w:sz w:val="18"/>
          <w:szCs w:val="18"/>
        </w:rPr>
        <w:t xml:space="preserve">3) </w:t>
      </w:r>
      <w:r w:rsidR="00ED7371">
        <w:rPr>
          <w:sz w:val="18"/>
          <w:szCs w:val="18"/>
        </w:rPr>
        <w:tab/>
      </w:r>
      <w:r>
        <w:rPr>
          <w:sz w:val="18"/>
          <w:szCs w:val="18"/>
        </w:rPr>
        <w:t>Zugang zu den Aktenunterlagen und zum Prüfungsanbau wird nur gewährt:</w:t>
      </w:r>
    </w:p>
    <w:p w:rsidR="00A80B59" w:rsidRPr="00A80B59" w:rsidRDefault="00A80B59" w:rsidP="00A80B59">
      <w:pPr>
        <w:ind w:left="567" w:right="707"/>
        <w:rPr>
          <w:sz w:val="18"/>
          <w:szCs w:val="18"/>
        </w:rPr>
      </w:pPr>
    </w:p>
    <w:p w:rsidR="00A80B59" w:rsidRPr="00A80B59" w:rsidRDefault="00A80B59" w:rsidP="00A80B59">
      <w:pPr>
        <w:ind w:left="567" w:right="707" w:firstLine="567"/>
        <w:rPr>
          <w:sz w:val="18"/>
          <w:szCs w:val="18"/>
        </w:rPr>
      </w:pPr>
      <w:r>
        <w:rPr>
          <w:sz w:val="18"/>
          <w:szCs w:val="18"/>
        </w:rPr>
        <w:t xml:space="preserve">i) </w:t>
      </w:r>
      <w:r w:rsidR="00ED7371">
        <w:rPr>
          <w:sz w:val="18"/>
          <w:szCs w:val="18"/>
        </w:rPr>
        <w:tab/>
      </w:r>
      <w:r>
        <w:rPr>
          <w:sz w:val="18"/>
          <w:szCs w:val="18"/>
        </w:rPr>
        <w:t>der übernehmenden Behörde und dem Antragsteller sowie allen ordnungsgemäß ermächtigten Personen;</w:t>
      </w:r>
    </w:p>
    <w:p w:rsidR="00A80B59" w:rsidRPr="008A2480" w:rsidRDefault="00A80B59" w:rsidP="00A80B59">
      <w:pPr>
        <w:numPr>
          <w:ilvl w:val="12"/>
          <w:numId w:val="0"/>
        </w:numPr>
        <w:ind w:left="567" w:right="707"/>
        <w:rPr>
          <w:sz w:val="14"/>
          <w:szCs w:val="18"/>
        </w:rPr>
      </w:pPr>
    </w:p>
    <w:p w:rsidR="00A80B59" w:rsidRPr="00A80B59" w:rsidRDefault="00A80B59" w:rsidP="00A80B59">
      <w:pPr>
        <w:ind w:left="567" w:right="707" w:firstLine="567"/>
        <w:rPr>
          <w:sz w:val="18"/>
          <w:szCs w:val="18"/>
        </w:rPr>
      </w:pPr>
      <w:r>
        <w:rPr>
          <w:sz w:val="18"/>
          <w:szCs w:val="18"/>
        </w:rPr>
        <w:t xml:space="preserve">ii) </w:t>
      </w:r>
      <w:r w:rsidR="00ED7371">
        <w:rPr>
          <w:sz w:val="18"/>
          <w:szCs w:val="18"/>
        </w:rPr>
        <w:tab/>
      </w:r>
      <w:r>
        <w:rPr>
          <w:sz w:val="18"/>
          <w:szCs w:val="18"/>
        </w:rPr>
        <w:t>dem erforderlichen Personal der Stelle, die die Prüfung durchführt, sowie beigezogenen besonderen Sachverständigen, die zur Geheimhaltung im öffentlichen Dienst verpflichtet sind.</w:t>
      </w:r>
      <w:r w:rsidR="00282747">
        <w:rPr>
          <w:sz w:val="18"/>
          <w:szCs w:val="18"/>
        </w:rPr>
        <w:t xml:space="preserve"> </w:t>
      </w:r>
      <w:r>
        <w:rPr>
          <w:sz w:val="18"/>
          <w:szCs w:val="18"/>
        </w:rPr>
        <w:t>Diese besonderen Sachverständigen haben Zugang zu den Zuchtformeln von Hybridsorten nur, wenn dies unbedingt erforderlich ist und der Antragsteller dem nicht widerspricht.</w:t>
      </w:r>
    </w:p>
    <w:p w:rsidR="00A80B59" w:rsidRPr="00A80B59" w:rsidRDefault="00A80B59" w:rsidP="00A80B59">
      <w:pPr>
        <w:ind w:left="567" w:right="707"/>
        <w:rPr>
          <w:sz w:val="18"/>
          <w:szCs w:val="18"/>
        </w:rPr>
      </w:pPr>
    </w:p>
    <w:p w:rsidR="00A80B59" w:rsidRPr="00A80B59" w:rsidRDefault="00A80B59" w:rsidP="00A80B59">
      <w:pPr>
        <w:ind w:left="567" w:right="707"/>
        <w:rPr>
          <w:sz w:val="18"/>
          <w:szCs w:val="18"/>
        </w:rPr>
      </w:pPr>
      <w:r>
        <w:rPr>
          <w:sz w:val="18"/>
          <w:szCs w:val="18"/>
        </w:rPr>
        <w:t>Dieser Absatz schließt den allgemeinen Zugang von Besuchern zu Anbauprüfungen nicht aus, wenn dem Absatz 1 hinreichend Rechnung getragen ist.</w:t>
      </w:r>
    </w:p>
    <w:p w:rsidR="00A80B59" w:rsidRPr="00A80B59" w:rsidRDefault="00A80B59" w:rsidP="00A80B59">
      <w:pPr>
        <w:ind w:left="567" w:right="707"/>
        <w:rPr>
          <w:sz w:val="18"/>
          <w:szCs w:val="18"/>
        </w:rPr>
      </w:pPr>
    </w:p>
    <w:p w:rsidR="00A80B59" w:rsidRPr="00A80B59" w:rsidRDefault="00A80B59" w:rsidP="00A80B59">
      <w:pPr>
        <w:ind w:left="567" w:right="707"/>
        <w:rPr>
          <w:sz w:val="18"/>
          <w:szCs w:val="18"/>
        </w:rPr>
      </w:pPr>
      <w:r>
        <w:rPr>
          <w:sz w:val="18"/>
          <w:szCs w:val="18"/>
        </w:rPr>
        <w:t>4)</w:t>
      </w:r>
      <w:r>
        <w:tab/>
      </w:r>
      <w:r>
        <w:rPr>
          <w:sz w:val="18"/>
          <w:szCs w:val="18"/>
        </w:rPr>
        <w:t>Ist auch eine andere Behörde aufgrund einer vergleichbaren Vereinbarung eine übernehmende Behörde, so kann Zugang gemäß den Regeln gewährt werden, die aufgrund jener Vereinbarung gelten.</w:t>
      </w:r>
      <w:r w:rsidR="00054441">
        <w:rPr>
          <w:sz w:val="18"/>
          <w:szCs w:val="18"/>
        </w:rPr>
        <w:t>“</w:t>
      </w:r>
    </w:p>
    <w:p w:rsidR="00B76373" w:rsidRPr="00B55B77" w:rsidRDefault="00B76373" w:rsidP="00B76373">
      <w:pPr>
        <w:rPr>
          <w:snapToGrid w:val="0"/>
        </w:rPr>
      </w:pPr>
    </w:p>
    <w:p w:rsidR="00B76373" w:rsidRPr="00253453" w:rsidRDefault="00BA325E" w:rsidP="00C93A10">
      <w:pPr>
        <w:rPr>
          <w:snapToGrid w:val="0"/>
        </w:rPr>
      </w:pPr>
      <w:r>
        <w:rPr>
          <w:snapToGrid w:val="0"/>
        </w:rPr>
        <w:fldChar w:fldCharType="begin"/>
      </w:r>
      <w:r w:rsidR="00C07562">
        <w:rPr>
          <w:snapToGrid w:val="0"/>
        </w:rPr>
        <w:instrText xml:space="preserve"> AUTONUM  </w:instrText>
      </w:r>
      <w:r>
        <w:rPr>
          <w:snapToGrid w:val="0"/>
        </w:rPr>
        <w:fldChar w:fldCharType="end"/>
      </w:r>
      <w:r w:rsidR="00032D41">
        <w:tab/>
        <w:t>Der CAJ könnte prüfen, ob weiter</w:t>
      </w:r>
      <w:r w:rsidR="00282747">
        <w:t>e</w:t>
      </w:r>
      <w:r w:rsidR="00032D41">
        <w:t xml:space="preserve"> Anleitung betreffend vom Züchter für Prüfungszwecke eingereichtes Material ausgearbeitet werden sollte und/oder ein Verweis auf die bestehende Anleitung zu Elternlinien in Dokument UPOV/INF/15 aufgenommen werden sollte.</w:t>
      </w:r>
    </w:p>
    <w:p w:rsidR="00B76373" w:rsidRDefault="00B76373" w:rsidP="00C93A10">
      <w:pPr>
        <w:rPr>
          <w:rFonts w:eastAsia="Arial"/>
        </w:rPr>
      </w:pPr>
    </w:p>
    <w:p w:rsidR="00C07562" w:rsidRPr="008E408A" w:rsidRDefault="00BA325E" w:rsidP="00C07562">
      <w:pPr>
        <w:pStyle w:val="DecisionParagraphs"/>
        <w:rPr>
          <w:snapToGrid w:val="0"/>
        </w:rPr>
      </w:pPr>
      <w:r w:rsidRPr="008E408A">
        <w:rPr>
          <w:snapToGrid w:val="0"/>
        </w:rPr>
        <w:lastRenderedPageBreak/>
        <w:fldChar w:fldCharType="begin"/>
      </w:r>
      <w:r w:rsidR="00C07562" w:rsidRPr="008E408A">
        <w:rPr>
          <w:snapToGrid w:val="0"/>
        </w:rPr>
        <w:instrText xml:space="preserve"> AUTONUM  </w:instrText>
      </w:r>
      <w:r w:rsidRPr="008E408A">
        <w:rPr>
          <w:snapToGrid w:val="0"/>
        </w:rPr>
        <w:fldChar w:fldCharType="end"/>
      </w:r>
      <w:r w:rsidR="00032D41">
        <w:tab/>
        <w:t>Der CAJ wird ersucht,</w:t>
      </w:r>
    </w:p>
    <w:p w:rsidR="00C07562" w:rsidRPr="008E408A" w:rsidRDefault="00C07562" w:rsidP="00C07562">
      <w:pPr>
        <w:pStyle w:val="DecisionParagraphs"/>
        <w:rPr>
          <w:snapToGrid w:val="0"/>
        </w:rPr>
      </w:pPr>
    </w:p>
    <w:p w:rsidR="00C07562" w:rsidRDefault="00C93A10" w:rsidP="00C93A10">
      <w:pPr>
        <w:pStyle w:val="DecisionParagraphs"/>
        <w:tabs>
          <w:tab w:val="left" w:pos="5954"/>
        </w:tabs>
        <w:rPr>
          <w:rFonts w:cs="Arial"/>
          <w:color w:val="0D0D0D"/>
        </w:rPr>
      </w:pPr>
      <w:r>
        <w:tab/>
        <w:t>a)</w:t>
      </w:r>
      <w:r>
        <w:tab/>
        <w:t>die bestehende Anleitung betreffend Verfügbarkeit und Austausch von Material zur Kenntnis zu nehmen, wie in obigem Absatz 19 dargelegt; und</w:t>
      </w:r>
    </w:p>
    <w:p w:rsidR="00C07562" w:rsidRDefault="00C07562" w:rsidP="00C93A10">
      <w:pPr>
        <w:pStyle w:val="DecisionParagraphs"/>
        <w:tabs>
          <w:tab w:val="left" w:pos="5954"/>
        </w:tabs>
        <w:rPr>
          <w:rFonts w:cs="Arial"/>
          <w:color w:val="0D0D0D"/>
        </w:rPr>
      </w:pPr>
    </w:p>
    <w:p w:rsidR="00B76373" w:rsidRDefault="00C07562" w:rsidP="00C93A10">
      <w:pPr>
        <w:pStyle w:val="DecisionParagraphs"/>
        <w:tabs>
          <w:tab w:val="left" w:pos="5954"/>
        </w:tabs>
        <w:rPr>
          <w:rFonts w:eastAsia="Arial" w:cs="Arial"/>
          <w:color w:val="0C0C0C"/>
        </w:rPr>
      </w:pPr>
      <w:r>
        <w:tab/>
        <w:t>b)</w:t>
      </w:r>
      <w:r>
        <w:tab/>
        <w:t>zu prüfen, ob weiter</w:t>
      </w:r>
      <w:r w:rsidR="00282747">
        <w:t>e</w:t>
      </w:r>
      <w:r>
        <w:t xml:space="preserve"> Anleitung betreffend vom Züchter für Prüfungszwecke eingereichtes Material ausgearbeitet werden sollte und/oder ein Verweis auf die bestehende Anleitung zu Elternlinien in Dokument UPOV/INF/15 aufgenommen werden sollte.</w:t>
      </w:r>
    </w:p>
    <w:p w:rsidR="00C07562" w:rsidRDefault="00C07562" w:rsidP="006359A2">
      <w:pPr>
        <w:spacing w:line="360" w:lineRule="auto"/>
        <w:rPr>
          <w:rFonts w:eastAsia="Arial"/>
        </w:rPr>
      </w:pPr>
    </w:p>
    <w:p w:rsidR="00C4212E" w:rsidRPr="00B76373" w:rsidRDefault="00A80B59" w:rsidP="00055FE7">
      <w:pPr>
        <w:pStyle w:val="Heading3"/>
        <w:ind w:left="567" w:hanging="567"/>
        <w:rPr>
          <w:rFonts w:eastAsia="Arial"/>
        </w:rPr>
      </w:pPr>
      <w:bookmarkStart w:id="52" w:name="_Toc381170739"/>
      <w:bookmarkStart w:id="53" w:name="_Toc382820476"/>
      <w:r>
        <w:t>c)</w:t>
      </w:r>
      <w:r>
        <w:tab/>
      </w:r>
      <w:r w:rsidRPr="00282747">
        <w:rPr>
          <w:szCs w:val="20"/>
        </w:rPr>
        <w:t>vertrauliche Behandlung des Materials des Antragstellers in Fällen, in denen die für das Sortenschutz-Prüfungsverfahren zuständigen Einrichtungen selbst Sorten der gleichen Art züchten wie die Antragsteller</w:t>
      </w:r>
      <w:bookmarkEnd w:id="52"/>
      <w:bookmarkEnd w:id="53"/>
    </w:p>
    <w:p w:rsidR="00C4212E" w:rsidRPr="00224367" w:rsidRDefault="00C4212E" w:rsidP="00C4212E">
      <w:pPr>
        <w:keepNext/>
        <w:ind w:firstLine="567"/>
        <w:rPr>
          <w:rFonts w:eastAsia="Arial" w:cs="Arial"/>
          <w:color w:val="0C0C0C"/>
        </w:rPr>
      </w:pPr>
    </w:p>
    <w:p w:rsidR="00C07562" w:rsidRDefault="00BA325E" w:rsidP="005735BF">
      <w:pPr>
        <w:rPr>
          <w:snapToGrid w:val="0"/>
        </w:rPr>
      </w:pPr>
      <w:r>
        <w:rPr>
          <w:snapToGrid w:val="0"/>
        </w:rPr>
        <w:fldChar w:fldCharType="begin"/>
      </w:r>
      <w:r w:rsidR="00C07562">
        <w:rPr>
          <w:snapToGrid w:val="0"/>
        </w:rPr>
        <w:instrText xml:space="preserve"> AUTONUM  </w:instrText>
      </w:r>
      <w:r>
        <w:rPr>
          <w:snapToGrid w:val="0"/>
        </w:rPr>
        <w:fldChar w:fldCharType="end"/>
      </w:r>
      <w:r w:rsidR="00032D41">
        <w:tab/>
        <w:t>Der CAJ könnte die Erörterungen zur Kenntnis nehmen, die im CAJ von 2002 bis 2005 erfolgten betreffend die „Empfehlungen zur Sicherung der Unabhängigkeit jener DUS-Prüfungszentren, die Züchtungstätigkeiten durchführen oder an solchen teilnehmen” (vergleiche Dokument CAJ/49/5 „Bericht”, Absatz 69 und Dokument CAJ/49/2 „Empfehlungen zur Sicherung der Unabhängigkeit jener DUS</w:t>
      </w:r>
      <w:r w:rsidR="00054441">
        <w:noBreakHyphen/>
      </w:r>
      <w:r w:rsidR="00032D41">
        <w:t xml:space="preserve">Prüfungszentren, die Züchtungstätigkeiten durchführen oder an solchen teilnehmen” verfügbar unter </w:t>
      </w:r>
      <w:hyperlink r:id="rId13">
        <w:r w:rsidR="00032D41">
          <w:rPr>
            <w:rStyle w:val="Hyperlink"/>
            <w:snapToGrid w:val="0"/>
          </w:rPr>
          <w:t>http://www.upov.int/meetings/de/topic.jsp?group_id=252</w:t>
        </w:r>
      </w:hyperlink>
      <w:r w:rsidR="00032D41">
        <w:t>)</w:t>
      </w:r>
    </w:p>
    <w:p w:rsidR="00253453" w:rsidRDefault="00253453" w:rsidP="005735BF">
      <w:pPr>
        <w:rPr>
          <w:snapToGrid w:val="0"/>
        </w:rPr>
      </w:pPr>
    </w:p>
    <w:p w:rsidR="008F3179" w:rsidRDefault="00BA325E" w:rsidP="008F3179">
      <w:pPr>
        <w:pStyle w:val="DecisionParagraphs"/>
        <w:rPr>
          <w:snapToGrid w:val="0"/>
        </w:rPr>
      </w:pPr>
      <w:r>
        <w:rPr>
          <w:snapToGrid w:val="0"/>
        </w:rPr>
        <w:fldChar w:fldCharType="begin"/>
      </w:r>
      <w:r w:rsidR="00C07562">
        <w:rPr>
          <w:snapToGrid w:val="0"/>
        </w:rPr>
        <w:instrText xml:space="preserve"> AUTONUM  </w:instrText>
      </w:r>
      <w:r>
        <w:rPr>
          <w:snapToGrid w:val="0"/>
        </w:rPr>
        <w:fldChar w:fldCharType="end"/>
      </w:r>
      <w:r w:rsidR="00032D41">
        <w:tab/>
        <w:t>Der CAJ wird ersucht,</w:t>
      </w:r>
    </w:p>
    <w:p w:rsidR="008F3179" w:rsidRDefault="008F3179" w:rsidP="008F3179">
      <w:pPr>
        <w:pStyle w:val="DecisionParagraphs"/>
        <w:rPr>
          <w:snapToGrid w:val="0"/>
        </w:rPr>
      </w:pPr>
    </w:p>
    <w:p w:rsidR="008F3179" w:rsidRPr="003416AA" w:rsidRDefault="008F3179" w:rsidP="00F426E2">
      <w:pPr>
        <w:pStyle w:val="DecisionParagraphs"/>
        <w:tabs>
          <w:tab w:val="left" w:pos="5954"/>
        </w:tabs>
        <w:spacing w:after="240"/>
        <w:rPr>
          <w:snapToGrid w:val="0"/>
        </w:rPr>
      </w:pPr>
      <w:r>
        <w:tab/>
        <w:t>a)</w:t>
      </w:r>
      <w:r>
        <w:tab/>
        <w:t>die Erörterungen zu Kenntnis zu nehmen, die im CAJ betreffend die „Empfehlungen zur Sicherung der Unabhängigkeit jener DUS</w:t>
      </w:r>
      <w:r w:rsidR="00054441">
        <w:noBreakHyphen/>
      </w:r>
      <w:r>
        <w:t>Prüfungszentren, die Züchtungstätigkeiten durchführen oder an solchen teilnehmen” erfolgt sind, wie in obigem Absatz 22 dargelegt; und</w:t>
      </w:r>
    </w:p>
    <w:p w:rsidR="008F3179" w:rsidRDefault="008F3179" w:rsidP="009C5592">
      <w:pPr>
        <w:pStyle w:val="DecisionParagraphs"/>
        <w:tabs>
          <w:tab w:val="left" w:pos="5954"/>
        </w:tabs>
        <w:rPr>
          <w:snapToGrid w:val="0"/>
        </w:rPr>
      </w:pPr>
      <w:r>
        <w:tab/>
        <w:t>b)</w:t>
      </w:r>
      <w:r>
        <w:tab/>
        <w:t xml:space="preserve">zu prüfen ob es zweckdienlich wäre, in Dokument UPOV/INF/15 eine Anleitung zu </w:t>
      </w:r>
      <w:r w:rsidR="006F7B76">
        <w:t xml:space="preserve">entwickeln bezüglich vertrauliche Behandlung des </w:t>
      </w:r>
      <w:r w:rsidR="006F7B76" w:rsidRPr="00282747">
        <w:t>Materials des Antragstellers in Fällen, in denen</w:t>
      </w:r>
      <w:r w:rsidR="006F7B76">
        <w:t xml:space="preserve"> DUS</w:t>
      </w:r>
      <w:r w:rsidR="006F7B76">
        <w:noBreakHyphen/>
        <w:t>Prüfungszentren</w:t>
      </w:r>
      <w:r>
        <w:t xml:space="preserve"> Züchtungstätigkeiten durchführen oder an solchen teilnehmen.</w:t>
      </w:r>
    </w:p>
    <w:p w:rsidR="00EE62F6" w:rsidRDefault="00EE62F6" w:rsidP="009C5592">
      <w:pPr>
        <w:tabs>
          <w:tab w:val="left" w:pos="5387"/>
          <w:tab w:val="left" w:pos="5954"/>
        </w:tabs>
        <w:rPr>
          <w:snapToGrid w:val="0"/>
        </w:rPr>
      </w:pPr>
    </w:p>
    <w:p w:rsidR="00C0136B" w:rsidRDefault="00C0136B" w:rsidP="00C0136B">
      <w:pPr>
        <w:rPr>
          <w:snapToGrid w:val="0"/>
        </w:rPr>
      </w:pPr>
    </w:p>
    <w:p w:rsidR="00046731" w:rsidRPr="00987226" w:rsidRDefault="00140E1A" w:rsidP="00ED7371">
      <w:pPr>
        <w:pStyle w:val="Heading2"/>
        <w:keepLines/>
      </w:pPr>
      <w:bookmarkStart w:id="54" w:name="_Toc381102836"/>
      <w:bookmarkStart w:id="55" w:name="_Toc381102864"/>
      <w:bookmarkStart w:id="56" w:name="_Toc381170740"/>
      <w:bookmarkStart w:id="57" w:name="_Toc382820477"/>
      <w:r>
        <w:t>Häufigkeit der Einreichung von Daten und Vollständigkeit der Datenbanken</w:t>
      </w:r>
      <w:bookmarkEnd w:id="54"/>
      <w:bookmarkEnd w:id="55"/>
      <w:bookmarkEnd w:id="56"/>
      <w:bookmarkEnd w:id="57"/>
    </w:p>
    <w:p w:rsidR="00AB28D5" w:rsidRDefault="00AB28D5" w:rsidP="00ED7371">
      <w:pPr>
        <w:keepNext/>
        <w:keepLines/>
        <w:rPr>
          <w:snapToGrid w:val="0"/>
        </w:rPr>
      </w:pPr>
    </w:p>
    <w:p w:rsidR="00AB28D5" w:rsidRPr="00046731" w:rsidRDefault="00AB28D5" w:rsidP="00046731">
      <w:pPr>
        <w:pStyle w:val="Heading4"/>
      </w:pPr>
      <w:bookmarkStart w:id="58" w:name="_Toc381102865"/>
      <w:r>
        <w:t>Häufigkeit von Aktualisierungen,</w:t>
      </w:r>
      <w:bookmarkEnd w:id="58"/>
    </w:p>
    <w:p w:rsidR="004B0E07" w:rsidRDefault="004B0E07" w:rsidP="00AB28D5">
      <w:pPr>
        <w:keepNext/>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AB28D5" w:rsidRPr="00AF5046" w:rsidTr="00F706CD">
        <w:trPr>
          <w:cantSplit/>
        </w:trPr>
        <w:tc>
          <w:tcPr>
            <w:tcW w:w="8788" w:type="dxa"/>
          </w:tcPr>
          <w:p w:rsidR="00AB28D5" w:rsidRPr="002C4075" w:rsidRDefault="00AB28D5" w:rsidP="002C4075">
            <w:pPr>
              <w:rPr>
                <w:sz w:val="18"/>
                <w:szCs w:val="18"/>
              </w:rPr>
            </w:pPr>
            <w:r>
              <w:rPr>
                <w:sz w:val="18"/>
                <w:szCs w:val="18"/>
              </w:rPr>
              <w:t>[Auszug aus dem Schreiben des ISF – (original Englisch)]</w:t>
            </w:r>
          </w:p>
          <w:p w:rsidR="00AB28D5" w:rsidRPr="00AF5046" w:rsidRDefault="00AB28D5" w:rsidP="002C4075">
            <w:pPr>
              <w:rPr>
                <w:rFonts w:cs="Arial"/>
                <w:color w:val="0D0D0D"/>
                <w:u w:val="single"/>
              </w:rPr>
            </w:pPr>
            <w:r w:rsidRPr="0091786C">
              <w:rPr>
                <w:sz w:val="18"/>
                <w:szCs w:val="18"/>
                <w:u w:val="single"/>
              </w:rPr>
              <w:t>Häufigkeit von Aktualisierungen</w:t>
            </w:r>
            <w:r>
              <w:rPr>
                <w:sz w:val="18"/>
                <w:szCs w:val="18"/>
              </w:rPr>
              <w:t>: In manchen Ländern wird die landesweite Webseite mit Informationen zum Sortenschutz nicht regelmäßig auf den neuesten Stand gebracht, teilweise nur alle zwei Jahre oder noch seltener.</w:t>
            </w:r>
            <w:r w:rsidR="00282747">
              <w:rPr>
                <w:sz w:val="18"/>
                <w:szCs w:val="18"/>
              </w:rPr>
              <w:t xml:space="preserve"> </w:t>
            </w:r>
            <w:r>
              <w:rPr>
                <w:sz w:val="18"/>
                <w:szCs w:val="18"/>
              </w:rPr>
              <w:t>Die Mitglieder des ISF sind der Auffassung, daß jedes Sortenschutzamt verpflichtet sein sollte, seine Webs</w:t>
            </w:r>
            <w:r w:rsidR="00E26E5C">
              <w:rPr>
                <w:sz w:val="18"/>
                <w:szCs w:val="18"/>
              </w:rPr>
              <w:t>eite ständig zu aktualisieren.</w:t>
            </w:r>
            <w:r>
              <w:rPr>
                <w:sz w:val="18"/>
                <w:szCs w:val="18"/>
              </w:rPr>
              <w:t xml:space="preserve"> Desgleichen sollte das UPOV-Verbandsbüro regelmäßig Aktualisierungen erhalten und seine Informations-Datenbanken regelmäßig überarbeiten (mindestens alle zwei Monate).</w:t>
            </w:r>
            <w:r w:rsidR="00282747">
              <w:rPr>
                <w:sz w:val="18"/>
                <w:szCs w:val="18"/>
              </w:rPr>
              <w:t xml:space="preserve"> </w:t>
            </w:r>
            <w:r>
              <w:rPr>
                <w:sz w:val="18"/>
                <w:szCs w:val="18"/>
              </w:rPr>
              <w:t>Im Übrigen wäre es sehr nützlich, wenn die Sortenschutzämter auf ihren Webseiten die Informationen im Zusammenhang mit dem Sortenschutz nicht nur in der Landessprache, sondern auch in englischer Sprache veröffentlichen würden.</w:t>
            </w:r>
          </w:p>
        </w:tc>
      </w:tr>
    </w:tbl>
    <w:p w:rsidR="004B0E07" w:rsidRDefault="004B0E07" w:rsidP="00AB28D5"/>
    <w:p w:rsidR="0003562F" w:rsidRPr="00C0136B" w:rsidRDefault="00BA325E" w:rsidP="00C0136B">
      <w:pPr>
        <w:ind w:right="9"/>
      </w:pPr>
      <w:r>
        <w:rPr>
          <w:snapToGrid w:val="0"/>
        </w:rPr>
        <w:fldChar w:fldCharType="begin"/>
      </w:r>
      <w:r w:rsidR="00B55B77">
        <w:rPr>
          <w:snapToGrid w:val="0"/>
        </w:rPr>
        <w:instrText xml:space="preserve"> AUTONUM  </w:instrText>
      </w:r>
      <w:r>
        <w:rPr>
          <w:snapToGrid w:val="0"/>
        </w:rPr>
        <w:fldChar w:fldCharType="end"/>
      </w:r>
      <w:r w:rsidR="00032D41">
        <w:tab/>
        <w:t>Dokument CAJ/69/6 „UPOV-Informationsdatenbanken“ berichtet</w:t>
      </w:r>
      <w:r w:rsidR="00054441">
        <w:t>,</w:t>
      </w:r>
      <w:r w:rsidR="00032D41">
        <w:t xml:space="preserve"> da</w:t>
      </w:r>
      <w:r w:rsidR="00282747">
        <w:t>ß</w:t>
      </w:r>
      <w:r w:rsidR="00032D41">
        <w:t xml:space="preserve"> der Vorschlag, die Häufigkeit der Aktualisierungen der PLUTO-Datenbank zu steigern vom CAJ au</w:t>
      </w:r>
      <w:r w:rsidR="00054441">
        <w:t>f</w:t>
      </w:r>
      <w:r w:rsidR="00032D41">
        <w:t xml:space="preserve"> seiner achtun</w:t>
      </w:r>
      <w:r w:rsidR="00ED7371">
        <w:t>d</w:t>
      </w:r>
      <w:r w:rsidR="00032D41">
        <w:t>sechzigsten Tagung vom 21.</w:t>
      </w:r>
      <w:r w:rsidR="00ED7371">
        <w:t> </w:t>
      </w:r>
      <w:r w:rsidR="00032D41">
        <w:t>Oktober 2013 in Genf angenommen wurde.</w:t>
      </w:r>
      <w:r w:rsidR="00282747">
        <w:t xml:space="preserve"> </w:t>
      </w:r>
      <w:r w:rsidR="00032D41">
        <w:rPr>
          <w:bCs/>
          <w:color w:val="000000" w:themeColor="text1"/>
          <w:spacing w:val="-2"/>
        </w:rPr>
        <w:t>Der vom CAJ au</w:t>
      </w:r>
      <w:r w:rsidR="00054441">
        <w:rPr>
          <w:bCs/>
          <w:color w:val="000000" w:themeColor="text1"/>
          <w:spacing w:val="-2"/>
        </w:rPr>
        <w:t>f</w:t>
      </w:r>
      <w:r w:rsidR="00032D41">
        <w:rPr>
          <w:bCs/>
          <w:color w:val="000000" w:themeColor="text1"/>
          <w:spacing w:val="-2"/>
        </w:rPr>
        <w:t xml:space="preserve"> seiner achtundsechzigsten Tagung geänderte Abschnitt 4 des Programms lautet folgendermaßen:</w:t>
      </w:r>
    </w:p>
    <w:p w:rsidR="0003562F" w:rsidRPr="0003562F" w:rsidRDefault="0003562F" w:rsidP="0003562F">
      <w:pPr>
        <w:rPr>
          <w:rFonts w:cs="Arial"/>
          <w:bCs/>
          <w:color w:val="000000" w:themeColor="text1"/>
          <w:spacing w:val="-2"/>
        </w:rPr>
      </w:pPr>
    </w:p>
    <w:p w:rsidR="0003562F" w:rsidRPr="00295010" w:rsidRDefault="00ED7371" w:rsidP="0003562F">
      <w:pPr>
        <w:ind w:left="567" w:right="567"/>
        <w:rPr>
          <w:bCs/>
          <w:i/>
          <w:iCs/>
          <w:sz w:val="18"/>
          <w:szCs w:val="16"/>
        </w:rPr>
      </w:pPr>
      <w:r>
        <w:rPr>
          <w:bCs/>
          <w:i/>
          <w:iCs/>
          <w:sz w:val="18"/>
          <w:szCs w:val="16"/>
        </w:rPr>
        <w:t>„</w:t>
      </w:r>
      <w:r w:rsidR="0003562F">
        <w:rPr>
          <w:bCs/>
          <w:i/>
          <w:iCs/>
          <w:sz w:val="18"/>
          <w:szCs w:val="16"/>
        </w:rPr>
        <w:t>4.</w:t>
      </w:r>
      <w:r w:rsidR="0003562F">
        <w:tab/>
      </w:r>
      <w:r w:rsidR="0003562F">
        <w:rPr>
          <w:bCs/>
          <w:i/>
          <w:iCs/>
          <w:sz w:val="18"/>
          <w:szCs w:val="16"/>
        </w:rPr>
        <w:t>Häufigkeit der Einreichung von Daten</w:t>
      </w:r>
    </w:p>
    <w:p w:rsidR="0003562F" w:rsidRPr="00295010" w:rsidRDefault="0003562F" w:rsidP="0003562F">
      <w:pPr>
        <w:ind w:left="567"/>
        <w:rPr>
          <w:sz w:val="18"/>
          <w:szCs w:val="16"/>
        </w:rPr>
      </w:pPr>
    </w:p>
    <w:p w:rsidR="0003562F" w:rsidRPr="00295010" w:rsidRDefault="0003562F" w:rsidP="008A2480">
      <w:pPr>
        <w:ind w:left="567" w:right="567"/>
        <w:rPr>
          <w:sz w:val="18"/>
          <w:szCs w:val="16"/>
        </w:rPr>
      </w:pPr>
      <w:r>
        <w:rPr>
          <w:bCs/>
          <w:sz w:val="18"/>
          <w:szCs w:val="16"/>
        </w:rPr>
        <w:lastRenderedPageBreak/>
        <w:t>Die Beitragsleistenden werden ersucht, ihre Daten so bald wie möglich nach ihrer Veröffentlichung durch die zuständige Behörde einzureichen.</w:t>
      </w:r>
      <w:r w:rsidR="00282747">
        <w:rPr>
          <w:bCs/>
          <w:sz w:val="18"/>
          <w:szCs w:val="16"/>
        </w:rPr>
        <w:t xml:space="preserve"> </w:t>
      </w:r>
      <w:r>
        <w:rPr>
          <w:bCs/>
          <w:sz w:val="18"/>
          <w:szCs w:val="16"/>
        </w:rPr>
        <w:t>Die PLUTO-Datenbank wird mit den neuen Daten so bald wie möglich nach ihrem Eingang und gemäβ dem Verfahren für das Hochladen aktualisiert.</w:t>
      </w:r>
      <w:r w:rsidR="00282747">
        <w:rPr>
          <w:bCs/>
          <w:sz w:val="18"/>
          <w:szCs w:val="16"/>
        </w:rPr>
        <w:t xml:space="preserve"> </w:t>
      </w:r>
      <w:r>
        <w:rPr>
          <w:bCs/>
          <w:sz w:val="18"/>
          <w:szCs w:val="16"/>
        </w:rPr>
        <w:t>Die PLUTO-Datenbank kann erforderlichenfalls und gemäβ dem Verfahren für das Hochladen mit berichtigten Daten aktualisiert werden.</w:t>
      </w:r>
      <w:r w:rsidR="00ED7371">
        <w:rPr>
          <w:bCs/>
          <w:sz w:val="18"/>
          <w:szCs w:val="16"/>
        </w:rPr>
        <w:t>“</w:t>
      </w:r>
    </w:p>
    <w:p w:rsidR="0003562F" w:rsidRDefault="0003562F" w:rsidP="008A2480">
      <w:pPr>
        <w:spacing w:line="360" w:lineRule="auto"/>
        <w:ind w:right="9"/>
      </w:pPr>
    </w:p>
    <w:p w:rsidR="000B3257" w:rsidRDefault="000B3257" w:rsidP="00046731">
      <w:pPr>
        <w:pStyle w:val="Heading4"/>
        <w:rPr>
          <w:snapToGrid w:val="0"/>
        </w:rPr>
      </w:pPr>
      <w:bookmarkStart w:id="59" w:name="_Toc381102866"/>
      <w:r>
        <w:t>Geltungsbereich der Datenbank</w:t>
      </w:r>
      <w:bookmarkEnd w:id="59"/>
    </w:p>
    <w:p w:rsidR="000B3257" w:rsidRDefault="000B3257" w:rsidP="000B3257">
      <w:pPr>
        <w:keepNext/>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0B3257" w:rsidRPr="002C4075" w:rsidTr="00F706CD">
        <w:trPr>
          <w:cantSplit/>
        </w:trPr>
        <w:tc>
          <w:tcPr>
            <w:tcW w:w="8788" w:type="dxa"/>
          </w:tcPr>
          <w:p w:rsidR="000B3257" w:rsidRPr="002C4075" w:rsidRDefault="000B3257" w:rsidP="002C4075">
            <w:pPr>
              <w:rPr>
                <w:sz w:val="18"/>
                <w:szCs w:val="18"/>
              </w:rPr>
            </w:pPr>
            <w:r>
              <w:rPr>
                <w:sz w:val="18"/>
                <w:szCs w:val="18"/>
              </w:rPr>
              <w:t>[Auszug aus dem Schreiben des ISF – (original Englisch)]</w:t>
            </w:r>
          </w:p>
          <w:p w:rsidR="000B3257" w:rsidRPr="002C4075" w:rsidRDefault="000B3257" w:rsidP="002C4075">
            <w:pPr>
              <w:rPr>
                <w:sz w:val="18"/>
                <w:szCs w:val="18"/>
              </w:rPr>
            </w:pPr>
            <w:r>
              <w:rPr>
                <w:sz w:val="18"/>
                <w:szCs w:val="18"/>
                <w:u w:val="single"/>
              </w:rPr>
              <w:t>Geltungsbereich der Datenbank</w:t>
            </w:r>
            <w:r>
              <w:rPr>
                <w:sz w:val="18"/>
                <w:szCs w:val="18"/>
              </w:rPr>
              <w:t>: In manchen Ländern führen die landesweiten Webseite nur die erteilten Züchterrechte auf, nicht jedoch die beantragten.</w:t>
            </w:r>
            <w:r w:rsidR="00282747">
              <w:rPr>
                <w:sz w:val="18"/>
                <w:szCs w:val="18"/>
              </w:rPr>
              <w:t xml:space="preserve"> </w:t>
            </w:r>
            <w:r>
              <w:rPr>
                <w:sz w:val="18"/>
                <w:szCs w:val="18"/>
              </w:rPr>
              <w:t>Die Mitglieder des ISF sind der Auffassung, daß es sinnvoll wäre, auf den offiziellen Webseiten auch über die noch nicht abgeschlossenen Anträge zu berichten.</w:t>
            </w:r>
            <w:r w:rsidR="00282747">
              <w:rPr>
                <w:sz w:val="18"/>
                <w:szCs w:val="18"/>
              </w:rPr>
              <w:t xml:space="preserve"> </w:t>
            </w:r>
            <w:r>
              <w:rPr>
                <w:sz w:val="18"/>
                <w:szCs w:val="18"/>
              </w:rPr>
              <w:t>Auf diese Weise wäre eine umfassende und angemessene Information sichergestellt, die den Unternehmen einen Überblick über ihre eigenen laufenden Sortenschutzanträge wie auch die der Konkurrenz bieten würde.</w:t>
            </w:r>
            <w:r w:rsidR="00282747">
              <w:rPr>
                <w:sz w:val="18"/>
                <w:szCs w:val="18"/>
              </w:rPr>
              <w:t xml:space="preserve"> </w:t>
            </w:r>
            <w:r>
              <w:rPr>
                <w:sz w:val="18"/>
                <w:szCs w:val="18"/>
              </w:rPr>
              <w:t xml:space="preserve"> Eine solche Information ist hilfreich, um das Antragsverfahren zu verfolgen, und sie erleichtert die Einhaltung der Rechte des geistigen Eigentums.</w:t>
            </w:r>
          </w:p>
        </w:tc>
      </w:tr>
    </w:tbl>
    <w:p w:rsidR="000B3257" w:rsidRDefault="000B3257" w:rsidP="000B3257"/>
    <w:p w:rsidR="000B3257" w:rsidRPr="003F0C17" w:rsidRDefault="00BA325E" w:rsidP="008A2480">
      <w:pPr>
        <w:spacing w:after="240"/>
        <w:rPr>
          <w:kern w:val="28"/>
        </w:rPr>
      </w:pPr>
      <w:r>
        <w:rPr>
          <w:snapToGrid w:val="0"/>
        </w:rPr>
        <w:fldChar w:fldCharType="begin"/>
      </w:r>
      <w:r w:rsidR="00C0136B">
        <w:rPr>
          <w:snapToGrid w:val="0"/>
        </w:rPr>
        <w:instrText xml:space="preserve"> AUTONUM  </w:instrText>
      </w:r>
      <w:r>
        <w:rPr>
          <w:snapToGrid w:val="0"/>
        </w:rPr>
        <w:fldChar w:fldCharType="end"/>
      </w:r>
      <w:r w:rsidR="00032D41">
        <w:tab/>
      </w:r>
      <w:r w:rsidR="00032D41">
        <w:rPr>
          <w:kern w:val="28"/>
        </w:rPr>
        <w:t>Dokument CAJ/69/6 „UPOV-Informationsdatenbanken” enthält die Antworten einer Befragung der Verbandsmitglieder über deren Nutzung der Datenbank für Pflanzensorten für Sortenschutzzwecke sowie über ihre Nutzung elektronischer Systeme für die Einreichung von Anträgen.</w:t>
      </w:r>
    </w:p>
    <w:p w:rsidR="00372992" w:rsidRDefault="00BA325E" w:rsidP="00372992">
      <w:r w:rsidRPr="00C0136B">
        <w:fldChar w:fldCharType="begin"/>
      </w:r>
      <w:r w:rsidR="00372992" w:rsidRPr="00C0136B">
        <w:instrText xml:space="preserve"> AUTONUM  </w:instrText>
      </w:r>
      <w:r w:rsidRPr="00C0136B">
        <w:fldChar w:fldCharType="end"/>
      </w:r>
      <w:r w:rsidR="00032D41">
        <w:tab/>
        <w:t>Der CAJ vereinbarte auf seiner achtundsechzigsten Tagung am 21. Oktober 2013 in Genf, einen Tagesordnungspunkt über die Aktualisierung von Dokument UPOV/INF/5 „UPOV-Musteramtsblatt für Sortenschutz“ in das Programm für die siebzigste Tagung des CAJ im Oktober 2014 aufzunehmen (vergleiche Dokument CAJ/69/10 „Bericht über die Entschließungen”, Absatz 17).</w:t>
      </w:r>
      <w:r w:rsidR="00282747">
        <w:t xml:space="preserve"> </w:t>
      </w:r>
      <w:r w:rsidR="00032D41">
        <w:t>Der CAJ könnte Angelegenheiten prüfen betreffend die Häufigkeit von Veröffentlichungen und die Vollständigkeit der zu veröffentlichenden Daten in Verbindung mit der Aktualisierung von Dokument UPOV/INF/5 „UPOV</w:t>
      </w:r>
      <w:r w:rsidR="00054441">
        <w:noBreakHyphen/>
      </w:r>
      <w:r w:rsidR="00032D41">
        <w:t>Musteramtsblatt für Sortenschutz“.</w:t>
      </w:r>
    </w:p>
    <w:p w:rsidR="005735BF" w:rsidRDefault="005735BF" w:rsidP="000B3257">
      <w:pPr>
        <w:rPr>
          <w:snapToGrid w:val="0"/>
        </w:rPr>
      </w:pPr>
    </w:p>
    <w:p w:rsidR="0003562F" w:rsidRDefault="00BA325E" w:rsidP="00A141E7">
      <w:pPr>
        <w:pStyle w:val="DecisionParagraphs"/>
        <w:keepNext/>
        <w:rPr>
          <w:snapToGrid w:val="0"/>
        </w:rPr>
      </w:pPr>
      <w:r>
        <w:rPr>
          <w:snapToGrid w:val="0"/>
        </w:rPr>
        <w:fldChar w:fldCharType="begin"/>
      </w:r>
      <w:r w:rsidR="0003562F">
        <w:rPr>
          <w:snapToGrid w:val="0"/>
        </w:rPr>
        <w:instrText xml:space="preserve"> AUTONUM  </w:instrText>
      </w:r>
      <w:r>
        <w:rPr>
          <w:snapToGrid w:val="0"/>
        </w:rPr>
        <w:fldChar w:fldCharType="end"/>
      </w:r>
      <w:r w:rsidR="00032D41">
        <w:tab/>
        <w:t>Der CAJ wird ersucht,</w:t>
      </w:r>
    </w:p>
    <w:p w:rsidR="0003562F" w:rsidRDefault="0003562F" w:rsidP="00A141E7">
      <w:pPr>
        <w:pStyle w:val="DecisionParagraphs"/>
        <w:keepNext/>
        <w:rPr>
          <w:snapToGrid w:val="0"/>
        </w:rPr>
      </w:pPr>
    </w:p>
    <w:p w:rsidR="0003562F" w:rsidRDefault="00164AD9" w:rsidP="00A141E7">
      <w:pPr>
        <w:pStyle w:val="DecisionParagraphs"/>
        <w:tabs>
          <w:tab w:val="left" w:pos="5954"/>
        </w:tabs>
      </w:pPr>
      <w:r>
        <w:tab/>
        <w:t>a)</w:t>
      </w:r>
      <w:r>
        <w:tab/>
      </w:r>
      <w:r>
        <w:rPr>
          <w:kern w:val="28"/>
        </w:rPr>
        <w:t>zur Kenntnis zu nehmen, da</w:t>
      </w:r>
      <w:r w:rsidR="00282747">
        <w:rPr>
          <w:kern w:val="28"/>
        </w:rPr>
        <w:t>ß</w:t>
      </w:r>
      <w:r>
        <w:rPr>
          <w:kern w:val="28"/>
        </w:rPr>
        <w:t xml:space="preserve"> Dokument CAJ/69/6 „UPOV-Informationsdatenbanken“ einschlägige Angaben zur regelmäßigen Bereitstellung von Informationen für die PLUTO</w:t>
      </w:r>
      <w:r w:rsidR="0091786C">
        <w:rPr>
          <w:kern w:val="28"/>
        </w:rPr>
        <w:noBreakHyphen/>
      </w:r>
      <w:r>
        <w:rPr>
          <w:kern w:val="28"/>
        </w:rPr>
        <w:t>Datenbank für Pflanzensorten</w:t>
      </w:r>
      <w:r>
        <w:t xml:space="preserve"> </w:t>
      </w:r>
      <w:r w:rsidR="00054441">
        <w:t>enthält;</w:t>
      </w:r>
    </w:p>
    <w:p w:rsidR="00164AD9" w:rsidRDefault="00164AD9" w:rsidP="00A141E7">
      <w:pPr>
        <w:pStyle w:val="DecisionParagraphs"/>
        <w:tabs>
          <w:tab w:val="left" w:pos="5954"/>
        </w:tabs>
      </w:pPr>
    </w:p>
    <w:p w:rsidR="00164AD9" w:rsidRDefault="00164AD9" w:rsidP="00A141E7">
      <w:pPr>
        <w:pStyle w:val="DecisionParagraphs"/>
        <w:tabs>
          <w:tab w:val="left" w:pos="5954"/>
        </w:tabs>
      </w:pPr>
      <w:r>
        <w:tab/>
      </w:r>
      <w:r w:rsidR="0091786C">
        <w:t>b)</w:t>
      </w:r>
      <w:r>
        <w:tab/>
      </w:r>
      <w:r>
        <w:rPr>
          <w:kern w:val="28"/>
        </w:rPr>
        <w:t>zur Kenntnis zu nehmen, da</w:t>
      </w:r>
      <w:r w:rsidR="00282747">
        <w:rPr>
          <w:kern w:val="28"/>
        </w:rPr>
        <w:t>ß</w:t>
      </w:r>
      <w:r>
        <w:rPr>
          <w:kern w:val="28"/>
        </w:rPr>
        <w:t xml:space="preserve"> Dokument CAJ/69/6 die Antworten einer Befragung der Verbandsmitglieder über deren Nutzung der Datenbank für Pflanzensorten für Sortenschutzzwecke sowie über ihre Nutzung elektronischer Systeme für die Einreichung von Anträgen enthält</w:t>
      </w:r>
      <w:r w:rsidR="00054441">
        <w:rPr>
          <w:kern w:val="28"/>
        </w:rPr>
        <w:t>;</w:t>
      </w:r>
      <w:r>
        <w:t xml:space="preserve"> </w:t>
      </w:r>
      <w:r w:rsidR="006F7B76">
        <w:t>und</w:t>
      </w:r>
    </w:p>
    <w:p w:rsidR="003F0C17" w:rsidRDefault="003F0C17" w:rsidP="00A141E7">
      <w:pPr>
        <w:pStyle w:val="DecisionParagraphs"/>
        <w:tabs>
          <w:tab w:val="left" w:pos="5954"/>
        </w:tabs>
      </w:pPr>
    </w:p>
    <w:p w:rsidR="003F0C17" w:rsidRDefault="00140E1A" w:rsidP="00A141E7">
      <w:pPr>
        <w:pStyle w:val="DecisionParagraphs"/>
        <w:tabs>
          <w:tab w:val="left" w:pos="5954"/>
        </w:tabs>
      </w:pPr>
      <w:r>
        <w:tab/>
      </w:r>
      <w:r w:rsidR="006F7B76">
        <w:t>c</w:t>
      </w:r>
      <w:r>
        <w:t>)</w:t>
      </w:r>
      <w:r>
        <w:tab/>
        <w:t>zu prüfen, ob Anleitung ausgearbeitet werden sollte betreffend die Häufigkeit von Veröffentlichungen und die Vollständigkeit der zu veröffentlichenden Daten in Verbindung mit der Aktualisierung von Dokument UPOV/INF/5 „UPOV</w:t>
      </w:r>
      <w:r w:rsidR="0091786C">
        <w:noBreakHyphen/>
      </w:r>
      <w:r>
        <w:t>Musteramtsblatt für Sortenschutz“.</w:t>
      </w:r>
    </w:p>
    <w:p w:rsidR="00AF5046" w:rsidRDefault="00AF5046" w:rsidP="000B3257">
      <w:pPr>
        <w:rPr>
          <w:snapToGrid w:val="0"/>
        </w:rPr>
      </w:pPr>
    </w:p>
    <w:p w:rsidR="00AF5046" w:rsidRDefault="00AF5046" w:rsidP="000B3257">
      <w:pPr>
        <w:rPr>
          <w:snapToGrid w:val="0"/>
        </w:rPr>
      </w:pPr>
    </w:p>
    <w:p w:rsidR="00AF5046" w:rsidRDefault="00CB118D" w:rsidP="005735BF">
      <w:pPr>
        <w:pStyle w:val="Heading2"/>
        <w:rPr>
          <w:spacing w:val="2"/>
        </w:rPr>
      </w:pPr>
      <w:bookmarkStart w:id="60" w:name="_Toc381102837"/>
      <w:bookmarkStart w:id="61" w:name="_Toc381102867"/>
      <w:bookmarkStart w:id="62" w:name="_Toc381170741"/>
      <w:bookmarkStart w:id="63" w:name="_Toc382820478"/>
      <w:r>
        <w:lastRenderedPageBreak/>
        <w:t>Bezeichnungsvorschriften</w:t>
      </w:r>
      <w:bookmarkEnd w:id="60"/>
      <w:bookmarkEnd w:id="61"/>
      <w:bookmarkEnd w:id="62"/>
      <w:bookmarkEnd w:id="63"/>
    </w:p>
    <w:p w:rsidR="00AF5046" w:rsidRPr="00AF5046" w:rsidRDefault="00AF5046" w:rsidP="00AF5046">
      <w:pPr>
        <w:keepNext/>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57" w:type="dxa"/>
          <w:left w:w="85" w:type="dxa"/>
          <w:bottom w:w="28" w:type="dxa"/>
          <w:right w:w="85" w:type="dxa"/>
        </w:tblCellMar>
        <w:tblLook w:val="04A0" w:firstRow="1" w:lastRow="0" w:firstColumn="1" w:lastColumn="0" w:noHBand="0" w:noVBand="1"/>
      </w:tblPr>
      <w:tblGrid>
        <w:gridCol w:w="8788"/>
      </w:tblGrid>
      <w:tr w:rsidR="00AF5046" w:rsidRPr="00AF5046" w:rsidTr="00F706CD">
        <w:trPr>
          <w:cantSplit/>
        </w:trPr>
        <w:tc>
          <w:tcPr>
            <w:tcW w:w="8788" w:type="dxa"/>
          </w:tcPr>
          <w:p w:rsidR="00AF5046" w:rsidRPr="002C4075" w:rsidRDefault="00AF5046" w:rsidP="002C4075">
            <w:pPr>
              <w:rPr>
                <w:sz w:val="18"/>
                <w:szCs w:val="18"/>
              </w:rPr>
            </w:pPr>
            <w:r>
              <w:rPr>
                <w:sz w:val="18"/>
                <w:szCs w:val="18"/>
              </w:rPr>
              <w:t>[Auszug aus dem Schreiben des ISF – (original Englisch)]</w:t>
            </w:r>
          </w:p>
          <w:p w:rsidR="00AF5046" w:rsidRPr="002C4075" w:rsidRDefault="00AF5046" w:rsidP="002C4075">
            <w:pPr>
              <w:rPr>
                <w:rFonts w:eastAsia="Arial"/>
                <w:sz w:val="18"/>
                <w:szCs w:val="18"/>
              </w:rPr>
            </w:pPr>
            <w:r>
              <w:rPr>
                <w:sz w:val="18"/>
                <w:szCs w:val="18"/>
                <w:u w:val="single"/>
              </w:rPr>
              <w:t>Unterschiedliche Bezeichnungsvorschriften:</w:t>
            </w:r>
            <w:r>
              <w:t xml:space="preserve"> </w:t>
            </w:r>
            <w:r>
              <w:rPr>
                <w:sz w:val="18"/>
                <w:szCs w:val="18"/>
              </w:rPr>
              <w:t>Die Vorschriften zur Bezeichnung sind innerhalb und zwischen verschiedenen Ländern unterschiedlich.</w:t>
            </w:r>
            <w:r w:rsidR="00282747">
              <w:rPr>
                <w:sz w:val="18"/>
                <w:szCs w:val="18"/>
              </w:rPr>
              <w:t xml:space="preserve"> </w:t>
            </w:r>
            <w:r>
              <w:rPr>
                <w:sz w:val="18"/>
                <w:szCs w:val="18"/>
              </w:rPr>
              <w:t>Bekanntlich entstehen Bezeichnungskonflikte häufig deshalb, weil mehrere Länder unvereinbare interne Bezeichnungsvorschriften haben.</w:t>
            </w:r>
            <w:r w:rsidR="00282747">
              <w:rPr>
                <w:sz w:val="18"/>
                <w:szCs w:val="18"/>
              </w:rPr>
              <w:t xml:space="preserve"> </w:t>
            </w:r>
            <w:r>
              <w:rPr>
                <w:sz w:val="18"/>
                <w:szCs w:val="18"/>
              </w:rPr>
              <w:t>Zum Beispiel kann eine Bezeichnung, die im Land oder der Region XYZ in das nationale Register aufgenommen wurde, zu einem späteren Zeitpunkt in einem Antrag auf nationalen oder regionalen Sortenschutz abgelehnt werden.</w:t>
            </w:r>
            <w:r w:rsidR="00282747">
              <w:rPr>
                <w:sz w:val="18"/>
                <w:szCs w:val="18"/>
              </w:rPr>
              <w:t xml:space="preserve"> </w:t>
            </w:r>
            <w:r>
              <w:rPr>
                <w:sz w:val="18"/>
                <w:szCs w:val="18"/>
              </w:rPr>
              <w:t>In jedem Land sollten zumindest die Bezeichnungsvorschriften für die nationale Liste und den Sortenschutz einheitlich sein.</w:t>
            </w:r>
          </w:p>
          <w:p w:rsidR="00AF5046" w:rsidRPr="002C4075" w:rsidRDefault="00AF5046" w:rsidP="002C4075">
            <w:pPr>
              <w:rPr>
                <w:sz w:val="18"/>
                <w:szCs w:val="18"/>
              </w:rPr>
            </w:pPr>
          </w:p>
          <w:p w:rsidR="00AF5046" w:rsidRPr="002C4075" w:rsidRDefault="00AF5046" w:rsidP="002C4075">
            <w:pPr>
              <w:rPr>
                <w:rFonts w:eastAsia="Arial"/>
                <w:sz w:val="18"/>
                <w:szCs w:val="18"/>
              </w:rPr>
            </w:pPr>
            <w:r>
              <w:rPr>
                <w:sz w:val="18"/>
                <w:szCs w:val="18"/>
              </w:rPr>
              <w:t>Generell wird eine stärkere Harmonisierung befürwortet. Das heißt, die Bezeichnungsvorschriften sollten weltweit standardisiert werden, und nach Möglichkeit sollte eine zentrale Genehmigungsstelle eingerichtet werden.</w:t>
            </w:r>
          </w:p>
          <w:p w:rsidR="00AF5046" w:rsidRPr="002C4075" w:rsidRDefault="00AF5046" w:rsidP="002C4075">
            <w:pPr>
              <w:rPr>
                <w:sz w:val="18"/>
                <w:szCs w:val="18"/>
              </w:rPr>
            </w:pPr>
          </w:p>
          <w:p w:rsidR="00AF5046" w:rsidRPr="00AF5046" w:rsidRDefault="00AF5046" w:rsidP="002C4075">
            <w:pPr>
              <w:rPr>
                <w:rFonts w:cs="Arial"/>
                <w:color w:val="0D0D0D"/>
                <w:u w:val="single"/>
              </w:rPr>
            </w:pPr>
            <w:r>
              <w:rPr>
                <w:sz w:val="18"/>
                <w:szCs w:val="18"/>
              </w:rPr>
              <w:t>Falls weltweit geltende Regeln zum Beispiel aufgrund unterschiedlicher Alphabeten nicht möglich sind, wären regionale Regeln in Betracht zu ziehen.</w:t>
            </w:r>
          </w:p>
        </w:tc>
      </w:tr>
    </w:tbl>
    <w:p w:rsidR="004B0E07" w:rsidRDefault="004B0E07" w:rsidP="00AF5046"/>
    <w:p w:rsidR="00372992" w:rsidRDefault="00BA325E" w:rsidP="00372992">
      <w:pPr>
        <w:rPr>
          <w:spacing w:val="-2"/>
          <w:kern w:val="28"/>
        </w:rPr>
      </w:pPr>
      <w:r w:rsidRPr="00295010">
        <w:rPr>
          <w:spacing w:val="-2"/>
        </w:rPr>
        <w:fldChar w:fldCharType="begin"/>
      </w:r>
      <w:r w:rsidR="003F0C17" w:rsidRPr="00295010">
        <w:rPr>
          <w:spacing w:val="-2"/>
        </w:rPr>
        <w:instrText xml:space="preserve"> AUTONUM  </w:instrText>
      </w:r>
      <w:r w:rsidRPr="00295010">
        <w:rPr>
          <w:spacing w:val="-2"/>
        </w:rPr>
        <w:fldChar w:fldCharType="end"/>
      </w:r>
      <w:r w:rsidR="00032D41">
        <w:tab/>
        <w:t>Der CAJ wird ersucht zur Kenntnis zu nehmen, da</w:t>
      </w:r>
      <w:r w:rsidR="00282747">
        <w:t>ß</w:t>
      </w:r>
      <w:r w:rsidR="00032D41">
        <w:t xml:space="preserve"> die Entwicklungen zu Sortenbezeichnungen, die im Zusammenhang mit einer möglichen Überarbeitung der „Erläuterungen zu Sortenbezeichnungen nach dem UPOV-Übereinkommen” (Dokument UPOV/INF/12/4) relevant sein könnten, in den Dokumenten CAJ/69/2 „Ausarbeitung von Informationsmaterial zum UPOV-Übereinkommen“, Dokument CAJ/69/5 „Sortenbezeichnungen“ und Dokument CAJ/69/9 „Etwaige Entwicklung eines UPOV-Suchinstruments für Ähnlichkeiten zum Zweck der Sortenbezeichnung“ geprüft werden.</w:t>
      </w:r>
      <w:r w:rsidR="00282747">
        <w:rPr>
          <w:spacing w:val="-2"/>
          <w:kern w:val="28"/>
        </w:rPr>
        <w:t xml:space="preserve"> </w:t>
      </w:r>
    </w:p>
    <w:p w:rsidR="00295010" w:rsidRPr="00295010" w:rsidRDefault="00295010" w:rsidP="00372992">
      <w:pPr>
        <w:rPr>
          <w:spacing w:val="-2"/>
          <w:kern w:val="28"/>
        </w:rPr>
      </w:pPr>
    </w:p>
    <w:p w:rsidR="00CF5A07" w:rsidRPr="00735912" w:rsidRDefault="00BA325E" w:rsidP="00735912">
      <w:pPr>
        <w:pStyle w:val="DecisionParagraphs"/>
        <w:spacing w:after="720"/>
      </w:pPr>
      <w:r w:rsidRPr="00735912">
        <w:rPr>
          <w:rFonts w:cs="Arial"/>
        </w:rPr>
        <w:fldChar w:fldCharType="begin"/>
      </w:r>
      <w:r w:rsidR="00372992" w:rsidRPr="00735912">
        <w:rPr>
          <w:rFonts w:cs="Arial"/>
        </w:rPr>
        <w:instrText xml:space="preserve"> AUTONUM  </w:instrText>
      </w:r>
      <w:r w:rsidRPr="00735912">
        <w:rPr>
          <w:rFonts w:cs="Arial"/>
        </w:rPr>
        <w:fldChar w:fldCharType="end"/>
      </w:r>
      <w:r w:rsidR="00032D41" w:rsidRPr="00735912">
        <w:tab/>
        <w:t>Der CAJ wird ersucht die vom ISF aufgeworfenen Fragen betreffend Bezeichnungsvorschriften in Verbindung mit einer etwaigen Überarbeitung der „Erläuterungen zu Sortenbezeichnungen nach dem UPOV-Übereinkommen” zu prüfen, wie in obigem Absatz 28 dargelegt.</w:t>
      </w:r>
    </w:p>
    <w:p w:rsidR="00CB118D" w:rsidRPr="00641FEB" w:rsidRDefault="00CB118D" w:rsidP="00672A45">
      <w:pPr>
        <w:pStyle w:val="Heading1"/>
        <w:keepNext/>
        <w:ind w:left="567" w:hanging="567"/>
      </w:pPr>
      <w:bookmarkStart w:id="64" w:name="_Toc381102838"/>
      <w:bookmarkStart w:id="65" w:name="_Toc381102868"/>
      <w:bookmarkStart w:id="66" w:name="_Toc381170742"/>
      <w:bookmarkStart w:id="67" w:name="_Toc382820479"/>
      <w:r>
        <w:t>II.</w:t>
      </w:r>
      <w:r>
        <w:tab/>
        <w:t>DACHDOKUMENT UPOV/INF/15 „Anleitung über die laufenden Verpflichtungen der Verbandsmitglieder und die damit verbundenen Notifizierungen und über die Erteilung von Auskünften zur Erleichterung der Zusammenarbeit“</w:t>
      </w:r>
      <w:bookmarkEnd w:id="64"/>
      <w:bookmarkEnd w:id="65"/>
      <w:bookmarkEnd w:id="66"/>
      <w:bookmarkEnd w:id="67"/>
    </w:p>
    <w:p w:rsidR="00CB118D" w:rsidRDefault="00CB118D" w:rsidP="00672A45">
      <w:pPr>
        <w:pStyle w:val="Heading1"/>
        <w:keepNext/>
      </w:pPr>
    </w:p>
    <w:p w:rsidR="0055760B" w:rsidRDefault="00BA325E" w:rsidP="0055760B">
      <w:r w:rsidRPr="008F3179">
        <w:fldChar w:fldCharType="begin"/>
      </w:r>
      <w:r w:rsidR="0055760B" w:rsidRPr="008F3179">
        <w:instrText xml:space="preserve"> AUTONUM  </w:instrText>
      </w:r>
      <w:r w:rsidRPr="008F3179">
        <w:fldChar w:fldCharType="end"/>
      </w:r>
      <w:r w:rsidR="00032D41">
        <w:tab/>
        <w:t>UPOV/INF/15 erteilt derzeit Verbandsmitgliedern Anleitung über die laufenden Verpflichtungen der Verbandsmitglieder und die damit verbundenen Notifizierungen und über die Erteilung von Auskünften zur Erleichterung der Zusammenarbeit.</w:t>
      </w:r>
      <w:r w:rsidR="00282747">
        <w:rPr>
          <w:szCs w:val="24"/>
        </w:rPr>
        <w:t xml:space="preserve"> </w:t>
      </w:r>
      <w:r w:rsidR="00032D41">
        <w:rPr>
          <w:szCs w:val="24"/>
        </w:rPr>
        <w:t>Bei ihrer Ernennung erhalten die Vertreter im Rat eine Kopie von Dokument UPOV/INF/15.</w:t>
      </w:r>
    </w:p>
    <w:p w:rsidR="0055760B" w:rsidRPr="008F3179" w:rsidRDefault="0055760B" w:rsidP="0055760B"/>
    <w:p w:rsidR="0055760B" w:rsidRPr="008F3179" w:rsidRDefault="00BA325E" w:rsidP="00735912">
      <w:pPr>
        <w:keepNext/>
      </w:pPr>
      <w:r w:rsidRPr="008F3179">
        <w:fldChar w:fldCharType="begin"/>
      </w:r>
      <w:r w:rsidR="0055760B" w:rsidRPr="008F3179">
        <w:instrText xml:space="preserve"> AUTONUM  </w:instrText>
      </w:r>
      <w:r w:rsidRPr="008F3179">
        <w:fldChar w:fldCharType="end"/>
      </w:r>
      <w:r w:rsidR="00032D41">
        <w:tab/>
        <w:t>Der Beratende Ausschu</w:t>
      </w:r>
      <w:r w:rsidR="00282747">
        <w:t>ß</w:t>
      </w:r>
      <w:r w:rsidR="00032D41">
        <w:t xml:space="preserve"> ersuchte auf seiner sechsundachtzigsten Tagung, Dokument UPOV/INF/15 als ein Dachdokument auszuarbeiten, das folgendes bereitstellen sollte: </w:t>
      </w:r>
    </w:p>
    <w:p w:rsidR="0055760B" w:rsidRPr="008F3179" w:rsidRDefault="0055760B" w:rsidP="00735912">
      <w:pPr>
        <w:keepNext/>
      </w:pPr>
    </w:p>
    <w:p w:rsidR="0055760B" w:rsidRPr="008F3179" w:rsidRDefault="0055760B" w:rsidP="0055760B">
      <w:pPr>
        <w:ind w:firstLine="567"/>
      </w:pPr>
      <w:r>
        <w:t>i)</w:t>
      </w:r>
      <w:r>
        <w:tab/>
        <w:t xml:space="preserve">einen Überblick über Kernelemente für die Durchführung eines Sortenschutzsystems; und </w:t>
      </w:r>
    </w:p>
    <w:p w:rsidR="0055760B" w:rsidRPr="008F3179" w:rsidRDefault="0055760B" w:rsidP="0055760B"/>
    <w:p w:rsidR="0055760B" w:rsidRDefault="0055760B" w:rsidP="0055760B">
      <w:pPr>
        <w:ind w:firstLine="567"/>
      </w:pPr>
      <w:r>
        <w:t>ii)</w:t>
      </w:r>
      <w:r>
        <w:tab/>
        <w:t>einen Link zu einschlägiger ausführlicher Anleitung.</w:t>
      </w:r>
    </w:p>
    <w:p w:rsidR="00CB118D" w:rsidRDefault="00CB118D" w:rsidP="00CB118D">
      <w:pPr>
        <w:rPr>
          <w:rFonts w:cs="Arial"/>
        </w:rPr>
      </w:pPr>
    </w:p>
    <w:p w:rsidR="00C4212E" w:rsidRDefault="00BA325E" w:rsidP="00CB118D">
      <w:pPr>
        <w:rPr>
          <w:rFonts w:cs="Arial"/>
        </w:rPr>
      </w:pPr>
      <w:r w:rsidRPr="00295010">
        <w:rPr>
          <w:rFonts w:cs="Arial"/>
        </w:rPr>
        <w:fldChar w:fldCharType="begin"/>
      </w:r>
      <w:r w:rsidR="00C4212E" w:rsidRPr="00295010">
        <w:rPr>
          <w:rFonts w:cs="Arial"/>
        </w:rPr>
        <w:instrText xml:space="preserve"> AUTONUM  </w:instrText>
      </w:r>
      <w:r w:rsidRPr="00295010">
        <w:rPr>
          <w:rFonts w:cs="Arial"/>
        </w:rPr>
        <w:fldChar w:fldCharType="end"/>
      </w:r>
      <w:r w:rsidR="00032D41">
        <w:tab/>
        <w:t>Gemäß dem Ersuchen des Beratenden Ausschusses wird vorgeschlagen, den Titel von Dokument UPOV/INF/15 entsprechend zu ändern und einschlägige Eleme</w:t>
      </w:r>
      <w:r w:rsidR="000807BA">
        <w:t>nte der Module 1 und 2 des UPOV</w:t>
      </w:r>
      <w:r w:rsidR="000807BA">
        <w:noBreakHyphen/>
      </w:r>
      <w:bookmarkStart w:id="68" w:name="_GoBack"/>
      <w:bookmarkEnd w:id="68"/>
      <w:r w:rsidR="00032D41">
        <w:t xml:space="preserve">Fernlehrgangsprogramms „Prüfung von Anträgen auf Erteilung von Züchterrechten“ (DL305) (die Module 1 und 2 von DL-305 sind in der Anlage dieses Dokuments wiedergegeben) sowie die vereinbarten Elemente in bezug auf </w:t>
      </w:r>
      <w:r w:rsidR="000807BA">
        <w:t xml:space="preserve">die </w:t>
      </w:r>
      <w:r w:rsidR="00032D41">
        <w:t xml:space="preserve">in diesem Dokument </w:t>
      </w:r>
      <w:r w:rsidR="0091786C">
        <w:t xml:space="preserve">behandelten Fragen </w:t>
      </w:r>
      <w:r w:rsidR="00032D41">
        <w:t>aufzunehmen.</w:t>
      </w:r>
    </w:p>
    <w:p w:rsidR="00C4212E" w:rsidRDefault="00C4212E" w:rsidP="00CB118D">
      <w:pPr>
        <w:rPr>
          <w:rFonts w:cs="Arial"/>
        </w:rPr>
      </w:pPr>
    </w:p>
    <w:p w:rsidR="00CB118D" w:rsidRDefault="00BA325E" w:rsidP="00CB118D">
      <w:pPr>
        <w:pStyle w:val="DecisionParagraphs"/>
      </w:pPr>
      <w:r w:rsidRPr="00641FEB">
        <w:fldChar w:fldCharType="begin"/>
      </w:r>
      <w:r w:rsidR="00CB118D" w:rsidRPr="00641FEB">
        <w:instrText xml:space="preserve"> AUTONUM  </w:instrText>
      </w:r>
      <w:r w:rsidRPr="00641FEB">
        <w:fldChar w:fldCharType="end"/>
      </w:r>
      <w:r w:rsidR="00032D41">
        <w:tab/>
        <w:t xml:space="preserve">Der CAJ wird ersucht, Dokument UPOV/INF/15 „Anleitung über die laufenden Verpflichtungen der Verbandsmitglieder und die damit verbundenen Notifizierungen und über die Erteilung von Auskünften zur Erleichterung der Zusammenarbeit“ zu einem Dachdokument auszuarbeiten, das Kernelemente für </w:t>
      </w:r>
      <w:r w:rsidR="00032D41">
        <w:lastRenderedPageBreak/>
        <w:t xml:space="preserve">die Durchführung eines Sortenschutzsystems ausweisen und </w:t>
      </w:r>
      <w:r w:rsidR="001B692E">
        <w:t xml:space="preserve">einen Link zu einschlägiger ausführlicher Anleitung </w:t>
      </w:r>
      <w:r w:rsidR="00032D41">
        <w:t>bereitstellt</w:t>
      </w:r>
      <w:r w:rsidR="001B692E">
        <w:t xml:space="preserve"> wie in Absatz </w:t>
      </w:r>
      <w:r w:rsidR="00032D41">
        <w:t>32 dargelegt.</w:t>
      </w:r>
    </w:p>
    <w:p w:rsidR="00641FEB" w:rsidRDefault="00641FEB" w:rsidP="00CF5A07">
      <w:pPr>
        <w:pStyle w:val="DecisionParagraphs"/>
      </w:pPr>
    </w:p>
    <w:p w:rsidR="00735912" w:rsidRDefault="00735912" w:rsidP="00CF5A07">
      <w:pPr>
        <w:pStyle w:val="DecisionParagraphs"/>
      </w:pPr>
    </w:p>
    <w:p w:rsidR="00735912" w:rsidRDefault="00735912" w:rsidP="00CF5A07">
      <w:pPr>
        <w:pStyle w:val="DecisionParagraphs"/>
      </w:pPr>
    </w:p>
    <w:p w:rsidR="006507B7" w:rsidRDefault="00641FEB" w:rsidP="00641FEB">
      <w:pPr>
        <w:pStyle w:val="DecisionParagraphs"/>
        <w:jc w:val="right"/>
        <w:rPr>
          <w:i w:val="0"/>
        </w:rPr>
      </w:pPr>
      <w:r>
        <w:rPr>
          <w:i w:val="0"/>
        </w:rPr>
        <w:t>[Anlage folgt]</w:t>
      </w:r>
    </w:p>
    <w:p w:rsidR="006644BD" w:rsidRDefault="006644BD" w:rsidP="006644BD">
      <w:pPr>
        <w:pStyle w:val="DecisionParagraphs"/>
        <w:rPr>
          <w:i w:val="0"/>
        </w:rPr>
      </w:pPr>
    </w:p>
    <w:p w:rsidR="006644BD" w:rsidRDefault="006644BD" w:rsidP="00641FEB">
      <w:pPr>
        <w:pStyle w:val="DecisionParagraphs"/>
        <w:jc w:val="right"/>
        <w:rPr>
          <w:i w:val="0"/>
        </w:rPr>
        <w:sectPr w:rsidR="006644BD" w:rsidSect="00906DDC">
          <w:headerReference w:type="default" r:id="rId14"/>
          <w:pgSz w:w="11907" w:h="16840" w:code="9"/>
          <w:pgMar w:top="510" w:right="1134" w:bottom="1134" w:left="1134" w:header="510" w:footer="680" w:gutter="0"/>
          <w:cols w:space="720"/>
          <w:titlePg/>
        </w:sectPr>
      </w:pPr>
    </w:p>
    <w:p w:rsidR="00771553" w:rsidRDefault="009560C5" w:rsidP="009560C5">
      <w:pPr>
        <w:jc w:val="center"/>
      </w:pPr>
      <w:r>
        <w:lastRenderedPageBreak/>
        <w:t>CAJ/69/10</w:t>
      </w:r>
    </w:p>
    <w:p w:rsidR="009560C5" w:rsidRDefault="009560C5" w:rsidP="009560C5">
      <w:pPr>
        <w:jc w:val="center"/>
      </w:pPr>
    </w:p>
    <w:p w:rsidR="009560C5" w:rsidRDefault="009560C5" w:rsidP="009560C5">
      <w:pPr>
        <w:jc w:val="center"/>
      </w:pPr>
      <w:r>
        <w:t>ANLAGE</w:t>
      </w:r>
    </w:p>
    <w:p w:rsidR="009560C5" w:rsidRDefault="009560C5" w:rsidP="009560C5">
      <w:pPr>
        <w:jc w:val="center"/>
      </w:pPr>
    </w:p>
    <w:p w:rsidR="005A7D7C" w:rsidRDefault="005A7D7C" w:rsidP="009560C5">
      <w:pPr>
        <w:jc w:val="center"/>
      </w:pPr>
    </w:p>
    <w:p w:rsidR="005A7D7C" w:rsidRPr="005A7D7C" w:rsidRDefault="005A7D7C" w:rsidP="005A7D7C">
      <w:pPr>
        <w:rPr>
          <w:b/>
        </w:rPr>
      </w:pPr>
      <w:r w:rsidRPr="005A7D7C">
        <w:rPr>
          <w:b/>
        </w:rPr>
        <w:t>MODUL 1: DAS ZÜCHTERRECHTSAMT</w:t>
      </w:r>
    </w:p>
    <w:p w:rsidR="005A7D7C" w:rsidRPr="005A7D7C" w:rsidRDefault="005A7D7C" w:rsidP="005A7D7C"/>
    <w:p w:rsidR="005A7D7C" w:rsidRPr="00F01E40" w:rsidRDefault="005A7D7C" w:rsidP="005A7D7C">
      <w:pPr>
        <w:rPr>
          <w:u w:val="single"/>
        </w:rPr>
      </w:pPr>
      <w:r w:rsidRPr="00F01E40">
        <w:rPr>
          <w:u w:val="single"/>
        </w:rPr>
        <w:t>Ziel</w:t>
      </w:r>
    </w:p>
    <w:p w:rsidR="005A7D7C" w:rsidRPr="00F01E40" w:rsidRDefault="005A7D7C" w:rsidP="005A7D7C">
      <w:pPr>
        <w:rPr>
          <w:i/>
        </w:rPr>
      </w:pPr>
    </w:p>
    <w:p w:rsidR="005A7D7C" w:rsidRPr="00F01E40" w:rsidRDefault="005A7D7C" w:rsidP="005A7D7C">
      <w:pPr>
        <w:rPr>
          <w:i/>
        </w:rPr>
      </w:pPr>
      <w:r w:rsidRPr="00F01E40">
        <w:rPr>
          <w:i/>
        </w:rPr>
        <w:t>Ziel dieses Moduls ist es, einen Überblick über den Aufbau und die Funktionen eines Züchterrechtsamtes zu vermitteln.</w:t>
      </w:r>
    </w:p>
    <w:p w:rsidR="005A7D7C" w:rsidRPr="00F01E40" w:rsidRDefault="005A7D7C" w:rsidP="005A7D7C">
      <w:pPr>
        <w:rPr>
          <w:u w:val="single"/>
        </w:rPr>
      </w:pPr>
    </w:p>
    <w:p w:rsidR="005A7D7C" w:rsidRPr="00F01E40" w:rsidRDefault="005A7D7C" w:rsidP="005A7D7C">
      <w:pPr>
        <w:rPr>
          <w:u w:val="single"/>
        </w:rPr>
      </w:pPr>
    </w:p>
    <w:p w:rsidR="005A7D7C" w:rsidRPr="00F01E40" w:rsidRDefault="005A7D7C" w:rsidP="005A7D7C">
      <w:pPr>
        <w:rPr>
          <w:u w:val="single"/>
        </w:rPr>
      </w:pPr>
      <w:r w:rsidRPr="00F01E40">
        <w:rPr>
          <w:u w:val="single"/>
        </w:rPr>
        <w:br w:type="page"/>
      </w:r>
    </w:p>
    <w:p w:rsidR="005A7D7C" w:rsidRPr="00F01E40" w:rsidRDefault="005A7D7C" w:rsidP="005A7D7C">
      <w:pPr>
        <w:pStyle w:val="Heading1"/>
      </w:pPr>
      <w:bookmarkStart w:id="69" w:name="_Toc379270996"/>
      <w:bookmarkStart w:id="70" w:name="_Toc381436195"/>
      <w:bookmarkStart w:id="71" w:name="_Toc381447289"/>
      <w:bookmarkStart w:id="72" w:name="_Toc381598690"/>
      <w:bookmarkStart w:id="73" w:name="_Toc382491244"/>
      <w:bookmarkStart w:id="74" w:name="_Toc382820480"/>
      <w:r w:rsidRPr="00F01E40">
        <w:lastRenderedPageBreak/>
        <w:t>EINFÜHRUNG</w:t>
      </w:r>
      <w:bookmarkEnd w:id="69"/>
      <w:bookmarkEnd w:id="70"/>
      <w:bookmarkEnd w:id="71"/>
      <w:bookmarkEnd w:id="72"/>
      <w:bookmarkEnd w:id="73"/>
      <w:bookmarkEnd w:id="74"/>
    </w:p>
    <w:p w:rsidR="005A7D7C" w:rsidRPr="00F01E40" w:rsidRDefault="005A7D7C" w:rsidP="005A7D7C"/>
    <w:p w:rsidR="005A7D7C" w:rsidRPr="00F01E40" w:rsidRDefault="005A7D7C" w:rsidP="005A7D7C">
      <w:r w:rsidRPr="00F01E40">
        <w:t>Anträge auf Erteilung von Züchterrechten unterliegen der Prüfung durch die Behörde im Hoheitsgebiet des betreffenden UPOV-Mitglieds. Laut Artikel 30 der Akte von 1991 und Artikel 7 der Akte von 1978 des UPOV-Übereinkommens unterhalten die UPOV-Mitglieder eine Behörde, die mit der Aufgabe der Erteilung des Züchterrechts beauftragt ist. Die UPOV-Mitglieder sollten zudem sicherstellen, daß die Öffentlichkeit über Anträge und Erteilungen von Züchterrechten sowie über vorgeschlagene und genehmigte Sortenbezeichnungen unterrichtet wird.</w:t>
      </w:r>
    </w:p>
    <w:p w:rsidR="005A7D7C" w:rsidRPr="00F01E40" w:rsidRDefault="005A7D7C" w:rsidP="005A7D7C"/>
    <w:p w:rsidR="005A7D7C" w:rsidRPr="00F01E40" w:rsidRDefault="005A7D7C" w:rsidP="005A7D7C">
      <w:pPr>
        <w:ind w:left="1418" w:right="1418"/>
      </w:pPr>
      <w:r w:rsidRPr="00F01E40">
        <w:t>„</w:t>
      </w:r>
      <w:r w:rsidRPr="00F01E40">
        <w:rPr>
          <w:b/>
        </w:rPr>
        <w:t>Artikel 30</w:t>
      </w:r>
      <w:r w:rsidRPr="00F01E40">
        <w:rPr>
          <w:b/>
          <w:bCs/>
        </w:rPr>
        <w:t xml:space="preserve"> </w:t>
      </w:r>
      <w:r w:rsidRPr="00F01E40">
        <w:rPr>
          <w:b/>
        </w:rPr>
        <w:t>Anwendung des Übereinkommens</w:t>
      </w:r>
      <w:r w:rsidRPr="00F01E40">
        <w:rPr>
          <w:b/>
          <w:bCs/>
        </w:rPr>
        <w:t xml:space="preserve"> </w:t>
      </w:r>
      <w:r w:rsidRPr="00F01E40">
        <w:rPr>
          <w:bCs/>
        </w:rPr>
        <w:t>(</w:t>
      </w:r>
      <w:r w:rsidRPr="00F01E40">
        <w:t>1) Jede Vertragspartei trifft alle für die Anwendung dieses Übereinkommens notwendigen Maßnahmen, insbesondere […] ii)</w:t>
      </w:r>
      <w:r>
        <w:t> </w:t>
      </w:r>
      <w:r w:rsidRPr="00F01E40">
        <w:t>unterhält sie eine Behörde für die Erteilung von Züchterrechten oder beauftragt die bereits von einer anderen Vertragspartei unterhaltene Behörde mit der genannten Aufgabe und iii) stellt sie sicher, daß die Öffentlichkeit durch die periodische Veröffentlichung von Mitteilungen über die Anträge auf und Erteilung von Züchterrechten sowie die vorgeschlagenen und genehmigten Sortenbezeichnungen unterrichtet wird.“</w:t>
      </w:r>
    </w:p>
    <w:p w:rsidR="005A7D7C" w:rsidRPr="00F01E40" w:rsidRDefault="005A7D7C" w:rsidP="005A7D7C"/>
    <w:p w:rsidR="005A7D7C" w:rsidRPr="00F01E40" w:rsidRDefault="005A7D7C" w:rsidP="005A7D7C">
      <w:r w:rsidRPr="00F01E40">
        <w:t>Das Züchterrechtsamt variiert je nachdem in Größe und Aufbau, wie jedes UPOV-Mitglied die Umsetzung des UPOV-Übereinkommens und insbesondere die Prüfung der Anträge auf Erteilung von Züchterrechten vorsieht.</w:t>
      </w:r>
    </w:p>
    <w:p w:rsidR="005A7D7C" w:rsidRPr="00F01E40" w:rsidRDefault="005A7D7C" w:rsidP="005A7D7C"/>
    <w:p w:rsidR="005A7D7C" w:rsidRPr="00F01E40" w:rsidRDefault="005A7D7C" w:rsidP="005A7D7C">
      <w:r w:rsidRPr="00F01E40">
        <w:t>Die Prüfung der Anträge auf Erteilung von Züchterrechten wird in Artikel 12 der Akte von 1991 und in Artikel 7 der Akte von 1978 vorgeschrieben. Jede Entscheidung, ein Züchterrecht zu erteilen, setzt eine Prüfung auf Einhaltung der Schutzvoraussetzungen vor, wie in den Artikeln 5 bis 9 der Akte von 1991 und Artikel 6 der Akte von 1978 dargelegt, d. h. die Voraussetzungen der Neuheit, der Unterscheidbarkeit, der Homogenität und der Beständigkeit (DUS), einer geeigneten Sortenbezeichnung und der anwendbaren Förmlichkeiten.</w:t>
      </w:r>
    </w:p>
    <w:p w:rsidR="005A7D7C" w:rsidRPr="00F01E40" w:rsidRDefault="005A7D7C" w:rsidP="005A7D7C"/>
    <w:p w:rsidR="005A7D7C" w:rsidRPr="00F01E40" w:rsidRDefault="005A7D7C" w:rsidP="005A7D7C">
      <w:pPr>
        <w:ind w:left="1418" w:right="1418"/>
        <w:rPr>
          <w:rFonts w:cs="Arial"/>
        </w:rPr>
      </w:pPr>
      <w:r w:rsidRPr="00F01E40">
        <w:t>„</w:t>
      </w:r>
      <w:r w:rsidRPr="00F01E40">
        <w:rPr>
          <w:b/>
        </w:rPr>
        <w:t>Artikel 12</w:t>
      </w:r>
      <w:r w:rsidRPr="00F01E40">
        <w:rPr>
          <w:rFonts w:cs="Arial"/>
          <w:b/>
        </w:rPr>
        <w:t xml:space="preserve"> </w:t>
      </w:r>
      <w:r w:rsidRPr="00F01E40">
        <w:rPr>
          <w:b/>
        </w:rPr>
        <w:t>Prüfung des Antrags</w:t>
      </w:r>
      <w:r w:rsidRPr="00F01E40">
        <w:rPr>
          <w:rFonts w:cs="Arial"/>
          <w:b/>
        </w:rPr>
        <w:t xml:space="preserve"> </w:t>
      </w:r>
      <w:r w:rsidRPr="00F01E40">
        <w:t>Die Entscheidung, ein Züchterrecht zu erteilen, bedarf einer Prüfung auf das Vorliegen der Voraussetzungen nach den Artikeln 5 bis 9. Bei der Prüfung kann die Behörde die Sorte anbauen oder die sonstigen erforderlichen Untersuchungen anstellen, den Anbau oder die Untersuchungen durchführen lassen oder Ergebnisse bereits durchgeführter Anbauprüfungen oder sonstiger Untersuchungen berücksichtigen. Für die Prüfung kann die Behörde von dem Züchter alle erforderlichen Auskünfte und Unterlagen sowie das erforderliche Material verlangen.“</w:t>
      </w:r>
    </w:p>
    <w:p w:rsidR="005A7D7C" w:rsidRPr="00F01E40" w:rsidRDefault="005A7D7C" w:rsidP="005A7D7C">
      <w:pPr>
        <w:tabs>
          <w:tab w:val="left" w:pos="7371"/>
        </w:tabs>
        <w:ind w:left="1701" w:right="1702"/>
        <w:rPr>
          <w:rFonts w:cs="Arial"/>
        </w:rPr>
      </w:pPr>
    </w:p>
    <w:p w:rsidR="005A7D7C" w:rsidRPr="00F01E40" w:rsidRDefault="005A7D7C" w:rsidP="005A7D7C">
      <w:pPr>
        <w:autoSpaceDE w:val="0"/>
        <w:autoSpaceDN w:val="0"/>
        <w:adjustRightInd w:val="0"/>
      </w:pPr>
      <w:r w:rsidRPr="00F01E40">
        <w:t>Die Züchterrechtsämter müssen angemessene Schritte unternehmen, um die berechtigten Interessen des Züchters bezüglich der Unterlagen, Auskünfte und des Materials, die als Teil des Antrags eingereicht werden, zu wahren.</w:t>
      </w:r>
    </w:p>
    <w:p w:rsidR="005A7D7C" w:rsidRPr="00F01E40" w:rsidRDefault="005A7D7C" w:rsidP="005A7D7C">
      <w:pPr>
        <w:autoSpaceDE w:val="0"/>
        <w:autoSpaceDN w:val="0"/>
        <w:adjustRightInd w:val="0"/>
      </w:pPr>
    </w:p>
    <w:p w:rsidR="005A7D7C" w:rsidRPr="00F01E40" w:rsidRDefault="005A7D7C" w:rsidP="005A7D7C">
      <w:pPr>
        <w:rPr>
          <w:rFonts w:cs="Arial"/>
        </w:rPr>
      </w:pPr>
      <w:r w:rsidRPr="00F01E40">
        <w:t xml:space="preserve">Die UPOV entwickelte die „UPOV-Sammlung“ von Anleitungen und Informationsmaterial betreffend </w:t>
      </w:r>
      <w:r w:rsidRPr="00F01E40">
        <w:rPr>
          <w:rFonts w:cs="Arial"/>
        </w:rPr>
        <w:t>den Sortenschutz nach dem UPOV-Übereinkommen, auf denen dieser Fernlehrgang beruht. Es ist jedoch daran zu erinnern, daß d</w:t>
      </w:r>
      <w:r w:rsidRPr="00F01E40">
        <w:rPr>
          <w:rStyle w:val="f21"/>
          <w:rFonts w:cs="Arial"/>
        </w:rPr>
        <w:t>ie einzigen verbindlichen Verpflichtungen für die Verbandsmitglieder diejenigen sind, die im Wortlaut des UPOV-Übereinkommens selbst enthalten sind</w:t>
      </w:r>
      <w:r w:rsidRPr="00F01E40">
        <w:rPr>
          <w:rFonts w:cs="Arial"/>
        </w:rPr>
        <w:t xml:space="preserve">, </w:t>
      </w:r>
      <w:r w:rsidRPr="00F01E40">
        <w:rPr>
          <w:rStyle w:val="f21"/>
          <w:rFonts w:cs="Arial"/>
        </w:rPr>
        <w:t>und das Material darf nicht in einer Weise ausgelegt werden, die in Widerspruch zu der für das jeweilige Verbandsmitglied geltenden Akte steht.</w:t>
      </w:r>
    </w:p>
    <w:p w:rsidR="005A7D7C" w:rsidRPr="00F01E40" w:rsidRDefault="005A7D7C" w:rsidP="005A7D7C">
      <w:pPr>
        <w:rPr>
          <w:rFonts w:cs="Arial"/>
        </w:rPr>
      </w:pPr>
    </w:p>
    <w:p w:rsidR="005A7D7C" w:rsidRPr="00F01E40" w:rsidRDefault="005A7D7C" w:rsidP="005A7D7C">
      <w:pPr>
        <w:rPr>
          <w:rFonts w:cs="Arial"/>
        </w:rPr>
      </w:pPr>
    </w:p>
    <w:p w:rsidR="005A7D7C" w:rsidRPr="00F01E40" w:rsidRDefault="005A7D7C" w:rsidP="005A7D7C">
      <w:r w:rsidRPr="00F01E40">
        <w:t xml:space="preserve">Eine aktuelle Liste des Inhalts und des Standes des Materials in der UPOV-Sammlung ist in dem auf der UPOV-Website veröffentlichten </w:t>
      </w:r>
      <w:hyperlink r:id="rId15" w:anchor="toc" w:history="1">
        <w:r w:rsidRPr="00F01E40">
          <w:rPr>
            <w:color w:val="0000FF"/>
            <w:u w:val="single"/>
          </w:rPr>
          <w:t>Inhaltsverzeichnis</w:t>
        </w:r>
      </w:hyperlink>
      <w:r w:rsidRPr="00F01E40">
        <w:t xml:space="preserve"> wiedergegeben und nachstehend veranschaulicht</w:t>
      </w:r>
      <w:r w:rsidRPr="00F01E40">
        <w:rPr>
          <w:vertAlign w:val="superscript"/>
        </w:rPr>
        <w:footnoteReference w:id="2"/>
      </w:r>
      <w:r w:rsidRPr="00F01E40">
        <w:t xml:space="preserve">. Alle bezeichneten Personen in den UPOV-Organen erhalten bei jeder Aktualisierung der UPOV-Sammlung eine elektronische Mitteilung. Andere Benutzer können sich </w:t>
      </w:r>
      <w:hyperlink r:id="rId16" w:history="1">
        <w:r w:rsidRPr="00F01E40">
          <w:rPr>
            <w:color w:val="0000FF"/>
            <w:u w:val="single"/>
          </w:rPr>
          <w:t>anmelden</w:t>
        </w:r>
      </w:hyperlink>
      <w:r w:rsidRPr="00F01E40">
        <w:rPr>
          <w:color w:val="0000FF"/>
          <w:u w:val="single"/>
        </w:rPr>
        <w:t>,</w:t>
      </w:r>
      <w:r w:rsidRPr="00F01E40">
        <w:t xml:space="preserve"> um bei jeder Aktualisierung der UPOV-Sammlung eine elektronische Mitteilung zu erhalten.</w:t>
      </w:r>
    </w:p>
    <w:p w:rsidR="005A7D7C" w:rsidRPr="00F01E40" w:rsidRDefault="005A7D7C" w:rsidP="005A7D7C"/>
    <w:p w:rsidR="005A7D7C" w:rsidRPr="00F01E40" w:rsidRDefault="005A7D7C" w:rsidP="005A7D7C">
      <w:pPr>
        <w:keepNext/>
        <w:rPr>
          <w:u w:val="single"/>
        </w:rPr>
      </w:pPr>
      <w:r w:rsidRPr="00F01E40">
        <w:rPr>
          <w:u w:val="single"/>
        </w:rPr>
        <w:lastRenderedPageBreak/>
        <w:t>Inhaltsverzeichnis</w:t>
      </w:r>
    </w:p>
    <w:p w:rsidR="005A7D7C" w:rsidRPr="00F01E40" w:rsidRDefault="005A7D7C" w:rsidP="005A7D7C">
      <w:pPr>
        <w:keepNext/>
        <w:ind w:left="1170" w:hanging="603"/>
      </w:pPr>
    </w:p>
    <w:p w:rsidR="005A7D7C" w:rsidRPr="00F01E40" w:rsidRDefault="005A7D7C" w:rsidP="005A7D7C">
      <w:pPr>
        <w:keepNext/>
        <w:ind w:left="1170" w:hanging="603"/>
      </w:pPr>
      <w:r w:rsidRPr="00F01E40">
        <w:t>a)</w:t>
      </w:r>
      <w:r w:rsidRPr="00F01E40">
        <w:tab/>
        <w:t>UPOV-Übereinkommen</w:t>
      </w:r>
    </w:p>
    <w:p w:rsidR="005A7D7C" w:rsidRPr="00F01E40" w:rsidRDefault="005A7D7C" w:rsidP="005A7D7C">
      <w:pPr>
        <w:keepNext/>
        <w:ind w:left="1170" w:hanging="603"/>
      </w:pPr>
      <w:r w:rsidRPr="00F01E40">
        <w:t>b)</w:t>
      </w:r>
      <w:r w:rsidRPr="00F01E40">
        <w:tab/>
        <w:t>UPOV/INF-Dokumentenserie</w:t>
      </w:r>
    </w:p>
    <w:p w:rsidR="005A7D7C" w:rsidRPr="00F01E40" w:rsidRDefault="005A7D7C" w:rsidP="005A7D7C">
      <w:pPr>
        <w:keepNext/>
        <w:ind w:left="1170" w:hanging="603"/>
      </w:pPr>
      <w:r w:rsidRPr="00F01E40">
        <w:t>c)</w:t>
      </w:r>
      <w:r w:rsidRPr="00F01E40">
        <w:tab/>
        <w:t>Erläuterungen zum UPOV-Übereinkommen</w:t>
      </w:r>
    </w:p>
    <w:p w:rsidR="005A7D7C" w:rsidRPr="00F01E40" w:rsidRDefault="005A7D7C" w:rsidP="005A7D7C">
      <w:pPr>
        <w:ind w:left="1170" w:hanging="603"/>
      </w:pPr>
      <w:r w:rsidRPr="00F01E40">
        <w:t>d)</w:t>
      </w:r>
      <w:r w:rsidRPr="00F01E40">
        <w:tab/>
        <w:t>Allgemeine Einführung zur Prüfung auf Unterscheidbarkeit, Homogenität und Beständigkeit und zur Erarbeitung harmonisierter Beschreibungen von neuen Pflanzensorten</w:t>
      </w:r>
    </w:p>
    <w:p w:rsidR="005A7D7C" w:rsidRPr="00F01E40" w:rsidRDefault="005A7D7C" w:rsidP="005A7D7C">
      <w:pPr>
        <w:ind w:left="1170" w:hanging="603"/>
      </w:pPr>
      <w:r w:rsidRPr="00F01E40">
        <w:t>e)</w:t>
      </w:r>
      <w:r w:rsidRPr="00F01E40">
        <w:tab/>
        <w:t>TGP-Dokumente</w:t>
      </w:r>
    </w:p>
    <w:p w:rsidR="005A7D7C" w:rsidRPr="00F01E40" w:rsidRDefault="005A7D7C" w:rsidP="005A7D7C">
      <w:pPr>
        <w:ind w:left="1170" w:hanging="603"/>
      </w:pPr>
      <w:r w:rsidRPr="00F01E40">
        <w:t>f)</w:t>
      </w:r>
      <w:r w:rsidRPr="00F01E40">
        <w:tab/>
        <w:t>Prüfungsrichtlinien</w:t>
      </w:r>
    </w:p>
    <w:p w:rsidR="005A7D7C" w:rsidRPr="00F01E40" w:rsidRDefault="005A7D7C" w:rsidP="005A7D7C">
      <w:pPr>
        <w:ind w:left="1170" w:hanging="603"/>
      </w:pPr>
      <w:r w:rsidRPr="00F01E40">
        <w:t>g)</w:t>
      </w:r>
      <w:r w:rsidRPr="00F01E40">
        <w:tab/>
        <w:t>UPOV-Sammlung der Gesetze und Verträge (UPOV Lex)</w:t>
      </w:r>
    </w:p>
    <w:p w:rsidR="005A7D7C" w:rsidRPr="00F01E40" w:rsidRDefault="005A7D7C" w:rsidP="005A7D7C">
      <w:pPr>
        <w:ind w:left="1170" w:hanging="603"/>
      </w:pPr>
      <w:r w:rsidRPr="00F01E40">
        <w:t>h)</w:t>
      </w:r>
      <w:r w:rsidRPr="00F01E40">
        <w:tab/>
        <w:t>Liste der UPOV-Mitglieder</w:t>
      </w:r>
    </w:p>
    <w:p w:rsidR="005A7D7C" w:rsidRPr="00F01E40" w:rsidRDefault="005A7D7C" w:rsidP="005A7D7C">
      <w:pPr>
        <w:ind w:left="1170" w:hanging="603"/>
      </w:pPr>
      <w:r w:rsidRPr="00F01E40">
        <w:t>i)</w:t>
      </w:r>
      <w:r w:rsidRPr="00F01E40">
        <w:tab/>
        <w:t>Anschriften der Sortenschutzämter</w:t>
      </w:r>
    </w:p>
    <w:p w:rsidR="005A7D7C" w:rsidRPr="00F01E40" w:rsidRDefault="005A7D7C" w:rsidP="005A7D7C">
      <w:pPr>
        <w:ind w:left="1170" w:hanging="603"/>
      </w:pPr>
      <w:r w:rsidRPr="00F01E40">
        <w:t>j)</w:t>
      </w:r>
      <w:r w:rsidRPr="00F01E40">
        <w:tab/>
        <w:t>UPOV-Organigramm</w:t>
      </w:r>
    </w:p>
    <w:p w:rsidR="005A7D7C" w:rsidRPr="00F01E40" w:rsidRDefault="005A7D7C" w:rsidP="005A7D7C">
      <w:pPr>
        <w:ind w:left="1170" w:hanging="603"/>
      </w:pPr>
      <w:r w:rsidRPr="00F01E40">
        <w:t>k)</w:t>
      </w:r>
      <w:r w:rsidRPr="00F01E40">
        <w:tab/>
        <w:t>Datenbanken und Informationen</w:t>
      </w:r>
    </w:p>
    <w:p w:rsidR="005A7D7C" w:rsidRPr="00F01E40" w:rsidRDefault="005A7D7C" w:rsidP="005A7D7C">
      <w:pPr>
        <w:numPr>
          <w:ilvl w:val="0"/>
          <w:numId w:val="6"/>
        </w:numPr>
        <w:contextualSpacing/>
      </w:pPr>
      <w:r w:rsidRPr="00F01E40">
        <w:t>Liste der in den Verbandsmitgliedern schutzfähigen Taxa</w:t>
      </w:r>
    </w:p>
    <w:p w:rsidR="005A7D7C" w:rsidRPr="00F01E40" w:rsidRDefault="005A7D7C" w:rsidP="005A7D7C">
      <w:pPr>
        <w:numPr>
          <w:ilvl w:val="0"/>
          <w:numId w:val="6"/>
        </w:numPr>
        <w:contextualSpacing/>
      </w:pPr>
      <w:r w:rsidRPr="00F01E40">
        <w:t>Zusammenarbeit bei der Prüfung</w:t>
      </w:r>
    </w:p>
    <w:p w:rsidR="005A7D7C" w:rsidRPr="00F01E40" w:rsidRDefault="005A7D7C" w:rsidP="005A7D7C">
      <w:pPr>
        <w:numPr>
          <w:ilvl w:val="0"/>
          <w:numId w:val="6"/>
        </w:numPr>
        <w:contextualSpacing/>
      </w:pPr>
      <w:r w:rsidRPr="00F01E40">
        <w:t>Liste der Gattungen und Arten, für die die Behörden über praktische Erfahrung bei der Prüfung der Unterscheidbarkeit, der Homogenität und der Beständigkeit verfügen</w:t>
      </w:r>
    </w:p>
    <w:p w:rsidR="005A7D7C" w:rsidRPr="00F01E40" w:rsidRDefault="005A7D7C" w:rsidP="005A7D7C">
      <w:pPr>
        <w:ind w:left="567"/>
      </w:pPr>
      <w:r>
        <w:t>l)</w:t>
      </w:r>
      <w:r>
        <w:tab/>
      </w:r>
      <w:r w:rsidRPr="00F01E40">
        <w:t>Datenbank für Pflanzensorten</w:t>
      </w:r>
    </w:p>
    <w:p w:rsidR="005A7D7C" w:rsidRPr="00F01E40" w:rsidRDefault="005A7D7C" w:rsidP="005A7D7C">
      <w:pPr>
        <w:ind w:left="567"/>
      </w:pPr>
      <w:r>
        <w:t>m)</w:t>
      </w:r>
      <w:r>
        <w:tab/>
      </w:r>
      <w:r w:rsidRPr="00F01E40">
        <w:t>GENIE-Datenbank</w:t>
      </w:r>
      <w:r w:rsidRPr="00F01E40">
        <w:cr/>
      </w:r>
    </w:p>
    <w:p w:rsidR="005A7D7C" w:rsidRPr="00F01E40" w:rsidRDefault="005A7D7C" w:rsidP="005A7D7C">
      <w:r w:rsidRPr="00F01E40">
        <w:t>Während des gesamten Lehrgangs DL-305 werden für diejenigen Studierenden, die weitere Informationen über einschlägige Themen wünschen, Verweise auf das Material in der UPOV</w:t>
      </w:r>
      <w:r w:rsidRPr="00F01E40">
        <w:noBreakHyphen/>
        <w:t>Sammlung angegeben.</w:t>
      </w:r>
    </w:p>
    <w:p w:rsidR="005A7D7C" w:rsidRPr="00F01E40" w:rsidRDefault="005A7D7C">
      <w:pPr>
        <w:rPr>
          <w:b/>
          <w:bCs/>
          <w:kern w:val="36"/>
          <w:lang w:eastAsia="nl-NL"/>
        </w:rPr>
      </w:pPr>
    </w:p>
    <w:p w:rsidR="005A7D7C" w:rsidRPr="00F01E40" w:rsidRDefault="005A7D7C" w:rsidP="005A7D7C"/>
    <w:p w:rsidR="005A7D7C" w:rsidRPr="00F01E40" w:rsidRDefault="005A7D7C" w:rsidP="005A7D7C">
      <w:pPr>
        <w:pStyle w:val="Heading1"/>
      </w:pPr>
      <w:bookmarkStart w:id="75" w:name="_Toc379270997"/>
      <w:bookmarkStart w:id="76" w:name="_Toc381436196"/>
      <w:bookmarkStart w:id="77" w:name="_Toc381447290"/>
      <w:bookmarkStart w:id="78" w:name="_Toc381598691"/>
      <w:bookmarkStart w:id="79" w:name="_Toc382491245"/>
      <w:bookmarkStart w:id="80" w:name="_Toc382820481"/>
      <w:r w:rsidRPr="00F01E40">
        <w:t>ERRICHTuNg EINES ZÜCHTERRECHTSAMTES</w:t>
      </w:r>
      <w:bookmarkEnd w:id="75"/>
      <w:bookmarkEnd w:id="76"/>
      <w:bookmarkEnd w:id="77"/>
      <w:bookmarkEnd w:id="78"/>
      <w:bookmarkEnd w:id="79"/>
      <w:bookmarkEnd w:id="80"/>
    </w:p>
    <w:p w:rsidR="005A7D7C" w:rsidRPr="00F01E40" w:rsidRDefault="005A7D7C" w:rsidP="005A7D7C"/>
    <w:p w:rsidR="005A7D7C" w:rsidRPr="00F01E40" w:rsidRDefault="005A7D7C" w:rsidP="005A7D7C">
      <w:r w:rsidRPr="00F01E40">
        <w:t>Das Züchterrechtsamt wird häufig unter dem für Landwirtschaft oder für geistiges Eigentum zuständigen Ministerium errichtet. Landwirtschaftsministerien verfügen in der Regel über Erfahrung mit sortenbezogenen Systemen, wie Saatgutzertifizierung und Nationalen Sortenlisten. Das Züchterrechtsamt kann jedoch beispielsweise unter einem Ministerium errichtet werden, das für geistiges Eigentum zuständig ist.</w:t>
      </w:r>
    </w:p>
    <w:p w:rsidR="005A7D7C" w:rsidRPr="00F01E40" w:rsidRDefault="005A7D7C" w:rsidP="005A7D7C"/>
    <w:p w:rsidR="005A7D7C" w:rsidRPr="00F01E40" w:rsidRDefault="005A7D7C" w:rsidP="005A7D7C">
      <w:r w:rsidRPr="00F01E40">
        <w:t>Ein UPOV-Mitglied kann sich auch dafür entscheiden, ein von einem anderen UPOV-Mitglied, beispielsweise einer regionalen oder supranationalen zwischenstaatlichen Organisation, unterhaltenes Züchterrechtsamt mit der Aufgabe der Erteilung von Züchterrechten zu betrauen.</w:t>
      </w:r>
    </w:p>
    <w:p w:rsidR="005A7D7C" w:rsidRPr="00F01E40" w:rsidRDefault="005A7D7C" w:rsidP="005A7D7C"/>
    <w:p w:rsidR="005A7D7C" w:rsidRDefault="005A7D7C" w:rsidP="005A7D7C"/>
    <w:p w:rsidR="00AC61E0" w:rsidRPr="00F01E40" w:rsidRDefault="00AC61E0" w:rsidP="005A7D7C"/>
    <w:p w:rsidR="005A7D7C" w:rsidRPr="00F01E40" w:rsidRDefault="005A7D7C" w:rsidP="005A7D7C">
      <w:pPr>
        <w:pStyle w:val="Heading1"/>
      </w:pPr>
      <w:bookmarkStart w:id="81" w:name="_Toc379270998"/>
      <w:bookmarkStart w:id="82" w:name="_Toc381436197"/>
      <w:bookmarkStart w:id="83" w:name="_Toc381447291"/>
      <w:bookmarkStart w:id="84" w:name="_Toc381598692"/>
      <w:bookmarkStart w:id="85" w:name="_Toc382491246"/>
      <w:bookmarkStart w:id="86" w:name="_Toc382820482"/>
      <w:r w:rsidRPr="00F01E40">
        <w:t>FunKTionEN Und AUFBAU EINES ZÜCHTERRECHTSAMTES</w:t>
      </w:r>
      <w:bookmarkEnd w:id="81"/>
      <w:bookmarkEnd w:id="82"/>
      <w:bookmarkEnd w:id="83"/>
      <w:bookmarkEnd w:id="84"/>
      <w:bookmarkEnd w:id="85"/>
      <w:bookmarkEnd w:id="86"/>
    </w:p>
    <w:p w:rsidR="005A7D7C" w:rsidRPr="00F01E40" w:rsidRDefault="005A7D7C" w:rsidP="005A7D7C"/>
    <w:p w:rsidR="005A7D7C" w:rsidRPr="00F01E40" w:rsidRDefault="005A7D7C" w:rsidP="005A7D7C">
      <w:r w:rsidRPr="00F01E40">
        <w:t>Das UPOV-Übereinkommen bestimmt die Tätigkeiten, die vom Züchterrechtsamt zu unternehmen sind, legt jedoch nicht ein bestimmtes Modell fest. Deshalb können die UPOV-Mitglieder das Züchterrechtsamt in Einklang mit ihrer eigenen Situation organisieren.</w:t>
      </w:r>
    </w:p>
    <w:p w:rsidR="005A7D7C" w:rsidRPr="00F01E40" w:rsidRDefault="005A7D7C" w:rsidP="005A7D7C"/>
    <w:p w:rsidR="005A7D7C" w:rsidRPr="00F01E40" w:rsidRDefault="005A7D7C" w:rsidP="005A7D7C">
      <w:pPr>
        <w:keepNext/>
      </w:pPr>
      <w:r w:rsidRPr="00F01E40">
        <w:t>Folgendes Ablaufdiagramm veranschaulicht den grundlegenden Aufgabenablauf in einem typischen Züchterrechtsamt</w:t>
      </w:r>
      <w:r w:rsidRPr="00290BF4">
        <w:t>. Modul 2: „Verwaltung der Anträge“</w:t>
      </w:r>
      <w:r w:rsidRPr="00F01E40">
        <w:t xml:space="preserve"> erteilt weitere Informationen über die im Ablaufdiagramm aufgeführten Aufgaben.</w:t>
      </w:r>
    </w:p>
    <w:p w:rsidR="005A7D7C" w:rsidRPr="00F01E40" w:rsidRDefault="005A7D7C" w:rsidP="005A7D7C"/>
    <w:p w:rsidR="005A7D7C" w:rsidRPr="00F01E40" w:rsidRDefault="005A7D7C" w:rsidP="005A7D7C">
      <w:pPr>
        <w:keepNext/>
      </w:pPr>
      <w:r w:rsidRPr="00F01E40">
        <w:lastRenderedPageBreak/>
        <w:t>Ablaufdiagramm 1</w:t>
      </w:r>
      <w:r w:rsidRPr="00F01E40">
        <w:rPr>
          <w:vertAlign w:val="superscript"/>
        </w:rPr>
        <w:footnoteReference w:id="3"/>
      </w:r>
      <w:r w:rsidRPr="00F01E40">
        <w:t>: Grundlegende Aufgaben des Züchterrechtsamtes</w:t>
      </w:r>
    </w:p>
    <w:p w:rsidR="005A7D7C" w:rsidRPr="00F01E40" w:rsidRDefault="005A7D7C" w:rsidP="005A7D7C">
      <w:pPr>
        <w:keepNext/>
      </w:pPr>
    </w:p>
    <w:p w:rsidR="005A7D7C" w:rsidRPr="00F01E40" w:rsidRDefault="005A7D7C" w:rsidP="005A7D7C">
      <w:r>
        <w:rPr>
          <w:noProof/>
          <w:sz w:val="16"/>
          <w:szCs w:val="16"/>
          <w:lang w:val="en-US" w:eastAsia="en-US" w:bidi="ar-SA"/>
        </w:rPr>
        <w:drawing>
          <wp:inline distT="0" distB="0" distL="0" distR="0" wp14:anchorId="3FC71E4C" wp14:editId="54E230EF">
            <wp:extent cx="5761355" cy="54457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ule_1_flow_chart_17_01_2014_DE_xxx.jpg"/>
                    <pic:cNvPicPr/>
                  </pic:nvPicPr>
                  <pic:blipFill>
                    <a:blip r:embed="rId17">
                      <a:extLst>
                        <a:ext uri="{28A0092B-C50C-407E-A947-70E740481C1C}">
                          <a14:useLocalDpi xmlns:a14="http://schemas.microsoft.com/office/drawing/2010/main" val="0"/>
                        </a:ext>
                      </a:extLst>
                    </a:blip>
                    <a:stretch>
                      <a:fillRect/>
                    </a:stretch>
                  </pic:blipFill>
                  <pic:spPr>
                    <a:xfrm>
                      <a:off x="0" y="0"/>
                      <a:ext cx="5761355" cy="5445760"/>
                    </a:xfrm>
                    <a:prstGeom prst="rect">
                      <a:avLst/>
                    </a:prstGeom>
                  </pic:spPr>
                </pic:pic>
              </a:graphicData>
            </a:graphic>
          </wp:inline>
        </w:drawing>
      </w:r>
    </w:p>
    <w:p w:rsidR="005A7D7C" w:rsidRPr="00F01E40" w:rsidRDefault="005A7D7C" w:rsidP="005A7D7C"/>
    <w:p w:rsidR="005A7D7C" w:rsidRPr="00F01E40" w:rsidRDefault="005A7D7C" w:rsidP="005A7D7C"/>
    <w:p w:rsidR="005A7D7C" w:rsidRPr="00F01E40" w:rsidRDefault="005A7D7C" w:rsidP="005A7D7C"/>
    <w:p w:rsidR="005A7D7C" w:rsidRPr="00F01E40" w:rsidRDefault="005A7D7C" w:rsidP="005A7D7C">
      <w:pPr>
        <w:jc w:val="right"/>
      </w:pPr>
      <w:r w:rsidRPr="00F01E40">
        <w:t>[Ende des Moduls]</w:t>
      </w:r>
    </w:p>
    <w:p w:rsidR="005A7D7C" w:rsidRDefault="005A7D7C">
      <w:pPr>
        <w:jc w:val="left"/>
        <w:rPr>
          <w:sz w:val="16"/>
          <w:szCs w:val="16"/>
        </w:rPr>
      </w:pPr>
    </w:p>
    <w:p w:rsidR="005A7D7C" w:rsidRPr="00F01E40" w:rsidRDefault="005A7D7C" w:rsidP="005A7D7C">
      <w:pPr>
        <w:rPr>
          <w:sz w:val="16"/>
          <w:szCs w:val="16"/>
        </w:rPr>
      </w:pPr>
    </w:p>
    <w:p w:rsidR="00AC61E0" w:rsidRDefault="00AC61E0">
      <w:pPr>
        <w:jc w:val="left"/>
        <w:rPr>
          <w:b/>
        </w:rPr>
      </w:pPr>
      <w:r>
        <w:rPr>
          <w:b/>
        </w:rPr>
        <w:br w:type="page"/>
      </w:r>
    </w:p>
    <w:p w:rsidR="005A7D7C" w:rsidRPr="00AC61E0" w:rsidRDefault="005A7D7C" w:rsidP="005A7D7C">
      <w:pPr>
        <w:rPr>
          <w:b/>
        </w:rPr>
      </w:pPr>
      <w:r w:rsidRPr="00AC61E0">
        <w:rPr>
          <w:b/>
        </w:rPr>
        <w:lastRenderedPageBreak/>
        <w:t>MODUL 2: VERWALTUNG DER ANTRÄGE</w:t>
      </w:r>
    </w:p>
    <w:p w:rsidR="005A7D7C" w:rsidRPr="00AC61E0" w:rsidRDefault="005A7D7C" w:rsidP="005A7D7C"/>
    <w:p w:rsidR="005A7D7C" w:rsidRPr="00983B74" w:rsidRDefault="005A7D7C" w:rsidP="005A7D7C">
      <w:pPr>
        <w:rPr>
          <w:u w:val="single"/>
        </w:rPr>
      </w:pPr>
      <w:r w:rsidRPr="00983B74">
        <w:rPr>
          <w:u w:val="single"/>
        </w:rPr>
        <w:t>Ziel</w:t>
      </w:r>
    </w:p>
    <w:p w:rsidR="005A7D7C" w:rsidRPr="00983B74" w:rsidRDefault="005A7D7C" w:rsidP="005A7D7C"/>
    <w:p w:rsidR="005A7D7C" w:rsidRPr="00983B74" w:rsidRDefault="005A7D7C" w:rsidP="005A7D7C">
      <w:pPr>
        <w:rPr>
          <w:i/>
        </w:rPr>
      </w:pPr>
      <w:r w:rsidRPr="00983B74">
        <w:rPr>
          <w:i/>
        </w:rPr>
        <w:t xml:space="preserve">Ziel dieses Moduls ist es, die grundlegenden Aufgaben des Züchterrechtsamtes bei der Verwaltung von Anträgen auf Erteilung von Züchterrechten zu erläutern. Das Modul erläutert die grundlegenden Aufgaben im Züchterrechtsamt, wie im </w:t>
      </w:r>
      <w:r>
        <w:rPr>
          <w:i/>
        </w:rPr>
        <w:t>Fluß</w:t>
      </w:r>
      <w:r w:rsidRPr="00983B74">
        <w:rPr>
          <w:i/>
        </w:rPr>
        <w:t xml:space="preserve">diagramm in </w:t>
      </w:r>
      <w:r w:rsidRPr="00D47B8C">
        <w:rPr>
          <w:i/>
        </w:rPr>
        <w:t>Modul 1, „Das Züchterrechtsamt“, d</w:t>
      </w:r>
      <w:r w:rsidRPr="00983B74">
        <w:rPr>
          <w:i/>
        </w:rPr>
        <w:t>argestellt.</w:t>
      </w:r>
    </w:p>
    <w:p w:rsidR="005A7D7C" w:rsidRPr="00983B74" w:rsidRDefault="005A7D7C" w:rsidP="005A7D7C"/>
    <w:p w:rsidR="005A7D7C" w:rsidRPr="00983B74" w:rsidRDefault="005A7D7C" w:rsidP="005A7D7C"/>
    <w:p w:rsidR="005A7D7C" w:rsidRPr="00983B74" w:rsidRDefault="005A7D7C" w:rsidP="005A7D7C">
      <w:r w:rsidRPr="00983B74">
        <w:br w:type="page"/>
      </w:r>
    </w:p>
    <w:p w:rsidR="005A7D7C" w:rsidRDefault="005A7D7C" w:rsidP="005A7D7C">
      <w:pPr>
        <w:pStyle w:val="Heading1"/>
      </w:pPr>
      <w:bookmarkStart w:id="87" w:name="_Toc382813436"/>
      <w:bookmarkStart w:id="88" w:name="_Toc382820483"/>
      <w:bookmarkStart w:id="89" w:name="_Toc378597572"/>
      <w:bookmarkStart w:id="90" w:name="_Toc379273711"/>
      <w:bookmarkStart w:id="91" w:name="_Toc381527914"/>
      <w:bookmarkStart w:id="92" w:name="_Toc381538488"/>
      <w:bookmarkStart w:id="93" w:name="_Toc381539703"/>
      <w:bookmarkStart w:id="94" w:name="_Toc381598713"/>
      <w:r w:rsidRPr="00983B74">
        <w:lastRenderedPageBreak/>
        <w:t>ANTRAG AUF ERTEILUNG VON ZÜCHTERRECHTEN</w:t>
      </w:r>
      <w:bookmarkEnd w:id="87"/>
      <w:bookmarkEnd w:id="88"/>
    </w:p>
    <w:p w:rsidR="005A7D7C" w:rsidRPr="00983B74" w:rsidRDefault="005A7D7C" w:rsidP="005A7D7C">
      <w:r w:rsidRPr="00983B74">
        <w:t>(</w:t>
      </w:r>
      <w:r>
        <w:t>vergleiche</w:t>
      </w:r>
      <w:r w:rsidRPr="00983B74">
        <w:t xml:space="preserve"> Hinweis a im </w:t>
      </w:r>
      <w:r>
        <w:t>Fluß</w:t>
      </w:r>
      <w:r w:rsidRPr="00983B74">
        <w:t>diagramm in Modul 1</w:t>
      </w:r>
      <w:bookmarkEnd w:id="89"/>
      <w:bookmarkEnd w:id="90"/>
      <w:bookmarkEnd w:id="91"/>
      <w:bookmarkEnd w:id="92"/>
      <w:r w:rsidRPr="00983B74">
        <w:t>)</w:t>
      </w:r>
      <w:bookmarkEnd w:id="93"/>
      <w:bookmarkEnd w:id="94"/>
    </w:p>
    <w:p w:rsidR="005A7D7C" w:rsidRDefault="005A7D7C" w:rsidP="005A7D7C"/>
    <w:p w:rsidR="005A7D7C" w:rsidRPr="00983B74" w:rsidRDefault="005A7D7C" w:rsidP="005A7D7C"/>
    <w:p w:rsidR="005A7D7C" w:rsidRPr="00983B74" w:rsidRDefault="005A7D7C" w:rsidP="005A7D7C">
      <w:pPr>
        <w:pStyle w:val="Heading2"/>
      </w:pPr>
      <w:bookmarkStart w:id="95" w:name="_Toc379273712"/>
      <w:bookmarkStart w:id="96" w:name="_Toc381527915"/>
      <w:bookmarkStart w:id="97" w:name="_Toc381538489"/>
      <w:bookmarkStart w:id="98" w:name="_Toc381539704"/>
      <w:bookmarkStart w:id="99" w:name="_Toc381598714"/>
      <w:bookmarkStart w:id="100" w:name="_Toc382813437"/>
      <w:bookmarkStart w:id="101" w:name="_Toc382820484"/>
      <w:r w:rsidRPr="00983B74">
        <w:t>Einführung</w:t>
      </w:r>
      <w:bookmarkEnd w:id="95"/>
      <w:bookmarkEnd w:id="96"/>
      <w:bookmarkEnd w:id="97"/>
      <w:bookmarkEnd w:id="98"/>
      <w:bookmarkEnd w:id="99"/>
      <w:bookmarkEnd w:id="100"/>
      <w:bookmarkEnd w:id="101"/>
    </w:p>
    <w:p w:rsidR="005A7D7C" w:rsidRPr="00983B74" w:rsidRDefault="005A7D7C" w:rsidP="005A7D7C"/>
    <w:p w:rsidR="005A7D7C" w:rsidRPr="00983B74" w:rsidRDefault="005A7D7C" w:rsidP="005A7D7C">
      <w:r w:rsidRPr="00983B74">
        <w:t>Bevor das Züchterrechtsamt Anträge auf Erteilung von Züchterrechten entgegennimmt, muß es entsprechende Formblätter ausarbeiten und bereit sein, ein Datum und eine Frist für die Einreichung zuzuweisen.</w:t>
      </w:r>
    </w:p>
    <w:p w:rsidR="005A7D7C" w:rsidRPr="00983B74" w:rsidRDefault="005A7D7C" w:rsidP="005A7D7C"/>
    <w:p w:rsidR="005A7D7C" w:rsidRPr="00983B74" w:rsidRDefault="005A7D7C" w:rsidP="005A7D7C">
      <w:r w:rsidRPr="00983B74">
        <w:t>In einigen UPOV-Mitgliedern lassen die Rechtsvorschriften die Einreichung des Antrags nur in Papierform zu. Andere erlauben die Benutzung elektronischer Antragsformblätter zur Ersetzung oder Ergänzung von Papierexemplaren, was die Nutzung von Datenbanken und das Informationsmanagement erleichtert. Damit die UPOV-Mitglieder Anträge in elektronischem Format entgegennehmen können, benötigen sie möglicherweise ein Zusatzsystem, beispielsweise für die Erkennung digitaler Unterschriften, die elektronische Zahlung und Sicherheitsangelegenheiten.</w:t>
      </w:r>
    </w:p>
    <w:p w:rsidR="005A7D7C" w:rsidRPr="00983B74" w:rsidRDefault="005A7D7C" w:rsidP="005A7D7C"/>
    <w:p w:rsidR="005A7D7C" w:rsidRPr="0087525A" w:rsidRDefault="005A7D7C" w:rsidP="005A7D7C">
      <w:r w:rsidRPr="00983B74">
        <w:t>S</w:t>
      </w:r>
      <w:r w:rsidRPr="0087525A">
        <w:t>chutzanträge müssen vom Züchterrechtsamt verwaltet werden, und ihre Verwaltung kann die Nutzung spezifischer Anwendungssoftware bedingen. Die gemeinsame Nutzung von Anwendungssoftware durch UPOV</w:t>
      </w:r>
      <w:r w:rsidRPr="0087525A">
        <w:noBreakHyphen/>
        <w:t xml:space="preserve">Mitglieder stellt ein wichtiges Mittel zur Unterstützung der Verwaltung von Anträgen und zur Sortenprüfung bereit. Informationen über die gemeinsame Nutzung von Software durch UPOV-Mitglieder sind in Dokument UPOV/INF/16, „Austauschbare Software“, enthalten (verfügbar unter </w:t>
      </w:r>
      <w:hyperlink r:id="rId18" w:history="1">
        <w:r w:rsidRPr="0087525A">
          <w:rPr>
            <w:rStyle w:val="Hyperlink"/>
          </w:rPr>
          <w:t>http://www.upov.int/information_documents/de/</w:t>
        </w:r>
      </w:hyperlink>
      <w:r w:rsidRPr="0087525A">
        <w:t>).</w:t>
      </w:r>
    </w:p>
    <w:p w:rsidR="005A7D7C" w:rsidRPr="0087525A" w:rsidRDefault="005A7D7C" w:rsidP="005A7D7C"/>
    <w:p w:rsidR="005A7D7C" w:rsidRPr="0087525A" w:rsidRDefault="005A7D7C" w:rsidP="005A7D7C"/>
    <w:p w:rsidR="005A7D7C" w:rsidRPr="0087525A" w:rsidRDefault="005A7D7C" w:rsidP="005A7D7C">
      <w:pPr>
        <w:pStyle w:val="Heading2"/>
      </w:pPr>
      <w:bookmarkStart w:id="102" w:name="_Toc378597573"/>
      <w:bookmarkStart w:id="103" w:name="_Toc379273713"/>
      <w:bookmarkStart w:id="104" w:name="_Toc381527916"/>
      <w:bookmarkStart w:id="105" w:name="_Toc381538490"/>
      <w:bookmarkStart w:id="106" w:name="_Toc381539705"/>
      <w:bookmarkStart w:id="107" w:name="_Toc381598715"/>
      <w:bookmarkStart w:id="108" w:name="_Toc382813438"/>
      <w:bookmarkStart w:id="109" w:name="_Toc382820485"/>
      <w:r w:rsidRPr="0087525A">
        <w:t>Erarbeitung von Formblättern</w:t>
      </w:r>
      <w:bookmarkEnd w:id="102"/>
      <w:bookmarkEnd w:id="103"/>
      <w:bookmarkEnd w:id="104"/>
      <w:bookmarkEnd w:id="105"/>
      <w:bookmarkEnd w:id="106"/>
      <w:bookmarkEnd w:id="107"/>
      <w:bookmarkEnd w:id="108"/>
      <w:bookmarkEnd w:id="109"/>
    </w:p>
    <w:p w:rsidR="005A7D7C" w:rsidRPr="0087525A" w:rsidRDefault="005A7D7C" w:rsidP="005A7D7C">
      <w:pPr>
        <w:rPr>
          <w:b/>
        </w:rPr>
      </w:pPr>
    </w:p>
    <w:p w:rsidR="005A7D7C" w:rsidRPr="0087525A" w:rsidRDefault="005A7D7C" w:rsidP="005A7D7C">
      <w:r w:rsidRPr="0087525A">
        <w:t>Um die Umsetzung der Verfahren für die Einreichung von Sortenschutzanträgen zu erleichtern, arbeitete die UPOV Musterformblätter aus, die von den einzelnen Züchterrechtsämtern in ihrem jeweiligen nationalen oder regionalen Kontext benutzt werden können.</w:t>
      </w:r>
    </w:p>
    <w:p w:rsidR="005A7D7C" w:rsidRPr="0087525A" w:rsidRDefault="005A7D7C" w:rsidP="005A7D7C">
      <w:pPr>
        <w:spacing w:line="360" w:lineRule="auto"/>
      </w:pPr>
    </w:p>
    <w:p w:rsidR="005A7D7C" w:rsidRPr="0087525A" w:rsidRDefault="005A7D7C" w:rsidP="005A7D7C">
      <w:pPr>
        <w:pStyle w:val="Heading3"/>
      </w:pPr>
      <w:bookmarkStart w:id="110" w:name="_Toc378597574"/>
      <w:bookmarkStart w:id="111" w:name="_Toc379273714"/>
      <w:bookmarkStart w:id="112" w:name="_Toc381527917"/>
      <w:bookmarkStart w:id="113" w:name="_Toc381538491"/>
      <w:bookmarkStart w:id="114" w:name="_Toc381539706"/>
      <w:bookmarkStart w:id="115" w:name="_Toc381598716"/>
      <w:bookmarkStart w:id="116" w:name="_Toc382813439"/>
      <w:bookmarkStart w:id="117" w:name="_Toc382820486"/>
      <w:r w:rsidRPr="0087525A">
        <w:t>UPOV-Musterantragsformblatt</w:t>
      </w:r>
      <w:bookmarkEnd w:id="110"/>
      <w:bookmarkEnd w:id="111"/>
      <w:bookmarkEnd w:id="112"/>
      <w:bookmarkEnd w:id="113"/>
      <w:bookmarkEnd w:id="114"/>
      <w:bookmarkEnd w:id="115"/>
      <w:bookmarkEnd w:id="116"/>
      <w:bookmarkEnd w:id="117"/>
    </w:p>
    <w:p w:rsidR="005A7D7C" w:rsidRPr="0087525A" w:rsidRDefault="005A7D7C" w:rsidP="005A7D7C">
      <w:pPr>
        <w:rPr>
          <w:u w:val="single"/>
        </w:rPr>
      </w:pPr>
    </w:p>
    <w:p w:rsidR="005A7D7C" w:rsidRPr="0087525A" w:rsidRDefault="005A7D7C" w:rsidP="005A7D7C">
      <w:r w:rsidRPr="0087525A">
        <w:t>Dokument TGP/5, „Erfahrung und Zusammenarbeit bei der DUS-Prüfung“, enthält das „UPOV-Musterformblatt für die Anmeldung einer Sorte zur Erteilung des Sortenschutzes“ (</w:t>
      </w:r>
      <w:hyperlink r:id="rId19" w:history="1">
        <w:r w:rsidRPr="0087525A">
          <w:rPr>
            <w:rFonts w:cs="Arial"/>
          </w:rPr>
          <w:t>TGP/5, Abschnitt 2</w:t>
        </w:r>
      </w:hyperlink>
      <w:r w:rsidRPr="0087525A">
        <w:t>). Das UPOV</w:t>
      </w:r>
      <w:r w:rsidRPr="0087525A">
        <w:noBreakHyphen/>
        <w:t xml:space="preserve">Musterformblatt weist den im Auszug auf der folgenden Seite wiedergegebenen Aufbau auf (verfügbar unter: </w:t>
      </w:r>
      <w:hyperlink r:id="rId20" w:history="1">
        <w:r w:rsidRPr="0087525A">
          <w:rPr>
            <w:rStyle w:val="Hyperlink"/>
          </w:rPr>
          <w:t>http://www.upov.int/tgp/de/</w:t>
        </w:r>
      </w:hyperlink>
      <w:r w:rsidRPr="0087525A">
        <w:t>).</w:t>
      </w:r>
    </w:p>
    <w:p w:rsidR="005A7D7C" w:rsidRPr="0087525A" w:rsidRDefault="005A7D7C" w:rsidP="005A7D7C"/>
    <w:p w:rsidR="005A7D7C" w:rsidRPr="0087525A" w:rsidRDefault="005A7D7C" w:rsidP="005A7D7C">
      <w:pPr>
        <w:autoSpaceDE w:val="0"/>
        <w:autoSpaceDN w:val="0"/>
        <w:adjustRightInd w:val="0"/>
      </w:pPr>
      <w:r w:rsidRPr="0087525A">
        <w:t>Bei der Umwandlung des UPOV-Musterformblatts in das Formblatt eines Züchterrechtsamtes und der Ausarbeitung von Erläuterungen für das Ausfüllen dieses Formblattes sind Inhalt und Terminologie des geltenden Rechts des UPOV-Mitglieds zu berücksichtigen. Um sicherzustellen, daß das UPOV-Musterformblatt seinen Zweck erfüllt, ist es wichtig, den allgemeinen Aufbau, den Inhalt und die Numerierung der einzelnen Teile in den Formblättern des Züchterrechtsamtes beizubehalten.</w:t>
      </w:r>
    </w:p>
    <w:p w:rsidR="005A7D7C" w:rsidRPr="0087525A" w:rsidRDefault="005A7D7C" w:rsidP="005A7D7C">
      <w:pPr>
        <w:autoSpaceDE w:val="0"/>
        <w:autoSpaceDN w:val="0"/>
        <w:adjustRightInd w:val="0"/>
      </w:pPr>
    </w:p>
    <w:p w:rsidR="005A7D7C" w:rsidRPr="0087525A" w:rsidRDefault="005A7D7C" w:rsidP="005A7D7C">
      <w:pPr>
        <w:autoSpaceDE w:val="0"/>
        <w:autoSpaceDN w:val="0"/>
        <w:adjustRightInd w:val="0"/>
      </w:pPr>
      <w:r w:rsidRPr="0087525A">
        <w:t>Für jedes Feld im UPOV-Musterformblatt wurde ein UPOV-Standardverweis angegeben, beispielsweise für Punkt 1.(a), „Name des(r) Anmelder(s)“ lautet der UPOV-Standardverweis „UPOV A1: 1(a)(i)“. Zur Erleichterung der Harmonisierung und zur Unterstützung der Anmelder kann ein Züchterrechtsamt diesen UPOV</w:t>
      </w:r>
      <w:r w:rsidRPr="0087525A">
        <w:noBreakHyphen/>
        <w:t>Standardverweis in das entsprechende Feld seines eigenen Formblatts einfügen. Es ist Sache jedes Züchterrechtsamtes zu entscheiden, ob das Feld in seinem eigenen Formblatt dem Feld im UPOV</w:t>
      </w:r>
      <w:r w:rsidRPr="0087525A">
        <w:noBreakHyphen/>
        <w:t>Musterantragsformblatt genau genug entspricht, um den UPOV-Standardverweis einfügen zu können.</w:t>
      </w:r>
    </w:p>
    <w:p w:rsidR="005A7D7C" w:rsidRPr="0087525A" w:rsidRDefault="005A7D7C" w:rsidP="005A7D7C">
      <w:pPr>
        <w:autoSpaceDE w:val="0"/>
        <w:autoSpaceDN w:val="0"/>
        <w:adjustRightInd w:val="0"/>
      </w:pPr>
    </w:p>
    <w:p w:rsidR="005A7D7C" w:rsidRPr="00983B74" w:rsidRDefault="005A7D7C" w:rsidP="005A7D7C">
      <w:pPr>
        <w:autoSpaceDE w:val="0"/>
        <w:autoSpaceDN w:val="0"/>
        <w:adjustRightInd w:val="0"/>
      </w:pPr>
      <w:r w:rsidRPr="0087525A">
        <w:t xml:space="preserve">Dokument </w:t>
      </w:r>
      <w:hyperlink r:id="rId21" w:history="1">
        <w:r w:rsidRPr="0087525A">
          <w:rPr>
            <w:rFonts w:cs="Arial"/>
          </w:rPr>
          <w:t xml:space="preserve">TGP/5, Abschnitt 2, erteilt weitere Informationen über die einzelnen Punkte des </w:t>
        </w:r>
      </w:hyperlink>
      <w:r w:rsidRPr="0087525A">
        <w:t>UPOV</w:t>
      </w:r>
      <w:r w:rsidRPr="0087525A">
        <w:noBreakHyphen/>
        <w:t>Musterformblatts.</w:t>
      </w:r>
    </w:p>
    <w:p w:rsidR="005A7D7C" w:rsidRDefault="005A7D7C">
      <w:pPr>
        <w:jc w:val="left"/>
      </w:pPr>
    </w:p>
    <w:p w:rsidR="005A7D7C" w:rsidRDefault="005A7D7C">
      <w:pPr>
        <w:jc w:val="left"/>
      </w:pPr>
      <w:r>
        <w:br w:type="page"/>
      </w:r>
    </w:p>
    <w:p w:rsidR="005A7D7C" w:rsidRPr="00983B74" w:rsidRDefault="005A7D7C" w:rsidP="005A7D7C">
      <w:pPr>
        <w:jc w:val="center"/>
      </w:pPr>
      <w:r w:rsidRPr="00983B74">
        <w:lastRenderedPageBreak/>
        <w:t>UPOV-MUSTERFORMBLATT FÜR DIE ANMELDUNG EINER SORTE</w:t>
      </w:r>
      <w:r w:rsidRPr="00983B74">
        <w:br/>
        <w:t xml:space="preserve">ZUR ERTEILUNG DES SORTENSCHUTZES </w:t>
      </w:r>
    </w:p>
    <w:p w:rsidR="005A7D7C" w:rsidRPr="00983B74" w:rsidRDefault="005A7D7C" w:rsidP="005A7D7C">
      <w:pPr>
        <w:jc w:val="center"/>
      </w:pPr>
    </w:p>
    <w:tbl>
      <w:tblPr>
        <w:tblW w:w="10843" w:type="dxa"/>
        <w:jc w:val="center"/>
        <w:tblInd w:w="185" w:type="dxa"/>
        <w:tblLayout w:type="fixed"/>
        <w:tblCellMar>
          <w:left w:w="57" w:type="dxa"/>
          <w:right w:w="57" w:type="dxa"/>
        </w:tblCellMar>
        <w:tblLook w:val="0000" w:firstRow="0" w:lastRow="0" w:firstColumn="0" w:lastColumn="0" w:noHBand="0" w:noVBand="0"/>
      </w:tblPr>
      <w:tblGrid>
        <w:gridCol w:w="3755"/>
        <w:gridCol w:w="1186"/>
        <w:gridCol w:w="2216"/>
        <w:gridCol w:w="2336"/>
        <w:gridCol w:w="170"/>
        <w:gridCol w:w="12"/>
        <w:gridCol w:w="1168"/>
      </w:tblGrid>
      <w:tr w:rsidR="005A7D7C" w:rsidRPr="008C77D7" w:rsidTr="005A7D7C">
        <w:trPr>
          <w:cantSplit/>
          <w:jc w:val="center"/>
        </w:trPr>
        <w:tc>
          <w:tcPr>
            <w:tcW w:w="3755" w:type="dxa"/>
            <w:vAlign w:val="center"/>
          </w:tcPr>
          <w:p w:rsidR="005A7D7C" w:rsidRPr="008C77D7" w:rsidRDefault="005A7D7C" w:rsidP="005A7D7C">
            <w:pPr>
              <w:spacing w:line="240" w:lineRule="atLeast"/>
              <w:rPr>
                <w:sz w:val="14"/>
                <w:szCs w:val="16"/>
              </w:rPr>
            </w:pPr>
            <w:r w:rsidRPr="008C77D7">
              <w:rPr>
                <w:sz w:val="14"/>
                <w:szCs w:val="16"/>
              </w:rPr>
              <w:t>(Behörde, bei der die Anmeldung eingereicht wird)</w:t>
            </w:r>
          </w:p>
        </w:tc>
        <w:tc>
          <w:tcPr>
            <w:tcW w:w="3402" w:type="dxa"/>
            <w:gridSpan w:val="2"/>
            <w:vAlign w:val="center"/>
          </w:tcPr>
          <w:p w:rsidR="005A7D7C" w:rsidRPr="008C77D7" w:rsidRDefault="005A7D7C" w:rsidP="005A7D7C">
            <w:pPr>
              <w:spacing w:line="240" w:lineRule="atLeast"/>
              <w:jc w:val="center"/>
              <w:rPr>
                <w:sz w:val="14"/>
                <w:szCs w:val="16"/>
              </w:rPr>
            </w:pPr>
            <w:r w:rsidRPr="008C77D7">
              <w:rPr>
                <w:sz w:val="14"/>
                <w:szCs w:val="16"/>
              </w:rPr>
              <w:t>HINWEIS:  Zuerst Erläuterungen lesen</w:t>
            </w:r>
          </w:p>
        </w:tc>
        <w:tc>
          <w:tcPr>
            <w:tcW w:w="3686" w:type="dxa"/>
            <w:gridSpan w:val="4"/>
            <w:vAlign w:val="center"/>
          </w:tcPr>
          <w:p w:rsidR="005A7D7C" w:rsidRPr="008C77D7" w:rsidRDefault="005A7D7C" w:rsidP="005A7D7C">
            <w:pPr>
              <w:spacing w:line="240" w:lineRule="atLeast"/>
              <w:jc w:val="right"/>
              <w:rPr>
                <w:sz w:val="14"/>
                <w:szCs w:val="16"/>
              </w:rPr>
            </w:pPr>
            <w:r w:rsidRPr="008C77D7">
              <w:rPr>
                <w:sz w:val="14"/>
                <w:szCs w:val="16"/>
              </w:rPr>
              <w:t>(Aktenzeichen)</w:t>
            </w:r>
          </w:p>
          <w:p w:rsidR="005A7D7C" w:rsidRPr="008C77D7" w:rsidRDefault="005A7D7C" w:rsidP="005A7D7C">
            <w:pPr>
              <w:jc w:val="right"/>
              <w:rPr>
                <w:sz w:val="14"/>
                <w:szCs w:val="16"/>
              </w:rPr>
            </w:pPr>
            <w:r w:rsidRPr="008C77D7">
              <w:rPr>
                <w:sz w:val="14"/>
                <w:szCs w:val="16"/>
              </w:rPr>
              <w:t>(Datum des Eingangs)</w:t>
            </w:r>
          </w:p>
        </w:tc>
      </w:tr>
      <w:tr w:rsidR="005A7D7C" w:rsidRPr="008C77D7" w:rsidTr="005A7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4941" w:type="dxa"/>
            <w:gridSpan w:val="2"/>
            <w:vMerge w:val="restart"/>
          </w:tcPr>
          <w:p w:rsidR="005A7D7C" w:rsidRPr="008C77D7" w:rsidRDefault="005A7D7C" w:rsidP="005A7D7C">
            <w:pPr>
              <w:spacing w:before="40"/>
              <w:rPr>
                <w:color w:val="000000"/>
                <w:sz w:val="14"/>
              </w:rPr>
            </w:pPr>
            <w:r w:rsidRPr="008C77D7">
              <w:rPr>
                <w:sz w:val="14"/>
              </w:rPr>
              <w:t>1.(a)</w:t>
            </w:r>
            <w:r w:rsidRPr="008C77D7">
              <w:rPr>
                <w:sz w:val="14"/>
              </w:rPr>
              <w:tab/>
              <w:t xml:space="preserve"> Anmelder:</w:t>
            </w:r>
          </w:p>
          <w:p w:rsidR="005A7D7C" w:rsidRPr="008C77D7" w:rsidRDefault="005A7D7C" w:rsidP="005A7D7C">
            <w:pPr>
              <w:tabs>
                <w:tab w:val="left" w:pos="199"/>
                <w:tab w:val="left" w:pos="1334"/>
                <w:tab w:val="right" w:pos="4607"/>
              </w:tabs>
              <w:spacing w:before="120"/>
              <w:rPr>
                <w:snapToGrid w:val="0"/>
                <w:sz w:val="14"/>
                <w:szCs w:val="22"/>
              </w:rPr>
            </w:pPr>
            <w:r w:rsidRPr="008C77D7">
              <w:rPr>
                <w:color w:val="000000"/>
                <w:sz w:val="14"/>
              </w:rPr>
              <w:tab/>
              <w:t>N</w:t>
            </w:r>
            <w:r w:rsidRPr="008C77D7">
              <w:rPr>
                <w:sz w:val="14"/>
              </w:rPr>
              <w:t>ame(n)</w:t>
            </w:r>
            <w:r w:rsidRPr="008C77D7">
              <w:rPr>
                <w:sz w:val="14"/>
              </w:rPr>
              <w:tab/>
            </w:r>
            <w:r w:rsidRPr="008C77D7">
              <w:rPr>
                <w:sz w:val="14"/>
                <w:u w:val="single"/>
              </w:rPr>
              <w:tab/>
            </w:r>
            <w:r w:rsidRPr="008C77D7">
              <w:rPr>
                <w:sz w:val="14"/>
                <w:u w:val="single"/>
              </w:rPr>
              <w:br/>
            </w:r>
            <w:r w:rsidRPr="008C77D7">
              <w:rPr>
                <w:snapToGrid w:val="0"/>
                <w:sz w:val="14"/>
                <w:szCs w:val="22"/>
              </w:rPr>
              <w:tab/>
              <w:t xml:space="preserve">   </w:t>
            </w:r>
            <w:r w:rsidRPr="008C77D7">
              <w:rPr>
                <w:i/>
                <w:snapToGrid w:val="0"/>
                <w:sz w:val="14"/>
                <w:szCs w:val="16"/>
              </w:rPr>
              <w:t>UPOV-A1: 1(a)(i)</w:t>
            </w:r>
          </w:p>
          <w:p w:rsidR="005A7D7C" w:rsidRPr="008C77D7" w:rsidRDefault="005A7D7C" w:rsidP="005A7D7C">
            <w:pPr>
              <w:tabs>
                <w:tab w:val="left" w:pos="199"/>
                <w:tab w:val="left" w:pos="1334"/>
                <w:tab w:val="right" w:pos="4607"/>
              </w:tabs>
              <w:rPr>
                <w:snapToGrid w:val="0"/>
                <w:sz w:val="14"/>
                <w:szCs w:val="12"/>
              </w:rPr>
            </w:pPr>
            <w:r w:rsidRPr="008C77D7">
              <w:rPr>
                <w:sz w:val="14"/>
              </w:rPr>
              <w:tab/>
              <w:t>Anschrift(en)</w:t>
            </w:r>
            <w:r w:rsidRPr="008C77D7">
              <w:rPr>
                <w:sz w:val="14"/>
              </w:rPr>
              <w:tab/>
            </w:r>
            <w:r w:rsidRPr="008C77D7">
              <w:rPr>
                <w:sz w:val="14"/>
                <w:u w:val="single"/>
              </w:rPr>
              <w:t xml:space="preserve">  </w:t>
            </w:r>
            <w:r w:rsidRPr="008C77D7">
              <w:rPr>
                <w:sz w:val="14"/>
                <w:u w:val="single"/>
              </w:rPr>
              <w:tab/>
            </w:r>
            <w:r w:rsidRPr="008C77D7">
              <w:rPr>
                <w:sz w:val="14"/>
                <w:u w:val="single"/>
              </w:rPr>
              <w:br/>
            </w:r>
            <w:r w:rsidRPr="008C77D7">
              <w:rPr>
                <w:sz w:val="14"/>
              </w:rPr>
              <w:tab/>
              <w:t xml:space="preserve">  </w:t>
            </w:r>
            <w:r w:rsidRPr="008C77D7">
              <w:rPr>
                <w:snapToGrid w:val="0"/>
                <w:sz w:val="14"/>
                <w:szCs w:val="22"/>
              </w:rPr>
              <w:t xml:space="preserve"> </w:t>
            </w:r>
            <w:r w:rsidRPr="008C77D7">
              <w:rPr>
                <w:i/>
                <w:snapToGrid w:val="0"/>
                <w:sz w:val="14"/>
                <w:szCs w:val="16"/>
              </w:rPr>
              <w:t>UPOV-A1: 1(a)(ii)</w:t>
            </w:r>
          </w:p>
          <w:p w:rsidR="005A7D7C" w:rsidRPr="008C77D7" w:rsidRDefault="005A7D7C" w:rsidP="005A7D7C">
            <w:pPr>
              <w:tabs>
                <w:tab w:val="left" w:pos="199"/>
                <w:tab w:val="left" w:pos="1334"/>
                <w:tab w:val="right" w:pos="4607"/>
              </w:tabs>
              <w:rPr>
                <w:sz w:val="14"/>
                <w:szCs w:val="12"/>
                <w:u w:val="single"/>
              </w:rPr>
            </w:pPr>
            <w:r w:rsidRPr="008C77D7">
              <w:rPr>
                <w:snapToGrid w:val="0"/>
                <w:sz w:val="14"/>
                <w:szCs w:val="12"/>
              </w:rPr>
              <w:tab/>
            </w:r>
            <w:r w:rsidRPr="008C77D7">
              <w:rPr>
                <w:sz w:val="14"/>
                <w:szCs w:val="12"/>
              </w:rPr>
              <w:tab/>
            </w:r>
            <w:r w:rsidRPr="008C77D7">
              <w:rPr>
                <w:sz w:val="14"/>
                <w:szCs w:val="12"/>
                <w:u w:val="single"/>
              </w:rPr>
              <w:tab/>
            </w:r>
          </w:p>
          <w:p w:rsidR="005A7D7C" w:rsidRPr="008C77D7" w:rsidRDefault="005A7D7C" w:rsidP="005A7D7C">
            <w:pPr>
              <w:tabs>
                <w:tab w:val="left" w:pos="1334"/>
                <w:tab w:val="right" w:pos="4607"/>
              </w:tabs>
              <w:spacing w:before="120"/>
              <w:rPr>
                <w:sz w:val="14"/>
                <w:u w:val="single"/>
              </w:rPr>
            </w:pPr>
            <w:r w:rsidRPr="008C77D7">
              <w:rPr>
                <w:sz w:val="14"/>
              </w:rPr>
              <w:tab/>
            </w:r>
            <w:r w:rsidRPr="008C77D7">
              <w:rPr>
                <w:sz w:val="14"/>
                <w:u w:val="single"/>
              </w:rPr>
              <w:tab/>
            </w:r>
          </w:p>
          <w:p w:rsidR="005A7D7C" w:rsidRPr="008C77D7" w:rsidRDefault="005A7D7C" w:rsidP="005A7D7C">
            <w:pPr>
              <w:tabs>
                <w:tab w:val="left" w:pos="199"/>
                <w:tab w:val="left" w:pos="1901"/>
                <w:tab w:val="right" w:pos="4607"/>
              </w:tabs>
              <w:spacing w:before="120"/>
              <w:rPr>
                <w:sz w:val="14"/>
              </w:rPr>
            </w:pPr>
            <w:r w:rsidRPr="008C77D7">
              <w:rPr>
                <w:color w:val="000000"/>
                <w:sz w:val="14"/>
              </w:rPr>
              <w:tab/>
              <w:t>Telefonnummer(n)</w:t>
            </w:r>
            <w:r w:rsidRPr="008C77D7">
              <w:rPr>
                <w:color w:val="000000"/>
                <w:sz w:val="14"/>
              </w:rPr>
              <w:tab/>
            </w:r>
            <w:r w:rsidRPr="008C77D7">
              <w:rPr>
                <w:sz w:val="14"/>
                <w:u w:val="single"/>
              </w:rPr>
              <w:tab/>
            </w:r>
            <w:r w:rsidRPr="008C77D7">
              <w:rPr>
                <w:sz w:val="14"/>
                <w:u w:val="single"/>
              </w:rPr>
              <w:br/>
            </w:r>
            <w:r w:rsidRPr="008C77D7">
              <w:rPr>
                <w:snapToGrid w:val="0"/>
                <w:sz w:val="14"/>
                <w:szCs w:val="22"/>
              </w:rPr>
              <w:tab/>
              <w:t xml:space="preserve">   </w:t>
            </w:r>
            <w:r w:rsidRPr="008C77D7">
              <w:rPr>
                <w:i/>
                <w:snapToGrid w:val="0"/>
                <w:sz w:val="14"/>
                <w:szCs w:val="16"/>
              </w:rPr>
              <w:t>UPOV-A1: 1(a)(iii)</w:t>
            </w:r>
          </w:p>
          <w:p w:rsidR="005A7D7C" w:rsidRPr="008C77D7" w:rsidRDefault="005A7D7C" w:rsidP="005A7D7C">
            <w:pPr>
              <w:tabs>
                <w:tab w:val="left" w:pos="199"/>
                <w:tab w:val="left" w:pos="1901"/>
                <w:tab w:val="right" w:pos="4607"/>
              </w:tabs>
              <w:rPr>
                <w:sz w:val="14"/>
                <w:u w:val="single"/>
              </w:rPr>
            </w:pPr>
            <w:r w:rsidRPr="008C77D7">
              <w:rPr>
                <w:color w:val="000000"/>
                <w:sz w:val="14"/>
              </w:rPr>
              <w:tab/>
              <w:t>Faxnummer(n)</w:t>
            </w:r>
            <w:r w:rsidRPr="008C77D7">
              <w:rPr>
                <w:sz w:val="14"/>
              </w:rPr>
              <w:tab/>
            </w:r>
            <w:r w:rsidRPr="008C77D7">
              <w:rPr>
                <w:sz w:val="14"/>
                <w:u w:val="single"/>
              </w:rPr>
              <w:tab/>
            </w:r>
            <w:r w:rsidRPr="008C77D7">
              <w:rPr>
                <w:sz w:val="14"/>
                <w:u w:val="single"/>
              </w:rPr>
              <w:br/>
            </w:r>
            <w:r w:rsidRPr="008C77D7">
              <w:rPr>
                <w:snapToGrid w:val="0"/>
                <w:sz w:val="14"/>
                <w:szCs w:val="22"/>
              </w:rPr>
              <w:tab/>
              <w:t xml:space="preserve">  </w:t>
            </w:r>
            <w:r w:rsidRPr="008C77D7">
              <w:rPr>
                <w:i/>
                <w:snapToGrid w:val="0"/>
                <w:sz w:val="14"/>
                <w:szCs w:val="22"/>
              </w:rPr>
              <w:t xml:space="preserve"> </w:t>
            </w:r>
            <w:r w:rsidRPr="008C77D7">
              <w:rPr>
                <w:i/>
                <w:snapToGrid w:val="0"/>
                <w:sz w:val="14"/>
                <w:szCs w:val="16"/>
              </w:rPr>
              <w:t>UPOV-A1: 1(a)(iv)</w:t>
            </w:r>
          </w:p>
          <w:p w:rsidR="005A7D7C" w:rsidRPr="008C77D7" w:rsidRDefault="005A7D7C" w:rsidP="005A7D7C">
            <w:pPr>
              <w:tabs>
                <w:tab w:val="left" w:pos="199"/>
                <w:tab w:val="left" w:pos="1901"/>
                <w:tab w:val="right" w:pos="4607"/>
              </w:tabs>
              <w:rPr>
                <w:sz w:val="14"/>
              </w:rPr>
            </w:pPr>
            <w:r w:rsidRPr="008C77D7">
              <w:rPr>
                <w:color w:val="000000"/>
                <w:sz w:val="14"/>
              </w:rPr>
              <w:tab/>
              <w:t>E-Mail-Adresse(n)</w:t>
            </w:r>
            <w:r w:rsidRPr="008C77D7">
              <w:rPr>
                <w:color w:val="000000"/>
                <w:sz w:val="14"/>
              </w:rPr>
              <w:tab/>
            </w:r>
            <w:r w:rsidRPr="008C77D7">
              <w:rPr>
                <w:sz w:val="14"/>
                <w:u w:val="single"/>
              </w:rPr>
              <w:tab/>
            </w:r>
          </w:p>
          <w:p w:rsidR="005A7D7C" w:rsidRPr="008C77D7" w:rsidRDefault="005A7D7C" w:rsidP="005A7D7C">
            <w:pPr>
              <w:tabs>
                <w:tab w:val="left" w:pos="199"/>
                <w:tab w:val="left" w:pos="1334"/>
                <w:tab w:val="right" w:pos="4607"/>
              </w:tabs>
              <w:rPr>
                <w:i/>
                <w:sz w:val="14"/>
              </w:rPr>
            </w:pPr>
            <w:r w:rsidRPr="008C77D7">
              <w:rPr>
                <w:snapToGrid w:val="0"/>
                <w:sz w:val="14"/>
                <w:szCs w:val="22"/>
              </w:rPr>
              <w:tab/>
              <w:t xml:space="preserve">   </w:t>
            </w:r>
            <w:r w:rsidRPr="008C77D7">
              <w:rPr>
                <w:i/>
                <w:snapToGrid w:val="0"/>
                <w:sz w:val="14"/>
                <w:szCs w:val="16"/>
              </w:rPr>
              <w:t>UPOV-A1: 1(a)(v)</w:t>
            </w:r>
          </w:p>
          <w:p w:rsidR="005A7D7C" w:rsidRPr="008C77D7" w:rsidRDefault="005A7D7C" w:rsidP="005A7D7C">
            <w:pPr>
              <w:tabs>
                <w:tab w:val="left" w:pos="199"/>
                <w:tab w:val="left" w:pos="567"/>
                <w:tab w:val="right" w:pos="4607"/>
              </w:tabs>
              <w:rPr>
                <w:sz w:val="14"/>
                <w:u w:val="single"/>
              </w:rPr>
            </w:pPr>
            <w:r w:rsidRPr="008C77D7">
              <w:rPr>
                <w:sz w:val="14"/>
              </w:rPr>
              <w:tab/>
              <w:t>(b)</w:t>
            </w:r>
            <w:r w:rsidRPr="008C77D7">
              <w:rPr>
                <w:sz w:val="14"/>
              </w:rPr>
              <w:tab/>
              <w:t xml:space="preserve"> Staatsangehörigkeit(en): </w:t>
            </w:r>
            <w:r w:rsidRPr="008C77D7">
              <w:rPr>
                <w:sz w:val="14"/>
                <w:u w:val="single"/>
              </w:rPr>
              <w:tab/>
            </w:r>
          </w:p>
          <w:p w:rsidR="005A7D7C" w:rsidRPr="008C77D7" w:rsidRDefault="005A7D7C" w:rsidP="005A7D7C">
            <w:pPr>
              <w:tabs>
                <w:tab w:val="left" w:pos="199"/>
                <w:tab w:val="left" w:pos="1334"/>
                <w:tab w:val="right" w:pos="4607"/>
              </w:tabs>
              <w:rPr>
                <w:i/>
                <w:sz w:val="14"/>
              </w:rPr>
            </w:pPr>
            <w:r w:rsidRPr="008C77D7">
              <w:rPr>
                <w:snapToGrid w:val="0"/>
                <w:sz w:val="14"/>
                <w:szCs w:val="22"/>
              </w:rPr>
              <w:tab/>
              <w:t xml:space="preserve">   </w:t>
            </w:r>
            <w:r w:rsidRPr="008C77D7">
              <w:rPr>
                <w:i/>
                <w:snapToGrid w:val="0"/>
                <w:sz w:val="14"/>
                <w:szCs w:val="16"/>
              </w:rPr>
              <w:t>UPOV-A1: 1(b)</w:t>
            </w:r>
          </w:p>
          <w:p w:rsidR="005A7D7C" w:rsidRPr="008C77D7" w:rsidRDefault="005A7D7C" w:rsidP="005A7D7C">
            <w:pPr>
              <w:tabs>
                <w:tab w:val="left" w:pos="199"/>
                <w:tab w:val="left" w:pos="567"/>
                <w:tab w:val="right" w:pos="4607"/>
              </w:tabs>
              <w:ind w:right="-85"/>
              <w:rPr>
                <w:sz w:val="14"/>
              </w:rPr>
            </w:pPr>
            <w:r w:rsidRPr="008C77D7">
              <w:rPr>
                <w:sz w:val="14"/>
              </w:rPr>
              <w:tab/>
              <w:t>(c)</w:t>
            </w:r>
            <w:r w:rsidRPr="008C77D7">
              <w:rPr>
                <w:sz w:val="14"/>
              </w:rPr>
              <w:tab/>
              <w:t xml:space="preserve"> Wohnsitz (Staat):</w:t>
            </w:r>
            <w:r w:rsidRPr="008C77D7">
              <w:rPr>
                <w:sz w:val="14"/>
              </w:rPr>
              <w:tab/>
              <w:t>______________________</w:t>
            </w:r>
          </w:p>
          <w:p w:rsidR="005A7D7C" w:rsidRPr="008C77D7" w:rsidRDefault="005A7D7C" w:rsidP="005A7D7C">
            <w:pPr>
              <w:tabs>
                <w:tab w:val="left" w:pos="199"/>
                <w:tab w:val="left" w:pos="1334"/>
              </w:tabs>
              <w:rPr>
                <w:i/>
                <w:sz w:val="14"/>
              </w:rPr>
            </w:pPr>
            <w:r w:rsidRPr="008C77D7">
              <w:rPr>
                <w:snapToGrid w:val="0"/>
                <w:sz w:val="14"/>
                <w:szCs w:val="22"/>
              </w:rPr>
              <w:tab/>
              <w:t xml:space="preserve">   </w:t>
            </w:r>
            <w:r w:rsidRPr="008C77D7">
              <w:rPr>
                <w:i/>
                <w:snapToGrid w:val="0"/>
                <w:sz w:val="14"/>
                <w:szCs w:val="16"/>
              </w:rPr>
              <w:t>UPOV-A1: 1(c)</w:t>
            </w:r>
          </w:p>
          <w:p w:rsidR="005A7D7C" w:rsidRPr="008C77D7" w:rsidRDefault="005A7D7C" w:rsidP="005A7D7C">
            <w:pPr>
              <w:tabs>
                <w:tab w:val="left" w:pos="199"/>
                <w:tab w:val="left" w:pos="567"/>
                <w:tab w:val="left" w:pos="1900"/>
                <w:tab w:val="right" w:pos="4395"/>
              </w:tabs>
              <w:rPr>
                <w:sz w:val="14"/>
              </w:rPr>
            </w:pPr>
            <w:r w:rsidRPr="008C77D7">
              <w:rPr>
                <w:sz w:val="14"/>
              </w:rPr>
              <w:tab/>
              <w:t>(d)</w:t>
            </w:r>
            <w:r w:rsidRPr="008C77D7">
              <w:rPr>
                <w:sz w:val="14"/>
              </w:rPr>
              <w:tab/>
              <w:t xml:space="preserve"> Sitz für juristische Personen (Staat):</w:t>
            </w:r>
          </w:p>
          <w:p w:rsidR="005A7D7C" w:rsidRPr="008C77D7" w:rsidRDefault="005A7D7C" w:rsidP="005A7D7C">
            <w:pPr>
              <w:tabs>
                <w:tab w:val="left" w:pos="199"/>
                <w:tab w:val="left" w:pos="1334"/>
              </w:tabs>
              <w:rPr>
                <w:i/>
                <w:sz w:val="14"/>
              </w:rPr>
            </w:pPr>
            <w:r w:rsidRPr="008C77D7">
              <w:rPr>
                <w:snapToGrid w:val="0"/>
                <w:sz w:val="14"/>
                <w:szCs w:val="22"/>
              </w:rPr>
              <w:tab/>
              <w:t xml:space="preserve">   </w:t>
            </w:r>
            <w:r w:rsidRPr="008C77D7">
              <w:rPr>
                <w:i/>
                <w:snapToGrid w:val="0"/>
                <w:sz w:val="14"/>
                <w:szCs w:val="16"/>
              </w:rPr>
              <w:t>UPOV-A1: 1(d)</w:t>
            </w:r>
          </w:p>
          <w:p w:rsidR="005A7D7C" w:rsidRPr="008C77D7" w:rsidRDefault="005A7D7C" w:rsidP="005A7D7C">
            <w:pPr>
              <w:tabs>
                <w:tab w:val="left" w:pos="360"/>
                <w:tab w:val="left" w:pos="567"/>
                <w:tab w:val="left" w:pos="1900"/>
                <w:tab w:val="left" w:pos="4599"/>
              </w:tabs>
              <w:rPr>
                <w:sz w:val="14"/>
                <w:szCs w:val="12"/>
              </w:rPr>
            </w:pPr>
            <w:r w:rsidRPr="008C77D7">
              <w:rPr>
                <w:sz w:val="14"/>
              </w:rPr>
              <w:tab/>
            </w:r>
            <w:r w:rsidRPr="008C77D7">
              <w:rPr>
                <w:sz w:val="14"/>
                <w:szCs w:val="12"/>
                <w:u w:val="single"/>
              </w:rPr>
              <w:tab/>
            </w:r>
            <w:r w:rsidRPr="008C77D7">
              <w:rPr>
                <w:sz w:val="14"/>
                <w:szCs w:val="12"/>
                <w:u w:val="single"/>
              </w:rPr>
              <w:tab/>
            </w:r>
            <w:r w:rsidRPr="008C77D7">
              <w:rPr>
                <w:sz w:val="14"/>
                <w:szCs w:val="12"/>
                <w:u w:val="single"/>
              </w:rPr>
              <w:tab/>
            </w:r>
          </w:p>
          <w:p w:rsidR="005A7D7C" w:rsidRPr="008C77D7" w:rsidRDefault="005A7D7C" w:rsidP="005A7D7C">
            <w:pPr>
              <w:tabs>
                <w:tab w:val="left" w:pos="199"/>
                <w:tab w:val="left" w:pos="567"/>
                <w:tab w:val="left" w:pos="2042"/>
                <w:tab w:val="left" w:pos="2809"/>
              </w:tabs>
              <w:spacing w:before="40"/>
              <w:ind w:left="567" w:hanging="567"/>
              <w:rPr>
                <w:sz w:val="14"/>
              </w:rPr>
            </w:pPr>
            <w:r w:rsidRPr="008C77D7">
              <w:rPr>
                <w:sz w:val="14"/>
              </w:rPr>
              <w:tab/>
              <w:t>(e)</w:t>
            </w:r>
            <w:r w:rsidRPr="008C77D7">
              <w:rPr>
                <w:sz w:val="14"/>
              </w:rPr>
              <w:tab/>
              <w:t xml:space="preserve"> Ein Verfahrensvertreter/ </w:t>
            </w:r>
            <w:r w:rsidRPr="008C77D7">
              <w:rPr>
                <w:sz w:val="14"/>
              </w:rPr>
              <w:noBreakHyphen/>
              <w:t xml:space="preserve">bevollmächtigter wird herangezogen:  </w:t>
            </w:r>
            <w:r w:rsidRPr="008C77D7">
              <w:rPr>
                <w:sz w:val="14"/>
              </w:rPr>
              <w:tab/>
              <w:t>Ja □</w:t>
            </w:r>
            <w:r w:rsidRPr="008C77D7">
              <w:rPr>
                <w:sz w:val="14"/>
              </w:rPr>
              <w:tab/>
              <w:t>Nein □</w:t>
            </w:r>
          </w:p>
          <w:p w:rsidR="005A7D7C" w:rsidRPr="008C77D7" w:rsidRDefault="005A7D7C" w:rsidP="005A7D7C">
            <w:pPr>
              <w:tabs>
                <w:tab w:val="left" w:pos="1276"/>
                <w:tab w:val="left" w:pos="1334"/>
              </w:tabs>
              <w:spacing w:after="40"/>
              <w:rPr>
                <w:i/>
                <w:sz w:val="14"/>
              </w:rPr>
            </w:pPr>
            <w:r w:rsidRPr="008C77D7">
              <w:rPr>
                <w:snapToGrid w:val="0"/>
                <w:sz w:val="14"/>
                <w:szCs w:val="22"/>
              </w:rPr>
              <w:tab/>
            </w:r>
            <w:r w:rsidRPr="008C77D7">
              <w:rPr>
                <w:sz w:val="14"/>
              </w:rPr>
              <w:tab/>
            </w:r>
            <w:r w:rsidRPr="008C77D7">
              <w:rPr>
                <w:snapToGrid w:val="0"/>
                <w:sz w:val="14"/>
                <w:szCs w:val="22"/>
              </w:rPr>
              <w:t xml:space="preserve">   </w:t>
            </w:r>
            <w:r w:rsidRPr="008C77D7">
              <w:rPr>
                <w:i/>
                <w:snapToGrid w:val="0"/>
                <w:sz w:val="14"/>
                <w:szCs w:val="16"/>
              </w:rPr>
              <w:t>UPOV-A1: 1(e)(i)</w:t>
            </w:r>
            <w:r w:rsidRPr="008C77D7">
              <w:rPr>
                <w:i/>
                <w:sz w:val="14"/>
              </w:rPr>
              <w:t xml:space="preserve">     </w:t>
            </w:r>
            <w:r w:rsidRPr="008C77D7">
              <w:rPr>
                <w:i/>
                <w:snapToGrid w:val="0"/>
                <w:sz w:val="14"/>
                <w:szCs w:val="16"/>
              </w:rPr>
              <w:t>UPOV-A1: 1(e)(ii)</w:t>
            </w:r>
          </w:p>
        </w:tc>
        <w:tc>
          <w:tcPr>
            <w:tcW w:w="4552" w:type="dxa"/>
            <w:gridSpan w:val="2"/>
            <w:vMerge w:val="restart"/>
            <w:shd w:val="clear" w:color="auto" w:fill="auto"/>
          </w:tcPr>
          <w:p w:rsidR="005A7D7C" w:rsidRPr="008C77D7" w:rsidRDefault="005A7D7C" w:rsidP="005A7D7C">
            <w:pPr>
              <w:tabs>
                <w:tab w:val="left" w:pos="482"/>
              </w:tabs>
              <w:spacing w:before="40"/>
              <w:rPr>
                <w:sz w:val="14"/>
              </w:rPr>
            </w:pPr>
            <w:r w:rsidRPr="008C77D7">
              <w:rPr>
                <w:sz w:val="14"/>
              </w:rPr>
              <w:t>2.(a)</w:t>
            </w:r>
            <w:r w:rsidRPr="008C77D7">
              <w:rPr>
                <w:sz w:val="14"/>
              </w:rPr>
              <w:tab/>
              <w:t>Name und Anschrift, an die jeder Schrift-wechsel zu richten ist (sofern von 1.(a) verschieden):</w:t>
            </w:r>
          </w:p>
          <w:p w:rsidR="005A7D7C" w:rsidRPr="008C77D7" w:rsidRDefault="005A7D7C" w:rsidP="005A7D7C">
            <w:pPr>
              <w:tabs>
                <w:tab w:val="left" w:pos="199"/>
                <w:tab w:val="left" w:pos="1334"/>
                <w:tab w:val="right" w:pos="4310"/>
              </w:tabs>
              <w:spacing w:before="120"/>
              <w:rPr>
                <w:sz w:val="14"/>
                <w:u w:val="single"/>
              </w:rPr>
            </w:pPr>
            <w:r w:rsidRPr="008C77D7">
              <w:rPr>
                <w:color w:val="000000"/>
                <w:sz w:val="14"/>
              </w:rPr>
              <w:tab/>
              <w:t>N</w:t>
            </w:r>
            <w:r w:rsidRPr="008C77D7">
              <w:rPr>
                <w:sz w:val="14"/>
              </w:rPr>
              <w:t>ame</w:t>
            </w:r>
            <w:r w:rsidRPr="008C77D7">
              <w:rPr>
                <w:sz w:val="14"/>
              </w:rPr>
              <w:tab/>
            </w:r>
            <w:r w:rsidRPr="008C77D7">
              <w:rPr>
                <w:sz w:val="14"/>
                <w:u w:val="single"/>
              </w:rPr>
              <w:tab/>
            </w:r>
            <w:r w:rsidRPr="008C77D7">
              <w:rPr>
                <w:sz w:val="14"/>
                <w:u w:val="single"/>
              </w:rPr>
              <w:br/>
            </w:r>
            <w:r w:rsidRPr="008C77D7">
              <w:rPr>
                <w:snapToGrid w:val="0"/>
                <w:sz w:val="14"/>
                <w:szCs w:val="22"/>
              </w:rPr>
              <w:tab/>
              <w:t xml:space="preserve">   </w:t>
            </w:r>
            <w:r w:rsidRPr="008C77D7">
              <w:rPr>
                <w:i/>
                <w:snapToGrid w:val="0"/>
                <w:sz w:val="14"/>
                <w:szCs w:val="16"/>
              </w:rPr>
              <w:t>UPOV-A1: 2(a)(i)</w:t>
            </w:r>
          </w:p>
          <w:p w:rsidR="005A7D7C" w:rsidRPr="008C77D7" w:rsidRDefault="005A7D7C" w:rsidP="005A7D7C">
            <w:pPr>
              <w:tabs>
                <w:tab w:val="left" w:pos="199"/>
                <w:tab w:val="left" w:pos="1334"/>
                <w:tab w:val="right" w:pos="4310"/>
              </w:tabs>
              <w:rPr>
                <w:i/>
                <w:snapToGrid w:val="0"/>
                <w:sz w:val="14"/>
                <w:szCs w:val="16"/>
              </w:rPr>
            </w:pPr>
            <w:r w:rsidRPr="008C77D7">
              <w:rPr>
                <w:sz w:val="14"/>
              </w:rPr>
              <w:tab/>
            </w:r>
            <w:r w:rsidRPr="008C77D7">
              <w:rPr>
                <w:color w:val="000000"/>
                <w:sz w:val="14"/>
              </w:rPr>
              <w:t xml:space="preserve"> Anschrift</w:t>
            </w:r>
            <w:r w:rsidRPr="008C77D7">
              <w:rPr>
                <w:sz w:val="14"/>
              </w:rPr>
              <w:t xml:space="preserve"> </w:t>
            </w:r>
            <w:r w:rsidRPr="008C77D7">
              <w:rPr>
                <w:sz w:val="14"/>
              </w:rPr>
              <w:tab/>
            </w:r>
            <w:r w:rsidRPr="008C77D7">
              <w:rPr>
                <w:sz w:val="14"/>
                <w:u w:val="single"/>
              </w:rPr>
              <w:tab/>
            </w:r>
            <w:r w:rsidRPr="008C77D7">
              <w:rPr>
                <w:sz w:val="14"/>
                <w:u w:val="single"/>
              </w:rPr>
              <w:br/>
            </w:r>
            <w:r w:rsidRPr="008C77D7">
              <w:rPr>
                <w:snapToGrid w:val="0"/>
                <w:sz w:val="14"/>
                <w:szCs w:val="22"/>
              </w:rPr>
              <w:tab/>
              <w:t xml:space="preserve">   </w:t>
            </w:r>
            <w:r w:rsidRPr="008C77D7">
              <w:rPr>
                <w:i/>
                <w:snapToGrid w:val="0"/>
                <w:sz w:val="14"/>
                <w:szCs w:val="16"/>
              </w:rPr>
              <w:t>UPOV-A1: 2(a)(ii)</w:t>
            </w:r>
          </w:p>
          <w:p w:rsidR="005A7D7C" w:rsidRPr="008C77D7" w:rsidRDefault="005A7D7C" w:rsidP="005A7D7C">
            <w:pPr>
              <w:tabs>
                <w:tab w:val="left" w:pos="199"/>
                <w:tab w:val="left" w:pos="1334"/>
                <w:tab w:val="right" w:pos="4310"/>
              </w:tabs>
              <w:rPr>
                <w:sz w:val="14"/>
                <w:szCs w:val="12"/>
              </w:rPr>
            </w:pPr>
            <w:r w:rsidRPr="008C77D7">
              <w:rPr>
                <w:i/>
                <w:snapToGrid w:val="0"/>
                <w:sz w:val="14"/>
                <w:szCs w:val="12"/>
              </w:rPr>
              <w:tab/>
            </w:r>
            <w:r w:rsidRPr="008C77D7">
              <w:rPr>
                <w:i/>
                <w:snapToGrid w:val="0"/>
                <w:sz w:val="14"/>
                <w:szCs w:val="12"/>
              </w:rPr>
              <w:tab/>
            </w:r>
            <w:r w:rsidRPr="008C77D7">
              <w:rPr>
                <w:sz w:val="14"/>
                <w:szCs w:val="12"/>
                <w:u w:val="single"/>
              </w:rPr>
              <w:tab/>
            </w:r>
          </w:p>
          <w:p w:rsidR="005A7D7C" w:rsidRPr="008C77D7" w:rsidRDefault="005A7D7C" w:rsidP="005A7D7C">
            <w:pPr>
              <w:tabs>
                <w:tab w:val="left" w:pos="1334"/>
                <w:tab w:val="right" w:pos="4310"/>
              </w:tabs>
              <w:spacing w:before="120"/>
              <w:rPr>
                <w:sz w:val="14"/>
                <w:u w:val="single"/>
              </w:rPr>
            </w:pPr>
            <w:r w:rsidRPr="008C77D7">
              <w:rPr>
                <w:sz w:val="14"/>
              </w:rPr>
              <w:tab/>
            </w:r>
            <w:r w:rsidRPr="008C77D7">
              <w:rPr>
                <w:sz w:val="14"/>
                <w:u w:val="single"/>
              </w:rPr>
              <w:tab/>
            </w:r>
          </w:p>
          <w:p w:rsidR="005A7D7C" w:rsidRPr="008C77D7" w:rsidRDefault="005A7D7C" w:rsidP="005A7D7C">
            <w:pPr>
              <w:tabs>
                <w:tab w:val="left" w:pos="199"/>
                <w:tab w:val="left" w:pos="1334"/>
                <w:tab w:val="right" w:pos="4310"/>
              </w:tabs>
              <w:spacing w:before="120"/>
              <w:rPr>
                <w:sz w:val="14"/>
              </w:rPr>
            </w:pPr>
            <w:r w:rsidRPr="008C77D7">
              <w:rPr>
                <w:color w:val="000000"/>
                <w:sz w:val="14"/>
              </w:rPr>
              <w:tab/>
              <w:t xml:space="preserve"> Telefonnummer(n)</w:t>
            </w:r>
            <w:r w:rsidRPr="008C77D7">
              <w:rPr>
                <w:sz w:val="14"/>
                <w:u w:val="single"/>
              </w:rPr>
              <w:tab/>
            </w:r>
            <w:r w:rsidRPr="008C77D7">
              <w:rPr>
                <w:sz w:val="14"/>
                <w:u w:val="single"/>
              </w:rPr>
              <w:br/>
            </w:r>
            <w:r w:rsidRPr="008C77D7">
              <w:rPr>
                <w:snapToGrid w:val="0"/>
                <w:sz w:val="14"/>
                <w:szCs w:val="22"/>
              </w:rPr>
              <w:tab/>
              <w:t xml:space="preserve">   </w:t>
            </w:r>
            <w:r w:rsidRPr="008C77D7">
              <w:rPr>
                <w:i/>
                <w:snapToGrid w:val="0"/>
                <w:sz w:val="14"/>
                <w:szCs w:val="16"/>
              </w:rPr>
              <w:t>UPOV-A1: 2(a)(iii)</w:t>
            </w:r>
          </w:p>
          <w:p w:rsidR="005A7D7C" w:rsidRPr="008C77D7" w:rsidRDefault="005A7D7C" w:rsidP="005A7D7C">
            <w:pPr>
              <w:tabs>
                <w:tab w:val="left" w:pos="199"/>
                <w:tab w:val="left" w:pos="1334"/>
                <w:tab w:val="right" w:pos="4310"/>
              </w:tabs>
              <w:rPr>
                <w:sz w:val="14"/>
                <w:u w:val="single"/>
              </w:rPr>
            </w:pPr>
            <w:r w:rsidRPr="008C77D7">
              <w:rPr>
                <w:color w:val="000000"/>
                <w:sz w:val="14"/>
              </w:rPr>
              <w:tab/>
              <w:t xml:space="preserve"> Faxnummer(n)</w:t>
            </w:r>
            <w:r w:rsidRPr="008C77D7">
              <w:rPr>
                <w:sz w:val="14"/>
                <w:u w:val="single"/>
              </w:rPr>
              <w:tab/>
            </w:r>
            <w:r w:rsidRPr="008C77D7">
              <w:rPr>
                <w:sz w:val="14"/>
                <w:u w:val="single"/>
              </w:rPr>
              <w:br/>
            </w:r>
            <w:r w:rsidRPr="008C77D7">
              <w:rPr>
                <w:snapToGrid w:val="0"/>
                <w:sz w:val="14"/>
                <w:szCs w:val="22"/>
              </w:rPr>
              <w:tab/>
              <w:t xml:space="preserve">   </w:t>
            </w:r>
            <w:r w:rsidRPr="008C77D7">
              <w:rPr>
                <w:i/>
                <w:snapToGrid w:val="0"/>
                <w:sz w:val="14"/>
                <w:szCs w:val="16"/>
              </w:rPr>
              <w:t>UPOV-A1: 2(a)(iv)</w:t>
            </w:r>
          </w:p>
          <w:p w:rsidR="005A7D7C" w:rsidRPr="008C77D7" w:rsidRDefault="005A7D7C" w:rsidP="005A7D7C">
            <w:pPr>
              <w:tabs>
                <w:tab w:val="left" w:pos="199"/>
                <w:tab w:val="left" w:pos="1334"/>
                <w:tab w:val="right" w:pos="4310"/>
              </w:tabs>
              <w:rPr>
                <w:sz w:val="14"/>
                <w:u w:val="single"/>
              </w:rPr>
            </w:pPr>
            <w:r w:rsidRPr="008C77D7">
              <w:rPr>
                <w:color w:val="000000"/>
                <w:sz w:val="14"/>
              </w:rPr>
              <w:tab/>
              <w:t xml:space="preserve"> E-Mail-Adresse(n)</w:t>
            </w:r>
            <w:r w:rsidRPr="008C77D7">
              <w:rPr>
                <w:sz w:val="14"/>
                <w:u w:val="single"/>
              </w:rPr>
              <w:tab/>
            </w:r>
          </w:p>
          <w:p w:rsidR="005A7D7C" w:rsidRPr="008C77D7" w:rsidRDefault="005A7D7C" w:rsidP="005A7D7C">
            <w:pPr>
              <w:tabs>
                <w:tab w:val="left" w:pos="199"/>
                <w:tab w:val="left" w:pos="1334"/>
                <w:tab w:val="right" w:pos="4310"/>
              </w:tabs>
              <w:rPr>
                <w:sz w:val="14"/>
              </w:rPr>
            </w:pPr>
            <w:r w:rsidRPr="008C77D7">
              <w:rPr>
                <w:snapToGrid w:val="0"/>
                <w:sz w:val="14"/>
                <w:szCs w:val="22"/>
              </w:rPr>
              <w:tab/>
              <w:t xml:space="preserve">   </w:t>
            </w:r>
            <w:r w:rsidRPr="008C77D7">
              <w:rPr>
                <w:i/>
                <w:snapToGrid w:val="0"/>
                <w:sz w:val="14"/>
                <w:szCs w:val="16"/>
              </w:rPr>
              <w:t>UPOV-A1: 2(a)(v)</w:t>
            </w:r>
          </w:p>
          <w:p w:rsidR="005A7D7C" w:rsidRPr="008C77D7" w:rsidRDefault="005A7D7C" w:rsidP="005A7D7C">
            <w:pPr>
              <w:tabs>
                <w:tab w:val="left" w:pos="198"/>
                <w:tab w:val="left" w:pos="482"/>
              </w:tabs>
              <w:spacing w:before="120"/>
              <w:rPr>
                <w:sz w:val="14"/>
              </w:rPr>
            </w:pPr>
            <w:r w:rsidRPr="008C77D7">
              <w:rPr>
                <w:sz w:val="14"/>
              </w:rPr>
              <w:tab/>
              <w:t>(b)</w:t>
            </w:r>
            <w:r w:rsidRPr="008C77D7">
              <w:rPr>
                <w:sz w:val="14"/>
              </w:rPr>
              <w:tab/>
              <w:t xml:space="preserve"> Dies sind der Name und die Anschrift:</w:t>
            </w:r>
          </w:p>
          <w:p w:rsidR="005A7D7C" w:rsidRPr="008C77D7" w:rsidRDefault="005A7D7C" w:rsidP="005A7D7C">
            <w:pPr>
              <w:tabs>
                <w:tab w:val="left" w:pos="482"/>
                <w:tab w:val="left" w:pos="908"/>
              </w:tabs>
              <w:rPr>
                <w:sz w:val="14"/>
              </w:rPr>
            </w:pPr>
            <w:r w:rsidRPr="008C77D7">
              <w:rPr>
                <w:sz w:val="14"/>
              </w:rPr>
              <w:tab/>
              <w:t>□</w:t>
            </w:r>
            <w:r w:rsidRPr="008C77D7">
              <w:rPr>
                <w:sz w:val="14"/>
              </w:rPr>
              <w:tab/>
              <w:t>eines Anmelders</w:t>
            </w:r>
          </w:p>
          <w:p w:rsidR="005A7D7C" w:rsidRPr="008C77D7" w:rsidRDefault="005A7D7C" w:rsidP="005A7D7C">
            <w:pPr>
              <w:tabs>
                <w:tab w:val="left" w:pos="908"/>
                <w:tab w:val="left" w:pos="1334"/>
                <w:tab w:val="right" w:pos="4310"/>
              </w:tabs>
              <w:rPr>
                <w:sz w:val="14"/>
              </w:rPr>
            </w:pPr>
            <w:r w:rsidRPr="008C77D7">
              <w:rPr>
                <w:snapToGrid w:val="0"/>
                <w:sz w:val="14"/>
                <w:szCs w:val="22"/>
              </w:rPr>
              <w:tab/>
              <w:t xml:space="preserve">   </w:t>
            </w:r>
            <w:r w:rsidRPr="008C77D7">
              <w:rPr>
                <w:i/>
                <w:snapToGrid w:val="0"/>
                <w:sz w:val="14"/>
                <w:szCs w:val="16"/>
              </w:rPr>
              <w:t>UPOV-A1: 2(b)(i)</w:t>
            </w:r>
          </w:p>
          <w:p w:rsidR="005A7D7C" w:rsidRPr="008C77D7" w:rsidRDefault="005A7D7C" w:rsidP="005A7D7C">
            <w:pPr>
              <w:tabs>
                <w:tab w:val="left" w:pos="482"/>
                <w:tab w:val="left" w:pos="908"/>
              </w:tabs>
              <w:ind w:right="-85"/>
              <w:jc w:val="left"/>
              <w:rPr>
                <w:sz w:val="14"/>
              </w:rPr>
            </w:pPr>
            <w:r w:rsidRPr="008C77D7">
              <w:rPr>
                <w:sz w:val="14"/>
              </w:rPr>
              <w:tab/>
              <w:t>□</w:t>
            </w:r>
            <w:r w:rsidRPr="008C77D7">
              <w:rPr>
                <w:sz w:val="14"/>
              </w:rPr>
              <w:tab/>
              <w:t>des Verfahrensvertreters/</w:t>
            </w:r>
            <w:r w:rsidRPr="008C77D7">
              <w:rPr>
                <w:sz w:val="14"/>
              </w:rPr>
              <w:tab/>
            </w:r>
            <w:r w:rsidRPr="008C77D7">
              <w:rPr>
                <w:sz w:val="14"/>
              </w:rPr>
              <w:noBreakHyphen/>
              <w:t>bevollmächtigten</w:t>
            </w:r>
          </w:p>
          <w:p w:rsidR="005A7D7C" w:rsidRPr="008C77D7" w:rsidRDefault="005A7D7C" w:rsidP="005A7D7C">
            <w:pPr>
              <w:tabs>
                <w:tab w:val="left" w:pos="908"/>
                <w:tab w:val="left" w:pos="1334"/>
                <w:tab w:val="right" w:pos="4310"/>
              </w:tabs>
              <w:rPr>
                <w:sz w:val="14"/>
              </w:rPr>
            </w:pPr>
            <w:r w:rsidRPr="008C77D7">
              <w:rPr>
                <w:snapToGrid w:val="0"/>
                <w:sz w:val="14"/>
                <w:szCs w:val="22"/>
              </w:rPr>
              <w:tab/>
              <w:t xml:space="preserve">   </w:t>
            </w:r>
            <w:r w:rsidRPr="008C77D7">
              <w:rPr>
                <w:i/>
                <w:snapToGrid w:val="0"/>
                <w:sz w:val="14"/>
                <w:szCs w:val="16"/>
              </w:rPr>
              <w:t>UPOV-A1: 2(b)(ii)</w:t>
            </w:r>
          </w:p>
          <w:p w:rsidR="005A7D7C" w:rsidRPr="008C77D7" w:rsidRDefault="005A7D7C" w:rsidP="005A7D7C">
            <w:pPr>
              <w:tabs>
                <w:tab w:val="left" w:pos="482"/>
                <w:tab w:val="left" w:pos="908"/>
              </w:tabs>
              <w:spacing w:after="120"/>
              <w:rPr>
                <w:strike/>
                <w:sz w:val="14"/>
              </w:rPr>
            </w:pPr>
          </w:p>
        </w:tc>
        <w:tc>
          <w:tcPr>
            <w:tcW w:w="182" w:type="dxa"/>
            <w:gridSpan w:val="2"/>
            <w:vMerge w:val="restart"/>
            <w:tcBorders>
              <w:top w:val="nil"/>
              <w:right w:val="nil"/>
            </w:tcBorders>
          </w:tcPr>
          <w:p w:rsidR="005A7D7C" w:rsidRPr="008C77D7" w:rsidRDefault="005A7D7C" w:rsidP="005A7D7C">
            <w:pPr>
              <w:tabs>
                <w:tab w:val="left" w:pos="482"/>
              </w:tabs>
              <w:spacing w:before="40"/>
              <w:jc w:val="center"/>
              <w:rPr>
                <w:sz w:val="14"/>
              </w:rPr>
            </w:pPr>
          </w:p>
        </w:tc>
        <w:tc>
          <w:tcPr>
            <w:tcW w:w="1168" w:type="dxa"/>
            <w:tcBorders>
              <w:top w:val="nil"/>
              <w:left w:val="nil"/>
              <w:bottom w:val="single" w:sz="6" w:space="0" w:color="000000"/>
              <w:right w:val="nil"/>
            </w:tcBorders>
          </w:tcPr>
          <w:p w:rsidR="005A7D7C" w:rsidRPr="008C77D7" w:rsidRDefault="005A7D7C" w:rsidP="005A7D7C">
            <w:pPr>
              <w:tabs>
                <w:tab w:val="left" w:pos="482"/>
              </w:tabs>
              <w:spacing w:before="40"/>
              <w:ind w:left="-64"/>
              <w:jc w:val="center"/>
              <w:rPr>
                <w:sz w:val="14"/>
              </w:rPr>
            </w:pPr>
          </w:p>
        </w:tc>
      </w:tr>
      <w:tr w:rsidR="005A7D7C" w:rsidRPr="008C77D7" w:rsidTr="005A7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4941" w:type="dxa"/>
            <w:gridSpan w:val="2"/>
            <w:vMerge/>
          </w:tcPr>
          <w:p w:rsidR="005A7D7C" w:rsidRPr="008C77D7" w:rsidRDefault="005A7D7C" w:rsidP="005A7D7C">
            <w:pPr>
              <w:spacing w:before="40"/>
              <w:rPr>
                <w:sz w:val="14"/>
              </w:rPr>
            </w:pPr>
          </w:p>
        </w:tc>
        <w:tc>
          <w:tcPr>
            <w:tcW w:w="4552" w:type="dxa"/>
            <w:gridSpan w:val="2"/>
            <w:vMerge/>
            <w:shd w:val="clear" w:color="auto" w:fill="auto"/>
          </w:tcPr>
          <w:p w:rsidR="005A7D7C" w:rsidRPr="008C77D7" w:rsidRDefault="005A7D7C" w:rsidP="005A7D7C">
            <w:pPr>
              <w:tabs>
                <w:tab w:val="left" w:pos="482"/>
              </w:tabs>
              <w:spacing w:before="40"/>
              <w:rPr>
                <w:sz w:val="14"/>
              </w:rPr>
            </w:pPr>
          </w:p>
        </w:tc>
        <w:tc>
          <w:tcPr>
            <w:tcW w:w="182" w:type="dxa"/>
            <w:gridSpan w:val="2"/>
            <w:vMerge/>
            <w:tcBorders>
              <w:bottom w:val="nil"/>
              <w:right w:val="single" w:sz="6" w:space="0" w:color="000000"/>
            </w:tcBorders>
          </w:tcPr>
          <w:p w:rsidR="005A7D7C" w:rsidRPr="008C77D7" w:rsidRDefault="005A7D7C" w:rsidP="005A7D7C">
            <w:pPr>
              <w:tabs>
                <w:tab w:val="left" w:pos="482"/>
              </w:tabs>
              <w:spacing w:before="40"/>
              <w:jc w:val="center"/>
              <w:rPr>
                <w:sz w:val="14"/>
              </w:rPr>
            </w:pPr>
          </w:p>
        </w:tc>
        <w:tc>
          <w:tcPr>
            <w:tcW w:w="1168" w:type="dxa"/>
            <w:tcBorders>
              <w:top w:val="single" w:sz="6" w:space="0" w:color="000000"/>
              <w:left w:val="single" w:sz="6" w:space="0" w:color="000000"/>
              <w:bottom w:val="single" w:sz="6" w:space="0" w:color="000000"/>
              <w:right w:val="single" w:sz="6" w:space="0" w:color="000000"/>
            </w:tcBorders>
          </w:tcPr>
          <w:p w:rsidR="005A7D7C" w:rsidRPr="008C77D7" w:rsidRDefault="005A7D7C" w:rsidP="005A7D7C">
            <w:pPr>
              <w:tabs>
                <w:tab w:val="left" w:pos="482"/>
              </w:tabs>
              <w:spacing w:before="120" w:after="120"/>
              <w:ind w:left="-62"/>
              <w:jc w:val="center"/>
              <w:rPr>
                <w:sz w:val="14"/>
              </w:rPr>
            </w:pPr>
            <w:r w:rsidRPr="008C77D7">
              <w:rPr>
                <w:sz w:val="14"/>
              </w:rPr>
              <w:t>NUR ZUM AMTLICHEN</w:t>
            </w:r>
            <w:r w:rsidRPr="008C77D7">
              <w:rPr>
                <w:sz w:val="14"/>
              </w:rPr>
              <w:br/>
              <w:t>GEBRAUCH</w:t>
            </w:r>
          </w:p>
        </w:tc>
      </w:tr>
      <w:tr w:rsidR="005A7D7C" w:rsidRPr="008C77D7" w:rsidTr="005A7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4941" w:type="dxa"/>
            <w:gridSpan w:val="2"/>
            <w:vMerge/>
          </w:tcPr>
          <w:p w:rsidR="005A7D7C" w:rsidRPr="008C77D7" w:rsidRDefault="005A7D7C" w:rsidP="005A7D7C">
            <w:pPr>
              <w:spacing w:before="40"/>
              <w:rPr>
                <w:sz w:val="14"/>
              </w:rPr>
            </w:pPr>
          </w:p>
        </w:tc>
        <w:tc>
          <w:tcPr>
            <w:tcW w:w="4552" w:type="dxa"/>
            <w:gridSpan w:val="2"/>
            <w:vMerge/>
            <w:shd w:val="clear" w:color="auto" w:fill="auto"/>
          </w:tcPr>
          <w:p w:rsidR="005A7D7C" w:rsidRPr="008C77D7" w:rsidRDefault="005A7D7C" w:rsidP="005A7D7C">
            <w:pPr>
              <w:tabs>
                <w:tab w:val="left" w:pos="482"/>
              </w:tabs>
              <w:spacing w:before="40"/>
              <w:rPr>
                <w:sz w:val="14"/>
              </w:rPr>
            </w:pPr>
          </w:p>
        </w:tc>
        <w:tc>
          <w:tcPr>
            <w:tcW w:w="182" w:type="dxa"/>
            <w:gridSpan w:val="2"/>
            <w:vMerge/>
            <w:tcBorders>
              <w:top w:val="nil"/>
              <w:bottom w:val="nil"/>
              <w:right w:val="nil"/>
            </w:tcBorders>
          </w:tcPr>
          <w:p w:rsidR="005A7D7C" w:rsidRPr="008C77D7" w:rsidRDefault="005A7D7C" w:rsidP="005A7D7C">
            <w:pPr>
              <w:tabs>
                <w:tab w:val="left" w:pos="482"/>
              </w:tabs>
              <w:spacing w:before="40"/>
              <w:jc w:val="center"/>
              <w:rPr>
                <w:sz w:val="14"/>
              </w:rPr>
            </w:pPr>
          </w:p>
        </w:tc>
        <w:tc>
          <w:tcPr>
            <w:tcW w:w="1168" w:type="dxa"/>
            <w:tcBorders>
              <w:top w:val="single" w:sz="6" w:space="0" w:color="000000"/>
              <w:left w:val="nil"/>
              <w:bottom w:val="nil"/>
              <w:right w:val="nil"/>
            </w:tcBorders>
          </w:tcPr>
          <w:p w:rsidR="005A7D7C" w:rsidRPr="008C77D7" w:rsidRDefault="005A7D7C" w:rsidP="005A7D7C">
            <w:pPr>
              <w:tabs>
                <w:tab w:val="left" w:pos="482"/>
              </w:tabs>
              <w:spacing w:before="40"/>
              <w:ind w:left="-64"/>
              <w:jc w:val="center"/>
              <w:rPr>
                <w:sz w:val="14"/>
              </w:rPr>
            </w:pPr>
          </w:p>
        </w:tc>
      </w:tr>
      <w:tr w:rsidR="005A7D7C" w:rsidRPr="008C77D7" w:rsidTr="005A7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9493" w:type="dxa"/>
            <w:gridSpan w:val="4"/>
          </w:tcPr>
          <w:p w:rsidR="005A7D7C" w:rsidRPr="008C77D7" w:rsidRDefault="005A7D7C" w:rsidP="005A7D7C">
            <w:pPr>
              <w:tabs>
                <w:tab w:val="left" w:pos="198"/>
                <w:tab w:val="left" w:pos="555"/>
                <w:tab w:val="left" w:pos="2268"/>
                <w:tab w:val="right" w:pos="9221"/>
              </w:tabs>
              <w:spacing w:before="40"/>
              <w:rPr>
                <w:sz w:val="14"/>
              </w:rPr>
            </w:pPr>
            <w:r w:rsidRPr="008C77D7">
              <w:rPr>
                <w:sz w:val="14"/>
              </w:rPr>
              <w:t>3.</w:t>
            </w:r>
            <w:r w:rsidRPr="008C77D7">
              <w:rPr>
                <w:sz w:val="14"/>
              </w:rPr>
              <w:tab/>
            </w:r>
            <w:r w:rsidRPr="008C77D7">
              <w:rPr>
                <w:color w:val="000000"/>
                <w:sz w:val="14"/>
              </w:rPr>
              <w:t>(a)</w:t>
            </w:r>
            <w:r w:rsidRPr="008C77D7">
              <w:rPr>
                <w:color w:val="000000"/>
                <w:sz w:val="14"/>
              </w:rPr>
              <w:tab/>
            </w:r>
            <w:r w:rsidRPr="008C77D7">
              <w:rPr>
                <w:sz w:val="14"/>
              </w:rPr>
              <w:t xml:space="preserve"> Botanischer Name:</w:t>
            </w:r>
            <w:r w:rsidRPr="008C77D7">
              <w:rPr>
                <w:sz w:val="14"/>
              </w:rPr>
              <w:tab/>
            </w:r>
            <w:r w:rsidRPr="008C77D7">
              <w:rPr>
                <w:sz w:val="14"/>
                <w:u w:val="single"/>
              </w:rPr>
              <w:tab/>
            </w:r>
            <w:r w:rsidRPr="008C77D7">
              <w:rPr>
                <w:sz w:val="14"/>
                <w:u w:val="single"/>
              </w:rPr>
              <w:br/>
            </w:r>
            <w:r w:rsidRPr="008C77D7">
              <w:rPr>
                <w:snapToGrid w:val="0"/>
                <w:sz w:val="14"/>
                <w:szCs w:val="22"/>
              </w:rPr>
              <w:tab/>
            </w:r>
            <w:r w:rsidRPr="008C77D7">
              <w:rPr>
                <w:snapToGrid w:val="0"/>
                <w:sz w:val="14"/>
                <w:szCs w:val="22"/>
              </w:rPr>
              <w:tab/>
              <w:t xml:space="preserve">   </w:t>
            </w:r>
            <w:r w:rsidRPr="008C77D7">
              <w:rPr>
                <w:i/>
                <w:snapToGrid w:val="0"/>
                <w:sz w:val="14"/>
                <w:szCs w:val="16"/>
              </w:rPr>
              <w:t>UPOV-A1: 3(a)</w:t>
            </w:r>
          </w:p>
          <w:p w:rsidR="005A7D7C" w:rsidRPr="008C77D7" w:rsidRDefault="005A7D7C" w:rsidP="005A7D7C">
            <w:pPr>
              <w:tabs>
                <w:tab w:val="left" w:pos="198"/>
                <w:tab w:val="left" w:pos="567"/>
                <w:tab w:val="left" w:pos="2268"/>
                <w:tab w:val="right" w:pos="9221"/>
              </w:tabs>
              <w:rPr>
                <w:sz w:val="14"/>
              </w:rPr>
            </w:pPr>
            <w:r w:rsidRPr="008C77D7">
              <w:rPr>
                <w:color w:val="000000"/>
                <w:sz w:val="14"/>
              </w:rPr>
              <w:tab/>
              <w:t>(b)</w:t>
            </w:r>
            <w:r w:rsidRPr="008C77D7">
              <w:rPr>
                <w:color w:val="000000"/>
                <w:sz w:val="14"/>
              </w:rPr>
              <w:tab/>
            </w:r>
            <w:r w:rsidRPr="008C77D7">
              <w:rPr>
                <w:sz w:val="14"/>
              </w:rPr>
              <w:t xml:space="preserve"> Landesüblicher Name:</w:t>
            </w:r>
            <w:r w:rsidRPr="008C77D7">
              <w:rPr>
                <w:color w:val="000000"/>
                <w:sz w:val="14"/>
                <w:u w:val="single"/>
              </w:rPr>
              <w:tab/>
            </w:r>
            <w:r w:rsidRPr="008C77D7">
              <w:rPr>
                <w:color w:val="000000"/>
                <w:sz w:val="14"/>
                <w:u w:val="single"/>
              </w:rPr>
              <w:br/>
            </w:r>
            <w:r w:rsidRPr="008C77D7">
              <w:rPr>
                <w:snapToGrid w:val="0"/>
                <w:sz w:val="14"/>
                <w:szCs w:val="22"/>
              </w:rPr>
              <w:tab/>
            </w:r>
            <w:r w:rsidRPr="008C77D7">
              <w:rPr>
                <w:snapToGrid w:val="0"/>
                <w:sz w:val="14"/>
                <w:szCs w:val="22"/>
              </w:rPr>
              <w:tab/>
              <w:t xml:space="preserve">   </w:t>
            </w:r>
            <w:r w:rsidRPr="008C77D7">
              <w:rPr>
                <w:i/>
                <w:snapToGrid w:val="0"/>
                <w:sz w:val="14"/>
                <w:szCs w:val="16"/>
              </w:rPr>
              <w:t>UPOV-A1: 3(b)</w:t>
            </w:r>
          </w:p>
        </w:tc>
        <w:tc>
          <w:tcPr>
            <w:tcW w:w="170" w:type="dxa"/>
            <w:tcBorders>
              <w:top w:val="nil"/>
              <w:bottom w:val="nil"/>
              <w:right w:val="nil"/>
            </w:tcBorders>
          </w:tcPr>
          <w:p w:rsidR="005A7D7C" w:rsidRPr="008C77D7" w:rsidRDefault="005A7D7C" w:rsidP="005A7D7C">
            <w:pPr>
              <w:tabs>
                <w:tab w:val="left" w:pos="198"/>
                <w:tab w:val="left" w:pos="555"/>
                <w:tab w:val="left" w:pos="2268"/>
                <w:tab w:val="right" w:pos="8925"/>
              </w:tabs>
              <w:spacing w:before="40"/>
              <w:jc w:val="center"/>
              <w:rPr>
                <w:sz w:val="14"/>
              </w:rPr>
            </w:pPr>
          </w:p>
        </w:tc>
        <w:tc>
          <w:tcPr>
            <w:tcW w:w="1180" w:type="dxa"/>
            <w:gridSpan w:val="2"/>
            <w:tcBorders>
              <w:top w:val="nil"/>
              <w:left w:val="nil"/>
              <w:bottom w:val="nil"/>
              <w:right w:val="nil"/>
            </w:tcBorders>
          </w:tcPr>
          <w:p w:rsidR="005A7D7C" w:rsidRPr="008C77D7" w:rsidRDefault="005A7D7C" w:rsidP="005A7D7C">
            <w:pPr>
              <w:tabs>
                <w:tab w:val="left" w:pos="198"/>
                <w:tab w:val="left" w:pos="555"/>
                <w:tab w:val="left" w:pos="2268"/>
                <w:tab w:val="right" w:pos="8925"/>
              </w:tabs>
              <w:spacing w:before="40"/>
              <w:rPr>
                <w:sz w:val="14"/>
              </w:rPr>
            </w:pPr>
          </w:p>
        </w:tc>
      </w:tr>
      <w:tr w:rsidR="005A7D7C" w:rsidRPr="008C77D7" w:rsidTr="005A7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9493" w:type="dxa"/>
            <w:gridSpan w:val="4"/>
          </w:tcPr>
          <w:p w:rsidR="005A7D7C" w:rsidRPr="008C77D7" w:rsidRDefault="005A7D7C" w:rsidP="005A7D7C">
            <w:pPr>
              <w:tabs>
                <w:tab w:val="left" w:pos="198"/>
                <w:tab w:val="left" w:pos="567"/>
                <w:tab w:val="right" w:pos="9221"/>
              </w:tabs>
              <w:spacing w:before="40"/>
              <w:rPr>
                <w:sz w:val="14"/>
              </w:rPr>
            </w:pPr>
            <w:r w:rsidRPr="008C77D7">
              <w:rPr>
                <w:sz w:val="14"/>
              </w:rPr>
              <w:t>4.</w:t>
            </w:r>
            <w:r w:rsidRPr="008C77D7">
              <w:rPr>
                <w:sz w:val="14"/>
              </w:rPr>
              <w:tab/>
              <w:t>(a)</w:t>
            </w:r>
            <w:r w:rsidRPr="008C77D7">
              <w:rPr>
                <w:sz w:val="14"/>
              </w:rPr>
              <w:tab/>
              <w:t xml:space="preserve"> Vorgeschlagene Sortenbezeichnung (in Blockschrift):  </w:t>
            </w:r>
            <w:r w:rsidRPr="008C77D7">
              <w:rPr>
                <w:sz w:val="14"/>
                <w:u w:val="single"/>
              </w:rPr>
              <w:tab/>
            </w:r>
            <w:r w:rsidRPr="008C77D7">
              <w:rPr>
                <w:sz w:val="14"/>
                <w:u w:val="single"/>
              </w:rPr>
              <w:br/>
            </w:r>
            <w:r w:rsidRPr="008C77D7">
              <w:rPr>
                <w:snapToGrid w:val="0"/>
                <w:sz w:val="14"/>
                <w:szCs w:val="22"/>
              </w:rPr>
              <w:tab/>
            </w:r>
            <w:r w:rsidRPr="008C77D7">
              <w:rPr>
                <w:snapToGrid w:val="0"/>
                <w:sz w:val="14"/>
                <w:szCs w:val="22"/>
              </w:rPr>
              <w:tab/>
              <w:t xml:space="preserve">   </w:t>
            </w:r>
            <w:r w:rsidRPr="008C77D7">
              <w:rPr>
                <w:i/>
                <w:snapToGrid w:val="0"/>
                <w:sz w:val="14"/>
                <w:szCs w:val="16"/>
              </w:rPr>
              <w:t>UPOV-A1: 4(a)</w:t>
            </w:r>
          </w:p>
          <w:p w:rsidR="005A7D7C" w:rsidRPr="008C77D7" w:rsidRDefault="005A7D7C" w:rsidP="005A7D7C">
            <w:pPr>
              <w:tabs>
                <w:tab w:val="left" w:pos="142"/>
                <w:tab w:val="left" w:pos="198"/>
                <w:tab w:val="left" w:pos="567"/>
                <w:tab w:val="right" w:pos="9221"/>
              </w:tabs>
              <w:ind w:left="57"/>
              <w:rPr>
                <w:sz w:val="14"/>
              </w:rPr>
            </w:pPr>
            <w:r w:rsidRPr="008C77D7">
              <w:rPr>
                <w:sz w:val="14"/>
              </w:rPr>
              <w:tab/>
            </w:r>
            <w:r w:rsidRPr="008C77D7">
              <w:rPr>
                <w:sz w:val="14"/>
              </w:rPr>
              <w:tab/>
              <w:t>(b)</w:t>
            </w:r>
            <w:r w:rsidRPr="008C77D7">
              <w:rPr>
                <w:sz w:val="14"/>
              </w:rPr>
              <w:tab/>
              <w:t xml:space="preserve"> Anmeldebezeichnung: </w:t>
            </w:r>
            <w:r w:rsidRPr="008C77D7">
              <w:rPr>
                <w:sz w:val="14"/>
                <w:u w:val="single"/>
              </w:rPr>
              <w:tab/>
            </w:r>
          </w:p>
          <w:p w:rsidR="005A7D7C" w:rsidRPr="008C77D7" w:rsidRDefault="005A7D7C" w:rsidP="005A7D7C">
            <w:pPr>
              <w:tabs>
                <w:tab w:val="left" w:pos="142"/>
                <w:tab w:val="left" w:pos="198"/>
                <w:tab w:val="left" w:pos="567"/>
                <w:tab w:val="right" w:pos="8931"/>
              </w:tabs>
              <w:ind w:left="57"/>
              <w:rPr>
                <w:sz w:val="14"/>
              </w:rPr>
            </w:pPr>
            <w:r w:rsidRPr="008C77D7">
              <w:rPr>
                <w:snapToGrid w:val="0"/>
                <w:sz w:val="14"/>
                <w:szCs w:val="22"/>
              </w:rPr>
              <w:tab/>
            </w:r>
            <w:r w:rsidRPr="008C77D7">
              <w:rPr>
                <w:snapToGrid w:val="0"/>
                <w:sz w:val="14"/>
                <w:szCs w:val="22"/>
              </w:rPr>
              <w:tab/>
            </w:r>
            <w:r w:rsidRPr="008C77D7">
              <w:rPr>
                <w:snapToGrid w:val="0"/>
                <w:sz w:val="14"/>
                <w:szCs w:val="22"/>
              </w:rPr>
              <w:tab/>
              <w:t xml:space="preserve">   </w:t>
            </w:r>
            <w:r w:rsidRPr="008C77D7">
              <w:rPr>
                <w:i/>
                <w:snapToGrid w:val="0"/>
                <w:sz w:val="14"/>
                <w:szCs w:val="16"/>
              </w:rPr>
              <w:t>UPOV-A1: 4(b)</w:t>
            </w:r>
            <w:r w:rsidRPr="008C77D7">
              <w:rPr>
                <w:sz w:val="14"/>
              </w:rPr>
              <w:tab/>
              <w:t xml:space="preserve"> </w:t>
            </w:r>
          </w:p>
        </w:tc>
        <w:tc>
          <w:tcPr>
            <w:tcW w:w="170" w:type="dxa"/>
            <w:tcBorders>
              <w:top w:val="nil"/>
              <w:bottom w:val="nil"/>
              <w:right w:val="nil"/>
            </w:tcBorders>
          </w:tcPr>
          <w:p w:rsidR="005A7D7C" w:rsidRPr="008C77D7" w:rsidRDefault="005A7D7C" w:rsidP="005A7D7C">
            <w:pPr>
              <w:tabs>
                <w:tab w:val="left" w:pos="198"/>
                <w:tab w:val="left" w:pos="567"/>
                <w:tab w:val="right" w:pos="8931"/>
              </w:tabs>
              <w:spacing w:before="40"/>
              <w:jc w:val="center"/>
              <w:rPr>
                <w:sz w:val="14"/>
              </w:rPr>
            </w:pPr>
          </w:p>
        </w:tc>
        <w:tc>
          <w:tcPr>
            <w:tcW w:w="1180" w:type="dxa"/>
            <w:gridSpan w:val="2"/>
            <w:tcBorders>
              <w:top w:val="nil"/>
              <w:left w:val="nil"/>
              <w:bottom w:val="nil"/>
              <w:right w:val="nil"/>
            </w:tcBorders>
          </w:tcPr>
          <w:p w:rsidR="005A7D7C" w:rsidRPr="008C77D7" w:rsidRDefault="005A7D7C" w:rsidP="005A7D7C">
            <w:pPr>
              <w:tabs>
                <w:tab w:val="left" w:pos="198"/>
                <w:tab w:val="left" w:pos="567"/>
                <w:tab w:val="right" w:pos="8931"/>
              </w:tabs>
              <w:spacing w:before="40"/>
              <w:rPr>
                <w:sz w:val="14"/>
              </w:rPr>
            </w:pPr>
          </w:p>
        </w:tc>
      </w:tr>
      <w:tr w:rsidR="005A7D7C" w:rsidRPr="008C77D7" w:rsidTr="005A7D7C">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Ex>
        <w:trPr>
          <w:cantSplit/>
          <w:jc w:val="center"/>
        </w:trPr>
        <w:tc>
          <w:tcPr>
            <w:tcW w:w="9493" w:type="dxa"/>
            <w:gridSpan w:val="4"/>
          </w:tcPr>
          <w:p w:rsidR="005A7D7C" w:rsidRPr="008C77D7" w:rsidRDefault="005A7D7C" w:rsidP="005A7D7C">
            <w:pPr>
              <w:tabs>
                <w:tab w:val="left" w:pos="198"/>
                <w:tab w:val="left" w:pos="567"/>
                <w:tab w:val="left" w:pos="3686"/>
                <w:tab w:val="left" w:pos="6237"/>
              </w:tabs>
              <w:spacing w:before="40"/>
              <w:rPr>
                <w:sz w:val="14"/>
              </w:rPr>
            </w:pPr>
            <w:r w:rsidRPr="008C77D7">
              <w:rPr>
                <w:sz w:val="14"/>
              </w:rPr>
              <w:t>5.</w:t>
            </w:r>
            <w:r w:rsidRPr="008C77D7">
              <w:rPr>
                <w:sz w:val="14"/>
              </w:rPr>
              <w:tab/>
              <w:t>(a)</w:t>
            </w:r>
            <w:r w:rsidRPr="008C77D7">
              <w:rPr>
                <w:sz w:val="14"/>
              </w:rPr>
              <w:tab/>
              <w:t xml:space="preserve"> Die Person(en), die die Sorte hervorbrachte(n) oder entdeckte(n) und entwickelte(n), ist (sind)</w:t>
            </w:r>
          </w:p>
          <w:p w:rsidR="005A7D7C" w:rsidRPr="008C77D7" w:rsidRDefault="005A7D7C" w:rsidP="005A7D7C">
            <w:pPr>
              <w:tabs>
                <w:tab w:val="left" w:pos="198"/>
                <w:tab w:val="left" w:pos="567"/>
                <w:tab w:val="left" w:pos="876"/>
                <w:tab w:val="left" w:pos="3035"/>
                <w:tab w:val="left" w:pos="3402"/>
                <w:tab w:val="left" w:pos="5580"/>
                <w:tab w:val="right" w:pos="9221"/>
              </w:tabs>
              <w:rPr>
                <w:sz w:val="14"/>
              </w:rPr>
            </w:pPr>
            <w:r w:rsidRPr="008C77D7">
              <w:rPr>
                <w:sz w:val="14"/>
              </w:rPr>
              <w:tab/>
            </w:r>
            <w:r w:rsidRPr="008C77D7">
              <w:rPr>
                <w:sz w:val="14"/>
              </w:rPr>
              <w:tab/>
              <w:t>□</w:t>
            </w:r>
            <w:r w:rsidRPr="008C77D7">
              <w:rPr>
                <w:sz w:val="14"/>
              </w:rPr>
              <w:tab/>
              <w:t xml:space="preserve"> der (alle) Anmelder </w:t>
            </w:r>
            <w:r w:rsidRPr="008C77D7">
              <w:rPr>
                <w:sz w:val="14"/>
              </w:rPr>
              <w:tab/>
              <w:t xml:space="preserve"> folgende Person(en):  ____________________________________</w:t>
            </w:r>
            <w:r w:rsidRPr="008C77D7">
              <w:rPr>
                <w:sz w:val="14"/>
              </w:rPr>
              <w:br/>
            </w:r>
            <w:r w:rsidRPr="008C77D7">
              <w:rPr>
                <w:snapToGrid w:val="0"/>
                <w:sz w:val="14"/>
                <w:szCs w:val="22"/>
              </w:rPr>
              <w:tab/>
            </w:r>
            <w:r w:rsidRPr="008C77D7">
              <w:rPr>
                <w:snapToGrid w:val="0"/>
                <w:sz w:val="14"/>
                <w:szCs w:val="22"/>
              </w:rPr>
              <w:tab/>
            </w:r>
            <w:r w:rsidRPr="008C77D7">
              <w:rPr>
                <w:snapToGrid w:val="0"/>
                <w:sz w:val="14"/>
                <w:szCs w:val="22"/>
              </w:rPr>
              <w:tab/>
            </w:r>
            <w:r w:rsidRPr="008C77D7">
              <w:rPr>
                <w:snapToGrid w:val="0"/>
                <w:sz w:val="14"/>
              </w:rPr>
              <w:t xml:space="preserve">   </w:t>
            </w:r>
            <w:r w:rsidRPr="008C77D7">
              <w:rPr>
                <w:i/>
                <w:snapToGrid w:val="0"/>
                <w:sz w:val="14"/>
                <w:szCs w:val="16"/>
              </w:rPr>
              <w:t>UPOV-A1: 5(a)(i)</w:t>
            </w:r>
            <w:r w:rsidRPr="008C77D7">
              <w:rPr>
                <w:i/>
                <w:snapToGrid w:val="0"/>
                <w:sz w:val="14"/>
                <w:szCs w:val="16"/>
              </w:rPr>
              <w:tab/>
            </w:r>
            <w:r w:rsidRPr="008C77D7">
              <w:rPr>
                <w:i/>
                <w:snapToGrid w:val="0"/>
                <w:sz w:val="14"/>
                <w:szCs w:val="16"/>
              </w:rPr>
              <w:tab/>
            </w:r>
            <w:r w:rsidRPr="008C77D7">
              <w:rPr>
                <w:snapToGrid w:val="0"/>
                <w:sz w:val="14"/>
              </w:rPr>
              <w:t xml:space="preserve">   </w:t>
            </w:r>
            <w:r w:rsidRPr="008C77D7">
              <w:rPr>
                <w:i/>
                <w:snapToGrid w:val="0"/>
                <w:sz w:val="14"/>
                <w:szCs w:val="16"/>
              </w:rPr>
              <w:t>UPOV-A1: 5(a)(ii)</w:t>
            </w:r>
            <w:r w:rsidRPr="008C77D7">
              <w:rPr>
                <w:i/>
                <w:snapToGrid w:val="0"/>
                <w:sz w:val="14"/>
                <w:szCs w:val="16"/>
              </w:rPr>
              <w:tab/>
              <w:t xml:space="preserve">  UPOV-A1: 5(a)(iii)</w:t>
            </w:r>
          </w:p>
          <w:p w:rsidR="005A7D7C" w:rsidRPr="008C77D7" w:rsidRDefault="005A7D7C" w:rsidP="005A7D7C">
            <w:pPr>
              <w:tabs>
                <w:tab w:val="left" w:pos="198"/>
                <w:tab w:val="left" w:pos="251"/>
                <w:tab w:val="left" w:pos="567"/>
                <w:tab w:val="left" w:pos="851"/>
              </w:tabs>
              <w:ind w:left="567" w:hanging="567"/>
              <w:rPr>
                <w:sz w:val="14"/>
              </w:rPr>
            </w:pPr>
            <w:r w:rsidRPr="008C77D7">
              <w:rPr>
                <w:sz w:val="14"/>
              </w:rPr>
              <w:tab/>
              <w:t>(b)</w:t>
            </w:r>
            <w:r w:rsidRPr="008C77D7">
              <w:rPr>
                <w:sz w:val="14"/>
              </w:rPr>
              <w:tab/>
              <w:t xml:space="preserve"> Nach meinem/unserem Wissen gibt es keine andere(n) Person(en), die die Sorte hervorbrachte(n) oder </w:t>
            </w:r>
            <w:r w:rsidRPr="008C77D7">
              <w:rPr>
                <w:sz w:val="14"/>
              </w:rPr>
              <w:tab/>
              <w:t>entdeckte(n) und entwickelte(n).</w:t>
            </w:r>
            <w:r w:rsidRPr="008C77D7">
              <w:rPr>
                <w:sz w:val="14"/>
              </w:rPr>
              <w:br/>
            </w:r>
            <w:r w:rsidRPr="008C77D7">
              <w:rPr>
                <w:sz w:val="14"/>
              </w:rPr>
              <w:tab/>
              <w:t xml:space="preserve">   </w:t>
            </w:r>
            <w:r w:rsidRPr="008C77D7">
              <w:rPr>
                <w:i/>
                <w:snapToGrid w:val="0"/>
                <w:sz w:val="14"/>
                <w:szCs w:val="16"/>
              </w:rPr>
              <w:t>UPOV-A1: 5(b)</w:t>
            </w:r>
          </w:p>
          <w:p w:rsidR="005A7D7C" w:rsidRPr="008C77D7" w:rsidRDefault="005A7D7C" w:rsidP="005A7D7C">
            <w:pPr>
              <w:tabs>
                <w:tab w:val="left" w:pos="198"/>
                <w:tab w:val="left" w:pos="249"/>
              </w:tabs>
              <w:ind w:left="567" w:hanging="567"/>
              <w:rPr>
                <w:sz w:val="14"/>
              </w:rPr>
            </w:pPr>
            <w:r w:rsidRPr="008C77D7">
              <w:rPr>
                <w:sz w:val="14"/>
              </w:rPr>
              <w:tab/>
              <w:t>(c)</w:t>
            </w:r>
            <w:r w:rsidRPr="008C77D7">
              <w:rPr>
                <w:sz w:val="14"/>
              </w:rPr>
              <w:tab/>
              <w:t xml:space="preserve"> Die Sorte wurde von der(n) Person(en)</w:t>
            </w:r>
            <w:r w:rsidRPr="008C77D7">
              <w:rPr>
                <w:sz w:val="14"/>
                <w:vertAlign w:val="superscript"/>
              </w:rPr>
              <w:t>2</w:t>
            </w:r>
            <w:r w:rsidRPr="008C77D7">
              <w:rPr>
                <w:sz w:val="14"/>
              </w:rPr>
              <w:t xml:space="preserve">, die die Sorte hervorbrachte(n) oder entdeckte(n) und </w:t>
            </w:r>
            <w:r w:rsidRPr="008C77D7">
              <w:rPr>
                <w:sz w:val="14"/>
              </w:rPr>
              <w:tab/>
              <w:t>entwickelte(n), auf den (die) Anmelder übertragen durch:</w:t>
            </w:r>
          </w:p>
          <w:p w:rsidR="005A7D7C" w:rsidRPr="008C77D7" w:rsidRDefault="005A7D7C" w:rsidP="005A7D7C">
            <w:pPr>
              <w:tabs>
                <w:tab w:val="left" w:pos="198"/>
                <w:tab w:val="left" w:pos="567"/>
                <w:tab w:val="left" w:pos="993"/>
                <w:tab w:val="right" w:pos="9221"/>
              </w:tabs>
              <w:ind w:left="908" w:hanging="908"/>
              <w:rPr>
                <w:sz w:val="14"/>
              </w:rPr>
            </w:pPr>
            <w:r w:rsidRPr="008C77D7">
              <w:rPr>
                <w:sz w:val="14"/>
              </w:rPr>
              <w:tab/>
            </w:r>
            <w:r w:rsidRPr="008C77D7">
              <w:rPr>
                <w:sz w:val="14"/>
              </w:rPr>
              <w:tab/>
              <w:t>□</w:t>
            </w:r>
            <w:r w:rsidRPr="008C77D7">
              <w:rPr>
                <w:sz w:val="14"/>
              </w:rPr>
              <w:tab/>
              <w:t xml:space="preserve"> Vertrag  </w:t>
            </w:r>
            <w:r w:rsidRPr="008C77D7">
              <w:rPr>
                <w:sz w:val="14"/>
                <w:u w:val="single"/>
              </w:rPr>
              <w:tab/>
            </w:r>
            <w:r w:rsidRPr="008C77D7">
              <w:rPr>
                <w:sz w:val="14"/>
                <w:u w:val="single"/>
              </w:rPr>
              <w:br/>
            </w:r>
            <w:r w:rsidRPr="008C77D7">
              <w:rPr>
                <w:sz w:val="14"/>
              </w:rPr>
              <w:t xml:space="preserve">   </w:t>
            </w:r>
            <w:r w:rsidRPr="008C77D7">
              <w:rPr>
                <w:i/>
                <w:snapToGrid w:val="0"/>
                <w:sz w:val="14"/>
                <w:szCs w:val="16"/>
              </w:rPr>
              <w:t>UPOV-A1: 5(c)(i)</w:t>
            </w:r>
          </w:p>
          <w:p w:rsidR="005A7D7C" w:rsidRPr="008C77D7" w:rsidRDefault="005A7D7C" w:rsidP="005A7D7C">
            <w:pPr>
              <w:tabs>
                <w:tab w:val="left" w:pos="198"/>
                <w:tab w:val="left" w:pos="567"/>
                <w:tab w:val="left" w:pos="993"/>
                <w:tab w:val="right" w:pos="9221"/>
              </w:tabs>
              <w:ind w:left="908" w:hanging="908"/>
              <w:rPr>
                <w:sz w:val="14"/>
              </w:rPr>
            </w:pPr>
            <w:r w:rsidRPr="008C77D7">
              <w:rPr>
                <w:sz w:val="14"/>
              </w:rPr>
              <w:tab/>
            </w:r>
            <w:r w:rsidRPr="008C77D7">
              <w:rPr>
                <w:sz w:val="14"/>
              </w:rPr>
              <w:tab/>
              <w:t>□</w:t>
            </w:r>
            <w:r w:rsidRPr="008C77D7">
              <w:rPr>
                <w:sz w:val="14"/>
              </w:rPr>
              <w:tab/>
              <w:t xml:space="preserve"> Erbfolge  </w:t>
            </w:r>
            <w:r w:rsidRPr="008C77D7">
              <w:rPr>
                <w:sz w:val="14"/>
                <w:u w:val="single"/>
              </w:rPr>
              <w:tab/>
            </w:r>
            <w:r w:rsidRPr="008C77D7">
              <w:rPr>
                <w:sz w:val="14"/>
                <w:u w:val="single"/>
              </w:rPr>
              <w:br/>
            </w:r>
            <w:r w:rsidRPr="008C77D7">
              <w:rPr>
                <w:sz w:val="14"/>
              </w:rPr>
              <w:t xml:space="preserve">   </w:t>
            </w:r>
            <w:r w:rsidRPr="008C77D7">
              <w:rPr>
                <w:i/>
                <w:snapToGrid w:val="0"/>
                <w:sz w:val="14"/>
                <w:szCs w:val="16"/>
              </w:rPr>
              <w:t>UPOV-A1: 5(c)(ii)</w:t>
            </w:r>
          </w:p>
          <w:p w:rsidR="005A7D7C" w:rsidRPr="008C77D7" w:rsidRDefault="005A7D7C" w:rsidP="005A7D7C">
            <w:pPr>
              <w:tabs>
                <w:tab w:val="left" w:pos="198"/>
                <w:tab w:val="left" w:pos="567"/>
                <w:tab w:val="left" w:pos="993"/>
                <w:tab w:val="left" w:pos="4500"/>
                <w:tab w:val="right" w:pos="9221"/>
              </w:tabs>
              <w:ind w:left="851" w:hanging="851"/>
              <w:rPr>
                <w:sz w:val="14"/>
                <w:u w:val="single"/>
              </w:rPr>
            </w:pPr>
            <w:r w:rsidRPr="008C77D7">
              <w:rPr>
                <w:sz w:val="14"/>
              </w:rPr>
              <w:tab/>
            </w:r>
            <w:r w:rsidRPr="008C77D7">
              <w:rPr>
                <w:sz w:val="14"/>
              </w:rPr>
              <w:tab/>
              <w:t>□</w:t>
            </w:r>
            <w:r w:rsidRPr="008C77D7">
              <w:rPr>
                <w:sz w:val="14"/>
              </w:rPr>
              <w:tab/>
              <w:t xml:space="preserve"> auf andere Weise (bitte angeben)</w:t>
            </w:r>
            <w:r w:rsidRPr="008C77D7">
              <w:rPr>
                <w:sz w:val="14"/>
                <w:u w:val="single"/>
              </w:rPr>
              <w:tab/>
            </w:r>
            <w:r w:rsidRPr="008C77D7">
              <w:rPr>
                <w:sz w:val="14"/>
                <w:u w:val="single"/>
              </w:rPr>
              <w:tab/>
            </w:r>
            <w:r w:rsidRPr="008C77D7">
              <w:rPr>
                <w:sz w:val="14"/>
                <w:u w:val="single"/>
              </w:rPr>
              <w:br/>
            </w:r>
            <w:r w:rsidRPr="008C77D7">
              <w:rPr>
                <w:sz w:val="14"/>
              </w:rPr>
              <w:t xml:space="preserve">   </w:t>
            </w:r>
            <w:r w:rsidRPr="008C77D7">
              <w:rPr>
                <w:i/>
                <w:snapToGrid w:val="0"/>
                <w:sz w:val="14"/>
                <w:szCs w:val="16"/>
              </w:rPr>
              <w:t>UPOV-A1: 5(c)(iii)</w:t>
            </w:r>
            <w:r w:rsidRPr="008C77D7">
              <w:rPr>
                <w:i/>
                <w:snapToGrid w:val="0"/>
                <w:sz w:val="14"/>
                <w:szCs w:val="16"/>
              </w:rPr>
              <w:tab/>
              <w:t xml:space="preserve"> UPOV-A1: 5(c)(iv)</w:t>
            </w:r>
          </w:p>
          <w:p w:rsidR="005A7D7C" w:rsidRPr="008C77D7" w:rsidRDefault="005A7D7C" w:rsidP="005A7D7C">
            <w:pPr>
              <w:tabs>
                <w:tab w:val="left" w:pos="198"/>
                <w:tab w:val="left" w:pos="286"/>
                <w:tab w:val="left" w:pos="567"/>
                <w:tab w:val="left" w:pos="993"/>
                <w:tab w:val="right" w:pos="9253"/>
              </w:tabs>
              <w:spacing w:before="40" w:after="40"/>
              <w:ind w:left="851" w:hanging="851"/>
              <w:rPr>
                <w:sz w:val="14"/>
                <w:u w:val="single"/>
              </w:rPr>
            </w:pPr>
            <w:r w:rsidRPr="008C77D7">
              <w:rPr>
                <w:sz w:val="14"/>
              </w:rPr>
              <w:tab/>
              <w:t>(d)</w:t>
            </w:r>
            <w:r w:rsidRPr="008C77D7">
              <w:rPr>
                <w:sz w:val="14"/>
              </w:rPr>
              <w:tab/>
              <w:t xml:space="preserve"> Die Sorte wurde gezüchtet in (Staat(en)):  </w:t>
            </w:r>
            <w:r w:rsidRPr="008C77D7">
              <w:rPr>
                <w:sz w:val="14"/>
                <w:u w:val="single"/>
              </w:rPr>
              <w:tab/>
            </w:r>
            <w:r w:rsidRPr="008C77D7">
              <w:rPr>
                <w:sz w:val="14"/>
                <w:u w:val="single"/>
              </w:rPr>
              <w:br/>
            </w:r>
            <w:r w:rsidRPr="008C77D7">
              <w:rPr>
                <w:sz w:val="14"/>
              </w:rPr>
              <w:t xml:space="preserve">   </w:t>
            </w:r>
            <w:r w:rsidRPr="008C77D7">
              <w:rPr>
                <w:i/>
                <w:snapToGrid w:val="0"/>
                <w:sz w:val="14"/>
                <w:szCs w:val="16"/>
              </w:rPr>
              <w:t>UPOV-A1: 5(d)</w:t>
            </w:r>
          </w:p>
        </w:tc>
        <w:tc>
          <w:tcPr>
            <w:tcW w:w="170" w:type="dxa"/>
            <w:tcBorders>
              <w:top w:val="nil"/>
              <w:bottom w:val="nil"/>
              <w:right w:val="nil"/>
            </w:tcBorders>
          </w:tcPr>
          <w:p w:rsidR="005A7D7C" w:rsidRPr="008C77D7" w:rsidRDefault="005A7D7C" w:rsidP="005A7D7C">
            <w:pPr>
              <w:tabs>
                <w:tab w:val="left" w:pos="198"/>
                <w:tab w:val="left" w:pos="567"/>
                <w:tab w:val="left" w:pos="3686"/>
                <w:tab w:val="left" w:pos="6237"/>
              </w:tabs>
              <w:spacing w:before="40"/>
              <w:jc w:val="center"/>
              <w:rPr>
                <w:sz w:val="14"/>
              </w:rPr>
            </w:pPr>
          </w:p>
        </w:tc>
        <w:tc>
          <w:tcPr>
            <w:tcW w:w="1180" w:type="dxa"/>
            <w:gridSpan w:val="2"/>
            <w:tcBorders>
              <w:top w:val="nil"/>
              <w:left w:val="nil"/>
              <w:bottom w:val="nil"/>
              <w:right w:val="nil"/>
            </w:tcBorders>
          </w:tcPr>
          <w:p w:rsidR="005A7D7C" w:rsidRPr="008C77D7" w:rsidRDefault="005A7D7C" w:rsidP="005A7D7C">
            <w:pPr>
              <w:tabs>
                <w:tab w:val="left" w:pos="198"/>
                <w:tab w:val="left" w:pos="567"/>
                <w:tab w:val="left" w:pos="3686"/>
                <w:tab w:val="left" w:pos="6237"/>
              </w:tabs>
              <w:spacing w:before="40"/>
              <w:rPr>
                <w:sz w:val="14"/>
              </w:rPr>
            </w:pPr>
          </w:p>
        </w:tc>
      </w:tr>
    </w:tbl>
    <w:p w:rsidR="005A7D7C" w:rsidRPr="00983B74" w:rsidRDefault="005A7D7C">
      <w:pPr>
        <w:jc w:val="left"/>
      </w:pPr>
      <w:r w:rsidRPr="00983B74">
        <w:br w:type="page"/>
      </w:r>
    </w:p>
    <w:p w:rsidR="005A7D7C" w:rsidRPr="00983B74" w:rsidRDefault="005A7D7C" w:rsidP="005A7D7C">
      <w:pPr>
        <w:pStyle w:val="Heading3"/>
      </w:pPr>
      <w:bookmarkStart w:id="118" w:name="_Toc378597575"/>
      <w:bookmarkStart w:id="119" w:name="_Toc379273715"/>
      <w:bookmarkStart w:id="120" w:name="_Toc381527918"/>
      <w:bookmarkStart w:id="121" w:name="_Toc381538492"/>
      <w:bookmarkStart w:id="122" w:name="_Toc381539707"/>
      <w:bookmarkStart w:id="123" w:name="_Toc381598717"/>
      <w:bookmarkStart w:id="124" w:name="_Toc382813440"/>
      <w:bookmarkStart w:id="125" w:name="_Toc382820487"/>
      <w:r w:rsidRPr="00983B74">
        <w:lastRenderedPageBreak/>
        <w:t>Technischer Fragebogen</w:t>
      </w:r>
      <w:bookmarkEnd w:id="118"/>
      <w:bookmarkEnd w:id="119"/>
      <w:bookmarkEnd w:id="120"/>
      <w:bookmarkEnd w:id="121"/>
      <w:bookmarkEnd w:id="122"/>
      <w:bookmarkEnd w:id="123"/>
      <w:bookmarkEnd w:id="124"/>
      <w:bookmarkEnd w:id="125"/>
    </w:p>
    <w:p w:rsidR="005A7D7C" w:rsidRPr="00983B74" w:rsidRDefault="005A7D7C" w:rsidP="005A7D7C"/>
    <w:p w:rsidR="005A7D7C" w:rsidRPr="00983B74" w:rsidRDefault="005A7D7C" w:rsidP="005A7D7C">
      <w:r w:rsidRPr="0087525A">
        <w:t>Zur Unterstützung des Prozesses der Sortenprüfung werden vom Züchter bestimmte Auskünfte verlangt, in der Regel mittels eines Technischen Fragebogens, der mit dem Antrag einzureichen ist. Der Technische Fragebogen verlangt Informationen über besondere Merkmale, die von Bedeutung für die Unterscheidung der Sorten sind, Informationen über das Züchtungsschema der Sorte und sonstige Informationen, die die Unterscheidung der Sorte erleichtern können. Ferner wird der Züchter ersucht, ähnliche Sorten und Merkmale auszuweisen, anhand derer die Kandidatensorte von diesen ähnlichen Sorten unterschieden werden kann. Wenn die UPOV „Prüfungsrichtlinien für die Durchführung der Prüfung auf Unterscheidbarkeit, Homogenität und Beständigkeit“ oder „Prüfungsrichtlinien“ für einzelne Arten oder sonstige Sortengruppierungen ausgearbeitet hat (</w:t>
      </w:r>
      <w:r>
        <w:t>vergleiche</w:t>
      </w:r>
      <w:r w:rsidRPr="0087525A">
        <w:t xml:space="preserve"> </w:t>
      </w:r>
      <w:hyperlink r:id="rId22" w:history="1">
        <w:r w:rsidRPr="0087525A">
          <w:rPr>
            <w:rStyle w:val="Hyperlink"/>
            <w:rFonts w:cs="Arial"/>
          </w:rPr>
          <w:t>http://www.upov.int/test_guidelines/de/</w:t>
        </w:r>
      </w:hyperlink>
      <w:r w:rsidRPr="0087525A">
        <w:t>), enthalten die Prüfungsrichtlinien in Kapitel 10 einen Technischen</w:t>
      </w:r>
      <w:r w:rsidRPr="00983B74">
        <w:t xml:space="preserve"> Muster-Fragebogen.</w:t>
      </w:r>
    </w:p>
    <w:p w:rsidR="005A7D7C" w:rsidRPr="00983B74" w:rsidRDefault="005A7D7C" w:rsidP="005A7D7C">
      <w:pPr>
        <w:spacing w:line="360" w:lineRule="auto"/>
      </w:pPr>
    </w:p>
    <w:p w:rsidR="005A7D7C" w:rsidRPr="00983B74" w:rsidRDefault="005A7D7C" w:rsidP="005A7D7C">
      <w:pPr>
        <w:pStyle w:val="Heading3"/>
      </w:pPr>
      <w:bookmarkStart w:id="126" w:name="_Toc378597576"/>
      <w:bookmarkStart w:id="127" w:name="_Toc379273716"/>
      <w:bookmarkStart w:id="128" w:name="_Toc381527919"/>
      <w:bookmarkStart w:id="129" w:name="_Toc381538493"/>
      <w:bookmarkStart w:id="130" w:name="_Toc381539708"/>
      <w:bookmarkStart w:id="131" w:name="_Toc381598718"/>
      <w:bookmarkStart w:id="132" w:name="_Toc382813441"/>
      <w:bookmarkStart w:id="133" w:name="_Toc382820488"/>
      <w:r w:rsidRPr="00983B74">
        <w:t>Sortenprobe</w:t>
      </w:r>
      <w:bookmarkEnd w:id="126"/>
      <w:bookmarkEnd w:id="127"/>
      <w:bookmarkEnd w:id="128"/>
      <w:bookmarkEnd w:id="129"/>
      <w:bookmarkEnd w:id="130"/>
      <w:bookmarkEnd w:id="131"/>
      <w:bookmarkEnd w:id="132"/>
      <w:bookmarkEnd w:id="133"/>
    </w:p>
    <w:p w:rsidR="005A7D7C" w:rsidRPr="00983B74" w:rsidRDefault="005A7D7C" w:rsidP="005A7D7C">
      <w:pPr>
        <w:keepNext/>
      </w:pPr>
    </w:p>
    <w:p w:rsidR="005A7D7C" w:rsidRPr="00983B74" w:rsidRDefault="005A7D7C" w:rsidP="005A7D7C">
      <w:r w:rsidRPr="0087525A">
        <w:t>Dokument TGP/5, „Erfahrung und Zusammenarbeit bei der DUS-Prüfung“, Abschnitt 4, „UPOV-Musterformblatt für die Bezeichnung einer Sortenprobe“, stellt ein Muster bereit, das in Verbindung mit dem für die Prüfung der Kandidatensorten einzureichenden Pflanzenmaterial zu benutzen ist.</w:t>
      </w:r>
    </w:p>
    <w:p w:rsidR="005A7D7C" w:rsidRDefault="005A7D7C" w:rsidP="005A7D7C"/>
    <w:p w:rsidR="005A7D7C" w:rsidRPr="00983B74" w:rsidRDefault="005A7D7C" w:rsidP="005A7D7C"/>
    <w:p w:rsidR="005A7D7C" w:rsidRPr="00983B74" w:rsidRDefault="005A7D7C" w:rsidP="005A7D7C">
      <w:pPr>
        <w:pStyle w:val="Heading2"/>
      </w:pPr>
      <w:bookmarkStart w:id="134" w:name="_Toc378597578"/>
      <w:bookmarkStart w:id="135" w:name="_Toc379273717"/>
      <w:bookmarkStart w:id="136" w:name="_Toc381527920"/>
      <w:bookmarkStart w:id="137" w:name="_Toc381538494"/>
      <w:bookmarkStart w:id="138" w:name="_Toc381539709"/>
      <w:bookmarkStart w:id="139" w:name="_Toc381598719"/>
      <w:bookmarkStart w:id="140" w:name="_Toc382813442"/>
      <w:bookmarkStart w:id="141" w:name="_Toc382820489"/>
      <w:r w:rsidRPr="00983B74">
        <w:t>Zuweisung des Datums für die Einreichung</w:t>
      </w:r>
      <w:bookmarkEnd w:id="134"/>
      <w:bookmarkEnd w:id="135"/>
      <w:bookmarkEnd w:id="136"/>
      <w:bookmarkEnd w:id="137"/>
      <w:bookmarkEnd w:id="138"/>
      <w:bookmarkEnd w:id="139"/>
      <w:bookmarkEnd w:id="140"/>
      <w:bookmarkEnd w:id="141"/>
    </w:p>
    <w:p w:rsidR="005A7D7C" w:rsidRPr="00983B74" w:rsidRDefault="005A7D7C" w:rsidP="005A7D7C"/>
    <w:p w:rsidR="005A7D7C" w:rsidRPr="00983B74" w:rsidRDefault="005A7D7C" w:rsidP="005A7D7C">
      <w:r w:rsidRPr="00983B74">
        <w:t>Den beim Züchterrechtsamt eingegangenen Anträgen muß ein Einreichungsdatum zugewiesen werden. Dieser Schritt ist wichtig für die Prüfun</w:t>
      </w:r>
      <w:r w:rsidRPr="00241E95">
        <w:t xml:space="preserve">g der Neuheit (vergleiche Modul </w:t>
      </w:r>
      <w:r>
        <w:t>5</w:t>
      </w:r>
      <w:r w:rsidRPr="00241E95">
        <w:t xml:space="preserve">, „Prüfung der Neuheit“) und der Unterscheidbarkeit (vergleiche Modul </w:t>
      </w:r>
      <w:r w:rsidRPr="0087525A">
        <w:t>7</w:t>
      </w:r>
      <w:r w:rsidRPr="00241E95">
        <w:t>, „Prüfung der Unterscheidbarkeit“).</w:t>
      </w:r>
    </w:p>
    <w:p w:rsidR="005A7D7C" w:rsidRPr="00983B74" w:rsidRDefault="005A7D7C" w:rsidP="005A7D7C"/>
    <w:p w:rsidR="005A7D7C" w:rsidRPr="0087525A" w:rsidRDefault="005A7D7C" w:rsidP="005A7D7C">
      <w:r w:rsidRPr="00983B74">
        <w:rPr>
          <w:szCs w:val="22"/>
        </w:rPr>
        <w:t xml:space="preserve">Das UPOV-Übereinkommen sieht ein Prioritätsrecht von 12 Monaten vor, das auf einem früheren Antrag auf Erteilung des Schutzes für dieselbe Sorte bei einem anderen UPOV-Mitglied basiert, wonach ein </w:t>
      </w:r>
      <w:r w:rsidRPr="0087525A">
        <w:rPr>
          <w:szCs w:val="22"/>
        </w:rPr>
        <w:t>späterer Antrag so behandelt wird, als ob er am Einreichungsdatum des ersten Antrags eingereicht worden wäre. Das Prioritätsrecht zeitigt Auswirkungen auf die Prüfung der Voraussetzungen der Neuheit und der Unterscheidbarkeit und der vorgeschlagenen Sortenbezeichnungen (</w:t>
      </w:r>
      <w:r>
        <w:rPr>
          <w:szCs w:val="22"/>
        </w:rPr>
        <w:t>vergleiche</w:t>
      </w:r>
      <w:r w:rsidRPr="0087525A">
        <w:rPr>
          <w:szCs w:val="22"/>
        </w:rPr>
        <w:t xml:space="preserve"> Online-Fernlehrgang </w:t>
      </w:r>
      <w:r w:rsidRPr="0087525A">
        <w:t xml:space="preserve">DL-205, „Züchterrechte nach dem UPOV-Übereinkommen“, Modul 4, „Antrag auf Erteilung eines Züchterrechts“, und Dokument UPOV/EXN/PRI, „Erläuterungen zum Prioritätsrecht nach dem UPOV-Übereinkommen“, verfügbar unter: </w:t>
      </w:r>
      <w:hyperlink r:id="rId23" w:history="1">
        <w:r w:rsidRPr="0087525A">
          <w:rPr>
            <w:rStyle w:val="Hyperlink"/>
          </w:rPr>
          <w:t>http://www.upov.int/explanatory_notes/de/</w:t>
        </w:r>
      </w:hyperlink>
      <w:r w:rsidRPr="0087525A">
        <w:t>).</w:t>
      </w:r>
    </w:p>
    <w:p w:rsidR="005A7D7C" w:rsidRDefault="005A7D7C" w:rsidP="005A7D7C"/>
    <w:p w:rsidR="005A7D7C" w:rsidRDefault="005A7D7C" w:rsidP="005A7D7C"/>
    <w:p w:rsidR="005A7D7C" w:rsidRPr="0087525A" w:rsidRDefault="005A7D7C" w:rsidP="005A7D7C"/>
    <w:p w:rsidR="005A7D7C" w:rsidRDefault="005A7D7C" w:rsidP="005A7D7C">
      <w:pPr>
        <w:pStyle w:val="Heading1"/>
      </w:pPr>
      <w:bookmarkStart w:id="142" w:name="_Toc382813443"/>
      <w:bookmarkStart w:id="143" w:name="_Toc382820490"/>
      <w:bookmarkStart w:id="144" w:name="_Toc378597579"/>
      <w:bookmarkStart w:id="145" w:name="_Toc379273718"/>
      <w:bookmarkStart w:id="146" w:name="_Toc381527921"/>
      <w:bookmarkStart w:id="147" w:name="_Toc381538495"/>
      <w:bookmarkStart w:id="148" w:name="_Toc381539710"/>
      <w:bookmarkStart w:id="149" w:name="_Toc381598720"/>
      <w:r w:rsidRPr="0087525A">
        <w:t>ordnungsgemäss eingereichter antrag</w:t>
      </w:r>
      <w:bookmarkEnd w:id="142"/>
      <w:bookmarkEnd w:id="143"/>
    </w:p>
    <w:p w:rsidR="005A7D7C" w:rsidRPr="00983B74" w:rsidRDefault="005A7D7C" w:rsidP="005A7D7C">
      <w:r w:rsidRPr="0087525A">
        <w:t>(</w:t>
      </w:r>
      <w:r>
        <w:t>vergleiche</w:t>
      </w:r>
      <w:r w:rsidRPr="0087525A">
        <w:t xml:space="preserve"> Hinweis b im </w:t>
      </w:r>
      <w:r>
        <w:t>Flußdiagramm</w:t>
      </w:r>
      <w:r w:rsidRPr="0087525A">
        <w:t xml:space="preserve"> in Modul 1)</w:t>
      </w:r>
      <w:bookmarkEnd w:id="144"/>
      <w:bookmarkEnd w:id="145"/>
      <w:bookmarkEnd w:id="146"/>
      <w:bookmarkEnd w:id="147"/>
      <w:bookmarkEnd w:id="148"/>
      <w:bookmarkEnd w:id="149"/>
    </w:p>
    <w:p w:rsidR="005A7D7C" w:rsidRPr="00983B74" w:rsidRDefault="005A7D7C" w:rsidP="005A7D7C"/>
    <w:p w:rsidR="005A7D7C" w:rsidRPr="0087525A" w:rsidRDefault="005A7D7C" w:rsidP="005A7D7C">
      <w:r w:rsidRPr="0087525A">
        <w:t>Anträge müssen auf Einhaltung der anwendbaren Förmlichkeiten und Gebührenanforderungen überprüft werden, um als ordnungsgemäß eingereichte Anträge zu gelten. Damit ein Antrag ordnungsgemäß eingereicht wird, muß er von einer Person eingereicht werden, die zu einem Züchterrecht berechtigt ist (vergleiche Modul 3, „Anspruch auf ein Züchterrecht“).</w:t>
      </w:r>
    </w:p>
    <w:p w:rsidR="005A7D7C" w:rsidRPr="0087525A" w:rsidRDefault="005A7D7C" w:rsidP="005A7D7C"/>
    <w:p w:rsidR="005A7D7C" w:rsidRPr="00983B74" w:rsidRDefault="005A7D7C" w:rsidP="005A7D7C">
      <w:r w:rsidRPr="0087525A">
        <w:t>Ordnungsgemäß eingereichte Anträge müssen durch den Sachbearbeiter oder die mit der ersten</w:t>
      </w:r>
      <w:r w:rsidRPr="00983B74">
        <w:t xml:space="preserve"> Bearbeitung der Antragsformblätter zuständige Person für die Veröffentlichung vorbereitet werden. Zudem sollten Auskünfte für andere betreffende Beamte im Züchterrechtsamt zur Vorbereitung der darauffolgenden Schritte der Prüfung erteilt werden.</w:t>
      </w:r>
    </w:p>
    <w:p w:rsidR="005A7D7C" w:rsidRPr="00983B74" w:rsidRDefault="005A7D7C" w:rsidP="005A7D7C"/>
    <w:p w:rsidR="005A7D7C" w:rsidRPr="00983B74" w:rsidRDefault="005A7D7C" w:rsidP="005A7D7C"/>
    <w:p w:rsidR="005A7D7C" w:rsidRPr="007A45F4" w:rsidRDefault="005A7D7C" w:rsidP="005A7D7C">
      <w:pPr>
        <w:pStyle w:val="Heading1"/>
      </w:pPr>
      <w:bookmarkStart w:id="150" w:name="_Toc382813444"/>
      <w:bookmarkStart w:id="151" w:name="_Toc382820491"/>
      <w:bookmarkStart w:id="152" w:name="_Toc378597580"/>
      <w:bookmarkStart w:id="153" w:name="_Toc379273719"/>
      <w:bookmarkStart w:id="154" w:name="_Toc381527922"/>
      <w:bookmarkStart w:id="155" w:name="_Toc381538496"/>
      <w:bookmarkStart w:id="156" w:name="_Toc381539711"/>
      <w:bookmarkStart w:id="157" w:name="_Toc381598721"/>
      <w:r w:rsidRPr="00983B74">
        <w:t>v</w:t>
      </w:r>
      <w:r w:rsidRPr="007A45F4">
        <w:t>eröffentlichung</w:t>
      </w:r>
      <w:bookmarkEnd w:id="150"/>
      <w:bookmarkEnd w:id="151"/>
    </w:p>
    <w:p w:rsidR="005A7D7C" w:rsidRPr="007A45F4" w:rsidRDefault="005A7D7C" w:rsidP="005A7D7C">
      <w:pPr>
        <w:keepNext/>
      </w:pPr>
      <w:r w:rsidRPr="007A45F4">
        <w:t xml:space="preserve">(vergleiche Hinweis c im </w:t>
      </w:r>
      <w:r>
        <w:t>Flußdiagramm</w:t>
      </w:r>
      <w:r w:rsidRPr="007A45F4">
        <w:t xml:space="preserve"> in Modul 1)</w:t>
      </w:r>
      <w:bookmarkEnd w:id="152"/>
      <w:bookmarkEnd w:id="153"/>
      <w:bookmarkEnd w:id="154"/>
      <w:bookmarkEnd w:id="155"/>
      <w:bookmarkEnd w:id="156"/>
      <w:bookmarkEnd w:id="157"/>
    </w:p>
    <w:p w:rsidR="005A7D7C" w:rsidRPr="007A45F4" w:rsidRDefault="005A7D7C" w:rsidP="005A7D7C">
      <w:pPr>
        <w:keepNext/>
      </w:pPr>
    </w:p>
    <w:p w:rsidR="005A7D7C" w:rsidRPr="00983B74" w:rsidRDefault="005A7D7C" w:rsidP="005A7D7C">
      <w:r w:rsidRPr="007A45F4">
        <w:t>Vergleiche Modul 4, „Zu veröffentlichende Auskünfte“.</w:t>
      </w:r>
    </w:p>
    <w:p w:rsidR="005A7D7C" w:rsidRPr="00983B74" w:rsidRDefault="005A7D7C" w:rsidP="005A7D7C"/>
    <w:p w:rsidR="005A7D7C" w:rsidRDefault="005A7D7C" w:rsidP="005A7D7C">
      <w:pPr>
        <w:pStyle w:val="Heading2"/>
        <w:keepNext w:val="0"/>
      </w:pPr>
    </w:p>
    <w:p w:rsidR="005A7D7C" w:rsidRPr="00F00014" w:rsidRDefault="005A7D7C" w:rsidP="005A7D7C"/>
    <w:p w:rsidR="005A7D7C" w:rsidRDefault="005A7D7C" w:rsidP="00AC61E0">
      <w:pPr>
        <w:pStyle w:val="Heading1"/>
        <w:keepNext/>
      </w:pPr>
      <w:bookmarkStart w:id="158" w:name="_Toc382813445"/>
      <w:bookmarkStart w:id="159" w:name="_Toc382820492"/>
      <w:bookmarkStart w:id="160" w:name="_Toc378597581"/>
      <w:bookmarkStart w:id="161" w:name="_Toc379273720"/>
      <w:bookmarkStart w:id="162" w:name="_Toc381527923"/>
      <w:bookmarkStart w:id="163" w:name="_Toc381538497"/>
      <w:bookmarkStart w:id="164" w:name="_Toc381539712"/>
      <w:bookmarkStart w:id="165" w:name="_Toc381598722"/>
      <w:r w:rsidRPr="00983B74">
        <w:lastRenderedPageBreak/>
        <w:t>prüfung der voraussetzungen</w:t>
      </w:r>
      <w:bookmarkEnd w:id="158"/>
      <w:bookmarkEnd w:id="159"/>
    </w:p>
    <w:p w:rsidR="005A7D7C" w:rsidRPr="00983B74" w:rsidRDefault="005A7D7C" w:rsidP="00AC61E0">
      <w:pPr>
        <w:keepNext/>
      </w:pPr>
      <w:r w:rsidRPr="00983B74">
        <w:t xml:space="preserve">(vergleiche Hinweis d im </w:t>
      </w:r>
      <w:r>
        <w:t>Flußdiagramm</w:t>
      </w:r>
      <w:r w:rsidRPr="00983B74">
        <w:t xml:space="preserve"> in Modul 1)</w:t>
      </w:r>
      <w:bookmarkEnd w:id="160"/>
      <w:bookmarkEnd w:id="161"/>
      <w:bookmarkEnd w:id="162"/>
      <w:bookmarkEnd w:id="163"/>
      <w:bookmarkEnd w:id="164"/>
      <w:bookmarkEnd w:id="165"/>
    </w:p>
    <w:p w:rsidR="005A7D7C" w:rsidRPr="00983B74" w:rsidRDefault="005A7D7C" w:rsidP="00AC61E0">
      <w:pPr>
        <w:keepNext/>
      </w:pPr>
    </w:p>
    <w:p w:rsidR="005A7D7C" w:rsidRPr="007A45F4" w:rsidRDefault="005A7D7C" w:rsidP="005A7D7C">
      <w:r w:rsidRPr="00983B74">
        <w:t>Die Prüfungen der Neuheit, der vorgeschlagenen Sortenbezeichnung und die DUS-Prüfung sollten parallel durchgeführt werden, um eine Verzögerung bei der Erteilung von Züchterrechten zu vermeiden. Das UPOV</w:t>
      </w:r>
      <w:r w:rsidRPr="00983B74">
        <w:noBreakHyphen/>
        <w:t xml:space="preserve">Übereinkommen schreibt insbesondere vor, daß die Sortenbezeichnung im Zeitpunkt der Erteilung des Züchterrechts eingetragen wird (Artikel 20 3) der Akte von 1991 und Artikel 13 3) der Akte von 1978). Für die Verwaltung der Prüfung gibt es verschiedene Optionen. Beispielsweise kann eine </w:t>
      </w:r>
      <w:r w:rsidRPr="007A45F4">
        <w:t>Person benannt werden, um als für die Verwaltung aller Aspekte der obenerwähnten Prüfung zuständiger „Sachbearbeiter“ zu fungieren, oder es kann für einzelne Teile der Arbeit spezialisierte Fachleute geben.</w:t>
      </w:r>
    </w:p>
    <w:p w:rsidR="005A7D7C" w:rsidRPr="007A45F4" w:rsidRDefault="005A7D7C" w:rsidP="005A7D7C"/>
    <w:p w:rsidR="005A7D7C" w:rsidRPr="00983B74" w:rsidRDefault="005A7D7C" w:rsidP="005A7D7C">
      <w:r w:rsidRPr="007A45F4">
        <w:t>Die Prüfung der Sortenbezeichnung wird in Modul 6, „Prüfung der Sortenbezeichnung“, behandelt werden. Die Prüfung der Neuheit wird in Modul 5, „Prüfung der Neuheit“, behandelt werden, während die Module 7 bis 13 die „DUS</w:t>
      </w:r>
      <w:r w:rsidRPr="007A45F4">
        <w:noBreakHyphen/>
        <w:t>Prüfung“ erläutern.</w:t>
      </w:r>
    </w:p>
    <w:p w:rsidR="005A7D7C" w:rsidRPr="00983B74" w:rsidRDefault="005A7D7C" w:rsidP="005A7D7C"/>
    <w:p w:rsidR="005A7D7C" w:rsidRDefault="005A7D7C" w:rsidP="005A7D7C"/>
    <w:p w:rsidR="005A7D7C" w:rsidRPr="00983B74" w:rsidRDefault="005A7D7C" w:rsidP="005A7D7C"/>
    <w:p w:rsidR="005A7D7C" w:rsidRDefault="005A7D7C" w:rsidP="005A7D7C">
      <w:pPr>
        <w:pStyle w:val="Heading1"/>
      </w:pPr>
      <w:bookmarkStart w:id="166" w:name="_Toc382813446"/>
      <w:bookmarkStart w:id="167" w:name="_Toc382820493"/>
      <w:bookmarkStart w:id="168" w:name="_Toc378597582"/>
      <w:bookmarkStart w:id="169" w:name="_Toc379273721"/>
      <w:bookmarkStart w:id="170" w:name="_Toc381527924"/>
      <w:bookmarkStart w:id="171" w:name="_Toc381538498"/>
      <w:bookmarkStart w:id="172" w:name="_Toc381539713"/>
      <w:bookmarkStart w:id="173" w:name="_Toc381598723"/>
      <w:r w:rsidRPr="00983B74">
        <w:t>DUS</w:t>
      </w:r>
      <w:r>
        <w:t>-PRÜFUNG</w:t>
      </w:r>
      <w:bookmarkEnd w:id="166"/>
      <w:bookmarkEnd w:id="167"/>
    </w:p>
    <w:p w:rsidR="005A7D7C" w:rsidRPr="00983B74" w:rsidRDefault="005A7D7C" w:rsidP="005A7D7C">
      <w:r w:rsidRPr="00983B74">
        <w:t>(</w:t>
      </w:r>
      <w:r>
        <w:t xml:space="preserve">vergleiche </w:t>
      </w:r>
      <w:r w:rsidRPr="00983B74">
        <w:t xml:space="preserve">Hinweis e </w:t>
      </w:r>
      <w:r>
        <w:t>im Flußdiagramm</w:t>
      </w:r>
      <w:r w:rsidRPr="00983B74">
        <w:t xml:space="preserve"> in Modul 1)</w:t>
      </w:r>
      <w:bookmarkEnd w:id="168"/>
      <w:bookmarkEnd w:id="169"/>
      <w:bookmarkEnd w:id="170"/>
      <w:bookmarkEnd w:id="171"/>
      <w:bookmarkEnd w:id="172"/>
      <w:bookmarkEnd w:id="173"/>
    </w:p>
    <w:p w:rsidR="005A7D7C" w:rsidRPr="00983B74" w:rsidRDefault="005A7D7C" w:rsidP="005A7D7C"/>
    <w:p w:rsidR="005A7D7C" w:rsidRPr="00983B74" w:rsidRDefault="005A7D7C" w:rsidP="005A7D7C">
      <w:pPr>
        <w:autoSpaceDE w:val="0"/>
        <w:autoSpaceDN w:val="0"/>
        <w:adjustRightInd w:val="0"/>
      </w:pPr>
      <w:r w:rsidRPr="00983B74">
        <w:t>Größe und Aufbau der Züchterrechtsämter werden von den Regelungen für die DUS-Prüfung beeinflußt. Ein Züchterrechtsamt kann beispielsweise eine oder mehrere der nachstehenden Regelungen anwenden:</w:t>
      </w:r>
    </w:p>
    <w:p w:rsidR="005A7D7C" w:rsidRPr="00983B74" w:rsidRDefault="005A7D7C" w:rsidP="005A7D7C">
      <w:pPr>
        <w:autoSpaceDE w:val="0"/>
        <w:autoSpaceDN w:val="0"/>
        <w:adjustRightInd w:val="0"/>
      </w:pPr>
    </w:p>
    <w:p w:rsidR="005A7D7C" w:rsidRPr="00983B74" w:rsidRDefault="005A7D7C" w:rsidP="005A7D7C">
      <w:pPr>
        <w:numPr>
          <w:ilvl w:val="0"/>
          <w:numId w:val="7"/>
        </w:numPr>
        <w:autoSpaceDE w:val="0"/>
        <w:autoSpaceDN w:val="0"/>
        <w:adjustRightInd w:val="0"/>
        <w:spacing w:after="120"/>
        <w:ind w:hanging="357"/>
      </w:pPr>
      <w:r w:rsidRPr="00983B74">
        <w:t>Das Züchterrechtsamt führt Anbauprüfungen oder sonstige Prüfungen selbst durch (Prüfung durch das Züchterrechtsamt)</w:t>
      </w:r>
      <w:r>
        <w:t>.</w:t>
      </w:r>
    </w:p>
    <w:p w:rsidR="005A7D7C" w:rsidRPr="00983B74" w:rsidRDefault="005A7D7C" w:rsidP="005A7D7C">
      <w:pPr>
        <w:numPr>
          <w:ilvl w:val="0"/>
          <w:numId w:val="7"/>
        </w:numPr>
        <w:autoSpaceDE w:val="0"/>
        <w:autoSpaceDN w:val="0"/>
        <w:adjustRightInd w:val="0"/>
        <w:spacing w:after="120"/>
        <w:ind w:hanging="357"/>
      </w:pPr>
      <w:r w:rsidRPr="00983B74">
        <w:t>Das Züchterrechtsamt sorgt dafür, daß eine andere Partei / andere Parteien die Anbauprüfungen oder sonstige Prüfungen (außerhalb des Züchterrechtsamtes) durchführt / durchführen. Bei dieser Regelung könnte eine andere Partei beispielsweise ein anderes Züchterrechtsamt, ein unabhängiges Institut oder den Züchter einbinden.</w:t>
      </w:r>
    </w:p>
    <w:p w:rsidR="005A7D7C" w:rsidRPr="00983B74" w:rsidRDefault="005A7D7C" w:rsidP="005A7D7C">
      <w:pPr>
        <w:numPr>
          <w:ilvl w:val="0"/>
          <w:numId w:val="7"/>
        </w:numPr>
        <w:autoSpaceDE w:val="0"/>
        <w:autoSpaceDN w:val="0"/>
        <w:adjustRightInd w:val="0"/>
        <w:spacing w:after="120"/>
        <w:ind w:hanging="357"/>
      </w:pPr>
      <w:r w:rsidRPr="00983B74">
        <w:t>Das Züchterrechtsamt berücksichtigt die Ergebnisse von Anbauprüfungen oder sonstigen Prüfungen, die bereits (außerhalb des Züchterrechtsamtes) durchgeführt wurden.</w:t>
      </w:r>
    </w:p>
    <w:p w:rsidR="005A7D7C" w:rsidRPr="00983B74" w:rsidRDefault="005A7D7C" w:rsidP="005A7D7C">
      <w:pPr>
        <w:autoSpaceDE w:val="0"/>
        <w:autoSpaceDN w:val="0"/>
        <w:adjustRightInd w:val="0"/>
      </w:pPr>
    </w:p>
    <w:p w:rsidR="005A7D7C" w:rsidRPr="007A45F4" w:rsidRDefault="005A7D7C" w:rsidP="005A7D7C">
      <w:pPr>
        <w:autoSpaceDE w:val="0"/>
        <w:autoSpaceDN w:val="0"/>
        <w:adjustRightInd w:val="0"/>
      </w:pPr>
      <w:r w:rsidRPr="007A45F4">
        <w:t>Die verschiedenen Optionen für die Zusammenarbeit zwischen Züchterrechtsämtern und die Zusammenarbeit mit Züchtern bei der DUS-Prüfung werden in Modul 13, „Zusammenarbeit bei der DUS</w:t>
      </w:r>
      <w:r w:rsidRPr="007A45F4">
        <w:noBreakHyphen/>
        <w:t>Prüfung“, weiter erörtert werden. Dokument TGP/5, „Erfahrung und Zusammenarbeit bei der DUS-Prüfung“, Abschnitt 1, „Musterverwaltungsvereinbarung für die internationale Zusammenarbeit bei der Prüfung von Sorten“, erteilt zudem zweckdienliche Informationen mit einer Musterverwaltungsvereinbarung für die internationale Zusammenarbeit bei der Prüfung von Sorten. Die UPOV-Mitglieder verfügen möglicherweise über informelle Regelungen für den Erwerb von DUS-Prüfungsberichten (beispielsweise Schriftwechsel).</w:t>
      </w:r>
    </w:p>
    <w:p w:rsidR="005A7D7C" w:rsidRPr="007A45F4" w:rsidRDefault="005A7D7C" w:rsidP="005A7D7C">
      <w:pPr>
        <w:autoSpaceDE w:val="0"/>
        <w:autoSpaceDN w:val="0"/>
        <w:adjustRightInd w:val="0"/>
      </w:pPr>
    </w:p>
    <w:p w:rsidR="005A7D7C" w:rsidRPr="007A45F4" w:rsidRDefault="005A7D7C" w:rsidP="005A7D7C">
      <w:pPr>
        <w:autoSpaceDE w:val="0"/>
        <w:autoSpaceDN w:val="0"/>
        <w:adjustRightInd w:val="0"/>
      </w:pPr>
    </w:p>
    <w:p w:rsidR="005A7D7C" w:rsidRPr="007A45F4" w:rsidRDefault="005A7D7C" w:rsidP="005A7D7C">
      <w:pPr>
        <w:autoSpaceDE w:val="0"/>
        <w:autoSpaceDN w:val="0"/>
        <w:adjustRightInd w:val="0"/>
      </w:pPr>
    </w:p>
    <w:p w:rsidR="005A7D7C" w:rsidRPr="007A45F4" w:rsidRDefault="005A7D7C" w:rsidP="005A7D7C">
      <w:pPr>
        <w:pStyle w:val="Heading1"/>
      </w:pPr>
      <w:bookmarkStart w:id="174" w:name="_Toc382813447"/>
      <w:bookmarkStart w:id="175" w:name="_Toc382820494"/>
      <w:bookmarkStart w:id="176" w:name="_Toc378597583"/>
      <w:bookmarkStart w:id="177" w:name="_Toc379273722"/>
      <w:bookmarkStart w:id="178" w:name="_Toc381527925"/>
      <w:bookmarkStart w:id="179" w:name="_Toc381538499"/>
      <w:bookmarkStart w:id="180" w:name="_Toc381539714"/>
      <w:bookmarkStart w:id="181" w:name="_Toc381598724"/>
      <w:r w:rsidRPr="007A45F4">
        <w:t>vorgeschlagene entscheidung</w:t>
      </w:r>
      <w:bookmarkEnd w:id="174"/>
      <w:bookmarkEnd w:id="175"/>
    </w:p>
    <w:p w:rsidR="005A7D7C" w:rsidRPr="007A45F4" w:rsidRDefault="005A7D7C" w:rsidP="005A7D7C">
      <w:r w:rsidRPr="007A45F4">
        <w:t>(</w:t>
      </w:r>
      <w:r>
        <w:t>vergleiche</w:t>
      </w:r>
      <w:r w:rsidRPr="007A45F4">
        <w:t xml:space="preserve"> Hinweis f im </w:t>
      </w:r>
      <w:r>
        <w:t>Flußdiagramm</w:t>
      </w:r>
      <w:r w:rsidRPr="007A45F4">
        <w:t xml:space="preserve"> in Modul 1)</w:t>
      </w:r>
      <w:bookmarkEnd w:id="176"/>
      <w:bookmarkEnd w:id="177"/>
      <w:bookmarkEnd w:id="178"/>
      <w:bookmarkEnd w:id="179"/>
      <w:bookmarkEnd w:id="180"/>
      <w:bookmarkEnd w:id="181"/>
    </w:p>
    <w:p w:rsidR="005A7D7C" w:rsidRPr="007A45F4" w:rsidRDefault="005A7D7C" w:rsidP="005A7D7C"/>
    <w:p w:rsidR="005A7D7C" w:rsidRPr="007A45F4" w:rsidRDefault="005A7D7C" w:rsidP="005A7D7C">
      <w:r w:rsidRPr="007A45F4">
        <w:t xml:space="preserve">Auf der Grundlage der Ergebnisse der Prüfung der Neuheit, der Sortenbezeichnung und der DUS-Prüfung kann eine Entscheidung bezüglich der Erteilung der Züchterrechte vorgeschlagen werden. Diese Entscheidung kann der für die Erteilung der Züchterrechte zuständigen Behörde (Züchterrechtsamt) von einem Beamten oder einer Gruppe von Fachleuten, wie einem Expertenausschuß oder </w:t>
      </w:r>
      <w:r w:rsidRPr="007A45F4">
        <w:noBreakHyphen/>
        <w:t>gremium, vorgeschlagen werden. Fällt die Entscheidung negativ aus, wird die Zurückweisung des Antrags veröffentlicht (vergleiche Modul 4, „Zu veröffentlichende Auskünfte“). Der Anmelder kann gegen eine vom Züchterrechtsamt vorgeschlagene negative Entscheidung Berufung einlegen.</w:t>
      </w:r>
    </w:p>
    <w:p w:rsidR="005A7D7C" w:rsidRPr="007A45F4" w:rsidRDefault="005A7D7C" w:rsidP="005A7D7C"/>
    <w:p w:rsidR="005A7D7C" w:rsidRPr="007A45F4" w:rsidRDefault="005A7D7C" w:rsidP="005A7D7C"/>
    <w:p w:rsidR="005A7D7C" w:rsidRPr="007A45F4" w:rsidRDefault="005A7D7C" w:rsidP="005A7D7C"/>
    <w:p w:rsidR="005A7D7C" w:rsidRPr="007A45F4" w:rsidRDefault="005A7D7C" w:rsidP="005A7D7C">
      <w:pPr>
        <w:pStyle w:val="Heading1"/>
      </w:pPr>
      <w:bookmarkStart w:id="182" w:name="_Toc382813448"/>
      <w:bookmarkStart w:id="183" w:name="_Toc382820495"/>
      <w:bookmarkStart w:id="184" w:name="_Toc378597584"/>
      <w:bookmarkStart w:id="185" w:name="_Toc379273723"/>
      <w:bookmarkStart w:id="186" w:name="_Toc381527926"/>
      <w:bookmarkStart w:id="187" w:name="_Toc381538500"/>
      <w:bookmarkStart w:id="188" w:name="_Toc381539715"/>
      <w:bookmarkStart w:id="189" w:name="_Toc381598725"/>
      <w:r w:rsidRPr="007A45F4">
        <w:t>EINWeNDungen</w:t>
      </w:r>
      <w:bookmarkEnd w:id="182"/>
      <w:bookmarkEnd w:id="183"/>
    </w:p>
    <w:p w:rsidR="005A7D7C" w:rsidRPr="00983B74" w:rsidRDefault="005A7D7C" w:rsidP="005A7D7C">
      <w:pPr>
        <w:keepNext/>
      </w:pPr>
      <w:r w:rsidRPr="007A45F4">
        <w:t>(</w:t>
      </w:r>
      <w:r>
        <w:t>vergleiche</w:t>
      </w:r>
      <w:r w:rsidRPr="007A45F4">
        <w:t xml:space="preserve"> Hinweis g im </w:t>
      </w:r>
      <w:r>
        <w:t>Flußdiagramm</w:t>
      </w:r>
      <w:r w:rsidRPr="007A45F4">
        <w:t xml:space="preserve"> in Modul 1)</w:t>
      </w:r>
      <w:bookmarkEnd w:id="184"/>
      <w:bookmarkEnd w:id="185"/>
      <w:bookmarkEnd w:id="186"/>
      <w:bookmarkEnd w:id="187"/>
      <w:bookmarkEnd w:id="188"/>
      <w:bookmarkEnd w:id="189"/>
    </w:p>
    <w:p w:rsidR="005A7D7C" w:rsidRPr="00983B74" w:rsidRDefault="005A7D7C" w:rsidP="005A7D7C">
      <w:pPr>
        <w:keepNext/>
      </w:pPr>
    </w:p>
    <w:p w:rsidR="005A7D7C" w:rsidRPr="00983B74" w:rsidRDefault="005A7D7C" w:rsidP="005A7D7C">
      <w:r w:rsidRPr="00983B74">
        <w:t xml:space="preserve">Das Züchterrechtsamt muß über bestehende Verfahren für die Bearbeitung der infolge der Veröffentlichung von Informationen erhobenen Einwendungen verfügen. Einwendungen seitens der Öffentlichkeit können </w:t>
      </w:r>
      <w:r w:rsidRPr="00983B74">
        <w:lastRenderedPageBreak/>
        <w:t>einschlägige Angaben für die Prüfung von Anträgen und Sortenbezeichnungen mit sich bringen. Der Anmelder kann bei der Einreichung einer Berufung gegen eine Entscheidung des Züchterrechtsamtes auch weitere einschlägige Informationen erteilen.</w:t>
      </w:r>
    </w:p>
    <w:p w:rsidR="005A7D7C" w:rsidRPr="00983B74" w:rsidRDefault="005A7D7C" w:rsidP="005A7D7C"/>
    <w:p w:rsidR="005A7D7C" w:rsidRDefault="005A7D7C" w:rsidP="005A7D7C"/>
    <w:p w:rsidR="005A7D7C" w:rsidRPr="00983B74" w:rsidRDefault="005A7D7C" w:rsidP="005A7D7C"/>
    <w:p w:rsidR="005A7D7C" w:rsidRDefault="005A7D7C" w:rsidP="005A7D7C">
      <w:pPr>
        <w:pStyle w:val="Heading1"/>
      </w:pPr>
      <w:bookmarkStart w:id="190" w:name="_Toc382813449"/>
      <w:bookmarkStart w:id="191" w:name="_Toc382820496"/>
      <w:bookmarkStart w:id="192" w:name="_Toc378597585"/>
      <w:bookmarkStart w:id="193" w:name="_Toc379273724"/>
      <w:bookmarkStart w:id="194" w:name="_Toc381527927"/>
      <w:bookmarkStart w:id="195" w:name="_Toc381538501"/>
      <w:bookmarkStart w:id="196" w:name="_Toc381539716"/>
      <w:bookmarkStart w:id="197" w:name="_Toc381598726"/>
      <w:r w:rsidRPr="00983B74">
        <w:t>erteilung des titels</w:t>
      </w:r>
      <w:bookmarkEnd w:id="190"/>
      <w:bookmarkEnd w:id="191"/>
    </w:p>
    <w:p w:rsidR="005A7D7C" w:rsidRPr="00983B74" w:rsidRDefault="005A7D7C" w:rsidP="005A7D7C">
      <w:r w:rsidRPr="00983B74">
        <w:t>(</w:t>
      </w:r>
      <w:r>
        <w:t>vergleiche</w:t>
      </w:r>
      <w:r w:rsidRPr="00983B74">
        <w:t xml:space="preserve"> Hinweis h im </w:t>
      </w:r>
      <w:r>
        <w:t>Flußdiagramm</w:t>
      </w:r>
      <w:r w:rsidRPr="00983B74">
        <w:t xml:space="preserve"> in Modul</w:t>
      </w:r>
      <w:r>
        <w:t> </w:t>
      </w:r>
      <w:r w:rsidRPr="00983B74">
        <w:t>1)</w:t>
      </w:r>
      <w:bookmarkEnd w:id="192"/>
      <w:bookmarkEnd w:id="193"/>
      <w:bookmarkEnd w:id="194"/>
      <w:bookmarkEnd w:id="195"/>
      <w:bookmarkEnd w:id="196"/>
      <w:bookmarkEnd w:id="197"/>
    </w:p>
    <w:p w:rsidR="005A7D7C" w:rsidRPr="00983B74" w:rsidRDefault="005A7D7C" w:rsidP="005A7D7C"/>
    <w:p w:rsidR="005A7D7C" w:rsidRPr="00983B74" w:rsidRDefault="005A7D7C" w:rsidP="005A7D7C">
      <w:r w:rsidRPr="00983B74">
        <w:t xml:space="preserve">Fällt die Entscheidung bezüglich der Erteilung des Schutzes positiv aus, wird der Titel erteilt. Der Titel </w:t>
      </w:r>
      <w:r w:rsidRPr="00F00014">
        <w:t>wird dem Inhaber des Züchterrechts übermittelt. Erteilungen von Züchterrechten und genehmigte Sortenbezeichnungen werden vom Züchterrechtsamt gleichzeitig eingetragen und veröffentlicht (vergleiche Modul 4, „Zu veröffentlichende Auskünfte“).</w:t>
      </w:r>
    </w:p>
    <w:p w:rsidR="005A7D7C" w:rsidRDefault="005A7D7C" w:rsidP="005A7D7C">
      <w:pPr>
        <w:rPr>
          <w:szCs w:val="22"/>
        </w:rPr>
      </w:pPr>
    </w:p>
    <w:p w:rsidR="005A7D7C" w:rsidRPr="00983B74" w:rsidRDefault="005A7D7C" w:rsidP="005A7D7C">
      <w:pPr>
        <w:rPr>
          <w:szCs w:val="22"/>
        </w:rPr>
      </w:pPr>
    </w:p>
    <w:p w:rsidR="005A7D7C" w:rsidRPr="00983B74" w:rsidRDefault="005A7D7C" w:rsidP="005A7D7C">
      <w:pPr>
        <w:rPr>
          <w:szCs w:val="22"/>
        </w:rPr>
      </w:pPr>
    </w:p>
    <w:p w:rsidR="005A7D7C" w:rsidRDefault="005A7D7C" w:rsidP="005A7D7C">
      <w:pPr>
        <w:pStyle w:val="Heading1"/>
      </w:pPr>
      <w:bookmarkStart w:id="198" w:name="_Toc382813450"/>
      <w:bookmarkStart w:id="199" w:name="_Toc382820497"/>
      <w:bookmarkStart w:id="200" w:name="_Toc378597586"/>
      <w:bookmarkStart w:id="201" w:name="_Toc379273725"/>
      <w:bookmarkStart w:id="202" w:name="_Toc381527928"/>
      <w:bookmarkStart w:id="203" w:name="_Toc381538502"/>
      <w:bookmarkStart w:id="204" w:name="_Toc381539717"/>
      <w:bookmarkStart w:id="205" w:name="_Toc381598727"/>
      <w:r w:rsidRPr="00983B74">
        <w:t>angelegenheiten nach der erteilung</w:t>
      </w:r>
      <w:bookmarkEnd w:id="198"/>
      <w:bookmarkEnd w:id="199"/>
    </w:p>
    <w:p w:rsidR="005A7D7C" w:rsidRPr="00983B74" w:rsidRDefault="005A7D7C" w:rsidP="005A7D7C">
      <w:r w:rsidRPr="00983B74">
        <w:t>(</w:t>
      </w:r>
      <w:r>
        <w:t>vergleiche</w:t>
      </w:r>
      <w:r w:rsidRPr="00983B74">
        <w:t xml:space="preserve"> Hinweis i im </w:t>
      </w:r>
      <w:r>
        <w:t>Flußdiagramm</w:t>
      </w:r>
      <w:r w:rsidRPr="00983B74">
        <w:t xml:space="preserve"> in Modul 1)</w:t>
      </w:r>
      <w:bookmarkEnd w:id="200"/>
      <w:bookmarkEnd w:id="201"/>
      <w:bookmarkEnd w:id="202"/>
      <w:bookmarkEnd w:id="203"/>
      <w:bookmarkEnd w:id="204"/>
      <w:bookmarkEnd w:id="205"/>
    </w:p>
    <w:p w:rsidR="005A7D7C" w:rsidRPr="00983B74" w:rsidRDefault="005A7D7C" w:rsidP="005A7D7C">
      <w:pPr>
        <w:rPr>
          <w:szCs w:val="22"/>
        </w:rPr>
      </w:pPr>
    </w:p>
    <w:p w:rsidR="005A7D7C" w:rsidRPr="00983B74" w:rsidRDefault="005A7D7C" w:rsidP="005A7D7C">
      <w:pPr>
        <w:tabs>
          <w:tab w:val="left" w:pos="1440"/>
        </w:tabs>
      </w:pPr>
      <w:r w:rsidRPr="00983B74">
        <w:rPr>
          <w:szCs w:val="22"/>
        </w:rPr>
        <w:t>Die Aufgaben des Züchterrechtsamtes nach der Erteilung des Züchterrechts umfassen die Verpflichtung, einschlägige Informationen im Register und den Datenbanken auf dem neuesten Stand zu halten, die V</w:t>
      </w:r>
      <w:r w:rsidRPr="007A45F4">
        <w:rPr>
          <w:szCs w:val="22"/>
        </w:rPr>
        <w:t xml:space="preserve">erwaltung der Gebührenentrichtung (falls zutreffend) durch den Züchter, um das Züchterrecht in Kraft zu halten, und die Veröffentlichung einschlägiger Informationen nach der Erteilung, beispielsweise des Verfalls des Züchterrechts und der Änderungen betreffend den Inhaber des Züchterrechts und die Sortenbezeichnungen (vergleiche </w:t>
      </w:r>
      <w:r w:rsidRPr="007A45F4">
        <w:t>Modul 4, „Zu veröffentlichende Auskünfte“). Das Züchterrechtsamt kann sich auch entscheiden, Maßnahmen zur Überprüfung der Erhaltung der Sorte zu treffen.</w:t>
      </w:r>
    </w:p>
    <w:p w:rsidR="005A7D7C" w:rsidRPr="00983B74" w:rsidRDefault="005A7D7C" w:rsidP="005A7D7C">
      <w:pPr>
        <w:autoSpaceDE w:val="0"/>
        <w:autoSpaceDN w:val="0"/>
        <w:adjustRightInd w:val="0"/>
      </w:pPr>
    </w:p>
    <w:p w:rsidR="005A7D7C" w:rsidRPr="00983B74" w:rsidRDefault="005A7D7C" w:rsidP="005A7D7C">
      <w:pPr>
        <w:autoSpaceDE w:val="0"/>
        <w:autoSpaceDN w:val="0"/>
        <w:adjustRightInd w:val="0"/>
      </w:pPr>
    </w:p>
    <w:p w:rsidR="005A7D7C" w:rsidRPr="00983B74" w:rsidRDefault="005A7D7C" w:rsidP="005A7D7C">
      <w:pPr>
        <w:autoSpaceDE w:val="0"/>
        <w:autoSpaceDN w:val="0"/>
        <w:adjustRightInd w:val="0"/>
      </w:pPr>
    </w:p>
    <w:p w:rsidR="005A7D7C" w:rsidRPr="00983B74" w:rsidRDefault="005A7D7C" w:rsidP="005A7D7C">
      <w:pPr>
        <w:autoSpaceDE w:val="0"/>
        <w:autoSpaceDN w:val="0"/>
        <w:adjustRightInd w:val="0"/>
        <w:jc w:val="right"/>
      </w:pPr>
      <w:r w:rsidRPr="00983B74">
        <w:t>[Ende des Moduls]</w:t>
      </w:r>
    </w:p>
    <w:p w:rsidR="005A7D7C" w:rsidRPr="00983B74" w:rsidRDefault="005A7D7C" w:rsidP="005A7D7C">
      <w:pPr>
        <w:jc w:val="left"/>
      </w:pPr>
    </w:p>
    <w:p w:rsidR="002B092C" w:rsidRDefault="002B092C" w:rsidP="002B092C">
      <w:pPr>
        <w:autoSpaceDE w:val="0"/>
        <w:autoSpaceDN w:val="0"/>
        <w:adjustRightInd w:val="0"/>
      </w:pPr>
    </w:p>
    <w:sectPr w:rsidR="002B092C" w:rsidSect="005A7D7C">
      <w:headerReference w:type="default" r:id="rId24"/>
      <w:footerReference w:type="default" r:id="rId25"/>
      <w:footerReference w:type="first" r:id="rId26"/>
      <w:pgSz w:w="11907" w:h="16839" w:code="9"/>
      <w:pgMar w:top="510" w:right="1134" w:bottom="1134" w:left="1134" w:header="510" w:footer="624"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D7C" w:rsidRDefault="005A7D7C">
      <w:r>
        <w:separator/>
      </w:r>
    </w:p>
    <w:p w:rsidR="005A7D7C" w:rsidRDefault="005A7D7C"/>
    <w:p w:rsidR="005A7D7C" w:rsidRDefault="005A7D7C"/>
  </w:endnote>
  <w:endnote w:type="continuationSeparator" w:id="0">
    <w:p w:rsidR="005A7D7C" w:rsidRDefault="005A7D7C">
      <w:r>
        <w:separator/>
      </w:r>
    </w:p>
    <w:p w:rsidR="005A7D7C" w:rsidRPr="00664515" w:rsidRDefault="005A7D7C" w:rsidP="00AC61E0">
      <w:pPr>
        <w:pStyle w:val="Footer"/>
        <w:rPr>
          <w:lang w:val="fr-CH"/>
        </w:rPr>
      </w:pPr>
      <w:r w:rsidRPr="00664515">
        <w:rPr>
          <w:lang w:val="fr-CH"/>
        </w:rPr>
        <w:t>[Suite de la note de la page précédente]</w:t>
      </w:r>
    </w:p>
    <w:p w:rsidR="005A7D7C" w:rsidRPr="00664515" w:rsidRDefault="005A7D7C">
      <w:pPr>
        <w:rPr>
          <w:lang w:val="fr-CH"/>
        </w:rPr>
      </w:pPr>
    </w:p>
    <w:p w:rsidR="005A7D7C" w:rsidRPr="00664515" w:rsidRDefault="005A7D7C">
      <w:pPr>
        <w:rPr>
          <w:lang w:val="fr-CH"/>
        </w:rPr>
      </w:pPr>
    </w:p>
  </w:endnote>
  <w:endnote w:type="continuationNotice" w:id="1">
    <w:p w:rsidR="005A7D7C" w:rsidRPr="00664515" w:rsidRDefault="005A7D7C">
      <w:pPr>
        <w:spacing w:before="60"/>
        <w:jc w:val="right"/>
        <w:rPr>
          <w:sz w:val="18"/>
          <w:lang w:val="fr-CH"/>
        </w:rPr>
      </w:pPr>
      <w:r w:rsidRPr="00664515">
        <w:rPr>
          <w:sz w:val="18"/>
          <w:lang w:val="fr-CH"/>
        </w:rPr>
        <w:t>[Suite de la note page suivante]</w:t>
      </w:r>
    </w:p>
    <w:p w:rsidR="005A7D7C" w:rsidRPr="00664515" w:rsidRDefault="005A7D7C">
      <w:pPr>
        <w:rPr>
          <w:lang w:val="fr-CH"/>
        </w:rPr>
      </w:pPr>
    </w:p>
    <w:p w:rsidR="005A7D7C" w:rsidRPr="00664515" w:rsidRDefault="005A7D7C">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7C" w:rsidRPr="00AC61E0" w:rsidRDefault="005A7D7C" w:rsidP="00AC61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7C" w:rsidRDefault="005A7D7C" w:rsidP="005A7D7C">
    <w:pPr>
      <w:jc w:val="right"/>
    </w:pPr>
    <w:r w:rsidRPr="00C6657B">
      <w:t xml:space="preserve">Modul </w:t>
    </w:r>
    <w:r>
      <w:t>2</w:t>
    </w:r>
    <w:r w:rsidRPr="00C6657B">
      <w:t xml:space="preserve"> –</w:t>
    </w:r>
    <w:r>
      <w:t>Seit</w:t>
    </w:r>
    <w:r w:rsidRPr="00C6657B">
      <w:t xml:space="preserve">e </w:t>
    </w:r>
    <w:r>
      <w:fldChar w:fldCharType="begin"/>
    </w:r>
    <w:r>
      <w:instrText xml:space="preserve"> PAGE   \* MERGEFORMAT </w:instrText>
    </w:r>
    <w:r>
      <w:fldChar w:fldCharType="separate"/>
    </w:r>
    <w:r w:rsidR="000807BA">
      <w:rPr>
        <w:noProof/>
      </w:rPr>
      <w:t>1</w:t>
    </w:r>
    <w:r>
      <w:rPr>
        <w:noProof/>
      </w:rPr>
      <w:fldChar w:fldCharType="end"/>
    </w:r>
  </w:p>
  <w:p w:rsidR="005A7D7C" w:rsidRDefault="005A7D7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D7C" w:rsidRDefault="005A7D7C" w:rsidP="009D690D">
      <w:pPr>
        <w:spacing w:before="120"/>
      </w:pPr>
      <w:r>
        <w:separator/>
      </w:r>
    </w:p>
  </w:footnote>
  <w:footnote w:type="continuationSeparator" w:id="0">
    <w:p w:rsidR="005A7D7C" w:rsidRDefault="005A7D7C" w:rsidP="00520297">
      <w:pPr>
        <w:spacing w:before="120"/>
        <w:jc w:val="left"/>
      </w:pPr>
      <w:r>
        <w:separator/>
      </w:r>
    </w:p>
  </w:footnote>
  <w:footnote w:type="continuationNotice" w:id="1">
    <w:p w:rsidR="005A7D7C" w:rsidRDefault="005A7D7C"/>
  </w:footnote>
  <w:footnote w:id="2">
    <w:p w:rsidR="005A7D7C" w:rsidRPr="00D05540" w:rsidRDefault="005A7D7C" w:rsidP="005A7D7C">
      <w:pPr>
        <w:ind w:left="567" w:hanging="567"/>
        <w:rPr>
          <w:sz w:val="16"/>
        </w:rPr>
      </w:pPr>
      <w:r w:rsidRPr="00D05540">
        <w:rPr>
          <w:vertAlign w:val="superscript"/>
        </w:rPr>
        <w:footnoteRef/>
      </w:r>
      <w:r>
        <w:tab/>
      </w:r>
      <w:r w:rsidRPr="00D05540">
        <w:rPr>
          <w:sz w:val="16"/>
          <w:szCs w:val="16"/>
        </w:rPr>
        <w:t>Bitte beachten, daß dies</w:t>
      </w:r>
      <w:r>
        <w:rPr>
          <w:sz w:val="16"/>
          <w:szCs w:val="16"/>
        </w:rPr>
        <w:t>e</w:t>
      </w:r>
      <w:r w:rsidRPr="00D05540">
        <w:rPr>
          <w:sz w:val="16"/>
          <w:szCs w:val="16"/>
        </w:rPr>
        <w:t>s Verzeichnis zu Veranschaulichun</w:t>
      </w:r>
      <w:r>
        <w:rPr>
          <w:sz w:val="16"/>
          <w:szCs w:val="16"/>
        </w:rPr>
        <w:t>g</w:t>
      </w:r>
      <w:r w:rsidRPr="00D05540">
        <w:rPr>
          <w:sz w:val="16"/>
          <w:szCs w:val="16"/>
        </w:rPr>
        <w:t>szwecken bereitgestellt wird und zum Zeitpunkt der Lektüre möglichweise nicht mehr aktuell ist: Der Link zum Inhaltsverzeichnis ist im obigen Wortlaut angegeben.</w:t>
      </w:r>
    </w:p>
  </w:footnote>
  <w:footnote w:id="3">
    <w:p w:rsidR="005A7D7C" w:rsidRPr="00D05540" w:rsidRDefault="005A7D7C" w:rsidP="005A7D7C">
      <w:pPr>
        <w:ind w:left="567" w:hanging="567"/>
      </w:pPr>
      <w:r w:rsidRPr="00C0236D">
        <w:rPr>
          <w:vertAlign w:val="superscript"/>
        </w:rPr>
        <w:footnoteRef/>
      </w:r>
      <w:r>
        <w:rPr>
          <w:rStyle w:val="FootnoteTextChar"/>
        </w:rPr>
        <w:tab/>
      </w:r>
      <w:r w:rsidRPr="00D05540">
        <w:rPr>
          <w:rStyle w:val="FootnoteTextChar"/>
        </w:rPr>
        <w:t xml:space="preserve">Die </w:t>
      </w:r>
      <w:r>
        <w:rPr>
          <w:rStyle w:val="FootnoteTextChar"/>
        </w:rPr>
        <w:t>Hinweise</w:t>
      </w:r>
      <w:r w:rsidRPr="00D05540">
        <w:rPr>
          <w:rStyle w:val="FootnoteTextChar"/>
        </w:rPr>
        <w:t xml:space="preserve"> </w:t>
      </w:r>
      <w:r>
        <w:rPr>
          <w:rStyle w:val="FootnoteTextChar"/>
        </w:rPr>
        <w:t>i</w:t>
      </w:r>
      <w:r w:rsidRPr="00D05540">
        <w:rPr>
          <w:rStyle w:val="FootnoteTextChar"/>
        </w:rPr>
        <w:t xml:space="preserve">m obigen Diagramm </w:t>
      </w:r>
      <w:r>
        <w:rPr>
          <w:rStyle w:val="FootnoteTextChar"/>
        </w:rPr>
        <w:t>b</w:t>
      </w:r>
      <w:r w:rsidRPr="00D05540">
        <w:rPr>
          <w:rStyle w:val="FootnoteTextChar"/>
        </w:rPr>
        <w:t xml:space="preserve">eziehen sich auf die Verwaltung der Prüfung </w:t>
      </w:r>
      <w:r>
        <w:rPr>
          <w:rStyle w:val="FootnoteTextChar"/>
        </w:rPr>
        <w:t>u</w:t>
      </w:r>
      <w:r w:rsidRPr="00D05540">
        <w:rPr>
          <w:rStyle w:val="FootnoteTextChar"/>
        </w:rPr>
        <w:t xml:space="preserve">nd werden in </w:t>
      </w:r>
      <w:r w:rsidRPr="00290BF4">
        <w:rPr>
          <w:rStyle w:val="FootnoteTextChar"/>
        </w:rPr>
        <w:t>Modul 2, „Verwaltung der Anträge“, erläutert.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7C" w:rsidRPr="00997029" w:rsidRDefault="005A7D7C" w:rsidP="00E23920">
    <w:pPr>
      <w:jc w:val="center"/>
      <w:rPr>
        <w:rStyle w:val="PageNumber"/>
      </w:rPr>
    </w:pPr>
    <w:r>
      <w:rPr>
        <w:rStyle w:val="PageNumber"/>
      </w:rPr>
      <w:t>CAJ/69/10</w:t>
    </w:r>
  </w:p>
  <w:p w:rsidR="005A7D7C" w:rsidRPr="00997029" w:rsidRDefault="00AC61E0" w:rsidP="00E23920">
    <w:pPr>
      <w:jc w:val="center"/>
    </w:pPr>
    <w:r>
      <w:t>Anlage</w:t>
    </w:r>
    <w:r w:rsidR="005A7D7C">
      <w:t xml:space="preserve">Seite </w:t>
    </w:r>
    <w:r w:rsidR="005A7D7C" w:rsidRPr="00997029">
      <w:rPr>
        <w:rStyle w:val="PageNumber"/>
      </w:rPr>
      <w:fldChar w:fldCharType="begin"/>
    </w:r>
    <w:r w:rsidR="005A7D7C" w:rsidRPr="00997029">
      <w:rPr>
        <w:rStyle w:val="PageNumber"/>
      </w:rPr>
      <w:instrText xml:space="preserve"> PAGE </w:instrText>
    </w:r>
    <w:r w:rsidR="005A7D7C" w:rsidRPr="00997029">
      <w:rPr>
        <w:rStyle w:val="PageNumber"/>
      </w:rPr>
      <w:fldChar w:fldCharType="separate"/>
    </w:r>
    <w:r w:rsidR="000807BA">
      <w:rPr>
        <w:rStyle w:val="PageNumber"/>
        <w:noProof/>
      </w:rPr>
      <w:t>11</w:t>
    </w:r>
    <w:r w:rsidR="005A7D7C" w:rsidRPr="00997029">
      <w:rPr>
        <w:rStyle w:val="PageNumber"/>
      </w:rPr>
      <w:fldChar w:fldCharType="end"/>
    </w:r>
  </w:p>
  <w:p w:rsidR="005A7D7C" w:rsidRPr="00997029" w:rsidRDefault="005A7D7C"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61E0" w:rsidRPr="00997029" w:rsidRDefault="00AC61E0" w:rsidP="00E23920">
    <w:pPr>
      <w:jc w:val="center"/>
      <w:rPr>
        <w:rStyle w:val="PageNumber"/>
      </w:rPr>
    </w:pPr>
    <w:r>
      <w:rPr>
        <w:rStyle w:val="PageNumber"/>
      </w:rPr>
      <w:t>CAJ/69/10</w:t>
    </w:r>
  </w:p>
  <w:p w:rsidR="00AC61E0" w:rsidRPr="00997029" w:rsidRDefault="00AC61E0" w:rsidP="00E23920">
    <w:pPr>
      <w:jc w:val="center"/>
    </w:pPr>
    <w:r>
      <w:t xml:space="preserve">Anlage, Seite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807BA">
      <w:rPr>
        <w:rStyle w:val="PageNumber"/>
        <w:noProof/>
      </w:rPr>
      <w:t>10</w:t>
    </w:r>
    <w:r w:rsidRPr="00997029">
      <w:rPr>
        <w:rStyle w:val="PageNumber"/>
      </w:rPr>
      <w:fldChar w:fldCharType="end"/>
    </w:r>
  </w:p>
  <w:p w:rsidR="00AC61E0" w:rsidRPr="00997029" w:rsidRDefault="00AC61E0"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71D0"/>
    <w:multiLevelType w:val="multilevel"/>
    <w:tmpl w:val="35E87DB4"/>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6E11D0"/>
    <w:multiLevelType w:val="hybridMultilevel"/>
    <w:tmpl w:val="5D82BAD8"/>
    <w:lvl w:ilvl="0" w:tplc="DEAC16A0">
      <w:start w:val="5"/>
      <w:numFmt w:val="bullet"/>
      <w:lvlText w:val="–"/>
      <w:lvlJc w:val="left"/>
      <w:pPr>
        <w:tabs>
          <w:tab w:val="num" w:pos="735"/>
        </w:tabs>
        <w:ind w:left="735" w:hanging="360"/>
      </w:pPr>
      <w:rPr>
        <w:rFonts w:ascii="Times New Roman" w:eastAsia="Times New Roman" w:hAnsi="Times New Roman" w:cs="Times New Roman" w:hint="default"/>
        <w:i/>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
    <w:nsid w:val="4C731A68"/>
    <w:multiLevelType w:val="hybridMultilevel"/>
    <w:tmpl w:val="9F8C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FD07AB"/>
    <w:multiLevelType w:val="hybridMultilevel"/>
    <w:tmpl w:val="426E07BE"/>
    <w:lvl w:ilvl="0" w:tplc="EEA4945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6E3B90"/>
    <w:multiLevelType w:val="hybridMultilevel"/>
    <w:tmpl w:val="6B4E2FC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6BB42604"/>
    <w:multiLevelType w:val="hybridMultilevel"/>
    <w:tmpl w:val="4358D76A"/>
    <w:lvl w:ilvl="0" w:tplc="1762809C">
      <w:start w:val="1"/>
      <w:numFmt w:val="bullet"/>
      <w:lvlText w:val="-"/>
      <w:lvlJc w:val="left"/>
      <w:pPr>
        <w:ind w:left="930" w:hanging="360"/>
      </w:pPr>
      <w:rPr>
        <w:rFonts w:ascii="Arial" w:eastAsia="MS Mincho"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7">
    <w:nsid w:val="71BC7CAF"/>
    <w:multiLevelType w:val="singleLevel"/>
    <w:tmpl w:val="D2A6D988"/>
    <w:lvl w:ilvl="0">
      <w:start w:val="1"/>
      <w:numFmt w:val="lowerRoman"/>
      <w:lvlText w:val="(%1)"/>
      <w:legacy w:legacy="1" w:legacySpace="170" w:legacyIndent="851"/>
      <w:lvlJc w:val="right"/>
    </w:lvl>
  </w:abstractNum>
  <w:abstractNum w:abstractNumId="8">
    <w:nsid w:val="772F1383"/>
    <w:multiLevelType w:val="hybridMultilevel"/>
    <w:tmpl w:val="410CF32C"/>
    <w:lvl w:ilvl="0" w:tplc="7632F0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7"/>
  </w:num>
  <w:num w:numId="6">
    <w:abstractNumId w:val="5"/>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 w:id="1"/>
  </w:footnotePr>
  <w:endnotePr>
    <w:endnote w:id="-1"/>
    <w:endnote w:id="0"/>
    <w:endnote w:id="1"/>
  </w:endnotePr>
  <w:compat>
    <w:suppressSpBfAfterPgBrk/>
    <w:compatSetting w:name="compatibilityMode" w:uri="http://schemas.microsoft.com/office/word" w:val="12"/>
  </w:compat>
  <w:rsids>
    <w:rsidRoot w:val="005326C0"/>
    <w:rsid w:val="00001380"/>
    <w:rsid w:val="00001D48"/>
    <w:rsid w:val="00010CF3"/>
    <w:rsid w:val="00011E27"/>
    <w:rsid w:val="000148BC"/>
    <w:rsid w:val="000248FC"/>
    <w:rsid w:val="00024AB8"/>
    <w:rsid w:val="00032D41"/>
    <w:rsid w:val="0003481B"/>
    <w:rsid w:val="0003562F"/>
    <w:rsid w:val="00036028"/>
    <w:rsid w:val="00036D41"/>
    <w:rsid w:val="00037D15"/>
    <w:rsid w:val="00043EF7"/>
    <w:rsid w:val="000446B9"/>
    <w:rsid w:val="00044C9F"/>
    <w:rsid w:val="00046731"/>
    <w:rsid w:val="00047D77"/>
    <w:rsid w:val="00047E21"/>
    <w:rsid w:val="000510F9"/>
    <w:rsid w:val="00051FA2"/>
    <w:rsid w:val="00054441"/>
    <w:rsid w:val="00055FE7"/>
    <w:rsid w:val="00064085"/>
    <w:rsid w:val="00065CAC"/>
    <w:rsid w:val="00071DC7"/>
    <w:rsid w:val="000730F8"/>
    <w:rsid w:val="000807BA"/>
    <w:rsid w:val="00085505"/>
    <w:rsid w:val="000B3257"/>
    <w:rsid w:val="000C7021"/>
    <w:rsid w:val="000D492E"/>
    <w:rsid w:val="000D631C"/>
    <w:rsid w:val="000D6BBC"/>
    <w:rsid w:val="000D74FC"/>
    <w:rsid w:val="000D7780"/>
    <w:rsid w:val="00105929"/>
    <w:rsid w:val="00110481"/>
    <w:rsid w:val="001131D3"/>
    <w:rsid w:val="001131D5"/>
    <w:rsid w:val="00117343"/>
    <w:rsid w:val="00137C60"/>
    <w:rsid w:val="00140E1A"/>
    <w:rsid w:val="00141DB8"/>
    <w:rsid w:val="0015775F"/>
    <w:rsid w:val="00161393"/>
    <w:rsid w:val="001613B4"/>
    <w:rsid w:val="001618CD"/>
    <w:rsid w:val="00164AD9"/>
    <w:rsid w:val="0017474A"/>
    <w:rsid w:val="001758C6"/>
    <w:rsid w:val="00180F6A"/>
    <w:rsid w:val="001979DD"/>
    <w:rsid w:val="001A1421"/>
    <w:rsid w:val="001B5091"/>
    <w:rsid w:val="001B692E"/>
    <w:rsid w:val="001C3DF3"/>
    <w:rsid w:val="001D0C7D"/>
    <w:rsid w:val="001D17EA"/>
    <w:rsid w:val="001E7623"/>
    <w:rsid w:val="001E7A2F"/>
    <w:rsid w:val="001F1F2A"/>
    <w:rsid w:val="001F6407"/>
    <w:rsid w:val="002065F3"/>
    <w:rsid w:val="0021332C"/>
    <w:rsid w:val="00213982"/>
    <w:rsid w:val="00220E5C"/>
    <w:rsid w:val="002241C3"/>
    <w:rsid w:val="00224367"/>
    <w:rsid w:val="00237C7D"/>
    <w:rsid w:val="0024416D"/>
    <w:rsid w:val="00253453"/>
    <w:rsid w:val="0027309C"/>
    <w:rsid w:val="00276CE7"/>
    <w:rsid w:val="002800A0"/>
    <w:rsid w:val="00281060"/>
    <w:rsid w:val="00282747"/>
    <w:rsid w:val="0028357E"/>
    <w:rsid w:val="002873E5"/>
    <w:rsid w:val="00291B91"/>
    <w:rsid w:val="00293268"/>
    <w:rsid w:val="0029439F"/>
    <w:rsid w:val="00295010"/>
    <w:rsid w:val="002A6E50"/>
    <w:rsid w:val="002B092C"/>
    <w:rsid w:val="002C0707"/>
    <w:rsid w:val="002C11F2"/>
    <w:rsid w:val="002C256A"/>
    <w:rsid w:val="002C4075"/>
    <w:rsid w:val="002C6721"/>
    <w:rsid w:val="002C72FB"/>
    <w:rsid w:val="002E224A"/>
    <w:rsid w:val="002E7BA1"/>
    <w:rsid w:val="002F78FA"/>
    <w:rsid w:val="003037B9"/>
    <w:rsid w:val="00305A7F"/>
    <w:rsid w:val="00311DF3"/>
    <w:rsid w:val="003152FE"/>
    <w:rsid w:val="00315A30"/>
    <w:rsid w:val="003239E8"/>
    <w:rsid w:val="00326018"/>
    <w:rsid w:val="00327436"/>
    <w:rsid w:val="003416AA"/>
    <w:rsid w:val="00344BD6"/>
    <w:rsid w:val="0035528D"/>
    <w:rsid w:val="00361821"/>
    <w:rsid w:val="00362E55"/>
    <w:rsid w:val="00372992"/>
    <w:rsid w:val="00377348"/>
    <w:rsid w:val="0038248E"/>
    <w:rsid w:val="003A038D"/>
    <w:rsid w:val="003A12EA"/>
    <w:rsid w:val="003A17C8"/>
    <w:rsid w:val="003B07EC"/>
    <w:rsid w:val="003B69A1"/>
    <w:rsid w:val="003C563E"/>
    <w:rsid w:val="003C5C62"/>
    <w:rsid w:val="003D227C"/>
    <w:rsid w:val="003D2B4D"/>
    <w:rsid w:val="003D5CFA"/>
    <w:rsid w:val="003E2879"/>
    <w:rsid w:val="003E42A5"/>
    <w:rsid w:val="003E4AB9"/>
    <w:rsid w:val="003F0223"/>
    <w:rsid w:val="003F0C17"/>
    <w:rsid w:val="003F0EE1"/>
    <w:rsid w:val="003F251A"/>
    <w:rsid w:val="003F2859"/>
    <w:rsid w:val="003F6136"/>
    <w:rsid w:val="00406CBF"/>
    <w:rsid w:val="00427139"/>
    <w:rsid w:val="00444A88"/>
    <w:rsid w:val="004723F6"/>
    <w:rsid w:val="00474DA4"/>
    <w:rsid w:val="0048479B"/>
    <w:rsid w:val="004926C1"/>
    <w:rsid w:val="004A39DF"/>
    <w:rsid w:val="004A7127"/>
    <w:rsid w:val="004B0E07"/>
    <w:rsid w:val="004C6054"/>
    <w:rsid w:val="004D047D"/>
    <w:rsid w:val="004D680E"/>
    <w:rsid w:val="004F305A"/>
    <w:rsid w:val="005052A1"/>
    <w:rsid w:val="00512164"/>
    <w:rsid w:val="00520297"/>
    <w:rsid w:val="005326C0"/>
    <w:rsid w:val="005338F9"/>
    <w:rsid w:val="0054281C"/>
    <w:rsid w:val="0054760F"/>
    <w:rsid w:val="0055268D"/>
    <w:rsid w:val="0055760B"/>
    <w:rsid w:val="00571C59"/>
    <w:rsid w:val="00572E44"/>
    <w:rsid w:val="00572F20"/>
    <w:rsid w:val="005735BF"/>
    <w:rsid w:val="00576BE4"/>
    <w:rsid w:val="0058593C"/>
    <w:rsid w:val="00595BA6"/>
    <w:rsid w:val="005A1BC4"/>
    <w:rsid w:val="005A3D0C"/>
    <w:rsid w:val="005A400A"/>
    <w:rsid w:val="005A7D7C"/>
    <w:rsid w:val="005B04C4"/>
    <w:rsid w:val="005B7808"/>
    <w:rsid w:val="005B7811"/>
    <w:rsid w:val="005C4485"/>
    <w:rsid w:val="005D1A83"/>
    <w:rsid w:val="005E7052"/>
    <w:rsid w:val="006069E4"/>
    <w:rsid w:val="006078B3"/>
    <w:rsid w:val="00612379"/>
    <w:rsid w:val="00612905"/>
    <w:rsid w:val="0061555F"/>
    <w:rsid w:val="00615C58"/>
    <w:rsid w:val="006359A2"/>
    <w:rsid w:val="00641200"/>
    <w:rsid w:val="00641FEB"/>
    <w:rsid w:val="006507B7"/>
    <w:rsid w:val="006529F6"/>
    <w:rsid w:val="00653C1D"/>
    <w:rsid w:val="00656964"/>
    <w:rsid w:val="0066052E"/>
    <w:rsid w:val="006608AB"/>
    <w:rsid w:val="00663ED8"/>
    <w:rsid w:val="006644BD"/>
    <w:rsid w:val="00664515"/>
    <w:rsid w:val="00672A45"/>
    <w:rsid w:val="00685B1A"/>
    <w:rsid w:val="00687EB4"/>
    <w:rsid w:val="00697024"/>
    <w:rsid w:val="006A1CE1"/>
    <w:rsid w:val="006B17D2"/>
    <w:rsid w:val="006B18B7"/>
    <w:rsid w:val="006B45FA"/>
    <w:rsid w:val="006B4802"/>
    <w:rsid w:val="006C0479"/>
    <w:rsid w:val="006C0E37"/>
    <w:rsid w:val="006C224E"/>
    <w:rsid w:val="006C48D1"/>
    <w:rsid w:val="006C72B6"/>
    <w:rsid w:val="006D79AD"/>
    <w:rsid w:val="006F2B56"/>
    <w:rsid w:val="006F79FA"/>
    <w:rsid w:val="006F7B76"/>
    <w:rsid w:val="00702362"/>
    <w:rsid w:val="00732DEC"/>
    <w:rsid w:val="00735912"/>
    <w:rsid w:val="00735BD5"/>
    <w:rsid w:val="00737D0E"/>
    <w:rsid w:val="0075117E"/>
    <w:rsid w:val="007556F6"/>
    <w:rsid w:val="00760EEF"/>
    <w:rsid w:val="00766EF4"/>
    <w:rsid w:val="00771553"/>
    <w:rsid w:val="007766D5"/>
    <w:rsid w:val="00777EE5"/>
    <w:rsid w:val="00784836"/>
    <w:rsid w:val="0079023E"/>
    <w:rsid w:val="0079453B"/>
    <w:rsid w:val="00797E6A"/>
    <w:rsid w:val="007B3AF6"/>
    <w:rsid w:val="007B6894"/>
    <w:rsid w:val="007C0383"/>
    <w:rsid w:val="007C6639"/>
    <w:rsid w:val="007D04DE"/>
    <w:rsid w:val="007D0B9D"/>
    <w:rsid w:val="007D19B0"/>
    <w:rsid w:val="007D6C5B"/>
    <w:rsid w:val="007F498F"/>
    <w:rsid w:val="007F5CF8"/>
    <w:rsid w:val="00804C92"/>
    <w:rsid w:val="0080679D"/>
    <w:rsid w:val="008108B0"/>
    <w:rsid w:val="00811B20"/>
    <w:rsid w:val="00815077"/>
    <w:rsid w:val="0082296E"/>
    <w:rsid w:val="00824099"/>
    <w:rsid w:val="008320F2"/>
    <w:rsid w:val="00834E82"/>
    <w:rsid w:val="00836E88"/>
    <w:rsid w:val="00855DBD"/>
    <w:rsid w:val="00867AC1"/>
    <w:rsid w:val="0087691D"/>
    <w:rsid w:val="00881DF5"/>
    <w:rsid w:val="008850FA"/>
    <w:rsid w:val="008A2480"/>
    <w:rsid w:val="008A395B"/>
    <w:rsid w:val="008A743F"/>
    <w:rsid w:val="008B51D0"/>
    <w:rsid w:val="008B5C78"/>
    <w:rsid w:val="008C0970"/>
    <w:rsid w:val="008D1D47"/>
    <w:rsid w:val="008D2CF7"/>
    <w:rsid w:val="008E2023"/>
    <w:rsid w:val="008E408A"/>
    <w:rsid w:val="008E69ED"/>
    <w:rsid w:val="008E793E"/>
    <w:rsid w:val="008F3179"/>
    <w:rsid w:val="008F40F4"/>
    <w:rsid w:val="00900C26"/>
    <w:rsid w:val="0090197F"/>
    <w:rsid w:val="009030FC"/>
    <w:rsid w:val="00906DDC"/>
    <w:rsid w:val="00910FF6"/>
    <w:rsid w:val="0091786C"/>
    <w:rsid w:val="00923A40"/>
    <w:rsid w:val="00923B9F"/>
    <w:rsid w:val="00934E09"/>
    <w:rsid w:val="00936253"/>
    <w:rsid w:val="009560C5"/>
    <w:rsid w:val="00970FED"/>
    <w:rsid w:val="00980CC7"/>
    <w:rsid w:val="00987226"/>
    <w:rsid w:val="0099105A"/>
    <w:rsid w:val="00997029"/>
    <w:rsid w:val="009C51FE"/>
    <w:rsid w:val="009C5592"/>
    <w:rsid w:val="009C7680"/>
    <w:rsid w:val="009D070E"/>
    <w:rsid w:val="009D0DE5"/>
    <w:rsid w:val="009D690D"/>
    <w:rsid w:val="009E5A3C"/>
    <w:rsid w:val="009E65B6"/>
    <w:rsid w:val="00A141E7"/>
    <w:rsid w:val="00A20855"/>
    <w:rsid w:val="00A42AC3"/>
    <w:rsid w:val="00A430CF"/>
    <w:rsid w:val="00A54309"/>
    <w:rsid w:val="00A65201"/>
    <w:rsid w:val="00A80B59"/>
    <w:rsid w:val="00A8240F"/>
    <w:rsid w:val="00A86F1B"/>
    <w:rsid w:val="00AB28D5"/>
    <w:rsid w:val="00AB2B93"/>
    <w:rsid w:val="00AB3724"/>
    <w:rsid w:val="00AC45FC"/>
    <w:rsid w:val="00AC61E0"/>
    <w:rsid w:val="00AE0EF1"/>
    <w:rsid w:val="00AF5046"/>
    <w:rsid w:val="00B07301"/>
    <w:rsid w:val="00B15752"/>
    <w:rsid w:val="00B224DE"/>
    <w:rsid w:val="00B31DEE"/>
    <w:rsid w:val="00B33CFB"/>
    <w:rsid w:val="00B55B77"/>
    <w:rsid w:val="00B60F56"/>
    <w:rsid w:val="00B646A7"/>
    <w:rsid w:val="00B649C7"/>
    <w:rsid w:val="00B742E6"/>
    <w:rsid w:val="00B76373"/>
    <w:rsid w:val="00B768B0"/>
    <w:rsid w:val="00B8150F"/>
    <w:rsid w:val="00B84BBD"/>
    <w:rsid w:val="00B855CE"/>
    <w:rsid w:val="00BA325E"/>
    <w:rsid w:val="00BA43FB"/>
    <w:rsid w:val="00BB36C0"/>
    <w:rsid w:val="00BC127D"/>
    <w:rsid w:val="00BC1FE6"/>
    <w:rsid w:val="00BD2C47"/>
    <w:rsid w:val="00BD4C24"/>
    <w:rsid w:val="00BD719D"/>
    <w:rsid w:val="00BE38A2"/>
    <w:rsid w:val="00C0136B"/>
    <w:rsid w:val="00C0469A"/>
    <w:rsid w:val="00C061B6"/>
    <w:rsid w:val="00C07562"/>
    <w:rsid w:val="00C21DBF"/>
    <w:rsid w:val="00C2446C"/>
    <w:rsid w:val="00C36AE5"/>
    <w:rsid w:val="00C41F17"/>
    <w:rsid w:val="00C4212E"/>
    <w:rsid w:val="00C54BF4"/>
    <w:rsid w:val="00C5791C"/>
    <w:rsid w:val="00C65FE0"/>
    <w:rsid w:val="00C66028"/>
    <w:rsid w:val="00C66290"/>
    <w:rsid w:val="00C669D2"/>
    <w:rsid w:val="00C72B7A"/>
    <w:rsid w:val="00C74F5E"/>
    <w:rsid w:val="00C81065"/>
    <w:rsid w:val="00C8733E"/>
    <w:rsid w:val="00C93A10"/>
    <w:rsid w:val="00C973F2"/>
    <w:rsid w:val="00CA774A"/>
    <w:rsid w:val="00CB118D"/>
    <w:rsid w:val="00CC11B0"/>
    <w:rsid w:val="00CC28D8"/>
    <w:rsid w:val="00CC6942"/>
    <w:rsid w:val="00CE487F"/>
    <w:rsid w:val="00CF53D2"/>
    <w:rsid w:val="00CF5A07"/>
    <w:rsid w:val="00CF7E36"/>
    <w:rsid w:val="00D17A98"/>
    <w:rsid w:val="00D233D8"/>
    <w:rsid w:val="00D24210"/>
    <w:rsid w:val="00D30845"/>
    <w:rsid w:val="00D3708D"/>
    <w:rsid w:val="00D40426"/>
    <w:rsid w:val="00D57C96"/>
    <w:rsid w:val="00D71005"/>
    <w:rsid w:val="00D72816"/>
    <w:rsid w:val="00D7723B"/>
    <w:rsid w:val="00D82399"/>
    <w:rsid w:val="00D91203"/>
    <w:rsid w:val="00D95174"/>
    <w:rsid w:val="00D95A5C"/>
    <w:rsid w:val="00DA6F36"/>
    <w:rsid w:val="00DB6F29"/>
    <w:rsid w:val="00DC00EA"/>
    <w:rsid w:val="00DE7C05"/>
    <w:rsid w:val="00DF4D9A"/>
    <w:rsid w:val="00E0217B"/>
    <w:rsid w:val="00E02794"/>
    <w:rsid w:val="00E172C7"/>
    <w:rsid w:val="00E2196B"/>
    <w:rsid w:val="00E23920"/>
    <w:rsid w:val="00E26E5C"/>
    <w:rsid w:val="00E54932"/>
    <w:rsid w:val="00E553D6"/>
    <w:rsid w:val="00E55C95"/>
    <w:rsid w:val="00E55FD8"/>
    <w:rsid w:val="00E6662E"/>
    <w:rsid w:val="00E72D49"/>
    <w:rsid w:val="00E7593C"/>
    <w:rsid w:val="00E7678A"/>
    <w:rsid w:val="00E834C3"/>
    <w:rsid w:val="00E85641"/>
    <w:rsid w:val="00E935F1"/>
    <w:rsid w:val="00E94A81"/>
    <w:rsid w:val="00EA064C"/>
    <w:rsid w:val="00EA1FFB"/>
    <w:rsid w:val="00EA2439"/>
    <w:rsid w:val="00EB048E"/>
    <w:rsid w:val="00EB383D"/>
    <w:rsid w:val="00EB3EFA"/>
    <w:rsid w:val="00EC0AF1"/>
    <w:rsid w:val="00EC545A"/>
    <w:rsid w:val="00ED639F"/>
    <w:rsid w:val="00ED7371"/>
    <w:rsid w:val="00EE0680"/>
    <w:rsid w:val="00EE62F6"/>
    <w:rsid w:val="00EF2F89"/>
    <w:rsid w:val="00F03AF7"/>
    <w:rsid w:val="00F04DEB"/>
    <w:rsid w:val="00F1237A"/>
    <w:rsid w:val="00F22CBD"/>
    <w:rsid w:val="00F32C0F"/>
    <w:rsid w:val="00F37961"/>
    <w:rsid w:val="00F4207E"/>
    <w:rsid w:val="00F426E2"/>
    <w:rsid w:val="00F442FE"/>
    <w:rsid w:val="00F474B6"/>
    <w:rsid w:val="00F6334D"/>
    <w:rsid w:val="00F706CD"/>
    <w:rsid w:val="00FA49AB"/>
    <w:rsid w:val="00FA565A"/>
    <w:rsid w:val="00FB0D37"/>
    <w:rsid w:val="00FB53E7"/>
    <w:rsid w:val="00FE39C7"/>
    <w:rsid w:val="00FE4144"/>
    <w:rsid w:val="00FE4AF3"/>
    <w:rsid w:val="00FF2CD3"/>
    <w:rsid w:val="00FF3A67"/>
    <w:rsid w:val="00FF4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5735BF"/>
    <w:pPr>
      <w:jc w:val="both"/>
      <w:outlineLvl w:val="0"/>
    </w:pPr>
    <w:rPr>
      <w:rFonts w:ascii="Arial" w:hAnsi="Arial"/>
      <w:caps/>
    </w:rPr>
  </w:style>
  <w:style w:type="paragraph" w:styleId="Heading2">
    <w:name w:val="heading 2"/>
    <w:next w:val="Normal"/>
    <w:link w:val="Heading2Char"/>
    <w:autoRedefine/>
    <w:qFormat/>
    <w:rsid w:val="005735BF"/>
    <w:pPr>
      <w:keepNext/>
      <w:jc w:val="both"/>
      <w:outlineLvl w:val="1"/>
    </w:pPr>
    <w:rPr>
      <w:rFonts w:ascii="Arial" w:eastAsia="Arial" w:hAnsi="Arial"/>
      <w:snapToGrid w:val="0"/>
      <w:u w:val="single" w:color="000000"/>
    </w:rPr>
  </w:style>
  <w:style w:type="paragraph" w:styleId="Heading3">
    <w:name w:val="heading 3"/>
    <w:next w:val="Normal"/>
    <w:link w:val="Heading3Char"/>
    <w:autoRedefine/>
    <w:qFormat/>
    <w:rsid w:val="00C66028"/>
    <w:pPr>
      <w:keepNext/>
      <w:jc w:val="both"/>
      <w:outlineLvl w:val="2"/>
    </w:pPr>
    <w:rPr>
      <w:rFonts w:ascii="Arial" w:hAnsi="Arial"/>
      <w:i/>
      <w:szCs w:val="18"/>
    </w:rPr>
  </w:style>
  <w:style w:type="paragraph" w:styleId="Heading4">
    <w:name w:val="heading 4"/>
    <w:next w:val="Normal"/>
    <w:autoRedefine/>
    <w:qFormat/>
    <w:rsid w:val="00B76373"/>
    <w:pPr>
      <w:keepNext/>
      <w:ind w:firstLine="567"/>
      <w:jc w:val="both"/>
      <w:outlineLvl w:val="3"/>
    </w:pPr>
    <w:rPr>
      <w:rFonts w:ascii="Arial" w:eastAsia="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AC61E0"/>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3F0223"/>
    <w:pPr>
      <w:tabs>
        <w:tab w:val="right" w:leader="dot" w:pos="9639"/>
      </w:tabs>
      <w:spacing w:after="60"/>
      <w:ind w:left="851" w:right="851" w:hanging="284"/>
      <w:contextualSpacing/>
    </w:pPr>
    <w:rPr>
      <w:rFonts w:ascii="Arial" w:hAnsi="Arial"/>
      <w:noProof/>
    </w:rPr>
  </w:style>
  <w:style w:type="paragraph" w:styleId="TOC3">
    <w:name w:val="toc 3"/>
    <w:next w:val="Normal"/>
    <w:autoRedefine/>
    <w:uiPriority w:val="39"/>
    <w:rsid w:val="003F0223"/>
    <w:pPr>
      <w:tabs>
        <w:tab w:val="left" w:pos="1418"/>
        <w:tab w:val="right" w:leader="dot" w:pos="9639"/>
      </w:tabs>
      <w:spacing w:after="60"/>
      <w:ind w:left="1418" w:right="851" w:hanging="567"/>
      <w:contextualSpacing/>
    </w:pPr>
    <w:rPr>
      <w:rFonts w:ascii="Arial" w:hAnsi="Arial"/>
      <w:i/>
      <w:noProof/>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uiPriority w:val="39"/>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3F0223"/>
    <w:pPr>
      <w:tabs>
        <w:tab w:val="right" w:leader="dot" w:pos="9639"/>
      </w:tabs>
      <w:spacing w:after="120"/>
      <w:ind w:left="567" w:right="567"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037D15"/>
    <w:pPr>
      <w:ind w:left="720"/>
      <w:contextualSpacing/>
    </w:pPr>
  </w:style>
  <w:style w:type="table" w:styleId="TableGrid">
    <w:name w:val="Table Grid"/>
    <w:basedOn w:val="TableNormal"/>
    <w:rsid w:val="009D0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070E"/>
    <w:pPr>
      <w:autoSpaceDE w:val="0"/>
      <w:autoSpaceDN w:val="0"/>
      <w:adjustRightInd w:val="0"/>
    </w:pPr>
    <w:rPr>
      <w:rFonts w:ascii="Arial" w:hAnsi="Arial" w:cs="Arial"/>
      <w:color w:val="000000"/>
      <w:sz w:val="24"/>
      <w:szCs w:val="24"/>
    </w:rPr>
  </w:style>
  <w:style w:type="paragraph" w:customStyle="1" w:styleId="inf6normal">
    <w:name w:val="inf_6_normal"/>
    <w:basedOn w:val="Normal"/>
    <w:link w:val="inf6normalChar"/>
    <w:rsid w:val="00F4207E"/>
    <w:pPr>
      <w:tabs>
        <w:tab w:val="left" w:pos="426"/>
        <w:tab w:val="left" w:pos="992"/>
      </w:tabs>
    </w:pPr>
    <w:rPr>
      <w:rFonts w:cs="Arial"/>
    </w:rPr>
  </w:style>
  <w:style w:type="paragraph" w:customStyle="1" w:styleId="Inf6Titre4">
    <w:name w:val="Inf6_Titre4"/>
    <w:basedOn w:val="Normal"/>
    <w:next w:val="Normal"/>
    <w:rsid w:val="00F4207E"/>
    <w:pPr>
      <w:keepNext/>
      <w:spacing w:after="360"/>
      <w:jc w:val="center"/>
      <w:outlineLvl w:val="3"/>
    </w:pPr>
    <w:rPr>
      <w:rFonts w:cs="Arial"/>
      <w:caps/>
      <w:szCs w:val="26"/>
    </w:rPr>
  </w:style>
  <w:style w:type="character" w:customStyle="1" w:styleId="inf6normalChar">
    <w:name w:val="inf_6_normal Char"/>
    <w:basedOn w:val="DefaultParagraphFont"/>
    <w:link w:val="inf6normal"/>
    <w:rsid w:val="00F4207E"/>
    <w:rPr>
      <w:rFonts w:ascii="Arial" w:hAnsi="Arial" w:cs="Arial"/>
    </w:rPr>
  </w:style>
  <w:style w:type="character" w:customStyle="1" w:styleId="Heading2Char">
    <w:name w:val="Heading 2 Char"/>
    <w:link w:val="Heading2"/>
    <w:rsid w:val="005735BF"/>
    <w:rPr>
      <w:rFonts w:ascii="Arial" w:eastAsia="Arial" w:hAnsi="Arial"/>
      <w:snapToGrid w:val="0"/>
      <w:u w:val="single" w:color="000000"/>
    </w:rPr>
  </w:style>
  <w:style w:type="character" w:customStyle="1" w:styleId="DecisionParagraphsChar">
    <w:name w:val="DecisionParagraphs Char"/>
    <w:basedOn w:val="DefaultParagraphFont"/>
    <w:link w:val="DecisionParagraphs"/>
    <w:rsid w:val="009C7680"/>
    <w:rPr>
      <w:rFonts w:ascii="Arial" w:hAnsi="Arial"/>
      <w:i/>
    </w:rPr>
  </w:style>
  <w:style w:type="paragraph" w:customStyle="1" w:styleId="Style1">
    <w:name w:val="Style1"/>
    <w:basedOn w:val="Normal"/>
    <w:rsid w:val="00311DF3"/>
    <w:pPr>
      <w:tabs>
        <w:tab w:val="decimal" w:pos="907"/>
        <w:tab w:val="left" w:pos="1077"/>
      </w:tabs>
    </w:pPr>
    <w:rPr>
      <w:rFonts w:ascii="Times New Roman" w:hAnsi="Times New Roman"/>
      <w:sz w:val="24"/>
    </w:rPr>
  </w:style>
  <w:style w:type="paragraph" w:customStyle="1" w:styleId="a">
    <w:name w:val="a"/>
    <w:basedOn w:val="Normal"/>
    <w:rsid w:val="00311DF3"/>
    <w:pPr>
      <w:overflowPunct w:val="0"/>
      <w:autoSpaceDE w:val="0"/>
      <w:autoSpaceDN w:val="0"/>
      <w:adjustRightInd w:val="0"/>
      <w:jc w:val="center"/>
      <w:textAlignment w:val="baseline"/>
    </w:pPr>
    <w:rPr>
      <w:rFonts w:ascii="Times New Roman" w:hAnsi="Times New Roman"/>
      <w:b/>
      <w:sz w:val="24"/>
    </w:rPr>
  </w:style>
  <w:style w:type="character" w:customStyle="1" w:styleId="FootnoteTextChar">
    <w:name w:val="Footnote Text Char"/>
    <w:basedOn w:val="DefaultParagraphFont"/>
    <w:link w:val="FootnoteText"/>
    <w:locked/>
    <w:rsid w:val="00653C1D"/>
    <w:rPr>
      <w:rFonts w:ascii="Arial" w:hAnsi="Arial"/>
      <w:sz w:val="16"/>
    </w:rPr>
  </w:style>
  <w:style w:type="paragraph" w:customStyle="1" w:styleId="Char">
    <w:name w:val="Char 字元 字元"/>
    <w:basedOn w:val="Normal"/>
    <w:rsid w:val="00044C9F"/>
    <w:pPr>
      <w:spacing w:after="160" w:line="240" w:lineRule="exact"/>
      <w:jc w:val="left"/>
    </w:pPr>
    <w:rPr>
      <w:rFonts w:ascii="Verdana" w:eastAsia="PMingLiU" w:hAnsi="Verdana" w:cs="Angsana New"/>
      <w:szCs w:val="24"/>
      <w:lang w:val="en-US" w:eastAsia="en-US" w:bidi="th-TH"/>
    </w:rPr>
  </w:style>
  <w:style w:type="character" w:customStyle="1" w:styleId="Heading1Char">
    <w:name w:val="Heading 1 Char"/>
    <w:link w:val="Heading1"/>
    <w:locked/>
    <w:rsid w:val="005A7D7C"/>
    <w:rPr>
      <w:rFonts w:ascii="Arial" w:hAnsi="Arial"/>
      <w:caps/>
    </w:rPr>
  </w:style>
  <w:style w:type="character" w:customStyle="1" w:styleId="Heading3Char">
    <w:name w:val="Heading 3 Char"/>
    <w:link w:val="Heading3"/>
    <w:locked/>
    <w:rsid w:val="005A7D7C"/>
    <w:rPr>
      <w:rFonts w:ascii="Arial" w:hAnsi="Arial"/>
      <w:i/>
      <w:szCs w:val="18"/>
    </w:rPr>
  </w:style>
  <w:style w:type="paragraph" w:customStyle="1" w:styleId="Style3">
    <w:name w:val="Style3"/>
    <w:basedOn w:val="TOC1"/>
    <w:qFormat/>
    <w:rsid w:val="005A7D7C"/>
    <w:pPr>
      <w:spacing w:before="120"/>
      <w:ind w:left="288" w:right="288" w:hanging="288"/>
    </w:pPr>
    <w:rPr>
      <w:lang w:val="en-US" w:eastAsia="en-US" w:bidi="ar-SA"/>
    </w:rPr>
  </w:style>
  <w:style w:type="character" w:customStyle="1" w:styleId="f21">
    <w:name w:val="f21"/>
    <w:basedOn w:val="DefaultParagraphFont"/>
    <w:rsid w:val="005A7D7C"/>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5735BF"/>
    <w:pPr>
      <w:jc w:val="both"/>
      <w:outlineLvl w:val="0"/>
    </w:pPr>
    <w:rPr>
      <w:rFonts w:ascii="Arial" w:hAnsi="Arial"/>
      <w:caps/>
    </w:rPr>
  </w:style>
  <w:style w:type="paragraph" w:styleId="Heading2">
    <w:name w:val="heading 2"/>
    <w:next w:val="Normal"/>
    <w:link w:val="Heading2Char"/>
    <w:autoRedefine/>
    <w:qFormat/>
    <w:rsid w:val="005735BF"/>
    <w:pPr>
      <w:keepNext/>
      <w:jc w:val="both"/>
      <w:outlineLvl w:val="1"/>
    </w:pPr>
    <w:rPr>
      <w:rFonts w:ascii="Arial" w:eastAsia="Arial" w:hAnsi="Arial"/>
      <w:snapToGrid w:val="0"/>
      <w:u w:val="single" w:color="000000"/>
    </w:rPr>
  </w:style>
  <w:style w:type="paragraph" w:styleId="Heading3">
    <w:name w:val="heading 3"/>
    <w:next w:val="Normal"/>
    <w:autoRedefine/>
    <w:qFormat/>
    <w:rsid w:val="00C66028"/>
    <w:pPr>
      <w:keepNext/>
      <w:jc w:val="both"/>
      <w:outlineLvl w:val="2"/>
    </w:pPr>
    <w:rPr>
      <w:rFonts w:ascii="Arial" w:hAnsi="Arial"/>
      <w:i/>
      <w:szCs w:val="18"/>
    </w:rPr>
  </w:style>
  <w:style w:type="paragraph" w:styleId="Heading4">
    <w:name w:val="heading 4"/>
    <w:next w:val="Normal"/>
    <w:autoRedefine/>
    <w:qFormat/>
    <w:rsid w:val="00B76373"/>
    <w:pPr>
      <w:keepNext/>
      <w:ind w:firstLine="567"/>
      <w:jc w:val="both"/>
      <w:outlineLvl w:val="3"/>
    </w:pPr>
    <w:rPr>
      <w:rFonts w:ascii="Arial" w:eastAsia="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117343"/>
    <w:pPr>
      <w:tabs>
        <w:tab w:val="right" w:leader="dot" w:pos="9639"/>
      </w:tabs>
      <w:ind w:left="851" w:right="851" w:hanging="284"/>
      <w:contextualSpacing/>
    </w:pPr>
    <w:rPr>
      <w:rFonts w:ascii="Arial" w:hAnsi="Arial"/>
      <w:noProof/>
    </w:rPr>
  </w:style>
  <w:style w:type="paragraph" w:styleId="TOC3">
    <w:name w:val="toc 3"/>
    <w:next w:val="Normal"/>
    <w:autoRedefine/>
    <w:uiPriority w:val="39"/>
    <w:rsid w:val="00117343"/>
    <w:pPr>
      <w:tabs>
        <w:tab w:val="right" w:leader="dot" w:pos="9639"/>
      </w:tabs>
      <w:ind w:left="1418"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uiPriority w:val="39"/>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117343"/>
    <w:pPr>
      <w:tabs>
        <w:tab w:val="right" w:leader="dot" w:pos="9639"/>
      </w:tabs>
      <w:ind w:left="567" w:right="284" w:hanging="567"/>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037D15"/>
    <w:pPr>
      <w:ind w:left="720"/>
      <w:contextualSpacing/>
    </w:pPr>
  </w:style>
  <w:style w:type="table" w:styleId="TableGrid">
    <w:name w:val="Table Grid"/>
    <w:basedOn w:val="TableNormal"/>
    <w:rsid w:val="009D0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070E"/>
    <w:pPr>
      <w:autoSpaceDE w:val="0"/>
      <w:autoSpaceDN w:val="0"/>
      <w:adjustRightInd w:val="0"/>
    </w:pPr>
    <w:rPr>
      <w:rFonts w:ascii="Arial" w:hAnsi="Arial" w:cs="Arial"/>
      <w:color w:val="000000"/>
      <w:sz w:val="24"/>
      <w:szCs w:val="24"/>
    </w:rPr>
  </w:style>
  <w:style w:type="paragraph" w:customStyle="1" w:styleId="inf6normal">
    <w:name w:val="inf_6_normal"/>
    <w:basedOn w:val="Normal"/>
    <w:link w:val="inf6normalChar"/>
    <w:rsid w:val="00F4207E"/>
    <w:pPr>
      <w:tabs>
        <w:tab w:val="left" w:pos="426"/>
        <w:tab w:val="left" w:pos="992"/>
      </w:tabs>
    </w:pPr>
    <w:rPr>
      <w:rFonts w:cs="Arial"/>
    </w:rPr>
  </w:style>
  <w:style w:type="paragraph" w:customStyle="1" w:styleId="Inf6Titre4">
    <w:name w:val="Inf6_Titre4"/>
    <w:basedOn w:val="Normal"/>
    <w:next w:val="Normal"/>
    <w:rsid w:val="00F4207E"/>
    <w:pPr>
      <w:keepNext/>
      <w:spacing w:after="360"/>
      <w:jc w:val="center"/>
      <w:outlineLvl w:val="3"/>
    </w:pPr>
    <w:rPr>
      <w:rFonts w:cs="Arial"/>
      <w:caps/>
      <w:szCs w:val="26"/>
    </w:rPr>
  </w:style>
  <w:style w:type="character" w:customStyle="1" w:styleId="inf6normalChar">
    <w:name w:val="inf_6_normal Char"/>
    <w:basedOn w:val="DefaultParagraphFont"/>
    <w:link w:val="inf6normal"/>
    <w:rsid w:val="00F4207E"/>
    <w:rPr>
      <w:rFonts w:ascii="Arial" w:hAnsi="Arial" w:cs="Arial"/>
    </w:rPr>
  </w:style>
  <w:style w:type="character" w:customStyle="1" w:styleId="Heading2Char">
    <w:name w:val="Heading 2 Char"/>
    <w:link w:val="Heading2"/>
    <w:rsid w:val="005735BF"/>
    <w:rPr>
      <w:rFonts w:ascii="Arial" w:eastAsia="Arial" w:hAnsi="Arial"/>
      <w:snapToGrid w:val="0"/>
      <w:u w:val="single" w:color="000000"/>
    </w:rPr>
  </w:style>
  <w:style w:type="character" w:customStyle="1" w:styleId="DecisionParagraphsChar">
    <w:name w:val="DecisionParagraphs Char"/>
    <w:basedOn w:val="DefaultParagraphFont"/>
    <w:link w:val="DecisionParagraphs"/>
    <w:rsid w:val="009C7680"/>
    <w:rPr>
      <w:rFonts w:ascii="Arial" w:hAnsi="Arial"/>
      <w:i/>
    </w:rPr>
  </w:style>
  <w:style w:type="paragraph" w:customStyle="1" w:styleId="Style1">
    <w:name w:val="Style1"/>
    <w:basedOn w:val="Normal"/>
    <w:rsid w:val="00311DF3"/>
    <w:pPr>
      <w:tabs>
        <w:tab w:val="decimal" w:pos="907"/>
        <w:tab w:val="left" w:pos="1077"/>
      </w:tabs>
    </w:pPr>
    <w:rPr>
      <w:rFonts w:ascii="Times New Roman" w:hAnsi="Times New Roman"/>
      <w:sz w:val="24"/>
    </w:rPr>
  </w:style>
  <w:style w:type="paragraph" w:customStyle="1" w:styleId="a">
    <w:name w:val="a"/>
    <w:basedOn w:val="Normal"/>
    <w:rsid w:val="00311DF3"/>
    <w:pPr>
      <w:overflowPunct w:val="0"/>
      <w:autoSpaceDE w:val="0"/>
      <w:autoSpaceDN w:val="0"/>
      <w:adjustRightInd w:val="0"/>
      <w:jc w:val="center"/>
      <w:textAlignment w:val="baseline"/>
    </w:pPr>
    <w:rPr>
      <w:rFonts w:ascii="Times New Roman" w:hAnsi="Times New Roman"/>
      <w:b/>
      <w:sz w:val="24"/>
    </w:rPr>
  </w:style>
  <w:style w:type="character" w:customStyle="1" w:styleId="FootnoteTextChar">
    <w:name w:val="Footnote Text Char"/>
    <w:basedOn w:val="DefaultParagraphFont"/>
    <w:link w:val="FootnoteText"/>
    <w:locked/>
    <w:rsid w:val="00653C1D"/>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en/topic.jsp?group_id=252" TargetMode="External"/><Relationship Id="rId18" Type="http://schemas.openxmlformats.org/officeDocument/2006/relationships/hyperlink" Target="http://www.upov.int/information_documents/d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upov.int/tgp/en/" TargetMode="External"/><Relationship Id="rId7" Type="http://schemas.openxmlformats.org/officeDocument/2006/relationships/footnotes" Target="footnotes.xml"/><Relationship Id="rId12" Type="http://schemas.openxmlformats.org/officeDocument/2006/relationships/hyperlink" Target="http://www.upov.int/tgp/en/" TargetMode="External"/><Relationship Id="rId17" Type="http://schemas.openxmlformats.org/officeDocument/2006/relationships/image" Target="media/image2.jp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upov.int/resource/de/subscribe.html" TargetMode="External"/><Relationship Id="rId20" Type="http://schemas.openxmlformats.org/officeDocument/2006/relationships/hyperlink" Target="http://www.upov.int/tgp/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resource/en/dus_guidance.html"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upov.int/upov_collection/de/" TargetMode="External"/><Relationship Id="rId23" Type="http://schemas.openxmlformats.org/officeDocument/2006/relationships/hyperlink" Target="http://www.upov.int/explanatory_notes/de/" TargetMode="External"/><Relationship Id="rId28" Type="http://schemas.openxmlformats.org/officeDocument/2006/relationships/theme" Target="theme/theme1.xml"/><Relationship Id="rId10" Type="http://schemas.openxmlformats.org/officeDocument/2006/relationships/hyperlink" Target="http://www.upov.int/edocs/tgpdocs/de/tgp_7.pdf" TargetMode="External"/><Relationship Id="rId19" Type="http://schemas.openxmlformats.org/officeDocument/2006/relationships/hyperlink" Target="http://www.upov.int/tgp/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upov.int/test_guidelines/d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E6D59-3445-44AC-9FBC-6CE7BD780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195</TotalTime>
  <Pages>22</Pages>
  <Words>6680</Words>
  <Characters>50242</Characters>
  <Application>Microsoft Office Word</Application>
  <DocSecurity>0</DocSecurity>
  <Lines>1288</Lines>
  <Paragraphs>563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CAJ/69 EN</vt:lpstr>
      <vt:lpstr>CAJ/69 EN</vt:lpstr>
    </vt:vector>
  </TitlesOfParts>
  <Company>UPOV</Company>
  <LinksUpToDate>false</LinksUpToDate>
  <CharactersWithSpaces>56359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BESSE Ariane</cp:lastModifiedBy>
  <cp:revision>26</cp:revision>
  <cp:lastPrinted>2014-03-17T10:52:00Z</cp:lastPrinted>
  <dcterms:created xsi:type="dcterms:W3CDTF">2014-03-02T13:17:00Z</dcterms:created>
  <dcterms:modified xsi:type="dcterms:W3CDTF">2014-03-19T08:41:00Z</dcterms:modified>
</cp:coreProperties>
</file>