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490FE8" w:rsidTr="00FB0D37">
        <w:trPr>
          <w:trHeight w:val="1760"/>
        </w:trPr>
        <w:tc>
          <w:tcPr>
            <w:tcW w:w="4243" w:type="dxa"/>
          </w:tcPr>
          <w:p w:rsidR="000D7780" w:rsidRPr="00490FE8" w:rsidRDefault="000D7780" w:rsidP="007D0B9D"/>
        </w:tc>
        <w:tc>
          <w:tcPr>
            <w:tcW w:w="1646" w:type="dxa"/>
            <w:vAlign w:val="center"/>
          </w:tcPr>
          <w:p w:rsidR="000D7780" w:rsidRPr="00490FE8" w:rsidRDefault="00110481" w:rsidP="00576BE4">
            <w:pPr>
              <w:pStyle w:val="LogoUPOV"/>
            </w:pPr>
            <w:r w:rsidRPr="00490FE8">
              <w:rPr>
                <w:noProof/>
                <w:lang w:val="en-US" w:eastAsia="en-US" w:bidi="ar-SA"/>
              </w:rPr>
              <w:drawing>
                <wp:inline distT="0" distB="0" distL="0" distR="0" wp14:anchorId="582F3144" wp14:editId="2581EC2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490FE8" w:rsidRDefault="0024416D" w:rsidP="00576BE4">
            <w:pPr>
              <w:pStyle w:val="Lettrine"/>
            </w:pPr>
            <w:r w:rsidRPr="00490FE8">
              <w:t>G</w:t>
            </w:r>
          </w:p>
          <w:p w:rsidR="000D7780" w:rsidRPr="00490FE8" w:rsidRDefault="00F37961" w:rsidP="00474DA4">
            <w:pPr>
              <w:pStyle w:val="Docoriginal"/>
              <w:jc w:val="left"/>
            </w:pPr>
            <w:r w:rsidRPr="00490FE8">
              <w:t>CAJ/69/</w:t>
            </w:r>
            <w:bookmarkStart w:id="0" w:name="Code"/>
            <w:bookmarkEnd w:id="0"/>
            <w:r w:rsidRPr="00490FE8">
              <w:t>1</w:t>
            </w:r>
          </w:p>
          <w:p w:rsidR="000D7780" w:rsidRPr="00490FE8" w:rsidRDefault="0061555F" w:rsidP="00474DA4">
            <w:pPr>
              <w:pStyle w:val="Docoriginal"/>
              <w:jc w:val="left"/>
            </w:pPr>
            <w:r w:rsidRPr="00490FE8">
              <w:rPr>
                <w:rStyle w:val="StyleDoclangBold"/>
                <w:b/>
                <w:bCs/>
                <w:spacing w:val="0"/>
              </w:rPr>
              <w:t>ORIGINAL:</w:t>
            </w:r>
            <w:r w:rsidRPr="00490FE8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r w:rsidRPr="00490FE8">
              <w:rPr>
                <w:b w:val="0"/>
                <w:spacing w:val="0"/>
              </w:rPr>
              <w:t>englisch</w:t>
            </w:r>
          </w:p>
          <w:p w:rsidR="000D7780" w:rsidRPr="00490FE8" w:rsidRDefault="000D7780" w:rsidP="00204B33">
            <w:pPr>
              <w:pStyle w:val="Docoriginal"/>
              <w:jc w:val="left"/>
              <w:rPr>
                <w:b w:val="0"/>
                <w:spacing w:val="0"/>
                <w:highlight w:val="cyan"/>
              </w:rPr>
            </w:pPr>
            <w:r w:rsidRPr="00490FE8">
              <w:rPr>
                <w:spacing w:val="0"/>
              </w:rPr>
              <w:t>DATUM:</w:t>
            </w:r>
            <w:r w:rsidRPr="00490FE8">
              <w:rPr>
                <w:b w:val="0"/>
                <w:spacing w:val="0"/>
              </w:rPr>
              <w:t xml:space="preserve"> </w:t>
            </w:r>
            <w:r w:rsidRPr="00490FE8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Pr="00490FE8">
              <w:rPr>
                <w:rStyle w:val="StyleDocoriginalNotBold1"/>
                <w:spacing w:val="0"/>
              </w:rPr>
              <w:t>17. Januar</w:t>
            </w:r>
            <w:r w:rsidRPr="00490FE8">
              <w:rPr>
                <w:b w:val="0"/>
                <w:spacing w:val="0"/>
              </w:rPr>
              <w:t xml:space="preserve"> 2014</w:t>
            </w:r>
          </w:p>
        </w:tc>
      </w:tr>
      <w:tr w:rsidR="000D7780" w:rsidRPr="00490FE8" w:rsidTr="00FB0D37">
        <w:tc>
          <w:tcPr>
            <w:tcW w:w="10131" w:type="dxa"/>
            <w:gridSpan w:val="3"/>
          </w:tcPr>
          <w:p w:rsidR="000D7780" w:rsidRPr="00490FE8" w:rsidRDefault="0024416D" w:rsidP="0080679D">
            <w:pPr>
              <w:pStyle w:val="upove"/>
              <w:rPr>
                <w:sz w:val="28"/>
              </w:rPr>
            </w:pPr>
            <w:r w:rsidRPr="00490FE8">
              <w:t xml:space="preserve">INTERNATIONALER VERBAND ZUM SCHUTZ VON PFLANZENZÜCHTUNGEN </w:t>
            </w:r>
          </w:p>
        </w:tc>
      </w:tr>
      <w:tr w:rsidR="000D7780" w:rsidRPr="00490FE8" w:rsidTr="00FB0D37">
        <w:tc>
          <w:tcPr>
            <w:tcW w:w="10131" w:type="dxa"/>
            <w:gridSpan w:val="3"/>
          </w:tcPr>
          <w:p w:rsidR="000D7780" w:rsidRPr="00490FE8" w:rsidRDefault="00867AC1" w:rsidP="0080679D">
            <w:pPr>
              <w:pStyle w:val="Country"/>
            </w:pPr>
            <w:r w:rsidRPr="00490FE8">
              <w:t>Genf</w:t>
            </w:r>
          </w:p>
        </w:tc>
      </w:tr>
    </w:tbl>
    <w:p w:rsidR="000D7780" w:rsidRPr="00490FE8" w:rsidRDefault="00FB0D37" w:rsidP="0080679D">
      <w:pPr>
        <w:pStyle w:val="Sessiontc"/>
      </w:pPr>
      <w:r w:rsidRPr="00490FE8">
        <w:t>VERWALTUNGS- UND RECHTSAUSSCHUSS</w:t>
      </w:r>
    </w:p>
    <w:p w:rsidR="00361821" w:rsidRPr="00490FE8" w:rsidRDefault="00FB0D37" w:rsidP="0080679D">
      <w:pPr>
        <w:pStyle w:val="Sessiontcplacedate"/>
      </w:pPr>
      <w:r w:rsidRPr="00490FE8">
        <w:t>Neunundsechzigste Tagung</w:t>
      </w:r>
      <w:r w:rsidRPr="00490FE8">
        <w:br/>
        <w:t>Genf, 10. April 2014</w:t>
      </w:r>
    </w:p>
    <w:p w:rsidR="00204B33" w:rsidRPr="00490FE8" w:rsidRDefault="00204B33" w:rsidP="00204B33">
      <w:pPr>
        <w:pStyle w:val="Titleofdoc0"/>
      </w:pPr>
      <w:bookmarkStart w:id="3" w:name="TitleOfDoc"/>
      <w:bookmarkEnd w:id="3"/>
      <w:r w:rsidRPr="00490FE8">
        <w:t>Entwurf einer Tagesordnung</w:t>
      </w:r>
    </w:p>
    <w:p w:rsidR="000D7780" w:rsidRPr="00490FE8" w:rsidRDefault="00204B33" w:rsidP="0080679D">
      <w:pPr>
        <w:pStyle w:val="preparedby1"/>
      </w:pPr>
      <w:bookmarkStart w:id="4" w:name="Prepared"/>
      <w:bookmarkEnd w:id="4"/>
      <w:r w:rsidRPr="00490FE8">
        <w:t>vom Verbandsbüro erstellt</w:t>
      </w:r>
      <w:r w:rsidRPr="00490FE8">
        <w:br/>
      </w:r>
      <w:r w:rsidRPr="00490FE8">
        <w:br/>
      </w:r>
      <w:proofErr w:type="spellStart"/>
      <w:r w:rsidRPr="00490FE8">
        <w:rPr>
          <w:color w:val="A6A6A6" w:themeColor="background1" w:themeShade="A6"/>
        </w:rPr>
        <w:t>Haftungsausschluß</w:t>
      </w:r>
      <w:proofErr w:type="spellEnd"/>
      <w:r w:rsidRPr="00490FE8">
        <w:rPr>
          <w:color w:val="A6A6A6" w:themeColor="background1" w:themeShade="A6"/>
        </w:rPr>
        <w:t>:  dieses Dokument gibt nicht die Grundsätze oder eine Anleitung der UPOV wieder</w:t>
      </w: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Eröffnung der Tagung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Annahme der Tagesordnung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 xml:space="preserve">Bericht über die Entwicklungen im Technischen </w:t>
      </w:r>
      <w:proofErr w:type="spellStart"/>
      <w:r w:rsidRPr="00490FE8">
        <w:rPr>
          <w:kern w:val="28"/>
        </w:rPr>
        <w:t>Ausschuß</w:t>
      </w:r>
      <w:proofErr w:type="spellEnd"/>
      <w:r w:rsidRPr="00490FE8">
        <w:rPr>
          <w:kern w:val="28"/>
        </w:rPr>
        <w:t xml:space="preserve"> (Dokument CAJ/69/11)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Ausarbeitung von Informationsmaterial zum UPOV-Übereinkom</w:t>
      </w:r>
      <w:r w:rsidR="00F71CD8" w:rsidRPr="00490FE8">
        <w:rPr>
          <w:kern w:val="28"/>
        </w:rPr>
        <w:t>men (Dokumente CAJ/69/2 und CAJ</w:t>
      </w:r>
      <w:r w:rsidR="00F71CD8" w:rsidRPr="00490FE8">
        <w:rPr>
          <w:kern w:val="28"/>
        </w:rPr>
        <w:noBreakHyphen/>
      </w:r>
      <w:r w:rsidRPr="00490FE8">
        <w:rPr>
          <w:kern w:val="28"/>
        </w:rPr>
        <w:t xml:space="preserve">AG/13/8/10) 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TGP-Dokumente (Dokument CAJ/69/3)</w:t>
      </w:r>
    </w:p>
    <w:p w:rsidR="00841239" w:rsidRPr="00490FE8" w:rsidRDefault="00841239" w:rsidP="00204B33">
      <w:pPr>
        <w:tabs>
          <w:tab w:val="left" w:pos="567"/>
        </w:tabs>
        <w:rPr>
          <w:kern w:val="28"/>
        </w:rPr>
      </w:pPr>
    </w:p>
    <w:p w:rsidR="00841239" w:rsidRPr="00490FE8" w:rsidRDefault="00841239" w:rsidP="00841239">
      <w:pPr>
        <w:tabs>
          <w:tab w:val="left" w:pos="567"/>
        </w:tabs>
        <w:ind w:left="567"/>
        <w:rPr>
          <w:rFonts w:cs="Arial"/>
        </w:rPr>
      </w:pPr>
      <w:r w:rsidRPr="00490FE8">
        <w:rPr>
          <w:i/>
          <w:snapToGrid w:val="0"/>
        </w:rPr>
        <w:t xml:space="preserve">Überarbeitung von TGP-Dokumenten: </w:t>
      </w:r>
    </w:p>
    <w:p w:rsidR="00841239" w:rsidRPr="00490FE8" w:rsidRDefault="00841239" w:rsidP="00841239">
      <w:pPr>
        <w:ind w:firstLine="567"/>
        <w:rPr>
          <w:rFonts w:cs="Arial"/>
          <w:snapToGrid w:val="0"/>
        </w:rPr>
      </w:pPr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  <w:r w:rsidRPr="00490FE8">
        <w:t>TGP/0: Liste der TGP-Dokumente</w:t>
      </w:r>
      <w:r w:rsidR="009859FC">
        <w:t xml:space="preserve"> und Datum der jüngsten Ausgabe</w:t>
      </w:r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  <w:r w:rsidRPr="00490FE8">
        <w:t>TGP/2: Liste der von</w:t>
      </w:r>
      <w:r w:rsidR="002B5D70" w:rsidRPr="00490FE8">
        <w:t xml:space="preserve"> der</w:t>
      </w:r>
      <w:r w:rsidRPr="00490FE8">
        <w:t xml:space="preserve"> UPOV a</w:t>
      </w:r>
      <w:r w:rsidR="009859FC">
        <w:t>ngenommenen Prüfungsrichtlinien</w:t>
      </w:r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</w:p>
    <w:p w:rsidR="00841239" w:rsidRPr="00490FE8" w:rsidRDefault="00841239" w:rsidP="00841239">
      <w:pPr>
        <w:ind w:left="2410" w:hanging="1843"/>
      </w:pPr>
      <w:r w:rsidRPr="00490FE8">
        <w:t>TGP/5: Erfahrung und Zusammenarbeit bei der DUS-Prüfung</w:t>
      </w:r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</w:p>
    <w:p w:rsidR="00841239" w:rsidRPr="00490FE8" w:rsidRDefault="00841239" w:rsidP="00841239">
      <w:pPr>
        <w:keepNext/>
        <w:ind w:firstLine="567"/>
        <w:rPr>
          <w:rFonts w:cs="Arial"/>
          <w:snapToGrid w:val="0"/>
        </w:rPr>
      </w:pPr>
      <w:r w:rsidRPr="00490FE8">
        <w:t xml:space="preserve">TGP/7: Erstellung von Prüfungsrichtlinien </w:t>
      </w:r>
    </w:p>
    <w:p w:rsidR="009859FC" w:rsidRDefault="009859FC" w:rsidP="00624990">
      <w:pPr>
        <w:keepNext/>
        <w:ind w:left="567"/>
      </w:pPr>
    </w:p>
    <w:p w:rsidR="00841239" w:rsidRPr="00490FE8" w:rsidRDefault="00841239" w:rsidP="00624990">
      <w:pPr>
        <w:keepNext/>
        <w:ind w:left="567"/>
        <w:rPr>
          <w:rFonts w:cs="Arial"/>
        </w:rPr>
      </w:pPr>
      <w:r w:rsidRPr="00490FE8">
        <w:t>TGP/8: Prüfungsanlage und Verfahren für die Prüfung der Unterscheidbarkeit, der Homogenität und der Beständigkeit</w:t>
      </w:r>
    </w:p>
    <w:p w:rsidR="009859FC" w:rsidRDefault="009859FC" w:rsidP="00841239">
      <w:pPr>
        <w:ind w:left="2410" w:hanging="1843"/>
      </w:pPr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  <w:r w:rsidRPr="00490FE8">
        <w:t>TGP/9:</w:t>
      </w:r>
      <w:r w:rsidR="001242CF">
        <w:t xml:space="preserve"> Prüfung der Unterscheidbarkeit</w:t>
      </w:r>
      <w:bookmarkStart w:id="5" w:name="_GoBack"/>
      <w:bookmarkEnd w:id="5"/>
    </w:p>
    <w:p w:rsidR="00841239" w:rsidRPr="00490FE8" w:rsidRDefault="00841239" w:rsidP="00841239">
      <w:pPr>
        <w:ind w:left="2410" w:hanging="1843"/>
        <w:rPr>
          <w:rFonts w:cs="Arial"/>
          <w:snapToGrid w:val="0"/>
        </w:rPr>
      </w:pP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Moleku</w:t>
      </w:r>
      <w:r w:rsidR="00624990" w:rsidRPr="00490FE8">
        <w:rPr>
          <w:kern w:val="28"/>
        </w:rPr>
        <w:t>l</w:t>
      </w:r>
      <w:r w:rsidRPr="00490FE8">
        <w:rPr>
          <w:kern w:val="28"/>
        </w:rPr>
        <w:t>are Verfahren (Dokument CAJ/69/4)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Sortenbezeichnungen (Dokument CAJ/69/5)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Informationen und Datenbanken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9859FC">
      <w:pPr>
        <w:spacing w:after="120"/>
        <w:ind w:left="1134" w:hanging="567"/>
        <w:rPr>
          <w:kern w:val="28"/>
        </w:rPr>
      </w:pPr>
      <w:r w:rsidRPr="00490FE8">
        <w:rPr>
          <w:kern w:val="28"/>
        </w:rPr>
        <w:t>a)</w:t>
      </w:r>
      <w:r w:rsidRPr="00490FE8">
        <w:tab/>
      </w:r>
      <w:r w:rsidRPr="00490FE8">
        <w:rPr>
          <w:kern w:val="28"/>
        </w:rPr>
        <w:t>UPOV-Informationsdatenbanken (Dokument CAJ/69/6)</w:t>
      </w:r>
    </w:p>
    <w:p w:rsidR="00204B33" w:rsidRPr="00490FE8" w:rsidRDefault="00204B33" w:rsidP="009859FC">
      <w:pPr>
        <w:spacing w:after="120"/>
        <w:ind w:left="1134" w:hanging="567"/>
        <w:rPr>
          <w:kern w:val="28"/>
        </w:rPr>
      </w:pPr>
      <w:r w:rsidRPr="00490FE8">
        <w:rPr>
          <w:kern w:val="28"/>
        </w:rPr>
        <w:t>b)</w:t>
      </w:r>
      <w:r w:rsidRPr="00490FE8">
        <w:tab/>
      </w:r>
      <w:r w:rsidRPr="00490FE8">
        <w:rPr>
          <w:kern w:val="28"/>
        </w:rPr>
        <w:t>Austauschbare Software (Dokument CAJ/69/7)</w:t>
      </w:r>
    </w:p>
    <w:p w:rsidR="00204B33" w:rsidRPr="00490FE8" w:rsidRDefault="00204B33" w:rsidP="00204B33">
      <w:pPr>
        <w:ind w:left="1134" w:hanging="567"/>
        <w:rPr>
          <w:kern w:val="28"/>
        </w:rPr>
      </w:pPr>
      <w:r w:rsidRPr="00490FE8">
        <w:rPr>
          <w:kern w:val="28"/>
        </w:rPr>
        <w:t>c)</w:t>
      </w:r>
      <w:r w:rsidRPr="00490FE8">
        <w:tab/>
      </w:r>
      <w:r w:rsidRPr="00490FE8">
        <w:rPr>
          <w:kern w:val="28"/>
        </w:rPr>
        <w:t>Elektronische Systeme für die Einreichung von Anträgen (Dokument CAJ/69/8)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Etwaige Entwicklung eines UPOV-Suchinstruments für Ähnlichkeiten zum Zweck der Sortenbezeichnung  (Dokument CAJ/69/9)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0028C6" w:rsidRPr="00490FE8" w:rsidRDefault="000028C6" w:rsidP="000028C6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 xml:space="preserve">Angelegenheiten, die vom </w:t>
      </w:r>
      <w:r w:rsidRPr="00490FE8">
        <w:rPr>
          <w:i/>
          <w:kern w:val="28"/>
        </w:rPr>
        <w:t xml:space="preserve">International </w:t>
      </w:r>
      <w:proofErr w:type="spellStart"/>
      <w:r w:rsidRPr="00490FE8">
        <w:rPr>
          <w:i/>
          <w:kern w:val="28"/>
        </w:rPr>
        <w:t>Seed</w:t>
      </w:r>
      <w:proofErr w:type="spellEnd"/>
      <w:r w:rsidRPr="00490FE8">
        <w:rPr>
          <w:i/>
          <w:kern w:val="28"/>
        </w:rPr>
        <w:t xml:space="preserve"> </w:t>
      </w:r>
      <w:proofErr w:type="spellStart"/>
      <w:r w:rsidRPr="00490FE8">
        <w:rPr>
          <w:i/>
          <w:kern w:val="28"/>
        </w:rPr>
        <w:t>Federation</w:t>
      </w:r>
      <w:proofErr w:type="spellEnd"/>
      <w:r w:rsidRPr="00490FE8">
        <w:rPr>
          <w:kern w:val="28"/>
        </w:rPr>
        <w:t xml:space="preserve"> (ISF) aufgeworfen </w:t>
      </w:r>
      <w:r w:rsidR="002B5D70" w:rsidRPr="00490FE8">
        <w:rPr>
          <w:kern w:val="28"/>
        </w:rPr>
        <w:t>wurden (</w:t>
      </w:r>
      <w:r w:rsidRPr="00490FE8">
        <w:rPr>
          <w:kern w:val="28"/>
        </w:rPr>
        <w:t>Dokument CAJ/69/10)</w:t>
      </w:r>
    </w:p>
    <w:p w:rsidR="000028C6" w:rsidRPr="00490FE8" w:rsidRDefault="000028C6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Programm für die siebzigste Tagung</w:t>
      </w: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Annahme des Berichts über die Entschließungen (sofern zeitlich möglich)</w:t>
      </w:r>
    </w:p>
    <w:p w:rsidR="00204B33" w:rsidRPr="00490FE8" w:rsidRDefault="00204B33" w:rsidP="00204B33">
      <w:pPr>
        <w:tabs>
          <w:tab w:val="left" w:pos="567"/>
        </w:tabs>
        <w:rPr>
          <w:kern w:val="28"/>
        </w:rPr>
      </w:pPr>
    </w:p>
    <w:p w:rsidR="00204B33" w:rsidRPr="00490FE8" w:rsidRDefault="00204B33" w:rsidP="00204B33">
      <w:pPr>
        <w:tabs>
          <w:tab w:val="left" w:pos="567"/>
        </w:tabs>
        <w:ind w:left="567" w:hanging="567"/>
        <w:rPr>
          <w:kern w:val="28"/>
        </w:rPr>
      </w:pPr>
      <w:r w:rsidRPr="00490FE8">
        <w:rPr>
          <w:kern w:val="28"/>
        </w:rPr>
        <w:fldChar w:fldCharType="begin"/>
      </w:r>
      <w:r w:rsidRPr="00490FE8">
        <w:rPr>
          <w:kern w:val="28"/>
        </w:rPr>
        <w:instrText xml:space="preserve"> AUTONUM  </w:instrText>
      </w:r>
      <w:r w:rsidRPr="00490FE8">
        <w:rPr>
          <w:kern w:val="28"/>
        </w:rPr>
        <w:fldChar w:fldCharType="end"/>
      </w:r>
      <w:r w:rsidRPr="00490FE8">
        <w:tab/>
      </w:r>
      <w:r w:rsidRPr="00490FE8">
        <w:rPr>
          <w:kern w:val="28"/>
        </w:rPr>
        <w:t>Schließung der Tagung</w:t>
      </w:r>
    </w:p>
    <w:p w:rsidR="00900C26" w:rsidRPr="00490FE8" w:rsidRDefault="00900C26" w:rsidP="00664515">
      <w:pPr>
        <w:jc w:val="left"/>
        <w:rPr>
          <w:snapToGrid w:val="0"/>
        </w:rPr>
      </w:pPr>
    </w:p>
    <w:p w:rsidR="00204B33" w:rsidRPr="00490FE8" w:rsidRDefault="00204B33" w:rsidP="00664515">
      <w:pPr>
        <w:jc w:val="left"/>
        <w:rPr>
          <w:snapToGrid w:val="0"/>
        </w:rPr>
      </w:pPr>
    </w:p>
    <w:p w:rsidR="001F010D" w:rsidRPr="00490FE8" w:rsidRDefault="001F010D" w:rsidP="00664515">
      <w:pPr>
        <w:jc w:val="left"/>
        <w:rPr>
          <w:snapToGrid w:val="0"/>
        </w:rPr>
      </w:pPr>
    </w:p>
    <w:p w:rsidR="00204B33" w:rsidRPr="00490FE8" w:rsidRDefault="00204B33" w:rsidP="00204B33">
      <w:pPr>
        <w:jc w:val="right"/>
        <w:rPr>
          <w:snapToGrid w:val="0"/>
        </w:rPr>
      </w:pPr>
      <w:r w:rsidRPr="00490FE8">
        <w:t>[Ende des Dokuments]</w:t>
      </w:r>
    </w:p>
    <w:sectPr w:rsidR="00204B33" w:rsidRPr="00490FE8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29" w:rsidRDefault="00713E29">
      <w:r>
        <w:separator/>
      </w:r>
    </w:p>
    <w:p w:rsidR="00713E29" w:rsidRDefault="00713E29"/>
    <w:p w:rsidR="00713E29" w:rsidRDefault="00713E29"/>
  </w:endnote>
  <w:endnote w:type="continuationSeparator" w:id="0">
    <w:p w:rsidR="00713E29" w:rsidRDefault="00713E29">
      <w:r>
        <w:separator/>
      </w:r>
    </w:p>
    <w:p w:rsidR="00713E29" w:rsidRPr="00664515" w:rsidRDefault="00713E29" w:rsidP="00624990">
      <w:pPr>
        <w:pStyle w:val="Footer"/>
        <w:rPr>
          <w:lang w:val="fr-CH"/>
        </w:rPr>
      </w:pPr>
      <w:r w:rsidRPr="00664515">
        <w:rPr>
          <w:lang w:val="fr-CH"/>
        </w:rPr>
        <w:t>[Suite de la note de la page précédente]</w:t>
      </w:r>
    </w:p>
    <w:p w:rsidR="00713E29" w:rsidRPr="00664515" w:rsidRDefault="00713E29">
      <w:pPr>
        <w:rPr>
          <w:lang w:val="fr-CH"/>
        </w:rPr>
      </w:pPr>
    </w:p>
    <w:p w:rsidR="00713E29" w:rsidRPr="00664515" w:rsidRDefault="00713E29">
      <w:pPr>
        <w:rPr>
          <w:lang w:val="fr-CH"/>
        </w:rPr>
      </w:pPr>
    </w:p>
  </w:endnote>
  <w:endnote w:type="continuationNotice" w:id="1">
    <w:p w:rsidR="00713E29" w:rsidRPr="00664515" w:rsidRDefault="00713E29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713E29" w:rsidRPr="00664515" w:rsidRDefault="00713E29">
      <w:pPr>
        <w:rPr>
          <w:lang w:val="fr-CH"/>
        </w:rPr>
      </w:pPr>
    </w:p>
    <w:p w:rsidR="00713E29" w:rsidRPr="00664515" w:rsidRDefault="00713E29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33" w:rsidRPr="00F678E9" w:rsidRDefault="00204B33" w:rsidP="00624990">
    <w:pPr>
      <w:pStyle w:val="Footer"/>
      <w:rPr>
        <w:rFonts w:cs="Arial"/>
      </w:rPr>
    </w:pPr>
    <w:r>
      <w:tab/>
    </w:r>
  </w:p>
  <w:p w:rsidR="002F78FA" w:rsidRPr="00624990" w:rsidRDefault="00204B33" w:rsidP="00624990">
    <w:pPr>
      <w:pStyle w:val="Footer"/>
      <w:rPr>
        <w:rFonts w:cs="Arial"/>
      </w:rPr>
    </w:pPr>
    <w:r w:rsidRPr="00624990">
      <w:rPr>
        <w:u w:val="single"/>
      </w:rPr>
      <w:t>Die Tagung wird am Hauptsitz der UPOV (34, chemin des Colombettes, Genf (Schweiz)) stattfinden und am Donnerstag, den 10. April 2014 um 9.30 Uhr beginnen</w:t>
    </w:r>
    <w:r w:rsidRPr="00624990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29" w:rsidRDefault="00713E29" w:rsidP="009D690D">
      <w:pPr>
        <w:spacing w:before="120"/>
      </w:pPr>
      <w:r>
        <w:separator/>
      </w:r>
    </w:p>
  </w:footnote>
  <w:footnote w:type="continuationSeparator" w:id="0">
    <w:p w:rsidR="00713E29" w:rsidRDefault="00713E29" w:rsidP="00520297">
      <w:pPr>
        <w:spacing w:before="120"/>
        <w:jc w:val="left"/>
      </w:pPr>
      <w:r>
        <w:separator/>
      </w:r>
    </w:p>
  </w:footnote>
  <w:footnote w:type="continuationNotice" w:id="1">
    <w:p w:rsidR="00713E29" w:rsidRDefault="00713E2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2F78FA" w:rsidP="00E23920">
    <w:pPr>
      <w:jc w:val="center"/>
      <w:rPr>
        <w:rStyle w:val="PageNumber"/>
      </w:rPr>
    </w:pPr>
    <w:r>
      <w:rPr>
        <w:rStyle w:val="PageNumber"/>
      </w:rPr>
      <w:t>CAJ/69/1</w:t>
    </w:r>
  </w:p>
  <w:p w:rsidR="002F78FA" w:rsidRPr="00997029" w:rsidRDefault="002F78FA" w:rsidP="00E23920">
    <w:pPr>
      <w:jc w:val="center"/>
    </w:pPr>
    <w:r>
      <w:t xml:space="preserve">Seite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85B1E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33"/>
    <w:rsid w:val="00001380"/>
    <w:rsid w:val="00001D48"/>
    <w:rsid w:val="000028C6"/>
    <w:rsid w:val="00010CF3"/>
    <w:rsid w:val="00011E27"/>
    <w:rsid w:val="000148BC"/>
    <w:rsid w:val="00024AB8"/>
    <w:rsid w:val="00036028"/>
    <w:rsid w:val="000446B9"/>
    <w:rsid w:val="00047E21"/>
    <w:rsid w:val="00056A64"/>
    <w:rsid w:val="00085505"/>
    <w:rsid w:val="000C7021"/>
    <w:rsid w:val="000D492E"/>
    <w:rsid w:val="000D6BBC"/>
    <w:rsid w:val="000D7780"/>
    <w:rsid w:val="00105528"/>
    <w:rsid w:val="00105929"/>
    <w:rsid w:val="00110481"/>
    <w:rsid w:val="001131D5"/>
    <w:rsid w:val="001242CF"/>
    <w:rsid w:val="00141DB8"/>
    <w:rsid w:val="0017474A"/>
    <w:rsid w:val="001758C6"/>
    <w:rsid w:val="001C3DF3"/>
    <w:rsid w:val="001F010D"/>
    <w:rsid w:val="001F1F2A"/>
    <w:rsid w:val="00204B33"/>
    <w:rsid w:val="0021332C"/>
    <w:rsid w:val="00213982"/>
    <w:rsid w:val="00237C7D"/>
    <w:rsid w:val="0024416D"/>
    <w:rsid w:val="002566CD"/>
    <w:rsid w:val="0027309C"/>
    <w:rsid w:val="002800A0"/>
    <w:rsid w:val="00281060"/>
    <w:rsid w:val="0029439F"/>
    <w:rsid w:val="002A6E50"/>
    <w:rsid w:val="002B5D7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44A88"/>
    <w:rsid w:val="00474DA4"/>
    <w:rsid w:val="00490FE8"/>
    <w:rsid w:val="004D047D"/>
    <w:rsid w:val="004F305A"/>
    <w:rsid w:val="00512164"/>
    <w:rsid w:val="00520297"/>
    <w:rsid w:val="005338F9"/>
    <w:rsid w:val="0054281C"/>
    <w:rsid w:val="0055268D"/>
    <w:rsid w:val="00572E44"/>
    <w:rsid w:val="00576BE4"/>
    <w:rsid w:val="005A400A"/>
    <w:rsid w:val="00612379"/>
    <w:rsid w:val="0061555F"/>
    <w:rsid w:val="00624990"/>
    <w:rsid w:val="00634480"/>
    <w:rsid w:val="00641200"/>
    <w:rsid w:val="006555CC"/>
    <w:rsid w:val="00663ED8"/>
    <w:rsid w:val="00664515"/>
    <w:rsid w:val="00685B1E"/>
    <w:rsid w:val="00687EB4"/>
    <w:rsid w:val="006B17D2"/>
    <w:rsid w:val="006B45FA"/>
    <w:rsid w:val="006C224E"/>
    <w:rsid w:val="00713E29"/>
    <w:rsid w:val="00732DEC"/>
    <w:rsid w:val="00735BD5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41239"/>
    <w:rsid w:val="00853567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0C17"/>
    <w:rsid w:val="00934E09"/>
    <w:rsid w:val="00936253"/>
    <w:rsid w:val="00970FED"/>
    <w:rsid w:val="009859FC"/>
    <w:rsid w:val="00997029"/>
    <w:rsid w:val="009D0DE5"/>
    <w:rsid w:val="009D690D"/>
    <w:rsid w:val="009E65B6"/>
    <w:rsid w:val="00A16D80"/>
    <w:rsid w:val="00A42AC3"/>
    <w:rsid w:val="00A430CF"/>
    <w:rsid w:val="00A510BC"/>
    <w:rsid w:val="00A54309"/>
    <w:rsid w:val="00A55AB4"/>
    <w:rsid w:val="00AB2B93"/>
    <w:rsid w:val="00AE0EF1"/>
    <w:rsid w:val="00B07301"/>
    <w:rsid w:val="00B224DE"/>
    <w:rsid w:val="00B363F5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F7E36"/>
    <w:rsid w:val="00D233D8"/>
    <w:rsid w:val="00D24210"/>
    <w:rsid w:val="00D3708D"/>
    <w:rsid w:val="00D4014F"/>
    <w:rsid w:val="00D40426"/>
    <w:rsid w:val="00D57C96"/>
    <w:rsid w:val="00D91203"/>
    <w:rsid w:val="00D95174"/>
    <w:rsid w:val="00D95A5C"/>
    <w:rsid w:val="00DA6F36"/>
    <w:rsid w:val="00DC00EA"/>
    <w:rsid w:val="00DE1EFF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EF65F9"/>
    <w:rsid w:val="00F04DEB"/>
    <w:rsid w:val="00F1237A"/>
    <w:rsid w:val="00F22CBD"/>
    <w:rsid w:val="00F37961"/>
    <w:rsid w:val="00F6334D"/>
    <w:rsid w:val="00F71CD8"/>
    <w:rsid w:val="00FA49AB"/>
    <w:rsid w:val="00FB0D37"/>
    <w:rsid w:val="00FD24D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624990"/>
    <w:pPr>
      <w:tabs>
        <w:tab w:val="left" w:leader="underscore" w:pos="1985"/>
      </w:tabs>
      <w:spacing w:before="120"/>
      <w:jc w:val="both"/>
    </w:pPr>
    <w:rPr>
      <w:rFonts w:ascii="Arial" w:hAnsi="Arial"/>
      <w:sz w:val="14"/>
      <w:szCs w:val="16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624990"/>
    <w:pPr>
      <w:tabs>
        <w:tab w:val="left" w:leader="underscore" w:pos="1985"/>
      </w:tabs>
      <w:spacing w:before="120"/>
      <w:jc w:val="both"/>
    </w:pPr>
    <w:rPr>
      <w:rFonts w:ascii="Arial" w:hAnsi="Arial"/>
      <w:sz w:val="14"/>
      <w:szCs w:val="16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de-DE" w:eastAsia="de-DE" w:bidi="de-DE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de-DE" w:eastAsia="de-DE" w:bidi="de-DE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de-DE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69\templates\CAJ_6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CAJ_69_EN.dotx</Template>
  <TotalTime>10</TotalTime>
  <Pages>2</Pages>
  <Words>204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CAJ/69/1</vt:lpstr>
      <vt:lpstr>CAJ/69/1</vt:lpstr>
    </vt:vector>
  </TitlesOfParts>
  <Company>UPOV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CAJ/69/1</dc:title>
  <dc:subject>Draft Agenda</dc:subject>
  <dc:creator>Sabine Witzig</dc:creator>
  <cp:lastModifiedBy>SANCHEZ-VIZCAINO GOMEZ Rosa Maria</cp:lastModifiedBy>
  <cp:revision>10</cp:revision>
  <cp:lastPrinted>2014-01-13T11:18:00Z</cp:lastPrinted>
  <dcterms:created xsi:type="dcterms:W3CDTF">2013-12-12T16:53:00Z</dcterms:created>
  <dcterms:modified xsi:type="dcterms:W3CDTF">2014-01-13T11:18:00Z</dcterms:modified>
</cp:coreProperties>
</file>