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B948BB">
        <w:trPr>
          <w:trHeight w:val="1760"/>
        </w:trPr>
        <w:tc>
          <w:tcPr>
            <w:tcW w:w="4243" w:type="dxa"/>
          </w:tcPr>
          <w:p w:rsidR="00B948BB" w:rsidRDefault="00B948BB">
            <w:pPr>
              <w:rPr>
                <w:szCs w:val="24"/>
                <w:lang w:val="de-DE"/>
              </w:rPr>
            </w:pPr>
          </w:p>
        </w:tc>
        <w:tc>
          <w:tcPr>
            <w:tcW w:w="1646" w:type="dxa"/>
            <w:vAlign w:val="center"/>
          </w:tcPr>
          <w:p w:rsidR="00B948BB" w:rsidRDefault="00C208D2">
            <w:pPr>
              <w:pStyle w:val="LogoUPOV"/>
              <w:rPr>
                <w:szCs w:val="24"/>
                <w:lang w:val="de-DE"/>
              </w:rPr>
            </w:pPr>
            <w:r>
              <w:rPr>
                <w:noProof/>
                <w:snapToGrid/>
                <w:szCs w:val="24"/>
                <w:lang w:eastAsia="en-US"/>
              </w:rPr>
              <w:drawing>
                <wp:inline distT="0" distB="0" distL="0" distR="0">
                  <wp:extent cx="982345" cy="484505"/>
                  <wp:effectExtent l="0" t="0" r="825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2345" cy="484505"/>
                          </a:xfrm>
                          <a:prstGeom prst="rect">
                            <a:avLst/>
                          </a:prstGeom>
                          <a:noFill/>
                          <a:ln>
                            <a:noFill/>
                          </a:ln>
                        </pic:spPr>
                      </pic:pic>
                    </a:graphicData>
                  </a:graphic>
                </wp:inline>
              </w:drawing>
            </w:r>
          </w:p>
        </w:tc>
        <w:tc>
          <w:tcPr>
            <w:tcW w:w="4242" w:type="dxa"/>
            <w:vAlign w:val="center"/>
          </w:tcPr>
          <w:p w:rsidR="00B948BB" w:rsidRDefault="00F47B78">
            <w:pPr>
              <w:pStyle w:val="Lettrine"/>
              <w:rPr>
                <w:bCs w:val="0"/>
                <w:szCs w:val="24"/>
                <w:lang w:val="de-DE"/>
              </w:rPr>
            </w:pPr>
            <w:r>
              <w:rPr>
                <w:bCs w:val="0"/>
                <w:noProof/>
                <w:szCs w:val="24"/>
                <w:lang w:val="de-DE"/>
              </w:rPr>
              <w:t>G</w:t>
            </w:r>
          </w:p>
          <w:p w:rsidR="00B948BB" w:rsidRPr="00F47B78" w:rsidRDefault="00B948BB">
            <w:pPr>
              <w:pStyle w:val="Docoriginal"/>
              <w:jc w:val="left"/>
              <w:rPr>
                <w:bCs w:val="0"/>
                <w:szCs w:val="24"/>
                <w:lang w:val="de-DE"/>
              </w:rPr>
            </w:pPr>
            <w:r w:rsidRPr="00F47B78">
              <w:rPr>
                <w:bCs w:val="0"/>
                <w:szCs w:val="24"/>
                <w:lang w:val="de-DE"/>
              </w:rPr>
              <w:t>CAJ/68/5</w:t>
            </w:r>
          </w:p>
          <w:p w:rsidR="00B948BB" w:rsidRDefault="00B948BB">
            <w:pPr>
              <w:pStyle w:val="Docoriginal"/>
              <w:jc w:val="left"/>
              <w:rPr>
                <w:b w:val="0"/>
                <w:bCs w:val="0"/>
                <w:szCs w:val="24"/>
                <w:lang w:val="de-DE"/>
              </w:rPr>
            </w:pPr>
            <w:r w:rsidRPr="00F47B78">
              <w:rPr>
                <w:rStyle w:val="StyleDoclangBold"/>
                <w:b/>
                <w:spacing w:val="0"/>
                <w:szCs w:val="24"/>
                <w:lang w:val="de-DE"/>
              </w:rPr>
              <w:t>ORIGINAL:</w:t>
            </w:r>
            <w:r>
              <w:rPr>
                <w:rStyle w:val="StyleDocoriginalNotBold1"/>
                <w:spacing w:val="0"/>
                <w:szCs w:val="24"/>
                <w:lang w:val="de-DE"/>
              </w:rPr>
              <w:t xml:space="preserve">  </w:t>
            </w:r>
            <w:r>
              <w:rPr>
                <w:b w:val="0"/>
                <w:bCs w:val="0"/>
                <w:spacing w:val="0"/>
                <w:szCs w:val="24"/>
                <w:lang w:val="de-DE"/>
              </w:rPr>
              <w:t>Englisch</w:t>
            </w:r>
          </w:p>
          <w:p w:rsidR="00B948BB" w:rsidRDefault="00B948BB">
            <w:pPr>
              <w:pStyle w:val="Docoriginal"/>
              <w:jc w:val="left"/>
              <w:rPr>
                <w:b w:val="0"/>
                <w:bCs w:val="0"/>
                <w:szCs w:val="24"/>
                <w:lang w:val="de-DE"/>
              </w:rPr>
            </w:pPr>
            <w:bookmarkStart w:id="0" w:name="Code"/>
            <w:bookmarkStart w:id="1" w:name="Original"/>
            <w:bookmarkStart w:id="2" w:name="Date"/>
            <w:r w:rsidRPr="00F47B78">
              <w:rPr>
                <w:bCs w:val="0"/>
                <w:spacing w:val="0"/>
                <w:szCs w:val="24"/>
                <w:lang w:val="de-DE"/>
              </w:rPr>
              <w:t>DATUM:</w:t>
            </w:r>
            <w:r>
              <w:rPr>
                <w:b w:val="0"/>
                <w:bCs w:val="0"/>
                <w:spacing w:val="0"/>
                <w:szCs w:val="24"/>
                <w:lang w:val="de-DE"/>
              </w:rPr>
              <w:t xml:space="preserve"> </w:t>
            </w:r>
            <w:r>
              <w:rPr>
                <w:rStyle w:val="StyleDocoriginalNotBold1"/>
                <w:spacing w:val="0"/>
                <w:szCs w:val="24"/>
                <w:lang w:val="de-DE"/>
              </w:rPr>
              <w:t xml:space="preserve"> </w:t>
            </w:r>
            <w:r>
              <w:rPr>
                <w:b w:val="0"/>
                <w:bCs w:val="0"/>
                <w:spacing w:val="0"/>
                <w:szCs w:val="24"/>
                <w:lang w:val="de-DE"/>
              </w:rPr>
              <w:t>17. Oktober 2013</w:t>
            </w:r>
            <w:bookmarkEnd w:id="0"/>
            <w:bookmarkEnd w:id="1"/>
            <w:bookmarkEnd w:id="2"/>
          </w:p>
        </w:tc>
      </w:tr>
      <w:tr w:rsidR="00B948BB">
        <w:tc>
          <w:tcPr>
            <w:tcW w:w="10131" w:type="dxa"/>
            <w:gridSpan w:val="3"/>
          </w:tcPr>
          <w:p w:rsidR="00B948BB" w:rsidRPr="00F47B78" w:rsidRDefault="00B948BB">
            <w:pPr>
              <w:pStyle w:val="upove"/>
              <w:rPr>
                <w:bCs w:val="0"/>
                <w:szCs w:val="24"/>
                <w:lang w:val="de-DE"/>
              </w:rPr>
            </w:pPr>
            <w:r w:rsidRPr="00F47B78">
              <w:rPr>
                <w:bCs w:val="0"/>
                <w:szCs w:val="24"/>
                <w:lang w:val="de-DE"/>
              </w:rPr>
              <w:t>INTERNATIONALER VERBAND ZUM SCHUTZ VON PFLANZENZÜCHTUNGEN</w:t>
            </w:r>
          </w:p>
        </w:tc>
      </w:tr>
      <w:tr w:rsidR="00B948BB">
        <w:tc>
          <w:tcPr>
            <w:tcW w:w="10131" w:type="dxa"/>
            <w:gridSpan w:val="3"/>
          </w:tcPr>
          <w:p w:rsidR="00B948BB" w:rsidRDefault="00B948BB">
            <w:pPr>
              <w:pStyle w:val="Country"/>
              <w:rPr>
                <w:szCs w:val="24"/>
                <w:lang w:val="de-DE"/>
              </w:rPr>
            </w:pPr>
            <w:r>
              <w:rPr>
                <w:szCs w:val="24"/>
                <w:lang w:val="de-DE"/>
              </w:rPr>
              <w:t>Genf</w:t>
            </w:r>
          </w:p>
        </w:tc>
      </w:tr>
    </w:tbl>
    <w:p w:rsidR="00B948BB" w:rsidRPr="00F47B78" w:rsidRDefault="00B948BB">
      <w:pPr>
        <w:pStyle w:val="Sessiontc"/>
        <w:rPr>
          <w:bCs w:val="0"/>
          <w:szCs w:val="24"/>
          <w:lang w:val="de-DE"/>
        </w:rPr>
      </w:pPr>
      <w:bookmarkStart w:id="3" w:name="Prepared"/>
      <w:bookmarkStart w:id="4" w:name="TitleOfDoc"/>
      <w:r w:rsidRPr="00F47B78">
        <w:rPr>
          <w:bCs w:val="0"/>
          <w:szCs w:val="24"/>
          <w:lang w:val="de-DE"/>
        </w:rPr>
        <w:t>VERWALTUNGS- UND RECHTSAUSSCHUSS</w:t>
      </w:r>
    </w:p>
    <w:bookmarkEnd w:id="3"/>
    <w:bookmarkEnd w:id="4"/>
    <w:p w:rsidR="00B948BB" w:rsidRPr="00F47B78" w:rsidRDefault="00B948BB">
      <w:pPr>
        <w:pStyle w:val="Sessiontcplacedate"/>
        <w:rPr>
          <w:bCs w:val="0"/>
          <w:szCs w:val="24"/>
          <w:lang w:val="de-DE"/>
        </w:rPr>
      </w:pPr>
      <w:r w:rsidRPr="00F47B78">
        <w:rPr>
          <w:bCs w:val="0"/>
          <w:szCs w:val="24"/>
          <w:lang w:val="de-DE"/>
        </w:rPr>
        <w:t>Achtundsechzigste Tagung</w:t>
      </w:r>
      <w:r w:rsidRPr="00F47B78">
        <w:rPr>
          <w:bCs w:val="0"/>
          <w:szCs w:val="24"/>
          <w:lang w:val="de-DE"/>
        </w:rPr>
        <w:br/>
        <w:t>Genf, 21. Oktober 2013</w:t>
      </w:r>
    </w:p>
    <w:p w:rsidR="00B948BB" w:rsidRDefault="00B948BB">
      <w:pPr>
        <w:pStyle w:val="Titleofdoc0"/>
        <w:rPr>
          <w:szCs w:val="24"/>
          <w:lang w:val="de-DE"/>
        </w:rPr>
      </w:pPr>
      <w:r>
        <w:rPr>
          <w:kern w:val="28"/>
          <w:szCs w:val="24"/>
          <w:lang w:val="de-DE"/>
        </w:rPr>
        <w:t>Sortenbezeichnungen</w:t>
      </w:r>
    </w:p>
    <w:p w:rsidR="00B948BB" w:rsidRDefault="00B948BB">
      <w:pPr>
        <w:pStyle w:val="preparedby1"/>
        <w:rPr>
          <w:szCs w:val="24"/>
          <w:lang w:val="de-DE"/>
        </w:rPr>
      </w:pPr>
      <w:r>
        <w:rPr>
          <w:szCs w:val="24"/>
          <w:lang w:val="de-DE"/>
        </w:rPr>
        <w:t>Vom Verbandsbüro erstelltes Dokument</w:t>
      </w:r>
      <w:r>
        <w:rPr>
          <w:szCs w:val="24"/>
          <w:lang w:val="de-DE"/>
        </w:rPr>
        <w:br/>
      </w:r>
      <w:r>
        <w:rPr>
          <w:szCs w:val="24"/>
          <w:lang w:val="de-DE"/>
        </w:rPr>
        <w:br/>
      </w:r>
      <w:r>
        <w:rPr>
          <w:color w:val="A6A6A6"/>
          <w:szCs w:val="24"/>
          <w:lang w:val="de-DE"/>
        </w:rPr>
        <w:t>Haftungsausschluss: dieses Dokument gibt nicht die Grundsätze oder eine Anleitung der UPOV wieder</w:t>
      </w:r>
    </w:p>
    <w:p w:rsidR="00B948BB" w:rsidRDefault="00B948BB">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Hintergrundinformationen zu diesem Thema werden in Dokument CAJ/66/3 „Sortenbezeichnungen“, Absätze 3 bis 20, dargelegt.</w:t>
      </w:r>
    </w:p>
    <w:p w:rsidR="00F47B78" w:rsidRDefault="00F47B78">
      <w:pPr>
        <w:rPr>
          <w:color w:val="000000"/>
          <w:szCs w:val="24"/>
          <w:lang w:val="de-DE"/>
        </w:rPr>
      </w:pPr>
    </w:p>
    <w:p w:rsidR="00B948BB" w:rsidRDefault="00B948BB">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Am 19. Juli 2013 nahm das Verbandsbüro als Redner am Sechsten Internationalen Symposium über die Taxonomie der Kulturpflanzen (ISTCP 2013) in Peking, China, teil. Das Symposium wurde von der Forsthochschule Beijing und dem Botanischen Garten Beijing unter der Leitung der Internationalen Gesellschaft für Gartenbaukunde (ISHS) abgehalten. Das Verbandsbüro führte die von der UPOV gegebene Anleitung über Sortenbezeichnungen aus.</w:t>
      </w:r>
    </w:p>
    <w:p w:rsidR="00B948BB" w:rsidRDefault="00B948BB">
      <w:pPr>
        <w:rPr>
          <w:szCs w:val="24"/>
          <w:lang w:val="de-DE"/>
        </w:rPr>
      </w:pPr>
    </w:p>
    <w:p w:rsidR="00B948BB" w:rsidRDefault="00B948BB">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Das Verbandsbüro nahm am 20. und 21. Juli, ebenfalls in Peking, als Beobachter an den Tagungen der Internationalen Kommission für die Nomenklatur der Kulturpflanzen </w:t>
      </w:r>
      <w:r>
        <w:rPr>
          <w:i/>
          <w:szCs w:val="24"/>
          <w:lang w:val="de-DE"/>
        </w:rPr>
        <w:t>(International Commission for the Nomenclature of Cultivated Plants)</w:t>
      </w:r>
      <w:r>
        <w:rPr>
          <w:szCs w:val="24"/>
          <w:lang w:val="de-DE"/>
        </w:rPr>
        <w:t xml:space="preserve"> der Internationalen Vereinigung der biologischen Wissenschaften </w:t>
      </w:r>
      <w:r>
        <w:rPr>
          <w:i/>
          <w:szCs w:val="24"/>
          <w:lang w:val="de-DE"/>
        </w:rPr>
        <w:t>(International Union of Biological Sciences)</w:t>
      </w:r>
      <w:r>
        <w:rPr>
          <w:szCs w:val="24"/>
          <w:lang w:val="de-DE"/>
        </w:rPr>
        <w:t xml:space="preserve"> (IUBS-Kommission), teil.</w:t>
      </w:r>
      <w:r w:rsidR="00F47B78">
        <w:rPr>
          <w:szCs w:val="24"/>
          <w:lang w:val="de-DE"/>
        </w:rPr>
        <w:t xml:space="preserve"> </w:t>
      </w:r>
      <w:r>
        <w:rPr>
          <w:szCs w:val="24"/>
          <w:lang w:val="de-DE"/>
        </w:rPr>
        <w:t xml:space="preserve">An </w:t>
      </w:r>
      <w:r w:rsidR="005D07FF">
        <w:rPr>
          <w:szCs w:val="24"/>
          <w:lang w:val="de-DE"/>
        </w:rPr>
        <w:t>diesen Tagungen prüfte die IUBS</w:t>
      </w:r>
      <w:r w:rsidR="005D07FF">
        <w:rPr>
          <w:szCs w:val="24"/>
          <w:lang w:val="de-DE"/>
        </w:rPr>
        <w:noBreakHyphen/>
      </w:r>
      <w:r>
        <w:rPr>
          <w:szCs w:val="24"/>
          <w:lang w:val="de-DE"/>
        </w:rPr>
        <w:t xml:space="preserve">Kommission die Vorschläge zur Änderung der Achten Ausgabe des Internationalen Kodex für die Nomenklatur der Kulturpflanzen (ICNCP). Diese Vorschläge wurden im Juli 2013 in Band 7 der Fachzeitschrift „Hanburyana“ </w:t>
      </w:r>
      <w:hyperlink r:id="rId8" w:history="1">
        <w:r w:rsidRPr="005D07FF">
          <w:rPr>
            <w:rStyle w:val="Hyperlink"/>
          </w:rPr>
          <w:t>http://www.rhs.org.uk/Plants/RHS-Publications/Journals/Hanburyana/Hanburyan-issues/Volume-7--June-2013</w:t>
        </w:r>
      </w:hyperlink>
      <w:r>
        <w:rPr>
          <w:szCs w:val="24"/>
          <w:lang w:val="de-DE"/>
        </w:rPr>
        <w:t xml:space="preserve"> veröffentlicht. Die von der </w:t>
      </w:r>
      <w:r w:rsidR="005D07FF">
        <w:rPr>
          <w:szCs w:val="24"/>
          <w:lang w:val="de-DE"/>
        </w:rPr>
        <w:br/>
      </w:r>
      <w:r>
        <w:rPr>
          <w:szCs w:val="24"/>
          <w:lang w:val="de-DE"/>
        </w:rPr>
        <w:t xml:space="preserve">IUBS-Kommission angenommenen Vorschläge werden in der Neunten Ausgabe des ICNCP wiedergegeben werden, die 2014 veröffentlicht werden soll. </w:t>
      </w:r>
    </w:p>
    <w:p w:rsidR="00B948BB" w:rsidRDefault="00B948BB">
      <w:pPr>
        <w:rPr>
          <w:szCs w:val="24"/>
          <w:lang w:val="de-DE"/>
        </w:rPr>
      </w:pPr>
    </w:p>
    <w:p w:rsidR="00B948BB" w:rsidRDefault="00B948BB">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Einer der Vorschläge der IUBS-Kommission lautete, im Anfangsstadium der Vorbereitungsarbeiten für die Zehnte Ausgabe des ICNCP eine Arbeitsgruppe zu bilden, der auch die UPOV angehören </w:t>
      </w:r>
      <w:r w:rsidR="005D07FF">
        <w:rPr>
          <w:szCs w:val="24"/>
          <w:lang w:val="de-DE"/>
        </w:rPr>
        <w:t>würde</w:t>
      </w:r>
      <w:r>
        <w:rPr>
          <w:szCs w:val="24"/>
          <w:lang w:val="de-DE"/>
        </w:rPr>
        <w:t xml:space="preserve">. Am Rande der Tagungen in Peking kam es zu einem informellen Austausch zwischen dem Verbandsbüro und Frau Janet Cubey, Vorsitzende der ISHS-Kommission, im Hinblick auf eine Erörterung der Möglichkeiten für eine größere Harmonisierung der Bezeichnungsklassen. Es wurde </w:t>
      </w:r>
      <w:r w:rsidR="007803E5">
        <w:rPr>
          <w:szCs w:val="24"/>
          <w:lang w:val="de-DE"/>
        </w:rPr>
        <w:t xml:space="preserve">nahe gelegt, </w:t>
      </w:r>
      <w:r>
        <w:rPr>
          <w:szCs w:val="24"/>
          <w:lang w:val="de-DE"/>
        </w:rPr>
        <w:t xml:space="preserve">in der vorgeschlagenen Arbeitsgruppe für die Zehnte Ausgabe des ICNCP Bereiche für eine Zusammenarbeit bei den Bezeichnungsklassen zu erkunden. </w:t>
      </w:r>
      <w:bookmarkStart w:id="5" w:name="_GoBack"/>
      <w:bookmarkEnd w:id="5"/>
    </w:p>
    <w:p w:rsidR="00B948BB" w:rsidRDefault="00B948BB">
      <w:pPr>
        <w:rPr>
          <w:szCs w:val="24"/>
          <w:lang w:val="de-DE"/>
        </w:rPr>
      </w:pPr>
    </w:p>
    <w:p w:rsidR="00B948BB" w:rsidRDefault="00B948BB" w:rsidP="007803E5">
      <w:pPr>
        <w:pStyle w:val="DecisionParagraph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Der CAJ wird ersucht, die Entwicklungen in </w:t>
      </w:r>
      <w:r w:rsidR="007803E5">
        <w:rPr>
          <w:szCs w:val="24"/>
          <w:lang w:val="de-DE"/>
        </w:rPr>
        <w:t xml:space="preserve">Bezug </w:t>
      </w:r>
      <w:r>
        <w:rPr>
          <w:szCs w:val="24"/>
          <w:lang w:val="de-DE"/>
        </w:rPr>
        <w:t>auf mögliche Bereiche einer Zusammenarbeit zwischen der Internationalen Kommission für die Nomenklatur der Kulturpflanzen (International Commission for the Nomenclature of Cultivated Plants) der Internationalen Vereinigung der biologischen Wissenschaften (International Union of Biological Sciences) (IUBS</w:t>
      </w:r>
      <w:r>
        <w:rPr>
          <w:szCs w:val="24"/>
          <w:lang w:val="de-DE"/>
        </w:rPr>
        <w:noBreakHyphen/>
        <w:t xml:space="preserve">Kommission), der Kommission für die Nomenklatur der Kulturpflanzen </w:t>
      </w:r>
      <w:r>
        <w:rPr>
          <w:szCs w:val="24"/>
          <w:lang w:val="de-DE"/>
        </w:rPr>
        <w:lastRenderedPageBreak/>
        <w:t>der Internationalen Gesellschaft für Gartenbaukunde (ISHS</w:t>
      </w:r>
      <w:r>
        <w:rPr>
          <w:szCs w:val="24"/>
          <w:lang w:val="de-DE"/>
        </w:rPr>
        <w:noBreakHyphen/>
        <w:t xml:space="preserve">Kommission) und der UPOV, wie in diesem Dokument dargelegt, zur Kenntnis zu nehmen. </w:t>
      </w:r>
    </w:p>
    <w:p w:rsidR="00B948BB" w:rsidRDefault="00B948BB">
      <w:pPr>
        <w:rPr>
          <w:szCs w:val="24"/>
          <w:lang w:val="de-DE"/>
        </w:rPr>
      </w:pPr>
    </w:p>
    <w:p w:rsidR="00B948BB" w:rsidRDefault="00B948BB">
      <w:pPr>
        <w:rPr>
          <w:szCs w:val="24"/>
          <w:lang w:val="de-DE"/>
        </w:rPr>
      </w:pPr>
    </w:p>
    <w:p w:rsidR="00B948BB" w:rsidRDefault="00B948BB">
      <w:pPr>
        <w:jc w:val="right"/>
        <w:rPr>
          <w:szCs w:val="24"/>
          <w:lang w:val="de-DE"/>
        </w:rPr>
      </w:pPr>
      <w:r>
        <w:rPr>
          <w:szCs w:val="24"/>
          <w:lang w:val="de-DE"/>
        </w:rPr>
        <w:t>[Ende des Dokuments]</w:t>
      </w:r>
    </w:p>
    <w:sectPr w:rsidR="00B948BB">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8BB" w:rsidRDefault="00B948BB">
      <w:pPr>
        <w:rPr>
          <w:szCs w:val="24"/>
        </w:rPr>
      </w:pPr>
      <w:r>
        <w:rPr>
          <w:szCs w:val="24"/>
        </w:rPr>
        <w:separator/>
      </w:r>
    </w:p>
    <w:p w:rsidR="00B948BB" w:rsidRDefault="00B948BB">
      <w:pPr>
        <w:rPr>
          <w:szCs w:val="24"/>
        </w:rPr>
      </w:pPr>
    </w:p>
    <w:p w:rsidR="00B948BB" w:rsidRDefault="00B948BB">
      <w:pPr>
        <w:rPr>
          <w:szCs w:val="24"/>
        </w:rPr>
      </w:pPr>
    </w:p>
  </w:endnote>
  <w:endnote w:type="continuationSeparator" w:id="0">
    <w:p w:rsidR="00B948BB" w:rsidRDefault="00B948BB">
      <w:pPr>
        <w:rPr>
          <w:szCs w:val="24"/>
        </w:rPr>
      </w:pPr>
      <w:r>
        <w:rPr>
          <w:szCs w:val="24"/>
        </w:rPr>
        <w:separator/>
      </w:r>
    </w:p>
    <w:p w:rsidR="00B948BB" w:rsidRDefault="00B948BB">
      <w:pPr>
        <w:pStyle w:val="Footer"/>
        <w:spacing w:after="60"/>
        <w:rPr>
          <w:sz w:val="18"/>
          <w:szCs w:val="24"/>
          <w:lang w:val="fr-CH"/>
        </w:rPr>
      </w:pPr>
      <w:r>
        <w:rPr>
          <w:noProof/>
          <w:sz w:val="18"/>
          <w:szCs w:val="24"/>
          <w:lang w:val="fr-CH"/>
        </w:rPr>
        <w:t>[Suite de la note de la page précédente]</w:t>
      </w:r>
    </w:p>
    <w:p w:rsidR="00B948BB" w:rsidRDefault="00B948BB">
      <w:pPr>
        <w:rPr>
          <w:szCs w:val="24"/>
          <w:lang w:val="fr-CH"/>
        </w:rPr>
      </w:pPr>
    </w:p>
    <w:p w:rsidR="00B948BB" w:rsidRDefault="00B948BB">
      <w:pPr>
        <w:rPr>
          <w:szCs w:val="24"/>
          <w:lang w:val="fr-CH"/>
        </w:rPr>
      </w:pPr>
    </w:p>
  </w:endnote>
  <w:endnote w:type="continuationNotice" w:id="1">
    <w:p w:rsidR="00B948BB" w:rsidRDefault="00B948BB">
      <w:pPr>
        <w:spacing w:before="60"/>
        <w:jc w:val="right"/>
        <w:rPr>
          <w:sz w:val="18"/>
          <w:szCs w:val="24"/>
          <w:lang w:val="fr-CH"/>
        </w:rPr>
      </w:pPr>
      <w:r>
        <w:rPr>
          <w:noProof/>
          <w:sz w:val="18"/>
          <w:szCs w:val="24"/>
          <w:lang w:val="fr-CH"/>
        </w:rPr>
        <w:t>[Suite de la note page suivante]</w:t>
      </w:r>
    </w:p>
    <w:p w:rsidR="00B948BB" w:rsidRDefault="00B948BB">
      <w:pPr>
        <w:rPr>
          <w:szCs w:val="24"/>
          <w:lang w:val="fr-CH"/>
        </w:rPr>
      </w:pPr>
    </w:p>
    <w:p w:rsidR="00B948BB" w:rsidRDefault="00B948BB">
      <w:pPr>
        <w:rPr>
          <w:szCs w:val="24"/>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8BB" w:rsidRDefault="00B948BB">
      <w:pPr>
        <w:spacing w:before="120"/>
        <w:rPr>
          <w:szCs w:val="24"/>
        </w:rPr>
      </w:pPr>
      <w:r>
        <w:rPr>
          <w:szCs w:val="24"/>
        </w:rPr>
        <w:separator/>
      </w:r>
    </w:p>
  </w:footnote>
  <w:footnote w:type="continuationSeparator" w:id="0">
    <w:p w:rsidR="00B948BB" w:rsidRDefault="00B948BB">
      <w:pPr>
        <w:spacing w:before="120"/>
        <w:jc w:val="left"/>
        <w:rPr>
          <w:szCs w:val="24"/>
        </w:rPr>
      </w:pPr>
      <w:r>
        <w:rPr>
          <w:szCs w:val="24"/>
        </w:rPr>
        <w:separator/>
      </w:r>
    </w:p>
  </w:footnote>
  <w:footnote w:type="continuationNotice" w:id="1">
    <w:p w:rsidR="00B948BB" w:rsidRDefault="00B948BB">
      <w:pPr>
        <w:rPr>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8BB" w:rsidRDefault="00B948BB">
    <w:pPr>
      <w:pStyle w:val="Header"/>
      <w:rPr>
        <w:rStyle w:val="PageNumber"/>
        <w:szCs w:val="24"/>
      </w:rPr>
    </w:pPr>
    <w:r>
      <w:rPr>
        <w:rStyle w:val="PageNumber"/>
        <w:szCs w:val="24"/>
      </w:rPr>
      <w:t>CAJ/68/5</w:t>
    </w:r>
  </w:p>
  <w:p w:rsidR="00B948BB" w:rsidRDefault="00B948BB">
    <w:pPr>
      <w:pStyle w:val="Header"/>
      <w:rPr>
        <w:szCs w:val="24"/>
      </w:rPr>
    </w:pPr>
    <w:r>
      <w:rPr>
        <w:szCs w:val="24"/>
      </w:rPr>
      <w:t xml:space="preserve">Seite </w:t>
    </w:r>
    <w:r>
      <w:rPr>
        <w:rStyle w:val="PageNumber"/>
        <w:szCs w:val="24"/>
      </w:rPr>
      <w:fldChar w:fldCharType="begin"/>
    </w:r>
    <w:r>
      <w:rPr>
        <w:rStyle w:val="PageNumber"/>
        <w:szCs w:val="24"/>
      </w:rPr>
      <w:instrText xml:space="preserve"> PAGE </w:instrText>
    </w:r>
    <w:r>
      <w:rPr>
        <w:rStyle w:val="PageNumber"/>
        <w:szCs w:val="24"/>
      </w:rPr>
      <w:fldChar w:fldCharType="separate"/>
    </w:r>
    <w:r w:rsidR="003D5234">
      <w:rPr>
        <w:rStyle w:val="PageNumber"/>
        <w:noProof/>
        <w:szCs w:val="24"/>
      </w:rPr>
      <w:t>2</w:t>
    </w:r>
    <w:r>
      <w:rPr>
        <w:rStyle w:val="PageNumber"/>
        <w:szCs w:val="24"/>
      </w:rPr>
      <w:fldChar w:fldCharType="end"/>
    </w:r>
  </w:p>
  <w:p w:rsidR="00B948BB" w:rsidRDefault="00B948BB">
    <w:pPr>
      <w:jc w:val="center"/>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A08"/>
    <w:rsid w:val="00001380"/>
    <w:rsid w:val="00001D48"/>
    <w:rsid w:val="00010CF3"/>
    <w:rsid w:val="00011E27"/>
    <w:rsid w:val="000148BC"/>
    <w:rsid w:val="00024AB8"/>
    <w:rsid w:val="00036028"/>
    <w:rsid w:val="00042956"/>
    <w:rsid w:val="000446B9"/>
    <w:rsid w:val="00047E21"/>
    <w:rsid w:val="00085505"/>
    <w:rsid w:val="000C1503"/>
    <w:rsid w:val="000C7021"/>
    <w:rsid w:val="000D6BBC"/>
    <w:rsid w:val="000D7780"/>
    <w:rsid w:val="00105929"/>
    <w:rsid w:val="00110481"/>
    <w:rsid w:val="001131D5"/>
    <w:rsid w:val="00141DB8"/>
    <w:rsid w:val="00163DBF"/>
    <w:rsid w:val="0017474A"/>
    <w:rsid w:val="001758C6"/>
    <w:rsid w:val="0019149D"/>
    <w:rsid w:val="001C3DF3"/>
    <w:rsid w:val="001E23C5"/>
    <w:rsid w:val="001E3B9E"/>
    <w:rsid w:val="001F1F2A"/>
    <w:rsid w:val="0021332C"/>
    <w:rsid w:val="00213982"/>
    <w:rsid w:val="002179D3"/>
    <w:rsid w:val="00237C7D"/>
    <w:rsid w:val="0024416D"/>
    <w:rsid w:val="0027309C"/>
    <w:rsid w:val="002800A0"/>
    <w:rsid w:val="00281060"/>
    <w:rsid w:val="0029439F"/>
    <w:rsid w:val="002A3E61"/>
    <w:rsid w:val="002A6E50"/>
    <w:rsid w:val="002C256A"/>
    <w:rsid w:val="002C5C52"/>
    <w:rsid w:val="002E7BA1"/>
    <w:rsid w:val="002F78FA"/>
    <w:rsid w:val="00305A7F"/>
    <w:rsid w:val="003152FE"/>
    <w:rsid w:val="00327436"/>
    <w:rsid w:val="00344BD6"/>
    <w:rsid w:val="0035528D"/>
    <w:rsid w:val="00361821"/>
    <w:rsid w:val="003A17C8"/>
    <w:rsid w:val="003C563E"/>
    <w:rsid w:val="003D227C"/>
    <w:rsid w:val="003D2B4D"/>
    <w:rsid w:val="003D5234"/>
    <w:rsid w:val="003F6136"/>
    <w:rsid w:val="00427139"/>
    <w:rsid w:val="00444A88"/>
    <w:rsid w:val="004455F9"/>
    <w:rsid w:val="0045799E"/>
    <w:rsid w:val="00474DA4"/>
    <w:rsid w:val="004A3215"/>
    <w:rsid w:val="004D047D"/>
    <w:rsid w:val="004D390E"/>
    <w:rsid w:val="004F305A"/>
    <w:rsid w:val="00512164"/>
    <w:rsid w:val="00517388"/>
    <w:rsid w:val="00520297"/>
    <w:rsid w:val="005338F9"/>
    <w:rsid w:val="0054281C"/>
    <w:rsid w:val="00547139"/>
    <w:rsid w:val="0055268D"/>
    <w:rsid w:val="00572E44"/>
    <w:rsid w:val="00576BE4"/>
    <w:rsid w:val="00583701"/>
    <w:rsid w:val="005A400A"/>
    <w:rsid w:val="005D07FF"/>
    <w:rsid w:val="005F74D7"/>
    <w:rsid w:val="00612379"/>
    <w:rsid w:val="0061555F"/>
    <w:rsid w:val="00615EB4"/>
    <w:rsid w:val="00641200"/>
    <w:rsid w:val="00663ED8"/>
    <w:rsid w:val="00664515"/>
    <w:rsid w:val="0067429D"/>
    <w:rsid w:val="00687EB4"/>
    <w:rsid w:val="006B17D2"/>
    <w:rsid w:val="006B45FA"/>
    <w:rsid w:val="006C224E"/>
    <w:rsid w:val="00732DEC"/>
    <w:rsid w:val="00735BD5"/>
    <w:rsid w:val="0075117E"/>
    <w:rsid w:val="007556F6"/>
    <w:rsid w:val="00760EEF"/>
    <w:rsid w:val="00777EE5"/>
    <w:rsid w:val="007803E5"/>
    <w:rsid w:val="00784836"/>
    <w:rsid w:val="0079023E"/>
    <w:rsid w:val="007B6894"/>
    <w:rsid w:val="007D0B9D"/>
    <w:rsid w:val="007D19B0"/>
    <w:rsid w:val="007F498F"/>
    <w:rsid w:val="0080679D"/>
    <w:rsid w:val="008108B0"/>
    <w:rsid w:val="00811B20"/>
    <w:rsid w:val="0082296E"/>
    <w:rsid w:val="00824099"/>
    <w:rsid w:val="00836E88"/>
    <w:rsid w:val="00855DBD"/>
    <w:rsid w:val="00867AC1"/>
    <w:rsid w:val="008A395B"/>
    <w:rsid w:val="008A743F"/>
    <w:rsid w:val="008B51D0"/>
    <w:rsid w:val="008B54A6"/>
    <w:rsid w:val="008C0970"/>
    <w:rsid w:val="008D2CF7"/>
    <w:rsid w:val="008E793E"/>
    <w:rsid w:val="00900C26"/>
    <w:rsid w:val="0090197F"/>
    <w:rsid w:val="00906DDC"/>
    <w:rsid w:val="00913835"/>
    <w:rsid w:val="00934E09"/>
    <w:rsid w:val="00936253"/>
    <w:rsid w:val="00970FED"/>
    <w:rsid w:val="00975A72"/>
    <w:rsid w:val="00997029"/>
    <w:rsid w:val="009B20FF"/>
    <w:rsid w:val="009D0DE5"/>
    <w:rsid w:val="009D690D"/>
    <w:rsid w:val="009D763C"/>
    <w:rsid w:val="009E2CD5"/>
    <w:rsid w:val="009E65B6"/>
    <w:rsid w:val="00A006B1"/>
    <w:rsid w:val="00A30A08"/>
    <w:rsid w:val="00A42AC3"/>
    <w:rsid w:val="00A430CF"/>
    <w:rsid w:val="00A5329A"/>
    <w:rsid w:val="00A54309"/>
    <w:rsid w:val="00AB2B93"/>
    <w:rsid w:val="00AE0EF1"/>
    <w:rsid w:val="00AE1850"/>
    <w:rsid w:val="00B07301"/>
    <w:rsid w:val="00B219D9"/>
    <w:rsid w:val="00B224DE"/>
    <w:rsid w:val="00B40181"/>
    <w:rsid w:val="00B62F85"/>
    <w:rsid w:val="00B84BBD"/>
    <w:rsid w:val="00B873EF"/>
    <w:rsid w:val="00B948BB"/>
    <w:rsid w:val="00BA43FB"/>
    <w:rsid w:val="00BC127D"/>
    <w:rsid w:val="00BC1FE6"/>
    <w:rsid w:val="00BD4C24"/>
    <w:rsid w:val="00C061B6"/>
    <w:rsid w:val="00C208D2"/>
    <w:rsid w:val="00C21DBF"/>
    <w:rsid w:val="00C2446C"/>
    <w:rsid w:val="00C36AE5"/>
    <w:rsid w:val="00C41F17"/>
    <w:rsid w:val="00C54BF4"/>
    <w:rsid w:val="00C5791C"/>
    <w:rsid w:val="00C66290"/>
    <w:rsid w:val="00C72B7A"/>
    <w:rsid w:val="00C77AA4"/>
    <w:rsid w:val="00C973F2"/>
    <w:rsid w:val="00CA774A"/>
    <w:rsid w:val="00CC07DB"/>
    <w:rsid w:val="00CC11B0"/>
    <w:rsid w:val="00CF7E36"/>
    <w:rsid w:val="00D162E8"/>
    <w:rsid w:val="00D24210"/>
    <w:rsid w:val="00D3708D"/>
    <w:rsid w:val="00D40426"/>
    <w:rsid w:val="00D550CD"/>
    <w:rsid w:val="00D57C96"/>
    <w:rsid w:val="00D91203"/>
    <w:rsid w:val="00D95174"/>
    <w:rsid w:val="00D95A5C"/>
    <w:rsid w:val="00DA6F36"/>
    <w:rsid w:val="00DC00EA"/>
    <w:rsid w:val="00E136F4"/>
    <w:rsid w:val="00E72D49"/>
    <w:rsid w:val="00E7593C"/>
    <w:rsid w:val="00E7678A"/>
    <w:rsid w:val="00E935F1"/>
    <w:rsid w:val="00E94A81"/>
    <w:rsid w:val="00EA1FFB"/>
    <w:rsid w:val="00EB048E"/>
    <w:rsid w:val="00EB3EFA"/>
    <w:rsid w:val="00EE1BF6"/>
    <w:rsid w:val="00EF2F89"/>
    <w:rsid w:val="00F04DEB"/>
    <w:rsid w:val="00F063BC"/>
    <w:rsid w:val="00F1237A"/>
    <w:rsid w:val="00F22CBD"/>
    <w:rsid w:val="00F37961"/>
    <w:rsid w:val="00F47B78"/>
    <w:rsid w:val="00F6334D"/>
    <w:rsid w:val="00FA49AB"/>
    <w:rsid w:val="00FB0D37"/>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StyleDocoriginalNotBoldChar"/>
    <w:qFormat/>
    <w:pPr>
      <w:jc w:val="both"/>
    </w:pPr>
    <w:rPr>
      <w:rFonts w:ascii="Arial" w:hAnsi="Arial"/>
      <w:snapToGrid w:val="0"/>
      <w:lang w:eastAsia="ja-JP"/>
    </w:rPr>
  </w:style>
  <w:style w:type="paragraph" w:styleId="Heading1">
    <w:name w:val="heading 1"/>
    <w:basedOn w:val="Normal"/>
    <w:next w:val="Normal"/>
    <w:autoRedefine/>
    <w:qFormat/>
    <w:pPr>
      <w:keepNext/>
      <w:outlineLvl w:val="0"/>
    </w:pPr>
    <w:rPr>
      <w:caps/>
    </w:rPr>
  </w:style>
  <w:style w:type="paragraph" w:styleId="Heading2">
    <w:name w:val="heading 2"/>
    <w:basedOn w:val="Normal"/>
    <w:next w:val="Normal"/>
    <w:autoRedefine/>
    <w:qFormat/>
    <w:pPr>
      <w:keepNext/>
      <w:outlineLvl w:val="1"/>
    </w:pPr>
    <w:rPr>
      <w:u w:val="single"/>
    </w:rPr>
  </w:style>
  <w:style w:type="paragraph" w:styleId="Heading3">
    <w:name w:val="heading 3"/>
    <w:basedOn w:val="Normal"/>
    <w:next w:val="Normal"/>
    <w:autoRedefine/>
    <w:qFormat/>
    <w:pPr>
      <w:keepNext/>
      <w:outlineLvl w:val="2"/>
    </w:pPr>
    <w:rPr>
      <w:i/>
    </w:rPr>
  </w:style>
  <w:style w:type="paragraph" w:styleId="Heading4">
    <w:name w:val="heading 4"/>
    <w:basedOn w:val="Normal"/>
    <w:next w:val="Normal"/>
    <w:autoRedefine/>
    <w:qFormat/>
    <w:pPr>
      <w:keepNext/>
      <w:ind w:left="567"/>
      <w:outlineLvl w:val="3"/>
    </w:pPr>
    <w:rPr>
      <w:i/>
      <w:lang w:val="fr-FR"/>
    </w:rPr>
  </w:style>
  <w:style w:type="paragraph" w:styleId="Heading5">
    <w:name w:val="heading 5"/>
    <w:basedOn w:val="Normal"/>
    <w:next w:val="Normal"/>
    <w:autoRedefine/>
    <w:qFormat/>
    <w:pPr>
      <w:keepNext/>
      <w:ind w:left="1134" w:hanging="567"/>
      <w:outlineLvl w:val="4"/>
    </w:pPr>
    <w:rPr>
      <w:sz w:val="18"/>
      <w:szCs w:val="18"/>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pPr>
      <w:tabs>
        <w:tab w:val="center" w:pos="4536"/>
        <w:tab w:val="right" w:pos="9072"/>
      </w:tabs>
      <w:jc w:val="center"/>
    </w:pPr>
    <w:rPr>
      <w:lang w:val="fr-FR"/>
    </w:rPr>
  </w:style>
  <w:style w:type="paragraph" w:styleId="Footer">
    <w:name w:val="footer"/>
    <w:aliases w:val="doc_path_name"/>
    <w:basedOn w:val="Normal"/>
    <w:autoRedefine/>
    <w:rPr>
      <w:sz w:val="14"/>
    </w:rPr>
  </w:style>
  <w:style w:type="character" w:styleId="PageNumber">
    <w:name w:val="page number"/>
    <w:basedOn w:val="DefaultParagraphFont"/>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Normal"/>
    <w:pPr>
      <w:spacing w:line="280" w:lineRule="exact"/>
      <w:ind w:left="1361"/>
    </w:pPr>
    <w:rPr>
      <w:b/>
      <w:bCs/>
      <w:spacing w:val="10"/>
    </w:rPr>
  </w:style>
  <w:style w:type="paragraph" w:customStyle="1" w:styleId="DecisionParagraphs">
    <w:name w:val="DecisionParagraphs"/>
    <w:basedOn w:val="Normal"/>
    <w:pPr>
      <w:tabs>
        <w:tab w:val="left" w:pos="5387"/>
      </w:tabs>
      <w:ind w:left="4820"/>
    </w:pPr>
    <w:rPr>
      <w:i/>
    </w:rPr>
  </w:style>
  <w:style w:type="paragraph" w:styleId="FootnoteText">
    <w:name w:val="footnote text"/>
    <w:basedOn w:val="Normal"/>
    <w:autoRedefine/>
    <w:pPr>
      <w:spacing w:before="60"/>
      <w:ind w:left="567" w:hanging="567"/>
    </w:pPr>
    <w:rPr>
      <w:sz w:val="16"/>
    </w:rPr>
  </w:style>
  <w:style w:type="character" w:styleId="FootnoteReference">
    <w:name w:val="footnote reference"/>
    <w:basedOn w:val="DefaultParagraphFont"/>
    <w:semiHidden/>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ja-JP"/>
    </w:rPr>
  </w:style>
  <w:style w:type="paragraph" w:styleId="Signature">
    <w:name w:val="Signature"/>
    <w:basedOn w:val="Normal"/>
    <w:pPr>
      <w:ind w:left="4536"/>
      <w:jc w:val="center"/>
    </w:p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paragraph" w:customStyle="1" w:styleId="StyleDocoriginalNotBold">
    <w:name w:val="Style Doc_original + Not Bold"/>
    <w:basedOn w:val="Docoriginal"/>
    <w:autoRedefine/>
    <w:pPr>
      <w:ind w:left="1589"/>
      <w:jc w:val="left"/>
    </w:pPr>
  </w:style>
  <w:style w:type="paragraph" w:customStyle="1" w:styleId="upove">
    <w:name w:val="upov_e"/>
    <w:basedOn w:val="Normal"/>
    <w:pPr>
      <w:spacing w:before="60"/>
      <w:jc w:val="center"/>
    </w:pPr>
    <w:rPr>
      <w:b/>
      <w:bCs/>
      <w:spacing w:val="8"/>
      <w:sz w:val="24"/>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styleId="EndnoteReference">
    <w:name w:val="endnote reference"/>
    <w:basedOn w:val="DefaultParagraphFont"/>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after="120" w:line="340" w:lineRule="atLeast"/>
      <w:jc w:val="right"/>
    </w:pPr>
    <w:rPr>
      <w:b/>
      <w:bCs/>
      <w:sz w:val="56"/>
    </w:rPr>
  </w:style>
  <w:style w:type="paragraph" w:customStyle="1" w:styleId="LogoUPOV">
    <w:name w:val="LogoUPOV"/>
    <w:basedOn w:val="Normal"/>
    <w:pPr>
      <w:spacing w:before="720"/>
      <w:jc w:val="center"/>
    </w:pPr>
  </w:style>
  <w:style w:type="paragraph" w:customStyle="1" w:styleId="Sessiontc">
    <w:name w:val="Session_tc"/>
    <w:basedOn w:val="StyleSessionAllcaps"/>
    <w:pPr>
      <w:spacing w:before="240"/>
    </w:p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pPr>
  </w:style>
  <w:style w:type="paragraph" w:customStyle="1" w:styleId="Titleofdoc0">
    <w:name w:val="Title_of_doc"/>
    <w:basedOn w:val="Normal"/>
    <w:pPr>
      <w:spacing w:before="600"/>
      <w:jc w:val="center"/>
    </w:pPr>
    <w:rPr>
      <w:caps/>
    </w:rPr>
  </w:style>
  <w:style w:type="paragraph" w:customStyle="1" w:styleId="preparedby1">
    <w:name w:val="prepared_by"/>
    <w:basedOn w:val="Normal"/>
    <w:semiHidden/>
    <w:pPr>
      <w:spacing w:before="240" w:after="600"/>
      <w:jc w:val="center"/>
    </w:pPr>
    <w:rPr>
      <w:i/>
    </w:rPr>
  </w:style>
  <w:style w:type="character" w:customStyle="1" w:styleId="CodeChar">
    <w:name w:val="Code Char"/>
    <w:basedOn w:val="DefaultParagraphFont"/>
    <w:locked/>
    <w:rPr>
      <w:rFonts w:ascii="Arial" w:hAnsi="Arial" w:cs="Times New Roman"/>
      <w:b/>
      <w:bCs/>
      <w:spacing w:val="10"/>
      <w:lang w:val="fr-FR" w:bidi="ar-SA"/>
    </w:rPr>
  </w:style>
  <w:style w:type="paragraph" w:customStyle="1" w:styleId="endofdoc">
    <w:name w:val="end_of_doc"/>
    <w:autoRedefine/>
    <w:pPr>
      <w:spacing w:before="480"/>
      <w:ind w:left="567" w:hanging="567"/>
      <w:jc w:val="right"/>
    </w:pPr>
    <w:rPr>
      <w:rFonts w:ascii="Arial" w:hAnsi="Arial"/>
      <w:snapToGrid w:val="0"/>
      <w:lang w:eastAsia="ja-JP"/>
    </w:rPr>
  </w:style>
  <w:style w:type="character" w:customStyle="1" w:styleId="DocoriginalChar">
    <w:name w:val="Doc_original Char"/>
    <w:basedOn w:val="DefaultParagraphFont"/>
    <w:locked/>
    <w:rPr>
      <w:rFonts w:ascii="Arial" w:hAnsi="Arial" w:cs="Times New Roman"/>
      <w:b/>
      <w:bCs/>
      <w:spacing w:val="10"/>
      <w:lang w:val="en-US" w:bidi="ar-SA"/>
    </w:rPr>
  </w:style>
  <w:style w:type="character" w:customStyle="1" w:styleId="StyleDocoriginalNotBoldChar">
    <w:name w:val="Style Doc_original + Not Bold Char"/>
    <w:basedOn w:val="DocoriginalChar"/>
    <w:locked/>
    <w:rPr>
      <w:rFonts w:ascii="Arial" w:hAnsi="Arial" w:cs="Times New Roman"/>
      <w:b/>
      <w:bCs/>
      <w:spacing w:val="10"/>
      <w:lang w:val="en-US" w:bidi="ar-SA"/>
    </w:rPr>
  </w:style>
  <w:style w:type="paragraph" w:customStyle="1" w:styleId="StyleDocnumber">
    <w:name w:val="Style Doc_number"/>
    <w:basedOn w:val="Docoriginal"/>
    <w:pPr>
      <w:ind w:left="1589"/>
    </w:pPr>
  </w:style>
  <w:style w:type="paragraph" w:customStyle="1" w:styleId="StyleDocoriginal">
    <w:name w:val="Style Doc_original"/>
    <w:basedOn w:val="Docoriginal"/>
  </w:style>
  <w:style w:type="character" w:customStyle="1" w:styleId="StyleDocoriginalChar">
    <w:name w:val="Style Doc_original Char"/>
    <w:basedOn w:val="DocoriginalChar"/>
    <w:locked/>
    <w:rPr>
      <w:rFonts w:ascii="Arial" w:hAnsi="Arial" w:cs="Times New Roman"/>
      <w:b/>
      <w:bCs/>
      <w:spacing w:val="10"/>
      <w:lang w:val="en-US" w:bidi="ar-SA"/>
    </w:rPr>
  </w:style>
  <w:style w:type="paragraph" w:customStyle="1" w:styleId="StyleStyleDocoriginalNotBoldNotBold">
    <w:name w:val="Style Style Doc_original + Not Bold + Not Bold"/>
    <w:basedOn w:val="StyleDocoriginalNotBold"/>
    <w:rPr>
      <w:b w:val="0"/>
      <w:bCs w:val="0"/>
      <w:spacing w:val="0"/>
    </w:rPr>
  </w:style>
  <w:style w:type="character" w:customStyle="1" w:styleId="StyleStyleDocoriginalNotBoldNotBoldChar">
    <w:name w:val="Style Style Doc_original + Not Bold + Not Bold Char"/>
    <w:basedOn w:val="StyleDocoriginalNotBoldChar"/>
    <w:locked/>
    <w:rPr>
      <w:rFonts w:ascii="Arial" w:hAnsi="Arial" w:cs="Times New Roman"/>
      <w:b/>
      <w:bCs/>
      <w:spacing w:val="10"/>
      <w:lang w:val="en-US" w:bidi="ar-SA"/>
    </w:rPr>
  </w:style>
  <w:style w:type="character" w:customStyle="1" w:styleId="StyleDocoriginalNotBold1">
    <w:name w:val="Style Doc_original + Not Bold1"/>
    <w:basedOn w:val="DefaultParagraphFont"/>
    <w:rPr>
      <w:rFonts w:ascii="Arial" w:hAnsi="Arial" w:cs="Times New Roman"/>
      <w:b/>
      <w:bCs/>
      <w:spacing w:val="10"/>
      <w:lang w:val="en-US" w:bidi="ar-SA"/>
    </w:rPr>
  </w:style>
  <w:style w:type="character" w:customStyle="1" w:styleId="StyleDoclangBold">
    <w:name w:val="Style Doc_lang + Bold"/>
    <w:basedOn w:val="Doclang"/>
    <w:rPr>
      <w:rFonts w:ascii="Arial" w:hAnsi="Arial" w:cs="Times New Roman"/>
      <w:b/>
      <w:bCs/>
      <w:sz w:val="20"/>
      <w:lang w:val="en-US"/>
    </w:rPr>
  </w:style>
  <w:style w:type="paragraph" w:styleId="TOC2">
    <w:name w:val="toc 2"/>
    <w:basedOn w:val="Normal"/>
    <w:next w:val="Normal"/>
    <w:autoRedefine/>
    <w:semiHidden/>
    <w:pPr>
      <w:tabs>
        <w:tab w:val="right" w:leader="dot" w:pos="9639"/>
      </w:tabs>
      <w:spacing w:before="120"/>
      <w:ind w:left="851" w:right="851" w:hanging="567"/>
      <w:contextualSpacing/>
      <w:jc w:val="left"/>
    </w:pPr>
    <w:rPr>
      <w:noProof/>
      <w:lang w:val="fr-FR"/>
    </w:rPr>
  </w:style>
  <w:style w:type="paragraph" w:styleId="TOC3">
    <w:name w:val="toc 3"/>
    <w:basedOn w:val="Normal"/>
    <w:next w:val="Normal"/>
    <w:autoRedefine/>
    <w:semiHidden/>
    <w:pPr>
      <w:tabs>
        <w:tab w:val="right" w:leader="dot" w:pos="9639"/>
      </w:tabs>
      <w:spacing w:before="120"/>
      <w:ind w:left="851" w:right="851" w:hanging="567"/>
      <w:contextualSpacing/>
      <w:jc w:val="left"/>
    </w:pPr>
    <w:rPr>
      <w:i/>
      <w:noProof/>
      <w:lang w:val="fr-FR"/>
    </w:rPr>
  </w:style>
  <w:style w:type="character" w:styleId="Hyperlink">
    <w:name w:val="Hyperlink"/>
    <w:basedOn w:val="DefaultParagraphFont"/>
    <w:rPr>
      <w:rFonts w:ascii="Arial" w:hAnsi="Arial" w:cs="Times New Roman"/>
      <w:color w:val="0000FF"/>
      <w:u w:val="single"/>
    </w:rPr>
  </w:style>
  <w:style w:type="paragraph" w:styleId="TOC4">
    <w:name w:val="toc 4"/>
    <w:basedOn w:val="Normal"/>
    <w:next w:val="Normal"/>
    <w:autoRedefine/>
    <w:semiHidden/>
    <w:pPr>
      <w:tabs>
        <w:tab w:val="right" w:leader="dot" w:pos="9639"/>
      </w:tabs>
      <w:spacing w:before="120"/>
      <w:ind w:left="851" w:right="851" w:hanging="284"/>
      <w:jc w:val="left"/>
    </w:pPr>
    <w:rPr>
      <w:i/>
      <w:noProof/>
      <w:lang w:val="fr-FR"/>
    </w:rPr>
  </w:style>
  <w:style w:type="paragraph" w:styleId="TOC1">
    <w:name w:val="toc 1"/>
    <w:basedOn w:val="Normal"/>
    <w:next w:val="Normal"/>
    <w:autoRedefine/>
    <w:semiHidden/>
    <w:pPr>
      <w:tabs>
        <w:tab w:val="right" w:leader="dot" w:pos="9639"/>
      </w:tabs>
      <w:ind w:left="284" w:right="284" w:hanging="284"/>
      <w:contextualSpacing/>
      <w:jc w:val="left"/>
    </w:pPr>
    <w:rPr>
      <w:caps/>
      <w:noProof/>
      <w:lang w:val="fr-FR"/>
    </w:rPr>
  </w:style>
  <w:style w:type="paragraph" w:styleId="TOC5">
    <w:name w:val="toc 5"/>
    <w:basedOn w:val="Normal"/>
    <w:next w:val="Normal"/>
    <w:autoRedefine/>
    <w:semiHidden/>
    <w:pPr>
      <w:tabs>
        <w:tab w:val="right" w:leader="dot" w:pos="9639"/>
      </w:tabs>
      <w:spacing w:before="120"/>
      <w:ind w:left="851" w:right="851" w:hanging="283"/>
    </w:pPr>
    <w:rPr>
      <w:noProof/>
      <w:sz w:val="18"/>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basedOn w:val="DefaultParagraphFont"/>
    <w:locked/>
    <w:rPr>
      <w:rFonts w:ascii="Times New Roman" w:hAnsi="Times New Roman" w:cs="Times New Roman"/>
      <w:sz w:val="16"/>
      <w:szCs w:val="16"/>
    </w:rPr>
  </w:style>
  <w:style w:type="character" w:customStyle="1" w:styleId="FootnoteTextChar">
    <w:name w:val="Footnote Text Char"/>
    <w:basedOn w:val="DefaultParagraphFont"/>
    <w:locked/>
    <w:rPr>
      <w:rFonts w:ascii="Arial" w:hAnsi="Arial" w:cs="Times New Roman"/>
      <w:sz w:val="16"/>
      <w:lang w:val="en-US" w:bidi="ar-SA"/>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StyleDocoriginalNotBoldChar"/>
    <w:qFormat/>
    <w:pPr>
      <w:jc w:val="both"/>
    </w:pPr>
    <w:rPr>
      <w:rFonts w:ascii="Arial" w:hAnsi="Arial"/>
      <w:snapToGrid w:val="0"/>
      <w:lang w:eastAsia="ja-JP"/>
    </w:rPr>
  </w:style>
  <w:style w:type="paragraph" w:styleId="Heading1">
    <w:name w:val="heading 1"/>
    <w:basedOn w:val="Normal"/>
    <w:next w:val="Normal"/>
    <w:autoRedefine/>
    <w:qFormat/>
    <w:pPr>
      <w:keepNext/>
      <w:outlineLvl w:val="0"/>
    </w:pPr>
    <w:rPr>
      <w:caps/>
    </w:rPr>
  </w:style>
  <w:style w:type="paragraph" w:styleId="Heading2">
    <w:name w:val="heading 2"/>
    <w:basedOn w:val="Normal"/>
    <w:next w:val="Normal"/>
    <w:autoRedefine/>
    <w:qFormat/>
    <w:pPr>
      <w:keepNext/>
      <w:outlineLvl w:val="1"/>
    </w:pPr>
    <w:rPr>
      <w:u w:val="single"/>
    </w:rPr>
  </w:style>
  <w:style w:type="paragraph" w:styleId="Heading3">
    <w:name w:val="heading 3"/>
    <w:basedOn w:val="Normal"/>
    <w:next w:val="Normal"/>
    <w:autoRedefine/>
    <w:qFormat/>
    <w:pPr>
      <w:keepNext/>
      <w:outlineLvl w:val="2"/>
    </w:pPr>
    <w:rPr>
      <w:i/>
    </w:rPr>
  </w:style>
  <w:style w:type="paragraph" w:styleId="Heading4">
    <w:name w:val="heading 4"/>
    <w:basedOn w:val="Normal"/>
    <w:next w:val="Normal"/>
    <w:autoRedefine/>
    <w:qFormat/>
    <w:pPr>
      <w:keepNext/>
      <w:ind w:left="567"/>
      <w:outlineLvl w:val="3"/>
    </w:pPr>
    <w:rPr>
      <w:i/>
      <w:lang w:val="fr-FR"/>
    </w:rPr>
  </w:style>
  <w:style w:type="paragraph" w:styleId="Heading5">
    <w:name w:val="heading 5"/>
    <w:basedOn w:val="Normal"/>
    <w:next w:val="Normal"/>
    <w:autoRedefine/>
    <w:qFormat/>
    <w:pPr>
      <w:keepNext/>
      <w:ind w:left="1134" w:hanging="567"/>
      <w:outlineLvl w:val="4"/>
    </w:pPr>
    <w:rPr>
      <w:sz w:val="18"/>
      <w:szCs w:val="18"/>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pPr>
      <w:tabs>
        <w:tab w:val="center" w:pos="4536"/>
        <w:tab w:val="right" w:pos="9072"/>
      </w:tabs>
      <w:jc w:val="center"/>
    </w:pPr>
    <w:rPr>
      <w:lang w:val="fr-FR"/>
    </w:rPr>
  </w:style>
  <w:style w:type="paragraph" w:styleId="Footer">
    <w:name w:val="footer"/>
    <w:aliases w:val="doc_path_name"/>
    <w:basedOn w:val="Normal"/>
    <w:autoRedefine/>
    <w:rPr>
      <w:sz w:val="14"/>
    </w:rPr>
  </w:style>
  <w:style w:type="character" w:styleId="PageNumber">
    <w:name w:val="page number"/>
    <w:basedOn w:val="DefaultParagraphFont"/>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Normal"/>
    <w:pPr>
      <w:spacing w:line="280" w:lineRule="exact"/>
      <w:ind w:left="1361"/>
    </w:pPr>
    <w:rPr>
      <w:b/>
      <w:bCs/>
      <w:spacing w:val="10"/>
    </w:rPr>
  </w:style>
  <w:style w:type="paragraph" w:customStyle="1" w:styleId="DecisionParagraphs">
    <w:name w:val="DecisionParagraphs"/>
    <w:basedOn w:val="Normal"/>
    <w:pPr>
      <w:tabs>
        <w:tab w:val="left" w:pos="5387"/>
      </w:tabs>
      <w:ind w:left="4820"/>
    </w:pPr>
    <w:rPr>
      <w:i/>
    </w:rPr>
  </w:style>
  <w:style w:type="paragraph" w:styleId="FootnoteText">
    <w:name w:val="footnote text"/>
    <w:basedOn w:val="Normal"/>
    <w:autoRedefine/>
    <w:pPr>
      <w:spacing w:before="60"/>
      <w:ind w:left="567" w:hanging="567"/>
    </w:pPr>
    <w:rPr>
      <w:sz w:val="16"/>
    </w:rPr>
  </w:style>
  <w:style w:type="character" w:styleId="FootnoteReference">
    <w:name w:val="footnote reference"/>
    <w:basedOn w:val="DefaultParagraphFont"/>
    <w:semiHidden/>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ja-JP"/>
    </w:rPr>
  </w:style>
  <w:style w:type="paragraph" w:styleId="Signature">
    <w:name w:val="Signature"/>
    <w:basedOn w:val="Normal"/>
    <w:pPr>
      <w:ind w:left="4536"/>
      <w:jc w:val="center"/>
    </w:p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paragraph" w:customStyle="1" w:styleId="StyleDocoriginalNotBold">
    <w:name w:val="Style Doc_original + Not Bold"/>
    <w:basedOn w:val="Docoriginal"/>
    <w:autoRedefine/>
    <w:pPr>
      <w:ind w:left="1589"/>
      <w:jc w:val="left"/>
    </w:pPr>
  </w:style>
  <w:style w:type="paragraph" w:customStyle="1" w:styleId="upove">
    <w:name w:val="upov_e"/>
    <w:basedOn w:val="Normal"/>
    <w:pPr>
      <w:spacing w:before="60"/>
      <w:jc w:val="center"/>
    </w:pPr>
    <w:rPr>
      <w:b/>
      <w:bCs/>
      <w:spacing w:val="8"/>
      <w:sz w:val="24"/>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styleId="EndnoteReference">
    <w:name w:val="endnote reference"/>
    <w:basedOn w:val="DefaultParagraphFont"/>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after="120" w:line="340" w:lineRule="atLeast"/>
      <w:jc w:val="right"/>
    </w:pPr>
    <w:rPr>
      <w:b/>
      <w:bCs/>
      <w:sz w:val="56"/>
    </w:rPr>
  </w:style>
  <w:style w:type="paragraph" w:customStyle="1" w:styleId="LogoUPOV">
    <w:name w:val="LogoUPOV"/>
    <w:basedOn w:val="Normal"/>
    <w:pPr>
      <w:spacing w:before="720"/>
      <w:jc w:val="center"/>
    </w:pPr>
  </w:style>
  <w:style w:type="paragraph" w:customStyle="1" w:styleId="Sessiontc">
    <w:name w:val="Session_tc"/>
    <w:basedOn w:val="StyleSessionAllcaps"/>
    <w:pPr>
      <w:spacing w:before="240"/>
    </w:p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pPr>
  </w:style>
  <w:style w:type="paragraph" w:customStyle="1" w:styleId="Titleofdoc0">
    <w:name w:val="Title_of_doc"/>
    <w:basedOn w:val="Normal"/>
    <w:pPr>
      <w:spacing w:before="600"/>
      <w:jc w:val="center"/>
    </w:pPr>
    <w:rPr>
      <w:caps/>
    </w:rPr>
  </w:style>
  <w:style w:type="paragraph" w:customStyle="1" w:styleId="preparedby1">
    <w:name w:val="prepared_by"/>
    <w:basedOn w:val="Normal"/>
    <w:semiHidden/>
    <w:pPr>
      <w:spacing w:before="240" w:after="600"/>
      <w:jc w:val="center"/>
    </w:pPr>
    <w:rPr>
      <w:i/>
    </w:rPr>
  </w:style>
  <w:style w:type="character" w:customStyle="1" w:styleId="CodeChar">
    <w:name w:val="Code Char"/>
    <w:basedOn w:val="DefaultParagraphFont"/>
    <w:locked/>
    <w:rPr>
      <w:rFonts w:ascii="Arial" w:hAnsi="Arial" w:cs="Times New Roman"/>
      <w:b/>
      <w:bCs/>
      <w:spacing w:val="10"/>
      <w:lang w:val="fr-FR" w:bidi="ar-SA"/>
    </w:rPr>
  </w:style>
  <w:style w:type="paragraph" w:customStyle="1" w:styleId="endofdoc">
    <w:name w:val="end_of_doc"/>
    <w:autoRedefine/>
    <w:pPr>
      <w:spacing w:before="480"/>
      <w:ind w:left="567" w:hanging="567"/>
      <w:jc w:val="right"/>
    </w:pPr>
    <w:rPr>
      <w:rFonts w:ascii="Arial" w:hAnsi="Arial"/>
      <w:snapToGrid w:val="0"/>
      <w:lang w:eastAsia="ja-JP"/>
    </w:rPr>
  </w:style>
  <w:style w:type="character" w:customStyle="1" w:styleId="DocoriginalChar">
    <w:name w:val="Doc_original Char"/>
    <w:basedOn w:val="DefaultParagraphFont"/>
    <w:locked/>
    <w:rPr>
      <w:rFonts w:ascii="Arial" w:hAnsi="Arial" w:cs="Times New Roman"/>
      <w:b/>
      <w:bCs/>
      <w:spacing w:val="10"/>
      <w:lang w:val="en-US" w:bidi="ar-SA"/>
    </w:rPr>
  </w:style>
  <w:style w:type="character" w:customStyle="1" w:styleId="StyleDocoriginalNotBoldChar">
    <w:name w:val="Style Doc_original + Not Bold Char"/>
    <w:basedOn w:val="DocoriginalChar"/>
    <w:locked/>
    <w:rPr>
      <w:rFonts w:ascii="Arial" w:hAnsi="Arial" w:cs="Times New Roman"/>
      <w:b/>
      <w:bCs/>
      <w:spacing w:val="10"/>
      <w:lang w:val="en-US" w:bidi="ar-SA"/>
    </w:rPr>
  </w:style>
  <w:style w:type="paragraph" w:customStyle="1" w:styleId="StyleDocnumber">
    <w:name w:val="Style Doc_number"/>
    <w:basedOn w:val="Docoriginal"/>
    <w:pPr>
      <w:ind w:left="1589"/>
    </w:pPr>
  </w:style>
  <w:style w:type="paragraph" w:customStyle="1" w:styleId="StyleDocoriginal">
    <w:name w:val="Style Doc_original"/>
    <w:basedOn w:val="Docoriginal"/>
  </w:style>
  <w:style w:type="character" w:customStyle="1" w:styleId="StyleDocoriginalChar">
    <w:name w:val="Style Doc_original Char"/>
    <w:basedOn w:val="DocoriginalChar"/>
    <w:locked/>
    <w:rPr>
      <w:rFonts w:ascii="Arial" w:hAnsi="Arial" w:cs="Times New Roman"/>
      <w:b/>
      <w:bCs/>
      <w:spacing w:val="10"/>
      <w:lang w:val="en-US" w:bidi="ar-SA"/>
    </w:rPr>
  </w:style>
  <w:style w:type="paragraph" w:customStyle="1" w:styleId="StyleStyleDocoriginalNotBoldNotBold">
    <w:name w:val="Style Style Doc_original + Not Bold + Not Bold"/>
    <w:basedOn w:val="StyleDocoriginalNotBold"/>
    <w:rPr>
      <w:b w:val="0"/>
      <w:bCs w:val="0"/>
      <w:spacing w:val="0"/>
    </w:rPr>
  </w:style>
  <w:style w:type="character" w:customStyle="1" w:styleId="StyleStyleDocoriginalNotBoldNotBoldChar">
    <w:name w:val="Style Style Doc_original + Not Bold + Not Bold Char"/>
    <w:basedOn w:val="StyleDocoriginalNotBoldChar"/>
    <w:locked/>
    <w:rPr>
      <w:rFonts w:ascii="Arial" w:hAnsi="Arial" w:cs="Times New Roman"/>
      <w:b/>
      <w:bCs/>
      <w:spacing w:val="10"/>
      <w:lang w:val="en-US" w:bidi="ar-SA"/>
    </w:rPr>
  </w:style>
  <w:style w:type="character" w:customStyle="1" w:styleId="StyleDocoriginalNotBold1">
    <w:name w:val="Style Doc_original + Not Bold1"/>
    <w:basedOn w:val="DefaultParagraphFont"/>
    <w:rPr>
      <w:rFonts w:ascii="Arial" w:hAnsi="Arial" w:cs="Times New Roman"/>
      <w:b/>
      <w:bCs/>
      <w:spacing w:val="10"/>
      <w:lang w:val="en-US" w:bidi="ar-SA"/>
    </w:rPr>
  </w:style>
  <w:style w:type="character" w:customStyle="1" w:styleId="StyleDoclangBold">
    <w:name w:val="Style Doc_lang + Bold"/>
    <w:basedOn w:val="Doclang"/>
    <w:rPr>
      <w:rFonts w:ascii="Arial" w:hAnsi="Arial" w:cs="Times New Roman"/>
      <w:b/>
      <w:bCs/>
      <w:sz w:val="20"/>
      <w:lang w:val="en-US"/>
    </w:rPr>
  </w:style>
  <w:style w:type="paragraph" w:styleId="TOC2">
    <w:name w:val="toc 2"/>
    <w:basedOn w:val="Normal"/>
    <w:next w:val="Normal"/>
    <w:autoRedefine/>
    <w:semiHidden/>
    <w:pPr>
      <w:tabs>
        <w:tab w:val="right" w:leader="dot" w:pos="9639"/>
      </w:tabs>
      <w:spacing w:before="120"/>
      <w:ind w:left="851" w:right="851" w:hanging="567"/>
      <w:contextualSpacing/>
      <w:jc w:val="left"/>
    </w:pPr>
    <w:rPr>
      <w:noProof/>
      <w:lang w:val="fr-FR"/>
    </w:rPr>
  </w:style>
  <w:style w:type="paragraph" w:styleId="TOC3">
    <w:name w:val="toc 3"/>
    <w:basedOn w:val="Normal"/>
    <w:next w:val="Normal"/>
    <w:autoRedefine/>
    <w:semiHidden/>
    <w:pPr>
      <w:tabs>
        <w:tab w:val="right" w:leader="dot" w:pos="9639"/>
      </w:tabs>
      <w:spacing w:before="120"/>
      <w:ind w:left="851" w:right="851" w:hanging="567"/>
      <w:contextualSpacing/>
      <w:jc w:val="left"/>
    </w:pPr>
    <w:rPr>
      <w:i/>
      <w:noProof/>
      <w:lang w:val="fr-FR"/>
    </w:rPr>
  </w:style>
  <w:style w:type="character" w:styleId="Hyperlink">
    <w:name w:val="Hyperlink"/>
    <w:basedOn w:val="DefaultParagraphFont"/>
    <w:rPr>
      <w:rFonts w:ascii="Arial" w:hAnsi="Arial" w:cs="Times New Roman"/>
      <w:color w:val="0000FF"/>
      <w:u w:val="single"/>
    </w:rPr>
  </w:style>
  <w:style w:type="paragraph" w:styleId="TOC4">
    <w:name w:val="toc 4"/>
    <w:basedOn w:val="Normal"/>
    <w:next w:val="Normal"/>
    <w:autoRedefine/>
    <w:semiHidden/>
    <w:pPr>
      <w:tabs>
        <w:tab w:val="right" w:leader="dot" w:pos="9639"/>
      </w:tabs>
      <w:spacing w:before="120"/>
      <w:ind w:left="851" w:right="851" w:hanging="284"/>
      <w:jc w:val="left"/>
    </w:pPr>
    <w:rPr>
      <w:i/>
      <w:noProof/>
      <w:lang w:val="fr-FR"/>
    </w:rPr>
  </w:style>
  <w:style w:type="paragraph" w:styleId="TOC1">
    <w:name w:val="toc 1"/>
    <w:basedOn w:val="Normal"/>
    <w:next w:val="Normal"/>
    <w:autoRedefine/>
    <w:semiHidden/>
    <w:pPr>
      <w:tabs>
        <w:tab w:val="right" w:leader="dot" w:pos="9639"/>
      </w:tabs>
      <w:ind w:left="284" w:right="284" w:hanging="284"/>
      <w:contextualSpacing/>
      <w:jc w:val="left"/>
    </w:pPr>
    <w:rPr>
      <w:caps/>
      <w:noProof/>
      <w:lang w:val="fr-FR"/>
    </w:rPr>
  </w:style>
  <w:style w:type="paragraph" w:styleId="TOC5">
    <w:name w:val="toc 5"/>
    <w:basedOn w:val="Normal"/>
    <w:next w:val="Normal"/>
    <w:autoRedefine/>
    <w:semiHidden/>
    <w:pPr>
      <w:tabs>
        <w:tab w:val="right" w:leader="dot" w:pos="9639"/>
      </w:tabs>
      <w:spacing w:before="120"/>
      <w:ind w:left="851" w:right="851" w:hanging="283"/>
    </w:pPr>
    <w:rPr>
      <w:noProof/>
      <w:sz w:val="18"/>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basedOn w:val="DefaultParagraphFont"/>
    <w:locked/>
    <w:rPr>
      <w:rFonts w:ascii="Times New Roman" w:hAnsi="Times New Roman" w:cs="Times New Roman"/>
      <w:sz w:val="16"/>
      <w:szCs w:val="16"/>
    </w:rPr>
  </w:style>
  <w:style w:type="character" w:customStyle="1" w:styleId="FootnoteTextChar">
    <w:name w:val="Footnote Text Char"/>
    <w:basedOn w:val="DefaultParagraphFont"/>
    <w:locked/>
    <w:rPr>
      <w:rFonts w:ascii="Arial" w:hAnsi="Arial" w:cs="Times New Roman"/>
      <w:sz w:val="16"/>
      <w:lang w:val="en-US" w:bidi="ar-SA"/>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hs.org.uk/Plants/RHS-Publications/Journals/Hanburyana/Hanburyan-issues/Volume-7--June-2013"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8\Templates\CAJ_6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CAJ_68_EN.dotx</Template>
  <TotalTime>1</TotalTime>
  <Pages>2</Pages>
  <Words>476</Words>
  <Characters>2717</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template CAJ/67 ENGLISH</vt:lpstr>
      <vt:lpstr>template CAJ/67 ENGLISH</vt:lpstr>
    </vt:vector>
  </TitlesOfParts>
  <Company>UPOV</Company>
  <LinksUpToDate>false</LinksUpToDate>
  <CharactersWithSpaces>3187</CharactersWithSpaces>
  <SharedDoc>false</SharedDoc>
  <HLinks>
    <vt:vector size="6" baseType="variant">
      <vt:variant>
        <vt:i4>7012413</vt:i4>
      </vt:variant>
      <vt:variant>
        <vt:i4>6</vt:i4>
      </vt:variant>
      <vt:variant>
        <vt:i4>0</vt:i4>
      </vt:variant>
      <vt:variant>
        <vt:i4>5</vt:i4>
      </vt:variant>
      <vt:variant>
        <vt:lpwstr>http://www.rhs.org.uk/Plants/RHS-Publications/Journals/Hanburyana/Hanburyan-issues/Volume-7--June-2013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CAJ/67 ENGLISH</dc:title>
  <dc:creator>BESSE Ariane</dc:creator>
  <cp:lastModifiedBy>SANCHEZ-VIZCAINO GOMEZ Rosa Maria</cp:lastModifiedBy>
  <cp:revision>5</cp:revision>
  <cp:lastPrinted>2013-10-18T17:08:00Z</cp:lastPrinted>
  <dcterms:created xsi:type="dcterms:W3CDTF">2013-10-18T17:07:00Z</dcterms:created>
  <dcterms:modified xsi:type="dcterms:W3CDTF">2013-10-18T17:08:00Z</dcterms:modified>
</cp:coreProperties>
</file>