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9F7CE4" w:rsidRPr="000D22CF" w:rsidTr="00FF763B">
        <w:trPr>
          <w:trHeight w:val="1760"/>
        </w:trPr>
        <w:tc>
          <w:tcPr>
            <w:tcW w:w="4243" w:type="dxa"/>
          </w:tcPr>
          <w:p w:rsidR="009F7CE4" w:rsidRPr="000D22CF" w:rsidRDefault="009F7CE4" w:rsidP="009F7CE4">
            <w:pPr>
              <w:rPr>
                <w:lang w:val="de-DE"/>
              </w:rPr>
            </w:pPr>
          </w:p>
        </w:tc>
        <w:tc>
          <w:tcPr>
            <w:tcW w:w="1646" w:type="dxa"/>
            <w:vAlign w:val="center"/>
          </w:tcPr>
          <w:p w:rsidR="009F7CE4" w:rsidRPr="000D22CF" w:rsidRDefault="00A420BE" w:rsidP="009F7CE4">
            <w:pPr>
              <w:spacing w:before="720"/>
              <w:jc w:val="center"/>
              <w:rPr>
                <w:lang w:val="de-DE"/>
              </w:rPr>
            </w:pPr>
            <w:r w:rsidRPr="000D22CF">
              <w:rPr>
                <w:noProof/>
              </w:rPr>
              <w:drawing>
                <wp:inline distT="0" distB="0" distL="0" distR="0" wp14:anchorId="2C1B4601" wp14:editId="2D5965D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9F7CE4" w:rsidRPr="000D22CF" w:rsidRDefault="009F7CE4" w:rsidP="009F7CE4">
            <w:pPr>
              <w:spacing w:after="120" w:line="340" w:lineRule="atLeast"/>
              <w:jc w:val="right"/>
              <w:rPr>
                <w:b/>
                <w:bCs/>
                <w:sz w:val="56"/>
                <w:lang w:val="de-DE"/>
              </w:rPr>
            </w:pPr>
            <w:r w:rsidRPr="000D22CF">
              <w:rPr>
                <w:b/>
                <w:bCs/>
                <w:sz w:val="56"/>
                <w:lang w:val="de-DE"/>
              </w:rPr>
              <w:t>G</w:t>
            </w:r>
          </w:p>
          <w:p w:rsidR="009F7CE4" w:rsidRPr="000D22CF" w:rsidRDefault="009F7CE4" w:rsidP="009F7CE4">
            <w:pPr>
              <w:spacing w:line="280" w:lineRule="exact"/>
              <w:ind w:left="1361"/>
              <w:jc w:val="left"/>
              <w:rPr>
                <w:b/>
                <w:bCs/>
                <w:spacing w:val="10"/>
                <w:lang w:val="de-DE"/>
              </w:rPr>
            </w:pPr>
            <w:r w:rsidRPr="000D22CF">
              <w:rPr>
                <w:b/>
                <w:bCs/>
                <w:spacing w:val="10"/>
                <w:lang w:val="de-DE"/>
              </w:rPr>
              <w:t>CAJ/68/2</w:t>
            </w:r>
            <w:bookmarkStart w:id="0" w:name="Code"/>
            <w:bookmarkEnd w:id="0"/>
          </w:p>
          <w:p w:rsidR="009F7CE4" w:rsidRPr="000D22CF" w:rsidRDefault="009F7CE4" w:rsidP="009F7CE4">
            <w:pPr>
              <w:spacing w:line="280" w:lineRule="exact"/>
              <w:ind w:left="1361"/>
              <w:jc w:val="left"/>
              <w:rPr>
                <w:b/>
                <w:bCs/>
                <w:spacing w:val="10"/>
                <w:lang w:val="de-DE"/>
              </w:rPr>
            </w:pPr>
            <w:r w:rsidRPr="000D22CF">
              <w:rPr>
                <w:b/>
                <w:lang w:val="de-DE"/>
              </w:rPr>
              <w:t>ORIGINAL:</w:t>
            </w:r>
            <w:r w:rsidRPr="000D22CF">
              <w:rPr>
                <w:lang w:val="de-DE"/>
              </w:rPr>
              <w:t xml:space="preserve">  </w:t>
            </w:r>
            <w:bookmarkStart w:id="1" w:name="Original"/>
            <w:bookmarkEnd w:id="1"/>
            <w:r w:rsidRPr="000D22CF">
              <w:rPr>
                <w:bCs/>
                <w:lang w:val="de-DE"/>
              </w:rPr>
              <w:t>englisch</w:t>
            </w:r>
          </w:p>
          <w:p w:rsidR="009F7CE4" w:rsidRPr="000D22CF" w:rsidRDefault="009F7CE4" w:rsidP="003B6E70">
            <w:pPr>
              <w:spacing w:line="280" w:lineRule="exact"/>
              <w:ind w:left="1361"/>
              <w:jc w:val="left"/>
              <w:rPr>
                <w:bCs/>
                <w:highlight w:val="cyan"/>
                <w:lang w:val="de-DE"/>
              </w:rPr>
            </w:pPr>
            <w:r w:rsidRPr="000D22CF">
              <w:rPr>
                <w:b/>
                <w:bCs/>
                <w:lang w:val="de-DE"/>
              </w:rPr>
              <w:t xml:space="preserve">DATUM: </w:t>
            </w:r>
            <w:r w:rsidRPr="000D22CF">
              <w:rPr>
                <w:lang w:val="de-DE"/>
              </w:rPr>
              <w:t xml:space="preserve"> </w:t>
            </w:r>
            <w:bookmarkStart w:id="2" w:name="Date"/>
            <w:bookmarkEnd w:id="2"/>
            <w:r w:rsidR="003B6E70" w:rsidRPr="000D22CF">
              <w:rPr>
                <w:lang w:val="de-DE"/>
              </w:rPr>
              <w:t>2</w:t>
            </w:r>
            <w:r w:rsidRPr="000D22CF">
              <w:rPr>
                <w:bCs/>
                <w:lang w:val="de-DE"/>
              </w:rPr>
              <w:t>. Oktober 2013</w:t>
            </w:r>
          </w:p>
        </w:tc>
      </w:tr>
      <w:tr w:rsidR="009F7CE4" w:rsidRPr="000D22CF" w:rsidTr="00FF763B">
        <w:tc>
          <w:tcPr>
            <w:tcW w:w="10131" w:type="dxa"/>
            <w:gridSpan w:val="3"/>
          </w:tcPr>
          <w:p w:rsidR="009F7CE4" w:rsidRPr="000D22CF" w:rsidRDefault="009F7CE4" w:rsidP="009F7CE4">
            <w:pPr>
              <w:spacing w:before="60"/>
              <w:jc w:val="center"/>
              <w:rPr>
                <w:b/>
                <w:bCs/>
                <w:spacing w:val="8"/>
                <w:sz w:val="28"/>
                <w:lang w:val="de-DE"/>
              </w:rPr>
            </w:pPr>
            <w:r w:rsidRPr="000D22CF">
              <w:rPr>
                <w:b/>
                <w:bCs/>
                <w:snapToGrid w:val="0"/>
                <w:spacing w:val="8"/>
                <w:sz w:val="24"/>
                <w:lang w:val="de-DE"/>
              </w:rPr>
              <w:t xml:space="preserve">INTERNATIONALER VERBAND ZUM SCHUTZ VON PFLANZENZÜCHTUNGEN </w:t>
            </w:r>
          </w:p>
        </w:tc>
      </w:tr>
      <w:tr w:rsidR="009F7CE4" w:rsidRPr="000D22CF" w:rsidTr="00FF763B">
        <w:tc>
          <w:tcPr>
            <w:tcW w:w="10131" w:type="dxa"/>
            <w:gridSpan w:val="3"/>
          </w:tcPr>
          <w:p w:rsidR="009F7CE4" w:rsidRPr="000D22CF" w:rsidRDefault="009F7CE4" w:rsidP="009F7CE4">
            <w:pPr>
              <w:spacing w:before="60" w:after="480"/>
              <w:jc w:val="center"/>
              <w:rPr>
                <w:lang w:val="de-DE"/>
              </w:rPr>
            </w:pPr>
            <w:r w:rsidRPr="000D22CF">
              <w:rPr>
                <w:lang w:val="de-DE"/>
              </w:rPr>
              <w:t>Genf</w:t>
            </w:r>
          </w:p>
        </w:tc>
      </w:tr>
    </w:tbl>
    <w:p w:rsidR="009F7CE4" w:rsidRPr="000D22CF" w:rsidRDefault="009F7CE4" w:rsidP="009F7CE4">
      <w:pPr>
        <w:spacing w:before="240"/>
        <w:jc w:val="center"/>
        <w:rPr>
          <w:b/>
          <w:bCs/>
          <w:caps/>
          <w:kern w:val="28"/>
          <w:sz w:val="24"/>
          <w:lang w:val="de-DE"/>
        </w:rPr>
      </w:pPr>
      <w:r w:rsidRPr="000D22CF">
        <w:rPr>
          <w:b/>
          <w:bCs/>
          <w:caps/>
          <w:kern w:val="28"/>
          <w:sz w:val="24"/>
          <w:lang w:val="de-DE"/>
        </w:rPr>
        <w:t>VERWALTUNGS- UND RECHTSAUSSCHUSS</w:t>
      </w:r>
    </w:p>
    <w:p w:rsidR="009F7CE4" w:rsidRPr="000D22CF" w:rsidRDefault="009F7CE4" w:rsidP="009F7CE4">
      <w:pPr>
        <w:spacing w:before="240"/>
        <w:jc w:val="center"/>
        <w:rPr>
          <w:b/>
          <w:bCs/>
          <w:kern w:val="28"/>
          <w:sz w:val="24"/>
          <w:lang w:val="de-DE"/>
        </w:rPr>
      </w:pPr>
      <w:r w:rsidRPr="000D22CF">
        <w:rPr>
          <w:b/>
          <w:bCs/>
          <w:kern w:val="28"/>
          <w:sz w:val="24"/>
          <w:lang w:val="de-DE"/>
        </w:rPr>
        <w:t>Achtundsechzigste Tagung</w:t>
      </w:r>
      <w:r w:rsidRPr="000D22CF">
        <w:rPr>
          <w:b/>
          <w:bCs/>
          <w:kern w:val="28"/>
          <w:sz w:val="24"/>
          <w:lang w:val="de-DE"/>
        </w:rPr>
        <w:br/>
        <w:t>Genf, 21. Oktober 2013</w:t>
      </w:r>
    </w:p>
    <w:p w:rsidR="009F7CE4" w:rsidRPr="000D22CF" w:rsidRDefault="009F7CE4" w:rsidP="009F7CE4">
      <w:pPr>
        <w:spacing w:before="600"/>
        <w:jc w:val="center"/>
        <w:rPr>
          <w:caps/>
          <w:lang w:val="de-DE"/>
        </w:rPr>
      </w:pPr>
      <w:bookmarkStart w:id="3" w:name="TitleOfDoc"/>
      <w:bookmarkEnd w:id="3"/>
      <w:r w:rsidRPr="000D22CF">
        <w:rPr>
          <w:caps/>
          <w:kern w:val="28"/>
          <w:lang w:val="de-DE"/>
        </w:rPr>
        <w:t>Ausarbeitung von Informationsmaterial zum UPOV-Übereinkommen</w:t>
      </w:r>
    </w:p>
    <w:p w:rsidR="009F7CE4" w:rsidRPr="000D22CF" w:rsidRDefault="003B6E70" w:rsidP="009F7CE4">
      <w:pPr>
        <w:spacing w:before="240" w:after="600"/>
        <w:jc w:val="center"/>
        <w:rPr>
          <w:i/>
          <w:lang w:val="de-DE"/>
        </w:rPr>
      </w:pPr>
      <w:bookmarkStart w:id="4" w:name="Prepared"/>
      <w:bookmarkEnd w:id="4"/>
      <w:r w:rsidRPr="000D22CF">
        <w:rPr>
          <w:i/>
          <w:lang w:val="de-DE"/>
        </w:rPr>
        <w:t xml:space="preserve">Vom </w:t>
      </w:r>
      <w:r w:rsidR="009F7CE4" w:rsidRPr="000D22CF">
        <w:rPr>
          <w:i/>
          <w:lang w:val="de-DE"/>
        </w:rPr>
        <w:t>Verbandsbüro erstelltes Dokument</w:t>
      </w:r>
      <w:r w:rsidR="009F7CE4" w:rsidRPr="000D22CF">
        <w:rPr>
          <w:i/>
          <w:lang w:val="de-DE"/>
        </w:rPr>
        <w:br/>
      </w:r>
      <w:r w:rsidR="009F7CE4" w:rsidRPr="000D22CF">
        <w:rPr>
          <w:i/>
          <w:lang w:val="de-DE"/>
        </w:rPr>
        <w:br/>
      </w:r>
      <w:r w:rsidR="009F7CE4" w:rsidRPr="000D22CF">
        <w:rPr>
          <w:i/>
          <w:color w:val="A6A6A6"/>
          <w:lang w:val="de-DE"/>
        </w:rPr>
        <w:t>Haftungsausschluß:  dieses Dokument gibt nicht die Grundsätze oder eine Anleitung der UPOV wieder</w:t>
      </w:r>
    </w:p>
    <w:p w:rsidR="009F7CE4" w:rsidRPr="000D22CF" w:rsidRDefault="009F7CE4" w:rsidP="009F7CE4">
      <w:pPr>
        <w:rPr>
          <w:rFonts w:cs="Arial"/>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Zweck dieses Dokuments ist es, Hintergrundinformation zur Unterstützung des Verwaltungs- und Rechtsausschusses (CAJ) bei seiner Prüfung wichtiger Angelegenheiten auf seiner achtundsechzigsten Tagung zu erteilen und über Angelegenheiten betreffend die Teilnahme von Beobachtern in der Beratungsgruppe des CAJ (CAJ-AG) und über von der CAJ-AG auf ihrer achten Tagung zu prüfende Angelegenheiten zu berichten.</w:t>
      </w:r>
    </w:p>
    <w:p w:rsidR="00205516" w:rsidRPr="000D22CF" w:rsidRDefault="00205516" w:rsidP="00205516">
      <w:pPr>
        <w:rPr>
          <w:rFonts w:cs="Arial"/>
          <w:lang w:val="de-DE"/>
        </w:rPr>
      </w:pPr>
    </w:p>
    <w:p w:rsidR="005718CA" w:rsidRDefault="003B6E70">
      <w:pPr>
        <w:pStyle w:val="TOC1"/>
        <w:rPr>
          <w:rFonts w:asciiTheme="minorHAnsi" w:eastAsiaTheme="minorEastAsia" w:hAnsiTheme="minorHAnsi" w:cstheme="minorBidi"/>
          <w:caps w:val="0"/>
          <w:sz w:val="22"/>
          <w:szCs w:val="22"/>
        </w:rPr>
      </w:pPr>
      <w:r w:rsidRPr="000D22CF">
        <w:rPr>
          <w:rFonts w:eastAsia="Arial Unicode MS" w:cs="Arial"/>
          <w:b/>
          <w:caps w:val="0"/>
          <w:lang w:val="de-DE"/>
        </w:rPr>
        <w:fldChar w:fldCharType="begin"/>
      </w:r>
      <w:r w:rsidRPr="000D22CF">
        <w:rPr>
          <w:rFonts w:eastAsia="Arial Unicode MS" w:cs="Arial"/>
          <w:b/>
          <w:caps w:val="0"/>
          <w:lang w:val="de-DE"/>
        </w:rPr>
        <w:instrText xml:space="preserve"> TOC \o "1-3" \h \z \u </w:instrText>
      </w:r>
      <w:r w:rsidRPr="000D22CF">
        <w:rPr>
          <w:rFonts w:eastAsia="Arial Unicode MS" w:cs="Arial"/>
          <w:b/>
          <w:caps w:val="0"/>
          <w:lang w:val="de-DE"/>
        </w:rPr>
        <w:fldChar w:fldCharType="separate"/>
      </w:r>
      <w:hyperlink w:anchor="_Toc369085539" w:history="1">
        <w:r w:rsidR="005718CA" w:rsidRPr="001F2E5B">
          <w:rPr>
            <w:rStyle w:val="Hyperlink"/>
            <w:lang w:val="de-DE"/>
          </w:rPr>
          <w:t>i.</w:t>
        </w:r>
        <w:r w:rsidR="005718CA">
          <w:rPr>
            <w:rFonts w:asciiTheme="minorHAnsi" w:eastAsiaTheme="minorEastAsia" w:hAnsiTheme="minorHAnsi" w:cstheme="minorBidi"/>
            <w:caps w:val="0"/>
            <w:sz w:val="22"/>
            <w:szCs w:val="22"/>
          </w:rPr>
          <w:tab/>
        </w:r>
        <w:r w:rsidR="005718CA" w:rsidRPr="001F2E5B">
          <w:rPr>
            <w:rStyle w:val="Hyperlink"/>
            <w:lang w:val="de-DE"/>
          </w:rPr>
          <w:t>HINTERGRUND</w:t>
        </w:r>
        <w:r w:rsidR="005718CA">
          <w:rPr>
            <w:webHidden/>
          </w:rPr>
          <w:tab/>
        </w:r>
        <w:r w:rsidR="005718CA">
          <w:rPr>
            <w:webHidden/>
          </w:rPr>
          <w:fldChar w:fldCharType="begin"/>
        </w:r>
        <w:r w:rsidR="005718CA">
          <w:rPr>
            <w:webHidden/>
          </w:rPr>
          <w:instrText xml:space="preserve"> PAGEREF _Toc369085539 \h </w:instrText>
        </w:r>
        <w:r w:rsidR="005718CA">
          <w:rPr>
            <w:webHidden/>
          </w:rPr>
        </w:r>
        <w:r w:rsidR="005718CA">
          <w:rPr>
            <w:webHidden/>
          </w:rPr>
          <w:fldChar w:fldCharType="separate"/>
        </w:r>
        <w:r w:rsidR="00E77BAB">
          <w:rPr>
            <w:webHidden/>
          </w:rPr>
          <w:t>1</w:t>
        </w:r>
        <w:r w:rsidR="005718CA">
          <w:rPr>
            <w:webHidden/>
          </w:rPr>
          <w:fldChar w:fldCharType="end"/>
        </w:r>
      </w:hyperlink>
    </w:p>
    <w:p w:rsidR="005718CA" w:rsidRDefault="00E77BAB">
      <w:pPr>
        <w:pStyle w:val="TOC1"/>
        <w:rPr>
          <w:rFonts w:asciiTheme="minorHAnsi" w:eastAsiaTheme="minorEastAsia" w:hAnsiTheme="minorHAnsi" w:cstheme="minorBidi"/>
          <w:caps w:val="0"/>
          <w:sz w:val="22"/>
          <w:szCs w:val="22"/>
        </w:rPr>
      </w:pPr>
      <w:hyperlink w:anchor="_Toc369085540" w:history="1">
        <w:r w:rsidR="005718CA" w:rsidRPr="001F2E5B">
          <w:rPr>
            <w:rStyle w:val="Hyperlink"/>
            <w:lang w:val="de-DE"/>
          </w:rPr>
          <w:t>II.</w:t>
        </w:r>
        <w:r w:rsidR="005718CA">
          <w:rPr>
            <w:rFonts w:asciiTheme="minorHAnsi" w:eastAsiaTheme="minorEastAsia" w:hAnsiTheme="minorHAnsi" w:cstheme="minorBidi"/>
            <w:caps w:val="0"/>
            <w:sz w:val="22"/>
            <w:szCs w:val="22"/>
          </w:rPr>
          <w:tab/>
        </w:r>
        <w:r w:rsidR="005718CA" w:rsidRPr="001F2E5B">
          <w:rPr>
            <w:rStyle w:val="Hyperlink"/>
            <w:lang w:val="de-DE"/>
          </w:rPr>
          <w:t>ÜBERBLICK ÜBER DIE ENTWICKLUNG VON INFORMATIONSMATERIAL</w:t>
        </w:r>
        <w:r w:rsidR="005718CA">
          <w:rPr>
            <w:webHidden/>
          </w:rPr>
          <w:tab/>
        </w:r>
        <w:r w:rsidR="005718CA">
          <w:rPr>
            <w:webHidden/>
          </w:rPr>
          <w:fldChar w:fldCharType="begin"/>
        </w:r>
        <w:r w:rsidR="005718CA">
          <w:rPr>
            <w:webHidden/>
          </w:rPr>
          <w:instrText xml:space="preserve"> PAGEREF _Toc369085540 \h </w:instrText>
        </w:r>
        <w:r w:rsidR="005718CA">
          <w:rPr>
            <w:webHidden/>
          </w:rPr>
        </w:r>
        <w:r w:rsidR="005718CA">
          <w:rPr>
            <w:webHidden/>
          </w:rPr>
          <w:fldChar w:fldCharType="separate"/>
        </w:r>
        <w:r>
          <w:rPr>
            <w:webHidden/>
          </w:rPr>
          <w:t>2</w:t>
        </w:r>
        <w:r w:rsidR="005718CA">
          <w:rPr>
            <w:webHidden/>
          </w:rPr>
          <w:fldChar w:fldCharType="end"/>
        </w:r>
      </w:hyperlink>
    </w:p>
    <w:p w:rsidR="005718CA" w:rsidRDefault="00E77BAB">
      <w:pPr>
        <w:pStyle w:val="TOC1"/>
        <w:rPr>
          <w:rFonts w:asciiTheme="minorHAnsi" w:eastAsiaTheme="minorEastAsia" w:hAnsiTheme="minorHAnsi" w:cstheme="minorBidi"/>
          <w:caps w:val="0"/>
          <w:sz w:val="22"/>
          <w:szCs w:val="22"/>
        </w:rPr>
      </w:pPr>
      <w:hyperlink w:anchor="_Toc369085541" w:history="1">
        <w:r w:rsidR="005718CA" w:rsidRPr="001F2E5B">
          <w:rPr>
            <w:rStyle w:val="Hyperlink"/>
            <w:lang w:val="de-DE"/>
          </w:rPr>
          <w:t>III.</w:t>
        </w:r>
        <w:r w:rsidR="005718CA">
          <w:rPr>
            <w:rFonts w:asciiTheme="minorHAnsi" w:eastAsiaTheme="minorEastAsia" w:hAnsiTheme="minorHAnsi" w:cstheme="minorBidi"/>
            <w:caps w:val="0"/>
            <w:sz w:val="22"/>
            <w:szCs w:val="22"/>
          </w:rPr>
          <w:tab/>
        </w:r>
        <w:r w:rsidR="005718CA" w:rsidRPr="001F2E5B">
          <w:rPr>
            <w:rStyle w:val="Hyperlink"/>
            <w:lang w:val="de-DE"/>
          </w:rPr>
          <w:t>ANGELEGENHEITEN, DIE VOM VERWALTUNGS- UND RECHTSAUSSCHUSS BEI SEINER ACHTUNDSECHZIGSTEN TAGUNG ZU PRÜFEN SIND</w:t>
        </w:r>
        <w:r w:rsidR="005718CA">
          <w:rPr>
            <w:webHidden/>
          </w:rPr>
          <w:tab/>
        </w:r>
        <w:r w:rsidR="005718CA">
          <w:rPr>
            <w:webHidden/>
          </w:rPr>
          <w:fldChar w:fldCharType="begin"/>
        </w:r>
        <w:r w:rsidR="005718CA">
          <w:rPr>
            <w:webHidden/>
          </w:rPr>
          <w:instrText xml:space="preserve"> PAGEREF _Toc369085541 \h </w:instrText>
        </w:r>
        <w:r w:rsidR="005718CA">
          <w:rPr>
            <w:webHidden/>
          </w:rPr>
        </w:r>
        <w:r w:rsidR="005718CA">
          <w:rPr>
            <w:webHidden/>
          </w:rPr>
          <w:fldChar w:fldCharType="separate"/>
        </w:r>
        <w:r>
          <w:rPr>
            <w:webHidden/>
          </w:rPr>
          <w:t>2</w:t>
        </w:r>
        <w:r w:rsidR="005718CA">
          <w:rPr>
            <w:webHidden/>
          </w:rPr>
          <w:fldChar w:fldCharType="end"/>
        </w:r>
      </w:hyperlink>
    </w:p>
    <w:p w:rsidR="005718CA" w:rsidRDefault="00E77BAB">
      <w:pPr>
        <w:pStyle w:val="TOC2"/>
        <w:tabs>
          <w:tab w:val="left" w:pos="851"/>
        </w:tabs>
        <w:rPr>
          <w:rFonts w:asciiTheme="minorHAnsi" w:eastAsiaTheme="minorEastAsia" w:hAnsiTheme="minorHAnsi" w:cstheme="minorBidi"/>
          <w:sz w:val="22"/>
          <w:szCs w:val="22"/>
        </w:rPr>
      </w:pPr>
      <w:hyperlink w:anchor="_Toc369085542" w:history="1">
        <w:r w:rsidR="005718CA" w:rsidRPr="001F2E5B">
          <w:rPr>
            <w:rStyle w:val="Hyperlink"/>
            <w:lang w:val="de-DE"/>
          </w:rPr>
          <w:t>a)</w:t>
        </w:r>
        <w:r w:rsidR="005718CA">
          <w:rPr>
            <w:rFonts w:asciiTheme="minorHAnsi" w:eastAsiaTheme="minorEastAsia" w:hAnsiTheme="minorHAnsi" w:cstheme="minorBidi"/>
            <w:sz w:val="22"/>
            <w:szCs w:val="22"/>
          </w:rPr>
          <w:tab/>
        </w:r>
        <w:r w:rsidR="005718CA" w:rsidRPr="001F2E5B">
          <w:rPr>
            <w:rStyle w:val="Hyperlink"/>
            <w:lang w:val="de-DE"/>
          </w:rPr>
          <w:t>Erläuterungen zu Handlungen in bezug auf Erntegut nach der Akte von 1991 des UPOV-Übereinkommens</w:t>
        </w:r>
        <w:r w:rsidR="005718CA">
          <w:rPr>
            <w:webHidden/>
          </w:rPr>
          <w:tab/>
        </w:r>
        <w:r w:rsidR="005718CA">
          <w:rPr>
            <w:webHidden/>
          </w:rPr>
          <w:fldChar w:fldCharType="begin"/>
        </w:r>
        <w:r w:rsidR="005718CA">
          <w:rPr>
            <w:webHidden/>
          </w:rPr>
          <w:instrText xml:space="preserve"> PAGEREF _Toc369085542 \h </w:instrText>
        </w:r>
        <w:r w:rsidR="005718CA">
          <w:rPr>
            <w:webHidden/>
          </w:rPr>
        </w:r>
        <w:r w:rsidR="005718CA">
          <w:rPr>
            <w:webHidden/>
          </w:rPr>
          <w:fldChar w:fldCharType="separate"/>
        </w:r>
        <w:r>
          <w:rPr>
            <w:webHidden/>
          </w:rPr>
          <w:t>2</w:t>
        </w:r>
        <w:r w:rsidR="005718CA">
          <w:rPr>
            <w:webHidden/>
          </w:rPr>
          <w:fldChar w:fldCharType="end"/>
        </w:r>
      </w:hyperlink>
    </w:p>
    <w:p w:rsidR="005718CA" w:rsidRDefault="00E77BAB">
      <w:pPr>
        <w:pStyle w:val="TOC3"/>
        <w:rPr>
          <w:rFonts w:asciiTheme="minorHAnsi" w:eastAsiaTheme="minorEastAsia" w:hAnsiTheme="minorHAnsi" w:cstheme="minorBidi"/>
          <w:i w:val="0"/>
          <w:sz w:val="22"/>
          <w:szCs w:val="22"/>
          <w:lang w:val="en-US"/>
        </w:rPr>
      </w:pPr>
      <w:hyperlink w:anchor="_Toc369085543" w:history="1">
        <w:r w:rsidR="005718CA" w:rsidRPr="001F2E5B">
          <w:rPr>
            <w:rStyle w:val="Hyperlink"/>
            <w:lang w:val="de-DE"/>
          </w:rPr>
          <w:t>Erläuterungen zu Handlungen in bezug auf Erntegut nach der Akte von 1991 des UPOV-Übereinkommens (Dokument UPOV/EXN/HRV Draft 10)</w:t>
        </w:r>
        <w:r w:rsidR="005718CA">
          <w:rPr>
            <w:webHidden/>
          </w:rPr>
          <w:tab/>
        </w:r>
        <w:r w:rsidR="005718CA">
          <w:rPr>
            <w:webHidden/>
          </w:rPr>
          <w:fldChar w:fldCharType="begin"/>
        </w:r>
        <w:r w:rsidR="005718CA">
          <w:rPr>
            <w:webHidden/>
          </w:rPr>
          <w:instrText xml:space="preserve"> PAGEREF _Toc369085543 \h </w:instrText>
        </w:r>
        <w:r w:rsidR="005718CA">
          <w:rPr>
            <w:webHidden/>
          </w:rPr>
        </w:r>
        <w:r w:rsidR="005718CA">
          <w:rPr>
            <w:webHidden/>
          </w:rPr>
          <w:fldChar w:fldCharType="separate"/>
        </w:r>
        <w:r>
          <w:rPr>
            <w:webHidden/>
          </w:rPr>
          <w:t>2</w:t>
        </w:r>
        <w:r w:rsidR="005718CA">
          <w:rPr>
            <w:webHidden/>
          </w:rPr>
          <w:fldChar w:fldCharType="end"/>
        </w:r>
      </w:hyperlink>
    </w:p>
    <w:p w:rsidR="005718CA" w:rsidRDefault="00E77BAB">
      <w:pPr>
        <w:pStyle w:val="TOC3"/>
        <w:rPr>
          <w:rFonts w:asciiTheme="minorHAnsi" w:eastAsiaTheme="minorEastAsia" w:hAnsiTheme="minorHAnsi" w:cstheme="minorBidi"/>
          <w:i w:val="0"/>
          <w:sz w:val="22"/>
          <w:szCs w:val="22"/>
          <w:lang w:val="en-US"/>
        </w:rPr>
      </w:pPr>
      <w:hyperlink w:anchor="_Toc369085544" w:history="1">
        <w:r w:rsidR="005718CA" w:rsidRPr="001F2E5B">
          <w:rPr>
            <w:rStyle w:val="Hyperlink"/>
            <w:lang w:val="de-DE"/>
          </w:rPr>
          <w:t>Künftige Arbeiten betreffend die Erläuterungen zu Handlungen in bezug auf Erntegut</w:t>
        </w:r>
        <w:r w:rsidR="005718CA">
          <w:rPr>
            <w:webHidden/>
          </w:rPr>
          <w:tab/>
        </w:r>
        <w:r w:rsidR="005718CA">
          <w:rPr>
            <w:webHidden/>
          </w:rPr>
          <w:fldChar w:fldCharType="begin"/>
        </w:r>
        <w:r w:rsidR="005718CA">
          <w:rPr>
            <w:webHidden/>
          </w:rPr>
          <w:instrText xml:space="preserve"> PAGEREF _Toc369085544 \h </w:instrText>
        </w:r>
        <w:r w:rsidR="005718CA">
          <w:rPr>
            <w:webHidden/>
          </w:rPr>
        </w:r>
        <w:r w:rsidR="005718CA">
          <w:rPr>
            <w:webHidden/>
          </w:rPr>
          <w:fldChar w:fldCharType="separate"/>
        </w:r>
        <w:r>
          <w:rPr>
            <w:webHidden/>
          </w:rPr>
          <w:t>3</w:t>
        </w:r>
        <w:r w:rsidR="005718CA">
          <w:rPr>
            <w:webHidden/>
          </w:rPr>
          <w:fldChar w:fldCharType="end"/>
        </w:r>
      </w:hyperlink>
    </w:p>
    <w:p w:rsidR="005718CA" w:rsidRDefault="00E77BAB">
      <w:pPr>
        <w:pStyle w:val="TOC2"/>
        <w:tabs>
          <w:tab w:val="left" w:pos="851"/>
        </w:tabs>
        <w:rPr>
          <w:rFonts w:asciiTheme="minorHAnsi" w:eastAsiaTheme="minorEastAsia" w:hAnsiTheme="minorHAnsi" w:cstheme="minorBidi"/>
          <w:sz w:val="22"/>
          <w:szCs w:val="22"/>
        </w:rPr>
      </w:pPr>
      <w:hyperlink w:anchor="_Toc369085545" w:history="1">
        <w:r w:rsidR="005718CA" w:rsidRPr="001F2E5B">
          <w:rPr>
            <w:rStyle w:val="Hyperlink"/>
            <w:lang w:val="de-DE"/>
          </w:rPr>
          <w:t>b)</w:t>
        </w:r>
        <w:r w:rsidR="005718CA">
          <w:rPr>
            <w:rFonts w:asciiTheme="minorHAnsi" w:eastAsiaTheme="minorEastAsia" w:hAnsiTheme="minorHAnsi" w:cstheme="minorBidi"/>
            <w:sz w:val="22"/>
            <w:szCs w:val="22"/>
          </w:rPr>
          <w:tab/>
        </w:r>
        <w:r w:rsidR="005718CA" w:rsidRPr="001F2E5B">
          <w:rPr>
            <w:rStyle w:val="Hyperlink"/>
            <w:lang w:val="de-DE"/>
          </w:rPr>
          <w:t>Seminar über im wesentlichen abgeleitete Sorten nach der Akte von 1991 des UPOV Übereinkommens (Überarbeitung)</w:t>
        </w:r>
        <w:r w:rsidR="005718CA">
          <w:rPr>
            <w:webHidden/>
          </w:rPr>
          <w:tab/>
        </w:r>
        <w:r w:rsidR="005718CA">
          <w:rPr>
            <w:webHidden/>
          </w:rPr>
          <w:fldChar w:fldCharType="begin"/>
        </w:r>
        <w:r w:rsidR="005718CA">
          <w:rPr>
            <w:webHidden/>
          </w:rPr>
          <w:instrText xml:space="preserve"> PAGEREF _Toc369085545 \h </w:instrText>
        </w:r>
        <w:r w:rsidR="005718CA">
          <w:rPr>
            <w:webHidden/>
          </w:rPr>
        </w:r>
        <w:r w:rsidR="005718CA">
          <w:rPr>
            <w:webHidden/>
          </w:rPr>
          <w:fldChar w:fldCharType="separate"/>
        </w:r>
        <w:r>
          <w:rPr>
            <w:webHidden/>
          </w:rPr>
          <w:t>3</w:t>
        </w:r>
        <w:r w:rsidR="005718CA">
          <w:rPr>
            <w:webHidden/>
          </w:rPr>
          <w:fldChar w:fldCharType="end"/>
        </w:r>
      </w:hyperlink>
    </w:p>
    <w:p w:rsidR="005718CA" w:rsidRDefault="00E77BAB">
      <w:pPr>
        <w:pStyle w:val="TOC1"/>
        <w:rPr>
          <w:rFonts w:asciiTheme="minorHAnsi" w:eastAsiaTheme="minorEastAsia" w:hAnsiTheme="minorHAnsi" w:cstheme="minorBidi"/>
          <w:caps w:val="0"/>
          <w:sz w:val="22"/>
          <w:szCs w:val="22"/>
        </w:rPr>
      </w:pPr>
      <w:hyperlink w:anchor="_Toc369085546" w:history="1">
        <w:r w:rsidR="005718CA" w:rsidRPr="001F2E5B">
          <w:rPr>
            <w:rStyle w:val="Hyperlink"/>
            <w:lang w:val="de-DE"/>
          </w:rPr>
          <w:t>IV.</w:t>
        </w:r>
        <w:r w:rsidR="005718CA">
          <w:rPr>
            <w:rFonts w:asciiTheme="minorHAnsi" w:eastAsiaTheme="minorEastAsia" w:hAnsiTheme="minorHAnsi" w:cstheme="minorBidi"/>
            <w:caps w:val="0"/>
            <w:sz w:val="22"/>
            <w:szCs w:val="22"/>
          </w:rPr>
          <w:tab/>
        </w:r>
        <w:r w:rsidR="005718CA" w:rsidRPr="001F2E5B">
          <w:rPr>
            <w:rStyle w:val="Hyperlink"/>
            <w:lang w:val="de-DE"/>
          </w:rPr>
          <w:t>TEILNAHME VON BEOBACHTERN AN DER CAJ-AG</w:t>
        </w:r>
        <w:r w:rsidR="005718CA">
          <w:rPr>
            <w:webHidden/>
          </w:rPr>
          <w:tab/>
        </w:r>
        <w:r w:rsidR="005718CA">
          <w:rPr>
            <w:webHidden/>
          </w:rPr>
          <w:fldChar w:fldCharType="begin"/>
        </w:r>
        <w:r w:rsidR="005718CA">
          <w:rPr>
            <w:webHidden/>
          </w:rPr>
          <w:instrText xml:space="preserve"> PAGEREF _Toc369085546 \h </w:instrText>
        </w:r>
        <w:r w:rsidR="005718CA">
          <w:rPr>
            <w:webHidden/>
          </w:rPr>
        </w:r>
        <w:r w:rsidR="005718CA">
          <w:rPr>
            <w:webHidden/>
          </w:rPr>
          <w:fldChar w:fldCharType="separate"/>
        </w:r>
        <w:r>
          <w:rPr>
            <w:webHidden/>
          </w:rPr>
          <w:t>4</w:t>
        </w:r>
        <w:r w:rsidR="005718CA">
          <w:rPr>
            <w:webHidden/>
          </w:rPr>
          <w:fldChar w:fldCharType="end"/>
        </w:r>
      </w:hyperlink>
    </w:p>
    <w:p w:rsidR="005718CA" w:rsidRDefault="00E77BAB">
      <w:pPr>
        <w:pStyle w:val="TOC1"/>
        <w:rPr>
          <w:rFonts w:asciiTheme="minorHAnsi" w:eastAsiaTheme="minorEastAsia" w:hAnsiTheme="minorHAnsi" w:cstheme="minorBidi"/>
          <w:caps w:val="0"/>
          <w:sz w:val="22"/>
          <w:szCs w:val="22"/>
        </w:rPr>
      </w:pPr>
      <w:hyperlink w:anchor="_Toc369085547" w:history="1">
        <w:r w:rsidR="005718CA" w:rsidRPr="001F2E5B">
          <w:rPr>
            <w:rStyle w:val="Hyperlink"/>
            <w:lang w:val="de-DE"/>
          </w:rPr>
          <w:t>V.</w:t>
        </w:r>
        <w:r w:rsidR="005718CA">
          <w:rPr>
            <w:rFonts w:asciiTheme="minorHAnsi" w:eastAsiaTheme="minorEastAsia" w:hAnsiTheme="minorHAnsi" w:cstheme="minorBidi"/>
            <w:caps w:val="0"/>
            <w:sz w:val="22"/>
            <w:szCs w:val="22"/>
          </w:rPr>
          <w:tab/>
        </w:r>
        <w:r w:rsidR="005718CA" w:rsidRPr="001F2E5B">
          <w:rPr>
            <w:rStyle w:val="Hyperlink"/>
            <w:lang w:val="de-DE"/>
          </w:rPr>
          <w:t>Von der CAJ-AG auf ihrer achten Tagung ZU PRÜFENDE ANGELEGENHEITEN</w:t>
        </w:r>
        <w:r w:rsidR="005718CA">
          <w:rPr>
            <w:webHidden/>
          </w:rPr>
          <w:tab/>
        </w:r>
        <w:r w:rsidR="005718CA">
          <w:rPr>
            <w:webHidden/>
          </w:rPr>
          <w:fldChar w:fldCharType="begin"/>
        </w:r>
        <w:r w:rsidR="005718CA">
          <w:rPr>
            <w:webHidden/>
          </w:rPr>
          <w:instrText xml:space="preserve"> PAGEREF _Toc369085547 \h </w:instrText>
        </w:r>
        <w:r w:rsidR="005718CA">
          <w:rPr>
            <w:webHidden/>
          </w:rPr>
        </w:r>
        <w:r w:rsidR="005718CA">
          <w:rPr>
            <w:webHidden/>
          </w:rPr>
          <w:fldChar w:fldCharType="separate"/>
        </w:r>
        <w:r>
          <w:rPr>
            <w:webHidden/>
          </w:rPr>
          <w:t>5</w:t>
        </w:r>
        <w:r w:rsidR="005718CA">
          <w:rPr>
            <w:webHidden/>
          </w:rPr>
          <w:fldChar w:fldCharType="end"/>
        </w:r>
      </w:hyperlink>
    </w:p>
    <w:p w:rsidR="00205516" w:rsidRPr="000D22CF" w:rsidRDefault="003B6E70" w:rsidP="00205516">
      <w:pPr>
        <w:tabs>
          <w:tab w:val="left" w:pos="567"/>
        </w:tabs>
        <w:rPr>
          <w:rFonts w:eastAsia="Arial Unicode MS" w:cs="Arial"/>
          <w:b/>
          <w:bCs/>
          <w:caps/>
          <w:lang w:val="de-DE"/>
        </w:rPr>
      </w:pPr>
      <w:r w:rsidRPr="000D22CF">
        <w:rPr>
          <w:rFonts w:eastAsia="Arial Unicode MS" w:cs="Arial"/>
          <w:b/>
          <w:caps/>
          <w:noProof/>
          <w:lang w:val="de-DE"/>
        </w:rPr>
        <w:fldChar w:fldCharType="end"/>
      </w:r>
    </w:p>
    <w:p w:rsidR="000816F2" w:rsidRPr="000D22CF" w:rsidRDefault="000816F2" w:rsidP="00205516">
      <w:pPr>
        <w:tabs>
          <w:tab w:val="left" w:pos="567"/>
        </w:tabs>
        <w:rPr>
          <w:rFonts w:eastAsia="Arial Unicode MS" w:cs="Arial"/>
          <w:b/>
          <w:bCs/>
          <w:caps/>
          <w:lang w:val="de-DE"/>
        </w:rPr>
      </w:pPr>
    </w:p>
    <w:p w:rsidR="000816F2" w:rsidRPr="000D22CF" w:rsidRDefault="000816F2" w:rsidP="00205516">
      <w:pPr>
        <w:tabs>
          <w:tab w:val="left" w:pos="567"/>
        </w:tabs>
        <w:rPr>
          <w:rFonts w:eastAsia="Arial Unicode MS" w:cs="Arial"/>
          <w:b/>
          <w:bCs/>
          <w:caps/>
          <w:lang w:val="de-DE"/>
        </w:rPr>
      </w:pPr>
    </w:p>
    <w:p w:rsidR="009F7CE4" w:rsidRPr="000D22CF" w:rsidRDefault="00205516" w:rsidP="009F7CE4">
      <w:pPr>
        <w:pStyle w:val="Heading1"/>
        <w:rPr>
          <w:lang w:val="de-DE"/>
        </w:rPr>
      </w:pPr>
      <w:bookmarkStart w:id="5" w:name="_Toc369085539"/>
      <w:r w:rsidRPr="000D22CF">
        <w:rPr>
          <w:lang w:val="de-DE"/>
        </w:rPr>
        <w:t>i.</w:t>
      </w:r>
      <w:r w:rsidRPr="000D22CF">
        <w:rPr>
          <w:lang w:val="de-DE"/>
        </w:rPr>
        <w:tab/>
      </w:r>
      <w:r w:rsidR="009F7CE4" w:rsidRPr="000D22CF">
        <w:rPr>
          <w:lang w:val="de-DE"/>
        </w:rPr>
        <w:t>HINTERGRUND</w:t>
      </w:r>
      <w:bookmarkEnd w:id="5"/>
    </w:p>
    <w:p w:rsidR="009F7CE4" w:rsidRPr="000D22CF" w:rsidRDefault="009F7CE4" w:rsidP="009F7CE4">
      <w:pPr>
        <w:keepNext/>
        <w:rPr>
          <w:rFonts w:cs="Arial"/>
          <w:lang w:val="de-DE"/>
        </w:rPr>
      </w:pPr>
    </w:p>
    <w:p w:rsidR="009F7CE4" w:rsidRPr="000D22CF" w:rsidRDefault="009F7CE4" w:rsidP="009F7CE4">
      <w:pPr>
        <w:rPr>
          <w:spacing w:val="-2"/>
          <w:lang w:val="de-DE"/>
        </w:rPr>
      </w:pPr>
      <w:r w:rsidRPr="000D22CF">
        <w:rPr>
          <w:spacing w:val="-2"/>
          <w:lang w:val="de-DE"/>
        </w:rPr>
        <w:fldChar w:fldCharType="begin"/>
      </w:r>
      <w:r w:rsidRPr="000D22CF">
        <w:rPr>
          <w:spacing w:val="-2"/>
          <w:lang w:val="de-DE"/>
        </w:rPr>
        <w:instrText xml:space="preserve"> AUTONUM  </w:instrText>
      </w:r>
      <w:r w:rsidRPr="000D22CF">
        <w:rPr>
          <w:spacing w:val="-2"/>
          <w:lang w:val="de-DE"/>
        </w:rPr>
        <w:fldChar w:fldCharType="end"/>
      </w:r>
      <w:r w:rsidRPr="000D22CF">
        <w:rPr>
          <w:spacing w:val="-2"/>
          <w:lang w:val="de-DE"/>
        </w:rPr>
        <w:tab/>
        <w:t>Der CAJ vereinbarte auf seiner zweiundfünfzigsten Tagung vom 24. Oktober 2005 in Genf ein Vorgehen zur Erstellung von Informationsmaterial zum UPOV-Übereinkommen, wie in Dokument CAJ/52/4, Absätze 8 bis 10 dargelegt. Er vereinbarte auch die Einsetzung einer Beratungsgruppe des CAJ (CAJ-AG) zur Unterstützung bei der Ausarbeitung von Dokumenten im Zusammenhang mit diesem Material, wie in den Absätzen 11 bis 14 des Dokuments CAJ/52/4 erläutert (vergleiche Dokum</w:t>
      </w:r>
      <w:r w:rsidR="00347BED" w:rsidRPr="000D22CF">
        <w:rPr>
          <w:spacing w:val="-2"/>
          <w:lang w:val="de-DE"/>
        </w:rPr>
        <w:t>ent CAJ/52/5, „Bericht“, Absatz </w:t>
      </w:r>
      <w:r w:rsidRPr="000D22CF">
        <w:rPr>
          <w:spacing w:val="-2"/>
          <w:lang w:val="de-DE"/>
        </w:rPr>
        <w:t>67).</w:t>
      </w:r>
    </w:p>
    <w:p w:rsidR="009F7CE4" w:rsidRPr="000D22CF" w:rsidRDefault="009F7CE4" w:rsidP="009F7CE4">
      <w:pPr>
        <w:rPr>
          <w:lang w:val="de-DE"/>
        </w:rPr>
      </w:pPr>
    </w:p>
    <w:p w:rsidR="009F7CE4" w:rsidRPr="000D22CF" w:rsidRDefault="009F7CE4" w:rsidP="009F7CE4">
      <w:pPr>
        <w:rPr>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 xml:space="preserve">Das vereinbarte Vorgehen wird wie folgt zusammengefaßt: Das Verbandsbüro wird bestimmte Entwürfe von Material ausarbeiten, die seines Erachtens unkomplizierte Aspekte erfassen, und diese an den </w:t>
      </w:r>
      <w:r w:rsidRPr="000D22CF">
        <w:rPr>
          <w:lang w:val="de-DE"/>
        </w:rPr>
        <w:lastRenderedPageBreak/>
        <w:t xml:space="preserve">CAJ verbreiten, der innerhalb einer festgelegten Frist seine Bemerkungen abgibt. Es wurde vereinbart, daß in anderen Fällen, in denen die Ansicht herrscht, daß es sich um schwierige Themen handelt, für die zur Ausarbeitung von geeignetem Material Erörterungen auf einer Tagung des CAJ wichtig wären, sowie in Fällen, in denen Entwürfe anscheinend unkomplizierten Materials unerwartete Bedenken wecken, nachdem sie im Hinblick auf Bemerkungen verbreitet wurden, die Beratung der CAJ-AG einzuholen ist, bevor der CAJ ersucht wird, diese Angelegenheiten auf seinen Tagungen zu erörtern. </w:t>
      </w:r>
    </w:p>
    <w:p w:rsidR="009F7CE4" w:rsidRPr="000D22CF" w:rsidRDefault="009F7CE4" w:rsidP="009F7CE4">
      <w:pPr>
        <w:rPr>
          <w:lang w:val="de-DE"/>
        </w:rPr>
      </w:pPr>
    </w:p>
    <w:p w:rsidR="009F7CE4" w:rsidRPr="000D22CF" w:rsidRDefault="009F7CE4" w:rsidP="009F7CE4">
      <w:pPr>
        <w:rPr>
          <w:lang w:val="de-DE"/>
        </w:rPr>
      </w:pPr>
    </w:p>
    <w:p w:rsidR="00864E1B" w:rsidRPr="000D22CF" w:rsidRDefault="00864E1B" w:rsidP="009F7CE4">
      <w:pPr>
        <w:rPr>
          <w:lang w:val="de-DE"/>
        </w:rPr>
      </w:pPr>
    </w:p>
    <w:p w:rsidR="009F7CE4" w:rsidRPr="000D22CF" w:rsidRDefault="009F7CE4" w:rsidP="009F7CE4">
      <w:pPr>
        <w:keepNext/>
        <w:outlineLvl w:val="0"/>
        <w:rPr>
          <w:caps/>
          <w:lang w:val="de-DE"/>
        </w:rPr>
      </w:pPr>
      <w:bookmarkStart w:id="6" w:name="_Toc369085540"/>
      <w:r w:rsidRPr="000D22CF">
        <w:rPr>
          <w:caps/>
          <w:lang w:val="de-DE"/>
        </w:rPr>
        <w:t>II.</w:t>
      </w:r>
      <w:r w:rsidRPr="000D22CF">
        <w:rPr>
          <w:caps/>
          <w:lang w:val="de-DE"/>
        </w:rPr>
        <w:tab/>
        <w:t>ÜBERBLICK ÜBER DIE ENTWICKLUNG VON INFORMATIONSMATERIAL</w:t>
      </w:r>
      <w:bookmarkEnd w:id="6"/>
    </w:p>
    <w:p w:rsidR="009F7CE4" w:rsidRPr="000D22CF" w:rsidRDefault="009F7CE4" w:rsidP="009F7CE4">
      <w:pPr>
        <w:keepNext/>
        <w:rPr>
          <w:rFonts w:cs="Arial"/>
          <w:lang w:val="de-DE"/>
        </w:rPr>
      </w:pPr>
    </w:p>
    <w:p w:rsidR="009F7CE4" w:rsidRPr="000D22CF" w:rsidRDefault="009F7CE4" w:rsidP="009F7CE4">
      <w:pPr>
        <w:rPr>
          <w:rFonts w:cs="Arial"/>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 xml:space="preserve">Ein Überblick über den Entwicklungsstand des Informationsmaterials ist in der Anlage dieses Dokuments wiedergegeben. </w:t>
      </w:r>
    </w:p>
    <w:p w:rsidR="009F7CE4" w:rsidRPr="000D22CF" w:rsidRDefault="009F7CE4" w:rsidP="009F7CE4">
      <w:pPr>
        <w:rPr>
          <w:rFonts w:cs="Arial"/>
          <w:lang w:val="de-DE"/>
        </w:rPr>
      </w:pPr>
    </w:p>
    <w:p w:rsidR="009F7CE4" w:rsidRPr="000D22CF" w:rsidRDefault="009F7CE4" w:rsidP="009F7CE4">
      <w:pPr>
        <w:rPr>
          <w:rFonts w:cs="Arial"/>
          <w:lang w:val="de-DE"/>
        </w:rPr>
      </w:pPr>
    </w:p>
    <w:p w:rsidR="00864E1B" w:rsidRPr="000D22CF" w:rsidRDefault="00864E1B" w:rsidP="009F7CE4">
      <w:pPr>
        <w:rPr>
          <w:rFonts w:cs="Arial"/>
          <w:lang w:val="de-DE"/>
        </w:rPr>
      </w:pPr>
    </w:p>
    <w:p w:rsidR="009F7CE4" w:rsidRPr="000D22CF" w:rsidRDefault="00347BED" w:rsidP="009F7CE4">
      <w:pPr>
        <w:keepNext/>
        <w:ind w:left="567" w:hanging="567"/>
        <w:outlineLvl w:val="0"/>
        <w:rPr>
          <w:caps/>
          <w:color w:val="000000"/>
          <w:lang w:val="de-DE"/>
        </w:rPr>
      </w:pPr>
      <w:bookmarkStart w:id="7" w:name="_Toc369085541"/>
      <w:r w:rsidRPr="000D22CF">
        <w:rPr>
          <w:caps/>
          <w:lang w:val="de-DE"/>
        </w:rPr>
        <w:t>II</w:t>
      </w:r>
      <w:r w:rsidR="009F7CE4" w:rsidRPr="000D22CF">
        <w:rPr>
          <w:caps/>
          <w:lang w:val="de-DE"/>
        </w:rPr>
        <w:t>I.</w:t>
      </w:r>
      <w:r w:rsidR="009F7CE4" w:rsidRPr="000D22CF">
        <w:rPr>
          <w:caps/>
          <w:lang w:val="de-DE"/>
        </w:rPr>
        <w:tab/>
        <w:t xml:space="preserve">ANGELEGENHEITEN, DIE VOM </w:t>
      </w:r>
      <w:r w:rsidR="009F7CE4" w:rsidRPr="000D22CF">
        <w:rPr>
          <w:caps/>
          <w:color w:val="000000"/>
          <w:lang w:val="de-DE"/>
        </w:rPr>
        <w:t>VERWALTUNGS- UND RECHTSAUSSCHUSS BEI SEINER ACHTUNDSECHZIGSTEN TAGUNG ZU PRÜFEN SIND</w:t>
      </w:r>
      <w:bookmarkEnd w:id="7"/>
    </w:p>
    <w:p w:rsidR="009F7CE4" w:rsidRPr="000D22CF" w:rsidRDefault="009F7CE4" w:rsidP="009F7CE4">
      <w:pPr>
        <w:rPr>
          <w:lang w:val="de-DE"/>
        </w:rPr>
      </w:pPr>
    </w:p>
    <w:p w:rsidR="009F7CE4" w:rsidRPr="000D22CF" w:rsidRDefault="009F7CE4" w:rsidP="00347BED">
      <w:pPr>
        <w:keepNext/>
        <w:ind w:left="567" w:hanging="567"/>
        <w:outlineLvl w:val="1"/>
        <w:rPr>
          <w:u w:val="single"/>
          <w:lang w:val="de-DE"/>
        </w:rPr>
      </w:pPr>
      <w:bookmarkStart w:id="8" w:name="_Toc369085542"/>
      <w:r w:rsidRPr="000D22CF">
        <w:rPr>
          <w:lang w:val="de-DE"/>
        </w:rPr>
        <w:t>a)</w:t>
      </w:r>
      <w:r w:rsidRPr="000D22CF">
        <w:rPr>
          <w:lang w:val="de-DE"/>
        </w:rPr>
        <w:tab/>
      </w:r>
      <w:r w:rsidRPr="000D22CF">
        <w:rPr>
          <w:u w:val="single"/>
          <w:lang w:val="de-DE"/>
        </w:rPr>
        <w:t>Erläuterungen zu Handlungen in bezug auf Erntegut nach der Akte von 1991 des UPOV-Übereinkommens</w:t>
      </w:r>
      <w:bookmarkEnd w:id="8"/>
    </w:p>
    <w:p w:rsidR="009F7CE4" w:rsidRPr="000D22CF" w:rsidRDefault="009F7CE4" w:rsidP="009F7CE4">
      <w:pPr>
        <w:rPr>
          <w:lang w:val="de-DE"/>
        </w:rPr>
      </w:pPr>
    </w:p>
    <w:p w:rsidR="009F7CE4" w:rsidRPr="000D22CF" w:rsidRDefault="009F7CE4" w:rsidP="009F7CE4">
      <w:pPr>
        <w:keepNext/>
        <w:outlineLvl w:val="2"/>
        <w:rPr>
          <w:i/>
          <w:lang w:val="de-DE"/>
        </w:rPr>
      </w:pPr>
      <w:bookmarkStart w:id="9" w:name="_Toc369085543"/>
      <w:r w:rsidRPr="000D22CF">
        <w:rPr>
          <w:i/>
          <w:lang w:val="de-DE"/>
        </w:rPr>
        <w:t>Erläuterungen zu Handlungen in bezug auf Erntegut nach der Akte von 1991 des UPOV-Übereinkommens (Dokument UPOV/EXN/HRV Draft 10)</w:t>
      </w:r>
      <w:bookmarkEnd w:id="9"/>
    </w:p>
    <w:p w:rsidR="009F7CE4" w:rsidRPr="000D22CF" w:rsidRDefault="009F7CE4" w:rsidP="009F7CE4">
      <w:pPr>
        <w:rPr>
          <w:lang w:val="de-DE"/>
        </w:rPr>
      </w:pPr>
    </w:p>
    <w:p w:rsidR="009F7CE4" w:rsidRPr="000D22CF" w:rsidRDefault="009F7CE4" w:rsidP="009F7CE4">
      <w:pPr>
        <w:rPr>
          <w:rFonts w:cs="Arial"/>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Die Delegation Argentiniens merkte an, daß es einige Unstimmigkeiten zwischen dem englischen und dem spanischen Wortlaut von Dokument UPOV/EXN/HRV Draft 9 gäbe. Sie erklärte, daß beispielsweise der Wortlaut in Absatz 3 „</w:t>
      </w:r>
      <w:r w:rsidRPr="000D22CF">
        <w:rPr>
          <w:i/>
          <w:lang w:val="de-DE"/>
        </w:rPr>
        <w:t>can potentially be used for propagating purposes</w:t>
      </w:r>
      <w:r w:rsidRPr="000D22CF">
        <w:rPr>
          <w:lang w:val="de-DE"/>
        </w:rPr>
        <w:t xml:space="preserve">“ in Spanisch wie folgt lauten sollte: </w:t>
      </w:r>
      <w:r w:rsidRPr="000D22CF">
        <w:rPr>
          <w:i/>
          <w:lang w:val="de-DE"/>
        </w:rPr>
        <w:t>„</w:t>
      </w:r>
      <w:r w:rsidRPr="000D22CF">
        <w:rPr>
          <w:i/>
          <w:u w:val="single"/>
          <w:lang w:val="de-DE"/>
        </w:rPr>
        <w:t xml:space="preserve">potencialmente </w:t>
      </w:r>
      <w:r w:rsidRPr="000D22CF">
        <w:rPr>
          <w:i/>
          <w:strike/>
          <w:lang w:val="de-DE"/>
        </w:rPr>
        <w:t>puede</w:t>
      </w:r>
      <w:r w:rsidRPr="000D22CF">
        <w:rPr>
          <w:i/>
          <w:lang w:val="de-DE"/>
        </w:rPr>
        <w:t xml:space="preserve"> </w:t>
      </w:r>
      <w:r w:rsidRPr="000D22CF">
        <w:rPr>
          <w:i/>
          <w:u w:val="single"/>
          <w:lang w:val="de-DE"/>
        </w:rPr>
        <w:t>pueda</w:t>
      </w:r>
      <w:r w:rsidRPr="000D22CF">
        <w:rPr>
          <w:i/>
          <w:lang w:val="de-DE"/>
        </w:rPr>
        <w:t xml:space="preserve"> utilizarse a los fines de reproducción o de multiplicación.“</w:t>
      </w:r>
      <w:r w:rsidRPr="000D22CF">
        <w:rPr>
          <w:lang w:val="de-DE"/>
        </w:rPr>
        <w:t xml:space="preserve"> Sie machte auf eine weitere Unstimmigkeit aufmerksam, in Abschnitt „a) Entsprechender Artikel“ und in Absatz 5 von Dokument UPOV/EXN/HRV Draft 9, Artikel 14 Absatz 1 Buchstabe a Nummer vii der Akte von 1991, wo in Englisch steht „(vii) </w:t>
      </w:r>
      <w:r w:rsidRPr="000D22CF">
        <w:rPr>
          <w:i/>
          <w:lang w:val="de-DE"/>
        </w:rPr>
        <w:t>stocking for any of the purposes mentioned in (i) to (vi), above</w:t>
      </w:r>
      <w:r w:rsidRPr="000D22CF">
        <w:rPr>
          <w:lang w:val="de-DE"/>
        </w:rPr>
        <w:t>.“ und in Spanisch „</w:t>
      </w:r>
      <w:r w:rsidRPr="000D22CF">
        <w:rPr>
          <w:i/>
          <w:lang w:val="de-DE"/>
        </w:rPr>
        <w:t>vii) la posesión para cualquiera de los fines mencionados en los puntos i) a vi), supra</w:t>
      </w:r>
      <w:r w:rsidRPr="000D22CF">
        <w:rPr>
          <w:lang w:val="de-DE"/>
        </w:rPr>
        <w:t>”.</w:t>
      </w:r>
    </w:p>
    <w:p w:rsidR="009F7CE4" w:rsidRPr="000D22CF" w:rsidRDefault="009F7CE4" w:rsidP="009F7CE4">
      <w:pPr>
        <w:rPr>
          <w:lang w:val="de-DE"/>
        </w:rPr>
      </w:pPr>
    </w:p>
    <w:p w:rsidR="009F7CE4" w:rsidRPr="000D22CF" w:rsidRDefault="009F7CE4" w:rsidP="009F7CE4">
      <w:pPr>
        <w:rPr>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 xml:space="preserve">Das Verbandsbüro vereinbarte, die Übersetzungen des Dokuments zu prüfen, machte jedoch darauf aufmerksam, daß es gegebenenfalls den Wortlaut des UPOV-Übereinkommens verwenden müsse. Falls Unstimmigkeiten in den Wortlauten des UPOV-Übereinkommens bestehen sollten, müssten die Bestimmungen von Artikel 41 der Akte von 1991 des UPOV-Übereinkommens „Urschrift und amtliche Wortlaute des Übereinkommens” berücksichtigt werden. </w:t>
      </w:r>
    </w:p>
    <w:p w:rsidR="009F7CE4" w:rsidRPr="000D22CF" w:rsidRDefault="009F7CE4" w:rsidP="009F7CE4">
      <w:pPr>
        <w:keepNext/>
        <w:outlineLvl w:val="2"/>
        <w:rPr>
          <w:i/>
          <w:lang w:val="de-DE"/>
        </w:rPr>
      </w:pPr>
    </w:p>
    <w:p w:rsidR="009F7CE4" w:rsidRPr="000D22CF" w:rsidRDefault="009F7CE4" w:rsidP="009F7CE4">
      <w:pPr>
        <w:rPr>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 xml:space="preserve">Der CAJ beschloß auf seiner siebenundsechzigsten Tagung, die Annahme der „Erläuterungen zu Handlungen in bezug auf Erntegut nach der Akte von 1991 des UPOV-Übereinkommens“ auf seine achtundsechzigste Tagung am 21. Oktober 2013 in Genf zu vertagen, um die Übersetzungen des Dokuments und die folgenden Vorschläge zu prüfen: </w:t>
      </w:r>
    </w:p>
    <w:p w:rsidR="009F7CE4" w:rsidRPr="000D22CF" w:rsidRDefault="009F7CE4" w:rsidP="009F7CE4">
      <w:pPr>
        <w:rPr>
          <w:rFonts w:cs="Arial"/>
          <w:lang w:val="de-DE"/>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617"/>
        <w:gridCol w:w="7563"/>
      </w:tblGrid>
      <w:tr w:rsidR="009F7CE4" w:rsidRPr="000D22CF" w:rsidTr="00FF763B">
        <w:trPr>
          <w:cantSplit/>
        </w:trPr>
        <w:tc>
          <w:tcPr>
            <w:tcW w:w="1617" w:type="dxa"/>
          </w:tcPr>
          <w:p w:rsidR="009F7CE4" w:rsidRPr="000D22CF" w:rsidRDefault="009F7CE4" w:rsidP="009F7CE4">
            <w:pPr>
              <w:rPr>
                <w:sz w:val="18"/>
                <w:lang w:val="de-DE"/>
              </w:rPr>
            </w:pPr>
            <w:r w:rsidRPr="000D22CF">
              <w:rPr>
                <w:sz w:val="18"/>
                <w:lang w:val="de-DE"/>
              </w:rPr>
              <w:t>Absatz 11</w:t>
            </w:r>
          </w:p>
        </w:tc>
        <w:tc>
          <w:tcPr>
            <w:tcW w:w="7563" w:type="dxa"/>
          </w:tcPr>
          <w:p w:rsidR="009F7CE4" w:rsidRPr="000D22CF" w:rsidRDefault="009F7CE4" w:rsidP="009F7CE4">
            <w:pPr>
              <w:rPr>
                <w:sz w:val="18"/>
                <w:lang w:val="de-DE"/>
              </w:rPr>
            </w:pPr>
            <w:r w:rsidRPr="000D22CF">
              <w:rPr>
                <w:sz w:val="18"/>
                <w:lang w:val="de-DE"/>
              </w:rPr>
              <w:t>soll lauten wie folgt:</w:t>
            </w:r>
          </w:p>
          <w:p w:rsidR="009F7CE4" w:rsidRPr="000D22CF" w:rsidRDefault="009F7CE4" w:rsidP="009F7CE4">
            <w:pPr>
              <w:rPr>
                <w:sz w:val="18"/>
                <w:lang w:val="de-DE"/>
              </w:rPr>
            </w:pPr>
          </w:p>
          <w:p w:rsidR="009F7CE4" w:rsidRPr="000D22CF" w:rsidRDefault="009F7CE4" w:rsidP="009F7CE4">
            <w:pPr>
              <w:spacing w:after="60"/>
              <w:rPr>
                <w:sz w:val="18"/>
                <w:lang w:val="de-DE"/>
              </w:rPr>
            </w:pPr>
            <w:r w:rsidRPr="000D22CF">
              <w:rPr>
                <w:sz w:val="18"/>
                <w:lang w:val="de-DE"/>
              </w:rPr>
              <w:t xml:space="preserve">„Entscheidet ein Verbandsmitglied, diese freigestellte Ausnahme in seine Rechtsvorschriften aufzunehmen, dann würde ‚ungenehmigte Benutzung‘ nicht auf Handlungen verweisen, die unter die freigestellte Ausnahme fallen. Vorbehaltlich der Artikel 15 Absatz 1 und Artikel 16 würde ‚ungenehmigte Benutzung’ jedoch auf Handlungen verweisen, </w:t>
            </w:r>
            <w:r w:rsidRPr="000D22CF">
              <w:rPr>
                <w:sz w:val="18"/>
                <w:highlight w:val="lightGray"/>
                <w:u w:val="single"/>
                <w:lang w:val="de-DE"/>
              </w:rPr>
              <w:t>die in den Geltungsbereich des Züchterrechts einbezogen sind und</w:t>
            </w:r>
            <w:r w:rsidRPr="000D22CF">
              <w:rPr>
                <w:sz w:val="18"/>
                <w:lang w:val="de-DE"/>
              </w:rPr>
              <w:t xml:space="preserve"> die nicht unter die freigestellte Ausnahme in den Rechtsvorschriften des betreffenden Verbandsmitglieds fallen. ‚Ungenehmigte Benutzung’ würde insbesondere auf Handlungen verweisen, die</w:t>
            </w:r>
            <w:r w:rsidRPr="000D22CF">
              <w:rPr>
                <w:strike/>
                <w:sz w:val="18"/>
                <w:lang w:val="de-DE"/>
              </w:rPr>
              <w:t xml:space="preserve"> </w:t>
            </w:r>
            <w:r w:rsidRPr="000D22CF">
              <w:rPr>
                <w:strike/>
                <w:sz w:val="18"/>
                <w:highlight w:val="lightGray"/>
                <w:lang w:val="de-DE"/>
              </w:rPr>
              <w:t>nicht unter die Bedingungen</w:t>
            </w:r>
            <w:r w:rsidRPr="000D22CF">
              <w:rPr>
                <w:sz w:val="18"/>
                <w:highlight w:val="lightGray"/>
                <w:lang w:val="de-DE"/>
              </w:rPr>
              <w:t xml:space="preserve"> </w:t>
            </w:r>
            <w:r w:rsidRPr="000D22CF">
              <w:rPr>
                <w:sz w:val="18"/>
                <w:highlight w:val="lightGray"/>
                <w:u w:val="single"/>
                <w:lang w:val="de-DE"/>
              </w:rPr>
              <w:t>dem angemessenen Rahmen und der Wahrung der berechtigten Interessen des Züchters wie in</w:t>
            </w:r>
            <w:r w:rsidRPr="000D22CF">
              <w:rPr>
                <w:sz w:val="18"/>
                <w:lang w:val="de-DE"/>
              </w:rPr>
              <w:t xml:space="preserve"> der freigestellten Ausnahme </w:t>
            </w:r>
            <w:r w:rsidRPr="000D22CF">
              <w:rPr>
                <w:sz w:val="18"/>
                <w:highlight w:val="lightGray"/>
                <w:u w:val="single"/>
                <w:lang w:val="de-DE"/>
              </w:rPr>
              <w:t>vorgesehen</w:t>
            </w:r>
            <w:r w:rsidRPr="000D22CF">
              <w:rPr>
                <w:sz w:val="18"/>
                <w:u w:val="single"/>
                <w:lang w:val="de-DE"/>
              </w:rPr>
              <w:t xml:space="preserve"> </w:t>
            </w:r>
            <w:r w:rsidRPr="000D22CF">
              <w:rPr>
                <w:sz w:val="18"/>
                <w:highlight w:val="lightGray"/>
                <w:u w:val="single"/>
                <w:lang w:val="de-DE"/>
              </w:rPr>
              <w:t>nicht entsprechen</w:t>
            </w:r>
            <w:r w:rsidRPr="000D22CF">
              <w:rPr>
                <w:sz w:val="18"/>
                <w:lang w:val="de-DE"/>
              </w:rPr>
              <w:t xml:space="preserve"> </w:t>
            </w:r>
            <w:r w:rsidRPr="000D22CF">
              <w:rPr>
                <w:strike/>
                <w:sz w:val="18"/>
                <w:highlight w:val="lightGray"/>
                <w:lang w:val="de-DE"/>
              </w:rPr>
              <w:t>fallen</w:t>
            </w:r>
            <w:r w:rsidRPr="000D22CF">
              <w:rPr>
                <w:sz w:val="18"/>
                <w:lang w:val="de-DE"/>
              </w:rPr>
              <w:t>.“</w:t>
            </w:r>
          </w:p>
        </w:tc>
      </w:tr>
      <w:tr w:rsidR="009F7CE4" w:rsidRPr="000D22CF" w:rsidTr="00FF763B">
        <w:trPr>
          <w:cantSplit/>
        </w:trPr>
        <w:tc>
          <w:tcPr>
            <w:tcW w:w="1617" w:type="dxa"/>
          </w:tcPr>
          <w:p w:rsidR="009F7CE4" w:rsidRPr="000D22CF" w:rsidRDefault="009F7CE4" w:rsidP="009F7CE4">
            <w:pPr>
              <w:rPr>
                <w:sz w:val="18"/>
                <w:lang w:val="de-DE"/>
              </w:rPr>
            </w:pPr>
            <w:r w:rsidRPr="000D22CF">
              <w:rPr>
                <w:sz w:val="18"/>
                <w:lang w:val="de-DE"/>
              </w:rPr>
              <w:t xml:space="preserve">Titel </w:t>
            </w:r>
          </w:p>
          <w:p w:rsidR="009F7CE4" w:rsidRPr="000D22CF" w:rsidRDefault="009F7CE4" w:rsidP="009F7CE4">
            <w:pPr>
              <w:rPr>
                <w:sz w:val="18"/>
                <w:lang w:val="de-DE"/>
              </w:rPr>
            </w:pPr>
            <w:r w:rsidRPr="000D22CF">
              <w:rPr>
                <w:sz w:val="18"/>
                <w:lang w:val="de-DE"/>
              </w:rPr>
              <w:t xml:space="preserve">Abschnitt </w:t>
            </w:r>
            <w:r w:rsidR="00347BED" w:rsidRPr="000D22CF">
              <w:rPr>
                <w:sz w:val="18"/>
                <w:lang w:val="de-DE"/>
              </w:rPr>
              <w:t>d</w:t>
            </w:r>
            <w:r w:rsidRPr="000D22CF">
              <w:rPr>
                <w:sz w:val="18"/>
                <w:lang w:val="de-DE"/>
              </w:rPr>
              <w:t>)</w:t>
            </w:r>
          </w:p>
          <w:p w:rsidR="009F7CE4" w:rsidRPr="000D22CF" w:rsidRDefault="009F7CE4" w:rsidP="009F7CE4">
            <w:pPr>
              <w:rPr>
                <w:sz w:val="18"/>
                <w:lang w:val="de-DE"/>
              </w:rPr>
            </w:pPr>
          </w:p>
        </w:tc>
        <w:tc>
          <w:tcPr>
            <w:tcW w:w="7563" w:type="dxa"/>
          </w:tcPr>
          <w:p w:rsidR="009F7CE4" w:rsidRPr="000D22CF" w:rsidRDefault="009F7CE4" w:rsidP="009F7CE4">
            <w:pPr>
              <w:rPr>
                <w:sz w:val="18"/>
                <w:lang w:val="de-DE"/>
              </w:rPr>
            </w:pPr>
            <w:r w:rsidRPr="000D22CF">
              <w:rPr>
                <w:sz w:val="18"/>
                <w:lang w:val="de-DE"/>
              </w:rPr>
              <w:t>soll lauten wie folgt:</w:t>
            </w:r>
          </w:p>
          <w:p w:rsidR="009F7CE4" w:rsidRPr="000D22CF" w:rsidRDefault="009F7CE4" w:rsidP="009F7CE4">
            <w:pPr>
              <w:rPr>
                <w:sz w:val="18"/>
                <w:lang w:val="de-DE"/>
              </w:rPr>
            </w:pPr>
          </w:p>
          <w:p w:rsidR="009F7CE4" w:rsidRPr="000D22CF" w:rsidRDefault="009F7CE4" w:rsidP="009F7CE4">
            <w:pPr>
              <w:spacing w:after="60"/>
              <w:rPr>
                <w:sz w:val="18"/>
                <w:lang w:val="de-DE"/>
              </w:rPr>
            </w:pPr>
            <w:r w:rsidRPr="000D22CF">
              <w:rPr>
                <w:sz w:val="18"/>
                <w:lang w:val="de-DE"/>
              </w:rPr>
              <w:t>„</w:t>
            </w:r>
            <w:r w:rsidRPr="000D22CF">
              <w:rPr>
                <w:sz w:val="18"/>
                <w:highlight w:val="lightGray"/>
                <w:u w:val="single"/>
                <w:lang w:val="de-DE"/>
              </w:rPr>
              <w:t>Angemessene Gelegenheit</w:t>
            </w:r>
            <w:r w:rsidRPr="000D22CF">
              <w:rPr>
                <w:sz w:val="18"/>
                <w:lang w:val="de-DE"/>
              </w:rPr>
              <w:t xml:space="preserve"> sein Recht aus</w:t>
            </w:r>
            <w:r w:rsidRPr="000D22CF">
              <w:rPr>
                <w:color w:val="000000"/>
                <w:sz w:val="18"/>
                <w:highlight w:val="lightGray"/>
                <w:u w:val="single"/>
                <w:lang w:val="de-DE"/>
              </w:rPr>
              <w:t>zu</w:t>
            </w:r>
            <w:r w:rsidRPr="000D22CF">
              <w:rPr>
                <w:sz w:val="18"/>
                <w:lang w:val="de-DE"/>
              </w:rPr>
              <w:t>üben“</w:t>
            </w:r>
          </w:p>
        </w:tc>
      </w:tr>
    </w:tbl>
    <w:p w:rsidR="009F7CE4" w:rsidRPr="000D22CF" w:rsidRDefault="009F7CE4" w:rsidP="009F7CE4">
      <w:pPr>
        <w:rPr>
          <w:lang w:val="de-DE"/>
        </w:rPr>
      </w:pPr>
    </w:p>
    <w:p w:rsidR="009F7CE4" w:rsidRPr="000D22CF" w:rsidRDefault="009F7CE4" w:rsidP="009F7CE4">
      <w:pPr>
        <w:rPr>
          <w:rFonts w:cs="Arial"/>
          <w:lang w:val="de-DE"/>
        </w:rPr>
      </w:pPr>
      <w:r w:rsidRPr="000D22CF">
        <w:rPr>
          <w:lang w:val="de-DE"/>
        </w:rPr>
        <w:t>(vergleiche Dokument CAJ/67/14 „Bericht über d</w:t>
      </w:r>
      <w:r w:rsidR="00347BED" w:rsidRPr="000D22CF">
        <w:rPr>
          <w:lang w:val="de-DE"/>
        </w:rPr>
        <w:t>ie Entschließungen“, Absatz 12)</w:t>
      </w:r>
    </w:p>
    <w:p w:rsidR="009F7CE4" w:rsidRPr="000D22CF" w:rsidRDefault="009F7CE4" w:rsidP="009F7CE4">
      <w:pPr>
        <w:rPr>
          <w:lang w:val="de-DE"/>
        </w:rPr>
      </w:pPr>
    </w:p>
    <w:p w:rsidR="009F7CE4" w:rsidRPr="000D22CF" w:rsidRDefault="009F7CE4" w:rsidP="00347BED">
      <w:pPr>
        <w:keepLines/>
        <w:tabs>
          <w:tab w:val="left" w:pos="5387"/>
        </w:tabs>
        <w:ind w:left="4820"/>
        <w:rPr>
          <w:i/>
          <w:lang w:val="de-DE"/>
        </w:rPr>
      </w:pPr>
      <w:r w:rsidRPr="000D22CF">
        <w:rPr>
          <w:i/>
          <w:lang w:val="de-DE"/>
        </w:rPr>
        <w:lastRenderedPageBreak/>
        <w:fldChar w:fldCharType="begin"/>
      </w:r>
      <w:r w:rsidRPr="000D22CF">
        <w:rPr>
          <w:i/>
          <w:lang w:val="de-DE"/>
        </w:rPr>
        <w:instrText xml:space="preserve"> AUTONUM  </w:instrText>
      </w:r>
      <w:r w:rsidRPr="000D22CF">
        <w:rPr>
          <w:i/>
          <w:lang w:val="de-DE"/>
        </w:rPr>
        <w:fldChar w:fldCharType="end"/>
      </w:r>
      <w:r w:rsidRPr="000D22CF">
        <w:rPr>
          <w:i/>
          <w:lang w:val="de-DE"/>
        </w:rPr>
        <w:tab/>
        <w:t>Der CAJ wird ersucht, Dokument</w:t>
      </w:r>
      <w:r w:rsidR="00347BED" w:rsidRPr="000D22CF">
        <w:rPr>
          <w:i/>
          <w:lang w:val="de-DE"/>
        </w:rPr>
        <w:t xml:space="preserve"> </w:t>
      </w:r>
      <w:r w:rsidRPr="000D22CF">
        <w:rPr>
          <w:i/>
          <w:lang w:val="de-DE"/>
        </w:rPr>
        <w:t>UPOV/EXN/HRV Draft 10 als Grundlage für die Annahme der „Erläuterungen zu Handlungen in bezug auf Erntegut nach der Akte von 1991 des UPOV-Übereinkommens“ durch den Rat auf seiner siebenundvierzig</w:t>
      </w:r>
      <w:r w:rsidR="00347BED" w:rsidRPr="000D22CF">
        <w:rPr>
          <w:i/>
          <w:lang w:val="de-DE"/>
        </w:rPr>
        <w:t>sten ordentlichen Tagung am 24. </w:t>
      </w:r>
      <w:r w:rsidRPr="000D22CF">
        <w:rPr>
          <w:i/>
          <w:lang w:val="de-DE"/>
        </w:rPr>
        <w:t>Oktober 2013 in Genf zu prüfen.</w:t>
      </w:r>
    </w:p>
    <w:p w:rsidR="009F7CE4" w:rsidRPr="000D22CF" w:rsidRDefault="009F7CE4" w:rsidP="009F7CE4">
      <w:pPr>
        <w:spacing w:line="360" w:lineRule="auto"/>
        <w:rPr>
          <w:lang w:val="de-DE"/>
        </w:rPr>
      </w:pPr>
    </w:p>
    <w:p w:rsidR="009F7CE4" w:rsidRPr="000D22CF" w:rsidRDefault="009F7CE4" w:rsidP="009F7CE4">
      <w:pPr>
        <w:keepNext/>
        <w:outlineLvl w:val="2"/>
        <w:rPr>
          <w:i/>
          <w:lang w:val="de-DE"/>
        </w:rPr>
      </w:pPr>
      <w:bookmarkStart w:id="10" w:name="_Toc369085544"/>
      <w:r w:rsidRPr="000D22CF">
        <w:rPr>
          <w:i/>
          <w:lang w:val="de-DE"/>
        </w:rPr>
        <w:t>Künftige Arbeiten betreffend die Erläuterungen zu Handlungen in bezug auf Erntegut</w:t>
      </w:r>
      <w:bookmarkEnd w:id="10"/>
    </w:p>
    <w:p w:rsidR="009F7CE4" w:rsidRPr="000D22CF" w:rsidRDefault="009F7CE4" w:rsidP="009F7CE4">
      <w:pPr>
        <w:keepNext/>
        <w:rPr>
          <w:lang w:val="de-DE"/>
        </w:rPr>
      </w:pPr>
    </w:p>
    <w:p w:rsidR="009F7CE4" w:rsidRPr="000D22CF" w:rsidRDefault="009F7CE4" w:rsidP="009F7CE4">
      <w:pPr>
        <w:rPr>
          <w:rFonts w:cs="Arial"/>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Der CAJ vereinbarte auf seiner siebenundsechzigsten Tagung, die CAJ-AG zu ersuchen, umgehend mit der Ausarbeitung einer etwaigen künftigen Überarbeitung der „Erläuterungen zu Handlungen in bezug auf Erntegut nach der Akte von 1991 des UPOV-Übereinkommens“ zu beginnen, so daß veranschaulichende Beispiele zu Situationen eingefügt werden können, in denen davon ausgegangen werden kann, daß Züchter sich in der Lage sähen, ihre Rechte in bezug auf Erntegut auszuüben (vergleiche Dokument CAJ/67/14 „Bericht über die Entschließungen“, Absatz 13).</w:t>
      </w:r>
    </w:p>
    <w:p w:rsidR="009F7CE4" w:rsidRPr="000D22CF" w:rsidRDefault="009F7CE4" w:rsidP="009F7CE4">
      <w:pPr>
        <w:rPr>
          <w:lang w:val="de-DE"/>
        </w:rPr>
      </w:pPr>
    </w:p>
    <w:p w:rsidR="009F7CE4" w:rsidRPr="000D22CF" w:rsidRDefault="009F7CE4" w:rsidP="009F7CE4">
      <w:pPr>
        <w:rPr>
          <w:rFonts w:cs="Arial"/>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Der CAJ vereinbarte, die CAJ-AG zu ersuchen, die Erarbeitung der Anleitung bezüglich der „angemessenen Gelegenheit“ im Hinblick auf eine etwaige Überarbeitung der „Erläuterungen zu Handlungen in bezug auf Erntegut nach der Akte von 1991 des UPOV-Übereinkommens“ zu prüfen (vergleiche Dokument CAJ/67/14 „Bericht über die Entschließungen“, Absatz 14).</w:t>
      </w:r>
    </w:p>
    <w:p w:rsidR="009F7CE4" w:rsidRPr="000D22CF" w:rsidRDefault="009F7CE4" w:rsidP="009F7CE4">
      <w:pPr>
        <w:rPr>
          <w:rFonts w:cs="Arial"/>
          <w:lang w:val="de-DE"/>
        </w:rPr>
      </w:pPr>
    </w:p>
    <w:p w:rsidR="009F7CE4" w:rsidRPr="000D22CF" w:rsidRDefault="009F7CE4" w:rsidP="009F7CE4">
      <w:pPr>
        <w:rPr>
          <w:rFonts w:cs="Arial"/>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Auf oben ausgeführter Grundlage wird Dokument „Erläuterungen zu Handlungen in bezug auf Erntegut“ (Dokument CAJ-AG/13/8/3) von der CAJ-AG auf ihrer achten Tagung am 25. Oktober 2013 in Genf geprüft werden.</w:t>
      </w:r>
    </w:p>
    <w:p w:rsidR="009F7CE4" w:rsidRPr="000D22CF" w:rsidRDefault="009F7CE4" w:rsidP="009F7CE4">
      <w:pPr>
        <w:rPr>
          <w:lang w:val="de-DE"/>
        </w:rPr>
      </w:pPr>
    </w:p>
    <w:p w:rsidR="009F7CE4" w:rsidRPr="000D22CF" w:rsidRDefault="009F7CE4" w:rsidP="009F7CE4">
      <w:pPr>
        <w:tabs>
          <w:tab w:val="left" w:pos="5387"/>
        </w:tabs>
        <w:ind w:left="4820"/>
        <w:rPr>
          <w:i/>
          <w:lang w:val="de-DE"/>
        </w:rPr>
      </w:pPr>
      <w:r w:rsidRPr="000D22CF">
        <w:rPr>
          <w:i/>
          <w:lang w:val="de-DE"/>
        </w:rPr>
        <w:fldChar w:fldCharType="begin"/>
      </w:r>
      <w:r w:rsidRPr="000D22CF">
        <w:rPr>
          <w:i/>
          <w:lang w:val="de-DE"/>
        </w:rPr>
        <w:instrText xml:space="preserve"> AUTONUM  </w:instrText>
      </w:r>
      <w:r w:rsidRPr="000D22CF">
        <w:rPr>
          <w:i/>
          <w:lang w:val="de-DE"/>
        </w:rPr>
        <w:fldChar w:fldCharType="end"/>
      </w:r>
      <w:r w:rsidRPr="000D22CF">
        <w:rPr>
          <w:i/>
          <w:lang w:val="de-DE"/>
        </w:rPr>
        <w:tab/>
        <w:t>Der CAJ wird ersucht, die Entwicklungen betreffend die künftige Arbeit an den Erläuterungen zu Handlungen in bezug auf Erntegut zur Kenntnis zu nehmen.</w:t>
      </w:r>
    </w:p>
    <w:p w:rsidR="009F7CE4" w:rsidRPr="000D22CF" w:rsidRDefault="009F7CE4" w:rsidP="009F7CE4">
      <w:pPr>
        <w:rPr>
          <w:lang w:val="de-DE"/>
        </w:rPr>
      </w:pPr>
    </w:p>
    <w:p w:rsidR="009F7CE4" w:rsidRPr="000D22CF" w:rsidRDefault="009F7CE4" w:rsidP="009F7CE4">
      <w:pPr>
        <w:rPr>
          <w:lang w:val="de-DE"/>
        </w:rPr>
      </w:pPr>
    </w:p>
    <w:p w:rsidR="009F7CE4" w:rsidRPr="000D22CF" w:rsidRDefault="009F7CE4" w:rsidP="009F7CE4">
      <w:pPr>
        <w:keepNext/>
        <w:ind w:left="567" w:hanging="567"/>
        <w:outlineLvl w:val="1"/>
        <w:rPr>
          <w:u w:val="single"/>
          <w:lang w:val="de-DE"/>
        </w:rPr>
      </w:pPr>
      <w:bookmarkStart w:id="11" w:name="_Toc369085545"/>
      <w:r w:rsidRPr="000D22CF">
        <w:rPr>
          <w:lang w:val="de-DE"/>
        </w:rPr>
        <w:t>b)</w:t>
      </w:r>
      <w:r w:rsidRPr="000D22CF">
        <w:rPr>
          <w:lang w:val="de-DE"/>
        </w:rPr>
        <w:tab/>
      </w:r>
      <w:r w:rsidRPr="000D22CF">
        <w:rPr>
          <w:u w:val="single"/>
          <w:lang w:val="de-DE"/>
        </w:rPr>
        <w:t>Seminar über im wesentlichen abgeleitete Sorten nach der Akte von 1991 des UPOV Übereinkommens (Überarbeitung)</w:t>
      </w:r>
      <w:bookmarkEnd w:id="11"/>
    </w:p>
    <w:p w:rsidR="009F7CE4" w:rsidRPr="000D22CF" w:rsidRDefault="009F7CE4" w:rsidP="009F7CE4">
      <w:pPr>
        <w:rPr>
          <w:lang w:val="de-DE"/>
        </w:rPr>
      </w:pPr>
    </w:p>
    <w:p w:rsidR="009F7CE4" w:rsidRPr="000D22CF" w:rsidRDefault="009F7CE4" w:rsidP="009F7CE4">
      <w:pPr>
        <w:rPr>
          <w:rFonts w:cs="Arial"/>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 xml:space="preserve">Der CAJ vereinbarte, daß die Prüfung von Dokument UPOV/EXN/EDV/2 Draft 3 „Erläuterungen zu den im wesentlichen abgeleiteten Sorten nach der Akte von 1991 des UPOV-Übereinkommens“ bis nach  </w:t>
      </w:r>
      <w:r w:rsidRPr="000D22CF">
        <w:rPr>
          <w:snapToGrid w:val="0"/>
          <w:lang w:val="de-DE"/>
        </w:rPr>
        <w:t xml:space="preserve">Abschluß des Seminars über die im wesentlichen abgeleiteten Sorten, das für den 22. Oktober 2013 geplant ist, sowie die Prüfung des Seminars durch die CAJ-AG auf ihre achte Tagung am 25. Oktober 2013 vertagt werden solle. Der CAJ vereinbarte außerdem, daß geprüft werden solle, Abschnitt 8 von </w:t>
      </w:r>
      <w:r w:rsidRPr="000D22CF">
        <w:rPr>
          <w:lang w:val="de-DE"/>
        </w:rPr>
        <w:t>Dokument UPOV/EXN/EDV/2 Draft 3 hinter Abschnitt 4 einzufügen (vergleiche Dokument CAJ/67/14 „Bericht über die Entschließungen“, Absatz 15).</w:t>
      </w:r>
    </w:p>
    <w:p w:rsidR="009F7CE4" w:rsidRPr="000D22CF" w:rsidRDefault="009F7CE4" w:rsidP="009F7CE4">
      <w:pPr>
        <w:rPr>
          <w:rFonts w:cs="Arial"/>
          <w:lang w:val="de-DE"/>
        </w:rPr>
      </w:pPr>
    </w:p>
    <w:p w:rsidR="009F7CE4" w:rsidRPr="000D22CF" w:rsidRDefault="009F7CE4" w:rsidP="009F7CE4">
      <w:pPr>
        <w:rPr>
          <w:snapToGrid w:val="0"/>
          <w:lang w:val="de-DE"/>
        </w:rPr>
      </w:pPr>
      <w:r w:rsidRPr="000D22CF">
        <w:rPr>
          <w:snapToGrid w:val="0"/>
          <w:lang w:val="de-DE"/>
        </w:rPr>
        <w:fldChar w:fldCharType="begin"/>
      </w:r>
      <w:r w:rsidRPr="000D22CF">
        <w:rPr>
          <w:snapToGrid w:val="0"/>
          <w:lang w:val="de-DE"/>
        </w:rPr>
        <w:instrText xml:space="preserve"> AUTONUM  </w:instrText>
      </w:r>
      <w:r w:rsidRPr="000D22CF">
        <w:rPr>
          <w:snapToGrid w:val="0"/>
          <w:lang w:val="de-DE"/>
        </w:rPr>
        <w:fldChar w:fldCharType="end"/>
      </w:r>
      <w:r w:rsidRPr="000D22CF">
        <w:rPr>
          <w:snapToGrid w:val="0"/>
          <w:lang w:val="de-DE"/>
        </w:rPr>
        <w:tab/>
        <w:t xml:space="preserve">Der CAJ </w:t>
      </w:r>
      <w:r w:rsidRPr="000D22CF">
        <w:rPr>
          <w:lang w:val="de-DE"/>
        </w:rPr>
        <w:t>nahm auf seiner siebenundsechzigsten Tagung</w:t>
      </w:r>
      <w:r w:rsidRPr="000D22CF">
        <w:rPr>
          <w:snapToGrid w:val="0"/>
          <w:lang w:val="de-DE"/>
        </w:rPr>
        <w:t xml:space="preserve"> zur Kenntnis, daß das Verbandsbüro einen Text über die Möglichkeit der Verwendung molekularer Markerdaten einer Ursprungssorte zur Gewinnung im wesentlichen abgeleiteter Sorten zur Prüfung durch die CAJ-AG auf ihrer achten Tagung am 25. Oktober 2013 erarbeiten werde</w:t>
      </w:r>
      <w:r w:rsidRPr="000D22CF">
        <w:rPr>
          <w:lang w:val="de-DE"/>
        </w:rPr>
        <w:t xml:space="preserve"> (vergleiche Dokument CAJ/67/14 „Bericht über die Entschließungen“, Absatz 20)</w:t>
      </w:r>
      <w:r w:rsidRPr="000D22CF">
        <w:rPr>
          <w:snapToGrid w:val="0"/>
          <w:lang w:val="de-DE"/>
        </w:rPr>
        <w:t xml:space="preserve">. </w:t>
      </w:r>
    </w:p>
    <w:p w:rsidR="009F7CE4" w:rsidRPr="000D22CF" w:rsidRDefault="009F7CE4" w:rsidP="009F7CE4">
      <w:pPr>
        <w:rPr>
          <w:snapToGrid w:val="0"/>
          <w:lang w:val="de-DE"/>
        </w:rPr>
      </w:pPr>
    </w:p>
    <w:p w:rsidR="009F7CE4" w:rsidRPr="000D22CF" w:rsidRDefault="009F7CE4" w:rsidP="009F7CE4">
      <w:pPr>
        <w:rPr>
          <w:rFonts w:cs="Arial"/>
          <w:spacing w:val="-2"/>
          <w:lang w:val="de-DE"/>
        </w:rPr>
      </w:pPr>
      <w:r w:rsidRPr="000D22CF">
        <w:rPr>
          <w:spacing w:val="-2"/>
          <w:lang w:val="de-DE"/>
        </w:rPr>
        <w:fldChar w:fldCharType="begin"/>
      </w:r>
      <w:r w:rsidRPr="000D22CF">
        <w:rPr>
          <w:spacing w:val="-2"/>
          <w:lang w:val="de-DE"/>
        </w:rPr>
        <w:instrText xml:space="preserve"> AUTONUM  </w:instrText>
      </w:r>
      <w:r w:rsidRPr="000D22CF">
        <w:rPr>
          <w:spacing w:val="-2"/>
          <w:lang w:val="de-DE"/>
        </w:rPr>
        <w:fldChar w:fldCharType="end"/>
      </w:r>
      <w:r w:rsidRPr="000D22CF">
        <w:rPr>
          <w:spacing w:val="-2"/>
          <w:lang w:val="de-DE"/>
        </w:rPr>
        <w:tab/>
      </w:r>
      <w:r w:rsidRPr="000D22CF">
        <w:rPr>
          <w:snapToGrid w:val="0"/>
          <w:spacing w:val="-2"/>
          <w:lang w:val="de-DE"/>
        </w:rPr>
        <w:t xml:space="preserve">Der CAJ </w:t>
      </w:r>
      <w:r w:rsidRPr="000D22CF">
        <w:rPr>
          <w:spacing w:val="-2"/>
          <w:lang w:val="de-DE"/>
        </w:rPr>
        <w:t xml:space="preserve">nahm auf seiner siebenundsechzigsten Tagung </w:t>
      </w:r>
      <w:r w:rsidRPr="000D22CF">
        <w:rPr>
          <w:snapToGrid w:val="0"/>
          <w:spacing w:val="-2"/>
          <w:lang w:val="de-DE"/>
        </w:rPr>
        <w:t xml:space="preserve">zur Kenntnis, daß auf einer geeigneten künftigen Tagung der CAJ-AG die Delegationen Australiens, Brasiliens und der Europäischen Union sowie anderer Verbandsmitglieder ersucht werden sollen, Vorträge über ihre Systeme zu im wesentlichen abgeleiteten Sorten zu halten </w:t>
      </w:r>
      <w:r w:rsidRPr="000D22CF">
        <w:rPr>
          <w:spacing w:val="-2"/>
          <w:lang w:val="de-DE"/>
        </w:rPr>
        <w:t>(vergleiche Dokument CAJ/67/14 „Bericht üb</w:t>
      </w:r>
      <w:r w:rsidR="00347BED" w:rsidRPr="000D22CF">
        <w:rPr>
          <w:spacing w:val="-2"/>
          <w:lang w:val="de-DE"/>
        </w:rPr>
        <w:t>er die Entschließungen“, Absatz </w:t>
      </w:r>
      <w:r w:rsidRPr="000D22CF">
        <w:rPr>
          <w:spacing w:val="-2"/>
          <w:lang w:val="de-DE"/>
        </w:rPr>
        <w:t>17).</w:t>
      </w:r>
    </w:p>
    <w:p w:rsidR="009F7CE4" w:rsidRPr="000D22CF" w:rsidRDefault="009F7CE4" w:rsidP="009F7CE4">
      <w:pPr>
        <w:rPr>
          <w:snapToGrid w:val="0"/>
          <w:lang w:val="de-DE"/>
        </w:rPr>
      </w:pPr>
    </w:p>
    <w:p w:rsidR="009F7CE4" w:rsidRPr="000D22CF" w:rsidRDefault="009F7CE4" w:rsidP="009F7CE4">
      <w:pPr>
        <w:rPr>
          <w:rFonts w:cs="Arial"/>
          <w:lang w:val="de-DE"/>
        </w:rPr>
      </w:pPr>
      <w:r w:rsidRPr="000D22CF">
        <w:rPr>
          <w:snapToGrid w:val="0"/>
          <w:lang w:val="de-DE"/>
        </w:rPr>
        <w:fldChar w:fldCharType="begin"/>
      </w:r>
      <w:r w:rsidRPr="000D22CF">
        <w:rPr>
          <w:snapToGrid w:val="0"/>
          <w:lang w:val="de-DE"/>
        </w:rPr>
        <w:instrText xml:space="preserve"> AUTONUM  </w:instrText>
      </w:r>
      <w:r w:rsidRPr="000D22CF">
        <w:rPr>
          <w:snapToGrid w:val="0"/>
          <w:lang w:val="de-DE"/>
        </w:rPr>
        <w:fldChar w:fldCharType="end"/>
      </w:r>
      <w:r w:rsidRPr="000D22CF">
        <w:rPr>
          <w:snapToGrid w:val="0"/>
          <w:lang w:val="de-DE"/>
        </w:rPr>
        <w:tab/>
        <w:t xml:space="preserve">Der CAJ </w:t>
      </w:r>
      <w:r w:rsidRPr="000D22CF">
        <w:rPr>
          <w:lang w:val="de-DE"/>
        </w:rPr>
        <w:t>nahm auf seiner siebenundsechzigsten Tagung</w:t>
      </w:r>
      <w:r w:rsidRPr="000D22CF">
        <w:rPr>
          <w:snapToGrid w:val="0"/>
          <w:lang w:val="de-DE"/>
        </w:rPr>
        <w:t xml:space="preserve"> zur Kenntnis, daß das Verbandsbüro auf der Grundlage von Nummer ii der Erläuterung 6 zu Artikel 5 „Auswirkungen des dem Züchter erteilten Rechts“, wie in Dokument IOM/IV/2 dargelegt, einen Entwurf für eine Anleitung zur Beziehung zwischen den Nummern i und iii des Artikels 14 Absatz 5 Buchstabe b der Akte von 1991 des UPOV-Übereinkommens zur Prüfung durch die CAJ-AG auf ihrer achten Tagung am 25. Oktober 2013 erstellt. </w:t>
      </w:r>
      <w:r w:rsidRPr="000D22CF">
        <w:rPr>
          <w:lang w:val="de-DE"/>
        </w:rPr>
        <w:t xml:space="preserve">Um die CAJ-AG bei der Ausarbeitung eines Entwurfs für eine Anleitung weiter zu unterstützen, </w:t>
      </w:r>
      <w:r w:rsidRPr="000D22CF">
        <w:rPr>
          <w:snapToGrid w:val="0"/>
          <w:lang w:val="de-DE"/>
        </w:rPr>
        <w:t xml:space="preserve">vereinbarte der CAJ, dem Rat vorzuschlagen, am 22. Oktober 2013 ein Seminar über im wesentlichen abgeleitete Sorten zu veranstalten </w:t>
      </w:r>
      <w:r w:rsidRPr="000D22CF">
        <w:rPr>
          <w:lang w:val="de-DE"/>
        </w:rPr>
        <w:t>(vergleiche Dokument CAJ/67/14 „Bericht über die Entschließungen“, Absatz 17).</w:t>
      </w:r>
    </w:p>
    <w:p w:rsidR="009F7CE4" w:rsidRPr="000D22CF" w:rsidRDefault="009F7CE4" w:rsidP="009F7CE4">
      <w:pPr>
        <w:rPr>
          <w:snapToGrid w:val="0"/>
          <w:lang w:val="de-DE"/>
        </w:rPr>
      </w:pPr>
    </w:p>
    <w:p w:rsidR="009F7CE4" w:rsidRPr="000D22CF" w:rsidRDefault="009F7CE4" w:rsidP="009F7CE4">
      <w:pPr>
        <w:rPr>
          <w:snapToGrid w:val="0"/>
          <w:lang w:val="de-DE"/>
        </w:rPr>
      </w:pPr>
      <w:r w:rsidRPr="000D22CF">
        <w:rPr>
          <w:lang w:val="de-DE"/>
        </w:rPr>
        <w:lastRenderedPageBreak/>
        <w:fldChar w:fldCharType="begin"/>
      </w:r>
      <w:r w:rsidRPr="000D22CF">
        <w:rPr>
          <w:lang w:val="de-DE"/>
        </w:rPr>
        <w:instrText xml:space="preserve"> AUTONUM  </w:instrText>
      </w:r>
      <w:r w:rsidRPr="000D22CF">
        <w:rPr>
          <w:lang w:val="de-DE"/>
        </w:rPr>
        <w:fldChar w:fldCharType="end"/>
      </w:r>
      <w:r w:rsidRPr="000D22CF">
        <w:rPr>
          <w:lang w:val="de-DE"/>
        </w:rPr>
        <w:tab/>
        <w:t xml:space="preserve">Der </w:t>
      </w:r>
      <w:r w:rsidRPr="000D22CF">
        <w:rPr>
          <w:snapToGrid w:val="0"/>
          <w:lang w:val="de-DE"/>
        </w:rPr>
        <w:t xml:space="preserve">Rat billigte </w:t>
      </w:r>
      <w:r w:rsidRPr="000D22CF">
        <w:rPr>
          <w:lang w:val="de-DE"/>
        </w:rPr>
        <w:t>auf seiner dreißigsten außerordentlichen Tagung am 22. März 2013 in Genf</w:t>
      </w:r>
      <w:r w:rsidRPr="000D22CF">
        <w:rPr>
          <w:snapToGrid w:val="0"/>
          <w:lang w:val="de-DE"/>
        </w:rPr>
        <w:t xml:space="preserve"> die Organisation eines Seminars über im wesentlichen abgeleitete Sorten am 22. Oktober 2013, </w:t>
      </w:r>
      <w:r w:rsidRPr="000D22CF">
        <w:rPr>
          <w:lang w:val="de-DE"/>
        </w:rPr>
        <w:t>bei dem es um folgende Punkte gehen wird</w:t>
      </w:r>
      <w:r w:rsidRPr="000D22CF">
        <w:rPr>
          <w:snapToGrid w:val="0"/>
          <w:lang w:val="de-DE"/>
        </w:rPr>
        <w:t xml:space="preserve">: </w:t>
      </w:r>
    </w:p>
    <w:p w:rsidR="009F7CE4" w:rsidRPr="000D22CF" w:rsidRDefault="009F7CE4" w:rsidP="009F7CE4">
      <w:pPr>
        <w:ind w:left="567"/>
        <w:rPr>
          <w:rFonts w:cs="Arial"/>
          <w:sz w:val="18"/>
          <w:lang w:val="de-DE"/>
        </w:rPr>
      </w:pPr>
    </w:p>
    <w:p w:rsidR="009F7CE4" w:rsidRPr="000D22CF" w:rsidRDefault="009F7CE4" w:rsidP="009F7CE4">
      <w:pPr>
        <w:ind w:firstLine="567"/>
        <w:rPr>
          <w:rFonts w:cs="Arial"/>
          <w:lang w:val="de-DE"/>
        </w:rPr>
      </w:pPr>
      <w:r w:rsidRPr="000D22CF">
        <w:rPr>
          <w:lang w:val="de-DE"/>
        </w:rPr>
        <w:t>a)</w:t>
      </w:r>
      <w:r w:rsidRPr="000D22CF">
        <w:rPr>
          <w:lang w:val="de-DE"/>
        </w:rPr>
        <w:tab/>
        <w:t>technische und juristische Gesichtspunkte zu „vorwiegend abgeleitet”, „wesentliche Merkmale“ und „sich aus der Ableitung ergebende Unterschiede“ (vergleiche Artikel 14 Absatz 5 Buchstabe b der Akte von 1991 des UPOV-Übereinkommens), die Beziehung zwischen den Nummern i und iii des Artikels 14 Absatz 5 Buchstabe b der Akte von 1991 des UPOV</w:t>
      </w:r>
      <w:r w:rsidRPr="000D22CF">
        <w:rPr>
          <w:rFonts w:ascii="MS Gothic" w:eastAsia="MS Gothic" w:hAnsi="MS Gothic" w:cs="MS Gothic"/>
          <w:lang w:val="de-DE"/>
        </w:rPr>
        <w:t>‑</w:t>
      </w:r>
      <w:r w:rsidRPr="000D22CF">
        <w:rPr>
          <w:rFonts w:cs="Arial"/>
          <w:lang w:val="de-DE"/>
        </w:rPr>
        <w:t>Ü</w:t>
      </w:r>
      <w:r w:rsidRPr="000D22CF">
        <w:rPr>
          <w:lang w:val="de-DE"/>
        </w:rPr>
        <w:t>bereinkommens und die m</w:t>
      </w:r>
      <w:r w:rsidRPr="000D22CF">
        <w:rPr>
          <w:rFonts w:cs="Arial"/>
          <w:lang w:val="de-DE"/>
        </w:rPr>
        <w:t>ö</w:t>
      </w:r>
      <w:r w:rsidRPr="000D22CF">
        <w:rPr>
          <w:lang w:val="de-DE"/>
        </w:rPr>
        <w:t>glichen Auswirkungen auf die Züchtung und die Landwirtschaft;</w:t>
      </w:r>
    </w:p>
    <w:p w:rsidR="009F7CE4" w:rsidRPr="000D22CF" w:rsidRDefault="009F7CE4" w:rsidP="009F7CE4">
      <w:pPr>
        <w:ind w:firstLine="567"/>
        <w:rPr>
          <w:rFonts w:cs="Arial"/>
          <w:lang w:val="de-DE"/>
        </w:rPr>
      </w:pPr>
    </w:p>
    <w:p w:rsidR="009F7CE4" w:rsidRPr="000D22CF" w:rsidRDefault="009F7CE4" w:rsidP="009F7CE4">
      <w:pPr>
        <w:ind w:firstLine="567"/>
        <w:rPr>
          <w:rFonts w:cs="Arial"/>
          <w:lang w:val="de-DE"/>
        </w:rPr>
      </w:pPr>
      <w:r w:rsidRPr="000D22CF">
        <w:rPr>
          <w:lang w:val="de-DE"/>
        </w:rPr>
        <w:t>b)</w:t>
      </w:r>
      <w:r w:rsidRPr="000D22CF">
        <w:rPr>
          <w:lang w:val="de-DE"/>
        </w:rPr>
        <w:tab/>
        <w:t>bestehende Erfahrung in Bezug auf im wesentlichen abgeleitete Sorten; und</w:t>
      </w:r>
    </w:p>
    <w:p w:rsidR="009F7CE4" w:rsidRPr="000D22CF" w:rsidRDefault="009F7CE4" w:rsidP="009F7CE4">
      <w:pPr>
        <w:ind w:firstLine="567"/>
        <w:rPr>
          <w:rFonts w:cs="Arial"/>
          <w:lang w:val="de-DE"/>
        </w:rPr>
      </w:pPr>
    </w:p>
    <w:p w:rsidR="009F7CE4" w:rsidRPr="000D22CF" w:rsidRDefault="009F7CE4" w:rsidP="009F7CE4">
      <w:pPr>
        <w:keepNext/>
        <w:ind w:firstLine="567"/>
        <w:rPr>
          <w:rFonts w:cs="Arial"/>
          <w:lang w:val="de-DE"/>
        </w:rPr>
      </w:pPr>
      <w:r w:rsidRPr="000D22CF">
        <w:rPr>
          <w:lang w:val="de-DE"/>
        </w:rPr>
        <w:t>c)</w:t>
      </w:r>
      <w:r w:rsidRPr="000D22CF">
        <w:rPr>
          <w:lang w:val="de-DE"/>
        </w:rPr>
        <w:tab/>
        <w:t xml:space="preserve">die mögliche Rolle künftiger UPOV-Anleitung zu im wesentlichen abgeleiteten Sorten in Fällen, die vor Gericht verhandelt werden. </w:t>
      </w:r>
    </w:p>
    <w:p w:rsidR="009F7CE4" w:rsidRPr="000D22CF" w:rsidRDefault="009F7CE4" w:rsidP="009F7CE4">
      <w:pPr>
        <w:keepNext/>
        <w:rPr>
          <w:rFonts w:cs="Arial"/>
          <w:lang w:val="de-DE"/>
        </w:rPr>
      </w:pPr>
    </w:p>
    <w:p w:rsidR="009F7CE4" w:rsidRPr="000D22CF" w:rsidRDefault="009F7CE4" w:rsidP="009F7CE4">
      <w:pPr>
        <w:rPr>
          <w:rFonts w:cs="Arial"/>
          <w:lang w:val="de-DE"/>
        </w:rPr>
      </w:pPr>
      <w:r w:rsidRPr="000D22CF">
        <w:rPr>
          <w:lang w:val="de-DE"/>
        </w:rPr>
        <w:t>(vergleiche Dokument C(Extr.)/30/7 „Bericht über d</w:t>
      </w:r>
      <w:r w:rsidR="00864E1B" w:rsidRPr="000D22CF">
        <w:rPr>
          <w:lang w:val="de-DE"/>
        </w:rPr>
        <w:t>ie Entschließungen“, Absatz 19)</w:t>
      </w:r>
    </w:p>
    <w:p w:rsidR="009F7CE4" w:rsidRPr="000D22CF" w:rsidRDefault="009F7CE4" w:rsidP="009F7CE4">
      <w:pPr>
        <w:rPr>
          <w:snapToGrid w:val="0"/>
          <w:lang w:val="de-DE"/>
        </w:rPr>
      </w:pPr>
    </w:p>
    <w:p w:rsidR="009F7CE4" w:rsidRPr="000D22CF" w:rsidRDefault="009F7CE4" w:rsidP="009F7CE4">
      <w:pPr>
        <w:rPr>
          <w:rFonts w:cs="Arial"/>
          <w:lang w:val="de-DE"/>
        </w:rPr>
      </w:pPr>
      <w:r w:rsidRPr="000D22CF">
        <w:rPr>
          <w:snapToGrid w:val="0"/>
          <w:lang w:val="de-DE"/>
        </w:rPr>
        <w:fldChar w:fldCharType="begin"/>
      </w:r>
      <w:r w:rsidRPr="000D22CF">
        <w:rPr>
          <w:snapToGrid w:val="0"/>
          <w:lang w:val="de-DE"/>
        </w:rPr>
        <w:instrText xml:space="preserve"> AUTONUM  </w:instrText>
      </w:r>
      <w:r w:rsidRPr="000D22CF">
        <w:rPr>
          <w:snapToGrid w:val="0"/>
          <w:lang w:val="de-DE"/>
        </w:rPr>
        <w:fldChar w:fldCharType="end"/>
      </w:r>
      <w:r w:rsidRPr="000D22CF">
        <w:rPr>
          <w:snapToGrid w:val="0"/>
          <w:lang w:val="de-DE"/>
        </w:rPr>
        <w:tab/>
        <w:t xml:space="preserve">Im Hinblick auf mögliche Auswirkungen auf die Züchtung und die Landwirtschaft vereinbarte der Rat auf </w:t>
      </w:r>
      <w:r w:rsidRPr="000D22CF">
        <w:rPr>
          <w:lang w:val="de-DE"/>
        </w:rPr>
        <w:t>seiner dreißigsten außerordentlichen Tagung</w:t>
      </w:r>
      <w:r w:rsidRPr="000D22CF">
        <w:rPr>
          <w:snapToGrid w:val="0"/>
          <w:lang w:val="de-DE"/>
        </w:rPr>
        <w:t xml:space="preserve">, dass die Perspektive der bäuerlichen Züchter in das Seminar aufgenommen werden solle. Er vereinbarte weiter, daß das Programm für das Seminar sowie die Referenten zwischen dem Verbandsbüro, dem Vorsitzenden und dem Stellvertretenden Vorsitzenden des CAJ sowie der Ratspräsidentin abgestimmt werden sollen. Der Rat vereinbarte, daß das Seminar dem Publikum offen stehen solle, unter der Bedingung, dass den Verbandsmitgliedern und Beobachtern ausreichend Platz zur Verfügung steht, und dass die Referate und Erörterungen des Seminars nach einer angemessenen Übertragungsverzögerung auf der UPOV-Website verfügbar gemacht werden sollen </w:t>
      </w:r>
      <w:r w:rsidRPr="000D22CF">
        <w:rPr>
          <w:lang w:val="de-DE"/>
        </w:rPr>
        <w:t>(vergleiche Dokument C(Extr.)/30/7 „Bericht über die Entscheidungen“, Absatz 20).</w:t>
      </w:r>
    </w:p>
    <w:p w:rsidR="009F7CE4" w:rsidRPr="000D22CF" w:rsidRDefault="009F7CE4" w:rsidP="009F7CE4">
      <w:pPr>
        <w:rPr>
          <w:snapToGrid w:val="0"/>
          <w:lang w:val="de-DE"/>
        </w:rPr>
      </w:pPr>
    </w:p>
    <w:p w:rsidR="009F7CE4" w:rsidRPr="000D22CF" w:rsidRDefault="009F7CE4" w:rsidP="009F7CE4">
      <w:pPr>
        <w:rPr>
          <w:snapToGrid w:val="0"/>
          <w:lang w:val="de-DE"/>
        </w:rPr>
      </w:pPr>
      <w:r w:rsidRPr="000D22CF">
        <w:rPr>
          <w:snapToGrid w:val="0"/>
          <w:lang w:val="de-DE"/>
        </w:rPr>
        <w:fldChar w:fldCharType="begin"/>
      </w:r>
      <w:r w:rsidRPr="000D22CF">
        <w:rPr>
          <w:snapToGrid w:val="0"/>
          <w:lang w:val="de-DE"/>
        </w:rPr>
        <w:instrText xml:space="preserve"> AUTONUM  </w:instrText>
      </w:r>
      <w:r w:rsidRPr="000D22CF">
        <w:rPr>
          <w:snapToGrid w:val="0"/>
          <w:lang w:val="de-DE"/>
        </w:rPr>
        <w:fldChar w:fldCharType="end"/>
      </w:r>
      <w:r w:rsidRPr="000D22CF">
        <w:rPr>
          <w:snapToGrid w:val="0"/>
          <w:lang w:val="de-DE"/>
        </w:rPr>
        <w:tab/>
        <w:t xml:space="preserve">Der Programmentwurf für das Seminar über im wesentlichen abgeleitete Sorten (Dokument UPOV/SEM/GE/13/1) sowie die Biographien der Referenten stehen auf der UPOV-Website zur Verfügung unter </w:t>
      </w:r>
      <w:hyperlink r:id="rId9" w:history="1">
        <w:r w:rsidR="00864E1B" w:rsidRPr="000D22CF">
          <w:rPr>
            <w:rStyle w:val="Hyperlink"/>
            <w:snapToGrid w:val="0"/>
            <w:lang w:val="de-DE"/>
          </w:rPr>
          <w:t>http://www.upov.int/meetings/de/topic.jsp?group_id=73</w:t>
        </w:r>
      </w:hyperlink>
      <w:r w:rsidR="00864E1B" w:rsidRPr="000D22CF">
        <w:rPr>
          <w:snapToGrid w:val="0"/>
          <w:lang w:val="de-DE"/>
        </w:rPr>
        <w:t>.</w:t>
      </w:r>
    </w:p>
    <w:p w:rsidR="00864E1B" w:rsidRPr="000D22CF" w:rsidRDefault="00864E1B" w:rsidP="009F7CE4">
      <w:pPr>
        <w:rPr>
          <w:snapToGrid w:val="0"/>
          <w:lang w:val="de-DE"/>
        </w:rPr>
      </w:pPr>
    </w:p>
    <w:p w:rsidR="009F7CE4" w:rsidRPr="000D22CF" w:rsidRDefault="009F7CE4" w:rsidP="009F7CE4">
      <w:pPr>
        <w:rPr>
          <w:snapToGrid w:val="0"/>
          <w:lang w:val="de-DE"/>
        </w:rPr>
      </w:pPr>
      <w:r w:rsidRPr="000D22CF">
        <w:rPr>
          <w:snapToGrid w:val="0"/>
          <w:lang w:val="de-DE"/>
        </w:rPr>
        <w:fldChar w:fldCharType="begin"/>
      </w:r>
      <w:r w:rsidRPr="000D22CF">
        <w:rPr>
          <w:snapToGrid w:val="0"/>
          <w:lang w:val="de-DE"/>
        </w:rPr>
        <w:instrText xml:space="preserve"> AUTONUM  </w:instrText>
      </w:r>
      <w:r w:rsidRPr="000D22CF">
        <w:rPr>
          <w:snapToGrid w:val="0"/>
          <w:lang w:val="de-DE"/>
        </w:rPr>
        <w:fldChar w:fldCharType="end"/>
      </w:r>
      <w:r w:rsidRPr="000D22CF">
        <w:rPr>
          <w:snapToGrid w:val="0"/>
          <w:lang w:val="de-DE"/>
        </w:rPr>
        <w:tab/>
        <w:t xml:space="preserve">Der CAJ wird ersucht, die CAJ-AG zu ersuchen, die Schlußfolgerungen des Seminars über im wesentlichen abgeleitete Sorten im Hinblick </w:t>
      </w:r>
      <w:r w:rsidRPr="000D22CF">
        <w:rPr>
          <w:lang w:val="de-DE"/>
        </w:rPr>
        <w:t xml:space="preserve"> auf seine Arbeiten zur künftigen Anleitung zu im wesentlichen abgeleiteten Sorten zu prüfen</w:t>
      </w:r>
      <w:r w:rsidRPr="000D22CF">
        <w:rPr>
          <w:snapToGrid w:val="0"/>
          <w:lang w:val="de-DE"/>
        </w:rPr>
        <w:t>.</w:t>
      </w:r>
    </w:p>
    <w:p w:rsidR="009F7CE4" w:rsidRPr="000D22CF" w:rsidRDefault="009F7CE4" w:rsidP="009F7CE4">
      <w:pPr>
        <w:rPr>
          <w:highlight w:val="yellow"/>
          <w:lang w:val="de-DE"/>
        </w:rPr>
      </w:pPr>
    </w:p>
    <w:p w:rsidR="009F7CE4" w:rsidRPr="000D22CF" w:rsidRDefault="009F7CE4" w:rsidP="009F7CE4">
      <w:pPr>
        <w:tabs>
          <w:tab w:val="left" w:pos="5387"/>
        </w:tabs>
        <w:ind w:left="4820"/>
        <w:rPr>
          <w:i/>
          <w:lang w:val="de-DE"/>
        </w:rPr>
      </w:pPr>
      <w:r w:rsidRPr="000D22CF">
        <w:rPr>
          <w:i/>
          <w:lang w:val="de-DE"/>
        </w:rPr>
        <w:fldChar w:fldCharType="begin"/>
      </w:r>
      <w:r w:rsidRPr="000D22CF">
        <w:rPr>
          <w:i/>
          <w:lang w:val="de-DE"/>
        </w:rPr>
        <w:instrText xml:space="preserve"> AUTONUM  </w:instrText>
      </w:r>
      <w:r w:rsidRPr="000D22CF">
        <w:rPr>
          <w:i/>
          <w:lang w:val="de-DE"/>
        </w:rPr>
        <w:fldChar w:fldCharType="end"/>
      </w:r>
      <w:r w:rsidRPr="000D22CF">
        <w:rPr>
          <w:i/>
          <w:lang w:val="de-DE"/>
        </w:rPr>
        <w:tab/>
        <w:t xml:space="preserve">Der CAJ wird ersucht, die CAJ-AG zu ersuchen, die Schlußfolgerungen des Seminars über im wesentlichen abgeleitete Sorten im Hinblick auf ihre Arbeit zur künftigen Anleitung zu im wesentlichen abgeleiteten Sorten, wie in den Absätzen 13 bis 16 oben dargelegt, zu prüfen. </w:t>
      </w:r>
    </w:p>
    <w:p w:rsidR="009F7CE4" w:rsidRPr="000D22CF" w:rsidRDefault="009F7CE4" w:rsidP="009F7CE4">
      <w:pPr>
        <w:ind w:right="566"/>
        <w:rPr>
          <w:lang w:val="de-DE"/>
        </w:rPr>
      </w:pPr>
    </w:p>
    <w:p w:rsidR="009F7CE4" w:rsidRPr="000D22CF" w:rsidRDefault="009F7CE4" w:rsidP="009F7CE4">
      <w:pPr>
        <w:ind w:right="566"/>
        <w:rPr>
          <w:lang w:val="de-DE"/>
        </w:rPr>
      </w:pPr>
    </w:p>
    <w:p w:rsidR="00096C6C" w:rsidRPr="000D22CF" w:rsidRDefault="00096C6C" w:rsidP="009F7CE4">
      <w:pPr>
        <w:ind w:right="566"/>
        <w:rPr>
          <w:lang w:val="de-DE"/>
        </w:rPr>
      </w:pPr>
    </w:p>
    <w:p w:rsidR="009F7CE4" w:rsidRPr="000D22CF" w:rsidRDefault="009F7CE4" w:rsidP="009F7CE4">
      <w:pPr>
        <w:keepNext/>
        <w:outlineLvl w:val="0"/>
        <w:rPr>
          <w:caps/>
          <w:lang w:val="de-DE"/>
        </w:rPr>
      </w:pPr>
      <w:bookmarkStart w:id="12" w:name="_Toc369085546"/>
      <w:r w:rsidRPr="000D22CF">
        <w:rPr>
          <w:caps/>
          <w:lang w:val="de-DE"/>
        </w:rPr>
        <w:t>IV.</w:t>
      </w:r>
      <w:r w:rsidRPr="000D22CF">
        <w:rPr>
          <w:caps/>
          <w:lang w:val="de-DE"/>
        </w:rPr>
        <w:tab/>
        <w:t>TEILNAHME VON BEOBACHTERN AN DER CAJ-AG</w:t>
      </w:r>
      <w:bookmarkEnd w:id="12"/>
    </w:p>
    <w:p w:rsidR="009F7CE4" w:rsidRPr="000D22CF" w:rsidRDefault="009F7CE4" w:rsidP="009F7CE4">
      <w:pPr>
        <w:rPr>
          <w:lang w:val="de-DE"/>
        </w:rPr>
      </w:pPr>
    </w:p>
    <w:p w:rsidR="009F7CE4" w:rsidRPr="000D22CF" w:rsidRDefault="009F7CE4" w:rsidP="009F7CE4">
      <w:pPr>
        <w:rPr>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 xml:space="preserve">Der CAJ vereinbarte auf seiner siebenundsechzigsten Tagung, den Beratenden Ausschuß und den Rat zu ersuchen, Anleitung zu geben hinsichtlich der Vorschläge zur Teilnahme von Beobachtern in der </w:t>
      </w:r>
      <w:r w:rsidRPr="000D22CF">
        <w:rPr>
          <w:color w:val="000000"/>
          <w:lang w:val="de-DE"/>
        </w:rPr>
        <w:t>Beratungsgruppe des Verwaltungs- und Rechtsausschusses (</w:t>
      </w:r>
      <w:r w:rsidRPr="000D22CF">
        <w:rPr>
          <w:lang w:val="de-DE"/>
        </w:rPr>
        <w:t>CAJ</w:t>
      </w:r>
      <w:r w:rsidR="00C17D14" w:rsidRPr="000D22CF">
        <w:rPr>
          <w:lang w:val="de-DE"/>
        </w:rPr>
        <w:t>-</w:t>
      </w:r>
      <w:r w:rsidRPr="000D22CF">
        <w:rPr>
          <w:lang w:val="de-DE"/>
        </w:rPr>
        <w:t>AG), wie in den Absätzen 25 bis 27 von Dokument CAJ/67/2 dargelegt (vergleiche Dokument CAJ/67/14 „Bericht üb</w:t>
      </w:r>
      <w:r w:rsidR="00096C6C" w:rsidRPr="000D22CF">
        <w:rPr>
          <w:lang w:val="de-DE"/>
        </w:rPr>
        <w:t>er die Entschließungen“, Absatz </w:t>
      </w:r>
      <w:r w:rsidRPr="000D22CF">
        <w:rPr>
          <w:lang w:val="de-DE"/>
        </w:rPr>
        <w:t>22).</w:t>
      </w:r>
    </w:p>
    <w:p w:rsidR="009F7CE4" w:rsidRPr="000D22CF" w:rsidRDefault="009F7CE4" w:rsidP="009F7CE4">
      <w:pPr>
        <w:rPr>
          <w:lang w:val="de-DE"/>
        </w:rPr>
      </w:pPr>
    </w:p>
    <w:p w:rsidR="009F7CE4" w:rsidRPr="000D22CF" w:rsidRDefault="009F7CE4" w:rsidP="009F7CE4">
      <w:pPr>
        <w:rPr>
          <w:rFonts w:cs="Arial"/>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Der CAJ nahm auf seiner siebenundsechzigsten Tagung zur Kenntnis, daß die Anfrage des Vertreters der Vereinigung für Pflanzenzüchtung zum Nut</w:t>
      </w:r>
      <w:r w:rsidR="00CA0D62" w:rsidRPr="000D22CF">
        <w:rPr>
          <w:lang w:val="de-DE"/>
        </w:rPr>
        <w:t>zen der Gesellschaft (APBREBES)</w:t>
      </w:r>
      <w:r w:rsidRPr="000D22CF">
        <w:rPr>
          <w:lang w:val="de-DE"/>
        </w:rPr>
        <w:t xml:space="preserve"> an den Erörterungen betreffend die Beobachter teilzunehmen, dem Beratenden Ausschuß und dem Rat übermittelt werde (vergleiche Dokument CAJ/67/14 „Bericht über die Entschließungen“, Absatz 23).</w:t>
      </w:r>
    </w:p>
    <w:p w:rsidR="009F7CE4" w:rsidRPr="000D22CF" w:rsidRDefault="009F7CE4" w:rsidP="009F7CE4">
      <w:pPr>
        <w:rPr>
          <w:lang w:val="de-DE"/>
        </w:rPr>
      </w:pPr>
    </w:p>
    <w:p w:rsidR="009F7CE4" w:rsidRPr="000D22CF" w:rsidRDefault="009F7CE4" w:rsidP="009F7CE4">
      <w:pPr>
        <w:rPr>
          <w:rFonts w:eastAsia="MS Mincho" w:cs="Arial"/>
          <w:color w:val="000000"/>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Der Beratende Ausschuß vereinbarte auf seiner fünfundachtzigsten T</w:t>
      </w:r>
      <w:r w:rsidR="00CA0D62" w:rsidRPr="000D22CF">
        <w:rPr>
          <w:lang w:val="de-DE"/>
        </w:rPr>
        <w:t>agung am 22. März 2013 in Genf,</w:t>
      </w:r>
      <w:r w:rsidRPr="000D22CF">
        <w:rPr>
          <w:color w:val="000000"/>
          <w:lang w:val="de-DE"/>
        </w:rPr>
        <w:t xml:space="preserve"> </w:t>
      </w:r>
      <w:r w:rsidRPr="000D22CF">
        <w:rPr>
          <w:lang w:val="de-DE"/>
        </w:rPr>
        <w:t xml:space="preserve">APBREBES </w:t>
      </w:r>
      <w:r w:rsidRPr="000D22CF">
        <w:rPr>
          <w:color w:val="000000"/>
          <w:lang w:val="de-DE"/>
        </w:rPr>
        <w:t xml:space="preserve">dazu einzuladen, an dem einschlägigen Teil des Tagesordnungspunktes über Beobachter des Programms seiner sechsundachtzigsten Tagung teilzunehmen, um seine Ansichten zu Angelegenheiten betreffend die Teilnahme von Beobachtern in der </w:t>
      </w:r>
      <w:r w:rsidRPr="000D22CF">
        <w:rPr>
          <w:lang w:val="de-DE"/>
        </w:rPr>
        <w:t>CAJ-AG darzulegen.</w:t>
      </w:r>
    </w:p>
    <w:p w:rsidR="009F7CE4" w:rsidRPr="000D22CF" w:rsidRDefault="009F7CE4" w:rsidP="009F7CE4">
      <w:pPr>
        <w:rPr>
          <w:lang w:val="de-DE"/>
        </w:rPr>
      </w:pPr>
    </w:p>
    <w:p w:rsidR="009F7CE4" w:rsidRPr="000D22CF" w:rsidRDefault="009F7CE4" w:rsidP="009F7CE4">
      <w:pPr>
        <w:rPr>
          <w:lang w:val="de-DE"/>
        </w:rPr>
      </w:pPr>
      <w:r w:rsidRPr="000D22CF">
        <w:rPr>
          <w:lang w:val="de-DE"/>
        </w:rPr>
        <w:lastRenderedPageBreak/>
        <w:fldChar w:fldCharType="begin"/>
      </w:r>
      <w:r w:rsidRPr="000D22CF">
        <w:rPr>
          <w:lang w:val="de-DE"/>
        </w:rPr>
        <w:instrText xml:space="preserve"> AUTONUM  </w:instrText>
      </w:r>
      <w:r w:rsidRPr="000D22CF">
        <w:rPr>
          <w:lang w:val="de-DE"/>
        </w:rPr>
        <w:fldChar w:fldCharType="end"/>
      </w:r>
      <w:r w:rsidRPr="000D22CF">
        <w:rPr>
          <w:lang w:val="de-DE"/>
        </w:rPr>
        <w:tab/>
        <w:t>Der Beratende Ausschuß wird auf seiner sechsundachtzigsten Tagung am 23. Oktober 2013 wichtige Angelegenheiten betreffend die Teilnahme von Beobachtern in der CAJ-AG prüfen. Die Entschließungen des Beratenden Ausschusses werden dem CAJ berichtet werden.</w:t>
      </w:r>
    </w:p>
    <w:p w:rsidR="009F7CE4" w:rsidRPr="000D22CF" w:rsidRDefault="009F7CE4" w:rsidP="009F7CE4">
      <w:pPr>
        <w:rPr>
          <w:lang w:val="de-DE"/>
        </w:rPr>
      </w:pPr>
    </w:p>
    <w:p w:rsidR="009F7CE4" w:rsidRPr="000D22CF" w:rsidRDefault="009F7CE4" w:rsidP="009F7CE4">
      <w:pPr>
        <w:rPr>
          <w:rFonts w:cs="Arial"/>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In Erwartung der Ergebnisse der Erwägungen im Beratenden Ausschuß u</w:t>
      </w:r>
      <w:r w:rsidR="00CA0D62" w:rsidRPr="000D22CF">
        <w:rPr>
          <w:lang w:val="de-DE"/>
        </w:rPr>
        <w:t>nd im Rat, vereinbarte die CAJ</w:t>
      </w:r>
      <w:r w:rsidR="00CA0D62" w:rsidRPr="000D22CF">
        <w:rPr>
          <w:lang w:val="de-DE"/>
        </w:rPr>
        <w:noBreakHyphen/>
      </w:r>
      <w:r w:rsidRPr="000D22CF">
        <w:rPr>
          <w:lang w:val="de-DE"/>
        </w:rPr>
        <w:t xml:space="preserve">AG auf dem Schriftweg, </w:t>
      </w:r>
      <w:r w:rsidRPr="000D22CF">
        <w:rPr>
          <w:i/>
          <w:lang w:val="de-DE"/>
        </w:rPr>
        <w:t>Ad-hoc</w:t>
      </w:r>
      <w:r w:rsidRPr="000D22CF">
        <w:rPr>
          <w:lang w:val="de-DE"/>
        </w:rPr>
        <w:t xml:space="preserve">-Einladungen an die Organisationen zu schicken, deren Einladung die CAJ-AG zuvor vereinbarte hatte, um ihnen zu ermöglichen, ihre Ansichten zu wichtigen Angelegenheiten auch weiterhin darlegen zu können (vergleiche Dokument CAJ-AG/12/7/7 „Bericht“, Absatz 2). Auf dieser Grundlage wurden folgende Organisationen zur Teilnahme an den einschlägigen Teilen der achten Tagung der CAJ-AG eingeladen: APBREBES, die Europäische Koordination Via Campesina (ECVC), die Internationale Gemeinschaft der Züchter vegetativ vermehrbarer Zier- und Obstpflanzen (CIOPORA) sowie der </w:t>
      </w:r>
      <w:r w:rsidR="00254599" w:rsidRPr="000D22CF">
        <w:rPr>
          <w:i/>
          <w:lang w:val="de-DE"/>
        </w:rPr>
        <w:t>International Seed Federation</w:t>
      </w:r>
      <w:r w:rsidR="00254599" w:rsidRPr="000D22CF">
        <w:rPr>
          <w:lang w:val="de-DE"/>
        </w:rPr>
        <w:t xml:space="preserve"> (ISF)</w:t>
      </w:r>
      <w:r w:rsidRPr="000D22CF">
        <w:rPr>
          <w:lang w:val="de-DE"/>
        </w:rPr>
        <w:t>.</w:t>
      </w:r>
    </w:p>
    <w:p w:rsidR="009F7CE4" w:rsidRPr="000D22CF" w:rsidRDefault="009F7CE4" w:rsidP="009F7CE4">
      <w:pPr>
        <w:rPr>
          <w:rFonts w:cs="Arial"/>
          <w:highlight w:val="yellow"/>
          <w:lang w:val="de-DE"/>
        </w:rPr>
      </w:pPr>
    </w:p>
    <w:p w:rsidR="009F7CE4" w:rsidRPr="000D22CF" w:rsidRDefault="009F7CE4" w:rsidP="009F7CE4">
      <w:pPr>
        <w:keepNext/>
        <w:tabs>
          <w:tab w:val="left" w:pos="5387"/>
        </w:tabs>
        <w:ind w:left="4820"/>
        <w:rPr>
          <w:rFonts w:cs="Arial"/>
          <w:i/>
          <w:lang w:val="de-DE"/>
        </w:rPr>
      </w:pPr>
      <w:r w:rsidRPr="000D22CF">
        <w:rPr>
          <w:i/>
          <w:lang w:val="de-DE"/>
        </w:rPr>
        <w:fldChar w:fldCharType="begin"/>
      </w:r>
      <w:r w:rsidRPr="000D22CF">
        <w:rPr>
          <w:i/>
          <w:lang w:val="de-DE"/>
        </w:rPr>
        <w:instrText xml:space="preserve"> AUTONUM  </w:instrText>
      </w:r>
      <w:r w:rsidRPr="000D22CF">
        <w:rPr>
          <w:i/>
          <w:lang w:val="de-DE"/>
        </w:rPr>
        <w:fldChar w:fldCharType="end"/>
      </w:r>
      <w:r w:rsidRPr="000D22CF">
        <w:rPr>
          <w:i/>
          <w:lang w:val="de-DE"/>
        </w:rPr>
        <w:tab/>
        <w:t>Der CAJ wird ersucht zur Kenntnis zu nehmen, daß</w:t>
      </w:r>
    </w:p>
    <w:p w:rsidR="009F7CE4" w:rsidRPr="000D22CF" w:rsidRDefault="009F7CE4" w:rsidP="009F7CE4">
      <w:pPr>
        <w:keepNext/>
        <w:ind w:left="4820"/>
        <w:rPr>
          <w:rFonts w:cs="Arial"/>
          <w:i/>
          <w:lang w:val="de-DE"/>
        </w:rPr>
      </w:pPr>
    </w:p>
    <w:p w:rsidR="009F7CE4" w:rsidRPr="000D22CF" w:rsidRDefault="009F7CE4" w:rsidP="009F7CE4">
      <w:pPr>
        <w:tabs>
          <w:tab w:val="left" w:pos="5387"/>
          <w:tab w:val="left" w:pos="5954"/>
        </w:tabs>
        <w:ind w:left="4820"/>
        <w:rPr>
          <w:i/>
          <w:lang w:val="de-DE"/>
        </w:rPr>
      </w:pPr>
      <w:r w:rsidRPr="000D22CF">
        <w:rPr>
          <w:i/>
          <w:lang w:val="de-DE"/>
        </w:rPr>
        <w:tab/>
        <w:t>a)</w:t>
      </w:r>
      <w:r w:rsidRPr="000D22CF">
        <w:rPr>
          <w:i/>
          <w:lang w:val="de-DE"/>
        </w:rPr>
        <w:tab/>
        <w:t>die Entschließungen des Beratenden Ausschusses auf seiner sechsundachtzigsten Tagung am 23. Oktober 2013 betreffend die Teilnahme von Beobachtern in der CAJ-AG dem CAJ berichtet werden;</w:t>
      </w:r>
      <w:r w:rsidR="00254599" w:rsidRPr="000D22CF">
        <w:rPr>
          <w:i/>
          <w:lang w:val="de-DE"/>
        </w:rPr>
        <w:t xml:space="preserve"> und</w:t>
      </w:r>
    </w:p>
    <w:p w:rsidR="009F7CE4" w:rsidRPr="000D22CF" w:rsidRDefault="009F7CE4" w:rsidP="009F7CE4">
      <w:pPr>
        <w:tabs>
          <w:tab w:val="left" w:pos="5387"/>
          <w:tab w:val="left" w:pos="5954"/>
        </w:tabs>
        <w:ind w:left="4820"/>
        <w:rPr>
          <w:i/>
          <w:lang w:val="de-DE"/>
        </w:rPr>
      </w:pPr>
    </w:p>
    <w:p w:rsidR="009F7CE4" w:rsidRPr="000D22CF" w:rsidRDefault="009F7CE4" w:rsidP="009F7CE4">
      <w:pPr>
        <w:tabs>
          <w:tab w:val="left" w:pos="5387"/>
          <w:tab w:val="left" w:pos="5954"/>
        </w:tabs>
        <w:ind w:left="4820"/>
        <w:rPr>
          <w:i/>
          <w:lang w:val="de-DE"/>
        </w:rPr>
      </w:pPr>
      <w:r w:rsidRPr="000D22CF">
        <w:rPr>
          <w:i/>
          <w:lang w:val="de-DE"/>
        </w:rPr>
        <w:tab/>
        <w:t>b)</w:t>
      </w:r>
      <w:r w:rsidRPr="000D22CF">
        <w:rPr>
          <w:i/>
          <w:lang w:val="de-DE"/>
        </w:rPr>
        <w:tab/>
        <w:t xml:space="preserve">die Vereinigung für Pflanzenzüchtung zum Nutzen der Gesellschaft </w:t>
      </w:r>
      <w:r w:rsidR="00E77BAB">
        <w:rPr>
          <w:i/>
          <w:lang w:val="de-DE"/>
        </w:rPr>
        <w:t>(</w:t>
      </w:r>
      <w:r w:rsidRPr="000D22CF">
        <w:rPr>
          <w:i/>
          <w:lang w:val="de-DE"/>
        </w:rPr>
        <w:t>A</w:t>
      </w:r>
      <w:bookmarkStart w:id="13" w:name="_GoBack"/>
      <w:bookmarkEnd w:id="13"/>
      <w:r w:rsidRPr="000D22CF">
        <w:rPr>
          <w:i/>
          <w:lang w:val="de-DE"/>
        </w:rPr>
        <w:t>PBREBES</w:t>
      </w:r>
      <w:r w:rsidR="00E77BAB">
        <w:rPr>
          <w:i/>
          <w:lang w:val="de-DE"/>
        </w:rPr>
        <w:t>)</w:t>
      </w:r>
      <w:r w:rsidRPr="000D22CF">
        <w:rPr>
          <w:i/>
          <w:lang w:val="de-DE"/>
        </w:rPr>
        <w:t xml:space="preserve">, die Europäische Koordination Via Campesina (ECVC), die Internationale Gemeinschaft der Züchter vegetativ vermehrbarer Zier- und Obstpflanzen (CIOPORA) sowie der </w:t>
      </w:r>
      <w:r w:rsidR="00254599" w:rsidRPr="000D22CF">
        <w:rPr>
          <w:lang w:val="de-DE"/>
        </w:rPr>
        <w:t>International Seed Federation</w:t>
      </w:r>
      <w:r w:rsidR="00254599" w:rsidRPr="000D22CF">
        <w:rPr>
          <w:i/>
          <w:lang w:val="de-DE"/>
        </w:rPr>
        <w:t xml:space="preserve"> (ISF)</w:t>
      </w:r>
      <w:r w:rsidRPr="000D22CF">
        <w:rPr>
          <w:i/>
          <w:lang w:val="de-DE"/>
        </w:rPr>
        <w:t xml:space="preserve"> dazu eingeladen wurden, an den einschlägigen Teilen der achten Tagung der CAJ</w:t>
      </w:r>
      <w:r w:rsidRPr="000D22CF">
        <w:rPr>
          <w:i/>
          <w:lang w:val="de-DE"/>
        </w:rPr>
        <w:noBreakHyphen/>
        <w:t>AG, wie in Absatz 26 oben dargelegt, teilzunehmen.</w:t>
      </w:r>
    </w:p>
    <w:p w:rsidR="009F7CE4" w:rsidRPr="000D22CF" w:rsidRDefault="009F7CE4" w:rsidP="009F7CE4">
      <w:pPr>
        <w:rPr>
          <w:rFonts w:cs="Arial"/>
          <w:lang w:val="de-DE"/>
        </w:rPr>
      </w:pPr>
    </w:p>
    <w:p w:rsidR="00254599" w:rsidRPr="000D22CF" w:rsidRDefault="00254599" w:rsidP="009F7CE4">
      <w:pPr>
        <w:rPr>
          <w:rFonts w:cs="Arial"/>
          <w:lang w:val="de-DE"/>
        </w:rPr>
      </w:pPr>
    </w:p>
    <w:p w:rsidR="009F7CE4" w:rsidRPr="000D22CF" w:rsidRDefault="009F7CE4" w:rsidP="009F7CE4">
      <w:pPr>
        <w:rPr>
          <w:rFonts w:cs="Arial"/>
          <w:lang w:val="de-DE"/>
        </w:rPr>
      </w:pPr>
    </w:p>
    <w:p w:rsidR="009F7CE4" w:rsidRPr="000D22CF" w:rsidRDefault="009F7CE4" w:rsidP="009F7CE4">
      <w:pPr>
        <w:keepNext/>
        <w:outlineLvl w:val="0"/>
        <w:rPr>
          <w:caps/>
          <w:lang w:val="de-DE"/>
        </w:rPr>
      </w:pPr>
      <w:bookmarkStart w:id="14" w:name="_Toc369085547"/>
      <w:r w:rsidRPr="000D22CF">
        <w:rPr>
          <w:caps/>
          <w:lang w:val="de-DE"/>
        </w:rPr>
        <w:t>V.</w:t>
      </w:r>
      <w:r w:rsidRPr="000D22CF">
        <w:rPr>
          <w:caps/>
          <w:lang w:val="de-DE"/>
        </w:rPr>
        <w:tab/>
        <w:t xml:space="preserve">Von der CAJ-AG auf ihrer achten Tagung </w:t>
      </w:r>
      <w:bookmarkStart w:id="15" w:name="_Toc335929241"/>
      <w:r w:rsidRPr="000D22CF">
        <w:rPr>
          <w:caps/>
          <w:lang w:val="de-DE"/>
        </w:rPr>
        <w:t>ZU PRÜFENDE ANGELEGENHEITEN</w:t>
      </w:r>
      <w:bookmarkEnd w:id="14"/>
      <w:r w:rsidRPr="000D22CF">
        <w:rPr>
          <w:caps/>
          <w:lang w:val="de-DE"/>
        </w:rPr>
        <w:t xml:space="preserve"> </w:t>
      </w:r>
      <w:bookmarkEnd w:id="15"/>
    </w:p>
    <w:p w:rsidR="009F7CE4" w:rsidRPr="000D22CF" w:rsidRDefault="009F7CE4" w:rsidP="009F7CE4">
      <w:pPr>
        <w:rPr>
          <w:lang w:val="de-DE"/>
        </w:rPr>
      </w:pPr>
    </w:p>
    <w:p w:rsidR="009F7CE4" w:rsidRPr="000D22CF" w:rsidRDefault="009F7CE4" w:rsidP="009F7CE4">
      <w:pPr>
        <w:rPr>
          <w:lang w:val="de-DE"/>
        </w:rPr>
      </w:pPr>
      <w:r w:rsidRPr="000D22CF">
        <w:rPr>
          <w:lang w:val="de-DE"/>
        </w:rPr>
        <w:fldChar w:fldCharType="begin"/>
      </w:r>
      <w:r w:rsidRPr="000D22CF">
        <w:rPr>
          <w:lang w:val="de-DE"/>
        </w:rPr>
        <w:instrText xml:space="preserve"> AUTONUM  </w:instrText>
      </w:r>
      <w:r w:rsidRPr="000D22CF">
        <w:rPr>
          <w:lang w:val="de-DE"/>
        </w:rPr>
        <w:fldChar w:fldCharType="end"/>
      </w:r>
      <w:r w:rsidRPr="000D22CF">
        <w:rPr>
          <w:lang w:val="de-DE"/>
        </w:rPr>
        <w:tab/>
        <w:t xml:space="preserve">Auf seiner </w:t>
      </w:r>
      <w:r w:rsidR="00254599" w:rsidRPr="000D22CF">
        <w:rPr>
          <w:lang w:val="de-DE"/>
        </w:rPr>
        <w:t>sieben</w:t>
      </w:r>
      <w:r w:rsidRPr="000D22CF">
        <w:rPr>
          <w:lang w:val="de-DE"/>
        </w:rPr>
        <w:t>undsechzigsten Tagung billigte der CAJ das Programm für die achte Tagung der CAJ</w:t>
      </w:r>
      <w:r w:rsidR="00254599" w:rsidRPr="000D22CF">
        <w:rPr>
          <w:lang w:val="de-DE"/>
        </w:rPr>
        <w:noBreakHyphen/>
      </w:r>
      <w:r w:rsidRPr="000D22CF">
        <w:rPr>
          <w:lang w:val="de-DE"/>
        </w:rPr>
        <w:t>AG am 25. Oktober 2013 in Genf (vergleiche Dokument CAJ/67/14 „Bericht über die Entschließungen“, Absatz 28). Auf der neunundsechzigsten Tagung des CAJ wird Bericht über die Arbeit der CAJ-AG auf ihrer achten Tagung im April 2014 erstattet werden. Der Tagesordnungsentwurf der achten Tagung</w:t>
      </w:r>
      <w:r w:rsidR="00CA0D62" w:rsidRPr="000D22CF">
        <w:rPr>
          <w:lang w:val="de-DE"/>
        </w:rPr>
        <w:t xml:space="preserve"> der CAJ-AG (vergleiche Dokument CAJ</w:t>
      </w:r>
      <w:r w:rsidR="00CA0D62" w:rsidRPr="000D22CF">
        <w:rPr>
          <w:lang w:val="de-DE"/>
        </w:rPr>
        <w:noBreakHyphen/>
      </w:r>
      <w:r w:rsidRPr="000D22CF">
        <w:rPr>
          <w:lang w:val="de-DE"/>
        </w:rPr>
        <w:t>AG/13/8/1) ist nachfolgend wiedergegeben:</w:t>
      </w:r>
    </w:p>
    <w:p w:rsidR="009F7CE4" w:rsidRPr="000D22CF" w:rsidRDefault="009F7CE4" w:rsidP="009F7CE4">
      <w:pPr>
        <w:rPr>
          <w:lang w:val="de-DE"/>
        </w:rPr>
      </w:pPr>
    </w:p>
    <w:p w:rsidR="009F7CE4" w:rsidRPr="000D22CF" w:rsidRDefault="009F7CE4" w:rsidP="009F7CE4">
      <w:pPr>
        <w:ind w:left="567"/>
        <w:rPr>
          <w:lang w:val="de-DE"/>
        </w:rPr>
      </w:pPr>
      <w:r w:rsidRPr="000D22CF">
        <w:rPr>
          <w:lang w:val="de-DE"/>
        </w:rPr>
        <w:t>1.</w:t>
      </w:r>
      <w:r w:rsidRPr="000D22CF">
        <w:rPr>
          <w:lang w:val="de-DE"/>
        </w:rPr>
        <w:tab/>
        <w:t>Eröffnung der Tagung</w:t>
      </w:r>
    </w:p>
    <w:p w:rsidR="009F7CE4" w:rsidRPr="000D22CF" w:rsidRDefault="009F7CE4" w:rsidP="009F7CE4">
      <w:pPr>
        <w:ind w:left="567"/>
        <w:rPr>
          <w:lang w:val="de-DE"/>
        </w:rPr>
      </w:pPr>
    </w:p>
    <w:p w:rsidR="009F7CE4" w:rsidRPr="000D22CF" w:rsidRDefault="009F7CE4" w:rsidP="009F7CE4">
      <w:pPr>
        <w:ind w:left="567"/>
        <w:rPr>
          <w:lang w:val="de-DE"/>
        </w:rPr>
      </w:pPr>
      <w:r w:rsidRPr="000D22CF">
        <w:rPr>
          <w:lang w:val="de-DE"/>
        </w:rPr>
        <w:t>2.</w:t>
      </w:r>
      <w:r w:rsidRPr="000D22CF">
        <w:rPr>
          <w:lang w:val="de-DE"/>
        </w:rPr>
        <w:tab/>
        <w:t>Annahme der Tagesordnung</w:t>
      </w:r>
    </w:p>
    <w:p w:rsidR="009F7CE4" w:rsidRPr="000D22CF" w:rsidRDefault="009F7CE4" w:rsidP="009F7CE4">
      <w:pPr>
        <w:ind w:left="567"/>
        <w:rPr>
          <w:lang w:val="de-DE"/>
        </w:rPr>
      </w:pPr>
    </w:p>
    <w:p w:rsidR="009F7CE4" w:rsidRPr="000D22CF" w:rsidRDefault="009F7CE4" w:rsidP="009F7CE4">
      <w:pPr>
        <w:ind w:left="1134" w:hanging="567"/>
        <w:rPr>
          <w:lang w:val="de-DE"/>
        </w:rPr>
      </w:pPr>
      <w:r w:rsidRPr="000D22CF">
        <w:rPr>
          <w:lang w:val="de-DE"/>
        </w:rPr>
        <w:t>3.</w:t>
      </w:r>
      <w:r w:rsidRPr="000D22CF">
        <w:rPr>
          <w:lang w:val="de-DE"/>
        </w:rPr>
        <w:tab/>
        <w:t>Erläuterungen zu den im wesentlichen abgeleiteten Sorten nach der Akte von 1991 des UPOV-Übereinkommens (Überarbeitung) (Dokument CAJ-AG/13/8/2)</w:t>
      </w:r>
    </w:p>
    <w:p w:rsidR="009F7CE4" w:rsidRPr="000D22CF" w:rsidRDefault="009F7CE4" w:rsidP="009F7CE4">
      <w:pPr>
        <w:ind w:left="567"/>
        <w:rPr>
          <w:lang w:val="de-DE"/>
        </w:rPr>
      </w:pPr>
    </w:p>
    <w:p w:rsidR="009F7CE4" w:rsidRPr="000D22CF" w:rsidRDefault="009F7CE4" w:rsidP="009F7CE4">
      <w:pPr>
        <w:ind w:left="1134" w:hanging="567"/>
        <w:rPr>
          <w:spacing w:val="-2"/>
          <w:lang w:val="de-DE"/>
        </w:rPr>
      </w:pPr>
      <w:r w:rsidRPr="000D22CF">
        <w:rPr>
          <w:spacing w:val="-2"/>
          <w:lang w:val="de-DE"/>
        </w:rPr>
        <w:t>4.</w:t>
      </w:r>
      <w:r w:rsidRPr="000D22CF">
        <w:rPr>
          <w:spacing w:val="-2"/>
          <w:lang w:val="de-DE"/>
        </w:rPr>
        <w:tab/>
        <w:t>Erläuterungen zu Vermehrung und Vermehrungsmaterial (UPOV/EXN/PPM Draft 1)</w:t>
      </w:r>
    </w:p>
    <w:p w:rsidR="009F7CE4" w:rsidRPr="000D22CF" w:rsidRDefault="009F7CE4" w:rsidP="009F7CE4">
      <w:pPr>
        <w:ind w:left="567"/>
        <w:rPr>
          <w:lang w:val="de-DE"/>
        </w:rPr>
      </w:pPr>
    </w:p>
    <w:p w:rsidR="009F7CE4" w:rsidRPr="000D22CF" w:rsidRDefault="009F7CE4" w:rsidP="009F7CE4">
      <w:pPr>
        <w:ind w:left="567"/>
        <w:rPr>
          <w:lang w:val="de-DE"/>
        </w:rPr>
      </w:pPr>
      <w:r w:rsidRPr="000D22CF">
        <w:rPr>
          <w:lang w:val="de-DE"/>
        </w:rPr>
        <w:t>5.</w:t>
      </w:r>
      <w:r w:rsidRPr="000D22CF">
        <w:rPr>
          <w:lang w:val="de-DE"/>
        </w:rPr>
        <w:tab/>
        <w:t>Erläuterungen zu Handlungen in bezug auf Erntegut (Dokument CAJ-AG/13/8/3)</w:t>
      </w:r>
    </w:p>
    <w:p w:rsidR="009F7CE4" w:rsidRPr="000D22CF" w:rsidRDefault="009F7CE4" w:rsidP="009F7CE4">
      <w:pPr>
        <w:ind w:left="567"/>
        <w:rPr>
          <w:lang w:val="de-DE"/>
        </w:rPr>
      </w:pPr>
    </w:p>
    <w:p w:rsidR="009F7CE4" w:rsidRPr="000D22CF" w:rsidRDefault="009F7CE4" w:rsidP="009F7CE4">
      <w:pPr>
        <w:ind w:left="567"/>
        <w:rPr>
          <w:lang w:val="de-DE"/>
        </w:rPr>
      </w:pPr>
      <w:r w:rsidRPr="000D22CF">
        <w:rPr>
          <w:lang w:val="de-DE"/>
        </w:rPr>
        <w:t>6.</w:t>
      </w:r>
      <w:r w:rsidRPr="000D22CF">
        <w:rPr>
          <w:lang w:val="de-DE"/>
        </w:rPr>
        <w:tab/>
        <w:t>Angelegenheiten betreffend die Aufhebung des Züchterrechts (Dokument CAJ-AG/13/8/4)</w:t>
      </w:r>
    </w:p>
    <w:p w:rsidR="009F7CE4" w:rsidRPr="000D22CF" w:rsidRDefault="009F7CE4" w:rsidP="009F7CE4">
      <w:pPr>
        <w:ind w:left="567"/>
        <w:rPr>
          <w:lang w:val="de-DE"/>
        </w:rPr>
      </w:pPr>
    </w:p>
    <w:p w:rsidR="009F7CE4" w:rsidRPr="000D22CF" w:rsidRDefault="009F7CE4" w:rsidP="009F7CE4">
      <w:pPr>
        <w:ind w:left="567"/>
        <w:rPr>
          <w:lang w:val="de-DE"/>
        </w:rPr>
      </w:pPr>
      <w:r w:rsidRPr="000D22CF">
        <w:rPr>
          <w:lang w:val="de-DE"/>
        </w:rPr>
        <w:t>7.</w:t>
      </w:r>
      <w:r w:rsidRPr="000D22CF">
        <w:rPr>
          <w:lang w:val="de-DE"/>
        </w:rPr>
        <w:tab/>
        <w:t>Angelegenheiten betreffend die Nichtigkeit des Züchterrechts (Dokument CAJ-AG/13/8/5)</w:t>
      </w:r>
    </w:p>
    <w:p w:rsidR="009F7CE4" w:rsidRPr="000D22CF" w:rsidRDefault="009F7CE4" w:rsidP="009F7CE4">
      <w:pPr>
        <w:ind w:left="567"/>
        <w:rPr>
          <w:lang w:val="de-DE"/>
        </w:rPr>
      </w:pPr>
    </w:p>
    <w:p w:rsidR="009F7CE4" w:rsidRPr="000D22CF" w:rsidRDefault="009F7CE4" w:rsidP="009F7CE4">
      <w:pPr>
        <w:ind w:left="567"/>
        <w:rPr>
          <w:lang w:val="de-DE"/>
        </w:rPr>
      </w:pPr>
      <w:r w:rsidRPr="000D22CF">
        <w:rPr>
          <w:lang w:val="de-DE"/>
        </w:rPr>
        <w:t>8.</w:t>
      </w:r>
      <w:r w:rsidRPr="000D22CF">
        <w:rPr>
          <w:lang w:val="de-DE"/>
        </w:rPr>
        <w:tab/>
        <w:t>Angelegenheiten betreffend Sortenbezeichnungen (Dokument CAJ-AG/13/8/6)</w:t>
      </w:r>
    </w:p>
    <w:p w:rsidR="009F7CE4" w:rsidRPr="000D22CF" w:rsidRDefault="009F7CE4" w:rsidP="009F7CE4">
      <w:pPr>
        <w:ind w:left="567"/>
        <w:rPr>
          <w:lang w:val="de-DE"/>
        </w:rPr>
      </w:pPr>
    </w:p>
    <w:p w:rsidR="009F7CE4" w:rsidRPr="000D22CF" w:rsidRDefault="009F7CE4" w:rsidP="009F7CE4">
      <w:pPr>
        <w:ind w:left="567"/>
        <w:rPr>
          <w:lang w:val="de-DE"/>
        </w:rPr>
      </w:pPr>
      <w:r w:rsidRPr="000D22CF">
        <w:rPr>
          <w:lang w:val="de-DE"/>
        </w:rPr>
        <w:t>9.</w:t>
      </w:r>
      <w:r w:rsidRPr="000D22CF">
        <w:rPr>
          <w:lang w:val="de-DE"/>
        </w:rPr>
        <w:tab/>
        <w:t>Angelegenheiten betreffend Sortenbeschreibungen (Dokument CAJ-AG/13/8/7)</w:t>
      </w:r>
    </w:p>
    <w:p w:rsidR="009F7CE4" w:rsidRPr="000D22CF" w:rsidRDefault="009F7CE4" w:rsidP="009F7CE4">
      <w:pPr>
        <w:ind w:left="567"/>
        <w:rPr>
          <w:lang w:val="de-DE"/>
        </w:rPr>
      </w:pPr>
    </w:p>
    <w:p w:rsidR="009F7CE4" w:rsidRPr="000D22CF" w:rsidRDefault="009F7CE4" w:rsidP="009F7CE4">
      <w:pPr>
        <w:ind w:left="1134" w:hanging="567"/>
        <w:rPr>
          <w:lang w:val="de-DE"/>
        </w:rPr>
      </w:pPr>
      <w:r w:rsidRPr="000D22CF">
        <w:rPr>
          <w:lang w:val="de-DE"/>
        </w:rPr>
        <w:lastRenderedPageBreak/>
        <w:t>10.</w:t>
      </w:r>
      <w:r w:rsidRPr="000D22CF">
        <w:rPr>
          <w:lang w:val="de-DE"/>
        </w:rPr>
        <w:tab/>
        <w:t>Angelegenheiten, die sich nach der Erteilung eines Züchterrechts ergeben in bezug auf:  vorläufigen Schutz, Stellung von Anträgen und Wahrung der Züchterrechte (Dokument CAJ-AG/13/8/8).</w:t>
      </w:r>
    </w:p>
    <w:p w:rsidR="009F7CE4" w:rsidRPr="000D22CF" w:rsidRDefault="009F7CE4" w:rsidP="009F7CE4">
      <w:pPr>
        <w:ind w:left="567"/>
        <w:rPr>
          <w:lang w:val="de-DE"/>
        </w:rPr>
      </w:pPr>
    </w:p>
    <w:p w:rsidR="009F7CE4" w:rsidRPr="000D22CF" w:rsidRDefault="009F7CE4" w:rsidP="009F7CE4">
      <w:pPr>
        <w:ind w:left="567"/>
        <w:rPr>
          <w:lang w:val="de-DE"/>
        </w:rPr>
      </w:pPr>
      <w:r w:rsidRPr="000D22CF">
        <w:rPr>
          <w:lang w:val="de-DE"/>
        </w:rPr>
        <w:t>11.</w:t>
      </w:r>
      <w:r w:rsidRPr="000D22CF">
        <w:rPr>
          <w:lang w:val="de-DE"/>
        </w:rPr>
        <w:tab/>
        <w:t>Angelegenheiten betreffend Beobachter in der CAJ-AG (Dokument CAJ-AG/13/8/9)</w:t>
      </w:r>
    </w:p>
    <w:p w:rsidR="009F7CE4" w:rsidRPr="000D22CF" w:rsidRDefault="009F7CE4" w:rsidP="009F7CE4">
      <w:pPr>
        <w:ind w:left="567"/>
        <w:rPr>
          <w:lang w:val="de-DE"/>
        </w:rPr>
      </w:pPr>
    </w:p>
    <w:p w:rsidR="009F7CE4" w:rsidRPr="000D22CF" w:rsidRDefault="009F7CE4" w:rsidP="009F7CE4">
      <w:pPr>
        <w:ind w:left="1134" w:hanging="567"/>
        <w:rPr>
          <w:lang w:val="de-DE"/>
        </w:rPr>
      </w:pPr>
      <w:r w:rsidRPr="000D22CF">
        <w:rPr>
          <w:lang w:val="de-DE"/>
        </w:rPr>
        <w:t>12.</w:t>
      </w:r>
      <w:r w:rsidRPr="000D22CF">
        <w:rPr>
          <w:lang w:val="de-DE"/>
        </w:rPr>
        <w:tab/>
        <w:t>Vom CAJ seit der siebten Tagung der CAJ-AG an die CAJ-AG verwiesene Fragen</w:t>
      </w:r>
    </w:p>
    <w:p w:rsidR="009F7CE4" w:rsidRPr="000D22CF" w:rsidRDefault="009F7CE4" w:rsidP="009F7CE4">
      <w:pPr>
        <w:ind w:left="567"/>
        <w:rPr>
          <w:lang w:val="de-DE"/>
        </w:rPr>
      </w:pPr>
    </w:p>
    <w:p w:rsidR="009F7CE4" w:rsidRPr="000D22CF" w:rsidRDefault="009F7CE4" w:rsidP="009F7CE4">
      <w:pPr>
        <w:ind w:left="567"/>
        <w:rPr>
          <w:lang w:val="de-DE"/>
        </w:rPr>
      </w:pPr>
      <w:r w:rsidRPr="000D22CF">
        <w:rPr>
          <w:lang w:val="de-DE"/>
        </w:rPr>
        <w:t>13.</w:t>
      </w:r>
      <w:r w:rsidRPr="000D22CF">
        <w:rPr>
          <w:lang w:val="de-DE"/>
        </w:rPr>
        <w:tab/>
        <w:t>Datum und Programm für die neunte Tagung</w:t>
      </w:r>
    </w:p>
    <w:p w:rsidR="009F7CE4" w:rsidRPr="000D22CF" w:rsidRDefault="009F7CE4" w:rsidP="009F7CE4">
      <w:pPr>
        <w:rPr>
          <w:lang w:val="de-DE"/>
        </w:rPr>
      </w:pPr>
    </w:p>
    <w:p w:rsidR="009F7CE4" w:rsidRPr="000D22CF" w:rsidRDefault="009F7CE4" w:rsidP="009F7CE4">
      <w:pPr>
        <w:tabs>
          <w:tab w:val="left" w:pos="5387"/>
        </w:tabs>
        <w:ind w:left="4820"/>
        <w:rPr>
          <w:i/>
          <w:lang w:val="de-DE"/>
        </w:rPr>
      </w:pPr>
      <w:r w:rsidRPr="000D22CF">
        <w:rPr>
          <w:i/>
          <w:lang w:val="de-DE"/>
        </w:rPr>
        <w:fldChar w:fldCharType="begin"/>
      </w:r>
      <w:r w:rsidRPr="000D22CF">
        <w:rPr>
          <w:i/>
          <w:lang w:val="de-DE"/>
        </w:rPr>
        <w:instrText xml:space="preserve"> AUTONUM  </w:instrText>
      </w:r>
      <w:r w:rsidRPr="000D22CF">
        <w:rPr>
          <w:i/>
          <w:lang w:val="de-DE"/>
        </w:rPr>
        <w:fldChar w:fldCharType="end"/>
      </w:r>
      <w:r w:rsidR="00CA0D62" w:rsidRPr="000D22CF">
        <w:rPr>
          <w:i/>
          <w:lang w:val="de-DE"/>
        </w:rPr>
        <w:tab/>
        <w:t>Der CAJ wird ersucht</w:t>
      </w:r>
      <w:r w:rsidRPr="000D22CF">
        <w:rPr>
          <w:i/>
          <w:lang w:val="de-DE"/>
        </w:rPr>
        <w:t>, die Information betreffend die achte Tagung der CAJ-AG am 25. Oktober 2013, wie in Absatz 28 oben dargelegt, zur Kenntnis zu nehmen.</w:t>
      </w:r>
    </w:p>
    <w:p w:rsidR="009F7CE4" w:rsidRPr="000D22CF" w:rsidRDefault="009F7CE4" w:rsidP="009F7CE4">
      <w:pPr>
        <w:rPr>
          <w:snapToGrid w:val="0"/>
          <w:lang w:val="de-DE"/>
        </w:rPr>
      </w:pPr>
    </w:p>
    <w:p w:rsidR="009F7CE4" w:rsidRPr="000D22CF" w:rsidRDefault="009F7CE4" w:rsidP="009F7CE4">
      <w:pPr>
        <w:rPr>
          <w:snapToGrid w:val="0"/>
          <w:lang w:val="de-DE"/>
        </w:rPr>
      </w:pPr>
    </w:p>
    <w:p w:rsidR="009F7CE4" w:rsidRPr="000D22CF" w:rsidRDefault="009F7CE4" w:rsidP="009F7CE4">
      <w:pPr>
        <w:rPr>
          <w:snapToGrid w:val="0"/>
          <w:lang w:val="de-DE"/>
        </w:rPr>
      </w:pPr>
    </w:p>
    <w:p w:rsidR="00205516" w:rsidRPr="000D22CF" w:rsidRDefault="009F7CE4" w:rsidP="009F7CE4">
      <w:pPr>
        <w:jc w:val="right"/>
        <w:rPr>
          <w:lang w:val="de-DE"/>
        </w:rPr>
        <w:sectPr w:rsidR="00205516" w:rsidRPr="000D22CF" w:rsidSect="00906DDC">
          <w:headerReference w:type="default" r:id="rId10"/>
          <w:pgSz w:w="11907" w:h="16840" w:code="9"/>
          <w:pgMar w:top="510" w:right="1134" w:bottom="1134" w:left="1134" w:header="510" w:footer="680" w:gutter="0"/>
          <w:cols w:space="720"/>
          <w:titlePg/>
        </w:sectPr>
      </w:pPr>
      <w:r w:rsidRPr="000D22CF">
        <w:rPr>
          <w:snapToGrid w:val="0"/>
          <w:lang w:val="de-DE"/>
        </w:rPr>
        <w:t>[Anlage folgt]</w:t>
      </w:r>
    </w:p>
    <w:p w:rsidR="00205516" w:rsidRPr="000D22CF" w:rsidRDefault="00205516" w:rsidP="00205516">
      <w:pPr>
        <w:jc w:val="center"/>
        <w:rPr>
          <w:lang w:val="de-DE"/>
        </w:rPr>
      </w:pPr>
      <w:r w:rsidRPr="000D22CF">
        <w:rPr>
          <w:lang w:val="de-DE"/>
        </w:rPr>
        <w:lastRenderedPageBreak/>
        <w:t>CAJ/6</w:t>
      </w:r>
      <w:r w:rsidR="00254599" w:rsidRPr="000D22CF">
        <w:rPr>
          <w:lang w:val="de-DE"/>
        </w:rPr>
        <w:t>8</w:t>
      </w:r>
      <w:r w:rsidRPr="000D22CF">
        <w:rPr>
          <w:lang w:val="de-DE"/>
        </w:rPr>
        <w:t>/2</w:t>
      </w:r>
    </w:p>
    <w:p w:rsidR="00205516" w:rsidRPr="000D22CF" w:rsidRDefault="00205516" w:rsidP="00205516">
      <w:pPr>
        <w:jc w:val="center"/>
        <w:rPr>
          <w:lang w:val="de-DE"/>
        </w:rPr>
      </w:pPr>
    </w:p>
    <w:p w:rsidR="00205516" w:rsidRPr="000D22CF" w:rsidRDefault="00A32891" w:rsidP="00205516">
      <w:pPr>
        <w:jc w:val="center"/>
        <w:rPr>
          <w:lang w:val="de-DE"/>
        </w:rPr>
      </w:pPr>
      <w:r w:rsidRPr="000D22CF">
        <w:rPr>
          <w:lang w:val="de-DE"/>
        </w:rPr>
        <w:t>ANLAGE</w:t>
      </w:r>
    </w:p>
    <w:p w:rsidR="00205516" w:rsidRPr="000D22CF" w:rsidRDefault="00205516" w:rsidP="00205516">
      <w:pPr>
        <w:jc w:val="center"/>
        <w:rPr>
          <w:lang w:val="de-DE"/>
        </w:rPr>
      </w:pPr>
    </w:p>
    <w:p w:rsidR="00A32891" w:rsidRPr="000D22CF" w:rsidRDefault="00A32891" w:rsidP="00A32891">
      <w:pPr>
        <w:jc w:val="center"/>
        <w:rPr>
          <w:lang w:val="de-DE"/>
        </w:rPr>
      </w:pPr>
      <w:r w:rsidRPr="000D22CF">
        <w:rPr>
          <w:lang w:val="de-DE"/>
        </w:rPr>
        <w:t>ÜBERBLICK ÜBER DIE ENTWICKLUNG VON INFORMATIONSMATERIAL</w:t>
      </w:r>
    </w:p>
    <w:p w:rsidR="00A32891" w:rsidRPr="000D22CF" w:rsidRDefault="00A32891" w:rsidP="00A32891">
      <w:pPr>
        <w:jc w:val="center"/>
        <w:rPr>
          <w:lang w:val="de-DE"/>
        </w:rPr>
      </w:pPr>
    </w:p>
    <w:p w:rsidR="00A32891" w:rsidRPr="000D22CF" w:rsidRDefault="00A32891" w:rsidP="00A32891">
      <w:pPr>
        <w:jc w:val="left"/>
        <w:rPr>
          <w:sz w:val="18"/>
          <w:lang w:val="de-DE"/>
        </w:rPr>
      </w:pPr>
      <w:r w:rsidRPr="000D22CF">
        <w:rPr>
          <w:sz w:val="18"/>
          <w:lang w:val="de-DE"/>
        </w:rPr>
        <w:t>ERLÄUTERUNGEN</w:t>
      </w:r>
    </w:p>
    <w:p w:rsidR="00A32891" w:rsidRPr="000D22CF" w:rsidRDefault="00A32891" w:rsidP="00A32891">
      <w:pPr>
        <w:jc w:val="left"/>
        <w:rPr>
          <w:sz w:val="18"/>
          <w:lang w:val="de-DE"/>
        </w:rPr>
      </w:pPr>
    </w:p>
    <w:tbl>
      <w:tblPr>
        <w:tblW w:w="15217" w:type="dxa"/>
        <w:jc w:val="center"/>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741"/>
        <w:gridCol w:w="8515"/>
        <w:gridCol w:w="4961"/>
      </w:tblGrid>
      <w:tr w:rsidR="00A32891" w:rsidRPr="000D22CF" w:rsidTr="00FF763B">
        <w:trPr>
          <w:cantSplit/>
          <w:jc w:val="center"/>
        </w:trPr>
        <w:tc>
          <w:tcPr>
            <w:tcW w:w="1741" w:type="dxa"/>
            <w:shd w:val="clear" w:color="auto" w:fill="D9D9D9"/>
          </w:tcPr>
          <w:p w:rsidR="00A32891" w:rsidRPr="000D22CF" w:rsidRDefault="00A32891" w:rsidP="00FF763B">
            <w:pPr>
              <w:jc w:val="left"/>
              <w:rPr>
                <w:rFonts w:cs="Arial"/>
                <w:sz w:val="18"/>
                <w:szCs w:val="18"/>
                <w:lang w:val="de-DE"/>
              </w:rPr>
            </w:pPr>
            <w:r w:rsidRPr="000D22CF">
              <w:rPr>
                <w:sz w:val="18"/>
                <w:lang w:val="de-DE"/>
              </w:rPr>
              <w:t>Verweiszeichen</w:t>
            </w:r>
          </w:p>
        </w:tc>
        <w:tc>
          <w:tcPr>
            <w:tcW w:w="8515" w:type="dxa"/>
            <w:shd w:val="clear" w:color="auto" w:fill="D9D9D9"/>
          </w:tcPr>
          <w:p w:rsidR="00A32891" w:rsidRPr="000D22CF" w:rsidRDefault="00A32891" w:rsidP="00FF763B">
            <w:pPr>
              <w:jc w:val="left"/>
              <w:rPr>
                <w:rFonts w:cs="Arial"/>
                <w:sz w:val="18"/>
                <w:szCs w:val="18"/>
                <w:lang w:val="de-DE"/>
              </w:rPr>
            </w:pPr>
            <w:r w:rsidRPr="000D22CF">
              <w:rPr>
                <w:sz w:val="18"/>
                <w:lang w:val="de-DE"/>
              </w:rPr>
              <w:t>Erläuterungen zu:</w:t>
            </w:r>
          </w:p>
        </w:tc>
        <w:tc>
          <w:tcPr>
            <w:tcW w:w="4961" w:type="dxa"/>
            <w:shd w:val="clear" w:color="auto" w:fill="D9D9D9"/>
          </w:tcPr>
          <w:p w:rsidR="00A32891" w:rsidRPr="000D22CF" w:rsidRDefault="00A32891" w:rsidP="00FF763B">
            <w:pPr>
              <w:jc w:val="left"/>
              <w:rPr>
                <w:rFonts w:cs="Arial"/>
                <w:sz w:val="18"/>
                <w:szCs w:val="18"/>
                <w:lang w:val="de-DE"/>
              </w:rPr>
            </w:pPr>
            <w:r w:rsidRPr="000D22CF">
              <w:rPr>
                <w:sz w:val="18"/>
                <w:lang w:val="de-DE"/>
              </w:rPr>
              <w:t>Status</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sz w:val="18"/>
                <w:lang w:val="de-DE"/>
              </w:rPr>
              <w:t>UPOV/EXN/BRD</w:t>
            </w:r>
          </w:p>
        </w:tc>
        <w:tc>
          <w:tcPr>
            <w:tcW w:w="8515" w:type="dxa"/>
          </w:tcPr>
          <w:p w:rsidR="00A32891" w:rsidRPr="000D22CF" w:rsidRDefault="00A32891" w:rsidP="00FF763B">
            <w:pPr>
              <w:jc w:val="left"/>
              <w:rPr>
                <w:rFonts w:cs="Arial"/>
                <w:sz w:val="18"/>
                <w:szCs w:val="18"/>
                <w:lang w:val="de-DE"/>
              </w:rPr>
            </w:pPr>
            <w:r w:rsidRPr="000D22CF">
              <w:rPr>
                <w:sz w:val="18"/>
                <w:lang w:val="de-DE"/>
              </w:rPr>
              <w:t>Begriffsbestimmung des Züchters nach der Akte von 1991 des UPOV-Übereinkommens</w:t>
            </w:r>
          </w:p>
        </w:tc>
        <w:tc>
          <w:tcPr>
            <w:tcW w:w="4961" w:type="dxa"/>
          </w:tcPr>
          <w:p w:rsidR="00A32891" w:rsidRPr="000D22CF" w:rsidRDefault="00A32891" w:rsidP="00FF763B">
            <w:pPr>
              <w:jc w:val="left"/>
              <w:rPr>
                <w:rFonts w:cs="Arial"/>
                <w:sz w:val="18"/>
                <w:szCs w:val="18"/>
                <w:lang w:val="de-DE"/>
              </w:rPr>
            </w:pPr>
            <w:r w:rsidRPr="000D22CF">
              <w:rPr>
                <w:sz w:val="18"/>
                <w:lang w:val="de-DE"/>
              </w:rPr>
              <w:t>(Annahme zu prüfen durch den Rat im Oktober 2013:  Dokument UPOV/EXN/BRD Draft 7)</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sz w:val="18"/>
                <w:lang w:val="de-DE"/>
              </w:rPr>
              <w:t>UPOV/EXN/CAL</w:t>
            </w:r>
          </w:p>
        </w:tc>
        <w:tc>
          <w:tcPr>
            <w:tcW w:w="8515" w:type="dxa"/>
          </w:tcPr>
          <w:p w:rsidR="00A32891" w:rsidRPr="000D22CF" w:rsidRDefault="00A32891" w:rsidP="00FF763B">
            <w:pPr>
              <w:jc w:val="left"/>
              <w:rPr>
                <w:rFonts w:cs="Arial"/>
                <w:sz w:val="18"/>
                <w:szCs w:val="18"/>
                <w:lang w:val="de-DE"/>
              </w:rPr>
            </w:pPr>
            <w:r w:rsidRPr="000D22CF">
              <w:rPr>
                <w:sz w:val="18"/>
                <w:lang w:val="de-DE"/>
              </w:rPr>
              <w:t>Bedingungen und Einschränkungen im Zusammenhang mit der Zustimmung des Züchters in bezug auf Vermehrungsmaterial nach dem UPOV-Übereinkommen</w:t>
            </w:r>
          </w:p>
        </w:tc>
        <w:tc>
          <w:tcPr>
            <w:tcW w:w="4961" w:type="dxa"/>
          </w:tcPr>
          <w:p w:rsidR="00A32891" w:rsidRPr="000D22CF" w:rsidRDefault="00A32891" w:rsidP="00FF763B">
            <w:pPr>
              <w:jc w:val="left"/>
              <w:rPr>
                <w:rFonts w:cs="Arial"/>
                <w:sz w:val="18"/>
                <w:szCs w:val="18"/>
                <w:lang w:val="de-DE"/>
              </w:rPr>
            </w:pPr>
            <w:r w:rsidRPr="000D22CF">
              <w:rPr>
                <w:sz w:val="18"/>
                <w:lang w:val="de-DE"/>
              </w:rPr>
              <w:t>UPOV/EXN/CAL/1 im Oktober 2010 angenommen</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sz w:val="18"/>
                <w:lang w:val="de-DE"/>
              </w:rPr>
              <w:t>UPOV/EXN/CAN</w:t>
            </w:r>
          </w:p>
        </w:tc>
        <w:tc>
          <w:tcPr>
            <w:tcW w:w="8515" w:type="dxa"/>
          </w:tcPr>
          <w:p w:rsidR="00A32891" w:rsidRPr="000D22CF" w:rsidRDefault="00A32891" w:rsidP="00FF763B">
            <w:pPr>
              <w:jc w:val="left"/>
              <w:rPr>
                <w:rFonts w:cs="Arial"/>
                <w:sz w:val="18"/>
                <w:szCs w:val="18"/>
                <w:lang w:val="de-DE"/>
              </w:rPr>
            </w:pPr>
            <w:r w:rsidRPr="000D22CF">
              <w:rPr>
                <w:sz w:val="18"/>
                <w:lang w:val="de-DE"/>
              </w:rPr>
              <w:t>Aufhebung des Züchterrechts nach dem UPOV-Übereinkommen</w:t>
            </w:r>
          </w:p>
        </w:tc>
        <w:tc>
          <w:tcPr>
            <w:tcW w:w="4961" w:type="dxa"/>
          </w:tcPr>
          <w:p w:rsidR="00A32891" w:rsidRPr="000D22CF" w:rsidRDefault="00A32891" w:rsidP="00FF763B">
            <w:pPr>
              <w:jc w:val="left"/>
              <w:rPr>
                <w:rFonts w:cs="Arial"/>
                <w:sz w:val="18"/>
                <w:szCs w:val="18"/>
                <w:lang w:val="de-DE"/>
              </w:rPr>
            </w:pPr>
            <w:r w:rsidRPr="000D22CF">
              <w:rPr>
                <w:sz w:val="18"/>
                <w:lang w:val="de-DE"/>
              </w:rPr>
              <w:t>UPOV/EXN/CAN/1 im Oktober 2009 angenommen</w:t>
            </w:r>
          </w:p>
          <w:p w:rsidR="00A32891" w:rsidRPr="000D22CF" w:rsidRDefault="00A32891" w:rsidP="00FF763B">
            <w:pPr>
              <w:jc w:val="left"/>
              <w:rPr>
                <w:rFonts w:cs="Arial"/>
                <w:sz w:val="18"/>
                <w:szCs w:val="18"/>
                <w:lang w:val="de-DE"/>
              </w:rPr>
            </w:pPr>
            <w:r w:rsidRPr="000D22CF">
              <w:rPr>
                <w:sz w:val="18"/>
                <w:lang w:val="de-DE"/>
              </w:rPr>
              <w:t>(etwaige Überarbeitung von der CAJ-AG im Oktober 2013 zu prüfen:  Dokument CAJ-AG/13/8/4)</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color w:val="000000"/>
                <w:sz w:val="18"/>
                <w:lang w:val="de-DE"/>
              </w:rPr>
              <w:t>UPOV/EXN/EDV</w:t>
            </w:r>
          </w:p>
        </w:tc>
        <w:tc>
          <w:tcPr>
            <w:tcW w:w="8515" w:type="dxa"/>
          </w:tcPr>
          <w:p w:rsidR="00A32891" w:rsidRPr="000D22CF" w:rsidRDefault="00A32891" w:rsidP="00FF763B">
            <w:pPr>
              <w:jc w:val="left"/>
              <w:rPr>
                <w:rFonts w:cs="Arial"/>
                <w:color w:val="000000"/>
                <w:sz w:val="18"/>
                <w:szCs w:val="18"/>
                <w:lang w:val="de-DE"/>
              </w:rPr>
            </w:pPr>
            <w:r w:rsidRPr="000D22CF">
              <w:rPr>
                <w:color w:val="000000"/>
                <w:sz w:val="18"/>
                <w:lang w:val="de-DE"/>
              </w:rPr>
              <w:t xml:space="preserve">Im wesentlichen abgeleitete Sorten nach der </w:t>
            </w:r>
            <w:r w:rsidRPr="000D22CF">
              <w:rPr>
                <w:sz w:val="18"/>
                <w:lang w:val="de-DE"/>
              </w:rPr>
              <w:t xml:space="preserve">Akte von 1991 </w:t>
            </w:r>
            <w:r w:rsidRPr="000D22CF">
              <w:rPr>
                <w:color w:val="000000"/>
                <w:sz w:val="18"/>
                <w:lang w:val="de-DE"/>
              </w:rPr>
              <w:t>des UPOV-Übereinkommens</w:t>
            </w:r>
          </w:p>
        </w:tc>
        <w:tc>
          <w:tcPr>
            <w:tcW w:w="4961" w:type="dxa"/>
          </w:tcPr>
          <w:p w:rsidR="00A32891" w:rsidRPr="000D22CF" w:rsidRDefault="00A32891" w:rsidP="00FF763B">
            <w:pPr>
              <w:jc w:val="left"/>
              <w:rPr>
                <w:rFonts w:cs="Arial"/>
                <w:sz w:val="18"/>
                <w:szCs w:val="18"/>
                <w:lang w:val="de-DE"/>
              </w:rPr>
            </w:pPr>
            <w:r w:rsidRPr="000D22CF">
              <w:rPr>
                <w:color w:val="000000"/>
                <w:sz w:val="18"/>
                <w:lang w:val="de-DE"/>
              </w:rPr>
              <w:t xml:space="preserve">UPOV/EXN/EDV/1 </w:t>
            </w:r>
            <w:r w:rsidRPr="000D22CF">
              <w:rPr>
                <w:sz w:val="18"/>
                <w:lang w:val="de-DE"/>
              </w:rPr>
              <w:t>im Oktober 2009 angenommen</w:t>
            </w:r>
          </w:p>
          <w:p w:rsidR="00A32891" w:rsidRPr="000D22CF" w:rsidRDefault="00A32891" w:rsidP="00254599">
            <w:pPr>
              <w:jc w:val="left"/>
              <w:rPr>
                <w:rFonts w:cs="Arial"/>
                <w:sz w:val="18"/>
                <w:szCs w:val="18"/>
                <w:lang w:val="de-DE"/>
              </w:rPr>
            </w:pPr>
            <w:r w:rsidRPr="000D22CF">
              <w:rPr>
                <w:color w:val="000000"/>
                <w:sz w:val="18"/>
                <w:lang w:val="de-DE"/>
              </w:rPr>
              <w:t>(</w:t>
            </w:r>
            <w:r w:rsidR="00254599" w:rsidRPr="000D22CF">
              <w:rPr>
                <w:sz w:val="18"/>
                <w:lang w:val="de-DE"/>
              </w:rPr>
              <w:t xml:space="preserve">etwaige Überarbeitung von </w:t>
            </w:r>
            <w:r w:rsidRPr="000D22CF">
              <w:rPr>
                <w:sz w:val="18"/>
                <w:lang w:val="de-DE"/>
              </w:rPr>
              <w:t>der CAJ-AG im Oktober 2013 zu prüfen:  Dokument CAJ-AG/13/8/2)</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color w:val="000000"/>
                <w:sz w:val="18"/>
                <w:lang w:val="de-DE"/>
              </w:rPr>
              <w:t>UPOV/EXN/ENF</w:t>
            </w:r>
          </w:p>
        </w:tc>
        <w:tc>
          <w:tcPr>
            <w:tcW w:w="8515" w:type="dxa"/>
          </w:tcPr>
          <w:p w:rsidR="00A32891" w:rsidRPr="000D22CF" w:rsidRDefault="00A32891" w:rsidP="00FF763B">
            <w:pPr>
              <w:jc w:val="left"/>
              <w:rPr>
                <w:rFonts w:cs="Arial"/>
                <w:sz w:val="18"/>
                <w:szCs w:val="18"/>
                <w:lang w:val="de-DE"/>
              </w:rPr>
            </w:pPr>
            <w:r w:rsidRPr="000D22CF">
              <w:rPr>
                <w:sz w:val="18"/>
                <w:lang w:val="de-DE"/>
              </w:rPr>
              <w:t>Wahrung der Züchterrechte nach dem UPOV-Übereinkommen</w:t>
            </w:r>
          </w:p>
        </w:tc>
        <w:tc>
          <w:tcPr>
            <w:tcW w:w="4961" w:type="dxa"/>
          </w:tcPr>
          <w:p w:rsidR="00A32891" w:rsidRPr="000D22CF" w:rsidRDefault="00A32891" w:rsidP="00FF763B">
            <w:pPr>
              <w:jc w:val="left"/>
              <w:rPr>
                <w:rFonts w:cs="Arial"/>
                <w:sz w:val="18"/>
                <w:szCs w:val="18"/>
                <w:lang w:val="de-DE"/>
              </w:rPr>
            </w:pPr>
            <w:r w:rsidRPr="000D22CF">
              <w:rPr>
                <w:color w:val="000000"/>
                <w:sz w:val="18"/>
                <w:lang w:val="de-DE"/>
              </w:rPr>
              <w:t xml:space="preserve">UPOV/EXN/EDV/1 </w:t>
            </w:r>
            <w:r w:rsidRPr="000D22CF">
              <w:rPr>
                <w:sz w:val="18"/>
                <w:lang w:val="de-DE"/>
              </w:rPr>
              <w:t>im Oktober 2009 angenommen</w:t>
            </w:r>
          </w:p>
        </w:tc>
      </w:tr>
      <w:tr w:rsidR="00A32891" w:rsidRPr="000D22CF" w:rsidTr="00FF763B">
        <w:trPr>
          <w:cantSplit/>
          <w:jc w:val="center"/>
        </w:trPr>
        <w:tc>
          <w:tcPr>
            <w:tcW w:w="1741" w:type="dxa"/>
          </w:tcPr>
          <w:p w:rsidR="00A32891" w:rsidRPr="000D22CF" w:rsidRDefault="00A32891" w:rsidP="00FF763B">
            <w:pPr>
              <w:jc w:val="left"/>
              <w:rPr>
                <w:rFonts w:cs="Arial"/>
                <w:color w:val="000000"/>
                <w:sz w:val="18"/>
                <w:szCs w:val="18"/>
                <w:lang w:val="de-DE"/>
              </w:rPr>
            </w:pPr>
            <w:r w:rsidRPr="000D22CF">
              <w:rPr>
                <w:color w:val="000000"/>
                <w:sz w:val="18"/>
                <w:lang w:val="de-DE"/>
              </w:rPr>
              <w:t>UPOV/EXN/EXC</w:t>
            </w:r>
          </w:p>
        </w:tc>
        <w:tc>
          <w:tcPr>
            <w:tcW w:w="8515" w:type="dxa"/>
          </w:tcPr>
          <w:p w:rsidR="00A32891" w:rsidRPr="000D22CF" w:rsidRDefault="00A32891" w:rsidP="00FF763B">
            <w:pPr>
              <w:jc w:val="left"/>
              <w:rPr>
                <w:rFonts w:cs="Arial"/>
                <w:color w:val="000000"/>
                <w:sz w:val="18"/>
                <w:szCs w:val="18"/>
                <w:lang w:val="de-DE"/>
              </w:rPr>
            </w:pPr>
            <w:r w:rsidRPr="000D22CF">
              <w:rPr>
                <w:color w:val="000000"/>
                <w:sz w:val="18"/>
                <w:lang w:val="de-DE"/>
              </w:rPr>
              <w:t xml:space="preserve">Ausnahmen vom Züchterrecht nach der </w:t>
            </w:r>
            <w:r w:rsidRPr="000D22CF">
              <w:rPr>
                <w:sz w:val="18"/>
                <w:lang w:val="de-DE"/>
              </w:rPr>
              <w:t xml:space="preserve">Akte von 1991 </w:t>
            </w:r>
            <w:r w:rsidRPr="000D22CF">
              <w:rPr>
                <w:color w:val="000000"/>
                <w:sz w:val="18"/>
                <w:lang w:val="de-DE"/>
              </w:rPr>
              <w:t>des UPOV Übereinkommens</w:t>
            </w:r>
          </w:p>
        </w:tc>
        <w:tc>
          <w:tcPr>
            <w:tcW w:w="4961" w:type="dxa"/>
          </w:tcPr>
          <w:p w:rsidR="00A32891" w:rsidRPr="000D22CF" w:rsidRDefault="00A32891" w:rsidP="00FF763B">
            <w:pPr>
              <w:jc w:val="left"/>
              <w:rPr>
                <w:rFonts w:cs="Arial"/>
                <w:sz w:val="18"/>
                <w:szCs w:val="18"/>
                <w:lang w:val="de-DE"/>
              </w:rPr>
            </w:pPr>
            <w:r w:rsidRPr="000D22CF">
              <w:rPr>
                <w:color w:val="000000"/>
                <w:sz w:val="18"/>
                <w:lang w:val="de-DE"/>
              </w:rPr>
              <w:t xml:space="preserve">UPOV/EXN/EDV/1 </w:t>
            </w:r>
            <w:r w:rsidRPr="000D22CF">
              <w:rPr>
                <w:sz w:val="18"/>
                <w:lang w:val="de-DE"/>
              </w:rPr>
              <w:t>im Oktober 2009 angenommen</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sz w:val="18"/>
                <w:lang w:val="de-DE"/>
              </w:rPr>
              <w:t>UPOV/EXN/GEN</w:t>
            </w:r>
          </w:p>
        </w:tc>
        <w:tc>
          <w:tcPr>
            <w:tcW w:w="8515" w:type="dxa"/>
          </w:tcPr>
          <w:p w:rsidR="00A32891" w:rsidRPr="000D22CF" w:rsidRDefault="00A32891" w:rsidP="00FF763B">
            <w:pPr>
              <w:jc w:val="left"/>
              <w:rPr>
                <w:rFonts w:cs="Arial"/>
                <w:sz w:val="18"/>
                <w:szCs w:val="18"/>
                <w:lang w:val="de-DE"/>
              </w:rPr>
            </w:pPr>
            <w:r w:rsidRPr="000D22CF">
              <w:rPr>
                <w:sz w:val="18"/>
                <w:lang w:val="de-DE"/>
              </w:rPr>
              <w:t>Gattungen und Arten, die nach der Akte von 1991 des UPOV-Übereinkommens geschützt werden müssen</w:t>
            </w:r>
          </w:p>
        </w:tc>
        <w:tc>
          <w:tcPr>
            <w:tcW w:w="4961" w:type="dxa"/>
          </w:tcPr>
          <w:p w:rsidR="00A32891" w:rsidRPr="000D22CF" w:rsidRDefault="00A32891" w:rsidP="00FF763B">
            <w:pPr>
              <w:jc w:val="left"/>
              <w:rPr>
                <w:rFonts w:cs="Arial"/>
                <w:sz w:val="18"/>
                <w:szCs w:val="18"/>
                <w:lang w:val="de-DE"/>
              </w:rPr>
            </w:pPr>
            <w:r w:rsidRPr="000D22CF">
              <w:rPr>
                <w:sz w:val="18"/>
                <w:lang w:val="de-DE"/>
              </w:rPr>
              <w:t>UPOV/EXN/GEN/1 im Oktober 2009 angenommen</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sz w:val="18"/>
                <w:lang w:val="de-DE"/>
              </w:rPr>
              <w:t>UPOV/EXN/HRV</w:t>
            </w:r>
          </w:p>
        </w:tc>
        <w:tc>
          <w:tcPr>
            <w:tcW w:w="8515" w:type="dxa"/>
          </w:tcPr>
          <w:p w:rsidR="00A32891" w:rsidRPr="000D22CF" w:rsidRDefault="00A32891" w:rsidP="00FF763B">
            <w:pPr>
              <w:jc w:val="left"/>
              <w:rPr>
                <w:rFonts w:cs="Arial"/>
                <w:sz w:val="18"/>
                <w:szCs w:val="18"/>
                <w:lang w:val="de-DE"/>
              </w:rPr>
            </w:pPr>
            <w:r w:rsidRPr="000D22CF">
              <w:rPr>
                <w:sz w:val="18"/>
                <w:lang w:val="de-DE"/>
              </w:rPr>
              <w:t>Erläuterungen zu Handlungen in bezug auf Erntegut nach der Akte von 1991 des UPOV-Übereinkommens</w:t>
            </w:r>
          </w:p>
        </w:tc>
        <w:tc>
          <w:tcPr>
            <w:tcW w:w="4961" w:type="dxa"/>
          </w:tcPr>
          <w:p w:rsidR="00A32891" w:rsidRPr="000D22CF" w:rsidRDefault="00A32891" w:rsidP="00FF763B">
            <w:pPr>
              <w:jc w:val="left"/>
              <w:rPr>
                <w:rFonts w:cs="Arial"/>
                <w:sz w:val="18"/>
                <w:szCs w:val="18"/>
                <w:lang w:val="de-DE"/>
              </w:rPr>
            </w:pPr>
            <w:r w:rsidRPr="000D22CF">
              <w:rPr>
                <w:sz w:val="18"/>
                <w:lang w:val="de-DE"/>
              </w:rPr>
              <w:t>(Annahme zu prüfen durch den CAJ und den Rat im Oktober 2013:  Dokument UPOV/EXN/HRV Draft 10)</w:t>
            </w:r>
          </w:p>
          <w:p w:rsidR="00A32891" w:rsidRPr="000D22CF" w:rsidRDefault="00A32891" w:rsidP="00FF763B">
            <w:pPr>
              <w:jc w:val="left"/>
              <w:rPr>
                <w:rFonts w:cs="Arial"/>
                <w:color w:val="000000"/>
                <w:sz w:val="18"/>
                <w:szCs w:val="18"/>
                <w:lang w:val="de-DE"/>
              </w:rPr>
            </w:pPr>
            <w:r w:rsidRPr="000D22CF">
              <w:rPr>
                <w:color w:val="000000"/>
                <w:sz w:val="18"/>
                <w:lang w:val="de-DE"/>
              </w:rPr>
              <w:t>(</w:t>
            </w:r>
            <w:r w:rsidRPr="000D22CF">
              <w:rPr>
                <w:sz w:val="18"/>
                <w:lang w:val="de-DE"/>
              </w:rPr>
              <w:t>etwaige Überarbeitung von der CAJ-AG im Oktober 2013 zu prüfen: Dokument CAJ-AG/13/8/3)</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sz w:val="18"/>
                <w:lang w:val="de-DE"/>
              </w:rPr>
              <w:t>UPOV/EXN/NAT</w:t>
            </w:r>
          </w:p>
        </w:tc>
        <w:tc>
          <w:tcPr>
            <w:tcW w:w="8515" w:type="dxa"/>
          </w:tcPr>
          <w:p w:rsidR="00A32891" w:rsidRPr="000D22CF" w:rsidRDefault="00A32891" w:rsidP="00FF763B">
            <w:pPr>
              <w:jc w:val="left"/>
              <w:rPr>
                <w:rFonts w:cs="Arial"/>
                <w:sz w:val="18"/>
                <w:szCs w:val="18"/>
                <w:lang w:val="de-DE"/>
              </w:rPr>
            </w:pPr>
            <w:r w:rsidRPr="000D22CF">
              <w:rPr>
                <w:sz w:val="18"/>
                <w:lang w:val="de-DE"/>
              </w:rPr>
              <w:t>Inländerbehandlung nach der Akte von 1991 des UPOV-Übereinkommens</w:t>
            </w:r>
          </w:p>
        </w:tc>
        <w:tc>
          <w:tcPr>
            <w:tcW w:w="4961" w:type="dxa"/>
          </w:tcPr>
          <w:p w:rsidR="00A32891" w:rsidRPr="000D22CF" w:rsidRDefault="00A32891" w:rsidP="00FF763B">
            <w:pPr>
              <w:jc w:val="left"/>
              <w:rPr>
                <w:rFonts w:cs="Arial"/>
                <w:sz w:val="18"/>
                <w:szCs w:val="18"/>
                <w:lang w:val="de-DE"/>
              </w:rPr>
            </w:pPr>
            <w:r w:rsidRPr="000D22CF">
              <w:rPr>
                <w:sz w:val="18"/>
                <w:lang w:val="de-DE"/>
              </w:rPr>
              <w:t>UPOV/EXN/NAT/1 im Oktober 2009 angenommen</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sz w:val="18"/>
                <w:lang w:val="de-DE"/>
              </w:rPr>
              <w:t>UPOV/EXN/NOV</w:t>
            </w:r>
          </w:p>
        </w:tc>
        <w:tc>
          <w:tcPr>
            <w:tcW w:w="8515" w:type="dxa"/>
          </w:tcPr>
          <w:p w:rsidR="00A32891" w:rsidRPr="000D22CF" w:rsidRDefault="00A32891" w:rsidP="00FF763B">
            <w:pPr>
              <w:jc w:val="left"/>
              <w:rPr>
                <w:rFonts w:cs="Arial"/>
                <w:sz w:val="18"/>
                <w:szCs w:val="18"/>
                <w:lang w:val="de-DE"/>
              </w:rPr>
            </w:pPr>
            <w:r w:rsidRPr="000D22CF">
              <w:rPr>
                <w:sz w:val="18"/>
                <w:lang w:val="de-DE"/>
              </w:rPr>
              <w:t>Neuheit nach dem UPOV-Übereinkommen</w:t>
            </w:r>
          </w:p>
        </w:tc>
        <w:tc>
          <w:tcPr>
            <w:tcW w:w="4961" w:type="dxa"/>
          </w:tcPr>
          <w:p w:rsidR="00A32891" w:rsidRPr="000D22CF" w:rsidRDefault="00A32891" w:rsidP="00FF763B">
            <w:pPr>
              <w:jc w:val="left"/>
              <w:rPr>
                <w:rFonts w:cs="Arial"/>
                <w:sz w:val="18"/>
                <w:szCs w:val="18"/>
                <w:lang w:val="de-DE"/>
              </w:rPr>
            </w:pPr>
            <w:r w:rsidRPr="000D22CF">
              <w:rPr>
                <w:sz w:val="18"/>
                <w:lang w:val="de-DE"/>
              </w:rPr>
              <w:t>UPOV/EXN/NOV/1 im Oktober 2009 angenommen</w:t>
            </w:r>
          </w:p>
        </w:tc>
      </w:tr>
      <w:tr w:rsidR="00A32891" w:rsidRPr="000D22CF" w:rsidTr="00FF763B">
        <w:trPr>
          <w:cantSplit/>
          <w:jc w:val="center"/>
        </w:trPr>
        <w:tc>
          <w:tcPr>
            <w:tcW w:w="1741" w:type="dxa"/>
          </w:tcPr>
          <w:p w:rsidR="00A32891" w:rsidRPr="000D22CF" w:rsidRDefault="00A32891" w:rsidP="00FF763B">
            <w:pPr>
              <w:jc w:val="left"/>
              <w:rPr>
                <w:rFonts w:cs="Arial"/>
                <w:color w:val="000000"/>
                <w:sz w:val="18"/>
                <w:szCs w:val="18"/>
                <w:lang w:val="de-DE"/>
              </w:rPr>
            </w:pPr>
            <w:r w:rsidRPr="000D22CF">
              <w:rPr>
                <w:color w:val="000000"/>
                <w:sz w:val="18"/>
                <w:lang w:val="de-DE"/>
              </w:rPr>
              <w:t>UPOV/EXN/NUL</w:t>
            </w:r>
          </w:p>
        </w:tc>
        <w:tc>
          <w:tcPr>
            <w:tcW w:w="8515" w:type="dxa"/>
          </w:tcPr>
          <w:p w:rsidR="00A32891" w:rsidRPr="000D22CF" w:rsidRDefault="00A32891" w:rsidP="00FF763B">
            <w:pPr>
              <w:jc w:val="left"/>
              <w:rPr>
                <w:rFonts w:cs="Arial"/>
                <w:sz w:val="18"/>
                <w:szCs w:val="18"/>
                <w:lang w:val="de-DE"/>
              </w:rPr>
            </w:pPr>
            <w:r w:rsidRPr="000D22CF">
              <w:rPr>
                <w:sz w:val="18"/>
                <w:lang w:val="de-DE"/>
              </w:rPr>
              <w:t>Nichtigkeit des Züchterrechts nach dem UPOV-Übereinkommen</w:t>
            </w:r>
          </w:p>
        </w:tc>
        <w:tc>
          <w:tcPr>
            <w:tcW w:w="4961" w:type="dxa"/>
          </w:tcPr>
          <w:p w:rsidR="00A32891" w:rsidRPr="000D22CF" w:rsidRDefault="00A32891" w:rsidP="00FF763B">
            <w:pPr>
              <w:jc w:val="left"/>
              <w:rPr>
                <w:rFonts w:cs="Arial"/>
                <w:sz w:val="18"/>
                <w:szCs w:val="18"/>
                <w:lang w:val="de-DE"/>
              </w:rPr>
            </w:pPr>
            <w:r w:rsidRPr="000D22CF">
              <w:rPr>
                <w:color w:val="000000"/>
                <w:sz w:val="18"/>
                <w:lang w:val="de-DE"/>
              </w:rPr>
              <w:t xml:space="preserve">UPOV/EXN/NUL/1 </w:t>
            </w:r>
            <w:r w:rsidRPr="000D22CF">
              <w:rPr>
                <w:sz w:val="18"/>
                <w:lang w:val="de-DE"/>
              </w:rPr>
              <w:t>im Oktober 2009 angenommen</w:t>
            </w:r>
          </w:p>
          <w:p w:rsidR="00A32891" w:rsidRPr="000D22CF" w:rsidRDefault="00A32891" w:rsidP="00FF763B">
            <w:pPr>
              <w:jc w:val="left"/>
              <w:rPr>
                <w:rFonts w:cs="Arial"/>
                <w:sz w:val="18"/>
                <w:szCs w:val="18"/>
                <w:lang w:val="de-DE"/>
              </w:rPr>
            </w:pPr>
            <w:r w:rsidRPr="000D22CF">
              <w:rPr>
                <w:color w:val="000000"/>
                <w:sz w:val="18"/>
                <w:lang w:val="de-DE"/>
              </w:rPr>
              <w:t>(</w:t>
            </w:r>
            <w:r w:rsidRPr="000D22CF">
              <w:rPr>
                <w:sz w:val="18"/>
                <w:lang w:val="de-DE"/>
              </w:rPr>
              <w:t>etwaige Überarbeitung von der CAJ-AG im Oktober 2013 zu prüfen: Dokument CAJ-AG/13/8/5)</w:t>
            </w:r>
          </w:p>
        </w:tc>
      </w:tr>
      <w:tr w:rsidR="00A32891" w:rsidRPr="000D22CF" w:rsidTr="00FF763B">
        <w:trPr>
          <w:cantSplit/>
          <w:jc w:val="center"/>
        </w:trPr>
        <w:tc>
          <w:tcPr>
            <w:tcW w:w="1741" w:type="dxa"/>
            <w:tcBorders>
              <w:bottom w:val="single" w:sz="2" w:space="0" w:color="auto"/>
            </w:tcBorders>
          </w:tcPr>
          <w:p w:rsidR="00A32891" w:rsidRPr="000D22CF" w:rsidRDefault="00A32891" w:rsidP="00FF763B">
            <w:pPr>
              <w:jc w:val="left"/>
              <w:rPr>
                <w:rFonts w:cs="Arial"/>
                <w:sz w:val="18"/>
                <w:szCs w:val="18"/>
                <w:lang w:val="de-DE"/>
              </w:rPr>
            </w:pPr>
            <w:r w:rsidRPr="000D22CF">
              <w:rPr>
                <w:sz w:val="18"/>
                <w:lang w:val="de-DE"/>
              </w:rPr>
              <w:t>UPOV/EXN/PPM</w:t>
            </w:r>
          </w:p>
        </w:tc>
        <w:tc>
          <w:tcPr>
            <w:tcW w:w="8515" w:type="dxa"/>
            <w:tcBorders>
              <w:bottom w:val="single" w:sz="2" w:space="0" w:color="auto"/>
            </w:tcBorders>
          </w:tcPr>
          <w:p w:rsidR="00A32891" w:rsidRPr="000D22CF" w:rsidRDefault="00A32891" w:rsidP="00FF763B">
            <w:pPr>
              <w:jc w:val="left"/>
              <w:rPr>
                <w:rFonts w:cs="Arial"/>
                <w:sz w:val="18"/>
                <w:szCs w:val="18"/>
                <w:lang w:val="de-DE"/>
              </w:rPr>
            </w:pPr>
            <w:r w:rsidRPr="000D22CF">
              <w:rPr>
                <w:sz w:val="18"/>
                <w:lang w:val="de-DE"/>
              </w:rPr>
              <w:t>Vermehrung und Vermehrungsmaterial nach dem UPOV-Übereinkommen</w:t>
            </w:r>
          </w:p>
        </w:tc>
        <w:tc>
          <w:tcPr>
            <w:tcW w:w="4961" w:type="dxa"/>
            <w:tcBorders>
              <w:bottom w:val="single" w:sz="2" w:space="0" w:color="auto"/>
            </w:tcBorders>
          </w:tcPr>
          <w:p w:rsidR="00A32891" w:rsidRPr="000D22CF" w:rsidRDefault="00A32891" w:rsidP="00FF763B">
            <w:pPr>
              <w:jc w:val="left"/>
              <w:rPr>
                <w:rFonts w:cs="Arial"/>
                <w:sz w:val="18"/>
                <w:szCs w:val="18"/>
                <w:lang w:val="de-DE"/>
              </w:rPr>
            </w:pPr>
            <w:r w:rsidRPr="000D22CF">
              <w:rPr>
                <w:color w:val="000000"/>
                <w:sz w:val="18"/>
                <w:lang w:val="de-DE"/>
              </w:rPr>
              <w:t xml:space="preserve">Entwurf:  </w:t>
            </w:r>
            <w:r w:rsidRPr="000D22CF">
              <w:rPr>
                <w:sz w:val="18"/>
                <w:lang w:val="de-DE"/>
              </w:rPr>
              <w:t xml:space="preserve">CAJ-AG-Tagung im Oktober 2013:  Dokument </w:t>
            </w:r>
            <w:r w:rsidRPr="000D22CF">
              <w:rPr>
                <w:spacing w:val="-2"/>
                <w:sz w:val="18"/>
                <w:lang w:val="de-DE"/>
              </w:rPr>
              <w:t>UPOV/EXN/PPM Draft 1</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sz w:val="18"/>
                <w:lang w:val="de-DE"/>
              </w:rPr>
              <w:t>UPOV/EXN/PRI</w:t>
            </w:r>
          </w:p>
        </w:tc>
        <w:tc>
          <w:tcPr>
            <w:tcW w:w="8515" w:type="dxa"/>
          </w:tcPr>
          <w:p w:rsidR="00A32891" w:rsidRPr="000D22CF" w:rsidRDefault="00A32891" w:rsidP="00FF763B">
            <w:pPr>
              <w:jc w:val="left"/>
              <w:rPr>
                <w:rFonts w:cs="Arial"/>
                <w:sz w:val="18"/>
                <w:szCs w:val="18"/>
                <w:lang w:val="de-DE"/>
              </w:rPr>
            </w:pPr>
            <w:r w:rsidRPr="000D22CF">
              <w:rPr>
                <w:sz w:val="18"/>
                <w:lang w:val="de-DE"/>
              </w:rPr>
              <w:t>Prioritätsrecht nach dem UPOV-Übereinkommen</w:t>
            </w:r>
          </w:p>
        </w:tc>
        <w:tc>
          <w:tcPr>
            <w:tcW w:w="4961" w:type="dxa"/>
          </w:tcPr>
          <w:p w:rsidR="00A32891" w:rsidRPr="000D22CF" w:rsidRDefault="00A32891" w:rsidP="00FF763B">
            <w:pPr>
              <w:jc w:val="left"/>
              <w:rPr>
                <w:rFonts w:cs="Arial"/>
                <w:sz w:val="18"/>
                <w:szCs w:val="18"/>
                <w:lang w:val="de-DE"/>
              </w:rPr>
            </w:pPr>
            <w:r w:rsidRPr="000D22CF">
              <w:rPr>
                <w:sz w:val="18"/>
                <w:lang w:val="de-DE"/>
              </w:rPr>
              <w:t>UPOV/EXN/PRI/1 im Oktober 2009 angenommen</w:t>
            </w:r>
          </w:p>
        </w:tc>
      </w:tr>
      <w:tr w:rsidR="00A32891" w:rsidRPr="000D22CF" w:rsidTr="00FF763B">
        <w:trPr>
          <w:cantSplit/>
          <w:jc w:val="center"/>
        </w:trPr>
        <w:tc>
          <w:tcPr>
            <w:tcW w:w="1741" w:type="dxa"/>
          </w:tcPr>
          <w:p w:rsidR="00A32891" w:rsidRPr="000D22CF" w:rsidRDefault="00A32891" w:rsidP="00FF763B">
            <w:pPr>
              <w:jc w:val="left"/>
              <w:rPr>
                <w:rFonts w:cs="Arial"/>
                <w:sz w:val="18"/>
                <w:szCs w:val="18"/>
                <w:lang w:val="de-DE"/>
              </w:rPr>
            </w:pPr>
            <w:r w:rsidRPr="000D22CF">
              <w:rPr>
                <w:sz w:val="18"/>
                <w:lang w:val="de-DE"/>
              </w:rPr>
              <w:t>UPOV/EXN/PRP</w:t>
            </w:r>
          </w:p>
        </w:tc>
        <w:tc>
          <w:tcPr>
            <w:tcW w:w="8515" w:type="dxa"/>
          </w:tcPr>
          <w:p w:rsidR="00A32891" w:rsidRPr="000D22CF" w:rsidRDefault="00A32891" w:rsidP="00FF763B">
            <w:pPr>
              <w:jc w:val="left"/>
              <w:rPr>
                <w:rFonts w:cs="Arial"/>
                <w:sz w:val="18"/>
                <w:szCs w:val="18"/>
                <w:lang w:val="de-DE"/>
              </w:rPr>
            </w:pPr>
            <w:r w:rsidRPr="000D22CF">
              <w:rPr>
                <w:sz w:val="18"/>
                <w:lang w:val="de-DE"/>
              </w:rPr>
              <w:t>Vorläufiger Schutz nach dem UPOV-Übereinkommen</w:t>
            </w:r>
          </w:p>
        </w:tc>
        <w:tc>
          <w:tcPr>
            <w:tcW w:w="4961" w:type="dxa"/>
          </w:tcPr>
          <w:p w:rsidR="00A32891" w:rsidRPr="000D22CF" w:rsidRDefault="00A32891" w:rsidP="00FF763B">
            <w:pPr>
              <w:jc w:val="left"/>
              <w:rPr>
                <w:rFonts w:cs="Arial"/>
                <w:sz w:val="18"/>
                <w:szCs w:val="18"/>
                <w:lang w:val="de-DE"/>
              </w:rPr>
            </w:pPr>
            <w:r w:rsidRPr="000D22CF">
              <w:rPr>
                <w:sz w:val="18"/>
                <w:lang w:val="de-DE"/>
              </w:rPr>
              <w:t>UPOV/EXN/PRP/1 im Oktober 2009 angenommen</w:t>
            </w:r>
          </w:p>
        </w:tc>
      </w:tr>
      <w:tr w:rsidR="00A32891" w:rsidRPr="000D22CF" w:rsidTr="00FF763B">
        <w:trPr>
          <w:cantSplit/>
          <w:jc w:val="center"/>
        </w:trPr>
        <w:tc>
          <w:tcPr>
            <w:tcW w:w="1741" w:type="dxa"/>
            <w:tcBorders>
              <w:bottom w:val="single" w:sz="2" w:space="0" w:color="auto"/>
            </w:tcBorders>
          </w:tcPr>
          <w:p w:rsidR="00A32891" w:rsidRPr="000D22CF" w:rsidRDefault="00A32891" w:rsidP="00FF763B">
            <w:pPr>
              <w:jc w:val="left"/>
              <w:rPr>
                <w:rFonts w:cs="Arial"/>
                <w:sz w:val="18"/>
                <w:szCs w:val="18"/>
                <w:lang w:val="de-DE"/>
              </w:rPr>
            </w:pPr>
            <w:r w:rsidRPr="000D22CF">
              <w:rPr>
                <w:sz w:val="18"/>
                <w:lang w:val="de-DE"/>
              </w:rPr>
              <w:t>UPOV/EXN/VAR</w:t>
            </w:r>
          </w:p>
        </w:tc>
        <w:tc>
          <w:tcPr>
            <w:tcW w:w="8515" w:type="dxa"/>
            <w:tcBorders>
              <w:bottom w:val="single" w:sz="2" w:space="0" w:color="auto"/>
            </w:tcBorders>
          </w:tcPr>
          <w:p w:rsidR="00A32891" w:rsidRPr="000D22CF" w:rsidRDefault="00A32891" w:rsidP="00FF763B">
            <w:pPr>
              <w:jc w:val="left"/>
              <w:rPr>
                <w:rFonts w:cs="Arial"/>
                <w:sz w:val="18"/>
                <w:szCs w:val="18"/>
                <w:lang w:val="de-DE"/>
              </w:rPr>
            </w:pPr>
            <w:r w:rsidRPr="000D22CF">
              <w:rPr>
                <w:sz w:val="18"/>
                <w:lang w:val="de-DE"/>
              </w:rPr>
              <w:t>Begriffsbestimmung der Sorte nach der Akte von 1991 des UPOV Übereinkommens</w:t>
            </w:r>
          </w:p>
        </w:tc>
        <w:tc>
          <w:tcPr>
            <w:tcW w:w="4961" w:type="dxa"/>
            <w:tcBorders>
              <w:bottom w:val="single" w:sz="2" w:space="0" w:color="auto"/>
            </w:tcBorders>
          </w:tcPr>
          <w:p w:rsidR="00A32891" w:rsidRPr="000D22CF" w:rsidRDefault="00A32891" w:rsidP="00FF763B">
            <w:pPr>
              <w:jc w:val="left"/>
              <w:rPr>
                <w:rFonts w:cs="Arial"/>
                <w:sz w:val="18"/>
                <w:szCs w:val="18"/>
                <w:lang w:val="de-DE"/>
              </w:rPr>
            </w:pPr>
            <w:r w:rsidRPr="000D22CF">
              <w:rPr>
                <w:sz w:val="18"/>
                <w:lang w:val="de-DE"/>
              </w:rPr>
              <w:t>UPOV/EXN/VAR/1 im Oktober 2010 angenommen</w:t>
            </w:r>
          </w:p>
        </w:tc>
      </w:tr>
    </w:tbl>
    <w:p w:rsidR="00A32891" w:rsidRPr="000D22CF" w:rsidRDefault="00A32891" w:rsidP="00A32891">
      <w:pPr>
        <w:rPr>
          <w:sz w:val="18"/>
          <w:lang w:val="de-DE"/>
        </w:rPr>
      </w:pPr>
      <w:r w:rsidRPr="000D22CF">
        <w:rPr>
          <w:lang w:val="de-DE"/>
        </w:rPr>
        <w:br w:type="page"/>
      </w:r>
      <w:r w:rsidRPr="000D22CF">
        <w:rPr>
          <w:sz w:val="18"/>
          <w:lang w:val="de-DE"/>
        </w:rPr>
        <w:lastRenderedPageBreak/>
        <w:t>INFORMATIONSDOKUMENTE</w:t>
      </w:r>
    </w:p>
    <w:p w:rsidR="00A32891" w:rsidRPr="000D22CF" w:rsidRDefault="00A32891" w:rsidP="00A32891">
      <w:pPr>
        <w:rPr>
          <w:sz w:val="18"/>
          <w:lang w:val="de-DE"/>
        </w:rPr>
      </w:pPr>
    </w:p>
    <w:tbl>
      <w:tblPr>
        <w:tblW w:w="15217" w:type="dxa"/>
        <w:jc w:val="center"/>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599"/>
        <w:gridCol w:w="8657"/>
        <w:gridCol w:w="4961"/>
      </w:tblGrid>
      <w:tr w:rsidR="00A32891" w:rsidRPr="000D22CF" w:rsidTr="00FF763B">
        <w:trPr>
          <w:cantSplit/>
          <w:jc w:val="center"/>
        </w:trPr>
        <w:tc>
          <w:tcPr>
            <w:tcW w:w="1599" w:type="dxa"/>
            <w:tcBorders>
              <w:top w:val="single" w:sz="4" w:space="0" w:color="auto"/>
              <w:left w:val="single" w:sz="2" w:space="0" w:color="auto"/>
              <w:bottom w:val="single" w:sz="2" w:space="0" w:color="auto"/>
              <w:right w:val="single" w:sz="2" w:space="0" w:color="auto"/>
            </w:tcBorders>
            <w:shd w:val="clear" w:color="auto" w:fill="D9D9D9"/>
          </w:tcPr>
          <w:p w:rsidR="00A32891" w:rsidRPr="000D22CF" w:rsidRDefault="00A32891" w:rsidP="00FF763B">
            <w:pPr>
              <w:jc w:val="left"/>
              <w:rPr>
                <w:rFonts w:cs="Arial"/>
                <w:sz w:val="17"/>
                <w:szCs w:val="17"/>
                <w:lang w:val="de-DE"/>
              </w:rPr>
            </w:pPr>
            <w:r w:rsidRPr="000D22CF">
              <w:rPr>
                <w:sz w:val="17"/>
                <w:szCs w:val="17"/>
                <w:lang w:val="de-DE"/>
              </w:rPr>
              <w:t>Jüngstes Verweiszeichen</w:t>
            </w:r>
          </w:p>
        </w:tc>
        <w:tc>
          <w:tcPr>
            <w:tcW w:w="8657" w:type="dxa"/>
            <w:tcBorders>
              <w:top w:val="single" w:sz="4" w:space="0" w:color="auto"/>
              <w:left w:val="single" w:sz="2" w:space="0" w:color="auto"/>
              <w:bottom w:val="single" w:sz="2" w:space="0" w:color="auto"/>
              <w:right w:val="single" w:sz="2" w:space="0" w:color="auto"/>
            </w:tcBorders>
            <w:shd w:val="clear" w:color="auto" w:fill="D9D9D9"/>
          </w:tcPr>
          <w:p w:rsidR="00A32891" w:rsidRPr="000D22CF" w:rsidRDefault="00A32891" w:rsidP="00FF763B">
            <w:pPr>
              <w:jc w:val="left"/>
              <w:rPr>
                <w:rFonts w:cs="Arial"/>
                <w:sz w:val="17"/>
                <w:szCs w:val="17"/>
                <w:lang w:val="de-DE"/>
              </w:rPr>
            </w:pPr>
            <w:r w:rsidRPr="000D22CF">
              <w:rPr>
                <w:sz w:val="17"/>
                <w:szCs w:val="17"/>
                <w:lang w:val="de-DE"/>
              </w:rPr>
              <w:t xml:space="preserve">INF-Dokumente </w:t>
            </w:r>
          </w:p>
        </w:tc>
        <w:tc>
          <w:tcPr>
            <w:tcW w:w="4961" w:type="dxa"/>
            <w:tcBorders>
              <w:top w:val="single" w:sz="4" w:space="0" w:color="auto"/>
              <w:left w:val="single" w:sz="2" w:space="0" w:color="auto"/>
              <w:bottom w:val="single" w:sz="2" w:space="0" w:color="auto"/>
              <w:right w:val="single" w:sz="2" w:space="0" w:color="auto"/>
            </w:tcBorders>
            <w:shd w:val="clear" w:color="auto" w:fill="D9D9D9"/>
          </w:tcPr>
          <w:p w:rsidR="00A32891" w:rsidRPr="000D22CF" w:rsidRDefault="00A32891" w:rsidP="00FF763B">
            <w:pPr>
              <w:jc w:val="left"/>
              <w:rPr>
                <w:rFonts w:cs="Arial"/>
                <w:sz w:val="17"/>
                <w:szCs w:val="17"/>
                <w:lang w:val="de-DE"/>
              </w:rPr>
            </w:pPr>
            <w:r w:rsidRPr="000D22CF">
              <w:rPr>
                <w:sz w:val="17"/>
                <w:szCs w:val="17"/>
                <w:lang w:val="de-DE"/>
              </w:rPr>
              <w:t>Status</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UPOV/INF-EXN</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Liste der UPOV/INF-EXN-Dokumente und Datum der jüngsten Ausgabe</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UPOV/INF-EXN/4 im März 2013 angenommen</w:t>
            </w:r>
          </w:p>
          <w:p w:rsidR="00A32891" w:rsidRPr="000D22CF" w:rsidRDefault="00A32891" w:rsidP="00FF763B">
            <w:pPr>
              <w:jc w:val="left"/>
              <w:rPr>
                <w:rFonts w:cs="Arial"/>
                <w:sz w:val="17"/>
                <w:szCs w:val="17"/>
                <w:lang w:val="de-DE"/>
              </w:rPr>
            </w:pPr>
            <w:r w:rsidRPr="000D22CF">
              <w:rPr>
                <w:sz w:val="17"/>
                <w:szCs w:val="17"/>
                <w:lang w:val="de-DE"/>
              </w:rPr>
              <w:t>(Überarbeitung für die Annahme durch den Rat im Oktober 2013 zu prüfen: Dokument UPOV/INF-EXN/5 Draft 1)</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UPOV/INF/4</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Finanzordnung und ihre Durchführungsbestimmungen der UPOV</w:t>
            </w:r>
          </w:p>
        </w:tc>
        <w:tc>
          <w:tcPr>
            <w:tcW w:w="4961" w:type="dxa"/>
          </w:tcPr>
          <w:p w:rsidR="00A32891" w:rsidRPr="000D22CF" w:rsidRDefault="00A32891" w:rsidP="00254599">
            <w:pPr>
              <w:jc w:val="left"/>
              <w:rPr>
                <w:rFonts w:cs="Arial"/>
                <w:sz w:val="17"/>
                <w:szCs w:val="17"/>
                <w:lang w:val="de-DE"/>
              </w:rPr>
            </w:pPr>
            <w:r w:rsidRPr="000D22CF">
              <w:rPr>
                <w:sz w:val="17"/>
                <w:szCs w:val="17"/>
                <w:lang w:val="de-DE"/>
              </w:rPr>
              <w:t>UPOV/INF/4/3 im März 2013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UPOV/INF/5</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UPOV-Musteramtsblatt für Sortenschutz</w:t>
            </w:r>
          </w:p>
        </w:tc>
        <w:tc>
          <w:tcPr>
            <w:tcW w:w="4961" w:type="dxa"/>
          </w:tcPr>
          <w:p w:rsidR="00A32891" w:rsidRPr="000D22CF" w:rsidRDefault="00A32891" w:rsidP="00C00D52">
            <w:pPr>
              <w:jc w:val="left"/>
              <w:rPr>
                <w:rFonts w:cs="Arial"/>
                <w:sz w:val="17"/>
                <w:szCs w:val="17"/>
                <w:lang w:val="de-DE"/>
              </w:rPr>
            </w:pPr>
            <w:r w:rsidRPr="000D22CF">
              <w:rPr>
                <w:sz w:val="17"/>
                <w:szCs w:val="17"/>
                <w:lang w:val="de-DE"/>
              </w:rPr>
              <w:t>UPOV/INF/5 angenommen im Oktober 1979</w:t>
            </w:r>
            <w:r w:rsidRPr="000D22CF">
              <w:rPr>
                <w:sz w:val="17"/>
                <w:szCs w:val="17"/>
                <w:lang w:val="de-DE"/>
              </w:rPr>
              <w:br/>
              <w:t>(Programm für die Überarbeitung durch den CAJ im Oktober  2013</w:t>
            </w:r>
            <w:r w:rsidR="00C00D52" w:rsidRPr="000D22CF">
              <w:rPr>
                <w:sz w:val="17"/>
                <w:szCs w:val="17"/>
                <w:lang w:val="de-DE"/>
              </w:rPr>
              <w:t xml:space="preserve"> zu prüfen</w:t>
            </w:r>
            <w:r w:rsidRPr="000D22CF">
              <w:rPr>
                <w:sz w:val="17"/>
                <w:szCs w:val="17"/>
                <w:lang w:val="de-DE"/>
              </w:rPr>
              <w:t>: Dokument CAJ/68/3)</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UPOV/INF/6</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Anleitung zur Ausarbeitung von Rechtsvorschriften aufgrund der Akte von 1991 des UPOV-Übereinkommens</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UPOV/INF/6/2 angenommen im Oktober 2011</w:t>
            </w:r>
            <w:r w:rsidRPr="000D22CF">
              <w:rPr>
                <w:sz w:val="17"/>
                <w:szCs w:val="17"/>
                <w:lang w:val="de-DE"/>
              </w:rPr>
              <w:br/>
              <w:t xml:space="preserve">(Überarbeitung im Hinblick auf die Annahme durch den Rat </w:t>
            </w:r>
            <w:r w:rsidR="00106E01" w:rsidRPr="000D22CF">
              <w:rPr>
                <w:sz w:val="17"/>
                <w:szCs w:val="17"/>
                <w:lang w:val="de-DE"/>
              </w:rPr>
              <w:t xml:space="preserve">im Oktober </w:t>
            </w:r>
            <w:r w:rsidRPr="000D22CF">
              <w:rPr>
                <w:sz w:val="17"/>
                <w:szCs w:val="17"/>
                <w:lang w:val="de-DE"/>
              </w:rPr>
              <w:t>2013</w:t>
            </w:r>
            <w:r w:rsidR="00106E01" w:rsidRPr="000D22CF">
              <w:rPr>
                <w:sz w:val="17"/>
                <w:szCs w:val="17"/>
                <w:lang w:val="de-DE"/>
              </w:rPr>
              <w:t xml:space="preserve"> zu prüfen: </w:t>
            </w:r>
            <w:r w:rsidRPr="000D22CF">
              <w:rPr>
                <w:sz w:val="17"/>
                <w:szCs w:val="17"/>
                <w:lang w:val="de-DE"/>
              </w:rPr>
              <w:t>Dokument C/47/13, Anlage)</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UPOV/INF/7</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Geschäftsordnung des Rates</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UPOV/INF/7 im Oktober 1982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UPOV/INF/8</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Vereinbarung zwischen der Weltorganisation für geistiges Eigentum und dem Internationalen Verband zum Schutz von Pflanzenzüchtungen</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UPOV/INF/8/ im November 1982 unterzeichnet</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UPOV/INF/9</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Abkommen zwischen dem Internationalen Verband zum Schutz von Pflanzenzüchtungen und dem Schweizerischen Bundesrat zur Regelung des rechtlichen Statuts dieses Verbandes in der Schweiz (Sitzabkommen)</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UPOV/INF/9/ im November 1983 unterzeichnet</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UPOV/INF/10</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Interne Revision</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UPOV/INF/10/1 im Oktober 2010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UPOV/INF/12</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Erläuterungen zu Sortenbezeichnungen nach dem UPOV-Übereinkommen</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UPOV/INF/12/4 im November 2012 angenommen</w:t>
            </w:r>
          </w:p>
          <w:p w:rsidR="00A32891" w:rsidRPr="000D22CF" w:rsidRDefault="00A32891" w:rsidP="00FF763B">
            <w:pPr>
              <w:jc w:val="left"/>
              <w:rPr>
                <w:rFonts w:cs="Arial"/>
                <w:sz w:val="17"/>
                <w:szCs w:val="17"/>
                <w:lang w:val="de-DE"/>
              </w:rPr>
            </w:pPr>
            <w:r w:rsidRPr="000D22CF">
              <w:rPr>
                <w:color w:val="000000"/>
                <w:sz w:val="17"/>
                <w:szCs w:val="17"/>
                <w:lang w:val="de-DE"/>
              </w:rPr>
              <w:t>(</w:t>
            </w:r>
            <w:r w:rsidRPr="000D22CF">
              <w:rPr>
                <w:sz w:val="17"/>
                <w:szCs w:val="17"/>
                <w:lang w:val="de-DE"/>
              </w:rPr>
              <w:t>Von der CAJ-AG im Oktober 2013 zu prüfende etwaige Überarbeitung: Dokument CAJ-AG/13/8/6)</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UPOV/INF/13</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Anleitung zum Verfahren für den Beitritt zur UPOV</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UPOV/INF/13/1 im Oktober 2009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UPOV/INF/14</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Anleitung für UPOV-Mitglieder zum Verfahren für die Ratifizierung der oder den Beitritt zur Akte von 1991 des UPOV-Übereinkommens</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UPOV/INF/14/1 im Oktober 2009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UPOV/INF/15</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Anleitung über die laufenden Verpflichtungen der Verbandsmitglieder und die damit verbundenen Notifizierungen</w:t>
            </w:r>
          </w:p>
        </w:tc>
        <w:tc>
          <w:tcPr>
            <w:tcW w:w="4961" w:type="dxa"/>
          </w:tcPr>
          <w:p w:rsidR="00A32891" w:rsidRPr="000D22CF" w:rsidRDefault="00A32891" w:rsidP="00254599">
            <w:pPr>
              <w:jc w:val="left"/>
              <w:rPr>
                <w:rFonts w:cs="Arial"/>
                <w:sz w:val="17"/>
                <w:szCs w:val="17"/>
                <w:lang w:val="de-DE"/>
              </w:rPr>
            </w:pPr>
            <w:r w:rsidRPr="000D22CF">
              <w:rPr>
                <w:sz w:val="17"/>
                <w:szCs w:val="17"/>
                <w:lang w:val="de-DE"/>
              </w:rPr>
              <w:t>UPOV/INF/15/2 im März 2013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UPOV/INF/16</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Austauschbare Software</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UPOV/INF/16/2 im Oktober 2011 angenommen</w:t>
            </w:r>
          </w:p>
          <w:p w:rsidR="00A32891" w:rsidRPr="000D22CF" w:rsidRDefault="00A32891" w:rsidP="00106E01">
            <w:pPr>
              <w:jc w:val="left"/>
              <w:rPr>
                <w:rFonts w:cs="Arial"/>
                <w:sz w:val="17"/>
                <w:szCs w:val="17"/>
                <w:lang w:val="de-DE"/>
              </w:rPr>
            </w:pPr>
            <w:r w:rsidRPr="000D22CF">
              <w:rPr>
                <w:sz w:val="17"/>
                <w:szCs w:val="17"/>
                <w:lang w:val="de-DE"/>
              </w:rPr>
              <w:t>(Überarbeit</w:t>
            </w:r>
            <w:r w:rsidR="00106E01" w:rsidRPr="000D22CF">
              <w:rPr>
                <w:sz w:val="17"/>
                <w:szCs w:val="17"/>
                <w:lang w:val="de-DE"/>
              </w:rPr>
              <w:t xml:space="preserve">ung im Hinblick auf die Annahme </w:t>
            </w:r>
            <w:r w:rsidRPr="000D22CF">
              <w:rPr>
                <w:sz w:val="17"/>
                <w:szCs w:val="17"/>
                <w:lang w:val="de-DE"/>
              </w:rPr>
              <w:t>durch den CAJ und den Rat im Oktober 2013</w:t>
            </w:r>
            <w:r w:rsidR="00106E01" w:rsidRPr="000D22CF">
              <w:rPr>
                <w:sz w:val="17"/>
                <w:szCs w:val="17"/>
                <w:lang w:val="de-DE"/>
              </w:rPr>
              <w:t xml:space="preserve"> zu prüfen:</w:t>
            </w:r>
            <w:r w:rsidRPr="000D22CF">
              <w:rPr>
                <w:sz w:val="17"/>
                <w:szCs w:val="17"/>
                <w:lang w:val="de-DE"/>
              </w:rPr>
              <w:t xml:space="preserve"> Dokument UPOV/INF/16/3 Draft 1)</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UPOV/INF/17</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Richtlinien für die DNS-Profilierung: Auswahl molekularer Marker und Aufbau von Datenbanken („BMT-Richtlinien“)</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UPOV/INF/17/1 im Oktober 2010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UPOV/INF/18</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Etwaige Verwendung molekularer Marker bei der Prüfung der Unterscheidbarkeit, der Homogenität und der Beständigkeit (DUS)</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UPOV/INF/18/1 im Oktober 2011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UPOV/INF/19</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Regeln für die Erteilung des Beobachterstatus an Staaten, zwischenstaatliche Organisationen und internationale Nichtregierungsorganisationen bei UPOV-Organen</w:t>
            </w:r>
          </w:p>
        </w:tc>
        <w:tc>
          <w:tcPr>
            <w:tcW w:w="4961" w:type="dxa"/>
          </w:tcPr>
          <w:p w:rsidR="00A32891" w:rsidRPr="000D22CF" w:rsidRDefault="00A32891" w:rsidP="00FF763B">
            <w:pPr>
              <w:jc w:val="left"/>
              <w:rPr>
                <w:rFonts w:cs="Arial"/>
                <w:iCs/>
                <w:sz w:val="17"/>
                <w:szCs w:val="17"/>
                <w:lang w:val="de-DE"/>
              </w:rPr>
            </w:pPr>
            <w:r w:rsidRPr="000D22CF">
              <w:rPr>
                <w:sz w:val="17"/>
                <w:szCs w:val="17"/>
                <w:lang w:val="de-DE"/>
              </w:rPr>
              <w:t>UPOV/INF/19/1 im November 2012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UPOV/INF/20</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Regeln für den Zugang zu UPOV-Dokumenten</w:t>
            </w:r>
          </w:p>
        </w:tc>
        <w:tc>
          <w:tcPr>
            <w:tcW w:w="4961" w:type="dxa"/>
          </w:tcPr>
          <w:p w:rsidR="00A32891" w:rsidRPr="000D22CF" w:rsidRDefault="00A32891" w:rsidP="00FF763B">
            <w:pPr>
              <w:jc w:val="left"/>
              <w:rPr>
                <w:rFonts w:cs="Arial"/>
                <w:iCs/>
                <w:sz w:val="17"/>
                <w:szCs w:val="17"/>
                <w:lang w:val="de-DE"/>
              </w:rPr>
            </w:pPr>
            <w:r w:rsidRPr="000D22CF">
              <w:rPr>
                <w:sz w:val="17"/>
                <w:szCs w:val="17"/>
                <w:lang w:val="de-DE"/>
              </w:rPr>
              <w:t>UPOV/INF/20/1 im November 2012 angenommen</w:t>
            </w:r>
          </w:p>
        </w:tc>
      </w:tr>
      <w:tr w:rsidR="00A32891" w:rsidRPr="000D22CF" w:rsidTr="00FF763B">
        <w:trPr>
          <w:cantSplit/>
          <w:jc w:val="center"/>
        </w:trPr>
        <w:tc>
          <w:tcPr>
            <w:tcW w:w="1599" w:type="dxa"/>
          </w:tcPr>
          <w:p w:rsidR="00A32891" w:rsidRPr="000D22CF" w:rsidRDefault="00A32891" w:rsidP="00FF763B">
            <w:pPr>
              <w:jc w:val="left"/>
              <w:rPr>
                <w:rFonts w:cs="Arial"/>
                <w:sz w:val="17"/>
                <w:szCs w:val="17"/>
                <w:lang w:val="de-DE"/>
              </w:rPr>
            </w:pPr>
            <w:r w:rsidRPr="000D22CF">
              <w:rPr>
                <w:sz w:val="17"/>
                <w:szCs w:val="17"/>
                <w:lang w:val="de-DE"/>
              </w:rPr>
              <w:t>UPOV/INF/21</w:t>
            </w:r>
          </w:p>
        </w:tc>
        <w:tc>
          <w:tcPr>
            <w:tcW w:w="8657" w:type="dxa"/>
          </w:tcPr>
          <w:p w:rsidR="00A32891" w:rsidRPr="000D22CF" w:rsidRDefault="00A32891" w:rsidP="00FF763B">
            <w:pPr>
              <w:jc w:val="left"/>
              <w:rPr>
                <w:rFonts w:cs="Arial"/>
                <w:sz w:val="17"/>
                <w:szCs w:val="17"/>
                <w:lang w:val="de-DE"/>
              </w:rPr>
            </w:pPr>
            <w:r w:rsidRPr="000D22CF">
              <w:rPr>
                <w:sz w:val="17"/>
                <w:szCs w:val="17"/>
                <w:lang w:val="de-DE"/>
              </w:rPr>
              <w:t>Alternative Mechanismen zur Streitbeilegung</w:t>
            </w:r>
          </w:p>
        </w:tc>
        <w:tc>
          <w:tcPr>
            <w:tcW w:w="4961" w:type="dxa"/>
          </w:tcPr>
          <w:p w:rsidR="00A32891" w:rsidRPr="000D22CF" w:rsidRDefault="00A32891" w:rsidP="00FF763B">
            <w:pPr>
              <w:jc w:val="left"/>
              <w:rPr>
                <w:rFonts w:cs="Arial"/>
                <w:sz w:val="17"/>
                <w:szCs w:val="17"/>
                <w:lang w:val="de-DE"/>
              </w:rPr>
            </w:pPr>
            <w:r w:rsidRPr="000D22CF">
              <w:rPr>
                <w:sz w:val="17"/>
                <w:szCs w:val="17"/>
                <w:lang w:val="de-DE"/>
              </w:rPr>
              <w:t>UPOV/INF/21/1 im November 2012 angenommen</w:t>
            </w:r>
          </w:p>
        </w:tc>
      </w:tr>
    </w:tbl>
    <w:p w:rsidR="00A32891" w:rsidRPr="000D22CF" w:rsidRDefault="00A32891" w:rsidP="00A32891">
      <w:pPr>
        <w:jc w:val="right"/>
        <w:rPr>
          <w:lang w:val="de-DE"/>
        </w:rPr>
      </w:pPr>
    </w:p>
    <w:p w:rsidR="00A32891" w:rsidRPr="000D22CF" w:rsidRDefault="00A32891" w:rsidP="00A32891">
      <w:pPr>
        <w:jc w:val="right"/>
        <w:rPr>
          <w:snapToGrid w:val="0"/>
          <w:lang w:val="de-DE"/>
        </w:rPr>
      </w:pPr>
      <w:r w:rsidRPr="000D22CF">
        <w:rPr>
          <w:lang w:val="de-DE"/>
        </w:rPr>
        <w:t>[Ende der Anlage und des Dokuments]</w:t>
      </w:r>
    </w:p>
    <w:sectPr w:rsidR="00A32891" w:rsidRPr="000D22CF" w:rsidSect="00526292">
      <w:headerReference w:type="default" r:id="rId11"/>
      <w:headerReference w:type="first" r:id="rId12"/>
      <w:pgSz w:w="16840" w:h="11907" w:orient="landscape" w:code="9"/>
      <w:pgMar w:top="510" w:right="1134" w:bottom="567" w:left="1134" w:header="510" w:footer="62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08A" w:rsidRDefault="00A4108A">
      <w:r>
        <w:separator/>
      </w:r>
    </w:p>
    <w:p w:rsidR="00A4108A" w:rsidRDefault="00A4108A"/>
    <w:p w:rsidR="00A4108A" w:rsidRDefault="00A4108A"/>
  </w:endnote>
  <w:endnote w:type="continuationSeparator" w:id="0">
    <w:p w:rsidR="00A4108A" w:rsidRDefault="00A4108A">
      <w:r>
        <w:separator/>
      </w:r>
    </w:p>
    <w:p w:rsidR="00A4108A" w:rsidRPr="00664515" w:rsidRDefault="00A4108A">
      <w:pPr>
        <w:pStyle w:val="Footer"/>
        <w:spacing w:after="60"/>
        <w:rPr>
          <w:sz w:val="18"/>
          <w:lang w:val="fr-CH"/>
        </w:rPr>
      </w:pPr>
      <w:r w:rsidRPr="00664515">
        <w:rPr>
          <w:sz w:val="18"/>
          <w:lang w:val="fr-CH"/>
        </w:rPr>
        <w:t>[Suite de la note de la page précédente]</w:t>
      </w:r>
    </w:p>
    <w:p w:rsidR="00A4108A" w:rsidRPr="00664515" w:rsidRDefault="00A4108A">
      <w:pPr>
        <w:rPr>
          <w:lang w:val="fr-CH"/>
        </w:rPr>
      </w:pPr>
    </w:p>
    <w:p w:rsidR="00A4108A" w:rsidRPr="00664515" w:rsidRDefault="00A4108A">
      <w:pPr>
        <w:rPr>
          <w:lang w:val="fr-CH"/>
        </w:rPr>
      </w:pPr>
    </w:p>
  </w:endnote>
  <w:endnote w:type="continuationNotice" w:id="1">
    <w:p w:rsidR="00A4108A" w:rsidRPr="00664515" w:rsidRDefault="00A4108A">
      <w:pPr>
        <w:spacing w:before="60"/>
        <w:jc w:val="right"/>
        <w:rPr>
          <w:sz w:val="18"/>
          <w:lang w:val="fr-CH"/>
        </w:rPr>
      </w:pPr>
      <w:r w:rsidRPr="00664515">
        <w:rPr>
          <w:sz w:val="18"/>
          <w:lang w:val="fr-CH"/>
        </w:rPr>
        <w:t>[Suite de la note page suivante]</w:t>
      </w:r>
    </w:p>
    <w:p w:rsidR="00A4108A" w:rsidRPr="00664515" w:rsidRDefault="00A4108A">
      <w:pPr>
        <w:rPr>
          <w:lang w:val="fr-CH"/>
        </w:rPr>
      </w:pPr>
    </w:p>
    <w:p w:rsidR="00A4108A" w:rsidRPr="00664515" w:rsidRDefault="00A4108A">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08A" w:rsidRDefault="00A4108A" w:rsidP="009D690D">
      <w:pPr>
        <w:spacing w:before="120"/>
      </w:pPr>
      <w:r>
        <w:separator/>
      </w:r>
    </w:p>
  </w:footnote>
  <w:footnote w:type="continuationSeparator" w:id="0">
    <w:p w:rsidR="00A4108A" w:rsidRDefault="00A4108A" w:rsidP="00520297">
      <w:pPr>
        <w:spacing w:before="120"/>
        <w:jc w:val="left"/>
      </w:pPr>
      <w:r>
        <w:separator/>
      </w:r>
    </w:p>
  </w:footnote>
  <w:footnote w:type="continuationNotice" w:id="1">
    <w:p w:rsidR="00A4108A" w:rsidRDefault="00A410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A2" w:rsidRPr="00254599" w:rsidRDefault="00690BA2" w:rsidP="00254599">
    <w:pPr>
      <w:pStyle w:val="Header"/>
      <w:rPr>
        <w:rStyle w:val="PageNumber"/>
      </w:rPr>
    </w:pPr>
    <w:r w:rsidRPr="00254599">
      <w:rPr>
        <w:rStyle w:val="PageNumber"/>
      </w:rPr>
      <w:t>CAJ/68/2</w:t>
    </w:r>
  </w:p>
  <w:p w:rsidR="00690BA2" w:rsidRPr="00254599" w:rsidRDefault="00C17D14" w:rsidP="00254599">
    <w:pPr>
      <w:pStyle w:val="Header"/>
      <w:rPr>
        <w:sz w:val="20"/>
      </w:rPr>
    </w:pPr>
    <w:r w:rsidRPr="00254599">
      <w:rPr>
        <w:sz w:val="20"/>
      </w:rPr>
      <w:t>Seite</w:t>
    </w:r>
    <w:r w:rsidR="00690BA2" w:rsidRPr="00254599">
      <w:rPr>
        <w:sz w:val="20"/>
      </w:rPr>
      <w:t xml:space="preserve"> </w:t>
    </w:r>
    <w:r w:rsidR="00690BA2" w:rsidRPr="00254599">
      <w:rPr>
        <w:rStyle w:val="PageNumber"/>
      </w:rPr>
      <w:fldChar w:fldCharType="begin"/>
    </w:r>
    <w:r w:rsidR="00690BA2" w:rsidRPr="00254599">
      <w:rPr>
        <w:rStyle w:val="PageNumber"/>
      </w:rPr>
      <w:instrText xml:space="preserve"> PAGE </w:instrText>
    </w:r>
    <w:r w:rsidR="00690BA2" w:rsidRPr="00254599">
      <w:rPr>
        <w:rStyle w:val="PageNumber"/>
      </w:rPr>
      <w:fldChar w:fldCharType="separate"/>
    </w:r>
    <w:r w:rsidR="00E77BAB">
      <w:rPr>
        <w:rStyle w:val="PageNumber"/>
        <w:noProof/>
      </w:rPr>
      <w:t>5</w:t>
    </w:r>
    <w:r w:rsidR="00690BA2" w:rsidRPr="00254599">
      <w:rPr>
        <w:rStyle w:val="PageNumber"/>
      </w:rPr>
      <w:fldChar w:fldCharType="end"/>
    </w:r>
  </w:p>
  <w:p w:rsidR="00690BA2" w:rsidRPr="00254599" w:rsidRDefault="00690BA2"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A2" w:rsidRPr="00254599" w:rsidRDefault="00690BA2" w:rsidP="00254599">
    <w:pPr>
      <w:pStyle w:val="Header"/>
      <w:rPr>
        <w:rStyle w:val="PageNumber"/>
      </w:rPr>
    </w:pPr>
    <w:r w:rsidRPr="00254599">
      <w:rPr>
        <w:rStyle w:val="PageNumber"/>
      </w:rPr>
      <w:t>CAJ/68/2</w:t>
    </w:r>
  </w:p>
  <w:p w:rsidR="00690BA2" w:rsidRPr="00254599" w:rsidRDefault="00A32891" w:rsidP="00254599">
    <w:pPr>
      <w:pStyle w:val="Header"/>
      <w:rPr>
        <w:sz w:val="20"/>
      </w:rPr>
    </w:pPr>
    <w:r w:rsidRPr="00254599">
      <w:rPr>
        <w:sz w:val="20"/>
      </w:rPr>
      <w:t>Anlage</w:t>
    </w:r>
    <w:r w:rsidR="00690BA2" w:rsidRPr="00254599">
      <w:rPr>
        <w:sz w:val="20"/>
      </w:rPr>
      <w:t xml:space="preserve">, </w:t>
    </w:r>
    <w:r w:rsidRPr="00254599">
      <w:rPr>
        <w:sz w:val="20"/>
      </w:rPr>
      <w:t>Seite</w:t>
    </w:r>
    <w:r w:rsidR="00690BA2" w:rsidRPr="00254599">
      <w:rPr>
        <w:sz w:val="20"/>
      </w:rPr>
      <w:t xml:space="preserve"> </w:t>
    </w:r>
    <w:r w:rsidR="00690BA2" w:rsidRPr="00254599">
      <w:rPr>
        <w:rStyle w:val="PageNumber"/>
      </w:rPr>
      <w:fldChar w:fldCharType="begin"/>
    </w:r>
    <w:r w:rsidR="00690BA2" w:rsidRPr="00254599">
      <w:rPr>
        <w:rStyle w:val="PageNumber"/>
      </w:rPr>
      <w:instrText xml:space="preserve"> PAGE </w:instrText>
    </w:r>
    <w:r w:rsidR="00690BA2" w:rsidRPr="00254599">
      <w:rPr>
        <w:rStyle w:val="PageNumber"/>
      </w:rPr>
      <w:fldChar w:fldCharType="separate"/>
    </w:r>
    <w:r w:rsidR="00E77BAB">
      <w:rPr>
        <w:rStyle w:val="PageNumber"/>
        <w:noProof/>
      </w:rPr>
      <w:t>2</w:t>
    </w:r>
    <w:r w:rsidR="00690BA2" w:rsidRPr="00254599">
      <w:rPr>
        <w:rStyle w:val="PageNumber"/>
      </w:rPr>
      <w:fldChar w:fldCharType="end"/>
    </w:r>
  </w:p>
  <w:p w:rsidR="00690BA2" w:rsidRPr="00254599" w:rsidRDefault="00690BA2"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BA2" w:rsidRPr="00254599" w:rsidRDefault="00690BA2" w:rsidP="002545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4D4"/>
    <w:rsid w:val="00001380"/>
    <w:rsid w:val="00001D48"/>
    <w:rsid w:val="00010CF3"/>
    <w:rsid w:val="00011E27"/>
    <w:rsid w:val="000148BC"/>
    <w:rsid w:val="00024AB8"/>
    <w:rsid w:val="00036028"/>
    <w:rsid w:val="000446B9"/>
    <w:rsid w:val="00047E21"/>
    <w:rsid w:val="000816F2"/>
    <w:rsid w:val="00085505"/>
    <w:rsid w:val="000941FB"/>
    <w:rsid w:val="00096C6C"/>
    <w:rsid w:val="000C7021"/>
    <w:rsid w:val="000D22CF"/>
    <w:rsid w:val="000D6BBC"/>
    <w:rsid w:val="000D7780"/>
    <w:rsid w:val="00105929"/>
    <w:rsid w:val="00106E01"/>
    <w:rsid w:val="00110481"/>
    <w:rsid w:val="001131D5"/>
    <w:rsid w:val="00141DB8"/>
    <w:rsid w:val="0017474A"/>
    <w:rsid w:val="001758C6"/>
    <w:rsid w:val="00193864"/>
    <w:rsid w:val="001B6A27"/>
    <w:rsid w:val="001C3DF3"/>
    <w:rsid w:val="001F13CB"/>
    <w:rsid w:val="001F1F2A"/>
    <w:rsid w:val="00205516"/>
    <w:rsid w:val="00210F9B"/>
    <w:rsid w:val="0021332C"/>
    <w:rsid w:val="00213982"/>
    <w:rsid w:val="00237C7D"/>
    <w:rsid w:val="0024416D"/>
    <w:rsid w:val="00254599"/>
    <w:rsid w:val="0027309C"/>
    <w:rsid w:val="002800A0"/>
    <w:rsid w:val="00281060"/>
    <w:rsid w:val="00292338"/>
    <w:rsid w:val="0029439F"/>
    <w:rsid w:val="002A6E50"/>
    <w:rsid w:val="002C256A"/>
    <w:rsid w:val="002E200F"/>
    <w:rsid w:val="002E7BA1"/>
    <w:rsid w:val="002F78FA"/>
    <w:rsid w:val="00305A7F"/>
    <w:rsid w:val="003152FE"/>
    <w:rsid w:val="00327436"/>
    <w:rsid w:val="00344BD6"/>
    <w:rsid w:val="00347BED"/>
    <w:rsid w:val="0035528D"/>
    <w:rsid w:val="00361821"/>
    <w:rsid w:val="00392D43"/>
    <w:rsid w:val="003A17C8"/>
    <w:rsid w:val="003B6E70"/>
    <w:rsid w:val="003C563E"/>
    <w:rsid w:val="003D227C"/>
    <w:rsid w:val="003D2B4D"/>
    <w:rsid w:val="003F6136"/>
    <w:rsid w:val="00427139"/>
    <w:rsid w:val="00444A88"/>
    <w:rsid w:val="00470047"/>
    <w:rsid w:val="00474DA4"/>
    <w:rsid w:val="004D047D"/>
    <w:rsid w:val="004F305A"/>
    <w:rsid w:val="00512164"/>
    <w:rsid w:val="00520297"/>
    <w:rsid w:val="00526292"/>
    <w:rsid w:val="005338F9"/>
    <w:rsid w:val="005364D4"/>
    <w:rsid w:val="0054281C"/>
    <w:rsid w:val="0055268D"/>
    <w:rsid w:val="005718CA"/>
    <w:rsid w:val="00572E44"/>
    <w:rsid w:val="00576BE4"/>
    <w:rsid w:val="005A400A"/>
    <w:rsid w:val="005F5A4E"/>
    <w:rsid w:val="00612379"/>
    <w:rsid w:val="0061555F"/>
    <w:rsid w:val="00641200"/>
    <w:rsid w:val="00652008"/>
    <w:rsid w:val="00663ED8"/>
    <w:rsid w:val="00664515"/>
    <w:rsid w:val="00664646"/>
    <w:rsid w:val="00687EB4"/>
    <w:rsid w:val="00690BA2"/>
    <w:rsid w:val="006B17D2"/>
    <w:rsid w:val="006B45FA"/>
    <w:rsid w:val="006C224E"/>
    <w:rsid w:val="006E21EA"/>
    <w:rsid w:val="00732DEC"/>
    <w:rsid w:val="00735BD5"/>
    <w:rsid w:val="0075117E"/>
    <w:rsid w:val="007556F6"/>
    <w:rsid w:val="00760EEF"/>
    <w:rsid w:val="00777EE5"/>
    <w:rsid w:val="00784836"/>
    <w:rsid w:val="0079023E"/>
    <w:rsid w:val="007B6894"/>
    <w:rsid w:val="007D0B9D"/>
    <w:rsid w:val="007D19B0"/>
    <w:rsid w:val="007D2B2B"/>
    <w:rsid w:val="007F498F"/>
    <w:rsid w:val="0080679D"/>
    <w:rsid w:val="008108B0"/>
    <w:rsid w:val="00811B20"/>
    <w:rsid w:val="0082296E"/>
    <w:rsid w:val="00824099"/>
    <w:rsid w:val="00835DF1"/>
    <w:rsid w:val="00836E88"/>
    <w:rsid w:val="00855DBD"/>
    <w:rsid w:val="00864E1B"/>
    <w:rsid w:val="00867AC1"/>
    <w:rsid w:val="00875D98"/>
    <w:rsid w:val="00877F4A"/>
    <w:rsid w:val="008A395B"/>
    <w:rsid w:val="008A743F"/>
    <w:rsid w:val="008B51D0"/>
    <w:rsid w:val="008C0970"/>
    <w:rsid w:val="008D2CF7"/>
    <w:rsid w:val="008D684C"/>
    <w:rsid w:val="008E793E"/>
    <w:rsid w:val="00900C26"/>
    <w:rsid w:val="0090197F"/>
    <w:rsid w:val="00906DDC"/>
    <w:rsid w:val="00934E09"/>
    <w:rsid w:val="00936253"/>
    <w:rsid w:val="00970FED"/>
    <w:rsid w:val="00997029"/>
    <w:rsid w:val="009B1109"/>
    <w:rsid w:val="009D0DE5"/>
    <w:rsid w:val="009D690D"/>
    <w:rsid w:val="009E65B6"/>
    <w:rsid w:val="009F7CE4"/>
    <w:rsid w:val="00A32891"/>
    <w:rsid w:val="00A36672"/>
    <w:rsid w:val="00A4108A"/>
    <w:rsid w:val="00A41AF1"/>
    <w:rsid w:val="00A420BE"/>
    <w:rsid w:val="00A42AC3"/>
    <w:rsid w:val="00A430CF"/>
    <w:rsid w:val="00A54309"/>
    <w:rsid w:val="00A96328"/>
    <w:rsid w:val="00AB2B93"/>
    <w:rsid w:val="00AE0EF1"/>
    <w:rsid w:val="00B07301"/>
    <w:rsid w:val="00B224DE"/>
    <w:rsid w:val="00B3601F"/>
    <w:rsid w:val="00B573B4"/>
    <w:rsid w:val="00B84BBD"/>
    <w:rsid w:val="00BA43FB"/>
    <w:rsid w:val="00BC127D"/>
    <w:rsid w:val="00BC1FE6"/>
    <w:rsid w:val="00BD4C24"/>
    <w:rsid w:val="00C00D52"/>
    <w:rsid w:val="00C061B6"/>
    <w:rsid w:val="00C17D14"/>
    <w:rsid w:val="00C21865"/>
    <w:rsid w:val="00C21DBF"/>
    <w:rsid w:val="00C2446C"/>
    <w:rsid w:val="00C36AE5"/>
    <w:rsid w:val="00C41F17"/>
    <w:rsid w:val="00C54BF4"/>
    <w:rsid w:val="00C5791C"/>
    <w:rsid w:val="00C60046"/>
    <w:rsid w:val="00C66290"/>
    <w:rsid w:val="00C72B7A"/>
    <w:rsid w:val="00C85237"/>
    <w:rsid w:val="00C87A6B"/>
    <w:rsid w:val="00C91E7C"/>
    <w:rsid w:val="00C973F2"/>
    <w:rsid w:val="00CA0D62"/>
    <w:rsid w:val="00CA774A"/>
    <w:rsid w:val="00CC11B0"/>
    <w:rsid w:val="00CF7E36"/>
    <w:rsid w:val="00D10353"/>
    <w:rsid w:val="00D24210"/>
    <w:rsid w:val="00D3708D"/>
    <w:rsid w:val="00D40426"/>
    <w:rsid w:val="00D4245D"/>
    <w:rsid w:val="00D57C96"/>
    <w:rsid w:val="00D8207A"/>
    <w:rsid w:val="00D91203"/>
    <w:rsid w:val="00D95174"/>
    <w:rsid w:val="00D9528F"/>
    <w:rsid w:val="00D95A5C"/>
    <w:rsid w:val="00DA6F36"/>
    <w:rsid w:val="00DC00EA"/>
    <w:rsid w:val="00DD3646"/>
    <w:rsid w:val="00E45A36"/>
    <w:rsid w:val="00E72D49"/>
    <w:rsid w:val="00E74ACB"/>
    <w:rsid w:val="00E7593C"/>
    <w:rsid w:val="00E7678A"/>
    <w:rsid w:val="00E77BAB"/>
    <w:rsid w:val="00E86445"/>
    <w:rsid w:val="00E935F1"/>
    <w:rsid w:val="00E94A81"/>
    <w:rsid w:val="00EA1FFB"/>
    <w:rsid w:val="00EB048E"/>
    <w:rsid w:val="00EB3EFA"/>
    <w:rsid w:val="00ED071C"/>
    <w:rsid w:val="00ED0D33"/>
    <w:rsid w:val="00EF2F89"/>
    <w:rsid w:val="00F04DEB"/>
    <w:rsid w:val="00F1237A"/>
    <w:rsid w:val="00F22CBD"/>
    <w:rsid w:val="00F37961"/>
    <w:rsid w:val="00F6334D"/>
    <w:rsid w:val="00FA49AB"/>
    <w:rsid w:val="00FB0D37"/>
    <w:rsid w:val="00FE39C7"/>
    <w:rsid w:val="00FE4AF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D8207A"/>
    <w:pPr>
      <w:keepNext/>
      <w:jc w:val="both"/>
      <w:outlineLvl w:val="1"/>
    </w:pPr>
    <w:rPr>
      <w:rFonts w:ascii="Arial" w:hAnsi="Arial"/>
      <w:u w:val="single"/>
    </w:rPr>
  </w:style>
  <w:style w:type="paragraph" w:styleId="Heading3">
    <w:name w:val="heading 3"/>
    <w:next w:val="Normal"/>
    <w:link w:val="Heading3Char"/>
    <w:autoRedefine/>
    <w:qFormat/>
    <w:rsid w:val="000816F2"/>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254599"/>
    <w:pPr>
      <w:tabs>
        <w:tab w:val="center" w:pos="4536"/>
        <w:tab w:val="right" w:pos="9072"/>
      </w:tabs>
      <w:jc w:val="center"/>
    </w:pPr>
    <w:rPr>
      <w:rFonts w:ascii="Arial" w:hAnsi="Arial"/>
      <w:sz w:val="10"/>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link w:val="Docoriginal"/>
    <w:rsid w:val="00F37961"/>
    <w:rPr>
      <w:rFonts w:ascii="Arial" w:hAnsi="Arial"/>
      <w:b/>
      <w:bCs/>
      <w:spacing w:val="10"/>
      <w:lang w:val="en-US" w:eastAsia="en-US" w:bidi="ar-SA"/>
    </w:rPr>
  </w:style>
  <w:style w:type="character" w:customStyle="1" w:styleId="StyleDocoriginalNotBoldChar">
    <w:name w:val="Style Doc_original + Not Bold 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F37961"/>
    <w:rPr>
      <w:rFonts w:ascii="Arial" w:hAnsi="Arial"/>
      <w:b/>
      <w:bCs/>
      <w:spacing w:val="10"/>
      <w:lang w:val="en-US" w:eastAsia="en-US" w:bidi="ar-SA"/>
    </w:rPr>
  </w:style>
  <w:style w:type="character" w:customStyle="1" w:styleId="StyleDoclangBold">
    <w:name w:val="Style Doc_lang + Bold"/>
    <w:rsid w:val="00F37961"/>
    <w:rPr>
      <w:rFonts w:ascii="Arial" w:hAnsi="Arial"/>
      <w:b/>
      <w:bCs/>
      <w:sz w:val="20"/>
      <w:lang w:val="en-US"/>
    </w:rPr>
  </w:style>
  <w:style w:type="paragraph" w:styleId="TOC2">
    <w:name w:val="toc 2"/>
    <w:next w:val="Normal"/>
    <w:autoRedefine/>
    <w:uiPriority w:val="39"/>
    <w:rsid w:val="00B3601F"/>
    <w:pPr>
      <w:tabs>
        <w:tab w:val="right" w:leader="dot" w:pos="9639"/>
      </w:tabs>
      <w:spacing w:before="120" w:after="120"/>
      <w:ind w:left="851" w:right="851" w:hanging="425"/>
      <w:contextualSpacing/>
    </w:pPr>
    <w:rPr>
      <w:rFonts w:ascii="Arial" w:hAnsi="Arial"/>
      <w:noProof/>
    </w:rPr>
  </w:style>
  <w:style w:type="paragraph" w:styleId="TOC3">
    <w:name w:val="toc 3"/>
    <w:next w:val="Normal"/>
    <w:autoRedefine/>
    <w:uiPriority w:val="39"/>
    <w:rsid w:val="000816F2"/>
    <w:pPr>
      <w:tabs>
        <w:tab w:val="right" w:leader="dot" w:pos="9639"/>
      </w:tabs>
      <w:spacing w:before="120"/>
      <w:ind w:left="851" w:right="851"/>
    </w:pPr>
    <w:rPr>
      <w:rFonts w:ascii="Arial" w:hAnsi="Arial"/>
      <w:i/>
      <w:noProof/>
      <w:lang w:val="fr-FR"/>
    </w:rPr>
  </w:style>
  <w:style w:type="character" w:styleId="Hyperlink">
    <w:name w:val="Hyperlink"/>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3601F"/>
    <w:pPr>
      <w:tabs>
        <w:tab w:val="right" w:leader="dot" w:pos="9639"/>
      </w:tabs>
      <w:spacing w:after="120"/>
      <w:ind w:left="426" w:right="284" w:hanging="426"/>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 w:type="character" w:customStyle="1" w:styleId="DecisionParagraphsChar">
    <w:name w:val="DecisionParagraphs Char"/>
    <w:link w:val="DecisionParagraphs"/>
    <w:rsid w:val="00205516"/>
    <w:rPr>
      <w:rFonts w:ascii="Arial" w:hAnsi="Arial"/>
      <w:i/>
    </w:rPr>
  </w:style>
  <w:style w:type="character" w:customStyle="1" w:styleId="Heading2Char">
    <w:name w:val="Heading 2 Char"/>
    <w:link w:val="Heading2"/>
    <w:rsid w:val="00D8207A"/>
    <w:rPr>
      <w:rFonts w:ascii="Arial" w:hAnsi="Arial"/>
      <w:u w:val="single"/>
    </w:rPr>
  </w:style>
  <w:style w:type="character" w:customStyle="1" w:styleId="Heading3Char">
    <w:name w:val="Heading 3 Char"/>
    <w:link w:val="Heading3"/>
    <w:rsid w:val="000816F2"/>
    <w:rPr>
      <w:rFonts w:ascii="Arial" w:hAnsi="Arial"/>
      <w:i/>
    </w:rPr>
  </w:style>
  <w:style w:type="character" w:styleId="FollowedHyperlink">
    <w:name w:val="FollowedHyperlink"/>
    <w:basedOn w:val="DefaultParagraphFont"/>
    <w:rsid w:val="00096C6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D8207A"/>
    <w:pPr>
      <w:keepNext/>
      <w:jc w:val="both"/>
      <w:outlineLvl w:val="1"/>
    </w:pPr>
    <w:rPr>
      <w:rFonts w:ascii="Arial" w:hAnsi="Arial"/>
      <w:u w:val="single"/>
    </w:rPr>
  </w:style>
  <w:style w:type="paragraph" w:styleId="Heading3">
    <w:name w:val="heading 3"/>
    <w:next w:val="Normal"/>
    <w:link w:val="Heading3Char"/>
    <w:autoRedefine/>
    <w:qFormat/>
    <w:rsid w:val="000816F2"/>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254599"/>
    <w:pPr>
      <w:tabs>
        <w:tab w:val="center" w:pos="4536"/>
        <w:tab w:val="right" w:pos="9072"/>
      </w:tabs>
      <w:jc w:val="center"/>
    </w:pPr>
    <w:rPr>
      <w:rFonts w:ascii="Arial" w:hAnsi="Arial"/>
      <w:sz w:val="10"/>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link w:val="Docoriginal"/>
    <w:rsid w:val="00F37961"/>
    <w:rPr>
      <w:rFonts w:ascii="Arial" w:hAnsi="Arial"/>
      <w:b/>
      <w:bCs/>
      <w:spacing w:val="10"/>
      <w:lang w:val="en-US" w:eastAsia="en-US" w:bidi="ar-SA"/>
    </w:rPr>
  </w:style>
  <w:style w:type="character" w:customStyle="1" w:styleId="StyleDocoriginalNotBoldChar">
    <w:name w:val="Style Doc_original + Not Bold 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F37961"/>
    <w:rPr>
      <w:rFonts w:ascii="Arial" w:hAnsi="Arial"/>
      <w:b/>
      <w:bCs/>
      <w:spacing w:val="10"/>
      <w:lang w:val="en-US" w:eastAsia="en-US" w:bidi="ar-SA"/>
    </w:rPr>
  </w:style>
  <w:style w:type="character" w:customStyle="1" w:styleId="StyleDoclangBold">
    <w:name w:val="Style Doc_lang + Bold"/>
    <w:rsid w:val="00F37961"/>
    <w:rPr>
      <w:rFonts w:ascii="Arial" w:hAnsi="Arial"/>
      <w:b/>
      <w:bCs/>
      <w:sz w:val="20"/>
      <w:lang w:val="en-US"/>
    </w:rPr>
  </w:style>
  <w:style w:type="paragraph" w:styleId="TOC2">
    <w:name w:val="toc 2"/>
    <w:next w:val="Normal"/>
    <w:autoRedefine/>
    <w:uiPriority w:val="39"/>
    <w:rsid w:val="00B3601F"/>
    <w:pPr>
      <w:tabs>
        <w:tab w:val="right" w:leader="dot" w:pos="9639"/>
      </w:tabs>
      <w:spacing w:before="120" w:after="120"/>
      <w:ind w:left="851" w:right="851" w:hanging="425"/>
      <w:contextualSpacing/>
    </w:pPr>
    <w:rPr>
      <w:rFonts w:ascii="Arial" w:hAnsi="Arial"/>
      <w:noProof/>
    </w:rPr>
  </w:style>
  <w:style w:type="paragraph" w:styleId="TOC3">
    <w:name w:val="toc 3"/>
    <w:next w:val="Normal"/>
    <w:autoRedefine/>
    <w:uiPriority w:val="39"/>
    <w:rsid w:val="000816F2"/>
    <w:pPr>
      <w:tabs>
        <w:tab w:val="right" w:leader="dot" w:pos="9639"/>
      </w:tabs>
      <w:spacing w:before="120"/>
      <w:ind w:left="851" w:right="851"/>
    </w:pPr>
    <w:rPr>
      <w:rFonts w:ascii="Arial" w:hAnsi="Arial"/>
      <w:i/>
      <w:noProof/>
      <w:lang w:val="fr-FR"/>
    </w:rPr>
  </w:style>
  <w:style w:type="character" w:styleId="Hyperlink">
    <w:name w:val="Hyperlink"/>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B3601F"/>
    <w:pPr>
      <w:tabs>
        <w:tab w:val="right" w:leader="dot" w:pos="9639"/>
      </w:tabs>
      <w:spacing w:after="120"/>
      <w:ind w:left="426" w:right="284" w:hanging="426"/>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 w:type="character" w:customStyle="1" w:styleId="DecisionParagraphsChar">
    <w:name w:val="DecisionParagraphs Char"/>
    <w:link w:val="DecisionParagraphs"/>
    <w:rsid w:val="00205516"/>
    <w:rPr>
      <w:rFonts w:ascii="Arial" w:hAnsi="Arial"/>
      <w:i/>
    </w:rPr>
  </w:style>
  <w:style w:type="character" w:customStyle="1" w:styleId="Heading2Char">
    <w:name w:val="Heading 2 Char"/>
    <w:link w:val="Heading2"/>
    <w:rsid w:val="00D8207A"/>
    <w:rPr>
      <w:rFonts w:ascii="Arial" w:hAnsi="Arial"/>
      <w:u w:val="single"/>
    </w:rPr>
  </w:style>
  <w:style w:type="character" w:customStyle="1" w:styleId="Heading3Char">
    <w:name w:val="Heading 3 Char"/>
    <w:link w:val="Heading3"/>
    <w:rsid w:val="000816F2"/>
    <w:rPr>
      <w:rFonts w:ascii="Arial" w:hAnsi="Arial"/>
      <w:i/>
    </w:rPr>
  </w:style>
  <w:style w:type="character" w:styleId="FollowedHyperlink">
    <w:name w:val="FollowedHyperlink"/>
    <w:basedOn w:val="DefaultParagraphFont"/>
    <w:rsid w:val="00096C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383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meetings/de/topic.jsp?group_id=7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8\Templates\CAJ_6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4F46-F4F4-44B6-8807-A7A47440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CAJ_68_EN.dotx</Template>
  <TotalTime>18</TotalTime>
  <Pages>8</Pages>
  <Words>3005</Words>
  <Characters>20709</Characters>
  <Application>Microsoft Office Word</Application>
  <DocSecurity>0</DocSecurity>
  <Lines>172</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CAJ/67 ENGLISH</vt:lpstr>
      <vt:lpstr>template CAJ/67 ENGLISH</vt:lpstr>
    </vt:vector>
  </TitlesOfParts>
  <Company>UPOV</Company>
  <LinksUpToDate>false</LinksUpToDate>
  <CharactersWithSpaces>23667</CharactersWithSpaces>
  <SharedDoc>false</SharedDoc>
  <HLinks>
    <vt:vector size="6" baseType="variant">
      <vt:variant>
        <vt:i4>7798877</vt:i4>
      </vt:variant>
      <vt:variant>
        <vt:i4>68</vt:i4>
      </vt:variant>
      <vt:variant>
        <vt:i4>0</vt:i4>
      </vt:variant>
      <vt:variant>
        <vt:i4>5</vt:i4>
      </vt:variant>
      <vt:variant>
        <vt:lpwstr>http://www.upov.int/meetings/en/topic.jsp?group_id=73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CAJ/67 ENGLISH</dc:title>
  <dc:creator>BESSE Ariane</dc:creator>
  <cp:lastModifiedBy>BESSE Ariane</cp:lastModifiedBy>
  <cp:revision>10</cp:revision>
  <cp:lastPrinted>2013-10-09T10:40:00Z</cp:lastPrinted>
  <dcterms:created xsi:type="dcterms:W3CDTF">2013-10-08T06:34:00Z</dcterms:created>
  <dcterms:modified xsi:type="dcterms:W3CDTF">2013-10-09T10:41:00Z</dcterms:modified>
</cp:coreProperties>
</file>