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C70350" w14:paraId="545682B4" w14:textId="77777777" w:rsidTr="00EB4E9C">
        <w:tc>
          <w:tcPr>
            <w:tcW w:w="6522" w:type="dxa"/>
          </w:tcPr>
          <w:p w14:paraId="76CD3428" w14:textId="77777777" w:rsidR="00DC3802" w:rsidRPr="00C70350" w:rsidRDefault="003E2DF5" w:rsidP="00AC2883">
            <w:r w:rsidRPr="00AE4F86">
              <w:rPr>
                <w:noProof/>
              </w:rPr>
              <w:drawing>
                <wp:inline distT="0" distB="0" distL="0" distR="0" wp14:anchorId="181FD835" wp14:editId="18B61E61">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3956DC84" w14:textId="77777777" w:rsidR="00DC3802" w:rsidRPr="00C70350" w:rsidRDefault="00BC0BD4" w:rsidP="00AC2883">
            <w:pPr>
              <w:pStyle w:val="Lettrine"/>
            </w:pPr>
            <w:r w:rsidRPr="00C70350">
              <w:t>G</w:t>
            </w:r>
          </w:p>
        </w:tc>
      </w:tr>
      <w:tr w:rsidR="00DC3802" w:rsidRPr="00C70350" w14:paraId="14D73A8F" w14:textId="77777777" w:rsidTr="00645CA8">
        <w:trPr>
          <w:trHeight w:val="219"/>
        </w:trPr>
        <w:tc>
          <w:tcPr>
            <w:tcW w:w="6522" w:type="dxa"/>
          </w:tcPr>
          <w:p w14:paraId="15E10990" w14:textId="77777777" w:rsidR="00DC3802" w:rsidRPr="00C70350" w:rsidRDefault="00BC0BD4" w:rsidP="00BC0BD4">
            <w:pPr>
              <w:pStyle w:val="upove"/>
            </w:pPr>
            <w:r w:rsidRPr="00C70350">
              <w:t>I</w:t>
            </w:r>
            <w:r w:rsidR="00A706D3" w:rsidRPr="00C70350">
              <w:t>nternationale</w:t>
            </w:r>
            <w:r w:rsidRPr="00C70350">
              <w:t>r</w:t>
            </w:r>
            <w:r w:rsidR="00A706D3" w:rsidRPr="00C70350">
              <w:t xml:space="preserve"> </w:t>
            </w:r>
            <w:r w:rsidRPr="00C70350">
              <w:t>Verband zum Schutz von Pflanzenzüchtungen</w:t>
            </w:r>
          </w:p>
        </w:tc>
        <w:tc>
          <w:tcPr>
            <w:tcW w:w="3117" w:type="dxa"/>
          </w:tcPr>
          <w:p w14:paraId="75388871" w14:textId="77777777" w:rsidR="00DC3802" w:rsidRPr="00C70350" w:rsidRDefault="00DC3802" w:rsidP="00DA4973"/>
        </w:tc>
      </w:tr>
    </w:tbl>
    <w:p w14:paraId="1FEE3BD2" w14:textId="77777777" w:rsidR="00DC3802" w:rsidRPr="00C70350" w:rsidRDefault="00DC3802" w:rsidP="00DC3802"/>
    <w:p w14:paraId="11799FCA" w14:textId="77777777" w:rsidR="00DA4973" w:rsidRPr="00C70350"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C70350" w14:paraId="0586CFAC" w14:textId="77777777" w:rsidTr="00EB4E9C">
        <w:tc>
          <w:tcPr>
            <w:tcW w:w="6512" w:type="dxa"/>
          </w:tcPr>
          <w:p w14:paraId="01F3BA37" w14:textId="77777777" w:rsidR="00EB4E9C" w:rsidRPr="00C70350" w:rsidRDefault="00BC0BD4" w:rsidP="00AC2883">
            <w:pPr>
              <w:pStyle w:val="Sessiontc"/>
              <w:spacing w:line="240" w:lineRule="auto"/>
            </w:pPr>
            <w:r w:rsidRPr="00C70350">
              <w:t>Technischer</w:t>
            </w:r>
            <w:r w:rsidR="00A706D3" w:rsidRPr="00C70350">
              <w:t xml:space="preserve"> </w:t>
            </w:r>
            <w:r w:rsidRPr="00C70350">
              <w:t>Ausschuss</w:t>
            </w:r>
          </w:p>
          <w:p w14:paraId="7E3B7B6F" w14:textId="77777777" w:rsidR="00300EBF" w:rsidRPr="00C70350" w:rsidRDefault="001304FE" w:rsidP="006A47D7">
            <w:pPr>
              <w:pStyle w:val="Sessiontcplacedate"/>
              <w:spacing w:before="0"/>
              <w:rPr>
                <w:b w:val="0"/>
              </w:rPr>
            </w:pPr>
            <w:r w:rsidRPr="00C70350">
              <w:rPr>
                <w:b w:val="0"/>
              </w:rPr>
              <w:t>Zwei</w:t>
            </w:r>
            <w:r w:rsidR="00A374E6" w:rsidRPr="00C70350">
              <w:rPr>
                <w:b w:val="0"/>
              </w:rPr>
              <w:t>unds</w:t>
            </w:r>
            <w:r w:rsidR="0082535C" w:rsidRPr="00C70350">
              <w:rPr>
                <w:b w:val="0"/>
              </w:rPr>
              <w:t>ech</w:t>
            </w:r>
            <w:r w:rsidR="00BC0BD4" w:rsidRPr="00C70350">
              <w:rPr>
                <w:b w:val="0"/>
              </w:rPr>
              <w:t>zigste Tagung</w:t>
            </w:r>
          </w:p>
          <w:p w14:paraId="4AFB5F04" w14:textId="77777777" w:rsidR="00EB4E9C" w:rsidRPr="00C70350" w:rsidRDefault="00EB4E9C" w:rsidP="002C4A24">
            <w:pPr>
              <w:pStyle w:val="Sessiontcplacedate"/>
              <w:rPr>
                <w:b w:val="0"/>
              </w:rPr>
            </w:pPr>
            <w:r w:rsidRPr="00C70350">
              <w:rPr>
                <w:b w:val="0"/>
              </w:rPr>
              <w:t>Gen</w:t>
            </w:r>
            <w:r w:rsidR="00BC0BD4" w:rsidRPr="00C70350">
              <w:rPr>
                <w:b w:val="0"/>
              </w:rPr>
              <w:t>f</w:t>
            </w:r>
            <w:r w:rsidRPr="00C70350">
              <w:rPr>
                <w:b w:val="0"/>
              </w:rPr>
              <w:t xml:space="preserve">, </w:t>
            </w:r>
            <w:r w:rsidR="001304FE" w:rsidRPr="00C70350">
              <w:rPr>
                <w:b w:val="0"/>
              </w:rPr>
              <w:t>19</w:t>
            </w:r>
            <w:r w:rsidR="00BC0BD4" w:rsidRPr="00C70350">
              <w:rPr>
                <w:b w:val="0"/>
              </w:rPr>
              <w:t xml:space="preserve">. </w:t>
            </w:r>
            <w:r w:rsidR="00714435" w:rsidRPr="00C70350">
              <w:rPr>
                <w:b w:val="0"/>
              </w:rPr>
              <w:t xml:space="preserve">und </w:t>
            </w:r>
            <w:r w:rsidR="00300EBF" w:rsidRPr="00C70350">
              <w:rPr>
                <w:b w:val="0"/>
              </w:rPr>
              <w:t>2</w:t>
            </w:r>
            <w:r w:rsidR="001304FE" w:rsidRPr="00C70350">
              <w:rPr>
                <w:b w:val="0"/>
              </w:rPr>
              <w:t>0</w:t>
            </w:r>
            <w:r w:rsidR="00BC0BD4" w:rsidRPr="00C70350">
              <w:rPr>
                <w:b w:val="0"/>
              </w:rPr>
              <w:t>.</w:t>
            </w:r>
            <w:r w:rsidR="00A706D3" w:rsidRPr="00C70350">
              <w:rPr>
                <w:b w:val="0"/>
              </w:rPr>
              <w:t xml:space="preserve"> </w:t>
            </w:r>
            <w:r w:rsidR="0018093C" w:rsidRPr="00C70350">
              <w:rPr>
                <w:b w:val="0"/>
              </w:rPr>
              <w:t xml:space="preserve">Oktober </w:t>
            </w:r>
            <w:r w:rsidR="001304FE" w:rsidRPr="00C70350">
              <w:rPr>
                <w:b w:val="0"/>
              </w:rPr>
              <w:t>2026</w:t>
            </w:r>
          </w:p>
          <w:p w14:paraId="2878F971" w14:textId="77777777" w:rsidR="006A47D7" w:rsidRPr="00C70350" w:rsidRDefault="006A47D7" w:rsidP="002C4A24">
            <w:pPr>
              <w:pStyle w:val="Sessiontcplacedate"/>
              <w:rPr>
                <w:b w:val="0"/>
              </w:rPr>
            </w:pPr>
          </w:p>
          <w:p w14:paraId="4406277C" w14:textId="77777777" w:rsidR="006A47D7" w:rsidRPr="00C70350" w:rsidRDefault="006A47D7" w:rsidP="006A47D7">
            <w:pPr>
              <w:pStyle w:val="Sessiontc"/>
              <w:spacing w:line="240" w:lineRule="auto"/>
            </w:pPr>
            <w:r w:rsidRPr="00C70350">
              <w:t>Verwaltungs- und Rechtsausschuss</w:t>
            </w:r>
          </w:p>
          <w:p w14:paraId="3B25AC2B" w14:textId="77777777" w:rsidR="006A47D7" w:rsidRPr="00C70350" w:rsidRDefault="001304FE" w:rsidP="006A47D7">
            <w:pPr>
              <w:pStyle w:val="Sessiontcplacedate"/>
              <w:spacing w:before="0"/>
              <w:rPr>
                <w:b w:val="0"/>
              </w:rPr>
            </w:pPr>
            <w:r w:rsidRPr="00C70350">
              <w:rPr>
                <w:b w:val="0"/>
              </w:rPr>
              <w:t>Dr</w:t>
            </w:r>
            <w:r w:rsidR="00A374E6" w:rsidRPr="00C70350">
              <w:rPr>
                <w:b w:val="0"/>
              </w:rPr>
              <w:t>ei</w:t>
            </w:r>
            <w:r w:rsidR="0082535C" w:rsidRPr="00C70350">
              <w:rPr>
                <w:b w:val="0"/>
              </w:rPr>
              <w:t>unda</w:t>
            </w:r>
            <w:r w:rsidR="006A47D7" w:rsidRPr="00C70350">
              <w:rPr>
                <w:b w:val="0"/>
              </w:rPr>
              <w:t>chtzigste Tagung</w:t>
            </w:r>
          </w:p>
          <w:p w14:paraId="2F4ACB95" w14:textId="77777777" w:rsidR="006A47D7" w:rsidRPr="00C70350" w:rsidRDefault="006A47D7" w:rsidP="006A47D7">
            <w:pPr>
              <w:pStyle w:val="Sessiontcplacedate"/>
              <w:spacing w:before="0"/>
              <w:rPr>
                <w:b w:val="0"/>
              </w:rPr>
            </w:pPr>
            <w:r w:rsidRPr="00C70350">
              <w:rPr>
                <w:b w:val="0"/>
              </w:rPr>
              <w:t>Genf, 2</w:t>
            </w:r>
            <w:r w:rsidR="001304FE" w:rsidRPr="00C70350">
              <w:rPr>
                <w:b w:val="0"/>
              </w:rPr>
              <w:t>1</w:t>
            </w:r>
            <w:r w:rsidRPr="00C70350">
              <w:rPr>
                <w:b w:val="0"/>
              </w:rPr>
              <w:t xml:space="preserve">. Oktober </w:t>
            </w:r>
            <w:r w:rsidR="001304FE" w:rsidRPr="00C70350">
              <w:rPr>
                <w:b w:val="0"/>
              </w:rPr>
              <w:t>2026</w:t>
            </w:r>
          </w:p>
          <w:p w14:paraId="6370E46D" w14:textId="77777777" w:rsidR="006A47D7" w:rsidRPr="00C70350" w:rsidRDefault="006A47D7" w:rsidP="006A47D7">
            <w:pPr>
              <w:pStyle w:val="Sessiontcplacedate"/>
              <w:spacing w:before="0"/>
              <w:rPr>
                <w:b w:val="0"/>
              </w:rPr>
            </w:pPr>
          </w:p>
          <w:p w14:paraId="7CF80681" w14:textId="77777777" w:rsidR="006A47D7" w:rsidRPr="00C70350" w:rsidRDefault="006A47D7" w:rsidP="006A47D7">
            <w:pPr>
              <w:pStyle w:val="Sessiontc"/>
              <w:spacing w:line="240" w:lineRule="auto"/>
            </w:pPr>
            <w:r w:rsidRPr="00C70350">
              <w:t>Der Rat</w:t>
            </w:r>
          </w:p>
          <w:p w14:paraId="521E8C0E" w14:textId="77777777" w:rsidR="006A47D7" w:rsidRPr="00C70350" w:rsidRDefault="001304FE" w:rsidP="006A47D7">
            <w:pPr>
              <w:pStyle w:val="Sessiontcplacedate"/>
              <w:spacing w:before="0"/>
              <w:rPr>
                <w:b w:val="0"/>
              </w:rPr>
            </w:pPr>
            <w:r w:rsidRPr="00C70350">
              <w:rPr>
                <w:b w:val="0"/>
              </w:rPr>
              <w:t>Sech</w:t>
            </w:r>
            <w:r w:rsidR="006A47D7" w:rsidRPr="00C70350">
              <w:rPr>
                <w:b w:val="0"/>
              </w:rPr>
              <w:t>zigste ordentliche Tagung</w:t>
            </w:r>
          </w:p>
          <w:p w14:paraId="78EFE566" w14:textId="77777777" w:rsidR="006A47D7" w:rsidRPr="00C70350" w:rsidRDefault="006A47D7" w:rsidP="006A47D7">
            <w:pPr>
              <w:pStyle w:val="Sessiontcplacedate"/>
              <w:spacing w:before="0"/>
              <w:rPr>
                <w:sz w:val="22"/>
              </w:rPr>
            </w:pPr>
            <w:r w:rsidRPr="00C70350">
              <w:rPr>
                <w:b w:val="0"/>
              </w:rPr>
              <w:t>Genf, 2</w:t>
            </w:r>
            <w:r w:rsidR="001304FE" w:rsidRPr="00C70350">
              <w:rPr>
                <w:b w:val="0"/>
              </w:rPr>
              <w:t>3</w:t>
            </w:r>
            <w:r w:rsidRPr="00C70350">
              <w:rPr>
                <w:b w:val="0"/>
              </w:rPr>
              <w:t xml:space="preserve">. Oktober </w:t>
            </w:r>
            <w:r w:rsidR="001304FE" w:rsidRPr="00C70350">
              <w:rPr>
                <w:b w:val="0"/>
              </w:rPr>
              <w:t>2026</w:t>
            </w:r>
          </w:p>
        </w:tc>
        <w:tc>
          <w:tcPr>
            <w:tcW w:w="3127" w:type="dxa"/>
          </w:tcPr>
          <w:p w14:paraId="264084F9" w14:textId="627C676E" w:rsidR="00EB4E9C" w:rsidRPr="00C70350" w:rsidRDefault="006A47D7" w:rsidP="003C7FBE">
            <w:pPr>
              <w:pStyle w:val="Doccode"/>
              <w:rPr>
                <w:lang w:val="de-DE"/>
              </w:rPr>
            </w:pPr>
            <w:r w:rsidRPr="00C70350">
              <w:rPr>
                <w:lang w:val="de-DE"/>
              </w:rPr>
              <w:t>SESSIONS</w:t>
            </w:r>
            <w:r w:rsidR="001304FE" w:rsidRPr="00C70350">
              <w:rPr>
                <w:lang w:val="de-DE"/>
              </w:rPr>
              <w:t>/2026/</w:t>
            </w:r>
            <w:r w:rsidR="00653BDA" w:rsidRPr="00C70350">
              <w:rPr>
                <w:lang w:val="de-DE"/>
              </w:rPr>
              <w:t>2</w:t>
            </w:r>
            <w:r w:rsidR="005E46ED" w:rsidRPr="00943356">
              <w:rPr>
                <w:lang w:val="de-DE"/>
              </w:rPr>
              <w:t xml:space="preserve"> Rev.</w:t>
            </w:r>
            <w:r w:rsidR="00837568" w:rsidRPr="00C70350">
              <w:rPr>
                <w:lang w:val="de-DE"/>
              </w:rPr>
              <w:t xml:space="preserve"> </w:t>
            </w:r>
          </w:p>
          <w:p w14:paraId="143A154F" w14:textId="3B4D4327" w:rsidR="00EB4E9C" w:rsidRPr="00C70350" w:rsidRDefault="00EB4E9C" w:rsidP="003C7FBE">
            <w:pPr>
              <w:pStyle w:val="Docoriginal"/>
            </w:pPr>
            <w:r w:rsidRPr="00C70350">
              <w:t>Original:</w:t>
            </w:r>
            <w:r w:rsidRPr="00C70350">
              <w:rPr>
                <w:b w:val="0"/>
                <w:spacing w:val="0"/>
              </w:rPr>
              <w:t xml:space="preserve"> </w:t>
            </w:r>
            <w:r w:rsidR="00BC0BD4" w:rsidRPr="00C70350">
              <w:rPr>
                <w:b w:val="0"/>
                <w:spacing w:val="0"/>
              </w:rPr>
              <w:t>englisch</w:t>
            </w:r>
          </w:p>
          <w:p w14:paraId="13502ACE" w14:textId="1079EB0D" w:rsidR="00EB4E9C" w:rsidRPr="00C70350" w:rsidRDefault="00EB4E9C" w:rsidP="000A304D">
            <w:pPr>
              <w:pStyle w:val="Docoriginal"/>
            </w:pPr>
            <w:r w:rsidRPr="00C70350">
              <w:t>Dat</w:t>
            </w:r>
            <w:r w:rsidR="00BC0BD4" w:rsidRPr="00C70350">
              <w:t>um</w:t>
            </w:r>
            <w:r w:rsidRPr="00C70350">
              <w:t>:</w:t>
            </w:r>
            <w:r w:rsidR="00714435" w:rsidRPr="00C70350">
              <w:rPr>
                <w:b w:val="0"/>
                <w:spacing w:val="0"/>
              </w:rPr>
              <w:t xml:space="preserve"> </w:t>
            </w:r>
            <w:r w:rsidR="005E46ED" w:rsidRPr="00C70350">
              <w:rPr>
                <w:b w:val="0"/>
                <w:spacing w:val="0"/>
              </w:rPr>
              <w:t>28. September</w:t>
            </w:r>
            <w:r w:rsidR="00653BDA" w:rsidRPr="00C70350">
              <w:rPr>
                <w:b w:val="0"/>
                <w:spacing w:val="0"/>
              </w:rPr>
              <w:t xml:space="preserve"> 2026</w:t>
            </w:r>
          </w:p>
        </w:tc>
      </w:tr>
    </w:tbl>
    <w:p w14:paraId="10CEA007" w14:textId="77777777" w:rsidR="00073EF2" w:rsidRPr="00963460" w:rsidRDefault="00073EF2" w:rsidP="00073EF2">
      <w:pPr>
        <w:pStyle w:val="Titleofdoc0"/>
        <w:ind w:right="-142"/>
      </w:pPr>
      <w:r w:rsidRPr="00963460">
        <w:t>Ausarbeitung von Anleitung und dem Rat zur Annahme vorgeschlagene Dokumente</w:t>
      </w:r>
    </w:p>
    <w:p w14:paraId="7A12AA76" w14:textId="77777777" w:rsidR="006A644A" w:rsidRPr="00C70350" w:rsidRDefault="00BC0BD4" w:rsidP="006A644A">
      <w:pPr>
        <w:pStyle w:val="preparedby1"/>
        <w:jc w:val="left"/>
      </w:pPr>
      <w:r w:rsidRPr="00C70350">
        <w:t>vom Verbandsbüro erstelltes Dokument</w:t>
      </w:r>
    </w:p>
    <w:p w14:paraId="39227498" w14:textId="77777777" w:rsidR="00050E16" w:rsidRPr="00C70350" w:rsidRDefault="00BC0BD4" w:rsidP="006A644A">
      <w:pPr>
        <w:pStyle w:val="Disclaimer"/>
      </w:pPr>
      <w:r w:rsidRPr="00C70350">
        <w:t>Haftungsausschluss: dieses Dokument gibt nicht die Grundsätze oder eine Anleitung der UPOV wieder</w:t>
      </w:r>
    </w:p>
    <w:p w14:paraId="04767E17" w14:textId="77777777" w:rsidR="00F05450" w:rsidRPr="00C70350" w:rsidRDefault="00F05450" w:rsidP="00F05450">
      <w:pPr>
        <w:keepNext/>
        <w:outlineLvl w:val="0"/>
        <w:rPr>
          <w:caps/>
          <w:snapToGrid w:val="0"/>
        </w:rPr>
      </w:pPr>
      <w:bookmarkStart w:id="0" w:name="_Toc131182452"/>
      <w:bookmarkStart w:id="1" w:name="_Toc242122258"/>
      <w:r w:rsidRPr="00C70350">
        <w:rPr>
          <w:caps/>
          <w:snapToGrid w:val="0"/>
        </w:rPr>
        <w:t>Zusammenfassung</w:t>
      </w:r>
      <w:bookmarkEnd w:id="0"/>
      <w:bookmarkEnd w:id="1"/>
      <w:r w:rsidRPr="00C70350">
        <w:rPr>
          <w:caps/>
          <w:snapToGrid w:val="0"/>
        </w:rPr>
        <w:t xml:space="preserve"> </w:t>
      </w:r>
    </w:p>
    <w:p w14:paraId="50CFDD12" w14:textId="77777777" w:rsidR="00F05450" w:rsidRPr="00C70350" w:rsidRDefault="00F05450" w:rsidP="00F05450"/>
    <w:p w14:paraId="5160D587" w14:textId="79188DFC" w:rsidR="00F05450" w:rsidRPr="00C70350" w:rsidRDefault="00F05450" w:rsidP="008A414C">
      <w:r w:rsidRPr="00C70350">
        <w:fldChar w:fldCharType="begin"/>
      </w:r>
      <w:r w:rsidRPr="00C70350">
        <w:instrText xml:space="preserve"> AUTONUM  </w:instrText>
      </w:r>
      <w:r w:rsidRPr="00C70350">
        <w:fldChar w:fldCharType="end"/>
      </w:r>
      <w:r w:rsidRPr="00C70350">
        <w:tab/>
        <w:t xml:space="preserve">Zweck dieses Dokuments ist es, einen Überblick </w:t>
      </w:r>
      <w:r w:rsidR="001A4FC3" w:rsidRPr="00C70350">
        <w:t xml:space="preserve">über die Ausarbeitung von UPOV-Anleitung und Informationsmaterial zu geben, </w:t>
      </w:r>
      <w:r w:rsidRPr="00C70350">
        <w:t>einschließlich dem Rat zur Annahme vorgeschlagener Dokumente.</w:t>
      </w:r>
    </w:p>
    <w:p w14:paraId="0AEC7BA8" w14:textId="77777777" w:rsidR="00F05450" w:rsidRPr="00C70350" w:rsidRDefault="00F05450" w:rsidP="00F05450"/>
    <w:p w14:paraId="2D5086D1" w14:textId="47C482B3" w:rsidR="00F05450" w:rsidRPr="00C70350" w:rsidRDefault="00F05450" w:rsidP="00F05450">
      <w:pPr>
        <w:keepNext/>
        <w:keepLines/>
      </w:pPr>
      <w:r w:rsidRPr="00C70350">
        <w:rPr>
          <w:rFonts w:eastAsia="MS Mincho"/>
        </w:rPr>
        <w:fldChar w:fldCharType="begin"/>
      </w:r>
      <w:r w:rsidRPr="00C70350">
        <w:rPr>
          <w:rFonts w:eastAsia="MS Mincho"/>
          <w:lang w:eastAsia="zh-CN"/>
        </w:rPr>
        <w:instrText xml:space="preserve"> AUTONUM  </w:instrText>
      </w:r>
      <w:r w:rsidRPr="00C70350">
        <w:rPr>
          <w:rFonts w:eastAsia="MS Mincho"/>
        </w:rPr>
        <w:fldChar w:fldCharType="end"/>
      </w:r>
      <w:r w:rsidRPr="00C70350">
        <w:tab/>
        <w:t xml:space="preserve">Im Rahmen der Maßnahmen zur Verbesserung der Effizienz und Wirksamkeit der UPOV-Tagungen wird vorgeschlagen, Dokument UPOV/INF/13 </w:t>
      </w:r>
      <w:r w:rsidR="008D4851">
        <w:t>„</w:t>
      </w:r>
      <w:r w:rsidRPr="00C70350">
        <w:t>Anleitung zum Verfahren für den Beitritt zur UPOV</w:t>
      </w:r>
      <w:r w:rsidR="001961BB">
        <w:t>“</w:t>
      </w:r>
      <w:r w:rsidR="00837568" w:rsidRPr="00C70350">
        <w:t>, Abschnitt B „Stellungnahme des Rates</w:t>
      </w:r>
      <w:r w:rsidR="001961BB">
        <w:t>“</w:t>
      </w:r>
      <w:r w:rsidRPr="00C70350">
        <w:t xml:space="preserve"> zu überarbeiten. Die</w:t>
      </w:r>
      <w:r w:rsidR="00685D83" w:rsidRPr="00C70350">
        <w:t xml:space="preserve"> zur Annahme durch den</w:t>
      </w:r>
      <w:r w:rsidRPr="00C70350">
        <w:t xml:space="preserve"> Rat </w:t>
      </w:r>
      <w:r w:rsidR="00685D83" w:rsidRPr="00C70350">
        <w:t>vorgeschlagene Überarbeitung zielt darauf ab</w:t>
      </w:r>
      <w:r w:rsidRPr="00C70350">
        <w:t xml:space="preserve">, den </w:t>
      </w:r>
      <w:r w:rsidR="00685D83" w:rsidRPr="00C70350">
        <w:t>auf eine p</w:t>
      </w:r>
      <w:r w:rsidRPr="00C70350">
        <w:t xml:space="preserve">ositive Stellungnahme </w:t>
      </w:r>
      <w:r w:rsidR="00685D83" w:rsidRPr="00C70350">
        <w:t xml:space="preserve">des Rates </w:t>
      </w:r>
      <w:r w:rsidRPr="00C70350">
        <w:t xml:space="preserve">zur Vereinbarkeit des Gesetzes oder Gesetzentwurfs mit den Bestimmungen des UPOV-Übereinkommens </w:t>
      </w:r>
      <w:r w:rsidR="00685D83" w:rsidRPr="00C70350">
        <w:t>folgenden Prozess zu straffen</w:t>
      </w:r>
      <w:r w:rsidRPr="00C70350">
        <w:t xml:space="preserve">. Der in Absatz 16 des vorliegenden Dokuments enthaltene Vorschlag würde </w:t>
      </w:r>
      <w:r w:rsidR="00685D83" w:rsidRPr="00C70350">
        <w:t>klarstellen</w:t>
      </w:r>
      <w:r w:rsidRPr="00C70350">
        <w:t>, dass rein redaktionelle Änderungen, die keine Auswirkungen auf den Inhalt des Gesetzes haben, keine Neueinschätzung durch den Rat erforder</w:t>
      </w:r>
      <w:r w:rsidR="00685D83" w:rsidRPr="00C70350">
        <w:t>n würden</w:t>
      </w:r>
      <w:r w:rsidRPr="00C70350">
        <w:t>.</w:t>
      </w:r>
      <w:r w:rsidR="00837568" w:rsidRPr="00C70350">
        <w:t xml:space="preserve"> Es wird au</w:t>
      </w:r>
      <w:r w:rsidR="00417BC8" w:rsidRPr="00C70350">
        <w:t>ßerdem</w:t>
      </w:r>
      <w:r w:rsidR="00837568" w:rsidRPr="00C70350">
        <w:t xml:space="preserve"> vorgeschlagen, Abschnitt E „Notifizierung des Vertreters und des Stellvertreters im Rat</w:t>
      </w:r>
      <w:r w:rsidR="001961BB">
        <w:t>“</w:t>
      </w:r>
      <w:r w:rsidR="00837568" w:rsidRPr="00C70350">
        <w:t xml:space="preserve"> zu überarbeiten, um die</w:t>
      </w:r>
      <w:r w:rsidR="00034942" w:rsidRPr="00C70350">
        <w:t xml:space="preserve"> Einstellung des eingeschränkten Bereichs der UPOV-Website und die Entfernung </w:t>
      </w:r>
      <w:r w:rsidR="00837568" w:rsidRPr="00C70350">
        <w:t>von Do</w:t>
      </w:r>
      <w:r w:rsidR="006157AD" w:rsidRPr="00C70350">
        <w:t>k</w:t>
      </w:r>
      <w:r w:rsidR="00837568" w:rsidRPr="00C70350">
        <w:t>ument UPOV/INF/20 „</w:t>
      </w:r>
      <w:r w:rsidR="006157AD" w:rsidRPr="00C70350">
        <w:t>Regeln für den Zugang zu UPOV-Dokumenten</w:t>
      </w:r>
      <w:r w:rsidR="001961BB">
        <w:t>“</w:t>
      </w:r>
      <w:r w:rsidR="00417BC8" w:rsidRPr="00C70350">
        <w:t xml:space="preserve"> </w:t>
      </w:r>
      <w:r w:rsidR="00034942" w:rsidRPr="00973485">
        <w:t>im Jahr</w:t>
      </w:r>
      <w:r w:rsidR="00034942" w:rsidRPr="00C70350">
        <w:t xml:space="preserve"> 2024</w:t>
      </w:r>
      <w:r w:rsidR="00034942" w:rsidRPr="00973485">
        <w:t xml:space="preserve"> </w:t>
      </w:r>
      <w:r w:rsidR="00417BC8" w:rsidRPr="00C70350">
        <w:t>widerzuspiegeln.</w:t>
      </w:r>
    </w:p>
    <w:p w14:paraId="0550CEE7" w14:textId="77777777" w:rsidR="00F05450" w:rsidRPr="00C70350" w:rsidRDefault="00F05450" w:rsidP="00F05450"/>
    <w:p w14:paraId="081E38A2" w14:textId="67CCCA44" w:rsidR="00F05450" w:rsidRPr="00C70350" w:rsidRDefault="00F05450" w:rsidP="00F05450">
      <w:r w:rsidRPr="00C70350">
        <w:rPr>
          <w:rFonts w:eastAsia="MS Mincho"/>
        </w:rPr>
        <w:fldChar w:fldCharType="begin"/>
      </w:r>
      <w:r w:rsidRPr="00C70350">
        <w:rPr>
          <w:rFonts w:eastAsia="MS Mincho"/>
          <w:lang w:eastAsia="zh-CN"/>
        </w:rPr>
        <w:instrText xml:space="preserve"> AUTONUM  </w:instrText>
      </w:r>
      <w:r w:rsidRPr="00C70350">
        <w:rPr>
          <w:rFonts w:eastAsia="MS Mincho"/>
        </w:rPr>
        <w:fldChar w:fldCharType="end"/>
      </w:r>
      <w:r w:rsidRPr="00C70350">
        <w:tab/>
        <w:t xml:space="preserve">Im Rahmen der Maßnahmen zur Verbesserung der Effizienz und Wirksamkeit der UPOV-Tagungen wird außerdem vorgeschlagen, die Dokumente UPOV/INF/16 </w:t>
      </w:r>
      <w:r w:rsidR="008D4851">
        <w:t>„</w:t>
      </w:r>
      <w:r w:rsidRPr="00C70350">
        <w:t>Austauschbare Software</w:t>
      </w:r>
      <w:r w:rsidR="001961BB">
        <w:t>“</w:t>
      </w:r>
      <w:r w:rsidRPr="00C70350">
        <w:t xml:space="preserve"> und UPOV/INF/22 </w:t>
      </w:r>
      <w:r w:rsidR="006B0418">
        <w:t>„</w:t>
      </w:r>
      <w:r w:rsidRPr="00C70350">
        <w:t>Von Verbandsmitgliedern verwendete Software und Ausrüstung</w:t>
      </w:r>
      <w:r w:rsidR="001961BB">
        <w:t>“</w:t>
      </w:r>
      <w:r w:rsidRPr="00C70350">
        <w:t xml:space="preserve"> zu überarbeiten. </w:t>
      </w:r>
      <w:r w:rsidR="00D01EEC" w:rsidRPr="00C70350">
        <w:t xml:space="preserve">Bisher </w:t>
      </w:r>
      <w:r w:rsidR="000656D4" w:rsidRPr="00C70350">
        <w:t>bedarf</w:t>
      </w:r>
      <w:r w:rsidR="00D01EEC" w:rsidRPr="00C70350">
        <w:t xml:space="preserve"> die</w:t>
      </w:r>
      <w:r w:rsidRPr="00C70350">
        <w:t xml:space="preserve"> </w:t>
      </w:r>
      <w:r w:rsidR="000656D4" w:rsidRPr="00C70350">
        <w:t xml:space="preserve">regelmäßige Aufnahme von durch Verbandsmitglieder erteilten Informationen über für Sortenschutzzwecke verwendete Software und Ausrüstung einer offiziellen Entscheidung des Rates. </w:t>
      </w:r>
      <w:r w:rsidRPr="00C70350">
        <w:t xml:space="preserve">Die in diesem Dokument </w:t>
      </w:r>
      <w:r w:rsidR="000656D4" w:rsidRPr="00C70350">
        <w:t>dargelegten</w:t>
      </w:r>
      <w:r w:rsidRPr="00C70350">
        <w:t xml:space="preserve"> Vorschläge würden den Technischen Ausschuss befähigen, die </w:t>
      </w:r>
      <w:r w:rsidR="000656D4" w:rsidRPr="00C70350">
        <w:t>Einbeziehung von</w:t>
      </w:r>
      <w:r w:rsidRPr="00C70350">
        <w:t xml:space="preserve"> Software und Ausrüstung in </w:t>
      </w:r>
      <w:r w:rsidR="000656D4" w:rsidRPr="00C70350">
        <w:t>jene</w:t>
      </w:r>
      <w:r w:rsidRPr="00C70350">
        <w:t xml:space="preserve"> Dokumente zu empfehlen. </w:t>
      </w:r>
    </w:p>
    <w:p w14:paraId="0A6F419F" w14:textId="77777777" w:rsidR="00F05450" w:rsidRPr="00C70350" w:rsidRDefault="00F05450" w:rsidP="00F05450"/>
    <w:p w14:paraId="69352F06" w14:textId="11E264F7"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Es wird vorgeschlagen, Dokument TGP/5 </w:t>
      </w:r>
      <w:r w:rsidR="006B0418">
        <w:t>„</w:t>
      </w:r>
      <w:r w:rsidRPr="00C70350">
        <w:t>Erfahrung und Zusammenarbeit bei der DUS-Prüfung</w:t>
      </w:r>
      <w:r w:rsidR="001961BB">
        <w:t>“</w:t>
      </w:r>
      <w:r w:rsidRPr="00C70350">
        <w:t xml:space="preserve">, Abschnitt 11 </w:t>
      </w:r>
      <w:r w:rsidR="001961BB">
        <w:t>„</w:t>
      </w:r>
      <w:r w:rsidRPr="00C70350">
        <w:t>Beispiele für Verfahren und Verträge bezüglich des vom Züchter eingereichten Materials</w:t>
      </w:r>
      <w:r w:rsidR="001961BB">
        <w:t>“</w:t>
      </w:r>
      <w:r w:rsidRPr="00C70350">
        <w:t xml:space="preserve"> zu überarbeiten, um das von der Europäischen Gemeinschaft </w:t>
      </w:r>
      <w:r w:rsidR="00E24920" w:rsidRPr="00C70350">
        <w:t>bereitgestellte</w:t>
      </w:r>
      <w:r w:rsidRPr="00C70350">
        <w:t xml:space="preserve"> Beispiel „Verfahren des Gemeinschaftlichen Sortenamtes (CPVO) der Europäischen Gemeinschaft hinsichtlich des Status des im Rahmen der Anträge auf Erteilung gemeinschaftlicher Sortenrechte für die DUS-Prüfung eingereichten Pflanzenmaterials</w:t>
      </w:r>
      <w:r w:rsidR="001961BB">
        <w:t>“</w:t>
      </w:r>
      <w:r w:rsidRPr="00C70350">
        <w:t xml:space="preserve"> durch eine aktualisierte Fassung </w:t>
      </w:r>
      <w:r w:rsidR="00E24920" w:rsidRPr="00C70350">
        <w:t>des</w:t>
      </w:r>
      <w:r w:rsidRPr="00C70350">
        <w:t xml:space="preserve"> Dokuments zu ersetzen. Die aktualisierte Fassung wurde auf Anfrage des Technischen Ausschusses an die Verbandsmitglieder, über </w:t>
      </w:r>
      <w:r w:rsidR="00E24920" w:rsidRPr="00C70350">
        <w:t>ihre Strategien zur Gew</w:t>
      </w:r>
      <w:r w:rsidRPr="00C70350">
        <w:t>ährleistung der Vertraulichkeit molekulare</w:t>
      </w:r>
      <w:r w:rsidR="00A72F84" w:rsidRPr="00C70350">
        <w:t>r</w:t>
      </w:r>
      <w:r w:rsidRPr="00C70350">
        <w:t xml:space="preserve"> Informationen zu berichten, </w:t>
      </w:r>
      <w:r w:rsidR="00A72F84" w:rsidRPr="00C70350">
        <w:t>bereitgestellt</w:t>
      </w:r>
      <w:r w:rsidRPr="00C70350">
        <w:t xml:space="preserve">. Die aktualisierte Fassung ist in Dokument TGP/5, Abschnitt 11/2 Draft 1 enthalten. </w:t>
      </w:r>
    </w:p>
    <w:p w14:paraId="3859F736" w14:textId="77777777" w:rsidR="00F05450" w:rsidRPr="00C70350" w:rsidRDefault="00F05450" w:rsidP="00F05450"/>
    <w:p w14:paraId="6E6D9A05" w14:textId="0BF59A6A"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Im Anschluss an die Erörterungen über den in </w:t>
      </w:r>
      <w:r w:rsidR="00A72F84" w:rsidRPr="00C70350">
        <w:t>den Prüfungsrichtlinien</w:t>
      </w:r>
      <w:r w:rsidRPr="00C70350">
        <w:t xml:space="preserve"> verwendeten Standardwortlaut wird vorgeschlagen, </w:t>
      </w:r>
      <w:r w:rsidR="00811059" w:rsidRPr="00C70350">
        <w:t xml:space="preserve">dass </w:t>
      </w:r>
      <w:r w:rsidRPr="00C70350">
        <w:t xml:space="preserve">Dokument TGP/7 </w:t>
      </w:r>
      <w:r w:rsidR="001961BB">
        <w:t>„</w:t>
      </w:r>
      <w:r w:rsidRPr="00C70350">
        <w:t>Erstellung von Prüfungsrichtlinien</w:t>
      </w:r>
      <w:r w:rsidR="001961BB">
        <w:t>“</w:t>
      </w:r>
      <w:r w:rsidRPr="00C70350">
        <w:t xml:space="preserve"> </w:t>
      </w:r>
      <w:r w:rsidR="00811059" w:rsidRPr="00C70350">
        <w:t xml:space="preserve">aktualisiert werden sollte, um </w:t>
      </w:r>
      <w:r w:rsidRPr="00C70350">
        <w:t xml:space="preserve">die Anzahl </w:t>
      </w:r>
      <w:r w:rsidR="00811059" w:rsidRPr="00C70350">
        <w:t>der zwecks</w:t>
      </w:r>
      <w:r w:rsidRPr="00C70350">
        <w:t xml:space="preserve"> Sortenprüfung durchzuführende</w:t>
      </w:r>
      <w:r w:rsidR="00811059" w:rsidRPr="00C70350">
        <w:t>n</w:t>
      </w:r>
      <w:r w:rsidRPr="00C70350">
        <w:t xml:space="preserve"> Wachstumsperioden zu vereinheitlichen. Ziel ist es, den Behörden </w:t>
      </w:r>
      <w:r w:rsidR="00811059" w:rsidRPr="00C70350">
        <w:t>ausreichend</w:t>
      </w:r>
      <w:r w:rsidRPr="00C70350">
        <w:t xml:space="preserve"> Flexibilität </w:t>
      </w:r>
      <w:r w:rsidR="00811059" w:rsidRPr="00C70350">
        <w:t>zu gewähren, um</w:t>
      </w:r>
      <w:r w:rsidRPr="00C70350">
        <w:t xml:space="preserve"> die Prüfung zu beenden</w:t>
      </w:r>
      <w:r w:rsidR="00417BC8" w:rsidRPr="00C70350">
        <w:t>,</w:t>
      </w:r>
      <w:r w:rsidR="00811059" w:rsidRPr="00C70350">
        <w:t xml:space="preserve"> </w:t>
      </w:r>
      <w:r w:rsidRPr="00C70350">
        <w:t xml:space="preserve">wenn das Testresultat </w:t>
      </w:r>
      <w:r w:rsidRPr="00C70350">
        <w:lastRenderedPageBreak/>
        <w:t>abschließend beurteilt werden kann,</w:t>
      </w:r>
      <w:r w:rsidR="00811059" w:rsidRPr="00C70350">
        <w:t xml:space="preserve"> und gleichzeitig eine einheitliche</w:t>
      </w:r>
      <w:r w:rsidRPr="00C70350">
        <w:t xml:space="preserve"> Vorgehen</w:t>
      </w:r>
      <w:r w:rsidR="00811059" w:rsidRPr="00C70350">
        <w:t>sweise bezüglich der</w:t>
      </w:r>
      <w:r w:rsidRPr="00C70350">
        <w:t xml:space="preserve"> in den Testrichtlinien vorgesehene Anzahl an Wachstumsperioden </w:t>
      </w:r>
      <w:r w:rsidR="00811059" w:rsidRPr="00C70350">
        <w:t>beizubehalten</w:t>
      </w:r>
      <w:r w:rsidRPr="00C70350">
        <w:t xml:space="preserve"> (z.B. </w:t>
      </w:r>
      <w:r w:rsidR="00811059" w:rsidRPr="00C70350">
        <w:t>„</w:t>
      </w:r>
      <w:r w:rsidRPr="00C70350">
        <w:t>die Mindestprüfdauer sollte in der Regel zwei unabhängige Wachstumsperioden betragen</w:t>
      </w:r>
      <w:r w:rsidR="001961BB">
        <w:t>“</w:t>
      </w:r>
      <w:r w:rsidRPr="00C70350">
        <w:t xml:space="preserve">). Die Technische Arbeitsgruppe für Obstarten (TWF) wird diese Frage bei ihrer Tagung in Leipzig, Deutschland, vom 7. bis 10. September 2026 prüfen und die </w:t>
      </w:r>
      <w:r w:rsidR="00811059" w:rsidRPr="00C70350">
        <w:t>dort eingebrachten Anmerkungen w</w:t>
      </w:r>
      <w:r w:rsidRPr="00C70350">
        <w:t xml:space="preserve">erden </w:t>
      </w:r>
      <w:r w:rsidR="00811059" w:rsidRPr="00C70350">
        <w:t xml:space="preserve">in </w:t>
      </w:r>
      <w:r w:rsidRPr="00C70350">
        <w:t>einer Ergänzung</w:t>
      </w:r>
      <w:r w:rsidR="00811059" w:rsidRPr="00C70350">
        <w:t xml:space="preserve"> zu diesem Dokument dargelegt</w:t>
      </w:r>
      <w:r w:rsidRPr="00C70350">
        <w:t xml:space="preserve">. </w:t>
      </w:r>
    </w:p>
    <w:p w14:paraId="7DBAB5FD" w14:textId="77777777" w:rsidR="00F05450" w:rsidRPr="00C70350" w:rsidRDefault="00F05450" w:rsidP="00F05450"/>
    <w:p w14:paraId="7EE494A1" w14:textId="4E225CD4" w:rsidR="00F05450" w:rsidRPr="00C70350" w:rsidRDefault="00F05450" w:rsidP="00F05450">
      <w:pPr>
        <w:keepLines/>
        <w:rPr>
          <w:lang w:eastAsia="zh-CN"/>
        </w:rPr>
      </w:pPr>
      <w:r w:rsidRPr="00C70350">
        <w:rPr>
          <w:lang w:eastAsia="zh-CN"/>
        </w:rPr>
        <w:fldChar w:fldCharType="begin"/>
      </w:r>
      <w:r w:rsidRPr="00C70350">
        <w:rPr>
          <w:lang w:eastAsia="zh-CN"/>
        </w:rPr>
        <w:instrText xml:space="preserve"> AUTONUM  </w:instrText>
      </w:r>
      <w:r w:rsidRPr="00C70350">
        <w:rPr>
          <w:lang w:eastAsia="zh-CN"/>
        </w:rPr>
        <w:fldChar w:fldCharType="end"/>
      </w:r>
      <w:r w:rsidRPr="00C70350">
        <w:rPr>
          <w:lang w:eastAsia="zh-CN"/>
        </w:rPr>
        <w:tab/>
        <w:t xml:space="preserve">Ein neuer </w:t>
      </w:r>
      <w:r w:rsidR="00CD548F" w:rsidRPr="00C70350">
        <w:rPr>
          <w:lang w:eastAsia="zh-CN"/>
        </w:rPr>
        <w:t>Vorschlag zur Überarbeitung von</w:t>
      </w:r>
      <w:r w:rsidRPr="00C70350">
        <w:rPr>
          <w:lang w:eastAsia="zh-CN"/>
        </w:rPr>
        <w:t xml:space="preserve"> Dokument TGP/12 </w:t>
      </w:r>
      <w:r w:rsidR="001961BB">
        <w:t>„</w:t>
      </w:r>
      <w:r w:rsidRPr="00C70350">
        <w:rPr>
          <w:lang w:eastAsia="zh-CN"/>
        </w:rPr>
        <w:t>Anleitung zu bestimmten physiologischen Merkmalen</w:t>
      </w:r>
      <w:r w:rsidR="001961BB">
        <w:t>“</w:t>
      </w:r>
      <w:r w:rsidRPr="00C70350">
        <w:rPr>
          <w:lang w:eastAsia="zh-CN"/>
        </w:rPr>
        <w:t xml:space="preserve"> </w:t>
      </w:r>
      <w:r w:rsidR="00CD548F" w:rsidRPr="00C70350">
        <w:rPr>
          <w:lang w:eastAsia="zh-CN"/>
        </w:rPr>
        <w:t>wird vorgelegt, um die</w:t>
      </w:r>
      <w:r w:rsidRPr="00C70350">
        <w:rPr>
          <w:lang w:eastAsia="zh-CN"/>
        </w:rPr>
        <w:t xml:space="preserve"> Überarbeitung der Prüfungsrichtlinien </w:t>
      </w:r>
      <w:r w:rsidR="00CD548F" w:rsidRPr="00C70350">
        <w:rPr>
          <w:lang w:eastAsia="zh-CN"/>
        </w:rPr>
        <w:t>infolge</w:t>
      </w:r>
      <w:r w:rsidRPr="00C70350">
        <w:rPr>
          <w:lang w:eastAsia="zh-CN"/>
        </w:rPr>
        <w:t xml:space="preserve"> häufiger Änderungen der Nomenklatur von Schädlingen und Krankheiten überflüssig zu machen. Der Vorschlag </w:t>
      </w:r>
      <w:r w:rsidR="00CD548F" w:rsidRPr="00C70350">
        <w:rPr>
          <w:lang w:eastAsia="zh-CN"/>
        </w:rPr>
        <w:t>bezieht eine</w:t>
      </w:r>
      <w:r w:rsidRPr="00C70350">
        <w:rPr>
          <w:lang w:eastAsia="zh-CN"/>
        </w:rPr>
        <w:t xml:space="preserve">n Haftungsausschluss ein, </w:t>
      </w:r>
      <w:r w:rsidR="00CD548F" w:rsidRPr="00C70350">
        <w:rPr>
          <w:lang w:eastAsia="zh-CN"/>
        </w:rPr>
        <w:t xml:space="preserve">um darauf hinzuweisen, dass </w:t>
      </w:r>
      <w:r w:rsidRPr="00C70350">
        <w:rPr>
          <w:lang w:eastAsia="zh-CN"/>
        </w:rPr>
        <w:t xml:space="preserve">die Namen von Schädlingen und Krankheiten zum Zeitpunkt der Annahme der Prüfungsrichtlinien korrekt waren und dass die aktuelle Nomenklatur beim ISF-Code-System für Schadorganismen der International Seed Federation (ISF) eingesehen werden </w:t>
      </w:r>
      <w:r w:rsidR="00CD548F" w:rsidRPr="00C70350">
        <w:rPr>
          <w:lang w:eastAsia="zh-CN"/>
        </w:rPr>
        <w:t>kann</w:t>
      </w:r>
      <w:r w:rsidRPr="00C70350">
        <w:rPr>
          <w:lang w:eastAsia="zh-CN"/>
        </w:rPr>
        <w:t>.</w:t>
      </w:r>
    </w:p>
    <w:p w14:paraId="2226F015" w14:textId="77777777" w:rsidR="00F05450" w:rsidRPr="00C70350" w:rsidRDefault="00F05450" w:rsidP="00F05450"/>
    <w:p w14:paraId="4AD51864" w14:textId="3341922E"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Es wird vorgeschlagen, Dokument TGP/15 </w:t>
      </w:r>
      <w:r w:rsidR="001961BB">
        <w:t>„</w:t>
      </w:r>
      <w:r w:rsidRPr="00C70350">
        <w:t>Anleitung zur Verwendung biochemischer und molekularer Marker bei der Prüfung der Unterscheidbarkeit, Homogenität und Beständigkeit (DUS)</w:t>
      </w:r>
      <w:r w:rsidR="001961BB">
        <w:t>“</w:t>
      </w:r>
      <w:r w:rsidRPr="00C70350">
        <w:t xml:space="preserve"> zu überarbeiten. Der Rat wird ersucht, einen neuen Abschnitt</w:t>
      </w:r>
      <w:r w:rsidR="00CD548F" w:rsidRPr="00C70350">
        <w:t xml:space="preserve"> über </w:t>
      </w:r>
      <w:r w:rsidRPr="00C70350">
        <w:t>„Richtlinien für die Validierung eines merkmalsspezifischen molekularen Marker Protokolls als eine alternative Erfassungsmethode</w:t>
      </w:r>
      <w:r w:rsidR="001961BB">
        <w:t>“</w:t>
      </w:r>
      <w:r w:rsidRPr="00C70350">
        <w:t xml:space="preserve"> </w:t>
      </w:r>
      <w:r w:rsidR="00CD548F" w:rsidRPr="00C70350">
        <w:t>anzunehmen</w:t>
      </w:r>
      <w:r w:rsidRPr="00C70350">
        <w:t xml:space="preserve">. Dokument TGP/15 sieht vor, molekulare Marker als Methode zur Prüfung von DUS-Merkmalen verwendet werden können, vorausgesetzt zwischen dem Marker und dem Merkmal besteht eine zuverlässige Verbindung. Die neuen Richtlinien beschreiben </w:t>
      </w:r>
      <w:r w:rsidR="00401AC5" w:rsidRPr="00C70350">
        <w:t>ein</w:t>
      </w:r>
      <w:r w:rsidRPr="00C70350">
        <w:t xml:space="preserve"> Verfahren zur </w:t>
      </w:r>
      <w:r w:rsidR="006330B8" w:rsidRPr="00C70350">
        <w:t>Validierung</w:t>
      </w:r>
      <w:r w:rsidRPr="00C70350">
        <w:t xml:space="preserve"> merkmalspezifischer molekularer Marker</w:t>
      </w:r>
      <w:r w:rsidR="006330B8" w:rsidRPr="00C70350">
        <w:t>,</w:t>
      </w:r>
      <w:r w:rsidRPr="00C70350">
        <w:t xml:space="preserve"> sowie ein</w:t>
      </w:r>
      <w:r w:rsidR="00401AC5" w:rsidRPr="00C70350">
        <w:t xml:space="preserve">e </w:t>
      </w:r>
      <w:r w:rsidR="006330B8" w:rsidRPr="00C70350">
        <w:t>TG-</w:t>
      </w:r>
      <w:r w:rsidR="00401AC5" w:rsidRPr="00C70350">
        <w:t>Mustervorlage</w:t>
      </w:r>
      <w:r w:rsidR="007257D0" w:rsidRPr="00C70350">
        <w:t>,</w:t>
      </w:r>
      <w:r w:rsidRPr="00C70350">
        <w:t xml:space="preserve"> </w:t>
      </w:r>
      <w:r w:rsidR="006330B8" w:rsidRPr="00C70350">
        <w:t xml:space="preserve">um in den Prüfungsrichtlinien zu beschreiben, wie diese als alternative Erfassungsmethode eines </w:t>
      </w:r>
      <w:r w:rsidR="00F2675F" w:rsidRPr="00C70350">
        <w:t>Merkmals</w:t>
      </w:r>
      <w:r w:rsidR="006330B8" w:rsidRPr="00C70350">
        <w:t xml:space="preserve"> zu verwenden ist</w:t>
      </w:r>
      <w:r w:rsidRPr="00C70350">
        <w:t xml:space="preserve">. Die neuen Richtlinien sind in Dokument TGP/15/4 Draft 1 </w:t>
      </w:r>
      <w:r w:rsidR="00F2675F" w:rsidRPr="00C70350">
        <w:t>enthalten</w:t>
      </w:r>
      <w:r w:rsidRPr="00C70350">
        <w:t xml:space="preserve">. </w:t>
      </w:r>
    </w:p>
    <w:p w14:paraId="0114C061" w14:textId="77777777" w:rsidR="007257D0" w:rsidRPr="00C70350" w:rsidRDefault="007257D0" w:rsidP="00F05450"/>
    <w:p w14:paraId="6C1180DC" w14:textId="77777777" w:rsidR="007257D0" w:rsidRDefault="007257D0" w:rsidP="007257D0">
      <w:pPr>
        <w:keepNext/>
        <w:spacing w:after="240"/>
        <w:rPr>
          <w:rFonts w:cs="Arial"/>
        </w:rPr>
      </w:pPr>
      <w:r w:rsidRPr="00C70350">
        <w:rPr>
          <w:rFonts w:cs="Arial"/>
        </w:rPr>
        <w:fldChar w:fldCharType="begin"/>
      </w:r>
      <w:r w:rsidRPr="00C70350">
        <w:rPr>
          <w:rFonts w:cs="Arial"/>
        </w:rPr>
        <w:instrText xml:space="preserve"> AUTONUM  </w:instrText>
      </w:r>
      <w:r w:rsidRPr="00C70350">
        <w:rPr>
          <w:rFonts w:cs="Arial"/>
        </w:rPr>
        <w:fldChar w:fldCharType="end"/>
      </w:r>
      <w:r w:rsidRPr="00C70350">
        <w:rPr>
          <w:rFonts w:cs="Arial"/>
        </w:rPr>
        <w:tab/>
        <w:t>Dieses Dokument ist wie folgt aufgebaut:</w:t>
      </w:r>
    </w:p>
    <w:p w14:paraId="3F5F701A" w14:textId="21C73100" w:rsidR="00C71159" w:rsidRDefault="00AF394E">
      <w:pPr>
        <w:pStyle w:val="TOC1"/>
        <w:rPr>
          <w:rFonts w:asciiTheme="minorHAnsi" w:hAnsiTheme="minorHAnsi" w:cstheme="minorBidi"/>
          <w:bCs w:val="0"/>
          <w:caps w:val="0"/>
          <w:kern w:val="2"/>
          <w:sz w:val="24"/>
          <w:szCs w:val="24"/>
          <w:lang w:val="en-GB" w:eastAsia="zh-CN"/>
          <w14:ligatures w14:val="standardContextual"/>
        </w:rPr>
      </w:pPr>
      <w:r w:rsidRPr="006A52BF">
        <w:rPr>
          <w:bCs w:val="0"/>
          <w:caps w:val="0"/>
          <w:highlight w:val="cyan"/>
        </w:rPr>
        <w:fldChar w:fldCharType="begin"/>
      </w:r>
      <w:r w:rsidRPr="006A52BF">
        <w:rPr>
          <w:highlight w:val="cyan"/>
        </w:rPr>
        <w:instrText xml:space="preserve"> TOC \o "1-3" \u </w:instrText>
      </w:r>
      <w:r w:rsidRPr="006A52BF">
        <w:rPr>
          <w:bCs w:val="0"/>
          <w:caps w:val="0"/>
          <w:highlight w:val="cyan"/>
        </w:rPr>
        <w:fldChar w:fldCharType="separate"/>
      </w:r>
      <w:r w:rsidR="00C71159" w:rsidRPr="001B30CE">
        <w:rPr>
          <w:snapToGrid w:val="0"/>
        </w:rPr>
        <w:t>Zusammenfassung</w:t>
      </w:r>
      <w:r w:rsidR="00C71159">
        <w:tab/>
      </w:r>
      <w:r w:rsidR="00C71159">
        <w:fldChar w:fldCharType="begin"/>
      </w:r>
      <w:r w:rsidR="00C71159">
        <w:instrText xml:space="preserve"> PAGEREF _Toc242122258 \h </w:instrText>
      </w:r>
      <w:r w:rsidR="00C71159">
        <w:fldChar w:fldCharType="separate"/>
      </w:r>
      <w:r w:rsidR="00C71159">
        <w:t>1</w:t>
      </w:r>
      <w:r w:rsidR="00C71159">
        <w:fldChar w:fldCharType="end"/>
      </w:r>
    </w:p>
    <w:p w14:paraId="4B5C5FD9" w14:textId="7A303CD1"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t>Hintergrund</w:t>
      </w:r>
      <w:r>
        <w:tab/>
      </w:r>
      <w:r>
        <w:fldChar w:fldCharType="begin"/>
      </w:r>
      <w:r>
        <w:instrText xml:space="preserve"> PAGEREF _Toc242122259 \h </w:instrText>
      </w:r>
      <w:r>
        <w:fldChar w:fldCharType="separate"/>
      </w:r>
      <w:r>
        <w:t>3</w:t>
      </w:r>
      <w:r>
        <w:fldChar w:fldCharType="end"/>
      </w:r>
    </w:p>
    <w:p w14:paraId="31D5EFD5" w14:textId="4B832EAE"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lang w:val="de-DE"/>
        </w:rPr>
        <w:t xml:space="preserve">DoKument UPOV/INF/13 </w:t>
      </w:r>
      <w:r w:rsidR="001961BB">
        <w:rPr>
          <w:lang w:val="de-DE"/>
        </w:rPr>
        <w:t>“</w:t>
      </w:r>
      <w:r w:rsidRPr="001B30CE">
        <w:rPr>
          <w:lang w:val="de-DE"/>
        </w:rPr>
        <w:t>anleitung zum verfahren für den beitritt zur UPOV</w:t>
      </w:r>
      <w:r w:rsidR="001961BB">
        <w:rPr>
          <w:lang w:val="de-DE"/>
        </w:rPr>
        <w:t>”</w:t>
      </w:r>
      <w:r w:rsidRPr="001B30CE">
        <w:rPr>
          <w:lang w:val="de-DE"/>
        </w:rPr>
        <w:t xml:space="preserve"> (überarbeitUNG)</w:t>
      </w:r>
      <w:r>
        <w:tab/>
      </w:r>
      <w:r>
        <w:fldChar w:fldCharType="begin"/>
      </w:r>
      <w:r>
        <w:instrText xml:space="preserve"> PAGEREF _Toc242122260 \h </w:instrText>
      </w:r>
      <w:r>
        <w:fldChar w:fldCharType="separate"/>
      </w:r>
      <w:r>
        <w:t>3</w:t>
      </w:r>
      <w:r>
        <w:fldChar w:fldCharType="end"/>
      </w:r>
    </w:p>
    <w:p w14:paraId="775E9CB6" w14:textId="46597BAF"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lang w:val="de-DE"/>
        </w:rPr>
        <w:t xml:space="preserve">DoKumentE </w:t>
      </w:r>
      <w:r w:rsidRPr="001B30CE">
        <w:rPr>
          <w:rFonts w:eastAsia="Calibri"/>
          <w:lang w:val="de-DE"/>
        </w:rPr>
        <w:t xml:space="preserve">UPOV/INF/16 </w:t>
      </w:r>
      <w:r w:rsidR="001961BB">
        <w:rPr>
          <w:rFonts w:eastAsia="Calibri"/>
          <w:lang w:val="de-DE"/>
        </w:rPr>
        <w:t>“</w:t>
      </w:r>
      <w:r w:rsidRPr="001B30CE">
        <w:rPr>
          <w:rFonts w:eastAsia="Calibri"/>
          <w:lang w:val="de-DE"/>
        </w:rPr>
        <w:t>A</w:t>
      </w:r>
      <w:r w:rsidRPr="001B30CE">
        <w:rPr>
          <w:lang w:val="de-DE"/>
        </w:rPr>
        <w:t>ustauschbare Software</w:t>
      </w:r>
      <w:r w:rsidR="001961BB">
        <w:rPr>
          <w:rFonts w:eastAsia="Calibri"/>
          <w:lang w:val="de-DE"/>
        </w:rPr>
        <w:t>”</w:t>
      </w:r>
      <w:r w:rsidRPr="001B30CE">
        <w:rPr>
          <w:rFonts w:eastAsia="Calibri"/>
          <w:lang w:val="de-DE"/>
        </w:rPr>
        <w:t xml:space="preserve"> Und </w:t>
      </w:r>
      <w:r w:rsidRPr="001B30CE">
        <w:rPr>
          <w:rFonts w:eastAsia="Calibri"/>
          <w:bdr w:val="none" w:sz="0" w:space="0" w:color="auto" w:frame="1"/>
          <w:lang w:val="de-DE" w:eastAsia="nl-NL"/>
        </w:rPr>
        <w:t xml:space="preserve">UPOV/INF/22 </w:t>
      </w:r>
      <w:r w:rsidR="001961BB">
        <w:rPr>
          <w:rFonts w:eastAsia="Calibri"/>
          <w:bdr w:val="none" w:sz="0" w:space="0" w:color="auto" w:frame="1"/>
          <w:lang w:val="de-DE" w:eastAsia="nl-NL"/>
        </w:rPr>
        <w:t>“</w:t>
      </w:r>
      <w:r w:rsidRPr="001B30CE">
        <w:rPr>
          <w:rFonts w:eastAsia="Calibri"/>
          <w:bdr w:val="none" w:sz="0" w:space="0" w:color="auto" w:frame="1"/>
          <w:lang w:val="de-DE" w:eastAsia="nl-NL"/>
        </w:rPr>
        <w:t>VON VERBANDSMITGLIEDERN VERWENDETE Software Und AUSRÜSTUNG</w:t>
      </w:r>
      <w:r w:rsidR="001961BB">
        <w:rPr>
          <w:rFonts w:eastAsia="Calibri"/>
          <w:bdr w:val="none" w:sz="0" w:space="0" w:color="auto" w:frame="1"/>
          <w:lang w:val="de-DE" w:eastAsia="nl-NL"/>
        </w:rPr>
        <w:t>”</w:t>
      </w:r>
      <w:r w:rsidRPr="001B30CE">
        <w:rPr>
          <w:rFonts w:eastAsia="Calibri"/>
          <w:bdr w:val="none" w:sz="0" w:space="0" w:color="auto" w:frame="1"/>
          <w:lang w:val="de-DE" w:eastAsia="nl-NL"/>
        </w:rPr>
        <w:t xml:space="preserve"> </w:t>
      </w:r>
      <w:r w:rsidRPr="001B30CE">
        <w:rPr>
          <w:rFonts w:eastAsia="Calibri"/>
          <w:lang w:val="de-DE"/>
        </w:rPr>
        <w:t>(ÜBerarbeitete fassung)</w:t>
      </w:r>
      <w:r>
        <w:tab/>
      </w:r>
      <w:r>
        <w:fldChar w:fldCharType="begin"/>
      </w:r>
      <w:r>
        <w:instrText xml:space="preserve"> PAGEREF _Toc242122261 \h </w:instrText>
      </w:r>
      <w:r>
        <w:fldChar w:fldCharType="separate"/>
      </w:r>
      <w:r>
        <w:t>4</w:t>
      </w:r>
      <w:r>
        <w:fldChar w:fldCharType="end"/>
      </w:r>
    </w:p>
    <w:p w14:paraId="03AEE643" w14:textId="1BFBD831"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Calibri"/>
          <w:lang w:val="de-DE" w:eastAsia="nl-NL"/>
        </w:rPr>
        <w:t>Verfahren zur Aufnahme von Software und/oder Ausrüstung in Dokumente UPOV/INF/16 und UPOV/INF/22</w:t>
      </w:r>
      <w:r>
        <w:tab/>
      </w:r>
      <w:r>
        <w:fldChar w:fldCharType="begin"/>
      </w:r>
      <w:r>
        <w:instrText xml:space="preserve"> PAGEREF _Toc242122262 \h </w:instrText>
      </w:r>
      <w:r>
        <w:fldChar w:fldCharType="separate"/>
      </w:r>
      <w:r>
        <w:t>5</w:t>
      </w:r>
      <w:r>
        <w:fldChar w:fldCharType="end"/>
      </w:r>
    </w:p>
    <w:p w14:paraId="67C43A6E" w14:textId="7DD682B0" w:rsidR="00C71159" w:rsidRDefault="00C71159">
      <w:pPr>
        <w:pStyle w:val="TOC3"/>
        <w:rPr>
          <w:rFonts w:asciiTheme="minorHAnsi" w:hAnsiTheme="minorHAnsi" w:cstheme="minorBidi"/>
          <w:i w:val="0"/>
          <w:kern w:val="2"/>
          <w:sz w:val="24"/>
          <w:szCs w:val="24"/>
          <w:lang w:val="en-GB" w:eastAsia="zh-CN"/>
          <w14:ligatures w14:val="standardContextual"/>
        </w:rPr>
      </w:pPr>
      <w:r w:rsidRPr="001B30CE">
        <w:rPr>
          <w:rFonts w:eastAsia="Calibri"/>
          <w:lang w:val="de-DE" w:eastAsia="nl-NL"/>
        </w:rPr>
        <w:t>Vorschläge</w:t>
      </w:r>
      <w:r>
        <w:tab/>
      </w:r>
      <w:r>
        <w:fldChar w:fldCharType="begin"/>
      </w:r>
      <w:r>
        <w:instrText xml:space="preserve"> PAGEREF _Toc242122263 \h </w:instrText>
      </w:r>
      <w:r>
        <w:fldChar w:fldCharType="separate"/>
      </w:r>
      <w:r>
        <w:t>5</w:t>
      </w:r>
      <w:r>
        <w:fldChar w:fldCharType="end"/>
      </w:r>
    </w:p>
    <w:p w14:paraId="6E028099" w14:textId="7BB2757A"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Calibri"/>
          <w:lang w:val="de-DE" w:eastAsia="nl-NL"/>
        </w:rPr>
        <w:t>Im Jahr 2026 zur Aufnahme in Dokument UPOV/INF/16 vorgeschlagene Software</w:t>
      </w:r>
      <w:r>
        <w:tab/>
      </w:r>
      <w:r>
        <w:fldChar w:fldCharType="begin"/>
      </w:r>
      <w:r>
        <w:instrText xml:space="preserve"> PAGEREF _Toc242122264 \h </w:instrText>
      </w:r>
      <w:r>
        <w:fldChar w:fldCharType="separate"/>
      </w:r>
      <w:r>
        <w:t>6</w:t>
      </w:r>
      <w:r>
        <w:fldChar w:fldCharType="end"/>
      </w:r>
    </w:p>
    <w:p w14:paraId="710C6A56" w14:textId="44930CAA"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Calibri"/>
          <w:lang w:val="de-DE" w:eastAsia="nl-NL"/>
        </w:rPr>
        <w:t>Im Jahr 2026 zur Aufnahme in Dokument UPOV/INF/22 vorgeschlagene Software und Ausrüstung</w:t>
      </w:r>
      <w:r>
        <w:tab/>
      </w:r>
      <w:r>
        <w:fldChar w:fldCharType="begin"/>
      </w:r>
      <w:r>
        <w:instrText xml:space="preserve"> PAGEREF _Toc242122265 \h </w:instrText>
      </w:r>
      <w:r>
        <w:fldChar w:fldCharType="separate"/>
      </w:r>
      <w:r>
        <w:t>6</w:t>
      </w:r>
      <w:r>
        <w:fldChar w:fldCharType="end"/>
      </w:r>
    </w:p>
    <w:p w14:paraId="04584FB8" w14:textId="61004A36"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lang w:val="de-DE"/>
        </w:rPr>
        <w:t xml:space="preserve">Document TGP/5 </w:t>
      </w:r>
      <w:r w:rsidR="001961BB">
        <w:rPr>
          <w:lang w:val="de-DE"/>
        </w:rPr>
        <w:t>“</w:t>
      </w:r>
      <w:r w:rsidRPr="001B30CE">
        <w:rPr>
          <w:lang w:val="de-DE"/>
        </w:rPr>
        <w:t>Erfahrung und zusammenarbeit in dus-prüfung</w:t>
      </w:r>
      <w:r w:rsidR="001961BB">
        <w:rPr>
          <w:lang w:val="de-DE"/>
        </w:rPr>
        <w:t>”</w:t>
      </w:r>
      <w:r>
        <w:tab/>
      </w:r>
      <w:r>
        <w:fldChar w:fldCharType="begin"/>
      </w:r>
      <w:r>
        <w:instrText xml:space="preserve"> PAGEREF _Toc242122266 \h </w:instrText>
      </w:r>
      <w:r>
        <w:fldChar w:fldCharType="separate"/>
      </w:r>
      <w:r>
        <w:t>7</w:t>
      </w:r>
      <w:r>
        <w:fldChar w:fldCharType="end"/>
      </w:r>
    </w:p>
    <w:p w14:paraId="4AF6FDAA" w14:textId="3F0F9ADC"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Calibri"/>
          <w:lang w:val="de-DE" w:eastAsia="nl-NL"/>
        </w:rPr>
        <w:t xml:space="preserve">Abschnitt 11 </w:t>
      </w:r>
      <w:r w:rsidR="001961BB">
        <w:rPr>
          <w:rFonts w:eastAsia="Calibri"/>
          <w:lang w:val="de-DE" w:eastAsia="nl-NL"/>
        </w:rPr>
        <w:t>“</w:t>
      </w:r>
      <w:r w:rsidRPr="001B30CE">
        <w:rPr>
          <w:rFonts w:eastAsia="Calibri"/>
          <w:lang w:val="de-DE" w:eastAsia="nl-NL"/>
        </w:rPr>
        <w:t>Beispiele für Verfahren und Verträge bezüglich des vom Züchter eingereichten Materials</w:t>
      </w:r>
      <w:r w:rsidR="001961BB">
        <w:rPr>
          <w:rFonts w:eastAsia="Calibri"/>
          <w:lang w:val="de-DE" w:eastAsia="nl-NL"/>
        </w:rPr>
        <w:t>”</w:t>
      </w:r>
      <w:r w:rsidRPr="001B30CE">
        <w:rPr>
          <w:rFonts w:eastAsia="Calibri"/>
          <w:lang w:val="de-DE" w:eastAsia="nl-NL"/>
        </w:rPr>
        <w:t xml:space="preserve"> (Überarbeitung)</w:t>
      </w:r>
      <w:r>
        <w:tab/>
      </w:r>
      <w:r>
        <w:fldChar w:fldCharType="begin"/>
      </w:r>
      <w:r>
        <w:instrText xml:space="preserve"> PAGEREF _Toc242122267 \h </w:instrText>
      </w:r>
      <w:r>
        <w:fldChar w:fldCharType="separate"/>
      </w:r>
      <w:r>
        <w:t>7</w:t>
      </w:r>
      <w:r>
        <w:fldChar w:fldCharType="end"/>
      </w:r>
    </w:p>
    <w:p w14:paraId="006E48F7" w14:textId="4C400866"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lang w:val="de-DE"/>
        </w:rPr>
        <w:t xml:space="preserve">DoKument TGP/7 </w:t>
      </w:r>
      <w:r w:rsidR="001961BB">
        <w:rPr>
          <w:lang w:val="de-DE"/>
        </w:rPr>
        <w:t>“</w:t>
      </w:r>
      <w:r w:rsidRPr="001B30CE">
        <w:rPr>
          <w:lang w:val="de-DE"/>
        </w:rPr>
        <w:t>Erstellung von prüfungsrichtlinien</w:t>
      </w:r>
      <w:r w:rsidR="001961BB">
        <w:rPr>
          <w:lang w:val="de-DE"/>
        </w:rPr>
        <w:t>”</w:t>
      </w:r>
      <w:r>
        <w:tab/>
      </w:r>
      <w:r>
        <w:fldChar w:fldCharType="begin"/>
      </w:r>
      <w:r>
        <w:instrText xml:space="preserve"> PAGEREF _Toc242122268 \h </w:instrText>
      </w:r>
      <w:r>
        <w:fldChar w:fldCharType="separate"/>
      </w:r>
      <w:r>
        <w:t>7</w:t>
      </w:r>
      <w:r>
        <w:fldChar w:fldCharType="end"/>
      </w:r>
    </w:p>
    <w:p w14:paraId="21F1D5EB" w14:textId="5EF6E66C"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lang w:val="de-DE"/>
        </w:rPr>
        <w:t>Anzahl von Wachstumsperioden und Abschlussuntersuchung (Überarbeitung)</w:t>
      </w:r>
      <w:r>
        <w:tab/>
      </w:r>
      <w:r>
        <w:fldChar w:fldCharType="begin"/>
      </w:r>
      <w:r>
        <w:instrText xml:space="preserve"> PAGEREF _Toc242122269 \h </w:instrText>
      </w:r>
      <w:r>
        <w:fldChar w:fldCharType="separate"/>
      </w:r>
      <w:r>
        <w:t>7</w:t>
      </w:r>
      <w:r>
        <w:fldChar w:fldCharType="end"/>
      </w:r>
    </w:p>
    <w:p w14:paraId="55A855F6" w14:textId="36721BE0" w:rsidR="00C71159" w:rsidRDefault="00C71159">
      <w:pPr>
        <w:pStyle w:val="TOC3"/>
        <w:rPr>
          <w:rFonts w:asciiTheme="minorHAnsi" w:hAnsiTheme="minorHAnsi" w:cstheme="minorBidi"/>
          <w:i w:val="0"/>
          <w:kern w:val="2"/>
          <w:sz w:val="24"/>
          <w:szCs w:val="24"/>
          <w:lang w:val="en-GB" w:eastAsia="zh-CN"/>
          <w14:ligatures w14:val="standardContextual"/>
        </w:rPr>
      </w:pPr>
      <w:r w:rsidRPr="001B30CE">
        <w:rPr>
          <w:rFonts w:eastAsia="Calibri"/>
          <w:lang w:val="de-DE" w:eastAsia="nl-NL"/>
        </w:rPr>
        <w:t>Hintergrund</w:t>
      </w:r>
      <w:r>
        <w:tab/>
      </w:r>
      <w:r>
        <w:fldChar w:fldCharType="begin"/>
      </w:r>
      <w:r>
        <w:instrText xml:space="preserve"> PAGEREF _Toc242122270 \h </w:instrText>
      </w:r>
      <w:r>
        <w:fldChar w:fldCharType="separate"/>
      </w:r>
      <w:r>
        <w:t>7</w:t>
      </w:r>
      <w:r>
        <w:fldChar w:fldCharType="end"/>
      </w:r>
    </w:p>
    <w:p w14:paraId="35F6AF8C" w14:textId="00F5862F" w:rsidR="00C71159" w:rsidRDefault="00C71159">
      <w:pPr>
        <w:pStyle w:val="TOC3"/>
        <w:rPr>
          <w:rFonts w:asciiTheme="minorHAnsi" w:hAnsiTheme="minorHAnsi" w:cstheme="minorBidi"/>
          <w:i w:val="0"/>
          <w:kern w:val="2"/>
          <w:sz w:val="24"/>
          <w:szCs w:val="24"/>
          <w:lang w:val="en-GB" w:eastAsia="zh-CN"/>
          <w14:ligatures w14:val="standardContextual"/>
        </w:rPr>
      </w:pPr>
      <w:r w:rsidRPr="001B30CE">
        <w:rPr>
          <w:rFonts w:eastAsia="Calibri"/>
          <w:lang w:eastAsia="nl-NL"/>
        </w:rPr>
        <w:t>Bemerkungen von der TWA, TWF, TWO und TWV auf ihren Tagungen im Jahr 2026</w:t>
      </w:r>
      <w:r>
        <w:tab/>
      </w:r>
      <w:r>
        <w:fldChar w:fldCharType="begin"/>
      </w:r>
      <w:r>
        <w:instrText xml:space="preserve"> PAGEREF _Toc242122271 \h </w:instrText>
      </w:r>
      <w:r>
        <w:fldChar w:fldCharType="separate"/>
      </w:r>
      <w:r>
        <w:t>8</w:t>
      </w:r>
      <w:r>
        <w:fldChar w:fldCharType="end"/>
      </w:r>
    </w:p>
    <w:p w14:paraId="53B962AD" w14:textId="4C9D70C8"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lang w:val="de-DE"/>
        </w:rPr>
        <w:t xml:space="preserve">Dokument TGP/12 </w:t>
      </w:r>
      <w:r w:rsidR="001961BB">
        <w:rPr>
          <w:lang w:val="de-DE"/>
        </w:rPr>
        <w:t>“</w:t>
      </w:r>
      <w:r w:rsidRPr="001B30CE">
        <w:rPr>
          <w:lang w:val="de-DE"/>
        </w:rPr>
        <w:t>anleitung zu bestimmten physiologischen merkmalen</w:t>
      </w:r>
      <w:r w:rsidR="001961BB">
        <w:rPr>
          <w:lang w:val="de-DE"/>
        </w:rPr>
        <w:t>”</w:t>
      </w:r>
      <w:r>
        <w:tab/>
      </w:r>
      <w:r>
        <w:fldChar w:fldCharType="begin"/>
      </w:r>
      <w:r>
        <w:instrText xml:space="preserve"> PAGEREF _Toc242122272 \h </w:instrText>
      </w:r>
      <w:r>
        <w:fldChar w:fldCharType="separate"/>
      </w:r>
      <w:r>
        <w:t>9</w:t>
      </w:r>
      <w:r>
        <w:fldChar w:fldCharType="end"/>
      </w:r>
    </w:p>
    <w:p w14:paraId="0A0B785E" w14:textId="1E44E46A"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MS Mincho"/>
        </w:rPr>
        <w:t>Die Nomenklatur der Pathogene: neuer Haftungsausschluss</w:t>
      </w:r>
      <w:r>
        <w:tab/>
      </w:r>
      <w:r>
        <w:fldChar w:fldCharType="begin"/>
      </w:r>
      <w:r>
        <w:instrText xml:space="preserve"> PAGEREF _Toc242122273 \h </w:instrText>
      </w:r>
      <w:r>
        <w:fldChar w:fldCharType="separate"/>
      </w:r>
      <w:r>
        <w:t>9</w:t>
      </w:r>
      <w:r>
        <w:fldChar w:fldCharType="end"/>
      </w:r>
    </w:p>
    <w:p w14:paraId="751568BD" w14:textId="6F5737A1" w:rsidR="00C71159" w:rsidRDefault="00C71159">
      <w:pPr>
        <w:pStyle w:val="TOC3"/>
        <w:rPr>
          <w:rFonts w:asciiTheme="minorHAnsi" w:hAnsiTheme="minorHAnsi" w:cstheme="minorBidi"/>
          <w:i w:val="0"/>
          <w:kern w:val="2"/>
          <w:sz w:val="24"/>
          <w:szCs w:val="24"/>
          <w:lang w:val="en-GB" w:eastAsia="zh-CN"/>
          <w14:ligatures w14:val="standardContextual"/>
        </w:rPr>
      </w:pPr>
      <w:r w:rsidRPr="001B30CE">
        <w:rPr>
          <w:lang w:val="de-DE"/>
        </w:rPr>
        <w:t>Vorschlag</w:t>
      </w:r>
      <w:r>
        <w:tab/>
      </w:r>
      <w:r>
        <w:fldChar w:fldCharType="begin"/>
      </w:r>
      <w:r>
        <w:instrText xml:space="preserve"> PAGEREF _Toc242122274 \h </w:instrText>
      </w:r>
      <w:r>
        <w:fldChar w:fldCharType="separate"/>
      </w:r>
      <w:r>
        <w:t>10</w:t>
      </w:r>
      <w:r>
        <w:fldChar w:fldCharType="end"/>
      </w:r>
    </w:p>
    <w:p w14:paraId="51601C83" w14:textId="7B646493" w:rsidR="00C71159" w:rsidRDefault="00C71159">
      <w:pPr>
        <w:pStyle w:val="TOC1"/>
        <w:rPr>
          <w:rFonts w:asciiTheme="minorHAnsi" w:hAnsiTheme="minorHAnsi" w:cstheme="minorBidi"/>
          <w:bCs w:val="0"/>
          <w:caps w:val="0"/>
          <w:kern w:val="2"/>
          <w:sz w:val="24"/>
          <w:szCs w:val="24"/>
          <w:lang w:val="en-GB" w:eastAsia="zh-CN"/>
          <w14:ligatures w14:val="standardContextual"/>
        </w:rPr>
      </w:pPr>
      <w:r w:rsidRPr="001B30CE">
        <w:rPr>
          <w:rFonts w:eastAsia="Calibri"/>
          <w:bdr w:val="none" w:sz="0" w:space="0" w:color="auto" w:frame="1"/>
          <w:lang w:val="de-DE" w:eastAsia="nl-NL"/>
        </w:rPr>
        <w:t xml:space="preserve">DoKument TGP/15 </w:t>
      </w:r>
      <w:r w:rsidR="001961BB">
        <w:rPr>
          <w:rFonts w:eastAsia="Calibri"/>
          <w:bdr w:val="none" w:sz="0" w:space="0" w:color="auto" w:frame="1"/>
          <w:lang w:val="de-DE" w:eastAsia="nl-NL"/>
        </w:rPr>
        <w:t>“</w:t>
      </w:r>
      <w:r w:rsidRPr="001B30CE">
        <w:rPr>
          <w:rFonts w:eastAsia="Calibri"/>
          <w:bdr w:val="none" w:sz="0" w:space="0" w:color="auto" w:frame="1"/>
          <w:lang w:val="de-DE" w:eastAsia="nl-NL"/>
        </w:rPr>
        <w:t>anleitung zur verwendung biochemischer und molekularer marker bei der prüfung der unterscheidbarkeit, homogenität und beständigkeit (DUS)</w:t>
      </w:r>
      <w:r w:rsidR="001961BB">
        <w:rPr>
          <w:rFonts w:eastAsia="Calibri"/>
          <w:bdr w:val="none" w:sz="0" w:space="0" w:color="auto" w:frame="1"/>
          <w:lang w:val="de-DE" w:eastAsia="nl-NL"/>
        </w:rPr>
        <w:t>”</w:t>
      </w:r>
      <w:r w:rsidRPr="001B30CE">
        <w:rPr>
          <w:rFonts w:eastAsia="Calibri"/>
          <w:bdr w:val="none" w:sz="0" w:space="0" w:color="auto" w:frame="1"/>
          <w:lang w:val="de-DE" w:eastAsia="nl-NL"/>
        </w:rPr>
        <w:t xml:space="preserve"> (überarbeitung)</w:t>
      </w:r>
      <w:r>
        <w:tab/>
      </w:r>
      <w:r>
        <w:fldChar w:fldCharType="begin"/>
      </w:r>
      <w:r>
        <w:instrText xml:space="preserve"> PAGEREF _Toc242122275 \h </w:instrText>
      </w:r>
      <w:r>
        <w:fldChar w:fldCharType="separate"/>
      </w:r>
      <w:r>
        <w:t>11</w:t>
      </w:r>
      <w:r>
        <w:fldChar w:fldCharType="end"/>
      </w:r>
    </w:p>
    <w:p w14:paraId="6F329F2F" w14:textId="0CB812E0" w:rsidR="00C71159" w:rsidRDefault="00C71159">
      <w:pPr>
        <w:pStyle w:val="TOC2"/>
        <w:rPr>
          <w:rFonts w:asciiTheme="minorHAnsi" w:eastAsiaTheme="minorEastAsia" w:hAnsiTheme="minorHAnsi" w:cstheme="minorBidi"/>
          <w:kern w:val="2"/>
          <w:sz w:val="24"/>
          <w:szCs w:val="24"/>
          <w:lang w:val="en-GB" w:eastAsia="zh-CN"/>
          <w14:ligatures w14:val="standardContextual"/>
        </w:rPr>
      </w:pPr>
      <w:r w:rsidRPr="001B30CE">
        <w:rPr>
          <w:rFonts w:eastAsia="Calibri"/>
          <w:lang w:val="de-DE" w:eastAsia="nl-NL"/>
        </w:rPr>
        <w:t xml:space="preserve">Neuer Abschnitt: </w:t>
      </w:r>
      <w:r w:rsidR="001961BB">
        <w:rPr>
          <w:rFonts w:eastAsia="Calibri"/>
          <w:lang w:val="de-DE" w:eastAsia="nl-NL"/>
        </w:rPr>
        <w:t>“</w:t>
      </w:r>
      <w:r w:rsidRPr="001B30CE">
        <w:rPr>
          <w:lang w:val="de-DE"/>
        </w:rPr>
        <w:t xml:space="preserve"> </w:t>
      </w:r>
      <w:r w:rsidRPr="001B30CE">
        <w:rPr>
          <w:rFonts w:eastAsia="Calibri"/>
          <w:lang w:val="de-DE" w:eastAsia="nl-NL"/>
        </w:rPr>
        <w:t xml:space="preserve">Richtlinien für die Validierung eines merkmalsspezifischen molekularen Marker Protokolls als eine alternative Erfassungsmethode </w:t>
      </w:r>
      <w:r w:rsidR="001961BB">
        <w:rPr>
          <w:rFonts w:eastAsia="Calibri"/>
          <w:lang w:val="de-DE" w:eastAsia="nl-NL"/>
        </w:rPr>
        <w:t>“</w:t>
      </w:r>
      <w:r>
        <w:tab/>
      </w:r>
      <w:r>
        <w:fldChar w:fldCharType="begin"/>
      </w:r>
      <w:r>
        <w:instrText xml:space="preserve"> PAGEREF _Toc242122276 \h </w:instrText>
      </w:r>
      <w:r>
        <w:fldChar w:fldCharType="separate"/>
      </w:r>
      <w:r>
        <w:t>11</w:t>
      </w:r>
      <w:r>
        <w:fldChar w:fldCharType="end"/>
      </w:r>
    </w:p>
    <w:p w14:paraId="7D88C883" w14:textId="0411C6DD" w:rsidR="00F05450" w:rsidRPr="00CE0649" w:rsidRDefault="00AF394E" w:rsidP="00F05450">
      <w:r w:rsidRPr="006A52BF">
        <w:rPr>
          <w:rFonts w:eastAsiaTheme="minorEastAsia" w:cs="Arial"/>
          <w:bCs/>
          <w:caps/>
          <w:sz w:val="18"/>
          <w:highlight w:val="cyan"/>
        </w:rPr>
        <w:fldChar w:fldCharType="end"/>
      </w:r>
    </w:p>
    <w:p w14:paraId="038150EA" w14:textId="77777777" w:rsidR="00F05450" w:rsidRPr="00C70350" w:rsidRDefault="00F05450" w:rsidP="00F05450"/>
    <w:p w14:paraId="1309D649" w14:textId="77777777" w:rsidR="00F05450" w:rsidRPr="00C70350" w:rsidRDefault="00F05450" w:rsidP="00F05450">
      <w:pPr>
        <w:keepNext/>
        <w:rPr>
          <w:rFonts w:cs="Arial"/>
        </w:rPr>
      </w:pPr>
      <w:r w:rsidRPr="00C70350">
        <w:rPr>
          <w:rFonts w:cs="Arial"/>
        </w:rPr>
        <w:lastRenderedPageBreak/>
        <w:fldChar w:fldCharType="begin"/>
      </w:r>
      <w:r w:rsidRPr="00C70350">
        <w:rPr>
          <w:rFonts w:cs="Arial"/>
        </w:rPr>
        <w:instrText xml:space="preserve"> AUTONUM  </w:instrText>
      </w:r>
      <w:r w:rsidRPr="00C70350">
        <w:rPr>
          <w:rFonts w:cs="Arial"/>
        </w:rPr>
        <w:fldChar w:fldCharType="end"/>
      </w:r>
      <w:r w:rsidRPr="00C70350">
        <w:rPr>
          <w:rFonts w:cs="Arial"/>
        </w:rPr>
        <w:tab/>
        <w:t>In diesem Dokument werden folgende Abkürzungen benutzt:</w:t>
      </w:r>
    </w:p>
    <w:p w14:paraId="7B6E679D" w14:textId="77777777" w:rsidR="00F05450" w:rsidRPr="00C70350" w:rsidRDefault="00F05450" w:rsidP="00F05450">
      <w:pPr>
        <w:keepNext/>
        <w:ind w:left="1701" w:hanging="1134"/>
        <w:rPr>
          <w:rFonts w:cs="Arial"/>
        </w:rPr>
      </w:pPr>
    </w:p>
    <w:p w14:paraId="5589DB9C" w14:textId="77777777" w:rsidR="00F05450" w:rsidRPr="00C70350" w:rsidRDefault="00F05450" w:rsidP="00F05450">
      <w:pPr>
        <w:keepNext/>
        <w:ind w:left="2835" w:hanging="2268"/>
        <w:jc w:val="left"/>
        <w:rPr>
          <w:rFonts w:cs="Arial"/>
          <w:lang w:eastAsia="ja-JP"/>
        </w:rPr>
      </w:pPr>
      <w:r w:rsidRPr="00C70350">
        <w:rPr>
          <w:rFonts w:cs="Arial"/>
        </w:rPr>
        <w:t>B</w:t>
      </w:r>
      <w:r w:rsidRPr="00C70350">
        <w:rPr>
          <w:rFonts w:cs="Arial"/>
          <w:lang w:eastAsia="ja-JP"/>
        </w:rPr>
        <w:t>MT Review Group:</w:t>
      </w:r>
      <w:r w:rsidRPr="00C70350">
        <w:rPr>
          <w:rFonts w:cs="Arial"/>
          <w:lang w:eastAsia="ja-JP"/>
        </w:rPr>
        <w:tab/>
      </w:r>
      <w:r w:rsidRPr="00C70350">
        <w:rPr>
          <w:rFonts w:cs="Arial"/>
          <w:i/>
          <w:iCs/>
          <w:lang w:eastAsia="ja-JP"/>
        </w:rPr>
        <w:t>Ad-Hoc</w:t>
      </w:r>
      <w:r w:rsidRPr="00C70350">
        <w:rPr>
          <w:rFonts w:cs="Arial"/>
          <w:lang w:eastAsia="ja-JP"/>
        </w:rPr>
        <w:t>-Untergruppe technischer und juristischer Sachverständiger für biochemische und molekulare Verfahren</w:t>
      </w:r>
    </w:p>
    <w:p w14:paraId="24BAC6F7" w14:textId="77777777" w:rsidR="00F05450" w:rsidRPr="00C70350" w:rsidRDefault="00F05450" w:rsidP="00F05450">
      <w:pPr>
        <w:keepNext/>
        <w:ind w:left="2835" w:hanging="2268"/>
        <w:jc w:val="left"/>
        <w:rPr>
          <w:rFonts w:cs="Arial"/>
        </w:rPr>
      </w:pPr>
      <w:r w:rsidRPr="00C70350">
        <w:rPr>
          <w:rFonts w:cs="Arial"/>
        </w:rPr>
        <w:t>CAJ:</w:t>
      </w:r>
      <w:r w:rsidRPr="00C70350">
        <w:rPr>
          <w:rFonts w:cs="Arial"/>
        </w:rPr>
        <w:tab/>
        <w:t>Verwaltungs- und Rechtsausschuss</w:t>
      </w:r>
    </w:p>
    <w:p w14:paraId="2C6FBCA9" w14:textId="77777777" w:rsidR="00F05450" w:rsidRPr="00C70350" w:rsidRDefault="00F05450" w:rsidP="00F05450">
      <w:pPr>
        <w:keepNext/>
        <w:ind w:left="2835" w:hanging="2268"/>
        <w:jc w:val="left"/>
        <w:rPr>
          <w:rFonts w:cs="Arial"/>
        </w:rPr>
      </w:pPr>
      <w:r w:rsidRPr="00C70350">
        <w:rPr>
          <w:rFonts w:cs="Arial"/>
        </w:rPr>
        <w:t xml:space="preserve">TC:  </w:t>
      </w:r>
      <w:r w:rsidRPr="00C70350">
        <w:rPr>
          <w:rFonts w:cs="Arial"/>
        </w:rPr>
        <w:tab/>
        <w:t>Technischer Ausschuss</w:t>
      </w:r>
    </w:p>
    <w:p w14:paraId="55A56B72" w14:textId="77777777" w:rsidR="00F05450" w:rsidRPr="00C70350" w:rsidRDefault="00F05450" w:rsidP="00F05450">
      <w:pPr>
        <w:ind w:left="2835" w:hanging="2268"/>
        <w:jc w:val="left"/>
        <w:rPr>
          <w:rFonts w:cs="Arial"/>
        </w:rPr>
      </w:pPr>
      <w:r w:rsidRPr="00C70350">
        <w:rPr>
          <w:rFonts w:cs="Arial"/>
        </w:rPr>
        <w:t xml:space="preserve">TWA:  </w:t>
      </w:r>
      <w:r w:rsidRPr="00C70350">
        <w:rPr>
          <w:rFonts w:cs="Arial"/>
        </w:rPr>
        <w:tab/>
        <w:t>Technische Arbeitsgruppe für landwirtschaftliche Kulturpflanzen</w:t>
      </w:r>
    </w:p>
    <w:p w14:paraId="4617DC44" w14:textId="77777777" w:rsidR="00F05450" w:rsidRPr="00C70350" w:rsidRDefault="00F05450" w:rsidP="00F05450">
      <w:pPr>
        <w:ind w:left="2835" w:hanging="2268"/>
        <w:jc w:val="left"/>
        <w:rPr>
          <w:rFonts w:cs="Arial"/>
        </w:rPr>
      </w:pPr>
      <w:r w:rsidRPr="00C70350">
        <w:rPr>
          <w:rFonts w:cs="Arial"/>
        </w:rPr>
        <w:t xml:space="preserve">TWF:  </w:t>
      </w:r>
      <w:r w:rsidRPr="00C70350">
        <w:rPr>
          <w:rFonts w:cs="Arial"/>
        </w:rPr>
        <w:tab/>
        <w:t>Technische Arbeitsgruppe für Obstkulturen</w:t>
      </w:r>
    </w:p>
    <w:p w14:paraId="1C69ED1B" w14:textId="77777777" w:rsidR="00F05450" w:rsidRPr="00C70350" w:rsidRDefault="00F05450" w:rsidP="00F05450">
      <w:pPr>
        <w:ind w:left="2835" w:hanging="2268"/>
        <w:jc w:val="left"/>
        <w:rPr>
          <w:rFonts w:cs="Arial"/>
        </w:rPr>
      </w:pPr>
      <w:r w:rsidRPr="00C70350">
        <w:rPr>
          <w:rFonts w:cs="Arial"/>
        </w:rPr>
        <w:t>TWM:</w:t>
      </w:r>
      <w:r w:rsidRPr="00C70350">
        <w:rPr>
          <w:rFonts w:cs="Arial"/>
        </w:rPr>
        <w:tab/>
        <w:t>Technische Arbeitsgruppe für Prüfverfahren und -techniken</w:t>
      </w:r>
    </w:p>
    <w:p w14:paraId="26B9D477" w14:textId="77777777" w:rsidR="00F05450" w:rsidRPr="00C70350" w:rsidRDefault="00F05450" w:rsidP="00F05450">
      <w:pPr>
        <w:ind w:left="2835" w:hanging="2268"/>
        <w:jc w:val="left"/>
        <w:rPr>
          <w:rFonts w:cs="Arial"/>
        </w:rPr>
      </w:pPr>
      <w:r w:rsidRPr="00C70350">
        <w:rPr>
          <w:rFonts w:cs="Arial"/>
        </w:rPr>
        <w:t xml:space="preserve">TWO:  </w:t>
      </w:r>
      <w:r w:rsidRPr="00C70350">
        <w:rPr>
          <w:rFonts w:cs="Arial"/>
        </w:rPr>
        <w:tab/>
        <w:t>Technische Arbeitsgruppe für Zierpflanzen und Waldbäume</w:t>
      </w:r>
    </w:p>
    <w:p w14:paraId="4218A0CA" w14:textId="77777777" w:rsidR="00F05450" w:rsidRPr="00C70350" w:rsidRDefault="00F05450" w:rsidP="00F05450">
      <w:pPr>
        <w:ind w:left="2835" w:hanging="2268"/>
        <w:jc w:val="left"/>
        <w:rPr>
          <w:rFonts w:cs="Arial"/>
        </w:rPr>
      </w:pPr>
      <w:r w:rsidRPr="00C70350">
        <w:rPr>
          <w:rFonts w:cs="Arial"/>
        </w:rPr>
        <w:t xml:space="preserve">TWV:  </w:t>
      </w:r>
      <w:r w:rsidRPr="00C70350">
        <w:rPr>
          <w:rFonts w:cs="Arial"/>
        </w:rPr>
        <w:tab/>
        <w:t>Technische Arbeitsgruppe für Gemüse</w:t>
      </w:r>
    </w:p>
    <w:p w14:paraId="45DD2AC4" w14:textId="77777777" w:rsidR="00F05450" w:rsidRPr="00C70350" w:rsidRDefault="00F05450" w:rsidP="00F05450">
      <w:pPr>
        <w:ind w:left="2835" w:hanging="2268"/>
        <w:jc w:val="left"/>
        <w:rPr>
          <w:rFonts w:cs="Arial"/>
          <w:color w:val="000000"/>
        </w:rPr>
      </w:pPr>
      <w:r w:rsidRPr="00C70350">
        <w:rPr>
          <w:rFonts w:cs="Arial"/>
          <w:color w:val="000000"/>
        </w:rPr>
        <w:t>TWPs:</w:t>
      </w:r>
      <w:r w:rsidRPr="00C70350">
        <w:rPr>
          <w:rFonts w:cs="Arial"/>
          <w:color w:val="000000"/>
        </w:rPr>
        <w:tab/>
        <w:t xml:space="preserve">Technische Arbeitsgruppen </w:t>
      </w:r>
    </w:p>
    <w:p w14:paraId="50BE82AF" w14:textId="77777777" w:rsidR="00F05450" w:rsidRDefault="00F05450" w:rsidP="00F05450"/>
    <w:p w14:paraId="668F4F3F" w14:textId="77777777" w:rsidR="00D05398" w:rsidRDefault="00D05398" w:rsidP="00F05450"/>
    <w:p w14:paraId="3C7A3315" w14:textId="77777777" w:rsidR="00D05398" w:rsidRPr="00C70350" w:rsidRDefault="00D05398" w:rsidP="00F05450"/>
    <w:p w14:paraId="37A8597A" w14:textId="77777777" w:rsidR="00F05450" w:rsidRPr="00C70350" w:rsidRDefault="00F05450" w:rsidP="00F05450">
      <w:pPr>
        <w:keepNext/>
        <w:ind w:left="567" w:hanging="567"/>
        <w:outlineLvl w:val="0"/>
        <w:rPr>
          <w:caps/>
        </w:rPr>
      </w:pPr>
      <w:bookmarkStart w:id="2" w:name="_Toc242122259"/>
      <w:r w:rsidRPr="00C70350">
        <w:rPr>
          <w:caps/>
        </w:rPr>
        <w:t>Hintergrund</w:t>
      </w:r>
      <w:bookmarkEnd w:id="2"/>
    </w:p>
    <w:p w14:paraId="507D785C" w14:textId="77777777" w:rsidR="00F05450" w:rsidRPr="00C70350" w:rsidRDefault="00F05450" w:rsidP="00F05450">
      <w:pPr>
        <w:keepNext/>
        <w:jc w:val="left"/>
        <w:rPr>
          <w:rFonts w:cs="Arial"/>
          <w:color w:val="000000"/>
        </w:rPr>
      </w:pPr>
    </w:p>
    <w:p w14:paraId="787F2F7E" w14:textId="68FD0A17"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Die gebilligten Anleitungen und Informationsmaterialien werden auf der </w:t>
      </w:r>
      <w:r>
        <w:fldChar w:fldCharType="begin"/>
      </w:r>
      <w:r>
        <w:instrText>HYPERLINK "https://www.upov.int/en/find-and-explore/information-and-guidance"</w:instrText>
      </w:r>
      <w:r>
        <w:fldChar w:fldCharType="separate"/>
      </w:r>
      <w:r w:rsidRPr="00C70350">
        <w:rPr>
          <w:rStyle w:val="Hyperlink"/>
        </w:rPr>
        <w:t>UPOV-</w:t>
      </w:r>
      <w:r w:rsidR="00FC459A" w:rsidRPr="00C70350">
        <w:rPr>
          <w:rStyle w:val="Hyperlink"/>
        </w:rPr>
        <w:t>W</w:t>
      </w:r>
      <w:r w:rsidRPr="00C70350">
        <w:rPr>
          <w:rStyle w:val="Hyperlink"/>
        </w:rPr>
        <w:t>ebsite</w:t>
      </w:r>
      <w:r>
        <w:fldChar w:fldCharType="end"/>
      </w:r>
      <w:r w:rsidRPr="00C70350">
        <w:t xml:space="preserve"> veröffentlicht.</w:t>
      </w:r>
    </w:p>
    <w:p w14:paraId="424DFF51" w14:textId="77777777" w:rsidR="00F05450" w:rsidRPr="00C70350" w:rsidRDefault="00F05450" w:rsidP="00F05450"/>
    <w:p w14:paraId="0D646BF3" w14:textId="75BECFC5" w:rsidR="00F05450" w:rsidRPr="00C70350" w:rsidRDefault="00F05450" w:rsidP="00F05450">
      <w:pPr>
        <w:pStyle w:val="Heading1"/>
        <w:rPr>
          <w:lang w:val="de-DE"/>
        </w:rPr>
      </w:pPr>
      <w:bookmarkStart w:id="3" w:name="_Toc242122260"/>
      <w:r w:rsidRPr="00C70350">
        <w:rPr>
          <w:lang w:val="de-DE"/>
        </w:rPr>
        <w:t xml:space="preserve">DoKument UPOV/INF/13 </w:t>
      </w:r>
      <w:r w:rsidR="001961BB">
        <w:t>„</w:t>
      </w:r>
      <w:r w:rsidRPr="00C70350">
        <w:rPr>
          <w:lang w:val="de-DE"/>
        </w:rPr>
        <w:t>anleitung zum verfahren für den beitritt zur UPOV</w:t>
      </w:r>
      <w:r w:rsidR="001961BB">
        <w:t>“</w:t>
      </w:r>
      <w:r w:rsidRPr="00C70350">
        <w:rPr>
          <w:lang w:val="de-DE"/>
        </w:rPr>
        <w:t xml:space="preserve"> (überarbeit</w:t>
      </w:r>
      <w:r w:rsidR="000541A2" w:rsidRPr="00C70350">
        <w:rPr>
          <w:lang w:val="de-DE"/>
        </w:rPr>
        <w:t>UNG</w:t>
      </w:r>
      <w:r w:rsidRPr="00C70350">
        <w:rPr>
          <w:lang w:val="de-DE"/>
        </w:rPr>
        <w:t>)</w:t>
      </w:r>
      <w:bookmarkEnd w:id="3"/>
    </w:p>
    <w:p w14:paraId="608DFA5B" w14:textId="77777777" w:rsidR="00F05450" w:rsidRPr="00C70350" w:rsidRDefault="00F05450" w:rsidP="00F05450"/>
    <w:p w14:paraId="41CA4DEC" w14:textId="0A8E3FDF" w:rsidR="00F05450" w:rsidRPr="00C70350" w:rsidRDefault="00F05450" w:rsidP="00F05450">
      <w:r w:rsidRPr="00C70350">
        <w:fldChar w:fldCharType="begin"/>
      </w:r>
      <w:r w:rsidRPr="00C70350">
        <w:instrText xml:space="preserve"> AUTONUM  </w:instrText>
      </w:r>
      <w:r w:rsidRPr="00C70350">
        <w:fldChar w:fldCharType="end"/>
      </w:r>
      <w:r w:rsidRPr="00C70350">
        <w:tab/>
        <w:t>Auf seiner achtundfünfzigsten ordentlichen Tagung billigte der Rat</w:t>
      </w:r>
      <w:r w:rsidRPr="00C70350">
        <w:rPr>
          <w:rStyle w:val="FootnoteReference"/>
        </w:rPr>
        <w:footnoteReference w:id="2"/>
      </w:r>
      <w:r w:rsidRPr="00C70350">
        <w:t xml:space="preserve"> den Vorschlag, dass das Verbandsbüro ab dem Jahr 2025 ein effizienteres Verfahren zur Sammlung und Präsentation von vorrangigen Informationen von UPOV-Mitgliedern und Beobachtern einführen wird. Die Überarbeitung von Dokument UPOV/INF/13/2 </w:t>
      </w:r>
      <w:r w:rsidR="001961BB">
        <w:t>„</w:t>
      </w:r>
      <w:r w:rsidRPr="00C70350">
        <w:t>Anleitung zum Verfahren für den Beitritt zur UPOV</w:t>
      </w:r>
      <w:r w:rsidR="001961BB">
        <w:t>“</w:t>
      </w:r>
      <w:r w:rsidRPr="00C70350">
        <w:t xml:space="preserve"> ist eine der Maßnahmen zur Verbesserung der Effizienz von UPOV-Tagungen. </w:t>
      </w:r>
    </w:p>
    <w:p w14:paraId="091C40E9" w14:textId="77777777" w:rsidR="00F05450" w:rsidRPr="00C70350" w:rsidRDefault="00F05450" w:rsidP="00F05450"/>
    <w:p w14:paraId="1BF2ECE2" w14:textId="77777777"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Abschnitt B von Dokument UPOV/INF/13/2 bezieht sich auf das Gesuch eines Staates oder einer zwischenstaatlichen Organisation um Stellungnahme des Rates zur Vereinbarkeit seines/ihres Gesetzes mit den Bestimmungen des UPOV-Übereinkommens.  </w:t>
      </w:r>
    </w:p>
    <w:p w14:paraId="51766375" w14:textId="77777777" w:rsidR="00F05450" w:rsidRPr="00C70350" w:rsidRDefault="00F05450" w:rsidP="00F05450"/>
    <w:p w14:paraId="45D252AD" w14:textId="77777777"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In Absätzen 9 und 19 von Dokument UPOV/INF/13/2 wird erläutert, dass ein Gesetz oder Gesetzentwurf bezüglich dessen eine positive Stellungnahme abgegeben wurde die Grundlage für eine positive Entscheidung des Rates über den Beitritt zum UPOV-Übereinkommen bilden, sofern nach der positiven Stellungnahme des Rates keine weiteren Änderungen an dem Gesetzentwurf oder Gesetz vorgenommen wurden. </w:t>
      </w:r>
    </w:p>
    <w:p w14:paraId="30BA8227" w14:textId="77777777" w:rsidR="00F05450" w:rsidRPr="00C70350" w:rsidRDefault="00F05450" w:rsidP="00F05450"/>
    <w:p w14:paraId="7E1FDAB2" w14:textId="22110F63"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Die Bedingung, dass </w:t>
      </w:r>
      <w:r w:rsidR="001961BB">
        <w:t>„</w:t>
      </w:r>
      <w:r w:rsidRPr="00C70350">
        <w:t>keine Änderungen</w:t>
      </w:r>
      <w:r w:rsidR="001961BB">
        <w:t>“</w:t>
      </w:r>
      <w:r w:rsidRPr="00C70350">
        <w:t xml:space="preserve"> vorgenommen werden ist zwingend. Es bedeutet, dass selbst kleinste Änderungen, gleich </w:t>
      </w:r>
      <w:r w:rsidR="000541A2" w:rsidRPr="00C70350">
        <w:t>w</w:t>
      </w:r>
      <w:r w:rsidRPr="00C70350">
        <w:t>elcher Art, eine</w:t>
      </w:r>
      <w:r w:rsidR="000541A2" w:rsidRPr="00C70350">
        <w:t>r</w:t>
      </w:r>
      <w:r w:rsidRPr="00C70350">
        <w:t xml:space="preserve"> neue</w:t>
      </w:r>
      <w:r w:rsidR="000541A2" w:rsidRPr="00C70350">
        <w:t>n</w:t>
      </w:r>
      <w:r w:rsidRPr="00C70350">
        <w:t xml:space="preserve"> Entscheidung des Rates bezüglich der Vereinbarkeit des Gesetzes mit dem UPOV-Übereinkommen</w:t>
      </w:r>
      <w:r w:rsidR="000541A2" w:rsidRPr="00C70350">
        <w:t xml:space="preserve"> bedürfen</w:t>
      </w:r>
      <w:r w:rsidRPr="00C70350">
        <w:t>. Das bedeutet, das</w:t>
      </w:r>
      <w:r w:rsidR="000541A2" w:rsidRPr="00C70350">
        <w:t>s</w:t>
      </w:r>
      <w:r w:rsidRPr="00C70350">
        <w:t xml:space="preserve"> selbst rein redaktionelle Änderungen oder unwesentliche Änderungen eine Neubewertung durch den Rat erfordern. </w:t>
      </w:r>
    </w:p>
    <w:p w14:paraId="2715D846" w14:textId="77777777" w:rsidR="00F05450" w:rsidRPr="00C70350" w:rsidRDefault="00F05450" w:rsidP="00F05450"/>
    <w:p w14:paraId="0C16C7C8" w14:textId="5943CCB6" w:rsidR="00F05450" w:rsidRPr="00C70350" w:rsidRDefault="00F05450" w:rsidP="00F05450">
      <w:pPr>
        <w:keepNext/>
        <w:keepLines/>
      </w:pPr>
      <w:r w:rsidRPr="00C70350">
        <w:fldChar w:fldCharType="begin"/>
      </w:r>
      <w:r w:rsidRPr="00C70350">
        <w:instrText xml:space="preserve"> AUTONUM  </w:instrText>
      </w:r>
      <w:r w:rsidRPr="00C70350">
        <w:fldChar w:fldCharType="end"/>
      </w:r>
      <w:r w:rsidRPr="00C70350">
        <w:tab/>
        <w:t xml:space="preserve">Das Prüfungsverfahren durch den Rat ist ressourcenintensiv und </w:t>
      </w:r>
      <w:r w:rsidR="000541A2" w:rsidRPr="00C70350">
        <w:t xml:space="preserve">erfordert erhebliche Anstrengungen seitens der </w:t>
      </w:r>
      <w:r w:rsidRPr="00C70350">
        <w:t>Beitrittskandidaten, den Ratsmitgliedern der UPOV und dem Verbandsbüro. Um diesen Prozess zu straffen, wird vorgeschlagen, dass rein redaktionelle Änderungen, die den Inhalt des Gesetzes oder Gesetzesvorschlags nicht verändern</w:t>
      </w:r>
      <w:r w:rsidR="000541A2" w:rsidRPr="00C70350">
        <w:t>,</w:t>
      </w:r>
      <w:r w:rsidRPr="00C70350">
        <w:t xml:space="preserve"> keine Neubewertung durch den Rat erfordern sollten.</w:t>
      </w:r>
    </w:p>
    <w:p w14:paraId="60FAE8AB" w14:textId="77777777" w:rsidR="00F05450" w:rsidRPr="00C70350" w:rsidRDefault="00F05450" w:rsidP="00F05450"/>
    <w:p w14:paraId="14BCDDFC" w14:textId="152E12BB" w:rsidR="00F05450" w:rsidRPr="00C70350" w:rsidRDefault="00F05450" w:rsidP="00F05450">
      <w:r w:rsidRPr="00C70350">
        <w:fldChar w:fldCharType="begin"/>
      </w:r>
      <w:r w:rsidRPr="00C70350">
        <w:instrText xml:space="preserve"> AUTONUM  </w:instrText>
      </w:r>
      <w:r w:rsidRPr="00C70350">
        <w:fldChar w:fldCharType="end"/>
      </w:r>
      <w:r w:rsidRPr="00C70350">
        <w:tab/>
        <w:t xml:space="preserve">Die vorgeschlagenen Änderungen an Dokument UPOV/INF/13/2 </w:t>
      </w:r>
      <w:r w:rsidR="001961BB">
        <w:t>„</w:t>
      </w:r>
      <w:r w:rsidRPr="00C70350">
        <w:t>Anleitung zum Verfahren für den Beitritt zur UPOV</w:t>
      </w:r>
      <w:r w:rsidR="001961BB">
        <w:t>“</w:t>
      </w:r>
      <w:r w:rsidRPr="00C70350">
        <w:t xml:space="preserve"> lauten wie folgt:</w:t>
      </w:r>
    </w:p>
    <w:p w14:paraId="2C9CDBAC" w14:textId="77777777" w:rsidR="00F05450" w:rsidRPr="00C70350" w:rsidRDefault="00F05450" w:rsidP="00F05450">
      <w:pPr>
        <w:rPr>
          <w:szCs w:val="24"/>
        </w:rPr>
      </w:pPr>
    </w:p>
    <w:p w14:paraId="18A42822" w14:textId="191B6A91" w:rsidR="00F05450" w:rsidRPr="00C70350" w:rsidRDefault="00F05450" w:rsidP="00F05450">
      <w:pPr>
        <w:ind w:left="567" w:right="567"/>
      </w:pPr>
      <w:r w:rsidRPr="00C70350">
        <w:t>9.</w:t>
      </w:r>
      <w:r w:rsidRPr="00C70350">
        <w:tab/>
        <w:t xml:space="preserve">Ein Staat oder eine zwischenstaatliche Organisation kann dem Rat ein angenommenes Gesetz oder andernfalls einen Gesetzesentwurf in der Form vorlegen, wie es/er in ihren Parlamenten oder Gesetzgebungsgremien eingebracht wurde. Der Gesetzentwurf kann die Grundlage für eine positive Entscheidung des Rates über einen Beitritt zum UPOV-Übereinkommen bilden, sofern während des parlamentarischen Verfahrens keine anderen als die vom Rat in seiner Entscheidung vorgeschlagenen Änderungen </w:t>
      </w:r>
      <w:r w:rsidRPr="00C70350">
        <w:rPr>
          <w:highlight w:val="lightGray"/>
          <w:u w:val="single"/>
        </w:rPr>
        <w:t>(abgesehen von Änderungen rein redaktioneller Natur; es werden keine inhaltlichen Änderungen akzeptiert)</w:t>
      </w:r>
      <w:r w:rsidRPr="00C70350">
        <w:t xml:space="preserve"> (vergleiche Unterabschnitt (e) </w:t>
      </w:r>
      <w:r w:rsidR="001961BB">
        <w:t>„</w:t>
      </w:r>
      <w:r w:rsidRPr="00C70350">
        <w:t>Entscheidung über die Stellungnahme des Rates</w:t>
      </w:r>
      <w:r w:rsidR="001961BB">
        <w:t>“</w:t>
      </w:r>
      <w:r w:rsidRPr="00C70350">
        <w:t>).</w:t>
      </w:r>
    </w:p>
    <w:p w14:paraId="6CA4613D" w14:textId="77777777" w:rsidR="00F05450" w:rsidRPr="00C70350" w:rsidRDefault="00F05450" w:rsidP="00F05450">
      <w:pPr>
        <w:ind w:left="567" w:right="567"/>
      </w:pPr>
    </w:p>
    <w:p w14:paraId="79334689" w14:textId="77777777" w:rsidR="00F05450" w:rsidRPr="00C70350" w:rsidRDefault="00F05450" w:rsidP="00F05450">
      <w:pPr>
        <w:ind w:left="567" w:right="567"/>
      </w:pPr>
      <w:r w:rsidRPr="00C70350">
        <w:t>[…]</w:t>
      </w:r>
    </w:p>
    <w:p w14:paraId="3F25ECD5" w14:textId="77777777" w:rsidR="00F05450" w:rsidRPr="00C70350" w:rsidRDefault="00F05450" w:rsidP="00F05450">
      <w:pPr>
        <w:ind w:left="567" w:right="567"/>
      </w:pPr>
    </w:p>
    <w:p w14:paraId="2CFB72FC" w14:textId="77777777" w:rsidR="00F05450" w:rsidRPr="00C70350" w:rsidRDefault="00F05450" w:rsidP="00F05450">
      <w:pPr>
        <w:tabs>
          <w:tab w:val="left" w:pos="1134"/>
        </w:tabs>
        <w:ind w:left="567" w:right="567"/>
      </w:pPr>
      <w:r w:rsidRPr="00C70350">
        <w:lastRenderedPageBreak/>
        <w:t>19.</w:t>
      </w:r>
      <w:r w:rsidRPr="00C70350">
        <w:tab/>
        <w:t>Einige möglich Szenarien bezüglich der Entscheidung des Rates sind nachstehend zusammengefasst:</w:t>
      </w:r>
    </w:p>
    <w:p w14:paraId="4576EB96" w14:textId="77777777" w:rsidR="00F05450" w:rsidRPr="00C70350" w:rsidRDefault="00F05450" w:rsidP="00F05450">
      <w:pPr>
        <w:tabs>
          <w:tab w:val="left" w:pos="1134"/>
        </w:tabs>
        <w:ind w:left="567" w:right="567"/>
      </w:pPr>
    </w:p>
    <w:p w14:paraId="7E38C29D" w14:textId="1DBC2DD1" w:rsidR="00F05450" w:rsidRPr="0084076A" w:rsidRDefault="00F05450" w:rsidP="0084076A">
      <w:pPr>
        <w:pStyle w:val="ListParagraph"/>
        <w:numPr>
          <w:ilvl w:val="0"/>
          <w:numId w:val="10"/>
        </w:numPr>
        <w:tabs>
          <w:tab w:val="left" w:pos="993"/>
          <w:tab w:val="left" w:pos="1134"/>
        </w:tabs>
        <w:ind w:left="567" w:right="567" w:firstLine="0"/>
        <w:rPr>
          <w:lang w:val="de-DE"/>
        </w:rPr>
      </w:pPr>
      <w:r w:rsidRPr="0084076A">
        <w:rPr>
          <w:lang w:val="de-DE"/>
        </w:rPr>
        <w:t>Die Entscheidung des Rates über die Stellungnahme bezüglich eines angenommenen Gesetzes ist positiv: die Beitrittsurkunde kann hinterlegt werden (Artikel 34 Absatz 3 des UPOV-Übereinkommens) (vergleiche Abschnitt C. </w:t>
      </w:r>
      <w:r w:rsidR="001961BB">
        <w:t>„</w:t>
      </w:r>
      <w:r w:rsidRPr="0084076A">
        <w:rPr>
          <w:lang w:val="de-DE"/>
        </w:rPr>
        <w:t>Anwendung des Übereinkommens</w:t>
      </w:r>
      <w:r w:rsidR="001961BB">
        <w:t>“</w:t>
      </w:r>
      <w:r w:rsidRPr="0084076A">
        <w:rPr>
          <w:lang w:val="de-DE"/>
        </w:rPr>
        <w:t xml:space="preserve">), sofern an diesem Gesetz in der Zwischenzeit </w:t>
      </w:r>
      <w:r w:rsidRPr="0084076A">
        <w:rPr>
          <w:strike/>
          <w:highlight w:val="lightGray"/>
          <w:lang w:val="de-DE"/>
        </w:rPr>
        <w:t>dieses Gesetz in der Zwischenzeit nicht geändert wurde</w:t>
      </w:r>
      <w:r w:rsidRPr="0084076A">
        <w:rPr>
          <w:lang w:val="de-DE"/>
        </w:rPr>
        <w:t xml:space="preserve"> </w:t>
      </w:r>
      <w:r w:rsidRPr="0084076A">
        <w:rPr>
          <w:highlight w:val="lightGray"/>
          <w:u w:val="single"/>
          <w:lang w:val="de-DE"/>
        </w:rPr>
        <w:t>keine Änderungen (abgesehen von Änderungen rein redaktioneller Natur; es werden keine inhaltlichen Änderungen akzeptiert) vorgenommen wurden;</w:t>
      </w:r>
      <w:r w:rsidRPr="0084076A">
        <w:rPr>
          <w:u w:val="single"/>
          <w:lang w:val="de-DE"/>
        </w:rPr>
        <w:t xml:space="preserve"> </w:t>
      </w:r>
    </w:p>
    <w:p w14:paraId="628EFB2B" w14:textId="77777777" w:rsidR="00F05450" w:rsidRPr="00C70350" w:rsidRDefault="00F05450" w:rsidP="00F05450">
      <w:pPr>
        <w:tabs>
          <w:tab w:val="left" w:pos="1134"/>
        </w:tabs>
        <w:ind w:left="567" w:right="567"/>
      </w:pPr>
    </w:p>
    <w:p w14:paraId="22467D76" w14:textId="5BCD8738" w:rsidR="00F05450" w:rsidRPr="0084076A" w:rsidRDefault="00F05450" w:rsidP="0084076A">
      <w:pPr>
        <w:pStyle w:val="ListParagraph"/>
        <w:numPr>
          <w:ilvl w:val="0"/>
          <w:numId w:val="10"/>
        </w:numPr>
        <w:tabs>
          <w:tab w:val="left" w:pos="993"/>
          <w:tab w:val="left" w:pos="1134"/>
        </w:tabs>
        <w:ind w:left="567" w:right="567" w:firstLine="0"/>
        <w:rPr>
          <w:lang w:val="de-DE"/>
        </w:rPr>
      </w:pPr>
      <w:r w:rsidRPr="0084076A">
        <w:rPr>
          <w:lang w:val="de-DE"/>
        </w:rPr>
        <w:t xml:space="preserve">Die Entscheidung des Rates über die Stellungnahme bezüglich eines angenommenen Gesetzes ist positiv: wird der Gesetzentwurf ohne Änderungen angenommen </w:t>
      </w:r>
      <w:r w:rsidRPr="0084076A">
        <w:rPr>
          <w:highlight w:val="lightGray"/>
          <w:u w:val="single"/>
          <w:lang w:val="de-DE"/>
        </w:rPr>
        <w:t>(abgesehen von Änderungen rein redaktioneller Natur; es werden keine inhaltlichen Änderungen akzeptiert)</w:t>
      </w:r>
      <w:r w:rsidRPr="0084076A">
        <w:rPr>
          <w:lang w:val="de-DE"/>
        </w:rPr>
        <w:t xml:space="preserve"> und ist in Kraft getreten, so kann der Staat oder die zwischenstaatliche Organisation seine/ihre Urkunde über den Beitritt zum UPOV-Übereinkommen hinterlegen (vergleiche Abschnitt C „Anwendung des Übereinkommens</w:t>
      </w:r>
      <w:r w:rsidR="001961BB">
        <w:t>“</w:t>
      </w:r>
      <w:r w:rsidRPr="0084076A">
        <w:rPr>
          <w:lang w:val="de-DE"/>
        </w:rPr>
        <w:t>);</w:t>
      </w:r>
    </w:p>
    <w:p w14:paraId="0547CD5F" w14:textId="77777777" w:rsidR="00F05450" w:rsidRPr="00C70350" w:rsidRDefault="00F05450" w:rsidP="00F05450">
      <w:pPr>
        <w:tabs>
          <w:tab w:val="left" w:pos="1134"/>
        </w:tabs>
        <w:ind w:left="567" w:right="567"/>
      </w:pPr>
    </w:p>
    <w:p w14:paraId="2E9E5D26" w14:textId="77777777" w:rsidR="00F05450" w:rsidRPr="00C70350" w:rsidRDefault="00F05450" w:rsidP="00F05450">
      <w:pPr>
        <w:tabs>
          <w:tab w:val="left" w:pos="1134"/>
        </w:tabs>
        <w:ind w:left="567" w:right="567"/>
      </w:pPr>
      <w:r w:rsidRPr="00C70350">
        <w:t>[…]</w:t>
      </w:r>
    </w:p>
    <w:p w14:paraId="0C685805" w14:textId="77777777" w:rsidR="00F05450" w:rsidRPr="00C70350" w:rsidRDefault="00F05450" w:rsidP="00F05450">
      <w:pPr>
        <w:tabs>
          <w:tab w:val="left" w:pos="1134"/>
        </w:tabs>
        <w:ind w:left="567" w:right="567"/>
      </w:pPr>
    </w:p>
    <w:p w14:paraId="1A0569CC" w14:textId="23963B69" w:rsidR="00F05450" w:rsidRPr="008E4EBF" w:rsidRDefault="00F05450" w:rsidP="0084076A">
      <w:pPr>
        <w:pStyle w:val="ListParagraph"/>
        <w:numPr>
          <w:ilvl w:val="0"/>
          <w:numId w:val="16"/>
        </w:numPr>
        <w:tabs>
          <w:tab w:val="left" w:pos="993"/>
          <w:tab w:val="left" w:pos="1134"/>
        </w:tabs>
        <w:ind w:left="567" w:right="567" w:firstLine="0"/>
        <w:rPr>
          <w:lang w:val="de-DE"/>
        </w:rPr>
      </w:pPr>
      <w:r w:rsidRPr="0084076A">
        <w:rPr>
          <w:lang w:val="de-DE"/>
        </w:rPr>
        <w:t xml:space="preserve">Die Entscheidung des Rates über die Stellungnahme bezüglich eines angenommenen Gesetzes, vorbehaltlich </w:t>
      </w:r>
      <w:r w:rsidRPr="008E4EBF">
        <w:rPr>
          <w:lang w:val="de-DE"/>
        </w:rPr>
        <w:t xml:space="preserve">von Änderungen, ist positiv: in der Entscheidung des Rates wird über die Positive Stellungnahme auf diese Änderungen hingewiesen. Nach Vornahme der erforderlichen Änderungen des Gesetzentwurfs und Annahme dieses Gesetzes ohne weitere </w:t>
      </w:r>
      <w:r w:rsidRPr="008E4EBF">
        <w:rPr>
          <w:highlight w:val="lightGray"/>
          <w:u w:val="single"/>
          <w:lang w:val="de-DE"/>
        </w:rPr>
        <w:t>Änderungen (abgesehen von Änderungen rein redaktioneller Natur; es werden keine inhaltlichen Änderungen akzeptiert)</w:t>
      </w:r>
      <w:r w:rsidRPr="008E4EBF">
        <w:rPr>
          <w:lang w:val="de-DE"/>
        </w:rPr>
        <w:t xml:space="preserve"> und dessen Inkrafttreten kann der Staat oder die zwischenstaatliche Organisation seine/ihre Urkunde über den Beitritt zum UPOV-Übereinkommen hinterlegen (vergleiche Abschnitt C „Anwendung des Übereinkommens</w:t>
      </w:r>
      <w:r w:rsidR="001961BB">
        <w:t>“</w:t>
      </w:r>
      <w:r w:rsidRPr="008E4EBF">
        <w:rPr>
          <w:lang w:val="de-DE"/>
        </w:rPr>
        <w:t>);</w:t>
      </w:r>
    </w:p>
    <w:p w14:paraId="270FBAB1" w14:textId="77777777" w:rsidR="00D80008" w:rsidRPr="00C70350" w:rsidRDefault="00D80008" w:rsidP="00D80008">
      <w:pPr>
        <w:tabs>
          <w:tab w:val="left" w:pos="993"/>
          <w:tab w:val="left" w:pos="1134"/>
        </w:tabs>
        <w:ind w:right="567"/>
      </w:pPr>
    </w:p>
    <w:p w14:paraId="7553E398" w14:textId="7AEF0B66" w:rsidR="00D80008" w:rsidRPr="00C70350" w:rsidRDefault="0037496D" w:rsidP="007971FE">
      <w:r>
        <w:fldChar w:fldCharType="begin"/>
      </w:r>
      <w:r>
        <w:instrText xml:space="preserve"> AUTONUM  </w:instrText>
      </w:r>
      <w:r>
        <w:fldChar w:fldCharType="end"/>
      </w:r>
      <w:r w:rsidR="007971FE">
        <w:tab/>
      </w:r>
      <w:r w:rsidR="00D80008" w:rsidRPr="00C70350">
        <w:t>Abschnitt E von Dokument UPOV/INF/13/2 betrifft die „Notifizierung des Vertreters und des Stellvertreters im Rat</w:t>
      </w:r>
      <w:r w:rsidR="001961BB">
        <w:t>“</w:t>
      </w:r>
      <w:r w:rsidR="00D80008" w:rsidRPr="00C70350">
        <w:t xml:space="preserve">. Um die </w:t>
      </w:r>
      <w:r w:rsidR="00034942" w:rsidRPr="00C70350">
        <w:t xml:space="preserve">Einstellung des eingeschränkten Bereichs </w:t>
      </w:r>
      <w:r w:rsidR="00B9201A" w:rsidRPr="00CE0649">
        <w:t>der UPOV-Website und die Entfernun</w:t>
      </w:r>
      <w:r w:rsidR="00034942" w:rsidRPr="00C70350">
        <w:t xml:space="preserve">g </w:t>
      </w:r>
      <w:r w:rsidR="00B9201A" w:rsidRPr="00CE0649">
        <w:t>von Dokument UPOV/INF/20 „Regeln für den Zugang zu UPOV-Dokumenten</w:t>
      </w:r>
      <w:r w:rsidR="001961BB">
        <w:t>“</w:t>
      </w:r>
      <w:r w:rsidR="00B9201A" w:rsidRPr="00CE0649">
        <w:t xml:space="preserve"> (vgl. Dokument C/58/19 „Bericht</w:t>
      </w:r>
      <w:r w:rsidR="001961BB">
        <w:t>“</w:t>
      </w:r>
      <w:r w:rsidR="00B9201A" w:rsidRPr="00CE0649">
        <w:t xml:space="preserve">, Absatz 40) </w:t>
      </w:r>
      <w:r w:rsidR="00034942" w:rsidRPr="00C70350">
        <w:t xml:space="preserve">im Jahr 2024 </w:t>
      </w:r>
      <w:r w:rsidR="00B9201A" w:rsidRPr="00CE0649">
        <w:t>widerzuspiegeln</w:t>
      </w:r>
      <w:r w:rsidR="00B9201A" w:rsidRPr="00C70350">
        <w:t>, wird vorgeschlagen, Abschnitt E wie folgt zu überarbeiten:</w:t>
      </w:r>
    </w:p>
    <w:p w14:paraId="6D187138" w14:textId="77777777" w:rsidR="00034942" w:rsidRPr="00C70350" w:rsidRDefault="00034942" w:rsidP="00D80008">
      <w:pPr>
        <w:tabs>
          <w:tab w:val="left" w:pos="993"/>
          <w:tab w:val="left" w:pos="1134"/>
        </w:tabs>
        <w:ind w:right="567"/>
      </w:pPr>
    </w:p>
    <w:p w14:paraId="4FBDB929" w14:textId="77777777" w:rsidR="00150EF4" w:rsidRPr="00963460" w:rsidRDefault="00150EF4" w:rsidP="00150EF4">
      <w:pPr>
        <w:tabs>
          <w:tab w:val="left" w:pos="1843"/>
        </w:tabs>
        <w:ind w:left="567"/>
      </w:pPr>
      <w:bookmarkStart w:id="4" w:name="_Toc231879340"/>
      <w:bookmarkStart w:id="5" w:name="_Toc502927375"/>
      <w:bookmarkStart w:id="6" w:name="_Toc502934574"/>
      <w:r w:rsidRPr="00963460">
        <w:rPr>
          <w:u w:val="single"/>
        </w:rPr>
        <w:t>Abschnitt E</w:t>
      </w:r>
      <w:r w:rsidRPr="00963460">
        <w:t>.</w:t>
      </w:r>
      <w:bookmarkEnd w:id="4"/>
      <w:r w:rsidRPr="00963460">
        <w:tab/>
      </w:r>
      <w:r w:rsidRPr="00963460">
        <w:rPr>
          <w:u w:val="single"/>
        </w:rPr>
        <w:t>Notifizierung des Vertreters und des Stellvertreters im Rat</w:t>
      </w:r>
      <w:bookmarkEnd w:id="5"/>
      <w:bookmarkEnd w:id="6"/>
    </w:p>
    <w:p w14:paraId="3C753575" w14:textId="77777777" w:rsidR="00150EF4" w:rsidRPr="00963460" w:rsidRDefault="00150EF4" w:rsidP="00150EF4">
      <w:pPr>
        <w:pStyle w:val="BodyText"/>
        <w:keepNext/>
        <w:ind w:left="567"/>
        <w:jc w:val="left"/>
        <w:rPr>
          <w:rFonts w:cs="Arial"/>
          <w:i/>
        </w:rPr>
      </w:pPr>
    </w:p>
    <w:p w14:paraId="7790A1FE" w14:textId="77777777" w:rsidR="00150EF4" w:rsidRPr="00963460" w:rsidRDefault="00150EF4" w:rsidP="00150EF4">
      <w:pPr>
        <w:pStyle w:val="BodyText"/>
        <w:keepNext/>
        <w:ind w:left="567"/>
        <w:jc w:val="left"/>
        <w:rPr>
          <w:rFonts w:cs="Arial"/>
          <w:i/>
        </w:rPr>
      </w:pPr>
      <w:r w:rsidRPr="00963460">
        <w:rPr>
          <w:rFonts w:cs="Arial"/>
          <w:i/>
        </w:rPr>
        <w:t>Entsprechender Artikel</w:t>
      </w:r>
    </w:p>
    <w:p w14:paraId="02A37AF9" w14:textId="77777777" w:rsidR="00150EF4" w:rsidRPr="00963460" w:rsidRDefault="00150EF4" w:rsidP="00150EF4">
      <w:pPr>
        <w:keepNext/>
        <w:spacing w:line="360" w:lineRule="auto"/>
        <w:ind w:left="567"/>
        <w:jc w:val="center"/>
        <w:rPr>
          <w:rFonts w:cs="Arial"/>
          <w:b/>
        </w:rPr>
      </w:pPr>
      <w:r w:rsidRPr="00963460">
        <w:rPr>
          <w:rFonts w:cs="Arial"/>
          <w:b/>
        </w:rPr>
        <w:t>Artikel 26</w:t>
      </w:r>
    </w:p>
    <w:p w14:paraId="54B152EF" w14:textId="77777777" w:rsidR="00150EF4" w:rsidRPr="00963460" w:rsidRDefault="00150EF4" w:rsidP="00150EF4">
      <w:pPr>
        <w:ind w:left="567"/>
        <w:jc w:val="center"/>
        <w:rPr>
          <w:rFonts w:cs="Arial"/>
        </w:rPr>
      </w:pPr>
      <w:r w:rsidRPr="00963460">
        <w:rPr>
          <w:rFonts w:cs="Arial"/>
          <w:b/>
        </w:rPr>
        <w:t>Der Rat</w:t>
      </w:r>
    </w:p>
    <w:p w14:paraId="31C788AC" w14:textId="77777777" w:rsidR="00150EF4" w:rsidRPr="00963460" w:rsidRDefault="00150EF4" w:rsidP="00150EF4">
      <w:pPr>
        <w:ind w:left="567"/>
        <w:rPr>
          <w:rFonts w:cs="Arial"/>
        </w:rPr>
      </w:pPr>
    </w:p>
    <w:p w14:paraId="4ED303E7" w14:textId="77777777" w:rsidR="00150EF4" w:rsidRPr="00963460" w:rsidRDefault="00150EF4" w:rsidP="00150EF4">
      <w:pPr>
        <w:ind w:left="567"/>
        <w:rPr>
          <w:rFonts w:cs="Arial"/>
          <w:b/>
        </w:rPr>
      </w:pPr>
      <w:r w:rsidRPr="00963460">
        <w:rPr>
          <w:rFonts w:cs="Arial"/>
          <w:b/>
        </w:rPr>
        <w:tab/>
        <w:t>1)</w:t>
      </w:r>
      <w:r w:rsidRPr="00963460">
        <w:rPr>
          <w:rFonts w:cs="Arial"/>
          <w:b/>
        </w:rPr>
        <w:tab/>
        <w:t>[</w:t>
      </w:r>
      <w:r w:rsidRPr="00963460">
        <w:rPr>
          <w:rFonts w:cs="Arial"/>
          <w:b/>
          <w:i/>
        </w:rPr>
        <w:t>Zusammensetzung</w:t>
      </w:r>
      <w:r w:rsidRPr="00963460">
        <w:rPr>
          <w:rFonts w:cs="Arial"/>
          <w:b/>
        </w:rPr>
        <w:t>] Der Rat besteht aus den Vertretern der Verbandsmitglieder. Jedes Verbandsmitglied ernennt einen Vertreter für den Rat und einen Stellvertreter. Den Vertretern oder Stellvertretern können Mitarbeiter oder Berater zur Seite stehen.</w:t>
      </w:r>
    </w:p>
    <w:p w14:paraId="10499175" w14:textId="77777777" w:rsidR="00150EF4" w:rsidRPr="00963460" w:rsidRDefault="00150EF4" w:rsidP="00150EF4">
      <w:pPr>
        <w:ind w:left="567"/>
        <w:rPr>
          <w:rFonts w:cs="Arial"/>
        </w:rPr>
      </w:pPr>
    </w:p>
    <w:p w14:paraId="715DF57D" w14:textId="5941C8EB" w:rsidR="00150EF4" w:rsidRPr="00963460" w:rsidRDefault="00150EF4" w:rsidP="00150EF4">
      <w:pPr>
        <w:ind w:left="567"/>
        <w:rPr>
          <w:rFonts w:cs="Arial"/>
        </w:rPr>
      </w:pPr>
      <w:r w:rsidRPr="00963460">
        <w:rPr>
          <w:rFonts w:cs="Arial"/>
        </w:rPr>
        <w:t>31.</w:t>
      </w:r>
      <w:r w:rsidRPr="00963460">
        <w:rPr>
          <w:rFonts w:cs="Arial"/>
        </w:rPr>
        <w:tab/>
        <w:t xml:space="preserve">Die Verbandsmitglieder müssen dem Verbandsbüro Namen, Titel und Kontaktangaben des Vertreters und des Stellvertreters im Rat bekanntgeben. Eine der Verantwortlichkeiten des Vertreters im Rat ist die Ernennung der Personen in die entsprechenden UPOV-Gremien </w:t>
      </w:r>
      <w:r w:rsidRPr="00963460">
        <w:rPr>
          <w:rFonts w:cs="Arial"/>
          <w:highlight w:val="lightGray"/>
          <w:u w:val="single"/>
        </w:rPr>
        <w:t xml:space="preserve">(vergleiche Dokument </w:t>
      </w:r>
      <w:r>
        <w:fldChar w:fldCharType="begin"/>
      </w:r>
      <w:r>
        <w:instrText>HYPERLINK "https://www.upov.int/de/find-and-explore/information-and-guidance/information-documents"</w:instrText>
      </w:r>
      <w:r>
        <w:fldChar w:fldCharType="separate"/>
      </w:r>
      <w:r w:rsidRPr="00714CBE">
        <w:rPr>
          <w:rStyle w:val="Hyperlink"/>
          <w:rFonts w:cs="Arial"/>
          <w:highlight w:val="lightGray"/>
        </w:rPr>
        <w:t>UPOV/INF/15</w:t>
      </w:r>
      <w:r>
        <w:fldChar w:fldCharType="end"/>
      </w:r>
      <w:r w:rsidRPr="00963460">
        <w:rPr>
          <w:rFonts w:cs="Arial"/>
          <w:highlight w:val="lightGray"/>
          <w:u w:val="single"/>
        </w:rPr>
        <w:t xml:space="preserve"> „Anleitung für Verbandsmitglieder</w:t>
      </w:r>
      <w:r w:rsidR="001961BB">
        <w:t>“</w:t>
      </w:r>
      <w:r w:rsidRPr="00963460">
        <w:rPr>
          <w:rFonts w:cs="Arial"/>
          <w:highlight w:val="lightGray"/>
          <w:u w:val="single"/>
        </w:rPr>
        <w:t>).</w:t>
      </w:r>
      <w:r w:rsidRPr="00963460">
        <w:rPr>
          <w:rFonts w:cs="Arial"/>
        </w:rPr>
        <w:t xml:space="preserve"> </w:t>
      </w:r>
      <w:r w:rsidRPr="00963460">
        <w:rPr>
          <w:rFonts w:cs="Arial"/>
          <w:strike/>
          <w:highlight w:val="lightGray"/>
        </w:rPr>
        <w:t xml:space="preserve">und die Entscheidung über diejenigen Personen, denen der Zugang zu den UPOV-Dokumenten im ersten und im zweiten eingeschränkten Zugang der UPOV-Website gewährt wird (vergleiche </w:t>
      </w:r>
      <w:r w:rsidRPr="00963460">
        <w:rPr>
          <w:rFonts w:cs="Arial"/>
          <w:strike/>
          <w:snapToGrid w:val="0"/>
          <w:highlight w:val="lightGray"/>
        </w:rPr>
        <w:t>Regeln für den Zugang zu UPOV-Dokumenten</w:t>
      </w:r>
      <w:r w:rsidRPr="00963460">
        <w:rPr>
          <w:rFonts w:cs="Arial"/>
          <w:strike/>
          <w:highlight w:val="lightGray"/>
        </w:rPr>
        <w:t>: http://www.upov.int/members/de/index.html).</w:t>
      </w:r>
    </w:p>
    <w:p w14:paraId="3C9FC142" w14:textId="77777777" w:rsidR="00150EF4" w:rsidRPr="00963460" w:rsidRDefault="00150EF4" w:rsidP="00150EF4"/>
    <w:p w14:paraId="57C5DCC3" w14:textId="7BA6FB0D" w:rsidR="00150EF4" w:rsidRPr="00963460" w:rsidRDefault="00150EF4" w:rsidP="00150EF4">
      <w:pPr>
        <w:tabs>
          <w:tab w:val="left" w:pos="5387"/>
          <w:tab w:val="left" w:pos="5954"/>
        </w:tabs>
        <w:ind w:left="4820"/>
        <w:rPr>
          <w:i/>
        </w:rPr>
      </w:pPr>
      <w:r w:rsidRPr="00963460">
        <w:rPr>
          <w:i/>
        </w:rPr>
        <w:fldChar w:fldCharType="begin"/>
      </w:r>
      <w:r w:rsidRPr="00963460">
        <w:rPr>
          <w:i/>
        </w:rPr>
        <w:instrText xml:space="preserve"> AUTONUM  </w:instrText>
      </w:r>
      <w:r w:rsidRPr="00963460">
        <w:rPr>
          <w:i/>
        </w:rPr>
        <w:fldChar w:fldCharType="end"/>
      </w:r>
      <w:r w:rsidRPr="00963460">
        <w:rPr>
          <w:i/>
        </w:rPr>
        <w:tab/>
        <w:t xml:space="preserve">Der Rat wird ersucht, die Überarbeitung von Dokument UPOV/INF/13 </w:t>
      </w:r>
      <w:r>
        <w:rPr>
          <w:i/>
        </w:rPr>
        <w:t>„</w:t>
      </w:r>
      <w:r w:rsidRPr="00963460">
        <w:rPr>
          <w:i/>
        </w:rPr>
        <w:t>Anleitung zum Verfahren für den Beitritt zur UPOV</w:t>
      </w:r>
      <w:r w:rsidR="001961BB">
        <w:t>“</w:t>
      </w:r>
      <w:r w:rsidRPr="00963460">
        <w:rPr>
          <w:i/>
        </w:rPr>
        <w:t xml:space="preserve">, wie in Absätzen 16 und 17 dieses Dokuments und in Dokument UPOV/INF/13/3 Draft 1 dargelegt, zu billigen. </w:t>
      </w:r>
    </w:p>
    <w:p w14:paraId="44F5A802" w14:textId="77777777" w:rsidR="00F05450" w:rsidRPr="00C70350" w:rsidRDefault="00F05450" w:rsidP="00F05450"/>
    <w:p w14:paraId="1F3B408D" w14:textId="77777777" w:rsidR="00F05450" w:rsidRPr="00C70350" w:rsidRDefault="00F05450" w:rsidP="00F05450"/>
    <w:p w14:paraId="3F28234F" w14:textId="3EA97071" w:rsidR="00F05450" w:rsidRPr="00C70350" w:rsidRDefault="00F05450" w:rsidP="00F05450">
      <w:pPr>
        <w:pStyle w:val="Heading1"/>
        <w:rPr>
          <w:rFonts w:eastAsia="Calibri"/>
          <w:lang w:val="de-DE"/>
        </w:rPr>
      </w:pPr>
      <w:bookmarkStart w:id="7" w:name="_Toc242122261"/>
      <w:r w:rsidRPr="00C70350">
        <w:rPr>
          <w:lang w:val="de-DE"/>
        </w:rPr>
        <w:lastRenderedPageBreak/>
        <w:t xml:space="preserve">DoKumentE </w:t>
      </w:r>
      <w:r w:rsidRPr="00C70350">
        <w:rPr>
          <w:rFonts w:eastAsia="Calibri"/>
          <w:lang w:val="de-DE"/>
        </w:rPr>
        <w:t xml:space="preserve">UPOV/INF/16 </w:t>
      </w:r>
      <w:r w:rsidR="001961BB">
        <w:t>„</w:t>
      </w:r>
      <w:r w:rsidRPr="00C70350">
        <w:rPr>
          <w:rFonts w:eastAsia="Calibri"/>
          <w:lang w:val="de-DE"/>
        </w:rPr>
        <w:t>A</w:t>
      </w:r>
      <w:r w:rsidRPr="00C70350">
        <w:rPr>
          <w:lang w:val="de-DE"/>
        </w:rPr>
        <w:t>ustauschbare Software</w:t>
      </w:r>
      <w:r w:rsidR="001961BB">
        <w:t>“</w:t>
      </w:r>
      <w:r w:rsidRPr="00C70350">
        <w:rPr>
          <w:rFonts w:eastAsia="Calibri"/>
          <w:lang w:val="de-DE"/>
        </w:rPr>
        <w:t xml:space="preserve"> Und </w:t>
      </w:r>
      <w:r w:rsidRPr="00C70350">
        <w:rPr>
          <w:rFonts w:eastAsia="Calibri" w:cs="Arial"/>
          <w:bdr w:val="none" w:sz="0" w:space="0" w:color="auto" w:frame="1"/>
          <w:lang w:val="de-DE" w:eastAsia="nl-NL"/>
        </w:rPr>
        <w:t xml:space="preserve">UPOV/INF/22 </w:t>
      </w:r>
      <w:r w:rsidR="001961BB">
        <w:t>„</w:t>
      </w:r>
      <w:r w:rsidRPr="00C70350">
        <w:rPr>
          <w:rFonts w:eastAsia="Calibri" w:cs="Arial"/>
          <w:bdr w:val="none" w:sz="0" w:space="0" w:color="auto" w:frame="1"/>
          <w:lang w:val="de-DE" w:eastAsia="nl-NL"/>
        </w:rPr>
        <w:t>VON VERBANDSMITGLIEDERN VERWENDETE Software Und AUSRÜSTUNG</w:t>
      </w:r>
      <w:r w:rsidR="001961BB">
        <w:t>“</w:t>
      </w:r>
      <w:r w:rsidRPr="00C70350">
        <w:rPr>
          <w:rFonts w:eastAsia="Calibri" w:cs="Arial"/>
          <w:bdr w:val="none" w:sz="0" w:space="0" w:color="auto" w:frame="1"/>
          <w:lang w:val="de-DE" w:eastAsia="nl-NL"/>
        </w:rPr>
        <w:t xml:space="preserve"> </w:t>
      </w:r>
      <w:r w:rsidRPr="00C70350">
        <w:rPr>
          <w:rFonts w:eastAsia="Calibri"/>
          <w:lang w:val="de-DE"/>
        </w:rPr>
        <w:t>(ÜBerarbeitete fassung)</w:t>
      </w:r>
      <w:bookmarkEnd w:id="7"/>
    </w:p>
    <w:p w14:paraId="01DF6F7C" w14:textId="77777777" w:rsidR="00F05450" w:rsidRPr="00C70350" w:rsidRDefault="00F05450" w:rsidP="008A1031">
      <w:pPr>
        <w:keepNext/>
        <w:rPr>
          <w:rFonts w:eastAsia="Calibri"/>
        </w:rPr>
      </w:pPr>
    </w:p>
    <w:p w14:paraId="3CB2E56C" w14:textId="77777777" w:rsidR="00680133" w:rsidRPr="00963460" w:rsidRDefault="00680133" w:rsidP="00680133">
      <w:pPr>
        <w:pStyle w:val="Heading2"/>
        <w:rPr>
          <w:rFonts w:eastAsia="Calibri"/>
          <w:lang w:val="de-DE" w:eastAsia="nl-NL"/>
        </w:rPr>
      </w:pPr>
      <w:bookmarkStart w:id="8" w:name="_Toc239170473"/>
      <w:r w:rsidRPr="00963460">
        <w:rPr>
          <w:rFonts w:eastAsia="Calibri"/>
          <w:lang w:val="de-DE" w:eastAsia="nl-NL"/>
        </w:rPr>
        <w:t>Verfahren zur Aufnahme von Software und/oder Ausrüstung in Dokumente UPOV/INF/16 und UPOV/INF/22</w:t>
      </w:r>
      <w:bookmarkEnd w:id="8"/>
    </w:p>
    <w:p w14:paraId="36182BB0" w14:textId="77777777" w:rsidR="00680133" w:rsidRPr="00963460" w:rsidRDefault="00680133" w:rsidP="00680133">
      <w:pPr>
        <w:rPr>
          <w:rFonts w:eastAsia="Calibri" w:cs="Arial"/>
          <w:bdr w:val="none" w:sz="0" w:space="0" w:color="auto" w:frame="1"/>
          <w:lang w:eastAsia="nl-NL"/>
        </w:rPr>
      </w:pPr>
    </w:p>
    <w:p w14:paraId="5850D567" w14:textId="2C8548AC" w:rsidR="00680133" w:rsidRPr="00963460" w:rsidRDefault="00680133" w:rsidP="00680133">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Auf seiner Sitzung im Jahre 2025</w:t>
      </w:r>
      <w:r w:rsidRPr="00963460">
        <w:rPr>
          <w:rStyle w:val="FootnoteReference"/>
          <w:rFonts w:eastAsia="Calibri" w:cs="Arial"/>
          <w:bdr w:val="none" w:sz="0" w:space="0" w:color="auto" w:frame="1"/>
          <w:lang w:eastAsia="nl-NL"/>
        </w:rPr>
        <w:footnoteReference w:id="3"/>
      </w:r>
      <w:r w:rsidRPr="00963460">
        <w:rPr>
          <w:rFonts w:eastAsia="Calibri" w:cs="Arial"/>
          <w:bdr w:val="none" w:sz="0" w:space="0" w:color="auto" w:frame="1"/>
          <w:lang w:eastAsia="nl-NL"/>
        </w:rPr>
        <w:t xml:space="preserve"> stimmte der Beratende Ausschuss den Vorschlägen zur Neuordnung der Tagesordnungspunkte und Dokumente zu, um sich auf wichtige Fragen zu konzentrieren und mehr Raum für Diskussionen und Veranstaltungen zu neuen Themen zu schaffen. Der Beratende Ausschuss kam überein, dass Dokumente UPOV/INF/16 </w:t>
      </w:r>
      <w:r>
        <w:rPr>
          <w:rFonts w:eastAsia="Calibri" w:cs="Arial"/>
          <w:bdr w:val="none" w:sz="0" w:space="0" w:color="auto" w:frame="1"/>
          <w:lang w:eastAsia="nl-NL"/>
        </w:rPr>
        <w:t>„</w:t>
      </w:r>
      <w:r w:rsidRPr="00963460">
        <w:rPr>
          <w:rFonts w:eastAsia="Calibri" w:cs="Arial"/>
          <w:bdr w:val="none" w:sz="0" w:space="0" w:color="auto" w:frame="1"/>
          <w:lang w:eastAsia="nl-NL"/>
        </w:rPr>
        <w:t>Austauschbare Software</w:t>
      </w:r>
      <w:r w:rsidR="001961BB">
        <w:t>“</w:t>
      </w:r>
      <w:r w:rsidRPr="00963460">
        <w:rPr>
          <w:rFonts w:eastAsia="Calibri" w:cs="Arial"/>
          <w:bdr w:val="none" w:sz="0" w:space="0" w:color="auto" w:frame="1"/>
          <w:lang w:eastAsia="nl-NL"/>
        </w:rPr>
        <w:t xml:space="preserve"> und UPOV/INF/22 </w:t>
      </w:r>
      <w:r>
        <w:rPr>
          <w:rFonts w:eastAsia="Calibri" w:cs="Arial"/>
          <w:bdr w:val="none" w:sz="0" w:space="0" w:color="auto" w:frame="1"/>
          <w:lang w:eastAsia="nl-NL"/>
        </w:rPr>
        <w:t>„</w:t>
      </w:r>
      <w:r w:rsidRPr="00963460">
        <w:rPr>
          <w:rFonts w:eastAsia="Calibri" w:cs="Arial"/>
          <w:bdr w:val="none" w:sz="0" w:space="0" w:color="auto" w:frame="1"/>
          <w:lang w:eastAsia="nl-NL"/>
        </w:rPr>
        <w:t>Von Verbandsmitgliedern verwendete Software and Ausrüstung</w:t>
      </w:r>
      <w:r w:rsidR="001961BB">
        <w:t>“</w:t>
      </w:r>
      <w:r w:rsidRPr="00963460">
        <w:rPr>
          <w:rFonts w:eastAsia="Calibri" w:cs="Arial"/>
          <w:bdr w:val="none" w:sz="0" w:space="0" w:color="auto" w:frame="1"/>
          <w:lang w:eastAsia="nl-NL"/>
        </w:rPr>
        <w:t xml:space="preserve"> künftig vom Vereinsbüro aktualisiert werden, ohne dass eine formelle Entscheidung des Rates erforderlich ist. Die Dokumente würden auf der UPOV-Website veröffentlicht und interessierten Kreisen online zur Einsichtnahme zur Verfügung gestellt.  Angelegenheiten diese Dokumente betreffend könnten bei Bedarf den TWPs, dem TC und/oder dem CAJ und/oder dem Rat vorgelegt werden.</w:t>
      </w:r>
    </w:p>
    <w:p w14:paraId="3017C1C9" w14:textId="77777777" w:rsidR="00680133" w:rsidRPr="00963460" w:rsidRDefault="00680133" w:rsidP="00680133">
      <w:pPr>
        <w:rPr>
          <w:rFonts w:eastAsia="Calibri" w:cs="Arial"/>
          <w:bdr w:val="none" w:sz="0" w:space="0" w:color="auto" w:frame="1"/>
          <w:lang w:eastAsia="nl-NL"/>
        </w:rPr>
      </w:pPr>
    </w:p>
    <w:p w14:paraId="1A720F0B" w14:textId="77777777" w:rsidR="00680133" w:rsidRPr="00963460" w:rsidRDefault="00680133" w:rsidP="00680133">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Die Dokumente UPOV/INF/16/13 und UPOV/INF/22/11 werden auf Grundlage von Informationen des Verbandsbüros zusammengestellt. Das Verbandsbüro nimmt die Informationen in die entsprechenden Dokumente auf und überprüft, ob die bereitgestellten Daten stimmig sind. Derzeit trifft der Rat eine formelle Entscheidung über die Überarbeitung der betreffenden Dokumente, vorbehaltlich der Zustimmung des TC und des CAJ.</w:t>
      </w:r>
    </w:p>
    <w:p w14:paraId="24B7D65D" w14:textId="77777777" w:rsidR="00680133" w:rsidRPr="00963460" w:rsidRDefault="00680133" w:rsidP="00680133">
      <w:pPr>
        <w:rPr>
          <w:rFonts w:eastAsia="Calibri" w:cs="Arial"/>
          <w:bdr w:val="none" w:sz="0" w:space="0" w:color="auto" w:frame="1"/>
          <w:lang w:eastAsia="nl-NL"/>
        </w:rPr>
      </w:pPr>
    </w:p>
    <w:p w14:paraId="3BA77E8F" w14:textId="77777777" w:rsidR="00680133" w:rsidRPr="00963460" w:rsidRDefault="00680133" w:rsidP="00680133">
      <w:pPr>
        <w:pStyle w:val="Heading3"/>
        <w:rPr>
          <w:rFonts w:eastAsia="Calibri"/>
          <w:lang w:val="de-DE" w:eastAsia="nl-NL"/>
        </w:rPr>
      </w:pPr>
      <w:bookmarkStart w:id="9" w:name="_Toc239170474"/>
      <w:r w:rsidRPr="00963460">
        <w:rPr>
          <w:rFonts w:eastAsia="Calibri"/>
          <w:lang w:val="de-DE" w:eastAsia="nl-NL"/>
        </w:rPr>
        <w:t>Vorschläge</w:t>
      </w:r>
      <w:bookmarkEnd w:id="9"/>
    </w:p>
    <w:p w14:paraId="23AF0673" w14:textId="77777777" w:rsidR="00680133" w:rsidRPr="00963460" w:rsidRDefault="00680133" w:rsidP="00680133">
      <w:pPr>
        <w:keepNext/>
        <w:rPr>
          <w:rFonts w:eastAsia="Calibri" w:cs="Arial"/>
          <w:bdr w:val="none" w:sz="0" w:space="0" w:color="auto" w:frame="1"/>
          <w:lang w:eastAsia="nl-NL"/>
        </w:rPr>
      </w:pPr>
    </w:p>
    <w:p w14:paraId="0C971CBB" w14:textId="45057CF7" w:rsidR="00680133" w:rsidRPr="00963460" w:rsidRDefault="00680133" w:rsidP="00680133">
      <w:pPr>
        <w:keepNext/>
        <w:rPr>
          <w:rFonts w:eastAsia="Calibri"/>
        </w:rPr>
      </w:pPr>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rPr>
          <w:rFonts w:eastAsia="Calibri"/>
        </w:rPr>
        <w:tab/>
        <w:t xml:space="preserve">Aufgrund der Empfehlungen des Beratenden Ausschusses wird der Rat ersucht, zu erwägen das </w:t>
      </w:r>
      <w:r>
        <w:rPr>
          <w:rFonts w:eastAsia="Calibri"/>
        </w:rPr>
        <w:t>„</w:t>
      </w:r>
      <w:r w:rsidRPr="00963460">
        <w:rPr>
          <w:rFonts w:eastAsia="Calibri"/>
        </w:rPr>
        <w:t>Verfahren für die Einbeziehung der Software</w:t>
      </w:r>
      <w:r w:rsidR="001961BB">
        <w:t>“</w:t>
      </w:r>
      <w:r w:rsidRPr="00963460">
        <w:rPr>
          <w:rFonts w:eastAsia="Calibri"/>
        </w:rPr>
        <w:t xml:space="preserve"> in Dokument UPOV/INF/16 wie folgt zu ändern, sodass künftig für die Einbeziehung von Software k</w:t>
      </w:r>
      <w:r w:rsidRPr="00963460">
        <w:rPr>
          <w:rFonts w:eastAsia="Calibri" w:cs="Arial"/>
          <w:bdr w:val="none" w:sz="0" w:space="0" w:color="auto" w:frame="1"/>
          <w:lang w:eastAsia="nl-NL"/>
        </w:rPr>
        <w:t>eine formelle Entscheidung des Rates erforderlich ist</w:t>
      </w:r>
      <w:r w:rsidRPr="00963460">
        <w:rPr>
          <w:rFonts w:eastAsia="Calibri"/>
        </w:rPr>
        <w:t>:</w:t>
      </w:r>
    </w:p>
    <w:p w14:paraId="1C35F931" w14:textId="77777777" w:rsidR="00680133" w:rsidRPr="00963460" w:rsidRDefault="00680133" w:rsidP="00680133">
      <w:pPr>
        <w:ind w:left="2268"/>
        <w:jc w:val="left"/>
        <w:rPr>
          <w:rFonts w:eastAsia="Calibri" w:cs="Arial"/>
          <w:bdr w:val="none" w:sz="0" w:space="0" w:color="auto" w:frame="1"/>
          <w:lang w:eastAsia="nl-NL"/>
        </w:rPr>
      </w:pPr>
    </w:p>
    <w:p w14:paraId="5DA59CAC" w14:textId="77777777" w:rsidR="00680133" w:rsidRPr="00963460" w:rsidRDefault="00680133" w:rsidP="00680133">
      <w:pPr>
        <w:ind w:left="567" w:right="567"/>
        <w:rPr>
          <w:rFonts w:eastAsia="Calibri"/>
        </w:rPr>
      </w:pPr>
      <w:r>
        <w:rPr>
          <w:rFonts w:eastAsia="Calibri"/>
        </w:rPr>
        <w:t>„</w:t>
      </w:r>
      <w:r w:rsidRPr="00963460">
        <w:rPr>
          <w:rFonts w:eastAsia="Calibri"/>
        </w:rPr>
        <w:t>2.</w:t>
      </w:r>
      <w:r w:rsidRPr="00963460">
        <w:rPr>
          <w:rFonts w:eastAsia="Calibri"/>
        </w:rPr>
        <w:tab/>
        <w:t xml:space="preserve">Verfahren für die Einbeziehung von Software </w:t>
      </w:r>
    </w:p>
    <w:p w14:paraId="35786474" w14:textId="77777777" w:rsidR="00680133" w:rsidRPr="00963460" w:rsidRDefault="00680133" w:rsidP="00680133">
      <w:pPr>
        <w:ind w:left="567" w:right="567"/>
        <w:rPr>
          <w:rFonts w:eastAsia="Calibri"/>
        </w:rPr>
      </w:pPr>
    </w:p>
    <w:p w14:paraId="66B2742E" w14:textId="19AAAFB2" w:rsidR="00680133" w:rsidRPr="00963460" w:rsidRDefault="00680133" w:rsidP="00680133">
      <w:pPr>
        <w:ind w:left="567" w:right="567"/>
        <w:rPr>
          <w:rFonts w:eastAsia="Calibri"/>
        </w:rPr>
      </w:pPr>
      <w:r w:rsidRPr="00963460">
        <w:rPr>
          <w:rFonts w:eastAsia="Calibri"/>
        </w:rPr>
        <w:t xml:space="preserve">Die von den Verbandsmitgliedern zur Aufnahme in das Dokument UPOV/INF/16 angebotene Software wird insbesondere der Technische Arbeitsgruppe für Prüfmethoden und -techniken (TWM) zur Überprüfung vorgelegt. Aufgrund dieser Vorlage an die TWM und der Erfahrung der Verbandsmitglieder gibt die TWM eine Empfehlung an den Technischen Ausschuss (TC) darüber ab, ob diese Software in das Dokument UPOV/INF/16 aufgenommen werden soll. Fällt die Empfehlung des TC </w:t>
      </w:r>
      <w:r w:rsidRPr="00963460">
        <w:rPr>
          <w:rFonts w:eastAsia="Calibri"/>
          <w:strike/>
          <w:highlight w:val="lightGray"/>
        </w:rPr>
        <w:t>und des Verwaltungs- und Rechtsausschusses (CAJ)</w:t>
      </w:r>
      <w:r w:rsidRPr="00963460">
        <w:rPr>
          <w:rFonts w:eastAsia="Calibri"/>
        </w:rPr>
        <w:t xml:space="preserve"> positiv aus, wird die Software in </w:t>
      </w:r>
      <w:r w:rsidRPr="00963460">
        <w:rPr>
          <w:rFonts w:eastAsia="Calibri"/>
          <w:strike/>
          <w:highlight w:val="lightGray"/>
        </w:rPr>
        <w:t>einem Entwurf</w:t>
      </w:r>
      <w:r w:rsidRPr="00963460">
        <w:rPr>
          <w:rFonts w:eastAsia="Calibri"/>
          <w:highlight w:val="lightGray"/>
        </w:rPr>
        <w:t xml:space="preserve"> </w:t>
      </w:r>
      <w:r w:rsidRPr="00963460">
        <w:rPr>
          <w:rFonts w:eastAsia="Calibri"/>
          <w:highlight w:val="lightGray"/>
          <w:u w:val="single"/>
        </w:rPr>
        <w:t>einer überarbeiteten Fassung</w:t>
      </w:r>
      <w:r w:rsidRPr="00963460">
        <w:rPr>
          <w:rFonts w:eastAsia="Calibri"/>
        </w:rPr>
        <w:t xml:space="preserve"> des Dokuments UPOV/INF/16 aufgelistet</w:t>
      </w:r>
      <w:r w:rsidRPr="00963460">
        <w:rPr>
          <w:rFonts w:eastAsia="Calibri"/>
          <w:strike/>
          <w:highlight w:val="lightGray"/>
        </w:rPr>
        <w:t>, der vom Rat im Hinblick auf seine Annahme geprüft werden soll. Das Dokument UPOV/INF/16 wird vom Rat angenommen</w:t>
      </w:r>
      <w:r w:rsidRPr="00963460">
        <w:rPr>
          <w:rFonts w:eastAsia="Calibri"/>
        </w:rPr>
        <w:t xml:space="preserve"> </w:t>
      </w:r>
      <w:r w:rsidRPr="00963460">
        <w:rPr>
          <w:rFonts w:eastAsia="Calibri"/>
          <w:highlight w:val="lightGray"/>
          <w:u w:val="single"/>
        </w:rPr>
        <w:t>und auf der UPOV-Website veröffentlicht</w:t>
      </w:r>
      <w:r w:rsidRPr="00963460">
        <w:rPr>
          <w:rFonts w:eastAsia="Calibri"/>
        </w:rPr>
        <w:t>.</w:t>
      </w:r>
      <w:r w:rsidR="001961BB">
        <w:t>“</w:t>
      </w:r>
    </w:p>
    <w:p w14:paraId="671FF1D5" w14:textId="77777777" w:rsidR="00680133" w:rsidRPr="00963460" w:rsidRDefault="00680133" w:rsidP="00680133">
      <w:pPr>
        <w:jc w:val="left"/>
        <w:rPr>
          <w:rFonts w:eastAsia="Calibri" w:cs="Arial"/>
          <w:bdr w:val="none" w:sz="0" w:space="0" w:color="auto" w:frame="1"/>
          <w:lang w:eastAsia="nl-NL"/>
        </w:rPr>
      </w:pPr>
    </w:p>
    <w:p w14:paraId="4F8D7283" w14:textId="0B974099" w:rsidR="00680133" w:rsidRPr="00963460" w:rsidRDefault="00680133" w:rsidP="00680133">
      <w:pPr>
        <w:keepNext/>
        <w:rPr>
          <w:rFonts w:eastAsia="Calibri"/>
        </w:rPr>
      </w:pPr>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rPr>
          <w:rFonts w:eastAsia="Calibri"/>
        </w:rPr>
        <w:tab/>
        <w:t xml:space="preserve">Aufgrund der Empfehlungen des Beratenden Ausschusses wird der Rat ersucht, zu erwägen das </w:t>
      </w:r>
      <w:r>
        <w:rPr>
          <w:rFonts w:eastAsia="Calibri"/>
        </w:rPr>
        <w:t>„</w:t>
      </w:r>
      <w:r w:rsidRPr="00963460">
        <w:rPr>
          <w:rFonts w:eastAsia="Calibri"/>
        </w:rPr>
        <w:t>Verfahren für die Einbeziehung von Software/Ausrüstung</w:t>
      </w:r>
      <w:r w:rsidR="001961BB">
        <w:t>“</w:t>
      </w:r>
      <w:r w:rsidRPr="00963460">
        <w:rPr>
          <w:rFonts w:eastAsia="Calibri"/>
        </w:rPr>
        <w:t xml:space="preserve"> in Dokument UPOV/INF/22 zu ändern, sodass künftig für die Einbeziehung von Software oder Ausrüstung keine formelle Annahme einer überarbeiteten Fassung des Dokuments durch den Rat erforderlich ist:</w:t>
      </w:r>
    </w:p>
    <w:p w14:paraId="006EE848" w14:textId="77777777" w:rsidR="00680133" w:rsidRPr="00963460" w:rsidRDefault="00680133" w:rsidP="00680133">
      <w:pPr>
        <w:rPr>
          <w:rFonts w:eastAsia="Calibri"/>
        </w:rPr>
      </w:pPr>
    </w:p>
    <w:p w14:paraId="39D1B9B8" w14:textId="77777777" w:rsidR="00680133" w:rsidRPr="00963460" w:rsidRDefault="00680133" w:rsidP="00680133">
      <w:pPr>
        <w:keepNext/>
        <w:ind w:left="567" w:right="567"/>
        <w:rPr>
          <w:rFonts w:eastAsia="Calibri"/>
        </w:rPr>
      </w:pPr>
      <w:r>
        <w:rPr>
          <w:rFonts w:eastAsia="Calibri"/>
        </w:rPr>
        <w:t>„</w:t>
      </w:r>
      <w:r w:rsidRPr="00963460">
        <w:rPr>
          <w:rFonts w:eastAsia="Calibri"/>
        </w:rPr>
        <w:t>2.</w:t>
      </w:r>
      <w:r w:rsidRPr="00963460">
        <w:rPr>
          <w:rFonts w:eastAsia="Calibri"/>
        </w:rPr>
        <w:tab/>
        <w:t>Verfahren für die Einbeziehung von Software/Ausrüstung</w:t>
      </w:r>
    </w:p>
    <w:p w14:paraId="3DCE9E16" w14:textId="77777777" w:rsidR="00680133" w:rsidRPr="00963460" w:rsidRDefault="00680133" w:rsidP="00680133">
      <w:pPr>
        <w:keepNext/>
        <w:ind w:left="567" w:right="567"/>
        <w:rPr>
          <w:rFonts w:eastAsia="Calibri"/>
        </w:rPr>
      </w:pPr>
    </w:p>
    <w:p w14:paraId="3A9399EB" w14:textId="77777777" w:rsidR="00680133" w:rsidRPr="00963460" w:rsidRDefault="00680133" w:rsidP="00680133">
      <w:pPr>
        <w:keepNext/>
        <w:ind w:left="567" w:right="567"/>
        <w:rPr>
          <w:rFonts w:eastAsia="Calibri"/>
        </w:rPr>
      </w:pPr>
      <w:r w:rsidRPr="00963460">
        <w:rPr>
          <w:rFonts w:eastAsia="Calibri"/>
        </w:rPr>
        <w:t>2.1</w:t>
      </w:r>
      <w:r w:rsidRPr="00963460">
        <w:rPr>
          <w:rFonts w:eastAsia="Calibri"/>
        </w:rPr>
        <w:tab/>
        <w:t>Die von den Verbandsmitgliedern zur Aufnahme in dieses Dokument vorgeschlagene Software/Ausrüstung wird zunächst dem Technischen Ausschuss (TC) vorgelegt.</w:t>
      </w:r>
    </w:p>
    <w:p w14:paraId="4B84A3BD" w14:textId="77777777" w:rsidR="00680133" w:rsidRPr="00963460" w:rsidRDefault="00680133" w:rsidP="00680133">
      <w:pPr>
        <w:ind w:left="567" w:right="567"/>
        <w:rPr>
          <w:rFonts w:eastAsia="Calibri"/>
        </w:rPr>
      </w:pPr>
    </w:p>
    <w:p w14:paraId="3A8A5B8F" w14:textId="77777777" w:rsidR="00680133" w:rsidRPr="00963460" w:rsidRDefault="00680133" w:rsidP="00680133">
      <w:pPr>
        <w:keepNext/>
        <w:ind w:left="567" w:right="567"/>
        <w:rPr>
          <w:rFonts w:eastAsia="Calibri"/>
        </w:rPr>
      </w:pPr>
      <w:r w:rsidRPr="00963460">
        <w:rPr>
          <w:rFonts w:eastAsia="Calibri"/>
        </w:rPr>
        <w:t>2.2</w:t>
      </w:r>
      <w:r w:rsidRPr="00963460">
        <w:rPr>
          <w:rFonts w:eastAsia="Calibri"/>
        </w:rPr>
        <w:tab/>
        <w:t>Der TC wird dann entscheiden, ob er:</w:t>
      </w:r>
    </w:p>
    <w:p w14:paraId="68E744E1" w14:textId="77777777" w:rsidR="00680133" w:rsidRPr="00963460" w:rsidRDefault="00680133" w:rsidP="00680133">
      <w:pPr>
        <w:keepNext/>
        <w:ind w:left="567" w:right="567"/>
        <w:rPr>
          <w:rFonts w:eastAsia="Calibri"/>
        </w:rPr>
      </w:pPr>
    </w:p>
    <w:p w14:paraId="0B4A53F8" w14:textId="77777777" w:rsidR="00680133" w:rsidRPr="00963460" w:rsidRDefault="00680133" w:rsidP="00680133">
      <w:pPr>
        <w:ind w:left="567" w:right="567"/>
        <w:rPr>
          <w:rFonts w:eastAsia="Calibri"/>
        </w:rPr>
      </w:pPr>
      <w:r w:rsidRPr="00963460">
        <w:rPr>
          <w:rFonts w:eastAsia="Calibri"/>
        </w:rPr>
        <w:t>(a)</w:t>
      </w:r>
      <w:r w:rsidRPr="00963460">
        <w:rPr>
          <w:rFonts w:eastAsia="Calibri"/>
        </w:rPr>
        <w:tab/>
        <w:t>vorschlägt, die Information in das Dokument aufzunehmen;</w:t>
      </w:r>
    </w:p>
    <w:p w14:paraId="3D83F79B" w14:textId="77777777" w:rsidR="00680133" w:rsidRPr="00963460" w:rsidRDefault="00680133" w:rsidP="00680133">
      <w:pPr>
        <w:ind w:left="1134" w:right="567" w:hanging="567"/>
        <w:rPr>
          <w:rFonts w:eastAsia="Calibri"/>
        </w:rPr>
      </w:pPr>
      <w:r w:rsidRPr="00963460">
        <w:rPr>
          <w:rFonts w:eastAsia="Calibri"/>
        </w:rPr>
        <w:t>(b)</w:t>
      </w:r>
      <w:r w:rsidRPr="00963460">
        <w:rPr>
          <w:rFonts w:eastAsia="Calibri"/>
        </w:rPr>
        <w:tab/>
        <w:t>andere maßgebliche Organe um weitere Anleitung ersucht (z.B. Verwaltungs- und Rechtsausschuss (CAJ) und Technische Arbeitsgruppen (TWPs)); oder</w:t>
      </w:r>
    </w:p>
    <w:p w14:paraId="0ABEDD16" w14:textId="77777777" w:rsidR="00680133" w:rsidRPr="00963460" w:rsidRDefault="00680133" w:rsidP="00680133">
      <w:pPr>
        <w:ind w:left="567" w:right="567"/>
        <w:rPr>
          <w:rFonts w:eastAsia="Calibri"/>
        </w:rPr>
      </w:pPr>
      <w:r w:rsidRPr="00963460">
        <w:rPr>
          <w:rFonts w:eastAsia="Calibri"/>
        </w:rPr>
        <w:t>(c)</w:t>
      </w:r>
      <w:r w:rsidRPr="00963460">
        <w:rPr>
          <w:rFonts w:eastAsia="Calibri"/>
        </w:rPr>
        <w:tab/>
        <w:t>vorschlägt, die Informationen nicht in das Dokument aufzunehmen.</w:t>
      </w:r>
    </w:p>
    <w:p w14:paraId="57345E6C" w14:textId="77777777" w:rsidR="00680133" w:rsidRPr="00963460" w:rsidRDefault="00680133" w:rsidP="00680133">
      <w:pPr>
        <w:ind w:left="567" w:right="567"/>
        <w:rPr>
          <w:rFonts w:eastAsia="Calibri"/>
        </w:rPr>
      </w:pPr>
    </w:p>
    <w:p w14:paraId="0F172F60" w14:textId="49F3BD64" w:rsidR="00680133" w:rsidRPr="00963460" w:rsidRDefault="00680133" w:rsidP="00680133">
      <w:pPr>
        <w:ind w:left="567" w:right="567"/>
        <w:rPr>
          <w:rFonts w:eastAsia="Calibri"/>
        </w:rPr>
      </w:pPr>
      <w:r w:rsidRPr="00963460">
        <w:rPr>
          <w:rFonts w:eastAsia="Calibri"/>
        </w:rPr>
        <w:t>2.3</w:t>
      </w:r>
      <w:r w:rsidRPr="00963460">
        <w:rPr>
          <w:rFonts w:eastAsia="Calibri"/>
        </w:rPr>
        <w:tab/>
      </w:r>
      <w:r w:rsidRPr="006C13D2">
        <w:rPr>
          <w:rFonts w:cs="Arial"/>
          <w:snapToGrid w:val="0"/>
        </w:rPr>
        <w:t>Fällt die Empfehlung des TC</w:t>
      </w:r>
      <w:r w:rsidRPr="003F45B3">
        <w:rPr>
          <w:rFonts w:cs="Arial"/>
          <w:strike/>
          <w:snapToGrid w:val="0"/>
          <w:highlight w:val="lightGray"/>
        </w:rPr>
        <w:t>, und anschließend die des Verwaltungs- und Rechtsausschusses (CAJ),</w:t>
      </w:r>
      <w:r w:rsidRPr="003F45B3">
        <w:rPr>
          <w:rFonts w:cs="Arial"/>
          <w:strike/>
          <w:snapToGrid w:val="0"/>
        </w:rPr>
        <w:t xml:space="preserve"> </w:t>
      </w:r>
      <w:r w:rsidRPr="006C13D2">
        <w:rPr>
          <w:rFonts w:cs="Arial"/>
          <w:snapToGrid w:val="0"/>
        </w:rPr>
        <w:t xml:space="preserve">positiv aus, wird die Software/Ausrüstung in </w:t>
      </w:r>
      <w:r w:rsidRPr="00116B38">
        <w:rPr>
          <w:rFonts w:cs="Arial"/>
          <w:strike/>
          <w:snapToGrid w:val="0"/>
          <w:highlight w:val="lightGray"/>
        </w:rPr>
        <w:t>einem Entwurf</w:t>
      </w:r>
      <w:r w:rsidRPr="006C13D2">
        <w:rPr>
          <w:rFonts w:cs="Arial"/>
          <w:snapToGrid w:val="0"/>
        </w:rPr>
        <w:t xml:space="preserve"> </w:t>
      </w:r>
      <w:r w:rsidRPr="007B0E1D">
        <w:rPr>
          <w:rFonts w:eastAsia="Calibri"/>
          <w:highlight w:val="lightGray"/>
          <w:u w:val="single"/>
        </w:rPr>
        <w:t>einer überarbeiteten Fassung</w:t>
      </w:r>
      <w:r w:rsidRPr="006C13D2">
        <w:rPr>
          <w:rFonts w:cs="Arial"/>
          <w:snapToGrid w:val="0"/>
        </w:rPr>
        <w:t xml:space="preserve"> des Dokuments aufgelistet</w:t>
      </w:r>
      <w:r w:rsidRPr="00DF387D">
        <w:rPr>
          <w:rFonts w:cs="Arial"/>
          <w:strike/>
          <w:snapToGrid w:val="0"/>
          <w:highlight w:val="lightGray"/>
        </w:rPr>
        <w:t>, der dann vom Rat im Hinblick auf seine Annahme geprüft werden soll</w:t>
      </w:r>
      <w:r>
        <w:rPr>
          <w:rFonts w:cs="Arial"/>
          <w:snapToGrid w:val="0"/>
        </w:rPr>
        <w:t xml:space="preserve"> </w:t>
      </w:r>
      <w:r w:rsidRPr="007B0E1D">
        <w:rPr>
          <w:rFonts w:eastAsia="Calibri"/>
          <w:highlight w:val="lightGray"/>
          <w:u w:val="single"/>
        </w:rPr>
        <w:t>und auf der UP</w:t>
      </w:r>
      <w:r>
        <w:rPr>
          <w:rFonts w:eastAsia="Calibri"/>
          <w:highlight w:val="lightGray"/>
          <w:u w:val="single"/>
        </w:rPr>
        <w:t>O</w:t>
      </w:r>
      <w:r w:rsidRPr="007B0E1D">
        <w:rPr>
          <w:rFonts w:eastAsia="Calibri"/>
          <w:highlight w:val="lightGray"/>
          <w:u w:val="single"/>
        </w:rPr>
        <w:t>V-Website veröffentlicht</w:t>
      </w:r>
      <w:r w:rsidRPr="006C13D2">
        <w:rPr>
          <w:rFonts w:cs="Arial"/>
        </w:rPr>
        <w:t>.</w:t>
      </w:r>
      <w:r w:rsidR="001961BB">
        <w:t>“</w:t>
      </w:r>
    </w:p>
    <w:p w14:paraId="07813D10" w14:textId="77777777" w:rsidR="00680133" w:rsidRPr="00963460" w:rsidRDefault="00680133" w:rsidP="00680133">
      <w:pPr>
        <w:ind w:left="567" w:right="567"/>
        <w:rPr>
          <w:rFonts w:eastAsia="Calibri"/>
          <w:sz w:val="18"/>
          <w:szCs w:val="18"/>
        </w:rPr>
      </w:pPr>
    </w:p>
    <w:p w14:paraId="0410315C" w14:textId="77777777" w:rsidR="00680133" w:rsidRPr="00963460" w:rsidRDefault="00680133" w:rsidP="00680133">
      <w:pPr>
        <w:tabs>
          <w:tab w:val="left" w:pos="5387"/>
        </w:tabs>
        <w:ind w:left="4820"/>
        <w:rPr>
          <w:rFonts w:eastAsia="Calibri"/>
          <w:i/>
          <w:iCs/>
        </w:rPr>
      </w:pPr>
      <w:r w:rsidRPr="00963460">
        <w:rPr>
          <w:rFonts w:eastAsia="Calibri"/>
          <w:i/>
          <w:iCs/>
        </w:rPr>
        <w:lastRenderedPageBreak/>
        <w:fldChar w:fldCharType="begin"/>
      </w:r>
      <w:r w:rsidRPr="00963460">
        <w:rPr>
          <w:rFonts w:eastAsia="Calibri"/>
          <w:i/>
          <w:iCs/>
        </w:rPr>
        <w:instrText xml:space="preserve"> AUTONUM  </w:instrText>
      </w:r>
      <w:r w:rsidRPr="00963460">
        <w:rPr>
          <w:rFonts w:eastAsia="Calibri"/>
          <w:i/>
          <w:iCs/>
        </w:rPr>
        <w:fldChar w:fldCharType="end"/>
      </w:r>
      <w:r w:rsidRPr="00963460">
        <w:rPr>
          <w:rFonts w:eastAsia="Calibri"/>
          <w:i/>
          <w:iCs/>
        </w:rPr>
        <w:tab/>
        <w:t>Der Rat wird ersucht, das Verfahren für die Einbeziehung von Software/Ausrüstung in die Dokumente UPOV/INF/16 und UPOV/INF/22 zu ändern, sodass künftig die Einbeziehung von Software oder Ausrüstung keine formelle Annahme einer überarbeiteten Fassung der Dokumente durch den Rat erfordert, wie in Absätzen 21 und 22 dieses Dokuments dargelegt und in Dokumenten UPOV/INF/16/14 Draft 1 und UPOV/INF/22/13 Draft 1 dargelegt.</w:t>
      </w:r>
    </w:p>
    <w:p w14:paraId="28AB4BFB" w14:textId="77777777" w:rsidR="00F05450" w:rsidRPr="00C70350" w:rsidRDefault="00F05450" w:rsidP="00F05450">
      <w:pPr>
        <w:rPr>
          <w:rFonts w:eastAsia="Calibri"/>
          <w:lang w:eastAsia="nl-NL"/>
        </w:rPr>
      </w:pPr>
    </w:p>
    <w:p w14:paraId="4E8EB3A0" w14:textId="77777777" w:rsidR="00F05450" w:rsidRPr="00C70350" w:rsidRDefault="00F05450" w:rsidP="00F05450">
      <w:pPr>
        <w:rPr>
          <w:rFonts w:eastAsia="Calibri"/>
          <w:lang w:eastAsia="nl-NL"/>
        </w:rPr>
      </w:pPr>
    </w:p>
    <w:p w14:paraId="24BAA651" w14:textId="77777777" w:rsidR="00C34CE8" w:rsidRPr="00963460" w:rsidRDefault="00C34CE8" w:rsidP="00C34CE8">
      <w:pPr>
        <w:pStyle w:val="Heading2"/>
        <w:rPr>
          <w:rFonts w:eastAsia="Calibri"/>
          <w:lang w:val="de-DE" w:eastAsia="nl-NL"/>
        </w:rPr>
      </w:pPr>
      <w:bookmarkStart w:id="10" w:name="_Toc239170475"/>
      <w:r w:rsidRPr="00963460">
        <w:rPr>
          <w:rFonts w:eastAsia="Calibri"/>
          <w:lang w:val="de-DE" w:eastAsia="nl-NL"/>
        </w:rPr>
        <w:t>Im Jahr 2026 zur Aufnahme in Dokument UPOV/INF/16 vorgeschlagene Software</w:t>
      </w:r>
      <w:bookmarkEnd w:id="10"/>
    </w:p>
    <w:p w14:paraId="278B2607" w14:textId="77777777" w:rsidR="00C34CE8" w:rsidRPr="00963460" w:rsidRDefault="00C34CE8" w:rsidP="00C34CE8">
      <w:pPr>
        <w:jc w:val="left"/>
        <w:rPr>
          <w:rFonts w:eastAsia="Calibri" w:cs="Arial"/>
          <w:bdr w:val="none" w:sz="0" w:space="0" w:color="auto" w:frame="1"/>
          <w:lang w:eastAsia="nl-NL"/>
        </w:rPr>
      </w:pPr>
    </w:p>
    <w:p w14:paraId="203EA1A7" w14:textId="77777777" w:rsidR="00C34CE8" w:rsidRPr="00963460" w:rsidRDefault="00C34CE8" w:rsidP="00C34CE8">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Am 19. Januar 2026 ersuchte das Verbandsbüro in Rundschreiben E-26/004 alle UPOV-Organe, Auskünfte zu von Sortenschutzbehörden entwickelter Software zu erteilen, die diese anderen Verbandsmitgliedern in Dokument UPOV/INF/16 zur Verfügung zu stellen wünschen. </w:t>
      </w:r>
    </w:p>
    <w:p w14:paraId="1DCC459B" w14:textId="77777777" w:rsidR="00C34CE8" w:rsidRPr="00963460" w:rsidRDefault="00C34CE8" w:rsidP="00C34CE8">
      <w:pPr>
        <w:rPr>
          <w:rFonts w:cs="Arial"/>
          <w:snapToGrid w:val="0"/>
        </w:rPr>
      </w:pPr>
    </w:p>
    <w:p w14:paraId="40971F27" w14:textId="77777777" w:rsidR="00C34CE8" w:rsidRPr="00963460" w:rsidRDefault="00C34CE8" w:rsidP="00C34CE8">
      <w:pPr>
        <w:rPr>
          <w:rFonts w:cs="Arial"/>
          <w:snapToGrid w:val="0"/>
        </w:rPr>
      </w:pPr>
      <w:r w:rsidRPr="00963460">
        <w:rPr>
          <w:rFonts w:cs="Arial"/>
          <w:snapToGrid w:val="0"/>
        </w:rPr>
        <w:fldChar w:fldCharType="begin"/>
      </w:r>
      <w:r w:rsidRPr="00963460">
        <w:rPr>
          <w:rFonts w:cs="Arial"/>
          <w:snapToGrid w:val="0"/>
        </w:rPr>
        <w:instrText xml:space="preserve"> AUTONUM  </w:instrText>
      </w:r>
      <w:r w:rsidRPr="00963460">
        <w:rPr>
          <w:rFonts w:cs="Arial"/>
          <w:snapToGrid w:val="0"/>
        </w:rPr>
        <w:fldChar w:fldCharType="end"/>
      </w:r>
      <w:r w:rsidRPr="00963460">
        <w:rPr>
          <w:rFonts w:cs="Arial"/>
          <w:snapToGrid w:val="0"/>
        </w:rPr>
        <w:tab/>
        <w:t xml:space="preserve">In Beantwortung von Rundschreiben </w:t>
      </w:r>
      <w:r w:rsidRPr="00963460">
        <w:rPr>
          <w:rFonts w:eastAsia="Calibri" w:cs="Arial"/>
          <w:bdr w:val="none" w:sz="0" w:space="0" w:color="auto" w:frame="1"/>
          <w:lang w:eastAsia="nl-NL"/>
        </w:rPr>
        <w:t>E-26/004 erhielt das Verbandsbüro einen Vorschlag von Italien, die KORA-Software mit den folgenden Informationen in Dokument UPOV/INF/16 aufzunehmen:</w:t>
      </w:r>
    </w:p>
    <w:p w14:paraId="0092FED4" w14:textId="77777777" w:rsidR="00C34CE8" w:rsidRPr="00963460" w:rsidRDefault="00C34CE8" w:rsidP="00C34CE8">
      <w:pPr>
        <w:jc w:val="left"/>
        <w:rPr>
          <w:rFonts w:cs="Arial"/>
          <w:snapToGrid w:val="0"/>
          <w:u w:val="single"/>
        </w:rPr>
      </w:pPr>
    </w:p>
    <w:tbl>
      <w:tblPr>
        <w:tblStyle w:val="TableGrid"/>
        <w:tblW w:w="0" w:type="auto"/>
        <w:tblInd w:w="0" w:type="dxa"/>
        <w:tblLook w:val="04A0" w:firstRow="1" w:lastRow="0" w:firstColumn="1" w:lastColumn="0" w:noHBand="0" w:noVBand="1"/>
      </w:tblPr>
      <w:tblGrid>
        <w:gridCol w:w="1555"/>
        <w:gridCol w:w="2126"/>
        <w:gridCol w:w="2977"/>
        <w:gridCol w:w="2971"/>
      </w:tblGrid>
      <w:tr w:rsidR="00C34CE8" w:rsidRPr="00963460" w14:paraId="063EFAC8" w14:textId="77777777" w:rsidTr="0060203A">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46AE75" w14:textId="77777777" w:rsidR="00C34CE8" w:rsidRPr="00963460" w:rsidRDefault="00C34CE8" w:rsidP="0060203A">
            <w:pPr>
              <w:jc w:val="left"/>
              <w:rPr>
                <w:rFonts w:eastAsia="Calibri" w:cs="Arial"/>
                <w:bdr w:val="none" w:sz="0" w:space="0" w:color="auto" w:frame="1"/>
                <w:lang w:eastAsia="nl-NL"/>
              </w:rPr>
            </w:pPr>
            <w:r w:rsidRPr="00963460">
              <w:rPr>
                <w:rFonts w:cs="Arial"/>
                <w:snapToGrid w:val="0"/>
                <w:sz w:val="18"/>
                <w:szCs w:val="18"/>
              </w:rPr>
              <w:t>Name des Programms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9F9520" w14:textId="77777777" w:rsidR="00C34CE8" w:rsidRPr="00963460" w:rsidRDefault="00C34CE8" w:rsidP="0060203A">
            <w:pPr>
              <w:jc w:val="left"/>
              <w:rPr>
                <w:rFonts w:cs="Arial"/>
                <w:bdr w:val="none" w:sz="0" w:space="0" w:color="auto" w:frame="1"/>
                <w:lang w:eastAsia="nl-NL"/>
              </w:rPr>
            </w:pPr>
            <w:r w:rsidRPr="00963460">
              <w:rPr>
                <w:rFonts w:cs="Arial"/>
                <w:snapToGrid w:val="0"/>
                <w:sz w:val="18"/>
                <w:szCs w:val="18"/>
              </w:rPr>
              <w:t>Programmiersprache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28AAB4" w14:textId="77777777" w:rsidR="00C34CE8" w:rsidRPr="00963460" w:rsidRDefault="00C34CE8" w:rsidP="0060203A">
            <w:pPr>
              <w:jc w:val="left"/>
              <w:rPr>
                <w:rFonts w:cs="Arial"/>
                <w:bdr w:val="none" w:sz="0" w:space="0" w:color="auto" w:frame="1"/>
                <w:lang w:eastAsia="nl-NL"/>
              </w:rPr>
            </w:pPr>
            <w:r w:rsidRPr="00963460">
              <w:rPr>
                <w:rFonts w:cs="Arial"/>
                <w:snapToGrid w:val="0"/>
                <w:sz w:val="18"/>
                <w:szCs w:val="18"/>
              </w:rPr>
              <w:t xml:space="preserve">Funktion (kurze Zusammenfassung) </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2994D1" w14:textId="77777777" w:rsidR="00C34CE8" w:rsidRPr="00963460" w:rsidRDefault="00C34CE8" w:rsidP="0060203A">
            <w:pPr>
              <w:jc w:val="left"/>
              <w:rPr>
                <w:rFonts w:cs="Arial"/>
                <w:bdr w:val="none" w:sz="0" w:space="0" w:color="auto" w:frame="1"/>
                <w:lang w:eastAsia="nl-NL"/>
              </w:rPr>
            </w:pPr>
            <w:r w:rsidRPr="00963460">
              <w:rPr>
                <w:rFonts w:cs="Arial"/>
                <w:snapToGrid w:val="0"/>
                <w:sz w:val="18"/>
                <w:szCs w:val="18"/>
              </w:rPr>
              <w:t>Quelle und Kontaktdaten</w:t>
            </w:r>
          </w:p>
        </w:tc>
      </w:tr>
      <w:tr w:rsidR="00C34CE8" w:rsidRPr="00963460" w14:paraId="1F41207E" w14:textId="77777777" w:rsidTr="0060203A">
        <w:trPr>
          <w:trHeight w:val="854"/>
        </w:trPr>
        <w:tc>
          <w:tcPr>
            <w:tcW w:w="1555" w:type="dxa"/>
            <w:tcBorders>
              <w:top w:val="single" w:sz="4" w:space="0" w:color="auto"/>
              <w:left w:val="single" w:sz="4" w:space="0" w:color="auto"/>
              <w:bottom w:val="single" w:sz="4" w:space="0" w:color="auto"/>
              <w:right w:val="single" w:sz="4" w:space="0" w:color="auto"/>
            </w:tcBorders>
            <w:hideMark/>
          </w:tcPr>
          <w:p w14:paraId="39279104" w14:textId="77777777" w:rsidR="00C34CE8" w:rsidRPr="00963460" w:rsidRDefault="00C34CE8" w:rsidP="0060203A">
            <w:pPr>
              <w:jc w:val="left"/>
              <w:rPr>
                <w:rFonts w:cs="Arial"/>
                <w:bdr w:val="none" w:sz="0" w:space="0" w:color="auto" w:frame="1"/>
                <w:lang w:eastAsia="nl-NL"/>
              </w:rPr>
            </w:pPr>
            <w:r w:rsidRPr="00963460">
              <w:rPr>
                <w:rFonts w:cs="Arial"/>
                <w:bCs/>
                <w:iCs/>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3DF30F6F" w14:textId="77777777" w:rsidR="00C34CE8" w:rsidRPr="00963460" w:rsidRDefault="00C34CE8" w:rsidP="0060203A">
            <w:pPr>
              <w:jc w:val="left"/>
              <w:rPr>
                <w:rFonts w:cs="Arial"/>
                <w:bdr w:val="none" w:sz="0" w:space="0" w:color="auto" w:frame="1"/>
                <w:lang w:eastAsia="nl-NL"/>
              </w:rPr>
            </w:pPr>
            <w:r w:rsidRPr="00963460">
              <w:rPr>
                <w:rFonts w:cs="Arial"/>
                <w:bCs/>
                <w:iCs/>
                <w:sz w:val="18"/>
                <w:szCs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30A3EC04" w14:textId="77777777" w:rsidR="00C34CE8" w:rsidRPr="00963460" w:rsidRDefault="00C34CE8" w:rsidP="0060203A">
            <w:pPr>
              <w:jc w:val="left"/>
              <w:rPr>
                <w:rFonts w:cs="Arial"/>
                <w:bdr w:val="none" w:sz="0" w:space="0" w:color="auto" w:frame="1"/>
                <w:lang w:eastAsia="nl-NL"/>
              </w:rPr>
            </w:pPr>
            <w:r w:rsidRPr="00963460">
              <w:rPr>
                <w:rFonts w:cs="Arial"/>
                <w:snapToGrid w:val="0"/>
                <w:sz w:val="18"/>
                <w:szCs w:val="18"/>
              </w:rPr>
              <w:t xml:space="preserve">Berechnet Sortenvergleiche für die Verwaltung von Vergleichssammlungen </w:t>
            </w:r>
          </w:p>
        </w:tc>
        <w:tc>
          <w:tcPr>
            <w:tcW w:w="2971" w:type="dxa"/>
            <w:tcBorders>
              <w:top w:val="single" w:sz="4" w:space="0" w:color="auto"/>
              <w:left w:val="single" w:sz="4" w:space="0" w:color="auto"/>
              <w:bottom w:val="single" w:sz="4" w:space="0" w:color="auto"/>
              <w:right w:val="single" w:sz="4" w:space="0" w:color="auto"/>
            </w:tcBorders>
            <w:hideMark/>
          </w:tcPr>
          <w:p w14:paraId="1BA2355D" w14:textId="77777777" w:rsidR="00C34CE8" w:rsidRPr="00963460" w:rsidRDefault="00C34CE8" w:rsidP="0060203A">
            <w:pPr>
              <w:keepNext/>
              <w:jc w:val="left"/>
              <w:rPr>
                <w:rFonts w:cs="Arial"/>
                <w:snapToGrid w:val="0"/>
                <w:sz w:val="18"/>
                <w:szCs w:val="18"/>
              </w:rPr>
            </w:pPr>
            <w:r w:rsidRPr="00963460">
              <w:rPr>
                <w:rFonts w:cs="Arial"/>
                <w:snapToGrid w:val="0"/>
                <w:sz w:val="18"/>
                <w:szCs w:val="18"/>
              </w:rPr>
              <w:t>Italien</w:t>
            </w:r>
          </w:p>
          <w:p w14:paraId="38E5F771" w14:textId="77777777" w:rsidR="00C34CE8" w:rsidRPr="00963460" w:rsidRDefault="00C34CE8" w:rsidP="0060203A">
            <w:pPr>
              <w:keepNext/>
              <w:jc w:val="left"/>
              <w:rPr>
                <w:rFonts w:cs="Arial"/>
                <w:snapToGrid w:val="0"/>
                <w:sz w:val="18"/>
                <w:szCs w:val="18"/>
              </w:rPr>
            </w:pPr>
            <w:r w:rsidRPr="00963460">
              <w:rPr>
                <w:rFonts w:cs="Arial"/>
                <w:snapToGrid w:val="0"/>
                <w:sz w:val="18"/>
                <w:szCs w:val="18"/>
              </w:rPr>
              <w:t>Frau Anna Giulini</w:t>
            </w:r>
          </w:p>
          <w:p w14:paraId="69528EE7" w14:textId="77777777" w:rsidR="00C34CE8" w:rsidRPr="00963460" w:rsidRDefault="00C34CE8" w:rsidP="0060203A">
            <w:pPr>
              <w:keepNext/>
              <w:jc w:val="left"/>
              <w:rPr>
                <w:rFonts w:cs="Arial"/>
                <w:snapToGrid w:val="0"/>
                <w:sz w:val="18"/>
                <w:szCs w:val="18"/>
              </w:rPr>
            </w:pPr>
            <w:r w:rsidRPr="00963460">
              <w:rPr>
                <w:rFonts w:cs="Arial"/>
                <w:snapToGrid w:val="0"/>
                <w:sz w:val="18"/>
                <w:szCs w:val="18"/>
              </w:rPr>
              <w:t>Herr Gabriele Mongiano</w:t>
            </w:r>
          </w:p>
        </w:tc>
      </w:tr>
    </w:tbl>
    <w:p w14:paraId="20883CD2" w14:textId="77777777" w:rsidR="00C34CE8" w:rsidRPr="00963460" w:rsidRDefault="00C34CE8" w:rsidP="00C34CE8">
      <w:pPr>
        <w:jc w:val="left"/>
        <w:rPr>
          <w:rFonts w:eastAsia="Calibri" w:cs="Arial"/>
          <w:bdr w:val="none" w:sz="0" w:space="0" w:color="auto" w:frame="1"/>
          <w:lang w:eastAsia="nl-NL"/>
        </w:rPr>
      </w:pPr>
    </w:p>
    <w:p w14:paraId="2591FCDD" w14:textId="7034DACB" w:rsidR="00C34CE8" w:rsidRPr="00963460" w:rsidRDefault="00C34CE8" w:rsidP="00C34CE8">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Gemäß dem Verfahren in Dokument UPOV/INF/16, wurde die </w:t>
      </w:r>
      <w:r>
        <w:rPr>
          <w:rFonts w:eastAsia="Calibri" w:cs="Arial"/>
          <w:bdr w:val="none" w:sz="0" w:space="0" w:color="auto" w:frame="1"/>
          <w:lang w:eastAsia="nl-NL"/>
        </w:rPr>
        <w:t>„</w:t>
      </w:r>
      <w:r w:rsidRPr="00963460">
        <w:rPr>
          <w:rFonts w:eastAsia="Calibri" w:cs="Arial"/>
          <w:bdr w:val="none" w:sz="0" w:space="0" w:color="auto" w:frame="1"/>
          <w:lang w:eastAsia="nl-NL"/>
        </w:rPr>
        <w:t>KORA</w:t>
      </w:r>
      <w:r w:rsidR="001961BB">
        <w:t>“</w:t>
      </w:r>
      <w:r w:rsidRPr="00963460">
        <w:rPr>
          <w:rFonts w:eastAsia="Calibri" w:cs="Arial"/>
          <w:bdr w:val="none" w:sz="0" w:space="0" w:color="auto" w:frame="1"/>
          <w:lang w:eastAsia="nl-NL"/>
        </w:rPr>
        <w:t>-Software von Herrn Gabriele Mongiano (Italien) der Technischen Arbeitsgruppe für Prüfmethoden und -techniken (TWM)</w:t>
      </w:r>
      <w:r w:rsidRPr="00963460">
        <w:rPr>
          <w:rStyle w:val="FootnoteReference"/>
          <w:rFonts w:eastAsia="Calibri" w:cs="Arial"/>
          <w:bdr w:val="none" w:sz="0" w:space="0" w:color="auto" w:frame="1"/>
          <w:lang w:eastAsia="nl-NL"/>
        </w:rPr>
        <w:footnoteReference w:id="4"/>
      </w:r>
      <w:r w:rsidRPr="00963460">
        <w:rPr>
          <w:rFonts w:eastAsia="Calibri" w:cs="Arial"/>
          <w:bdr w:val="none" w:sz="0" w:space="0" w:color="auto" w:frame="1"/>
          <w:lang w:eastAsia="nl-NL"/>
        </w:rPr>
        <w:t xml:space="preserve"> </w:t>
      </w:r>
      <w:r>
        <w:rPr>
          <w:rFonts w:eastAsia="Calibri" w:cs="Arial"/>
          <w:bdr w:val="none" w:sz="0" w:space="0" w:color="auto" w:frame="1"/>
          <w:lang w:eastAsia="nl-NL"/>
        </w:rPr>
        <w:t>auf</w:t>
      </w:r>
      <w:r w:rsidRPr="00963460">
        <w:rPr>
          <w:rFonts w:eastAsia="Calibri" w:cs="Arial"/>
          <w:bdr w:val="none" w:sz="0" w:space="0" w:color="auto" w:frame="1"/>
          <w:lang w:eastAsia="nl-NL"/>
        </w:rPr>
        <w:t xml:space="preserve"> ihrer vierten Tagung zur Überprüfung vorgestellt, wie in Dokument </w:t>
      </w:r>
      <w:r>
        <w:fldChar w:fldCharType="begin"/>
      </w:r>
      <w:r>
        <w:instrText>HYPERLINK "https://www.upov.int/edocs/mdocs/upov/en/twm_4/twm_4_14.pdf"</w:instrText>
      </w:r>
      <w:r>
        <w:fldChar w:fldCharType="separate"/>
      </w:r>
      <w:r w:rsidRPr="00963460">
        <w:rPr>
          <w:rStyle w:val="Hyperlink"/>
          <w:rFonts w:eastAsia="Calibri" w:cs="Arial"/>
          <w:bdr w:val="none" w:sz="0" w:space="0" w:color="auto" w:frame="1"/>
          <w:lang w:eastAsia="nl-NL"/>
        </w:rPr>
        <w:t>TWM/4/14</w:t>
      </w:r>
      <w:r>
        <w:fldChar w:fldCharType="end"/>
      </w:r>
      <w:r w:rsidRPr="00963460">
        <w:rPr>
          <w:rFonts w:eastAsia="Calibri" w:cs="Arial"/>
          <w:bdr w:val="none" w:sz="0" w:space="0" w:color="auto" w:frame="1"/>
          <w:lang w:eastAsia="nl-NL"/>
        </w:rPr>
        <w:t xml:space="preserve"> </w:t>
      </w:r>
      <w:r>
        <w:rPr>
          <w:rFonts w:eastAsia="Calibri" w:cs="Arial"/>
          <w:bdr w:val="none" w:sz="0" w:space="0" w:color="auto" w:frame="1"/>
          <w:lang w:eastAsia="nl-NL"/>
        </w:rPr>
        <w:t>„</w:t>
      </w:r>
      <w:r w:rsidRPr="00963460">
        <w:rPr>
          <w:rFonts w:eastAsia="Calibri" w:cs="Arial"/>
          <w:bdr w:val="none" w:sz="0" w:space="0" w:color="auto" w:frame="1"/>
          <w:lang w:eastAsia="nl-NL"/>
        </w:rPr>
        <w:t>Kora: Digitale Verwaltung von Sortensammlungen</w:t>
      </w:r>
      <w:r w:rsidR="001961BB">
        <w:t>“</w:t>
      </w:r>
      <w:r w:rsidRPr="00963460">
        <w:rPr>
          <w:rFonts w:eastAsia="Calibri" w:cs="Arial"/>
          <w:bdr w:val="none" w:sz="0" w:space="0" w:color="auto" w:frame="1"/>
          <w:lang w:eastAsia="nl-NL"/>
        </w:rPr>
        <w:t xml:space="preserve"> dargelegt. </w:t>
      </w:r>
    </w:p>
    <w:p w14:paraId="6C9E6314" w14:textId="77777777" w:rsidR="00C34CE8" w:rsidRPr="00963460" w:rsidRDefault="00C34CE8" w:rsidP="00C34CE8">
      <w:pPr>
        <w:rPr>
          <w:rFonts w:eastAsia="Calibri" w:cs="Arial"/>
          <w:bdr w:val="none" w:sz="0" w:space="0" w:color="auto" w:frame="1"/>
          <w:lang w:eastAsia="nl-NL"/>
        </w:rPr>
      </w:pPr>
    </w:p>
    <w:p w14:paraId="134BEA55" w14:textId="77777777" w:rsidR="00C34CE8" w:rsidRPr="00963460" w:rsidRDefault="00C34CE8" w:rsidP="00C34CE8">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Die TWM nahm zur Kenntnis, dass die Software aktuell in Italien getestet und voraussichtlich in den nächsten Monaten freigegeben wird. Die TWM erörterte unterschiedliche Aspekte der Software, einschließlich der Programmiersprache, Datenbankfunktionen und besonderer Anwendungsfälle, wie beispielsweise die Auswahl ähnlicher Sorten. Die TMW nahm zur Kenntnis, dass derzeit eine Bedienungsanleitung entwickelt wird und stimmte zu, Verbandsmitglieder zu ersuchen, die Software zu testen und Feedback an Italien zu senden.</w:t>
      </w:r>
    </w:p>
    <w:p w14:paraId="6269804A" w14:textId="77777777" w:rsidR="00C34CE8" w:rsidRPr="00963460" w:rsidRDefault="00C34CE8" w:rsidP="00C34CE8">
      <w:pPr>
        <w:rPr>
          <w:rFonts w:eastAsia="Calibri" w:cs="Arial"/>
          <w:bdr w:val="none" w:sz="0" w:space="0" w:color="auto" w:frame="1"/>
          <w:lang w:eastAsia="nl-NL"/>
        </w:rPr>
      </w:pPr>
    </w:p>
    <w:p w14:paraId="046B86AE" w14:textId="77777777" w:rsidR="00C34CE8" w:rsidRPr="00963460" w:rsidRDefault="00C34CE8" w:rsidP="00C34CE8">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r>
      <w:r>
        <w:rPr>
          <w:rFonts w:eastAsia="Calibri" w:cs="Arial"/>
          <w:bdr w:val="none" w:sz="0" w:space="0" w:color="auto" w:frame="1"/>
          <w:lang w:eastAsia="nl-NL"/>
        </w:rPr>
        <w:t>Auf</w:t>
      </w:r>
      <w:r w:rsidRPr="00963460">
        <w:rPr>
          <w:rFonts w:eastAsia="Calibri" w:cs="Arial"/>
          <w:bdr w:val="none" w:sz="0" w:space="0" w:color="auto" w:frame="1"/>
          <w:lang w:eastAsia="nl-NL"/>
        </w:rPr>
        <w:t xml:space="preserve"> ihrer fünften Tagung im Jahr 2027 wird die TWM ersucht werden, eine Empfehlung hinsichtlich der möglichen Aufnahme der vorgeschlagenen Software in Dokument UPOV/INF/16 abzugeben, die vom TC auf seiner dreiundsechzigsten Tagung geprüft werden soll.  </w:t>
      </w:r>
    </w:p>
    <w:p w14:paraId="2C1A74FD" w14:textId="77777777" w:rsidR="00C34CE8" w:rsidRPr="00963460" w:rsidRDefault="00C34CE8" w:rsidP="00C34CE8">
      <w:pPr>
        <w:keepNext/>
        <w:jc w:val="left"/>
        <w:outlineLvl w:val="1"/>
        <w:rPr>
          <w:rFonts w:eastAsia="Calibri" w:cs="Arial"/>
          <w:bdr w:val="none" w:sz="0" w:space="0" w:color="auto" w:frame="1"/>
          <w:lang w:eastAsia="nl-NL"/>
        </w:rPr>
      </w:pPr>
    </w:p>
    <w:p w14:paraId="0E06D518" w14:textId="77777777" w:rsidR="00C34CE8" w:rsidRPr="00963460" w:rsidRDefault="00C34CE8" w:rsidP="00C34CE8">
      <w:pPr>
        <w:rPr>
          <w:rFonts w:eastAsia="Calibri"/>
        </w:rPr>
      </w:pPr>
    </w:p>
    <w:p w14:paraId="3729C2A0" w14:textId="77777777" w:rsidR="00C34CE8" w:rsidRPr="00963460" w:rsidRDefault="00C34CE8" w:rsidP="00C34CE8">
      <w:pPr>
        <w:pStyle w:val="Heading2"/>
        <w:rPr>
          <w:rFonts w:eastAsia="Calibri" w:cs="Arial"/>
          <w:bdr w:val="none" w:sz="0" w:space="0" w:color="auto" w:frame="1"/>
          <w:lang w:val="de-DE" w:eastAsia="nl-NL"/>
        </w:rPr>
      </w:pPr>
      <w:bookmarkStart w:id="11" w:name="_Toc239170476"/>
      <w:r w:rsidRPr="00963460">
        <w:rPr>
          <w:rFonts w:eastAsia="Calibri"/>
          <w:lang w:val="de-DE" w:eastAsia="nl-NL"/>
        </w:rPr>
        <w:t>Im Jahr 2026 zur Aufnahme in Dokument UPOV/INF/22 vorgeschlagene Software und Ausrüstung</w:t>
      </w:r>
      <w:bookmarkEnd w:id="11"/>
    </w:p>
    <w:p w14:paraId="581C43D9" w14:textId="77777777" w:rsidR="00C34CE8" w:rsidRPr="00963460" w:rsidRDefault="00C34CE8" w:rsidP="00C34CE8">
      <w:pPr>
        <w:jc w:val="left"/>
        <w:rPr>
          <w:rFonts w:eastAsia="Calibri" w:cs="Arial"/>
          <w:bdr w:val="none" w:sz="0" w:space="0" w:color="auto" w:frame="1"/>
          <w:lang w:eastAsia="nl-NL"/>
        </w:rPr>
      </w:pPr>
    </w:p>
    <w:p w14:paraId="4F63BFDC" w14:textId="77777777" w:rsidR="00C34CE8" w:rsidRPr="00963460" w:rsidRDefault="00C34CE8" w:rsidP="00C34CE8">
      <w:pPr>
        <w:rPr>
          <w:rFonts w:eastAsia="Calibri" w:cs="Arial"/>
          <w:bdr w:val="none" w:sz="0" w:space="0" w:color="auto" w:frame="1"/>
          <w:lang w:eastAsia="nl-NL"/>
        </w:rPr>
      </w:pPr>
      <w:r w:rsidRPr="00963460">
        <w:rPr>
          <w:rFonts w:eastAsia="Calibri" w:cs="Arial"/>
          <w:bdr w:val="none" w:sz="0" w:space="0" w:color="auto" w:frame="1"/>
          <w:lang w:eastAsia="nl-NL"/>
        </w:rPr>
        <w:fldChar w:fldCharType="begin"/>
      </w:r>
      <w:r w:rsidRPr="00963460">
        <w:rPr>
          <w:rFonts w:eastAsia="Calibri" w:cs="Arial"/>
          <w:bdr w:val="none" w:sz="0" w:space="0" w:color="auto" w:frame="1"/>
          <w:lang w:eastAsia="nl-NL"/>
        </w:rPr>
        <w:instrText xml:space="preserve"> AUTONUM  </w:instrText>
      </w:r>
      <w:r w:rsidRPr="00963460">
        <w:rPr>
          <w:rFonts w:eastAsia="Calibri" w:cs="Arial"/>
          <w:bdr w:val="none" w:sz="0" w:space="0" w:color="auto" w:frame="1"/>
          <w:lang w:eastAsia="nl-NL"/>
        </w:rPr>
        <w:fldChar w:fldCharType="end"/>
      </w:r>
      <w:r w:rsidRPr="00963460">
        <w:rPr>
          <w:rFonts w:eastAsia="Calibri" w:cs="Arial"/>
          <w:bdr w:val="none" w:sz="0" w:space="0" w:color="auto" w:frame="1"/>
          <w:lang w:eastAsia="nl-NL"/>
        </w:rPr>
        <w:tab/>
        <w:t xml:space="preserve">Am 19. Januar 2026 ersuchte das Verbandsbüro in Rundschreiben E-26/004 alle UPOV-Organe, Auskünfte über von Verbandsmitgliedern zum Sortenschutz verwendete Software und Ausrüstung zu erteilen. </w:t>
      </w:r>
    </w:p>
    <w:p w14:paraId="40C44791" w14:textId="77777777" w:rsidR="00C34CE8" w:rsidRPr="00963460" w:rsidRDefault="00C34CE8" w:rsidP="00C34CE8">
      <w:pPr>
        <w:rPr>
          <w:rFonts w:cs="Arial"/>
          <w:snapToGrid w:val="0"/>
        </w:rPr>
      </w:pPr>
    </w:p>
    <w:p w14:paraId="44FA6E0D" w14:textId="77777777" w:rsidR="00C34CE8" w:rsidRPr="00963460" w:rsidRDefault="00C34CE8" w:rsidP="00C34CE8">
      <w:pPr>
        <w:rPr>
          <w:rFonts w:eastAsia="Calibri" w:cs="Arial"/>
          <w:bdr w:val="none" w:sz="0" w:space="0" w:color="auto" w:frame="1"/>
          <w:lang w:eastAsia="nl-NL"/>
        </w:rPr>
      </w:pPr>
      <w:r w:rsidRPr="00963460">
        <w:rPr>
          <w:rFonts w:cs="Arial"/>
          <w:snapToGrid w:val="0"/>
        </w:rPr>
        <w:fldChar w:fldCharType="begin"/>
      </w:r>
      <w:r w:rsidRPr="00963460">
        <w:rPr>
          <w:rFonts w:cs="Arial"/>
          <w:snapToGrid w:val="0"/>
        </w:rPr>
        <w:instrText xml:space="preserve"> AUTONUM  </w:instrText>
      </w:r>
      <w:r w:rsidRPr="00963460">
        <w:rPr>
          <w:rFonts w:cs="Arial"/>
          <w:snapToGrid w:val="0"/>
        </w:rPr>
        <w:fldChar w:fldCharType="end"/>
      </w:r>
      <w:r w:rsidRPr="00963460">
        <w:rPr>
          <w:rFonts w:cs="Arial"/>
          <w:snapToGrid w:val="0"/>
        </w:rPr>
        <w:tab/>
        <w:t xml:space="preserve">In Beantwortung von Rundschreiben </w:t>
      </w:r>
      <w:r w:rsidRPr="00963460">
        <w:rPr>
          <w:rFonts w:eastAsia="Calibri" w:cs="Arial"/>
          <w:bdr w:val="none" w:sz="0" w:space="0" w:color="auto" w:frame="1"/>
          <w:lang w:eastAsia="nl-NL"/>
        </w:rPr>
        <w:t xml:space="preserve">E-26/004, erhielt das Verbandsbüro Vorschläge zur Aufnahme </w:t>
      </w:r>
      <w:r>
        <w:rPr>
          <w:rFonts w:eastAsia="Calibri" w:cs="Arial"/>
          <w:bdr w:val="none" w:sz="0" w:space="0" w:color="auto" w:frame="1"/>
          <w:lang w:eastAsia="nl-NL"/>
        </w:rPr>
        <w:t xml:space="preserve">oder Streichung </w:t>
      </w:r>
      <w:r w:rsidRPr="00963460">
        <w:rPr>
          <w:rFonts w:eastAsia="Calibri" w:cs="Arial"/>
          <w:bdr w:val="none" w:sz="0" w:space="0" w:color="auto" w:frame="1"/>
          <w:lang w:eastAsia="nl-NL"/>
        </w:rPr>
        <w:t xml:space="preserve">von Informationen zu Software und Ausrüstung von: China, Königreich der Niederlande, Schweden und Ukraine. Die eingegangenen Informationen sind in Dokument </w:t>
      </w:r>
      <w:r w:rsidRPr="00963460">
        <w:t>UPOV/INF/22/13</w:t>
      </w:r>
      <w:r>
        <w:t> </w:t>
      </w:r>
      <w:r w:rsidRPr="00963460">
        <w:t>Draft</w:t>
      </w:r>
      <w:r>
        <w:t> </w:t>
      </w:r>
      <w:r w:rsidRPr="00963460">
        <w:t>1 dargelegt.</w:t>
      </w:r>
    </w:p>
    <w:p w14:paraId="565CC389" w14:textId="77777777" w:rsidR="00C34CE8" w:rsidRPr="00963460" w:rsidRDefault="00C34CE8" w:rsidP="00C34CE8">
      <w:pPr>
        <w:rPr>
          <w:rFonts w:eastAsia="Calibri"/>
        </w:rPr>
      </w:pPr>
    </w:p>
    <w:p w14:paraId="3FC63E4E" w14:textId="2D5EE6A6" w:rsidR="00C34CE8" w:rsidRPr="00963460" w:rsidRDefault="00C34CE8" w:rsidP="00C34CE8">
      <w:r w:rsidRPr="00963460">
        <w:rPr>
          <w:rFonts w:eastAsia="Calibri"/>
        </w:rPr>
        <w:fldChar w:fldCharType="begin"/>
      </w:r>
      <w:r w:rsidRPr="00963460">
        <w:rPr>
          <w:rFonts w:eastAsia="Calibri"/>
        </w:rPr>
        <w:instrText xml:space="preserve"> AUTONUM  </w:instrText>
      </w:r>
      <w:r w:rsidRPr="00963460">
        <w:rPr>
          <w:rFonts w:eastAsia="Calibri"/>
        </w:rPr>
        <w:fldChar w:fldCharType="end"/>
      </w:r>
      <w:r w:rsidRPr="00963460">
        <w:tab/>
        <w:t xml:space="preserve">Vorbehaltlich der Zustimmung des TC, auf seiner zweiundsechzigsten Tagung, und des CAJ, auf seiner dreiundachtzigsten Tagung, wird dem Rat, auf seiner sechzigsten ordentlichen Tagung, eine </w:t>
      </w:r>
      <w:r w:rsidRPr="00963460">
        <w:rPr>
          <w:spacing w:val="-2"/>
        </w:rPr>
        <w:t xml:space="preserve">auf Grundlage der in Dokument </w:t>
      </w:r>
      <w:r w:rsidRPr="00963460">
        <w:t>UPOV/INF/22/13</w:t>
      </w:r>
      <w:r>
        <w:t> </w:t>
      </w:r>
      <w:r w:rsidRPr="00963460">
        <w:t>Draft</w:t>
      </w:r>
      <w:r>
        <w:t> </w:t>
      </w:r>
      <w:r w:rsidRPr="00963460">
        <w:t xml:space="preserve">1 vorgeschlagenen Änderungen vereinbarte Überarbeitung von Dokument </w:t>
      </w:r>
      <w:r w:rsidRPr="00963460">
        <w:rPr>
          <w:spacing w:val="-2"/>
        </w:rPr>
        <w:t>UPOV/</w:t>
      </w:r>
      <w:r w:rsidRPr="00963460">
        <w:t xml:space="preserve">INF/22/12 </w:t>
      </w:r>
      <w:r>
        <w:t>„</w:t>
      </w:r>
      <w:r w:rsidRPr="00963460">
        <w:t>Von Verbandsmitgliedern verwendete Software und Ausrüstung</w:t>
      </w:r>
      <w:r w:rsidR="001961BB">
        <w:t>“</w:t>
      </w:r>
      <w:r w:rsidRPr="00963460">
        <w:rPr>
          <w:spacing w:val="-2"/>
        </w:rPr>
        <w:t xml:space="preserve"> </w:t>
      </w:r>
      <w:r w:rsidRPr="00963460">
        <w:t>z</w:t>
      </w:r>
      <w:r w:rsidRPr="00963460">
        <w:rPr>
          <w:spacing w:val="-2"/>
        </w:rPr>
        <w:t>ur Annahme vorgelegt</w:t>
      </w:r>
      <w:r w:rsidRPr="00963460">
        <w:t>.</w:t>
      </w:r>
    </w:p>
    <w:p w14:paraId="33510084" w14:textId="77777777" w:rsidR="00C34CE8" w:rsidRPr="00963460" w:rsidRDefault="00C34CE8" w:rsidP="00C34CE8">
      <w:pPr>
        <w:rPr>
          <w:spacing w:val="-4"/>
        </w:rPr>
      </w:pPr>
    </w:p>
    <w:p w14:paraId="458D9B0C" w14:textId="4DE43FFD" w:rsidR="00C34CE8" w:rsidRPr="00963460" w:rsidRDefault="00C34CE8" w:rsidP="00C34CE8">
      <w:pPr>
        <w:tabs>
          <w:tab w:val="left" w:pos="5387"/>
          <w:tab w:val="left" w:pos="5954"/>
        </w:tabs>
        <w:ind w:left="4820"/>
        <w:rPr>
          <w:i/>
        </w:rPr>
      </w:pPr>
      <w:r w:rsidRPr="00963460">
        <w:rPr>
          <w:i/>
        </w:rPr>
        <w:lastRenderedPageBreak/>
        <w:fldChar w:fldCharType="begin"/>
      </w:r>
      <w:r w:rsidRPr="00963460">
        <w:rPr>
          <w:i/>
        </w:rPr>
        <w:instrText xml:space="preserve"> AUTONUM  </w:instrText>
      </w:r>
      <w:r w:rsidRPr="00963460">
        <w:rPr>
          <w:i/>
        </w:rPr>
        <w:fldChar w:fldCharType="end"/>
      </w:r>
      <w:r w:rsidRPr="00963460">
        <w:rPr>
          <w:i/>
        </w:rPr>
        <w:tab/>
        <w:t xml:space="preserve">Der Rat wird ersucht, vorbehaltlich der Zustimmung durch den TC und den CAJ auf </w:t>
      </w:r>
      <w:r>
        <w:rPr>
          <w:i/>
        </w:rPr>
        <w:br/>
      </w:r>
      <w:r w:rsidRPr="00963460">
        <w:rPr>
          <w:i/>
        </w:rPr>
        <w:t xml:space="preserve">ihren jeweiligen Tagungen im Jahr 2026, die Überarbeitung von Dokument UPOV/INF/22/12 </w:t>
      </w:r>
      <w:r>
        <w:rPr>
          <w:i/>
        </w:rPr>
        <w:t>„</w:t>
      </w:r>
      <w:r w:rsidRPr="00963460">
        <w:rPr>
          <w:i/>
        </w:rPr>
        <w:t>Von Verbandsmitgliedern verwendete Software</w:t>
      </w:r>
      <w:r>
        <w:rPr>
          <w:i/>
        </w:rPr>
        <w:t xml:space="preserve"> </w:t>
      </w:r>
      <w:r w:rsidRPr="00963460">
        <w:rPr>
          <w:i/>
        </w:rPr>
        <w:t>und Ausrüstung</w:t>
      </w:r>
      <w:r w:rsidR="001961BB">
        <w:rPr>
          <w:i/>
        </w:rPr>
        <w:t>”</w:t>
      </w:r>
      <w:r w:rsidRPr="00963460">
        <w:rPr>
          <w:i/>
        </w:rPr>
        <w:t xml:space="preserve"> auf Grundlage von Dokument UPOV/INF/22/13 Draft 1, anzunehmen.</w:t>
      </w:r>
    </w:p>
    <w:p w14:paraId="46D2A7BD" w14:textId="77777777" w:rsidR="00F05450" w:rsidRPr="00086E1D" w:rsidRDefault="00F05450" w:rsidP="00086E1D"/>
    <w:p w14:paraId="1A79E836" w14:textId="77777777" w:rsidR="00F05450" w:rsidRPr="00C70350" w:rsidRDefault="00F05450" w:rsidP="00F05450">
      <w:pPr>
        <w:rPr>
          <w:lang w:eastAsia="ja-JP"/>
        </w:rPr>
      </w:pPr>
    </w:p>
    <w:p w14:paraId="2ED10BC0" w14:textId="5B461E84" w:rsidR="007F77A7" w:rsidRPr="00963460" w:rsidRDefault="007F77A7" w:rsidP="007F77A7">
      <w:pPr>
        <w:pStyle w:val="Heading1"/>
        <w:rPr>
          <w:lang w:val="de-DE"/>
        </w:rPr>
      </w:pPr>
      <w:bookmarkStart w:id="12" w:name="_Toc239170477"/>
      <w:r w:rsidRPr="00963460">
        <w:rPr>
          <w:lang w:val="de-DE"/>
        </w:rPr>
        <w:t xml:space="preserve">Document TGP/5 </w:t>
      </w:r>
      <w:r>
        <w:rPr>
          <w:lang w:val="de-DE"/>
        </w:rPr>
        <w:t>„</w:t>
      </w:r>
      <w:r w:rsidRPr="00963460">
        <w:rPr>
          <w:lang w:val="de-DE"/>
        </w:rPr>
        <w:t>Erfahrung und zusammenarbeit in dus-prüfung</w:t>
      </w:r>
      <w:bookmarkEnd w:id="12"/>
      <w:r w:rsidR="001961BB">
        <w:t>“</w:t>
      </w:r>
    </w:p>
    <w:p w14:paraId="24BC8A83" w14:textId="77777777" w:rsidR="007F77A7" w:rsidRPr="00963460" w:rsidRDefault="007F77A7" w:rsidP="007F77A7">
      <w:pPr>
        <w:keepNext/>
        <w:jc w:val="left"/>
        <w:outlineLvl w:val="1"/>
        <w:rPr>
          <w:u w:val="single"/>
        </w:rPr>
      </w:pPr>
    </w:p>
    <w:p w14:paraId="701A7B2F" w14:textId="210D86AB" w:rsidR="007F77A7" w:rsidRPr="00963460" w:rsidRDefault="007F77A7" w:rsidP="007F77A7">
      <w:pPr>
        <w:pStyle w:val="Heading2"/>
        <w:rPr>
          <w:rFonts w:eastAsia="Calibri"/>
          <w:lang w:val="de-DE" w:eastAsia="nl-NL"/>
        </w:rPr>
      </w:pPr>
      <w:bookmarkStart w:id="13" w:name="_Toc239170478"/>
      <w:r w:rsidRPr="00963460">
        <w:rPr>
          <w:rFonts w:eastAsia="Calibri"/>
          <w:lang w:val="de-DE" w:eastAsia="nl-NL"/>
        </w:rPr>
        <w:t xml:space="preserve">Abschnitt 11 </w:t>
      </w:r>
      <w:r>
        <w:rPr>
          <w:rFonts w:eastAsia="Calibri"/>
          <w:lang w:val="de-DE" w:eastAsia="nl-NL"/>
        </w:rPr>
        <w:t>„</w:t>
      </w:r>
      <w:r w:rsidRPr="00963460">
        <w:rPr>
          <w:rFonts w:eastAsia="Calibri"/>
          <w:lang w:val="de-DE" w:eastAsia="nl-NL"/>
        </w:rPr>
        <w:t>Beispiele für Verfahren und Verträge bezüglich des vom Züchter eingereichten Materials</w:t>
      </w:r>
      <w:r w:rsidR="001961BB">
        <w:t>“</w:t>
      </w:r>
      <w:r w:rsidRPr="00963460">
        <w:rPr>
          <w:rFonts w:eastAsia="Calibri"/>
          <w:lang w:val="de-DE" w:eastAsia="nl-NL"/>
        </w:rPr>
        <w:t xml:space="preserve"> (Überarbeitung)</w:t>
      </w:r>
      <w:bookmarkEnd w:id="13"/>
    </w:p>
    <w:p w14:paraId="42F4B1BC" w14:textId="77777777" w:rsidR="007F77A7" w:rsidRPr="00963460" w:rsidRDefault="007F77A7" w:rsidP="007F77A7"/>
    <w:p w14:paraId="40535648" w14:textId="3CD7F685" w:rsidR="007F77A7" w:rsidRPr="00963460" w:rsidRDefault="007F77A7" w:rsidP="007F77A7">
      <w:r w:rsidRPr="00963460">
        <w:fldChar w:fldCharType="begin"/>
      </w:r>
      <w:r w:rsidRPr="00963460">
        <w:instrText xml:space="preserve"> AUTONUM  </w:instrText>
      </w:r>
      <w:r w:rsidRPr="00963460">
        <w:fldChar w:fldCharType="end"/>
      </w:r>
      <w:r w:rsidRPr="00963460">
        <w:tab/>
        <w:t xml:space="preserve">Beispiele für Verfahren und Verträge bezüglich des vom Züchter zwecks Sortenprüfung eingereichten Materials sind in Dokument TGP/5 </w:t>
      </w:r>
      <w:r>
        <w:t>„</w:t>
      </w:r>
      <w:r w:rsidRPr="00963460">
        <w:t>Erfahrung und Zusammenarbeit in DUS-Prüfung</w:t>
      </w:r>
      <w:r w:rsidR="001961BB">
        <w:t>“</w:t>
      </w:r>
      <w:r w:rsidRPr="00963460">
        <w:t xml:space="preserve">, Abschnitt 11 </w:t>
      </w:r>
      <w:r>
        <w:t>„</w:t>
      </w:r>
      <w:r w:rsidRPr="00963460">
        <w:t>Beispiele für Verfahren und Verträge bezüglich des vom Züchter eingereichten Materials</w:t>
      </w:r>
      <w:r w:rsidR="001961BB">
        <w:t>“</w:t>
      </w:r>
      <w:r w:rsidRPr="00963460">
        <w:t xml:space="preserve"> dargelegt.</w:t>
      </w:r>
    </w:p>
    <w:p w14:paraId="5821F1F4" w14:textId="77777777" w:rsidR="007F77A7" w:rsidRPr="00963460" w:rsidRDefault="007F77A7" w:rsidP="007F77A7"/>
    <w:p w14:paraId="294C09C4" w14:textId="136F42FE" w:rsidR="007F77A7" w:rsidRPr="00963460" w:rsidRDefault="007F77A7" w:rsidP="007F77A7">
      <w:pPr>
        <w:keepLines/>
      </w:pPr>
      <w:r w:rsidRPr="00963460">
        <w:fldChar w:fldCharType="begin"/>
      </w:r>
      <w:r w:rsidRPr="00963460">
        <w:instrText xml:space="preserve"> AUTONUM  </w:instrText>
      </w:r>
      <w:r w:rsidRPr="00963460">
        <w:fldChar w:fldCharType="end"/>
      </w:r>
      <w:r w:rsidRPr="00963460">
        <w:tab/>
        <w:t>Auf seiner Tagung im Jahr 2025 nahm der TC</w:t>
      </w:r>
      <w:r w:rsidRPr="00963460">
        <w:rPr>
          <w:rFonts w:cs="Arial"/>
          <w:vertAlign w:val="superscript"/>
        </w:rPr>
        <w:footnoteReference w:id="5"/>
      </w:r>
      <w:r w:rsidRPr="00963460">
        <w:t xml:space="preserve"> zur Kenntnis, dass die Europäische Union das Dokument </w:t>
      </w:r>
      <w:r>
        <w:t>„</w:t>
      </w:r>
      <w:r w:rsidRPr="00963460">
        <w:t>CPVO-Verfahren zum Status von Pflanzenmaterial, das für DUS-Prüfzwecke verwendet wird</w:t>
      </w:r>
      <w:r w:rsidR="001961BB">
        <w:t>“</w:t>
      </w:r>
      <w:r w:rsidRPr="00963460">
        <w:t xml:space="preserve"> aktualisiert hat. Die vorherige Fassung dieses Verfahrens ist in TGP/5, Abschnitt 11, enthalten. Es wird vorgeschlagen, Dokument TGP/5 zu überarbeiten, um die neueste Fassung des genannten Verfahrens als Beispiel in das Dokument aufzunehmen. Der Vorschlag an den Rat ist vorbehaltlich der Zustimmung des CAJ auf seiner dreiundachtzigsten Tagung. Der Vorschlag ist in Dokument TGP/5, Abschnitt 11/2 Draft 1 dargelegt.</w:t>
      </w:r>
    </w:p>
    <w:p w14:paraId="651F5BCC" w14:textId="77777777" w:rsidR="007F77A7" w:rsidRPr="00963460" w:rsidRDefault="007F77A7" w:rsidP="007F77A7">
      <w:pPr>
        <w:rPr>
          <w:spacing w:val="-4"/>
        </w:rPr>
      </w:pPr>
    </w:p>
    <w:p w14:paraId="7F1198C4" w14:textId="296AA2E1" w:rsidR="007F77A7" w:rsidRPr="00963460" w:rsidRDefault="007F77A7" w:rsidP="007F77A7">
      <w:pPr>
        <w:keepLines/>
        <w:tabs>
          <w:tab w:val="left" w:pos="5387"/>
          <w:tab w:val="left" w:pos="5954"/>
        </w:tabs>
        <w:ind w:left="4820"/>
        <w:rPr>
          <w:i/>
        </w:rPr>
      </w:pPr>
      <w:r w:rsidRPr="00963460">
        <w:rPr>
          <w:i/>
        </w:rPr>
        <w:fldChar w:fldCharType="begin"/>
      </w:r>
      <w:r w:rsidRPr="00963460">
        <w:rPr>
          <w:i/>
        </w:rPr>
        <w:instrText xml:space="preserve"> AUTONUM  </w:instrText>
      </w:r>
      <w:r w:rsidRPr="00963460">
        <w:rPr>
          <w:i/>
        </w:rPr>
        <w:fldChar w:fldCharType="end"/>
      </w:r>
      <w:r w:rsidRPr="00963460">
        <w:rPr>
          <w:i/>
        </w:rPr>
        <w:tab/>
        <w:t xml:space="preserve">Der Rat wird ersucht, vorbehaltlich der Zustimmung durch den CAJ auf seiner dreiundachtzigsten Tagung, eine überarbeitete Fassung von Dokument TGP/5, Abschnitt 11 </w:t>
      </w:r>
      <w:r>
        <w:rPr>
          <w:i/>
        </w:rPr>
        <w:t>„</w:t>
      </w:r>
      <w:r w:rsidRPr="00963460">
        <w:rPr>
          <w:i/>
        </w:rPr>
        <w:t>Beispiele für Verfahren und Verträge bezüglich des vom Züchter eingereichten Materials</w:t>
      </w:r>
      <w:r w:rsidR="001961BB">
        <w:t>“</w:t>
      </w:r>
      <w:r w:rsidRPr="00963460">
        <w:rPr>
          <w:i/>
        </w:rPr>
        <w:t>, auf Grundlage von Dokument TGP/5, Abschnitt 11/2 Draft 1, anzunehmen.</w:t>
      </w:r>
    </w:p>
    <w:p w14:paraId="611E9A7A" w14:textId="77777777" w:rsidR="007F77A7" w:rsidRPr="00963460" w:rsidRDefault="007F77A7" w:rsidP="007F77A7">
      <w:pPr>
        <w:keepNext/>
      </w:pPr>
    </w:p>
    <w:p w14:paraId="6E191D26" w14:textId="77777777" w:rsidR="007F77A7" w:rsidRPr="00963460" w:rsidRDefault="007F77A7" w:rsidP="007F77A7">
      <w:pPr>
        <w:jc w:val="left"/>
      </w:pPr>
    </w:p>
    <w:p w14:paraId="54802B0C" w14:textId="0111FC80" w:rsidR="007F77A7" w:rsidRPr="00963460" w:rsidRDefault="007F77A7" w:rsidP="007F77A7">
      <w:pPr>
        <w:pStyle w:val="Heading1"/>
        <w:rPr>
          <w:lang w:val="de-DE"/>
        </w:rPr>
      </w:pPr>
      <w:bookmarkStart w:id="14" w:name="_Toc239170479"/>
      <w:r w:rsidRPr="00963460">
        <w:rPr>
          <w:lang w:val="de-DE"/>
        </w:rPr>
        <w:t xml:space="preserve">DoKument TGP/7 </w:t>
      </w:r>
      <w:r>
        <w:rPr>
          <w:lang w:val="de-DE"/>
        </w:rPr>
        <w:t>„</w:t>
      </w:r>
      <w:r w:rsidRPr="00963460">
        <w:rPr>
          <w:lang w:val="de-DE"/>
        </w:rPr>
        <w:t>Erstellung von prüfungsrichtlinien</w:t>
      </w:r>
      <w:bookmarkEnd w:id="14"/>
      <w:r w:rsidR="001961BB">
        <w:t>“</w:t>
      </w:r>
    </w:p>
    <w:p w14:paraId="54004918" w14:textId="77777777" w:rsidR="007F77A7" w:rsidRPr="00963460" w:rsidRDefault="007F77A7" w:rsidP="007F77A7">
      <w:pPr>
        <w:keepNext/>
        <w:jc w:val="left"/>
        <w:outlineLvl w:val="1"/>
        <w:rPr>
          <w:u w:val="single"/>
        </w:rPr>
      </w:pPr>
    </w:p>
    <w:p w14:paraId="2A01007A" w14:textId="77777777" w:rsidR="007F77A7" w:rsidRPr="00963460" w:rsidRDefault="007F77A7" w:rsidP="007F77A7">
      <w:pPr>
        <w:pStyle w:val="Heading2"/>
        <w:rPr>
          <w:lang w:val="de-DE"/>
        </w:rPr>
      </w:pPr>
      <w:bookmarkStart w:id="15" w:name="_Toc239170480"/>
      <w:r w:rsidRPr="00963460">
        <w:rPr>
          <w:lang w:val="de-DE"/>
        </w:rPr>
        <w:t>Anzahl von Wachstumsperioden und Abschlussuntersuchung (Überarbeitung)</w:t>
      </w:r>
      <w:bookmarkEnd w:id="15"/>
    </w:p>
    <w:p w14:paraId="037C0B3C" w14:textId="77777777" w:rsidR="007F77A7" w:rsidRPr="00963460" w:rsidRDefault="007F77A7" w:rsidP="007F77A7">
      <w:pPr>
        <w:jc w:val="left"/>
      </w:pPr>
    </w:p>
    <w:p w14:paraId="48C7B824" w14:textId="77777777" w:rsidR="007F77A7" w:rsidRPr="00963460" w:rsidRDefault="007F77A7" w:rsidP="007F77A7">
      <w:pPr>
        <w:pStyle w:val="Heading3"/>
        <w:rPr>
          <w:rFonts w:eastAsia="Calibri"/>
          <w:lang w:val="de-DE" w:eastAsia="nl-NL"/>
        </w:rPr>
      </w:pPr>
      <w:bookmarkStart w:id="16" w:name="_Toc239170481"/>
      <w:r w:rsidRPr="00963460">
        <w:rPr>
          <w:rFonts w:eastAsia="Calibri"/>
          <w:lang w:val="de-DE" w:eastAsia="nl-NL"/>
        </w:rPr>
        <w:t>Hintergrund</w:t>
      </w:r>
      <w:bookmarkEnd w:id="16"/>
    </w:p>
    <w:p w14:paraId="30F01186" w14:textId="77777777" w:rsidR="007F77A7" w:rsidRPr="00963460" w:rsidRDefault="007F77A7" w:rsidP="007F77A7">
      <w:pPr>
        <w:jc w:val="left"/>
        <w:rPr>
          <w:rFonts w:eastAsia="MS Mincho"/>
        </w:rPr>
      </w:pPr>
    </w:p>
    <w:p w14:paraId="04DD105C" w14:textId="77777777" w:rsidR="007F77A7" w:rsidRPr="00963460" w:rsidRDefault="007F77A7" w:rsidP="007F77A7">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 xml:space="preserve">UPOV-Prüfungsrichtlinien werden gemäß dem Aufbau und dem allgemeingültigen Standardwortlaut erstellt oder überarbeitet, der für alle Prüfungsrichtlinien als geeignet angesehen wird, wie in Dokument TGP/7 dargelegt. </w:t>
      </w:r>
      <w:r w:rsidRPr="00963460">
        <w:t xml:space="preserve"> </w:t>
      </w:r>
    </w:p>
    <w:p w14:paraId="2FC94242" w14:textId="77777777" w:rsidR="007F77A7" w:rsidRPr="00963460" w:rsidRDefault="007F77A7" w:rsidP="007F77A7"/>
    <w:p w14:paraId="56FFB797" w14:textId="5D06B501" w:rsidR="007F77A7" w:rsidRPr="00963460" w:rsidRDefault="007F77A7" w:rsidP="007F77A7">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Auf seiner Tagung im Jahr 2024 prüfte die TWF</w:t>
      </w:r>
      <w:r w:rsidRPr="00963460">
        <w:rPr>
          <w:rStyle w:val="FootnoteReference"/>
          <w:rFonts w:eastAsia="MS Mincho"/>
        </w:rPr>
        <w:footnoteReference w:id="6"/>
      </w:r>
      <w:r w:rsidRPr="00963460">
        <w:rPr>
          <w:rFonts w:eastAsia="MS Mincho"/>
        </w:rPr>
        <w:t xml:space="preserve">, dass der Standardwortlaut in Prüfungsrichtlinien wonach </w:t>
      </w:r>
      <w:r>
        <w:rPr>
          <w:rFonts w:eastAsia="MS Mincho"/>
        </w:rPr>
        <w:t>„</w:t>
      </w:r>
      <w:r w:rsidRPr="00963460">
        <w:rPr>
          <w:rFonts w:eastAsia="MS Mincho"/>
        </w:rPr>
        <w:t>die Prüfung einer Sorte kann abgeschlossen werden, wenn die zuständige Behörde das Ergebnis der Prüfung mit Sicherheit bestimmen kann</w:t>
      </w:r>
      <w:r w:rsidR="001961BB">
        <w:t>“</w:t>
      </w:r>
      <w:r w:rsidRPr="00963460">
        <w:rPr>
          <w:rFonts w:eastAsia="MS Mincho"/>
        </w:rPr>
        <w:t xml:space="preserve"> im Hinblick auf einen möglichen Widerspruch zu dem Standardwortlaut „die Mindestprüfdauer sollte in der Regel zwei unabhängige Wachstumsperioden betragen</w:t>
      </w:r>
      <w:r w:rsidR="001961BB">
        <w:t>“</w:t>
      </w:r>
      <w:r w:rsidRPr="00963460">
        <w:rPr>
          <w:rFonts w:eastAsia="MS Mincho"/>
        </w:rPr>
        <w:t xml:space="preserve">. </w:t>
      </w:r>
    </w:p>
    <w:p w14:paraId="2B32FEFD" w14:textId="77777777" w:rsidR="007F77A7" w:rsidRPr="00963460" w:rsidRDefault="007F77A7" w:rsidP="007F77A7">
      <w:pPr>
        <w:rPr>
          <w:rFonts w:eastAsia="MS Mincho"/>
        </w:rPr>
      </w:pPr>
    </w:p>
    <w:p w14:paraId="5E6CEF4C" w14:textId="274543A9" w:rsidR="007F77A7" w:rsidRPr="00963460" w:rsidRDefault="007F77A7" w:rsidP="007F77A7">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Die TWF</w:t>
      </w:r>
      <w:r w:rsidRPr="00963460">
        <w:rPr>
          <w:rFonts w:eastAsia="MS Mincho"/>
          <w:vertAlign w:val="superscript"/>
        </w:rPr>
        <w:footnoteReference w:id="7"/>
      </w:r>
      <w:r w:rsidRPr="00963460">
        <w:rPr>
          <w:rFonts w:eastAsia="MS Mincho"/>
        </w:rPr>
        <w:t xml:space="preserve"> kam überein, eine Überarbeitung des Aufbaus und des Standardwortlauts der Prüfungsrichtlinien vorzuschlagen, um den Begriff </w:t>
      </w:r>
      <w:r>
        <w:rPr>
          <w:rFonts w:eastAsia="MS Mincho"/>
        </w:rPr>
        <w:t>„</w:t>
      </w:r>
      <w:r w:rsidRPr="00963460">
        <w:rPr>
          <w:rFonts w:eastAsia="MS Mincho"/>
        </w:rPr>
        <w:t>in der Regel</w:t>
      </w:r>
      <w:r w:rsidR="001961BB">
        <w:t>“</w:t>
      </w:r>
      <w:r w:rsidRPr="00963460">
        <w:rPr>
          <w:rFonts w:eastAsia="MS Mincho"/>
        </w:rPr>
        <w:t xml:space="preserve"> im zusätzlichen Standardwortlaut (ASW)</w:t>
      </w:r>
      <w:r>
        <w:rPr>
          <w:rFonts w:eastAsia="MS Mincho"/>
        </w:rPr>
        <w:t> </w:t>
      </w:r>
      <w:r w:rsidRPr="00963460">
        <w:rPr>
          <w:rFonts w:eastAsia="MS Mincho"/>
        </w:rPr>
        <w:t>2 zur „Anzahl der Wachstumsperioden</w:t>
      </w:r>
      <w:r w:rsidR="001961BB">
        <w:t>“</w:t>
      </w:r>
      <w:r w:rsidRPr="00963460">
        <w:rPr>
          <w:rFonts w:eastAsia="MS Mincho"/>
        </w:rPr>
        <w:t xml:space="preserve"> durch </w:t>
      </w:r>
      <w:r>
        <w:rPr>
          <w:rFonts w:eastAsia="MS Mincho"/>
        </w:rPr>
        <w:t>„</w:t>
      </w:r>
      <w:r w:rsidRPr="00963460">
        <w:rPr>
          <w:rFonts w:eastAsia="MS Mincho"/>
        </w:rPr>
        <w:t>im Allgemeinen</w:t>
      </w:r>
      <w:r w:rsidR="001961BB">
        <w:t>“</w:t>
      </w:r>
      <w:r w:rsidRPr="00963460">
        <w:rPr>
          <w:rFonts w:eastAsia="MS Mincho"/>
        </w:rPr>
        <w:t xml:space="preserve"> zu ersetzen, und den ASW 2 und den Satz „die Prüfung einer Sorte kann abgeschlossen werden, wenn die zuständige Behörde das Ergebnis der Prüfung mit Sicherheit bestimmen kann</w:t>
      </w:r>
      <w:r w:rsidR="001961BB">
        <w:t>“</w:t>
      </w:r>
      <w:r w:rsidRPr="00963460">
        <w:rPr>
          <w:rFonts w:eastAsia="MS Mincho"/>
        </w:rPr>
        <w:t xml:space="preserve"> aufeinanderfolgend darzustellen. Die</w:t>
      </w:r>
      <w:r w:rsidRPr="00963460">
        <w:rPr>
          <w:rFonts w:eastAsia="MS Mincho" w:cs="Arial"/>
        </w:rPr>
        <w:t xml:space="preserve"> TWF kam überein, eine Überarbeitung des Zusätzlichen Standardwortlauts (ASW) 3 </w:t>
      </w:r>
      <w:r>
        <w:rPr>
          <w:rFonts w:eastAsia="MS Mincho" w:cs="Arial"/>
        </w:rPr>
        <w:t>„</w:t>
      </w:r>
      <w:r w:rsidRPr="00963460">
        <w:rPr>
          <w:rFonts w:eastAsia="MS Mincho" w:cs="Arial"/>
        </w:rPr>
        <w:t>Wachstumsperioden bei Obstarten</w:t>
      </w:r>
      <w:r w:rsidR="001961BB">
        <w:t>“</w:t>
      </w:r>
      <w:r w:rsidRPr="00963460">
        <w:rPr>
          <w:rFonts w:eastAsia="MS Mincho" w:cs="Arial"/>
        </w:rPr>
        <w:t xml:space="preserve"> vorzuschlagen.</w:t>
      </w:r>
    </w:p>
    <w:p w14:paraId="14252A14" w14:textId="77777777" w:rsidR="007F77A7" w:rsidRPr="00963460" w:rsidRDefault="007F77A7" w:rsidP="007F77A7">
      <w:pPr>
        <w:rPr>
          <w:rFonts w:eastAsia="MS Mincho"/>
          <w:lang w:eastAsia="zh-CN"/>
        </w:rPr>
      </w:pPr>
    </w:p>
    <w:p w14:paraId="70CBF138" w14:textId="77777777" w:rsidR="007F77A7" w:rsidRPr="00963460" w:rsidRDefault="007F77A7" w:rsidP="007F77A7">
      <w:r w:rsidRPr="00963460">
        <w:rPr>
          <w:rFonts w:eastAsia="MS Mincho"/>
          <w:lang w:eastAsia="zh-CN"/>
        </w:rPr>
        <w:lastRenderedPageBreak/>
        <w:fldChar w:fldCharType="begin"/>
      </w:r>
      <w:r w:rsidRPr="00963460">
        <w:rPr>
          <w:rFonts w:eastAsia="MS Mincho"/>
          <w:lang w:eastAsia="zh-CN"/>
        </w:rPr>
        <w:instrText xml:space="preserve"> AUTONUM  </w:instrText>
      </w:r>
      <w:r w:rsidRPr="00963460">
        <w:rPr>
          <w:rFonts w:eastAsia="MS Mincho"/>
          <w:lang w:eastAsia="zh-CN"/>
        </w:rPr>
        <w:fldChar w:fldCharType="end"/>
      </w:r>
      <w:r w:rsidRPr="00963460">
        <w:rPr>
          <w:rFonts w:eastAsia="MS Mincho"/>
          <w:lang w:eastAsia="zh-CN"/>
        </w:rPr>
        <w:tab/>
        <w:t>Auf seiner Tagung im Jahr 2025 kam der</w:t>
      </w:r>
      <w:r w:rsidRPr="00963460">
        <w:rPr>
          <w:rFonts w:eastAsia="MS Mincho" w:cs="Arial"/>
        </w:rPr>
        <w:t xml:space="preserve"> TC</w:t>
      </w:r>
      <w:r w:rsidRPr="00963460">
        <w:rPr>
          <w:rFonts w:eastAsia="MS Mincho" w:cs="Arial"/>
          <w:vertAlign w:val="superscript"/>
        </w:rPr>
        <w:footnoteReference w:id="8"/>
      </w:r>
      <w:r w:rsidRPr="00963460">
        <w:rPr>
          <w:rFonts w:eastAsia="MS Mincho" w:cs="Arial"/>
        </w:rPr>
        <w:t xml:space="preserve"> </w:t>
      </w:r>
      <w:r w:rsidRPr="00963460">
        <w:rPr>
          <w:rFonts w:eastAsia="MS Mincho"/>
        </w:rPr>
        <w:t xml:space="preserve">überein, die TWPs zu ersuchen, auf ihren Tagungen im Jahr 2026, die von der TWF unterbreiteten und </w:t>
      </w:r>
      <w:r w:rsidRPr="00963460">
        <w:t>im nachstehenden Abschnitt dieses Dokuments dargelegten Vorschläge</w:t>
      </w:r>
      <w:r w:rsidRPr="00963460">
        <w:rPr>
          <w:rFonts w:eastAsia="MS Mincho"/>
        </w:rPr>
        <w:t xml:space="preserve"> zur Änderung von Dokument </w:t>
      </w:r>
      <w:r w:rsidRPr="00963460">
        <w:t xml:space="preserve">TGP/7 zu prüfen.  </w:t>
      </w:r>
    </w:p>
    <w:p w14:paraId="5AF1D4C6" w14:textId="77777777" w:rsidR="007F77A7" w:rsidRPr="00963460" w:rsidRDefault="007F77A7" w:rsidP="007F77A7"/>
    <w:p w14:paraId="0A7C8B45" w14:textId="77777777" w:rsidR="007F77A7" w:rsidRPr="00963460" w:rsidRDefault="007F77A7" w:rsidP="007F77A7">
      <w:pPr>
        <w:rPr>
          <w:rFonts w:eastAsia="MS Mincho"/>
        </w:rPr>
      </w:pPr>
      <w:r w:rsidRPr="00963460">
        <w:rPr>
          <w:rFonts w:eastAsia="MS Mincho"/>
        </w:rPr>
        <w:fldChar w:fldCharType="begin"/>
      </w:r>
      <w:r w:rsidRPr="00963460">
        <w:rPr>
          <w:rFonts w:eastAsia="MS Mincho"/>
        </w:rPr>
        <w:instrText xml:space="preserve"> AUTONUM  </w:instrText>
      </w:r>
      <w:r w:rsidRPr="00963460">
        <w:rPr>
          <w:rFonts w:eastAsia="MS Mincho"/>
        </w:rPr>
        <w:fldChar w:fldCharType="end"/>
      </w:r>
      <w:r w:rsidRPr="00963460">
        <w:rPr>
          <w:rFonts w:eastAsia="MS Mincho"/>
        </w:rPr>
        <w:tab/>
        <w:t>Der vollständige Hintergrund zu dieser Angelegenheit ist i</w:t>
      </w:r>
      <w:r>
        <w:rPr>
          <w:rFonts w:eastAsia="MS Mincho"/>
        </w:rPr>
        <w:t>n der</w:t>
      </w:r>
      <w:r w:rsidRPr="00963460">
        <w:rPr>
          <w:rFonts w:eastAsia="MS Mincho"/>
        </w:rPr>
        <w:t xml:space="preserve"> </w:t>
      </w:r>
      <w:r>
        <w:rPr>
          <w:rFonts w:eastAsia="MS Mincho"/>
        </w:rPr>
        <w:t xml:space="preserve">Anlage </w:t>
      </w:r>
      <w:r w:rsidRPr="00963460">
        <w:rPr>
          <w:rFonts w:eastAsia="MS Mincho"/>
        </w:rPr>
        <w:t xml:space="preserve">dieses Dokuments dargelegt. </w:t>
      </w:r>
    </w:p>
    <w:p w14:paraId="74FFE281" w14:textId="77777777" w:rsidR="00F05450" w:rsidRPr="00C70350" w:rsidRDefault="00F05450" w:rsidP="00F05450"/>
    <w:p w14:paraId="17A16A20" w14:textId="7C225EB9" w:rsidR="00F05450" w:rsidRPr="00C70350" w:rsidRDefault="00F05450" w:rsidP="00F05450">
      <w:pPr>
        <w:keepNext/>
        <w:jc w:val="left"/>
        <w:outlineLvl w:val="2"/>
        <w:rPr>
          <w:rFonts w:eastAsia="MS Mincho"/>
          <w:i/>
          <w:lang w:eastAsia="nl-NL"/>
        </w:rPr>
      </w:pPr>
      <w:bookmarkStart w:id="17" w:name="_Toc242122271"/>
      <w:r w:rsidRPr="00C70350">
        <w:rPr>
          <w:rFonts w:eastAsia="Calibri"/>
          <w:i/>
          <w:lang w:eastAsia="nl-NL"/>
        </w:rPr>
        <w:t>Bemerkungen von der TWA</w:t>
      </w:r>
      <w:r w:rsidR="00FC075B" w:rsidRPr="00C70350">
        <w:rPr>
          <w:rFonts w:eastAsia="Calibri"/>
          <w:i/>
          <w:lang w:eastAsia="nl-NL"/>
        </w:rPr>
        <w:t>, TWF, TWO</w:t>
      </w:r>
      <w:r w:rsidRPr="00C70350">
        <w:rPr>
          <w:rFonts w:eastAsia="Calibri"/>
          <w:i/>
          <w:lang w:eastAsia="nl-NL"/>
        </w:rPr>
        <w:t xml:space="preserve"> und </w:t>
      </w:r>
      <w:r w:rsidR="00FC075B" w:rsidRPr="00C70350">
        <w:rPr>
          <w:rFonts w:eastAsia="Calibri"/>
          <w:i/>
          <w:lang w:eastAsia="nl-NL"/>
        </w:rPr>
        <w:t xml:space="preserve">TWV </w:t>
      </w:r>
      <w:r w:rsidRPr="00C70350">
        <w:rPr>
          <w:rFonts w:eastAsia="Calibri"/>
          <w:i/>
          <w:lang w:eastAsia="nl-NL"/>
        </w:rPr>
        <w:t>auf ihren Tagungen im Jahr 2026</w:t>
      </w:r>
      <w:bookmarkEnd w:id="17"/>
    </w:p>
    <w:p w14:paraId="2670F976" w14:textId="77777777" w:rsidR="00F05450" w:rsidRPr="00C70350" w:rsidRDefault="00F05450" w:rsidP="00F05450"/>
    <w:p w14:paraId="531953C4" w14:textId="126D3DAB" w:rsidR="00793B6D" w:rsidRPr="00963460" w:rsidRDefault="00793B6D" w:rsidP="00793B6D">
      <w:r w:rsidRPr="00963460">
        <w:fldChar w:fldCharType="begin"/>
      </w:r>
      <w:r w:rsidRPr="00963460">
        <w:instrText xml:space="preserve"> AUTONUM  </w:instrText>
      </w:r>
      <w:r w:rsidRPr="00963460">
        <w:fldChar w:fldCharType="end"/>
      </w:r>
      <w:r w:rsidRPr="00963460">
        <w:tab/>
        <w:t>Auf ihren Tagungen im Jahr 2026, stimmten die TWV</w:t>
      </w:r>
      <w:r w:rsidRPr="00963460">
        <w:rPr>
          <w:snapToGrid w:val="0"/>
          <w:vertAlign w:val="superscript"/>
        </w:rPr>
        <w:footnoteReference w:id="9"/>
      </w:r>
      <w:r w:rsidRPr="00963460">
        <w:rPr>
          <w:lang w:eastAsia="zh-CN"/>
        </w:rPr>
        <w:t xml:space="preserve"> und die </w:t>
      </w:r>
      <w:r w:rsidRPr="00963460">
        <w:t>TWO</w:t>
      </w:r>
      <w:r w:rsidRPr="00963460">
        <w:rPr>
          <w:rStyle w:val="FootnoteReference"/>
        </w:rPr>
        <w:footnoteReference w:id="10"/>
      </w:r>
      <w:r w:rsidRPr="00963460">
        <w:t xml:space="preserve"> dem Vorschlag zu, den allgemeingültigen Standardwortlaut der Prüfungsrichtlinien für die „Anzahl von Wachstumsperioden</w:t>
      </w:r>
      <w:r w:rsidR="001961BB">
        <w:t>“</w:t>
      </w:r>
      <w:r w:rsidRPr="00963460">
        <w:t xml:space="preserve"> wie folgt zu ändern:</w:t>
      </w:r>
    </w:p>
    <w:p w14:paraId="0DAF67C3" w14:textId="77777777" w:rsidR="00793B6D" w:rsidRPr="00963460" w:rsidRDefault="00793B6D" w:rsidP="00793B6D"/>
    <w:p w14:paraId="1D2C6A5A" w14:textId="77777777" w:rsidR="00793B6D" w:rsidRPr="00963460" w:rsidRDefault="00793B6D" w:rsidP="00793B6D">
      <w:pPr>
        <w:pStyle w:val="Heading4"/>
        <w:rPr>
          <w:rFonts w:eastAsia="MS Mincho"/>
          <w:lang w:val="de-DE"/>
        </w:rPr>
      </w:pPr>
      <w:r w:rsidRPr="00963460">
        <w:rPr>
          <w:rFonts w:eastAsia="MS Mincho"/>
          <w:lang w:val="de-DE"/>
        </w:rPr>
        <w:t>TG-Aufbau und allgemeingültiger Standardwortlaut</w:t>
      </w:r>
    </w:p>
    <w:p w14:paraId="4BF8AF40" w14:textId="77777777" w:rsidR="00793B6D" w:rsidRPr="00963460" w:rsidRDefault="00793B6D" w:rsidP="00793B6D">
      <w:pPr>
        <w:keepNext/>
        <w:ind w:left="567"/>
        <w:rPr>
          <w:rFonts w:eastAsia="MS Mincho"/>
        </w:rPr>
      </w:pPr>
    </w:p>
    <w:p w14:paraId="1E67F8B4" w14:textId="77777777" w:rsidR="00793B6D" w:rsidRPr="00963460" w:rsidRDefault="00793B6D" w:rsidP="00793B6D">
      <w:pPr>
        <w:keepNext/>
        <w:spacing w:after="240"/>
        <w:ind w:left="567"/>
        <w:rPr>
          <w:rFonts w:eastAsia="MS Mincho"/>
        </w:rPr>
      </w:pPr>
      <w:r>
        <w:rPr>
          <w:rFonts w:eastAsia="MS Mincho"/>
        </w:rPr>
        <w:t>„</w:t>
      </w:r>
      <w:r w:rsidRPr="00963460">
        <w:rPr>
          <w:rFonts w:eastAsia="MS Mincho"/>
        </w:rPr>
        <w:t>3.</w:t>
      </w:r>
      <w:r w:rsidRPr="00963460">
        <w:rPr>
          <w:rFonts w:eastAsia="MS Mincho"/>
        </w:rPr>
        <w:tab/>
        <w:t>Durchführung der Prüfung</w:t>
      </w:r>
    </w:p>
    <w:p w14:paraId="15BCCBB0" w14:textId="77777777" w:rsidR="00793B6D" w:rsidRPr="00963460" w:rsidRDefault="00793B6D" w:rsidP="00793B6D">
      <w:pPr>
        <w:spacing w:after="240"/>
        <w:ind w:left="567"/>
        <w:rPr>
          <w:rFonts w:eastAsia="MS Mincho"/>
        </w:rPr>
      </w:pPr>
      <w:r w:rsidRPr="00963460">
        <w:rPr>
          <w:rFonts w:eastAsia="MS Mincho"/>
        </w:rPr>
        <w:t>3.1</w:t>
      </w:r>
      <w:r w:rsidRPr="00963460">
        <w:rPr>
          <w:rFonts w:eastAsia="MS Mincho"/>
        </w:rPr>
        <w:tab/>
        <w:t>Anzahl von Wachstumsperioden</w:t>
      </w:r>
    </w:p>
    <w:p w14:paraId="06DEDE8E" w14:textId="77777777" w:rsidR="00793B6D" w:rsidRPr="00963460" w:rsidRDefault="00793B6D" w:rsidP="00793B6D">
      <w:pPr>
        <w:ind w:left="567"/>
      </w:pPr>
      <w:r w:rsidRPr="00963460">
        <w:t>a)</w:t>
      </w:r>
      <w:r w:rsidRPr="00963460">
        <w:tab/>
        <w:t>Eine einzige Wachstumsperiode:</w:t>
      </w:r>
    </w:p>
    <w:p w14:paraId="2F0CA93B" w14:textId="77777777" w:rsidR="00793B6D" w:rsidRPr="00963460" w:rsidRDefault="00793B6D" w:rsidP="00793B6D">
      <w:pPr>
        <w:ind w:left="567"/>
      </w:pPr>
    </w:p>
    <w:p w14:paraId="13C50664" w14:textId="77777777" w:rsidR="00793B6D" w:rsidRPr="00963460" w:rsidRDefault="00793B6D" w:rsidP="00793B6D">
      <w:pPr>
        <w:ind w:left="567"/>
      </w:pPr>
      <w:r w:rsidRPr="00963460">
        <w:t xml:space="preserve">Die </w:t>
      </w:r>
      <w:r w:rsidRPr="00CA1E47">
        <w:rPr>
          <w:strike/>
          <w:highlight w:val="lightGray"/>
        </w:rPr>
        <w:t>Mindest</w:t>
      </w:r>
      <w:r w:rsidRPr="00CA1E47">
        <w:rPr>
          <w:highlight w:val="lightGray"/>
          <w:u w:val="single"/>
        </w:rPr>
        <w:t>P</w:t>
      </w:r>
      <w:r w:rsidRPr="00963460">
        <w:t xml:space="preserve">rüfdauer sollte </w:t>
      </w:r>
      <w:r w:rsidRPr="00963460">
        <w:rPr>
          <w:strike/>
          <w:highlight w:val="lightGray"/>
          <w:u w:val="single"/>
        </w:rPr>
        <w:t>in der Regel</w:t>
      </w:r>
      <w:r w:rsidRPr="00963460">
        <w:rPr>
          <w:highlight w:val="lightGray"/>
          <w:u w:val="single"/>
        </w:rPr>
        <w:t xml:space="preserve"> im Allgemeinen </w:t>
      </w:r>
      <w:r w:rsidRPr="00963460">
        <w:t xml:space="preserve">eine Wachstumsperiode betragen. </w:t>
      </w:r>
      <w:r w:rsidRPr="00963460">
        <w:rPr>
          <w:highlight w:val="lightGray"/>
          <w:u w:val="single"/>
        </w:rPr>
        <w:t>Die Prüfung einer Sorte kann abgeschlossen werden, wenn die zuständige Behörde das Ergebnis der Prüfung mit Sicherheit bestimmen kann.</w:t>
      </w:r>
    </w:p>
    <w:p w14:paraId="0892E886" w14:textId="77777777" w:rsidR="00793B6D" w:rsidRPr="00963460" w:rsidRDefault="00793B6D" w:rsidP="00793B6D">
      <w:pPr>
        <w:ind w:left="567"/>
        <w:rPr>
          <w:i/>
        </w:rPr>
      </w:pPr>
    </w:p>
    <w:p w14:paraId="06EF0705" w14:textId="77777777" w:rsidR="00793B6D" w:rsidRPr="00963460" w:rsidRDefault="00793B6D" w:rsidP="00793B6D">
      <w:pPr>
        <w:ind w:left="567"/>
      </w:pPr>
      <w:r w:rsidRPr="00963460">
        <w:t>b)</w:t>
      </w:r>
      <w:r w:rsidRPr="00963460">
        <w:tab/>
        <w:t>Zwei unabhängige Wachstumsperioden:</w:t>
      </w:r>
    </w:p>
    <w:p w14:paraId="1AECEFFC" w14:textId="77777777" w:rsidR="00793B6D" w:rsidRPr="00963460" w:rsidRDefault="00793B6D" w:rsidP="00793B6D">
      <w:pPr>
        <w:ind w:left="426"/>
      </w:pPr>
    </w:p>
    <w:p w14:paraId="0EBF4D9F" w14:textId="2B25D4A8" w:rsidR="00793B6D" w:rsidRPr="00963460" w:rsidRDefault="00793B6D" w:rsidP="00793B6D">
      <w:pPr>
        <w:ind w:left="567"/>
      </w:pPr>
      <w:r w:rsidRPr="00963460">
        <w:t xml:space="preserve">Die </w:t>
      </w:r>
      <w:r w:rsidRPr="00CA1E47">
        <w:rPr>
          <w:strike/>
          <w:highlight w:val="lightGray"/>
        </w:rPr>
        <w:t>Mindest</w:t>
      </w:r>
      <w:r w:rsidRPr="00CA1E47">
        <w:rPr>
          <w:highlight w:val="lightGray"/>
          <w:u w:val="single"/>
        </w:rPr>
        <w:t>P</w:t>
      </w:r>
      <w:r w:rsidRPr="00963460">
        <w:t xml:space="preserve">rüfdauer der Prüfung sollte </w:t>
      </w:r>
      <w:r w:rsidRPr="00963460">
        <w:rPr>
          <w:strike/>
          <w:highlight w:val="lightGray"/>
          <w:u w:val="single"/>
        </w:rPr>
        <w:t>in der Regel</w:t>
      </w:r>
      <w:r w:rsidRPr="00963460">
        <w:rPr>
          <w:highlight w:val="lightGray"/>
          <w:u w:val="single"/>
        </w:rPr>
        <w:t xml:space="preserve"> im Allgemeinen</w:t>
      </w:r>
      <w:r w:rsidRPr="00963460">
        <w:t xml:space="preserve"> zwei unabhängige Wachstumsperioden betragen. </w:t>
      </w:r>
      <w:r w:rsidRPr="00963460">
        <w:rPr>
          <w:highlight w:val="lightGray"/>
          <w:u w:val="single"/>
        </w:rPr>
        <w:t>Die Prüfung einer Sorte kann abgeschlossen werden, wenn die zuständige Behörde das Ergebnis der Prüfung mit Sicherheit bestimmen kann.</w:t>
      </w:r>
      <w:r w:rsidR="001961BB">
        <w:t>“</w:t>
      </w:r>
    </w:p>
    <w:p w14:paraId="5C1193A4" w14:textId="77777777" w:rsidR="00793B6D" w:rsidRPr="00963460" w:rsidRDefault="00793B6D" w:rsidP="00793B6D"/>
    <w:p w14:paraId="2959F457" w14:textId="6ED61809" w:rsidR="00793B6D" w:rsidRPr="00963460" w:rsidRDefault="00793B6D" w:rsidP="00793B6D">
      <w:pPr>
        <w:keepLines/>
        <w:rPr>
          <w:lang w:eastAsia="zh-CN"/>
        </w:rPr>
      </w:pPr>
      <w:r w:rsidRPr="00963460">
        <w:fldChar w:fldCharType="begin"/>
      </w:r>
      <w:r w:rsidRPr="00963460">
        <w:instrText xml:space="preserve"> AUTONUM  </w:instrText>
      </w:r>
      <w:r w:rsidRPr="00963460">
        <w:fldChar w:fldCharType="end"/>
      </w:r>
      <w:r w:rsidRPr="00963460">
        <w:tab/>
        <w:t>Die TWA</w:t>
      </w:r>
      <w:r w:rsidRPr="00963460">
        <w:rPr>
          <w:vertAlign w:val="superscript"/>
        </w:rPr>
        <w:footnoteReference w:id="11"/>
      </w:r>
      <w:r w:rsidRPr="00963460">
        <w:t xml:space="preserve"> kam überein, dass das </w:t>
      </w:r>
      <w:r w:rsidRPr="00CA1E47">
        <w:t>Wort</w:t>
      </w:r>
      <w:r w:rsidRPr="00CA1E47">
        <w:rPr>
          <w:lang w:eastAsia="zh-CN"/>
        </w:rPr>
        <w:t xml:space="preserve"> „Mindest</w:t>
      </w:r>
      <w:r w:rsidR="001961BB">
        <w:t>“</w:t>
      </w:r>
      <w:r w:rsidRPr="00CA1E47">
        <w:rPr>
          <w:lang w:eastAsia="zh-CN"/>
        </w:rPr>
        <w:t xml:space="preserve"> in Bezug au</w:t>
      </w:r>
      <w:r w:rsidRPr="00963460">
        <w:rPr>
          <w:lang w:eastAsia="zh-CN"/>
        </w:rPr>
        <w:t xml:space="preserve">f die Dauer der Tests beibehalten werden sollte, um ein </w:t>
      </w:r>
      <w:r w:rsidRPr="00963460">
        <w:t xml:space="preserve">klares Verständnis der in den Prüfungsrichtlinien dargelegten harmonisierten Herangehensweise zu </w:t>
      </w:r>
      <w:r w:rsidRPr="00963460">
        <w:rPr>
          <w:lang w:eastAsia="zh-CN"/>
        </w:rPr>
        <w:t xml:space="preserve">gewährleisten. Die TWA kam überein, dass der Begriff </w:t>
      </w:r>
      <w:r>
        <w:rPr>
          <w:lang w:eastAsia="zh-CN"/>
        </w:rPr>
        <w:t>„</w:t>
      </w:r>
      <w:r w:rsidRPr="00963460">
        <w:rPr>
          <w:lang w:eastAsia="zh-CN"/>
        </w:rPr>
        <w:t>im Allgemeinen</w:t>
      </w:r>
      <w:r w:rsidR="001961BB">
        <w:t>“</w:t>
      </w:r>
      <w:r w:rsidRPr="00963460">
        <w:rPr>
          <w:lang w:eastAsia="zh-CN"/>
        </w:rPr>
        <w:t xml:space="preserve"> im selben Satz ausreichend Flexibilität für den Umgang der Behörden mit besonderen Fällen gewährleiste. </w:t>
      </w:r>
    </w:p>
    <w:p w14:paraId="4FE591B7" w14:textId="77777777" w:rsidR="00F05450" w:rsidRPr="00C70350" w:rsidRDefault="00F05450" w:rsidP="00F05450">
      <w:pPr>
        <w:rPr>
          <w:lang w:eastAsia="zh-CN"/>
        </w:rPr>
      </w:pPr>
    </w:p>
    <w:p w14:paraId="7DFD1F1E" w14:textId="0CBE3355" w:rsidR="00B664CA" w:rsidRPr="00C70350" w:rsidRDefault="00793B6D" w:rsidP="00F05450">
      <w:pPr>
        <w:rPr>
          <w:rFonts w:eastAsia="MS Mincho"/>
        </w:rPr>
      </w:pPr>
      <w:r w:rsidRPr="00963460">
        <w:fldChar w:fldCharType="begin"/>
      </w:r>
      <w:r w:rsidRPr="00963460">
        <w:instrText xml:space="preserve"> AUTONUM  </w:instrText>
      </w:r>
      <w:r w:rsidRPr="00963460">
        <w:fldChar w:fldCharType="end"/>
      </w:r>
      <w:r w:rsidR="00B664CA" w:rsidRPr="00C70350">
        <w:rPr>
          <w:rFonts w:eastAsia="MS Mincho"/>
        </w:rPr>
        <w:tab/>
        <w:t>Die TWF</w:t>
      </w:r>
      <w:r w:rsidR="00EF4263" w:rsidRPr="00C70350">
        <w:rPr>
          <w:rStyle w:val="FootnoteReference"/>
          <w:rFonts w:eastAsia="MS Mincho"/>
        </w:rPr>
        <w:footnoteReference w:id="12"/>
      </w:r>
      <w:r w:rsidR="00CC4821" w:rsidRPr="00C70350">
        <w:rPr>
          <w:rFonts w:eastAsia="MS Mincho"/>
        </w:rPr>
        <w:t xml:space="preserve"> billigte den Vorschlag der</w:t>
      </w:r>
      <w:r w:rsidR="004B2771" w:rsidRPr="00C70350">
        <w:rPr>
          <w:rFonts w:eastAsia="MS Mincho"/>
        </w:rPr>
        <w:t xml:space="preserve"> TWA, das Wort „Mindest</w:t>
      </w:r>
      <w:r w:rsidR="003A592C" w:rsidRPr="00C70350">
        <w:rPr>
          <w:rFonts w:eastAsia="MS Mincho"/>
        </w:rPr>
        <w:t>-</w:t>
      </w:r>
      <w:r w:rsidR="001961BB">
        <w:t>“</w:t>
      </w:r>
      <w:r w:rsidR="00B422F9" w:rsidRPr="00C70350">
        <w:rPr>
          <w:rFonts w:eastAsia="MS Mincho"/>
        </w:rPr>
        <w:t xml:space="preserve"> unter</w:t>
      </w:r>
      <w:r w:rsidR="002B6063" w:rsidRPr="00C70350">
        <w:rPr>
          <w:rFonts w:eastAsia="MS Mincho"/>
        </w:rPr>
        <w:t xml:space="preserve"> </w:t>
      </w:r>
      <w:r w:rsidR="0026280F" w:rsidRPr="00C70350">
        <w:rPr>
          <w:rFonts w:eastAsia="MS Mincho"/>
        </w:rPr>
        <w:t>Zusammenführung beider Sätze in diesem</w:t>
      </w:r>
      <w:r w:rsidR="000B117B" w:rsidRPr="00C70350">
        <w:rPr>
          <w:rFonts w:eastAsia="MS Mincho"/>
        </w:rPr>
        <w:t xml:space="preserve"> </w:t>
      </w:r>
      <w:r w:rsidR="00B422F9" w:rsidRPr="00C70350">
        <w:rPr>
          <w:rFonts w:eastAsia="MS Mincho"/>
        </w:rPr>
        <w:t>Absatz</w:t>
      </w:r>
      <w:r w:rsidR="008B0687" w:rsidRPr="00C70350">
        <w:rPr>
          <w:rFonts w:eastAsia="MS Mincho"/>
        </w:rPr>
        <w:t xml:space="preserve"> beizubehalten</w:t>
      </w:r>
      <w:r w:rsidR="001C61F1" w:rsidRPr="00C70350">
        <w:rPr>
          <w:rFonts w:eastAsia="MS Mincho"/>
        </w:rPr>
        <w:t xml:space="preserve"> wie folgt</w:t>
      </w:r>
      <w:r w:rsidR="00B422F9" w:rsidRPr="00C70350">
        <w:rPr>
          <w:rFonts w:eastAsia="MS Mincho"/>
        </w:rPr>
        <w:t>:</w:t>
      </w:r>
      <w:r w:rsidR="005B1E1B" w:rsidRPr="00C70350">
        <w:rPr>
          <w:rFonts w:eastAsia="MS Mincho"/>
        </w:rPr>
        <w:t xml:space="preserve"> </w:t>
      </w:r>
    </w:p>
    <w:p w14:paraId="4C35DBF6" w14:textId="77777777" w:rsidR="00A673CD" w:rsidRPr="00C70350" w:rsidRDefault="00A673CD" w:rsidP="00F05450">
      <w:pPr>
        <w:rPr>
          <w:rFonts w:eastAsia="MS Mincho"/>
        </w:rPr>
      </w:pPr>
    </w:p>
    <w:p w14:paraId="45FCBC32" w14:textId="6D092D1F" w:rsidR="00A673CD" w:rsidRPr="00C70350" w:rsidRDefault="00A673CD" w:rsidP="00924F62">
      <w:pPr>
        <w:ind w:left="567"/>
        <w:rPr>
          <w:rFonts w:eastAsia="MS Mincho"/>
        </w:rPr>
      </w:pPr>
      <w:r w:rsidRPr="00C70350">
        <w:rPr>
          <w:rFonts w:eastAsia="MS Mincho"/>
        </w:rPr>
        <w:t>„a)</w:t>
      </w:r>
      <w:r w:rsidRPr="00C70350">
        <w:rPr>
          <w:rFonts w:eastAsia="MS Mincho"/>
        </w:rPr>
        <w:tab/>
      </w:r>
      <w:r w:rsidR="00BC79C6" w:rsidRPr="00C70350">
        <w:rPr>
          <w:rFonts w:eastAsia="MS Mincho"/>
        </w:rPr>
        <w:t>Eine Wachstumsperiode</w:t>
      </w:r>
      <w:r w:rsidR="00A85CD9" w:rsidRPr="00C70350">
        <w:rPr>
          <w:rFonts w:eastAsia="MS Mincho"/>
        </w:rPr>
        <w:t>:</w:t>
      </w:r>
    </w:p>
    <w:p w14:paraId="3AB15B81" w14:textId="00F935F8" w:rsidR="00924F62" w:rsidRPr="00C70350" w:rsidRDefault="00924F62" w:rsidP="00924F62">
      <w:pPr>
        <w:ind w:left="567"/>
        <w:rPr>
          <w:rFonts w:eastAsia="MS Mincho"/>
        </w:rPr>
      </w:pPr>
    </w:p>
    <w:p w14:paraId="2C8C05A0" w14:textId="081E12BD" w:rsidR="00D14ECC" w:rsidRPr="00C70350" w:rsidRDefault="00924F62" w:rsidP="00924F62">
      <w:pPr>
        <w:ind w:left="567"/>
      </w:pPr>
      <w:r w:rsidRPr="00C70350">
        <w:rPr>
          <w:rFonts w:eastAsia="MS Mincho"/>
        </w:rPr>
        <w:t xml:space="preserve">„Die </w:t>
      </w:r>
      <w:r w:rsidR="00FB5B01" w:rsidRPr="00C70350">
        <w:rPr>
          <w:rFonts w:eastAsia="MS Mincho"/>
        </w:rPr>
        <w:t xml:space="preserve">Mindestprüfdauer sollte </w:t>
      </w:r>
      <w:r w:rsidR="00B3758A" w:rsidRPr="00C70350">
        <w:rPr>
          <w:strike/>
          <w:highlight w:val="lightGray"/>
          <w:u w:val="single"/>
        </w:rPr>
        <w:t>in der Regel</w:t>
      </w:r>
      <w:r w:rsidR="00B3758A" w:rsidRPr="00C70350">
        <w:rPr>
          <w:highlight w:val="lightGray"/>
          <w:u w:val="single"/>
        </w:rPr>
        <w:t xml:space="preserve"> im Allgemeinen </w:t>
      </w:r>
      <w:r w:rsidR="00FB5B01" w:rsidRPr="00C70350">
        <w:rPr>
          <w:rFonts w:eastAsia="MS Mincho"/>
        </w:rPr>
        <w:t>eine Wachstumsperiode betragen</w:t>
      </w:r>
      <w:r w:rsidR="00F25152" w:rsidRPr="00C70350">
        <w:rPr>
          <w:rFonts w:eastAsia="MS Mincho"/>
        </w:rPr>
        <w:t>;</w:t>
      </w:r>
      <w:r w:rsidR="00F655DA" w:rsidRPr="00C70350">
        <w:rPr>
          <w:rFonts w:eastAsia="MS Mincho"/>
        </w:rPr>
        <w:t xml:space="preserve"> </w:t>
      </w:r>
      <w:r w:rsidR="001A5180" w:rsidRPr="00C70350">
        <w:rPr>
          <w:highlight w:val="lightGray"/>
          <w:u w:val="single"/>
        </w:rPr>
        <w:t>die Prüfung einer Sorte kann jedoch abgeschlossen werden, wenn die zuständige Behörde das Ergebnis der Prüfung mit Sicherheit bestimmen kann.</w:t>
      </w:r>
      <w:r w:rsidR="001961BB">
        <w:t>“</w:t>
      </w:r>
    </w:p>
    <w:p w14:paraId="21366ACE" w14:textId="77777777" w:rsidR="00DF38CC" w:rsidRPr="00C70350" w:rsidRDefault="00DF38CC" w:rsidP="00924F62">
      <w:pPr>
        <w:ind w:left="567"/>
        <w:rPr>
          <w:rFonts w:eastAsia="MS Mincho"/>
        </w:rPr>
      </w:pPr>
    </w:p>
    <w:p w14:paraId="0237F869" w14:textId="2D421FAC" w:rsidR="00D14ECC" w:rsidRPr="00C70350" w:rsidRDefault="00D14ECC" w:rsidP="00924F62">
      <w:pPr>
        <w:ind w:left="567"/>
        <w:rPr>
          <w:rFonts w:eastAsia="MS Mincho"/>
        </w:rPr>
      </w:pPr>
      <w:r w:rsidRPr="00C70350">
        <w:rPr>
          <w:rFonts w:eastAsia="MS Mincho"/>
        </w:rPr>
        <w:t>„</w:t>
      </w:r>
      <w:r w:rsidR="00DF38CC" w:rsidRPr="00C70350">
        <w:rPr>
          <w:rFonts w:eastAsia="MS Mincho"/>
        </w:rPr>
        <w:t>b)</w:t>
      </w:r>
      <w:r w:rsidR="00C7149D">
        <w:rPr>
          <w:rFonts w:eastAsia="MS Mincho"/>
        </w:rPr>
        <w:tab/>
      </w:r>
      <w:r w:rsidRPr="00C70350">
        <w:rPr>
          <w:rFonts w:eastAsia="MS Mincho"/>
        </w:rPr>
        <w:t>Zwei unterschiedliche Wachstumsperioden:</w:t>
      </w:r>
      <w:r w:rsidR="00D51DDA" w:rsidRPr="00C70350">
        <w:rPr>
          <w:rFonts w:eastAsia="MS Mincho"/>
        </w:rPr>
        <w:t xml:space="preserve"> </w:t>
      </w:r>
    </w:p>
    <w:p w14:paraId="79E3633B" w14:textId="77777777" w:rsidR="001A5CE9" w:rsidRPr="00C70350" w:rsidRDefault="001A5CE9" w:rsidP="00924F62">
      <w:pPr>
        <w:ind w:left="567"/>
        <w:rPr>
          <w:rFonts w:eastAsia="MS Mincho"/>
        </w:rPr>
      </w:pPr>
    </w:p>
    <w:p w14:paraId="63049756" w14:textId="70EAD900" w:rsidR="001A1299" w:rsidRPr="00C70350" w:rsidRDefault="001A1299" w:rsidP="001A1299">
      <w:pPr>
        <w:ind w:left="567"/>
      </w:pPr>
      <w:r w:rsidRPr="00C70350">
        <w:rPr>
          <w:rFonts w:eastAsia="MS Mincho"/>
        </w:rPr>
        <w:t xml:space="preserve">„Die Mindestprüfdauer sollte </w:t>
      </w:r>
      <w:r w:rsidRPr="00C70350">
        <w:rPr>
          <w:strike/>
          <w:highlight w:val="lightGray"/>
          <w:u w:val="single"/>
        </w:rPr>
        <w:t>in der Regel</w:t>
      </w:r>
      <w:r w:rsidRPr="00C70350">
        <w:rPr>
          <w:highlight w:val="lightGray"/>
          <w:u w:val="single"/>
        </w:rPr>
        <w:t xml:space="preserve"> im Allgemeinen </w:t>
      </w:r>
      <w:r w:rsidRPr="00C70350">
        <w:rPr>
          <w:rFonts w:eastAsia="MS Mincho"/>
        </w:rPr>
        <w:t xml:space="preserve">zwei unabhängige Wachstumsperioden betragen; </w:t>
      </w:r>
      <w:r w:rsidRPr="00C70350">
        <w:rPr>
          <w:highlight w:val="lightGray"/>
          <w:u w:val="single"/>
        </w:rPr>
        <w:t>die Prüfung einer Sorte kann jedoch abgeschlossen werden, wenn die zuständige Behörde das Ergebnis der Prüfung mit Sicherheit bestimmen kann.</w:t>
      </w:r>
      <w:r w:rsidR="001961BB">
        <w:t>“</w:t>
      </w:r>
    </w:p>
    <w:p w14:paraId="72F5C335" w14:textId="77777777" w:rsidR="00D14ECC" w:rsidRPr="00C70350" w:rsidRDefault="00D14ECC" w:rsidP="00F05450">
      <w:pPr>
        <w:rPr>
          <w:rFonts w:eastAsia="MS Mincho"/>
        </w:rPr>
      </w:pPr>
    </w:p>
    <w:p w14:paraId="250BAB2A" w14:textId="77777777" w:rsidR="006F67A6" w:rsidRPr="00C70350" w:rsidRDefault="006F67A6" w:rsidP="006F67A6">
      <w:pPr>
        <w:rPr>
          <w:rFonts w:eastAsia="MS Mincho"/>
        </w:rPr>
      </w:pPr>
      <w:r w:rsidRPr="00963460">
        <w:fldChar w:fldCharType="begin"/>
      </w:r>
      <w:r w:rsidRPr="00963460">
        <w:instrText xml:space="preserve"> AUTONUM  </w:instrText>
      </w:r>
      <w:r w:rsidRPr="00963460">
        <w:fldChar w:fldCharType="end"/>
      </w:r>
      <w:r w:rsidRPr="00C70350">
        <w:rPr>
          <w:rFonts w:eastAsia="MS Mincho"/>
        </w:rPr>
        <w:tab/>
        <w:t>Der vollständige Auszug aus den Berichten der TWV, TWA und TWO ist im Anhang dieses Dokument enthalten.</w:t>
      </w:r>
    </w:p>
    <w:p w14:paraId="4BB22FA4" w14:textId="77777777" w:rsidR="006F67A6" w:rsidRPr="00C70350" w:rsidRDefault="006F67A6" w:rsidP="006F67A6">
      <w:pPr>
        <w:rPr>
          <w:rFonts w:eastAsia="MS Mincho"/>
        </w:rPr>
      </w:pPr>
    </w:p>
    <w:p w14:paraId="411490B1" w14:textId="77777777" w:rsidR="00D85470" w:rsidRPr="00C70350" w:rsidRDefault="00D85470" w:rsidP="00F05450">
      <w:pPr>
        <w:rPr>
          <w:rFonts w:eastAsia="MS Mincho"/>
        </w:rPr>
      </w:pPr>
    </w:p>
    <w:p w14:paraId="21DE2EFA" w14:textId="4D0E0D28" w:rsidR="00F05450" w:rsidRPr="00C70350" w:rsidRDefault="00F05450" w:rsidP="00F05450">
      <w:pPr>
        <w:pStyle w:val="Heading4"/>
        <w:rPr>
          <w:rFonts w:eastAsia="MS Mincho"/>
          <w:lang w:val="de-DE"/>
        </w:rPr>
      </w:pPr>
      <w:bookmarkStart w:id="18" w:name="_Toc227320761"/>
      <w:r w:rsidRPr="00C70350">
        <w:rPr>
          <w:rFonts w:eastAsia="MS Mincho"/>
          <w:lang w:val="de-DE"/>
        </w:rPr>
        <w:lastRenderedPageBreak/>
        <w:t xml:space="preserve">ASW 3 d) </w:t>
      </w:r>
      <w:r w:rsidR="001961BB">
        <w:t>„</w:t>
      </w:r>
      <w:r w:rsidRPr="00C70350">
        <w:rPr>
          <w:rFonts w:eastAsia="MS Mincho"/>
          <w:lang w:val="de-DE"/>
        </w:rPr>
        <w:t>Erläuterung der Wachstumsperiode: Obstarten</w:t>
      </w:r>
      <w:bookmarkEnd w:id="18"/>
      <w:r w:rsidR="001961BB">
        <w:t>“</w:t>
      </w:r>
    </w:p>
    <w:p w14:paraId="63BCE1CB" w14:textId="77777777" w:rsidR="00F05450" w:rsidRPr="00C70350" w:rsidRDefault="00F05450" w:rsidP="00F05450">
      <w:pPr>
        <w:keepNext/>
        <w:outlineLvl w:val="2"/>
        <w:rPr>
          <w:rFonts w:eastAsia="MS Mincho"/>
          <w:i/>
          <w:spacing w:val="-2"/>
        </w:rPr>
      </w:pPr>
    </w:p>
    <w:p w14:paraId="602F12B1" w14:textId="606DCCF5" w:rsidR="00F05450" w:rsidRPr="00C70350" w:rsidRDefault="00793B6D" w:rsidP="00F05450">
      <w:pPr>
        <w:keepNext/>
        <w:rPr>
          <w:rFonts w:eastAsia="MS Mincho"/>
        </w:rPr>
      </w:pPr>
      <w:r w:rsidRPr="00963460">
        <w:fldChar w:fldCharType="begin"/>
      </w:r>
      <w:r w:rsidRPr="00963460">
        <w:instrText xml:space="preserve"> AUTONUM  </w:instrText>
      </w:r>
      <w:r w:rsidRPr="00963460">
        <w:fldChar w:fldCharType="end"/>
      </w:r>
      <w:r w:rsidR="00BF6970" w:rsidRPr="00C70350">
        <w:t xml:space="preserve"> </w:t>
      </w:r>
      <w:r w:rsidR="00F05450" w:rsidRPr="00C70350">
        <w:rPr>
          <w:rFonts w:eastAsia="MS Mincho"/>
          <w:lang w:eastAsia="zh-CN"/>
        </w:rPr>
        <w:tab/>
        <w:t>Auf ihre</w:t>
      </w:r>
      <w:r w:rsidR="00A661CB" w:rsidRPr="00C70350">
        <w:rPr>
          <w:rFonts w:eastAsia="MS Mincho"/>
          <w:lang w:eastAsia="zh-CN"/>
        </w:rPr>
        <w:t>n</w:t>
      </w:r>
      <w:r w:rsidR="00F05450" w:rsidRPr="00C70350">
        <w:rPr>
          <w:rFonts w:eastAsia="MS Mincho"/>
          <w:lang w:eastAsia="zh-CN"/>
        </w:rPr>
        <w:t xml:space="preserve"> Tagung im Jahr 2026, stimmte</w:t>
      </w:r>
      <w:r w:rsidR="00A661CB" w:rsidRPr="00C70350">
        <w:rPr>
          <w:rFonts w:eastAsia="MS Mincho"/>
          <w:lang w:eastAsia="zh-CN"/>
        </w:rPr>
        <w:t>n</w:t>
      </w:r>
      <w:r w:rsidR="00F05450" w:rsidRPr="00C70350">
        <w:rPr>
          <w:rFonts w:eastAsia="MS Mincho"/>
          <w:lang w:eastAsia="zh-CN"/>
        </w:rPr>
        <w:t xml:space="preserve"> die </w:t>
      </w:r>
      <w:r w:rsidR="00F05450" w:rsidRPr="00C70350">
        <w:rPr>
          <w:rFonts w:eastAsia="MS Mincho"/>
        </w:rPr>
        <w:t xml:space="preserve">TWO </w:t>
      </w:r>
      <w:r w:rsidR="00A661CB" w:rsidRPr="00C70350">
        <w:rPr>
          <w:rFonts w:eastAsia="MS Mincho"/>
        </w:rPr>
        <w:t xml:space="preserve">und </w:t>
      </w:r>
      <w:r w:rsidR="00276D69" w:rsidRPr="00C70350">
        <w:rPr>
          <w:rFonts w:eastAsia="MS Mincho"/>
        </w:rPr>
        <w:t xml:space="preserve">TWF </w:t>
      </w:r>
      <w:r w:rsidR="00F05450" w:rsidRPr="00C70350">
        <w:rPr>
          <w:rFonts w:eastAsia="MS Mincho"/>
        </w:rPr>
        <w:t>dem Vorschlag</w:t>
      </w:r>
      <w:r w:rsidR="00526A1D" w:rsidRPr="00C70350">
        <w:rPr>
          <w:rFonts w:eastAsia="MS Mincho"/>
        </w:rPr>
        <w:t xml:space="preserve"> zu</w:t>
      </w:r>
      <w:r w:rsidR="00F05450" w:rsidRPr="00C70350">
        <w:rPr>
          <w:rFonts w:eastAsia="MS Mincho"/>
        </w:rPr>
        <w:t xml:space="preserve">, den zusätzlichen Standardwortlaut zur Erläuterung der Wachstumsperiode für Obstarten wie folgt zu ändern (ASW 3): </w:t>
      </w:r>
    </w:p>
    <w:p w14:paraId="08ED0A5D" w14:textId="77777777" w:rsidR="00F05450" w:rsidRPr="00C70350" w:rsidRDefault="00F05450" w:rsidP="00F05450">
      <w:pPr>
        <w:ind w:left="567" w:right="567"/>
        <w:jc w:val="left"/>
        <w:rPr>
          <w:rFonts w:eastAsia="MS Mincho"/>
          <w:iCs/>
        </w:rPr>
      </w:pPr>
    </w:p>
    <w:p w14:paraId="08B34125" w14:textId="6F039547" w:rsidR="00F05450" w:rsidRPr="00C70350" w:rsidRDefault="00704132" w:rsidP="00F05450">
      <w:pPr>
        <w:ind w:left="567"/>
        <w:rPr>
          <w:rFonts w:eastAsia="MS Mincho"/>
          <w:i/>
          <w:iCs/>
        </w:rPr>
      </w:pPr>
      <w:r>
        <w:rPr>
          <w:rFonts w:eastAsia="MS Mincho"/>
          <w:i/>
          <w:iCs/>
        </w:rPr>
        <w:t>„</w:t>
      </w:r>
      <w:r w:rsidR="00F05450" w:rsidRPr="00C70350">
        <w:rPr>
          <w:rFonts w:eastAsia="MS Mincho"/>
          <w:i/>
          <w:iCs/>
        </w:rPr>
        <w:t>d)</w:t>
      </w:r>
      <w:r w:rsidR="00F05450" w:rsidRPr="00C70350">
        <w:rPr>
          <w:rFonts w:eastAsia="MS Mincho"/>
          <w:i/>
          <w:iCs/>
        </w:rPr>
        <w:tab/>
        <w:t>Obstarten</w:t>
      </w:r>
    </w:p>
    <w:p w14:paraId="5FD6D41F" w14:textId="77777777" w:rsidR="00F05450" w:rsidRPr="00C70350" w:rsidRDefault="00F05450" w:rsidP="00F05450">
      <w:pPr>
        <w:ind w:left="567" w:right="567"/>
        <w:rPr>
          <w:rFonts w:eastAsia="MS Mincho"/>
        </w:rPr>
      </w:pPr>
    </w:p>
    <w:p w14:paraId="4F94A57E" w14:textId="7782C032" w:rsidR="00F05450" w:rsidRPr="00C70350" w:rsidRDefault="00F05450" w:rsidP="00F05450">
      <w:pPr>
        <w:ind w:left="567" w:right="567"/>
        <w:rPr>
          <w:rFonts w:eastAsia="MS Mincho"/>
        </w:rPr>
      </w:pPr>
      <w:r w:rsidRPr="00C70350">
        <w:rPr>
          <w:rFonts w:eastAsia="MS Mincho"/>
        </w:rPr>
        <w:t>Bei Prüfungsrichtlinien, die Obstarten betreffen, kann in Kapitel 3.1 folgender Satz hinzugefügt werden:</w:t>
      </w:r>
    </w:p>
    <w:p w14:paraId="149DB2C2" w14:textId="77777777" w:rsidR="00F05450" w:rsidRPr="00C70350" w:rsidRDefault="00F05450" w:rsidP="00F05450">
      <w:pPr>
        <w:ind w:left="567" w:right="567"/>
        <w:rPr>
          <w:rFonts w:eastAsia="MS Mincho"/>
        </w:rPr>
      </w:pPr>
    </w:p>
    <w:p w14:paraId="00DF8A1B" w14:textId="7A2050F1" w:rsidR="00F05450" w:rsidRPr="00C70350" w:rsidRDefault="00F05450" w:rsidP="00F05450">
      <w:pPr>
        <w:ind w:left="567" w:right="567"/>
        <w:rPr>
          <w:rFonts w:eastAsia="MS Mincho"/>
        </w:rPr>
      </w:pPr>
      <w:r w:rsidRPr="00C70350">
        <w:rPr>
          <w:rFonts w:eastAsia="MS Mincho"/>
        </w:rPr>
        <w:t xml:space="preserve">Insbesondere ist es erforderlich, dass die [Bäume] / [Pflanzen] </w:t>
      </w:r>
      <w:r w:rsidRPr="00C70350">
        <w:rPr>
          <w:rFonts w:eastAsia="MS Mincho"/>
          <w:strike/>
          <w:highlight w:val="lightGray"/>
        </w:rPr>
        <w:t>jeder der beiden</w:t>
      </w:r>
      <w:r w:rsidRPr="00C70350">
        <w:rPr>
          <w:rFonts w:eastAsia="MS Mincho"/>
        </w:rPr>
        <w:t> </w:t>
      </w:r>
      <w:r w:rsidRPr="00C70350">
        <w:rPr>
          <w:rFonts w:eastAsia="MS Mincho"/>
          <w:highlight w:val="lightGray"/>
          <w:u w:val="single"/>
        </w:rPr>
        <w:t>in einer</w:t>
      </w:r>
      <w:r w:rsidRPr="00C70350">
        <w:rPr>
          <w:rFonts w:eastAsia="MS Mincho"/>
        </w:rPr>
        <w:t xml:space="preserve"> der Wachstumsperioden </w:t>
      </w:r>
      <w:r w:rsidRPr="00C70350">
        <w:rPr>
          <w:rFonts w:eastAsia="MS Mincho"/>
          <w:strike/>
          <w:highlight w:val="lightGray"/>
        </w:rPr>
        <w:t>genügend</w:t>
      </w:r>
      <w:r w:rsidRPr="00C70350">
        <w:rPr>
          <w:rFonts w:eastAsia="MS Mincho"/>
          <w:highlight w:val="lightGray"/>
        </w:rPr>
        <w:t xml:space="preserve"> </w:t>
      </w:r>
      <w:r w:rsidRPr="00C70350">
        <w:rPr>
          <w:rFonts w:eastAsia="MS Mincho"/>
          <w:highlight w:val="lightGray"/>
          <w:u w:val="single"/>
        </w:rPr>
        <w:t>Früchte in für Prüfungszwecke ausreichender Menge</w:t>
      </w:r>
      <w:r w:rsidRPr="00C70350">
        <w:rPr>
          <w:rFonts w:eastAsia="MS Mincho"/>
        </w:rPr>
        <w:t xml:space="preserve"> und Qualität tragen, die für die Sorte repräsentativ sind.</w:t>
      </w:r>
      <w:r w:rsidR="001961BB">
        <w:t>“</w:t>
      </w:r>
    </w:p>
    <w:p w14:paraId="1AC1E82E" w14:textId="77777777" w:rsidR="00F05450" w:rsidRPr="0083573F" w:rsidRDefault="00F05450" w:rsidP="0083573F">
      <w:pPr>
        <w:rPr>
          <w:lang w:eastAsia="zh-CN"/>
        </w:rPr>
      </w:pPr>
    </w:p>
    <w:p w14:paraId="1BF4F34C" w14:textId="78B1C5CA" w:rsidR="00F05450" w:rsidRPr="00C70350" w:rsidRDefault="00793B6D" w:rsidP="007A2480">
      <w:pPr>
        <w:pStyle w:val="DecisionParagraphs"/>
        <w:rPr>
          <w:rFonts w:eastAsia="MS Mincho"/>
          <w:lang w:eastAsia="zh-CN"/>
        </w:rPr>
      </w:pPr>
      <w:r w:rsidRPr="00793B6D">
        <w:rPr>
          <w:iCs/>
        </w:rPr>
        <w:fldChar w:fldCharType="begin"/>
      </w:r>
      <w:r w:rsidRPr="00793B6D">
        <w:rPr>
          <w:iCs/>
        </w:rPr>
        <w:instrText xml:space="preserve"> AUTONUM  </w:instrText>
      </w:r>
      <w:r w:rsidRPr="00793B6D">
        <w:rPr>
          <w:iCs/>
        </w:rPr>
        <w:fldChar w:fldCharType="end"/>
      </w:r>
      <w:r w:rsidR="00371283" w:rsidRPr="00C70350">
        <w:t xml:space="preserve"> </w:t>
      </w:r>
      <w:r w:rsidR="00F05450" w:rsidRPr="00C70350">
        <w:rPr>
          <w:rFonts w:eastAsia="MS Mincho"/>
          <w:lang w:eastAsia="zh-CN"/>
        </w:rPr>
        <w:tab/>
        <w:t xml:space="preserve">Der TC </w:t>
      </w:r>
      <w:r w:rsidR="00606BAD" w:rsidRPr="00C70350">
        <w:rPr>
          <w:rFonts w:eastAsia="MS Mincho"/>
          <w:lang w:eastAsia="zh-CN"/>
        </w:rPr>
        <w:t>und der CAJ werden</w:t>
      </w:r>
      <w:r w:rsidR="00F05450" w:rsidRPr="00C70350">
        <w:rPr>
          <w:rFonts w:eastAsia="MS Mincho"/>
          <w:lang w:eastAsia="zh-CN"/>
        </w:rPr>
        <w:t>d ersucht</w:t>
      </w:r>
      <w:r w:rsidR="00EA659D" w:rsidRPr="00C70350">
        <w:rPr>
          <w:rFonts w:eastAsia="MS Mincho"/>
          <w:lang w:eastAsia="zh-CN"/>
        </w:rPr>
        <w:t xml:space="preserve">, </w:t>
      </w:r>
      <w:r w:rsidR="004B2443" w:rsidRPr="00C70350">
        <w:rPr>
          <w:rFonts w:eastAsia="MS Mincho"/>
          <w:lang w:eastAsia="zh-CN"/>
        </w:rPr>
        <w:t>F</w:t>
      </w:r>
      <w:r w:rsidR="00EA659D" w:rsidRPr="00C70350">
        <w:rPr>
          <w:rFonts w:eastAsia="MS Mincho"/>
          <w:lang w:eastAsia="zh-CN"/>
        </w:rPr>
        <w:t>olgen</w:t>
      </w:r>
      <w:r w:rsidR="00C10D78" w:rsidRPr="00C70350">
        <w:rPr>
          <w:rFonts w:eastAsia="MS Mincho"/>
          <w:lang w:eastAsia="zh-CN"/>
        </w:rPr>
        <w:t>des zu prüfen</w:t>
      </w:r>
      <w:r w:rsidR="00F05450" w:rsidRPr="00C70350">
        <w:rPr>
          <w:rFonts w:eastAsia="MS Mincho"/>
          <w:lang w:eastAsia="zh-CN"/>
        </w:rPr>
        <w:t>:</w:t>
      </w:r>
    </w:p>
    <w:p w14:paraId="1F266DA3" w14:textId="77777777" w:rsidR="00F05450" w:rsidRPr="00C70350" w:rsidRDefault="00F05450" w:rsidP="007A2480">
      <w:pPr>
        <w:pStyle w:val="DecisionParagraphs"/>
        <w:rPr>
          <w:rFonts w:eastAsia="MS Mincho"/>
          <w:lang w:eastAsia="zh-CN"/>
        </w:rPr>
      </w:pPr>
    </w:p>
    <w:p w14:paraId="1428C5E9" w14:textId="6FCB72A0" w:rsidR="0014016A" w:rsidRPr="00C70350" w:rsidRDefault="007A2480" w:rsidP="00417364">
      <w:pPr>
        <w:pStyle w:val="DecisionParagraphs"/>
        <w:tabs>
          <w:tab w:val="left" w:pos="5954"/>
        </w:tabs>
        <w:rPr>
          <w:rFonts w:eastAsia="MS Mincho"/>
          <w:lang w:eastAsia="zh-CN"/>
        </w:rPr>
      </w:pPr>
      <w:r>
        <w:rPr>
          <w:rFonts w:eastAsia="MS Mincho"/>
          <w:lang w:eastAsia="zh-CN"/>
        </w:rPr>
        <w:tab/>
        <w:t>a)</w:t>
      </w:r>
      <w:r>
        <w:rPr>
          <w:rFonts w:eastAsia="MS Mincho"/>
          <w:lang w:eastAsia="zh-CN"/>
        </w:rPr>
        <w:tab/>
      </w:r>
      <w:r w:rsidR="00F05450" w:rsidRPr="00C70350">
        <w:rPr>
          <w:rFonts w:eastAsia="MS Mincho"/>
          <w:lang w:eastAsia="zh-CN"/>
        </w:rPr>
        <w:t xml:space="preserve">die </w:t>
      </w:r>
      <w:r w:rsidR="002974AD" w:rsidRPr="00C70350">
        <w:rPr>
          <w:rFonts w:eastAsia="MS Mincho"/>
          <w:lang w:eastAsia="zh-CN"/>
        </w:rPr>
        <w:t xml:space="preserve">von der TWF </w:t>
      </w:r>
      <w:r w:rsidR="00F05450" w:rsidRPr="00C70350">
        <w:rPr>
          <w:rFonts w:eastAsia="MS Mincho"/>
          <w:lang w:eastAsia="zh-CN"/>
        </w:rPr>
        <w:t xml:space="preserve">vorgeschlagenen Änderungen zu Dokument TGP/7 </w:t>
      </w:r>
      <w:r w:rsidR="001961BB">
        <w:t>„</w:t>
      </w:r>
      <w:r w:rsidR="00F05450" w:rsidRPr="00C70350">
        <w:rPr>
          <w:rFonts w:eastAsia="MS Mincho"/>
          <w:lang w:eastAsia="zh-CN"/>
        </w:rPr>
        <w:t>Erstellung von Prüfungsrichtlinien</w:t>
      </w:r>
      <w:r w:rsidR="001961BB">
        <w:t>“</w:t>
      </w:r>
      <w:r w:rsidR="00526A1D" w:rsidRPr="00C70350">
        <w:rPr>
          <w:rFonts w:eastAsia="MS Mincho"/>
          <w:lang w:eastAsia="zh-CN"/>
        </w:rPr>
        <w:t xml:space="preserve"> </w:t>
      </w:r>
      <w:r w:rsidR="00E90326" w:rsidRPr="00C70350">
        <w:rPr>
          <w:rFonts w:eastAsia="MS Mincho"/>
          <w:lang w:eastAsia="zh-CN"/>
        </w:rPr>
        <w:t xml:space="preserve">bezüglich </w:t>
      </w:r>
      <w:r w:rsidR="00526A1D" w:rsidRPr="00C70350">
        <w:rPr>
          <w:rFonts w:eastAsia="MS Mincho"/>
          <w:lang w:eastAsia="zh-CN"/>
        </w:rPr>
        <w:t>des</w:t>
      </w:r>
      <w:r w:rsidR="00F05450" w:rsidRPr="00C70350">
        <w:rPr>
          <w:rFonts w:eastAsia="MS Mincho"/>
          <w:lang w:eastAsia="zh-CN"/>
        </w:rPr>
        <w:t xml:space="preserve"> Standardwortlaut</w:t>
      </w:r>
      <w:r w:rsidR="00526A1D" w:rsidRPr="00C70350">
        <w:rPr>
          <w:rFonts w:eastAsia="MS Mincho"/>
          <w:lang w:eastAsia="zh-CN"/>
        </w:rPr>
        <w:t>s</w:t>
      </w:r>
      <w:r w:rsidR="00F05450" w:rsidRPr="00C70350">
        <w:rPr>
          <w:rFonts w:eastAsia="MS Mincho"/>
          <w:lang w:eastAsia="zh-CN"/>
        </w:rPr>
        <w:t xml:space="preserve"> für</w:t>
      </w:r>
      <w:r w:rsidR="00FB4F15">
        <w:rPr>
          <w:rFonts w:eastAsia="MS Mincho"/>
          <w:lang w:eastAsia="zh-CN"/>
        </w:rPr>
        <w:t xml:space="preserve"> die</w:t>
      </w:r>
      <w:r w:rsidR="00F05450" w:rsidRPr="00C70350">
        <w:rPr>
          <w:rFonts w:eastAsia="MS Mincho"/>
          <w:lang w:eastAsia="zh-CN"/>
        </w:rPr>
        <w:t xml:space="preserve"> „Anzahl </w:t>
      </w:r>
      <w:r w:rsidR="00FB4F15">
        <w:rPr>
          <w:rFonts w:eastAsia="MS Mincho"/>
          <w:lang w:eastAsia="zh-CN"/>
        </w:rPr>
        <w:t xml:space="preserve">von </w:t>
      </w:r>
      <w:r w:rsidR="00F05450" w:rsidRPr="00C70350">
        <w:rPr>
          <w:rFonts w:eastAsia="MS Mincho"/>
          <w:lang w:eastAsia="zh-CN"/>
        </w:rPr>
        <w:t>Wachstumsperioden</w:t>
      </w:r>
      <w:r w:rsidR="001961BB">
        <w:t>“</w:t>
      </w:r>
      <w:r w:rsidR="0014016A" w:rsidRPr="00C70350">
        <w:rPr>
          <w:rFonts w:eastAsia="MS Mincho"/>
          <w:lang w:eastAsia="zh-CN"/>
        </w:rPr>
        <w:t>,</w:t>
      </w:r>
      <w:r w:rsidR="00F05450" w:rsidRPr="00C70350">
        <w:rPr>
          <w:rFonts w:eastAsia="MS Mincho"/>
          <w:lang w:eastAsia="zh-CN"/>
        </w:rPr>
        <w:t xml:space="preserve"> </w:t>
      </w:r>
      <w:r w:rsidR="0014016A" w:rsidRPr="00C70350">
        <w:rPr>
          <w:rFonts w:eastAsia="MS Mincho"/>
          <w:lang w:eastAsia="zh-CN"/>
        </w:rPr>
        <w:t>wie in Absatz</w:t>
      </w:r>
      <w:r w:rsidR="00FB4F15">
        <w:rPr>
          <w:rFonts w:eastAsia="MS Mincho"/>
          <w:lang w:eastAsia="zh-CN"/>
        </w:rPr>
        <w:t> </w:t>
      </w:r>
      <w:r w:rsidR="0014016A" w:rsidRPr="00C70350">
        <w:rPr>
          <w:rFonts w:eastAsia="MS Mincho"/>
          <w:lang w:eastAsia="zh-CN"/>
        </w:rPr>
        <w:t>43 dargel</w:t>
      </w:r>
      <w:r w:rsidR="001A13C5" w:rsidRPr="00C70350">
        <w:rPr>
          <w:rFonts w:eastAsia="MS Mincho"/>
          <w:lang w:eastAsia="zh-CN"/>
        </w:rPr>
        <w:t>e</w:t>
      </w:r>
      <w:r w:rsidR="0014016A" w:rsidRPr="00C70350">
        <w:rPr>
          <w:rFonts w:eastAsia="MS Mincho"/>
          <w:lang w:eastAsia="zh-CN"/>
        </w:rPr>
        <w:t>gt</w:t>
      </w:r>
      <w:r w:rsidR="00417364">
        <w:rPr>
          <w:rFonts w:eastAsia="MS Mincho"/>
          <w:lang w:eastAsia="zh-CN"/>
        </w:rPr>
        <w:t>;</w:t>
      </w:r>
    </w:p>
    <w:p w14:paraId="6BE3E32C" w14:textId="77777777" w:rsidR="003722AF" w:rsidRPr="00C70350" w:rsidRDefault="003722AF" w:rsidP="00417364">
      <w:pPr>
        <w:pStyle w:val="DecisionParagraphs"/>
        <w:tabs>
          <w:tab w:val="left" w:pos="5954"/>
        </w:tabs>
        <w:rPr>
          <w:rFonts w:eastAsia="MS Mincho"/>
          <w:lang w:eastAsia="zh-CN"/>
        </w:rPr>
      </w:pPr>
    </w:p>
    <w:p w14:paraId="2048B8D5" w14:textId="7C541EA4" w:rsidR="00F05450" w:rsidRPr="00C70350" w:rsidRDefault="007A2480" w:rsidP="00417364">
      <w:pPr>
        <w:pStyle w:val="DecisionParagraphs"/>
        <w:tabs>
          <w:tab w:val="left" w:pos="5954"/>
        </w:tabs>
        <w:rPr>
          <w:rFonts w:eastAsia="MS Mincho"/>
          <w:lang w:eastAsia="zh-CN"/>
        </w:rPr>
      </w:pPr>
      <w:r>
        <w:rPr>
          <w:rFonts w:eastAsia="MS Mincho"/>
          <w:lang w:eastAsia="zh-CN"/>
        </w:rPr>
        <w:tab/>
        <w:t>b)</w:t>
      </w:r>
      <w:r>
        <w:rPr>
          <w:rFonts w:eastAsia="MS Mincho"/>
          <w:lang w:eastAsia="zh-CN"/>
        </w:rPr>
        <w:tab/>
      </w:r>
      <w:r w:rsidR="00417364">
        <w:rPr>
          <w:rFonts w:eastAsia="MS Mincho"/>
          <w:lang w:eastAsia="zh-CN"/>
        </w:rPr>
        <w:t>die</w:t>
      </w:r>
      <w:r w:rsidR="003722AF" w:rsidRPr="00C70350">
        <w:rPr>
          <w:rFonts w:eastAsia="MS Mincho"/>
          <w:lang w:eastAsia="zh-CN"/>
        </w:rPr>
        <w:t xml:space="preserve"> Änderungen bezüglich der </w:t>
      </w:r>
      <w:r w:rsidR="00F05450" w:rsidRPr="00C70350">
        <w:rPr>
          <w:rFonts w:eastAsia="MS Mincho"/>
          <w:lang w:eastAsia="zh-CN"/>
        </w:rPr>
        <w:t xml:space="preserve">„Erläuterung </w:t>
      </w:r>
      <w:r w:rsidR="00DD7652">
        <w:rPr>
          <w:rFonts w:eastAsia="MS Mincho"/>
          <w:lang w:eastAsia="zh-CN"/>
        </w:rPr>
        <w:t>der</w:t>
      </w:r>
      <w:r w:rsidR="00F05450" w:rsidRPr="00C70350">
        <w:rPr>
          <w:rFonts w:eastAsia="MS Mincho"/>
          <w:lang w:eastAsia="zh-CN"/>
        </w:rPr>
        <w:t xml:space="preserve"> Wachstumsperiode für Obstarten</w:t>
      </w:r>
      <w:r w:rsidR="001961BB">
        <w:t>“</w:t>
      </w:r>
      <w:r w:rsidR="003B10A7" w:rsidRPr="00C70350">
        <w:rPr>
          <w:rFonts w:eastAsia="MS Mincho"/>
          <w:lang w:eastAsia="zh-CN"/>
        </w:rPr>
        <w:t xml:space="preserve">, </w:t>
      </w:r>
      <w:r w:rsidR="003B10A7" w:rsidRPr="007A2480">
        <w:rPr>
          <w:rFonts w:eastAsia="MS Mincho"/>
          <w:lang w:eastAsia="zh-CN"/>
        </w:rPr>
        <w:t xml:space="preserve">wie in </w:t>
      </w:r>
      <w:r w:rsidR="003722AF" w:rsidRPr="007A2480">
        <w:rPr>
          <w:rFonts w:eastAsia="MS Mincho"/>
          <w:lang w:eastAsia="zh-CN"/>
        </w:rPr>
        <w:t xml:space="preserve">Absatz </w:t>
      </w:r>
      <w:r w:rsidR="001A13C5" w:rsidRPr="007A2480">
        <w:rPr>
          <w:rFonts w:eastAsia="MS Mincho"/>
          <w:lang w:eastAsia="zh-CN"/>
        </w:rPr>
        <w:t xml:space="preserve">45 </w:t>
      </w:r>
      <w:r w:rsidR="003B10A7" w:rsidRPr="007A2480">
        <w:rPr>
          <w:rFonts w:eastAsia="MS Mincho"/>
          <w:lang w:eastAsia="zh-CN"/>
        </w:rPr>
        <w:t>dieses Dokuments dargelegt</w:t>
      </w:r>
      <w:r w:rsidR="00F05450" w:rsidRPr="007A2480">
        <w:rPr>
          <w:rFonts w:eastAsia="MS Mincho"/>
          <w:lang w:eastAsia="zh-CN"/>
        </w:rPr>
        <w:t>;</w:t>
      </w:r>
    </w:p>
    <w:p w14:paraId="75A9ADAE" w14:textId="77777777" w:rsidR="00371283" w:rsidRDefault="00371283" w:rsidP="007A2480">
      <w:pPr>
        <w:pStyle w:val="DecisionParagraphs"/>
        <w:tabs>
          <w:tab w:val="left" w:pos="5812"/>
        </w:tabs>
        <w:rPr>
          <w:rFonts w:eastAsia="MS Mincho"/>
          <w:lang w:eastAsia="zh-CN"/>
        </w:rPr>
      </w:pPr>
    </w:p>
    <w:p w14:paraId="741BB2D7" w14:textId="77777777" w:rsidR="00CD3509" w:rsidRPr="00C70350" w:rsidRDefault="00CD3509" w:rsidP="007A2480">
      <w:pPr>
        <w:pStyle w:val="DecisionParagraphs"/>
        <w:tabs>
          <w:tab w:val="left" w:pos="5812"/>
        </w:tabs>
        <w:rPr>
          <w:rFonts w:eastAsia="MS Mincho"/>
          <w:lang w:eastAsia="zh-CN"/>
        </w:rPr>
      </w:pPr>
    </w:p>
    <w:p w14:paraId="18D07293" w14:textId="2602BD56" w:rsidR="00F05450" w:rsidRPr="00C70350" w:rsidRDefault="000012FA" w:rsidP="007A2480">
      <w:pPr>
        <w:pStyle w:val="DecisionParagraphs"/>
        <w:tabs>
          <w:tab w:val="left" w:pos="5812"/>
        </w:tabs>
      </w:pPr>
      <w:r w:rsidRPr="00793B6D">
        <w:rPr>
          <w:iCs/>
        </w:rPr>
        <w:fldChar w:fldCharType="begin"/>
      </w:r>
      <w:r w:rsidRPr="00793B6D">
        <w:rPr>
          <w:iCs/>
        </w:rPr>
        <w:instrText xml:space="preserve"> AUTONUM  </w:instrText>
      </w:r>
      <w:r w:rsidRPr="00793B6D">
        <w:rPr>
          <w:iCs/>
        </w:rPr>
        <w:fldChar w:fldCharType="end"/>
      </w:r>
      <w:r w:rsidR="007A2480">
        <w:rPr>
          <w:rFonts w:eastAsia="MS Mincho"/>
          <w:lang w:eastAsia="zh-CN"/>
        </w:rPr>
        <w:tab/>
      </w:r>
      <w:r w:rsidR="00371283" w:rsidRPr="00C70350">
        <w:rPr>
          <w:rFonts w:eastAsia="MS Mincho"/>
          <w:lang w:eastAsia="zh-CN"/>
        </w:rPr>
        <w:t xml:space="preserve">Der Rat wird ersucht, </w:t>
      </w:r>
      <w:r w:rsidR="00F05450" w:rsidRPr="00C70350">
        <w:rPr>
          <w:rFonts w:eastAsia="MS Mincho"/>
          <w:lang w:eastAsia="zh-CN"/>
        </w:rPr>
        <w:t xml:space="preserve">vorbehaltlich der </w:t>
      </w:r>
      <w:r w:rsidR="004D24B5" w:rsidRPr="00C70350">
        <w:rPr>
          <w:rFonts w:eastAsia="MS Mincho"/>
          <w:lang w:eastAsia="zh-CN"/>
        </w:rPr>
        <w:t>Schlussfolgerungen</w:t>
      </w:r>
      <w:r w:rsidR="00F0499F" w:rsidRPr="00C70350">
        <w:rPr>
          <w:rFonts w:eastAsia="MS Mincho"/>
          <w:lang w:eastAsia="zh-CN"/>
        </w:rPr>
        <w:t xml:space="preserve"> des TC und</w:t>
      </w:r>
      <w:r w:rsidR="004D24B5" w:rsidRPr="00C70350">
        <w:rPr>
          <w:rFonts w:eastAsia="MS Mincho"/>
          <w:lang w:eastAsia="zh-CN"/>
        </w:rPr>
        <w:t xml:space="preserve"> </w:t>
      </w:r>
      <w:r w:rsidR="005E282B" w:rsidRPr="005E282B">
        <w:rPr>
          <w:rFonts w:eastAsia="MS Mincho"/>
          <w:lang w:eastAsia="zh-CN"/>
        </w:rPr>
        <w:t>der Zustimmung des</w:t>
      </w:r>
      <w:r w:rsidR="00F05450" w:rsidRPr="00C70350">
        <w:rPr>
          <w:rFonts w:eastAsia="MS Mincho"/>
          <w:lang w:eastAsia="zh-CN"/>
        </w:rPr>
        <w:t xml:space="preserve"> CAJ auf </w:t>
      </w:r>
      <w:r w:rsidR="00F0499F" w:rsidRPr="00C70350">
        <w:rPr>
          <w:rFonts w:eastAsia="MS Mincho"/>
          <w:lang w:eastAsia="zh-CN"/>
        </w:rPr>
        <w:t>deren Tagungen im Jahr 2026</w:t>
      </w:r>
      <w:r w:rsidR="00F05450" w:rsidRPr="00C70350">
        <w:rPr>
          <w:rFonts w:eastAsia="MS Mincho"/>
          <w:lang w:eastAsia="zh-CN"/>
        </w:rPr>
        <w:t xml:space="preserve">, eine </w:t>
      </w:r>
      <w:r w:rsidR="001824E7" w:rsidRPr="00C70350">
        <w:rPr>
          <w:rFonts w:eastAsia="MS Mincho"/>
          <w:lang w:eastAsia="zh-CN"/>
        </w:rPr>
        <w:t xml:space="preserve">Überarbeitung </w:t>
      </w:r>
      <w:r w:rsidR="00F05450" w:rsidRPr="00C70350">
        <w:rPr>
          <w:rFonts w:eastAsia="MS Mincho"/>
          <w:lang w:eastAsia="zh-CN"/>
        </w:rPr>
        <w:t>von Dokument TGP/7</w:t>
      </w:r>
      <w:r w:rsidR="00F83771" w:rsidRPr="00C70350">
        <w:rPr>
          <w:rFonts w:eastAsia="MS Mincho"/>
          <w:lang w:eastAsia="zh-CN"/>
        </w:rPr>
        <w:t xml:space="preserve"> „</w:t>
      </w:r>
      <w:r w:rsidR="009D739A" w:rsidRPr="00C70350">
        <w:rPr>
          <w:rFonts w:eastAsia="MS Mincho"/>
          <w:lang w:eastAsia="zh-CN"/>
        </w:rPr>
        <w:t xml:space="preserve">Erststellung von </w:t>
      </w:r>
      <w:r w:rsidR="009D739A" w:rsidRPr="007A2480">
        <w:rPr>
          <w:rFonts w:eastAsia="MS Mincho"/>
          <w:lang w:eastAsia="zh-CN"/>
        </w:rPr>
        <w:t>Prüfungsrichtlinien</w:t>
      </w:r>
      <w:r w:rsidR="001961BB">
        <w:t>“</w:t>
      </w:r>
      <w:r w:rsidR="009D739A" w:rsidRPr="007A2480">
        <w:rPr>
          <w:rFonts w:eastAsia="MS Mincho"/>
          <w:lang w:eastAsia="zh-CN"/>
        </w:rPr>
        <w:t>, wie in Absätzen 43 und 45</w:t>
      </w:r>
      <w:r w:rsidR="009D739A" w:rsidRPr="00C70350">
        <w:rPr>
          <w:rFonts w:eastAsia="MS Mincho"/>
          <w:lang w:eastAsia="zh-CN"/>
        </w:rPr>
        <w:t xml:space="preserve"> dargelegt,</w:t>
      </w:r>
      <w:r w:rsidR="00F05450" w:rsidRPr="00C70350">
        <w:rPr>
          <w:rFonts w:eastAsia="MS Mincho"/>
          <w:lang w:eastAsia="zh-CN"/>
        </w:rPr>
        <w:t xml:space="preserve"> anzunehmen</w:t>
      </w:r>
      <w:r w:rsidR="00F05450" w:rsidRPr="00C70350">
        <w:t>.</w:t>
      </w:r>
    </w:p>
    <w:p w14:paraId="0CBCF798" w14:textId="77777777" w:rsidR="00F05450" w:rsidRDefault="00F05450" w:rsidP="00F05450">
      <w:pPr>
        <w:rPr>
          <w:lang w:eastAsia="ja-JP"/>
        </w:rPr>
      </w:pPr>
    </w:p>
    <w:p w14:paraId="46402835" w14:textId="77777777" w:rsidR="0032051B" w:rsidRPr="00C70350" w:rsidRDefault="0032051B" w:rsidP="00F05450">
      <w:pPr>
        <w:rPr>
          <w:lang w:eastAsia="ja-JP"/>
        </w:rPr>
      </w:pPr>
    </w:p>
    <w:p w14:paraId="48733B9D" w14:textId="22FF49A5" w:rsidR="00F05450" w:rsidRPr="00C70350" w:rsidRDefault="00F05450" w:rsidP="00F05450">
      <w:pPr>
        <w:pStyle w:val="Heading1"/>
        <w:rPr>
          <w:lang w:val="de-DE"/>
        </w:rPr>
      </w:pPr>
      <w:bookmarkStart w:id="19" w:name="_Toc242122272"/>
      <w:r w:rsidRPr="00C70350">
        <w:rPr>
          <w:lang w:val="de-DE"/>
        </w:rPr>
        <w:t xml:space="preserve">Dokument TGP/12 </w:t>
      </w:r>
      <w:r w:rsidR="001961BB">
        <w:t>„</w:t>
      </w:r>
      <w:r w:rsidRPr="00C70350">
        <w:rPr>
          <w:lang w:val="de-DE"/>
        </w:rPr>
        <w:t>anleitung zu bestimmten physiologischen merkmalen</w:t>
      </w:r>
      <w:bookmarkEnd w:id="19"/>
      <w:r w:rsidR="001961BB">
        <w:t>“</w:t>
      </w:r>
    </w:p>
    <w:p w14:paraId="07C2D51F" w14:textId="77777777" w:rsidR="00F05450" w:rsidRPr="00C70350" w:rsidRDefault="00F05450" w:rsidP="00F05450">
      <w:pPr>
        <w:tabs>
          <w:tab w:val="left" w:pos="1701"/>
        </w:tabs>
        <w:contextualSpacing/>
      </w:pPr>
    </w:p>
    <w:p w14:paraId="5876CCFE" w14:textId="77777777" w:rsidR="00F05450" w:rsidRPr="00846F08" w:rsidRDefault="00F05450" w:rsidP="00C71159">
      <w:pPr>
        <w:pStyle w:val="Heading2"/>
        <w:rPr>
          <w:rFonts w:eastAsia="MS Mincho"/>
          <w:lang w:val="de-DE"/>
        </w:rPr>
      </w:pPr>
      <w:bookmarkStart w:id="20" w:name="_Toc236836506"/>
      <w:bookmarkStart w:id="21" w:name="_Toc242122273"/>
      <w:r w:rsidRPr="00846F08">
        <w:rPr>
          <w:rFonts w:eastAsia="MS Mincho"/>
          <w:lang w:val="de-DE"/>
        </w:rPr>
        <w:t>Die Nomenklatur der Pathogene</w:t>
      </w:r>
      <w:bookmarkEnd w:id="20"/>
      <w:r w:rsidRPr="00846F08">
        <w:rPr>
          <w:rFonts w:eastAsia="MS Mincho"/>
          <w:lang w:val="de-DE"/>
        </w:rPr>
        <w:t>: neuer Haftungsausschluss</w:t>
      </w:r>
      <w:bookmarkEnd w:id="21"/>
    </w:p>
    <w:p w14:paraId="60A31818" w14:textId="77777777" w:rsidR="00F05450" w:rsidRPr="00C70350" w:rsidRDefault="00F05450" w:rsidP="00F05450">
      <w:pPr>
        <w:jc w:val="left"/>
        <w:rPr>
          <w:rFonts w:eastAsia="MS Mincho"/>
        </w:rPr>
      </w:pPr>
    </w:p>
    <w:p w14:paraId="6BE0392B" w14:textId="64CD36D7" w:rsidR="00F05450" w:rsidRPr="00C70350" w:rsidRDefault="00793B6D" w:rsidP="00F05450">
      <w:pPr>
        <w:rPr>
          <w:rFonts w:eastAsia="MS Mincho"/>
        </w:rPr>
      </w:pPr>
      <w:r w:rsidRPr="00963460">
        <w:fldChar w:fldCharType="begin"/>
      </w:r>
      <w:r w:rsidRPr="00963460">
        <w:instrText xml:space="preserve"> AUTONUM  </w:instrText>
      </w:r>
      <w:r w:rsidRPr="00963460">
        <w:fldChar w:fldCharType="end"/>
      </w:r>
      <w:r w:rsidR="00865FD2" w:rsidRPr="00C70350">
        <w:rPr>
          <w:rFonts w:eastAsia="MS Mincho"/>
        </w:rPr>
        <w:t xml:space="preserve"> </w:t>
      </w:r>
      <w:r w:rsidR="00F05450" w:rsidRPr="00C70350">
        <w:rPr>
          <w:rFonts w:eastAsia="MS Mincho"/>
        </w:rPr>
        <w:tab/>
        <w:t>Auf ihrer sechzigsten Tagung</w:t>
      </w:r>
      <w:r w:rsidR="00F05450" w:rsidRPr="00C70350">
        <w:rPr>
          <w:rFonts w:eastAsia="MS Mincho"/>
          <w:vertAlign w:val="superscript"/>
        </w:rPr>
        <w:footnoteReference w:id="13"/>
      </w:r>
      <w:r w:rsidR="00F05450" w:rsidRPr="00C70350">
        <w:rPr>
          <w:rFonts w:eastAsia="MS Mincho"/>
        </w:rPr>
        <w:t>, nahm die TWV zur Kenntnis, dass das Verbandsbüro die folgende Anfrage zur Aktualisierung der Nomenklatur der Pathogene in den Prüfungsrichtlinien für Erbe, Paprika, Tomate und Tomatenunterlagen erhalten hat, und kam überein, dass die Nomenklatur in laufenden oder künftigen Überarbeitungen dieser Prüfungsrichtlinien aktualisiert werden sollte:</w:t>
      </w:r>
    </w:p>
    <w:p w14:paraId="13FE0868" w14:textId="77777777" w:rsidR="00F05450" w:rsidRPr="00C70350" w:rsidRDefault="00F05450" w:rsidP="00F05450">
      <w:pPr>
        <w:rPr>
          <w:rFonts w:eastAsia="MS Mincho"/>
        </w:rPr>
      </w:pPr>
    </w:p>
    <w:tbl>
      <w:tblPr>
        <w:tblW w:w="9629" w:type="dxa"/>
        <w:tblLayout w:type="fixed"/>
        <w:tblCellMar>
          <w:left w:w="0" w:type="dxa"/>
          <w:right w:w="0" w:type="dxa"/>
        </w:tblCellMar>
        <w:tblLook w:val="04A0" w:firstRow="1" w:lastRow="0" w:firstColumn="1" w:lastColumn="0" w:noHBand="0" w:noVBand="1"/>
      </w:tblPr>
      <w:tblGrid>
        <w:gridCol w:w="1550"/>
        <w:gridCol w:w="1134"/>
        <w:gridCol w:w="2835"/>
        <w:gridCol w:w="2835"/>
        <w:gridCol w:w="1275"/>
      </w:tblGrid>
      <w:tr w:rsidR="00F05450" w:rsidRPr="00C70350" w14:paraId="107CFB18" w14:textId="77777777" w:rsidTr="00020EFA">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9532E9" w14:textId="77777777" w:rsidR="00F05450" w:rsidRPr="00C70350" w:rsidRDefault="00F05450" w:rsidP="00020EFA">
            <w:pPr>
              <w:keepNext/>
              <w:jc w:val="center"/>
              <w:rPr>
                <w:rFonts w:eastAsia="MS Mincho"/>
                <w:sz w:val="18"/>
                <w:szCs w:val="18"/>
              </w:rPr>
            </w:pPr>
            <w:r w:rsidRPr="00C70350">
              <w:rPr>
                <w:rFonts w:eastAsia="MS Mincho"/>
                <w:sz w:val="18"/>
                <w:szCs w:val="18"/>
              </w:rPr>
              <w:lastRenderedPageBreak/>
              <w:t>Prüfungs-richtlinien</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DCEBFCD" w14:textId="77777777" w:rsidR="00F05450" w:rsidRPr="00C70350" w:rsidRDefault="00F05450" w:rsidP="00020EFA">
            <w:pPr>
              <w:keepNext/>
              <w:jc w:val="center"/>
              <w:rPr>
                <w:rFonts w:eastAsia="MS Mincho"/>
                <w:sz w:val="18"/>
                <w:szCs w:val="18"/>
              </w:rPr>
            </w:pPr>
            <w:r w:rsidRPr="00C70350">
              <w:rPr>
                <w:rFonts w:eastAsia="MS Mincho"/>
                <w:sz w:val="18"/>
                <w:szCs w:val="18"/>
              </w:rPr>
              <w:t>Resistenz-diagramm</w:t>
            </w:r>
          </w:p>
          <w:p w14:paraId="5FA10D4A" w14:textId="77777777" w:rsidR="00F05450" w:rsidRPr="00C70350" w:rsidRDefault="00F05450" w:rsidP="00020EFA">
            <w:pPr>
              <w:keepNext/>
              <w:jc w:val="center"/>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087A65A" w14:textId="77777777" w:rsidR="00F05450" w:rsidRPr="00C70350" w:rsidRDefault="00F05450" w:rsidP="00020EFA">
            <w:pPr>
              <w:keepNext/>
              <w:jc w:val="center"/>
              <w:rPr>
                <w:rFonts w:eastAsia="MS Mincho"/>
                <w:sz w:val="18"/>
                <w:szCs w:val="18"/>
              </w:rPr>
            </w:pPr>
            <w:r w:rsidRPr="00C70350">
              <w:rPr>
                <w:rFonts w:eastAsia="MS Mincho"/>
                <w:sz w:val="18"/>
                <w:szCs w:val="18"/>
              </w:rPr>
              <w:t>Name in gebilligten TG</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F0595B3" w14:textId="77777777" w:rsidR="00F05450" w:rsidRPr="00C70350" w:rsidRDefault="00F05450" w:rsidP="00020EFA">
            <w:pPr>
              <w:keepNext/>
              <w:jc w:val="center"/>
              <w:rPr>
                <w:rFonts w:eastAsia="MS Mincho"/>
                <w:sz w:val="18"/>
                <w:szCs w:val="18"/>
              </w:rPr>
            </w:pPr>
            <w:r w:rsidRPr="00C70350">
              <w:rPr>
                <w:rFonts w:eastAsia="MS Mincho"/>
                <w:sz w:val="18"/>
                <w:szCs w:val="18"/>
              </w:rPr>
              <w:t>Neuer Name (ab 2026)</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44CC70D" w14:textId="77777777" w:rsidR="00F05450" w:rsidRPr="00C70350" w:rsidRDefault="00F05450" w:rsidP="00020EFA">
            <w:pPr>
              <w:keepNext/>
              <w:jc w:val="left"/>
              <w:rPr>
                <w:rFonts w:eastAsia="MS Mincho"/>
                <w:sz w:val="18"/>
                <w:szCs w:val="18"/>
              </w:rPr>
            </w:pPr>
            <w:r w:rsidRPr="00C70350">
              <w:rPr>
                <w:rFonts w:eastAsia="MS Mincho"/>
                <w:sz w:val="18"/>
                <w:szCs w:val="18"/>
              </w:rPr>
              <w:t>Vorschlag</w:t>
            </w:r>
          </w:p>
        </w:tc>
      </w:tr>
      <w:tr w:rsidR="00F05450" w:rsidRPr="00C70350" w14:paraId="3B33DD71" w14:textId="77777777" w:rsidTr="00020EFA">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B97221" w14:textId="77777777" w:rsidR="00F05450" w:rsidRPr="00C70350" w:rsidRDefault="00F05450" w:rsidP="00020EFA">
            <w:pPr>
              <w:keepNext/>
              <w:jc w:val="left"/>
              <w:rPr>
                <w:rFonts w:eastAsia="MS Mincho"/>
                <w:sz w:val="18"/>
                <w:szCs w:val="18"/>
              </w:rPr>
            </w:pPr>
            <w:r w:rsidRPr="00C70350">
              <w:rPr>
                <w:rFonts w:eastAsia="MS Mincho"/>
                <w:sz w:val="18"/>
                <w:szCs w:val="18"/>
              </w:rPr>
              <w:t xml:space="preserve">Paprika: </w:t>
            </w:r>
            <w:r w:rsidRPr="00C70350">
              <w:rPr>
                <w:rFonts w:eastAsia="MS Mincho"/>
                <w:sz w:val="18"/>
                <w:szCs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65C2E7C" w14:textId="77777777" w:rsidR="00F05450" w:rsidRPr="00C70350" w:rsidRDefault="00F05450" w:rsidP="00020EFA">
            <w:pPr>
              <w:keepNext/>
              <w:rPr>
                <w:rFonts w:eastAsia="MS Mincho"/>
                <w:sz w:val="18"/>
                <w:szCs w:val="18"/>
              </w:rPr>
            </w:pPr>
            <w:r w:rsidRPr="00C70350">
              <w:rPr>
                <w:rFonts w:eastAsia="MS Mincho"/>
                <w:sz w:val="18"/>
                <w:szCs w:val="18"/>
              </w:rPr>
              <w:t>63, 64, 65 - Pathotypen 1, 2, 3</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70245D" w14:textId="77777777" w:rsidR="00F05450" w:rsidRPr="00973485" w:rsidRDefault="00F05450" w:rsidP="00020EFA">
            <w:pPr>
              <w:keepNext/>
              <w:jc w:val="left"/>
              <w:rPr>
                <w:rFonts w:eastAsia="MS Mincho"/>
                <w:sz w:val="18"/>
                <w:szCs w:val="18"/>
                <w:lang w:val="en-GB"/>
              </w:rPr>
            </w:pPr>
            <w:r w:rsidRPr="00973485">
              <w:rPr>
                <w:rFonts w:eastAsia="MS Mincho"/>
                <w:i/>
                <w:iCs/>
                <w:sz w:val="18"/>
                <w:szCs w:val="18"/>
                <w:lang w:val="en-GB"/>
              </w:rPr>
              <w:t>Xanthomonas</w:t>
            </w:r>
            <w:r w:rsidRPr="00973485">
              <w:rPr>
                <w:rFonts w:eastAsia="MS Mincho"/>
                <w:sz w:val="18"/>
                <w:szCs w:val="18"/>
                <w:lang w:val="en-GB"/>
              </w:rPr>
              <w:t xml:space="preserve"> </w:t>
            </w:r>
            <w:proofErr w:type="spellStart"/>
            <w:r w:rsidRPr="00973485">
              <w:rPr>
                <w:rFonts w:eastAsia="MS Mincho"/>
                <w:sz w:val="18"/>
                <w:szCs w:val="18"/>
                <w:lang w:val="en-GB"/>
              </w:rPr>
              <w:t>spp</w:t>
            </w:r>
            <w:proofErr w:type="spellEnd"/>
            <w:r w:rsidRPr="00973485">
              <w:rPr>
                <w:rFonts w:eastAsia="MS Mincho"/>
                <w:sz w:val="18"/>
                <w:szCs w:val="18"/>
                <w:lang w:val="en-GB"/>
              </w:rPr>
              <w:t xml:space="preserve"> (</w:t>
            </w:r>
            <w:proofErr w:type="spellStart"/>
            <w:r w:rsidRPr="00973485">
              <w:rPr>
                <w:rFonts w:eastAsia="MS Mincho"/>
                <w:sz w:val="18"/>
                <w:szCs w:val="18"/>
                <w:lang w:val="en-GB"/>
              </w:rPr>
              <w:t xml:space="preserve">ex </w:t>
            </w:r>
            <w:r w:rsidRPr="00973485">
              <w:rPr>
                <w:rFonts w:eastAsia="MS Mincho"/>
                <w:i/>
                <w:iCs/>
                <w:sz w:val="18"/>
                <w:szCs w:val="18"/>
                <w:lang w:val="en-GB"/>
              </w:rPr>
              <w:t>Xanthomonas</w:t>
            </w:r>
            <w:proofErr w:type="spellEnd"/>
            <w:r w:rsidRPr="00973485">
              <w:rPr>
                <w:rFonts w:eastAsia="MS Mincho"/>
                <w:i/>
                <w:iCs/>
                <w:sz w:val="18"/>
                <w:szCs w:val="18"/>
                <w:lang w:val="en-GB"/>
              </w:rPr>
              <w:t xml:space="preserve"> campestris</w:t>
            </w:r>
            <w:r w:rsidRPr="00973485">
              <w:rPr>
                <w:rFonts w:eastAsia="MS Mincho"/>
                <w:sz w:val="18"/>
                <w:szCs w:val="18"/>
                <w:lang w:val="en-GB"/>
              </w:rPr>
              <w:t xml:space="preserve"> </w:t>
            </w:r>
            <w:proofErr w:type="spellStart"/>
            <w:r w:rsidRPr="00973485">
              <w:rPr>
                <w:rFonts w:eastAsia="MS Mincho"/>
                <w:sz w:val="18"/>
                <w:szCs w:val="18"/>
                <w:lang w:val="en-GB"/>
              </w:rPr>
              <w:t>pv</w:t>
            </w:r>
            <w:proofErr w:type="spellEnd"/>
            <w:r w:rsidRPr="00973485">
              <w:rPr>
                <w:rFonts w:eastAsia="MS Mincho"/>
                <w:sz w:val="18"/>
                <w:szCs w:val="18"/>
                <w:lang w:val="en-GB"/>
              </w:rPr>
              <w:t xml:space="preserve">. </w:t>
            </w:r>
            <w:proofErr w:type="spellStart"/>
            <w:r w:rsidRPr="00973485">
              <w:rPr>
                <w:rFonts w:eastAsia="MS Mincho"/>
                <w:i/>
                <w:iCs/>
                <w:sz w:val="18"/>
                <w:szCs w:val="18"/>
                <w:lang w:val="en-GB"/>
              </w:rPr>
              <w:t>vesicatoria</w:t>
            </w:r>
            <w:proofErr w:type="spellEnd"/>
            <w:r w:rsidRPr="00973485">
              <w:rPr>
                <w:rFonts w:eastAsia="MS Mincho"/>
                <w:sz w:val="18"/>
                <w:szCs w:val="18"/>
                <w:lang w:val="en-GB"/>
              </w:rPr>
              <w:t xml:space="preserve">) (X </w:t>
            </w:r>
            <w:proofErr w:type="spellStart"/>
            <w:r w:rsidRPr="00973485">
              <w:rPr>
                <w:rFonts w:eastAsia="MS Mincho"/>
                <w:sz w:val="18"/>
                <w:szCs w:val="18"/>
                <w:lang w:val="en-GB"/>
              </w:rPr>
              <w:t>spp</w:t>
            </w:r>
            <w:proofErr w:type="spellEnd"/>
            <w:r w:rsidRPr="00973485">
              <w:rPr>
                <w:rFonts w:eastAsia="MS Mincho"/>
                <w:sz w:val="18"/>
                <w:szCs w:val="18"/>
                <w:lang w:val="en-GB"/>
              </w:rPr>
              <w:t xml:space="preserve"> (ex </w:t>
            </w:r>
            <w:proofErr w:type="spellStart"/>
            <w:r w:rsidRPr="00973485">
              <w:rPr>
                <w:rFonts w:eastAsia="MS Mincho"/>
                <w:sz w:val="18"/>
                <w:szCs w:val="18"/>
                <w:lang w:val="en-GB"/>
              </w:rPr>
              <w:t>Xcv</w:t>
            </w:r>
            <w:proofErr w:type="spellEnd"/>
            <w:r w:rsidRPr="00973485">
              <w:rPr>
                <w:rFonts w:eastAsia="MS Mincho"/>
                <w:sz w:val="18"/>
                <w:szCs w:val="18"/>
                <w:lang w:val="en-GB"/>
              </w:rPr>
              <w:t xml:space="preserve">)) </w:t>
            </w:r>
          </w:p>
          <w:p w14:paraId="4E2FCB0B" w14:textId="77777777" w:rsidR="00F05450" w:rsidRPr="00973485" w:rsidRDefault="00F05450" w:rsidP="00020EFA">
            <w:pPr>
              <w:keepNext/>
              <w:jc w:val="left"/>
              <w:rPr>
                <w:rFonts w:eastAsia="MS Mincho"/>
                <w:sz w:val="18"/>
                <w:szCs w:val="18"/>
                <w:lang w:val="en-GB"/>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8D34DF" w14:textId="77777777" w:rsidR="00F05450" w:rsidRPr="00C70350" w:rsidRDefault="00F05450" w:rsidP="00020EFA">
            <w:pPr>
              <w:keepNext/>
              <w:jc w:val="left"/>
              <w:rPr>
                <w:rFonts w:eastAsia="MS Mincho"/>
                <w:sz w:val="18"/>
                <w:szCs w:val="18"/>
              </w:rPr>
            </w:pPr>
            <w:r w:rsidRPr="00C70350">
              <w:rPr>
                <w:rFonts w:eastAsia="MS Mincho"/>
                <w:i/>
                <w:iCs/>
                <w:sz w:val="18"/>
                <w:szCs w:val="18"/>
              </w:rPr>
              <w:t xml:space="preserve">Xanthomonas </w:t>
            </w:r>
            <w:r w:rsidRPr="00C70350">
              <w:rPr>
                <w:rFonts w:eastAsia="MS Mincho"/>
                <w:sz w:val="18"/>
                <w:szCs w:val="18"/>
              </w:rPr>
              <w:t xml:space="preserve">spp (X spp) </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6321A9E" w14:textId="77777777" w:rsidR="00F05450" w:rsidRPr="00C70350" w:rsidRDefault="00F05450" w:rsidP="00020EFA">
            <w:pPr>
              <w:keepNext/>
              <w:jc w:val="left"/>
              <w:rPr>
                <w:rFonts w:eastAsia="MS Mincho"/>
                <w:sz w:val="18"/>
                <w:szCs w:val="18"/>
              </w:rPr>
            </w:pPr>
            <w:r w:rsidRPr="00C70350">
              <w:rPr>
                <w:rFonts w:eastAsia="MS Mincho"/>
                <w:sz w:val="18"/>
                <w:szCs w:val="18"/>
              </w:rPr>
              <w:t>In künftiger Überarbeitung ändern</w:t>
            </w:r>
          </w:p>
        </w:tc>
      </w:tr>
      <w:tr w:rsidR="00F05450" w:rsidRPr="00C70350" w14:paraId="2F39F776"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4FC2FAD0" w14:textId="77777777" w:rsidR="00F05450" w:rsidRPr="00C70350" w:rsidRDefault="00F05450" w:rsidP="00020EFA">
            <w:pPr>
              <w:keepNext/>
              <w:jc w:val="left"/>
              <w:rPr>
                <w:rFonts w:eastAsia="MS Mincho"/>
                <w:sz w:val="18"/>
                <w:szCs w:val="18"/>
              </w:rPr>
            </w:pPr>
            <w:r w:rsidRPr="00C70350">
              <w:rPr>
                <w:rFonts w:eastAsia="MS Mincho"/>
                <w:sz w:val="18"/>
                <w:szCs w:val="18"/>
              </w:rPr>
              <w:t xml:space="preserve">Erbse: </w:t>
            </w:r>
            <w:r w:rsidRPr="00C70350">
              <w:rPr>
                <w:rFonts w:eastAsia="MS Mincho"/>
                <w:sz w:val="18"/>
                <w:szCs w:val="18"/>
              </w:rPr>
              <w:br/>
              <w:t xml:space="preserve">TG/7/10 Rev. 3 </w:t>
            </w:r>
          </w:p>
          <w:p w14:paraId="061CD156" w14:textId="77777777" w:rsidR="00F05450" w:rsidRPr="00C70350" w:rsidRDefault="00F05450" w:rsidP="00020EFA">
            <w:pPr>
              <w:keepNext/>
              <w:jc w:val="left"/>
              <w:rPr>
                <w:rFonts w:eastAsia="MS Mincho"/>
                <w:sz w:val="18"/>
                <w:szCs w:val="18"/>
              </w:rPr>
            </w:pPr>
            <w:r w:rsidRPr="00C70350">
              <w:rPr>
                <w:rFonts w:eastAsia="MS Mincho"/>
                <w:sz w:val="18"/>
                <w:szCs w:val="18"/>
              </w:rPr>
              <w:t> </w:t>
            </w:r>
          </w:p>
          <w:p w14:paraId="1A978691"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12369A" w14:textId="77777777" w:rsidR="00F05450" w:rsidRPr="00C70350" w:rsidRDefault="00F05450" w:rsidP="00020EFA">
            <w:pPr>
              <w:keepNext/>
              <w:rPr>
                <w:rFonts w:eastAsia="MS Mincho"/>
                <w:sz w:val="18"/>
                <w:szCs w:val="18"/>
              </w:rPr>
            </w:pPr>
            <w:r w:rsidRPr="00C70350">
              <w:rPr>
                <w:rFonts w:eastAsia="MS Mincho"/>
                <w:sz w:val="18"/>
                <w:szCs w:val="18"/>
              </w:rPr>
              <w:t>58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FC58830" w14:textId="77777777" w:rsidR="00F05450" w:rsidRPr="00C70350" w:rsidRDefault="00F05450" w:rsidP="00020EFA">
            <w:pPr>
              <w:keepNext/>
              <w:jc w:val="left"/>
              <w:rPr>
                <w:rFonts w:eastAsia="MS Mincho"/>
                <w:sz w:val="18"/>
                <w:szCs w:val="18"/>
              </w:rPr>
            </w:pPr>
            <w:r w:rsidRPr="00C70350">
              <w:rPr>
                <w:rFonts w:eastAsia="MS Mincho"/>
                <w:i/>
                <w:iCs/>
                <w:sz w:val="18"/>
                <w:szCs w:val="18"/>
              </w:rPr>
              <w:t>Fusarium oxysporum</w:t>
            </w:r>
            <w:r w:rsidRPr="00C70350">
              <w:rPr>
                <w:rFonts w:eastAsia="MS Mincho"/>
                <w:sz w:val="18"/>
                <w:szCs w:val="18"/>
              </w:rPr>
              <w:t xml:space="preserve"> f. sp. </w:t>
            </w:r>
            <w:r w:rsidRPr="00C70350">
              <w:rPr>
                <w:rFonts w:eastAsia="MS Mincho"/>
                <w:i/>
                <w:iCs/>
                <w:sz w:val="18"/>
                <w:szCs w:val="18"/>
              </w:rPr>
              <w:t>pisi</w:t>
            </w:r>
            <w:r w:rsidRPr="00C70350">
              <w:rPr>
                <w:rFonts w:eastAsia="MS Mincho"/>
                <w:sz w:val="18"/>
                <w:szCs w:val="18"/>
              </w:rPr>
              <w:t xml:space="preserve">  </w:t>
            </w:r>
          </w:p>
          <w:p w14:paraId="680675E6"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AE5D7F0" w14:textId="77777777" w:rsidR="00F05450" w:rsidRPr="00C70350" w:rsidRDefault="00F05450" w:rsidP="00020EFA">
            <w:pPr>
              <w:keepNext/>
              <w:jc w:val="left"/>
              <w:rPr>
                <w:rFonts w:eastAsia="MS Mincho"/>
                <w:sz w:val="18"/>
                <w:szCs w:val="18"/>
              </w:rPr>
            </w:pPr>
            <w:r w:rsidRPr="00C70350">
              <w:rPr>
                <w:rFonts w:eastAsia="MS Mincho"/>
                <w:sz w:val="18"/>
                <w:szCs w:val="18"/>
              </w:rPr>
              <w:t xml:space="preserve">Hinzufügen von (Fop) hinter Bezeichnung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3E99F4CB" w14:textId="77777777" w:rsidR="00F05450" w:rsidRPr="00C70350" w:rsidRDefault="00F05450" w:rsidP="00020EFA">
            <w:pPr>
              <w:keepNext/>
              <w:jc w:val="left"/>
              <w:rPr>
                <w:rFonts w:eastAsia="MS Mincho"/>
                <w:sz w:val="18"/>
                <w:szCs w:val="18"/>
              </w:rPr>
            </w:pPr>
            <w:r w:rsidRPr="00C70350">
              <w:rPr>
                <w:rFonts w:eastAsia="MS Mincho"/>
                <w:sz w:val="18"/>
                <w:szCs w:val="18"/>
              </w:rPr>
              <w:t xml:space="preserve">Einbeziehung in im Oktober 2025 gebilligter Teil-überarbeitung (TQ 4.2) </w:t>
            </w:r>
          </w:p>
          <w:p w14:paraId="3350EB16" w14:textId="77777777" w:rsidR="00F05450" w:rsidRPr="00C70350" w:rsidRDefault="00F05450" w:rsidP="00020EFA">
            <w:pPr>
              <w:keepNext/>
              <w:jc w:val="left"/>
              <w:rPr>
                <w:rFonts w:eastAsia="MS Mincho"/>
                <w:sz w:val="18"/>
                <w:szCs w:val="18"/>
              </w:rPr>
            </w:pPr>
            <w:r w:rsidRPr="00C70350">
              <w:rPr>
                <w:rFonts w:eastAsia="MS Mincho"/>
                <w:sz w:val="18"/>
                <w:szCs w:val="18"/>
              </w:rPr>
              <w:t> </w:t>
            </w:r>
          </w:p>
          <w:p w14:paraId="42576E94" w14:textId="77777777" w:rsidR="00F05450" w:rsidRPr="00C70350" w:rsidRDefault="00F05450" w:rsidP="00020EFA">
            <w:pPr>
              <w:keepNext/>
              <w:jc w:val="left"/>
              <w:rPr>
                <w:rFonts w:eastAsia="MS Mincho"/>
                <w:sz w:val="18"/>
                <w:szCs w:val="18"/>
              </w:rPr>
            </w:pPr>
            <w:r w:rsidRPr="00C70350">
              <w:rPr>
                <w:rFonts w:eastAsia="MS Mincho"/>
                <w:i/>
                <w:iCs/>
                <w:sz w:val="18"/>
                <w:szCs w:val="18"/>
              </w:rPr>
              <w:t> </w:t>
            </w:r>
          </w:p>
        </w:tc>
      </w:tr>
      <w:tr w:rsidR="00F05450" w:rsidRPr="00C70350" w14:paraId="346F6C6D" w14:textId="77777777" w:rsidTr="00020EFA">
        <w:tc>
          <w:tcPr>
            <w:tcW w:w="1550" w:type="dxa"/>
            <w:vMerge/>
            <w:tcBorders>
              <w:left w:val="single" w:sz="8" w:space="0" w:color="000000"/>
              <w:right w:val="single" w:sz="8" w:space="0" w:color="000000"/>
            </w:tcBorders>
            <w:tcMar>
              <w:top w:w="15" w:type="dxa"/>
              <w:left w:w="108" w:type="dxa"/>
              <w:bottom w:w="0" w:type="dxa"/>
              <w:right w:w="108" w:type="dxa"/>
            </w:tcMar>
            <w:hideMark/>
          </w:tcPr>
          <w:p w14:paraId="5DD73F95" w14:textId="77777777" w:rsidR="00F05450" w:rsidRPr="00C7035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AF2F8A" w14:textId="77777777" w:rsidR="00F05450" w:rsidRPr="00C70350" w:rsidRDefault="00F05450" w:rsidP="00020EFA">
            <w:pPr>
              <w:keepNext/>
              <w:rPr>
                <w:rFonts w:eastAsia="MS Mincho"/>
                <w:sz w:val="18"/>
                <w:szCs w:val="18"/>
              </w:rPr>
            </w:pPr>
            <w:r w:rsidRPr="00C70350">
              <w:rPr>
                <w:rFonts w:eastAsia="MS Mincho"/>
                <w:sz w:val="18"/>
                <w:szCs w:val="18"/>
              </w:rPr>
              <w:t>59</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CBF9700" w14:textId="77777777" w:rsidR="00F05450" w:rsidRPr="00C70350" w:rsidRDefault="00F05450" w:rsidP="00020EFA">
            <w:pPr>
              <w:keepNext/>
              <w:jc w:val="left"/>
              <w:rPr>
                <w:rFonts w:eastAsia="MS Mincho"/>
                <w:sz w:val="18"/>
                <w:szCs w:val="18"/>
              </w:rPr>
            </w:pPr>
            <w:r w:rsidRPr="00C70350">
              <w:rPr>
                <w:rFonts w:eastAsia="MS Mincho"/>
                <w:i/>
                <w:iCs/>
                <w:sz w:val="18"/>
                <w:szCs w:val="18"/>
              </w:rPr>
              <w:t>Erysiphe pisi</w:t>
            </w:r>
            <w:r w:rsidRPr="00C70350">
              <w:rPr>
                <w:rFonts w:eastAsia="MS Mincho"/>
                <w:sz w:val="18"/>
                <w:szCs w:val="18"/>
              </w:rPr>
              <w:t xml:space="preserve"> Syd.</w:t>
            </w:r>
          </w:p>
          <w:p w14:paraId="6D10BAFB" w14:textId="77777777" w:rsidR="00F05450" w:rsidRPr="00C70350" w:rsidRDefault="00F05450" w:rsidP="00020EFA">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E2232C" w14:textId="77777777" w:rsidR="00F05450" w:rsidRPr="00C70350" w:rsidRDefault="00F05450" w:rsidP="00020EFA">
            <w:pPr>
              <w:keepNext/>
              <w:jc w:val="left"/>
              <w:rPr>
                <w:rFonts w:eastAsia="MS Mincho"/>
                <w:sz w:val="18"/>
                <w:szCs w:val="18"/>
              </w:rPr>
            </w:pPr>
            <w:r w:rsidRPr="00C70350">
              <w:rPr>
                <w:rFonts w:eastAsia="MS Mincho"/>
                <w:sz w:val="18"/>
                <w:szCs w:val="18"/>
              </w:rPr>
              <w:t>Hinzufügen von (Ep) hinter Bezeichnung</w:t>
            </w:r>
          </w:p>
        </w:tc>
        <w:tc>
          <w:tcPr>
            <w:tcW w:w="1275" w:type="dxa"/>
            <w:vMerge/>
            <w:tcBorders>
              <w:left w:val="single" w:sz="8" w:space="0" w:color="000000"/>
              <w:right w:val="single" w:sz="8" w:space="0" w:color="000000"/>
            </w:tcBorders>
            <w:tcMar>
              <w:top w:w="15" w:type="dxa"/>
              <w:left w:w="15" w:type="dxa"/>
              <w:bottom w:w="0" w:type="dxa"/>
              <w:right w:w="15" w:type="dxa"/>
            </w:tcMar>
            <w:hideMark/>
          </w:tcPr>
          <w:p w14:paraId="3F6C2FB8" w14:textId="77777777" w:rsidR="00F05450" w:rsidRPr="00C70350" w:rsidRDefault="00F05450" w:rsidP="00020EFA">
            <w:pPr>
              <w:keepNext/>
              <w:jc w:val="left"/>
              <w:rPr>
                <w:rFonts w:eastAsia="MS Mincho"/>
                <w:sz w:val="18"/>
                <w:szCs w:val="18"/>
              </w:rPr>
            </w:pPr>
          </w:p>
        </w:tc>
      </w:tr>
      <w:tr w:rsidR="00F05450" w:rsidRPr="00C70350" w14:paraId="13400E87"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19F6F7C" w14:textId="77777777" w:rsidR="00F05450" w:rsidRPr="00C7035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C84B260" w14:textId="77777777" w:rsidR="00F05450" w:rsidRPr="00C70350" w:rsidRDefault="00F05450" w:rsidP="00020EFA">
            <w:pPr>
              <w:keepNext/>
              <w:rPr>
                <w:rFonts w:eastAsia="MS Mincho"/>
                <w:sz w:val="18"/>
                <w:szCs w:val="18"/>
              </w:rPr>
            </w:pPr>
            <w:r w:rsidRPr="00C70350">
              <w:rPr>
                <w:rFonts w:eastAsia="MS Mincho"/>
                <w:sz w:val="18"/>
                <w:szCs w:val="18"/>
              </w:rPr>
              <w:t>60</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9BBEDE9" w14:textId="77777777" w:rsidR="00F05450" w:rsidRPr="00C70350" w:rsidRDefault="00F05450" w:rsidP="00020EFA">
            <w:pPr>
              <w:keepNext/>
              <w:jc w:val="left"/>
              <w:rPr>
                <w:rFonts w:eastAsia="MS Mincho"/>
                <w:sz w:val="18"/>
                <w:szCs w:val="18"/>
              </w:rPr>
            </w:pPr>
            <w:r w:rsidRPr="00C70350">
              <w:rPr>
                <w:rFonts w:eastAsia="MS Mincho"/>
                <w:i/>
                <w:iCs/>
                <w:sz w:val="18"/>
                <w:szCs w:val="18"/>
              </w:rPr>
              <w:t>Ascochyta pisi</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9A2BFBC" w14:textId="77777777" w:rsidR="00F05450" w:rsidRPr="00C70350" w:rsidRDefault="00F05450" w:rsidP="00020EFA">
            <w:pPr>
              <w:keepNext/>
              <w:jc w:val="left"/>
              <w:rPr>
                <w:rFonts w:eastAsia="MS Mincho"/>
                <w:sz w:val="18"/>
                <w:szCs w:val="18"/>
              </w:rPr>
            </w:pPr>
            <w:r w:rsidRPr="00C70350">
              <w:rPr>
                <w:rFonts w:eastAsia="MS Mincho"/>
                <w:i/>
                <w:iCs/>
                <w:sz w:val="18"/>
                <w:szCs w:val="18"/>
              </w:rPr>
              <w:t xml:space="preserve">Didymella pisi </w:t>
            </w:r>
            <w:r w:rsidRPr="00C70350">
              <w:rPr>
                <w:rFonts w:eastAsia="MS Mincho"/>
                <w:sz w:val="18"/>
                <w:szCs w:val="18"/>
              </w:rPr>
              <w:t>(Dp)</w:t>
            </w:r>
          </w:p>
          <w:p w14:paraId="53A2830F"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1C8AC8A4" w14:textId="77777777" w:rsidR="00F05450" w:rsidRPr="00C70350" w:rsidRDefault="00F05450" w:rsidP="00020EFA">
            <w:pPr>
              <w:keepNext/>
              <w:jc w:val="left"/>
              <w:rPr>
                <w:rFonts w:eastAsia="MS Mincho"/>
                <w:sz w:val="18"/>
                <w:szCs w:val="18"/>
              </w:rPr>
            </w:pPr>
          </w:p>
        </w:tc>
      </w:tr>
      <w:tr w:rsidR="00F05450" w:rsidRPr="00C70350" w14:paraId="7B424012"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1B7A0772" w14:textId="77777777" w:rsidR="00F05450" w:rsidRPr="00C70350" w:rsidRDefault="00F05450" w:rsidP="00020EFA">
            <w:pPr>
              <w:keepNext/>
              <w:jc w:val="left"/>
              <w:rPr>
                <w:rFonts w:eastAsia="MS Mincho"/>
                <w:sz w:val="18"/>
                <w:szCs w:val="18"/>
              </w:rPr>
            </w:pPr>
            <w:r w:rsidRPr="00C70350">
              <w:rPr>
                <w:rFonts w:eastAsia="MS Mincho"/>
                <w:sz w:val="18"/>
                <w:szCs w:val="18"/>
              </w:rPr>
              <w:t xml:space="preserve">Tomate: </w:t>
            </w:r>
            <w:r w:rsidRPr="00C70350">
              <w:rPr>
                <w:rFonts w:eastAsia="MS Mincho"/>
                <w:sz w:val="18"/>
                <w:szCs w:val="18"/>
              </w:rPr>
              <w:br/>
              <w:t>TG/44/12 Rev.</w:t>
            </w:r>
          </w:p>
          <w:p w14:paraId="337C4EF2"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2ED6C09" w14:textId="77777777" w:rsidR="00F05450" w:rsidRPr="00C70350" w:rsidRDefault="00F05450" w:rsidP="00020EFA">
            <w:pPr>
              <w:keepNext/>
              <w:rPr>
                <w:rFonts w:eastAsia="MS Mincho"/>
                <w:sz w:val="18"/>
                <w:szCs w:val="18"/>
              </w:rPr>
            </w:pPr>
            <w:r w:rsidRPr="00C70350">
              <w:rPr>
                <w:rFonts w:eastAsia="MS Mincho"/>
                <w:sz w:val="18"/>
                <w:szCs w:val="18"/>
              </w:rPr>
              <w:t>64</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56721B" w14:textId="77777777" w:rsidR="00F05450" w:rsidRPr="00C70350" w:rsidRDefault="00F05450" w:rsidP="00020EFA">
            <w:pPr>
              <w:keepNext/>
              <w:jc w:val="left"/>
              <w:rPr>
                <w:rFonts w:eastAsia="MS Mincho"/>
                <w:sz w:val="18"/>
                <w:szCs w:val="18"/>
              </w:rPr>
            </w:pPr>
            <w:r w:rsidRPr="00C70350">
              <w:rPr>
                <w:rFonts w:eastAsia="MS Mincho"/>
                <w:i/>
                <w:iCs/>
                <w:sz w:val="18"/>
                <w:szCs w:val="18"/>
              </w:rPr>
              <w:t>Pseudopyrenochaeta lycopersici)</w:t>
            </w:r>
            <w:r w:rsidRPr="00C70350">
              <w:rPr>
                <w:rFonts w:eastAsia="MS Mincho"/>
                <w:sz w:val="18"/>
                <w:szCs w:val="18"/>
              </w:rPr>
              <w:t xml:space="preserve"> (ex</w:t>
            </w:r>
            <w:r w:rsidRPr="00C70350">
              <w:rPr>
                <w:rFonts w:eastAsia="MS Mincho"/>
                <w:i/>
                <w:iCs/>
                <w:sz w:val="18"/>
                <w:szCs w:val="18"/>
              </w:rPr>
              <w:t xml:space="preserve"> Pyrenochaeta lycopersici</w:t>
            </w:r>
            <w:r w:rsidRPr="00C70350">
              <w:rPr>
                <w:rFonts w:eastAsia="MS Mincho"/>
                <w:sz w:val="18"/>
                <w:szCs w:val="18"/>
              </w:rPr>
              <w:t xml:space="preserve"> (Pl)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46451AB" w14:textId="77777777" w:rsidR="00F05450" w:rsidRPr="00C70350" w:rsidRDefault="00F05450" w:rsidP="00020EFA">
            <w:pPr>
              <w:keepNext/>
              <w:jc w:val="left"/>
              <w:rPr>
                <w:rFonts w:eastAsia="MS Mincho"/>
                <w:sz w:val="18"/>
                <w:szCs w:val="18"/>
              </w:rPr>
            </w:pPr>
            <w:r w:rsidRPr="00C70350">
              <w:rPr>
                <w:rFonts w:eastAsia="MS Mincho"/>
                <w:i/>
                <w:iCs/>
                <w:sz w:val="18"/>
                <w:szCs w:val="18"/>
              </w:rPr>
              <w:t>Pseudopyrenochaeta lycopersici</w:t>
            </w:r>
            <w:r w:rsidRPr="00C70350">
              <w:rPr>
                <w:rFonts w:eastAsia="MS Mincho"/>
                <w:sz w:val="18"/>
                <w:szCs w:val="18"/>
              </w:rPr>
              <w:t xml:space="preserve"> (Pl)</w:t>
            </w:r>
          </w:p>
          <w:p w14:paraId="479E017C"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3ABCF56" w14:textId="77777777" w:rsidR="00F05450" w:rsidRPr="00C70350" w:rsidRDefault="00F05450" w:rsidP="00020EFA">
            <w:pPr>
              <w:keepNext/>
              <w:jc w:val="left"/>
              <w:rPr>
                <w:rFonts w:eastAsia="MS Mincho"/>
                <w:sz w:val="18"/>
                <w:szCs w:val="18"/>
              </w:rPr>
            </w:pPr>
            <w:r w:rsidRPr="00C70350">
              <w:rPr>
                <w:rFonts w:eastAsia="MS Mincho"/>
                <w:sz w:val="18"/>
                <w:szCs w:val="18"/>
              </w:rPr>
              <w:t>In künftiger Überarbeitung ändern</w:t>
            </w:r>
            <w:r w:rsidRPr="00C70350">
              <w:rPr>
                <w:rFonts w:eastAsia="MS Mincho"/>
                <w:i/>
                <w:iCs/>
                <w:sz w:val="18"/>
                <w:szCs w:val="18"/>
              </w:rPr>
              <w:t> </w:t>
            </w:r>
          </w:p>
          <w:p w14:paraId="413DCF30" w14:textId="77777777" w:rsidR="00F05450" w:rsidRPr="00C70350" w:rsidRDefault="00F05450" w:rsidP="00020EFA">
            <w:pPr>
              <w:keepNext/>
              <w:jc w:val="left"/>
              <w:rPr>
                <w:rFonts w:eastAsia="MS Mincho"/>
                <w:sz w:val="18"/>
                <w:szCs w:val="18"/>
              </w:rPr>
            </w:pPr>
            <w:r w:rsidRPr="00C70350">
              <w:rPr>
                <w:rFonts w:eastAsia="MS Mincho"/>
                <w:i/>
                <w:sz w:val="18"/>
                <w:szCs w:val="18"/>
              </w:rPr>
              <w:t> </w:t>
            </w:r>
          </w:p>
        </w:tc>
      </w:tr>
      <w:tr w:rsidR="00F05450" w:rsidRPr="00C70350" w14:paraId="72A537F5"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7A0F85D" w14:textId="77777777" w:rsidR="00F05450" w:rsidRPr="00C70350" w:rsidRDefault="00F05450" w:rsidP="00020EFA">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64CB26" w14:textId="77777777" w:rsidR="00F05450" w:rsidRPr="00C70350" w:rsidRDefault="00F05450" w:rsidP="00020EFA">
            <w:pPr>
              <w:keepNext/>
              <w:rPr>
                <w:rFonts w:eastAsia="MS Mincho"/>
                <w:sz w:val="18"/>
                <w:szCs w:val="18"/>
              </w:rPr>
            </w:pPr>
            <w:r w:rsidRPr="00C70350">
              <w:rPr>
                <w:rFonts w:eastAsia="MS Mincho"/>
                <w:sz w:val="18"/>
                <w:szCs w:val="18"/>
              </w:rPr>
              <w:t>71</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6D22F97" w14:textId="77777777" w:rsidR="00F05450" w:rsidRPr="00973485" w:rsidRDefault="00F05450" w:rsidP="00020EFA">
            <w:pPr>
              <w:keepNext/>
              <w:jc w:val="left"/>
              <w:rPr>
                <w:rFonts w:eastAsia="MS Mincho"/>
                <w:sz w:val="18"/>
                <w:szCs w:val="18"/>
                <w:lang w:val="en-GB"/>
              </w:rPr>
            </w:pPr>
            <w:proofErr w:type="spellStart"/>
            <w:r w:rsidRPr="00973485">
              <w:rPr>
                <w:rFonts w:eastAsia="MS Mincho"/>
                <w:i/>
                <w:iCs/>
                <w:sz w:val="18"/>
                <w:szCs w:val="18"/>
                <w:lang w:val="en-GB"/>
              </w:rPr>
              <w:t>Pseudoidium</w:t>
            </w:r>
            <w:proofErr w:type="spellEnd"/>
            <w:r w:rsidRPr="00973485">
              <w:rPr>
                <w:rFonts w:eastAsia="MS Mincho"/>
                <w:i/>
                <w:iCs/>
                <w:sz w:val="18"/>
                <w:szCs w:val="18"/>
                <w:lang w:val="en-GB"/>
              </w:rPr>
              <w:t xml:space="preserve"> </w:t>
            </w:r>
            <w:proofErr w:type="spellStart"/>
            <w:r w:rsidRPr="00973485">
              <w:rPr>
                <w:rFonts w:eastAsia="MS Mincho"/>
                <w:i/>
                <w:iCs/>
                <w:sz w:val="18"/>
                <w:szCs w:val="18"/>
                <w:lang w:val="en-GB"/>
              </w:rPr>
              <w:t>neolycopersici</w:t>
            </w:r>
            <w:proofErr w:type="spellEnd"/>
            <w:r w:rsidRPr="00973485">
              <w:rPr>
                <w:rFonts w:eastAsia="MS Mincho"/>
                <w:i/>
                <w:iCs/>
                <w:sz w:val="18"/>
                <w:szCs w:val="18"/>
                <w:lang w:val="en-GB"/>
              </w:rPr>
              <w:t xml:space="preserve"> </w:t>
            </w:r>
            <w:r w:rsidRPr="00973485">
              <w:rPr>
                <w:rFonts w:eastAsia="MS Mincho"/>
                <w:sz w:val="18"/>
                <w:szCs w:val="18"/>
                <w:lang w:val="en-GB"/>
              </w:rPr>
              <w:t>(</w:t>
            </w:r>
            <w:proofErr w:type="spellStart"/>
            <w:r w:rsidRPr="00973485">
              <w:rPr>
                <w:rFonts w:eastAsia="MS Mincho"/>
                <w:sz w:val="18"/>
                <w:szCs w:val="18"/>
                <w:lang w:val="en-GB"/>
              </w:rPr>
              <w:t>ex</w:t>
            </w:r>
            <w:r w:rsidRPr="00973485">
              <w:rPr>
                <w:rFonts w:eastAsia="MS Mincho"/>
                <w:i/>
                <w:iCs/>
                <w:sz w:val="18"/>
                <w:szCs w:val="18"/>
                <w:lang w:val="en-GB"/>
              </w:rPr>
              <w:t xml:space="preserve"> Oidium</w:t>
            </w:r>
            <w:proofErr w:type="spellEnd"/>
            <w:r w:rsidRPr="00973485">
              <w:rPr>
                <w:rFonts w:eastAsia="MS Mincho"/>
                <w:i/>
                <w:iCs/>
                <w:sz w:val="18"/>
                <w:szCs w:val="18"/>
                <w:lang w:val="en-GB"/>
              </w:rPr>
              <w:t xml:space="preserve"> </w:t>
            </w:r>
            <w:proofErr w:type="spellStart"/>
            <w:r w:rsidRPr="00973485">
              <w:rPr>
                <w:rFonts w:eastAsia="MS Mincho"/>
                <w:i/>
                <w:iCs/>
                <w:sz w:val="18"/>
                <w:szCs w:val="18"/>
                <w:lang w:val="en-GB"/>
              </w:rPr>
              <w:t>eolycopersici</w:t>
            </w:r>
            <w:proofErr w:type="spellEnd"/>
            <w:r w:rsidRPr="00973485">
              <w:rPr>
                <w:rFonts w:eastAsia="MS Mincho"/>
                <w:i/>
                <w:iCs/>
                <w:sz w:val="18"/>
                <w:szCs w:val="18"/>
                <w:lang w:val="en-GB"/>
              </w:rPr>
              <w:t>) </w:t>
            </w:r>
            <w:r w:rsidRPr="00973485">
              <w:rPr>
                <w:rFonts w:eastAsia="MS Mincho"/>
                <w:sz w:val="18"/>
                <w:szCs w:val="18"/>
                <w:lang w:val="en-GB"/>
              </w:rPr>
              <w:t>(</w:t>
            </w:r>
            <w:proofErr w:type="spellStart"/>
            <w:r w:rsidRPr="00973485">
              <w:rPr>
                <w:rFonts w:eastAsia="MS Mincho"/>
                <w:sz w:val="18"/>
                <w:szCs w:val="18"/>
                <w:lang w:val="en-GB"/>
              </w:rPr>
              <w:t>Pn</w:t>
            </w:r>
            <w:proofErr w:type="spellEnd"/>
            <w:r w:rsidRPr="00973485">
              <w:rPr>
                <w:rFonts w:eastAsia="MS Mincho"/>
                <w:sz w:val="18"/>
                <w:szCs w:val="18"/>
                <w:lang w:val="en-GB"/>
              </w:rPr>
              <w:t xml:space="preserve">) (ex </w:t>
            </w:r>
            <w:proofErr w:type="gramStart"/>
            <w:r w:rsidRPr="00973485">
              <w:rPr>
                <w:rFonts w:eastAsia="MS Mincho"/>
                <w:sz w:val="18"/>
                <w:szCs w:val="18"/>
                <w:lang w:val="en-GB"/>
              </w:rPr>
              <w:t>On</w:t>
            </w:r>
            <w:proofErr w:type="gramEnd"/>
            <w:r w:rsidRPr="00973485">
              <w:rPr>
                <w:rFonts w:eastAsia="MS Mincho"/>
                <w:sz w:val="18"/>
                <w:szCs w:val="18"/>
                <w:lang w:val="en-GB"/>
              </w:rPr>
              <w:t>)</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8BC4C" w14:textId="77777777" w:rsidR="00F05450" w:rsidRPr="00C70350" w:rsidRDefault="00F05450" w:rsidP="00020EFA">
            <w:pPr>
              <w:keepNext/>
              <w:jc w:val="left"/>
              <w:rPr>
                <w:rFonts w:eastAsia="MS Mincho"/>
                <w:sz w:val="18"/>
                <w:szCs w:val="18"/>
              </w:rPr>
            </w:pPr>
            <w:r w:rsidRPr="00C70350">
              <w:rPr>
                <w:rFonts w:eastAsia="MS Mincho"/>
                <w:i/>
                <w:iCs/>
                <w:sz w:val="18"/>
                <w:szCs w:val="18"/>
              </w:rPr>
              <w:t>Pseudoidium neolycopersici</w:t>
            </w:r>
            <w:r w:rsidRPr="00C70350">
              <w:rPr>
                <w:rFonts w:eastAsia="MS Mincho"/>
                <w:sz w:val="18"/>
                <w:szCs w:val="18"/>
              </w:rPr>
              <w:t xml:space="preserve"> (Pn)</w:t>
            </w:r>
          </w:p>
          <w:p w14:paraId="4ADCA6F8" w14:textId="77777777" w:rsidR="00F05450" w:rsidRPr="00C70350" w:rsidRDefault="00F05450" w:rsidP="00020EFA">
            <w:pPr>
              <w:keepNext/>
              <w:jc w:val="left"/>
              <w:rPr>
                <w:rFonts w:eastAsia="MS Mincho"/>
                <w:sz w:val="18"/>
                <w:szCs w:val="18"/>
              </w:rPr>
            </w:pPr>
            <w:r w:rsidRPr="00C70350">
              <w:rPr>
                <w:rFonts w:eastAsia="MS Mincho"/>
                <w:sz w:val="18"/>
                <w:szCs w:val="18"/>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0DFE5F93" w14:textId="77777777" w:rsidR="00F05450" w:rsidRPr="00C70350" w:rsidRDefault="00F05450" w:rsidP="00020EFA">
            <w:pPr>
              <w:keepNext/>
              <w:jc w:val="left"/>
              <w:rPr>
                <w:rFonts w:eastAsia="MS Mincho"/>
                <w:sz w:val="18"/>
                <w:szCs w:val="18"/>
              </w:rPr>
            </w:pPr>
          </w:p>
        </w:tc>
      </w:tr>
      <w:tr w:rsidR="00F05450" w:rsidRPr="00C70350" w14:paraId="2CCF5D0E" w14:textId="77777777" w:rsidTr="00020EFA">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47609CA0" w14:textId="77777777" w:rsidR="00F05450" w:rsidRPr="00C70350" w:rsidRDefault="00F05450" w:rsidP="00020EFA">
            <w:pPr>
              <w:jc w:val="left"/>
              <w:rPr>
                <w:rFonts w:eastAsia="MS Mincho"/>
                <w:sz w:val="18"/>
                <w:szCs w:val="18"/>
              </w:rPr>
            </w:pPr>
            <w:r w:rsidRPr="00C70350">
              <w:rPr>
                <w:rFonts w:eastAsia="MS Mincho"/>
                <w:sz w:val="18"/>
                <w:szCs w:val="18"/>
              </w:rPr>
              <w:t>Tomaten-unterlagen TG/294/1 Rev. 5</w:t>
            </w:r>
          </w:p>
          <w:p w14:paraId="6065923F" w14:textId="77777777" w:rsidR="00F05450" w:rsidRPr="00C70350" w:rsidRDefault="00F05450" w:rsidP="00020EFA">
            <w:pPr>
              <w:jc w:val="left"/>
              <w:rPr>
                <w:rFonts w:eastAsia="MS Mincho"/>
                <w:sz w:val="18"/>
                <w:szCs w:val="18"/>
              </w:rPr>
            </w:pPr>
            <w:r w:rsidRPr="00C70350">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3A858D9" w14:textId="77777777" w:rsidR="00F05450" w:rsidRPr="00C70350" w:rsidRDefault="00F05450" w:rsidP="00020EFA">
            <w:pPr>
              <w:rPr>
                <w:rFonts w:eastAsia="MS Mincho"/>
                <w:sz w:val="18"/>
                <w:szCs w:val="18"/>
              </w:rPr>
            </w:pPr>
            <w:r w:rsidRPr="00C70350">
              <w:rPr>
                <w:rFonts w:eastAsia="MS Mincho"/>
                <w:sz w:val="18"/>
                <w:szCs w:val="18"/>
              </w:rPr>
              <w:t>28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C654E21" w14:textId="77777777" w:rsidR="00F05450" w:rsidRPr="00C70350" w:rsidRDefault="00F05450" w:rsidP="00020EFA">
            <w:pPr>
              <w:jc w:val="left"/>
              <w:rPr>
                <w:rFonts w:eastAsia="MS Mincho"/>
                <w:sz w:val="18"/>
                <w:szCs w:val="18"/>
              </w:rPr>
            </w:pPr>
            <w:r w:rsidRPr="00C70350">
              <w:rPr>
                <w:rFonts w:eastAsia="MS Mincho"/>
                <w:i/>
                <w:iCs/>
                <w:sz w:val="18"/>
                <w:szCs w:val="18"/>
              </w:rPr>
              <w:t xml:space="preserve">Pyrenochaeta lycopersici </w:t>
            </w:r>
            <w:r w:rsidRPr="00C70350">
              <w:rPr>
                <w:rFonts w:eastAsia="MS Mincho"/>
                <w:sz w:val="18"/>
                <w:szCs w:val="18"/>
              </w:rPr>
              <w:t>(Pl)</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7324E6" w14:textId="77777777" w:rsidR="00F05450" w:rsidRPr="00C70350" w:rsidRDefault="00F05450" w:rsidP="00020EFA">
            <w:pPr>
              <w:jc w:val="left"/>
              <w:rPr>
                <w:rFonts w:eastAsia="MS Mincho"/>
                <w:sz w:val="18"/>
                <w:szCs w:val="18"/>
              </w:rPr>
            </w:pPr>
            <w:r w:rsidRPr="00C70350">
              <w:rPr>
                <w:rFonts w:eastAsia="MS Mincho"/>
                <w:i/>
                <w:iCs/>
                <w:sz w:val="18"/>
                <w:szCs w:val="18"/>
              </w:rPr>
              <w:t>Pseudopyrenochaeta lycopersici</w:t>
            </w:r>
            <w:r w:rsidRPr="00C70350">
              <w:rPr>
                <w:rFonts w:eastAsia="MS Mincho"/>
                <w:sz w:val="18"/>
                <w:szCs w:val="18"/>
              </w:rPr>
              <w:t xml:space="preserve"> (Pl)</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D5B6E63" w14:textId="77777777" w:rsidR="00F05450" w:rsidRPr="00C70350" w:rsidRDefault="00F05450" w:rsidP="00020EFA">
            <w:pPr>
              <w:jc w:val="left"/>
              <w:rPr>
                <w:rFonts w:eastAsia="MS Mincho"/>
                <w:sz w:val="18"/>
                <w:szCs w:val="18"/>
              </w:rPr>
            </w:pPr>
            <w:r w:rsidRPr="00C70350">
              <w:rPr>
                <w:rFonts w:eastAsia="MS Mincho"/>
                <w:sz w:val="18"/>
                <w:szCs w:val="18"/>
              </w:rPr>
              <w:t>In laufender Teil-überarbeitung ändern</w:t>
            </w:r>
          </w:p>
          <w:p w14:paraId="57A695D8" w14:textId="77777777" w:rsidR="00F05450" w:rsidRPr="00C70350" w:rsidRDefault="00F05450" w:rsidP="00020EFA">
            <w:pPr>
              <w:jc w:val="left"/>
              <w:rPr>
                <w:rFonts w:eastAsia="MS Mincho"/>
                <w:sz w:val="18"/>
                <w:szCs w:val="18"/>
              </w:rPr>
            </w:pPr>
            <w:r w:rsidRPr="00C70350">
              <w:rPr>
                <w:rFonts w:eastAsia="MS Mincho"/>
                <w:i/>
                <w:iCs/>
                <w:sz w:val="18"/>
                <w:szCs w:val="18"/>
              </w:rPr>
              <w:t> </w:t>
            </w:r>
          </w:p>
        </w:tc>
      </w:tr>
      <w:tr w:rsidR="00F05450" w:rsidRPr="00C70350" w14:paraId="68BB78AE" w14:textId="77777777" w:rsidTr="00020EFA">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2A31B6E8" w14:textId="77777777" w:rsidR="00F05450" w:rsidRPr="00C70350" w:rsidRDefault="00F05450" w:rsidP="00020EFA">
            <w:pPr>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042AD6F" w14:textId="77777777" w:rsidR="00F05450" w:rsidRPr="00C70350" w:rsidRDefault="00F05450" w:rsidP="00020EFA">
            <w:pPr>
              <w:rPr>
                <w:rFonts w:eastAsia="MS Mincho"/>
                <w:sz w:val="18"/>
                <w:szCs w:val="18"/>
              </w:rPr>
            </w:pPr>
            <w:r w:rsidRPr="00C70350">
              <w:rPr>
                <w:rFonts w:eastAsia="MS Mincho"/>
                <w:sz w:val="18"/>
                <w:szCs w:val="18"/>
              </w:rPr>
              <w:t>32</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9045C48" w14:textId="77777777" w:rsidR="00F05450" w:rsidRPr="00C70350" w:rsidRDefault="00F05450" w:rsidP="00020EFA">
            <w:pPr>
              <w:jc w:val="left"/>
              <w:rPr>
                <w:rFonts w:eastAsia="MS Mincho"/>
                <w:sz w:val="18"/>
                <w:szCs w:val="18"/>
              </w:rPr>
            </w:pPr>
            <w:r w:rsidRPr="00C70350">
              <w:rPr>
                <w:rFonts w:eastAsia="MS Mincho"/>
                <w:i/>
                <w:iCs/>
                <w:sz w:val="18"/>
                <w:szCs w:val="18"/>
              </w:rPr>
              <w:t>Oidium neolycopersici</w:t>
            </w:r>
            <w:r w:rsidRPr="00C70350">
              <w:rPr>
                <w:rFonts w:eastAsia="MS Mincho"/>
                <w:sz w:val="18"/>
                <w:szCs w:val="18"/>
              </w:rPr>
              <w:t xml:space="preserve">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75511A5" w14:textId="77777777" w:rsidR="00F05450" w:rsidRPr="00C70350" w:rsidRDefault="00F05450" w:rsidP="00020EFA">
            <w:pPr>
              <w:jc w:val="left"/>
              <w:rPr>
                <w:rFonts w:eastAsia="MS Mincho"/>
                <w:sz w:val="18"/>
                <w:szCs w:val="18"/>
              </w:rPr>
            </w:pPr>
            <w:r w:rsidRPr="00C70350">
              <w:rPr>
                <w:rFonts w:eastAsia="MS Mincho"/>
                <w:i/>
                <w:iCs/>
                <w:sz w:val="18"/>
                <w:szCs w:val="18"/>
              </w:rPr>
              <w:t>Pseudoidium neolycopersici</w:t>
            </w:r>
            <w:r w:rsidRPr="00C70350">
              <w:rPr>
                <w:rFonts w:eastAsia="MS Mincho"/>
                <w:sz w:val="18"/>
                <w:szCs w:val="18"/>
              </w:rPr>
              <w:t xml:space="preserve"> (Pn)</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0592B878" w14:textId="77777777" w:rsidR="00F05450" w:rsidRPr="00C70350" w:rsidRDefault="00F05450" w:rsidP="00020EFA">
            <w:pPr>
              <w:jc w:val="left"/>
              <w:rPr>
                <w:rFonts w:eastAsia="MS Mincho"/>
                <w:sz w:val="18"/>
                <w:szCs w:val="18"/>
              </w:rPr>
            </w:pPr>
          </w:p>
        </w:tc>
      </w:tr>
    </w:tbl>
    <w:p w14:paraId="7B11A80A" w14:textId="77777777" w:rsidR="00F05450" w:rsidRPr="00C70350" w:rsidRDefault="00F05450" w:rsidP="00F05450">
      <w:pPr>
        <w:rPr>
          <w:rFonts w:eastAsia="MS Mincho"/>
        </w:rPr>
      </w:pPr>
    </w:p>
    <w:p w14:paraId="6F6878FF" w14:textId="5CE671E2" w:rsidR="00F05450" w:rsidRPr="00C70350" w:rsidRDefault="00793B6D" w:rsidP="00F05450">
      <w:pPr>
        <w:rPr>
          <w:rFonts w:eastAsia="MS Mincho"/>
        </w:rPr>
      </w:pPr>
      <w:r w:rsidRPr="00963460">
        <w:fldChar w:fldCharType="begin"/>
      </w:r>
      <w:r w:rsidRPr="00963460">
        <w:instrText xml:space="preserve"> AUTONUM  </w:instrText>
      </w:r>
      <w:r w:rsidRPr="00963460">
        <w:fldChar w:fldCharType="end"/>
      </w:r>
      <w:r w:rsidR="00F05450" w:rsidRPr="00C70350">
        <w:rPr>
          <w:rFonts w:eastAsia="MS Mincho"/>
        </w:rPr>
        <w:tab/>
        <w:t xml:space="preserve">Die TWV nahm zur Kenntnis, dass die Nomenklatur der Pathogene in UPOV-Prüfungsunterlagen auf dem Codierungssystem der </w:t>
      </w:r>
      <w:r w:rsidR="00F05450" w:rsidRPr="00C70350">
        <w:t>International Seed Federation</w:t>
      </w:r>
      <w:r w:rsidR="008D4851">
        <w:t>’</w:t>
      </w:r>
      <w:r w:rsidR="00F05450" w:rsidRPr="00C70350">
        <w:t>s (ISF) beruht, wie in Abschnitt 1, Kapitel 2.5. „Die Nomenklatur der Pathogene</w:t>
      </w:r>
      <w:r w:rsidR="001961BB">
        <w:t>“</w:t>
      </w:r>
      <w:r w:rsidR="00F05450" w:rsidRPr="00C70350">
        <w:t xml:space="preserve"> in Dokument TGP/12 </w:t>
      </w:r>
      <w:r w:rsidR="001961BB">
        <w:t>„</w:t>
      </w:r>
      <w:r w:rsidR="00F05450" w:rsidRPr="00C70350">
        <w:t>Anleitung zu bestimmten Physiologischen Merkmalen</w:t>
      </w:r>
      <w:r w:rsidR="001961BB">
        <w:t>“</w:t>
      </w:r>
      <w:r w:rsidR="00F05450" w:rsidRPr="00C70350">
        <w:t xml:space="preserve"> dargelegt.</w:t>
      </w:r>
    </w:p>
    <w:p w14:paraId="15F6C819" w14:textId="77777777" w:rsidR="00F05450" w:rsidRPr="00B35EE1" w:rsidRDefault="00F05450" w:rsidP="00F05450"/>
    <w:p w14:paraId="37672B7E" w14:textId="3271D135" w:rsidR="00F05450" w:rsidRPr="00C70350" w:rsidRDefault="00793B6D" w:rsidP="00F05450">
      <w:pPr>
        <w:rPr>
          <w:rFonts w:eastAsia="MS Mincho"/>
        </w:rPr>
      </w:pPr>
      <w:r w:rsidRPr="00963460">
        <w:fldChar w:fldCharType="begin"/>
      </w:r>
      <w:r w:rsidRPr="00963460">
        <w:instrText xml:space="preserve"> AUTONUM  </w:instrText>
      </w:r>
      <w:r w:rsidRPr="00963460">
        <w:fldChar w:fldCharType="end"/>
      </w:r>
      <w:r w:rsidR="00F05450" w:rsidRPr="00C70350">
        <w:rPr>
          <w:rFonts w:eastAsia="MS Mincho"/>
        </w:rPr>
        <w:tab/>
        <w:t>Der TWV nahm zur Kenntnis, dass die ISF-Pest-Codes für Gemüsepflanzen einer jährlichen Überprüfung unterliegen und kam überein, einen Haftungsausschluss vorzuschlagen, um eine Überarbeitung der Prüfungsrichtlinien zum alleinigen Zweck der Aktualisierung der Nomenklatur der Pathogene zu vermeiden</w:t>
      </w:r>
      <w:r w:rsidR="00B26428" w:rsidRPr="00C70350">
        <w:rPr>
          <w:rFonts w:eastAsia="MS Mincho"/>
        </w:rPr>
        <w:t>, mit folgendem Wortlaut</w:t>
      </w:r>
      <w:r w:rsidR="00F05450" w:rsidRPr="00C70350">
        <w:rPr>
          <w:rFonts w:eastAsia="MS Mincho"/>
        </w:rPr>
        <w:t xml:space="preserve">: </w:t>
      </w:r>
    </w:p>
    <w:p w14:paraId="0BFC5466" w14:textId="77777777" w:rsidR="00F05450" w:rsidRPr="00C70350" w:rsidRDefault="00F05450" w:rsidP="00F05450">
      <w:pPr>
        <w:rPr>
          <w:rFonts w:eastAsia="MS Mincho"/>
        </w:rPr>
      </w:pPr>
    </w:p>
    <w:p w14:paraId="6A3E7570" w14:textId="681FE213" w:rsidR="00F05450" w:rsidRPr="00C70350" w:rsidRDefault="001961BB" w:rsidP="00F05450">
      <w:pPr>
        <w:ind w:left="567" w:right="567"/>
        <w:rPr>
          <w:lang w:eastAsia="zh-CN"/>
        </w:rPr>
      </w:pPr>
      <w:r>
        <w:t>„</w:t>
      </w:r>
      <w:r w:rsidR="00F05450" w:rsidRPr="00C70350">
        <w:rPr>
          <w:rFonts w:eastAsia="MS Mincho"/>
        </w:rPr>
        <w:t xml:space="preserve">Die Bezeichnungen für Schädlinge und Krankheiten waren zum Zeitpunkt der Einführung dieser Richtlinien korrekt, können jedoch überarbeitet oder aktualisiert werden. Lesern wird empfohlen, sich über den aktuellen Stand in den </w:t>
      </w:r>
      <w:r w:rsidR="008D4851">
        <w:rPr>
          <w:rFonts w:eastAsia="MS Mincho"/>
        </w:rPr>
        <w:t>‘</w:t>
      </w:r>
      <w:r w:rsidR="00F05450" w:rsidRPr="00C70350">
        <w:rPr>
          <w:rFonts w:eastAsia="MS Mincho"/>
        </w:rPr>
        <w:t>Recommended Codes for Pest Organisms in Vegetable Crops</w:t>
      </w:r>
      <w:r w:rsidR="008D4851">
        <w:rPr>
          <w:rFonts w:eastAsia="MS Mincho"/>
        </w:rPr>
        <w:t>’</w:t>
      </w:r>
      <w:r w:rsidR="00F05450" w:rsidRPr="00C70350">
        <w:rPr>
          <w:rFonts w:eastAsia="MS Mincho"/>
        </w:rPr>
        <w:t xml:space="preserve"> zu informieren, die auf der ISF-Website (</w:t>
      </w:r>
      <w:hyperlink r:id="rId14" w:history="1">
        <w:r w:rsidR="00F05450" w:rsidRPr="00C70350">
          <w:rPr>
            <w:rFonts w:eastAsia="MS Mincho"/>
            <w:color w:val="0000FF"/>
            <w:u w:val="single"/>
          </w:rPr>
          <w:t>https://worldseed.org/</w:t>
        </w:r>
      </w:hyperlink>
      <w:r w:rsidR="00F05450" w:rsidRPr="00C70350">
        <w:rPr>
          <w:rFonts w:eastAsia="MS Mincho"/>
        </w:rPr>
        <w:t>) eingesehen werden können.</w:t>
      </w:r>
      <w:r>
        <w:t>“</w:t>
      </w:r>
    </w:p>
    <w:p w14:paraId="792C4637" w14:textId="77777777" w:rsidR="00F05450" w:rsidRPr="00C70350" w:rsidRDefault="00F05450" w:rsidP="00F05450">
      <w:pPr>
        <w:tabs>
          <w:tab w:val="left" w:pos="1701"/>
        </w:tabs>
        <w:contextualSpacing/>
      </w:pPr>
    </w:p>
    <w:p w14:paraId="328EA7D7" w14:textId="77777777" w:rsidR="00F05450" w:rsidRPr="00C70350" w:rsidRDefault="00F05450" w:rsidP="00F05450">
      <w:pPr>
        <w:pStyle w:val="Heading3"/>
        <w:rPr>
          <w:lang w:val="de-DE"/>
        </w:rPr>
      </w:pPr>
      <w:bookmarkStart w:id="22" w:name="_Toc242122274"/>
      <w:r w:rsidRPr="00C70350">
        <w:rPr>
          <w:lang w:val="de-DE"/>
        </w:rPr>
        <w:t>Vorschlag</w:t>
      </w:r>
      <w:bookmarkEnd w:id="22"/>
    </w:p>
    <w:p w14:paraId="25C9A053" w14:textId="77777777" w:rsidR="00F05450" w:rsidRPr="00C70350" w:rsidRDefault="00F05450" w:rsidP="00F05450">
      <w:pPr>
        <w:keepNext/>
      </w:pPr>
    </w:p>
    <w:p w14:paraId="431852FD" w14:textId="193F2455" w:rsidR="00F05450" w:rsidRPr="00C70350" w:rsidRDefault="00793B6D" w:rsidP="00F05450">
      <w:pPr>
        <w:tabs>
          <w:tab w:val="left" w:pos="567"/>
          <w:tab w:val="left" w:pos="1701"/>
        </w:tabs>
        <w:contextualSpacing/>
      </w:pPr>
      <w:r w:rsidRPr="00963460">
        <w:fldChar w:fldCharType="begin"/>
      </w:r>
      <w:r w:rsidRPr="00963460">
        <w:instrText xml:space="preserve"> AUTONUM  </w:instrText>
      </w:r>
      <w:r w:rsidRPr="00963460">
        <w:fldChar w:fldCharType="end"/>
      </w:r>
      <w:r w:rsidR="00347C3A" w:rsidRPr="00C70350">
        <w:t xml:space="preserve"> </w:t>
      </w:r>
      <w:r w:rsidR="00F05450" w:rsidRPr="00C70350">
        <w:tab/>
        <w:t xml:space="preserve">Der TC könnte </w:t>
      </w:r>
      <w:r w:rsidR="00B26428" w:rsidRPr="00C70350">
        <w:t xml:space="preserve">erwägen, </w:t>
      </w:r>
      <w:r w:rsidR="00F05450" w:rsidRPr="00C70350">
        <w:t xml:space="preserve">den Vorschlag der TWV </w:t>
      </w:r>
      <w:r w:rsidR="003B10A7" w:rsidRPr="00C70350">
        <w:t>hinsichtlich</w:t>
      </w:r>
      <w:r w:rsidR="00F05450" w:rsidRPr="00C70350">
        <w:t xml:space="preserve"> eines Haftungsausschlusses</w:t>
      </w:r>
      <w:r w:rsidR="003B10A7" w:rsidRPr="00C70350">
        <w:t>,</w:t>
      </w:r>
      <w:r w:rsidR="00B26428" w:rsidRPr="00C70350">
        <w:t xml:space="preserve"> der </w:t>
      </w:r>
      <w:r w:rsidR="003B10A7" w:rsidRPr="00C70350">
        <w:t xml:space="preserve">klarstellen soll, </w:t>
      </w:r>
      <w:r w:rsidR="00F05450" w:rsidRPr="00C70350">
        <w:rPr>
          <w:rFonts w:eastAsia="MS Mincho"/>
        </w:rPr>
        <w:t>dass die Prüfungsrichtlinien nicht zum alleinigen Zweck der Aktualisierung der Nomenklatur der Pathogene überarbeitet werden würden,</w:t>
      </w:r>
      <w:r w:rsidR="00F05450" w:rsidRPr="00C70350">
        <w:t xml:space="preserve"> </w:t>
      </w:r>
      <w:r w:rsidR="00B26428" w:rsidRPr="00C70350">
        <w:t xml:space="preserve">zu </w:t>
      </w:r>
      <w:r w:rsidR="00F05450" w:rsidRPr="00C70350">
        <w:t xml:space="preserve">prüfen. </w:t>
      </w:r>
    </w:p>
    <w:p w14:paraId="17348EA7" w14:textId="77777777" w:rsidR="00F05450" w:rsidRPr="00C70350" w:rsidRDefault="00F05450" w:rsidP="00F05450">
      <w:pPr>
        <w:tabs>
          <w:tab w:val="left" w:pos="567"/>
          <w:tab w:val="left" w:pos="1701"/>
        </w:tabs>
        <w:contextualSpacing/>
      </w:pPr>
    </w:p>
    <w:p w14:paraId="56514EDE" w14:textId="3C72A3C2" w:rsidR="00F05450" w:rsidRPr="00C70350" w:rsidRDefault="00793B6D" w:rsidP="00F05450">
      <w:pPr>
        <w:tabs>
          <w:tab w:val="left" w:pos="5387"/>
          <w:tab w:val="left" w:pos="5954"/>
        </w:tabs>
        <w:ind w:left="4820"/>
        <w:rPr>
          <w:i/>
        </w:rPr>
      </w:pPr>
      <w:r w:rsidRPr="00793B6D">
        <w:rPr>
          <w:i/>
          <w:iCs/>
        </w:rPr>
        <w:fldChar w:fldCharType="begin"/>
      </w:r>
      <w:r w:rsidRPr="00793B6D">
        <w:rPr>
          <w:i/>
          <w:iCs/>
        </w:rPr>
        <w:instrText xml:space="preserve"> AUTONUM  </w:instrText>
      </w:r>
      <w:r w:rsidRPr="00793B6D">
        <w:rPr>
          <w:i/>
          <w:iCs/>
        </w:rPr>
        <w:fldChar w:fldCharType="end"/>
      </w:r>
      <w:r w:rsidR="00347C3A" w:rsidRPr="00C70350">
        <w:rPr>
          <w:i/>
          <w:lang w:eastAsia="zh-CN"/>
        </w:rPr>
        <w:t xml:space="preserve"> </w:t>
      </w:r>
      <w:r w:rsidR="00F05450" w:rsidRPr="00C70350">
        <w:rPr>
          <w:i/>
          <w:lang w:eastAsia="zh-CN"/>
        </w:rPr>
        <w:tab/>
      </w:r>
      <w:r w:rsidR="00F05450" w:rsidRPr="00C70350">
        <w:rPr>
          <w:i/>
        </w:rPr>
        <w:t xml:space="preserve">Der TC wird ersucht: </w:t>
      </w:r>
    </w:p>
    <w:p w14:paraId="084B8F51" w14:textId="77777777" w:rsidR="00F05450" w:rsidRPr="00C70350" w:rsidRDefault="00F05450" w:rsidP="00F05450">
      <w:pPr>
        <w:tabs>
          <w:tab w:val="left" w:pos="5387"/>
          <w:tab w:val="left" w:pos="5954"/>
        </w:tabs>
        <w:ind w:left="4820"/>
        <w:rPr>
          <w:i/>
        </w:rPr>
      </w:pPr>
    </w:p>
    <w:p w14:paraId="55C5C2C8" w14:textId="2373268A" w:rsidR="00F05450" w:rsidRPr="00C70350" w:rsidRDefault="00F05450" w:rsidP="00F05450">
      <w:pPr>
        <w:tabs>
          <w:tab w:val="left" w:pos="5387"/>
          <w:tab w:val="left" w:pos="5954"/>
        </w:tabs>
        <w:ind w:left="4820"/>
        <w:rPr>
          <w:rFonts w:eastAsia="MS Mincho"/>
          <w:i/>
        </w:rPr>
      </w:pPr>
      <w:r w:rsidRPr="00C70350">
        <w:rPr>
          <w:i/>
        </w:rPr>
        <w:tab/>
        <w:t>a)</w:t>
      </w:r>
      <w:r w:rsidRPr="00C70350">
        <w:rPr>
          <w:i/>
        </w:rPr>
        <w:tab/>
        <w:t xml:space="preserve">den Vorschlag der TWV </w:t>
      </w:r>
      <w:r w:rsidR="003B10A7" w:rsidRPr="00C70350">
        <w:rPr>
          <w:i/>
        </w:rPr>
        <w:t xml:space="preserve">hinsichtlich eines </w:t>
      </w:r>
      <w:r w:rsidRPr="00C70350">
        <w:rPr>
          <w:i/>
        </w:rPr>
        <w:t>Haftungsausschlusses bezüglich der Namen von Schädlingen und Krankheiten in Prüfungsrichtlinien zu prüfen</w:t>
      </w:r>
      <w:r w:rsidRPr="00C70350">
        <w:rPr>
          <w:rFonts w:eastAsia="MS Mincho"/>
          <w:i/>
        </w:rPr>
        <w:t>; und</w:t>
      </w:r>
    </w:p>
    <w:p w14:paraId="1ECE60E1" w14:textId="77777777" w:rsidR="00F05450" w:rsidRPr="00C70350" w:rsidRDefault="00F05450" w:rsidP="00F05450">
      <w:pPr>
        <w:tabs>
          <w:tab w:val="left" w:pos="5387"/>
          <w:tab w:val="left" w:pos="5954"/>
        </w:tabs>
        <w:ind w:left="4820"/>
        <w:rPr>
          <w:i/>
        </w:rPr>
      </w:pPr>
    </w:p>
    <w:p w14:paraId="6E6752A1" w14:textId="3D346EA6" w:rsidR="00F05450" w:rsidRPr="00C70350" w:rsidRDefault="00F05450" w:rsidP="00F05450">
      <w:pPr>
        <w:tabs>
          <w:tab w:val="left" w:pos="5387"/>
          <w:tab w:val="left" w:pos="5954"/>
        </w:tabs>
        <w:ind w:left="4820"/>
        <w:rPr>
          <w:i/>
          <w:lang w:eastAsia="ja-JP"/>
        </w:rPr>
      </w:pPr>
      <w:r w:rsidRPr="00C70350">
        <w:rPr>
          <w:i/>
        </w:rPr>
        <w:tab/>
        <w:t>b)</w:t>
      </w:r>
      <w:r w:rsidRPr="00C70350">
        <w:rPr>
          <w:i/>
        </w:rPr>
        <w:tab/>
        <w:t>die TWPs zu bitten, auf ihren Tagungen im Jahr 202</w:t>
      </w:r>
      <w:r w:rsidRPr="00C70350">
        <w:rPr>
          <w:i/>
          <w:lang w:eastAsia="zh-CN"/>
        </w:rPr>
        <w:t>7</w:t>
      </w:r>
      <w:r w:rsidRPr="00C70350">
        <w:rPr>
          <w:i/>
        </w:rPr>
        <w:t>, die vorgeschlagene Änderung in Abschnitt 1, Kapitel 2.5 „Nomenklatur der Pathogene</w:t>
      </w:r>
      <w:r w:rsidR="001961BB">
        <w:t>“</w:t>
      </w:r>
      <w:r w:rsidRPr="00C70350">
        <w:rPr>
          <w:i/>
        </w:rPr>
        <w:t xml:space="preserve"> in Dokument </w:t>
      </w:r>
      <w:r w:rsidRPr="00C70350">
        <w:rPr>
          <w:i/>
          <w:lang w:eastAsia="zh-CN"/>
        </w:rPr>
        <w:t xml:space="preserve">TGP/12 </w:t>
      </w:r>
      <w:r w:rsidR="001961BB">
        <w:t>„</w:t>
      </w:r>
      <w:r w:rsidRPr="00C70350">
        <w:rPr>
          <w:i/>
        </w:rPr>
        <w:t>Anleitung zu bestimmten Physiologischen Merkmalen</w:t>
      </w:r>
      <w:r w:rsidR="001961BB">
        <w:t>“</w:t>
      </w:r>
      <w:r w:rsidRPr="00C70350">
        <w:rPr>
          <w:i/>
        </w:rPr>
        <w:t xml:space="preserve"> zwecks Einbeziehung des von der TWF vorgeschlagenen Haftungsausschlusses</w:t>
      </w:r>
      <w:r w:rsidR="003B10A7" w:rsidRPr="00C70350">
        <w:rPr>
          <w:i/>
        </w:rPr>
        <w:t xml:space="preserve"> </w:t>
      </w:r>
      <w:r w:rsidRPr="00C70350">
        <w:rPr>
          <w:i/>
        </w:rPr>
        <w:t>zu prüfen</w:t>
      </w:r>
      <w:r w:rsidR="003B10A7" w:rsidRPr="00C70350">
        <w:rPr>
          <w:i/>
        </w:rPr>
        <w:t xml:space="preserve">, wie in </w:t>
      </w:r>
      <w:r w:rsidR="003B10A7" w:rsidRPr="00CC790A">
        <w:rPr>
          <w:i/>
        </w:rPr>
        <w:t>Absatz</w:t>
      </w:r>
      <w:r w:rsidR="003B10A7" w:rsidRPr="00C70350">
        <w:rPr>
          <w:i/>
        </w:rPr>
        <w:t xml:space="preserve"> </w:t>
      </w:r>
      <w:r w:rsidR="006F2A7B">
        <w:rPr>
          <w:i/>
        </w:rPr>
        <w:t>50</w:t>
      </w:r>
      <w:r w:rsidR="00E770B2" w:rsidRPr="00C70350">
        <w:rPr>
          <w:i/>
        </w:rPr>
        <w:t xml:space="preserve"> </w:t>
      </w:r>
      <w:r w:rsidR="003B10A7" w:rsidRPr="00C70350">
        <w:rPr>
          <w:i/>
        </w:rPr>
        <w:t>dieses Dokuments dargelegt</w:t>
      </w:r>
      <w:r w:rsidRPr="00C70350">
        <w:rPr>
          <w:i/>
        </w:rPr>
        <w:t>.</w:t>
      </w:r>
    </w:p>
    <w:p w14:paraId="0CD9E1DA" w14:textId="77777777" w:rsidR="00F05450" w:rsidRPr="00C70350" w:rsidRDefault="00F05450" w:rsidP="00F05450">
      <w:pPr>
        <w:rPr>
          <w:lang w:eastAsia="nl-NL"/>
        </w:rPr>
      </w:pPr>
    </w:p>
    <w:p w14:paraId="1DBA294F" w14:textId="77777777" w:rsidR="00F05450" w:rsidRPr="00C70350" w:rsidRDefault="00F05450" w:rsidP="00F05450">
      <w:pPr>
        <w:rPr>
          <w:lang w:eastAsia="nl-NL"/>
        </w:rPr>
      </w:pPr>
    </w:p>
    <w:p w14:paraId="09CF8F9F" w14:textId="6319A565" w:rsidR="00F05450" w:rsidRPr="00C70350" w:rsidRDefault="00F05450" w:rsidP="00F05450">
      <w:pPr>
        <w:pStyle w:val="Heading1"/>
        <w:rPr>
          <w:rFonts w:eastAsia="Calibri"/>
          <w:bdr w:val="none" w:sz="0" w:space="0" w:color="auto" w:frame="1"/>
          <w:lang w:val="de-DE" w:eastAsia="nl-NL"/>
        </w:rPr>
      </w:pPr>
      <w:bookmarkStart w:id="23" w:name="_Toc242122275"/>
      <w:r w:rsidRPr="00C70350">
        <w:rPr>
          <w:rFonts w:eastAsia="Calibri"/>
          <w:bdr w:val="none" w:sz="0" w:space="0" w:color="auto" w:frame="1"/>
          <w:lang w:val="de-DE" w:eastAsia="nl-NL"/>
        </w:rPr>
        <w:t xml:space="preserve">DoKument TGP/15 </w:t>
      </w:r>
      <w:r w:rsidR="001961BB">
        <w:t>„</w:t>
      </w:r>
      <w:r w:rsidRPr="00C70350">
        <w:rPr>
          <w:rFonts w:eastAsia="Calibri"/>
          <w:bdr w:val="none" w:sz="0" w:space="0" w:color="auto" w:frame="1"/>
          <w:lang w:val="de-DE" w:eastAsia="nl-NL"/>
        </w:rPr>
        <w:t>anleitung zur verwendung biochemischer und molekularer marker bei der prüfung der unterscheidbarkeit, homogenität und beständigkeit (DUS)</w:t>
      </w:r>
      <w:r w:rsidR="001961BB">
        <w:t>“</w:t>
      </w:r>
      <w:r w:rsidRPr="00C70350">
        <w:rPr>
          <w:rFonts w:eastAsia="Calibri"/>
          <w:bdr w:val="none" w:sz="0" w:space="0" w:color="auto" w:frame="1"/>
          <w:lang w:val="de-DE" w:eastAsia="nl-NL"/>
        </w:rPr>
        <w:t xml:space="preserve"> (überarbeitung)</w:t>
      </w:r>
      <w:bookmarkEnd w:id="23"/>
    </w:p>
    <w:p w14:paraId="7AC58B05" w14:textId="77777777" w:rsidR="00F05450" w:rsidRPr="00C70350" w:rsidRDefault="00F05450" w:rsidP="00F05450">
      <w:pPr>
        <w:rPr>
          <w:rFonts w:eastAsia="Calibri"/>
          <w:lang w:eastAsia="nl-NL"/>
        </w:rPr>
      </w:pPr>
    </w:p>
    <w:p w14:paraId="07732ADE" w14:textId="74AFEBB0" w:rsidR="00F05450" w:rsidRPr="00C70350" w:rsidRDefault="00F05450" w:rsidP="00F05450">
      <w:pPr>
        <w:pStyle w:val="Heading2"/>
        <w:rPr>
          <w:rFonts w:eastAsia="Calibri"/>
          <w:lang w:val="de-DE" w:eastAsia="nl-NL"/>
        </w:rPr>
      </w:pPr>
      <w:bookmarkStart w:id="24" w:name="_Toc242122276"/>
      <w:r w:rsidRPr="00C70350">
        <w:rPr>
          <w:rFonts w:eastAsia="Calibri"/>
          <w:lang w:val="de-DE" w:eastAsia="nl-NL"/>
        </w:rPr>
        <w:t xml:space="preserve">Neuer Abschnitt: </w:t>
      </w:r>
      <w:r w:rsidR="001961BB">
        <w:t>„</w:t>
      </w:r>
      <w:r w:rsidRPr="00C70350">
        <w:rPr>
          <w:rFonts w:eastAsia="Calibri"/>
          <w:lang w:val="de-DE" w:eastAsia="nl-NL"/>
        </w:rPr>
        <w:t>Richtlinien für die Validierung eines merkmalsspezifischen molekularen Marker Protokolls als eine alternative Erfassungsmethode</w:t>
      </w:r>
      <w:bookmarkEnd w:id="24"/>
      <w:r w:rsidR="001961BB">
        <w:t>“</w:t>
      </w:r>
    </w:p>
    <w:p w14:paraId="6840376D" w14:textId="77777777" w:rsidR="00F05450" w:rsidRPr="00C70350" w:rsidRDefault="00F05450" w:rsidP="00F05450">
      <w:pPr>
        <w:rPr>
          <w:rFonts w:eastAsia="Calibri"/>
          <w:lang w:eastAsia="nl-NL"/>
        </w:rPr>
      </w:pPr>
    </w:p>
    <w:p w14:paraId="029B33F5" w14:textId="65F44045" w:rsidR="00F05450" w:rsidRPr="00C70350" w:rsidRDefault="00793B6D" w:rsidP="00F05450">
      <w:r w:rsidRPr="00963460">
        <w:fldChar w:fldCharType="begin"/>
      </w:r>
      <w:r w:rsidRPr="00963460">
        <w:instrText xml:space="preserve"> AUTONUM  </w:instrText>
      </w:r>
      <w:r w:rsidRPr="00963460">
        <w:fldChar w:fldCharType="end"/>
      </w:r>
      <w:r w:rsidR="009512E5" w:rsidRPr="00C70350">
        <w:t xml:space="preserve"> </w:t>
      </w:r>
      <w:r w:rsidR="00F05450" w:rsidRPr="00C70350">
        <w:tab/>
        <w:t xml:space="preserve">Dokument TGP/15 dient als Richtlinie für die Verwendung biochemischer und molekularer Marker bei der Prüfung auf Unterscheidbarkeit, Homogenität und Beständigkeit (DUS) auf Grundlage </w:t>
      </w:r>
      <w:r w:rsidR="003B10A7" w:rsidRPr="00C70350">
        <w:t>der zwei</w:t>
      </w:r>
      <w:r w:rsidR="00F05450" w:rsidRPr="00C70350">
        <w:t xml:space="preserve"> Modelle die von der BMT-Überprüfungsgruppe, dem TC und dem CAJ positiv beurteilt wurden und für die anerkannte Beispiele gegeben wurden. </w:t>
      </w:r>
    </w:p>
    <w:p w14:paraId="1724EBF0" w14:textId="77777777" w:rsidR="00F05450" w:rsidRPr="00C70350" w:rsidRDefault="00F05450" w:rsidP="00F05450"/>
    <w:p w14:paraId="7E7C16ED" w14:textId="22530FDE" w:rsidR="00F05450" w:rsidRPr="00C70350" w:rsidRDefault="00793B6D" w:rsidP="00F05450">
      <w:r w:rsidRPr="00963460">
        <w:fldChar w:fldCharType="begin"/>
      </w:r>
      <w:r w:rsidRPr="00963460">
        <w:instrText xml:space="preserve"> AUTONUM  </w:instrText>
      </w:r>
      <w:r w:rsidRPr="00963460">
        <w:fldChar w:fldCharType="end"/>
      </w:r>
      <w:r w:rsidR="009512E5" w:rsidRPr="00C70350">
        <w:t xml:space="preserve"> </w:t>
      </w:r>
      <w:r w:rsidR="00F05450" w:rsidRPr="00C70350">
        <w:tab/>
        <w:t>Auf seiner Tagung im Jahr 2025 prüfte der T</w:t>
      </w:r>
      <w:r w:rsidR="00F05450" w:rsidRPr="00C70350">
        <w:rPr>
          <w:lang w:eastAsia="ja-JP"/>
        </w:rPr>
        <w:t>C</w:t>
      </w:r>
      <w:r w:rsidR="00F05450" w:rsidRPr="00C70350">
        <w:rPr>
          <w:vertAlign w:val="superscript"/>
          <w:lang w:eastAsia="ja-JP"/>
        </w:rPr>
        <w:footnoteReference w:id="14"/>
      </w:r>
      <w:r w:rsidR="00F05450" w:rsidRPr="00C70350">
        <w:rPr>
          <w:lang w:eastAsia="ja-JP"/>
        </w:rPr>
        <w:t xml:space="preserve"> einen Entwurf für Richtlinien zur Validierung „merkmalspezifischer</w:t>
      </w:r>
      <w:r w:rsidR="001961BB">
        <w:t>“</w:t>
      </w:r>
      <w:r w:rsidR="00F05450" w:rsidRPr="00C70350">
        <w:rPr>
          <w:lang w:eastAsia="ja-JP"/>
        </w:rPr>
        <w:t xml:space="preserve"> molekularer Marker für die DUS-Prüfung und eine</w:t>
      </w:r>
      <w:r w:rsidR="003B10A7" w:rsidRPr="00C70350">
        <w:rPr>
          <w:lang w:eastAsia="ja-JP"/>
        </w:rPr>
        <w:t>r Mustervorlage</w:t>
      </w:r>
      <w:r w:rsidR="00F05450" w:rsidRPr="00C70350">
        <w:rPr>
          <w:lang w:eastAsia="ja-JP"/>
        </w:rPr>
        <w:t xml:space="preserve"> zur Beschreibung ihrer Verwendung bei der </w:t>
      </w:r>
      <w:r w:rsidR="003B10A7" w:rsidRPr="00C70350">
        <w:rPr>
          <w:lang w:eastAsia="ja-JP"/>
        </w:rPr>
        <w:t>Erfassung</w:t>
      </w:r>
      <w:r w:rsidR="00F05450" w:rsidRPr="00C70350">
        <w:rPr>
          <w:lang w:eastAsia="ja-JP"/>
        </w:rPr>
        <w:t xml:space="preserve"> von Merkmalen in den Prüfungsrichtlinien. Der TC prüfte die vorgeschlagene Methodik und kam überein, dass eine harmonisierte Validierung für neue molekulare Marker, deren Aufnahme in die Prüfungsrichtlinien als alternative Methoden</w:t>
      </w:r>
      <w:r w:rsidR="003B10A7" w:rsidRPr="00C70350">
        <w:rPr>
          <w:lang w:eastAsia="ja-JP"/>
        </w:rPr>
        <w:t xml:space="preserve"> </w:t>
      </w:r>
      <w:r w:rsidR="00F05450" w:rsidRPr="00C70350">
        <w:rPr>
          <w:lang w:eastAsia="ja-JP"/>
        </w:rPr>
        <w:t xml:space="preserve">vorgeschlagen wird, wichtig ist. Der TC kam überein, dass die Richtlinien auch andere Methoden zulassen sollten, die zu dem gleichen Ergebnis führen, sofern sie ebenfalls validiert sind. </w:t>
      </w:r>
    </w:p>
    <w:p w14:paraId="7988708A" w14:textId="77777777" w:rsidR="00F05450" w:rsidRPr="00C70350" w:rsidRDefault="00F05450" w:rsidP="00F05450">
      <w:pPr>
        <w:rPr>
          <w:lang w:eastAsia="ja-JP"/>
        </w:rPr>
      </w:pPr>
    </w:p>
    <w:p w14:paraId="02525473" w14:textId="19165D97" w:rsidR="00F05450" w:rsidRPr="00C70350" w:rsidRDefault="00793B6D" w:rsidP="00F05450">
      <w:r w:rsidRPr="00963460">
        <w:fldChar w:fldCharType="begin"/>
      </w:r>
      <w:r w:rsidRPr="00963460">
        <w:instrText xml:space="preserve"> AUTONUM  </w:instrText>
      </w:r>
      <w:r w:rsidRPr="00963460">
        <w:fldChar w:fldCharType="end"/>
      </w:r>
      <w:r w:rsidR="009512E5" w:rsidRPr="00C70350">
        <w:t xml:space="preserve"> </w:t>
      </w:r>
      <w:r w:rsidR="00F05450" w:rsidRPr="00C70350">
        <w:tab/>
        <w:t>Der TC kam überein, dem Rat die Annahme der Richtlinien für die Validierung merkmalspezifischer Marker als alternative Methode zur Bewertung von Merkmalen in den Prüfungsrichtlinien vorzuschlagen wie in der Anlage zu Dokument SESSIONS/2025/6 dargelegt, vorbehaltlich einer sprachlichen Überprüfung durch den erweiterten Redaktionsausschuss (TC-EDC).</w:t>
      </w:r>
    </w:p>
    <w:p w14:paraId="2B7E6C10" w14:textId="77777777" w:rsidR="00F05450" w:rsidRPr="00C70350" w:rsidRDefault="00F05450" w:rsidP="00F05450"/>
    <w:p w14:paraId="2C0462B4" w14:textId="50E0B20C" w:rsidR="00F05450" w:rsidRPr="00C70350" w:rsidRDefault="00793B6D" w:rsidP="00F05450">
      <w:pPr>
        <w:rPr>
          <w:lang w:eastAsia="ja-JP"/>
        </w:rPr>
      </w:pPr>
      <w:r w:rsidRPr="00963460">
        <w:fldChar w:fldCharType="begin"/>
      </w:r>
      <w:r w:rsidRPr="00963460">
        <w:instrText xml:space="preserve"> AUTONUM  </w:instrText>
      </w:r>
      <w:r w:rsidRPr="00963460">
        <w:fldChar w:fldCharType="end"/>
      </w:r>
      <w:r w:rsidR="007B5246" w:rsidRPr="00C70350">
        <w:t xml:space="preserve"> </w:t>
      </w:r>
      <w:r w:rsidR="00F05450" w:rsidRPr="00C70350">
        <w:tab/>
        <w:t>Auf seiner Sitzung am 13. und 15. Januar 202</w:t>
      </w:r>
      <w:r w:rsidR="00F05450" w:rsidRPr="00C70350">
        <w:rPr>
          <w:lang w:eastAsia="ja-JP"/>
        </w:rPr>
        <w:t>6 prüfte d</w:t>
      </w:r>
      <w:r w:rsidR="00F05450" w:rsidRPr="00C70350">
        <w:t xml:space="preserve">er TC-EDC </w:t>
      </w:r>
      <w:r w:rsidR="00F05450" w:rsidRPr="00C70350">
        <w:rPr>
          <w:lang w:eastAsia="ja-JP"/>
        </w:rPr>
        <w:t xml:space="preserve">den Entwurf der Leitlinien und empfahl dem Rat, diese wie in Dokument TGP/15/4 Draft 1 dargelegt auf seiner sechzigsten Tagung in Genf am 23. Oktober 2026 anzunehmen.  </w:t>
      </w:r>
    </w:p>
    <w:p w14:paraId="3F4B6969" w14:textId="77777777" w:rsidR="00F05450" w:rsidRPr="00C70350" w:rsidRDefault="00F05450" w:rsidP="00F05450">
      <w:pPr>
        <w:rPr>
          <w:rFonts w:eastAsia="Calibri"/>
        </w:rPr>
      </w:pPr>
    </w:p>
    <w:p w14:paraId="4B17A8B3" w14:textId="76B1A854" w:rsidR="00F05450" w:rsidRPr="00C70350" w:rsidRDefault="00793B6D" w:rsidP="00F05450">
      <w:r w:rsidRPr="00963460">
        <w:fldChar w:fldCharType="begin"/>
      </w:r>
      <w:r w:rsidRPr="00963460">
        <w:instrText xml:space="preserve"> AUTONUM  </w:instrText>
      </w:r>
      <w:r w:rsidRPr="00963460">
        <w:fldChar w:fldCharType="end"/>
      </w:r>
      <w:r w:rsidR="007B5246" w:rsidRPr="00C70350">
        <w:rPr>
          <w:rFonts w:eastAsia="Calibri"/>
        </w:rPr>
        <w:t xml:space="preserve"> </w:t>
      </w:r>
      <w:r w:rsidR="00F05450" w:rsidRPr="00C70350">
        <w:tab/>
        <w:t xml:space="preserve">Vorbehaltlich der Zustimmung des TC auf seiner zweiundsechzigsten Tagung, und des CAJ auf seiner dreiundachtzigsten Tagung, sollte dem Rat auf seiner sechzigsten ordentlichen </w:t>
      </w:r>
      <w:r w:rsidR="00437EBF" w:rsidRPr="00C70350">
        <w:t>Tagung</w:t>
      </w:r>
      <w:r w:rsidR="00F05450" w:rsidRPr="00C70350">
        <w:t xml:space="preserve"> eine vereinbarte, auf Grundlage der in Dokument TGP/15/4 Draft 2 (verfügbar in zwei Fassungen: in „Nachverfolgungsmodus</w:t>
      </w:r>
      <w:r w:rsidR="001961BB">
        <w:t>“</w:t>
      </w:r>
      <w:r w:rsidR="00F05450" w:rsidRPr="00C70350">
        <w:t xml:space="preserve"> und in „sauberer Ansicht</w:t>
      </w:r>
      <w:r w:rsidR="001961BB">
        <w:t>“</w:t>
      </w:r>
      <w:r w:rsidR="00F05450" w:rsidRPr="00C70350">
        <w:t xml:space="preserve">) vorgestellten Änderungsvorschläge </w:t>
      </w:r>
      <w:r w:rsidR="00437EBF" w:rsidRPr="00C70350">
        <w:t>Überarbeitung</w:t>
      </w:r>
      <w:r w:rsidR="00F05450" w:rsidRPr="00C70350">
        <w:t xml:space="preserve"> zur Annahme vorgelegt werden.  </w:t>
      </w:r>
    </w:p>
    <w:p w14:paraId="65AFC6C6" w14:textId="77777777" w:rsidR="00F05450" w:rsidRPr="00C70350" w:rsidRDefault="00F05450" w:rsidP="00F05450">
      <w:pPr>
        <w:rPr>
          <w:spacing w:val="-4"/>
        </w:rPr>
      </w:pPr>
    </w:p>
    <w:p w14:paraId="23697B6A" w14:textId="573DBF15" w:rsidR="00F05450" w:rsidRPr="00C70350" w:rsidRDefault="00793B6D" w:rsidP="00F05450">
      <w:pPr>
        <w:tabs>
          <w:tab w:val="left" w:pos="5387"/>
          <w:tab w:val="left" w:pos="5954"/>
        </w:tabs>
        <w:ind w:left="4820"/>
        <w:rPr>
          <w:i/>
        </w:rPr>
      </w:pPr>
      <w:r w:rsidRPr="00793B6D">
        <w:rPr>
          <w:i/>
          <w:iCs/>
        </w:rPr>
        <w:fldChar w:fldCharType="begin"/>
      </w:r>
      <w:r w:rsidRPr="00793B6D">
        <w:rPr>
          <w:i/>
          <w:iCs/>
        </w:rPr>
        <w:instrText xml:space="preserve"> AUTONUM  </w:instrText>
      </w:r>
      <w:r w:rsidRPr="00793B6D">
        <w:rPr>
          <w:i/>
          <w:iCs/>
        </w:rPr>
        <w:fldChar w:fldCharType="end"/>
      </w:r>
      <w:r w:rsidR="007B5246" w:rsidRPr="00C70350">
        <w:rPr>
          <w:i/>
        </w:rPr>
        <w:t xml:space="preserve"> </w:t>
      </w:r>
      <w:r w:rsidR="00F05450" w:rsidRPr="00C70350">
        <w:rPr>
          <w:i/>
        </w:rPr>
        <w:tab/>
        <w:t>Der Rat wird ersucht, vorbehaltlich der Zustimmung des TC und des CAJ auf ihren jeweiligen Tagungen im Jahr 2026, eine Überarbeitung von Dokument TGP/15/4</w:t>
      </w:r>
      <w:r w:rsidR="007B5246" w:rsidRPr="00C70350">
        <w:rPr>
          <w:i/>
        </w:rPr>
        <w:t>3</w:t>
      </w:r>
      <w:r w:rsidR="00F05450" w:rsidRPr="00C70350">
        <w:rPr>
          <w:i/>
        </w:rPr>
        <w:t xml:space="preserve"> </w:t>
      </w:r>
      <w:r w:rsidR="001961BB">
        <w:t>„</w:t>
      </w:r>
      <w:r w:rsidR="00F05450" w:rsidRPr="00C70350">
        <w:rPr>
          <w:i/>
        </w:rPr>
        <w:t>Anleitung zur Verwendung Biochemischer und Molekularer Marker bei der Prüfung der Unterscheidbarkeit, Homogenität und Beständigkeit (DUS)</w:t>
      </w:r>
      <w:r w:rsidR="001961BB">
        <w:t>“</w:t>
      </w:r>
      <w:r w:rsidR="00F05450" w:rsidRPr="00C70350">
        <w:rPr>
          <w:i/>
        </w:rPr>
        <w:t xml:space="preserve"> auf Grundlage von Dokument TGP/15/4 Draft 1 anzunehmen.</w:t>
      </w:r>
    </w:p>
    <w:p w14:paraId="20B0510D" w14:textId="77777777" w:rsidR="00F05450" w:rsidRDefault="00F05450" w:rsidP="00F05450"/>
    <w:p w14:paraId="44A6B414" w14:textId="77777777" w:rsidR="00793B6D" w:rsidRDefault="00793B6D" w:rsidP="00F05450"/>
    <w:p w14:paraId="104E80CB" w14:textId="77777777" w:rsidR="00793B6D" w:rsidRPr="00C70350" w:rsidRDefault="00793B6D" w:rsidP="00F05450"/>
    <w:p w14:paraId="27221466" w14:textId="77777777" w:rsidR="00F05450" w:rsidRPr="00C70350" w:rsidRDefault="00F05450" w:rsidP="00F05450">
      <w:pPr>
        <w:jc w:val="right"/>
      </w:pPr>
      <w:r w:rsidRPr="00C70350">
        <w:t>[Anlage folgt]</w:t>
      </w:r>
    </w:p>
    <w:p w14:paraId="61755B21" w14:textId="77777777" w:rsidR="00F05450" w:rsidRPr="00C70350" w:rsidRDefault="00F05450" w:rsidP="00F05450">
      <w:pPr>
        <w:jc w:val="left"/>
        <w:sectPr w:rsidR="00F05450" w:rsidRPr="00C70350" w:rsidSect="00AD5150">
          <w:headerReference w:type="default" r:id="rId15"/>
          <w:footerReference w:type="even" r:id="rId16"/>
          <w:pgSz w:w="11907" w:h="16840"/>
          <w:pgMar w:top="510" w:right="1134" w:bottom="992" w:left="1134" w:header="510" w:footer="680" w:gutter="0"/>
          <w:pgNumType w:start="1"/>
          <w:cols w:space="720"/>
          <w:titlePg/>
          <w:docGrid w:linePitch="272"/>
        </w:sectPr>
      </w:pPr>
    </w:p>
    <w:p w14:paraId="6E35E52A" w14:textId="67407C03" w:rsidR="00F05450" w:rsidRPr="00C70350" w:rsidRDefault="00F05450" w:rsidP="00F05450">
      <w:pPr>
        <w:jc w:val="center"/>
        <w:rPr>
          <w:rFonts w:eastAsia="MS Mincho"/>
        </w:rPr>
      </w:pPr>
      <w:r w:rsidRPr="00C70350">
        <w:rPr>
          <w:rFonts w:eastAsia="MS Mincho"/>
        </w:rPr>
        <w:lastRenderedPageBreak/>
        <w:t xml:space="preserve">DOKUMENT TGP/7 </w:t>
      </w:r>
      <w:r w:rsidR="00580A25">
        <w:rPr>
          <w:rFonts w:eastAsia="MS Mincho"/>
        </w:rPr>
        <w:t>„</w:t>
      </w:r>
      <w:r w:rsidRPr="00C70350">
        <w:rPr>
          <w:rFonts w:eastAsia="MS Mincho"/>
        </w:rPr>
        <w:t>ERSTELLUNG VON PRÜFUNGSRICHTLINIEN</w:t>
      </w:r>
      <w:r w:rsidR="001961BB">
        <w:t>“</w:t>
      </w:r>
    </w:p>
    <w:p w14:paraId="24A576D8" w14:textId="77777777" w:rsidR="00F05450" w:rsidRPr="00C70350" w:rsidRDefault="00F05450" w:rsidP="00F05450">
      <w:pPr>
        <w:jc w:val="center"/>
        <w:rPr>
          <w:rFonts w:eastAsia="MS Mincho"/>
        </w:rPr>
      </w:pPr>
    </w:p>
    <w:p w14:paraId="7ACCF63C" w14:textId="1D2F0975" w:rsidR="00F05450" w:rsidRPr="00C70350" w:rsidRDefault="00F05450" w:rsidP="00F05450">
      <w:pPr>
        <w:jc w:val="center"/>
        <w:rPr>
          <w:rFonts w:eastAsia="MS Mincho"/>
        </w:rPr>
      </w:pPr>
      <w:r w:rsidRPr="00C70350">
        <w:rPr>
          <w:rFonts w:eastAsia="MS Mincho"/>
        </w:rPr>
        <w:t xml:space="preserve">HINTERGRUND ZUM VORSCHLAG ZUR </w:t>
      </w:r>
      <w:r w:rsidR="001961BB">
        <w:t>„</w:t>
      </w:r>
      <w:r w:rsidRPr="00C70350">
        <w:rPr>
          <w:rFonts w:eastAsia="MS Mincho"/>
        </w:rPr>
        <w:t>ANZAHL VON WACHSTUMSPERIODEN UND ABSCHLIESSENDE PRÜFUNG VON OBSTARTEN</w:t>
      </w:r>
      <w:r w:rsidR="001961BB">
        <w:t>“</w:t>
      </w:r>
    </w:p>
    <w:p w14:paraId="240F5DB9" w14:textId="77777777" w:rsidR="00F05450" w:rsidRPr="00C70350" w:rsidRDefault="00F05450" w:rsidP="00F05450">
      <w:pPr>
        <w:rPr>
          <w:rFonts w:eastAsia="MS Mincho"/>
        </w:rPr>
      </w:pPr>
    </w:p>
    <w:p w14:paraId="7C8B5AD8" w14:textId="77777777" w:rsidR="00F05450" w:rsidRPr="00C70350" w:rsidRDefault="00F05450" w:rsidP="00F05450">
      <w:pPr>
        <w:rPr>
          <w:rFonts w:eastAsia="MS Mincho"/>
        </w:rPr>
      </w:pPr>
    </w:p>
    <w:p w14:paraId="09290C1B" w14:textId="77777777" w:rsidR="00F05450" w:rsidRPr="00C70350" w:rsidRDefault="00F05450" w:rsidP="00F05450">
      <w:pPr>
        <w:rPr>
          <w:rFonts w:eastAsia="MS Mincho"/>
          <w:u w:val="single"/>
        </w:rPr>
      </w:pPr>
      <w:r w:rsidRPr="00C70350">
        <w:rPr>
          <w:rFonts w:eastAsia="MS Mincho"/>
          <w:u w:val="single"/>
        </w:rPr>
        <w:t>Entwicklungen im Jahr 2024</w:t>
      </w:r>
    </w:p>
    <w:p w14:paraId="06C21033" w14:textId="77777777" w:rsidR="00F05450" w:rsidRPr="00C70350" w:rsidRDefault="00F05450" w:rsidP="00F05450">
      <w:pPr>
        <w:rPr>
          <w:rFonts w:eastAsia="MS Mincho"/>
        </w:rPr>
      </w:pPr>
    </w:p>
    <w:p w14:paraId="5DF42455" w14:textId="5699989F"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1 </w:instrText>
      </w:r>
      <w:r w:rsidRPr="00C70350">
        <w:rPr>
          <w:rFonts w:eastAsia="MS Mincho"/>
        </w:rPr>
        <w:fldChar w:fldCharType="end"/>
      </w:r>
      <w:r w:rsidRPr="00C70350">
        <w:rPr>
          <w:rFonts w:eastAsia="MS Mincho"/>
        </w:rPr>
        <w:tab/>
        <w:t>Die TWF</w:t>
      </w:r>
      <w:r w:rsidRPr="00C70350">
        <w:rPr>
          <w:rFonts w:eastAsia="MS Mincho"/>
          <w:vertAlign w:val="superscript"/>
        </w:rPr>
        <w:footnoteReference w:id="15"/>
      </w:r>
      <w:r w:rsidRPr="00C70350">
        <w:rPr>
          <w:rFonts w:eastAsia="MS Mincho"/>
        </w:rPr>
        <w:t xml:space="preserve"> hörte auf ihrer Tagung im Jahr 2024 ein Referat über die </w:t>
      </w:r>
      <w:r w:rsidR="001961BB">
        <w:t>„</w:t>
      </w:r>
      <w:r w:rsidRPr="00C70350">
        <w:rPr>
          <w:rFonts w:eastAsia="MS Mincho"/>
        </w:rPr>
        <w:t>Anzahl an Wachstumsperioden und Abschluss der Prüfung von Obstarten</w:t>
      </w:r>
      <w:r w:rsidR="001961BB">
        <w:t>“</w:t>
      </w:r>
      <w:r w:rsidRPr="00C70350">
        <w:rPr>
          <w:rFonts w:eastAsia="MS Mincho"/>
        </w:rPr>
        <w:t xml:space="preserve"> von einem Sachverständigen der Europäischen Union. Eine Kopie des Vortrags ist in Dokument TWF/55/4 enthalten (vergleiche Dokument TWF/55/9 </w:t>
      </w:r>
      <w:r w:rsidR="001961BB">
        <w:t>„</w:t>
      </w:r>
      <w:r w:rsidRPr="00C70350">
        <w:rPr>
          <w:rFonts w:eastAsia="MS Mincho"/>
        </w:rPr>
        <w:t>Bericht</w:t>
      </w:r>
      <w:r w:rsidR="001961BB">
        <w:t>“</w:t>
      </w:r>
      <w:r w:rsidRPr="00C70350">
        <w:rPr>
          <w:rFonts w:eastAsia="MS Mincho"/>
        </w:rPr>
        <w:t>, Absätze 33 bis</w:t>
      </w:r>
      <w:r w:rsidR="001B18CD">
        <w:rPr>
          <w:rFonts w:eastAsia="MS Mincho"/>
        </w:rPr>
        <w:t> </w:t>
      </w:r>
      <w:r w:rsidRPr="00C70350">
        <w:rPr>
          <w:rFonts w:eastAsia="MS Mincho"/>
        </w:rPr>
        <w:t>37).</w:t>
      </w:r>
    </w:p>
    <w:p w14:paraId="7A22A65E" w14:textId="77777777" w:rsidR="00F05450" w:rsidRPr="00C70350" w:rsidRDefault="00F05450" w:rsidP="00F05450">
      <w:pPr>
        <w:rPr>
          <w:rFonts w:eastAsia="MS Mincho"/>
        </w:rPr>
      </w:pPr>
    </w:p>
    <w:p w14:paraId="1E556E05" w14:textId="3080A5D9"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 xml:space="preserve">Die TWF nahm zur Kenntnis, dass die Anzahl von Wachstumsperioden in Prüfungsrichtlinien für Obstarten in der Regel zwei sind. Die TWF nahm zur Kenntnis, dass der Standardwortlaut für solche Fälle besagt </w:t>
      </w:r>
      <w:r w:rsidR="001961BB">
        <w:t>„</w:t>
      </w:r>
      <w:r w:rsidRPr="00C70350">
        <w:rPr>
          <w:rFonts w:eastAsia="MS Mincho"/>
        </w:rPr>
        <w:t>die Mindestprüfungsdauer in der Regel zwei unabhängige Wachstumsperioden betragen sollte.</w:t>
      </w:r>
      <w:r w:rsidR="001961BB">
        <w:t>“</w:t>
      </w:r>
    </w:p>
    <w:p w14:paraId="4E6A71AF" w14:textId="77777777" w:rsidR="00F05450" w:rsidRPr="00C70350" w:rsidRDefault="00F05450" w:rsidP="00F05450">
      <w:pPr>
        <w:rPr>
          <w:rFonts w:eastAsia="MS Mincho"/>
        </w:rPr>
      </w:pPr>
    </w:p>
    <w:p w14:paraId="6498256E" w14:textId="77777777"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nahm zur Kenntnis, dass die Wahl der Anzahl von Wachstumsperioden für Obstarten unter den beteiligten Sachverständigen und der TFW zur Diskussion steht.  Die TWF nahm die von Kanada und Frankreich berichteten Erfahrungen im Hinblick auf Beurteilungen, die durchgeführt wurden, nachdem einmal genügend Früchte erzielt wurden, zur Kenntnis.</w:t>
      </w:r>
    </w:p>
    <w:p w14:paraId="3BE0EB84" w14:textId="77777777" w:rsidR="00F05450" w:rsidRPr="00C70350" w:rsidRDefault="00F05450" w:rsidP="00F05450">
      <w:pPr>
        <w:rPr>
          <w:rFonts w:eastAsia="MS Mincho"/>
        </w:rPr>
      </w:pPr>
    </w:p>
    <w:p w14:paraId="3EB7F8C6" w14:textId="7909EB8F"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 xml:space="preserve">Die TWF prüfte den Standardwortlaut </w:t>
      </w:r>
      <w:r w:rsidR="001961BB">
        <w:t>„</w:t>
      </w:r>
      <w:r w:rsidRPr="00C70350">
        <w:rPr>
          <w:rFonts w:eastAsia="MS Mincho"/>
        </w:rPr>
        <w:t>die Prüfung einer Sorte kann abgeschlossen werden, wenn die zuständige Behörde das Ergebnis der Prüfung mit Sicherheit bestimmen kann</w:t>
      </w:r>
      <w:r w:rsidR="001961BB">
        <w:t>“</w:t>
      </w:r>
      <w:r w:rsidRPr="00C70350">
        <w:rPr>
          <w:rFonts w:eastAsia="MS Mincho"/>
        </w:rPr>
        <w:t xml:space="preserve"> </w:t>
      </w:r>
      <w:r w:rsidR="00E54D1B" w:rsidRPr="00C70350">
        <w:rPr>
          <w:rFonts w:eastAsia="MS Mincho"/>
        </w:rPr>
        <w:t>und die Frage,</w:t>
      </w:r>
      <w:r w:rsidRPr="00C70350">
        <w:rPr>
          <w:rFonts w:eastAsia="MS Mincho"/>
        </w:rPr>
        <w:t xml:space="preserve"> ob dieseim Widerspruch zu dem Standardwortlaut </w:t>
      </w:r>
      <w:r w:rsidR="001961BB">
        <w:t>„</w:t>
      </w:r>
      <w:r w:rsidRPr="00C70350">
        <w:rPr>
          <w:rFonts w:eastAsia="MS Mincho"/>
        </w:rPr>
        <w:t>die Mindestprüfdauer sollte in der Regel zwei unabhängige Wachstumsperioden betragen</w:t>
      </w:r>
      <w:r w:rsidR="001961BB">
        <w:t>“</w:t>
      </w:r>
      <w:r w:rsidRPr="00C70350">
        <w:rPr>
          <w:rFonts w:eastAsia="MS Mincho"/>
        </w:rPr>
        <w:t xml:space="preserve"> steh</w:t>
      </w:r>
      <w:r w:rsidR="00E54D1B" w:rsidRPr="00C70350">
        <w:rPr>
          <w:rFonts w:eastAsia="MS Mincho"/>
        </w:rPr>
        <w:t>en könnte.</w:t>
      </w:r>
      <w:r w:rsidRPr="00C70350">
        <w:rPr>
          <w:rFonts w:eastAsia="MS Mincho"/>
        </w:rPr>
        <w:t xml:space="preserve"> </w:t>
      </w:r>
    </w:p>
    <w:p w14:paraId="32CFAB42" w14:textId="77777777" w:rsidR="00F05450" w:rsidRPr="00C70350" w:rsidRDefault="00F05450" w:rsidP="00F05450">
      <w:pPr>
        <w:rPr>
          <w:rFonts w:eastAsia="MS Mincho"/>
        </w:rPr>
      </w:pPr>
    </w:p>
    <w:p w14:paraId="63E9C8F5" w14:textId="440E78E2"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vereinbarte, den Sachverständigen aus Frankreich, mit der Unterstützung von Kanada, der Europäischen Union, Frankreich, Deutschland, Neuseeland, Republik Korea und CIOPORA, zu bitten, Vorschläge zur Anzahl der Wachstumsperioden für Obstarten wie etwa die Verkürzung der Prüfdauer auf eine Wachstumsperiode for Obstarten, und zur Frage, was unter „genügend Früchte</w:t>
      </w:r>
      <w:r w:rsidR="001961BB">
        <w:t>“</w:t>
      </w:r>
      <w:r w:rsidRPr="00C70350">
        <w:rPr>
          <w:rFonts w:eastAsia="MS Mincho"/>
        </w:rPr>
        <w:t xml:space="preserve"> zu verstehen sei, auszuarbeiten.</w:t>
      </w:r>
    </w:p>
    <w:p w14:paraId="1ACF51DF" w14:textId="77777777" w:rsidR="00F05450" w:rsidRPr="00C70350" w:rsidRDefault="00F05450" w:rsidP="00F05450">
      <w:pPr>
        <w:rPr>
          <w:rFonts w:eastAsia="MS Mincho"/>
        </w:rPr>
      </w:pPr>
    </w:p>
    <w:p w14:paraId="1E849CF3" w14:textId="77777777" w:rsidR="00F05450" w:rsidRPr="00C70350" w:rsidRDefault="00F05450" w:rsidP="00F05450">
      <w:pPr>
        <w:rPr>
          <w:rFonts w:eastAsia="MS Mincho"/>
          <w:u w:val="single"/>
        </w:rPr>
      </w:pPr>
      <w:r w:rsidRPr="00C70350">
        <w:rPr>
          <w:rFonts w:eastAsia="MS Mincho"/>
          <w:u w:val="single"/>
        </w:rPr>
        <w:t>Entwicklungen im Jahr 2025</w:t>
      </w:r>
    </w:p>
    <w:p w14:paraId="6085CDF3" w14:textId="77777777" w:rsidR="00F05450" w:rsidRPr="00C70350" w:rsidRDefault="00F05450" w:rsidP="00F05450">
      <w:pPr>
        <w:rPr>
          <w:rFonts w:eastAsia="MS Mincho"/>
        </w:rPr>
      </w:pPr>
    </w:p>
    <w:p w14:paraId="083ABB8C" w14:textId="0EA6D4FA"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w:t>
      </w:r>
      <w:r w:rsidRPr="00C70350">
        <w:rPr>
          <w:rFonts w:eastAsia="MS Mincho"/>
          <w:vertAlign w:val="superscript"/>
        </w:rPr>
        <w:footnoteReference w:id="16"/>
      </w:r>
      <w:r w:rsidRPr="00C70350">
        <w:rPr>
          <w:rFonts w:eastAsia="MS Mincho"/>
        </w:rPr>
        <w:t xml:space="preserve"> prüfte Dokument TWF/56/3, das von einem Sachverständigen aus Kanada vorgestellt wurde (vergleiche Dokument TWF/56/7 </w:t>
      </w:r>
      <w:r w:rsidR="001961BB">
        <w:t>„</w:t>
      </w:r>
      <w:r w:rsidRPr="00C70350">
        <w:rPr>
          <w:rFonts w:eastAsia="MS Mincho"/>
        </w:rPr>
        <w:t>Bericht</w:t>
      </w:r>
      <w:r w:rsidR="001961BB">
        <w:t>“</w:t>
      </w:r>
      <w:r w:rsidRPr="00C70350">
        <w:rPr>
          <w:rFonts w:eastAsia="MS Mincho"/>
        </w:rPr>
        <w:t>, Ansätze 10 bis 19).</w:t>
      </w:r>
    </w:p>
    <w:p w14:paraId="50399C49" w14:textId="77777777" w:rsidR="00F05450" w:rsidRPr="00C70350" w:rsidRDefault="00F05450" w:rsidP="00F05450">
      <w:pPr>
        <w:rPr>
          <w:rFonts w:eastAsia="MS Mincho"/>
        </w:rPr>
      </w:pPr>
    </w:p>
    <w:p w14:paraId="4D2D7FB9" w14:textId="011357CD"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 xml:space="preserve">Die TWF erörterte Situationen, in denen zwei Wachstumsperioden notwendig wären, um zu belegen, dass die Merkmalsausprägung gemäß UPOV-Anleitung hinreichend stabil und deutlich ist um zuverlässige Sortenbeschreibungen zu erstellen. </w:t>
      </w:r>
    </w:p>
    <w:p w14:paraId="6589C8ED" w14:textId="77777777" w:rsidR="00F05450" w:rsidRPr="00C70350" w:rsidRDefault="00F05450" w:rsidP="00F05450">
      <w:pPr>
        <w:rPr>
          <w:rFonts w:eastAsia="MS Mincho"/>
        </w:rPr>
      </w:pPr>
    </w:p>
    <w:p w14:paraId="71EE1B70" w14:textId="77777777"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 xml:space="preserve">Die TWF nahm die Bemerkungen von Japan und der Republik Korea hinsichtlich der Interpretation der Anleitung in diesen Ländern zur Kenntnis, welche den Behörden Flexibilität hinsichtlich der Entscheidung, ob zwei Wachstumsperioden notwendig sind oder ob die Prüfung abgeschlossen werden kann, wenn die Behörden das Ergebnis der Prüfung mit Sicherheit bestimmen kann, einräumt. </w:t>
      </w:r>
    </w:p>
    <w:p w14:paraId="569F94BE" w14:textId="77777777" w:rsidR="00F05450" w:rsidRPr="00C70350" w:rsidRDefault="00F05450" w:rsidP="00F05450">
      <w:pPr>
        <w:rPr>
          <w:rFonts w:eastAsia="MS Mincho"/>
        </w:rPr>
      </w:pPr>
    </w:p>
    <w:p w14:paraId="431A1D02" w14:textId="4DC95DE3"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prüfte den Standardwortlaut für die Anzahl von Wachstumsperioden in den Prüfungsrichtlinien, insbesondere die Verweise auf die „Anzahl der Wachstumsperioden</w:t>
      </w:r>
      <w:r w:rsidR="001961BB">
        <w:t>“</w:t>
      </w:r>
      <w:r w:rsidRPr="00C70350">
        <w:rPr>
          <w:rFonts w:eastAsia="MS Mincho"/>
        </w:rPr>
        <w:t xml:space="preserve"> und die Tatsache, dass „die Prüfung einer Sorte abgeschlossen werden kann, wenn die zuständige Behörde das Ergebnis der Prüfung mit Sicherheit bestimmen kann</w:t>
      </w:r>
      <w:r w:rsidR="001961BB">
        <w:t>“</w:t>
      </w:r>
      <w:r w:rsidRPr="00C70350">
        <w:rPr>
          <w:rFonts w:eastAsia="MS Mincho"/>
        </w:rPr>
        <w:t>.  Die TWF kam überein, dass die Anleitung in Prüfungsrichtlinien verbessert werden könnte, um zu verdeutlichen, dass die Behörden die Prüfung von Obstarten vor Ablauf der zwei Wachstumsperioden abschließen können, wenn dies in den Prüfungslinien empfohlen würde.</w:t>
      </w:r>
    </w:p>
    <w:p w14:paraId="5BD7A35A" w14:textId="77777777" w:rsidR="00F05450" w:rsidRPr="00C70350" w:rsidRDefault="00F05450" w:rsidP="00F05450">
      <w:pPr>
        <w:rPr>
          <w:rFonts w:eastAsia="MS Mincho"/>
        </w:rPr>
      </w:pPr>
    </w:p>
    <w:p w14:paraId="7AA2946D" w14:textId="19DC0658"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 xml:space="preserve"> Die TWF prüfte die Verwendung der Begriffe „Mindest-</w:t>
      </w:r>
      <w:r w:rsidR="001961BB">
        <w:t>“</w:t>
      </w:r>
      <w:r w:rsidRPr="00C70350">
        <w:rPr>
          <w:rFonts w:eastAsia="MS Mincho"/>
        </w:rPr>
        <w:t xml:space="preserve"> und „in der Regel</w:t>
      </w:r>
      <w:r w:rsidR="001961BB">
        <w:t>“</w:t>
      </w:r>
      <w:r w:rsidRPr="00C70350">
        <w:rPr>
          <w:rFonts w:eastAsia="MS Mincho"/>
        </w:rPr>
        <w:t xml:space="preserve"> in Bezug auf die Mindestprüfdauer und kam überein, folgende Änderung von Dokument TGP/7, Zusätzlicher Standardwortlaut (ASW) 2 vorzuschlagen, um den Begriff „in der Regel</w:t>
      </w:r>
      <w:r w:rsidR="001961BB">
        <w:t>“</w:t>
      </w:r>
      <w:r w:rsidRPr="00C70350">
        <w:rPr>
          <w:rFonts w:eastAsia="MS Mincho"/>
        </w:rPr>
        <w:t xml:space="preserve"> durch „im Allgemeinen</w:t>
      </w:r>
      <w:r w:rsidR="001961BB">
        <w:t>“</w:t>
      </w:r>
      <w:r w:rsidRPr="00C70350">
        <w:rPr>
          <w:rFonts w:eastAsia="MS Mincho"/>
        </w:rPr>
        <w:t xml:space="preserve"> zu ersetzen: </w:t>
      </w:r>
    </w:p>
    <w:p w14:paraId="4A25068B" w14:textId="77777777" w:rsidR="00F05450" w:rsidRPr="00C70350" w:rsidRDefault="00F05450" w:rsidP="00F05450">
      <w:pPr>
        <w:rPr>
          <w:rFonts w:eastAsia="MS Mincho"/>
        </w:rPr>
      </w:pPr>
    </w:p>
    <w:p w14:paraId="0978E089" w14:textId="77777777" w:rsidR="00F05450" w:rsidRPr="00C70350" w:rsidRDefault="00F05450" w:rsidP="00F05450">
      <w:pPr>
        <w:ind w:left="567"/>
        <w:rPr>
          <w:rFonts w:eastAsia="MS Mincho"/>
          <w:u w:val="single"/>
        </w:rPr>
      </w:pPr>
    </w:p>
    <w:p w14:paraId="7D4A99AB" w14:textId="77777777" w:rsidR="00F05450" w:rsidRPr="00C70350" w:rsidRDefault="00F05450" w:rsidP="00F05450">
      <w:pPr>
        <w:keepNext/>
        <w:ind w:left="567"/>
        <w:rPr>
          <w:rFonts w:eastAsia="MS Mincho"/>
        </w:rPr>
      </w:pPr>
      <w:r w:rsidRPr="00C70350">
        <w:rPr>
          <w:rFonts w:eastAsia="MS Mincho"/>
          <w:u w:val="single"/>
        </w:rPr>
        <w:t>ASW 2  (Kapitel 3.1) – Anzahl von Wachstumsperioden</w:t>
      </w:r>
    </w:p>
    <w:p w14:paraId="31F63447" w14:textId="77777777" w:rsidR="00F05450" w:rsidRPr="00C70350" w:rsidRDefault="00F05450" w:rsidP="00F05450">
      <w:pPr>
        <w:keepNext/>
        <w:ind w:left="567"/>
        <w:rPr>
          <w:rFonts w:eastAsia="MS Mincho"/>
        </w:rPr>
      </w:pPr>
    </w:p>
    <w:p w14:paraId="4D4044B6" w14:textId="77777777" w:rsidR="00F05450" w:rsidRPr="00C70350" w:rsidRDefault="00F05450" w:rsidP="00F05450">
      <w:pPr>
        <w:keepNext/>
        <w:ind w:left="567"/>
        <w:rPr>
          <w:rFonts w:eastAsia="MS Mincho"/>
          <w:i/>
          <w:iCs/>
        </w:rPr>
      </w:pPr>
      <w:r w:rsidRPr="00C70350">
        <w:rPr>
          <w:rFonts w:eastAsia="MS Mincho"/>
          <w:i/>
          <w:iCs/>
        </w:rPr>
        <w:t>a)</w:t>
      </w:r>
      <w:r w:rsidRPr="00C70350">
        <w:rPr>
          <w:rFonts w:eastAsia="MS Mincho"/>
          <w:i/>
          <w:iCs/>
        </w:rPr>
        <w:tab/>
        <w:t>Eine einzige Wachstumsperiode</w:t>
      </w:r>
    </w:p>
    <w:p w14:paraId="3598C772" w14:textId="77777777" w:rsidR="00F05450" w:rsidRPr="00C70350" w:rsidRDefault="00F05450" w:rsidP="00F05450">
      <w:pPr>
        <w:keepNext/>
        <w:ind w:left="567" w:right="567"/>
        <w:rPr>
          <w:rFonts w:eastAsia="MS Mincho"/>
        </w:rPr>
      </w:pPr>
    </w:p>
    <w:p w14:paraId="41282546" w14:textId="709DF3EE" w:rsidR="00F05450" w:rsidRPr="00C70350" w:rsidRDefault="001961BB" w:rsidP="00F05450">
      <w:pPr>
        <w:keepNext/>
        <w:ind w:left="567" w:right="567"/>
        <w:rPr>
          <w:rFonts w:eastAsia="MS Mincho"/>
        </w:rPr>
      </w:pPr>
      <w:r>
        <w:t>„</w:t>
      </w:r>
      <w:r w:rsidR="00F05450" w:rsidRPr="00C70350">
        <w:rPr>
          <w:rFonts w:eastAsia="MS Mincho"/>
        </w:rPr>
        <w:t xml:space="preserve">Die Mindestprüfdauer sollte </w:t>
      </w:r>
      <w:r w:rsidR="00F05450" w:rsidRPr="00C70350">
        <w:rPr>
          <w:rFonts w:eastAsia="MS Mincho"/>
          <w:strike/>
          <w:highlight w:val="lightGray"/>
        </w:rPr>
        <w:t>in der Regel</w:t>
      </w:r>
      <w:r w:rsidR="00F05450" w:rsidRPr="00C70350">
        <w:rPr>
          <w:rFonts w:eastAsia="MS Mincho"/>
        </w:rPr>
        <w:t xml:space="preserve"> </w:t>
      </w:r>
      <w:r w:rsidR="00AC39C2" w:rsidRPr="00C70350">
        <w:rPr>
          <w:rFonts w:eastAsia="MS Mincho"/>
        </w:rPr>
        <w:t xml:space="preserve">im </w:t>
      </w:r>
      <w:r w:rsidR="00F05450" w:rsidRPr="00C70350">
        <w:rPr>
          <w:rFonts w:eastAsia="MS Mincho"/>
          <w:highlight w:val="lightGray"/>
          <w:u w:val="single"/>
        </w:rPr>
        <w:t>Allgemeinen</w:t>
      </w:r>
      <w:r w:rsidR="00F05450" w:rsidRPr="00C70350">
        <w:rPr>
          <w:rFonts w:eastAsia="MS Mincho"/>
        </w:rPr>
        <w:t xml:space="preserve"> eine einzige Wachstumsperiode betragen.</w:t>
      </w:r>
      <w:r>
        <w:t>“</w:t>
      </w:r>
      <w:r w:rsidR="00F05450" w:rsidRPr="00C70350">
        <w:rPr>
          <w:rFonts w:eastAsia="MS Mincho"/>
        </w:rPr>
        <w:t xml:space="preserve"> </w:t>
      </w:r>
    </w:p>
    <w:p w14:paraId="3C2AC57F" w14:textId="77777777" w:rsidR="00F05450" w:rsidRPr="00C70350" w:rsidRDefault="00F05450" w:rsidP="00F05450">
      <w:pPr>
        <w:ind w:left="567" w:right="567"/>
        <w:rPr>
          <w:rFonts w:eastAsia="MS Mincho"/>
          <w:i/>
        </w:rPr>
      </w:pPr>
    </w:p>
    <w:p w14:paraId="4FE77586" w14:textId="77777777" w:rsidR="00F05450" w:rsidRPr="00C70350" w:rsidRDefault="00F05450" w:rsidP="00F05450">
      <w:pPr>
        <w:ind w:left="567"/>
        <w:rPr>
          <w:rFonts w:eastAsia="MS Mincho"/>
          <w:i/>
          <w:iCs/>
        </w:rPr>
      </w:pPr>
      <w:r w:rsidRPr="00C70350">
        <w:rPr>
          <w:rFonts w:eastAsia="MS Mincho"/>
          <w:i/>
          <w:iCs/>
        </w:rPr>
        <w:t>b)</w:t>
      </w:r>
      <w:r w:rsidRPr="00C70350">
        <w:rPr>
          <w:rFonts w:eastAsia="MS Mincho"/>
          <w:i/>
          <w:iCs/>
        </w:rPr>
        <w:tab/>
        <w:t xml:space="preserve">Zwei unabhängige Wachstumsperioden </w:t>
      </w:r>
    </w:p>
    <w:p w14:paraId="7D946E17" w14:textId="77777777" w:rsidR="00F05450" w:rsidRPr="00C70350" w:rsidRDefault="00F05450" w:rsidP="00F05450">
      <w:pPr>
        <w:ind w:left="567" w:right="567"/>
        <w:rPr>
          <w:rFonts w:eastAsia="MS Mincho"/>
        </w:rPr>
      </w:pPr>
    </w:p>
    <w:p w14:paraId="42507572" w14:textId="2D7A3CAD" w:rsidR="00F05450" w:rsidRPr="00C70350" w:rsidRDefault="001961BB" w:rsidP="00F05450">
      <w:pPr>
        <w:ind w:left="567" w:right="567"/>
        <w:rPr>
          <w:rFonts w:eastAsia="MS Mincho"/>
        </w:rPr>
      </w:pPr>
      <w:r>
        <w:t>„</w:t>
      </w:r>
      <w:r w:rsidR="00F05450" w:rsidRPr="00C70350">
        <w:rPr>
          <w:rFonts w:eastAsia="MS Mincho"/>
        </w:rPr>
        <w:t xml:space="preserve">Die Mindestprüfdauer sollte </w:t>
      </w:r>
      <w:r w:rsidR="00F05450" w:rsidRPr="00C70350">
        <w:rPr>
          <w:rFonts w:eastAsia="MS Mincho"/>
          <w:strike/>
          <w:highlight w:val="lightGray"/>
        </w:rPr>
        <w:t>in der Regel</w:t>
      </w:r>
      <w:r w:rsidR="00F05450" w:rsidRPr="00C70350">
        <w:rPr>
          <w:rFonts w:eastAsia="MS Mincho"/>
        </w:rPr>
        <w:t xml:space="preserve"> </w:t>
      </w:r>
      <w:r w:rsidR="00AC39C2" w:rsidRPr="00C70350">
        <w:rPr>
          <w:rFonts w:eastAsia="MS Mincho"/>
        </w:rPr>
        <w:t xml:space="preserve">im </w:t>
      </w:r>
      <w:r w:rsidR="00F05450" w:rsidRPr="00C70350">
        <w:rPr>
          <w:rFonts w:eastAsia="MS Mincho"/>
          <w:highlight w:val="lightGray"/>
          <w:u w:val="single"/>
        </w:rPr>
        <w:t>Allgemeinen</w:t>
      </w:r>
      <w:r w:rsidR="00F05450" w:rsidRPr="00C70350">
        <w:rPr>
          <w:rFonts w:eastAsia="MS Mincho"/>
        </w:rPr>
        <w:t xml:space="preserve"> zwei unabhängige Wachstumsperioden betragen.</w:t>
      </w:r>
      <w:r w:rsidR="00615A9E">
        <w:t>“</w:t>
      </w:r>
    </w:p>
    <w:p w14:paraId="23B67174" w14:textId="77777777" w:rsidR="00F05450" w:rsidRPr="00C70350" w:rsidRDefault="00F05450" w:rsidP="00F05450">
      <w:pPr>
        <w:jc w:val="left"/>
        <w:rPr>
          <w:rFonts w:eastAsia="MS Mincho"/>
        </w:rPr>
      </w:pPr>
    </w:p>
    <w:p w14:paraId="292B3D38" w14:textId="5E5D0542"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nahm zur Kenntnis, dass die im Standardwortlaut in den Prüfungsrichtlinien die Erläuterung zur „Anzahl der Wachstumsperioden</w:t>
      </w:r>
      <w:r w:rsidR="00615A9E">
        <w:t>“</w:t>
      </w:r>
      <w:r w:rsidRPr="00C70350">
        <w:rPr>
          <w:rFonts w:eastAsia="MS Mincho"/>
        </w:rPr>
        <w:t xml:space="preserve"> getrennt von der Erläuterung „die Prüfung einer Sorte kann abgeschlossen werden, wenn die zuständige Behörde das Ergebnis der Prüfung mit Sicherheit bestimmen kann</w:t>
      </w:r>
      <w:r w:rsidR="00615A9E">
        <w:t>“</w:t>
      </w:r>
      <w:r w:rsidRPr="00C70350">
        <w:rPr>
          <w:rFonts w:eastAsia="MS Mincho"/>
        </w:rPr>
        <w:t xml:space="preserve"> dargestellt wird. Die TWF kam überein, dass letzterer Satz eine wichtige Erklärung zur Anzahl der Wachstumsperioden ist und vereinbarte, folgende Änderung des „TG-Aufbau und Allgemeingültiger Standardwortlaut</w:t>
      </w:r>
      <w:r w:rsidR="00615A9E">
        <w:t>“</w:t>
      </w:r>
      <w:r w:rsidRPr="00C70350">
        <w:rPr>
          <w:rFonts w:eastAsia="MS Mincho"/>
        </w:rPr>
        <w:t xml:space="preserve"> vorzuschlagen, um beide Sätze aufeinanderfolgend darzustellen: </w:t>
      </w:r>
    </w:p>
    <w:p w14:paraId="7AD84B28" w14:textId="77777777" w:rsidR="00F05450" w:rsidRPr="00C70350" w:rsidRDefault="00F05450" w:rsidP="00F05450">
      <w:pPr>
        <w:jc w:val="left"/>
        <w:rPr>
          <w:rFonts w:eastAsia="MS Mincho"/>
        </w:rPr>
      </w:pPr>
    </w:p>
    <w:p w14:paraId="56C8381D" w14:textId="77777777" w:rsidR="00F05450" w:rsidRPr="00C70350" w:rsidRDefault="00F05450" w:rsidP="00F05450">
      <w:pPr>
        <w:keepNext/>
        <w:ind w:left="567"/>
        <w:rPr>
          <w:rFonts w:eastAsia="MS Mincho"/>
        </w:rPr>
      </w:pPr>
      <w:r w:rsidRPr="00C70350">
        <w:rPr>
          <w:rFonts w:eastAsia="MS Mincho"/>
        </w:rPr>
        <w:t>ANLAGE 1: TG-AUFBAU UND ALLGEMEINGÜLTIGEFR STANDARDWORTLAUT</w:t>
      </w:r>
    </w:p>
    <w:p w14:paraId="5A1D90AB" w14:textId="77777777" w:rsidR="00F05450" w:rsidRPr="00C70350" w:rsidRDefault="00F05450" w:rsidP="00F05450">
      <w:pPr>
        <w:keepNext/>
        <w:rPr>
          <w:rFonts w:eastAsia="MS Mincho"/>
        </w:rPr>
      </w:pPr>
    </w:p>
    <w:p w14:paraId="3B43CBAF" w14:textId="77777777" w:rsidR="00F05450" w:rsidRPr="00C70350" w:rsidRDefault="00F05450" w:rsidP="00F05450">
      <w:pPr>
        <w:keepNext/>
        <w:spacing w:after="240"/>
        <w:ind w:left="567"/>
        <w:rPr>
          <w:rFonts w:eastAsia="MS Mincho"/>
          <w:u w:val="single"/>
        </w:rPr>
      </w:pPr>
      <w:r w:rsidRPr="00C70350">
        <w:rPr>
          <w:rFonts w:eastAsia="MS Mincho"/>
          <w:u w:val="single"/>
        </w:rPr>
        <w:t>3.</w:t>
      </w:r>
      <w:r w:rsidRPr="00C70350">
        <w:rPr>
          <w:rFonts w:eastAsia="MS Mincho"/>
          <w:u w:val="single"/>
        </w:rPr>
        <w:tab/>
        <w:t>Durchführung der Prüfung</w:t>
      </w:r>
    </w:p>
    <w:p w14:paraId="32E9D111" w14:textId="77777777" w:rsidR="00F05450" w:rsidRPr="00C70350" w:rsidRDefault="00F05450" w:rsidP="00F05450">
      <w:pPr>
        <w:spacing w:after="240"/>
        <w:ind w:left="567"/>
        <w:rPr>
          <w:rFonts w:eastAsia="MS Mincho"/>
        </w:rPr>
      </w:pPr>
      <w:r w:rsidRPr="00C70350">
        <w:rPr>
          <w:rFonts w:eastAsia="MS Mincho"/>
        </w:rPr>
        <w:t>3.1</w:t>
      </w:r>
      <w:r w:rsidRPr="00C70350">
        <w:rPr>
          <w:rFonts w:eastAsia="MS Mincho"/>
        </w:rPr>
        <w:tab/>
        <w:t>Anzahl von Wachstumsperioden</w:t>
      </w:r>
    </w:p>
    <w:p w14:paraId="4F064082" w14:textId="77777777" w:rsidR="00F05450" w:rsidRPr="00C70350" w:rsidRDefault="00F05450" w:rsidP="00F05450">
      <w:pPr>
        <w:ind w:left="567"/>
        <w:rPr>
          <w:rFonts w:eastAsia="MS Mincho"/>
        </w:rPr>
      </w:pPr>
      <w:r w:rsidRPr="00C70350">
        <w:rPr>
          <w:rFonts w:eastAsia="MS Mincho"/>
        </w:rPr>
        <w:t xml:space="preserve">Die Mindestprüfdauer sollte </w:t>
      </w:r>
      <w:r w:rsidRPr="00C70350">
        <w:rPr>
          <w:rFonts w:eastAsia="MS Mincho"/>
          <w:strike/>
          <w:highlight w:val="lightGray"/>
        </w:rPr>
        <w:t>in der Regel</w:t>
      </w:r>
      <w:r w:rsidRPr="00C70350">
        <w:rPr>
          <w:rFonts w:eastAsia="MS Mincho"/>
        </w:rPr>
        <w:t xml:space="preserve"> </w:t>
      </w:r>
      <w:r w:rsidRPr="00C70350">
        <w:rPr>
          <w:rFonts w:eastAsia="MS Mincho"/>
          <w:highlight w:val="lightGray"/>
          <w:u w:val="single"/>
        </w:rPr>
        <w:t>im Allgemeinen</w:t>
      </w:r>
      <w:r w:rsidRPr="00C70350">
        <w:rPr>
          <w:rFonts w:eastAsia="MS Mincho"/>
        </w:rPr>
        <w:t xml:space="preserve"> betragen: </w:t>
      </w:r>
    </w:p>
    <w:p w14:paraId="3DE59212" w14:textId="77777777" w:rsidR="00F05450" w:rsidRPr="00C70350" w:rsidRDefault="00F05450" w:rsidP="00F05450">
      <w:pPr>
        <w:ind w:left="567"/>
        <w:rPr>
          <w:rFonts w:eastAsia="MS Mincho"/>
        </w:rPr>
      </w:pPr>
    </w:p>
    <w:p w14:paraId="2B218406" w14:textId="77777777" w:rsidR="00F05450" w:rsidRPr="00C70350" w:rsidRDefault="00F05450" w:rsidP="00F05450">
      <w:pPr>
        <w:ind w:left="567"/>
        <w:rPr>
          <w:rFonts w:eastAsia="MS Mincho"/>
        </w:rPr>
      </w:pPr>
      <w:r w:rsidRPr="00C70350">
        <w:rPr>
          <w:rFonts w:eastAsia="MS Mincho"/>
        </w:rPr>
        <w:t xml:space="preserve">{ </w:t>
      </w:r>
      <w:r w:rsidRPr="00C70350">
        <w:rPr>
          <w:rFonts w:eastAsia="MS Mincho"/>
          <w:b/>
          <w:bdr w:val="single" w:sz="12" w:space="0" w:color="auto" w:frame="1"/>
          <w:shd w:val="pct12" w:color="auto" w:fill="auto"/>
        </w:rPr>
        <w:t>ASW</w:t>
      </w:r>
      <w:r w:rsidRPr="00C70350">
        <w:rPr>
          <w:rFonts w:eastAsia="MS Mincho"/>
          <w:b/>
          <w:bdr w:val="single" w:sz="12" w:space="0" w:color="auto" w:frame="1"/>
        </w:rPr>
        <w:t xml:space="preserve"> 2</w:t>
      </w:r>
      <w:r w:rsidRPr="00C70350">
        <w:rPr>
          <w:rFonts w:eastAsia="MS Mincho"/>
          <w:bdr w:val="single" w:sz="12" w:space="0" w:color="auto" w:frame="1"/>
        </w:rPr>
        <w:t xml:space="preserve"> </w:t>
      </w:r>
      <w:r w:rsidRPr="00C70350">
        <w:rPr>
          <w:rFonts w:eastAsia="MS Mincho"/>
        </w:rPr>
        <w:t xml:space="preserve"> (Kapitel 3.1(.1)) – Anzahl von Wachstumsperioden }</w:t>
      </w:r>
    </w:p>
    <w:p w14:paraId="3FD29898" w14:textId="77777777" w:rsidR="00F05450" w:rsidRPr="00C70350" w:rsidRDefault="00F05450" w:rsidP="00F05450">
      <w:pPr>
        <w:ind w:left="567"/>
        <w:rPr>
          <w:rFonts w:eastAsia="MS Mincho"/>
        </w:rPr>
      </w:pPr>
    </w:p>
    <w:p w14:paraId="0D34E4D3" w14:textId="0D1E1792" w:rsidR="00F05450" w:rsidRPr="00C70350" w:rsidRDefault="00F05450" w:rsidP="00F05450">
      <w:pPr>
        <w:ind w:left="567"/>
        <w:rPr>
          <w:rFonts w:eastAsia="MS Mincho"/>
          <w:u w:val="double"/>
        </w:rPr>
      </w:pPr>
      <w:r w:rsidRPr="00C70350">
        <w:rPr>
          <w:rFonts w:eastAsia="MS Mincho"/>
          <w:highlight w:val="lightGray"/>
          <w:u w:val="double"/>
        </w:rPr>
        <w:t>Die Prüfung einer Sorte kann abgeschlossen werden, wenn die zus</w:t>
      </w:r>
      <w:r w:rsidR="00E54501" w:rsidRPr="00C70350">
        <w:rPr>
          <w:rFonts w:eastAsia="MS Mincho"/>
          <w:highlight w:val="lightGray"/>
          <w:u w:val="double"/>
        </w:rPr>
        <w:t>tä</w:t>
      </w:r>
      <w:r w:rsidRPr="00C70350">
        <w:rPr>
          <w:rFonts w:eastAsia="MS Mincho"/>
          <w:highlight w:val="lightGray"/>
          <w:u w:val="double"/>
        </w:rPr>
        <w:t>ndige Behörde das Ergebnis der Prüfung mit Sicherheit bestimmen kann.</w:t>
      </w:r>
    </w:p>
    <w:p w14:paraId="413B31D1" w14:textId="77777777" w:rsidR="00F05450" w:rsidRPr="00C70350" w:rsidRDefault="00F05450" w:rsidP="00F05450">
      <w:pPr>
        <w:ind w:left="567"/>
        <w:rPr>
          <w:rFonts w:eastAsia="MS Mincho"/>
        </w:rPr>
      </w:pPr>
    </w:p>
    <w:p w14:paraId="16F2FD7D" w14:textId="77777777" w:rsidR="00F05450" w:rsidRPr="00C70350" w:rsidRDefault="00F05450" w:rsidP="00F05450">
      <w:pPr>
        <w:ind w:left="567"/>
        <w:rPr>
          <w:rFonts w:eastAsia="MS Mincho"/>
        </w:rPr>
      </w:pPr>
      <w:r w:rsidRPr="00C70350">
        <w:rPr>
          <w:rFonts w:eastAsia="MS Mincho"/>
        </w:rPr>
        <w:t xml:space="preserve">{ </w:t>
      </w:r>
      <w:r w:rsidRPr="00C70350">
        <w:rPr>
          <w:rFonts w:eastAsia="MS Mincho"/>
          <w:highlight w:val="lightGray"/>
          <w:bdr w:val="single" w:sz="12" w:space="0" w:color="auto" w:frame="1"/>
        </w:rPr>
        <w:t>GN</w:t>
      </w:r>
      <w:r w:rsidRPr="00C70350">
        <w:rPr>
          <w:rFonts w:eastAsia="MS Mincho"/>
          <w:bdr w:val="single" w:sz="12" w:space="0" w:color="auto" w:frame="1"/>
        </w:rPr>
        <w:t xml:space="preserve"> 8 </w:t>
      </w:r>
      <w:r w:rsidRPr="00C70350">
        <w:rPr>
          <w:rFonts w:eastAsia="MS Mincho"/>
        </w:rPr>
        <w:t xml:space="preserve"> (Kapitel 3.1.2) – Erläuterung der Wachstumsperiode }</w:t>
      </w:r>
    </w:p>
    <w:p w14:paraId="02F360BB" w14:textId="77777777" w:rsidR="00F05450" w:rsidRPr="00C70350" w:rsidRDefault="00F05450" w:rsidP="00F05450">
      <w:pPr>
        <w:ind w:left="567"/>
        <w:rPr>
          <w:rFonts w:eastAsia="MS Mincho"/>
        </w:rPr>
      </w:pPr>
      <w:r w:rsidRPr="00C70350">
        <w:rPr>
          <w:rFonts w:eastAsia="MS Mincho"/>
        </w:rPr>
        <w:t xml:space="preserve">{ </w:t>
      </w:r>
      <w:r w:rsidRPr="00C70350">
        <w:rPr>
          <w:rFonts w:eastAsia="MS Mincho"/>
          <w:b/>
          <w:bdr w:val="single" w:sz="12" w:space="0" w:color="auto" w:frame="1"/>
          <w:shd w:val="pct12" w:color="auto" w:fill="auto"/>
        </w:rPr>
        <w:t>ASW</w:t>
      </w:r>
      <w:r w:rsidRPr="00C70350">
        <w:rPr>
          <w:rFonts w:eastAsia="MS Mincho"/>
          <w:b/>
          <w:bdr w:val="single" w:sz="12" w:space="0" w:color="auto" w:frame="1"/>
        </w:rPr>
        <w:t xml:space="preserve"> 3</w:t>
      </w:r>
      <w:r w:rsidRPr="00C70350">
        <w:rPr>
          <w:rFonts w:eastAsia="MS Mincho"/>
          <w:bdr w:val="single" w:sz="12" w:space="0" w:color="auto" w:frame="1"/>
        </w:rPr>
        <w:t xml:space="preserve"> </w:t>
      </w:r>
      <w:r w:rsidRPr="00C70350">
        <w:rPr>
          <w:rFonts w:eastAsia="MS Mincho"/>
        </w:rPr>
        <w:t xml:space="preserve"> (Chapter 3.1.2) – Erläuterung der Wachstumsperiode }</w:t>
      </w:r>
    </w:p>
    <w:p w14:paraId="4DD2A1E0" w14:textId="77777777" w:rsidR="00F05450" w:rsidRPr="00C70350" w:rsidRDefault="00F05450" w:rsidP="00F05450">
      <w:pPr>
        <w:ind w:left="567"/>
        <w:rPr>
          <w:rFonts w:eastAsia="MS Mincho"/>
        </w:rPr>
      </w:pPr>
    </w:p>
    <w:p w14:paraId="2498F435" w14:textId="00C549C6" w:rsidR="00F05450" w:rsidRPr="00C70350" w:rsidRDefault="00F05450" w:rsidP="00F05450">
      <w:pPr>
        <w:ind w:left="567"/>
        <w:rPr>
          <w:rFonts w:eastAsia="MS Mincho"/>
          <w:strike/>
          <w:u w:val="double"/>
        </w:rPr>
      </w:pPr>
      <w:r w:rsidRPr="00C70350">
        <w:rPr>
          <w:rFonts w:eastAsia="MS Mincho"/>
          <w:strike/>
          <w:highlight w:val="lightGray"/>
          <w:u w:val="double"/>
        </w:rPr>
        <w:t>Die Prüfung einer Sorte kann abgeschlossen werden, wenn die zus</w:t>
      </w:r>
      <w:r w:rsidR="00E54501" w:rsidRPr="00C70350">
        <w:rPr>
          <w:rFonts w:eastAsia="MS Mincho"/>
          <w:strike/>
          <w:highlight w:val="lightGray"/>
          <w:u w:val="double"/>
        </w:rPr>
        <w:t>tä</w:t>
      </w:r>
      <w:r w:rsidRPr="00C70350">
        <w:rPr>
          <w:rFonts w:eastAsia="MS Mincho"/>
          <w:strike/>
          <w:highlight w:val="lightGray"/>
          <w:u w:val="double"/>
        </w:rPr>
        <w:t>ndige Behörde das Ergebnis der Prüfung mit Sicherheit bestimmen kann.</w:t>
      </w:r>
    </w:p>
    <w:p w14:paraId="1ADD59F7" w14:textId="77777777" w:rsidR="00F05450" w:rsidRPr="00C70350" w:rsidRDefault="00F05450" w:rsidP="00F05450">
      <w:pPr>
        <w:ind w:left="567"/>
        <w:rPr>
          <w:rFonts w:eastAsia="MS Mincho"/>
        </w:rPr>
      </w:pPr>
    </w:p>
    <w:p w14:paraId="38D121DC" w14:textId="5302A4E8"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nahm die Bemerkung der Europäischen Union zur Kenntnis, wonach der Standardsatz über „das Abschließen der Prüfung</w:t>
      </w:r>
      <w:r w:rsidR="00615A9E">
        <w:t>“</w:t>
      </w:r>
      <w:r w:rsidRPr="00C70350">
        <w:rPr>
          <w:rFonts w:eastAsia="MS Mincho"/>
        </w:rPr>
        <w:t xml:space="preserve"> nicht als ein Widerspruch zum Standardwortlaut zur Anzahl von Wachstumsperioden betrachtet werden sollte, insbesondere dass die Prüfung einer Sorte früher abgeschlossen werden kann.  </w:t>
      </w:r>
    </w:p>
    <w:p w14:paraId="4A0CD98D" w14:textId="77777777" w:rsidR="00F05450" w:rsidRPr="00C70350" w:rsidRDefault="00F05450" w:rsidP="00F05450">
      <w:pPr>
        <w:rPr>
          <w:rFonts w:eastAsia="MS Mincho"/>
        </w:rPr>
      </w:pPr>
    </w:p>
    <w:p w14:paraId="6A02CDE3" w14:textId="5DEC7986"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kam überein, zu prüfen, ob die Bestimmung zum „Abschließen der Prüfung</w:t>
      </w:r>
      <w:r w:rsidR="00615A9E">
        <w:t>“</w:t>
      </w:r>
      <w:r w:rsidRPr="00C70350">
        <w:rPr>
          <w:rFonts w:eastAsia="MS Mincho"/>
        </w:rPr>
        <w:t xml:space="preserve"> den unterschiedlichen Standardwortlaut-Optionen im ASW 2 „Anzahl von Wachstumsperioden</w:t>
      </w:r>
      <w:r w:rsidR="00615A9E">
        <w:t>“</w:t>
      </w:r>
      <w:r w:rsidRPr="00C70350">
        <w:rPr>
          <w:rFonts w:eastAsia="MS Mincho"/>
        </w:rPr>
        <w:t xml:space="preserve"> hinzugefügt werden sollte, um sicherzustellen, dass die in der Allgemeinen Einführung enthaltenen fundamentalen Grundsätze statt der detaillierten Empfehlungen der Prüfungsrichtlinien angewendet werden können.  </w:t>
      </w:r>
    </w:p>
    <w:p w14:paraId="08A16B3D" w14:textId="77777777" w:rsidR="00F05450" w:rsidRPr="00C70350" w:rsidRDefault="00F05450" w:rsidP="00F05450">
      <w:pPr>
        <w:rPr>
          <w:rFonts w:eastAsia="MS Mincho"/>
        </w:rPr>
      </w:pPr>
    </w:p>
    <w:p w14:paraId="339BBA9C" w14:textId="7465773E"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prüfte einen Vorschlag, den Zusätzlichen Standardwortlaut 3 (ASW 3) für Obstarten zwecks Klärung des in Dokument TWF/56/3 verwendeten Begriffs „genügend Früchte</w:t>
      </w:r>
      <w:r w:rsidR="00615A9E">
        <w:t>“</w:t>
      </w:r>
      <w:r w:rsidRPr="00C70350">
        <w:rPr>
          <w:rFonts w:eastAsia="MS Mincho"/>
        </w:rPr>
        <w:t xml:space="preserve"> wie folgt zu ändern:</w:t>
      </w:r>
    </w:p>
    <w:p w14:paraId="7852B608" w14:textId="77777777" w:rsidR="00F05450" w:rsidRPr="00C70350" w:rsidRDefault="00F05450" w:rsidP="00F05450">
      <w:pPr>
        <w:rPr>
          <w:rFonts w:eastAsia="MS Mincho"/>
        </w:rPr>
      </w:pPr>
    </w:p>
    <w:p w14:paraId="181E3610" w14:textId="0BE4CEBB" w:rsidR="00F05450" w:rsidRPr="00C70350" w:rsidRDefault="001961BB" w:rsidP="00F05450">
      <w:pPr>
        <w:ind w:left="567" w:right="567"/>
        <w:rPr>
          <w:rFonts w:eastAsia="MS Mincho"/>
        </w:rPr>
      </w:pPr>
      <w:r>
        <w:t>„</w:t>
      </w:r>
      <w:r w:rsidR="00F05450" w:rsidRPr="00C70350">
        <w:rPr>
          <w:rFonts w:eastAsia="MS Mincho"/>
        </w:rPr>
        <w:t xml:space="preserve">Insbesondere ist es erforderlich, dass die [Bäume] / [Pflanzen] in einer der Wachstumsperioden </w:t>
      </w:r>
      <w:r w:rsidR="00F05450" w:rsidRPr="00C70350">
        <w:rPr>
          <w:rFonts w:eastAsia="MS Mincho"/>
          <w:strike/>
          <w:highlight w:val="lightGray"/>
        </w:rPr>
        <w:t xml:space="preserve">genügend </w:t>
      </w:r>
      <w:r w:rsidR="00F05450" w:rsidRPr="00C70350">
        <w:rPr>
          <w:rFonts w:eastAsia="MS Mincho"/>
        </w:rPr>
        <w:t xml:space="preserve"> Früchte</w:t>
      </w:r>
      <w:r w:rsidR="00F05450" w:rsidRPr="00C70350">
        <w:rPr>
          <w:rFonts w:eastAsia="MS Mincho"/>
          <w:highlight w:val="lightGray"/>
          <w:u w:val="single"/>
        </w:rPr>
        <w:t xml:space="preserve"> in für Prüfungszwecke ausreichender Menge</w:t>
      </w:r>
      <w:r w:rsidR="00F05450" w:rsidRPr="00C70350">
        <w:rPr>
          <w:rFonts w:eastAsia="MS Mincho"/>
        </w:rPr>
        <w:t xml:space="preserve"> und Qualität tragen, und </w:t>
      </w:r>
      <w:r w:rsidR="00F05450" w:rsidRPr="00C70350">
        <w:rPr>
          <w:rFonts w:eastAsia="Aptos" w:cs="Tahoma"/>
          <w:szCs w:val="18"/>
          <w:highlight w:val="lightGray"/>
          <w:u w:val="single"/>
        </w:rPr>
        <w:t>dass diese für die Sorte repräsentativ sind</w:t>
      </w:r>
      <w:r w:rsidR="00F05450" w:rsidRPr="00C70350">
        <w:rPr>
          <w:rFonts w:eastAsia="MS Mincho"/>
        </w:rPr>
        <w:t>.</w:t>
      </w:r>
      <w:r w:rsidR="00615A9E">
        <w:t>“</w:t>
      </w:r>
      <w:r w:rsidR="00F05450" w:rsidRPr="00C70350">
        <w:rPr>
          <w:rFonts w:eastAsia="MS Mincho"/>
        </w:rPr>
        <w:t xml:space="preserve"> </w:t>
      </w:r>
      <w:r w:rsidR="00F05450" w:rsidRPr="00C70350">
        <w:rPr>
          <w:rFonts w:eastAsia="Aptos" w:cs="Tahoma"/>
          <w:szCs w:val="18"/>
          <w:highlight w:val="lightGray"/>
          <w:u w:val="single"/>
        </w:rPr>
        <w:t>Die Prüfung einer Sorte sollte in der darauffolgenden Wachstumsperiode erfolgen, nachdem die Versuchsbäume mindestens einmal Früchte getragen haben</w:t>
      </w:r>
      <w:r w:rsidR="00F05450" w:rsidRPr="00C70350">
        <w:rPr>
          <w:rFonts w:eastAsia="MS Mincho"/>
        </w:rPr>
        <w:t>.</w:t>
      </w:r>
      <w:r w:rsidR="00615A9E">
        <w:t>“</w:t>
      </w:r>
    </w:p>
    <w:p w14:paraId="5A0CBFAE" w14:textId="77777777" w:rsidR="00F05450" w:rsidRPr="00C70350" w:rsidRDefault="00F05450" w:rsidP="00F05450">
      <w:pPr>
        <w:ind w:left="567" w:right="567"/>
        <w:rPr>
          <w:rFonts w:eastAsia="MS Mincho"/>
        </w:rPr>
      </w:pPr>
    </w:p>
    <w:p w14:paraId="36225512" w14:textId="77777777" w:rsidR="00F05450" w:rsidRPr="00C70350" w:rsidRDefault="00F05450" w:rsidP="00F05450">
      <w:pPr>
        <w:rPr>
          <w:rFonts w:eastAsia="MS Mincho"/>
        </w:rPr>
      </w:pPr>
    </w:p>
    <w:p w14:paraId="5E266BBA" w14:textId="3321D04F" w:rsidR="00F05450" w:rsidRPr="00C70350" w:rsidRDefault="00F05450" w:rsidP="00F05450">
      <w:pPr>
        <w:rPr>
          <w:rFonts w:eastAsia="MS Mincho"/>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t>Die TWF kam überein, dass keine Notwendigkeit besteh</w:t>
      </w:r>
      <w:r w:rsidR="00E54501" w:rsidRPr="00C70350">
        <w:rPr>
          <w:rFonts w:eastAsia="MS Mincho"/>
        </w:rPr>
        <w:t>e</w:t>
      </w:r>
      <w:r w:rsidRPr="00C70350">
        <w:rPr>
          <w:rFonts w:eastAsia="MS Mincho"/>
        </w:rPr>
        <w:t xml:space="preserve"> Anleitung dazu zu geben, die Prüfung von Pflanzen / Bäumen im Jugendstadium zu vermeiden, da dies bereits in dem Wort „repräsentativ</w:t>
      </w:r>
      <w:r w:rsidR="00615A9E">
        <w:t>“</w:t>
      </w:r>
      <w:r w:rsidRPr="00C70350">
        <w:rPr>
          <w:rFonts w:eastAsia="MS Mincho"/>
        </w:rPr>
        <w:t xml:space="preserve"> abgedeckt sei. Die TWF kam überein, dass der Begriff „genügend</w:t>
      </w:r>
      <w:r w:rsidR="00615A9E">
        <w:t>“</w:t>
      </w:r>
      <w:r w:rsidRPr="00C70350">
        <w:rPr>
          <w:rFonts w:eastAsia="MS Mincho"/>
        </w:rPr>
        <w:t xml:space="preserve"> in Bezug auf Menge, Qualität und Repräsentativität </w:t>
      </w:r>
      <w:r w:rsidRPr="00C70350">
        <w:rPr>
          <w:rFonts w:eastAsia="MS Mincho"/>
        </w:rPr>
        <w:lastRenderedPageBreak/>
        <w:t xml:space="preserve">der Früchte einer Sorte definiert werden könnte.  Die TWF kam überein, folgende Änderungen der Anleitung in Dokument TGP/7, ASW 3 (d) </w:t>
      </w:r>
      <w:r w:rsidR="001961BB">
        <w:t>„</w:t>
      </w:r>
      <w:r w:rsidRPr="00C70350">
        <w:rPr>
          <w:rFonts w:eastAsia="MS Mincho"/>
        </w:rPr>
        <w:t>Obstarten</w:t>
      </w:r>
      <w:r w:rsidR="00615A9E">
        <w:t>“</w:t>
      </w:r>
      <w:r w:rsidRPr="00C70350">
        <w:rPr>
          <w:rFonts w:eastAsia="MS Mincho"/>
        </w:rPr>
        <w:t xml:space="preserve"> vorzuschlagen: </w:t>
      </w:r>
    </w:p>
    <w:p w14:paraId="02FFB6C2" w14:textId="77777777" w:rsidR="00F05450" w:rsidRPr="00C70350" w:rsidRDefault="00F05450" w:rsidP="00F05450">
      <w:pPr>
        <w:keepNext/>
        <w:ind w:left="567" w:right="567"/>
        <w:rPr>
          <w:rFonts w:eastAsia="MS Mincho"/>
        </w:rPr>
      </w:pPr>
    </w:p>
    <w:p w14:paraId="2712F171" w14:textId="1EA9C2F9" w:rsidR="00F05450" w:rsidRPr="00C70350" w:rsidRDefault="001961BB" w:rsidP="00F05450">
      <w:pPr>
        <w:keepNext/>
        <w:ind w:left="567"/>
        <w:rPr>
          <w:rFonts w:eastAsia="MS Mincho"/>
          <w:u w:val="single"/>
        </w:rPr>
      </w:pPr>
      <w:r>
        <w:t>„</w:t>
      </w:r>
      <w:r w:rsidR="00F05450" w:rsidRPr="00C70350">
        <w:rPr>
          <w:rFonts w:eastAsia="MS Mincho"/>
          <w:u w:val="single"/>
        </w:rPr>
        <w:t xml:space="preserve">ASW 3  (Kapitel 3.1.2) – Erläuterung der Wachstumsperiode </w:t>
      </w:r>
    </w:p>
    <w:p w14:paraId="1CC5420A" w14:textId="77777777" w:rsidR="00F05450" w:rsidRPr="00C70350" w:rsidRDefault="00F05450" w:rsidP="00F05450">
      <w:pPr>
        <w:keepNext/>
        <w:ind w:left="567" w:right="567"/>
        <w:jc w:val="left"/>
        <w:rPr>
          <w:rFonts w:eastAsia="MS Mincho"/>
          <w:i/>
        </w:rPr>
      </w:pPr>
    </w:p>
    <w:p w14:paraId="568336C6" w14:textId="77777777" w:rsidR="00F05450" w:rsidRPr="00C70350" w:rsidRDefault="00F05450" w:rsidP="00F05450">
      <w:pPr>
        <w:keepNext/>
        <w:ind w:left="567" w:right="567"/>
        <w:jc w:val="left"/>
        <w:rPr>
          <w:rFonts w:eastAsia="MS Mincho"/>
          <w:iCs/>
        </w:rPr>
      </w:pPr>
      <w:r w:rsidRPr="00C70350">
        <w:rPr>
          <w:rFonts w:eastAsia="MS Mincho"/>
          <w:iCs/>
        </w:rPr>
        <w:t>[…]</w:t>
      </w:r>
    </w:p>
    <w:p w14:paraId="02D92C2A" w14:textId="77777777" w:rsidR="00F05450" w:rsidRPr="00C70350" w:rsidRDefault="00F05450" w:rsidP="00F05450">
      <w:pPr>
        <w:keepNext/>
        <w:ind w:left="567" w:right="567"/>
        <w:jc w:val="left"/>
        <w:rPr>
          <w:rFonts w:eastAsia="MS Mincho"/>
          <w:iCs/>
        </w:rPr>
      </w:pPr>
    </w:p>
    <w:p w14:paraId="607FFFC1" w14:textId="1211204E" w:rsidR="00F05450" w:rsidRPr="00C70350" w:rsidRDefault="001961BB" w:rsidP="00F05450">
      <w:pPr>
        <w:keepNext/>
        <w:ind w:left="567"/>
        <w:rPr>
          <w:rFonts w:eastAsia="MS Mincho"/>
          <w:i/>
          <w:iCs/>
        </w:rPr>
      </w:pPr>
      <w:r>
        <w:t>„</w:t>
      </w:r>
      <w:r w:rsidR="00F05450" w:rsidRPr="00C70350">
        <w:rPr>
          <w:rFonts w:eastAsia="MS Mincho"/>
          <w:i/>
          <w:iCs/>
        </w:rPr>
        <w:t>d)</w:t>
      </w:r>
      <w:r w:rsidR="00F05450" w:rsidRPr="00C70350">
        <w:rPr>
          <w:rFonts w:eastAsia="MS Mincho"/>
          <w:i/>
          <w:iCs/>
        </w:rPr>
        <w:tab/>
        <w:t>Obstarten</w:t>
      </w:r>
    </w:p>
    <w:p w14:paraId="2983674F" w14:textId="77777777" w:rsidR="00F05450" w:rsidRPr="00C70350" w:rsidRDefault="00F05450" w:rsidP="00F05450">
      <w:pPr>
        <w:keepNext/>
        <w:ind w:left="567" w:right="567"/>
        <w:rPr>
          <w:rFonts w:eastAsia="MS Mincho"/>
        </w:rPr>
      </w:pPr>
    </w:p>
    <w:p w14:paraId="311F0429" w14:textId="466D0CFE" w:rsidR="00F05450" w:rsidRPr="00C70350" w:rsidRDefault="001961BB" w:rsidP="00F05450">
      <w:pPr>
        <w:keepNext/>
        <w:ind w:left="567" w:right="567"/>
        <w:rPr>
          <w:rFonts w:eastAsia="MS Mincho"/>
        </w:rPr>
      </w:pPr>
      <w:r>
        <w:t>„</w:t>
      </w:r>
      <w:r w:rsidR="00F05450" w:rsidRPr="00C70350">
        <w:rPr>
          <w:rFonts w:eastAsia="MS Mincho"/>
        </w:rPr>
        <w:t>Bei Prüfungsrichtlinien, die Obstarten betreffen, kann in Kapitel 3.1 folgender Satz hinzugefügt werden:</w:t>
      </w:r>
    </w:p>
    <w:p w14:paraId="0DEF7728" w14:textId="77777777" w:rsidR="00F05450" w:rsidRPr="00C70350" w:rsidRDefault="00F05450" w:rsidP="00F05450">
      <w:pPr>
        <w:keepNext/>
        <w:ind w:left="567" w:right="567"/>
        <w:rPr>
          <w:rFonts w:eastAsia="MS Mincho"/>
        </w:rPr>
      </w:pPr>
    </w:p>
    <w:p w14:paraId="36BB0057" w14:textId="0C8687CB" w:rsidR="00F05450" w:rsidRPr="00C70350" w:rsidRDefault="001961BB" w:rsidP="00F05450">
      <w:pPr>
        <w:keepNext/>
        <w:ind w:left="567" w:right="567"/>
        <w:rPr>
          <w:rFonts w:eastAsia="MS Mincho"/>
        </w:rPr>
      </w:pPr>
      <w:r>
        <w:t>„</w:t>
      </w:r>
      <w:r w:rsidR="00F05450" w:rsidRPr="00C70350">
        <w:rPr>
          <w:rFonts w:eastAsia="MS Mincho"/>
        </w:rPr>
        <w:t xml:space="preserve">Insbesondere ist es erforderlich, dass die [Bäume] / [Pflanzen] in </w:t>
      </w:r>
      <w:r w:rsidR="00E54501" w:rsidRPr="00C70350">
        <w:rPr>
          <w:rFonts w:eastAsia="MS Mincho"/>
          <w:strike/>
          <w:shd w:val="clear" w:color="auto" w:fill="D9D9D9" w:themeFill="background1" w:themeFillShade="D9"/>
        </w:rPr>
        <w:t>jeder der</w:t>
      </w:r>
      <w:r w:rsidR="00F05450" w:rsidRPr="00C70350">
        <w:rPr>
          <w:rFonts w:eastAsia="MS Mincho"/>
        </w:rPr>
        <w:t xml:space="preserve"> der Wachstumsperioden </w:t>
      </w:r>
      <w:r w:rsidR="00F05450" w:rsidRPr="00C70350">
        <w:rPr>
          <w:rFonts w:eastAsia="MS Mincho"/>
          <w:strike/>
          <w:highlight w:val="lightGray"/>
        </w:rPr>
        <w:t>genügend</w:t>
      </w:r>
      <w:r w:rsidR="00F05450" w:rsidRPr="00C70350">
        <w:rPr>
          <w:rFonts w:eastAsia="MS Mincho"/>
        </w:rPr>
        <w:t xml:space="preserve"> Früchte </w:t>
      </w:r>
      <w:r w:rsidR="00F05450" w:rsidRPr="00C70350">
        <w:rPr>
          <w:rFonts w:eastAsia="MS Mincho"/>
          <w:highlight w:val="lightGray"/>
          <w:u w:val="single"/>
        </w:rPr>
        <w:t>in zu Prüfungszwecken ausreichender Menge</w:t>
      </w:r>
      <w:r w:rsidR="00F05450" w:rsidRPr="00C70350">
        <w:rPr>
          <w:rFonts w:eastAsia="MS Mincho"/>
        </w:rPr>
        <w:t xml:space="preserve"> und Qualität tragen, und</w:t>
      </w:r>
      <w:r w:rsidR="00F05450" w:rsidRPr="00C70350">
        <w:rPr>
          <w:rFonts w:eastAsia="MS Mincho"/>
          <w:highlight w:val="lightGray"/>
          <w:u w:val="single"/>
        </w:rPr>
        <w:t xml:space="preserve"> dass diese für die Sorte repräsentativ sind</w:t>
      </w:r>
      <w:r w:rsidR="00F05450" w:rsidRPr="00C70350">
        <w:rPr>
          <w:rFonts w:eastAsia="MS Mincho"/>
        </w:rPr>
        <w:t>.</w:t>
      </w:r>
      <w:r w:rsidR="00615A9E">
        <w:t>“</w:t>
      </w:r>
    </w:p>
    <w:p w14:paraId="3F08D608" w14:textId="77777777" w:rsidR="00F05450" w:rsidRPr="00C70350" w:rsidRDefault="00F05450" w:rsidP="00F05450">
      <w:pPr>
        <w:rPr>
          <w:rFonts w:eastAsia="MS Mincho"/>
        </w:rPr>
      </w:pPr>
    </w:p>
    <w:p w14:paraId="5107D53C" w14:textId="77777777" w:rsidR="00F05450" w:rsidRPr="00C70350" w:rsidRDefault="00F05450" w:rsidP="00F05450">
      <w:pPr>
        <w:rPr>
          <w:rFonts w:eastAsia="MS Mincho"/>
        </w:rPr>
      </w:pPr>
    </w:p>
    <w:p w14:paraId="348C40F4" w14:textId="41166CE3" w:rsidR="00F05450" w:rsidRPr="00DE7966" w:rsidRDefault="00F05450" w:rsidP="00F05450">
      <w:pPr>
        <w:keepNext/>
        <w:rPr>
          <w:rFonts w:eastAsia="MS Mincho"/>
          <w:i/>
          <w:iCs/>
        </w:rPr>
      </w:pPr>
      <w:r w:rsidRPr="00DE7966">
        <w:rPr>
          <w:rFonts w:eastAsia="MS Mincho"/>
          <w:i/>
          <w:iCs/>
        </w:rPr>
        <w:t>Entwicklungen im</w:t>
      </w:r>
      <w:r w:rsidR="00A40C31" w:rsidRPr="00DE7966">
        <w:rPr>
          <w:rFonts w:eastAsia="MS Mincho"/>
          <w:i/>
          <w:iCs/>
        </w:rPr>
        <w:t xml:space="preserve"> Technischen Ausschuss im Jahr </w:t>
      </w:r>
      <w:r w:rsidR="000E6F66" w:rsidRPr="00DE7966">
        <w:rPr>
          <w:rFonts w:eastAsia="MS Mincho"/>
          <w:i/>
          <w:iCs/>
        </w:rPr>
        <w:t>2025</w:t>
      </w:r>
    </w:p>
    <w:p w14:paraId="22F41CB6" w14:textId="77777777" w:rsidR="00CF726A" w:rsidRPr="00DE7966" w:rsidRDefault="00CF726A" w:rsidP="00F05450">
      <w:pPr>
        <w:keepNext/>
        <w:rPr>
          <w:rFonts w:eastAsia="MS Mincho"/>
        </w:rPr>
      </w:pPr>
    </w:p>
    <w:p w14:paraId="7B72AAA6" w14:textId="2C4580B1" w:rsidR="00CF726A" w:rsidRPr="00C9769B" w:rsidRDefault="00C9769B"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085D21" w:rsidRPr="00C9769B">
        <w:t>Auf seiner einundsechzigsten Tagung</w:t>
      </w:r>
      <w:r w:rsidR="001D414F" w:rsidRPr="00C9769B">
        <w:t xml:space="preserve"> prüfte der TC den Vorschlag, Dokument TGP/7 „Erstellung von Prüfungsrichtlinien (Überarbeitung)</w:t>
      </w:r>
      <w:r w:rsidR="00615A9E" w:rsidRPr="00C9769B">
        <w:t>“</w:t>
      </w:r>
      <w:r w:rsidR="001D414F" w:rsidRPr="00C9769B">
        <w:t xml:space="preserve"> </w:t>
      </w:r>
      <w:r w:rsidR="00DB1F17" w:rsidRPr="00C9769B">
        <w:t>in Bezug auf die</w:t>
      </w:r>
      <w:r w:rsidR="00B74AA9" w:rsidRPr="00C9769B">
        <w:t xml:space="preserve"> Anzahl von Wachstumsperioden und </w:t>
      </w:r>
      <w:r w:rsidR="0098527D" w:rsidRPr="00C9769B">
        <w:t>abschließende Prüfung</w:t>
      </w:r>
      <w:r w:rsidR="00DB1F17" w:rsidRPr="00C9769B">
        <w:t xml:space="preserve"> zu ändern</w:t>
      </w:r>
      <w:r w:rsidR="00243CEE" w:rsidRPr="00C9769B">
        <w:t>, wie in Dokument SESSIONS/2025/2, Absätze 22 bis 24 dargelegt</w:t>
      </w:r>
      <w:r w:rsidR="00AD23BD" w:rsidRPr="00C9769B">
        <w:t>, einschließlich des folgenden Standardwortlauts:</w:t>
      </w:r>
    </w:p>
    <w:p w14:paraId="130534F6" w14:textId="77777777" w:rsidR="00C47893" w:rsidRPr="00DE7966" w:rsidRDefault="00C47893" w:rsidP="00863799"/>
    <w:p w14:paraId="0D1B5E20" w14:textId="00A4A7B4" w:rsidR="00C47893" w:rsidRPr="00C70350" w:rsidRDefault="00C47893" w:rsidP="00863799">
      <w:pPr>
        <w:spacing w:after="240"/>
        <w:ind w:left="567"/>
        <w:rPr>
          <w:rFonts w:eastAsia="MS Mincho"/>
          <w:u w:val="single"/>
        </w:rPr>
      </w:pPr>
      <w:r w:rsidRPr="00C70350">
        <w:rPr>
          <w:rFonts w:eastAsia="MS Mincho"/>
          <w:u w:val="single"/>
        </w:rPr>
        <w:t>„3.</w:t>
      </w:r>
      <w:r w:rsidRPr="00C70350">
        <w:rPr>
          <w:rFonts w:eastAsia="MS Mincho"/>
          <w:u w:val="single"/>
        </w:rPr>
        <w:tab/>
        <w:t>Durchführung der Prüfung</w:t>
      </w:r>
    </w:p>
    <w:p w14:paraId="6DF6B7FB" w14:textId="522821D6" w:rsidR="00C47893" w:rsidRPr="00C70350" w:rsidRDefault="00C47893" w:rsidP="00863799">
      <w:pPr>
        <w:spacing w:after="240"/>
        <w:ind w:left="567"/>
        <w:rPr>
          <w:rFonts w:eastAsia="MS Mincho"/>
        </w:rPr>
      </w:pPr>
      <w:r w:rsidRPr="00C70350">
        <w:rPr>
          <w:rFonts w:eastAsia="MS Mincho"/>
        </w:rPr>
        <w:t>„3.1</w:t>
      </w:r>
      <w:r w:rsidRPr="00C70350">
        <w:rPr>
          <w:rFonts w:eastAsia="MS Mincho"/>
        </w:rPr>
        <w:tab/>
        <w:t>Anzahl von Wachstumsperioden</w:t>
      </w:r>
    </w:p>
    <w:p w14:paraId="2CFD0787" w14:textId="2C0249C2" w:rsidR="00C47893" w:rsidRPr="00C70350" w:rsidRDefault="00C47893" w:rsidP="00863799">
      <w:pPr>
        <w:ind w:left="567"/>
        <w:rPr>
          <w:rFonts w:eastAsia="MS Mincho"/>
        </w:rPr>
      </w:pPr>
      <w:r w:rsidRPr="00C70350">
        <w:rPr>
          <w:rFonts w:eastAsia="MS Mincho"/>
        </w:rPr>
        <w:t xml:space="preserve">„Die Mindestprüfdauer sollte </w:t>
      </w:r>
      <w:r w:rsidRPr="00C70350">
        <w:rPr>
          <w:rFonts w:eastAsia="MS Mincho"/>
          <w:strike/>
          <w:highlight w:val="lightGray"/>
        </w:rPr>
        <w:t>in der Regel</w:t>
      </w:r>
      <w:r w:rsidRPr="00C70350">
        <w:rPr>
          <w:rFonts w:eastAsia="MS Mincho"/>
        </w:rPr>
        <w:t xml:space="preserve"> </w:t>
      </w:r>
      <w:r w:rsidRPr="00C70350">
        <w:rPr>
          <w:rFonts w:eastAsia="MS Mincho"/>
          <w:highlight w:val="lightGray"/>
          <w:u w:val="single"/>
        </w:rPr>
        <w:t>im Allgemeinen</w:t>
      </w:r>
      <w:r w:rsidRPr="00C70350">
        <w:rPr>
          <w:rFonts w:eastAsia="MS Mincho"/>
        </w:rPr>
        <w:t xml:space="preserve"> betragen: </w:t>
      </w:r>
    </w:p>
    <w:p w14:paraId="02169CE4" w14:textId="77777777" w:rsidR="00C47893" w:rsidRPr="00C70350" w:rsidRDefault="00C47893" w:rsidP="00863799">
      <w:pPr>
        <w:ind w:left="567"/>
        <w:rPr>
          <w:rFonts w:eastAsia="MS Mincho"/>
        </w:rPr>
      </w:pPr>
    </w:p>
    <w:p w14:paraId="388D77F2" w14:textId="78AC752A" w:rsidR="00C47893" w:rsidRPr="00C70350" w:rsidRDefault="00C47893" w:rsidP="00863799">
      <w:pPr>
        <w:ind w:left="567"/>
        <w:rPr>
          <w:rFonts w:eastAsia="MS Mincho"/>
        </w:rPr>
      </w:pPr>
      <w:r w:rsidRPr="00C70350">
        <w:rPr>
          <w:rFonts w:eastAsia="MS Mincho"/>
        </w:rPr>
        <w:t xml:space="preserve">„{ </w:t>
      </w:r>
      <w:r w:rsidRPr="00C70350">
        <w:rPr>
          <w:rFonts w:eastAsia="MS Mincho"/>
          <w:b/>
          <w:bdr w:val="single" w:sz="12" w:space="0" w:color="auto" w:frame="1"/>
          <w:shd w:val="pct12" w:color="auto" w:fill="auto"/>
        </w:rPr>
        <w:t>ASW</w:t>
      </w:r>
      <w:r w:rsidRPr="00C70350">
        <w:rPr>
          <w:rFonts w:eastAsia="MS Mincho"/>
          <w:b/>
          <w:bdr w:val="single" w:sz="12" w:space="0" w:color="auto" w:frame="1"/>
        </w:rPr>
        <w:t xml:space="preserve"> 2</w:t>
      </w:r>
      <w:r w:rsidRPr="00C70350">
        <w:rPr>
          <w:rFonts w:eastAsia="MS Mincho"/>
          <w:bdr w:val="single" w:sz="12" w:space="0" w:color="auto" w:frame="1"/>
        </w:rPr>
        <w:t xml:space="preserve"> </w:t>
      </w:r>
      <w:r w:rsidRPr="00C70350">
        <w:rPr>
          <w:rFonts w:eastAsia="MS Mincho"/>
        </w:rPr>
        <w:t xml:space="preserve"> (Kapitel 3.1(.1)) – Anzahl von Wachstumsperioden }</w:t>
      </w:r>
    </w:p>
    <w:p w14:paraId="263F63B2" w14:textId="77777777" w:rsidR="00C47893" w:rsidRPr="00C70350" w:rsidRDefault="00C47893" w:rsidP="00863799">
      <w:pPr>
        <w:ind w:left="567"/>
        <w:rPr>
          <w:rFonts w:eastAsia="MS Mincho"/>
        </w:rPr>
      </w:pPr>
    </w:p>
    <w:p w14:paraId="68E079E8" w14:textId="6F5CAAA7" w:rsidR="00C47893" w:rsidRPr="00C70350" w:rsidRDefault="00C47893" w:rsidP="00863799">
      <w:pPr>
        <w:ind w:left="567"/>
        <w:rPr>
          <w:rFonts w:eastAsia="MS Mincho"/>
          <w:u w:val="double"/>
        </w:rPr>
      </w:pPr>
      <w:r w:rsidRPr="00C70350">
        <w:rPr>
          <w:rFonts w:eastAsia="MS Mincho"/>
          <w:highlight w:val="lightGray"/>
          <w:u w:val="double"/>
        </w:rPr>
        <w:t>„Die Prüfung einer Sorte kann abgeschlossen werden, wenn die zuständige Behörde das Ergebnis der Prüfung mit Sicherheit bestimmen kann.</w:t>
      </w:r>
    </w:p>
    <w:p w14:paraId="06B195BF" w14:textId="77777777" w:rsidR="00C47893" w:rsidRPr="00C70350" w:rsidRDefault="00C47893" w:rsidP="00863799">
      <w:pPr>
        <w:ind w:left="567"/>
        <w:rPr>
          <w:rFonts w:eastAsia="MS Mincho"/>
        </w:rPr>
      </w:pPr>
    </w:p>
    <w:p w14:paraId="65CA7968" w14:textId="797087DF" w:rsidR="00C47893" w:rsidRPr="00C70350" w:rsidRDefault="00C47893" w:rsidP="00863799">
      <w:pPr>
        <w:ind w:left="567"/>
        <w:rPr>
          <w:rFonts w:eastAsia="MS Mincho"/>
        </w:rPr>
      </w:pPr>
      <w:r w:rsidRPr="00C70350">
        <w:rPr>
          <w:rFonts w:eastAsia="MS Mincho"/>
        </w:rPr>
        <w:t xml:space="preserve">„{ </w:t>
      </w:r>
      <w:r w:rsidRPr="00C70350">
        <w:rPr>
          <w:rFonts w:eastAsia="MS Mincho"/>
          <w:highlight w:val="lightGray"/>
          <w:bdr w:val="single" w:sz="12" w:space="0" w:color="auto" w:frame="1"/>
        </w:rPr>
        <w:t>GN</w:t>
      </w:r>
      <w:r w:rsidRPr="00C70350">
        <w:rPr>
          <w:rFonts w:eastAsia="MS Mincho"/>
          <w:bdr w:val="single" w:sz="12" w:space="0" w:color="auto" w:frame="1"/>
        </w:rPr>
        <w:t xml:space="preserve"> 8 </w:t>
      </w:r>
      <w:r w:rsidRPr="00C70350">
        <w:rPr>
          <w:rFonts w:eastAsia="MS Mincho"/>
        </w:rPr>
        <w:t xml:space="preserve"> (Kapitel 3.1.2) – Erläuterung der Wachstumsperiode }</w:t>
      </w:r>
    </w:p>
    <w:p w14:paraId="23A06D64" w14:textId="7F3F47E8" w:rsidR="00C47893" w:rsidRPr="00C70350" w:rsidRDefault="00C47893" w:rsidP="00863799">
      <w:pPr>
        <w:ind w:left="567"/>
        <w:rPr>
          <w:rFonts w:eastAsia="MS Mincho"/>
        </w:rPr>
      </w:pPr>
      <w:r w:rsidRPr="00C70350">
        <w:rPr>
          <w:rFonts w:eastAsia="MS Mincho"/>
        </w:rPr>
        <w:t xml:space="preserve">„{ </w:t>
      </w:r>
      <w:r w:rsidRPr="00C70350">
        <w:rPr>
          <w:rFonts w:eastAsia="MS Mincho"/>
          <w:b/>
          <w:bdr w:val="single" w:sz="12" w:space="0" w:color="auto" w:frame="1"/>
          <w:shd w:val="pct12" w:color="auto" w:fill="auto"/>
        </w:rPr>
        <w:t>ASW</w:t>
      </w:r>
      <w:r w:rsidRPr="00C70350">
        <w:rPr>
          <w:rFonts w:eastAsia="MS Mincho"/>
          <w:b/>
          <w:bdr w:val="single" w:sz="12" w:space="0" w:color="auto" w:frame="1"/>
        </w:rPr>
        <w:t xml:space="preserve"> 3</w:t>
      </w:r>
      <w:r w:rsidRPr="00C70350">
        <w:rPr>
          <w:rFonts w:eastAsia="MS Mincho"/>
          <w:bdr w:val="single" w:sz="12" w:space="0" w:color="auto" w:frame="1"/>
        </w:rPr>
        <w:t xml:space="preserve"> </w:t>
      </w:r>
      <w:r w:rsidRPr="00C70350">
        <w:rPr>
          <w:rFonts w:eastAsia="MS Mincho"/>
        </w:rPr>
        <w:t xml:space="preserve"> (Chapter 3.1.2) – Erläuterung der Wachstumsperiode }</w:t>
      </w:r>
    </w:p>
    <w:p w14:paraId="5C914A4D" w14:textId="77777777" w:rsidR="00C47893" w:rsidRPr="00C70350" w:rsidRDefault="00C47893" w:rsidP="00863799">
      <w:pPr>
        <w:ind w:left="567"/>
        <w:rPr>
          <w:rFonts w:eastAsia="MS Mincho"/>
        </w:rPr>
      </w:pPr>
    </w:p>
    <w:p w14:paraId="4CDC55EC" w14:textId="77777777" w:rsidR="00C47893" w:rsidRPr="00C70350" w:rsidRDefault="00C47893" w:rsidP="00863799">
      <w:pPr>
        <w:ind w:left="567"/>
        <w:rPr>
          <w:rFonts w:eastAsia="MS Mincho"/>
          <w:strike/>
          <w:u w:val="double"/>
        </w:rPr>
      </w:pPr>
      <w:r w:rsidRPr="00C70350">
        <w:rPr>
          <w:rFonts w:eastAsia="MS Mincho"/>
          <w:strike/>
          <w:highlight w:val="lightGray"/>
          <w:u w:val="double"/>
        </w:rPr>
        <w:t>Die Prüfung einer Sorte kann abgeschlossen werden, wenn die zuständige Behörde das Ergebnis der Prüfung mit Sicherheit bestimmen kann.</w:t>
      </w:r>
    </w:p>
    <w:p w14:paraId="618381E7" w14:textId="77777777" w:rsidR="00C47893" w:rsidRPr="00424C0F" w:rsidRDefault="00C47893" w:rsidP="00863799">
      <w:pPr>
        <w:rPr>
          <w:u w:val="single"/>
        </w:rPr>
      </w:pPr>
    </w:p>
    <w:p w14:paraId="052E3747" w14:textId="17CE42F4" w:rsidR="00A54B98" w:rsidRPr="00863799" w:rsidRDefault="00863799"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AC3325" w:rsidRPr="00863799">
        <w:t xml:space="preserve">Der TC </w:t>
      </w:r>
      <w:r w:rsidR="00C55C39" w:rsidRPr="00863799">
        <w:t>vereinbarte, die TWPs</w:t>
      </w:r>
      <w:r w:rsidR="00CF304E" w:rsidRPr="00863799">
        <w:t xml:space="preserve"> einzuladen, die vorgeschlagenen Änderungen zu Dokument TGP/7</w:t>
      </w:r>
      <w:r w:rsidR="00E737E0" w:rsidRPr="00863799">
        <w:t xml:space="preserve"> „Erstellung von Prüfungsrichtlinien (Überarbeitung)</w:t>
      </w:r>
      <w:r w:rsidR="00615A9E" w:rsidRPr="00863799">
        <w:t>“</w:t>
      </w:r>
      <w:r w:rsidR="00E737E0" w:rsidRPr="00863799">
        <w:t xml:space="preserve"> in Bezug auf die Anzahl von Wachstumsperioden und abschließende Prüfung, wie in Dokument SESSIONS/2025/2, Absätze 22 bis 24 dargelegt, </w:t>
      </w:r>
      <w:r w:rsidR="00BD4EAB" w:rsidRPr="00863799">
        <w:t xml:space="preserve">auf ihren Tagungen im Jahr 2026 zu </w:t>
      </w:r>
      <w:r w:rsidR="00E737E0" w:rsidRPr="00863799">
        <w:t>prüfen.</w:t>
      </w:r>
    </w:p>
    <w:p w14:paraId="2778562B" w14:textId="77777777" w:rsidR="00E737E0" w:rsidRPr="00863799" w:rsidRDefault="00E737E0" w:rsidP="00863799">
      <w:pPr>
        <w:pStyle w:val="ListParagraph"/>
        <w:ind w:left="0"/>
        <w:rPr>
          <w:lang w:val="de-DE"/>
        </w:rPr>
      </w:pPr>
    </w:p>
    <w:p w14:paraId="3D7F116E" w14:textId="3247EF65" w:rsidR="00E737E0" w:rsidRPr="00863799" w:rsidRDefault="00863799"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EB1E18" w:rsidRPr="00863799">
        <w:t>Der TC vereinbarte, einen Vorschlag von Neu</w:t>
      </w:r>
      <w:r w:rsidR="00D97772" w:rsidRPr="00863799">
        <w:t>seeland</w:t>
      </w:r>
      <w:r w:rsidR="00DD0C10" w:rsidRPr="00863799">
        <w:t>, das Wort „Mindest</w:t>
      </w:r>
      <w:r w:rsidR="009A1E56" w:rsidRPr="00863799">
        <w:t>-</w:t>
      </w:r>
      <w:r w:rsidR="00AA4914" w:rsidRPr="00863799">
        <w:t>“</w:t>
      </w:r>
      <w:r w:rsidR="00DD0C10" w:rsidRPr="00863799">
        <w:t xml:space="preserve"> zu streichen</w:t>
      </w:r>
      <w:r w:rsidR="009D05B9" w:rsidRPr="00863799">
        <w:t>, in den Vorschlag zur Prüfung durch die TW</w:t>
      </w:r>
      <w:r w:rsidR="0096556C">
        <w:t>P</w:t>
      </w:r>
      <w:r w:rsidR="009D05B9" w:rsidRPr="00863799">
        <w:t>s</w:t>
      </w:r>
      <w:r w:rsidR="00D97772" w:rsidRPr="00863799">
        <w:t xml:space="preserve"> einzubeziehen</w:t>
      </w:r>
      <w:r w:rsidR="00294965" w:rsidRPr="00863799">
        <w:t>.</w:t>
      </w:r>
    </w:p>
    <w:p w14:paraId="4E08EA1F" w14:textId="77777777" w:rsidR="00294965" w:rsidRPr="00863799" w:rsidRDefault="00294965" w:rsidP="00863799"/>
    <w:p w14:paraId="04B6BB86" w14:textId="77777777" w:rsidR="007800A4" w:rsidRDefault="007800A4" w:rsidP="00863799">
      <w:pPr>
        <w:pStyle w:val="ListParagraph"/>
        <w:ind w:left="0"/>
        <w:rPr>
          <w:u w:val="single"/>
          <w:lang w:val="de-DE"/>
        </w:rPr>
      </w:pPr>
    </w:p>
    <w:p w14:paraId="40373FE4" w14:textId="52BF01D9" w:rsidR="00294965" w:rsidRPr="007800A4" w:rsidRDefault="00294965" w:rsidP="00863799">
      <w:pPr>
        <w:pStyle w:val="ListParagraph"/>
        <w:keepNext/>
        <w:ind w:left="0"/>
        <w:rPr>
          <w:u w:val="single"/>
        </w:rPr>
      </w:pPr>
      <w:r w:rsidRPr="007800A4">
        <w:rPr>
          <w:u w:val="single"/>
          <w:lang w:val="de-DE"/>
        </w:rPr>
        <w:lastRenderedPageBreak/>
        <w:t>Entwicklungen im Jahr 2026</w:t>
      </w:r>
    </w:p>
    <w:p w14:paraId="03A4A889" w14:textId="77777777" w:rsidR="00F05450" w:rsidRPr="00C70350" w:rsidRDefault="00F05450" w:rsidP="00863799">
      <w:pPr>
        <w:keepNext/>
      </w:pPr>
    </w:p>
    <w:p w14:paraId="5EE245B7" w14:textId="3B4E618F" w:rsidR="00F05450" w:rsidRPr="0084076A" w:rsidRDefault="00863799"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t>Die TWV</w:t>
      </w:r>
      <w:r w:rsidR="00F05450" w:rsidRPr="007800A4">
        <w:rPr>
          <w:snapToGrid w:val="0"/>
          <w:vertAlign w:val="superscript"/>
        </w:rPr>
        <w:footnoteReference w:id="17"/>
      </w:r>
      <w:r w:rsidR="00F05450" w:rsidRPr="007800A4">
        <w:rPr>
          <w:lang w:eastAsia="zh-CN"/>
        </w:rPr>
        <w:t xml:space="preserve">, </w:t>
      </w:r>
      <w:r w:rsidR="00F05450" w:rsidRPr="007800A4">
        <w:t>TWA</w:t>
      </w:r>
      <w:r w:rsidR="00F05450" w:rsidRPr="007800A4">
        <w:rPr>
          <w:vertAlign w:val="superscript"/>
        </w:rPr>
        <w:footnoteReference w:id="18"/>
      </w:r>
      <w:r w:rsidR="00E85D3C" w:rsidRPr="007800A4">
        <w:t>,</w:t>
      </w:r>
      <w:r w:rsidR="00F05450" w:rsidRPr="007800A4">
        <w:t>TWO</w:t>
      </w:r>
      <w:r w:rsidR="00F05450" w:rsidRPr="007800A4">
        <w:rPr>
          <w:rStyle w:val="FootnoteReference"/>
        </w:rPr>
        <w:footnoteReference w:id="19"/>
      </w:r>
      <w:r w:rsidR="00F05450" w:rsidRPr="007800A4">
        <w:t xml:space="preserve"> </w:t>
      </w:r>
      <w:r w:rsidR="00333DEC" w:rsidRPr="007800A4">
        <w:t>und TWF</w:t>
      </w:r>
      <w:r w:rsidR="00333DEC" w:rsidRPr="007800A4">
        <w:rPr>
          <w:rStyle w:val="FootnoteReference"/>
        </w:rPr>
        <w:footnoteReference w:id="20"/>
      </w:r>
      <w:r w:rsidR="00333DEC" w:rsidRPr="007800A4">
        <w:t xml:space="preserve"> </w:t>
      </w:r>
      <w:r w:rsidR="00F05450" w:rsidRPr="007800A4">
        <w:t xml:space="preserve">prüften auf ihren Tagungen im Jahr 2026 die vorgeschlagenen Änderungen zu Dokument TGP/7 </w:t>
      </w:r>
      <w:r w:rsidR="001961BB">
        <w:t>„</w:t>
      </w:r>
      <w:r w:rsidR="00F05450" w:rsidRPr="007800A4">
        <w:t>Erstellung von Prüfungsrichtlinien</w:t>
      </w:r>
      <w:r w:rsidR="00AA4914">
        <w:t>“</w:t>
      </w:r>
      <w:r w:rsidR="00F05450" w:rsidRPr="007800A4">
        <w:t>, zum Standardwortlaut für „Anzahl von Wachstumsperioden</w:t>
      </w:r>
      <w:r w:rsidR="00AA4914">
        <w:t>“</w:t>
      </w:r>
      <w:r w:rsidR="00F05450" w:rsidRPr="007800A4">
        <w:t xml:space="preserve"> und wann die Prüfung abgeschlossen werden kann, wie in Dokument TWP/10/1, Absätze</w:t>
      </w:r>
      <w:r w:rsidR="00795C62" w:rsidRPr="007800A4">
        <w:t>n</w:t>
      </w:r>
      <w:r w:rsidR="00F05450" w:rsidRPr="007800A4">
        <w:t xml:space="preserve"> 12 bis 14 dargelegt.</w:t>
      </w:r>
    </w:p>
    <w:p w14:paraId="2999754B" w14:textId="77777777" w:rsidR="00F05450" w:rsidRPr="00C70350" w:rsidRDefault="00F05450" w:rsidP="00863799"/>
    <w:p w14:paraId="7F3582BA" w14:textId="65C9F62A" w:rsidR="00F05450" w:rsidRPr="0084076A" w:rsidRDefault="006B789F"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rPr>
          <w:lang w:eastAsia="zh-CN"/>
        </w:rPr>
        <w:t>Die TWV nahm die Bemerkung von Frankreich, ob der Begriff „im Allgemeinen</w:t>
      </w:r>
      <w:r w:rsidR="00AA4914">
        <w:t>“</w:t>
      </w:r>
      <w:r w:rsidR="00F05450" w:rsidRPr="007800A4">
        <w:rPr>
          <w:lang w:eastAsia="zh-CN"/>
        </w:rPr>
        <w:t xml:space="preserve"> zu unterschiedlichen Interpretationen hinsichtlich der vorgeschriebenen Prüfungsdauer als zwei Wachstumsperioden führen könnte, zur Kenntnis. </w:t>
      </w:r>
      <w:r w:rsidR="00F05450" w:rsidRPr="007800A4">
        <w:t xml:space="preserve">Die TWV kam überein, dass der Wortlaut für die Anzahl an Wachstumsperioden größtmögliche Flexibilität für Behörden hinsichtlich des Prüfungsabschlusses </w:t>
      </w:r>
      <w:r w:rsidR="008A54F7" w:rsidRPr="007800A4">
        <w:t>gewährleisten</w:t>
      </w:r>
      <w:r w:rsidR="00F05450" w:rsidRPr="007800A4">
        <w:t xml:space="preserve"> und gleichzeitig größtmögliche Verfahrenseinheitlichkeit beibehalten.  </w:t>
      </w:r>
    </w:p>
    <w:p w14:paraId="42E51A86" w14:textId="77777777" w:rsidR="00F05450" w:rsidRPr="00C70350" w:rsidRDefault="00F05450" w:rsidP="00863799"/>
    <w:p w14:paraId="6A375162" w14:textId="5C64DD34" w:rsidR="00F05450" w:rsidRPr="0084076A" w:rsidRDefault="006B789F"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t>Die TWO erörterte, ob Klärungsbedarf in Bezug auf Situationen bestehe, in denen die allgemeine Anzahl von Wachstumsperioden nicht eingehalten würde. Die TWO kam überein, dass der vorgeschlagene Wortlaut ausreichend Flexibilität für kürzere und längere Prüfungen biete und zum jetzigen Zeitpunkt keine weiteren Erläuterungen notwendig seien.</w:t>
      </w:r>
    </w:p>
    <w:p w14:paraId="6739FA1C" w14:textId="77777777" w:rsidR="00F05450" w:rsidRPr="00C70350" w:rsidRDefault="00F05450" w:rsidP="00863799"/>
    <w:p w14:paraId="363CF863" w14:textId="6B1265CC" w:rsidR="00F05450" w:rsidRPr="0084076A" w:rsidRDefault="006B789F" w:rsidP="00863799">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rPr>
          <w:rFonts w:eastAsia="MS Mincho"/>
        </w:rPr>
        <w:t xml:space="preserve">Die TWV und TWO stimmten dem in Dokument </w:t>
      </w:r>
      <w:r w:rsidR="00F05450" w:rsidRPr="007800A4">
        <w:t xml:space="preserve">TWP/10/1 enthaltenen </w:t>
      </w:r>
      <w:r w:rsidR="00F05450" w:rsidRPr="007800A4">
        <w:rPr>
          <w:rFonts w:eastAsia="MS Mincho"/>
        </w:rPr>
        <w:t>Vorschlag, den Zusätzlichen Standardwortlaut wie folgt zu ändern, zu</w:t>
      </w:r>
      <w:r w:rsidR="00F05450" w:rsidRPr="007800A4">
        <w:t xml:space="preserve">: </w:t>
      </w:r>
    </w:p>
    <w:p w14:paraId="5C11BD3D" w14:textId="77777777" w:rsidR="00F05450" w:rsidRPr="00C70350" w:rsidRDefault="00F05450" w:rsidP="00863799"/>
    <w:p w14:paraId="2F95ADBE" w14:textId="2CF640E8" w:rsidR="00F05450" w:rsidRPr="00C70350" w:rsidRDefault="001961BB" w:rsidP="00F05450">
      <w:pPr>
        <w:ind w:left="567"/>
      </w:pPr>
      <w:r>
        <w:t>„</w:t>
      </w:r>
      <w:r w:rsidR="00F05450" w:rsidRPr="00C70350">
        <w:t>a)</w:t>
      </w:r>
      <w:r w:rsidR="00F05450" w:rsidRPr="00C70350">
        <w:tab/>
        <w:t>Eine einzige Wachstumsperiode:</w:t>
      </w:r>
    </w:p>
    <w:p w14:paraId="1C373109" w14:textId="77777777" w:rsidR="00F05450" w:rsidRPr="00C70350" w:rsidRDefault="00F05450" w:rsidP="00F05450">
      <w:pPr>
        <w:ind w:left="567"/>
      </w:pPr>
    </w:p>
    <w:p w14:paraId="0C60E609" w14:textId="6353CC02" w:rsidR="00F05450" w:rsidRPr="00C70350" w:rsidRDefault="001961BB" w:rsidP="00F05450">
      <w:pPr>
        <w:ind w:left="567"/>
      </w:pPr>
      <w:r>
        <w:t>„</w:t>
      </w:r>
      <w:r w:rsidR="00F05450" w:rsidRPr="00C70350">
        <w:t xml:space="preserve">Die </w:t>
      </w:r>
      <w:r w:rsidR="00F05450" w:rsidRPr="00C70350">
        <w:rPr>
          <w:strike/>
          <w:highlight w:val="lightGray"/>
        </w:rPr>
        <w:t>Mindest</w:t>
      </w:r>
      <w:r w:rsidR="00F05450" w:rsidRPr="00C70350">
        <w:t xml:space="preserve">prüfdauer sollte </w:t>
      </w:r>
      <w:r w:rsidR="00F05450" w:rsidRPr="00C70350">
        <w:rPr>
          <w:strike/>
          <w:highlight w:val="lightGray"/>
        </w:rPr>
        <w:t>in der Regel</w:t>
      </w:r>
      <w:r w:rsidR="00F05450" w:rsidRPr="00C70350">
        <w:rPr>
          <w:highlight w:val="lightGray"/>
          <w:u w:val="single"/>
        </w:rPr>
        <w:t xml:space="preserve"> im Allgemeinen</w:t>
      </w:r>
      <w:r w:rsidR="00F05450" w:rsidRPr="00C70350">
        <w:t xml:space="preserve"> eine einzige Wachstumsperiode betragen. </w:t>
      </w:r>
    </w:p>
    <w:p w14:paraId="7C65B0D9" w14:textId="69AD8109" w:rsidR="00F05450" w:rsidRPr="00C70350" w:rsidRDefault="00F05450" w:rsidP="00F05450">
      <w:pPr>
        <w:ind w:left="567"/>
        <w:rPr>
          <w:rFonts w:eastAsia="MS Mincho"/>
          <w:u w:val="double"/>
        </w:rPr>
      </w:pPr>
      <w:r w:rsidRPr="00C70350">
        <w:rPr>
          <w:rFonts w:eastAsia="MS Mincho"/>
          <w:highlight w:val="lightGray"/>
          <w:u w:val="double"/>
        </w:rPr>
        <w:t>Die Prüfung einer Sorte kann abgeschlossen werden, wenn die zu</w:t>
      </w:r>
      <w:r w:rsidR="008A54F7" w:rsidRPr="00C70350">
        <w:rPr>
          <w:rFonts w:eastAsia="MS Mincho"/>
          <w:highlight w:val="lightGray"/>
          <w:u w:val="double"/>
        </w:rPr>
        <w:t>stä</w:t>
      </w:r>
      <w:r w:rsidRPr="00C70350">
        <w:rPr>
          <w:rFonts w:eastAsia="MS Mincho"/>
          <w:highlight w:val="lightGray"/>
          <w:u w:val="double"/>
        </w:rPr>
        <w:t>ndige Behörde das Ergebnis der Prüfung mit Sicherheit bestimmen kann</w:t>
      </w:r>
      <w:r w:rsidR="00AA4914">
        <w:rPr>
          <w:rFonts w:eastAsia="MS Mincho"/>
          <w:highlight w:val="lightGray"/>
          <w:u w:val="double"/>
        </w:rPr>
        <w:t>“</w:t>
      </w:r>
      <w:r w:rsidRPr="00C70350">
        <w:rPr>
          <w:rFonts w:eastAsia="MS Mincho"/>
          <w:highlight w:val="lightGray"/>
          <w:u w:val="double"/>
        </w:rPr>
        <w:t>.</w:t>
      </w:r>
    </w:p>
    <w:p w14:paraId="643E5CE8" w14:textId="77777777" w:rsidR="00F05450" w:rsidRPr="00C70350" w:rsidRDefault="00F05450" w:rsidP="00F05450">
      <w:pPr>
        <w:ind w:left="567"/>
        <w:rPr>
          <w:i/>
        </w:rPr>
      </w:pPr>
    </w:p>
    <w:p w14:paraId="477F15A9" w14:textId="17C43FA9" w:rsidR="00F05450" w:rsidRPr="00C70350" w:rsidRDefault="001961BB" w:rsidP="00F05450">
      <w:pPr>
        <w:ind w:left="567"/>
      </w:pPr>
      <w:r>
        <w:t>„</w:t>
      </w:r>
      <w:r w:rsidR="00F05450" w:rsidRPr="00C70350">
        <w:t>b)</w:t>
      </w:r>
      <w:r w:rsidR="00F05450" w:rsidRPr="00C70350">
        <w:tab/>
        <w:t>Zwei voneinander unabhängige Wachstumsperioden:</w:t>
      </w:r>
    </w:p>
    <w:p w14:paraId="716EC504" w14:textId="77777777" w:rsidR="00F05450" w:rsidRPr="00C70350" w:rsidRDefault="00F05450" w:rsidP="00F05450">
      <w:pPr>
        <w:ind w:left="426"/>
      </w:pPr>
    </w:p>
    <w:p w14:paraId="41891560" w14:textId="2DCAB006" w:rsidR="00F05450" w:rsidRPr="00C70350" w:rsidRDefault="001961BB" w:rsidP="00F05450">
      <w:pPr>
        <w:ind w:left="567"/>
      </w:pPr>
      <w:r>
        <w:t>„</w:t>
      </w:r>
      <w:r w:rsidR="00F05450" w:rsidRPr="00C70350">
        <w:t xml:space="preserve">The </w:t>
      </w:r>
      <w:r w:rsidR="00F05450" w:rsidRPr="00C70350">
        <w:rPr>
          <w:strike/>
          <w:highlight w:val="lightGray"/>
        </w:rPr>
        <w:t>Mindest</w:t>
      </w:r>
      <w:r w:rsidR="00F05450" w:rsidRPr="00C70350">
        <w:t xml:space="preserve">prüfdauer sollte </w:t>
      </w:r>
      <w:r w:rsidR="00F05450" w:rsidRPr="00C70350">
        <w:rPr>
          <w:strike/>
          <w:highlight w:val="lightGray"/>
        </w:rPr>
        <w:t>in der Regel</w:t>
      </w:r>
      <w:r w:rsidR="00F05450" w:rsidRPr="00C70350">
        <w:rPr>
          <w:highlight w:val="lightGray"/>
          <w:u w:val="single"/>
        </w:rPr>
        <w:t xml:space="preserve"> im Allgemeinen</w:t>
      </w:r>
      <w:r w:rsidR="00F05450" w:rsidRPr="00C70350">
        <w:t xml:space="preserve"> eine einzige Wachstumsperiode betragen. </w:t>
      </w:r>
    </w:p>
    <w:p w14:paraId="4305E582" w14:textId="5E83E699" w:rsidR="00F05450" w:rsidRPr="00C70350" w:rsidRDefault="00F05450" w:rsidP="00F05450">
      <w:pPr>
        <w:ind w:left="567"/>
        <w:rPr>
          <w:rFonts w:eastAsia="MS Mincho"/>
          <w:u w:val="double"/>
        </w:rPr>
      </w:pPr>
      <w:r w:rsidRPr="00C70350">
        <w:rPr>
          <w:rFonts w:eastAsia="MS Mincho"/>
          <w:highlight w:val="lightGray"/>
          <w:u w:val="double"/>
        </w:rPr>
        <w:t>Die Prüfung einer Sorte kann abgeschlossen werden, wenn die zuständige Behörde das Ergebnis der Prüfung mit Sicherheit bestimmen kann</w:t>
      </w:r>
      <w:r w:rsidR="00AA4914">
        <w:rPr>
          <w:rFonts w:eastAsia="MS Mincho"/>
          <w:highlight w:val="lightGray"/>
          <w:u w:val="double"/>
        </w:rPr>
        <w:t>“</w:t>
      </w:r>
      <w:r w:rsidRPr="00C70350">
        <w:rPr>
          <w:rFonts w:eastAsia="MS Mincho"/>
          <w:highlight w:val="lightGray"/>
          <w:u w:val="double"/>
        </w:rPr>
        <w:t>.</w:t>
      </w:r>
    </w:p>
    <w:p w14:paraId="1543C130" w14:textId="77777777" w:rsidR="00F05450" w:rsidRPr="00C70350" w:rsidRDefault="00F05450" w:rsidP="00F05450"/>
    <w:p w14:paraId="63571D43" w14:textId="0E111429" w:rsidR="00F05450" w:rsidRPr="0084076A" w:rsidRDefault="006B789F" w:rsidP="006B789F">
      <w:pPr>
        <w:rPr>
          <w:lang w:eastAsia="zh-CN"/>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rPr>
          <w:rFonts w:eastAsia="MS Mincho"/>
        </w:rPr>
        <w:t>Die</w:t>
      </w:r>
      <w:r w:rsidR="00F05450" w:rsidRPr="007800A4">
        <w:t xml:space="preserve"> TWA kam überein, dass das Wort „Mindest-</w:t>
      </w:r>
      <w:r w:rsidR="00AA4914">
        <w:t>“</w:t>
      </w:r>
      <w:r w:rsidR="00F05450" w:rsidRPr="007800A4">
        <w:t xml:space="preserve"> in Bezug auf die Prüfdauer beibehalten werden sollte, um ein klares Verständnis der in den Prüfungsrichtlinien dargelegten harmonisierten Herangehensweise zu gewährleisten. </w:t>
      </w:r>
      <w:r w:rsidR="00F05450" w:rsidRPr="007800A4">
        <w:rPr>
          <w:lang w:eastAsia="zh-CN"/>
        </w:rPr>
        <w:t xml:space="preserve">Die TWA kam überein, dass der Begriff </w:t>
      </w:r>
      <w:r w:rsidR="001961BB">
        <w:t>„</w:t>
      </w:r>
      <w:r w:rsidR="00F05450" w:rsidRPr="007800A4">
        <w:rPr>
          <w:lang w:eastAsia="zh-CN"/>
        </w:rPr>
        <w:t>im Allgemeinen</w:t>
      </w:r>
      <w:r w:rsidR="00AA4914">
        <w:t>“</w:t>
      </w:r>
      <w:r w:rsidR="00F05450" w:rsidRPr="007800A4">
        <w:rPr>
          <w:lang w:eastAsia="zh-CN"/>
        </w:rPr>
        <w:t xml:space="preserve"> im selben Satz ausreichend Flexibilität für den Umgang der Behörden mit besonderen Fällen </w:t>
      </w:r>
      <w:r w:rsidR="008A54F7" w:rsidRPr="007800A4">
        <w:rPr>
          <w:lang w:eastAsia="zh-CN"/>
        </w:rPr>
        <w:t>gewährleisten</w:t>
      </w:r>
      <w:r w:rsidR="00F05450" w:rsidRPr="007800A4">
        <w:rPr>
          <w:lang w:eastAsia="zh-CN"/>
        </w:rPr>
        <w:t xml:space="preserve"> würde. </w:t>
      </w:r>
    </w:p>
    <w:p w14:paraId="200A707A" w14:textId="77777777" w:rsidR="00F05450" w:rsidRPr="00C70350" w:rsidRDefault="00F05450" w:rsidP="006B789F">
      <w:pPr>
        <w:rPr>
          <w:lang w:eastAsia="zh-CN"/>
        </w:rPr>
      </w:pPr>
    </w:p>
    <w:p w14:paraId="4B89C9B1" w14:textId="534F563B" w:rsidR="00F05450" w:rsidRPr="0084076A" w:rsidRDefault="006B789F" w:rsidP="006B789F">
      <w:pPr>
        <w:rPr>
          <w:lang w:eastAsia="zh-CN"/>
        </w:rPr>
      </w:pPr>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7800A4">
        <w:rPr>
          <w:lang w:eastAsia="zh-CN"/>
        </w:rPr>
        <w:t>Die TWA kam überein, dass der allgemeingültige Wortlau</w:t>
      </w:r>
      <w:r w:rsidR="008A54F7" w:rsidRPr="007800A4">
        <w:rPr>
          <w:lang w:eastAsia="zh-CN"/>
        </w:rPr>
        <w:t>t</w:t>
      </w:r>
      <w:r w:rsidR="00F05450" w:rsidRPr="007800A4">
        <w:rPr>
          <w:lang w:eastAsia="zh-CN"/>
        </w:rPr>
        <w:t xml:space="preserve"> wie folgt geändert werden sollte:  </w:t>
      </w:r>
    </w:p>
    <w:p w14:paraId="000B6F2F" w14:textId="77777777" w:rsidR="00F05450" w:rsidRPr="00C70350" w:rsidRDefault="00F05450" w:rsidP="00F05450">
      <w:pPr>
        <w:keepNext/>
      </w:pPr>
    </w:p>
    <w:p w14:paraId="51B5166B" w14:textId="50EC9887" w:rsidR="00F05450" w:rsidRPr="00C70350" w:rsidRDefault="001961BB" w:rsidP="00F05450">
      <w:pPr>
        <w:ind w:left="567"/>
      </w:pPr>
      <w:r>
        <w:t>„</w:t>
      </w:r>
      <w:r w:rsidR="00F05450" w:rsidRPr="00C70350">
        <w:t>a)</w:t>
      </w:r>
      <w:r w:rsidR="00F05450" w:rsidRPr="00C70350">
        <w:tab/>
        <w:t>Eine einzige Wachstumsperiode:</w:t>
      </w:r>
    </w:p>
    <w:p w14:paraId="2B29F77E" w14:textId="77777777" w:rsidR="00F05450" w:rsidRPr="00C70350" w:rsidRDefault="00F05450" w:rsidP="00F05450">
      <w:pPr>
        <w:ind w:left="567"/>
      </w:pPr>
    </w:p>
    <w:p w14:paraId="04085E1D" w14:textId="7CC4902B" w:rsidR="00F05450" w:rsidRPr="00C70350" w:rsidRDefault="001961BB" w:rsidP="00F05450">
      <w:pPr>
        <w:ind w:left="567"/>
      </w:pPr>
      <w:r>
        <w:t>„</w:t>
      </w:r>
      <w:r w:rsidR="00F05450" w:rsidRPr="00C70350">
        <w:t xml:space="preserve">Die </w:t>
      </w:r>
      <w:r w:rsidR="00F05450" w:rsidRPr="00C70350">
        <w:rPr>
          <w:strike/>
          <w:highlight w:val="lightGray"/>
        </w:rPr>
        <w:t>Mindest</w:t>
      </w:r>
      <w:r w:rsidR="00F05450" w:rsidRPr="00C70350">
        <w:t xml:space="preserve">prüfdauer sollte </w:t>
      </w:r>
      <w:r w:rsidR="00F05450" w:rsidRPr="00C70350">
        <w:rPr>
          <w:strike/>
          <w:highlight w:val="lightGray"/>
        </w:rPr>
        <w:t>in der Regel</w:t>
      </w:r>
      <w:r w:rsidR="00F05450" w:rsidRPr="00C70350">
        <w:rPr>
          <w:highlight w:val="lightGray"/>
          <w:u w:val="single"/>
        </w:rPr>
        <w:t xml:space="preserve"> im Allgemeinen</w:t>
      </w:r>
      <w:r w:rsidR="00F05450" w:rsidRPr="00C70350">
        <w:t xml:space="preserve"> eine einzige Wachstumsperiode betragen. </w:t>
      </w:r>
    </w:p>
    <w:p w14:paraId="500F40FF" w14:textId="5BB636D9" w:rsidR="00F05450" w:rsidRPr="00C70350" w:rsidRDefault="00F05450" w:rsidP="00F05450">
      <w:pPr>
        <w:ind w:left="567"/>
        <w:rPr>
          <w:rFonts w:eastAsia="MS Mincho"/>
          <w:u w:val="double"/>
        </w:rPr>
      </w:pPr>
      <w:r w:rsidRPr="00C70350">
        <w:rPr>
          <w:rFonts w:eastAsia="MS Mincho"/>
          <w:highlight w:val="lightGray"/>
          <w:u w:val="double"/>
        </w:rPr>
        <w:t>Die Prüfung einer Sorte kann abgeschlossen werden, wenn die zu</w:t>
      </w:r>
      <w:r w:rsidR="00E6416F" w:rsidRPr="00C70350">
        <w:rPr>
          <w:rFonts w:eastAsia="MS Mincho"/>
          <w:highlight w:val="lightGray"/>
          <w:u w:val="double"/>
        </w:rPr>
        <w:t>stä</w:t>
      </w:r>
      <w:r w:rsidRPr="00C70350">
        <w:rPr>
          <w:rFonts w:eastAsia="MS Mincho"/>
          <w:highlight w:val="lightGray"/>
          <w:u w:val="double"/>
        </w:rPr>
        <w:t>ndige Behörde das Ergebnis der Prüfung mit Sicherheit bestimmen kann</w:t>
      </w:r>
      <w:r w:rsidR="00AA4914">
        <w:rPr>
          <w:rFonts w:eastAsia="MS Mincho"/>
          <w:highlight w:val="lightGray"/>
          <w:u w:val="double"/>
        </w:rPr>
        <w:t>“</w:t>
      </w:r>
      <w:r w:rsidRPr="00C70350">
        <w:rPr>
          <w:rFonts w:eastAsia="MS Mincho"/>
          <w:highlight w:val="lightGray"/>
          <w:u w:val="double"/>
        </w:rPr>
        <w:t>.</w:t>
      </w:r>
    </w:p>
    <w:p w14:paraId="743D54E5" w14:textId="77777777" w:rsidR="00F05450" w:rsidRPr="00C70350" w:rsidRDefault="00F05450" w:rsidP="00F05450">
      <w:pPr>
        <w:ind w:left="567"/>
        <w:rPr>
          <w:i/>
        </w:rPr>
      </w:pPr>
    </w:p>
    <w:p w14:paraId="6FEEC25C" w14:textId="5696A532" w:rsidR="00F05450" w:rsidRPr="00C70350" w:rsidRDefault="001961BB" w:rsidP="00F05450">
      <w:pPr>
        <w:ind w:left="567"/>
      </w:pPr>
      <w:r>
        <w:t>„</w:t>
      </w:r>
      <w:r w:rsidR="00F05450" w:rsidRPr="00C70350">
        <w:t>b)</w:t>
      </w:r>
      <w:r w:rsidR="00F05450" w:rsidRPr="00C70350">
        <w:tab/>
        <w:t>Zwei voneinander unabhängige Wachstumsperioden:</w:t>
      </w:r>
    </w:p>
    <w:p w14:paraId="35A3364A" w14:textId="77777777" w:rsidR="00F05450" w:rsidRPr="00C70350" w:rsidRDefault="00F05450" w:rsidP="00F05450">
      <w:pPr>
        <w:ind w:left="426"/>
      </w:pPr>
    </w:p>
    <w:p w14:paraId="516679E4" w14:textId="453AA14E" w:rsidR="00F05450" w:rsidRPr="00C70350" w:rsidRDefault="001961BB" w:rsidP="00F05450">
      <w:pPr>
        <w:ind w:left="567"/>
      </w:pPr>
      <w:r>
        <w:t>„</w:t>
      </w:r>
      <w:r w:rsidR="00F05450" w:rsidRPr="00C70350">
        <w:t xml:space="preserve">The </w:t>
      </w:r>
      <w:r w:rsidR="00F05450" w:rsidRPr="00C70350">
        <w:rPr>
          <w:strike/>
          <w:highlight w:val="lightGray"/>
        </w:rPr>
        <w:t>Mindest</w:t>
      </w:r>
      <w:r w:rsidR="00F05450" w:rsidRPr="00C70350">
        <w:t xml:space="preserve">prüfdauer sollte </w:t>
      </w:r>
      <w:r w:rsidR="00F05450" w:rsidRPr="00C70350">
        <w:rPr>
          <w:strike/>
          <w:highlight w:val="lightGray"/>
        </w:rPr>
        <w:t>in der Regel</w:t>
      </w:r>
      <w:r w:rsidR="00F05450" w:rsidRPr="00C70350">
        <w:rPr>
          <w:highlight w:val="lightGray"/>
          <w:u w:val="single"/>
        </w:rPr>
        <w:t xml:space="preserve"> im Allgemeinen</w:t>
      </w:r>
      <w:r w:rsidR="00F05450" w:rsidRPr="00C70350">
        <w:t xml:space="preserve"> eine einzige Wachstumsperiode betragen. </w:t>
      </w:r>
    </w:p>
    <w:p w14:paraId="635F04D4" w14:textId="22874775" w:rsidR="00F05450" w:rsidRPr="00C70350" w:rsidRDefault="00F05450" w:rsidP="00F05450">
      <w:pPr>
        <w:ind w:left="567"/>
        <w:rPr>
          <w:rFonts w:eastAsia="MS Mincho"/>
          <w:u w:val="double"/>
        </w:rPr>
      </w:pPr>
      <w:r w:rsidRPr="00C70350">
        <w:rPr>
          <w:rFonts w:eastAsia="MS Mincho"/>
          <w:highlight w:val="lightGray"/>
          <w:u w:val="double"/>
        </w:rPr>
        <w:t>Die Prüfung einer Sorte kann abgeschlossen werden, wenn die zuständige Behörde das Ergebnis der Prüfung mit Sicherheit bestimmen kann</w:t>
      </w:r>
      <w:r w:rsidR="00AA4914">
        <w:rPr>
          <w:rFonts w:eastAsia="MS Mincho"/>
          <w:highlight w:val="lightGray"/>
          <w:u w:val="double"/>
        </w:rPr>
        <w:t>“</w:t>
      </w:r>
      <w:r w:rsidRPr="00C70350">
        <w:rPr>
          <w:rFonts w:eastAsia="MS Mincho"/>
          <w:highlight w:val="lightGray"/>
          <w:u w:val="double"/>
        </w:rPr>
        <w:t>.</w:t>
      </w:r>
    </w:p>
    <w:p w14:paraId="4F493386" w14:textId="77777777" w:rsidR="00F05450" w:rsidRPr="00C70350" w:rsidRDefault="00F05450" w:rsidP="00F05450">
      <w:pPr>
        <w:rPr>
          <w:lang w:eastAsia="zh-CN"/>
        </w:rPr>
      </w:pPr>
    </w:p>
    <w:p w14:paraId="464A74D8" w14:textId="77777777" w:rsidR="00F05450" w:rsidRPr="00C70350" w:rsidRDefault="00F05450" w:rsidP="00F05450">
      <w:pPr>
        <w:rPr>
          <w:lang w:eastAsia="zh-CN"/>
        </w:rPr>
      </w:pPr>
    </w:p>
    <w:p w14:paraId="34676862" w14:textId="0813107A" w:rsidR="00EA2195" w:rsidRPr="007800A4" w:rsidRDefault="006B789F" w:rsidP="006B789F">
      <w:r w:rsidRPr="00C70350">
        <w:rPr>
          <w:rFonts w:eastAsia="MS Mincho"/>
        </w:rPr>
        <w:lastRenderedPageBreak/>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4B52CB" w:rsidRPr="007800A4">
        <w:rPr>
          <w:lang w:eastAsia="zh-CN"/>
        </w:rPr>
        <w:t>Die TWF</w:t>
      </w:r>
      <w:r w:rsidR="004C3DE4">
        <w:rPr>
          <w:rStyle w:val="FootnoteReference"/>
          <w:rFonts w:eastAsia="SimSun"/>
        </w:rPr>
        <w:footnoteReference w:id="21"/>
      </w:r>
      <w:r w:rsidR="004B52CB" w:rsidRPr="007800A4">
        <w:rPr>
          <w:lang w:eastAsia="zh-CN"/>
        </w:rPr>
        <w:t xml:space="preserve"> prüfte die vorgeschlagenen Änderungen zu Dokument TPG/7 </w:t>
      </w:r>
      <w:r w:rsidR="001961BB">
        <w:t>„</w:t>
      </w:r>
      <w:r w:rsidR="00525FD8" w:rsidRPr="00C70350">
        <w:t>Erstellung von Prüfungsrichtlinien</w:t>
      </w:r>
      <w:r w:rsidR="00AA4914">
        <w:t>“</w:t>
      </w:r>
      <w:r w:rsidR="0084152C" w:rsidRPr="00C70350">
        <w:t xml:space="preserve"> </w:t>
      </w:r>
      <w:r w:rsidR="00247EF7" w:rsidRPr="00C70350">
        <w:t xml:space="preserve">zwecks Änderung des </w:t>
      </w:r>
      <w:r w:rsidR="0084152C" w:rsidRPr="00C70350">
        <w:t>Standardwortlaut</w:t>
      </w:r>
      <w:r w:rsidR="00247EF7" w:rsidRPr="00C70350">
        <w:t>s</w:t>
      </w:r>
      <w:r w:rsidR="00643C60" w:rsidRPr="00C70350">
        <w:t xml:space="preserve"> für</w:t>
      </w:r>
      <w:r w:rsidR="00331A5F" w:rsidRPr="00C70350">
        <w:t xml:space="preserve"> „Anzahl von Wachstumsperioden</w:t>
      </w:r>
      <w:r w:rsidR="00AA4914">
        <w:t>“</w:t>
      </w:r>
      <w:r w:rsidR="00643C60" w:rsidRPr="00C70350">
        <w:t>, wie in Dokument TWP/10/1, Absätze 12 bis 14 dargelegt,</w:t>
      </w:r>
      <w:r w:rsidR="00331A5F" w:rsidRPr="00C70350">
        <w:t xml:space="preserve"> </w:t>
      </w:r>
      <w:r w:rsidR="003210E9" w:rsidRPr="00C70350">
        <w:t>und die Bemerkungen</w:t>
      </w:r>
      <w:r w:rsidR="00CD1624" w:rsidRPr="00C70350">
        <w:t xml:space="preserve"> der TWV, TWO und TWA, wie</w:t>
      </w:r>
      <w:r w:rsidR="004F292E">
        <w:t xml:space="preserve"> in</w:t>
      </w:r>
      <w:r w:rsidR="00CD1624" w:rsidRPr="00C70350">
        <w:t xml:space="preserve"> Dokument TWF/7/3</w:t>
      </w:r>
      <w:r w:rsidR="008B75AD" w:rsidRPr="00C70350">
        <w:t xml:space="preserve"> aufgeführt</w:t>
      </w:r>
      <w:r w:rsidR="00707C0A" w:rsidRPr="00C70350">
        <w:t xml:space="preserve">. </w:t>
      </w:r>
    </w:p>
    <w:p w14:paraId="3584D80D" w14:textId="77777777" w:rsidR="00EA2195" w:rsidRPr="007800A4" w:rsidRDefault="00EA2195" w:rsidP="006B789F"/>
    <w:p w14:paraId="09A53B77" w14:textId="47A03444" w:rsidR="00EF77CB" w:rsidRPr="00C70350" w:rsidRDefault="006B789F" w:rsidP="006B789F">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0377BD" w:rsidRPr="00C70350">
        <w:t>Die TWF nahm den Bericht von Kanada</w:t>
      </w:r>
      <w:r w:rsidR="00BB45E5" w:rsidRPr="00C70350">
        <w:t xml:space="preserve"> </w:t>
      </w:r>
      <w:r w:rsidR="004421CB" w:rsidRPr="00C70350">
        <w:t xml:space="preserve">über die </w:t>
      </w:r>
      <w:r w:rsidR="00062C3F">
        <w:t xml:space="preserve">Verwendung </w:t>
      </w:r>
      <w:r w:rsidR="00BB45E5" w:rsidRPr="00C70350">
        <w:t>einer einzigen Wachstumsperiode</w:t>
      </w:r>
      <w:r w:rsidR="00062C3F">
        <w:t>, insofern</w:t>
      </w:r>
      <w:r w:rsidR="009729ED" w:rsidRPr="00C70350">
        <w:t xml:space="preserve"> </w:t>
      </w:r>
      <w:r w:rsidR="00062C3F">
        <w:t>ausreichend</w:t>
      </w:r>
      <w:r w:rsidR="009553A3" w:rsidRPr="00C70350">
        <w:t xml:space="preserve"> </w:t>
      </w:r>
      <w:r w:rsidR="00E837DA" w:rsidRPr="00C70350">
        <w:t>für die Prüfung von Obstarten</w:t>
      </w:r>
      <w:r w:rsidR="00062C3F">
        <w:t>,</w:t>
      </w:r>
      <w:r w:rsidR="00BB45E5" w:rsidRPr="00C70350">
        <w:t xml:space="preserve"> </w:t>
      </w:r>
      <w:r w:rsidR="009729ED" w:rsidRPr="00C70350">
        <w:t>zur</w:t>
      </w:r>
      <w:r w:rsidR="006E2990" w:rsidRPr="00C70350">
        <w:t xml:space="preserve"> </w:t>
      </w:r>
      <w:r w:rsidR="000377BD" w:rsidRPr="00C70350">
        <w:t>Kenntnis</w:t>
      </w:r>
      <w:r w:rsidR="009729ED" w:rsidRPr="00C70350">
        <w:t xml:space="preserve"> und </w:t>
      </w:r>
      <w:r w:rsidR="00062C3F">
        <w:t>kam überein</w:t>
      </w:r>
      <w:r w:rsidR="00CC4ED5" w:rsidRPr="00C70350">
        <w:t>, dass</w:t>
      </w:r>
      <w:r w:rsidR="006E6528" w:rsidRPr="00C70350">
        <w:t xml:space="preserve"> unter den Verbandsmitgliedern unterschiedliche Praktiken zur Anwendung kommen.</w:t>
      </w:r>
      <w:r w:rsidR="0045177E" w:rsidRPr="00C70350">
        <w:t xml:space="preserve"> Die TWF nahm zur Kenntnis, </w:t>
      </w:r>
      <w:r w:rsidR="005769CA" w:rsidRPr="00C70350">
        <w:t xml:space="preserve">dass Deutschland aus </w:t>
      </w:r>
      <w:r w:rsidR="003E272A">
        <w:t>verschiedenen</w:t>
      </w:r>
      <w:r w:rsidR="005769CA" w:rsidRPr="00C70350">
        <w:t xml:space="preserve"> Gründen zwei oder mehr Wachstumsperioden bevorzugt</w:t>
      </w:r>
      <w:r w:rsidR="00227162" w:rsidRPr="00C70350">
        <w:t>e, unter anderem</w:t>
      </w:r>
      <w:r w:rsidR="008B112A" w:rsidRPr="00C70350">
        <w:t xml:space="preserve"> </w:t>
      </w:r>
      <w:r w:rsidR="003E272A">
        <w:t xml:space="preserve">zwecks größerer </w:t>
      </w:r>
      <w:r w:rsidR="008B112A" w:rsidRPr="00C70350">
        <w:t xml:space="preserve">Genauigkeit </w:t>
      </w:r>
      <w:r w:rsidR="00A10637" w:rsidRPr="00C70350">
        <w:t>der durch DUS-Prüfungen generierten Sortenbeschreibungen</w:t>
      </w:r>
      <w:r w:rsidR="003D74A5" w:rsidRPr="00C70350">
        <w:t xml:space="preserve">. </w:t>
      </w:r>
    </w:p>
    <w:p w14:paraId="22E70618" w14:textId="77777777" w:rsidR="00EF77CB" w:rsidRPr="00C70350" w:rsidRDefault="00EF77CB" w:rsidP="006B789F"/>
    <w:p w14:paraId="5822BDB4" w14:textId="6801E94C" w:rsidR="00840EB8" w:rsidRPr="00C70350" w:rsidRDefault="006B789F" w:rsidP="006B789F">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E53C91" w:rsidRPr="00C70350">
        <w:t>Die TWF prüfte den Vorschlag der TWA, das Wort „Mindest</w:t>
      </w:r>
      <w:r w:rsidR="003E272A">
        <w:t>-</w:t>
      </w:r>
      <w:r w:rsidR="00AA4914">
        <w:t>“</w:t>
      </w:r>
      <w:r w:rsidR="00E53C91" w:rsidRPr="00C70350">
        <w:t xml:space="preserve"> in Verbindung mit der </w:t>
      </w:r>
      <w:r w:rsidR="009B19E8" w:rsidRPr="00C70350">
        <w:t>„Mindestprüfdauer</w:t>
      </w:r>
      <w:r w:rsidR="00BD203F" w:rsidRPr="00C70350">
        <w:t xml:space="preserve"> [</w:t>
      </w:r>
      <w:r w:rsidR="00AC7742" w:rsidRPr="00C70350">
        <w:t>…</w:t>
      </w:r>
      <w:r w:rsidR="00BD203F" w:rsidRPr="00C70350">
        <w:t>]</w:t>
      </w:r>
      <w:r w:rsidR="00AA4914">
        <w:t>“</w:t>
      </w:r>
      <w:r w:rsidR="00AC7742" w:rsidRPr="00C70350">
        <w:t xml:space="preserve"> beizbehalten, und </w:t>
      </w:r>
      <w:r w:rsidR="00FB1B27" w:rsidRPr="00C70350">
        <w:t>erörterte, ob die Beibehaltung des Wortes „Mindest</w:t>
      </w:r>
      <w:r w:rsidR="00591895" w:rsidRPr="00C70350">
        <w:t>-</w:t>
      </w:r>
      <w:r w:rsidR="00AA4914">
        <w:t>“</w:t>
      </w:r>
      <w:r w:rsidR="00591895" w:rsidRPr="00C70350">
        <w:t xml:space="preserve"> die</w:t>
      </w:r>
      <w:r w:rsidR="00150C43" w:rsidRPr="00C70350">
        <w:t xml:space="preserve"> Flexibilität, Prüfungen nach einer Wachstumsperiode abzuschließen, </w:t>
      </w:r>
      <w:r w:rsidR="00840EB8" w:rsidRPr="00C70350">
        <w:t xml:space="preserve">aufheben würde. </w:t>
      </w:r>
    </w:p>
    <w:p w14:paraId="47D48A04" w14:textId="77777777" w:rsidR="00840EB8" w:rsidRPr="00C70350" w:rsidRDefault="00840EB8" w:rsidP="006B789F"/>
    <w:p w14:paraId="6AB6A36A" w14:textId="2C5FE539" w:rsidR="00EA2195" w:rsidRPr="00803C19" w:rsidRDefault="006B789F" w:rsidP="006B789F">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840EB8" w:rsidRPr="00C70350">
        <w:t>Die TWF stimmte dem Vorschlag der TWA, das Wort „Mindes</w:t>
      </w:r>
      <w:r w:rsidR="003A592C" w:rsidRPr="00C70350">
        <w:t>t-</w:t>
      </w:r>
      <w:r w:rsidR="00AA4914">
        <w:t>“</w:t>
      </w:r>
      <w:r w:rsidR="00227162" w:rsidRPr="00C70350">
        <w:t xml:space="preserve"> </w:t>
      </w:r>
      <w:r w:rsidR="003A592C" w:rsidRPr="00803C19">
        <w:rPr>
          <w:rFonts w:eastAsia="MS Mincho"/>
        </w:rPr>
        <w:t>unter Zusammenführung beider Sätze in diesem Absatz beizubehalten wie folgt:</w:t>
      </w:r>
    </w:p>
    <w:p w14:paraId="7F1FB0EF" w14:textId="77777777" w:rsidR="00A010E1" w:rsidRPr="00C70350" w:rsidRDefault="00A010E1" w:rsidP="00803C19">
      <w:pPr>
        <w:pStyle w:val="ListParagraph"/>
        <w:rPr>
          <w:lang w:val="de-DE"/>
        </w:rPr>
      </w:pPr>
    </w:p>
    <w:p w14:paraId="40F8D110" w14:textId="77777777" w:rsidR="00A010E1" w:rsidRPr="00C70350" w:rsidRDefault="00A010E1" w:rsidP="00A010E1">
      <w:pPr>
        <w:ind w:left="567"/>
        <w:rPr>
          <w:rFonts w:eastAsia="MS Mincho"/>
        </w:rPr>
      </w:pPr>
      <w:r w:rsidRPr="00C70350">
        <w:rPr>
          <w:rFonts w:eastAsia="MS Mincho"/>
        </w:rPr>
        <w:t>„a)</w:t>
      </w:r>
      <w:r w:rsidRPr="00C70350">
        <w:rPr>
          <w:rFonts w:eastAsia="MS Mincho"/>
        </w:rPr>
        <w:tab/>
        <w:t>Eine Wachstumsperiode:</w:t>
      </w:r>
    </w:p>
    <w:p w14:paraId="247924C9" w14:textId="77777777" w:rsidR="00A010E1" w:rsidRPr="00C70350" w:rsidRDefault="00A010E1" w:rsidP="00A010E1">
      <w:pPr>
        <w:ind w:left="567"/>
        <w:rPr>
          <w:rFonts w:eastAsia="MS Mincho"/>
        </w:rPr>
      </w:pPr>
    </w:p>
    <w:p w14:paraId="568501EB" w14:textId="1A6C5C1A" w:rsidR="00A010E1" w:rsidRPr="00C70350" w:rsidRDefault="00A010E1" w:rsidP="00A010E1">
      <w:pPr>
        <w:ind w:left="567"/>
      </w:pPr>
      <w:r w:rsidRPr="00C70350">
        <w:rPr>
          <w:rFonts w:eastAsia="MS Mincho"/>
        </w:rPr>
        <w:t xml:space="preserve">„Die Mindestprüfdauer sollte </w:t>
      </w:r>
      <w:r w:rsidRPr="00C70350">
        <w:rPr>
          <w:strike/>
          <w:highlight w:val="lightGray"/>
          <w:u w:val="single"/>
        </w:rPr>
        <w:t>in der Regel</w:t>
      </w:r>
      <w:r w:rsidRPr="00C70350">
        <w:rPr>
          <w:highlight w:val="lightGray"/>
          <w:u w:val="single"/>
        </w:rPr>
        <w:t xml:space="preserve"> im Allgemeinen </w:t>
      </w:r>
      <w:r w:rsidRPr="00C70350">
        <w:rPr>
          <w:rFonts w:eastAsia="MS Mincho"/>
        </w:rPr>
        <w:t xml:space="preserve">eine Wachstumsperiode betragen; </w:t>
      </w:r>
      <w:r w:rsidRPr="00C70350">
        <w:rPr>
          <w:highlight w:val="lightGray"/>
          <w:u w:val="single"/>
        </w:rPr>
        <w:t>die Prüfung einer Sorte kann jedoch abgeschlossen werden, wenn die zuständige Behörde das Ergebnis der Prüfung mit Sicherheit bestimmen kann.</w:t>
      </w:r>
      <w:r w:rsidR="00AA4914">
        <w:t>“</w:t>
      </w:r>
    </w:p>
    <w:p w14:paraId="47A7787A" w14:textId="77777777" w:rsidR="00A010E1" w:rsidRPr="00C70350" w:rsidRDefault="00A010E1" w:rsidP="00A010E1">
      <w:pPr>
        <w:ind w:left="567"/>
        <w:rPr>
          <w:rFonts w:eastAsia="MS Mincho"/>
        </w:rPr>
      </w:pPr>
    </w:p>
    <w:p w14:paraId="7EC5AD91" w14:textId="1E570512" w:rsidR="00A010E1" w:rsidRPr="00C70350" w:rsidRDefault="00A010E1" w:rsidP="00A010E1">
      <w:pPr>
        <w:ind w:left="567"/>
        <w:rPr>
          <w:rFonts w:eastAsia="MS Mincho"/>
        </w:rPr>
      </w:pPr>
      <w:r w:rsidRPr="00C70350">
        <w:rPr>
          <w:rFonts w:eastAsia="MS Mincho"/>
        </w:rPr>
        <w:t>„b)</w:t>
      </w:r>
      <w:r w:rsidR="00AC05D4">
        <w:rPr>
          <w:rFonts w:eastAsia="MS Mincho"/>
        </w:rPr>
        <w:tab/>
      </w:r>
      <w:r w:rsidRPr="00C70350">
        <w:rPr>
          <w:rFonts w:eastAsia="MS Mincho"/>
        </w:rPr>
        <w:t xml:space="preserve">Zwei unterschiedliche Wachstumsperioden: </w:t>
      </w:r>
    </w:p>
    <w:p w14:paraId="00A09E4C" w14:textId="77777777" w:rsidR="00A010E1" w:rsidRPr="00C70350" w:rsidRDefault="00A010E1" w:rsidP="00A010E1">
      <w:pPr>
        <w:ind w:left="567"/>
        <w:rPr>
          <w:rFonts w:eastAsia="MS Mincho"/>
        </w:rPr>
      </w:pPr>
    </w:p>
    <w:p w14:paraId="2CE57E96" w14:textId="1EB903A9" w:rsidR="00A010E1" w:rsidRPr="00C70350" w:rsidRDefault="00A010E1" w:rsidP="00A010E1">
      <w:pPr>
        <w:ind w:left="567"/>
      </w:pPr>
      <w:r w:rsidRPr="00C70350">
        <w:rPr>
          <w:rFonts w:eastAsia="MS Mincho"/>
        </w:rPr>
        <w:t xml:space="preserve">„Die Mindestprüfdauer sollte </w:t>
      </w:r>
      <w:r w:rsidRPr="00C70350">
        <w:rPr>
          <w:strike/>
          <w:highlight w:val="lightGray"/>
          <w:u w:val="single"/>
        </w:rPr>
        <w:t>in der Regel</w:t>
      </w:r>
      <w:r w:rsidRPr="00C70350">
        <w:rPr>
          <w:highlight w:val="lightGray"/>
          <w:u w:val="single"/>
        </w:rPr>
        <w:t xml:space="preserve"> im Allgemeinen </w:t>
      </w:r>
      <w:r w:rsidRPr="00C70350">
        <w:rPr>
          <w:rFonts w:eastAsia="MS Mincho"/>
        </w:rPr>
        <w:t xml:space="preserve">zwei unabhängige Wachstumsperioden betragen; </w:t>
      </w:r>
      <w:r w:rsidRPr="00C70350">
        <w:rPr>
          <w:highlight w:val="lightGray"/>
          <w:u w:val="single"/>
        </w:rPr>
        <w:t>die Prüfung einer Sorte kann jedoch abgeschlossen werden, wenn die zuständige Behörde das Ergebnis der Prüfung mit Sicherheit bestimmen kann.</w:t>
      </w:r>
      <w:r w:rsidR="00AA4914">
        <w:t>“</w:t>
      </w:r>
    </w:p>
    <w:p w14:paraId="0088BC74" w14:textId="77777777" w:rsidR="006D3607" w:rsidRDefault="006D3607" w:rsidP="00A010E1">
      <w:pPr>
        <w:ind w:left="567"/>
      </w:pPr>
    </w:p>
    <w:p w14:paraId="535CEA90" w14:textId="77777777" w:rsidR="00803C19" w:rsidRPr="00C70350" w:rsidRDefault="00803C19" w:rsidP="00A010E1">
      <w:pPr>
        <w:ind w:left="567"/>
      </w:pPr>
    </w:p>
    <w:p w14:paraId="0E381D7F" w14:textId="6DB6DD09" w:rsidR="006D3607" w:rsidRPr="00803C19" w:rsidRDefault="000038B2" w:rsidP="00803C19">
      <w:pPr>
        <w:rPr>
          <w:i/>
          <w:iCs/>
        </w:rPr>
      </w:pPr>
      <w:r w:rsidRPr="00803C19">
        <w:rPr>
          <w:rFonts w:eastAsia="MS Mincho"/>
          <w:i/>
          <w:iCs/>
        </w:rPr>
        <w:t>Erläuterung der Wachstumsperiode für Obstarten</w:t>
      </w:r>
    </w:p>
    <w:p w14:paraId="5BD11501" w14:textId="77777777" w:rsidR="00A010E1" w:rsidRPr="00C70350" w:rsidRDefault="00A010E1" w:rsidP="00803C19">
      <w:pPr>
        <w:keepNext/>
      </w:pPr>
    </w:p>
    <w:p w14:paraId="31716227" w14:textId="723A259D" w:rsidR="00F05450" w:rsidRPr="0084076A" w:rsidRDefault="003E0433" w:rsidP="003E0433">
      <w:r w:rsidRPr="00C70350">
        <w:rPr>
          <w:rFonts w:eastAsia="MS Mincho"/>
        </w:rPr>
        <w:fldChar w:fldCharType="begin"/>
      </w:r>
      <w:r w:rsidRPr="00C70350">
        <w:rPr>
          <w:rFonts w:eastAsia="MS Mincho"/>
        </w:rPr>
        <w:instrText xml:space="preserve"> LISTNUM  LegalDefault \l 1 \s </w:instrText>
      </w:r>
      <w:r w:rsidRPr="00C70350">
        <w:rPr>
          <w:rFonts w:eastAsia="MS Mincho"/>
        </w:rPr>
        <w:fldChar w:fldCharType="end"/>
      </w:r>
      <w:r w:rsidRPr="00C70350">
        <w:rPr>
          <w:rFonts w:eastAsia="MS Mincho"/>
        </w:rPr>
        <w:tab/>
      </w:r>
      <w:r w:rsidR="00F05450" w:rsidRPr="00803C19">
        <w:rPr>
          <w:lang w:eastAsia="zh-CN"/>
        </w:rPr>
        <w:t xml:space="preserve">Die TWO </w:t>
      </w:r>
      <w:r w:rsidR="000038B2" w:rsidRPr="00803C19">
        <w:rPr>
          <w:lang w:eastAsia="zh-CN"/>
        </w:rPr>
        <w:t xml:space="preserve">und die TWF </w:t>
      </w:r>
      <w:r w:rsidR="00F05450" w:rsidRPr="00803C19">
        <w:rPr>
          <w:lang w:eastAsia="zh-CN"/>
        </w:rPr>
        <w:t>stimmte</w:t>
      </w:r>
      <w:r w:rsidR="000038B2" w:rsidRPr="00803C19">
        <w:rPr>
          <w:lang w:eastAsia="zh-CN"/>
        </w:rPr>
        <w:t>n</w:t>
      </w:r>
      <w:r w:rsidR="00F05450" w:rsidRPr="00803C19">
        <w:rPr>
          <w:lang w:eastAsia="zh-CN"/>
        </w:rPr>
        <w:t xml:space="preserve"> dem Vorschlag</w:t>
      </w:r>
      <w:r w:rsidR="005B21F9" w:rsidRPr="00803C19">
        <w:rPr>
          <w:lang w:eastAsia="zh-CN"/>
        </w:rPr>
        <w:t xml:space="preserve"> zu</w:t>
      </w:r>
      <w:r w:rsidR="00F05450" w:rsidRPr="00803C19">
        <w:rPr>
          <w:lang w:eastAsia="zh-CN"/>
        </w:rPr>
        <w:t>, den zusätzlichen Standardwortlaut zu Wachstumsperioden für Obstarten, wie in Dokument TWP/10/1</w:t>
      </w:r>
      <w:r w:rsidR="002C0CFB" w:rsidRPr="00803C19">
        <w:rPr>
          <w:lang w:eastAsia="zh-CN"/>
        </w:rPr>
        <w:t>, Absatz 14,</w:t>
      </w:r>
      <w:r w:rsidR="00F05450" w:rsidRPr="00803C19">
        <w:rPr>
          <w:lang w:eastAsia="zh-CN"/>
        </w:rPr>
        <w:t xml:space="preserve"> dargelegt wie folgt zu ändern</w:t>
      </w:r>
      <w:r w:rsidR="00F05450" w:rsidRPr="00803C19">
        <w:t xml:space="preserve">: </w:t>
      </w:r>
    </w:p>
    <w:p w14:paraId="65CF4A48" w14:textId="77777777" w:rsidR="00F05450" w:rsidRPr="00C70350" w:rsidRDefault="00F05450" w:rsidP="00F05450">
      <w:pPr>
        <w:ind w:left="567" w:right="567"/>
      </w:pPr>
    </w:p>
    <w:p w14:paraId="5C619D5F" w14:textId="179778C6" w:rsidR="00F05450" w:rsidRPr="00C70350" w:rsidRDefault="001961BB" w:rsidP="00F05450">
      <w:pPr>
        <w:keepNext/>
        <w:ind w:left="567" w:right="567"/>
        <w:rPr>
          <w:rFonts w:eastAsia="MS Mincho"/>
        </w:rPr>
      </w:pPr>
      <w:r>
        <w:t>„</w:t>
      </w:r>
      <w:r w:rsidR="00F05450" w:rsidRPr="00C70350">
        <w:rPr>
          <w:rFonts w:eastAsia="MS Mincho"/>
        </w:rPr>
        <w:t xml:space="preserve">Insbesondere ist es erforderlich, dass die [Bäume] / [Pflanzen] in </w:t>
      </w:r>
      <w:r w:rsidR="00E54501" w:rsidRPr="00C70350">
        <w:rPr>
          <w:rFonts w:eastAsia="MS Mincho"/>
          <w:strike/>
          <w:highlight w:val="lightGray"/>
        </w:rPr>
        <w:t>jeder</w:t>
      </w:r>
      <w:r w:rsidR="00E54501" w:rsidRPr="00C70350">
        <w:rPr>
          <w:rFonts w:eastAsia="MS Mincho"/>
        </w:rPr>
        <w:t xml:space="preserve"> </w:t>
      </w:r>
      <w:r w:rsidR="00F05450" w:rsidRPr="00C70350">
        <w:rPr>
          <w:rFonts w:eastAsia="MS Mincho"/>
        </w:rPr>
        <w:t xml:space="preserve">einer der Wachstumsperioden </w:t>
      </w:r>
      <w:r w:rsidR="00F05450" w:rsidRPr="00C70350">
        <w:rPr>
          <w:rFonts w:eastAsia="MS Mincho"/>
          <w:strike/>
          <w:highlight w:val="lightGray"/>
        </w:rPr>
        <w:t>genügend</w:t>
      </w:r>
      <w:r w:rsidR="00F05450" w:rsidRPr="00C70350">
        <w:rPr>
          <w:rFonts w:eastAsia="MS Mincho"/>
        </w:rPr>
        <w:t xml:space="preserve"> Früchte </w:t>
      </w:r>
      <w:r w:rsidR="00F05450" w:rsidRPr="00C70350">
        <w:rPr>
          <w:rFonts w:eastAsia="MS Mincho"/>
          <w:highlight w:val="lightGray"/>
          <w:u w:val="single"/>
        </w:rPr>
        <w:t xml:space="preserve">in zu Prüfungszwecken ausreichender Menge </w:t>
      </w:r>
      <w:r w:rsidR="00F05450" w:rsidRPr="00C70350">
        <w:rPr>
          <w:rFonts w:eastAsia="MS Mincho"/>
        </w:rPr>
        <w:t>und Qualität tragen, und</w:t>
      </w:r>
      <w:r w:rsidR="00F05450" w:rsidRPr="00C70350">
        <w:rPr>
          <w:rFonts w:eastAsia="MS Mincho"/>
          <w:highlight w:val="lightGray"/>
          <w:u w:val="single"/>
        </w:rPr>
        <w:t xml:space="preserve"> dass diese für die Sorte repräsentativ sind</w:t>
      </w:r>
      <w:r w:rsidR="00F05450" w:rsidRPr="00C70350">
        <w:rPr>
          <w:rFonts w:eastAsia="MS Mincho"/>
        </w:rPr>
        <w:t>.</w:t>
      </w:r>
      <w:r w:rsidR="00AA4914">
        <w:rPr>
          <w:rFonts w:eastAsia="MS Mincho"/>
        </w:rPr>
        <w:t>“</w:t>
      </w:r>
    </w:p>
    <w:p w14:paraId="386612FA" w14:textId="77777777" w:rsidR="00F05450" w:rsidRPr="00C70350" w:rsidRDefault="00F05450" w:rsidP="00F05450">
      <w:pPr>
        <w:jc w:val="right"/>
        <w:rPr>
          <w:rFonts w:eastAsia="MS Mincho"/>
        </w:rPr>
      </w:pPr>
    </w:p>
    <w:p w14:paraId="3EF2D0D8" w14:textId="77777777" w:rsidR="00F05450" w:rsidRPr="00C70350" w:rsidRDefault="00F05450" w:rsidP="00F05450">
      <w:pPr>
        <w:jc w:val="right"/>
        <w:rPr>
          <w:rFonts w:eastAsia="MS Mincho"/>
        </w:rPr>
      </w:pPr>
    </w:p>
    <w:p w14:paraId="0442C803" w14:textId="77777777" w:rsidR="00F05450" w:rsidRPr="00C70350" w:rsidRDefault="00F05450" w:rsidP="00F05450">
      <w:pPr>
        <w:jc w:val="right"/>
      </w:pPr>
    </w:p>
    <w:p w14:paraId="10FFD0E4" w14:textId="77777777" w:rsidR="00F05450" w:rsidRPr="00C70350" w:rsidRDefault="00F05450" w:rsidP="00F05450">
      <w:pPr>
        <w:jc w:val="right"/>
      </w:pPr>
      <w:r w:rsidRPr="00C70350">
        <w:t>[Ende der Anlage und des Dokuments]</w:t>
      </w:r>
    </w:p>
    <w:p w14:paraId="14BACE9D" w14:textId="77777777" w:rsidR="00050E16" w:rsidRPr="00C70350" w:rsidRDefault="00050E16" w:rsidP="004B1215"/>
    <w:sectPr w:rsidR="00050E16" w:rsidRPr="00C70350" w:rsidSect="0077424B">
      <w:headerReference w:type="default" r:id="rId17"/>
      <w:headerReference w:type="first" r:id="rId18"/>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CD4B7" w14:textId="77777777" w:rsidR="00B02D7F" w:rsidRPr="00C70350" w:rsidRDefault="00B02D7F" w:rsidP="006655D3">
      <w:r w:rsidRPr="00C70350">
        <w:separator/>
      </w:r>
    </w:p>
    <w:p w14:paraId="215944DA" w14:textId="77777777" w:rsidR="00B02D7F" w:rsidRPr="00C70350" w:rsidRDefault="00B02D7F" w:rsidP="006655D3"/>
    <w:p w14:paraId="78B326E6" w14:textId="77777777" w:rsidR="00B02D7F" w:rsidRPr="00C70350" w:rsidRDefault="00B02D7F" w:rsidP="006655D3"/>
  </w:endnote>
  <w:endnote w:type="continuationSeparator" w:id="0">
    <w:p w14:paraId="67CEE066" w14:textId="77777777" w:rsidR="00B02D7F" w:rsidRPr="00C70350" w:rsidRDefault="00B02D7F" w:rsidP="006655D3">
      <w:r w:rsidRPr="00C70350">
        <w:separator/>
      </w:r>
    </w:p>
    <w:p w14:paraId="06838FB6" w14:textId="77777777" w:rsidR="00B02D7F" w:rsidRPr="00CE0649" w:rsidRDefault="00B02D7F">
      <w:pPr>
        <w:pStyle w:val="Footer"/>
        <w:spacing w:after="60"/>
        <w:rPr>
          <w:sz w:val="18"/>
          <w:lang w:val="en-GB"/>
        </w:rPr>
      </w:pPr>
      <w:r w:rsidRPr="00CE0649">
        <w:rPr>
          <w:sz w:val="18"/>
          <w:lang w:val="en-GB"/>
        </w:rPr>
        <w:t xml:space="preserve">[Suite de la note de la page </w:t>
      </w:r>
      <w:proofErr w:type="spellStart"/>
      <w:r w:rsidRPr="00CE0649">
        <w:rPr>
          <w:sz w:val="18"/>
          <w:lang w:val="en-GB"/>
        </w:rPr>
        <w:t>précédente</w:t>
      </w:r>
      <w:proofErr w:type="spellEnd"/>
      <w:r w:rsidRPr="00CE0649">
        <w:rPr>
          <w:sz w:val="18"/>
          <w:lang w:val="en-GB"/>
        </w:rPr>
        <w:t>]</w:t>
      </w:r>
    </w:p>
    <w:p w14:paraId="002CE6C1" w14:textId="77777777" w:rsidR="00B02D7F" w:rsidRPr="00CE0649" w:rsidRDefault="00B02D7F" w:rsidP="006655D3">
      <w:pPr>
        <w:rPr>
          <w:lang w:val="en-GB"/>
        </w:rPr>
      </w:pPr>
    </w:p>
    <w:p w14:paraId="559D1EFA" w14:textId="77777777" w:rsidR="00B02D7F" w:rsidRPr="00CE0649" w:rsidRDefault="00B02D7F" w:rsidP="006655D3">
      <w:pPr>
        <w:rPr>
          <w:lang w:val="en-GB"/>
        </w:rPr>
      </w:pPr>
    </w:p>
  </w:endnote>
  <w:endnote w:type="continuationNotice" w:id="1">
    <w:p w14:paraId="0FEC3925" w14:textId="77777777" w:rsidR="00B02D7F" w:rsidRPr="00CE0649" w:rsidRDefault="00B02D7F" w:rsidP="006655D3">
      <w:pPr>
        <w:rPr>
          <w:lang w:val="en-GB"/>
        </w:rPr>
      </w:pPr>
      <w:r w:rsidRPr="00CE0649">
        <w:rPr>
          <w:lang w:val="en-GB"/>
        </w:rPr>
        <w:t xml:space="preserve">[Suite de la note page </w:t>
      </w:r>
      <w:proofErr w:type="spellStart"/>
      <w:r w:rsidRPr="00CE0649">
        <w:rPr>
          <w:lang w:val="en-GB"/>
        </w:rPr>
        <w:t>suivante</w:t>
      </w:r>
      <w:proofErr w:type="spellEnd"/>
      <w:r w:rsidRPr="00CE0649">
        <w:rPr>
          <w:lang w:val="en-GB"/>
        </w:rPr>
        <w:t>]</w:t>
      </w:r>
    </w:p>
    <w:p w14:paraId="7458E72D" w14:textId="77777777" w:rsidR="00B02D7F" w:rsidRPr="00CE0649" w:rsidRDefault="00B02D7F" w:rsidP="006655D3">
      <w:pPr>
        <w:rPr>
          <w:lang w:val="en-GB"/>
        </w:rPr>
      </w:pPr>
    </w:p>
    <w:p w14:paraId="11A9A608" w14:textId="77777777" w:rsidR="00B02D7F" w:rsidRPr="00CE0649" w:rsidRDefault="00B02D7F" w:rsidP="006655D3">
      <w:pPr>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99558" w14:textId="729A068F" w:rsidR="00AB70B1" w:rsidRDefault="00AB70B1">
    <w:pPr>
      <w:pStyle w:val="Footer"/>
    </w:pPr>
    <w:r>
      <w:rPr>
        <w:noProof/>
      </w:rPr>
      <mc:AlternateContent>
        <mc:Choice Requires="wps">
          <w:drawing>
            <wp:anchor distT="0" distB="0" distL="0" distR="0" simplePos="0" relativeHeight="251658240" behindDoc="0" locked="0" layoutInCell="1" allowOverlap="1" wp14:anchorId="19FA999B" wp14:editId="5C1EBFFD">
              <wp:simplePos x="635" y="635"/>
              <wp:positionH relativeFrom="page">
                <wp:align>center</wp:align>
              </wp:positionH>
              <wp:positionV relativeFrom="page">
                <wp:align>bottom</wp:align>
              </wp:positionV>
              <wp:extent cx="1715135" cy="345440"/>
              <wp:effectExtent l="0" t="0" r="18415" b="0"/>
              <wp:wrapNone/>
              <wp:docPr id="1367628863"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5135" cy="345440"/>
                      </a:xfrm>
                      <a:prstGeom prst="rect">
                        <a:avLst/>
                      </a:prstGeom>
                      <a:noFill/>
                      <a:ln>
                        <a:noFill/>
                      </a:ln>
                    </wps:spPr>
                    <wps:txbx>
                      <w:txbxContent>
                        <w:p w14:paraId="2859835C" w14:textId="0D113133" w:rsidR="00AB70B1" w:rsidRPr="00AB70B1" w:rsidRDefault="00AB70B1" w:rsidP="00AB70B1">
                          <w:pPr>
                            <w:rPr>
                              <w:rFonts w:ascii="Aptos" w:eastAsia="Aptos" w:hAnsi="Aptos" w:cs="Aptos"/>
                              <w:noProof/>
                              <w:color w:val="000000"/>
                            </w:rPr>
                          </w:pPr>
                          <w:r w:rsidRPr="00AB70B1">
                            <w:rPr>
                              <w:rFonts w:ascii="Aptos" w:eastAsia="Aptos" w:hAnsi="Aptos" w:cs="Aptos"/>
                              <w:noProof/>
                              <w:color w:val="00000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FA999B"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5.0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" filled="f" stroked="f">
              <v:textbox style="mso-fit-shape-to-text:t" inset="0,0,0,15pt">
                <w:txbxContent>
                  <w:p w14:paraId="2859835C" w14:textId="0D113133" w:rsidR="00AB70B1" w:rsidRPr="00AB70B1" w:rsidRDefault="00AB70B1" w:rsidP="00AB70B1">
                    <w:pPr>
                      <w:rPr>
                        <w:rFonts w:ascii="Aptos" w:eastAsia="Aptos" w:hAnsi="Aptos" w:cs="Aptos"/>
                        <w:noProof/>
                        <w:color w:val="000000"/>
                      </w:rPr>
                    </w:pPr>
                    <w:r w:rsidRPr="00AB70B1">
                      <w:rPr>
                        <w:rFonts w:ascii="Aptos" w:eastAsia="Aptos" w:hAnsi="Aptos" w:cs="Aptos"/>
                        <w:noProof/>
                        <w:color w:val="00000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D9CA" w14:textId="77777777" w:rsidR="00B02D7F" w:rsidRPr="00C70350" w:rsidRDefault="00B02D7F" w:rsidP="006655D3">
      <w:r w:rsidRPr="00C70350">
        <w:separator/>
      </w:r>
    </w:p>
  </w:footnote>
  <w:footnote w:type="continuationSeparator" w:id="0">
    <w:p w14:paraId="7023B397" w14:textId="77777777" w:rsidR="00B02D7F" w:rsidRPr="00C70350" w:rsidRDefault="00B02D7F" w:rsidP="006655D3">
      <w:r w:rsidRPr="00C70350">
        <w:separator/>
      </w:r>
    </w:p>
  </w:footnote>
  <w:footnote w:type="continuationNotice" w:id="1">
    <w:p w14:paraId="325D787E" w14:textId="77777777" w:rsidR="00B02D7F" w:rsidRPr="00CE0649" w:rsidRDefault="00B02D7F" w:rsidP="00AB530F">
      <w:pPr>
        <w:pStyle w:val="Footer"/>
        <w:rPr>
          <w:lang w:val="de-DE"/>
        </w:rPr>
      </w:pPr>
    </w:p>
  </w:footnote>
  <w:footnote w:id="2">
    <w:p w14:paraId="57E49C55" w14:textId="699F856E" w:rsidR="00F05450" w:rsidRPr="00C70350" w:rsidRDefault="00F05450" w:rsidP="005A35E2">
      <w:pPr>
        <w:pStyle w:val="FootnoteText"/>
      </w:pPr>
      <w:r w:rsidRPr="00C70350">
        <w:rPr>
          <w:rStyle w:val="FootnoteReference"/>
        </w:rPr>
        <w:footnoteRef/>
      </w:r>
      <w:r w:rsidRPr="00C70350">
        <w:t xml:space="preserve"> Der Rat, achtundfünfzigste </w:t>
      </w:r>
      <w:r w:rsidR="00AD30A7" w:rsidRPr="00C70350">
        <w:t xml:space="preserve">ordentliche </w:t>
      </w:r>
      <w:r w:rsidRPr="00C70350">
        <w:t xml:space="preserve">Tagung, abgehalten in Genf am 25. Oktober 2024. Vgl. Dokument C/58/19 </w:t>
      </w:r>
      <w:r w:rsidR="001961BB">
        <w:t>“</w:t>
      </w:r>
      <w:r w:rsidRPr="00C70350">
        <w:t>Bericht</w:t>
      </w:r>
      <w:r w:rsidR="001961BB">
        <w:t>”</w:t>
      </w:r>
      <w:r w:rsidRPr="00C70350">
        <w:t>, Absatz 62</w:t>
      </w:r>
    </w:p>
  </w:footnote>
  <w:footnote w:id="3">
    <w:p w14:paraId="7C423FC7" w14:textId="43AA358B" w:rsidR="00680133" w:rsidRPr="00AC6D29" w:rsidRDefault="00680133" w:rsidP="00680133">
      <w:pPr>
        <w:pStyle w:val="FootnoteText"/>
      </w:pPr>
      <w:r w:rsidRPr="00AC6D29">
        <w:rPr>
          <w:rStyle w:val="FootnoteReference"/>
        </w:rPr>
        <w:footnoteRef/>
      </w:r>
      <w:r w:rsidRPr="00AC6D29">
        <w:t xml:space="preserve"> </w:t>
      </w:r>
      <w:r w:rsidRPr="00AC6D29">
        <w:t>Beratende</w:t>
      </w:r>
      <w:r>
        <w:t>r</w:t>
      </w:r>
      <w:r w:rsidRPr="00AC6D29">
        <w:t xml:space="preserve"> </w:t>
      </w:r>
      <w:r w:rsidRPr="00AC6D29">
        <w:t>Ausschuss</w:t>
      </w:r>
      <w:r>
        <w:t>,</w:t>
      </w:r>
      <w:r w:rsidRPr="00AC6D29">
        <w:t xml:space="preserve"> hundertdritte</w:t>
      </w:r>
      <w:r>
        <w:t xml:space="preserve"> Tagung, abgehalten</w:t>
      </w:r>
      <w:r w:rsidRPr="00AC6D29">
        <w:t xml:space="preserve"> in Genf am 24. </w:t>
      </w:r>
      <w:r w:rsidRPr="002F356C">
        <w:t xml:space="preserve">Oktober </w:t>
      </w:r>
      <w:r w:rsidRPr="002F356C">
        <w:rPr>
          <w:bdr w:val="none" w:sz="0" w:space="0" w:color="auto" w:frame="1"/>
          <w:lang w:eastAsia="nl-NL"/>
        </w:rPr>
        <w:t xml:space="preserve">2025. </w:t>
      </w:r>
      <w:r>
        <w:rPr>
          <w:bdr w:val="none" w:sz="0" w:space="0" w:color="auto" w:frame="1"/>
          <w:lang w:eastAsia="nl-NL"/>
        </w:rPr>
        <w:t>Vgl. Dokument</w:t>
      </w:r>
      <w:r w:rsidRPr="00AC6D29">
        <w:rPr>
          <w:bdr w:val="none" w:sz="0" w:space="0" w:color="auto" w:frame="1"/>
          <w:lang w:eastAsia="nl-NL"/>
        </w:rPr>
        <w:t xml:space="preserve"> CC/103/12 </w:t>
      </w:r>
      <w:r>
        <w:t>„Bericht</w:t>
      </w:r>
      <w:r w:rsidR="001961BB">
        <w:t>”</w:t>
      </w:r>
      <w:r w:rsidRPr="00AC6D29">
        <w:rPr>
          <w:bdr w:val="none" w:sz="0" w:space="0" w:color="auto" w:frame="1"/>
          <w:lang w:eastAsia="nl-NL"/>
        </w:rPr>
        <w:t>,</w:t>
      </w:r>
      <w:r>
        <w:rPr>
          <w:bdr w:val="none" w:sz="0" w:space="0" w:color="auto" w:frame="1"/>
          <w:lang w:eastAsia="nl-NL"/>
        </w:rPr>
        <w:t xml:space="preserve"> Absatz</w:t>
      </w:r>
      <w:r w:rsidRPr="00AC6D29">
        <w:rPr>
          <w:bdr w:val="none" w:sz="0" w:space="0" w:color="auto" w:frame="1"/>
          <w:lang w:eastAsia="nl-NL"/>
        </w:rPr>
        <w:t> 65.</w:t>
      </w:r>
    </w:p>
  </w:footnote>
  <w:footnote w:id="4">
    <w:p w14:paraId="6482060E" w14:textId="4902FE07" w:rsidR="00C34CE8" w:rsidRPr="002F356C" w:rsidRDefault="00C34CE8" w:rsidP="00C34CE8">
      <w:pPr>
        <w:pStyle w:val="FootnoteText"/>
      </w:pPr>
      <w:r>
        <w:rPr>
          <w:rStyle w:val="FootnoteReference"/>
        </w:rPr>
        <w:footnoteRef/>
      </w:r>
      <w:r w:rsidRPr="002F356C">
        <w:t xml:space="preserve"> </w:t>
      </w:r>
      <w:r w:rsidRPr="002F356C">
        <w:t>TWM</w:t>
      </w:r>
      <w:r>
        <w:t xml:space="preserve">, </w:t>
      </w:r>
      <w:r w:rsidRPr="002F356C">
        <w:t>vierte Tagung</w:t>
      </w:r>
      <w:r>
        <w:t xml:space="preserve">, </w:t>
      </w:r>
      <w:r w:rsidRPr="002F356C">
        <w:t>Cambridge, Vereinigtes Königrei</w:t>
      </w:r>
      <w:r>
        <w:t xml:space="preserve">ch, vom 2. bis 5. Juni </w:t>
      </w:r>
      <w:r w:rsidRPr="002F356C">
        <w:t xml:space="preserve">2026. </w:t>
      </w:r>
      <w:r>
        <w:t>Vgl.</w:t>
      </w:r>
      <w:r w:rsidRPr="002F356C">
        <w:t xml:space="preserve"> Dokument TWM/4/31 </w:t>
      </w:r>
      <w:r>
        <w:t>„</w:t>
      </w:r>
      <w:r w:rsidRPr="00BE0876">
        <w:rPr>
          <w:i/>
          <w:iCs/>
        </w:rPr>
        <w:t>Report</w:t>
      </w:r>
      <w:r w:rsidR="001961BB">
        <w:t>”</w:t>
      </w:r>
      <w:r w:rsidRPr="002F356C">
        <w:t>, Absätze 20 und</w:t>
      </w:r>
      <w:r>
        <w:t> </w:t>
      </w:r>
      <w:r w:rsidRPr="002F356C">
        <w:t>21.</w:t>
      </w:r>
    </w:p>
  </w:footnote>
  <w:footnote w:id="5">
    <w:p w14:paraId="66F799A6" w14:textId="0C3C657B" w:rsidR="007F77A7" w:rsidRPr="00744401" w:rsidRDefault="007F77A7" w:rsidP="007F77A7">
      <w:pPr>
        <w:pStyle w:val="FootnoteText"/>
        <w:rPr>
          <w:lang w:eastAsia="zh-CN"/>
        </w:rPr>
      </w:pPr>
      <w:r w:rsidRPr="00744401">
        <w:rPr>
          <w:rStyle w:val="FootnoteReference"/>
        </w:rPr>
        <w:footnoteRef/>
      </w:r>
      <w:r w:rsidRPr="00744401">
        <w:t xml:space="preserve"> </w:t>
      </w:r>
      <w:r w:rsidRPr="00744401">
        <w:t>T</w:t>
      </w:r>
      <w:r w:rsidRPr="00744401">
        <w:rPr>
          <w:lang w:eastAsia="zh-CN"/>
        </w:rPr>
        <w:t>C</w:t>
      </w:r>
      <w:r w:rsidRPr="00744401">
        <w:t xml:space="preserve">, </w:t>
      </w:r>
      <w:r w:rsidRPr="00744401">
        <w:rPr>
          <w:lang w:eastAsia="zh-CN"/>
        </w:rPr>
        <w:t>einundsechzigste Tagung</w:t>
      </w:r>
      <w:r>
        <w:rPr>
          <w:lang w:eastAsia="zh-CN"/>
        </w:rPr>
        <w:t xml:space="preserve">, abgehalten </w:t>
      </w:r>
      <w:r w:rsidRPr="00744401">
        <w:rPr>
          <w:lang w:eastAsia="zh-CN"/>
        </w:rPr>
        <w:t xml:space="preserve">in Genf </w:t>
      </w:r>
      <w:r>
        <w:rPr>
          <w:lang w:eastAsia="zh-CN"/>
        </w:rPr>
        <w:t>am</w:t>
      </w:r>
      <w:r w:rsidRPr="00744401">
        <w:rPr>
          <w:lang w:eastAsia="zh-CN"/>
        </w:rPr>
        <w:t xml:space="preserve"> 20. </w:t>
      </w:r>
      <w:r>
        <w:rPr>
          <w:lang w:eastAsia="zh-CN"/>
        </w:rPr>
        <w:t>und</w:t>
      </w:r>
      <w:r w:rsidRPr="00744401">
        <w:rPr>
          <w:lang w:eastAsia="zh-CN"/>
        </w:rPr>
        <w:t xml:space="preserve"> 21. Oktober 2025. </w:t>
      </w:r>
      <w:r>
        <w:t>Vgl.</w:t>
      </w:r>
      <w:r w:rsidRPr="00744401">
        <w:t xml:space="preserve"> Dokument </w:t>
      </w:r>
      <w:r w:rsidRPr="00744401">
        <w:rPr>
          <w:lang w:eastAsia="zh-CN"/>
        </w:rPr>
        <w:t>T</w:t>
      </w:r>
      <w:r w:rsidRPr="00744401">
        <w:t>C/</w:t>
      </w:r>
      <w:r w:rsidRPr="00744401">
        <w:rPr>
          <w:lang w:eastAsia="zh-CN"/>
        </w:rPr>
        <w:t>6</w:t>
      </w:r>
      <w:r w:rsidRPr="00744401">
        <w:t>1/</w:t>
      </w:r>
      <w:r w:rsidRPr="00744401">
        <w:rPr>
          <w:lang w:eastAsia="zh-CN"/>
        </w:rPr>
        <w:t>8</w:t>
      </w:r>
      <w:r w:rsidRPr="00744401">
        <w:t xml:space="preserve"> </w:t>
      </w:r>
      <w:r>
        <w:t>„Bericht</w:t>
      </w:r>
      <w:r w:rsidR="001961BB">
        <w:t>”</w:t>
      </w:r>
      <w:r w:rsidRPr="00744401">
        <w:t>, Absatz 60</w:t>
      </w:r>
      <w:r w:rsidRPr="00744401">
        <w:rPr>
          <w:lang w:eastAsia="zh-CN"/>
        </w:rPr>
        <w:t>.</w:t>
      </w:r>
    </w:p>
  </w:footnote>
  <w:footnote w:id="6">
    <w:p w14:paraId="43CE6F5D" w14:textId="22B24ED3" w:rsidR="007F77A7" w:rsidRPr="00744401" w:rsidRDefault="007F77A7" w:rsidP="007F77A7">
      <w:pPr>
        <w:pStyle w:val="FootnoteText"/>
      </w:pPr>
      <w:r w:rsidRPr="00744401">
        <w:rPr>
          <w:rStyle w:val="FootnoteReference"/>
        </w:rPr>
        <w:footnoteRef/>
      </w:r>
      <w:r w:rsidRPr="00744401">
        <w:t xml:space="preserve"> </w:t>
      </w:r>
      <w:r w:rsidRPr="00744401">
        <w:t xml:space="preserve">TWF, fünfundfünfzigste Tagung, abgehalten auf elektronischem Wege vom 3. bis 6. Juni 2025. </w:t>
      </w:r>
      <w:r>
        <w:t>Vgl.</w:t>
      </w:r>
      <w:r w:rsidRPr="00744401">
        <w:t xml:space="preserve"> Dokument TWF/55/9 </w:t>
      </w:r>
      <w:r>
        <w:t>„</w:t>
      </w:r>
      <w:r w:rsidRPr="00BE0876">
        <w:rPr>
          <w:i/>
          <w:iCs/>
        </w:rPr>
        <w:t>Report</w:t>
      </w:r>
      <w:r w:rsidR="001961BB">
        <w:t>”</w:t>
      </w:r>
      <w:r w:rsidRPr="00744401">
        <w:t>, Absätze 33 bis 37.</w:t>
      </w:r>
    </w:p>
  </w:footnote>
  <w:footnote w:id="7">
    <w:p w14:paraId="61931880" w14:textId="26311A85" w:rsidR="007F77A7" w:rsidRPr="00744401" w:rsidRDefault="007F77A7" w:rsidP="007F77A7">
      <w:pPr>
        <w:pStyle w:val="FootnoteText"/>
      </w:pPr>
      <w:r w:rsidRPr="00744401">
        <w:rPr>
          <w:rStyle w:val="FootnoteReference"/>
        </w:rPr>
        <w:footnoteRef/>
      </w:r>
      <w:r w:rsidRPr="00744401">
        <w:t xml:space="preserve"> </w:t>
      </w:r>
      <w:r w:rsidRPr="00744401">
        <w:t xml:space="preserve">TWF, </w:t>
      </w:r>
      <w:r w:rsidRPr="00744401">
        <w:t xml:space="preserve">sechsundfünfzigste Tagung, abgehalten in Bursa, Türkiye, von 23. bis 26. Juni 2025. </w:t>
      </w:r>
      <w:r>
        <w:t>Vgl.</w:t>
      </w:r>
      <w:r w:rsidRPr="00744401">
        <w:t xml:space="preserve"> Dokument TWF/56/3 </w:t>
      </w:r>
      <w:r>
        <w:t>„</w:t>
      </w:r>
      <w:r w:rsidRPr="00BE0876">
        <w:rPr>
          <w:i/>
          <w:iCs/>
        </w:rPr>
        <w:t>Report</w:t>
      </w:r>
      <w:r w:rsidR="001961BB">
        <w:rPr>
          <w:i/>
          <w:iCs/>
        </w:rPr>
        <w:t>”</w:t>
      </w:r>
      <w:r w:rsidRPr="00744401">
        <w:t>, Absätze</w:t>
      </w:r>
      <w:r>
        <w:t> </w:t>
      </w:r>
      <w:r w:rsidRPr="00744401">
        <w:t>10 bis 19.</w:t>
      </w:r>
    </w:p>
  </w:footnote>
  <w:footnote w:id="8">
    <w:p w14:paraId="631FDEE8" w14:textId="71A2594B" w:rsidR="007F77A7" w:rsidRPr="00744401" w:rsidRDefault="007F77A7" w:rsidP="007F77A7">
      <w:pPr>
        <w:pStyle w:val="FootnoteText"/>
        <w:rPr>
          <w:lang w:eastAsia="zh-CN"/>
        </w:rPr>
      </w:pPr>
      <w:r w:rsidRPr="00744401">
        <w:rPr>
          <w:rStyle w:val="FootnoteReference"/>
        </w:rPr>
        <w:footnoteRef/>
      </w:r>
      <w:r w:rsidRPr="00744401">
        <w:t xml:space="preserve"> </w:t>
      </w:r>
      <w:r w:rsidRPr="00744401">
        <w:t>T</w:t>
      </w:r>
      <w:r w:rsidRPr="00744401">
        <w:rPr>
          <w:lang w:eastAsia="zh-CN"/>
        </w:rPr>
        <w:t>C</w:t>
      </w:r>
      <w:r w:rsidRPr="00744401">
        <w:t xml:space="preserve">, </w:t>
      </w:r>
      <w:r w:rsidRPr="00744401">
        <w:rPr>
          <w:lang w:eastAsia="zh-CN"/>
        </w:rPr>
        <w:t xml:space="preserve">einundsechzigste Tagung, abgehalten in Genf vom 20. bis 21. Oktober 2025. </w:t>
      </w:r>
      <w:r>
        <w:rPr>
          <w:lang w:eastAsia="zh-CN"/>
        </w:rPr>
        <w:t>Vgl.</w:t>
      </w:r>
      <w:r w:rsidRPr="00744401">
        <w:rPr>
          <w:lang w:eastAsia="zh-CN"/>
        </w:rPr>
        <w:t xml:space="preserve"> Dok</w:t>
      </w:r>
      <w:r w:rsidRPr="00744401">
        <w:t xml:space="preserve">ument </w:t>
      </w:r>
      <w:r w:rsidRPr="00744401">
        <w:rPr>
          <w:lang w:eastAsia="zh-CN"/>
        </w:rPr>
        <w:t>T</w:t>
      </w:r>
      <w:r w:rsidRPr="00744401">
        <w:t>C/</w:t>
      </w:r>
      <w:r w:rsidRPr="00744401">
        <w:rPr>
          <w:lang w:eastAsia="zh-CN"/>
        </w:rPr>
        <w:t>6</w:t>
      </w:r>
      <w:r w:rsidRPr="00744401">
        <w:t>1/</w:t>
      </w:r>
      <w:r w:rsidRPr="00744401">
        <w:rPr>
          <w:lang w:eastAsia="zh-CN"/>
        </w:rPr>
        <w:t>8</w:t>
      </w:r>
      <w:r w:rsidRPr="00744401">
        <w:t xml:space="preserve"> </w:t>
      </w:r>
      <w:r>
        <w:t>„Bericht</w:t>
      </w:r>
      <w:r w:rsidR="001961BB">
        <w:t>”</w:t>
      </w:r>
      <w:r w:rsidRPr="00744401">
        <w:t xml:space="preserve">, Absätze </w:t>
      </w:r>
      <w:r w:rsidRPr="00744401">
        <w:rPr>
          <w:lang w:eastAsia="zh-CN"/>
        </w:rPr>
        <w:t>23 bis 25.</w:t>
      </w:r>
    </w:p>
  </w:footnote>
  <w:footnote w:id="9">
    <w:p w14:paraId="7AFF6772" w14:textId="05B72815" w:rsidR="00793B6D" w:rsidRPr="00744401" w:rsidRDefault="00793B6D" w:rsidP="00793B6D">
      <w:pPr>
        <w:pStyle w:val="FootnoteText"/>
      </w:pPr>
      <w:r w:rsidRPr="00744401">
        <w:rPr>
          <w:rStyle w:val="FootnoteReference"/>
        </w:rPr>
        <w:footnoteRef/>
      </w:r>
      <w:r w:rsidRPr="00744401">
        <w:t xml:space="preserve"> </w:t>
      </w:r>
      <w:r w:rsidRPr="00744401">
        <w:t xml:space="preserve">TWV, </w:t>
      </w:r>
      <w:r w:rsidRPr="00744401">
        <w:t>sechzigste Tagung, abgehalten in Pacific Grove, Kalifornien, Vereinig</w:t>
      </w:r>
      <w:r>
        <w:t>t</w:t>
      </w:r>
      <w:r w:rsidRPr="00744401">
        <w:t xml:space="preserve">e Staaten von Amerika, vom 18. bis 21. Mai 2026. </w:t>
      </w:r>
      <w:r>
        <w:t>Vgl. </w:t>
      </w:r>
      <w:r w:rsidRPr="00744401">
        <w:t xml:space="preserve">Dokument TWV/60/8 </w:t>
      </w:r>
      <w:r>
        <w:t>„</w:t>
      </w:r>
      <w:r w:rsidRPr="00BE0876">
        <w:rPr>
          <w:i/>
          <w:iCs/>
        </w:rPr>
        <w:t>Report</w:t>
      </w:r>
      <w:r w:rsidR="001961BB">
        <w:rPr>
          <w:i/>
          <w:iCs/>
        </w:rPr>
        <w:t>”</w:t>
      </w:r>
      <w:r w:rsidRPr="00744401">
        <w:t>, Absätze 8 bis 10</w:t>
      </w:r>
      <w:r>
        <w:t>.</w:t>
      </w:r>
    </w:p>
  </w:footnote>
  <w:footnote w:id="10">
    <w:p w14:paraId="3330894F" w14:textId="56EC1FA7" w:rsidR="00793B6D" w:rsidRPr="00653BDA" w:rsidRDefault="00793B6D" w:rsidP="00793B6D">
      <w:pPr>
        <w:pStyle w:val="FootnoteText"/>
      </w:pPr>
      <w:r w:rsidRPr="00744401">
        <w:rPr>
          <w:rStyle w:val="FootnoteReference"/>
        </w:rPr>
        <w:footnoteRef/>
      </w:r>
      <w:r w:rsidRPr="00744401">
        <w:t xml:space="preserve"> </w:t>
      </w:r>
      <w:r w:rsidRPr="00744401">
        <w:t xml:space="preserve">TWO, achtundfünfzigste Tagung, abgehalten auf elektronischem Wege vom 6. bis 9. Juli 2026. </w:t>
      </w:r>
      <w:r>
        <w:t>Vgl.</w:t>
      </w:r>
      <w:r w:rsidRPr="00744401">
        <w:t xml:space="preserve"> Dokument TWO/58/8 </w:t>
      </w:r>
      <w:r>
        <w:t>„</w:t>
      </w:r>
      <w:r w:rsidRPr="00BE0876">
        <w:rPr>
          <w:i/>
          <w:iCs/>
        </w:rPr>
        <w:t>Report</w:t>
      </w:r>
      <w:r w:rsidR="001961BB">
        <w:rPr>
          <w:i/>
          <w:iCs/>
        </w:rPr>
        <w:t>”</w:t>
      </w:r>
      <w:r w:rsidRPr="00744401">
        <w:t>, Absätze 6 bis 8.</w:t>
      </w:r>
    </w:p>
  </w:footnote>
  <w:footnote w:id="11">
    <w:p w14:paraId="68107024" w14:textId="4C0DB104" w:rsidR="00793B6D" w:rsidRPr="00537F09" w:rsidRDefault="00793B6D" w:rsidP="00793B6D">
      <w:pPr>
        <w:pStyle w:val="FootnoteText"/>
      </w:pPr>
      <w:r w:rsidRPr="00537F09">
        <w:rPr>
          <w:rStyle w:val="FootnoteReference"/>
        </w:rPr>
        <w:footnoteRef/>
      </w:r>
      <w:r w:rsidRPr="00537F09">
        <w:t xml:space="preserve"> </w:t>
      </w:r>
      <w:r w:rsidRPr="00537F09">
        <w:t xml:space="preserve">TWA, </w:t>
      </w:r>
      <w:r w:rsidRPr="00537F09">
        <w:t xml:space="preserve">fünfundfünfzigste Tagung, abgehalten in Seoul, Republik Korea, vom 15. bis 18. Juni 2026. Vgl. Dokument TWA/55/11 </w:t>
      </w:r>
      <w:r>
        <w:t>„</w:t>
      </w:r>
      <w:r w:rsidRPr="00BE0876">
        <w:rPr>
          <w:i/>
          <w:iCs/>
        </w:rPr>
        <w:t>Report</w:t>
      </w:r>
      <w:r w:rsidR="001961BB">
        <w:rPr>
          <w:i/>
          <w:iCs/>
        </w:rPr>
        <w:t>”</w:t>
      </w:r>
      <w:r w:rsidRPr="00537F09">
        <w:t>, Absätze 7 bis 9</w:t>
      </w:r>
      <w:r>
        <w:t>.</w:t>
      </w:r>
    </w:p>
  </w:footnote>
  <w:footnote w:id="12">
    <w:p w14:paraId="30D793A7" w14:textId="513A3ABE" w:rsidR="00EF4263" w:rsidRPr="00C70350" w:rsidRDefault="00EF4263">
      <w:pPr>
        <w:pStyle w:val="FootnoteText"/>
      </w:pPr>
      <w:r w:rsidRPr="00C70350">
        <w:rPr>
          <w:rStyle w:val="FootnoteReference"/>
        </w:rPr>
        <w:footnoteRef/>
      </w:r>
      <w:r w:rsidRPr="00C70350">
        <w:t xml:space="preserve"> </w:t>
      </w:r>
      <w:r w:rsidRPr="00C70350">
        <w:t>TWF, siebenundfünfzigste Tagung, abgehalten in Leipzig, Deutschland, vom 7. bis 10. September 2026. Vgl. Dokument TWF/57/7 „Bericht</w:t>
      </w:r>
      <w:r w:rsidR="001961BB">
        <w:t>”</w:t>
      </w:r>
      <w:r w:rsidRPr="00C70350">
        <w:t>, Absätze 6 bis 10.</w:t>
      </w:r>
    </w:p>
  </w:footnote>
  <w:footnote w:id="13">
    <w:p w14:paraId="24155CCC" w14:textId="51EBD3D8" w:rsidR="00F05450" w:rsidRPr="00C70350" w:rsidRDefault="00F05450" w:rsidP="005A35E2">
      <w:pPr>
        <w:pStyle w:val="FootnoteText"/>
        <w:rPr>
          <w:lang w:eastAsia="zh-CN"/>
        </w:rPr>
      </w:pPr>
      <w:r w:rsidRPr="00C70350">
        <w:rPr>
          <w:rStyle w:val="FootnoteReference"/>
        </w:rPr>
        <w:footnoteRef/>
      </w:r>
      <w:r w:rsidRPr="00C70350">
        <w:t xml:space="preserve"> </w:t>
      </w:r>
      <w:r w:rsidRPr="00C70350">
        <w:t xml:space="preserve">TWV, </w:t>
      </w:r>
      <w:r w:rsidRPr="00C70350">
        <w:rPr>
          <w:lang w:eastAsia="zh-CN"/>
        </w:rPr>
        <w:t>sechzigste Tagung, vergleiche Dokument</w:t>
      </w:r>
      <w:r w:rsidRPr="00C70350">
        <w:t xml:space="preserve"> TWV/</w:t>
      </w:r>
      <w:r w:rsidRPr="00C70350">
        <w:rPr>
          <w:rFonts w:hint="eastAsia"/>
          <w:lang w:eastAsia="zh-CN"/>
        </w:rPr>
        <w:t>60</w:t>
      </w:r>
      <w:r w:rsidRPr="00C70350">
        <w:t>/</w:t>
      </w:r>
      <w:r w:rsidRPr="00C70350">
        <w:rPr>
          <w:rFonts w:hint="eastAsia"/>
          <w:lang w:eastAsia="zh-CN"/>
        </w:rPr>
        <w:t>8</w:t>
      </w:r>
      <w:r w:rsidRPr="00C70350">
        <w:t xml:space="preserve"> </w:t>
      </w:r>
      <w:r w:rsidR="001961BB">
        <w:t>“</w:t>
      </w:r>
      <w:r w:rsidRPr="00C70350">
        <w:t>Bericht</w:t>
      </w:r>
      <w:r w:rsidR="001961BB">
        <w:t>”</w:t>
      </w:r>
      <w:r w:rsidRPr="00C70350">
        <w:t xml:space="preserve">, Absätze </w:t>
      </w:r>
      <w:r w:rsidRPr="00C70350">
        <w:rPr>
          <w:rFonts w:hint="eastAsia"/>
          <w:lang w:eastAsia="zh-CN"/>
        </w:rPr>
        <w:t>34</w:t>
      </w:r>
      <w:r w:rsidRPr="00C70350">
        <w:t xml:space="preserve"> bis </w:t>
      </w:r>
      <w:r w:rsidRPr="00C70350">
        <w:rPr>
          <w:rFonts w:hint="eastAsia"/>
          <w:lang w:eastAsia="zh-CN"/>
        </w:rPr>
        <w:t>36</w:t>
      </w:r>
    </w:p>
  </w:footnote>
  <w:footnote w:id="14">
    <w:p w14:paraId="6295CBE2" w14:textId="222E5B77" w:rsidR="00F05450" w:rsidRPr="00C70350" w:rsidRDefault="00F05450" w:rsidP="005A35E2">
      <w:pPr>
        <w:pStyle w:val="FootnoteText"/>
      </w:pPr>
      <w:r w:rsidRPr="00C70350">
        <w:rPr>
          <w:rStyle w:val="FootnoteReference"/>
        </w:rPr>
        <w:footnoteRef/>
      </w:r>
      <w:r w:rsidRPr="00C70350">
        <w:t xml:space="preserve"> </w:t>
      </w:r>
      <w:r w:rsidRPr="00C70350">
        <w:t>T</w:t>
      </w:r>
      <w:r w:rsidRPr="00C70350">
        <w:rPr>
          <w:lang w:eastAsia="ja-JP"/>
        </w:rPr>
        <w:t>C</w:t>
      </w:r>
      <w:r w:rsidRPr="00C70350">
        <w:t xml:space="preserve">, einundsechzigste Tagung, abgehalten in Genf am </w:t>
      </w:r>
      <w:r w:rsidRPr="00C70350">
        <w:rPr>
          <w:lang w:eastAsia="ja-JP"/>
        </w:rPr>
        <w:t>20</w:t>
      </w:r>
      <w:r w:rsidRPr="00C70350">
        <w:t xml:space="preserve"> und </w:t>
      </w:r>
      <w:r w:rsidRPr="00C70350">
        <w:rPr>
          <w:lang w:eastAsia="ja-JP"/>
        </w:rPr>
        <w:t>21</w:t>
      </w:r>
      <w:r w:rsidRPr="00C70350">
        <w:t xml:space="preserve"> Oktober 202</w:t>
      </w:r>
      <w:r w:rsidRPr="00C70350">
        <w:rPr>
          <w:lang w:eastAsia="ja-JP"/>
        </w:rPr>
        <w:t>5</w:t>
      </w:r>
      <w:r w:rsidRPr="00C70350">
        <w:t>. Vgl. Dokume</w:t>
      </w:r>
      <w:r w:rsidRPr="00C70350">
        <w:rPr>
          <w:lang w:eastAsia="ja-JP"/>
        </w:rPr>
        <w:t xml:space="preserve">nt TC/61/8 </w:t>
      </w:r>
      <w:r w:rsidR="001961BB">
        <w:rPr>
          <w:lang w:eastAsia="ja-JP"/>
        </w:rPr>
        <w:t>“</w:t>
      </w:r>
      <w:r w:rsidRPr="00C70350">
        <w:rPr>
          <w:lang w:eastAsia="ja-JP"/>
        </w:rPr>
        <w:t>Bericht</w:t>
      </w:r>
      <w:r w:rsidR="001961BB">
        <w:rPr>
          <w:lang w:eastAsia="ja-JP"/>
        </w:rPr>
        <w:t>”</w:t>
      </w:r>
      <w:r w:rsidRPr="00C70350">
        <w:rPr>
          <w:lang w:eastAsia="ja-JP"/>
        </w:rPr>
        <w:t>, Absätze 54 bis 56</w:t>
      </w:r>
    </w:p>
  </w:footnote>
  <w:footnote w:id="15">
    <w:p w14:paraId="27BB8BC6" w14:textId="77777777" w:rsidR="00F05450" w:rsidRPr="00C70350" w:rsidRDefault="00F05450" w:rsidP="005A35E2">
      <w:pPr>
        <w:pStyle w:val="FootnoteText"/>
      </w:pPr>
      <w:r w:rsidRPr="00C70350">
        <w:rPr>
          <w:rStyle w:val="FootnoteReference"/>
        </w:rPr>
        <w:footnoteRef/>
      </w:r>
      <w:r w:rsidRPr="00C70350">
        <w:t xml:space="preserve"> </w:t>
      </w:r>
      <w:r w:rsidRPr="00C70350">
        <w:tab/>
      </w:r>
      <w:r w:rsidRPr="00C70350">
        <w:t xml:space="preserve">TWF, </w:t>
      </w:r>
      <w:r w:rsidRPr="00C70350">
        <w:t>fünfundfünfzigste Tagung, abgehalten auf elektronischem Wege vom 3. bis 6. Juni 2024.</w:t>
      </w:r>
    </w:p>
  </w:footnote>
  <w:footnote w:id="16">
    <w:p w14:paraId="60EDE945" w14:textId="14C7253C" w:rsidR="00F05450" w:rsidRPr="00C70350" w:rsidRDefault="00F05450" w:rsidP="005A35E2">
      <w:pPr>
        <w:pStyle w:val="FootnoteText"/>
      </w:pPr>
      <w:r w:rsidRPr="00C70350">
        <w:rPr>
          <w:rStyle w:val="FootnoteReference"/>
        </w:rPr>
        <w:footnoteRef/>
      </w:r>
      <w:r w:rsidRPr="00C70350">
        <w:t xml:space="preserve"> </w:t>
      </w:r>
      <w:r w:rsidRPr="00C70350">
        <w:tab/>
      </w:r>
      <w:r w:rsidRPr="00C70350">
        <w:t xml:space="preserve">TWF, </w:t>
      </w:r>
      <w:r w:rsidR="00424C0F" w:rsidRPr="00C70350">
        <w:t>sechsundfünfzigste</w:t>
      </w:r>
      <w:r w:rsidRPr="00C70350">
        <w:t xml:space="preserve"> Tagung, abgehalten in Bursa, Türkiye, vom 23. bis 26. Juni 2025.</w:t>
      </w:r>
    </w:p>
  </w:footnote>
  <w:footnote w:id="17">
    <w:p w14:paraId="221ADAB4" w14:textId="3FD13DCF" w:rsidR="00F05450" w:rsidRPr="00C70350" w:rsidRDefault="00F05450" w:rsidP="005A35E2">
      <w:pPr>
        <w:pStyle w:val="FootnoteText"/>
      </w:pPr>
      <w:r w:rsidRPr="00C70350">
        <w:rPr>
          <w:rStyle w:val="FootnoteReference"/>
        </w:rPr>
        <w:footnoteRef/>
      </w:r>
      <w:r w:rsidRPr="00C70350">
        <w:t xml:space="preserve"> </w:t>
      </w:r>
      <w:r w:rsidRPr="00C70350">
        <w:t xml:space="preserve">TWV, </w:t>
      </w:r>
      <w:r w:rsidRPr="00C70350">
        <w:t>sechzigste Tagung, abgehalten in Pacific Grove, Kalifornien, Vereinigte Staaten von Amerika, vom 18. bis 21. Mai 2026. Vg</w:t>
      </w:r>
      <w:r w:rsidR="00A96D63">
        <w:t>l</w:t>
      </w:r>
      <w:r w:rsidRPr="00C70350">
        <w:t>.</w:t>
      </w:r>
      <w:r w:rsidR="00A96D63">
        <w:t> </w:t>
      </w:r>
      <w:r w:rsidRPr="00C70350">
        <w:t xml:space="preserve">Dokument TWV/60/8 </w:t>
      </w:r>
      <w:r w:rsidR="001961BB">
        <w:t>“</w:t>
      </w:r>
      <w:r w:rsidRPr="00C70350">
        <w:t>Bericht</w:t>
      </w:r>
      <w:r w:rsidR="001961BB">
        <w:t>”</w:t>
      </w:r>
      <w:r w:rsidRPr="00C70350">
        <w:t>, Absätze 8 bis 10</w:t>
      </w:r>
      <w:r w:rsidR="00A96D63">
        <w:t>.</w:t>
      </w:r>
    </w:p>
  </w:footnote>
  <w:footnote w:id="18">
    <w:p w14:paraId="7B44EEAC" w14:textId="593D0CE8" w:rsidR="00F05450" w:rsidRPr="00C70350" w:rsidRDefault="00F05450" w:rsidP="005A35E2">
      <w:pPr>
        <w:pStyle w:val="FootnoteText"/>
      </w:pPr>
      <w:r w:rsidRPr="00C70350">
        <w:rPr>
          <w:rStyle w:val="FootnoteReference"/>
        </w:rPr>
        <w:footnoteRef/>
      </w:r>
      <w:r w:rsidRPr="00C70350">
        <w:t xml:space="preserve"> </w:t>
      </w:r>
      <w:r w:rsidRPr="00C70350">
        <w:t xml:space="preserve">TWA, </w:t>
      </w:r>
      <w:r w:rsidRPr="00C70350">
        <w:t xml:space="preserve">fünfundfünfzigste Tagung, abgehalten in Seoul, Koreanische Republik, vom 15. bis 18. Juni 2026. Vgl. Dokument TWA/55/11 </w:t>
      </w:r>
      <w:r w:rsidR="001961BB">
        <w:t>“</w:t>
      </w:r>
      <w:r w:rsidRPr="00C70350">
        <w:t>Bericht</w:t>
      </w:r>
      <w:r w:rsidR="001961BB">
        <w:t>”</w:t>
      </w:r>
      <w:r w:rsidRPr="00C70350">
        <w:t>, Absätze 7 bis 9</w:t>
      </w:r>
      <w:r w:rsidR="00A96D63">
        <w:t>.</w:t>
      </w:r>
    </w:p>
  </w:footnote>
  <w:footnote w:id="19">
    <w:p w14:paraId="1E854109" w14:textId="43D448AA" w:rsidR="00F05450" w:rsidRPr="00C70350" w:rsidRDefault="00F05450" w:rsidP="005A35E2">
      <w:pPr>
        <w:pStyle w:val="FootnoteText"/>
      </w:pPr>
      <w:r w:rsidRPr="00C70350">
        <w:rPr>
          <w:rStyle w:val="FootnoteReference"/>
        </w:rPr>
        <w:footnoteRef/>
      </w:r>
      <w:r w:rsidRPr="00C70350">
        <w:t xml:space="preserve"> </w:t>
      </w:r>
      <w:r w:rsidRPr="00C70350">
        <w:t xml:space="preserve">TWO, </w:t>
      </w:r>
      <w:r w:rsidRPr="00C70350">
        <w:t xml:space="preserve">achtundfünfzigste Tagung, auf elektronischem Wege abgehalten, vom 6. bis 9. Juli 2026. Vgl. Dokument TWO/58/8 </w:t>
      </w:r>
      <w:r w:rsidR="001961BB">
        <w:t>“</w:t>
      </w:r>
      <w:r w:rsidRPr="00C70350">
        <w:t>Bericht</w:t>
      </w:r>
      <w:r w:rsidR="001961BB">
        <w:t>”</w:t>
      </w:r>
      <w:r w:rsidRPr="00C70350">
        <w:t>, Absätze 6 bis 8.</w:t>
      </w:r>
    </w:p>
  </w:footnote>
  <w:footnote w:id="20">
    <w:p w14:paraId="5D50C749" w14:textId="5BA0C978" w:rsidR="00333DEC" w:rsidRDefault="00333DEC">
      <w:pPr>
        <w:pStyle w:val="FootnoteText"/>
      </w:pPr>
      <w:r w:rsidRPr="00C70350">
        <w:rPr>
          <w:rStyle w:val="FootnoteReference"/>
        </w:rPr>
        <w:footnoteRef/>
      </w:r>
      <w:r w:rsidRPr="00C70350">
        <w:t xml:space="preserve"> </w:t>
      </w:r>
      <w:r w:rsidRPr="00C70350">
        <w:t xml:space="preserve">TWF, </w:t>
      </w:r>
      <w:r w:rsidRPr="00C70350">
        <w:t>siebenundfünfzigste Sitzung</w:t>
      </w:r>
      <w:r w:rsidR="0029097D" w:rsidRPr="00C70350">
        <w:t xml:space="preserve">, abgehalten in Leipzig, Deutschland, vom 7. </w:t>
      </w:r>
      <w:r w:rsidR="002A0C2E" w:rsidRPr="00C70350">
        <w:t>b</w:t>
      </w:r>
      <w:r w:rsidR="0029097D" w:rsidRPr="00C70350">
        <w:t>is</w:t>
      </w:r>
      <w:r w:rsidR="002A0C2E" w:rsidRPr="00C70350">
        <w:t xml:space="preserve"> 10. September 2026. Vgl. Dokument</w:t>
      </w:r>
      <w:r w:rsidR="00B57B05" w:rsidRPr="00C70350">
        <w:t xml:space="preserve"> TWF/57/7 „Bericht</w:t>
      </w:r>
      <w:r w:rsidR="001961BB">
        <w:t>”</w:t>
      </w:r>
      <w:r w:rsidR="00B57B05" w:rsidRPr="00C70350">
        <w:t xml:space="preserve">, Absätze </w:t>
      </w:r>
      <w:r w:rsidR="00157BCB" w:rsidRPr="00C70350">
        <w:t>6 bis 10.</w:t>
      </w:r>
      <w:r w:rsidR="0029097D" w:rsidRPr="00C70350">
        <w:t xml:space="preserve"> </w:t>
      </w:r>
    </w:p>
  </w:footnote>
  <w:footnote w:id="21">
    <w:p w14:paraId="5E6BC128" w14:textId="3BCE5C60" w:rsidR="004C3DE4" w:rsidRDefault="004C3DE4" w:rsidP="004C3DE4">
      <w:pPr>
        <w:pStyle w:val="FootnoteText"/>
      </w:pPr>
      <w:r>
        <w:rPr>
          <w:rStyle w:val="FootnoteReference"/>
        </w:rPr>
        <w:footnoteRef/>
      </w:r>
      <w:r>
        <w:t xml:space="preserve"> </w:t>
      </w:r>
      <w:r w:rsidRPr="00C70350">
        <w:t>TWF, siebenundfünfzigste Sitzung, abgehalten in Leipzig, Deutschland, vom 7. bis 10. September 2026. Vgl. Dokument TWF/57/7 „Bericht</w:t>
      </w:r>
      <w:r>
        <w:t>”</w:t>
      </w:r>
      <w:r w:rsidRPr="00C70350">
        <w:t>, Absätze 6 bis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B62E" w14:textId="71E05288" w:rsidR="00F05450" w:rsidRPr="0084076A" w:rsidRDefault="00F05450">
    <w:pPr>
      <w:pStyle w:val="Header"/>
    </w:pPr>
    <w:r w:rsidRPr="00CE0649">
      <w:t>SESSIONS/2026/</w:t>
    </w:r>
    <w:r w:rsidRPr="0084076A">
      <w:t>2</w:t>
    </w:r>
    <w:r w:rsidR="00FC075B" w:rsidRPr="0084076A">
      <w:t xml:space="preserve"> Rev.</w:t>
    </w:r>
  </w:p>
  <w:p w14:paraId="5D860097" w14:textId="5D53A462" w:rsidR="00F05450" w:rsidRPr="0084076A" w:rsidRDefault="00417BC8" w:rsidP="001430DE">
    <w:pPr>
      <w:jc w:val="center"/>
      <w:rPr>
        <w:rFonts w:cs="Arial"/>
      </w:rPr>
    </w:pPr>
    <w:r w:rsidRPr="00C70350">
      <w:rPr>
        <w:rFonts w:cs="Arial"/>
      </w:rPr>
      <w:t xml:space="preserve">Seite </w:t>
    </w:r>
    <w:r w:rsidR="00F05450" w:rsidRPr="0084076A">
      <w:rPr>
        <w:rFonts w:cs="Arial"/>
      </w:rPr>
      <w:fldChar w:fldCharType="begin"/>
    </w:r>
    <w:r w:rsidR="00F05450" w:rsidRPr="00C70350">
      <w:rPr>
        <w:rFonts w:cs="Arial"/>
      </w:rPr>
      <w:instrText xml:space="preserve"> PAGE   \* MERGEFORMAT </w:instrText>
    </w:r>
    <w:r w:rsidR="00F05450" w:rsidRPr="0084076A">
      <w:rPr>
        <w:rFonts w:cs="Arial"/>
      </w:rPr>
      <w:fldChar w:fldCharType="separate"/>
    </w:r>
    <w:r w:rsidR="00F05450" w:rsidRPr="00C70350">
      <w:rPr>
        <w:rFonts w:cs="Arial"/>
      </w:rPr>
      <w:t>2</w:t>
    </w:r>
    <w:r w:rsidR="00F05450" w:rsidRPr="0084076A">
      <w:rPr>
        <w:rFonts w:cs="Arial"/>
      </w:rPr>
      <w:fldChar w:fldCharType="end"/>
    </w:r>
  </w:p>
  <w:p w14:paraId="78D180B0" w14:textId="77777777" w:rsidR="00F05450" w:rsidRPr="00C70350" w:rsidRDefault="00F054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58C0" w14:textId="150D414C" w:rsidR="00182B99" w:rsidRPr="00C70350" w:rsidRDefault="006A47D7" w:rsidP="00EB048E">
    <w:pPr>
      <w:pStyle w:val="Header"/>
      <w:rPr>
        <w:rStyle w:val="PageNumber"/>
      </w:rPr>
    </w:pPr>
    <w:r w:rsidRPr="00C70350">
      <w:rPr>
        <w:rStyle w:val="PageNumber"/>
      </w:rPr>
      <w:t>SESSIONS</w:t>
    </w:r>
    <w:r w:rsidR="001304FE" w:rsidRPr="00C70350">
      <w:rPr>
        <w:rStyle w:val="PageNumber"/>
      </w:rPr>
      <w:t>/2026/</w:t>
    </w:r>
    <w:r w:rsidR="004F16F9">
      <w:rPr>
        <w:rStyle w:val="PageNumber"/>
      </w:rPr>
      <w:t>2 Rev.</w:t>
    </w:r>
  </w:p>
  <w:p w14:paraId="01248FE0" w14:textId="535CC672" w:rsidR="00182B99" w:rsidRPr="00C70350" w:rsidRDefault="004F16F9" w:rsidP="00EB048E">
    <w:pPr>
      <w:pStyle w:val="Header"/>
    </w:pPr>
    <w:r>
      <w:t xml:space="preserve">Anlage, </w:t>
    </w:r>
    <w:r w:rsidR="00202E38" w:rsidRPr="00C70350">
      <w:t>Seite</w:t>
    </w:r>
    <w:r w:rsidR="00182B99" w:rsidRPr="00C70350">
      <w:t xml:space="preserve"> </w:t>
    </w:r>
    <w:r w:rsidR="00182B99" w:rsidRPr="00C70350">
      <w:rPr>
        <w:rStyle w:val="PageNumber"/>
      </w:rPr>
      <w:fldChar w:fldCharType="begin"/>
    </w:r>
    <w:r w:rsidR="00182B99" w:rsidRPr="00C70350">
      <w:rPr>
        <w:rStyle w:val="PageNumber"/>
      </w:rPr>
      <w:instrText xml:space="preserve"> PAGE </w:instrText>
    </w:r>
    <w:r w:rsidR="00182B99" w:rsidRPr="00C70350">
      <w:rPr>
        <w:rStyle w:val="PageNumber"/>
      </w:rPr>
      <w:fldChar w:fldCharType="separate"/>
    </w:r>
    <w:r w:rsidR="00CD4838" w:rsidRPr="00CE0649">
      <w:rPr>
        <w:rStyle w:val="PageNumber"/>
      </w:rPr>
      <w:t>2</w:t>
    </w:r>
    <w:r w:rsidR="00182B99" w:rsidRPr="00C70350">
      <w:rPr>
        <w:rStyle w:val="PageNumber"/>
      </w:rPr>
      <w:fldChar w:fldCharType="end"/>
    </w:r>
  </w:p>
  <w:p w14:paraId="72B03AD8" w14:textId="77777777" w:rsidR="00182B99" w:rsidRPr="00C70350" w:rsidRDefault="00182B99"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2F7D" w14:textId="77777777" w:rsidR="0077424B" w:rsidRPr="0084076A" w:rsidRDefault="0077424B" w:rsidP="0077424B">
    <w:pPr>
      <w:pStyle w:val="Header"/>
    </w:pPr>
    <w:r w:rsidRPr="00CE0649">
      <w:t>SESSIONS/2026/</w:t>
    </w:r>
    <w:r w:rsidRPr="0084076A">
      <w:t>2 Rev.</w:t>
    </w:r>
  </w:p>
  <w:p w14:paraId="03344900" w14:textId="77777777" w:rsidR="0077424B" w:rsidRDefault="0077424B">
    <w:pPr>
      <w:pStyle w:val="Header"/>
    </w:pPr>
  </w:p>
  <w:p w14:paraId="2DED29F0" w14:textId="722DBAE1" w:rsidR="0077424B" w:rsidRDefault="0077424B">
    <w:pPr>
      <w:pStyle w:val="Header"/>
    </w:pPr>
    <w:r>
      <w:t>ANLAGE</w:t>
    </w:r>
  </w:p>
  <w:p w14:paraId="14F49DAF" w14:textId="77777777" w:rsidR="0077424B" w:rsidRDefault="00774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6CB5915"/>
    <w:multiLevelType w:val="hybridMultilevel"/>
    <w:tmpl w:val="FC34F094"/>
    <w:lvl w:ilvl="0" w:tplc="04070017">
      <w:start w:val="1"/>
      <w:numFmt w:val="lowerLetter"/>
      <w:lvlText w:val="%1)"/>
      <w:lvlJc w:val="left"/>
      <w:pPr>
        <w:ind w:left="5948" w:hanging="564"/>
      </w:pPr>
      <w:rPr>
        <w:rFonts w:hint="default"/>
      </w:rPr>
    </w:lvl>
    <w:lvl w:ilvl="1" w:tplc="04070019" w:tentative="1">
      <w:start w:val="1"/>
      <w:numFmt w:val="lowerLetter"/>
      <w:lvlText w:val="%2."/>
      <w:lvlJc w:val="left"/>
      <w:pPr>
        <w:ind w:left="6464" w:hanging="360"/>
      </w:pPr>
    </w:lvl>
    <w:lvl w:ilvl="2" w:tplc="0407001B" w:tentative="1">
      <w:start w:val="1"/>
      <w:numFmt w:val="lowerRoman"/>
      <w:lvlText w:val="%3."/>
      <w:lvlJc w:val="right"/>
      <w:pPr>
        <w:ind w:left="7184" w:hanging="180"/>
      </w:pPr>
    </w:lvl>
    <w:lvl w:ilvl="3" w:tplc="0407000F" w:tentative="1">
      <w:start w:val="1"/>
      <w:numFmt w:val="decimal"/>
      <w:lvlText w:val="%4."/>
      <w:lvlJc w:val="left"/>
      <w:pPr>
        <w:ind w:left="7904" w:hanging="360"/>
      </w:pPr>
    </w:lvl>
    <w:lvl w:ilvl="4" w:tplc="04070019" w:tentative="1">
      <w:start w:val="1"/>
      <w:numFmt w:val="lowerLetter"/>
      <w:lvlText w:val="%5."/>
      <w:lvlJc w:val="left"/>
      <w:pPr>
        <w:ind w:left="8624" w:hanging="360"/>
      </w:pPr>
    </w:lvl>
    <w:lvl w:ilvl="5" w:tplc="0407001B" w:tentative="1">
      <w:start w:val="1"/>
      <w:numFmt w:val="lowerRoman"/>
      <w:lvlText w:val="%6."/>
      <w:lvlJc w:val="right"/>
      <w:pPr>
        <w:ind w:left="9344" w:hanging="180"/>
      </w:pPr>
    </w:lvl>
    <w:lvl w:ilvl="6" w:tplc="0407000F" w:tentative="1">
      <w:start w:val="1"/>
      <w:numFmt w:val="decimal"/>
      <w:lvlText w:val="%7."/>
      <w:lvlJc w:val="left"/>
      <w:pPr>
        <w:ind w:left="10064" w:hanging="360"/>
      </w:pPr>
    </w:lvl>
    <w:lvl w:ilvl="7" w:tplc="04070019" w:tentative="1">
      <w:start w:val="1"/>
      <w:numFmt w:val="lowerLetter"/>
      <w:lvlText w:val="%8."/>
      <w:lvlJc w:val="left"/>
      <w:pPr>
        <w:ind w:left="10784" w:hanging="360"/>
      </w:pPr>
    </w:lvl>
    <w:lvl w:ilvl="8" w:tplc="0407001B" w:tentative="1">
      <w:start w:val="1"/>
      <w:numFmt w:val="lowerRoman"/>
      <w:lvlText w:val="%9."/>
      <w:lvlJc w:val="right"/>
      <w:pPr>
        <w:ind w:left="11504" w:hanging="180"/>
      </w:pPr>
    </w:lvl>
  </w:abstractNum>
  <w:abstractNum w:abstractNumId="2" w15:restartNumberingAfterBreak="0">
    <w:nsid w:val="10C9207E"/>
    <w:multiLevelType w:val="hybridMultilevel"/>
    <w:tmpl w:val="52D421D0"/>
    <w:lvl w:ilvl="0" w:tplc="4B14BFDE">
      <w:start w:val="1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3E311B4B"/>
    <w:multiLevelType w:val="hybridMultilevel"/>
    <w:tmpl w:val="FFB8EBC6"/>
    <w:lvl w:ilvl="0" w:tplc="4184E42C">
      <w:start w:val="1"/>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6"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7FF32C1"/>
    <w:multiLevelType w:val="hybridMultilevel"/>
    <w:tmpl w:val="B1548CD0"/>
    <w:lvl w:ilvl="0" w:tplc="7A8E1F30">
      <w:start w:val="18"/>
      <w:numFmt w:val="decimal"/>
      <w:lvlText w:val="%1."/>
      <w:lvlJc w:val="left"/>
      <w:pPr>
        <w:ind w:left="5540" w:hanging="360"/>
      </w:pPr>
      <w:rPr>
        <w:rFonts w:hint="default"/>
      </w:rPr>
    </w:lvl>
    <w:lvl w:ilvl="1" w:tplc="04070019" w:tentative="1">
      <w:start w:val="1"/>
      <w:numFmt w:val="lowerLetter"/>
      <w:lvlText w:val="%2."/>
      <w:lvlJc w:val="left"/>
      <w:pPr>
        <w:ind w:left="6260" w:hanging="360"/>
      </w:pPr>
    </w:lvl>
    <w:lvl w:ilvl="2" w:tplc="0407001B" w:tentative="1">
      <w:start w:val="1"/>
      <w:numFmt w:val="lowerRoman"/>
      <w:lvlText w:val="%3."/>
      <w:lvlJc w:val="right"/>
      <w:pPr>
        <w:ind w:left="6980" w:hanging="180"/>
      </w:pPr>
    </w:lvl>
    <w:lvl w:ilvl="3" w:tplc="0407000F" w:tentative="1">
      <w:start w:val="1"/>
      <w:numFmt w:val="decimal"/>
      <w:lvlText w:val="%4."/>
      <w:lvlJc w:val="left"/>
      <w:pPr>
        <w:ind w:left="7700" w:hanging="360"/>
      </w:pPr>
    </w:lvl>
    <w:lvl w:ilvl="4" w:tplc="04070019" w:tentative="1">
      <w:start w:val="1"/>
      <w:numFmt w:val="lowerLetter"/>
      <w:lvlText w:val="%5."/>
      <w:lvlJc w:val="left"/>
      <w:pPr>
        <w:ind w:left="8420" w:hanging="360"/>
      </w:pPr>
    </w:lvl>
    <w:lvl w:ilvl="5" w:tplc="0407001B" w:tentative="1">
      <w:start w:val="1"/>
      <w:numFmt w:val="lowerRoman"/>
      <w:lvlText w:val="%6."/>
      <w:lvlJc w:val="right"/>
      <w:pPr>
        <w:ind w:left="9140" w:hanging="180"/>
      </w:pPr>
    </w:lvl>
    <w:lvl w:ilvl="6" w:tplc="0407000F" w:tentative="1">
      <w:start w:val="1"/>
      <w:numFmt w:val="decimal"/>
      <w:lvlText w:val="%7."/>
      <w:lvlJc w:val="left"/>
      <w:pPr>
        <w:ind w:left="9860" w:hanging="360"/>
      </w:pPr>
    </w:lvl>
    <w:lvl w:ilvl="7" w:tplc="04070019" w:tentative="1">
      <w:start w:val="1"/>
      <w:numFmt w:val="lowerLetter"/>
      <w:lvlText w:val="%8."/>
      <w:lvlJc w:val="left"/>
      <w:pPr>
        <w:ind w:left="10580" w:hanging="360"/>
      </w:pPr>
    </w:lvl>
    <w:lvl w:ilvl="8" w:tplc="0407001B" w:tentative="1">
      <w:start w:val="1"/>
      <w:numFmt w:val="lowerRoman"/>
      <w:lvlText w:val="%9."/>
      <w:lvlJc w:val="right"/>
      <w:pPr>
        <w:ind w:left="11300" w:hanging="180"/>
      </w:pPr>
    </w:lvl>
  </w:abstractNum>
  <w:abstractNum w:abstractNumId="8"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9"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0" w15:restartNumberingAfterBreak="0">
    <w:nsid w:val="4B56553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4521C7F"/>
    <w:multiLevelType w:val="hybridMultilevel"/>
    <w:tmpl w:val="B90A33B0"/>
    <w:lvl w:ilvl="0" w:tplc="27343A64">
      <w:start w:val="4"/>
      <w:numFmt w:val="lowerRoman"/>
      <w:lvlText w:val="(%1)"/>
      <w:lvlJc w:val="left"/>
      <w:pPr>
        <w:ind w:left="1287"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C660AE7"/>
    <w:multiLevelType w:val="hybridMultilevel"/>
    <w:tmpl w:val="8E724B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5" w15:restartNumberingAfterBreak="0">
    <w:nsid w:val="65F6536B"/>
    <w:multiLevelType w:val="hybridMultilevel"/>
    <w:tmpl w:val="CA1C19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728453B"/>
    <w:multiLevelType w:val="hybridMultilevel"/>
    <w:tmpl w:val="B82AAA92"/>
    <w:lvl w:ilvl="0" w:tplc="60D40276">
      <w:start w:val="4"/>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7"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num w:numId="1" w16cid:durableId="330838976">
    <w:abstractNumId w:val="12"/>
  </w:num>
  <w:num w:numId="2" w16cid:durableId="285046296">
    <w:abstractNumId w:val="6"/>
  </w:num>
  <w:num w:numId="3" w16cid:durableId="532497506">
    <w:abstractNumId w:val="0"/>
  </w:num>
  <w:num w:numId="4" w16cid:durableId="146357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17"/>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4"/>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8"/>
  </w:num>
  <w:num w:numId="9" w16cid:durableId="1205950351">
    <w:abstractNumId w:val="1"/>
  </w:num>
  <w:num w:numId="10" w16cid:durableId="388840459">
    <w:abstractNumId w:val="5"/>
  </w:num>
  <w:num w:numId="11" w16cid:durableId="2046515703">
    <w:abstractNumId w:val="16"/>
  </w:num>
  <w:num w:numId="12" w16cid:durableId="394815097">
    <w:abstractNumId w:val="13"/>
  </w:num>
  <w:num w:numId="13" w16cid:durableId="750077330">
    <w:abstractNumId w:val="7"/>
  </w:num>
  <w:num w:numId="14" w16cid:durableId="158498680">
    <w:abstractNumId w:val="15"/>
  </w:num>
  <w:num w:numId="15" w16cid:durableId="254024231">
    <w:abstractNumId w:val="2"/>
  </w:num>
  <w:num w:numId="16" w16cid:durableId="828714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450"/>
    <w:rsid w:val="000012FA"/>
    <w:rsid w:val="000038B2"/>
    <w:rsid w:val="000053E6"/>
    <w:rsid w:val="00007FAE"/>
    <w:rsid w:val="00010CF3"/>
    <w:rsid w:val="00011E27"/>
    <w:rsid w:val="000148BC"/>
    <w:rsid w:val="00024AB8"/>
    <w:rsid w:val="00030854"/>
    <w:rsid w:val="00034942"/>
    <w:rsid w:val="00036028"/>
    <w:rsid w:val="000377BD"/>
    <w:rsid w:val="00044642"/>
    <w:rsid w:val="000446B9"/>
    <w:rsid w:val="00047E21"/>
    <w:rsid w:val="00050E16"/>
    <w:rsid w:val="000541A2"/>
    <w:rsid w:val="0006233A"/>
    <w:rsid w:val="00062C3F"/>
    <w:rsid w:val="000656D4"/>
    <w:rsid w:val="00073EF2"/>
    <w:rsid w:val="00085505"/>
    <w:rsid w:val="00085D21"/>
    <w:rsid w:val="00086E1D"/>
    <w:rsid w:val="000925C6"/>
    <w:rsid w:val="00093767"/>
    <w:rsid w:val="000A304D"/>
    <w:rsid w:val="000B117B"/>
    <w:rsid w:val="000B5898"/>
    <w:rsid w:val="000C4E25"/>
    <w:rsid w:val="000C7021"/>
    <w:rsid w:val="000D6BBC"/>
    <w:rsid w:val="000D7780"/>
    <w:rsid w:val="000E0311"/>
    <w:rsid w:val="000E2F77"/>
    <w:rsid w:val="000E4530"/>
    <w:rsid w:val="000E636A"/>
    <w:rsid w:val="000E6F66"/>
    <w:rsid w:val="000F0BAC"/>
    <w:rsid w:val="000F2F11"/>
    <w:rsid w:val="00105929"/>
    <w:rsid w:val="00110C36"/>
    <w:rsid w:val="001131D5"/>
    <w:rsid w:val="0012387E"/>
    <w:rsid w:val="00125C60"/>
    <w:rsid w:val="001304FE"/>
    <w:rsid w:val="0014016A"/>
    <w:rsid w:val="00141DB8"/>
    <w:rsid w:val="00150C43"/>
    <w:rsid w:val="00150EF4"/>
    <w:rsid w:val="00153312"/>
    <w:rsid w:val="00157BCB"/>
    <w:rsid w:val="00171E54"/>
    <w:rsid w:val="00172084"/>
    <w:rsid w:val="0017474A"/>
    <w:rsid w:val="001758C6"/>
    <w:rsid w:val="0018093C"/>
    <w:rsid w:val="001824E7"/>
    <w:rsid w:val="00182B99"/>
    <w:rsid w:val="001961BB"/>
    <w:rsid w:val="001A1299"/>
    <w:rsid w:val="001A13C5"/>
    <w:rsid w:val="001A4FC3"/>
    <w:rsid w:val="001A5180"/>
    <w:rsid w:val="001A5CE9"/>
    <w:rsid w:val="001B18CD"/>
    <w:rsid w:val="001C1357"/>
    <w:rsid w:val="001C61F1"/>
    <w:rsid w:val="001D2483"/>
    <w:rsid w:val="001D414F"/>
    <w:rsid w:val="00202E38"/>
    <w:rsid w:val="0021332C"/>
    <w:rsid w:val="00213982"/>
    <w:rsid w:val="002253EA"/>
    <w:rsid w:val="00227162"/>
    <w:rsid w:val="00243CEE"/>
    <w:rsid w:val="0024416D"/>
    <w:rsid w:val="002464A3"/>
    <w:rsid w:val="00246DAF"/>
    <w:rsid w:val="00247EF7"/>
    <w:rsid w:val="0026280F"/>
    <w:rsid w:val="00271911"/>
    <w:rsid w:val="002737F3"/>
    <w:rsid w:val="00276D69"/>
    <w:rsid w:val="0027784B"/>
    <w:rsid w:val="002800A0"/>
    <w:rsid w:val="002801B3"/>
    <w:rsid w:val="00281060"/>
    <w:rsid w:val="002855CD"/>
    <w:rsid w:val="00286C65"/>
    <w:rsid w:val="00290331"/>
    <w:rsid w:val="0029097D"/>
    <w:rsid w:val="002940E8"/>
    <w:rsid w:val="00294751"/>
    <w:rsid w:val="00294965"/>
    <w:rsid w:val="002974AD"/>
    <w:rsid w:val="00297F19"/>
    <w:rsid w:val="002A0AA0"/>
    <w:rsid w:val="002A0C2E"/>
    <w:rsid w:val="002A6E50"/>
    <w:rsid w:val="002B3559"/>
    <w:rsid w:val="002B4298"/>
    <w:rsid w:val="002B6063"/>
    <w:rsid w:val="002C0CFB"/>
    <w:rsid w:val="002C256A"/>
    <w:rsid w:val="002C4A24"/>
    <w:rsid w:val="002C775C"/>
    <w:rsid w:val="002D067A"/>
    <w:rsid w:val="002E2449"/>
    <w:rsid w:val="002F0745"/>
    <w:rsid w:val="00300EBF"/>
    <w:rsid w:val="00302C0C"/>
    <w:rsid w:val="00305A7F"/>
    <w:rsid w:val="003152FE"/>
    <w:rsid w:val="0032051B"/>
    <w:rsid w:val="003210E9"/>
    <w:rsid w:val="00327436"/>
    <w:rsid w:val="00331A5F"/>
    <w:rsid w:val="00333DEC"/>
    <w:rsid w:val="003359D6"/>
    <w:rsid w:val="00344BD6"/>
    <w:rsid w:val="003471CC"/>
    <w:rsid w:val="00347C3A"/>
    <w:rsid w:val="00352291"/>
    <w:rsid w:val="0035528D"/>
    <w:rsid w:val="0036078D"/>
    <w:rsid w:val="00361821"/>
    <w:rsid w:val="00361E9E"/>
    <w:rsid w:val="003668BE"/>
    <w:rsid w:val="00367E4C"/>
    <w:rsid w:val="00371283"/>
    <w:rsid w:val="003722AF"/>
    <w:rsid w:val="0037496D"/>
    <w:rsid w:val="003A592C"/>
    <w:rsid w:val="003B031A"/>
    <w:rsid w:val="003B10A7"/>
    <w:rsid w:val="003C7FBE"/>
    <w:rsid w:val="003D227C"/>
    <w:rsid w:val="003D2B4D"/>
    <w:rsid w:val="003D720D"/>
    <w:rsid w:val="003D74A5"/>
    <w:rsid w:val="003E0433"/>
    <w:rsid w:val="003E272A"/>
    <w:rsid w:val="003E2DF5"/>
    <w:rsid w:val="003E7A75"/>
    <w:rsid w:val="003F3246"/>
    <w:rsid w:val="003F6F07"/>
    <w:rsid w:val="00401AC5"/>
    <w:rsid w:val="0040557F"/>
    <w:rsid w:val="00417364"/>
    <w:rsid w:val="00417BC8"/>
    <w:rsid w:val="00420824"/>
    <w:rsid w:val="00424C0F"/>
    <w:rsid w:val="00437EBF"/>
    <w:rsid w:val="00441893"/>
    <w:rsid w:val="004421CB"/>
    <w:rsid w:val="00444600"/>
    <w:rsid w:val="00444A88"/>
    <w:rsid w:val="0045177E"/>
    <w:rsid w:val="00462049"/>
    <w:rsid w:val="00463BC7"/>
    <w:rsid w:val="004640BE"/>
    <w:rsid w:val="00470DD5"/>
    <w:rsid w:val="00474DA4"/>
    <w:rsid w:val="00476B4D"/>
    <w:rsid w:val="004805FA"/>
    <w:rsid w:val="004935D2"/>
    <w:rsid w:val="004B1215"/>
    <w:rsid w:val="004B2443"/>
    <w:rsid w:val="004B2771"/>
    <w:rsid w:val="004B52CB"/>
    <w:rsid w:val="004C3DE4"/>
    <w:rsid w:val="004D047D"/>
    <w:rsid w:val="004D24B5"/>
    <w:rsid w:val="004E5BE8"/>
    <w:rsid w:val="004F16F9"/>
    <w:rsid w:val="004F1E9E"/>
    <w:rsid w:val="004F292E"/>
    <w:rsid w:val="004F305A"/>
    <w:rsid w:val="00512164"/>
    <w:rsid w:val="00520297"/>
    <w:rsid w:val="00521C37"/>
    <w:rsid w:val="00525FD8"/>
    <w:rsid w:val="00526A1D"/>
    <w:rsid w:val="00533783"/>
    <w:rsid w:val="005338F9"/>
    <w:rsid w:val="0054281C"/>
    <w:rsid w:val="00544581"/>
    <w:rsid w:val="00545E42"/>
    <w:rsid w:val="0055268D"/>
    <w:rsid w:val="00555F3B"/>
    <w:rsid w:val="00571C81"/>
    <w:rsid w:val="00575D62"/>
    <w:rsid w:val="005769CA"/>
    <w:rsid w:val="00576BE4"/>
    <w:rsid w:val="00580A25"/>
    <w:rsid w:val="005877CB"/>
    <w:rsid w:val="00591895"/>
    <w:rsid w:val="005A35E2"/>
    <w:rsid w:val="005A400A"/>
    <w:rsid w:val="005B1E1B"/>
    <w:rsid w:val="005B21F9"/>
    <w:rsid w:val="005B6054"/>
    <w:rsid w:val="005E282B"/>
    <w:rsid w:val="005E46ED"/>
    <w:rsid w:val="005E56D4"/>
    <w:rsid w:val="005F7B92"/>
    <w:rsid w:val="006019B2"/>
    <w:rsid w:val="00606BAD"/>
    <w:rsid w:val="00612379"/>
    <w:rsid w:val="006153B6"/>
    <w:rsid w:val="0061555F"/>
    <w:rsid w:val="006157AD"/>
    <w:rsid w:val="006157DC"/>
    <w:rsid w:val="00615A9E"/>
    <w:rsid w:val="006311F9"/>
    <w:rsid w:val="006330B8"/>
    <w:rsid w:val="00634CED"/>
    <w:rsid w:val="00635504"/>
    <w:rsid w:val="00636CA6"/>
    <w:rsid w:val="00637587"/>
    <w:rsid w:val="00641200"/>
    <w:rsid w:val="006428FD"/>
    <w:rsid w:val="00643C60"/>
    <w:rsid w:val="00645CA8"/>
    <w:rsid w:val="00653BDA"/>
    <w:rsid w:val="006655D3"/>
    <w:rsid w:val="00667404"/>
    <w:rsid w:val="00680133"/>
    <w:rsid w:val="00685D83"/>
    <w:rsid w:val="00687EB4"/>
    <w:rsid w:val="00695C56"/>
    <w:rsid w:val="006A47D7"/>
    <w:rsid w:val="006A5CDE"/>
    <w:rsid w:val="006A644A"/>
    <w:rsid w:val="006B0418"/>
    <w:rsid w:val="006B17D2"/>
    <w:rsid w:val="006B395B"/>
    <w:rsid w:val="006B789F"/>
    <w:rsid w:val="006C1B49"/>
    <w:rsid w:val="006C224E"/>
    <w:rsid w:val="006D3607"/>
    <w:rsid w:val="006D4FAF"/>
    <w:rsid w:val="006D780A"/>
    <w:rsid w:val="006E2990"/>
    <w:rsid w:val="006E6528"/>
    <w:rsid w:val="006F2A7B"/>
    <w:rsid w:val="006F67A6"/>
    <w:rsid w:val="00704132"/>
    <w:rsid w:val="00707C0A"/>
    <w:rsid w:val="0071271E"/>
    <w:rsid w:val="00714435"/>
    <w:rsid w:val="00716902"/>
    <w:rsid w:val="0071715B"/>
    <w:rsid w:val="00717A58"/>
    <w:rsid w:val="0072303D"/>
    <w:rsid w:val="00724062"/>
    <w:rsid w:val="007246BA"/>
    <w:rsid w:val="007257D0"/>
    <w:rsid w:val="00732DEC"/>
    <w:rsid w:val="00735BD5"/>
    <w:rsid w:val="0075030F"/>
    <w:rsid w:val="00751613"/>
    <w:rsid w:val="007556F6"/>
    <w:rsid w:val="00760EEF"/>
    <w:rsid w:val="00764C03"/>
    <w:rsid w:val="0076547C"/>
    <w:rsid w:val="00771C44"/>
    <w:rsid w:val="0077424B"/>
    <w:rsid w:val="00777EE5"/>
    <w:rsid w:val="007800A4"/>
    <w:rsid w:val="00784836"/>
    <w:rsid w:val="0079023E"/>
    <w:rsid w:val="00793B6D"/>
    <w:rsid w:val="00795C62"/>
    <w:rsid w:val="007971FE"/>
    <w:rsid w:val="007A2480"/>
    <w:rsid w:val="007A2854"/>
    <w:rsid w:val="007B4FF1"/>
    <w:rsid w:val="007B5246"/>
    <w:rsid w:val="007C1D92"/>
    <w:rsid w:val="007C3341"/>
    <w:rsid w:val="007C4CB9"/>
    <w:rsid w:val="007D0B9D"/>
    <w:rsid w:val="007D19B0"/>
    <w:rsid w:val="007F498F"/>
    <w:rsid w:val="007F77A7"/>
    <w:rsid w:val="00803235"/>
    <w:rsid w:val="00803C19"/>
    <w:rsid w:val="0080679D"/>
    <w:rsid w:val="008108B0"/>
    <w:rsid w:val="00811059"/>
    <w:rsid w:val="00811B20"/>
    <w:rsid w:val="00813A15"/>
    <w:rsid w:val="008211B5"/>
    <w:rsid w:val="0082296E"/>
    <w:rsid w:val="00824099"/>
    <w:rsid w:val="0082535C"/>
    <w:rsid w:val="00833054"/>
    <w:rsid w:val="0083573F"/>
    <w:rsid w:val="00837568"/>
    <w:rsid w:val="0084076A"/>
    <w:rsid w:val="00840EB8"/>
    <w:rsid w:val="0084152C"/>
    <w:rsid w:val="00846344"/>
    <w:rsid w:val="00846D7C"/>
    <w:rsid w:val="00846F08"/>
    <w:rsid w:val="008507B2"/>
    <w:rsid w:val="008527B7"/>
    <w:rsid w:val="00856CE6"/>
    <w:rsid w:val="00863799"/>
    <w:rsid w:val="00864C55"/>
    <w:rsid w:val="00865FD2"/>
    <w:rsid w:val="00867AC1"/>
    <w:rsid w:val="00875BC5"/>
    <w:rsid w:val="00886B38"/>
    <w:rsid w:val="00890DF8"/>
    <w:rsid w:val="008A1031"/>
    <w:rsid w:val="008A414C"/>
    <w:rsid w:val="008A54F7"/>
    <w:rsid w:val="008A743F"/>
    <w:rsid w:val="008B0687"/>
    <w:rsid w:val="008B112A"/>
    <w:rsid w:val="008B75AD"/>
    <w:rsid w:val="008C0970"/>
    <w:rsid w:val="008D0BC5"/>
    <w:rsid w:val="008D2CF7"/>
    <w:rsid w:val="008D4851"/>
    <w:rsid w:val="008E4EBF"/>
    <w:rsid w:val="008F1080"/>
    <w:rsid w:val="008F1A98"/>
    <w:rsid w:val="00900C26"/>
    <w:rsid w:val="0090197F"/>
    <w:rsid w:val="00906DDC"/>
    <w:rsid w:val="009119A5"/>
    <w:rsid w:val="00912D65"/>
    <w:rsid w:val="00924F62"/>
    <w:rsid w:val="00934E09"/>
    <w:rsid w:val="00936253"/>
    <w:rsid w:val="00940D46"/>
    <w:rsid w:val="009512E5"/>
    <w:rsid w:val="00952DD4"/>
    <w:rsid w:val="009553A3"/>
    <w:rsid w:val="00962CFC"/>
    <w:rsid w:val="0096556C"/>
    <w:rsid w:val="00965AE7"/>
    <w:rsid w:val="009674E5"/>
    <w:rsid w:val="00970FED"/>
    <w:rsid w:val="009729ED"/>
    <w:rsid w:val="00973485"/>
    <w:rsid w:val="009751F0"/>
    <w:rsid w:val="0098527D"/>
    <w:rsid w:val="00985319"/>
    <w:rsid w:val="00987A75"/>
    <w:rsid w:val="009912FE"/>
    <w:rsid w:val="00992D82"/>
    <w:rsid w:val="00997029"/>
    <w:rsid w:val="009A1E56"/>
    <w:rsid w:val="009A7339"/>
    <w:rsid w:val="009B19E8"/>
    <w:rsid w:val="009B440E"/>
    <w:rsid w:val="009D05B9"/>
    <w:rsid w:val="009D690D"/>
    <w:rsid w:val="009D739A"/>
    <w:rsid w:val="009E2F3B"/>
    <w:rsid w:val="009E65B6"/>
    <w:rsid w:val="00A010E1"/>
    <w:rsid w:val="00A10637"/>
    <w:rsid w:val="00A13E20"/>
    <w:rsid w:val="00A24C10"/>
    <w:rsid w:val="00A374E6"/>
    <w:rsid w:val="00A40C31"/>
    <w:rsid w:val="00A42AC3"/>
    <w:rsid w:val="00A430CF"/>
    <w:rsid w:val="00A54309"/>
    <w:rsid w:val="00A54B98"/>
    <w:rsid w:val="00A54F28"/>
    <w:rsid w:val="00A57F97"/>
    <w:rsid w:val="00A63283"/>
    <w:rsid w:val="00A661CB"/>
    <w:rsid w:val="00A66B46"/>
    <w:rsid w:val="00A673CD"/>
    <w:rsid w:val="00A706D3"/>
    <w:rsid w:val="00A72F84"/>
    <w:rsid w:val="00A85CD9"/>
    <w:rsid w:val="00A96D63"/>
    <w:rsid w:val="00A97D97"/>
    <w:rsid w:val="00AA4914"/>
    <w:rsid w:val="00AB2B93"/>
    <w:rsid w:val="00AB530F"/>
    <w:rsid w:val="00AB70B1"/>
    <w:rsid w:val="00AB7E5B"/>
    <w:rsid w:val="00AC05D4"/>
    <w:rsid w:val="00AC2883"/>
    <w:rsid w:val="00AC32BF"/>
    <w:rsid w:val="00AC3325"/>
    <w:rsid w:val="00AC39C2"/>
    <w:rsid w:val="00AC633F"/>
    <w:rsid w:val="00AC7742"/>
    <w:rsid w:val="00AD23BD"/>
    <w:rsid w:val="00AD30A7"/>
    <w:rsid w:val="00AD5150"/>
    <w:rsid w:val="00AE0EF1"/>
    <w:rsid w:val="00AE2937"/>
    <w:rsid w:val="00AE4F86"/>
    <w:rsid w:val="00AF394E"/>
    <w:rsid w:val="00AF660F"/>
    <w:rsid w:val="00B02D7F"/>
    <w:rsid w:val="00B07301"/>
    <w:rsid w:val="00B11F3E"/>
    <w:rsid w:val="00B224DE"/>
    <w:rsid w:val="00B26428"/>
    <w:rsid w:val="00B324D4"/>
    <w:rsid w:val="00B325B3"/>
    <w:rsid w:val="00B34FE9"/>
    <w:rsid w:val="00B35EE1"/>
    <w:rsid w:val="00B3758A"/>
    <w:rsid w:val="00B422F9"/>
    <w:rsid w:val="00B46575"/>
    <w:rsid w:val="00B57B05"/>
    <w:rsid w:val="00B60B5A"/>
    <w:rsid w:val="00B61777"/>
    <w:rsid w:val="00B664CA"/>
    <w:rsid w:val="00B74AA9"/>
    <w:rsid w:val="00B76769"/>
    <w:rsid w:val="00B84BBD"/>
    <w:rsid w:val="00B9201A"/>
    <w:rsid w:val="00B92C18"/>
    <w:rsid w:val="00BA43FB"/>
    <w:rsid w:val="00BA6D86"/>
    <w:rsid w:val="00BB45E5"/>
    <w:rsid w:val="00BC0BD4"/>
    <w:rsid w:val="00BC127D"/>
    <w:rsid w:val="00BC1FE6"/>
    <w:rsid w:val="00BC79C6"/>
    <w:rsid w:val="00BD203F"/>
    <w:rsid w:val="00BD4EAB"/>
    <w:rsid w:val="00BF6970"/>
    <w:rsid w:val="00C026C2"/>
    <w:rsid w:val="00C05FE5"/>
    <w:rsid w:val="00C061B6"/>
    <w:rsid w:val="00C10D78"/>
    <w:rsid w:val="00C23D4B"/>
    <w:rsid w:val="00C2446C"/>
    <w:rsid w:val="00C34CE8"/>
    <w:rsid w:val="00C36AE5"/>
    <w:rsid w:val="00C41F17"/>
    <w:rsid w:val="00C47893"/>
    <w:rsid w:val="00C527FA"/>
    <w:rsid w:val="00C5280D"/>
    <w:rsid w:val="00C5343C"/>
    <w:rsid w:val="00C53EB3"/>
    <w:rsid w:val="00C55C39"/>
    <w:rsid w:val="00C5791C"/>
    <w:rsid w:val="00C60F76"/>
    <w:rsid w:val="00C66290"/>
    <w:rsid w:val="00C70350"/>
    <w:rsid w:val="00C71159"/>
    <w:rsid w:val="00C7149D"/>
    <w:rsid w:val="00C72B7A"/>
    <w:rsid w:val="00C75A58"/>
    <w:rsid w:val="00C76D1B"/>
    <w:rsid w:val="00C90BEE"/>
    <w:rsid w:val="00C973F2"/>
    <w:rsid w:val="00C9769B"/>
    <w:rsid w:val="00CA1E47"/>
    <w:rsid w:val="00CA304C"/>
    <w:rsid w:val="00CA774A"/>
    <w:rsid w:val="00CB4DA8"/>
    <w:rsid w:val="00CC11B0"/>
    <w:rsid w:val="00CC2841"/>
    <w:rsid w:val="00CC4821"/>
    <w:rsid w:val="00CC4ED5"/>
    <w:rsid w:val="00CC790A"/>
    <w:rsid w:val="00CD1624"/>
    <w:rsid w:val="00CD3509"/>
    <w:rsid w:val="00CD4838"/>
    <w:rsid w:val="00CD548F"/>
    <w:rsid w:val="00CE0649"/>
    <w:rsid w:val="00CF1330"/>
    <w:rsid w:val="00CF304E"/>
    <w:rsid w:val="00CF726A"/>
    <w:rsid w:val="00CF7E36"/>
    <w:rsid w:val="00D01EEC"/>
    <w:rsid w:val="00D05398"/>
    <w:rsid w:val="00D14ECC"/>
    <w:rsid w:val="00D3708D"/>
    <w:rsid w:val="00D40075"/>
    <w:rsid w:val="00D40426"/>
    <w:rsid w:val="00D51DDA"/>
    <w:rsid w:val="00D54EF6"/>
    <w:rsid w:val="00D57C96"/>
    <w:rsid w:val="00D57D18"/>
    <w:rsid w:val="00D80008"/>
    <w:rsid w:val="00D85470"/>
    <w:rsid w:val="00D87D7D"/>
    <w:rsid w:val="00D91203"/>
    <w:rsid w:val="00D95174"/>
    <w:rsid w:val="00D97772"/>
    <w:rsid w:val="00DA0152"/>
    <w:rsid w:val="00DA4973"/>
    <w:rsid w:val="00DA6E1D"/>
    <w:rsid w:val="00DA6F36"/>
    <w:rsid w:val="00DB1F17"/>
    <w:rsid w:val="00DB596E"/>
    <w:rsid w:val="00DB7773"/>
    <w:rsid w:val="00DC00EA"/>
    <w:rsid w:val="00DC3802"/>
    <w:rsid w:val="00DC7123"/>
    <w:rsid w:val="00DD0AC0"/>
    <w:rsid w:val="00DD0C10"/>
    <w:rsid w:val="00DD7652"/>
    <w:rsid w:val="00DE58D8"/>
    <w:rsid w:val="00DE5973"/>
    <w:rsid w:val="00DE5EF0"/>
    <w:rsid w:val="00DE7966"/>
    <w:rsid w:val="00DF38CC"/>
    <w:rsid w:val="00E07D87"/>
    <w:rsid w:val="00E15C4C"/>
    <w:rsid w:val="00E20E8A"/>
    <w:rsid w:val="00E24920"/>
    <w:rsid w:val="00E32F7E"/>
    <w:rsid w:val="00E334F3"/>
    <w:rsid w:val="00E4205A"/>
    <w:rsid w:val="00E5267B"/>
    <w:rsid w:val="00E53C91"/>
    <w:rsid w:val="00E54501"/>
    <w:rsid w:val="00E54D1B"/>
    <w:rsid w:val="00E63C0E"/>
    <w:rsid w:val="00E6416F"/>
    <w:rsid w:val="00E72D49"/>
    <w:rsid w:val="00E737E0"/>
    <w:rsid w:val="00E73947"/>
    <w:rsid w:val="00E7593C"/>
    <w:rsid w:val="00E7678A"/>
    <w:rsid w:val="00E770B2"/>
    <w:rsid w:val="00E837DA"/>
    <w:rsid w:val="00E84B88"/>
    <w:rsid w:val="00E85D3C"/>
    <w:rsid w:val="00E90326"/>
    <w:rsid w:val="00E935F1"/>
    <w:rsid w:val="00E94536"/>
    <w:rsid w:val="00E94A81"/>
    <w:rsid w:val="00E962F6"/>
    <w:rsid w:val="00EA1FFB"/>
    <w:rsid w:val="00EA2195"/>
    <w:rsid w:val="00EA659D"/>
    <w:rsid w:val="00EB048E"/>
    <w:rsid w:val="00EB1E18"/>
    <w:rsid w:val="00EB4E9C"/>
    <w:rsid w:val="00EC6F43"/>
    <w:rsid w:val="00EE34DF"/>
    <w:rsid w:val="00EE57B7"/>
    <w:rsid w:val="00EF2F89"/>
    <w:rsid w:val="00EF4263"/>
    <w:rsid w:val="00EF77CB"/>
    <w:rsid w:val="00F0123C"/>
    <w:rsid w:val="00F03E98"/>
    <w:rsid w:val="00F0499F"/>
    <w:rsid w:val="00F05450"/>
    <w:rsid w:val="00F076F9"/>
    <w:rsid w:val="00F1237A"/>
    <w:rsid w:val="00F22AB3"/>
    <w:rsid w:val="00F22CBD"/>
    <w:rsid w:val="00F25152"/>
    <w:rsid w:val="00F2675F"/>
    <w:rsid w:val="00F272F1"/>
    <w:rsid w:val="00F44E78"/>
    <w:rsid w:val="00F45372"/>
    <w:rsid w:val="00F479D1"/>
    <w:rsid w:val="00F560F7"/>
    <w:rsid w:val="00F6334D"/>
    <w:rsid w:val="00F63C00"/>
    <w:rsid w:val="00F655DA"/>
    <w:rsid w:val="00F83771"/>
    <w:rsid w:val="00F91211"/>
    <w:rsid w:val="00F97745"/>
    <w:rsid w:val="00FA05E4"/>
    <w:rsid w:val="00FA0F35"/>
    <w:rsid w:val="00FA0FFA"/>
    <w:rsid w:val="00FA29AE"/>
    <w:rsid w:val="00FA31EA"/>
    <w:rsid w:val="00FA49AB"/>
    <w:rsid w:val="00FA6DB9"/>
    <w:rsid w:val="00FA7C5D"/>
    <w:rsid w:val="00FB1B27"/>
    <w:rsid w:val="00FB4F15"/>
    <w:rsid w:val="00FB5B01"/>
    <w:rsid w:val="00FC075B"/>
    <w:rsid w:val="00FC0E15"/>
    <w:rsid w:val="00FC459A"/>
    <w:rsid w:val="00FD3F87"/>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781BF"/>
  <w15:docId w15:val="{9B021EC4-D187-4A45-9723-CD3630B2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5C6"/>
    <w:pPr>
      <w:jc w:val="both"/>
    </w:pPr>
    <w:rPr>
      <w:rFonts w:ascii="Arial" w:hAnsi="Arial"/>
      <w:lang w:val="de-DE"/>
    </w:rPr>
  </w:style>
  <w:style w:type="paragraph" w:styleId="Heading1">
    <w:name w:val="heading 1"/>
    <w:next w:val="Normal"/>
    <w:link w:val="Heading1Char"/>
    <w:autoRedefine/>
    <w:qFormat/>
    <w:rsid w:val="000925C6"/>
    <w:pPr>
      <w:keepNext/>
      <w:jc w:val="both"/>
      <w:outlineLvl w:val="0"/>
    </w:pPr>
    <w:rPr>
      <w:rFonts w:ascii="Arial" w:hAnsi="Arial"/>
      <w:caps/>
    </w:rPr>
  </w:style>
  <w:style w:type="paragraph" w:styleId="Heading2">
    <w:name w:val="heading 2"/>
    <w:aliases w:val="VARIETY,variety"/>
    <w:next w:val="Normal"/>
    <w:link w:val="Heading2Char"/>
    <w:autoRedefine/>
    <w:qFormat/>
    <w:rsid w:val="000925C6"/>
    <w:pPr>
      <w:keepNext/>
      <w:jc w:val="both"/>
      <w:outlineLvl w:val="1"/>
    </w:pPr>
    <w:rPr>
      <w:rFonts w:ascii="Arial" w:hAnsi="Arial"/>
      <w:u w:val="single"/>
    </w:rPr>
  </w:style>
  <w:style w:type="paragraph" w:styleId="Heading3">
    <w:name w:val="heading 3"/>
    <w:next w:val="Normal"/>
    <w:link w:val="Heading3Char"/>
    <w:autoRedefine/>
    <w:qFormat/>
    <w:rsid w:val="000925C6"/>
    <w:pPr>
      <w:keepNext/>
      <w:jc w:val="both"/>
      <w:outlineLvl w:val="2"/>
    </w:pPr>
    <w:rPr>
      <w:rFonts w:ascii="Arial" w:hAnsi="Arial"/>
      <w:i/>
    </w:rPr>
  </w:style>
  <w:style w:type="paragraph" w:styleId="Heading4">
    <w:name w:val="heading 4"/>
    <w:next w:val="Normal"/>
    <w:link w:val="Heading4Char"/>
    <w:autoRedefine/>
    <w:qFormat/>
    <w:rsid w:val="000925C6"/>
    <w:pPr>
      <w:keepNext/>
      <w:ind w:left="567"/>
      <w:jc w:val="both"/>
      <w:outlineLvl w:val="3"/>
    </w:pPr>
    <w:rPr>
      <w:rFonts w:ascii="Arial" w:hAnsi="Arial"/>
      <w:u w:val="single"/>
      <w:lang w:val="fr-FR"/>
    </w:rPr>
  </w:style>
  <w:style w:type="paragraph" w:styleId="Heading5">
    <w:name w:val="heading 5"/>
    <w:next w:val="Normal"/>
    <w:link w:val="Heading5Char"/>
    <w:autoRedefine/>
    <w:qFormat/>
    <w:rsid w:val="000925C6"/>
    <w:pPr>
      <w:keepNext/>
      <w:ind w:left="1134" w:hanging="567"/>
      <w:jc w:val="both"/>
      <w:outlineLvl w:val="4"/>
    </w:pPr>
    <w:rPr>
      <w:rFonts w:ascii="Arial" w:hAnsi="Arial"/>
      <w:i/>
    </w:rPr>
  </w:style>
  <w:style w:type="paragraph" w:styleId="Heading9">
    <w:name w:val="heading 9"/>
    <w:basedOn w:val="Normal"/>
    <w:next w:val="Normal"/>
    <w:link w:val="Heading9Char"/>
    <w:qFormat/>
    <w:rsid w:val="000925C6"/>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0925C6"/>
    <w:pPr>
      <w:jc w:val="center"/>
    </w:pPr>
    <w:rPr>
      <w:rFonts w:ascii="Arial" w:hAnsi="Arial"/>
      <w:lang w:val="de-DE"/>
    </w:rPr>
  </w:style>
  <w:style w:type="paragraph" w:styleId="Footer">
    <w:name w:val="footer"/>
    <w:aliases w:val="doc_path_name"/>
    <w:link w:val="FooterChar"/>
    <w:autoRedefine/>
    <w:rsid w:val="000925C6"/>
    <w:pPr>
      <w:jc w:val="both"/>
    </w:pPr>
    <w:rPr>
      <w:rFonts w:ascii="Arial" w:hAnsi="Arial"/>
      <w:sz w:val="14"/>
    </w:rPr>
  </w:style>
  <w:style w:type="character" w:styleId="PageNumber">
    <w:name w:val="page number"/>
    <w:basedOn w:val="DefaultParagraphFont"/>
    <w:rsid w:val="000925C6"/>
    <w:rPr>
      <w:rFonts w:ascii="Arial" w:hAnsi="Arial"/>
      <w:sz w:val="20"/>
    </w:rPr>
  </w:style>
  <w:style w:type="paragraph" w:styleId="Title">
    <w:name w:val="Title"/>
    <w:basedOn w:val="Normal"/>
    <w:link w:val="TitleChar"/>
    <w:qFormat/>
    <w:rsid w:val="000925C6"/>
    <w:pPr>
      <w:spacing w:after="300"/>
      <w:jc w:val="center"/>
    </w:pPr>
    <w:rPr>
      <w:b/>
      <w:caps/>
      <w:kern w:val="28"/>
      <w:sz w:val="30"/>
    </w:rPr>
  </w:style>
  <w:style w:type="paragraph" w:customStyle="1" w:styleId="preparedby">
    <w:name w:val="preparedby"/>
    <w:basedOn w:val="Normal"/>
    <w:next w:val="Normal"/>
    <w:semiHidden/>
    <w:rsid w:val="000925C6"/>
    <w:pPr>
      <w:spacing w:after="600"/>
      <w:jc w:val="center"/>
    </w:pPr>
    <w:rPr>
      <w:i/>
    </w:rPr>
  </w:style>
  <w:style w:type="paragraph" w:customStyle="1" w:styleId="Docoriginal">
    <w:name w:val="Doc_original"/>
    <w:basedOn w:val="Code"/>
    <w:link w:val="DocoriginalChar"/>
    <w:rsid w:val="000925C6"/>
    <w:pPr>
      <w:spacing w:before="240" w:line="240" w:lineRule="exact"/>
      <w:ind w:left="0"/>
      <w:contextualSpacing/>
      <w:jc w:val="left"/>
    </w:pPr>
    <w:rPr>
      <w:sz w:val="18"/>
    </w:rPr>
  </w:style>
  <w:style w:type="paragraph" w:customStyle="1" w:styleId="DecisionParagraphs">
    <w:name w:val="DecisionParagraphs"/>
    <w:basedOn w:val="Normal"/>
    <w:rsid w:val="000925C6"/>
    <w:pPr>
      <w:tabs>
        <w:tab w:val="left" w:pos="5387"/>
      </w:tabs>
      <w:ind w:left="4820"/>
    </w:pPr>
    <w:rPr>
      <w:i/>
    </w:rPr>
  </w:style>
  <w:style w:type="paragraph" w:styleId="FootnoteText">
    <w:name w:val="footnote text"/>
    <w:link w:val="FootnoteTextChar"/>
    <w:autoRedefine/>
    <w:rsid w:val="000925C6"/>
    <w:pPr>
      <w:spacing w:before="60"/>
      <w:jc w:val="both"/>
    </w:pPr>
    <w:rPr>
      <w:rFonts w:ascii="Arial" w:hAnsi="Arial"/>
      <w:sz w:val="16"/>
      <w:lang w:val="de-DE"/>
    </w:rPr>
  </w:style>
  <w:style w:type="character" w:styleId="FootnoteReference">
    <w:name w:val="footnote reference"/>
    <w:basedOn w:val="DefaultParagraphFont"/>
    <w:rsid w:val="000925C6"/>
    <w:rPr>
      <w:vertAlign w:val="superscript"/>
    </w:rPr>
  </w:style>
  <w:style w:type="paragraph" w:styleId="Closing">
    <w:name w:val="Closing"/>
    <w:basedOn w:val="Normal"/>
    <w:link w:val="ClosingChar"/>
    <w:rsid w:val="000925C6"/>
    <w:pPr>
      <w:ind w:left="4536"/>
      <w:jc w:val="center"/>
    </w:pPr>
  </w:style>
  <w:style w:type="paragraph" w:styleId="Index1">
    <w:name w:val="index 1"/>
    <w:basedOn w:val="Normal"/>
    <w:next w:val="Normal"/>
    <w:semiHidden/>
    <w:rsid w:val="000925C6"/>
    <w:pPr>
      <w:tabs>
        <w:tab w:val="right" w:leader="dot" w:pos="9071"/>
      </w:tabs>
      <w:ind w:left="284" w:hanging="284"/>
    </w:pPr>
    <w:rPr>
      <w:sz w:val="24"/>
    </w:rPr>
  </w:style>
  <w:style w:type="paragraph" w:styleId="Index2">
    <w:name w:val="index 2"/>
    <w:basedOn w:val="Normal"/>
    <w:next w:val="Normal"/>
    <w:semiHidden/>
    <w:rsid w:val="000925C6"/>
    <w:pPr>
      <w:tabs>
        <w:tab w:val="right" w:leader="dot" w:pos="9071"/>
      </w:tabs>
      <w:ind w:left="568" w:hanging="284"/>
    </w:pPr>
    <w:rPr>
      <w:sz w:val="24"/>
    </w:rPr>
  </w:style>
  <w:style w:type="paragraph" w:styleId="Index3">
    <w:name w:val="index 3"/>
    <w:basedOn w:val="Normal"/>
    <w:next w:val="Normal"/>
    <w:semiHidden/>
    <w:rsid w:val="000925C6"/>
    <w:pPr>
      <w:tabs>
        <w:tab w:val="right" w:leader="dot" w:pos="9071"/>
      </w:tabs>
      <w:ind w:left="851" w:hanging="284"/>
    </w:pPr>
    <w:rPr>
      <w:sz w:val="24"/>
    </w:rPr>
  </w:style>
  <w:style w:type="paragraph" w:styleId="MacroText">
    <w:name w:val="macro"/>
    <w:link w:val="MacroTextChar"/>
    <w:semiHidden/>
    <w:rsid w:val="000925C6"/>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0925C6"/>
    <w:pPr>
      <w:ind w:left="4536"/>
      <w:jc w:val="center"/>
    </w:pPr>
  </w:style>
  <w:style w:type="character" w:customStyle="1" w:styleId="Doclang">
    <w:name w:val="Doc_lang"/>
    <w:basedOn w:val="DefaultParagraphFont"/>
    <w:rsid w:val="000925C6"/>
    <w:rPr>
      <w:rFonts w:ascii="Arial" w:hAnsi="Arial"/>
      <w:sz w:val="20"/>
      <w:lang w:val="en-US"/>
    </w:rPr>
  </w:style>
  <w:style w:type="paragraph" w:customStyle="1" w:styleId="Session">
    <w:name w:val="Session"/>
    <w:basedOn w:val="Normal"/>
    <w:semiHidden/>
    <w:rsid w:val="000925C6"/>
    <w:pPr>
      <w:spacing w:before="60"/>
      <w:jc w:val="center"/>
    </w:pPr>
    <w:rPr>
      <w:b/>
    </w:rPr>
  </w:style>
  <w:style w:type="paragraph" w:customStyle="1" w:styleId="Organizer">
    <w:name w:val="Organizer"/>
    <w:basedOn w:val="Normal"/>
    <w:semiHidden/>
    <w:rsid w:val="000925C6"/>
    <w:pPr>
      <w:spacing w:after="600"/>
      <w:ind w:left="-993" w:right="-994"/>
      <w:jc w:val="center"/>
    </w:pPr>
    <w:rPr>
      <w:b/>
      <w:caps/>
      <w:kern w:val="26"/>
      <w:sz w:val="26"/>
    </w:rPr>
  </w:style>
  <w:style w:type="paragraph" w:styleId="BodyText">
    <w:name w:val="Body Text"/>
    <w:basedOn w:val="Normal"/>
    <w:link w:val="BodyTextChar"/>
    <w:rsid w:val="000925C6"/>
  </w:style>
  <w:style w:type="paragraph" w:customStyle="1" w:styleId="Disclaimer">
    <w:name w:val="Disclaimer"/>
    <w:next w:val="Normal"/>
    <w:qFormat/>
    <w:rsid w:val="000925C6"/>
    <w:pPr>
      <w:spacing w:after="600"/>
    </w:pPr>
    <w:rPr>
      <w:rFonts w:ascii="Arial" w:hAnsi="Arial"/>
      <w:i/>
      <w:iCs/>
      <w:color w:val="A6A6A6" w:themeColor="background1" w:themeShade="A6"/>
      <w:lang w:val="de-DE"/>
    </w:rPr>
  </w:style>
  <w:style w:type="paragraph" w:customStyle="1" w:styleId="upove">
    <w:name w:val="upov_e"/>
    <w:basedOn w:val="Normal"/>
    <w:rsid w:val="000925C6"/>
    <w:pPr>
      <w:spacing w:before="120"/>
    </w:pPr>
    <w:rPr>
      <w:sz w:val="16"/>
    </w:rPr>
  </w:style>
  <w:style w:type="paragraph" w:customStyle="1" w:styleId="TitleofDoc">
    <w:name w:val="Title of Doc"/>
    <w:basedOn w:val="Normal"/>
    <w:semiHidden/>
    <w:rsid w:val="000925C6"/>
    <w:pPr>
      <w:spacing w:before="1200"/>
      <w:jc w:val="center"/>
    </w:pPr>
    <w:rPr>
      <w:caps/>
    </w:rPr>
  </w:style>
  <w:style w:type="paragraph" w:customStyle="1" w:styleId="preparedby0">
    <w:name w:val="prepared by"/>
    <w:basedOn w:val="Normal"/>
    <w:semiHidden/>
    <w:rsid w:val="000925C6"/>
    <w:pPr>
      <w:spacing w:before="600" w:after="600"/>
      <w:jc w:val="center"/>
    </w:pPr>
    <w:rPr>
      <w:i/>
    </w:rPr>
  </w:style>
  <w:style w:type="paragraph" w:customStyle="1" w:styleId="PlaceAndDate">
    <w:name w:val="PlaceAndDate"/>
    <w:basedOn w:val="Session"/>
    <w:semiHidden/>
    <w:rsid w:val="000925C6"/>
  </w:style>
  <w:style w:type="paragraph" w:styleId="EndnoteText">
    <w:name w:val="endnote text"/>
    <w:basedOn w:val="Normal"/>
    <w:link w:val="EndnoteTextChar"/>
    <w:semiHidden/>
    <w:rsid w:val="000925C6"/>
  </w:style>
  <w:style w:type="character" w:styleId="EndnoteReference">
    <w:name w:val="endnote reference"/>
    <w:basedOn w:val="DefaultParagraphFont"/>
    <w:semiHidden/>
    <w:rsid w:val="000925C6"/>
    <w:rPr>
      <w:vertAlign w:val="superscript"/>
    </w:rPr>
  </w:style>
  <w:style w:type="paragraph" w:customStyle="1" w:styleId="SessionMeetingPlace">
    <w:name w:val="Session_MeetingPlace"/>
    <w:basedOn w:val="Normal"/>
    <w:semiHidden/>
    <w:rsid w:val="000925C6"/>
    <w:pPr>
      <w:spacing w:before="480"/>
      <w:jc w:val="center"/>
    </w:pPr>
    <w:rPr>
      <w:b/>
      <w:bCs/>
      <w:kern w:val="28"/>
      <w:sz w:val="24"/>
    </w:rPr>
  </w:style>
  <w:style w:type="paragraph" w:customStyle="1" w:styleId="Original">
    <w:name w:val="Original"/>
    <w:basedOn w:val="Normal"/>
    <w:semiHidden/>
    <w:rsid w:val="000925C6"/>
    <w:pPr>
      <w:spacing w:before="60"/>
      <w:ind w:left="1276"/>
    </w:pPr>
    <w:rPr>
      <w:b/>
      <w:sz w:val="22"/>
    </w:rPr>
  </w:style>
  <w:style w:type="paragraph" w:styleId="Date">
    <w:name w:val="Date"/>
    <w:basedOn w:val="Normal"/>
    <w:link w:val="DateChar"/>
    <w:semiHidden/>
    <w:rsid w:val="000925C6"/>
    <w:pPr>
      <w:spacing w:line="340" w:lineRule="exact"/>
      <w:ind w:left="1276"/>
    </w:pPr>
    <w:rPr>
      <w:b/>
      <w:sz w:val="22"/>
    </w:rPr>
  </w:style>
  <w:style w:type="paragraph" w:customStyle="1" w:styleId="Code">
    <w:name w:val="Code"/>
    <w:basedOn w:val="Normal"/>
    <w:link w:val="CodeChar"/>
    <w:semiHidden/>
    <w:rsid w:val="000925C6"/>
    <w:pPr>
      <w:spacing w:line="340" w:lineRule="atLeast"/>
      <w:ind w:left="1276"/>
    </w:pPr>
    <w:rPr>
      <w:b/>
      <w:bCs/>
      <w:spacing w:val="10"/>
    </w:rPr>
  </w:style>
  <w:style w:type="paragraph" w:customStyle="1" w:styleId="Country">
    <w:name w:val="Country"/>
    <w:basedOn w:val="Normal"/>
    <w:semiHidden/>
    <w:rsid w:val="000925C6"/>
    <w:pPr>
      <w:spacing w:before="60" w:after="480"/>
      <w:jc w:val="center"/>
    </w:pPr>
  </w:style>
  <w:style w:type="paragraph" w:customStyle="1" w:styleId="Lettrine">
    <w:name w:val="Lettrine"/>
    <w:basedOn w:val="Normal"/>
    <w:rsid w:val="000925C6"/>
    <w:pPr>
      <w:spacing w:line="340" w:lineRule="atLeast"/>
      <w:jc w:val="right"/>
    </w:pPr>
    <w:rPr>
      <w:b/>
      <w:bCs/>
      <w:sz w:val="36"/>
    </w:rPr>
  </w:style>
  <w:style w:type="paragraph" w:customStyle="1" w:styleId="LogoUPOV">
    <w:name w:val="LogoUPOV"/>
    <w:basedOn w:val="Normal"/>
    <w:rsid w:val="000925C6"/>
    <w:pPr>
      <w:spacing w:before="600" w:after="80"/>
      <w:jc w:val="center"/>
    </w:pPr>
    <w:rPr>
      <w:snapToGrid w:val="0"/>
    </w:rPr>
  </w:style>
  <w:style w:type="paragraph" w:customStyle="1" w:styleId="Sessiontc">
    <w:name w:val="Session_tc"/>
    <w:basedOn w:val="StyleSessionAllcaps"/>
    <w:rsid w:val="000925C6"/>
    <w:pPr>
      <w:spacing w:before="0" w:line="280" w:lineRule="exact"/>
      <w:jc w:val="left"/>
    </w:pPr>
    <w:rPr>
      <w:caps w:val="0"/>
      <w:sz w:val="20"/>
    </w:rPr>
  </w:style>
  <w:style w:type="paragraph" w:customStyle="1" w:styleId="TitreUpov">
    <w:name w:val="TitreUpov"/>
    <w:basedOn w:val="Normal"/>
    <w:semiHidden/>
    <w:rsid w:val="000925C6"/>
    <w:pPr>
      <w:spacing w:before="60"/>
      <w:jc w:val="center"/>
    </w:pPr>
    <w:rPr>
      <w:b/>
      <w:sz w:val="24"/>
    </w:rPr>
  </w:style>
  <w:style w:type="paragraph" w:customStyle="1" w:styleId="StyleSessionAllcaps">
    <w:name w:val="Style Session + All caps"/>
    <w:basedOn w:val="Session"/>
    <w:semiHidden/>
    <w:rsid w:val="000925C6"/>
    <w:pPr>
      <w:spacing w:before="480"/>
    </w:pPr>
    <w:rPr>
      <w:bCs/>
      <w:caps/>
      <w:kern w:val="28"/>
      <w:sz w:val="24"/>
    </w:rPr>
  </w:style>
  <w:style w:type="paragraph" w:customStyle="1" w:styleId="plcountry">
    <w:name w:val="plcountry"/>
    <w:basedOn w:val="Normal"/>
    <w:rsid w:val="000925C6"/>
    <w:pPr>
      <w:keepNext/>
      <w:keepLines/>
      <w:spacing w:before="180" w:after="120"/>
      <w:jc w:val="left"/>
    </w:pPr>
    <w:rPr>
      <w:caps/>
      <w:noProof/>
      <w:snapToGrid w:val="0"/>
      <w:u w:val="single"/>
    </w:rPr>
  </w:style>
  <w:style w:type="paragraph" w:customStyle="1" w:styleId="pldetails">
    <w:name w:val="pldetails"/>
    <w:basedOn w:val="Normal"/>
    <w:rsid w:val="000925C6"/>
    <w:pPr>
      <w:keepLines/>
      <w:spacing w:before="60" w:after="60"/>
      <w:jc w:val="left"/>
    </w:pPr>
    <w:rPr>
      <w:noProof/>
      <w:snapToGrid w:val="0"/>
    </w:rPr>
  </w:style>
  <w:style w:type="paragraph" w:customStyle="1" w:styleId="plheading">
    <w:name w:val="plheading"/>
    <w:basedOn w:val="Normal"/>
    <w:rsid w:val="000925C6"/>
    <w:pPr>
      <w:keepNext/>
      <w:spacing w:before="480" w:after="120"/>
      <w:jc w:val="center"/>
    </w:pPr>
    <w:rPr>
      <w:caps/>
      <w:snapToGrid w:val="0"/>
      <w:u w:val="single"/>
    </w:rPr>
  </w:style>
  <w:style w:type="paragraph" w:customStyle="1" w:styleId="Sessiontcplacedate">
    <w:name w:val="Session_tc_place_date"/>
    <w:basedOn w:val="SessionMeetingPlace"/>
    <w:rsid w:val="000925C6"/>
    <w:pPr>
      <w:spacing w:before="240"/>
      <w:contextualSpacing/>
      <w:jc w:val="left"/>
    </w:pPr>
    <w:rPr>
      <w:sz w:val="20"/>
    </w:rPr>
  </w:style>
  <w:style w:type="paragraph" w:customStyle="1" w:styleId="Titleofdoc0">
    <w:name w:val="Title_of_doc"/>
    <w:basedOn w:val="TitleofDoc"/>
    <w:link w:val="TitleofdocChar"/>
    <w:rsid w:val="000925C6"/>
    <w:pPr>
      <w:spacing w:before="600" w:after="240"/>
      <w:jc w:val="left"/>
    </w:pPr>
    <w:rPr>
      <w:b/>
    </w:rPr>
  </w:style>
  <w:style w:type="paragraph" w:customStyle="1" w:styleId="preparedby1">
    <w:name w:val="prepared_by"/>
    <w:basedOn w:val="preparedby0"/>
    <w:rsid w:val="000925C6"/>
    <w:pPr>
      <w:spacing w:before="0" w:after="240"/>
    </w:pPr>
    <w:rPr>
      <w:iCs/>
    </w:rPr>
  </w:style>
  <w:style w:type="character" w:customStyle="1" w:styleId="CodeChar">
    <w:name w:val="Code Char"/>
    <w:basedOn w:val="DefaultParagraphFont"/>
    <w:link w:val="Code"/>
    <w:semiHidden/>
    <w:rsid w:val="000925C6"/>
    <w:rPr>
      <w:rFonts w:ascii="Arial" w:hAnsi="Arial"/>
      <w:b/>
      <w:bCs/>
      <w:spacing w:val="10"/>
      <w:lang w:val="de-DE"/>
    </w:rPr>
  </w:style>
  <w:style w:type="paragraph" w:customStyle="1" w:styleId="endofdoc">
    <w:name w:val="end_of_doc"/>
    <w:next w:val="Header"/>
    <w:autoRedefine/>
    <w:rsid w:val="000925C6"/>
    <w:pPr>
      <w:spacing w:before="480"/>
      <w:ind w:left="567" w:hanging="567"/>
      <w:jc w:val="right"/>
    </w:pPr>
    <w:rPr>
      <w:rFonts w:ascii="Arial" w:hAnsi="Arial"/>
    </w:rPr>
  </w:style>
  <w:style w:type="character" w:customStyle="1" w:styleId="DocoriginalChar">
    <w:name w:val="Doc_original Char"/>
    <w:basedOn w:val="CodeChar"/>
    <w:link w:val="Docoriginal"/>
    <w:rsid w:val="000925C6"/>
    <w:rPr>
      <w:rFonts w:ascii="Arial" w:hAnsi="Arial"/>
      <w:b/>
      <w:bCs/>
      <w:spacing w:val="10"/>
      <w:sz w:val="18"/>
      <w:lang w:val="de-DE"/>
    </w:rPr>
  </w:style>
  <w:style w:type="paragraph" w:styleId="TOC2">
    <w:name w:val="toc 2"/>
    <w:basedOn w:val="Normal"/>
    <w:next w:val="Normal"/>
    <w:uiPriority w:val="39"/>
    <w:qFormat/>
    <w:rsid w:val="000925C6"/>
    <w:pPr>
      <w:tabs>
        <w:tab w:val="right" w:leader="dot" w:pos="9639"/>
      </w:tabs>
      <w:spacing w:after="120"/>
      <w:ind w:left="284" w:right="851"/>
      <w:jc w:val="left"/>
    </w:pPr>
    <w:rPr>
      <w:rFonts w:eastAsiaTheme="minorHAnsi" w:cs="Arial"/>
      <w:noProof/>
      <w:sz w:val="18"/>
      <w:szCs w:val="18"/>
      <w:lang w:val="en-US"/>
    </w:rPr>
  </w:style>
  <w:style w:type="paragraph" w:styleId="TOC3">
    <w:name w:val="toc 3"/>
    <w:next w:val="Normal"/>
    <w:uiPriority w:val="39"/>
    <w:qFormat/>
    <w:rsid w:val="000925C6"/>
    <w:pPr>
      <w:tabs>
        <w:tab w:val="right" w:leader="dot" w:pos="9639"/>
      </w:tabs>
      <w:spacing w:after="120"/>
      <w:ind w:left="567" w:right="1418"/>
      <w:contextualSpacing/>
    </w:pPr>
    <w:rPr>
      <w:rFonts w:ascii="Arial" w:eastAsiaTheme="minorEastAsia" w:hAnsi="Arial" w:cs="Arial"/>
      <w:i/>
      <w:noProof/>
      <w:sz w:val="18"/>
    </w:rPr>
  </w:style>
  <w:style w:type="character" w:styleId="Hyperlink">
    <w:name w:val="Hyperlink"/>
    <w:basedOn w:val="DefaultParagraphFont"/>
    <w:rsid w:val="000925C6"/>
    <w:rPr>
      <w:rFonts w:ascii="Arial" w:hAnsi="Arial"/>
      <w:color w:val="0000FF"/>
      <w:u w:val="single"/>
    </w:rPr>
  </w:style>
  <w:style w:type="paragraph" w:styleId="TOC4">
    <w:name w:val="toc 4"/>
    <w:next w:val="Normal"/>
    <w:autoRedefine/>
    <w:uiPriority w:val="39"/>
    <w:rsid w:val="000925C6"/>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925C6"/>
    <w:pPr>
      <w:tabs>
        <w:tab w:val="right" w:leader="dot" w:pos="9639"/>
      </w:tabs>
      <w:spacing w:before="120" w:after="120"/>
      <w:ind w:right="1418"/>
      <w:jc w:val="left"/>
    </w:pPr>
    <w:rPr>
      <w:rFonts w:eastAsiaTheme="minorEastAsia" w:cs="Arial"/>
      <w:bCs/>
      <w:caps/>
      <w:noProof/>
      <w:sz w:val="18"/>
      <w:lang w:val="en-US"/>
    </w:rPr>
  </w:style>
  <w:style w:type="paragraph" w:styleId="TOC5">
    <w:name w:val="toc 5"/>
    <w:next w:val="Normal"/>
    <w:autoRedefine/>
    <w:rsid w:val="000925C6"/>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0925C6"/>
    <w:rPr>
      <w:rFonts w:ascii="Tahoma" w:hAnsi="Tahoma" w:cs="Tahoma"/>
      <w:sz w:val="16"/>
      <w:szCs w:val="16"/>
    </w:rPr>
  </w:style>
  <w:style w:type="character" w:customStyle="1" w:styleId="BalloonTextChar">
    <w:name w:val="Balloon Text Char"/>
    <w:basedOn w:val="DefaultParagraphFont"/>
    <w:link w:val="BalloonText"/>
    <w:rsid w:val="000925C6"/>
    <w:rPr>
      <w:rFonts w:ascii="Tahoma" w:hAnsi="Tahoma" w:cs="Tahoma"/>
      <w:sz w:val="16"/>
      <w:szCs w:val="16"/>
      <w:lang w:val="de-DE"/>
    </w:rPr>
  </w:style>
  <w:style w:type="paragraph" w:customStyle="1" w:styleId="Doccode">
    <w:name w:val="Doc_code"/>
    <w:qFormat/>
    <w:rsid w:val="000925C6"/>
    <w:rPr>
      <w:rFonts w:ascii="Arial" w:hAnsi="Arial"/>
      <w:b/>
      <w:bCs/>
      <w:spacing w:val="10"/>
      <w:sz w:val="18"/>
    </w:rPr>
  </w:style>
  <w:style w:type="character" w:customStyle="1" w:styleId="TitleofdocChar">
    <w:name w:val="Title_of_doc Char"/>
    <w:link w:val="Titleofdoc0"/>
    <w:rsid w:val="000925C6"/>
    <w:rPr>
      <w:rFonts w:ascii="Arial" w:hAnsi="Arial"/>
      <w:b/>
      <w:caps/>
      <w:lang w:val="de-DE"/>
    </w:rPr>
  </w:style>
  <w:style w:type="paragraph" w:customStyle="1" w:styleId="Sessiontwp">
    <w:name w:val="Session_twp"/>
    <w:basedOn w:val="Normal"/>
    <w:next w:val="Normal"/>
    <w:qFormat/>
    <w:rsid w:val="000925C6"/>
    <w:rPr>
      <w:rFonts w:eastAsiaTheme="minorEastAsia"/>
      <w:b/>
      <w:lang w:val="en-US"/>
    </w:rPr>
  </w:style>
  <w:style w:type="paragraph" w:customStyle="1" w:styleId="Sessiontwpplacedate">
    <w:name w:val="Session_twp_place_date"/>
    <w:basedOn w:val="Normal"/>
    <w:next w:val="Normal"/>
    <w:qFormat/>
    <w:rsid w:val="000925C6"/>
    <w:rPr>
      <w:rFonts w:eastAsiaTheme="minorEastAsia"/>
      <w:lang w:val="en-US"/>
    </w:rPr>
  </w:style>
  <w:style w:type="character" w:customStyle="1" w:styleId="Heading1Char">
    <w:name w:val="Heading 1 Char"/>
    <w:basedOn w:val="DefaultParagraphFont"/>
    <w:link w:val="Heading1"/>
    <w:rsid w:val="000925C6"/>
    <w:rPr>
      <w:rFonts w:ascii="Arial" w:hAnsi="Arial"/>
      <w:caps/>
    </w:rPr>
  </w:style>
  <w:style w:type="character" w:customStyle="1" w:styleId="Heading2Char">
    <w:name w:val="Heading 2 Char"/>
    <w:aliases w:val="VARIETY Char,variety Char"/>
    <w:basedOn w:val="DefaultParagraphFont"/>
    <w:link w:val="Heading2"/>
    <w:rsid w:val="000925C6"/>
    <w:rPr>
      <w:rFonts w:ascii="Arial" w:hAnsi="Arial"/>
      <w:u w:val="single"/>
    </w:rPr>
  </w:style>
  <w:style w:type="character" w:customStyle="1" w:styleId="Heading3Char">
    <w:name w:val="Heading 3 Char"/>
    <w:basedOn w:val="DefaultParagraphFont"/>
    <w:link w:val="Heading3"/>
    <w:rsid w:val="000925C6"/>
    <w:rPr>
      <w:rFonts w:ascii="Arial" w:hAnsi="Arial"/>
      <w:i/>
    </w:rPr>
  </w:style>
  <w:style w:type="character" w:customStyle="1" w:styleId="Heading4Char">
    <w:name w:val="Heading 4 Char"/>
    <w:basedOn w:val="DefaultParagraphFont"/>
    <w:link w:val="Heading4"/>
    <w:rsid w:val="000925C6"/>
    <w:rPr>
      <w:rFonts w:ascii="Arial" w:hAnsi="Arial"/>
      <w:u w:val="single"/>
      <w:lang w:val="fr-FR"/>
    </w:rPr>
  </w:style>
  <w:style w:type="character" w:customStyle="1" w:styleId="Heading5Char">
    <w:name w:val="Heading 5 Char"/>
    <w:basedOn w:val="DefaultParagraphFont"/>
    <w:link w:val="Heading5"/>
    <w:rsid w:val="000925C6"/>
    <w:rPr>
      <w:rFonts w:ascii="Arial" w:hAnsi="Arial"/>
      <w:i/>
    </w:rPr>
  </w:style>
  <w:style w:type="character" w:customStyle="1" w:styleId="Heading9Char">
    <w:name w:val="Heading 9 Char"/>
    <w:basedOn w:val="DefaultParagraphFont"/>
    <w:link w:val="Heading9"/>
    <w:rsid w:val="000925C6"/>
    <w:rPr>
      <w:rFonts w:ascii="Arial" w:hAnsi="Arial"/>
      <w:i/>
      <w:sz w:val="18"/>
      <w:lang w:val="de-DE"/>
    </w:rPr>
  </w:style>
  <w:style w:type="character" w:styleId="FollowedHyperlink">
    <w:name w:val="FollowedHyperlink"/>
    <w:basedOn w:val="DefaultParagraphFont"/>
    <w:semiHidden/>
    <w:unhideWhenUsed/>
    <w:rsid w:val="000925C6"/>
    <w:rPr>
      <w:color w:val="800080" w:themeColor="followedHyperlink"/>
      <w:u w:val="single"/>
    </w:rPr>
  </w:style>
  <w:style w:type="character" w:customStyle="1" w:styleId="Heading2Char1">
    <w:name w:val="Heading 2 Char1"/>
    <w:aliases w:val="VARIETY Char1,variety Char1"/>
    <w:basedOn w:val="DefaultParagraphFont"/>
    <w:semiHidden/>
    <w:rsid w:val="000925C6"/>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0925C6"/>
    <w:rPr>
      <w:rFonts w:ascii="Times New Roman" w:eastAsiaTheme="minorEastAsia" w:hAnsi="Times New Roman"/>
      <w:sz w:val="24"/>
      <w:szCs w:val="24"/>
      <w:lang w:val="en-US"/>
    </w:rPr>
  </w:style>
  <w:style w:type="paragraph" w:styleId="NormalWeb">
    <w:name w:val="Normal (Web)"/>
    <w:basedOn w:val="Normal"/>
    <w:semiHidden/>
    <w:unhideWhenUsed/>
    <w:rsid w:val="000925C6"/>
    <w:rPr>
      <w:rFonts w:ascii="Times New Roman" w:eastAsiaTheme="minorEastAsia" w:hAnsi="Times New Roman"/>
      <w:sz w:val="24"/>
      <w:szCs w:val="24"/>
      <w:lang w:val="en-US"/>
    </w:rPr>
  </w:style>
  <w:style w:type="character" w:customStyle="1" w:styleId="FootnoteTextChar">
    <w:name w:val="Footnote Text Char"/>
    <w:basedOn w:val="DefaultParagraphFont"/>
    <w:link w:val="FootnoteText"/>
    <w:rsid w:val="000925C6"/>
    <w:rPr>
      <w:rFonts w:ascii="Arial" w:hAnsi="Arial"/>
      <w:sz w:val="16"/>
      <w:lang w:val="de-DE"/>
    </w:rPr>
  </w:style>
  <w:style w:type="paragraph" w:styleId="CommentText">
    <w:name w:val="annotation text"/>
    <w:basedOn w:val="Normal"/>
    <w:link w:val="CommentTextChar"/>
    <w:unhideWhenUsed/>
    <w:rsid w:val="000925C6"/>
    <w:rPr>
      <w:rFonts w:eastAsiaTheme="minorEastAsia"/>
      <w:lang w:val="en-US"/>
    </w:rPr>
  </w:style>
  <w:style w:type="character" w:customStyle="1" w:styleId="CommentTextChar">
    <w:name w:val="Comment Text Char"/>
    <w:basedOn w:val="DefaultParagraphFont"/>
    <w:link w:val="CommentText"/>
    <w:rsid w:val="000925C6"/>
    <w:rPr>
      <w:rFonts w:ascii="Arial" w:eastAsiaTheme="minorEastAsia" w:hAnsi="Arial"/>
    </w:rPr>
  </w:style>
  <w:style w:type="character" w:customStyle="1" w:styleId="HeaderChar">
    <w:name w:val="Header Char"/>
    <w:basedOn w:val="DefaultParagraphFont"/>
    <w:link w:val="Header"/>
    <w:rsid w:val="000925C6"/>
    <w:rPr>
      <w:rFonts w:ascii="Arial" w:hAnsi="Arial"/>
      <w:lang w:val="de-DE"/>
    </w:rPr>
  </w:style>
  <w:style w:type="character" w:customStyle="1" w:styleId="FooterChar">
    <w:name w:val="Footer Char"/>
    <w:aliases w:val="doc_path_name Char1"/>
    <w:basedOn w:val="DefaultParagraphFont"/>
    <w:link w:val="Footer"/>
    <w:locked/>
    <w:rsid w:val="000925C6"/>
    <w:rPr>
      <w:rFonts w:ascii="Arial" w:hAnsi="Arial"/>
      <w:sz w:val="14"/>
    </w:rPr>
  </w:style>
  <w:style w:type="character" w:customStyle="1" w:styleId="FooterChar1">
    <w:name w:val="Footer Char1"/>
    <w:aliases w:val="doc_path_name Char"/>
    <w:basedOn w:val="DefaultParagraphFont"/>
    <w:semiHidden/>
    <w:rsid w:val="000925C6"/>
    <w:rPr>
      <w:rFonts w:ascii="Arial" w:hAnsi="Arial"/>
    </w:rPr>
  </w:style>
  <w:style w:type="character" w:customStyle="1" w:styleId="EndnoteTextChar">
    <w:name w:val="Endnote Text Char"/>
    <w:basedOn w:val="DefaultParagraphFont"/>
    <w:link w:val="EndnoteText"/>
    <w:semiHidden/>
    <w:rsid w:val="000925C6"/>
    <w:rPr>
      <w:rFonts w:ascii="Arial" w:hAnsi="Arial"/>
      <w:lang w:val="de-DE"/>
    </w:rPr>
  </w:style>
  <w:style w:type="character" w:customStyle="1" w:styleId="MacroTextChar">
    <w:name w:val="Macro Text Char"/>
    <w:basedOn w:val="DefaultParagraphFont"/>
    <w:link w:val="MacroText"/>
    <w:semiHidden/>
    <w:rsid w:val="000925C6"/>
    <w:rPr>
      <w:rFonts w:ascii="Courier New" w:hAnsi="Courier New"/>
      <w:sz w:val="16"/>
    </w:rPr>
  </w:style>
  <w:style w:type="character" w:customStyle="1" w:styleId="TitleChar">
    <w:name w:val="Title Char"/>
    <w:basedOn w:val="DefaultParagraphFont"/>
    <w:link w:val="Title"/>
    <w:rsid w:val="000925C6"/>
    <w:rPr>
      <w:rFonts w:ascii="Arial" w:hAnsi="Arial"/>
      <w:b/>
      <w:caps/>
      <w:kern w:val="28"/>
      <w:sz w:val="30"/>
      <w:lang w:val="de-DE"/>
    </w:rPr>
  </w:style>
  <w:style w:type="character" w:customStyle="1" w:styleId="ClosingChar">
    <w:name w:val="Closing Char"/>
    <w:basedOn w:val="DefaultParagraphFont"/>
    <w:link w:val="Closing"/>
    <w:rsid w:val="000925C6"/>
    <w:rPr>
      <w:rFonts w:ascii="Arial" w:hAnsi="Arial"/>
      <w:lang w:val="de-DE"/>
    </w:rPr>
  </w:style>
  <w:style w:type="character" w:customStyle="1" w:styleId="SignatureChar">
    <w:name w:val="Signature Char"/>
    <w:basedOn w:val="DefaultParagraphFont"/>
    <w:link w:val="Signature"/>
    <w:rsid w:val="000925C6"/>
    <w:rPr>
      <w:rFonts w:ascii="Arial" w:hAnsi="Arial"/>
      <w:lang w:val="de-DE"/>
    </w:rPr>
  </w:style>
  <w:style w:type="character" w:customStyle="1" w:styleId="BodyTextChar">
    <w:name w:val="Body Text Char"/>
    <w:basedOn w:val="DefaultParagraphFont"/>
    <w:link w:val="BodyText"/>
    <w:rsid w:val="000925C6"/>
    <w:rPr>
      <w:rFonts w:ascii="Arial" w:hAnsi="Arial"/>
      <w:lang w:val="de-DE"/>
    </w:rPr>
  </w:style>
  <w:style w:type="character" w:customStyle="1" w:styleId="DateChar">
    <w:name w:val="Date Char"/>
    <w:basedOn w:val="DefaultParagraphFont"/>
    <w:link w:val="Date"/>
    <w:semiHidden/>
    <w:rsid w:val="000925C6"/>
    <w:rPr>
      <w:rFonts w:ascii="Arial" w:hAnsi="Arial"/>
      <w:b/>
      <w:sz w:val="22"/>
      <w:lang w:val="de-DE"/>
    </w:rPr>
  </w:style>
  <w:style w:type="paragraph" w:styleId="CommentSubject">
    <w:name w:val="annotation subject"/>
    <w:basedOn w:val="CommentText"/>
    <w:next w:val="CommentText"/>
    <w:link w:val="CommentSubjectChar"/>
    <w:semiHidden/>
    <w:unhideWhenUsed/>
    <w:rsid w:val="000925C6"/>
    <w:rPr>
      <w:b/>
      <w:bCs/>
    </w:rPr>
  </w:style>
  <w:style w:type="character" w:customStyle="1" w:styleId="CommentSubjectChar">
    <w:name w:val="Comment Subject Char"/>
    <w:basedOn w:val="CommentTextChar"/>
    <w:link w:val="CommentSubject"/>
    <w:semiHidden/>
    <w:rsid w:val="000925C6"/>
    <w:rPr>
      <w:rFonts w:ascii="Arial" w:eastAsiaTheme="minorEastAsia" w:hAnsi="Arial"/>
      <w:b/>
      <w:bCs/>
    </w:rPr>
  </w:style>
  <w:style w:type="character" w:customStyle="1" w:styleId="ListParagraphChar">
    <w:name w:val="List Paragraph Char"/>
    <w:aliases w:val="auto_list_(i) Char,List Paragraph1 Char"/>
    <w:basedOn w:val="DefaultParagraphFont"/>
    <w:link w:val="ListParagraph"/>
    <w:uiPriority w:val="34"/>
    <w:locked/>
    <w:rsid w:val="000925C6"/>
    <w:rPr>
      <w:rFonts w:ascii="Arial" w:hAnsi="Arial" w:cs="Arial"/>
    </w:rPr>
  </w:style>
  <w:style w:type="paragraph" w:styleId="ListParagraph">
    <w:name w:val="List Paragraph"/>
    <w:aliases w:val="auto_list_(i),List Paragraph1"/>
    <w:basedOn w:val="Normal"/>
    <w:link w:val="ListParagraphChar"/>
    <w:uiPriority w:val="34"/>
    <w:qFormat/>
    <w:rsid w:val="000925C6"/>
    <w:pPr>
      <w:ind w:left="720"/>
      <w:contextualSpacing/>
    </w:pPr>
    <w:rPr>
      <w:rFonts w:cs="Arial"/>
      <w:lang w:val="en-US"/>
    </w:rPr>
  </w:style>
  <w:style w:type="character" w:styleId="CommentReference">
    <w:name w:val="annotation reference"/>
    <w:basedOn w:val="DefaultParagraphFont"/>
    <w:semiHidden/>
    <w:unhideWhenUsed/>
    <w:rsid w:val="000925C6"/>
    <w:rPr>
      <w:sz w:val="16"/>
      <w:szCs w:val="16"/>
    </w:rPr>
  </w:style>
  <w:style w:type="table" w:styleId="TableGrid">
    <w:name w:val="Table Grid"/>
    <w:basedOn w:val="TableNormal"/>
    <w:rsid w:val="000925C6"/>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925C6"/>
    <w:rPr>
      <w:color w:val="605E5C"/>
      <w:shd w:val="clear" w:color="auto" w:fill="E1DFDD"/>
    </w:rPr>
  </w:style>
  <w:style w:type="character" w:styleId="Mention">
    <w:name w:val="Mention"/>
    <w:basedOn w:val="DefaultParagraphFont"/>
    <w:uiPriority w:val="99"/>
    <w:unhideWhenUsed/>
    <w:rsid w:val="000925C6"/>
    <w:rPr>
      <w:color w:val="2B579A"/>
      <w:shd w:val="clear" w:color="auto" w:fill="E1DFDD"/>
    </w:rPr>
  </w:style>
  <w:style w:type="paragraph" w:styleId="Revision">
    <w:name w:val="Revision"/>
    <w:hidden/>
    <w:uiPriority w:val="99"/>
    <w:semiHidden/>
    <w:rsid w:val="00F05450"/>
    <w:rPr>
      <w:rFonts w:ascii="Arial" w:eastAsiaTheme="minorEastAsia" w:hAnsi="Arial"/>
    </w:rPr>
  </w:style>
  <w:style w:type="character" w:styleId="Emphasis">
    <w:name w:val="Emphasis"/>
    <w:basedOn w:val="DefaultParagraphFont"/>
    <w:qFormat/>
    <w:rsid w:val="001A5C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orldsee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UPOVBFP-2006234167-1054</_dlc_DocId>
    <_dlc_DocIdUrl xmlns="178a353b-07a4-4986-a4a2-cbf49365616c">
      <Url>https://wipoprod.sharepoint.com/sites/SPS-INT-BFP-UPOV-MeetEven/_layouts/15/DocIdRedir.aspx?ID=UPOVBFP-2006234167-1054</Url>
      <Description>UPOVBFP-2006234167-1054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52" ma:contentTypeDescription="" ma:contentTypeScope="" ma:versionID="d5a80268260ccfb2bfcdfa4a35ea7258">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b5d6518028b50a0ea0baf48b385035a"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440EF-2CB8-4CA0-A59E-53EF5E45FFDB}">
  <ds:schemaRefs>
    <ds:schemaRef ds:uri="http://schemas.microsoft.com/sharepoint/events"/>
  </ds:schemaRefs>
</ds:datastoreItem>
</file>

<file path=customXml/itemProps2.xml><?xml version="1.0" encoding="utf-8"?>
<ds:datastoreItem xmlns:ds="http://schemas.openxmlformats.org/officeDocument/2006/customXml" ds:itemID="{CEA86E2A-5E83-4B3A-8014-9C9D4EB48202}">
  <ds:schemaRefs>
    <ds:schemaRef ds:uri="Microsoft.SharePoint.Taxonomy.ContentTypeSync"/>
  </ds:schemaRefs>
</ds:datastoreItem>
</file>

<file path=customXml/itemProps3.xml><?xml version="1.0" encoding="utf-8"?>
<ds:datastoreItem xmlns:ds="http://schemas.openxmlformats.org/officeDocument/2006/customXml" ds:itemID="{19CBC785-B37E-4CD8-96A8-68C652DDD0E8}">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4.xml><?xml version="1.0" encoding="utf-8"?>
<ds:datastoreItem xmlns:ds="http://schemas.openxmlformats.org/officeDocument/2006/customXml" ds:itemID="{891B5F7B-BB32-48EA-BBBC-66B9ACCBAB71}">
  <ds:schemaRefs>
    <ds:schemaRef ds:uri="http://schemas.openxmlformats.org/officeDocument/2006/bibliography"/>
  </ds:schemaRefs>
</ds:datastoreItem>
</file>

<file path=customXml/itemProps5.xml><?xml version="1.0" encoding="utf-8"?>
<ds:datastoreItem xmlns:ds="http://schemas.openxmlformats.org/officeDocument/2006/customXml" ds:itemID="{1E31F4D8-DA67-4910-AC14-5328157CD63E}">
  <ds:schemaRefs>
    <ds:schemaRef ds:uri="http://schemas.microsoft.com/sharepoint/v3/contenttype/forms"/>
  </ds:schemaRefs>
</ds:datastoreItem>
</file>

<file path=customXml/itemProps6.xml><?xml version="1.0" encoding="utf-8"?>
<ds:datastoreItem xmlns:ds="http://schemas.openxmlformats.org/officeDocument/2006/customXml" ds:itemID="{3A0EA6D3-09F6-429B-9857-24C88B63B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Pages>
  <Words>8004</Words>
  <Characters>42264</Characters>
  <Application>Microsoft Office Word</Application>
  <DocSecurity>0</DocSecurity>
  <Lines>1030</Lines>
  <Paragraphs>402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SESSIONS/2026</vt:lpstr>
      <vt:lpstr>SESSIONS/2023</vt:lpstr>
    </vt:vector>
  </TitlesOfParts>
  <Company>UPOV</Company>
  <LinksUpToDate>false</LinksUpToDate>
  <CharactersWithSpaces>49866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 Rev.</dc:title>
  <dc:creator>UPOV</dc:creator>
  <cp:lastModifiedBy>SANCHEZ VIZCAINO GOMEZ Rosa Maria</cp:lastModifiedBy>
  <cp:revision>66</cp:revision>
  <cp:lastPrinted>2026-10-06T12:56:00Z</cp:lastPrinted>
  <dcterms:created xsi:type="dcterms:W3CDTF">2026-10-05T15:09:00Z</dcterms:created>
  <dcterms:modified xsi:type="dcterms:W3CDTF">2026-10-06T12:57:00Z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_dlc_DocIdItemGuid">
    <vt:lpwstr>4a942aa0-534f-4963-add5-91b7ca311c2c</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_dlc_DocId">
    <vt:lpwstr>UPOVBFP-2006234167-154</vt:lpwstr>
  </property>
  <property fmtid="{D5CDD505-2E9C-101B-9397-08002B2CF9AE}" pid="14" name="_dlc_DocIdUrl">
    <vt:lpwstr>https://wipoprod.sharepoint.com/sites/SPS-INT-BFP-UPOV-MeetEven/_layouts/15/DocIdRedir.aspx?ID=UPOVBFP-2006234167-154, UPOVBFP-2006234167-154</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ClassificationContentMarkingFooterShapeIds">
    <vt:lpwstr>40e2b417,51845c3f,eeda090</vt:lpwstr>
  </property>
  <property fmtid="{D5CDD505-2E9C-101B-9397-08002B2CF9AE}" pid="18" name="ClassificationContentMarkingFooterFontProps">
    <vt:lpwstr>#000000,10,Aptos</vt:lpwstr>
  </property>
  <property fmtid="{D5CDD505-2E9C-101B-9397-08002B2CF9AE}" pid="19" name="ClassificationContentMarkingFooterText">
    <vt:lpwstr>WIPO FOR OFFICIAL USE ONLY </vt:lpwstr>
  </property>
  <property fmtid="{D5CDD505-2E9C-101B-9397-08002B2CF9AE}" pid="20" name="MSIP_Label_bfc084f7-b690-4c43-8ee6-d475b6d3461d_Enabled">
    <vt:lpwstr>true</vt:lpwstr>
  </property>
  <property fmtid="{D5CDD505-2E9C-101B-9397-08002B2CF9AE}" pid="21" name="MSIP_Label_bfc084f7-b690-4c43-8ee6-d475b6d3461d_SetDate">
    <vt:lpwstr>2026-10-05T14:13:08Z</vt:lpwstr>
  </property>
  <property fmtid="{D5CDD505-2E9C-101B-9397-08002B2CF9AE}" pid="22" name="MSIP_Label_bfc084f7-b690-4c43-8ee6-d475b6d3461d_Method">
    <vt:lpwstr>Standard</vt:lpwstr>
  </property>
  <property fmtid="{D5CDD505-2E9C-101B-9397-08002B2CF9AE}" pid="23" name="MSIP_Label_bfc084f7-b690-4c43-8ee6-d475b6d3461d_Name">
    <vt:lpwstr>FOR OFFICIAL USE ONLY</vt:lpwstr>
  </property>
  <property fmtid="{D5CDD505-2E9C-101B-9397-08002B2CF9AE}" pid="24" name="MSIP_Label_bfc084f7-b690-4c43-8ee6-d475b6d3461d_SiteId">
    <vt:lpwstr>faa31b06-8ccc-48c9-867f-f7510dd11c02</vt:lpwstr>
  </property>
  <property fmtid="{D5CDD505-2E9C-101B-9397-08002B2CF9AE}" pid="25" name="MSIP_Label_bfc084f7-b690-4c43-8ee6-d475b6d3461d_ActionId">
    <vt:lpwstr>c6f1e82c-d411-4221-89bc-2d07521f3d7c</vt:lpwstr>
  </property>
  <property fmtid="{D5CDD505-2E9C-101B-9397-08002B2CF9AE}" pid="26" name="MSIP_Label_bfc084f7-b690-4c43-8ee6-d475b6d3461d_ContentBits">
    <vt:lpwstr>2</vt:lpwstr>
  </property>
  <property fmtid="{D5CDD505-2E9C-101B-9397-08002B2CF9AE}" pid="27" name="MSIP_Label_bfc084f7-b690-4c43-8ee6-d475b6d3461d_Tag">
    <vt:lpwstr>10, 3, 0, 1</vt:lpwstr>
  </property>
  <property fmtid="{D5CDD505-2E9C-101B-9397-08002B2CF9AE}" pid="28" name="RMClassification">
    <vt:lpwstr>4</vt:lpwstr>
  </property>
  <property fmtid="{D5CDD505-2E9C-101B-9397-08002B2CF9AE}" pid="29" name="ECCM_Year">
    <vt:lpwstr>721</vt:lpwstr>
  </property>
  <property fmtid="{D5CDD505-2E9C-101B-9397-08002B2CF9AE}" pid="30" name="docLang">
    <vt:lpwstr>de</vt:lpwstr>
  </property>
</Properties>
</file>