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E06CD" w:rsidRPr="008474CF" w14:paraId="11CF4858" w14:textId="77777777" w:rsidTr="009F0F3B">
        <w:tc>
          <w:tcPr>
            <w:tcW w:w="6522" w:type="dxa"/>
          </w:tcPr>
          <w:p w14:paraId="2906544B" w14:textId="77777777" w:rsidR="002E06CD" w:rsidRPr="008474CF" w:rsidRDefault="002E06CD" w:rsidP="009F0F3B">
            <w:r w:rsidRPr="008474CF">
              <w:rPr>
                <w:noProof/>
              </w:rPr>
              <w:drawing>
                <wp:inline distT="0" distB="0" distL="0" distR="0" wp14:anchorId="6DB359DB" wp14:editId="2635124C">
                  <wp:extent cx="952031" cy="244054"/>
                  <wp:effectExtent l="0" t="0" r="635" b="3810"/>
                  <wp:docPr id="341962962" name="Picture 341962962" descr="A green circl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62962" name="Picture 341962962" descr="A green circles on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2DC8B0C" w14:textId="2A974E2F" w:rsidR="002E06CD" w:rsidRPr="008474CF" w:rsidRDefault="00CA3B66" w:rsidP="009F0F3B">
            <w:pPr>
              <w:pStyle w:val="Lettrine"/>
            </w:pPr>
            <w:r w:rsidRPr="008474CF">
              <w:t>G</w:t>
            </w:r>
          </w:p>
        </w:tc>
      </w:tr>
      <w:tr w:rsidR="002E06CD" w:rsidRPr="008474CF" w14:paraId="1C20BCB2" w14:textId="77777777" w:rsidTr="009F0F3B">
        <w:trPr>
          <w:trHeight w:val="219"/>
        </w:trPr>
        <w:tc>
          <w:tcPr>
            <w:tcW w:w="6522" w:type="dxa"/>
          </w:tcPr>
          <w:p w14:paraId="58170A8B" w14:textId="77777777" w:rsidR="002E06CD" w:rsidRPr="008474CF" w:rsidRDefault="002E06CD" w:rsidP="009F0F3B">
            <w:pPr>
              <w:pStyle w:val="upove"/>
            </w:pPr>
            <w:r w:rsidRPr="008474CF">
              <w:t>Internationaler Verband zum Schutz von Pflanzenzüchtungen</w:t>
            </w:r>
          </w:p>
        </w:tc>
        <w:tc>
          <w:tcPr>
            <w:tcW w:w="3117" w:type="dxa"/>
          </w:tcPr>
          <w:p w14:paraId="06FC67A4" w14:textId="77777777" w:rsidR="002E06CD" w:rsidRPr="008474CF" w:rsidRDefault="002E06CD" w:rsidP="009F0F3B"/>
        </w:tc>
      </w:tr>
    </w:tbl>
    <w:p w14:paraId="2EF3C265" w14:textId="77777777" w:rsidR="002E06CD" w:rsidRPr="008474CF" w:rsidRDefault="002E06CD" w:rsidP="002E06CD"/>
    <w:p w14:paraId="58756C57" w14:textId="77777777" w:rsidR="002E06CD" w:rsidRPr="008474CF" w:rsidRDefault="002E06CD" w:rsidP="002E06C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E06CD" w:rsidRPr="008474CF" w14:paraId="06D30106" w14:textId="77777777" w:rsidTr="009F0F3B">
        <w:tc>
          <w:tcPr>
            <w:tcW w:w="6512" w:type="dxa"/>
          </w:tcPr>
          <w:p w14:paraId="2BCA22AB" w14:textId="614302CD" w:rsidR="002E06CD" w:rsidRPr="00682646" w:rsidRDefault="00EC68DE" w:rsidP="009F0F3B">
            <w:pPr>
              <w:pStyle w:val="Sessiontc"/>
              <w:spacing w:line="240" w:lineRule="auto"/>
            </w:pPr>
            <w:r w:rsidRPr="00682646">
              <w:t xml:space="preserve">Der </w:t>
            </w:r>
            <w:r w:rsidR="002E06CD" w:rsidRPr="00682646">
              <w:t>Rat</w:t>
            </w:r>
          </w:p>
          <w:p w14:paraId="04A0C487" w14:textId="77777777" w:rsidR="002E06CD" w:rsidRPr="00682646" w:rsidRDefault="002E06CD" w:rsidP="009F0F3B">
            <w:pPr>
              <w:pStyle w:val="Sessiontcplacedate"/>
            </w:pPr>
            <w:r w:rsidRPr="00682646">
              <w:t>Neunundfünfzigste ordentliche Tagung</w:t>
            </w:r>
          </w:p>
          <w:p w14:paraId="26A030AF" w14:textId="08EAD040" w:rsidR="002E06CD" w:rsidRPr="00682646" w:rsidRDefault="002E06CD" w:rsidP="009F0F3B">
            <w:pPr>
              <w:pStyle w:val="Sessiontcplacedate"/>
              <w:rPr>
                <w:sz w:val="22"/>
              </w:rPr>
            </w:pPr>
            <w:r w:rsidRPr="00682646">
              <w:t xml:space="preserve">Genf, </w:t>
            </w:r>
            <w:r w:rsidR="00EC68DE" w:rsidRPr="00682646">
              <w:t xml:space="preserve">24. </w:t>
            </w:r>
            <w:r w:rsidRPr="00682646">
              <w:t>Oktober 2025</w:t>
            </w:r>
          </w:p>
        </w:tc>
        <w:tc>
          <w:tcPr>
            <w:tcW w:w="3127" w:type="dxa"/>
          </w:tcPr>
          <w:p w14:paraId="6A78618B" w14:textId="5D0BA9A0" w:rsidR="002E06CD" w:rsidRPr="00682646" w:rsidRDefault="002E06CD" w:rsidP="009F0F3B">
            <w:pPr>
              <w:pStyle w:val="Doccode"/>
              <w:rPr>
                <w:lang w:val="de-DE"/>
              </w:rPr>
            </w:pPr>
            <w:r w:rsidRPr="00682646">
              <w:rPr>
                <w:lang w:val="de-DE"/>
              </w:rPr>
              <w:t>C/59/9</w:t>
            </w:r>
          </w:p>
          <w:p w14:paraId="274305A3" w14:textId="54F104B4" w:rsidR="002E06CD" w:rsidRPr="00682646" w:rsidRDefault="002E06CD" w:rsidP="009F0F3B">
            <w:pPr>
              <w:pStyle w:val="Docoriginal"/>
            </w:pPr>
            <w:r w:rsidRPr="00682646">
              <w:t>Original:</w:t>
            </w:r>
            <w:r w:rsidR="006A3ACC" w:rsidRPr="00682646">
              <w:rPr>
                <w:b w:val="0"/>
                <w:spacing w:val="0"/>
              </w:rPr>
              <w:t xml:space="preserve"> </w:t>
            </w:r>
            <w:r w:rsidRPr="00682646">
              <w:rPr>
                <w:b w:val="0"/>
                <w:spacing w:val="0"/>
              </w:rPr>
              <w:t>Englisch</w:t>
            </w:r>
          </w:p>
          <w:p w14:paraId="513C0685" w14:textId="3865DB88" w:rsidR="002E06CD" w:rsidRPr="008474CF" w:rsidRDefault="002E06CD" w:rsidP="009F0F3B">
            <w:pPr>
              <w:pStyle w:val="Docoriginal"/>
            </w:pPr>
            <w:r w:rsidRPr="00682646">
              <w:t>Datum:</w:t>
            </w:r>
            <w:r w:rsidR="006A3ACC" w:rsidRPr="00682646">
              <w:rPr>
                <w:b w:val="0"/>
                <w:spacing w:val="0"/>
              </w:rPr>
              <w:t xml:space="preserve"> </w:t>
            </w:r>
            <w:r w:rsidRPr="00682646">
              <w:rPr>
                <w:b w:val="0"/>
                <w:spacing w:val="0"/>
              </w:rPr>
              <w:t xml:space="preserve"> </w:t>
            </w:r>
            <w:r w:rsidR="00EC68DE" w:rsidRPr="00682646">
              <w:rPr>
                <w:b w:val="0"/>
                <w:spacing w:val="0"/>
              </w:rPr>
              <w:t>2</w:t>
            </w:r>
            <w:r w:rsidR="00682646" w:rsidRPr="00682646">
              <w:rPr>
                <w:b w:val="0"/>
                <w:spacing w:val="0"/>
              </w:rPr>
              <w:t>9</w:t>
            </w:r>
            <w:r w:rsidR="00EC68DE" w:rsidRPr="00682646">
              <w:rPr>
                <w:b w:val="0"/>
                <w:spacing w:val="0"/>
              </w:rPr>
              <w:t xml:space="preserve">. </w:t>
            </w:r>
            <w:r w:rsidR="00682646" w:rsidRPr="00682646">
              <w:rPr>
                <w:b w:val="0"/>
                <w:spacing w:val="0"/>
              </w:rPr>
              <w:t xml:space="preserve">August </w:t>
            </w:r>
            <w:r w:rsidRPr="00682646">
              <w:rPr>
                <w:b w:val="0"/>
                <w:spacing w:val="0"/>
              </w:rPr>
              <w:t>2025</w:t>
            </w:r>
          </w:p>
        </w:tc>
      </w:tr>
    </w:tbl>
    <w:p w14:paraId="3C4738FD" w14:textId="3159DBB5" w:rsidR="002E06CD" w:rsidRPr="008474CF" w:rsidRDefault="00FE02C9" w:rsidP="002E06CD">
      <w:pPr>
        <w:pStyle w:val="Titleofdoc0"/>
        <w:rPr>
          <w:rFonts w:cs="Arial"/>
        </w:rPr>
      </w:pPr>
      <w:r w:rsidRPr="008474CF">
        <w:rPr>
          <w:rFonts w:cs="Arial"/>
        </w:rPr>
        <w:t>Jahresabschluss</w:t>
      </w:r>
      <w:r w:rsidR="002E06CD" w:rsidRPr="008474CF">
        <w:rPr>
          <w:rFonts w:cs="Arial"/>
        </w:rPr>
        <w:t xml:space="preserve"> 2024</w:t>
      </w:r>
    </w:p>
    <w:p w14:paraId="56ED546D" w14:textId="77777777" w:rsidR="002E06CD" w:rsidRPr="008474CF" w:rsidRDefault="002E06CD" w:rsidP="002E06CD">
      <w:pPr>
        <w:pStyle w:val="preparedby1"/>
        <w:jc w:val="left"/>
      </w:pPr>
      <w:r w:rsidRPr="008474CF">
        <w:t>Vom Verbandsbüro erstelltes Dokument</w:t>
      </w:r>
    </w:p>
    <w:p w14:paraId="69CCB7C8" w14:textId="18727AB5" w:rsidR="002E06CD" w:rsidRPr="008474CF" w:rsidRDefault="002E06CD" w:rsidP="002E06CD">
      <w:pPr>
        <w:pStyle w:val="Disclaimer"/>
        <w:rPr>
          <w:lang w:val="de-DE"/>
        </w:rPr>
      </w:pPr>
      <w:r w:rsidRPr="008474CF">
        <w:rPr>
          <w:lang w:val="de-DE"/>
        </w:rPr>
        <w:t xml:space="preserve">Haftungsausschluss: </w:t>
      </w:r>
      <w:r w:rsidR="00F8205E" w:rsidRPr="008474CF">
        <w:rPr>
          <w:lang w:val="de-DE"/>
        </w:rPr>
        <w:t>d</w:t>
      </w:r>
      <w:r w:rsidRPr="008474CF">
        <w:rPr>
          <w:lang w:val="de-DE"/>
        </w:rPr>
        <w:t xml:space="preserve">ieses Dokument </w:t>
      </w:r>
      <w:r w:rsidR="00F8205E" w:rsidRPr="008474CF">
        <w:rPr>
          <w:lang w:val="de-DE"/>
        </w:rPr>
        <w:t>gibt nicht die Grundsätze</w:t>
      </w:r>
      <w:r w:rsidRPr="008474CF">
        <w:rPr>
          <w:lang w:val="de-DE"/>
        </w:rPr>
        <w:t xml:space="preserve"> oder </w:t>
      </w:r>
      <w:r w:rsidR="00F8205E" w:rsidRPr="008474CF">
        <w:rPr>
          <w:lang w:val="de-DE"/>
        </w:rPr>
        <w:t xml:space="preserve">eine </w:t>
      </w:r>
      <w:r w:rsidRPr="008474CF">
        <w:rPr>
          <w:lang w:val="de-DE"/>
        </w:rPr>
        <w:t xml:space="preserve">Anleitung der UPOV </w:t>
      </w:r>
      <w:r w:rsidR="001D79EE" w:rsidRPr="008474CF">
        <w:rPr>
          <w:lang w:val="de-DE"/>
        </w:rPr>
        <w:t>wieder</w:t>
      </w:r>
    </w:p>
    <w:p w14:paraId="164007CB" w14:textId="57F34E45" w:rsidR="008D5067" w:rsidRPr="008474CF" w:rsidRDefault="008D5067" w:rsidP="008D5067">
      <w:pPr>
        <w:rPr>
          <w:rFonts w:cs="Arial"/>
        </w:rPr>
      </w:pPr>
      <w:r w:rsidRPr="008474CF">
        <w:rPr>
          <w:rFonts w:cs="Arial"/>
        </w:rPr>
        <w:fldChar w:fldCharType="begin"/>
      </w:r>
      <w:r w:rsidRPr="008474CF">
        <w:rPr>
          <w:rFonts w:cs="Arial"/>
        </w:rPr>
        <w:instrText xml:space="preserve"> AUTONUM  </w:instrText>
      </w:r>
      <w:r w:rsidRPr="008474CF">
        <w:rPr>
          <w:rFonts w:cs="Arial"/>
        </w:rPr>
        <w:fldChar w:fldCharType="end"/>
      </w:r>
      <w:r w:rsidRPr="008474CF">
        <w:rPr>
          <w:rFonts w:cs="Arial"/>
        </w:rPr>
        <w:tab/>
      </w:r>
      <w:r w:rsidR="00C00703" w:rsidRPr="008474CF">
        <w:rPr>
          <w:rFonts w:cs="Arial"/>
        </w:rPr>
        <w:t xml:space="preserve">Der Jahresabschluss der UPOV für das am 31. Dezember </w:t>
      </w:r>
      <w:r w:rsidR="00CE69E0" w:rsidRPr="008474CF">
        <w:rPr>
          <w:rFonts w:cs="Arial"/>
        </w:rPr>
        <w:t xml:space="preserve">2024 </w:t>
      </w:r>
      <w:r w:rsidR="00C00703" w:rsidRPr="008474CF">
        <w:rPr>
          <w:rFonts w:cs="Arial"/>
        </w:rPr>
        <w:t>abgelaufene Rechnungsjahr wird dem Rat gemäß Regel 6.5 der Finanzordnung und ihrer Durchführungsbestimmungen der UPOV (Dokument UPOV/INF/4/6), die erfordert, dass der Rat den Jahresabschluss prüft und billigt, vorgelegt. Der Jahresabschluss für</w:t>
      </w:r>
      <w:r w:rsidR="00AC2768" w:rsidRPr="008474CF">
        <w:rPr>
          <w:rFonts w:cs="Arial"/>
        </w:rPr>
        <w:t xml:space="preserve"> das Jahr</w:t>
      </w:r>
      <w:r w:rsidR="00C00703" w:rsidRPr="008474CF">
        <w:rPr>
          <w:rFonts w:cs="Arial"/>
        </w:rPr>
        <w:t xml:space="preserve"> </w:t>
      </w:r>
      <w:r w:rsidR="00CE69E0" w:rsidRPr="008474CF">
        <w:rPr>
          <w:rFonts w:cs="Arial"/>
        </w:rPr>
        <w:t xml:space="preserve">2024 </w:t>
      </w:r>
      <w:r w:rsidR="00C00703" w:rsidRPr="008474CF">
        <w:rPr>
          <w:rFonts w:cs="Arial"/>
        </w:rPr>
        <w:t>ist in der Anlage dieses Dokuments dargelegt. Die Anlage enthält auch die vom Generalsekretär unterzeichnete Erklärung der UPOV bezüglich interner Kontrolle. Dokument C/</w:t>
      </w:r>
      <w:r w:rsidR="00CE69E0" w:rsidRPr="008474CF">
        <w:rPr>
          <w:rFonts w:cs="Arial"/>
        </w:rPr>
        <w:t>59</w:t>
      </w:r>
      <w:r w:rsidR="00C00703" w:rsidRPr="008474CF">
        <w:rPr>
          <w:rFonts w:cs="Arial"/>
        </w:rPr>
        <w:t>/10 enthält den Rechnungsprüfungsbericht des Externen Revisors</w:t>
      </w:r>
      <w:r w:rsidRPr="008474CF">
        <w:rPr>
          <w:rFonts w:cs="Arial"/>
        </w:rPr>
        <w:t>.</w:t>
      </w:r>
    </w:p>
    <w:p w14:paraId="3177BD54" w14:textId="77777777" w:rsidR="008D5067" w:rsidRPr="008474CF" w:rsidRDefault="008D5067" w:rsidP="008D5067">
      <w:pPr>
        <w:rPr>
          <w:rFonts w:cs="Arial"/>
        </w:rPr>
      </w:pPr>
    </w:p>
    <w:p w14:paraId="59A71D66" w14:textId="2CAD0948" w:rsidR="008D5067" w:rsidRPr="008474CF" w:rsidRDefault="008D5067" w:rsidP="008D5067">
      <w:pPr>
        <w:rPr>
          <w:rFonts w:cs="Arial"/>
        </w:rPr>
      </w:pPr>
      <w:r w:rsidRPr="008474CF">
        <w:rPr>
          <w:rFonts w:cs="Arial"/>
        </w:rPr>
        <w:fldChar w:fldCharType="begin"/>
      </w:r>
      <w:r w:rsidRPr="008474CF">
        <w:rPr>
          <w:rFonts w:cs="Arial"/>
        </w:rPr>
        <w:instrText xml:space="preserve"> AUTONUM  </w:instrText>
      </w:r>
      <w:r w:rsidRPr="008474CF">
        <w:rPr>
          <w:rFonts w:cs="Arial"/>
        </w:rPr>
        <w:fldChar w:fldCharType="end"/>
      </w:r>
      <w:r w:rsidRPr="008474CF">
        <w:rPr>
          <w:rFonts w:cs="Arial"/>
        </w:rPr>
        <w:tab/>
      </w:r>
      <w:r w:rsidR="003A481E" w:rsidRPr="008474CF">
        <w:rPr>
          <w:rFonts w:cs="Arial"/>
        </w:rPr>
        <w:t xml:space="preserve">Der Jahresabschluss </w:t>
      </w:r>
      <w:r w:rsidR="00B426FC" w:rsidRPr="008474CF">
        <w:rPr>
          <w:rFonts w:cs="Arial"/>
        </w:rPr>
        <w:t>für</w:t>
      </w:r>
      <w:r w:rsidR="0019500A" w:rsidRPr="008474CF">
        <w:rPr>
          <w:rFonts w:cs="Arial"/>
        </w:rPr>
        <w:t xml:space="preserve"> das Jahr</w:t>
      </w:r>
      <w:r w:rsidR="00B426FC" w:rsidRPr="008474CF">
        <w:rPr>
          <w:rFonts w:cs="Arial"/>
        </w:rPr>
        <w:t xml:space="preserve"> </w:t>
      </w:r>
      <w:r w:rsidR="00F676F4" w:rsidRPr="008474CF">
        <w:rPr>
          <w:rFonts w:cs="Arial"/>
        </w:rPr>
        <w:t xml:space="preserve">2024 </w:t>
      </w:r>
      <w:r w:rsidR="003A481E" w:rsidRPr="008474CF">
        <w:rPr>
          <w:rFonts w:cs="Arial"/>
        </w:rPr>
        <w:t xml:space="preserve">wurde gemäß den Internationalen Rechnungslegungsstandards für den öffentlichen Sektor (IPSAS) erstellt. Auf seiner fünfundvierzigsten ordentlichen Tagung am 20. Oktober 2011 in Genf vereinbarte der Rat den Übergang der UPOV zu den IPSAS ab dem 2012 beginnenden Rechnungsjahr (vergleiche Dokument C/45/18 </w:t>
      </w:r>
      <w:r w:rsidR="00753728" w:rsidRPr="008474CF">
        <w:rPr>
          <w:rFonts w:cs="Arial"/>
        </w:rPr>
        <w:t>„</w:t>
      </w:r>
      <w:r w:rsidR="003A481E" w:rsidRPr="008474CF">
        <w:rPr>
          <w:rFonts w:cs="Arial"/>
        </w:rPr>
        <w:t>Bericht”, Absatz 9 Buchstabe b))</w:t>
      </w:r>
      <w:r w:rsidR="001C7937" w:rsidRPr="008474CF">
        <w:rPr>
          <w:rFonts w:cs="Arial"/>
        </w:rPr>
        <w:t xml:space="preserve">. </w:t>
      </w:r>
    </w:p>
    <w:p w14:paraId="7B1FC2BE" w14:textId="77777777" w:rsidR="001C7937" w:rsidRPr="008474CF" w:rsidRDefault="001C7937" w:rsidP="008D5067">
      <w:pPr>
        <w:rPr>
          <w:rFonts w:cs="Arial"/>
        </w:rPr>
      </w:pPr>
    </w:p>
    <w:p w14:paraId="0C7EFA6C" w14:textId="2CBA2C9D" w:rsidR="008D5067" w:rsidRPr="008474CF" w:rsidRDefault="008D5067" w:rsidP="008D5067">
      <w:pPr>
        <w:pStyle w:val="DecisionParagraphs"/>
        <w:rPr>
          <w:rFonts w:cs="Arial"/>
        </w:rPr>
      </w:pPr>
      <w:r w:rsidRPr="008474CF">
        <w:rPr>
          <w:rFonts w:cs="Arial"/>
        </w:rPr>
        <w:fldChar w:fldCharType="begin"/>
      </w:r>
      <w:r w:rsidRPr="008474CF">
        <w:rPr>
          <w:rFonts w:cs="Arial"/>
        </w:rPr>
        <w:instrText xml:space="preserve"> AUTONUM  </w:instrText>
      </w:r>
      <w:r w:rsidRPr="008474CF">
        <w:rPr>
          <w:rFonts w:cs="Arial"/>
        </w:rPr>
        <w:fldChar w:fldCharType="end"/>
      </w:r>
      <w:r w:rsidRPr="008474CF">
        <w:rPr>
          <w:rFonts w:cs="Arial"/>
        </w:rPr>
        <w:tab/>
      </w:r>
      <w:r w:rsidR="00EE0702" w:rsidRPr="008474CF">
        <w:rPr>
          <w:rFonts w:cs="Arial"/>
        </w:rPr>
        <w:t xml:space="preserve">Der Rat wird </w:t>
      </w:r>
      <w:r w:rsidRPr="008474CF">
        <w:rPr>
          <w:rFonts w:cs="Arial"/>
        </w:rPr>
        <w:t xml:space="preserve">ersucht, </w:t>
      </w:r>
      <w:r w:rsidR="00820978" w:rsidRPr="008474CF">
        <w:rPr>
          <w:rFonts w:cs="Arial"/>
        </w:rPr>
        <w:t xml:space="preserve">den Jahresabschluss für </w:t>
      </w:r>
      <w:r w:rsidR="0019500A" w:rsidRPr="008474CF">
        <w:rPr>
          <w:rFonts w:cs="Arial"/>
        </w:rPr>
        <w:t xml:space="preserve">das Jahr </w:t>
      </w:r>
      <w:r w:rsidR="004B258C" w:rsidRPr="008474CF">
        <w:rPr>
          <w:rFonts w:cs="Arial"/>
        </w:rPr>
        <w:t xml:space="preserve">2024 </w:t>
      </w:r>
      <w:r w:rsidRPr="008474CF">
        <w:rPr>
          <w:rFonts w:cs="Arial"/>
        </w:rPr>
        <w:t>zu prüfen und zu billigen.</w:t>
      </w:r>
    </w:p>
    <w:p w14:paraId="7E59BD66" w14:textId="77777777" w:rsidR="00050E16" w:rsidRPr="008474CF" w:rsidRDefault="00050E16" w:rsidP="004B1215">
      <w:pPr>
        <w:rPr>
          <w:rFonts w:cs="Arial"/>
        </w:rPr>
      </w:pPr>
    </w:p>
    <w:p w14:paraId="53C3ECC9" w14:textId="77777777" w:rsidR="00050E16" w:rsidRPr="008474CF" w:rsidRDefault="00050E16" w:rsidP="00050E16">
      <w:pPr>
        <w:rPr>
          <w:rFonts w:cs="Arial"/>
        </w:rPr>
      </w:pPr>
    </w:p>
    <w:p w14:paraId="1E5FC93E" w14:textId="77777777" w:rsidR="00544581" w:rsidRPr="008474CF" w:rsidRDefault="00544581">
      <w:pPr>
        <w:jc w:val="left"/>
        <w:rPr>
          <w:rFonts w:cs="Arial"/>
        </w:rPr>
      </w:pPr>
    </w:p>
    <w:p w14:paraId="5BB80A6A" w14:textId="6A1C53CA" w:rsidR="009B440E" w:rsidRPr="008474CF" w:rsidRDefault="00050E16" w:rsidP="00050E16">
      <w:pPr>
        <w:jc w:val="right"/>
        <w:rPr>
          <w:rFonts w:cs="Arial"/>
        </w:rPr>
      </w:pPr>
      <w:r w:rsidRPr="008474CF">
        <w:rPr>
          <w:rFonts w:cs="Arial"/>
        </w:rPr>
        <w:t>[</w:t>
      </w:r>
      <w:r w:rsidR="0005526B" w:rsidRPr="008474CF">
        <w:rPr>
          <w:rFonts w:cs="Arial"/>
        </w:rPr>
        <w:t>Anlage</w:t>
      </w:r>
      <w:r w:rsidR="008D5067" w:rsidRPr="008474CF">
        <w:rPr>
          <w:rFonts w:cs="Arial"/>
        </w:rPr>
        <w:t xml:space="preserve"> folgt</w:t>
      </w:r>
      <w:r w:rsidRPr="008474CF">
        <w:rPr>
          <w:rFonts w:cs="Arial"/>
        </w:rPr>
        <w:t>]</w:t>
      </w:r>
    </w:p>
    <w:p w14:paraId="3E747BDE" w14:textId="77777777" w:rsidR="008D5067" w:rsidRPr="008474CF" w:rsidRDefault="008D5067">
      <w:pPr>
        <w:jc w:val="left"/>
        <w:rPr>
          <w:rFonts w:cs="Arial"/>
        </w:rPr>
        <w:sectPr w:rsidR="008D5067" w:rsidRPr="008474CF" w:rsidSect="001C7937">
          <w:headerReference w:type="even" r:id="rId9"/>
          <w:headerReference w:type="default" r:id="rId10"/>
          <w:pgSz w:w="11907" w:h="16840" w:code="9"/>
          <w:pgMar w:top="510" w:right="1134" w:bottom="1134" w:left="1134" w:header="510" w:footer="680" w:gutter="0"/>
          <w:cols w:space="720"/>
          <w:titlePg/>
          <w:docGrid w:linePitch="272"/>
        </w:sectPr>
      </w:pPr>
    </w:p>
    <w:p w14:paraId="15C0DB0D" w14:textId="77777777" w:rsidR="00A824AF" w:rsidRPr="008474CF" w:rsidRDefault="00A824AF" w:rsidP="00A824AF">
      <w:pPr>
        <w:jc w:val="center"/>
        <w:rPr>
          <w:rFonts w:cs="Arial"/>
          <w:b/>
          <w:bCs/>
          <w:snapToGrid w:val="0"/>
          <w:spacing w:val="8"/>
        </w:rPr>
      </w:pPr>
      <w:r w:rsidRPr="008474CF">
        <w:rPr>
          <w:rFonts w:cs="Arial"/>
          <w:b/>
          <w:bCs/>
          <w:snapToGrid w:val="0"/>
          <w:spacing w:val="8"/>
        </w:rPr>
        <w:lastRenderedPageBreak/>
        <w:t>INTERNATIONALER VERBAND ZUM SCHUTZ VON PFLANZENZÜCHTUNGEN</w:t>
      </w:r>
    </w:p>
    <w:p w14:paraId="22A04EAD" w14:textId="77777777" w:rsidR="00A824AF" w:rsidRPr="008474CF" w:rsidRDefault="00A824AF" w:rsidP="00A824AF">
      <w:pPr>
        <w:jc w:val="center"/>
        <w:rPr>
          <w:rFonts w:cs="Arial"/>
          <w:b/>
          <w:bCs/>
          <w:snapToGrid w:val="0"/>
          <w:spacing w:val="8"/>
        </w:rPr>
      </w:pPr>
    </w:p>
    <w:p w14:paraId="7AF70B3A" w14:textId="51183F40" w:rsidR="00A824AF" w:rsidRPr="008474CF" w:rsidRDefault="00FE02C9" w:rsidP="00A824AF">
      <w:pPr>
        <w:jc w:val="center"/>
        <w:rPr>
          <w:rFonts w:cs="Arial"/>
        </w:rPr>
      </w:pPr>
      <w:r w:rsidRPr="008474CF">
        <w:rPr>
          <w:rFonts w:cs="Arial"/>
        </w:rPr>
        <w:t>Jahresabschluss</w:t>
      </w:r>
      <w:r w:rsidR="00A824AF" w:rsidRPr="008474CF">
        <w:rPr>
          <w:rFonts w:cs="Arial"/>
        </w:rPr>
        <w:t xml:space="preserve"> für das </w:t>
      </w:r>
      <w:r w:rsidR="00140ED9" w:rsidRPr="008474CF">
        <w:rPr>
          <w:rFonts w:cs="Arial"/>
        </w:rPr>
        <w:t>am 31. Dezember 2024 abgelaufene Rechnungsjahr</w:t>
      </w:r>
    </w:p>
    <w:p w14:paraId="72769BBD" w14:textId="77777777" w:rsidR="00024115" w:rsidRPr="008474CF" w:rsidRDefault="00024115" w:rsidP="00DE3D35">
      <w:pPr>
        <w:tabs>
          <w:tab w:val="right" w:pos="9639"/>
        </w:tabs>
        <w:rPr>
          <w:rFonts w:cs="Arial"/>
        </w:rPr>
      </w:pPr>
    </w:p>
    <w:p w14:paraId="4B41A29D" w14:textId="77777777" w:rsidR="000357D6" w:rsidRPr="008474CF" w:rsidRDefault="000357D6" w:rsidP="00DB2733">
      <w:pPr>
        <w:pStyle w:val="Heading1"/>
        <w:rPr>
          <w:rFonts w:cs="Arial"/>
          <w:lang w:val="de-DE"/>
        </w:rPr>
      </w:pPr>
    </w:p>
    <w:sdt>
      <w:sdtPr>
        <w:rPr>
          <w:rFonts w:ascii="Arial" w:eastAsia="Times New Roman" w:hAnsi="Arial" w:cs="Arial"/>
          <w:color w:val="auto"/>
          <w:sz w:val="20"/>
          <w:szCs w:val="20"/>
          <w:lang w:val="de-DE"/>
        </w:rPr>
        <w:id w:val="881980883"/>
        <w:docPartObj>
          <w:docPartGallery w:val="Table of Contents"/>
          <w:docPartUnique/>
        </w:docPartObj>
      </w:sdtPr>
      <w:sdtEndPr>
        <w:rPr>
          <w:b/>
          <w:bCs/>
        </w:rPr>
      </w:sdtEndPr>
      <w:sdtContent>
        <w:p w14:paraId="30082BBD" w14:textId="77777777" w:rsidR="000357D6" w:rsidRPr="008474CF" w:rsidRDefault="000357D6">
          <w:pPr>
            <w:pStyle w:val="TOCHeading"/>
            <w:rPr>
              <w:rFonts w:ascii="Arial" w:hAnsi="Arial" w:cs="Arial"/>
              <w:color w:val="auto"/>
              <w:sz w:val="20"/>
              <w:szCs w:val="20"/>
              <w:lang w:val="de-DE"/>
            </w:rPr>
          </w:pPr>
          <w:r w:rsidRPr="008474CF">
            <w:rPr>
              <w:rFonts w:ascii="Arial" w:hAnsi="Arial" w:cs="Arial"/>
              <w:color w:val="auto"/>
              <w:sz w:val="20"/>
              <w:szCs w:val="20"/>
              <w:lang w:val="de-DE"/>
            </w:rPr>
            <w:t>Inhalt</w:t>
          </w:r>
        </w:p>
        <w:p w14:paraId="19BCE69E" w14:textId="132FC6A1" w:rsidR="000D35E5" w:rsidRPr="008474CF" w:rsidRDefault="000357D6">
          <w:pPr>
            <w:pStyle w:val="TOC1"/>
            <w:rPr>
              <w:rFonts w:asciiTheme="minorHAnsi" w:eastAsiaTheme="minorEastAsia" w:hAnsiTheme="minorHAnsi" w:cstheme="minorBidi"/>
              <w:caps w:val="0"/>
              <w:kern w:val="2"/>
              <w:sz w:val="24"/>
              <w:szCs w:val="24"/>
              <w:lang w:val="de-DE" w:eastAsia="en-GB"/>
              <w14:ligatures w14:val="standardContextual"/>
            </w:rPr>
          </w:pPr>
          <w:r w:rsidRPr="008474CF">
            <w:rPr>
              <w:rFonts w:cs="Arial"/>
              <w:noProof w:val="0"/>
              <w:lang w:val="de-DE"/>
            </w:rPr>
            <w:fldChar w:fldCharType="begin"/>
          </w:r>
          <w:r w:rsidRPr="008474CF">
            <w:rPr>
              <w:rFonts w:cs="Arial"/>
              <w:noProof w:val="0"/>
              <w:lang w:val="de-DE"/>
            </w:rPr>
            <w:instrText xml:space="preserve"> TOC \o "1-3" \h \z \u </w:instrText>
          </w:r>
          <w:r w:rsidRPr="008474CF">
            <w:rPr>
              <w:rFonts w:cs="Arial"/>
              <w:noProof w:val="0"/>
              <w:lang w:val="de-DE"/>
            </w:rPr>
            <w:fldChar w:fldCharType="separate"/>
          </w:r>
          <w:hyperlink w:anchor="_Toc205303739" w:history="1">
            <w:r w:rsidR="000D35E5" w:rsidRPr="008474CF">
              <w:rPr>
                <w:rStyle w:val="Hyperlink"/>
                <w:rFonts w:cs="Arial"/>
                <w:lang w:val="de-DE"/>
              </w:rPr>
              <w:t>Einleitung</w:t>
            </w:r>
            <w:r w:rsidR="000D35E5" w:rsidRPr="008474CF">
              <w:rPr>
                <w:webHidden/>
                <w:lang w:val="de-DE"/>
              </w:rPr>
              <w:tab/>
            </w:r>
            <w:r w:rsidR="000D35E5" w:rsidRPr="008474CF">
              <w:rPr>
                <w:webHidden/>
                <w:lang w:val="de-DE"/>
              </w:rPr>
              <w:fldChar w:fldCharType="begin"/>
            </w:r>
            <w:r w:rsidR="000D35E5" w:rsidRPr="008474CF">
              <w:rPr>
                <w:webHidden/>
                <w:lang w:val="de-DE"/>
              </w:rPr>
              <w:instrText xml:space="preserve"> PAGEREF _Toc205303739 \h </w:instrText>
            </w:r>
            <w:r w:rsidR="000D35E5" w:rsidRPr="008474CF">
              <w:rPr>
                <w:webHidden/>
                <w:lang w:val="de-DE"/>
              </w:rPr>
            </w:r>
            <w:r w:rsidR="000D35E5" w:rsidRPr="008474CF">
              <w:rPr>
                <w:webHidden/>
                <w:lang w:val="de-DE"/>
              </w:rPr>
              <w:fldChar w:fldCharType="separate"/>
            </w:r>
            <w:r w:rsidR="001521C2">
              <w:rPr>
                <w:webHidden/>
                <w:lang w:val="de-DE"/>
              </w:rPr>
              <w:t>2</w:t>
            </w:r>
            <w:r w:rsidR="000D35E5" w:rsidRPr="008474CF">
              <w:rPr>
                <w:webHidden/>
                <w:lang w:val="de-DE"/>
              </w:rPr>
              <w:fldChar w:fldCharType="end"/>
            </w:r>
          </w:hyperlink>
        </w:p>
        <w:p w14:paraId="7EE7E9B3" w14:textId="784803FC" w:rsidR="000D35E5" w:rsidRPr="008474CF" w:rsidRDefault="000D35E5">
          <w:pPr>
            <w:pStyle w:val="TOC1"/>
            <w:rPr>
              <w:rFonts w:asciiTheme="minorHAnsi" w:eastAsiaTheme="minorEastAsia" w:hAnsiTheme="minorHAnsi" w:cstheme="minorBidi"/>
              <w:caps w:val="0"/>
              <w:kern w:val="2"/>
              <w:sz w:val="24"/>
              <w:szCs w:val="24"/>
              <w:lang w:val="de-DE" w:eastAsia="en-GB"/>
              <w14:ligatures w14:val="standardContextual"/>
            </w:rPr>
          </w:pPr>
          <w:hyperlink w:anchor="_Toc205303740" w:history="1">
            <w:r w:rsidRPr="008474CF">
              <w:rPr>
                <w:rStyle w:val="Hyperlink"/>
                <w:rFonts w:cs="Arial"/>
                <w:lang w:val="de-DE"/>
              </w:rPr>
              <w:t>Ergebnisse für das am 31. Dezember 2024 abgelaufene Rechnungskahr</w:t>
            </w:r>
            <w:r w:rsidRPr="008474CF">
              <w:rPr>
                <w:webHidden/>
                <w:lang w:val="de-DE"/>
              </w:rPr>
              <w:tab/>
            </w:r>
            <w:r w:rsidRPr="008474CF">
              <w:rPr>
                <w:webHidden/>
                <w:lang w:val="de-DE"/>
              </w:rPr>
              <w:fldChar w:fldCharType="begin"/>
            </w:r>
            <w:r w:rsidRPr="008474CF">
              <w:rPr>
                <w:webHidden/>
                <w:lang w:val="de-DE"/>
              </w:rPr>
              <w:instrText xml:space="preserve"> PAGEREF _Toc205303740 \h </w:instrText>
            </w:r>
            <w:r w:rsidRPr="008474CF">
              <w:rPr>
                <w:webHidden/>
                <w:lang w:val="de-DE"/>
              </w:rPr>
            </w:r>
            <w:r w:rsidRPr="008474CF">
              <w:rPr>
                <w:webHidden/>
                <w:lang w:val="de-DE"/>
              </w:rPr>
              <w:fldChar w:fldCharType="separate"/>
            </w:r>
            <w:r w:rsidR="001521C2">
              <w:rPr>
                <w:webHidden/>
                <w:lang w:val="de-DE"/>
              </w:rPr>
              <w:t>2</w:t>
            </w:r>
            <w:r w:rsidRPr="008474CF">
              <w:rPr>
                <w:webHidden/>
                <w:lang w:val="de-DE"/>
              </w:rPr>
              <w:fldChar w:fldCharType="end"/>
            </w:r>
          </w:hyperlink>
        </w:p>
        <w:p w14:paraId="21FD81F9" w14:textId="0C265E8B" w:rsidR="000D35E5" w:rsidRPr="008474CF" w:rsidRDefault="000D35E5">
          <w:pPr>
            <w:pStyle w:val="TOC2"/>
            <w:rPr>
              <w:rFonts w:asciiTheme="minorHAnsi" w:eastAsiaTheme="minorEastAsia" w:hAnsiTheme="minorHAnsi" w:cstheme="minorBidi"/>
              <w:kern w:val="2"/>
              <w:sz w:val="24"/>
              <w:szCs w:val="24"/>
              <w:lang w:val="de-DE" w:eastAsia="en-GB"/>
              <w14:ligatures w14:val="standardContextual"/>
            </w:rPr>
          </w:pPr>
          <w:hyperlink w:anchor="_Toc205303741" w:history="1">
            <w:r w:rsidRPr="008474CF">
              <w:rPr>
                <w:rStyle w:val="Hyperlink"/>
                <w:rFonts w:cs="Arial"/>
                <w:lang w:val="de-DE"/>
              </w:rPr>
              <w:t>Erstellung des Jahresabschlusses gemäß IPSAS</w:t>
            </w:r>
            <w:r w:rsidRPr="008474CF">
              <w:rPr>
                <w:webHidden/>
                <w:lang w:val="de-DE"/>
              </w:rPr>
              <w:tab/>
            </w:r>
            <w:r w:rsidRPr="008474CF">
              <w:rPr>
                <w:webHidden/>
                <w:lang w:val="de-DE"/>
              </w:rPr>
              <w:fldChar w:fldCharType="begin"/>
            </w:r>
            <w:r w:rsidRPr="008474CF">
              <w:rPr>
                <w:webHidden/>
                <w:lang w:val="de-DE"/>
              </w:rPr>
              <w:instrText xml:space="preserve"> PAGEREF _Toc205303741 \h </w:instrText>
            </w:r>
            <w:r w:rsidRPr="008474CF">
              <w:rPr>
                <w:webHidden/>
                <w:lang w:val="de-DE"/>
              </w:rPr>
            </w:r>
            <w:r w:rsidRPr="008474CF">
              <w:rPr>
                <w:webHidden/>
                <w:lang w:val="de-DE"/>
              </w:rPr>
              <w:fldChar w:fldCharType="separate"/>
            </w:r>
            <w:r w:rsidR="001521C2">
              <w:rPr>
                <w:webHidden/>
                <w:lang w:val="de-DE"/>
              </w:rPr>
              <w:t>2</w:t>
            </w:r>
            <w:r w:rsidRPr="008474CF">
              <w:rPr>
                <w:webHidden/>
                <w:lang w:val="de-DE"/>
              </w:rPr>
              <w:fldChar w:fldCharType="end"/>
            </w:r>
          </w:hyperlink>
        </w:p>
        <w:p w14:paraId="156FF05F" w14:textId="6803810F" w:rsidR="000D35E5" w:rsidRPr="008474CF" w:rsidRDefault="000D35E5">
          <w:pPr>
            <w:pStyle w:val="TOC2"/>
            <w:rPr>
              <w:rFonts w:asciiTheme="minorHAnsi" w:eastAsiaTheme="minorEastAsia" w:hAnsiTheme="minorHAnsi" w:cstheme="minorBidi"/>
              <w:kern w:val="2"/>
              <w:sz w:val="24"/>
              <w:szCs w:val="24"/>
              <w:lang w:val="de-DE" w:eastAsia="en-GB"/>
              <w14:ligatures w14:val="standardContextual"/>
            </w:rPr>
          </w:pPr>
          <w:hyperlink w:anchor="_Toc205303742" w:history="1">
            <w:r w:rsidRPr="008474CF">
              <w:rPr>
                <w:rStyle w:val="Hyperlink"/>
                <w:rFonts w:cs="Arial"/>
                <w:lang w:val="de-DE"/>
              </w:rPr>
              <w:t>Erfolgsrechnung</w:t>
            </w:r>
            <w:r w:rsidRPr="008474CF">
              <w:rPr>
                <w:webHidden/>
                <w:lang w:val="de-DE"/>
              </w:rPr>
              <w:tab/>
            </w:r>
            <w:r w:rsidRPr="008474CF">
              <w:rPr>
                <w:webHidden/>
                <w:lang w:val="de-DE"/>
              </w:rPr>
              <w:fldChar w:fldCharType="begin"/>
            </w:r>
            <w:r w:rsidRPr="008474CF">
              <w:rPr>
                <w:webHidden/>
                <w:lang w:val="de-DE"/>
              </w:rPr>
              <w:instrText xml:space="preserve"> PAGEREF _Toc205303742 \h </w:instrText>
            </w:r>
            <w:r w:rsidRPr="008474CF">
              <w:rPr>
                <w:webHidden/>
                <w:lang w:val="de-DE"/>
              </w:rPr>
            </w:r>
            <w:r w:rsidRPr="008474CF">
              <w:rPr>
                <w:webHidden/>
                <w:lang w:val="de-DE"/>
              </w:rPr>
              <w:fldChar w:fldCharType="separate"/>
            </w:r>
            <w:r w:rsidR="001521C2">
              <w:rPr>
                <w:webHidden/>
                <w:lang w:val="de-DE"/>
              </w:rPr>
              <w:t>3</w:t>
            </w:r>
            <w:r w:rsidRPr="008474CF">
              <w:rPr>
                <w:webHidden/>
                <w:lang w:val="de-DE"/>
              </w:rPr>
              <w:fldChar w:fldCharType="end"/>
            </w:r>
          </w:hyperlink>
        </w:p>
        <w:p w14:paraId="026527DC" w14:textId="05527C49" w:rsidR="000D35E5" w:rsidRPr="008474CF" w:rsidRDefault="000D35E5">
          <w:pPr>
            <w:pStyle w:val="TOC2"/>
            <w:rPr>
              <w:rFonts w:asciiTheme="minorHAnsi" w:eastAsiaTheme="minorEastAsia" w:hAnsiTheme="minorHAnsi" w:cstheme="minorBidi"/>
              <w:kern w:val="2"/>
              <w:sz w:val="24"/>
              <w:szCs w:val="24"/>
              <w:lang w:val="de-DE" w:eastAsia="en-GB"/>
              <w14:ligatures w14:val="standardContextual"/>
            </w:rPr>
          </w:pPr>
          <w:hyperlink w:anchor="_Toc205303743" w:history="1">
            <w:r w:rsidRPr="008474CF">
              <w:rPr>
                <w:rStyle w:val="Hyperlink"/>
                <w:rFonts w:cs="Arial"/>
                <w:lang w:val="de-DE"/>
              </w:rPr>
              <w:t>Finanzlage</w:t>
            </w:r>
            <w:r w:rsidRPr="008474CF">
              <w:rPr>
                <w:webHidden/>
                <w:lang w:val="de-DE"/>
              </w:rPr>
              <w:tab/>
            </w:r>
            <w:r w:rsidRPr="008474CF">
              <w:rPr>
                <w:webHidden/>
                <w:lang w:val="de-DE"/>
              </w:rPr>
              <w:fldChar w:fldCharType="begin"/>
            </w:r>
            <w:r w:rsidRPr="008474CF">
              <w:rPr>
                <w:webHidden/>
                <w:lang w:val="de-DE"/>
              </w:rPr>
              <w:instrText xml:space="preserve"> PAGEREF _Toc205303743 \h </w:instrText>
            </w:r>
            <w:r w:rsidRPr="008474CF">
              <w:rPr>
                <w:webHidden/>
                <w:lang w:val="de-DE"/>
              </w:rPr>
            </w:r>
            <w:r w:rsidRPr="008474CF">
              <w:rPr>
                <w:webHidden/>
                <w:lang w:val="de-DE"/>
              </w:rPr>
              <w:fldChar w:fldCharType="separate"/>
            </w:r>
            <w:r w:rsidR="001521C2">
              <w:rPr>
                <w:webHidden/>
                <w:lang w:val="de-DE"/>
              </w:rPr>
              <w:t>4</w:t>
            </w:r>
            <w:r w:rsidRPr="008474CF">
              <w:rPr>
                <w:webHidden/>
                <w:lang w:val="de-DE"/>
              </w:rPr>
              <w:fldChar w:fldCharType="end"/>
            </w:r>
          </w:hyperlink>
        </w:p>
        <w:p w14:paraId="7DB6D100" w14:textId="5E3BA1F0" w:rsidR="000D35E5" w:rsidRPr="008474CF" w:rsidRDefault="000D35E5">
          <w:pPr>
            <w:pStyle w:val="TOC1"/>
            <w:rPr>
              <w:rFonts w:asciiTheme="minorHAnsi" w:eastAsiaTheme="minorEastAsia" w:hAnsiTheme="minorHAnsi" w:cstheme="minorBidi"/>
              <w:caps w:val="0"/>
              <w:kern w:val="2"/>
              <w:sz w:val="24"/>
              <w:szCs w:val="24"/>
              <w:lang w:val="de-DE" w:eastAsia="en-GB"/>
              <w14:ligatures w14:val="standardContextual"/>
            </w:rPr>
          </w:pPr>
          <w:hyperlink w:anchor="_Toc205303744" w:history="1">
            <w:r w:rsidRPr="008474CF">
              <w:rPr>
                <w:rStyle w:val="Hyperlink"/>
                <w:lang w:val="de-DE"/>
              </w:rPr>
              <w:t>Erklärung bezüglich interner Kontrolle für das Jahr 2024</w:t>
            </w:r>
            <w:r w:rsidRPr="008474CF">
              <w:rPr>
                <w:webHidden/>
                <w:lang w:val="de-DE"/>
              </w:rPr>
              <w:tab/>
            </w:r>
            <w:r w:rsidRPr="008474CF">
              <w:rPr>
                <w:webHidden/>
                <w:lang w:val="de-DE"/>
              </w:rPr>
              <w:fldChar w:fldCharType="begin"/>
            </w:r>
            <w:r w:rsidRPr="008474CF">
              <w:rPr>
                <w:webHidden/>
                <w:lang w:val="de-DE"/>
              </w:rPr>
              <w:instrText xml:space="preserve"> PAGEREF _Toc205303744 \h </w:instrText>
            </w:r>
            <w:r w:rsidRPr="008474CF">
              <w:rPr>
                <w:webHidden/>
                <w:lang w:val="de-DE"/>
              </w:rPr>
            </w:r>
            <w:r w:rsidRPr="008474CF">
              <w:rPr>
                <w:webHidden/>
                <w:lang w:val="de-DE"/>
              </w:rPr>
              <w:fldChar w:fldCharType="separate"/>
            </w:r>
            <w:r w:rsidR="001521C2">
              <w:rPr>
                <w:webHidden/>
                <w:lang w:val="de-DE"/>
              </w:rPr>
              <w:t>6</w:t>
            </w:r>
            <w:r w:rsidRPr="008474CF">
              <w:rPr>
                <w:webHidden/>
                <w:lang w:val="de-DE"/>
              </w:rPr>
              <w:fldChar w:fldCharType="end"/>
            </w:r>
          </w:hyperlink>
        </w:p>
        <w:p w14:paraId="697CE20A" w14:textId="40288A04" w:rsidR="000D35E5" w:rsidRPr="008474CF" w:rsidRDefault="000D35E5">
          <w:pPr>
            <w:pStyle w:val="TOC1"/>
            <w:rPr>
              <w:rFonts w:asciiTheme="minorHAnsi" w:eastAsiaTheme="minorEastAsia" w:hAnsiTheme="minorHAnsi" w:cstheme="minorBidi"/>
              <w:caps w:val="0"/>
              <w:kern w:val="2"/>
              <w:sz w:val="24"/>
              <w:szCs w:val="24"/>
              <w:lang w:val="de-DE" w:eastAsia="en-GB"/>
              <w14:ligatures w14:val="standardContextual"/>
            </w:rPr>
          </w:pPr>
          <w:hyperlink w:anchor="_Toc205303745" w:history="1">
            <w:r w:rsidRPr="008474CF">
              <w:rPr>
                <w:rStyle w:val="Hyperlink"/>
                <w:rFonts w:cs="Arial"/>
                <w:lang w:val="de-DE"/>
              </w:rPr>
              <w:t>Darstellung I: Darstellung der Finanzlage</w:t>
            </w:r>
            <w:r w:rsidRPr="008474CF">
              <w:rPr>
                <w:webHidden/>
                <w:lang w:val="de-DE"/>
              </w:rPr>
              <w:tab/>
            </w:r>
            <w:r w:rsidRPr="008474CF">
              <w:rPr>
                <w:webHidden/>
                <w:lang w:val="de-DE"/>
              </w:rPr>
              <w:fldChar w:fldCharType="begin"/>
            </w:r>
            <w:r w:rsidRPr="008474CF">
              <w:rPr>
                <w:webHidden/>
                <w:lang w:val="de-DE"/>
              </w:rPr>
              <w:instrText xml:space="preserve"> PAGEREF _Toc205303745 \h </w:instrText>
            </w:r>
            <w:r w:rsidRPr="008474CF">
              <w:rPr>
                <w:webHidden/>
                <w:lang w:val="de-DE"/>
              </w:rPr>
            </w:r>
            <w:r w:rsidRPr="008474CF">
              <w:rPr>
                <w:webHidden/>
                <w:lang w:val="de-DE"/>
              </w:rPr>
              <w:fldChar w:fldCharType="separate"/>
            </w:r>
            <w:r w:rsidR="001521C2">
              <w:rPr>
                <w:webHidden/>
                <w:lang w:val="de-DE"/>
              </w:rPr>
              <w:t>11</w:t>
            </w:r>
            <w:r w:rsidRPr="008474CF">
              <w:rPr>
                <w:webHidden/>
                <w:lang w:val="de-DE"/>
              </w:rPr>
              <w:fldChar w:fldCharType="end"/>
            </w:r>
          </w:hyperlink>
        </w:p>
        <w:p w14:paraId="76F87FE8" w14:textId="4A002DCE" w:rsidR="000D35E5" w:rsidRPr="008474CF" w:rsidRDefault="000D35E5">
          <w:pPr>
            <w:pStyle w:val="TOC1"/>
            <w:rPr>
              <w:rFonts w:asciiTheme="minorHAnsi" w:eastAsiaTheme="minorEastAsia" w:hAnsiTheme="minorHAnsi" w:cstheme="minorBidi"/>
              <w:caps w:val="0"/>
              <w:kern w:val="2"/>
              <w:sz w:val="24"/>
              <w:szCs w:val="24"/>
              <w:lang w:val="de-DE" w:eastAsia="en-GB"/>
              <w14:ligatures w14:val="standardContextual"/>
            </w:rPr>
          </w:pPr>
          <w:hyperlink w:anchor="_Toc205303746" w:history="1">
            <w:r w:rsidRPr="008474CF">
              <w:rPr>
                <w:rStyle w:val="Hyperlink"/>
                <w:rFonts w:cs="Arial"/>
                <w:lang w:val="de-DE"/>
              </w:rPr>
              <w:t>Darstellung II: Darstellung der erfolgsrechnung</w:t>
            </w:r>
            <w:r w:rsidRPr="008474CF">
              <w:rPr>
                <w:webHidden/>
                <w:lang w:val="de-DE"/>
              </w:rPr>
              <w:tab/>
            </w:r>
            <w:r w:rsidRPr="008474CF">
              <w:rPr>
                <w:webHidden/>
                <w:lang w:val="de-DE"/>
              </w:rPr>
              <w:fldChar w:fldCharType="begin"/>
            </w:r>
            <w:r w:rsidRPr="008474CF">
              <w:rPr>
                <w:webHidden/>
                <w:lang w:val="de-DE"/>
              </w:rPr>
              <w:instrText xml:space="preserve"> PAGEREF _Toc205303746 \h </w:instrText>
            </w:r>
            <w:r w:rsidRPr="008474CF">
              <w:rPr>
                <w:webHidden/>
                <w:lang w:val="de-DE"/>
              </w:rPr>
            </w:r>
            <w:r w:rsidRPr="008474CF">
              <w:rPr>
                <w:webHidden/>
                <w:lang w:val="de-DE"/>
              </w:rPr>
              <w:fldChar w:fldCharType="separate"/>
            </w:r>
            <w:r w:rsidR="001521C2">
              <w:rPr>
                <w:webHidden/>
                <w:lang w:val="de-DE"/>
              </w:rPr>
              <w:t>12</w:t>
            </w:r>
            <w:r w:rsidRPr="008474CF">
              <w:rPr>
                <w:webHidden/>
                <w:lang w:val="de-DE"/>
              </w:rPr>
              <w:fldChar w:fldCharType="end"/>
            </w:r>
          </w:hyperlink>
        </w:p>
        <w:p w14:paraId="364FE529" w14:textId="207ACDDD" w:rsidR="000D35E5" w:rsidRPr="008474CF" w:rsidRDefault="000D35E5">
          <w:pPr>
            <w:pStyle w:val="TOC1"/>
            <w:rPr>
              <w:rFonts w:asciiTheme="minorHAnsi" w:eastAsiaTheme="minorEastAsia" w:hAnsiTheme="minorHAnsi" w:cstheme="minorBidi"/>
              <w:caps w:val="0"/>
              <w:kern w:val="2"/>
              <w:sz w:val="24"/>
              <w:szCs w:val="24"/>
              <w:lang w:val="de-DE" w:eastAsia="en-GB"/>
              <w14:ligatures w14:val="standardContextual"/>
            </w:rPr>
          </w:pPr>
          <w:hyperlink w:anchor="_Toc205303747" w:history="1">
            <w:r w:rsidRPr="008474CF">
              <w:rPr>
                <w:rStyle w:val="Hyperlink"/>
                <w:rFonts w:cs="Arial"/>
                <w:lang w:val="de-DE"/>
              </w:rPr>
              <w:t>Darstellung III: Darstellung der Veränderung des Nettovermögens</w:t>
            </w:r>
            <w:r w:rsidRPr="008474CF">
              <w:rPr>
                <w:webHidden/>
                <w:lang w:val="de-DE"/>
              </w:rPr>
              <w:tab/>
            </w:r>
            <w:r w:rsidRPr="008474CF">
              <w:rPr>
                <w:webHidden/>
                <w:lang w:val="de-DE"/>
              </w:rPr>
              <w:fldChar w:fldCharType="begin"/>
            </w:r>
            <w:r w:rsidRPr="008474CF">
              <w:rPr>
                <w:webHidden/>
                <w:lang w:val="de-DE"/>
              </w:rPr>
              <w:instrText xml:space="preserve"> PAGEREF _Toc205303747 \h </w:instrText>
            </w:r>
            <w:r w:rsidRPr="008474CF">
              <w:rPr>
                <w:webHidden/>
                <w:lang w:val="de-DE"/>
              </w:rPr>
            </w:r>
            <w:r w:rsidRPr="008474CF">
              <w:rPr>
                <w:webHidden/>
                <w:lang w:val="de-DE"/>
              </w:rPr>
              <w:fldChar w:fldCharType="separate"/>
            </w:r>
            <w:r w:rsidR="001521C2">
              <w:rPr>
                <w:webHidden/>
                <w:lang w:val="de-DE"/>
              </w:rPr>
              <w:t>13</w:t>
            </w:r>
            <w:r w:rsidRPr="008474CF">
              <w:rPr>
                <w:webHidden/>
                <w:lang w:val="de-DE"/>
              </w:rPr>
              <w:fldChar w:fldCharType="end"/>
            </w:r>
          </w:hyperlink>
        </w:p>
        <w:p w14:paraId="321735BB" w14:textId="14282EAF" w:rsidR="000D35E5" w:rsidRPr="008474CF" w:rsidRDefault="000D35E5">
          <w:pPr>
            <w:pStyle w:val="TOC1"/>
            <w:rPr>
              <w:rFonts w:asciiTheme="minorHAnsi" w:eastAsiaTheme="minorEastAsia" w:hAnsiTheme="minorHAnsi" w:cstheme="minorBidi"/>
              <w:caps w:val="0"/>
              <w:kern w:val="2"/>
              <w:sz w:val="24"/>
              <w:szCs w:val="24"/>
              <w:lang w:val="de-DE" w:eastAsia="en-GB"/>
              <w14:ligatures w14:val="standardContextual"/>
            </w:rPr>
          </w:pPr>
          <w:hyperlink w:anchor="_Toc205303748" w:history="1">
            <w:r w:rsidRPr="008474CF">
              <w:rPr>
                <w:rStyle w:val="Hyperlink"/>
                <w:rFonts w:cs="Arial"/>
                <w:lang w:val="de-DE"/>
              </w:rPr>
              <w:t>Darstellung IV: Kapitalflussrechnung</w:t>
            </w:r>
            <w:r w:rsidRPr="008474CF">
              <w:rPr>
                <w:webHidden/>
                <w:lang w:val="de-DE"/>
              </w:rPr>
              <w:tab/>
            </w:r>
            <w:r w:rsidRPr="008474CF">
              <w:rPr>
                <w:webHidden/>
                <w:lang w:val="de-DE"/>
              </w:rPr>
              <w:fldChar w:fldCharType="begin"/>
            </w:r>
            <w:r w:rsidRPr="008474CF">
              <w:rPr>
                <w:webHidden/>
                <w:lang w:val="de-DE"/>
              </w:rPr>
              <w:instrText xml:space="preserve"> PAGEREF _Toc205303748 \h </w:instrText>
            </w:r>
            <w:r w:rsidRPr="008474CF">
              <w:rPr>
                <w:webHidden/>
                <w:lang w:val="de-DE"/>
              </w:rPr>
            </w:r>
            <w:r w:rsidRPr="008474CF">
              <w:rPr>
                <w:webHidden/>
                <w:lang w:val="de-DE"/>
              </w:rPr>
              <w:fldChar w:fldCharType="separate"/>
            </w:r>
            <w:r w:rsidR="001521C2">
              <w:rPr>
                <w:webHidden/>
                <w:lang w:val="de-DE"/>
              </w:rPr>
              <w:t>14</w:t>
            </w:r>
            <w:r w:rsidRPr="008474CF">
              <w:rPr>
                <w:webHidden/>
                <w:lang w:val="de-DE"/>
              </w:rPr>
              <w:fldChar w:fldCharType="end"/>
            </w:r>
          </w:hyperlink>
        </w:p>
        <w:p w14:paraId="3F75069F" w14:textId="43B80C67" w:rsidR="000D35E5" w:rsidRPr="008474CF" w:rsidRDefault="000D35E5">
          <w:pPr>
            <w:pStyle w:val="TOC1"/>
            <w:rPr>
              <w:rFonts w:asciiTheme="minorHAnsi" w:eastAsiaTheme="minorEastAsia" w:hAnsiTheme="minorHAnsi" w:cstheme="minorBidi"/>
              <w:caps w:val="0"/>
              <w:kern w:val="2"/>
              <w:sz w:val="24"/>
              <w:szCs w:val="24"/>
              <w:lang w:val="de-DE" w:eastAsia="en-GB"/>
              <w14:ligatures w14:val="standardContextual"/>
            </w:rPr>
          </w:pPr>
          <w:hyperlink w:anchor="_Toc205303749" w:history="1">
            <w:r w:rsidRPr="008474CF">
              <w:rPr>
                <w:rStyle w:val="Hyperlink"/>
                <w:rFonts w:cs="Arial"/>
                <w:lang w:val="de-DE"/>
              </w:rPr>
              <w:t>Darstellung V: Gegenüberstellung von Soll- und Istbeträgen</w:t>
            </w:r>
            <w:r w:rsidRPr="008474CF">
              <w:rPr>
                <w:webHidden/>
                <w:lang w:val="de-DE"/>
              </w:rPr>
              <w:tab/>
            </w:r>
            <w:r w:rsidRPr="008474CF">
              <w:rPr>
                <w:webHidden/>
                <w:lang w:val="de-DE"/>
              </w:rPr>
              <w:fldChar w:fldCharType="begin"/>
            </w:r>
            <w:r w:rsidRPr="008474CF">
              <w:rPr>
                <w:webHidden/>
                <w:lang w:val="de-DE"/>
              </w:rPr>
              <w:instrText xml:space="preserve"> PAGEREF _Toc205303749 \h </w:instrText>
            </w:r>
            <w:r w:rsidRPr="008474CF">
              <w:rPr>
                <w:webHidden/>
                <w:lang w:val="de-DE"/>
              </w:rPr>
            </w:r>
            <w:r w:rsidRPr="008474CF">
              <w:rPr>
                <w:webHidden/>
                <w:lang w:val="de-DE"/>
              </w:rPr>
              <w:fldChar w:fldCharType="separate"/>
            </w:r>
            <w:r w:rsidR="001521C2">
              <w:rPr>
                <w:webHidden/>
                <w:lang w:val="de-DE"/>
              </w:rPr>
              <w:t>15</w:t>
            </w:r>
            <w:r w:rsidRPr="008474CF">
              <w:rPr>
                <w:webHidden/>
                <w:lang w:val="de-DE"/>
              </w:rPr>
              <w:fldChar w:fldCharType="end"/>
            </w:r>
          </w:hyperlink>
        </w:p>
        <w:p w14:paraId="078BEABD" w14:textId="3D2D4D30" w:rsidR="000D35E5" w:rsidRPr="008474CF" w:rsidRDefault="000D35E5">
          <w:pPr>
            <w:pStyle w:val="TOC1"/>
            <w:rPr>
              <w:rFonts w:asciiTheme="minorHAnsi" w:eastAsiaTheme="minorEastAsia" w:hAnsiTheme="minorHAnsi" w:cstheme="minorBidi"/>
              <w:caps w:val="0"/>
              <w:kern w:val="2"/>
              <w:sz w:val="24"/>
              <w:szCs w:val="24"/>
              <w:lang w:val="de-DE" w:eastAsia="en-GB"/>
              <w14:ligatures w14:val="standardContextual"/>
            </w:rPr>
          </w:pPr>
          <w:hyperlink w:anchor="_Toc205303750" w:history="1">
            <w:r w:rsidRPr="008474CF">
              <w:rPr>
                <w:rStyle w:val="Hyperlink"/>
                <w:rFonts w:cs="Arial"/>
                <w:lang w:val="de-DE"/>
              </w:rPr>
              <w:t>Anmerkungen zum Jahresabschluss</w:t>
            </w:r>
            <w:r w:rsidRPr="008474CF">
              <w:rPr>
                <w:webHidden/>
                <w:lang w:val="de-DE"/>
              </w:rPr>
              <w:tab/>
            </w:r>
            <w:r w:rsidRPr="008474CF">
              <w:rPr>
                <w:webHidden/>
                <w:lang w:val="de-DE"/>
              </w:rPr>
              <w:fldChar w:fldCharType="begin"/>
            </w:r>
            <w:r w:rsidRPr="008474CF">
              <w:rPr>
                <w:webHidden/>
                <w:lang w:val="de-DE"/>
              </w:rPr>
              <w:instrText xml:space="preserve"> PAGEREF _Toc205303750 \h </w:instrText>
            </w:r>
            <w:r w:rsidRPr="008474CF">
              <w:rPr>
                <w:webHidden/>
                <w:lang w:val="de-DE"/>
              </w:rPr>
            </w:r>
            <w:r w:rsidRPr="008474CF">
              <w:rPr>
                <w:webHidden/>
                <w:lang w:val="de-DE"/>
              </w:rPr>
              <w:fldChar w:fldCharType="separate"/>
            </w:r>
            <w:r w:rsidR="001521C2">
              <w:rPr>
                <w:webHidden/>
                <w:lang w:val="de-DE"/>
              </w:rPr>
              <w:t>16</w:t>
            </w:r>
            <w:r w:rsidRPr="008474CF">
              <w:rPr>
                <w:webHidden/>
                <w:lang w:val="de-DE"/>
              </w:rPr>
              <w:fldChar w:fldCharType="end"/>
            </w:r>
          </w:hyperlink>
        </w:p>
        <w:p w14:paraId="1DB91A7F" w14:textId="1BF16B0E" w:rsidR="000D35E5" w:rsidRPr="008474CF" w:rsidRDefault="000D35E5">
          <w:pPr>
            <w:pStyle w:val="TOC2"/>
            <w:tabs>
              <w:tab w:val="left" w:pos="1920"/>
            </w:tabs>
            <w:rPr>
              <w:rFonts w:asciiTheme="minorHAnsi" w:eastAsiaTheme="minorEastAsia" w:hAnsiTheme="minorHAnsi" w:cstheme="minorBidi"/>
              <w:kern w:val="2"/>
              <w:sz w:val="24"/>
              <w:szCs w:val="24"/>
              <w:lang w:val="de-DE" w:eastAsia="en-GB"/>
              <w14:ligatures w14:val="standardContextual"/>
            </w:rPr>
          </w:pPr>
          <w:hyperlink w:anchor="_Toc205303751" w:history="1">
            <w:r w:rsidRPr="008474CF">
              <w:rPr>
                <w:rStyle w:val="Hyperlink"/>
                <w:rFonts w:cs="Arial"/>
                <w:lang w:val="de-DE"/>
              </w:rPr>
              <w:t>Anmerkung 1:</w:t>
            </w:r>
            <w:r w:rsidRPr="008474CF">
              <w:rPr>
                <w:rFonts w:asciiTheme="minorHAnsi" w:eastAsiaTheme="minorEastAsia" w:hAnsiTheme="minorHAnsi" w:cstheme="minorBidi"/>
                <w:kern w:val="2"/>
                <w:sz w:val="24"/>
                <w:szCs w:val="24"/>
                <w:lang w:val="de-DE" w:eastAsia="en-GB"/>
                <w14:ligatures w14:val="standardContextual"/>
              </w:rPr>
              <w:tab/>
            </w:r>
            <w:r w:rsidRPr="008474CF">
              <w:rPr>
                <w:rStyle w:val="Hyperlink"/>
                <w:rFonts w:cs="Arial"/>
                <w:lang w:val="de-DE"/>
              </w:rPr>
              <w:t>Ziele, Führung der Organisation und Haushaltsplan der UPOV</w:t>
            </w:r>
            <w:r w:rsidRPr="008474CF">
              <w:rPr>
                <w:webHidden/>
                <w:lang w:val="de-DE"/>
              </w:rPr>
              <w:tab/>
            </w:r>
            <w:r w:rsidRPr="008474CF">
              <w:rPr>
                <w:webHidden/>
                <w:lang w:val="de-DE"/>
              </w:rPr>
              <w:fldChar w:fldCharType="begin"/>
            </w:r>
            <w:r w:rsidRPr="008474CF">
              <w:rPr>
                <w:webHidden/>
                <w:lang w:val="de-DE"/>
              </w:rPr>
              <w:instrText xml:space="preserve"> PAGEREF _Toc205303751 \h </w:instrText>
            </w:r>
            <w:r w:rsidRPr="008474CF">
              <w:rPr>
                <w:webHidden/>
                <w:lang w:val="de-DE"/>
              </w:rPr>
            </w:r>
            <w:r w:rsidRPr="008474CF">
              <w:rPr>
                <w:webHidden/>
                <w:lang w:val="de-DE"/>
              </w:rPr>
              <w:fldChar w:fldCharType="separate"/>
            </w:r>
            <w:r w:rsidR="001521C2">
              <w:rPr>
                <w:webHidden/>
                <w:lang w:val="de-DE"/>
              </w:rPr>
              <w:t>16</w:t>
            </w:r>
            <w:r w:rsidRPr="008474CF">
              <w:rPr>
                <w:webHidden/>
                <w:lang w:val="de-DE"/>
              </w:rPr>
              <w:fldChar w:fldCharType="end"/>
            </w:r>
          </w:hyperlink>
        </w:p>
        <w:p w14:paraId="613A38B3" w14:textId="7E4EEB4F" w:rsidR="000D35E5" w:rsidRPr="008474CF" w:rsidRDefault="000D35E5">
          <w:pPr>
            <w:pStyle w:val="TOC2"/>
            <w:tabs>
              <w:tab w:val="left" w:pos="1920"/>
            </w:tabs>
            <w:rPr>
              <w:rFonts w:asciiTheme="minorHAnsi" w:eastAsiaTheme="minorEastAsia" w:hAnsiTheme="minorHAnsi" w:cstheme="minorBidi"/>
              <w:kern w:val="2"/>
              <w:sz w:val="24"/>
              <w:szCs w:val="24"/>
              <w:lang w:val="de-DE" w:eastAsia="en-GB"/>
              <w14:ligatures w14:val="standardContextual"/>
            </w:rPr>
          </w:pPr>
          <w:hyperlink w:anchor="_Toc205303752" w:history="1">
            <w:r w:rsidRPr="008474CF">
              <w:rPr>
                <w:rStyle w:val="Hyperlink"/>
                <w:rFonts w:cs="Arial"/>
                <w:lang w:val="de-DE"/>
              </w:rPr>
              <w:t>Anmerkung 2:</w:t>
            </w:r>
            <w:r w:rsidRPr="008474CF">
              <w:rPr>
                <w:rFonts w:asciiTheme="minorHAnsi" w:eastAsiaTheme="minorEastAsia" w:hAnsiTheme="minorHAnsi" w:cstheme="minorBidi"/>
                <w:kern w:val="2"/>
                <w:sz w:val="24"/>
                <w:szCs w:val="24"/>
                <w:lang w:val="de-DE" w:eastAsia="en-GB"/>
                <w14:ligatures w14:val="standardContextual"/>
              </w:rPr>
              <w:tab/>
            </w:r>
            <w:r w:rsidRPr="008474CF">
              <w:rPr>
                <w:rStyle w:val="Hyperlink"/>
                <w:rFonts w:cs="Arial"/>
                <w:lang w:val="de-DE"/>
              </w:rPr>
              <w:t>Wichtige Rechnungslegungsgrundsätze</w:t>
            </w:r>
            <w:r w:rsidRPr="008474CF">
              <w:rPr>
                <w:webHidden/>
                <w:lang w:val="de-DE"/>
              </w:rPr>
              <w:tab/>
            </w:r>
            <w:r w:rsidRPr="008474CF">
              <w:rPr>
                <w:webHidden/>
                <w:lang w:val="de-DE"/>
              </w:rPr>
              <w:fldChar w:fldCharType="begin"/>
            </w:r>
            <w:r w:rsidRPr="008474CF">
              <w:rPr>
                <w:webHidden/>
                <w:lang w:val="de-DE"/>
              </w:rPr>
              <w:instrText xml:space="preserve"> PAGEREF _Toc205303752 \h </w:instrText>
            </w:r>
            <w:r w:rsidRPr="008474CF">
              <w:rPr>
                <w:webHidden/>
                <w:lang w:val="de-DE"/>
              </w:rPr>
            </w:r>
            <w:r w:rsidRPr="008474CF">
              <w:rPr>
                <w:webHidden/>
                <w:lang w:val="de-DE"/>
              </w:rPr>
              <w:fldChar w:fldCharType="separate"/>
            </w:r>
            <w:r w:rsidR="001521C2">
              <w:rPr>
                <w:webHidden/>
                <w:lang w:val="de-DE"/>
              </w:rPr>
              <w:t>17</w:t>
            </w:r>
            <w:r w:rsidRPr="008474CF">
              <w:rPr>
                <w:webHidden/>
                <w:lang w:val="de-DE"/>
              </w:rPr>
              <w:fldChar w:fldCharType="end"/>
            </w:r>
          </w:hyperlink>
        </w:p>
        <w:p w14:paraId="119E1E92" w14:textId="0C470DCF" w:rsidR="000D35E5" w:rsidRPr="008474CF" w:rsidRDefault="000D35E5">
          <w:pPr>
            <w:pStyle w:val="TOC2"/>
            <w:tabs>
              <w:tab w:val="left" w:pos="1920"/>
            </w:tabs>
            <w:rPr>
              <w:rFonts w:asciiTheme="minorHAnsi" w:eastAsiaTheme="minorEastAsia" w:hAnsiTheme="minorHAnsi" w:cstheme="minorBidi"/>
              <w:kern w:val="2"/>
              <w:sz w:val="24"/>
              <w:szCs w:val="24"/>
              <w:lang w:val="de-DE" w:eastAsia="en-GB"/>
              <w14:ligatures w14:val="standardContextual"/>
            </w:rPr>
          </w:pPr>
          <w:hyperlink w:anchor="_Toc205303753" w:history="1">
            <w:r w:rsidRPr="008474CF">
              <w:rPr>
                <w:rStyle w:val="Hyperlink"/>
                <w:rFonts w:cs="Arial"/>
                <w:lang w:val="de-DE"/>
              </w:rPr>
              <w:t>Anmerkung 3:</w:t>
            </w:r>
            <w:r w:rsidRPr="008474CF">
              <w:rPr>
                <w:rFonts w:asciiTheme="minorHAnsi" w:eastAsiaTheme="minorEastAsia" w:hAnsiTheme="minorHAnsi" w:cstheme="minorBidi"/>
                <w:kern w:val="2"/>
                <w:sz w:val="24"/>
                <w:szCs w:val="24"/>
                <w:lang w:val="de-DE" w:eastAsia="en-GB"/>
                <w14:ligatures w14:val="standardContextual"/>
              </w:rPr>
              <w:tab/>
            </w:r>
            <w:r w:rsidRPr="008474CF">
              <w:rPr>
                <w:rStyle w:val="Hyperlink"/>
                <w:rFonts w:cs="Arial"/>
                <w:lang w:val="de-DE"/>
              </w:rPr>
              <w:t>Zahlungsmittelbestand</w:t>
            </w:r>
            <w:r w:rsidRPr="008474CF">
              <w:rPr>
                <w:webHidden/>
                <w:lang w:val="de-DE"/>
              </w:rPr>
              <w:tab/>
            </w:r>
            <w:r w:rsidRPr="008474CF">
              <w:rPr>
                <w:webHidden/>
                <w:lang w:val="de-DE"/>
              </w:rPr>
              <w:fldChar w:fldCharType="begin"/>
            </w:r>
            <w:r w:rsidRPr="008474CF">
              <w:rPr>
                <w:webHidden/>
                <w:lang w:val="de-DE"/>
              </w:rPr>
              <w:instrText xml:space="preserve"> PAGEREF _Toc205303753 \h </w:instrText>
            </w:r>
            <w:r w:rsidRPr="008474CF">
              <w:rPr>
                <w:webHidden/>
                <w:lang w:val="de-DE"/>
              </w:rPr>
            </w:r>
            <w:r w:rsidRPr="008474CF">
              <w:rPr>
                <w:webHidden/>
                <w:lang w:val="de-DE"/>
              </w:rPr>
              <w:fldChar w:fldCharType="separate"/>
            </w:r>
            <w:r w:rsidR="001521C2">
              <w:rPr>
                <w:webHidden/>
                <w:lang w:val="de-DE"/>
              </w:rPr>
              <w:t>20</w:t>
            </w:r>
            <w:r w:rsidRPr="008474CF">
              <w:rPr>
                <w:webHidden/>
                <w:lang w:val="de-DE"/>
              </w:rPr>
              <w:fldChar w:fldCharType="end"/>
            </w:r>
          </w:hyperlink>
        </w:p>
        <w:p w14:paraId="7A077DF5" w14:textId="2AF85D96" w:rsidR="000D35E5" w:rsidRPr="008474CF" w:rsidRDefault="000D35E5">
          <w:pPr>
            <w:pStyle w:val="TOC2"/>
            <w:tabs>
              <w:tab w:val="left" w:pos="1920"/>
            </w:tabs>
            <w:rPr>
              <w:rFonts w:asciiTheme="minorHAnsi" w:eastAsiaTheme="minorEastAsia" w:hAnsiTheme="minorHAnsi" w:cstheme="minorBidi"/>
              <w:kern w:val="2"/>
              <w:sz w:val="24"/>
              <w:szCs w:val="24"/>
              <w:lang w:val="de-DE" w:eastAsia="en-GB"/>
              <w14:ligatures w14:val="standardContextual"/>
            </w:rPr>
          </w:pPr>
          <w:hyperlink w:anchor="_Toc205303754" w:history="1">
            <w:r w:rsidRPr="008474CF">
              <w:rPr>
                <w:rStyle w:val="Hyperlink"/>
                <w:rFonts w:cs="Arial"/>
                <w:lang w:val="de-DE"/>
              </w:rPr>
              <w:t>Anmerkung 4:</w:t>
            </w:r>
            <w:r w:rsidRPr="008474CF">
              <w:rPr>
                <w:rFonts w:asciiTheme="minorHAnsi" w:eastAsiaTheme="minorEastAsia" w:hAnsiTheme="minorHAnsi" w:cstheme="minorBidi"/>
                <w:kern w:val="2"/>
                <w:sz w:val="24"/>
                <w:szCs w:val="24"/>
                <w:lang w:val="de-DE" w:eastAsia="en-GB"/>
                <w14:ligatures w14:val="standardContextual"/>
              </w:rPr>
              <w:tab/>
            </w:r>
            <w:r w:rsidRPr="008474CF">
              <w:rPr>
                <w:rStyle w:val="Hyperlink"/>
                <w:rFonts w:cs="Arial"/>
                <w:lang w:val="de-DE"/>
              </w:rPr>
              <w:t>Forderungen</w:t>
            </w:r>
            <w:r w:rsidRPr="008474CF">
              <w:rPr>
                <w:webHidden/>
                <w:lang w:val="de-DE"/>
              </w:rPr>
              <w:tab/>
            </w:r>
            <w:r w:rsidRPr="008474CF">
              <w:rPr>
                <w:webHidden/>
                <w:lang w:val="de-DE"/>
              </w:rPr>
              <w:fldChar w:fldCharType="begin"/>
            </w:r>
            <w:r w:rsidRPr="008474CF">
              <w:rPr>
                <w:webHidden/>
                <w:lang w:val="de-DE"/>
              </w:rPr>
              <w:instrText xml:space="preserve"> PAGEREF _Toc205303754 \h </w:instrText>
            </w:r>
            <w:r w:rsidRPr="008474CF">
              <w:rPr>
                <w:webHidden/>
                <w:lang w:val="de-DE"/>
              </w:rPr>
            </w:r>
            <w:r w:rsidRPr="008474CF">
              <w:rPr>
                <w:webHidden/>
                <w:lang w:val="de-DE"/>
              </w:rPr>
              <w:fldChar w:fldCharType="separate"/>
            </w:r>
            <w:r w:rsidR="001521C2">
              <w:rPr>
                <w:webHidden/>
                <w:lang w:val="de-DE"/>
              </w:rPr>
              <w:t>21</w:t>
            </w:r>
            <w:r w:rsidRPr="008474CF">
              <w:rPr>
                <w:webHidden/>
                <w:lang w:val="de-DE"/>
              </w:rPr>
              <w:fldChar w:fldCharType="end"/>
            </w:r>
          </w:hyperlink>
        </w:p>
        <w:p w14:paraId="0C7825AE" w14:textId="009E3E44" w:rsidR="000D35E5" w:rsidRPr="008474CF" w:rsidRDefault="000D35E5">
          <w:pPr>
            <w:pStyle w:val="TOC2"/>
            <w:tabs>
              <w:tab w:val="left" w:pos="1920"/>
            </w:tabs>
            <w:rPr>
              <w:rFonts w:asciiTheme="minorHAnsi" w:eastAsiaTheme="minorEastAsia" w:hAnsiTheme="minorHAnsi" w:cstheme="minorBidi"/>
              <w:kern w:val="2"/>
              <w:sz w:val="24"/>
              <w:szCs w:val="24"/>
              <w:lang w:val="de-DE" w:eastAsia="en-GB"/>
              <w14:ligatures w14:val="standardContextual"/>
            </w:rPr>
          </w:pPr>
          <w:hyperlink w:anchor="_Toc205303755" w:history="1">
            <w:r w:rsidRPr="008474CF">
              <w:rPr>
                <w:rStyle w:val="Hyperlink"/>
                <w:rFonts w:cs="Arial"/>
                <w:lang w:val="de-DE"/>
              </w:rPr>
              <w:t>Anmerkung 5:</w:t>
            </w:r>
            <w:r w:rsidRPr="008474CF">
              <w:rPr>
                <w:rFonts w:asciiTheme="minorHAnsi" w:eastAsiaTheme="minorEastAsia" w:hAnsiTheme="minorHAnsi" w:cstheme="minorBidi"/>
                <w:kern w:val="2"/>
                <w:sz w:val="24"/>
                <w:szCs w:val="24"/>
                <w:lang w:val="de-DE" w:eastAsia="en-GB"/>
                <w14:ligatures w14:val="standardContextual"/>
              </w:rPr>
              <w:tab/>
            </w:r>
            <w:r w:rsidRPr="008474CF">
              <w:rPr>
                <w:rStyle w:val="Hyperlink"/>
                <w:rFonts w:cs="Arial"/>
                <w:lang w:val="de-DE"/>
              </w:rPr>
              <w:t>Leistungen für Bedienstete</w:t>
            </w:r>
            <w:r w:rsidRPr="008474CF">
              <w:rPr>
                <w:webHidden/>
                <w:lang w:val="de-DE"/>
              </w:rPr>
              <w:tab/>
            </w:r>
            <w:r w:rsidRPr="008474CF">
              <w:rPr>
                <w:webHidden/>
                <w:lang w:val="de-DE"/>
              </w:rPr>
              <w:fldChar w:fldCharType="begin"/>
            </w:r>
            <w:r w:rsidRPr="008474CF">
              <w:rPr>
                <w:webHidden/>
                <w:lang w:val="de-DE"/>
              </w:rPr>
              <w:instrText xml:space="preserve"> PAGEREF _Toc205303755 \h </w:instrText>
            </w:r>
            <w:r w:rsidRPr="008474CF">
              <w:rPr>
                <w:webHidden/>
                <w:lang w:val="de-DE"/>
              </w:rPr>
            </w:r>
            <w:r w:rsidRPr="008474CF">
              <w:rPr>
                <w:webHidden/>
                <w:lang w:val="de-DE"/>
              </w:rPr>
              <w:fldChar w:fldCharType="separate"/>
            </w:r>
            <w:r w:rsidR="001521C2">
              <w:rPr>
                <w:webHidden/>
                <w:lang w:val="de-DE"/>
              </w:rPr>
              <w:t>21</w:t>
            </w:r>
            <w:r w:rsidRPr="008474CF">
              <w:rPr>
                <w:webHidden/>
                <w:lang w:val="de-DE"/>
              </w:rPr>
              <w:fldChar w:fldCharType="end"/>
            </w:r>
          </w:hyperlink>
        </w:p>
        <w:p w14:paraId="784A397B" w14:textId="6D2B73F6" w:rsidR="000D35E5" w:rsidRPr="008474CF" w:rsidRDefault="000D35E5">
          <w:pPr>
            <w:pStyle w:val="TOC2"/>
            <w:tabs>
              <w:tab w:val="left" w:pos="1920"/>
            </w:tabs>
            <w:rPr>
              <w:rFonts w:asciiTheme="minorHAnsi" w:eastAsiaTheme="minorEastAsia" w:hAnsiTheme="minorHAnsi" w:cstheme="minorBidi"/>
              <w:kern w:val="2"/>
              <w:sz w:val="24"/>
              <w:szCs w:val="24"/>
              <w:lang w:val="de-DE" w:eastAsia="en-GB"/>
              <w14:ligatures w14:val="standardContextual"/>
            </w:rPr>
          </w:pPr>
          <w:hyperlink w:anchor="_Toc205303756" w:history="1">
            <w:r w:rsidRPr="008474CF">
              <w:rPr>
                <w:rStyle w:val="Hyperlink"/>
                <w:rFonts w:cs="Arial"/>
                <w:lang w:val="de-DE"/>
              </w:rPr>
              <w:t>Anmerkung 6:</w:t>
            </w:r>
            <w:r w:rsidRPr="008474CF">
              <w:rPr>
                <w:rFonts w:asciiTheme="minorHAnsi" w:eastAsiaTheme="minorEastAsia" w:hAnsiTheme="minorHAnsi" w:cstheme="minorBidi"/>
                <w:kern w:val="2"/>
                <w:sz w:val="24"/>
                <w:szCs w:val="24"/>
                <w:lang w:val="de-DE" w:eastAsia="en-GB"/>
                <w14:ligatures w14:val="standardContextual"/>
              </w:rPr>
              <w:tab/>
            </w:r>
            <w:r w:rsidRPr="008474CF">
              <w:rPr>
                <w:rStyle w:val="Hyperlink"/>
                <w:rFonts w:cs="Arial"/>
                <w:lang w:val="de-DE"/>
              </w:rPr>
              <w:t>Im Voraus entrichtete Beiträge</w:t>
            </w:r>
            <w:r w:rsidRPr="008474CF">
              <w:rPr>
                <w:webHidden/>
                <w:lang w:val="de-DE"/>
              </w:rPr>
              <w:tab/>
            </w:r>
            <w:r w:rsidRPr="008474CF">
              <w:rPr>
                <w:webHidden/>
                <w:lang w:val="de-DE"/>
              </w:rPr>
              <w:fldChar w:fldCharType="begin"/>
            </w:r>
            <w:r w:rsidRPr="008474CF">
              <w:rPr>
                <w:webHidden/>
                <w:lang w:val="de-DE"/>
              </w:rPr>
              <w:instrText xml:space="preserve"> PAGEREF _Toc205303756 \h </w:instrText>
            </w:r>
            <w:r w:rsidRPr="008474CF">
              <w:rPr>
                <w:webHidden/>
                <w:lang w:val="de-DE"/>
              </w:rPr>
            </w:r>
            <w:r w:rsidRPr="008474CF">
              <w:rPr>
                <w:webHidden/>
                <w:lang w:val="de-DE"/>
              </w:rPr>
              <w:fldChar w:fldCharType="separate"/>
            </w:r>
            <w:r w:rsidR="001521C2">
              <w:rPr>
                <w:webHidden/>
                <w:lang w:val="de-DE"/>
              </w:rPr>
              <w:t>26</w:t>
            </w:r>
            <w:r w:rsidRPr="008474CF">
              <w:rPr>
                <w:webHidden/>
                <w:lang w:val="de-DE"/>
              </w:rPr>
              <w:fldChar w:fldCharType="end"/>
            </w:r>
          </w:hyperlink>
        </w:p>
        <w:p w14:paraId="528C2981" w14:textId="05328490" w:rsidR="000D35E5" w:rsidRPr="008474CF" w:rsidRDefault="000D35E5">
          <w:pPr>
            <w:pStyle w:val="TOC2"/>
            <w:tabs>
              <w:tab w:val="left" w:pos="1920"/>
            </w:tabs>
            <w:rPr>
              <w:rFonts w:asciiTheme="minorHAnsi" w:eastAsiaTheme="minorEastAsia" w:hAnsiTheme="minorHAnsi" w:cstheme="minorBidi"/>
              <w:kern w:val="2"/>
              <w:sz w:val="24"/>
              <w:szCs w:val="24"/>
              <w:lang w:val="de-DE" w:eastAsia="en-GB"/>
              <w14:ligatures w14:val="standardContextual"/>
            </w:rPr>
          </w:pPr>
          <w:hyperlink w:anchor="_Toc205303757" w:history="1">
            <w:r w:rsidRPr="008474CF">
              <w:rPr>
                <w:rStyle w:val="Hyperlink"/>
                <w:rFonts w:cs="Arial"/>
                <w:lang w:val="de-DE"/>
              </w:rPr>
              <w:t>Anmerkung 7:</w:t>
            </w:r>
            <w:r w:rsidRPr="008474CF">
              <w:rPr>
                <w:rFonts w:asciiTheme="minorHAnsi" w:eastAsiaTheme="minorEastAsia" w:hAnsiTheme="minorHAnsi" w:cstheme="minorBidi"/>
                <w:kern w:val="2"/>
                <w:sz w:val="24"/>
                <w:szCs w:val="24"/>
                <w:lang w:val="de-DE" w:eastAsia="en-GB"/>
                <w14:ligatures w14:val="standardContextual"/>
              </w:rPr>
              <w:tab/>
            </w:r>
            <w:r w:rsidRPr="008474CF">
              <w:rPr>
                <w:rStyle w:val="Hyperlink"/>
                <w:rFonts w:cs="Arial"/>
                <w:lang w:val="de-DE"/>
              </w:rPr>
              <w:t>Andere kurzfristige Verbindlichkeiten</w:t>
            </w:r>
            <w:r w:rsidRPr="008474CF">
              <w:rPr>
                <w:webHidden/>
                <w:lang w:val="de-DE"/>
              </w:rPr>
              <w:tab/>
            </w:r>
            <w:r w:rsidRPr="008474CF">
              <w:rPr>
                <w:webHidden/>
                <w:lang w:val="de-DE"/>
              </w:rPr>
              <w:fldChar w:fldCharType="begin"/>
            </w:r>
            <w:r w:rsidRPr="008474CF">
              <w:rPr>
                <w:webHidden/>
                <w:lang w:val="de-DE"/>
              </w:rPr>
              <w:instrText xml:space="preserve"> PAGEREF _Toc205303757 \h </w:instrText>
            </w:r>
            <w:r w:rsidRPr="008474CF">
              <w:rPr>
                <w:webHidden/>
                <w:lang w:val="de-DE"/>
              </w:rPr>
            </w:r>
            <w:r w:rsidRPr="008474CF">
              <w:rPr>
                <w:webHidden/>
                <w:lang w:val="de-DE"/>
              </w:rPr>
              <w:fldChar w:fldCharType="separate"/>
            </w:r>
            <w:r w:rsidR="001521C2">
              <w:rPr>
                <w:webHidden/>
                <w:lang w:val="de-DE"/>
              </w:rPr>
              <w:t>27</w:t>
            </w:r>
            <w:r w:rsidRPr="008474CF">
              <w:rPr>
                <w:webHidden/>
                <w:lang w:val="de-DE"/>
              </w:rPr>
              <w:fldChar w:fldCharType="end"/>
            </w:r>
          </w:hyperlink>
        </w:p>
        <w:p w14:paraId="66212396" w14:textId="4FA3B5FE" w:rsidR="000D35E5" w:rsidRPr="008474CF" w:rsidRDefault="000D35E5">
          <w:pPr>
            <w:pStyle w:val="TOC2"/>
            <w:tabs>
              <w:tab w:val="left" w:pos="1920"/>
            </w:tabs>
            <w:rPr>
              <w:rFonts w:asciiTheme="minorHAnsi" w:eastAsiaTheme="minorEastAsia" w:hAnsiTheme="minorHAnsi" w:cstheme="minorBidi"/>
              <w:kern w:val="2"/>
              <w:sz w:val="24"/>
              <w:szCs w:val="24"/>
              <w:lang w:val="de-DE" w:eastAsia="en-GB"/>
              <w14:ligatures w14:val="standardContextual"/>
            </w:rPr>
          </w:pPr>
          <w:hyperlink w:anchor="_Toc205303758" w:history="1">
            <w:r w:rsidRPr="008474CF">
              <w:rPr>
                <w:rStyle w:val="Hyperlink"/>
                <w:lang w:val="de-DE"/>
              </w:rPr>
              <w:t>Anmerkung 8:</w:t>
            </w:r>
            <w:r w:rsidRPr="008474CF">
              <w:rPr>
                <w:rFonts w:asciiTheme="minorHAnsi" w:eastAsiaTheme="minorEastAsia" w:hAnsiTheme="minorHAnsi" w:cstheme="minorBidi"/>
                <w:kern w:val="2"/>
                <w:sz w:val="24"/>
                <w:szCs w:val="24"/>
                <w:lang w:val="de-DE" w:eastAsia="en-GB"/>
                <w14:ligatures w14:val="standardContextual"/>
              </w:rPr>
              <w:tab/>
            </w:r>
            <w:r w:rsidRPr="008474CF">
              <w:rPr>
                <w:rStyle w:val="Hyperlink"/>
                <w:lang w:val="de-DE"/>
              </w:rPr>
              <w:t>Eventualverbindlichkeiten</w:t>
            </w:r>
            <w:r w:rsidRPr="008474CF">
              <w:rPr>
                <w:webHidden/>
                <w:lang w:val="de-DE"/>
              </w:rPr>
              <w:tab/>
            </w:r>
            <w:r w:rsidRPr="008474CF">
              <w:rPr>
                <w:webHidden/>
                <w:lang w:val="de-DE"/>
              </w:rPr>
              <w:fldChar w:fldCharType="begin"/>
            </w:r>
            <w:r w:rsidRPr="008474CF">
              <w:rPr>
                <w:webHidden/>
                <w:lang w:val="de-DE"/>
              </w:rPr>
              <w:instrText xml:space="preserve"> PAGEREF _Toc205303758 \h </w:instrText>
            </w:r>
            <w:r w:rsidRPr="008474CF">
              <w:rPr>
                <w:webHidden/>
                <w:lang w:val="de-DE"/>
              </w:rPr>
            </w:r>
            <w:r w:rsidRPr="008474CF">
              <w:rPr>
                <w:webHidden/>
                <w:lang w:val="de-DE"/>
              </w:rPr>
              <w:fldChar w:fldCharType="separate"/>
            </w:r>
            <w:r w:rsidR="001521C2">
              <w:rPr>
                <w:webHidden/>
                <w:lang w:val="de-DE"/>
              </w:rPr>
              <w:t>27</w:t>
            </w:r>
            <w:r w:rsidRPr="008474CF">
              <w:rPr>
                <w:webHidden/>
                <w:lang w:val="de-DE"/>
              </w:rPr>
              <w:fldChar w:fldCharType="end"/>
            </w:r>
          </w:hyperlink>
        </w:p>
        <w:p w14:paraId="205F16A6" w14:textId="377CF730" w:rsidR="000D35E5" w:rsidRPr="008474CF" w:rsidRDefault="000D35E5">
          <w:pPr>
            <w:pStyle w:val="TOC2"/>
            <w:tabs>
              <w:tab w:val="left" w:pos="1920"/>
            </w:tabs>
            <w:rPr>
              <w:rFonts w:asciiTheme="minorHAnsi" w:eastAsiaTheme="minorEastAsia" w:hAnsiTheme="minorHAnsi" w:cstheme="minorBidi"/>
              <w:kern w:val="2"/>
              <w:sz w:val="24"/>
              <w:szCs w:val="24"/>
              <w:lang w:val="de-DE" w:eastAsia="en-GB"/>
              <w14:ligatures w14:val="standardContextual"/>
            </w:rPr>
          </w:pPr>
          <w:hyperlink w:anchor="_Toc205303759" w:history="1">
            <w:r w:rsidRPr="008474CF">
              <w:rPr>
                <w:rStyle w:val="Hyperlink"/>
                <w:rFonts w:cs="Arial"/>
                <w:lang w:val="de-DE"/>
              </w:rPr>
              <w:t>Anmerkung 9:</w:t>
            </w:r>
            <w:r w:rsidRPr="008474CF">
              <w:rPr>
                <w:rFonts w:asciiTheme="minorHAnsi" w:eastAsiaTheme="minorEastAsia" w:hAnsiTheme="minorHAnsi" w:cstheme="minorBidi"/>
                <w:kern w:val="2"/>
                <w:sz w:val="24"/>
                <w:szCs w:val="24"/>
                <w:lang w:val="de-DE" w:eastAsia="en-GB"/>
                <w14:ligatures w14:val="standardContextual"/>
              </w:rPr>
              <w:tab/>
            </w:r>
            <w:r w:rsidRPr="008474CF">
              <w:rPr>
                <w:rStyle w:val="Hyperlink"/>
                <w:rFonts w:cs="Arial"/>
                <w:lang w:val="de-DE"/>
              </w:rPr>
              <w:t>Transaktionen mit nahestehenden Personen und Einheiten</w:t>
            </w:r>
            <w:r w:rsidRPr="008474CF">
              <w:rPr>
                <w:webHidden/>
                <w:lang w:val="de-DE"/>
              </w:rPr>
              <w:tab/>
            </w:r>
            <w:r w:rsidRPr="008474CF">
              <w:rPr>
                <w:webHidden/>
                <w:lang w:val="de-DE"/>
              </w:rPr>
              <w:fldChar w:fldCharType="begin"/>
            </w:r>
            <w:r w:rsidRPr="008474CF">
              <w:rPr>
                <w:webHidden/>
                <w:lang w:val="de-DE"/>
              </w:rPr>
              <w:instrText xml:space="preserve"> PAGEREF _Toc205303759 \h </w:instrText>
            </w:r>
            <w:r w:rsidRPr="008474CF">
              <w:rPr>
                <w:webHidden/>
                <w:lang w:val="de-DE"/>
              </w:rPr>
            </w:r>
            <w:r w:rsidRPr="008474CF">
              <w:rPr>
                <w:webHidden/>
                <w:lang w:val="de-DE"/>
              </w:rPr>
              <w:fldChar w:fldCharType="separate"/>
            </w:r>
            <w:r w:rsidR="001521C2">
              <w:rPr>
                <w:webHidden/>
                <w:lang w:val="de-DE"/>
              </w:rPr>
              <w:t>27</w:t>
            </w:r>
            <w:r w:rsidRPr="008474CF">
              <w:rPr>
                <w:webHidden/>
                <w:lang w:val="de-DE"/>
              </w:rPr>
              <w:fldChar w:fldCharType="end"/>
            </w:r>
          </w:hyperlink>
        </w:p>
        <w:p w14:paraId="7AF49A05" w14:textId="4BF07EB1" w:rsidR="000D35E5" w:rsidRPr="008474CF" w:rsidRDefault="000D35E5">
          <w:pPr>
            <w:pStyle w:val="TOC2"/>
            <w:tabs>
              <w:tab w:val="left" w:pos="1920"/>
            </w:tabs>
            <w:rPr>
              <w:rFonts w:asciiTheme="minorHAnsi" w:eastAsiaTheme="minorEastAsia" w:hAnsiTheme="minorHAnsi" w:cstheme="minorBidi"/>
              <w:kern w:val="2"/>
              <w:sz w:val="24"/>
              <w:szCs w:val="24"/>
              <w:lang w:val="de-DE" w:eastAsia="en-GB"/>
              <w14:ligatures w14:val="standardContextual"/>
            </w:rPr>
          </w:pPr>
          <w:hyperlink w:anchor="_Toc205303760" w:history="1">
            <w:r w:rsidRPr="008474CF">
              <w:rPr>
                <w:rStyle w:val="Hyperlink"/>
                <w:rFonts w:cs="Arial"/>
                <w:lang w:val="de-DE"/>
              </w:rPr>
              <w:t>Anmerkung 10:</w:t>
            </w:r>
            <w:r w:rsidRPr="008474CF">
              <w:rPr>
                <w:rFonts w:asciiTheme="minorHAnsi" w:eastAsiaTheme="minorEastAsia" w:hAnsiTheme="minorHAnsi" w:cstheme="minorBidi"/>
                <w:kern w:val="2"/>
                <w:sz w:val="24"/>
                <w:szCs w:val="24"/>
                <w:lang w:val="de-DE" w:eastAsia="en-GB"/>
                <w14:ligatures w14:val="standardContextual"/>
              </w:rPr>
              <w:tab/>
            </w:r>
            <w:r w:rsidRPr="008474CF">
              <w:rPr>
                <w:rStyle w:val="Hyperlink"/>
                <w:rFonts w:cs="Arial"/>
                <w:lang w:val="de-DE"/>
              </w:rPr>
              <w:t>Nettovermögen</w:t>
            </w:r>
            <w:r w:rsidRPr="008474CF">
              <w:rPr>
                <w:webHidden/>
                <w:lang w:val="de-DE"/>
              </w:rPr>
              <w:tab/>
            </w:r>
            <w:r w:rsidRPr="008474CF">
              <w:rPr>
                <w:webHidden/>
                <w:lang w:val="de-DE"/>
              </w:rPr>
              <w:fldChar w:fldCharType="begin"/>
            </w:r>
            <w:r w:rsidRPr="008474CF">
              <w:rPr>
                <w:webHidden/>
                <w:lang w:val="de-DE"/>
              </w:rPr>
              <w:instrText xml:space="preserve"> PAGEREF _Toc205303760 \h </w:instrText>
            </w:r>
            <w:r w:rsidRPr="008474CF">
              <w:rPr>
                <w:webHidden/>
                <w:lang w:val="de-DE"/>
              </w:rPr>
            </w:r>
            <w:r w:rsidRPr="008474CF">
              <w:rPr>
                <w:webHidden/>
                <w:lang w:val="de-DE"/>
              </w:rPr>
              <w:fldChar w:fldCharType="separate"/>
            </w:r>
            <w:r w:rsidR="001521C2">
              <w:rPr>
                <w:webHidden/>
                <w:lang w:val="de-DE"/>
              </w:rPr>
              <w:t>28</w:t>
            </w:r>
            <w:r w:rsidRPr="008474CF">
              <w:rPr>
                <w:webHidden/>
                <w:lang w:val="de-DE"/>
              </w:rPr>
              <w:fldChar w:fldCharType="end"/>
            </w:r>
          </w:hyperlink>
        </w:p>
        <w:p w14:paraId="14C5A91B" w14:textId="7D997124" w:rsidR="000D35E5" w:rsidRPr="008474CF" w:rsidRDefault="000D35E5">
          <w:pPr>
            <w:pStyle w:val="TOC2"/>
            <w:tabs>
              <w:tab w:val="left" w:pos="1920"/>
            </w:tabs>
            <w:rPr>
              <w:rFonts w:asciiTheme="minorHAnsi" w:eastAsiaTheme="minorEastAsia" w:hAnsiTheme="minorHAnsi" w:cstheme="minorBidi"/>
              <w:kern w:val="2"/>
              <w:sz w:val="24"/>
              <w:szCs w:val="24"/>
              <w:lang w:val="de-DE" w:eastAsia="en-GB"/>
              <w14:ligatures w14:val="standardContextual"/>
            </w:rPr>
          </w:pPr>
          <w:hyperlink w:anchor="_Toc205303761" w:history="1">
            <w:r w:rsidRPr="008474CF">
              <w:rPr>
                <w:rStyle w:val="Hyperlink"/>
                <w:rFonts w:cs="Arial"/>
                <w:lang w:val="de-DE"/>
              </w:rPr>
              <w:t>Anmerkung 11:</w:t>
            </w:r>
            <w:r w:rsidRPr="008474CF">
              <w:rPr>
                <w:rFonts w:asciiTheme="minorHAnsi" w:eastAsiaTheme="minorEastAsia" w:hAnsiTheme="minorHAnsi" w:cstheme="minorBidi"/>
                <w:kern w:val="2"/>
                <w:sz w:val="24"/>
                <w:szCs w:val="24"/>
                <w:lang w:val="de-DE" w:eastAsia="en-GB"/>
                <w14:ligatures w14:val="standardContextual"/>
              </w:rPr>
              <w:tab/>
            </w:r>
            <w:r w:rsidRPr="008474CF">
              <w:rPr>
                <w:rStyle w:val="Hyperlink"/>
                <w:rFonts w:cs="Arial"/>
                <w:lang w:val="de-DE"/>
              </w:rPr>
              <w:t>Gegenüberstellung von budgetärem Vergleich (Darstellung V) und Erfolgsrechnung (Darstellung II)</w:t>
            </w:r>
            <w:r w:rsidRPr="008474CF">
              <w:rPr>
                <w:webHidden/>
                <w:lang w:val="de-DE"/>
              </w:rPr>
              <w:tab/>
            </w:r>
            <w:r w:rsidRPr="008474CF">
              <w:rPr>
                <w:webHidden/>
                <w:lang w:val="de-DE"/>
              </w:rPr>
              <w:fldChar w:fldCharType="begin"/>
            </w:r>
            <w:r w:rsidRPr="008474CF">
              <w:rPr>
                <w:webHidden/>
                <w:lang w:val="de-DE"/>
              </w:rPr>
              <w:instrText xml:space="preserve"> PAGEREF _Toc205303761 \h </w:instrText>
            </w:r>
            <w:r w:rsidRPr="008474CF">
              <w:rPr>
                <w:webHidden/>
                <w:lang w:val="de-DE"/>
              </w:rPr>
            </w:r>
            <w:r w:rsidRPr="008474CF">
              <w:rPr>
                <w:webHidden/>
                <w:lang w:val="de-DE"/>
              </w:rPr>
              <w:fldChar w:fldCharType="separate"/>
            </w:r>
            <w:r w:rsidR="001521C2">
              <w:rPr>
                <w:webHidden/>
                <w:lang w:val="de-DE"/>
              </w:rPr>
              <w:t>29</w:t>
            </w:r>
            <w:r w:rsidRPr="008474CF">
              <w:rPr>
                <w:webHidden/>
                <w:lang w:val="de-DE"/>
              </w:rPr>
              <w:fldChar w:fldCharType="end"/>
            </w:r>
          </w:hyperlink>
        </w:p>
        <w:p w14:paraId="7DF52AE0" w14:textId="22394E59" w:rsidR="000D35E5" w:rsidRPr="008474CF" w:rsidRDefault="000D35E5">
          <w:pPr>
            <w:pStyle w:val="TOC2"/>
            <w:tabs>
              <w:tab w:val="left" w:pos="1920"/>
            </w:tabs>
            <w:rPr>
              <w:rFonts w:asciiTheme="minorHAnsi" w:eastAsiaTheme="minorEastAsia" w:hAnsiTheme="minorHAnsi" w:cstheme="minorBidi"/>
              <w:kern w:val="2"/>
              <w:sz w:val="24"/>
              <w:szCs w:val="24"/>
              <w:lang w:val="de-DE" w:eastAsia="en-GB"/>
              <w14:ligatures w14:val="standardContextual"/>
            </w:rPr>
          </w:pPr>
          <w:hyperlink w:anchor="_Toc205303762" w:history="1">
            <w:r w:rsidRPr="008474CF">
              <w:rPr>
                <w:rStyle w:val="Hyperlink"/>
                <w:rFonts w:cs="Arial"/>
                <w:lang w:val="de-DE"/>
              </w:rPr>
              <w:t>Anmerkung 12:</w:t>
            </w:r>
            <w:r w:rsidRPr="008474CF">
              <w:rPr>
                <w:rFonts w:asciiTheme="minorHAnsi" w:eastAsiaTheme="minorEastAsia" w:hAnsiTheme="minorHAnsi" w:cstheme="minorBidi"/>
                <w:kern w:val="2"/>
                <w:sz w:val="24"/>
                <w:szCs w:val="24"/>
                <w:lang w:val="de-DE" w:eastAsia="en-GB"/>
                <w14:ligatures w14:val="standardContextual"/>
              </w:rPr>
              <w:tab/>
            </w:r>
            <w:r w:rsidRPr="008474CF">
              <w:rPr>
                <w:rStyle w:val="Hyperlink"/>
                <w:rFonts w:cs="Arial"/>
                <w:lang w:val="de-DE"/>
              </w:rPr>
              <w:t>Einnahmen</w:t>
            </w:r>
            <w:r w:rsidRPr="008474CF">
              <w:rPr>
                <w:webHidden/>
                <w:lang w:val="de-DE"/>
              </w:rPr>
              <w:tab/>
            </w:r>
            <w:r w:rsidRPr="008474CF">
              <w:rPr>
                <w:webHidden/>
                <w:lang w:val="de-DE"/>
              </w:rPr>
              <w:fldChar w:fldCharType="begin"/>
            </w:r>
            <w:r w:rsidRPr="008474CF">
              <w:rPr>
                <w:webHidden/>
                <w:lang w:val="de-DE"/>
              </w:rPr>
              <w:instrText xml:space="preserve"> PAGEREF _Toc205303762 \h </w:instrText>
            </w:r>
            <w:r w:rsidRPr="008474CF">
              <w:rPr>
                <w:webHidden/>
                <w:lang w:val="de-DE"/>
              </w:rPr>
            </w:r>
            <w:r w:rsidRPr="008474CF">
              <w:rPr>
                <w:webHidden/>
                <w:lang w:val="de-DE"/>
              </w:rPr>
              <w:fldChar w:fldCharType="separate"/>
            </w:r>
            <w:r w:rsidR="001521C2">
              <w:rPr>
                <w:webHidden/>
                <w:lang w:val="de-DE"/>
              </w:rPr>
              <w:t>30</w:t>
            </w:r>
            <w:r w:rsidRPr="008474CF">
              <w:rPr>
                <w:webHidden/>
                <w:lang w:val="de-DE"/>
              </w:rPr>
              <w:fldChar w:fldCharType="end"/>
            </w:r>
          </w:hyperlink>
        </w:p>
        <w:p w14:paraId="417ACAD0" w14:textId="168D1036" w:rsidR="000D35E5" w:rsidRPr="008474CF" w:rsidRDefault="000D35E5">
          <w:pPr>
            <w:pStyle w:val="TOC2"/>
            <w:tabs>
              <w:tab w:val="left" w:pos="1920"/>
            </w:tabs>
            <w:rPr>
              <w:rFonts w:asciiTheme="minorHAnsi" w:eastAsiaTheme="minorEastAsia" w:hAnsiTheme="minorHAnsi" w:cstheme="minorBidi"/>
              <w:kern w:val="2"/>
              <w:sz w:val="24"/>
              <w:szCs w:val="24"/>
              <w:lang w:val="de-DE" w:eastAsia="en-GB"/>
              <w14:ligatures w14:val="standardContextual"/>
            </w:rPr>
          </w:pPr>
          <w:hyperlink w:anchor="_Toc205303763" w:history="1">
            <w:r w:rsidRPr="008474CF">
              <w:rPr>
                <w:rStyle w:val="Hyperlink"/>
                <w:rFonts w:cs="Arial"/>
                <w:lang w:val="de-DE"/>
              </w:rPr>
              <w:t>Anmerkung 13:</w:t>
            </w:r>
            <w:r w:rsidRPr="008474CF">
              <w:rPr>
                <w:rFonts w:asciiTheme="minorHAnsi" w:eastAsiaTheme="minorEastAsia" w:hAnsiTheme="minorHAnsi" w:cstheme="minorBidi"/>
                <w:kern w:val="2"/>
                <w:sz w:val="24"/>
                <w:szCs w:val="24"/>
                <w:lang w:val="de-DE" w:eastAsia="en-GB"/>
                <w14:ligatures w14:val="standardContextual"/>
              </w:rPr>
              <w:tab/>
            </w:r>
            <w:r w:rsidRPr="008474CF">
              <w:rPr>
                <w:rStyle w:val="Hyperlink"/>
                <w:rFonts w:cs="Arial"/>
                <w:lang w:val="de-DE"/>
              </w:rPr>
              <w:t>Ausgaben</w:t>
            </w:r>
            <w:r w:rsidRPr="008474CF">
              <w:rPr>
                <w:webHidden/>
                <w:lang w:val="de-DE"/>
              </w:rPr>
              <w:tab/>
            </w:r>
            <w:r w:rsidRPr="008474CF">
              <w:rPr>
                <w:webHidden/>
                <w:lang w:val="de-DE"/>
              </w:rPr>
              <w:fldChar w:fldCharType="begin"/>
            </w:r>
            <w:r w:rsidRPr="008474CF">
              <w:rPr>
                <w:webHidden/>
                <w:lang w:val="de-DE"/>
              </w:rPr>
              <w:instrText xml:space="preserve"> PAGEREF _Toc205303763 \h </w:instrText>
            </w:r>
            <w:r w:rsidRPr="008474CF">
              <w:rPr>
                <w:webHidden/>
                <w:lang w:val="de-DE"/>
              </w:rPr>
            </w:r>
            <w:r w:rsidRPr="008474CF">
              <w:rPr>
                <w:webHidden/>
                <w:lang w:val="de-DE"/>
              </w:rPr>
              <w:fldChar w:fldCharType="separate"/>
            </w:r>
            <w:r w:rsidR="001521C2">
              <w:rPr>
                <w:webHidden/>
                <w:lang w:val="de-DE"/>
              </w:rPr>
              <w:t>30</w:t>
            </w:r>
            <w:r w:rsidRPr="008474CF">
              <w:rPr>
                <w:webHidden/>
                <w:lang w:val="de-DE"/>
              </w:rPr>
              <w:fldChar w:fldCharType="end"/>
            </w:r>
          </w:hyperlink>
        </w:p>
        <w:p w14:paraId="1EC355B9" w14:textId="23B7CF50" w:rsidR="000D35E5" w:rsidRPr="008474CF" w:rsidRDefault="000D35E5">
          <w:pPr>
            <w:pStyle w:val="TOC2"/>
            <w:tabs>
              <w:tab w:val="left" w:pos="1920"/>
            </w:tabs>
            <w:rPr>
              <w:rFonts w:asciiTheme="minorHAnsi" w:eastAsiaTheme="minorEastAsia" w:hAnsiTheme="minorHAnsi" w:cstheme="minorBidi"/>
              <w:kern w:val="2"/>
              <w:sz w:val="24"/>
              <w:szCs w:val="24"/>
              <w:lang w:val="de-DE" w:eastAsia="en-GB"/>
              <w14:ligatures w14:val="standardContextual"/>
            </w:rPr>
          </w:pPr>
          <w:hyperlink w:anchor="_Toc205303764" w:history="1">
            <w:r w:rsidRPr="008474CF">
              <w:rPr>
                <w:rStyle w:val="Hyperlink"/>
                <w:rFonts w:cs="Arial"/>
                <w:lang w:val="de-DE"/>
              </w:rPr>
              <w:t>Anmerkung 14:</w:t>
            </w:r>
            <w:r w:rsidRPr="008474CF">
              <w:rPr>
                <w:rFonts w:asciiTheme="minorHAnsi" w:eastAsiaTheme="minorEastAsia" w:hAnsiTheme="minorHAnsi" w:cstheme="minorBidi"/>
                <w:kern w:val="2"/>
                <w:sz w:val="24"/>
                <w:szCs w:val="24"/>
                <w:lang w:val="de-DE" w:eastAsia="en-GB"/>
                <w14:ligatures w14:val="standardContextual"/>
              </w:rPr>
              <w:tab/>
            </w:r>
            <w:r w:rsidRPr="008474CF">
              <w:rPr>
                <w:rStyle w:val="Hyperlink"/>
                <w:rFonts w:cs="Arial"/>
                <w:lang w:val="de-DE"/>
              </w:rPr>
              <w:t>Finanzinstrumente</w:t>
            </w:r>
            <w:r w:rsidRPr="008474CF">
              <w:rPr>
                <w:webHidden/>
                <w:lang w:val="de-DE"/>
              </w:rPr>
              <w:tab/>
            </w:r>
            <w:r w:rsidRPr="008474CF">
              <w:rPr>
                <w:webHidden/>
                <w:lang w:val="de-DE"/>
              </w:rPr>
              <w:fldChar w:fldCharType="begin"/>
            </w:r>
            <w:r w:rsidRPr="008474CF">
              <w:rPr>
                <w:webHidden/>
                <w:lang w:val="de-DE"/>
              </w:rPr>
              <w:instrText xml:space="preserve"> PAGEREF _Toc205303764 \h </w:instrText>
            </w:r>
            <w:r w:rsidRPr="008474CF">
              <w:rPr>
                <w:webHidden/>
                <w:lang w:val="de-DE"/>
              </w:rPr>
            </w:r>
            <w:r w:rsidRPr="008474CF">
              <w:rPr>
                <w:webHidden/>
                <w:lang w:val="de-DE"/>
              </w:rPr>
              <w:fldChar w:fldCharType="separate"/>
            </w:r>
            <w:r w:rsidR="001521C2">
              <w:rPr>
                <w:webHidden/>
                <w:lang w:val="de-DE"/>
              </w:rPr>
              <w:t>31</w:t>
            </w:r>
            <w:r w:rsidRPr="008474CF">
              <w:rPr>
                <w:webHidden/>
                <w:lang w:val="de-DE"/>
              </w:rPr>
              <w:fldChar w:fldCharType="end"/>
            </w:r>
          </w:hyperlink>
        </w:p>
        <w:p w14:paraId="46BC4A9C" w14:textId="648E4976" w:rsidR="000D35E5" w:rsidRPr="008474CF" w:rsidRDefault="000D35E5">
          <w:pPr>
            <w:pStyle w:val="TOC2"/>
            <w:tabs>
              <w:tab w:val="left" w:pos="1920"/>
            </w:tabs>
            <w:rPr>
              <w:rFonts w:asciiTheme="minorHAnsi" w:eastAsiaTheme="minorEastAsia" w:hAnsiTheme="minorHAnsi" w:cstheme="minorBidi"/>
              <w:kern w:val="2"/>
              <w:sz w:val="24"/>
              <w:szCs w:val="24"/>
              <w:lang w:val="de-DE" w:eastAsia="en-GB"/>
              <w14:ligatures w14:val="standardContextual"/>
            </w:rPr>
          </w:pPr>
          <w:hyperlink w:anchor="_Toc205303765" w:history="1">
            <w:r w:rsidRPr="008474CF">
              <w:rPr>
                <w:rStyle w:val="Hyperlink"/>
                <w:rFonts w:cs="Arial"/>
                <w:lang w:val="de-DE"/>
              </w:rPr>
              <w:t>Anmerkung 15:</w:t>
            </w:r>
            <w:r w:rsidRPr="008474CF">
              <w:rPr>
                <w:rFonts w:asciiTheme="minorHAnsi" w:eastAsiaTheme="minorEastAsia" w:hAnsiTheme="minorHAnsi" w:cstheme="minorBidi"/>
                <w:kern w:val="2"/>
                <w:sz w:val="24"/>
                <w:szCs w:val="24"/>
                <w:lang w:val="de-DE" w:eastAsia="en-GB"/>
                <w14:ligatures w14:val="standardContextual"/>
              </w:rPr>
              <w:tab/>
            </w:r>
            <w:r w:rsidRPr="008474CF">
              <w:rPr>
                <w:rStyle w:val="Hyperlink"/>
                <w:rFonts w:cs="Arial"/>
                <w:lang w:val="de-DE"/>
              </w:rPr>
              <w:t>Ereignisse nach dem Bilanzstichtag</w:t>
            </w:r>
            <w:r w:rsidRPr="008474CF">
              <w:rPr>
                <w:webHidden/>
                <w:lang w:val="de-DE"/>
              </w:rPr>
              <w:tab/>
            </w:r>
            <w:r w:rsidRPr="008474CF">
              <w:rPr>
                <w:webHidden/>
                <w:lang w:val="de-DE"/>
              </w:rPr>
              <w:fldChar w:fldCharType="begin"/>
            </w:r>
            <w:r w:rsidRPr="008474CF">
              <w:rPr>
                <w:webHidden/>
                <w:lang w:val="de-DE"/>
              </w:rPr>
              <w:instrText xml:space="preserve"> PAGEREF _Toc205303765 \h </w:instrText>
            </w:r>
            <w:r w:rsidRPr="008474CF">
              <w:rPr>
                <w:webHidden/>
                <w:lang w:val="de-DE"/>
              </w:rPr>
            </w:r>
            <w:r w:rsidRPr="008474CF">
              <w:rPr>
                <w:webHidden/>
                <w:lang w:val="de-DE"/>
              </w:rPr>
              <w:fldChar w:fldCharType="separate"/>
            </w:r>
            <w:r w:rsidR="001521C2">
              <w:rPr>
                <w:webHidden/>
                <w:lang w:val="de-DE"/>
              </w:rPr>
              <w:t>32</w:t>
            </w:r>
            <w:r w:rsidRPr="008474CF">
              <w:rPr>
                <w:webHidden/>
                <w:lang w:val="de-DE"/>
              </w:rPr>
              <w:fldChar w:fldCharType="end"/>
            </w:r>
          </w:hyperlink>
        </w:p>
        <w:p w14:paraId="76A3196C" w14:textId="4087298C" w:rsidR="000357D6" w:rsidRPr="008474CF" w:rsidRDefault="000357D6">
          <w:pPr>
            <w:rPr>
              <w:rFonts w:cs="Arial"/>
            </w:rPr>
          </w:pPr>
          <w:r w:rsidRPr="008474CF">
            <w:rPr>
              <w:rFonts w:cs="Arial"/>
              <w:b/>
              <w:bCs/>
            </w:rPr>
            <w:fldChar w:fldCharType="end"/>
          </w:r>
        </w:p>
      </w:sdtContent>
    </w:sdt>
    <w:p w14:paraId="1CB5D363" w14:textId="2F8D7CF3" w:rsidR="007704C6" w:rsidRPr="008474CF" w:rsidRDefault="007704C6">
      <w:pPr>
        <w:jc w:val="left"/>
        <w:rPr>
          <w:rFonts w:cs="Arial"/>
          <w:b/>
          <w:caps/>
        </w:rPr>
      </w:pPr>
      <w:bookmarkStart w:id="0" w:name="_Toc477872937"/>
      <w:bookmarkStart w:id="1" w:name="_Toc84329879"/>
      <w:r w:rsidRPr="008474CF">
        <w:rPr>
          <w:rFonts w:cs="Arial"/>
        </w:rPr>
        <w:br w:type="page"/>
      </w:r>
    </w:p>
    <w:p w14:paraId="79A7133C" w14:textId="38C75BF3" w:rsidR="00A824AF" w:rsidRPr="008474CF" w:rsidRDefault="00A824AF" w:rsidP="000357D6">
      <w:pPr>
        <w:pStyle w:val="Heading1"/>
        <w:rPr>
          <w:rFonts w:cs="Arial"/>
          <w:lang w:val="de-DE"/>
        </w:rPr>
      </w:pPr>
      <w:bookmarkStart w:id="2" w:name="_Toc205303739"/>
      <w:r w:rsidRPr="008474CF">
        <w:rPr>
          <w:rFonts w:cs="Arial"/>
          <w:lang w:val="de-DE"/>
        </w:rPr>
        <w:lastRenderedPageBreak/>
        <w:t>Ein</w:t>
      </w:r>
      <w:r w:rsidR="0081090D" w:rsidRPr="008474CF">
        <w:rPr>
          <w:rFonts w:cs="Arial"/>
          <w:lang w:val="de-DE"/>
        </w:rPr>
        <w:t>leit</w:t>
      </w:r>
      <w:r w:rsidRPr="008474CF">
        <w:rPr>
          <w:rFonts w:cs="Arial"/>
          <w:lang w:val="de-DE"/>
        </w:rPr>
        <w:t>ung</w:t>
      </w:r>
      <w:bookmarkEnd w:id="0"/>
      <w:bookmarkEnd w:id="1"/>
      <w:bookmarkEnd w:id="2"/>
    </w:p>
    <w:p w14:paraId="1999D617" w14:textId="77777777" w:rsidR="00D67D80" w:rsidRPr="008474CF" w:rsidRDefault="00D67D80" w:rsidP="00D67D80">
      <w:pPr>
        <w:rPr>
          <w:rFonts w:cs="Arial"/>
        </w:rPr>
      </w:pPr>
    </w:p>
    <w:p w14:paraId="3DB6FC68" w14:textId="294A3B8C" w:rsidR="00A824AF" w:rsidRPr="008474CF" w:rsidRDefault="001C2B62" w:rsidP="002F343D">
      <w:pPr>
        <w:numPr>
          <w:ilvl w:val="0"/>
          <w:numId w:val="5"/>
        </w:numPr>
        <w:tabs>
          <w:tab w:val="clear" w:pos="1080"/>
        </w:tabs>
        <w:ind w:left="550" w:hanging="550"/>
        <w:rPr>
          <w:rFonts w:cs="Arial"/>
        </w:rPr>
      </w:pPr>
      <w:r w:rsidRPr="008474CF">
        <w:rPr>
          <w:rFonts w:cs="Arial"/>
        </w:rPr>
        <w:t xml:space="preserve">Der Jahresabschluss des Internationalen Verbandes zum Schutz von Pflanzenzüchtungen (UPOV) für das am 31. Dezember </w:t>
      </w:r>
      <w:r w:rsidR="008114AA" w:rsidRPr="008474CF">
        <w:rPr>
          <w:rFonts w:cs="Arial"/>
        </w:rPr>
        <w:t xml:space="preserve">2024 </w:t>
      </w:r>
      <w:r w:rsidRPr="008474CF">
        <w:rPr>
          <w:rFonts w:cs="Arial"/>
        </w:rPr>
        <w:t>abgelaufene Rechnungsjahr wird dem Rat der UPOV gemäß Regel 6.5 der Finanzordnung und ihrer Durchführungsbestimmungen der UPOV (Dokument UPOV/INF/4/6) vorgelegt</w:t>
      </w:r>
      <w:r w:rsidR="00A824AF" w:rsidRPr="008474CF">
        <w:rPr>
          <w:rFonts w:cs="Arial"/>
        </w:rPr>
        <w:t>:</w:t>
      </w:r>
    </w:p>
    <w:p w14:paraId="2FFE09A2" w14:textId="77777777" w:rsidR="00A824AF" w:rsidRPr="008474CF" w:rsidRDefault="00A824AF" w:rsidP="00A824AF">
      <w:pPr>
        <w:rPr>
          <w:rFonts w:cs="Arial"/>
        </w:rPr>
      </w:pPr>
    </w:p>
    <w:p w14:paraId="3FC45C40" w14:textId="77777777" w:rsidR="00D67D80" w:rsidRPr="008474CF" w:rsidRDefault="00D67D80" w:rsidP="00D67D80">
      <w:pPr>
        <w:spacing w:after="120"/>
        <w:ind w:left="550"/>
        <w:rPr>
          <w:rFonts w:cs="Arial"/>
          <w:b/>
        </w:rPr>
      </w:pPr>
      <w:r w:rsidRPr="008474CF">
        <w:rPr>
          <w:rFonts w:cs="Arial"/>
          <w:b/>
        </w:rPr>
        <w:t>Regel 6.5</w:t>
      </w:r>
    </w:p>
    <w:p w14:paraId="6B13D944" w14:textId="2A3F499A" w:rsidR="00D67D80" w:rsidRPr="008474CF" w:rsidRDefault="00D67D80" w:rsidP="00D67D80">
      <w:pPr>
        <w:spacing w:after="120"/>
        <w:ind w:left="550"/>
        <w:rPr>
          <w:rFonts w:cs="Arial"/>
        </w:rPr>
      </w:pPr>
      <w:r w:rsidRPr="008474CF">
        <w:rPr>
          <w:rFonts w:cs="Arial"/>
        </w:rPr>
        <w:t>1)</w:t>
      </w:r>
      <w:r w:rsidRPr="008474CF">
        <w:rPr>
          <w:rFonts w:cs="Arial"/>
        </w:rPr>
        <w:tab/>
      </w:r>
      <w:r w:rsidR="00BE4467" w:rsidRPr="008474CF">
        <w:rPr>
          <w:rFonts w:cs="Arial"/>
          <w:spacing w:val="-2"/>
        </w:rPr>
        <w:t>Der Generalsekretär legt dem Externen Revisor den Jahresabschluss für jedes Kalenderjahr der Rechnungsperiode bis spätestens 31. März nach Ende des Kalenderjahres, auf das sie sich beziehen, vor</w:t>
      </w:r>
      <w:r w:rsidRPr="008474CF">
        <w:rPr>
          <w:rFonts w:cs="Arial"/>
          <w:spacing w:val="-2"/>
        </w:rPr>
        <w:t>.</w:t>
      </w:r>
    </w:p>
    <w:p w14:paraId="7382F39F" w14:textId="58F75A22" w:rsidR="00D67D80" w:rsidRPr="008474CF" w:rsidRDefault="00D67D80" w:rsidP="00D67D80">
      <w:pPr>
        <w:spacing w:after="120"/>
        <w:ind w:left="550"/>
        <w:rPr>
          <w:rFonts w:cs="Arial"/>
        </w:rPr>
      </w:pPr>
      <w:r w:rsidRPr="008474CF">
        <w:rPr>
          <w:rFonts w:cs="Arial"/>
        </w:rPr>
        <w:t>2)</w:t>
      </w:r>
      <w:r w:rsidRPr="008474CF">
        <w:rPr>
          <w:rFonts w:cs="Arial"/>
        </w:rPr>
        <w:tab/>
      </w:r>
      <w:r w:rsidR="00D60807" w:rsidRPr="008474CF">
        <w:rPr>
          <w:rFonts w:cs="Arial"/>
          <w:spacing w:val="-2"/>
        </w:rPr>
        <w:t>Der Generalsekretär legt innerhalb von acht Monaten nach Ende jedes Kalenderjahres den Jahresabschluss und den vom Externen Revisor hierzu erstellten Rechnungsprüfungsbericht dem Rat vor</w:t>
      </w:r>
      <w:r w:rsidRPr="008474CF">
        <w:rPr>
          <w:rFonts w:cs="Arial"/>
          <w:spacing w:val="-2"/>
        </w:rPr>
        <w:t>.</w:t>
      </w:r>
    </w:p>
    <w:p w14:paraId="01C90696" w14:textId="2449A53E" w:rsidR="00D67D80" w:rsidRPr="008474CF" w:rsidRDefault="00D67D80" w:rsidP="00D67D80">
      <w:pPr>
        <w:spacing w:after="120"/>
        <w:ind w:left="550"/>
        <w:rPr>
          <w:rFonts w:cs="Arial"/>
        </w:rPr>
      </w:pPr>
      <w:r w:rsidRPr="008474CF">
        <w:rPr>
          <w:rFonts w:cs="Arial"/>
        </w:rPr>
        <w:t>3)</w:t>
      </w:r>
      <w:r w:rsidRPr="008474CF">
        <w:rPr>
          <w:rFonts w:cs="Arial"/>
        </w:rPr>
        <w:tab/>
      </w:r>
      <w:r w:rsidR="000808BF" w:rsidRPr="008474CF">
        <w:rPr>
          <w:rFonts w:cs="Arial"/>
        </w:rPr>
        <w:t>Der Rat prüft den Jahresabschluss und kann Änderungen der Beteiligung der UPOV an den gemeinsamen Ausgaben ausweisen, falls er der Überzeugung ist, dass die Höhe der Beteiligung vom Generalsekretär nicht richtig berechnet oder festgesetzt ist. In diesem Fall legt der Rat nach Rücksprache mit dem Koordinierungsausschuss der WIPO die endgültige Zuweisung fest</w:t>
      </w:r>
      <w:r w:rsidRPr="008474CF">
        <w:rPr>
          <w:rFonts w:cs="Arial"/>
        </w:rPr>
        <w:t>.</w:t>
      </w:r>
    </w:p>
    <w:p w14:paraId="180E6AA8" w14:textId="3854FBAA" w:rsidR="00D67D80" w:rsidRPr="008474CF" w:rsidRDefault="00D67D80" w:rsidP="00D67D80">
      <w:pPr>
        <w:ind w:left="550"/>
        <w:rPr>
          <w:rFonts w:cs="Arial"/>
        </w:rPr>
      </w:pPr>
      <w:r w:rsidRPr="008474CF">
        <w:rPr>
          <w:rFonts w:cs="Arial"/>
        </w:rPr>
        <w:t>4)</w:t>
      </w:r>
      <w:r w:rsidRPr="008474CF">
        <w:rPr>
          <w:rFonts w:cs="Arial"/>
        </w:rPr>
        <w:tab/>
      </w:r>
      <w:r w:rsidR="009045B9" w:rsidRPr="008474CF">
        <w:rPr>
          <w:rFonts w:cs="Arial"/>
        </w:rPr>
        <w:t>Der Rat billigt den Jahresabschluss nach dessen Prüfung gemäß Artikel 24 des Übereinkommens von 1961, Artikel 25 der Akte von 1978 und Artikel 29 Absatz 6 der Akte von 1991</w:t>
      </w:r>
      <w:r w:rsidRPr="008474CF">
        <w:rPr>
          <w:rFonts w:cs="Arial"/>
        </w:rPr>
        <w:t>.</w:t>
      </w:r>
    </w:p>
    <w:p w14:paraId="7C1E716B" w14:textId="77777777" w:rsidR="00A824AF" w:rsidRPr="008474CF" w:rsidRDefault="00A824AF" w:rsidP="00A824AF">
      <w:pPr>
        <w:rPr>
          <w:rFonts w:cs="Arial"/>
        </w:rPr>
      </w:pPr>
    </w:p>
    <w:p w14:paraId="36F2042B" w14:textId="1FDB4340" w:rsidR="00A824AF" w:rsidRPr="008474CF" w:rsidRDefault="00A824AF" w:rsidP="00A824AF">
      <w:pPr>
        <w:ind w:left="550" w:hanging="550"/>
        <w:rPr>
          <w:rFonts w:cs="Arial"/>
        </w:rPr>
      </w:pPr>
      <w:r w:rsidRPr="008474CF">
        <w:rPr>
          <w:rFonts w:cs="Arial"/>
        </w:rPr>
        <w:t>2.</w:t>
      </w:r>
      <w:r w:rsidRPr="008474CF">
        <w:rPr>
          <w:rFonts w:cs="Arial"/>
        </w:rPr>
        <w:tab/>
      </w:r>
      <w:r w:rsidR="00290542" w:rsidRPr="008474CF">
        <w:rPr>
          <w:rFonts w:cs="Arial"/>
        </w:rPr>
        <w:t xml:space="preserve">Der Bericht des Externen Revisors über die Prüfung des Jahresabschlusses </w:t>
      </w:r>
      <w:r w:rsidR="008114AA" w:rsidRPr="008474CF">
        <w:rPr>
          <w:rFonts w:cs="Arial"/>
        </w:rPr>
        <w:t xml:space="preserve">2024 </w:t>
      </w:r>
      <w:r w:rsidR="00290542" w:rsidRPr="008474CF">
        <w:rPr>
          <w:rFonts w:cs="Arial"/>
        </w:rPr>
        <w:t>wird zusammen mit seinem Bestätigungsvermerk zum Jahresabschluss gemäß den Bestimmungen der Regel 6.5 und der Anlage II der Finanzordnung und ihrer Durchführungsbestimmungen der UPOV ebenfalls dem Rat der UPOV vorgelegt</w:t>
      </w:r>
      <w:r w:rsidRPr="008474CF">
        <w:rPr>
          <w:rFonts w:cs="Arial"/>
        </w:rPr>
        <w:t>.</w:t>
      </w:r>
    </w:p>
    <w:p w14:paraId="7D96A77B" w14:textId="77777777" w:rsidR="00A824AF" w:rsidRPr="008474CF" w:rsidRDefault="00A824AF" w:rsidP="00A824AF">
      <w:pPr>
        <w:ind w:left="720" w:hanging="720"/>
        <w:rPr>
          <w:rFonts w:cs="Arial"/>
        </w:rPr>
      </w:pPr>
    </w:p>
    <w:p w14:paraId="17A40CED" w14:textId="1035D83E" w:rsidR="00A824AF" w:rsidRPr="008474CF" w:rsidRDefault="00A824AF" w:rsidP="00A824AF">
      <w:pPr>
        <w:ind w:left="550" w:hanging="550"/>
        <w:rPr>
          <w:rFonts w:cs="Arial"/>
        </w:rPr>
      </w:pPr>
      <w:r w:rsidRPr="008474CF">
        <w:rPr>
          <w:rFonts w:cs="Arial"/>
        </w:rPr>
        <w:t>3.</w:t>
      </w:r>
      <w:r w:rsidR="00EA0425" w:rsidRPr="008474CF">
        <w:rPr>
          <w:rFonts w:cs="Arial"/>
        </w:rPr>
        <w:tab/>
      </w:r>
      <w:r w:rsidR="009B337E" w:rsidRPr="008474CF">
        <w:rPr>
          <w:rFonts w:cs="Arial"/>
        </w:rPr>
        <w:t xml:space="preserve">Der Jahresabschluss </w:t>
      </w:r>
      <w:r w:rsidR="008114AA" w:rsidRPr="008474CF">
        <w:rPr>
          <w:rFonts w:cs="Arial"/>
        </w:rPr>
        <w:t xml:space="preserve">2024 </w:t>
      </w:r>
      <w:r w:rsidR="009B337E" w:rsidRPr="008474CF">
        <w:rPr>
          <w:rFonts w:cs="Arial"/>
        </w:rPr>
        <w:t>wurde gemäß den Internationalen Rechnungslegungsstandards für den öffentlichen Sektor (IPSAS) erstellt</w:t>
      </w:r>
      <w:r w:rsidRPr="008474CF">
        <w:rPr>
          <w:rFonts w:cs="Arial"/>
        </w:rPr>
        <w:t>.</w:t>
      </w:r>
      <w:r w:rsidR="006A3ACC" w:rsidRPr="008474CF">
        <w:rPr>
          <w:rFonts w:cs="Arial"/>
        </w:rPr>
        <w:t xml:space="preserve"> </w:t>
      </w:r>
    </w:p>
    <w:p w14:paraId="0B90A1AA" w14:textId="77777777" w:rsidR="00A824AF" w:rsidRPr="008474CF" w:rsidRDefault="00A824AF" w:rsidP="00A824AF">
      <w:pPr>
        <w:rPr>
          <w:rFonts w:cs="Arial"/>
        </w:rPr>
      </w:pPr>
    </w:p>
    <w:p w14:paraId="4696A7C3" w14:textId="77777777" w:rsidR="00332D7A" w:rsidRPr="008474CF" w:rsidRDefault="00332D7A" w:rsidP="00D67D80">
      <w:pPr>
        <w:pStyle w:val="Heading1"/>
        <w:rPr>
          <w:rFonts w:cs="Arial"/>
          <w:lang w:val="de-DE"/>
        </w:rPr>
      </w:pPr>
      <w:bookmarkStart w:id="3" w:name="_Toc477872938"/>
    </w:p>
    <w:p w14:paraId="1CAEB5BD" w14:textId="5279DF5C" w:rsidR="00A824AF" w:rsidRPr="008474CF" w:rsidRDefault="0081090D" w:rsidP="00D67D80">
      <w:pPr>
        <w:pStyle w:val="Heading1"/>
        <w:rPr>
          <w:rFonts w:cs="Arial"/>
          <w:lang w:val="de-DE"/>
        </w:rPr>
      </w:pPr>
      <w:bookmarkStart w:id="4" w:name="_Toc84329880"/>
      <w:bookmarkStart w:id="5" w:name="_Toc205303740"/>
      <w:r w:rsidRPr="008474CF">
        <w:rPr>
          <w:rFonts w:cs="Arial"/>
          <w:lang w:val="de-DE"/>
        </w:rPr>
        <w:t>E</w:t>
      </w:r>
      <w:r w:rsidR="00A824AF" w:rsidRPr="008474CF">
        <w:rPr>
          <w:rFonts w:cs="Arial"/>
          <w:lang w:val="de-DE"/>
        </w:rPr>
        <w:t xml:space="preserve">rgebnisse für </w:t>
      </w:r>
      <w:bookmarkEnd w:id="3"/>
      <w:bookmarkEnd w:id="4"/>
      <w:r w:rsidRPr="008474CF">
        <w:rPr>
          <w:rFonts w:cs="Arial"/>
          <w:lang w:val="de-DE"/>
        </w:rPr>
        <w:t xml:space="preserve">das am </w:t>
      </w:r>
      <w:r w:rsidR="00FE40EB" w:rsidRPr="008474CF">
        <w:rPr>
          <w:rFonts w:cs="Arial"/>
          <w:lang w:val="de-DE"/>
        </w:rPr>
        <w:t>31. D</w:t>
      </w:r>
      <w:r w:rsidRPr="008474CF">
        <w:rPr>
          <w:rFonts w:cs="Arial"/>
          <w:lang w:val="de-DE"/>
        </w:rPr>
        <w:t>ezember</w:t>
      </w:r>
      <w:r w:rsidR="00FE40EB" w:rsidRPr="008474CF">
        <w:rPr>
          <w:rFonts w:cs="Arial"/>
          <w:lang w:val="de-DE"/>
        </w:rPr>
        <w:t xml:space="preserve"> 202</w:t>
      </w:r>
      <w:r w:rsidR="00BC6B84" w:rsidRPr="008474CF">
        <w:rPr>
          <w:rFonts w:cs="Arial"/>
          <w:lang w:val="de-DE"/>
        </w:rPr>
        <w:t>4</w:t>
      </w:r>
      <w:r w:rsidR="00FE40EB" w:rsidRPr="008474CF">
        <w:rPr>
          <w:rFonts w:cs="Arial"/>
          <w:lang w:val="de-DE"/>
        </w:rPr>
        <w:t xml:space="preserve"> </w:t>
      </w:r>
      <w:r w:rsidRPr="008474CF">
        <w:rPr>
          <w:rFonts w:cs="Arial"/>
          <w:lang w:val="de-DE"/>
        </w:rPr>
        <w:t>abgelaufene Rechnungskahr</w:t>
      </w:r>
      <w:bookmarkEnd w:id="5"/>
    </w:p>
    <w:p w14:paraId="757EDB97" w14:textId="77777777" w:rsidR="00D67D80" w:rsidRPr="008474CF" w:rsidRDefault="00D67D80" w:rsidP="00D67D80">
      <w:pPr>
        <w:rPr>
          <w:rFonts w:cs="Arial"/>
        </w:rPr>
      </w:pPr>
    </w:p>
    <w:p w14:paraId="1EBB1815" w14:textId="0873936D" w:rsidR="00A824AF" w:rsidRPr="008474CF" w:rsidRDefault="00A824AF" w:rsidP="000357D6">
      <w:pPr>
        <w:pStyle w:val="Heading2"/>
        <w:rPr>
          <w:rFonts w:ascii="Arial" w:hAnsi="Arial" w:cs="Arial"/>
          <w:lang w:val="de-DE"/>
        </w:rPr>
      </w:pPr>
      <w:bookmarkStart w:id="6" w:name="_Toc84329881"/>
      <w:bookmarkStart w:id="7" w:name="_Toc205303741"/>
      <w:r w:rsidRPr="008474CF">
        <w:rPr>
          <w:rFonts w:ascii="Arial" w:hAnsi="Arial" w:cs="Arial"/>
          <w:lang w:val="de-DE"/>
        </w:rPr>
        <w:t xml:space="preserve">Erstellung </w:t>
      </w:r>
      <w:r w:rsidR="006109E2" w:rsidRPr="008474CF">
        <w:rPr>
          <w:rFonts w:ascii="Arial" w:hAnsi="Arial" w:cs="Arial"/>
          <w:lang w:val="de-DE"/>
        </w:rPr>
        <w:t xml:space="preserve">des Jahresabschlusses gemäß </w:t>
      </w:r>
      <w:r w:rsidRPr="008474CF">
        <w:rPr>
          <w:rFonts w:ascii="Arial" w:hAnsi="Arial" w:cs="Arial"/>
          <w:lang w:val="de-DE"/>
        </w:rPr>
        <w:t>IPSAS</w:t>
      </w:r>
      <w:bookmarkEnd w:id="6"/>
      <w:bookmarkEnd w:id="7"/>
    </w:p>
    <w:p w14:paraId="0A97AA95" w14:textId="77777777" w:rsidR="00A824AF" w:rsidRPr="008474CF" w:rsidRDefault="00A824AF" w:rsidP="00A824AF">
      <w:pPr>
        <w:rPr>
          <w:rFonts w:cs="Arial"/>
        </w:rPr>
      </w:pPr>
    </w:p>
    <w:p w14:paraId="7777DE82" w14:textId="50CE4793" w:rsidR="00A824AF" w:rsidRPr="008474CF" w:rsidRDefault="00C2538A" w:rsidP="002F343D">
      <w:pPr>
        <w:numPr>
          <w:ilvl w:val="0"/>
          <w:numId w:val="7"/>
        </w:numPr>
        <w:tabs>
          <w:tab w:val="num" w:pos="550"/>
        </w:tabs>
        <w:autoSpaceDE w:val="0"/>
        <w:autoSpaceDN w:val="0"/>
        <w:adjustRightInd w:val="0"/>
        <w:ind w:left="550" w:hanging="550"/>
        <w:rPr>
          <w:rFonts w:cs="Arial"/>
        </w:rPr>
      </w:pPr>
      <w:r w:rsidRPr="008474CF">
        <w:rPr>
          <w:rFonts w:cs="Arial"/>
        </w:rPr>
        <w:t>Die Einführung der IPSAS erfordert die Anwendung der vollständig periodengerechten Rechnungsführung. Periodenrechnung bedeutet, dass die Transaktionen und Geschäftsvorfälle zu dem Zeitpunkt erfasst werden, zu dem sie auftreten. Sie werden entsprechend in der Buchhaltung erfasst und im Jahresabschluss für die Finanzperiode, auf die sie sich beziehen, ausgewiesen, und nicht erst, wenn Barmittel oder deren Gegenwert eingenommen oder ausgezahlt werden</w:t>
      </w:r>
      <w:r w:rsidR="00A824AF" w:rsidRPr="008474CF">
        <w:rPr>
          <w:rFonts w:cs="Arial"/>
        </w:rPr>
        <w:t>.</w:t>
      </w:r>
    </w:p>
    <w:p w14:paraId="4CA00CE6" w14:textId="77777777" w:rsidR="00A824AF" w:rsidRPr="008474CF" w:rsidRDefault="00A824AF" w:rsidP="00A824AF">
      <w:pPr>
        <w:autoSpaceDE w:val="0"/>
        <w:autoSpaceDN w:val="0"/>
        <w:adjustRightInd w:val="0"/>
        <w:rPr>
          <w:rFonts w:cs="Arial"/>
        </w:rPr>
      </w:pPr>
    </w:p>
    <w:p w14:paraId="331BAE25" w14:textId="2B445F9B" w:rsidR="00A824AF" w:rsidRPr="008474CF" w:rsidRDefault="006F3EBF" w:rsidP="002F343D">
      <w:pPr>
        <w:numPr>
          <w:ilvl w:val="0"/>
          <w:numId w:val="7"/>
        </w:numPr>
        <w:tabs>
          <w:tab w:val="num" w:pos="550"/>
        </w:tabs>
        <w:autoSpaceDE w:val="0"/>
        <w:autoSpaceDN w:val="0"/>
        <w:adjustRightInd w:val="0"/>
        <w:ind w:left="550" w:hanging="550"/>
        <w:rPr>
          <w:rFonts w:cs="Arial"/>
        </w:rPr>
      </w:pPr>
      <w:r w:rsidRPr="008474CF">
        <w:rPr>
          <w:rFonts w:cs="Arial"/>
        </w:rPr>
        <w:t>Gemäß den IPSAS werden Einnahmen sowohl aus Beiträgen als auch aus außeretatmäßigen Mitteln (Treuhandgeldern) zu dem Zeitpunkt erfasst, zu dem die UPOV Anspruch auf den Erhalt des Beitrags hat. Werden der UPOV Beiträge von Mitgliedstaaten geschuldet, die vor dem letzten Zweijahreszeitraum datiert sind, wird eine Wertberichtigung auf den ausstehenden Beiträgen in voller Höhe vorgenommen. Vereinbarungen über außeretatmäßige Mittel werden zunächst geprüft, um festzustellen, ob die UPOV Leistungsbedingungen erfüllen muss, und sollten solche Bedingungen vorliegen, wird die Einnahme erst verbucht, wenn die Bedingungen erfüllt sind</w:t>
      </w:r>
      <w:r w:rsidR="00A824AF" w:rsidRPr="008474CF">
        <w:rPr>
          <w:rFonts w:cs="Arial"/>
        </w:rPr>
        <w:t xml:space="preserve">. </w:t>
      </w:r>
    </w:p>
    <w:p w14:paraId="47F48C12" w14:textId="77777777" w:rsidR="00A824AF" w:rsidRPr="008474CF" w:rsidRDefault="00A824AF" w:rsidP="00A824AF">
      <w:pPr>
        <w:rPr>
          <w:rFonts w:cs="Arial"/>
        </w:rPr>
      </w:pPr>
    </w:p>
    <w:p w14:paraId="0BAE6516" w14:textId="00243451" w:rsidR="00A824AF" w:rsidRPr="008474CF" w:rsidRDefault="005D79D0" w:rsidP="002F343D">
      <w:pPr>
        <w:numPr>
          <w:ilvl w:val="0"/>
          <w:numId w:val="7"/>
        </w:numPr>
        <w:tabs>
          <w:tab w:val="num" w:pos="550"/>
        </w:tabs>
        <w:ind w:left="550" w:hanging="550"/>
        <w:rPr>
          <w:rFonts w:cs="Arial"/>
        </w:rPr>
      </w:pPr>
      <w:r w:rsidRPr="008474CF">
        <w:rPr>
          <w:rFonts w:cs="Arial"/>
        </w:rPr>
        <w:t>Der Wert künftiger Leistungsverpflichtungen gegenüber Bediensteten (darunter kumulierter Jahresurlaub, Beihilfen für die Rückübersiedlung und Krankenversicherung nach Ausscheiden aus dem Dienst (ASHI)), die die UPOV-Bediensteten bereits verdient, aber noch nicht erhalten haben, wird zum Zwecke der vollständigen Erfassung der Personalkosten periodengerecht verbucht</w:t>
      </w:r>
      <w:r w:rsidR="00A824AF" w:rsidRPr="008474CF">
        <w:rPr>
          <w:rFonts w:cs="Arial"/>
        </w:rPr>
        <w:t xml:space="preserve">. </w:t>
      </w:r>
    </w:p>
    <w:p w14:paraId="3C68A89A" w14:textId="77777777" w:rsidR="00A824AF" w:rsidRPr="008474CF" w:rsidRDefault="00A824AF" w:rsidP="00A824AF">
      <w:pPr>
        <w:rPr>
          <w:rFonts w:cs="Arial"/>
        </w:rPr>
      </w:pPr>
    </w:p>
    <w:p w14:paraId="1618EAD9" w14:textId="014E5337" w:rsidR="00A824AF" w:rsidRPr="008474CF" w:rsidRDefault="007E6DEA" w:rsidP="002F343D">
      <w:pPr>
        <w:numPr>
          <w:ilvl w:val="0"/>
          <w:numId w:val="7"/>
        </w:numPr>
        <w:tabs>
          <w:tab w:val="num" w:pos="550"/>
        </w:tabs>
        <w:ind w:left="550" w:hanging="550"/>
        <w:rPr>
          <w:rFonts w:cs="Arial"/>
        </w:rPr>
      </w:pPr>
      <w:r w:rsidRPr="008474CF">
        <w:rPr>
          <w:rFonts w:cs="Arial"/>
        </w:rPr>
        <w:t>Die Anwendung von IPSAS hat derzeit keinen Einfluss auf die Ausarbeitung von Programm und Haushaltsplan, die noch auf Grundlage der modifizierten Periodenrechnung erstellt werden. Da diese Rechnungslegungsbasis von der vollständig periodengerechten Rechnungslegung, nach der der Jahresabschluss erstellt wird, abweicht, wird in Einklang mit den Anforderungen der IPSAS eine Gegenüberstellung von Haushaltsplan und den wichtigsten Zahlen des Jahresabschlusses vorgelegt</w:t>
      </w:r>
      <w:r w:rsidR="00A824AF" w:rsidRPr="008474CF">
        <w:rPr>
          <w:rFonts w:cs="Arial"/>
        </w:rPr>
        <w:t>.</w:t>
      </w:r>
    </w:p>
    <w:p w14:paraId="54F64492" w14:textId="77777777" w:rsidR="00A824AF" w:rsidRPr="008474CF" w:rsidRDefault="00A824AF" w:rsidP="00A824AF">
      <w:pPr>
        <w:rPr>
          <w:rFonts w:cs="Arial"/>
        </w:rPr>
      </w:pPr>
    </w:p>
    <w:p w14:paraId="06B188A8" w14:textId="211970DC" w:rsidR="00B86F58" w:rsidRPr="008474CF" w:rsidRDefault="00640033" w:rsidP="002F343D">
      <w:pPr>
        <w:pStyle w:val="ListParagraph"/>
        <w:numPr>
          <w:ilvl w:val="0"/>
          <w:numId w:val="7"/>
        </w:numPr>
        <w:jc w:val="both"/>
        <w:rPr>
          <w:sz w:val="20"/>
        </w:rPr>
      </w:pPr>
      <w:r w:rsidRPr="008474CF">
        <w:rPr>
          <w:sz w:val="20"/>
        </w:rPr>
        <w:t>Laut IPSAS sind zum Zwecke der Transparenz detailliertere Informationen in die Anmerkungen zum Jahresabschluss aufzunehmen. Demzufolge stellt die UPOV Informationen über die Vergütung des Managementpersonals in Schlüsselpositionen bereit</w:t>
      </w:r>
      <w:r w:rsidR="00A824AF" w:rsidRPr="008474CF">
        <w:rPr>
          <w:sz w:val="20"/>
        </w:rPr>
        <w:t xml:space="preserve">. </w:t>
      </w:r>
    </w:p>
    <w:p w14:paraId="63D452EC" w14:textId="77777777" w:rsidR="00147DA5" w:rsidRPr="008474CF" w:rsidRDefault="00147DA5" w:rsidP="006519FD">
      <w:pPr>
        <w:pStyle w:val="ListParagraph"/>
        <w:rPr>
          <w:sz w:val="20"/>
        </w:rPr>
      </w:pPr>
    </w:p>
    <w:p w14:paraId="5D522A4F" w14:textId="44D890A8" w:rsidR="004E3C52" w:rsidRPr="008474CF" w:rsidRDefault="003F61EC">
      <w:pPr>
        <w:jc w:val="left"/>
        <w:rPr>
          <w:rFonts w:cs="Arial"/>
          <w:b/>
        </w:rPr>
      </w:pPr>
      <w:bookmarkStart w:id="8" w:name="_Toc84329882"/>
      <w:r w:rsidRPr="008474CF">
        <w:rPr>
          <w:rFonts w:cs="Arial"/>
        </w:rPr>
        <w:br w:type="page"/>
      </w:r>
      <w:bookmarkStart w:id="9" w:name="_Toc84329883"/>
      <w:bookmarkEnd w:id="8"/>
    </w:p>
    <w:p w14:paraId="0851FAD5" w14:textId="32E5AEDF" w:rsidR="00B86F58" w:rsidRPr="008474CF" w:rsidRDefault="00C47854" w:rsidP="00B86F58">
      <w:pPr>
        <w:pStyle w:val="Heading2"/>
        <w:rPr>
          <w:rFonts w:ascii="Arial" w:hAnsi="Arial" w:cs="Arial"/>
          <w:lang w:val="de-DE"/>
        </w:rPr>
      </w:pPr>
      <w:bookmarkStart w:id="10" w:name="_Toc175567538"/>
      <w:bookmarkStart w:id="11" w:name="_Toc205303742"/>
      <w:bookmarkEnd w:id="9"/>
      <w:r w:rsidRPr="008474CF">
        <w:rPr>
          <w:rFonts w:ascii="Arial" w:hAnsi="Arial" w:cs="Arial"/>
          <w:lang w:val="de-DE"/>
        </w:rPr>
        <w:lastRenderedPageBreak/>
        <w:t>Erfolgsrechnung</w:t>
      </w:r>
      <w:bookmarkEnd w:id="10"/>
      <w:bookmarkEnd w:id="11"/>
    </w:p>
    <w:p w14:paraId="1BB3ED28" w14:textId="77777777" w:rsidR="00CC7347" w:rsidRPr="008474CF" w:rsidRDefault="00CC7347" w:rsidP="00CC7347"/>
    <w:p w14:paraId="2E4D6D27" w14:textId="6CA3D1FC" w:rsidR="00A824AF" w:rsidRPr="008474CF" w:rsidRDefault="00233094" w:rsidP="002F343D">
      <w:pPr>
        <w:pStyle w:val="ListParagraph"/>
        <w:numPr>
          <w:ilvl w:val="0"/>
          <w:numId w:val="7"/>
        </w:numPr>
        <w:jc w:val="both"/>
        <w:rPr>
          <w:sz w:val="20"/>
        </w:rPr>
      </w:pPr>
      <w:r w:rsidRPr="008474CF">
        <w:rPr>
          <w:sz w:val="20"/>
        </w:rPr>
        <w:t xml:space="preserve">Das Ergebnis der UPOV wies für das Rechnungsjahr </w:t>
      </w:r>
      <w:r w:rsidR="00FF5364" w:rsidRPr="008474CF">
        <w:rPr>
          <w:sz w:val="20"/>
        </w:rPr>
        <w:t>einen</w:t>
      </w:r>
      <w:r w:rsidRPr="008474CF">
        <w:rPr>
          <w:sz w:val="20"/>
        </w:rPr>
        <w:t xml:space="preserve"> </w:t>
      </w:r>
      <w:r w:rsidR="00FF5364" w:rsidRPr="008474CF">
        <w:rPr>
          <w:sz w:val="20"/>
        </w:rPr>
        <w:t>Überschuss</w:t>
      </w:r>
      <w:r w:rsidRPr="008474CF">
        <w:rPr>
          <w:sz w:val="20"/>
        </w:rPr>
        <w:t xml:space="preserve"> von </w:t>
      </w:r>
      <w:r w:rsidR="00DB3152" w:rsidRPr="008474CF">
        <w:rPr>
          <w:sz w:val="20"/>
        </w:rPr>
        <w:t xml:space="preserve">260.433 </w:t>
      </w:r>
      <w:r w:rsidR="000F0498" w:rsidRPr="008474CF">
        <w:rPr>
          <w:sz w:val="20"/>
        </w:rPr>
        <w:t>Schweizer Franken</w:t>
      </w:r>
      <w:r w:rsidRPr="008474CF">
        <w:rPr>
          <w:sz w:val="20"/>
        </w:rPr>
        <w:t xml:space="preserve"> auf, </w:t>
      </w:r>
      <w:r w:rsidR="00EA311D" w:rsidRPr="008474CF">
        <w:rPr>
          <w:sz w:val="20"/>
        </w:rPr>
        <w:t>bei Gesamteinnahmen von 4</w:t>
      </w:r>
      <w:r w:rsidR="00A10510" w:rsidRPr="008474CF">
        <w:rPr>
          <w:sz w:val="20"/>
        </w:rPr>
        <w:t>.</w:t>
      </w:r>
      <w:r w:rsidR="00EA311D" w:rsidRPr="008474CF">
        <w:rPr>
          <w:sz w:val="20"/>
        </w:rPr>
        <w:t>210</w:t>
      </w:r>
      <w:r w:rsidR="00A10510" w:rsidRPr="008474CF">
        <w:rPr>
          <w:sz w:val="20"/>
        </w:rPr>
        <w:t>.</w:t>
      </w:r>
      <w:r w:rsidR="00EA311D" w:rsidRPr="008474CF">
        <w:rPr>
          <w:sz w:val="20"/>
        </w:rPr>
        <w:t>087 Schweizer Franken und Gesamtausgaben von 3</w:t>
      </w:r>
      <w:r w:rsidR="00A10510" w:rsidRPr="008474CF">
        <w:rPr>
          <w:sz w:val="20"/>
        </w:rPr>
        <w:t>.</w:t>
      </w:r>
      <w:r w:rsidR="00EA311D" w:rsidRPr="008474CF">
        <w:rPr>
          <w:sz w:val="20"/>
        </w:rPr>
        <w:t>949</w:t>
      </w:r>
      <w:r w:rsidR="00A10510" w:rsidRPr="008474CF">
        <w:rPr>
          <w:sz w:val="20"/>
        </w:rPr>
        <w:t>.</w:t>
      </w:r>
      <w:r w:rsidR="00EA311D" w:rsidRPr="008474CF">
        <w:rPr>
          <w:sz w:val="20"/>
        </w:rPr>
        <w:t>654</w:t>
      </w:r>
      <w:r w:rsidR="00304D58" w:rsidRPr="008474CF">
        <w:rPr>
          <w:sz w:val="20"/>
        </w:rPr>
        <w:t> </w:t>
      </w:r>
      <w:r w:rsidR="00EA311D" w:rsidRPr="008474CF">
        <w:rPr>
          <w:sz w:val="20"/>
        </w:rPr>
        <w:t>Schweizer Franken, gegenüber einem Defizit von 22</w:t>
      </w:r>
      <w:r w:rsidR="00A10510" w:rsidRPr="008474CF">
        <w:rPr>
          <w:sz w:val="20"/>
        </w:rPr>
        <w:t>.</w:t>
      </w:r>
      <w:r w:rsidR="00EA311D" w:rsidRPr="008474CF">
        <w:rPr>
          <w:sz w:val="20"/>
        </w:rPr>
        <w:t>883 Schweizer Franken im Jahr 2023</w:t>
      </w:r>
      <w:r w:rsidRPr="008474CF">
        <w:rPr>
          <w:sz w:val="20"/>
        </w:rPr>
        <w:t xml:space="preserve">. Dieser Unterschied beim Jahresergebnis ist größtenteils auf </w:t>
      </w:r>
      <w:r w:rsidR="00D95FAE" w:rsidRPr="008474CF">
        <w:rPr>
          <w:sz w:val="20"/>
        </w:rPr>
        <w:t>einen</w:t>
      </w:r>
      <w:r w:rsidRPr="008474CF">
        <w:rPr>
          <w:sz w:val="20"/>
        </w:rPr>
        <w:t xml:space="preserve"> Rückgang </w:t>
      </w:r>
      <w:r w:rsidR="00A4572F" w:rsidRPr="008474CF">
        <w:rPr>
          <w:sz w:val="20"/>
        </w:rPr>
        <w:t>der</w:t>
      </w:r>
      <w:r w:rsidRPr="008474CF">
        <w:rPr>
          <w:sz w:val="20"/>
        </w:rPr>
        <w:t xml:space="preserve"> vertraglichen Dienstleistungen zurückzuführen. Die Erfolgsrechnung der UPOV nach Finanzierungsquelle kann folgendermaßen zusammengefasst werden</w:t>
      </w:r>
      <w:r w:rsidR="00281ADE" w:rsidRPr="008474CF">
        <w:rPr>
          <w:sz w:val="20"/>
        </w:rPr>
        <w:t>:</w:t>
      </w:r>
    </w:p>
    <w:p w14:paraId="6B6148AF" w14:textId="77777777" w:rsidR="00281ADE" w:rsidRPr="008474CF" w:rsidRDefault="00281ADE" w:rsidP="00281ADE">
      <w:pPr>
        <w:pStyle w:val="ListParagraph"/>
        <w:rPr>
          <w:sz w:val="20"/>
        </w:rPr>
      </w:pPr>
    </w:p>
    <w:p w14:paraId="1F9018E9" w14:textId="024051A4" w:rsidR="00974F61" w:rsidRPr="008474CF" w:rsidRDefault="00974F61">
      <w:pPr>
        <w:jc w:val="left"/>
        <w:rPr>
          <w:rFonts w:cs="Arial"/>
          <w:b/>
          <w:i/>
        </w:rPr>
      </w:pPr>
    </w:p>
    <w:p w14:paraId="447AF7B3" w14:textId="4AAE8C9F" w:rsidR="00AD74C0" w:rsidRPr="008474CF" w:rsidRDefault="00A824AF" w:rsidP="00A824AF">
      <w:pPr>
        <w:autoSpaceDE w:val="0"/>
        <w:autoSpaceDN w:val="0"/>
        <w:adjustRightInd w:val="0"/>
        <w:rPr>
          <w:rFonts w:cs="Arial"/>
          <w:b/>
          <w:i/>
        </w:rPr>
      </w:pPr>
      <w:r w:rsidRPr="008474CF">
        <w:rPr>
          <w:rFonts w:cs="Arial"/>
          <w:b/>
          <w:i/>
        </w:rPr>
        <w:t xml:space="preserve">Tabelle 1. Zusammenfassung </w:t>
      </w:r>
      <w:r w:rsidR="002B006E" w:rsidRPr="008474CF">
        <w:rPr>
          <w:rFonts w:cs="Arial"/>
          <w:b/>
          <w:i/>
        </w:rPr>
        <w:t>Erfolgsrechnung</w:t>
      </w:r>
      <w:r w:rsidRPr="008474CF">
        <w:rPr>
          <w:rFonts w:cs="Arial"/>
          <w:b/>
          <w:i/>
        </w:rPr>
        <w:t xml:space="preserve"> </w:t>
      </w:r>
      <w:r w:rsidR="00281ADE" w:rsidRPr="008474CF">
        <w:rPr>
          <w:rFonts w:cs="Arial"/>
          <w:b/>
          <w:i/>
        </w:rPr>
        <w:t>nach Finanzierungsquelle</w:t>
      </w:r>
    </w:p>
    <w:p w14:paraId="75CA1408" w14:textId="77777777" w:rsidR="006606EB" w:rsidRPr="008474CF" w:rsidRDefault="006606EB" w:rsidP="00D812DE">
      <w:pPr>
        <w:autoSpaceDE w:val="0"/>
        <w:autoSpaceDN w:val="0"/>
        <w:adjustRightInd w:val="0"/>
        <w:rPr>
          <w:rFonts w:cs="Arial"/>
        </w:rPr>
      </w:pPr>
    </w:p>
    <w:p w14:paraId="646F6DE4" w14:textId="4F687532" w:rsidR="006606EB" w:rsidRPr="008474CF" w:rsidRDefault="0095023C" w:rsidP="00D812DE">
      <w:pPr>
        <w:autoSpaceDE w:val="0"/>
        <w:autoSpaceDN w:val="0"/>
        <w:adjustRightInd w:val="0"/>
        <w:rPr>
          <w:rFonts w:cs="Arial"/>
        </w:rPr>
      </w:pPr>
      <w:r w:rsidRPr="0095023C">
        <w:rPr>
          <w:noProof/>
        </w:rPr>
        <w:drawing>
          <wp:inline distT="0" distB="0" distL="0" distR="0" wp14:anchorId="134F3BF3" wp14:editId="1BB3FBFA">
            <wp:extent cx="6137910" cy="2127885"/>
            <wp:effectExtent l="0" t="0" r="0" b="0"/>
            <wp:docPr id="11383249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7910" cy="2127885"/>
                    </a:xfrm>
                    <a:prstGeom prst="rect">
                      <a:avLst/>
                    </a:prstGeom>
                    <a:noFill/>
                    <a:ln>
                      <a:noFill/>
                    </a:ln>
                  </pic:spPr>
                </pic:pic>
              </a:graphicData>
            </a:graphic>
          </wp:inline>
        </w:drawing>
      </w:r>
    </w:p>
    <w:p w14:paraId="0F31E8DD" w14:textId="77777777" w:rsidR="007C4A37" w:rsidRDefault="007C4A37" w:rsidP="00D812DE">
      <w:pPr>
        <w:autoSpaceDE w:val="0"/>
        <w:autoSpaceDN w:val="0"/>
        <w:adjustRightInd w:val="0"/>
        <w:rPr>
          <w:rFonts w:cs="Arial"/>
        </w:rPr>
      </w:pPr>
    </w:p>
    <w:p w14:paraId="3F2014B9" w14:textId="28D9271B" w:rsidR="0095023C" w:rsidRPr="008474CF" w:rsidRDefault="0095023C" w:rsidP="00D812DE">
      <w:pPr>
        <w:autoSpaceDE w:val="0"/>
        <w:autoSpaceDN w:val="0"/>
        <w:adjustRightInd w:val="0"/>
        <w:rPr>
          <w:rFonts w:cs="Arial"/>
        </w:rPr>
      </w:pPr>
    </w:p>
    <w:p w14:paraId="235896EE" w14:textId="53F27B48" w:rsidR="00D561C8" w:rsidRPr="008474CF" w:rsidRDefault="00F00013" w:rsidP="002F343D">
      <w:pPr>
        <w:pStyle w:val="ListParagraph"/>
        <w:numPr>
          <w:ilvl w:val="0"/>
          <w:numId w:val="7"/>
        </w:numPr>
        <w:autoSpaceDE w:val="0"/>
        <w:autoSpaceDN w:val="0"/>
        <w:adjustRightInd w:val="0"/>
        <w:jc w:val="both"/>
      </w:pPr>
      <w:r w:rsidRPr="008474CF">
        <w:rPr>
          <w:sz w:val="20"/>
        </w:rPr>
        <w:t xml:space="preserve">Die Tätigkeiten der UPOV werden hauptsächlich aus drei Quellen finanziert – Beiträgen, außeretatmäßigen Mitteln (Treuhandgeldern) und Einnahmen aus </w:t>
      </w:r>
      <w:r w:rsidR="00244181">
        <w:rPr>
          <w:sz w:val="20"/>
        </w:rPr>
        <w:t>UPOV PRISMA</w:t>
      </w:r>
      <w:r w:rsidRPr="008474CF">
        <w:rPr>
          <w:sz w:val="20"/>
        </w:rPr>
        <w:t>-Gebühren</w:t>
      </w:r>
      <w:r w:rsidR="00D561C8" w:rsidRPr="008474CF">
        <w:rPr>
          <w:sz w:val="20"/>
        </w:rPr>
        <w:t xml:space="preserve">. Die </w:t>
      </w:r>
      <w:r w:rsidR="00D561C8" w:rsidRPr="008474CF">
        <w:rPr>
          <w:spacing w:val="-2"/>
          <w:sz w:val="20"/>
        </w:rPr>
        <w:t>Beiträge in Höhe von 3</w:t>
      </w:r>
      <w:r w:rsidR="00034B65" w:rsidRPr="008474CF">
        <w:rPr>
          <w:spacing w:val="-2"/>
          <w:sz w:val="20"/>
        </w:rPr>
        <w:t>.</w:t>
      </w:r>
      <w:r w:rsidR="00D561C8" w:rsidRPr="008474CF">
        <w:rPr>
          <w:spacing w:val="-2"/>
          <w:sz w:val="20"/>
        </w:rPr>
        <w:t>569</w:t>
      </w:r>
      <w:r w:rsidR="00034B65" w:rsidRPr="008474CF">
        <w:rPr>
          <w:spacing w:val="-2"/>
          <w:sz w:val="20"/>
        </w:rPr>
        <w:t>.</w:t>
      </w:r>
      <w:r w:rsidR="00D561C8" w:rsidRPr="008474CF">
        <w:rPr>
          <w:spacing w:val="-2"/>
          <w:sz w:val="20"/>
        </w:rPr>
        <w:t>798</w:t>
      </w:r>
      <w:r w:rsidR="00304D58" w:rsidRPr="008474CF">
        <w:rPr>
          <w:spacing w:val="-2"/>
          <w:sz w:val="20"/>
        </w:rPr>
        <w:t> Schweizer Franken</w:t>
      </w:r>
      <w:r w:rsidR="00D561C8" w:rsidRPr="008474CF">
        <w:rPr>
          <w:spacing w:val="-2"/>
          <w:sz w:val="20"/>
        </w:rPr>
        <w:t xml:space="preserve">, teilweise ausgeglichen durch </w:t>
      </w:r>
      <w:r w:rsidR="006A3ACC" w:rsidRPr="008474CF">
        <w:rPr>
          <w:spacing w:val="-2"/>
          <w:sz w:val="20"/>
        </w:rPr>
        <w:t>e</w:t>
      </w:r>
      <w:r w:rsidR="00286D6E" w:rsidRPr="008474CF">
        <w:rPr>
          <w:spacing w:val="-2"/>
          <w:sz w:val="20"/>
        </w:rPr>
        <w:t>ine Wertberichtigung</w:t>
      </w:r>
      <w:r w:rsidR="00D561C8" w:rsidRPr="008474CF">
        <w:rPr>
          <w:sz w:val="20"/>
        </w:rPr>
        <w:t xml:space="preserve"> von 42</w:t>
      </w:r>
      <w:r w:rsidR="003923AA" w:rsidRPr="008474CF">
        <w:rPr>
          <w:sz w:val="20"/>
        </w:rPr>
        <w:t>.</w:t>
      </w:r>
      <w:r w:rsidR="00D561C8" w:rsidRPr="008474CF">
        <w:rPr>
          <w:sz w:val="20"/>
        </w:rPr>
        <w:t>912</w:t>
      </w:r>
      <w:r w:rsidR="00304D58" w:rsidRPr="008474CF">
        <w:rPr>
          <w:sz w:val="20"/>
        </w:rPr>
        <w:t> </w:t>
      </w:r>
      <w:r w:rsidR="000F0498" w:rsidRPr="008474CF">
        <w:rPr>
          <w:sz w:val="20"/>
        </w:rPr>
        <w:t>Schweizer Franken</w:t>
      </w:r>
      <w:r w:rsidR="00D561C8" w:rsidRPr="008474CF">
        <w:rPr>
          <w:sz w:val="20"/>
        </w:rPr>
        <w:t xml:space="preserve">, machen 83,8 Prozent der Gesamteinnahmen der UPOV für </w:t>
      </w:r>
      <w:r w:rsidR="003923AA" w:rsidRPr="008474CF">
        <w:rPr>
          <w:sz w:val="20"/>
        </w:rPr>
        <w:t>das Jahr</w:t>
      </w:r>
      <w:r w:rsidR="00304D58" w:rsidRPr="008474CF">
        <w:rPr>
          <w:sz w:val="20"/>
        </w:rPr>
        <w:t> </w:t>
      </w:r>
      <w:r w:rsidR="00D561C8" w:rsidRPr="008474CF">
        <w:rPr>
          <w:sz w:val="20"/>
        </w:rPr>
        <w:t xml:space="preserve">2024 aus. Die Beiträge blieben auf dem Niveau von 2023. Im Jahr 2024 erhielt die UPOV außeretatmäßige Mittel von der Regierung Japans für die Förderung, Entwicklung und </w:t>
      </w:r>
      <w:r w:rsidR="00D03648" w:rsidRPr="008474CF">
        <w:rPr>
          <w:sz w:val="20"/>
        </w:rPr>
        <w:t>Wartung</w:t>
      </w:r>
      <w:r w:rsidR="00D561C8" w:rsidRPr="008474CF">
        <w:rPr>
          <w:sz w:val="20"/>
        </w:rPr>
        <w:t xml:space="preserve"> der </w:t>
      </w:r>
      <w:r w:rsidR="00304D58" w:rsidRPr="008474CF">
        <w:rPr>
          <w:sz w:val="20"/>
        </w:rPr>
        <w:t>UPOV </w:t>
      </w:r>
      <w:r w:rsidR="00D561C8" w:rsidRPr="008474CF">
        <w:rPr>
          <w:sz w:val="20"/>
        </w:rPr>
        <w:t xml:space="preserve">e-PVP-Dienste sowie vom </w:t>
      </w:r>
      <w:r w:rsidR="005B7127" w:rsidRPr="008474CF">
        <w:rPr>
          <w:sz w:val="20"/>
        </w:rPr>
        <w:t xml:space="preserve">U.S. </w:t>
      </w:r>
      <w:r w:rsidR="00D561C8" w:rsidRPr="008474CF">
        <w:rPr>
          <w:sz w:val="20"/>
        </w:rPr>
        <w:t xml:space="preserve">Patent- und Markenamt (USPTO) für </w:t>
      </w:r>
      <w:r w:rsidR="002D7B51" w:rsidRPr="008474CF">
        <w:rPr>
          <w:sz w:val="20"/>
        </w:rPr>
        <w:t>die Projekte</w:t>
      </w:r>
      <w:r w:rsidR="00A700F1" w:rsidRPr="008474CF">
        <w:rPr>
          <w:sz w:val="20"/>
        </w:rPr>
        <w:t xml:space="preserve"> </w:t>
      </w:r>
      <w:r w:rsidR="00FE58AB" w:rsidRPr="008474CF">
        <w:rPr>
          <w:sz w:val="20"/>
        </w:rPr>
        <w:t>„</w:t>
      </w:r>
      <w:r w:rsidR="00D652C6" w:rsidRPr="008474CF">
        <w:rPr>
          <w:sz w:val="20"/>
        </w:rPr>
        <w:t>UPOV Executive Program on Plant Variety Protection for the Development of Agriculture</w:t>
      </w:r>
      <w:r w:rsidR="00CC193D" w:rsidRPr="008474CF">
        <w:rPr>
          <w:sz w:val="20"/>
        </w:rPr>
        <w:t>“</w:t>
      </w:r>
      <w:r w:rsidR="00D561C8" w:rsidRPr="008474CF">
        <w:rPr>
          <w:sz w:val="20"/>
        </w:rPr>
        <w:t xml:space="preserve"> und </w:t>
      </w:r>
      <w:r w:rsidR="00CC193D" w:rsidRPr="008474CF">
        <w:rPr>
          <w:sz w:val="20"/>
        </w:rPr>
        <w:t>„</w:t>
      </w:r>
      <w:r w:rsidR="00DF29D6" w:rsidRPr="008474CF">
        <w:rPr>
          <w:sz w:val="20"/>
        </w:rPr>
        <w:t>Regionaler Workshop zum Sortenschutz für ARIPO-Mitgliedstaaten</w:t>
      </w:r>
      <w:r w:rsidR="00CC193D" w:rsidRPr="008474CF">
        <w:rPr>
          <w:sz w:val="20"/>
        </w:rPr>
        <w:t>“</w:t>
      </w:r>
      <w:r w:rsidR="00D561C8" w:rsidRPr="008474CF">
        <w:rPr>
          <w:sz w:val="20"/>
        </w:rPr>
        <w:t>.</w:t>
      </w:r>
      <w:r w:rsidR="00CC47D2" w:rsidRPr="008474CF">
        <w:rPr>
          <w:sz w:val="20"/>
        </w:rPr>
        <w:t xml:space="preserve"> </w:t>
      </w:r>
      <w:r w:rsidR="00D561C8" w:rsidRPr="008474CF">
        <w:rPr>
          <w:sz w:val="20"/>
        </w:rPr>
        <w:t xml:space="preserve">Die Einnahmen aus </w:t>
      </w:r>
      <w:r w:rsidR="002751D7" w:rsidRPr="008474CF">
        <w:rPr>
          <w:sz w:val="20"/>
        </w:rPr>
        <w:t>außeretatmäßig</w:t>
      </w:r>
      <w:r w:rsidR="00D561C8" w:rsidRPr="008474CF">
        <w:rPr>
          <w:sz w:val="20"/>
        </w:rPr>
        <w:t>en Mitteln (Treuhandgelder</w:t>
      </w:r>
      <w:r w:rsidR="002751D7" w:rsidRPr="008474CF">
        <w:rPr>
          <w:sz w:val="20"/>
        </w:rPr>
        <w:t>n</w:t>
      </w:r>
      <w:r w:rsidR="00D561C8" w:rsidRPr="008474CF">
        <w:rPr>
          <w:sz w:val="20"/>
        </w:rPr>
        <w:t xml:space="preserve">) beliefen sich im </w:t>
      </w:r>
      <w:r w:rsidR="005E034E" w:rsidRPr="008474CF">
        <w:rPr>
          <w:sz w:val="20"/>
        </w:rPr>
        <w:t xml:space="preserve">Rechnungsjahr </w:t>
      </w:r>
      <w:r w:rsidR="00D561C8" w:rsidRPr="008474CF">
        <w:rPr>
          <w:sz w:val="20"/>
        </w:rPr>
        <w:t>auf 509</w:t>
      </w:r>
      <w:r w:rsidR="00CC193D" w:rsidRPr="008474CF">
        <w:rPr>
          <w:sz w:val="20"/>
        </w:rPr>
        <w:t>.</w:t>
      </w:r>
      <w:r w:rsidR="00D561C8" w:rsidRPr="008474CF">
        <w:rPr>
          <w:sz w:val="20"/>
        </w:rPr>
        <w:t xml:space="preserve">393 </w:t>
      </w:r>
      <w:r w:rsidR="000F0498" w:rsidRPr="008474CF">
        <w:rPr>
          <w:sz w:val="20"/>
        </w:rPr>
        <w:t>Schweizer Franken</w:t>
      </w:r>
      <w:r w:rsidR="00D561C8" w:rsidRPr="008474CF">
        <w:rPr>
          <w:sz w:val="20"/>
        </w:rPr>
        <w:t>, was 12,1</w:t>
      </w:r>
      <w:r w:rsidR="000B189E">
        <w:rPr>
          <w:sz w:val="20"/>
        </w:rPr>
        <w:t> %</w:t>
      </w:r>
      <w:r w:rsidR="00D561C8" w:rsidRPr="008474CF">
        <w:rPr>
          <w:sz w:val="20"/>
        </w:rPr>
        <w:t xml:space="preserve"> der Gesamteinnahmen entspricht. Die Einnahmen aus </w:t>
      </w:r>
      <w:r w:rsidR="002751D7" w:rsidRPr="008474CF">
        <w:rPr>
          <w:sz w:val="20"/>
        </w:rPr>
        <w:t>außeretatmäßig</w:t>
      </w:r>
      <w:r w:rsidR="00D561C8" w:rsidRPr="008474CF">
        <w:rPr>
          <w:sz w:val="20"/>
        </w:rPr>
        <w:t xml:space="preserve">en Mitteln stiegen </w:t>
      </w:r>
      <w:r w:rsidR="005E034E" w:rsidRPr="008474CF">
        <w:rPr>
          <w:sz w:val="20"/>
        </w:rPr>
        <w:t>gegenüber</w:t>
      </w:r>
      <w:r w:rsidR="00D561C8" w:rsidRPr="008474CF">
        <w:rPr>
          <w:sz w:val="20"/>
        </w:rPr>
        <w:t xml:space="preserve"> 2023 um 6,72 Prozent. Die UPOV verfügt </w:t>
      </w:r>
      <w:r w:rsidR="000E4DB5" w:rsidRPr="008474CF">
        <w:rPr>
          <w:sz w:val="20"/>
        </w:rPr>
        <w:t>zudem</w:t>
      </w:r>
      <w:r w:rsidR="00D561C8" w:rsidRPr="008474CF">
        <w:rPr>
          <w:sz w:val="20"/>
        </w:rPr>
        <w:t xml:space="preserve"> über </w:t>
      </w:r>
      <w:r w:rsidR="000E4DB5" w:rsidRPr="008474CF">
        <w:rPr>
          <w:sz w:val="20"/>
        </w:rPr>
        <w:t>einen Saldo</w:t>
      </w:r>
      <w:r w:rsidR="00D561C8" w:rsidRPr="008474CF">
        <w:rPr>
          <w:sz w:val="20"/>
        </w:rPr>
        <w:t xml:space="preserve"> in Höhe von 625</w:t>
      </w:r>
      <w:r w:rsidR="0070685C" w:rsidRPr="008474CF">
        <w:rPr>
          <w:sz w:val="20"/>
        </w:rPr>
        <w:t>.</w:t>
      </w:r>
      <w:r w:rsidR="00D561C8" w:rsidRPr="008474CF">
        <w:rPr>
          <w:sz w:val="20"/>
        </w:rPr>
        <w:t xml:space="preserve">543 </w:t>
      </w:r>
      <w:r w:rsidR="000F0498" w:rsidRPr="008474CF">
        <w:rPr>
          <w:sz w:val="20"/>
        </w:rPr>
        <w:t>Schweizer Franken</w:t>
      </w:r>
      <w:r w:rsidR="0070685C" w:rsidRPr="008474CF">
        <w:rPr>
          <w:sz w:val="20"/>
        </w:rPr>
        <w:t xml:space="preserve"> für</w:t>
      </w:r>
      <w:r w:rsidR="00D561C8" w:rsidRPr="008474CF">
        <w:rPr>
          <w:sz w:val="20"/>
        </w:rPr>
        <w:t xml:space="preserve"> </w:t>
      </w:r>
      <w:r w:rsidR="001138FF" w:rsidRPr="008474CF">
        <w:rPr>
          <w:sz w:val="20"/>
        </w:rPr>
        <w:t>im Voraus</w:t>
      </w:r>
      <w:r w:rsidR="00D561C8" w:rsidRPr="008474CF">
        <w:rPr>
          <w:sz w:val="20"/>
        </w:rPr>
        <w:t xml:space="preserve"> </w:t>
      </w:r>
      <w:r w:rsidR="0070685C" w:rsidRPr="008474CF">
        <w:rPr>
          <w:sz w:val="20"/>
        </w:rPr>
        <w:t>entrichtete</w:t>
      </w:r>
      <w:r w:rsidR="00D561C8" w:rsidRPr="008474CF">
        <w:rPr>
          <w:sz w:val="20"/>
        </w:rPr>
        <w:t xml:space="preserve"> Beiträge. Diese</w:t>
      </w:r>
      <w:r w:rsidR="00117FB4" w:rsidRPr="008474CF">
        <w:rPr>
          <w:sz w:val="20"/>
        </w:rPr>
        <w:t>r</w:t>
      </w:r>
      <w:r w:rsidR="00D561C8" w:rsidRPr="008474CF">
        <w:rPr>
          <w:sz w:val="20"/>
        </w:rPr>
        <w:t xml:space="preserve"> </w:t>
      </w:r>
      <w:r w:rsidR="00117FB4" w:rsidRPr="008474CF">
        <w:rPr>
          <w:sz w:val="20"/>
        </w:rPr>
        <w:t xml:space="preserve">Saldo ist </w:t>
      </w:r>
      <w:r w:rsidR="00D561C8" w:rsidRPr="008474CF">
        <w:rPr>
          <w:sz w:val="20"/>
        </w:rPr>
        <w:t>im Vergleich zu 2023 um 20,15</w:t>
      </w:r>
      <w:r w:rsidR="000B189E">
        <w:rPr>
          <w:sz w:val="20"/>
        </w:rPr>
        <w:t> %</w:t>
      </w:r>
      <w:r w:rsidR="00D561C8" w:rsidRPr="008474CF">
        <w:rPr>
          <w:sz w:val="20"/>
        </w:rPr>
        <w:t xml:space="preserve"> gestiegen. </w:t>
      </w:r>
      <w:r w:rsidR="006A3ACC" w:rsidRPr="008474CF">
        <w:rPr>
          <w:sz w:val="20"/>
        </w:rPr>
        <w:t>Dieser wird</w:t>
      </w:r>
      <w:r w:rsidR="00D561C8" w:rsidRPr="008474CF">
        <w:rPr>
          <w:sz w:val="20"/>
        </w:rPr>
        <w:t xml:space="preserve"> derzeit als Verbindlichkeiten ausgewiesen und in dem Jahr, in dem die entsprechenden Verpflichtungen erfüllt </w:t>
      </w:r>
      <w:r w:rsidR="0070685C" w:rsidRPr="008474CF">
        <w:rPr>
          <w:sz w:val="20"/>
        </w:rPr>
        <w:t>worden sind</w:t>
      </w:r>
      <w:r w:rsidR="00D561C8" w:rsidRPr="008474CF">
        <w:rPr>
          <w:sz w:val="20"/>
        </w:rPr>
        <w:t xml:space="preserve">, als Einnahmen verbucht. </w:t>
      </w:r>
    </w:p>
    <w:p w14:paraId="47D1E635" w14:textId="77777777" w:rsidR="00EB0BB6" w:rsidRPr="008474CF" w:rsidRDefault="00EB0BB6" w:rsidP="00EB0BB6">
      <w:pPr>
        <w:rPr>
          <w:rFonts w:cs="Arial"/>
        </w:rPr>
      </w:pPr>
    </w:p>
    <w:p w14:paraId="00A0E5AC" w14:textId="2C1DC4EB" w:rsidR="00B77147" w:rsidRPr="008474CF" w:rsidRDefault="00FC6F74" w:rsidP="002F343D">
      <w:pPr>
        <w:pStyle w:val="ListParagraph"/>
        <w:numPr>
          <w:ilvl w:val="0"/>
          <w:numId w:val="7"/>
        </w:numPr>
        <w:jc w:val="both"/>
      </w:pPr>
      <w:r w:rsidRPr="008474CF">
        <w:rPr>
          <w:sz w:val="20"/>
        </w:rPr>
        <w:t xml:space="preserve">Im Jahr 2017 führte die UPOV das </w:t>
      </w:r>
      <w:r w:rsidR="00244181">
        <w:rPr>
          <w:sz w:val="20"/>
        </w:rPr>
        <w:t>UPOV PRISMA</w:t>
      </w:r>
      <w:r w:rsidRPr="008474CF">
        <w:rPr>
          <w:sz w:val="20"/>
        </w:rPr>
        <w:t xml:space="preserve"> PBR-Antragsinstrument ein. Dieses Online-Antragsinstrument ermöglicht es Antragstellern, Antragsdaten bei teilnehmenden Sortenämtern auf der ganzen Welt einzureichen. Das Antragsinstrument war während eines Einführungszeitraums bis zum 31. Dezember 2019 kostenfrei. Auf seiner dreiundfünfzigsten ordentlichen Tagung entschied der Rat der UPOV, ab Januar 2020 eine </w:t>
      </w:r>
      <w:r w:rsidR="00244181">
        <w:rPr>
          <w:sz w:val="20"/>
        </w:rPr>
        <w:t>UPOV PRISMA</w:t>
      </w:r>
      <w:r w:rsidRPr="008474CF">
        <w:rPr>
          <w:sz w:val="20"/>
        </w:rPr>
        <w:t>-Gebühr von 90 </w:t>
      </w:r>
      <w:r w:rsidR="000F0498" w:rsidRPr="008474CF">
        <w:rPr>
          <w:sz w:val="20"/>
        </w:rPr>
        <w:t>Schweizer Franken</w:t>
      </w:r>
      <w:r w:rsidRPr="008474CF">
        <w:rPr>
          <w:sz w:val="20"/>
        </w:rPr>
        <w:t xml:space="preserve"> pro Antrag einzuführen. Die aus </w:t>
      </w:r>
      <w:r w:rsidR="00117FB4" w:rsidRPr="008474CF">
        <w:rPr>
          <w:sz w:val="20"/>
        </w:rPr>
        <w:t xml:space="preserve">den </w:t>
      </w:r>
      <w:r w:rsidRPr="008474CF">
        <w:rPr>
          <w:sz w:val="20"/>
        </w:rPr>
        <w:t>UPOV-PRISMA-Gebühr</w:t>
      </w:r>
      <w:r w:rsidR="00117FB4" w:rsidRPr="008474CF">
        <w:rPr>
          <w:sz w:val="20"/>
        </w:rPr>
        <w:t>en</w:t>
      </w:r>
      <w:r w:rsidRPr="008474CF">
        <w:rPr>
          <w:sz w:val="20"/>
        </w:rPr>
        <w:t xml:space="preserve"> verbuchten Einnahmen beliefen sich 202</w:t>
      </w:r>
      <w:r w:rsidR="00F278AD" w:rsidRPr="008474CF">
        <w:rPr>
          <w:sz w:val="20"/>
        </w:rPr>
        <w:t>4</w:t>
      </w:r>
      <w:r w:rsidRPr="008474CF">
        <w:rPr>
          <w:sz w:val="20"/>
        </w:rPr>
        <w:t xml:space="preserve"> auf 1</w:t>
      </w:r>
      <w:r w:rsidR="004B7A77" w:rsidRPr="008474CF">
        <w:rPr>
          <w:sz w:val="20"/>
        </w:rPr>
        <w:t>34</w:t>
      </w:r>
      <w:r w:rsidRPr="008474CF">
        <w:rPr>
          <w:sz w:val="20"/>
        </w:rPr>
        <w:t>.1</w:t>
      </w:r>
      <w:r w:rsidR="004B7A77" w:rsidRPr="008474CF">
        <w:rPr>
          <w:sz w:val="20"/>
        </w:rPr>
        <w:t>9</w:t>
      </w:r>
      <w:r w:rsidRPr="008474CF">
        <w:rPr>
          <w:sz w:val="20"/>
        </w:rPr>
        <w:t xml:space="preserve">0 </w:t>
      </w:r>
      <w:r w:rsidR="000F0498" w:rsidRPr="008474CF">
        <w:rPr>
          <w:sz w:val="20"/>
        </w:rPr>
        <w:t>Schweizer Franken</w:t>
      </w:r>
      <w:r w:rsidR="00F6771B" w:rsidRPr="008474CF">
        <w:t xml:space="preserve"> </w:t>
      </w:r>
      <w:r w:rsidR="00F6771B" w:rsidRPr="008474CF">
        <w:rPr>
          <w:sz w:val="20"/>
        </w:rPr>
        <w:t xml:space="preserve">(125.100 Schweizer Franken </w:t>
      </w:r>
      <w:r w:rsidR="006A3ACC" w:rsidRPr="008474CF">
        <w:rPr>
          <w:sz w:val="20"/>
        </w:rPr>
        <w:t>im</w:t>
      </w:r>
      <w:r w:rsidR="00F6771B" w:rsidRPr="008474CF">
        <w:rPr>
          <w:sz w:val="20"/>
        </w:rPr>
        <w:t xml:space="preserve"> Jahr 2023)</w:t>
      </w:r>
      <w:r w:rsidRPr="008474CF">
        <w:rPr>
          <w:sz w:val="20"/>
        </w:rPr>
        <w:t>, was 3</w:t>
      </w:r>
      <w:r w:rsidR="00F6771B" w:rsidRPr="008474CF">
        <w:rPr>
          <w:sz w:val="20"/>
        </w:rPr>
        <w:t>,2</w:t>
      </w:r>
      <w:r w:rsidRPr="008474CF">
        <w:rPr>
          <w:sz w:val="20"/>
        </w:rPr>
        <w:t xml:space="preserve"> Prozent der UPOV-Gesamteinnahmen für das Jahr entspricht. </w:t>
      </w:r>
      <w:r w:rsidR="006A5BB7" w:rsidRPr="008474CF">
        <w:rPr>
          <w:sz w:val="20"/>
        </w:rPr>
        <w:t xml:space="preserve">Die Zahl der Einreichungen über </w:t>
      </w:r>
      <w:r w:rsidR="00244181">
        <w:rPr>
          <w:sz w:val="20"/>
        </w:rPr>
        <w:t>UPOV PRISMA</w:t>
      </w:r>
      <w:r w:rsidR="006A5BB7" w:rsidRPr="008474CF">
        <w:rPr>
          <w:sz w:val="20"/>
        </w:rPr>
        <w:t xml:space="preserve"> stieg im Jahr 2024 um 4,9</w:t>
      </w:r>
      <w:r w:rsidR="000B189E">
        <w:rPr>
          <w:sz w:val="20"/>
        </w:rPr>
        <w:t> %</w:t>
      </w:r>
      <w:r w:rsidR="006A5BB7" w:rsidRPr="008474CF">
        <w:rPr>
          <w:sz w:val="20"/>
        </w:rPr>
        <w:t xml:space="preserve"> (1.964 Anträge im Jahr 2024 gegenüber 1.873 Anträgen im Jahr 2023).</w:t>
      </w:r>
    </w:p>
    <w:p w14:paraId="085181A0" w14:textId="77777777" w:rsidR="00D90A24" w:rsidRPr="008474CF" w:rsidRDefault="00D90A24" w:rsidP="00C21351">
      <w:pPr>
        <w:rPr>
          <w:rFonts w:cs="Arial"/>
        </w:rPr>
      </w:pPr>
    </w:p>
    <w:p w14:paraId="456E8839" w14:textId="6B5C8B2E" w:rsidR="008D084A" w:rsidRPr="008474CF" w:rsidRDefault="008E2875" w:rsidP="002F343D">
      <w:pPr>
        <w:pStyle w:val="ListParagraph"/>
        <w:numPr>
          <w:ilvl w:val="0"/>
          <w:numId w:val="7"/>
        </w:numPr>
        <w:jc w:val="both"/>
        <w:rPr>
          <w:sz w:val="20"/>
        </w:rPr>
      </w:pPr>
      <w:r w:rsidRPr="008474CF">
        <w:rPr>
          <w:sz w:val="20"/>
        </w:rPr>
        <w:t xml:space="preserve">Der Personalaufwand in Höhe von </w:t>
      </w:r>
      <w:r w:rsidR="00B508EF" w:rsidRPr="008474CF">
        <w:rPr>
          <w:rFonts w:cs="Times New Roman"/>
          <w:sz w:val="20"/>
        </w:rPr>
        <w:t>2</w:t>
      </w:r>
      <w:r w:rsidR="00507D86" w:rsidRPr="008474CF">
        <w:rPr>
          <w:rFonts w:cs="Times New Roman"/>
          <w:sz w:val="20"/>
        </w:rPr>
        <w:t>.</w:t>
      </w:r>
      <w:r w:rsidR="00B508EF" w:rsidRPr="008474CF">
        <w:rPr>
          <w:rFonts w:cs="Times New Roman"/>
          <w:sz w:val="20"/>
        </w:rPr>
        <w:t>299</w:t>
      </w:r>
      <w:r w:rsidR="00507D86" w:rsidRPr="008474CF">
        <w:rPr>
          <w:rFonts w:cs="Times New Roman"/>
          <w:sz w:val="20"/>
        </w:rPr>
        <w:t>.</w:t>
      </w:r>
      <w:r w:rsidR="00B508EF" w:rsidRPr="008474CF">
        <w:rPr>
          <w:rFonts w:cs="Times New Roman"/>
          <w:sz w:val="20"/>
        </w:rPr>
        <w:t xml:space="preserve">485 </w:t>
      </w:r>
      <w:r w:rsidR="000F0498" w:rsidRPr="008474CF">
        <w:rPr>
          <w:sz w:val="20"/>
        </w:rPr>
        <w:t>Schweizer Franken</w:t>
      </w:r>
      <w:r w:rsidR="00D83B57" w:rsidRPr="008474CF">
        <w:rPr>
          <w:sz w:val="20"/>
        </w:rPr>
        <w:t xml:space="preserve"> macht </w:t>
      </w:r>
      <w:r w:rsidR="00B508EF" w:rsidRPr="008474CF">
        <w:rPr>
          <w:sz w:val="20"/>
        </w:rPr>
        <w:t>58</w:t>
      </w:r>
      <w:r w:rsidR="00B7612D" w:rsidRPr="008474CF">
        <w:rPr>
          <w:sz w:val="20"/>
        </w:rPr>
        <w:t>,</w:t>
      </w:r>
      <w:r w:rsidR="00B508EF" w:rsidRPr="008474CF">
        <w:rPr>
          <w:sz w:val="20"/>
        </w:rPr>
        <w:t xml:space="preserve">2 </w:t>
      </w:r>
      <w:r w:rsidR="00A824AF" w:rsidRPr="008474CF">
        <w:rPr>
          <w:sz w:val="20"/>
        </w:rPr>
        <w:t xml:space="preserve">Prozent </w:t>
      </w:r>
      <w:r w:rsidR="009A4EC9" w:rsidRPr="008474CF">
        <w:rPr>
          <w:sz w:val="20"/>
        </w:rPr>
        <w:t xml:space="preserve">des Gesamtaufwands von </w:t>
      </w:r>
      <w:r w:rsidR="00B508EF" w:rsidRPr="008474CF">
        <w:rPr>
          <w:sz w:val="20"/>
        </w:rPr>
        <w:t>3</w:t>
      </w:r>
      <w:r w:rsidR="00507D86" w:rsidRPr="008474CF">
        <w:rPr>
          <w:sz w:val="20"/>
        </w:rPr>
        <w:t>.</w:t>
      </w:r>
      <w:r w:rsidR="00B508EF" w:rsidRPr="008474CF">
        <w:rPr>
          <w:sz w:val="20"/>
        </w:rPr>
        <w:t>949</w:t>
      </w:r>
      <w:r w:rsidR="00507D86" w:rsidRPr="008474CF">
        <w:rPr>
          <w:sz w:val="20"/>
        </w:rPr>
        <w:t>.</w:t>
      </w:r>
      <w:r w:rsidR="00B508EF" w:rsidRPr="008474CF">
        <w:rPr>
          <w:sz w:val="20"/>
        </w:rPr>
        <w:t xml:space="preserve">654 </w:t>
      </w:r>
      <w:r w:rsidR="000F0498" w:rsidRPr="008474CF">
        <w:rPr>
          <w:sz w:val="20"/>
        </w:rPr>
        <w:t>Schweizer Franken</w:t>
      </w:r>
      <w:r w:rsidR="00A824AF" w:rsidRPr="008474CF">
        <w:rPr>
          <w:sz w:val="20"/>
        </w:rPr>
        <w:t xml:space="preserve"> </w:t>
      </w:r>
      <w:r w:rsidR="009A4EC9" w:rsidRPr="008474CF">
        <w:rPr>
          <w:sz w:val="20"/>
        </w:rPr>
        <w:t>im</w:t>
      </w:r>
      <w:r w:rsidR="00046978" w:rsidRPr="008474CF">
        <w:rPr>
          <w:sz w:val="20"/>
        </w:rPr>
        <w:t xml:space="preserve"> Jahr </w:t>
      </w:r>
      <w:r w:rsidR="00B508EF" w:rsidRPr="008474CF">
        <w:rPr>
          <w:sz w:val="20"/>
        </w:rPr>
        <w:t xml:space="preserve">2024 </w:t>
      </w:r>
      <w:r w:rsidR="00A824AF" w:rsidRPr="008474CF">
        <w:rPr>
          <w:sz w:val="20"/>
        </w:rPr>
        <w:t xml:space="preserve">aus. </w:t>
      </w:r>
      <w:r w:rsidR="008D084A" w:rsidRPr="008474CF">
        <w:rPr>
          <w:sz w:val="20"/>
        </w:rPr>
        <w:t xml:space="preserve">Diese </w:t>
      </w:r>
      <w:r w:rsidR="00EE6B95" w:rsidRPr="008474CF">
        <w:rPr>
          <w:sz w:val="20"/>
        </w:rPr>
        <w:t xml:space="preserve">Ausgaben </w:t>
      </w:r>
      <w:r w:rsidR="008D084A" w:rsidRPr="008474CF">
        <w:rPr>
          <w:sz w:val="20"/>
        </w:rPr>
        <w:t xml:space="preserve">sind stabil geblieben, mit einem Rückgang von nur </w:t>
      </w:r>
      <w:r w:rsidR="00F069D3" w:rsidRPr="008474CF">
        <w:rPr>
          <w:sz w:val="20"/>
        </w:rPr>
        <w:t>10.</w:t>
      </w:r>
      <w:r w:rsidR="00F015B8" w:rsidRPr="008474CF">
        <w:rPr>
          <w:sz w:val="20"/>
        </w:rPr>
        <w:t xml:space="preserve">335 </w:t>
      </w:r>
      <w:r w:rsidR="000F0498" w:rsidRPr="008474CF">
        <w:rPr>
          <w:sz w:val="20"/>
        </w:rPr>
        <w:t>Schweizer Franken</w:t>
      </w:r>
      <w:r w:rsidR="00EE6B95" w:rsidRPr="008474CF">
        <w:rPr>
          <w:sz w:val="20"/>
        </w:rPr>
        <w:t xml:space="preserve"> </w:t>
      </w:r>
      <w:r w:rsidR="008D084A" w:rsidRPr="008474CF">
        <w:rPr>
          <w:sz w:val="20"/>
        </w:rPr>
        <w:t xml:space="preserve">gegenüber </w:t>
      </w:r>
      <w:r w:rsidR="00EE6B95" w:rsidRPr="008474CF">
        <w:rPr>
          <w:sz w:val="20"/>
        </w:rPr>
        <w:t xml:space="preserve">dem Wert von </w:t>
      </w:r>
      <w:r w:rsidR="00B508EF" w:rsidRPr="008474CF">
        <w:rPr>
          <w:rFonts w:cs="Times New Roman"/>
          <w:sz w:val="20"/>
        </w:rPr>
        <w:t>2.309.820</w:t>
      </w:r>
      <w:r w:rsidR="00464BF5" w:rsidRPr="008474CF">
        <w:rPr>
          <w:rFonts w:cs="Times New Roman"/>
          <w:sz w:val="20"/>
        </w:rPr>
        <w:t> </w:t>
      </w:r>
      <w:r w:rsidR="000F0498" w:rsidRPr="008474CF">
        <w:rPr>
          <w:sz w:val="20"/>
        </w:rPr>
        <w:t>Schweizer Franken</w:t>
      </w:r>
      <w:r w:rsidR="00B508EF" w:rsidRPr="008474CF">
        <w:rPr>
          <w:sz w:val="20"/>
        </w:rPr>
        <w:t xml:space="preserve"> im Jahr 2023</w:t>
      </w:r>
      <w:r w:rsidR="00EE6B95" w:rsidRPr="008474CF">
        <w:rPr>
          <w:sz w:val="20"/>
        </w:rPr>
        <w:t xml:space="preserve">. </w:t>
      </w:r>
    </w:p>
    <w:p w14:paraId="5D668950" w14:textId="77777777" w:rsidR="008D084A" w:rsidRPr="008474CF" w:rsidRDefault="008D084A" w:rsidP="008D084A">
      <w:pPr>
        <w:rPr>
          <w:b/>
        </w:rPr>
      </w:pPr>
      <w:bookmarkStart w:id="12" w:name="_Toc84329884"/>
    </w:p>
    <w:p w14:paraId="23E5B6AA" w14:textId="348A87CC" w:rsidR="00D561C8" w:rsidRPr="008474CF" w:rsidRDefault="00D561C8" w:rsidP="002F343D">
      <w:pPr>
        <w:pStyle w:val="ListParagraph"/>
        <w:numPr>
          <w:ilvl w:val="0"/>
          <w:numId w:val="7"/>
        </w:numPr>
        <w:jc w:val="both"/>
      </w:pPr>
      <w:r w:rsidRPr="008474CF">
        <w:rPr>
          <w:sz w:val="20"/>
        </w:rPr>
        <w:t xml:space="preserve">Die Ausgaben für Reisen, </w:t>
      </w:r>
      <w:r w:rsidR="00905662" w:rsidRPr="008474CF">
        <w:rPr>
          <w:sz w:val="20"/>
        </w:rPr>
        <w:t>Schulungen</w:t>
      </w:r>
      <w:r w:rsidRPr="008474CF">
        <w:rPr>
          <w:sz w:val="20"/>
        </w:rPr>
        <w:t xml:space="preserve"> und Stipendien blieben </w:t>
      </w:r>
      <w:r w:rsidR="00905662" w:rsidRPr="008474CF">
        <w:rPr>
          <w:sz w:val="20"/>
        </w:rPr>
        <w:t xml:space="preserve">im Jahr </w:t>
      </w:r>
      <w:r w:rsidRPr="008474CF">
        <w:rPr>
          <w:sz w:val="20"/>
        </w:rPr>
        <w:t>2024 ebenfalls konstant und beliefen sich auf 234</w:t>
      </w:r>
      <w:r w:rsidR="00507D86" w:rsidRPr="008474CF">
        <w:rPr>
          <w:sz w:val="20"/>
        </w:rPr>
        <w:t>.</w:t>
      </w:r>
      <w:r w:rsidRPr="008474CF">
        <w:rPr>
          <w:sz w:val="20"/>
        </w:rPr>
        <w:t xml:space="preserve">565 </w:t>
      </w:r>
      <w:r w:rsidR="000F0498" w:rsidRPr="008474CF">
        <w:rPr>
          <w:sz w:val="20"/>
        </w:rPr>
        <w:t>Schweizer Franken</w:t>
      </w:r>
      <w:r w:rsidRPr="008474CF">
        <w:rPr>
          <w:sz w:val="20"/>
        </w:rPr>
        <w:t xml:space="preserve"> im Jahr 2024, </w:t>
      </w:r>
      <w:r w:rsidR="00905662" w:rsidRPr="008474CF">
        <w:rPr>
          <w:sz w:val="20"/>
        </w:rPr>
        <w:t>gegenüber</w:t>
      </w:r>
      <w:r w:rsidRPr="008474CF">
        <w:rPr>
          <w:sz w:val="20"/>
        </w:rPr>
        <w:t xml:space="preserve"> 237</w:t>
      </w:r>
      <w:r w:rsidR="00507D86" w:rsidRPr="008474CF">
        <w:rPr>
          <w:sz w:val="20"/>
        </w:rPr>
        <w:t>.</w:t>
      </w:r>
      <w:r w:rsidRPr="008474CF">
        <w:rPr>
          <w:sz w:val="20"/>
        </w:rPr>
        <w:t xml:space="preserve">233 </w:t>
      </w:r>
      <w:r w:rsidR="000F0498" w:rsidRPr="008474CF">
        <w:rPr>
          <w:sz w:val="20"/>
        </w:rPr>
        <w:t>Schweizer Franken</w:t>
      </w:r>
      <w:r w:rsidRPr="008474CF">
        <w:rPr>
          <w:sz w:val="20"/>
        </w:rPr>
        <w:t xml:space="preserve"> im Jahr 2023. Ein Anstieg war </w:t>
      </w:r>
      <w:r w:rsidR="00905662" w:rsidRPr="008474CF">
        <w:rPr>
          <w:sz w:val="20"/>
        </w:rPr>
        <w:t xml:space="preserve">im Jahr </w:t>
      </w:r>
      <w:r w:rsidRPr="008474CF">
        <w:rPr>
          <w:sz w:val="20"/>
        </w:rPr>
        <w:t xml:space="preserve">2024 bei Reisen Dritter zu verzeichnen (176.946 </w:t>
      </w:r>
      <w:r w:rsidR="000F0498" w:rsidRPr="008474CF">
        <w:rPr>
          <w:sz w:val="20"/>
        </w:rPr>
        <w:t>Schweizer Franken</w:t>
      </w:r>
      <w:r w:rsidRPr="008474CF">
        <w:rPr>
          <w:sz w:val="20"/>
        </w:rPr>
        <w:t xml:space="preserve"> im Jahr 2024 gegenüber 122.684 </w:t>
      </w:r>
      <w:r w:rsidR="000F0498" w:rsidRPr="008474CF">
        <w:rPr>
          <w:sz w:val="20"/>
        </w:rPr>
        <w:t>Schweizer Franken</w:t>
      </w:r>
      <w:r w:rsidRPr="008474CF">
        <w:rPr>
          <w:sz w:val="20"/>
        </w:rPr>
        <w:t xml:space="preserve"> im Jahr 2023). Insbesondere organisierte die </w:t>
      </w:r>
      <w:r w:rsidRPr="008474CF">
        <w:rPr>
          <w:sz w:val="20"/>
        </w:rPr>
        <w:lastRenderedPageBreak/>
        <w:t xml:space="preserve">UPOV im Jahr 2024 zwei Veranstaltungen: eine zum Thema Sortenschutz für die Entwicklung </w:t>
      </w:r>
      <w:r w:rsidR="00B46DD5" w:rsidRPr="008474CF">
        <w:rPr>
          <w:sz w:val="20"/>
        </w:rPr>
        <w:t>von</w:t>
      </w:r>
      <w:r w:rsidRPr="008474CF">
        <w:rPr>
          <w:sz w:val="20"/>
        </w:rPr>
        <w:t xml:space="preserve"> Landwirtschaft und eine Arbeitstagung zum Arusha-Protokoll, das 2015 eingeführt wurde, um </w:t>
      </w:r>
      <w:r w:rsidR="00A700F1" w:rsidRPr="008474CF">
        <w:rPr>
          <w:sz w:val="20"/>
        </w:rPr>
        <w:t xml:space="preserve">einen </w:t>
      </w:r>
      <w:r w:rsidRPr="008474CF">
        <w:rPr>
          <w:sz w:val="20"/>
        </w:rPr>
        <w:t>regionalen Rechtsmechanismus für den Schutz der Züchterrechte</w:t>
      </w:r>
      <w:r w:rsidR="002A1809" w:rsidRPr="008474CF">
        <w:rPr>
          <w:sz w:val="20"/>
        </w:rPr>
        <w:t xml:space="preserve"> (PBR)</w:t>
      </w:r>
      <w:r w:rsidRPr="008474CF">
        <w:rPr>
          <w:sz w:val="20"/>
        </w:rPr>
        <w:t xml:space="preserve"> in den </w:t>
      </w:r>
      <w:r w:rsidR="00A700F1" w:rsidRPr="008474CF">
        <w:rPr>
          <w:sz w:val="20"/>
        </w:rPr>
        <w:t>ARIPO-Mitgliedstaaten zu schaffen</w:t>
      </w:r>
      <w:r w:rsidRPr="008474CF">
        <w:rPr>
          <w:sz w:val="20"/>
        </w:rPr>
        <w:t>. Dieser Anstieg wurde durch einen Rückgang der Dienstreisen ausgeglichen (57</w:t>
      </w:r>
      <w:r w:rsidR="00507D86" w:rsidRPr="008474CF">
        <w:rPr>
          <w:sz w:val="20"/>
        </w:rPr>
        <w:t>.</w:t>
      </w:r>
      <w:r w:rsidRPr="008474CF">
        <w:rPr>
          <w:sz w:val="20"/>
        </w:rPr>
        <w:t>618</w:t>
      </w:r>
      <w:r w:rsidR="00464BF5" w:rsidRPr="008474CF">
        <w:rPr>
          <w:sz w:val="20"/>
        </w:rPr>
        <w:t> </w:t>
      </w:r>
      <w:r w:rsidR="000F0498" w:rsidRPr="008474CF">
        <w:rPr>
          <w:sz w:val="20"/>
        </w:rPr>
        <w:t>Schweizer Franken</w:t>
      </w:r>
      <w:r w:rsidRPr="008474CF">
        <w:rPr>
          <w:sz w:val="20"/>
        </w:rPr>
        <w:t xml:space="preserve"> im Jahr 2024 gegenüber 114</w:t>
      </w:r>
      <w:r w:rsidR="00507D86" w:rsidRPr="008474CF">
        <w:rPr>
          <w:sz w:val="20"/>
        </w:rPr>
        <w:t>.</w:t>
      </w:r>
      <w:r w:rsidRPr="008474CF">
        <w:rPr>
          <w:sz w:val="20"/>
        </w:rPr>
        <w:t xml:space="preserve">548 </w:t>
      </w:r>
      <w:r w:rsidR="000F0498" w:rsidRPr="008474CF">
        <w:rPr>
          <w:sz w:val="20"/>
        </w:rPr>
        <w:t>Schweizer Franken</w:t>
      </w:r>
      <w:r w:rsidRPr="008474CF">
        <w:rPr>
          <w:sz w:val="20"/>
        </w:rPr>
        <w:t xml:space="preserve"> im Jahr 2023).</w:t>
      </w:r>
      <w:r w:rsidR="006A3ACC" w:rsidRPr="008474CF">
        <w:rPr>
          <w:sz w:val="20"/>
        </w:rPr>
        <w:t xml:space="preserve"> </w:t>
      </w:r>
    </w:p>
    <w:p w14:paraId="3502994E" w14:textId="41886065" w:rsidR="002A40A0" w:rsidRPr="008474CF" w:rsidRDefault="002A40A0" w:rsidP="00F01218">
      <w:pPr>
        <w:pStyle w:val="ListParagraph"/>
        <w:jc w:val="both"/>
        <w:rPr>
          <w:sz w:val="20"/>
        </w:rPr>
      </w:pPr>
    </w:p>
    <w:p w14:paraId="655A5F1B" w14:textId="4705F6B8" w:rsidR="00D745F5" w:rsidRPr="008474CF" w:rsidRDefault="00545F17" w:rsidP="002F343D">
      <w:pPr>
        <w:pStyle w:val="ListParagraph"/>
        <w:numPr>
          <w:ilvl w:val="0"/>
          <w:numId w:val="7"/>
        </w:numPr>
        <w:jc w:val="both"/>
        <w:rPr>
          <w:b/>
          <w:sz w:val="20"/>
        </w:rPr>
      </w:pPr>
      <w:r w:rsidRPr="008474CF">
        <w:rPr>
          <w:sz w:val="20"/>
        </w:rPr>
        <w:t>Die v</w:t>
      </w:r>
      <w:r w:rsidR="00F063CA" w:rsidRPr="008474CF">
        <w:rPr>
          <w:sz w:val="20"/>
        </w:rPr>
        <w:t>ertragliche</w:t>
      </w:r>
      <w:r w:rsidRPr="008474CF">
        <w:rPr>
          <w:sz w:val="20"/>
        </w:rPr>
        <w:t>n</w:t>
      </w:r>
      <w:r w:rsidR="00F063CA" w:rsidRPr="008474CF">
        <w:rPr>
          <w:sz w:val="20"/>
        </w:rPr>
        <w:t xml:space="preserve"> Dienstleistungen in Höhe von </w:t>
      </w:r>
      <w:r w:rsidR="00260605" w:rsidRPr="008474CF">
        <w:rPr>
          <w:sz w:val="20"/>
        </w:rPr>
        <w:t>791.</w:t>
      </w:r>
      <w:r w:rsidR="00C71191" w:rsidRPr="008474CF">
        <w:rPr>
          <w:sz w:val="20"/>
        </w:rPr>
        <w:t xml:space="preserve">349 </w:t>
      </w:r>
      <w:r w:rsidR="000F0498" w:rsidRPr="008474CF">
        <w:rPr>
          <w:sz w:val="20"/>
        </w:rPr>
        <w:t>Schweizer Franken</w:t>
      </w:r>
      <w:r w:rsidR="00F063CA" w:rsidRPr="008474CF">
        <w:rPr>
          <w:sz w:val="20"/>
        </w:rPr>
        <w:t xml:space="preserve"> machen </w:t>
      </w:r>
      <w:r w:rsidR="00260605" w:rsidRPr="008474CF">
        <w:rPr>
          <w:sz w:val="20"/>
        </w:rPr>
        <w:t xml:space="preserve">20 </w:t>
      </w:r>
      <w:r w:rsidR="00F063CA" w:rsidRPr="008474CF">
        <w:rPr>
          <w:sz w:val="20"/>
        </w:rPr>
        <w:t xml:space="preserve">Prozent der Gesamtausgaben der UPOV für </w:t>
      </w:r>
      <w:r w:rsidR="006079AA" w:rsidRPr="008474CF">
        <w:rPr>
          <w:sz w:val="20"/>
        </w:rPr>
        <w:t xml:space="preserve">das Jahr </w:t>
      </w:r>
      <w:r w:rsidR="00260605" w:rsidRPr="008474CF">
        <w:rPr>
          <w:sz w:val="20"/>
        </w:rPr>
        <w:t xml:space="preserve">2024 </w:t>
      </w:r>
      <w:r w:rsidR="00F063CA" w:rsidRPr="008474CF">
        <w:rPr>
          <w:sz w:val="20"/>
        </w:rPr>
        <w:t>aus (</w:t>
      </w:r>
      <w:r w:rsidR="00260605" w:rsidRPr="008474CF">
        <w:rPr>
          <w:sz w:val="20"/>
        </w:rPr>
        <w:t xml:space="preserve">1.035.386 </w:t>
      </w:r>
      <w:r w:rsidR="000F0498" w:rsidRPr="008474CF">
        <w:rPr>
          <w:sz w:val="20"/>
        </w:rPr>
        <w:t>Schweizer Franken</w:t>
      </w:r>
      <w:r w:rsidR="00F063CA" w:rsidRPr="008474CF">
        <w:rPr>
          <w:sz w:val="20"/>
        </w:rPr>
        <w:t xml:space="preserve"> im Jahr </w:t>
      </w:r>
      <w:r w:rsidR="00260605" w:rsidRPr="008474CF">
        <w:rPr>
          <w:sz w:val="20"/>
        </w:rPr>
        <w:t>2023</w:t>
      </w:r>
      <w:r w:rsidR="00F063CA" w:rsidRPr="008474CF">
        <w:rPr>
          <w:sz w:val="20"/>
        </w:rPr>
        <w:t xml:space="preserve">). </w:t>
      </w:r>
      <w:r w:rsidR="00D745F5" w:rsidRPr="008474CF">
        <w:rPr>
          <w:sz w:val="20"/>
        </w:rPr>
        <w:t xml:space="preserve">Dieser Rückgang ist hauptsächlich auf die </w:t>
      </w:r>
      <w:r w:rsidR="004C7409" w:rsidRPr="008474CF">
        <w:rPr>
          <w:sz w:val="20"/>
        </w:rPr>
        <w:t xml:space="preserve">Arbeit </w:t>
      </w:r>
      <w:r w:rsidR="004A4F4A" w:rsidRPr="008474CF">
        <w:rPr>
          <w:sz w:val="20"/>
        </w:rPr>
        <w:t>für</w:t>
      </w:r>
      <w:r w:rsidR="004C7409" w:rsidRPr="008474CF">
        <w:rPr>
          <w:sz w:val="20"/>
        </w:rPr>
        <w:t xml:space="preserve"> </w:t>
      </w:r>
      <w:r w:rsidR="00D745F5" w:rsidRPr="008474CF">
        <w:rPr>
          <w:sz w:val="20"/>
        </w:rPr>
        <w:t>Wartung und Entwicklung der UPOV-Dienste zurückzuführen.</w:t>
      </w:r>
    </w:p>
    <w:p w14:paraId="270725EA" w14:textId="0794C183" w:rsidR="00830182" w:rsidRPr="008474CF" w:rsidRDefault="00830182" w:rsidP="00F01218">
      <w:pPr>
        <w:pStyle w:val="ListParagraph"/>
        <w:jc w:val="both"/>
        <w:rPr>
          <w:b/>
          <w:sz w:val="20"/>
        </w:rPr>
      </w:pPr>
    </w:p>
    <w:p w14:paraId="54F06881" w14:textId="30D6559B" w:rsidR="00407750" w:rsidRPr="008474CF" w:rsidRDefault="00407750" w:rsidP="00C21351">
      <w:pPr>
        <w:rPr>
          <w:rFonts w:cs="Arial"/>
          <w:b/>
        </w:rPr>
      </w:pPr>
    </w:p>
    <w:p w14:paraId="3CC3A3A5" w14:textId="3FEBEC68" w:rsidR="00A824AF" w:rsidRPr="008474CF" w:rsidRDefault="00BE7ECD" w:rsidP="00191695">
      <w:pPr>
        <w:pStyle w:val="Heading2"/>
        <w:rPr>
          <w:rFonts w:ascii="Arial" w:hAnsi="Arial" w:cs="Arial"/>
          <w:lang w:val="de-DE"/>
        </w:rPr>
      </w:pPr>
      <w:bookmarkStart w:id="13" w:name="_Toc205303743"/>
      <w:r w:rsidRPr="008474CF">
        <w:rPr>
          <w:rFonts w:ascii="Arial" w:hAnsi="Arial" w:cs="Arial"/>
          <w:lang w:val="de-DE"/>
        </w:rPr>
        <w:t>Finanzlage</w:t>
      </w:r>
      <w:bookmarkEnd w:id="12"/>
      <w:bookmarkEnd w:id="13"/>
    </w:p>
    <w:p w14:paraId="3869B2CE" w14:textId="77777777" w:rsidR="00A824AF" w:rsidRPr="008474CF" w:rsidRDefault="00A824AF" w:rsidP="00AC4C67">
      <w:pPr>
        <w:ind w:left="567" w:hanging="567"/>
        <w:rPr>
          <w:rFonts w:cs="Arial"/>
        </w:rPr>
      </w:pPr>
    </w:p>
    <w:p w14:paraId="49FD55B6" w14:textId="449AB4B3" w:rsidR="00A824AF" w:rsidRPr="008474CF" w:rsidRDefault="00A824AF" w:rsidP="002F343D">
      <w:pPr>
        <w:pStyle w:val="ListParagraph"/>
        <w:numPr>
          <w:ilvl w:val="0"/>
          <w:numId w:val="7"/>
        </w:numPr>
        <w:jc w:val="both"/>
        <w:rPr>
          <w:sz w:val="20"/>
        </w:rPr>
      </w:pPr>
      <w:r w:rsidRPr="008474CF">
        <w:rPr>
          <w:spacing w:val="-2"/>
          <w:sz w:val="20"/>
        </w:rPr>
        <w:t xml:space="preserve">Die UPOV </w:t>
      </w:r>
      <w:r w:rsidR="00926D16" w:rsidRPr="008474CF">
        <w:rPr>
          <w:spacing w:val="-2"/>
          <w:sz w:val="20"/>
        </w:rPr>
        <w:t xml:space="preserve">verfügte </w:t>
      </w:r>
      <w:r w:rsidR="00046978" w:rsidRPr="008474CF">
        <w:rPr>
          <w:spacing w:val="-2"/>
          <w:sz w:val="20"/>
        </w:rPr>
        <w:t xml:space="preserve">zum 31. Dezember </w:t>
      </w:r>
      <w:r w:rsidR="006C02DD" w:rsidRPr="008474CF">
        <w:rPr>
          <w:spacing w:val="-2"/>
          <w:sz w:val="20"/>
        </w:rPr>
        <w:t xml:space="preserve">2024 </w:t>
      </w:r>
      <w:r w:rsidR="00F41BCA" w:rsidRPr="008474CF">
        <w:rPr>
          <w:spacing w:val="-2"/>
          <w:sz w:val="20"/>
        </w:rPr>
        <w:t xml:space="preserve">über </w:t>
      </w:r>
      <w:r w:rsidR="00285D59" w:rsidRPr="008474CF">
        <w:rPr>
          <w:spacing w:val="-2"/>
          <w:sz w:val="20"/>
        </w:rPr>
        <w:t xml:space="preserve">ein </w:t>
      </w:r>
      <w:r w:rsidR="00443EDE" w:rsidRPr="008474CF">
        <w:rPr>
          <w:spacing w:val="-2"/>
          <w:sz w:val="20"/>
        </w:rPr>
        <w:t>negative</w:t>
      </w:r>
      <w:r w:rsidR="00FB3BBB" w:rsidRPr="008474CF">
        <w:rPr>
          <w:spacing w:val="-2"/>
          <w:sz w:val="20"/>
        </w:rPr>
        <w:t>s</w:t>
      </w:r>
      <w:r w:rsidR="00443EDE" w:rsidRPr="008474CF">
        <w:rPr>
          <w:spacing w:val="-2"/>
          <w:sz w:val="20"/>
        </w:rPr>
        <w:t xml:space="preserve"> </w:t>
      </w:r>
      <w:r w:rsidR="007B2F91" w:rsidRPr="008474CF">
        <w:rPr>
          <w:spacing w:val="-2"/>
          <w:sz w:val="20"/>
        </w:rPr>
        <w:t xml:space="preserve">Nettovermögen </w:t>
      </w:r>
      <w:r w:rsidRPr="008474CF">
        <w:rPr>
          <w:spacing w:val="-2"/>
          <w:sz w:val="20"/>
        </w:rPr>
        <w:t xml:space="preserve">von </w:t>
      </w:r>
      <w:r w:rsidR="006C02DD" w:rsidRPr="008474CF">
        <w:rPr>
          <w:color w:val="000000" w:themeColor="text1"/>
          <w:spacing w:val="-2"/>
          <w:sz w:val="20"/>
        </w:rPr>
        <w:t>1</w:t>
      </w:r>
      <w:r w:rsidR="00FB3BBB" w:rsidRPr="008474CF">
        <w:rPr>
          <w:color w:val="000000" w:themeColor="text1"/>
          <w:spacing w:val="-2"/>
          <w:sz w:val="20"/>
        </w:rPr>
        <w:t>.</w:t>
      </w:r>
      <w:r w:rsidR="006C02DD" w:rsidRPr="008474CF">
        <w:rPr>
          <w:color w:val="000000" w:themeColor="text1"/>
          <w:spacing w:val="-2"/>
          <w:sz w:val="20"/>
        </w:rPr>
        <w:t>158</w:t>
      </w:r>
      <w:r w:rsidR="00FB3BBB" w:rsidRPr="008474CF">
        <w:rPr>
          <w:color w:val="000000" w:themeColor="text1"/>
          <w:spacing w:val="-2"/>
          <w:sz w:val="20"/>
        </w:rPr>
        <w:t>.</w:t>
      </w:r>
      <w:r w:rsidR="00C354E7" w:rsidRPr="008474CF">
        <w:rPr>
          <w:color w:val="000000" w:themeColor="text1"/>
          <w:spacing w:val="-2"/>
          <w:sz w:val="20"/>
        </w:rPr>
        <w:t>850</w:t>
      </w:r>
      <w:r w:rsidR="00464BF5" w:rsidRPr="008474CF">
        <w:rPr>
          <w:color w:val="000000" w:themeColor="text1"/>
          <w:spacing w:val="-2"/>
          <w:sz w:val="20"/>
        </w:rPr>
        <w:t> </w:t>
      </w:r>
      <w:r w:rsidR="000F0498" w:rsidRPr="008474CF">
        <w:rPr>
          <w:color w:val="000000" w:themeColor="text1"/>
          <w:spacing w:val="-2"/>
          <w:sz w:val="20"/>
        </w:rPr>
        <w:t xml:space="preserve">Schweizer </w:t>
      </w:r>
      <w:r w:rsidR="000F0498" w:rsidRPr="008474CF">
        <w:rPr>
          <w:color w:val="000000" w:themeColor="text1"/>
          <w:sz w:val="20"/>
        </w:rPr>
        <w:t>Franken</w:t>
      </w:r>
      <w:r w:rsidR="001628B4" w:rsidRPr="008474CF">
        <w:rPr>
          <w:sz w:val="20"/>
        </w:rPr>
        <w:t xml:space="preserve"> </w:t>
      </w:r>
      <w:r w:rsidR="00FE3288" w:rsidRPr="008474CF">
        <w:rPr>
          <w:sz w:val="20"/>
        </w:rPr>
        <w:t xml:space="preserve">gegenüber </w:t>
      </w:r>
      <w:r w:rsidR="006C02DD" w:rsidRPr="008474CF">
        <w:rPr>
          <w:color w:val="000000" w:themeColor="text1"/>
          <w:sz w:val="20"/>
        </w:rPr>
        <w:t>55</w:t>
      </w:r>
      <w:r w:rsidR="00216607" w:rsidRPr="008474CF">
        <w:rPr>
          <w:color w:val="000000" w:themeColor="text1"/>
          <w:sz w:val="20"/>
        </w:rPr>
        <w:t>.</w:t>
      </w:r>
      <w:r w:rsidR="006C02DD" w:rsidRPr="008474CF">
        <w:rPr>
          <w:color w:val="000000" w:themeColor="text1"/>
          <w:sz w:val="20"/>
        </w:rPr>
        <w:t xml:space="preserve">011 </w:t>
      </w:r>
      <w:r w:rsidR="000F0498" w:rsidRPr="008474CF">
        <w:rPr>
          <w:sz w:val="20"/>
        </w:rPr>
        <w:t>Schweizer Franken</w:t>
      </w:r>
      <w:r w:rsidR="001628B4" w:rsidRPr="008474CF">
        <w:rPr>
          <w:sz w:val="20"/>
        </w:rPr>
        <w:t xml:space="preserve"> zum Ende des Jahres 2023</w:t>
      </w:r>
      <w:r w:rsidRPr="008474CF">
        <w:rPr>
          <w:sz w:val="20"/>
        </w:rPr>
        <w:t xml:space="preserve">. </w:t>
      </w:r>
      <w:r w:rsidR="00AC11BF" w:rsidRPr="008474CF">
        <w:rPr>
          <w:sz w:val="20"/>
        </w:rPr>
        <w:t xml:space="preserve">Diese </w:t>
      </w:r>
      <w:r w:rsidR="00BE7446" w:rsidRPr="008474CF">
        <w:rPr>
          <w:sz w:val="20"/>
        </w:rPr>
        <w:t xml:space="preserve">Entwicklung </w:t>
      </w:r>
      <w:r w:rsidR="00E60DC6" w:rsidRPr="008474CF">
        <w:rPr>
          <w:rFonts w:cs="Times New Roman"/>
          <w:sz w:val="20"/>
          <w:szCs w:val="24"/>
        </w:rPr>
        <w:t xml:space="preserve">setzt sich zusammen aus </w:t>
      </w:r>
      <w:r w:rsidR="00E60DC6" w:rsidRPr="008474CF">
        <w:rPr>
          <w:sz w:val="20"/>
        </w:rPr>
        <w:t>dem</w:t>
      </w:r>
      <w:r w:rsidR="00AC11BF" w:rsidRPr="008474CF">
        <w:rPr>
          <w:sz w:val="20"/>
        </w:rPr>
        <w:t xml:space="preserve"> </w:t>
      </w:r>
      <w:r w:rsidR="00F9693C" w:rsidRPr="008474CF">
        <w:rPr>
          <w:sz w:val="20"/>
        </w:rPr>
        <w:t>Überschu</w:t>
      </w:r>
      <w:r w:rsidR="00E60DC6" w:rsidRPr="008474CF">
        <w:rPr>
          <w:sz w:val="20"/>
        </w:rPr>
        <w:t>ss</w:t>
      </w:r>
      <w:r w:rsidR="00F9693C" w:rsidRPr="008474CF">
        <w:rPr>
          <w:sz w:val="20"/>
        </w:rPr>
        <w:t xml:space="preserve"> </w:t>
      </w:r>
      <w:r w:rsidR="00AC11BF" w:rsidRPr="008474CF">
        <w:rPr>
          <w:sz w:val="20"/>
        </w:rPr>
        <w:t xml:space="preserve">für das </w:t>
      </w:r>
      <w:r w:rsidR="00F66E46" w:rsidRPr="008474CF">
        <w:rPr>
          <w:rFonts w:cs="Times New Roman"/>
          <w:sz w:val="20"/>
          <w:szCs w:val="24"/>
        </w:rPr>
        <w:t xml:space="preserve">Rechnungsjahr </w:t>
      </w:r>
      <w:r w:rsidR="00AC11BF" w:rsidRPr="008474CF">
        <w:rPr>
          <w:sz w:val="20"/>
        </w:rPr>
        <w:t xml:space="preserve">in Höhe von </w:t>
      </w:r>
      <w:r w:rsidR="00F9693C" w:rsidRPr="008474CF">
        <w:rPr>
          <w:sz w:val="20"/>
        </w:rPr>
        <w:t xml:space="preserve">260.433 </w:t>
      </w:r>
      <w:r w:rsidR="000F0498" w:rsidRPr="008474CF">
        <w:rPr>
          <w:sz w:val="20"/>
        </w:rPr>
        <w:t>Schweizer Franken</w:t>
      </w:r>
      <w:r w:rsidR="00AC11BF" w:rsidRPr="008474CF">
        <w:rPr>
          <w:sz w:val="20"/>
        </w:rPr>
        <w:t xml:space="preserve">, der </w:t>
      </w:r>
      <w:r w:rsidR="00B723A4" w:rsidRPr="008474CF">
        <w:rPr>
          <w:sz w:val="20"/>
        </w:rPr>
        <w:t xml:space="preserve">durch </w:t>
      </w:r>
      <w:r w:rsidR="009523C9" w:rsidRPr="008474CF">
        <w:rPr>
          <w:sz w:val="20"/>
        </w:rPr>
        <w:t xml:space="preserve">einen </w:t>
      </w:r>
      <w:r w:rsidR="00B723A4" w:rsidRPr="008474CF">
        <w:rPr>
          <w:sz w:val="20"/>
        </w:rPr>
        <w:t xml:space="preserve">Anstieg der </w:t>
      </w:r>
      <w:r w:rsidR="00AC11BF" w:rsidRPr="008474CF">
        <w:rPr>
          <w:rFonts w:eastAsia="SimSun"/>
          <w:sz w:val="20"/>
          <w:lang w:eastAsia="zh-CN"/>
        </w:rPr>
        <w:t xml:space="preserve">versicherungsmathematischen </w:t>
      </w:r>
      <w:r w:rsidR="00610B80" w:rsidRPr="008474CF">
        <w:rPr>
          <w:rFonts w:eastAsia="SimSun"/>
          <w:sz w:val="20"/>
          <w:lang w:eastAsia="zh-CN"/>
        </w:rPr>
        <w:t xml:space="preserve">Verluste </w:t>
      </w:r>
      <w:r w:rsidR="00E30DA7" w:rsidRPr="008474CF">
        <w:rPr>
          <w:rFonts w:eastAsia="SimSun"/>
          <w:sz w:val="20"/>
          <w:lang w:eastAsia="zh-CN"/>
        </w:rPr>
        <w:t>aus ASHI-Verbindlichkeiten</w:t>
      </w:r>
      <w:r w:rsidR="00AC11BF" w:rsidRPr="008474CF">
        <w:rPr>
          <w:rFonts w:eastAsia="SimSun"/>
          <w:sz w:val="20"/>
          <w:lang w:eastAsia="zh-CN"/>
        </w:rPr>
        <w:t xml:space="preserve"> </w:t>
      </w:r>
      <w:r w:rsidR="00464BF5" w:rsidRPr="008474CF">
        <w:rPr>
          <w:rFonts w:eastAsia="SimSun"/>
          <w:sz w:val="20"/>
          <w:lang w:eastAsia="zh-CN"/>
        </w:rPr>
        <w:br/>
      </w:r>
      <w:r w:rsidR="00AC11BF" w:rsidRPr="008474CF">
        <w:rPr>
          <w:rFonts w:eastAsia="SimSun"/>
          <w:sz w:val="20"/>
          <w:lang w:eastAsia="zh-CN"/>
        </w:rPr>
        <w:t xml:space="preserve">der UPOV </w:t>
      </w:r>
      <w:r w:rsidR="00B723A4" w:rsidRPr="008474CF">
        <w:rPr>
          <w:sz w:val="20"/>
        </w:rPr>
        <w:t>ausgeglichen wird</w:t>
      </w:r>
      <w:r w:rsidR="00142F20" w:rsidRPr="008474CF">
        <w:rPr>
          <w:rFonts w:eastAsia="SimSun"/>
          <w:sz w:val="20"/>
          <w:lang w:eastAsia="zh-CN"/>
        </w:rPr>
        <w:t xml:space="preserve">. </w:t>
      </w:r>
      <w:bookmarkStart w:id="14" w:name="_Hlk192858029"/>
      <w:r w:rsidR="00142F20" w:rsidRPr="008474CF">
        <w:rPr>
          <w:rFonts w:eastAsia="SimSun"/>
          <w:sz w:val="20"/>
          <w:lang w:eastAsia="zh-CN"/>
        </w:rPr>
        <w:t xml:space="preserve">Diese </w:t>
      </w:r>
      <w:r w:rsidR="009523C9" w:rsidRPr="008474CF">
        <w:rPr>
          <w:rFonts w:eastAsia="SimSun"/>
          <w:sz w:val="20"/>
          <w:lang w:eastAsia="zh-CN"/>
        </w:rPr>
        <w:t xml:space="preserve">versicherungsmathematischen </w:t>
      </w:r>
      <w:r w:rsidR="00142F20" w:rsidRPr="008474CF">
        <w:rPr>
          <w:rFonts w:eastAsia="SimSun"/>
          <w:sz w:val="20"/>
          <w:lang w:eastAsia="zh-CN"/>
        </w:rPr>
        <w:t xml:space="preserve">Verluste </w:t>
      </w:r>
      <w:r w:rsidR="009523C9" w:rsidRPr="008474CF">
        <w:rPr>
          <w:rFonts w:eastAsia="SimSun"/>
          <w:sz w:val="20"/>
          <w:lang w:eastAsia="zh-CN"/>
        </w:rPr>
        <w:t xml:space="preserve">beliefen sich auf </w:t>
      </w:r>
      <w:r w:rsidR="00B723A4" w:rsidRPr="008474CF">
        <w:rPr>
          <w:rFonts w:eastAsia="SimSun"/>
          <w:sz w:val="20"/>
          <w:lang w:eastAsia="zh-CN"/>
        </w:rPr>
        <w:t>1</w:t>
      </w:r>
      <w:r w:rsidR="00B62EDA" w:rsidRPr="008474CF">
        <w:rPr>
          <w:rFonts w:eastAsia="SimSun"/>
          <w:sz w:val="20"/>
          <w:lang w:eastAsia="zh-CN"/>
        </w:rPr>
        <w:t>.</w:t>
      </w:r>
      <w:r w:rsidR="00B723A4" w:rsidRPr="008474CF">
        <w:rPr>
          <w:rFonts w:eastAsia="SimSun"/>
          <w:sz w:val="20"/>
          <w:lang w:eastAsia="zh-CN"/>
        </w:rPr>
        <w:t>364</w:t>
      </w:r>
      <w:r w:rsidR="00B62EDA" w:rsidRPr="008474CF">
        <w:rPr>
          <w:rFonts w:eastAsia="SimSun"/>
          <w:sz w:val="20"/>
          <w:lang w:eastAsia="zh-CN"/>
        </w:rPr>
        <w:t>.</w:t>
      </w:r>
      <w:r w:rsidR="00C354E7" w:rsidRPr="008474CF">
        <w:rPr>
          <w:rFonts w:eastAsia="SimSun"/>
          <w:sz w:val="20"/>
          <w:lang w:eastAsia="zh-CN"/>
        </w:rPr>
        <w:t>272</w:t>
      </w:r>
      <w:r w:rsidR="00464BF5" w:rsidRPr="008474CF">
        <w:rPr>
          <w:rFonts w:eastAsia="SimSun"/>
          <w:sz w:val="20"/>
          <w:lang w:eastAsia="zh-CN"/>
        </w:rPr>
        <w:t> </w:t>
      </w:r>
      <w:r w:rsidR="000F0498" w:rsidRPr="008474CF">
        <w:rPr>
          <w:rFonts w:eastAsia="SimSun"/>
          <w:sz w:val="20"/>
          <w:lang w:eastAsia="zh-CN"/>
        </w:rPr>
        <w:t>Schweizer Franken</w:t>
      </w:r>
      <w:r w:rsidR="00AC11BF" w:rsidRPr="008474CF">
        <w:rPr>
          <w:rFonts w:eastAsia="SimSun"/>
          <w:sz w:val="20"/>
          <w:lang w:eastAsia="zh-CN"/>
        </w:rPr>
        <w:t xml:space="preserve"> </w:t>
      </w:r>
      <w:r w:rsidR="00B723A4" w:rsidRPr="008474CF">
        <w:rPr>
          <w:rFonts w:eastAsia="SimSun"/>
          <w:sz w:val="20"/>
          <w:lang w:eastAsia="zh-CN"/>
        </w:rPr>
        <w:t xml:space="preserve">und wurden über das Nettovermögen </w:t>
      </w:r>
      <w:r w:rsidR="001B15B8" w:rsidRPr="008474CF">
        <w:rPr>
          <w:rFonts w:eastAsia="SimSun"/>
          <w:sz w:val="20"/>
          <w:lang w:eastAsia="zh-CN"/>
        </w:rPr>
        <w:t>ausgewiesen</w:t>
      </w:r>
      <w:r w:rsidR="00B723A4" w:rsidRPr="008474CF">
        <w:rPr>
          <w:rFonts w:eastAsia="SimSun"/>
          <w:sz w:val="20"/>
          <w:lang w:eastAsia="zh-CN"/>
        </w:rPr>
        <w:t xml:space="preserve">. </w:t>
      </w:r>
      <w:bookmarkEnd w:id="14"/>
      <w:r w:rsidRPr="008474CF">
        <w:rPr>
          <w:sz w:val="20"/>
        </w:rPr>
        <w:t xml:space="preserve">Die Finanzlage der UPOV </w:t>
      </w:r>
      <w:r w:rsidR="00281ADE" w:rsidRPr="008474CF">
        <w:rPr>
          <w:sz w:val="20"/>
        </w:rPr>
        <w:t xml:space="preserve">nach Finanzierungsquellen </w:t>
      </w:r>
      <w:r w:rsidRPr="008474CF">
        <w:rPr>
          <w:sz w:val="20"/>
        </w:rPr>
        <w:t xml:space="preserve">kann </w:t>
      </w:r>
      <w:r w:rsidR="00751D1E" w:rsidRPr="008474CF">
        <w:rPr>
          <w:sz w:val="20"/>
        </w:rPr>
        <w:t xml:space="preserve">folgendermaßen </w:t>
      </w:r>
      <w:r w:rsidRPr="008474CF">
        <w:rPr>
          <w:sz w:val="20"/>
        </w:rPr>
        <w:t>zusammengefa</w:t>
      </w:r>
      <w:r w:rsidR="00751D1E" w:rsidRPr="008474CF">
        <w:rPr>
          <w:sz w:val="20"/>
        </w:rPr>
        <w:t>ss</w:t>
      </w:r>
      <w:r w:rsidRPr="008474CF">
        <w:rPr>
          <w:sz w:val="20"/>
        </w:rPr>
        <w:t>t werden</w:t>
      </w:r>
      <w:r w:rsidR="009523C9" w:rsidRPr="008474CF">
        <w:rPr>
          <w:sz w:val="20"/>
        </w:rPr>
        <w:t xml:space="preserve">: </w:t>
      </w:r>
    </w:p>
    <w:p w14:paraId="16CE0EE5" w14:textId="77777777" w:rsidR="00CC0DE7" w:rsidRPr="008474CF" w:rsidRDefault="00CC0DE7" w:rsidP="00A824AF">
      <w:pPr>
        <w:autoSpaceDE w:val="0"/>
        <w:autoSpaceDN w:val="0"/>
        <w:adjustRightInd w:val="0"/>
        <w:rPr>
          <w:rFonts w:cs="Arial"/>
          <w:b/>
          <w:i/>
        </w:rPr>
      </w:pPr>
    </w:p>
    <w:p w14:paraId="7A1E309E" w14:textId="4347BC93" w:rsidR="00A824AF" w:rsidRPr="008474CF" w:rsidRDefault="00A824AF" w:rsidP="00A824AF">
      <w:pPr>
        <w:autoSpaceDE w:val="0"/>
        <w:autoSpaceDN w:val="0"/>
        <w:adjustRightInd w:val="0"/>
        <w:rPr>
          <w:rFonts w:cs="Arial"/>
          <w:b/>
          <w:i/>
        </w:rPr>
      </w:pPr>
      <w:r w:rsidRPr="008474CF">
        <w:rPr>
          <w:rFonts w:cs="Arial"/>
          <w:b/>
          <w:i/>
        </w:rPr>
        <w:t xml:space="preserve">Tabelle 2. Zusammenfassung Finanzlage </w:t>
      </w:r>
      <w:r w:rsidR="00281ADE" w:rsidRPr="008474CF">
        <w:rPr>
          <w:rFonts w:cs="Arial"/>
          <w:b/>
          <w:i/>
        </w:rPr>
        <w:t>nach Finanzierungsquelle</w:t>
      </w:r>
    </w:p>
    <w:p w14:paraId="02E5044D" w14:textId="1814978A" w:rsidR="006606EB" w:rsidRPr="008474CF" w:rsidRDefault="006606EB" w:rsidP="00A824AF">
      <w:pPr>
        <w:autoSpaceDE w:val="0"/>
        <w:autoSpaceDN w:val="0"/>
        <w:adjustRightInd w:val="0"/>
        <w:rPr>
          <w:rFonts w:cs="Arial"/>
          <w:b/>
          <w:i/>
        </w:rPr>
      </w:pPr>
    </w:p>
    <w:p w14:paraId="60A786FF" w14:textId="4C37403C" w:rsidR="00A824AF" w:rsidRPr="008474CF" w:rsidRDefault="00813290" w:rsidP="00F01218">
      <w:pPr>
        <w:autoSpaceDE w:val="0"/>
        <w:autoSpaceDN w:val="0"/>
        <w:adjustRightInd w:val="0"/>
        <w:rPr>
          <w:rFonts w:cs="Arial"/>
        </w:rPr>
      </w:pPr>
      <w:r w:rsidRPr="00813290">
        <w:rPr>
          <w:noProof/>
        </w:rPr>
        <w:drawing>
          <wp:inline distT="0" distB="0" distL="0" distR="0" wp14:anchorId="6B9A0F38" wp14:editId="7AB6A725">
            <wp:extent cx="5852160" cy="2115185"/>
            <wp:effectExtent l="0" t="0" r="0" b="0"/>
            <wp:docPr id="4842590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2160" cy="2115185"/>
                    </a:xfrm>
                    <a:prstGeom prst="rect">
                      <a:avLst/>
                    </a:prstGeom>
                    <a:noFill/>
                    <a:ln>
                      <a:noFill/>
                    </a:ln>
                  </pic:spPr>
                </pic:pic>
              </a:graphicData>
            </a:graphic>
          </wp:inline>
        </w:drawing>
      </w:r>
    </w:p>
    <w:p w14:paraId="7C294421" w14:textId="77777777" w:rsidR="006B1261" w:rsidRPr="008474CF" w:rsidRDefault="006B1261" w:rsidP="00F01218">
      <w:pPr>
        <w:autoSpaceDE w:val="0"/>
        <w:autoSpaceDN w:val="0"/>
        <w:adjustRightInd w:val="0"/>
        <w:rPr>
          <w:rFonts w:cs="Arial"/>
        </w:rPr>
      </w:pPr>
    </w:p>
    <w:p w14:paraId="15F2BEC7" w14:textId="33EF66C7" w:rsidR="00A824AF" w:rsidRPr="008474CF" w:rsidRDefault="00A824AF" w:rsidP="002F343D">
      <w:pPr>
        <w:pStyle w:val="ListParagraph"/>
        <w:numPr>
          <w:ilvl w:val="0"/>
          <w:numId w:val="7"/>
        </w:numPr>
        <w:jc w:val="both"/>
      </w:pPr>
      <w:r w:rsidRPr="008474CF">
        <w:rPr>
          <w:sz w:val="20"/>
        </w:rPr>
        <w:t xml:space="preserve">Das </w:t>
      </w:r>
      <w:r w:rsidR="00CB3CBE" w:rsidRPr="008474CF">
        <w:rPr>
          <w:sz w:val="20"/>
        </w:rPr>
        <w:t>Nettobetriebskapital</w:t>
      </w:r>
      <w:r w:rsidRPr="008474CF">
        <w:rPr>
          <w:sz w:val="20"/>
        </w:rPr>
        <w:t xml:space="preserve"> (Umlaufvermögen abzüglich kurzfristiger Verbindlichkeiten) der UPOV </w:t>
      </w:r>
      <w:r w:rsidR="001B35D6" w:rsidRPr="008474CF">
        <w:rPr>
          <w:sz w:val="20"/>
        </w:rPr>
        <w:t xml:space="preserve">belief sich </w:t>
      </w:r>
      <w:r w:rsidR="00DB3596" w:rsidRPr="008474CF">
        <w:rPr>
          <w:sz w:val="20"/>
        </w:rPr>
        <w:t xml:space="preserve">zum 31. Dezember </w:t>
      </w:r>
      <w:r w:rsidR="00C354E7" w:rsidRPr="008474CF">
        <w:rPr>
          <w:sz w:val="20"/>
        </w:rPr>
        <w:t xml:space="preserve">2024 </w:t>
      </w:r>
      <w:r w:rsidR="001B35D6" w:rsidRPr="008474CF">
        <w:rPr>
          <w:sz w:val="20"/>
        </w:rPr>
        <w:t xml:space="preserve">auf </w:t>
      </w:r>
      <w:r w:rsidR="00C354E7" w:rsidRPr="008474CF">
        <w:rPr>
          <w:color w:val="000000" w:themeColor="text1"/>
          <w:sz w:val="20"/>
        </w:rPr>
        <w:t>4.200.</w:t>
      </w:r>
      <w:r w:rsidR="00CC5CFF" w:rsidRPr="008474CF">
        <w:rPr>
          <w:color w:val="000000" w:themeColor="text1"/>
          <w:sz w:val="20"/>
        </w:rPr>
        <w:t xml:space="preserve">686 </w:t>
      </w:r>
      <w:r w:rsidR="000F0498" w:rsidRPr="008474CF">
        <w:rPr>
          <w:sz w:val="20"/>
        </w:rPr>
        <w:t>Schweizer Franken</w:t>
      </w:r>
      <w:r w:rsidR="00DB3596" w:rsidRPr="008474CF">
        <w:rPr>
          <w:sz w:val="20"/>
        </w:rPr>
        <w:t xml:space="preserve"> </w:t>
      </w:r>
      <w:r w:rsidRPr="008474CF">
        <w:rPr>
          <w:sz w:val="20"/>
        </w:rPr>
        <w:t>(</w:t>
      </w:r>
      <w:r w:rsidR="00C354E7" w:rsidRPr="008474CF">
        <w:rPr>
          <w:color w:val="000000" w:themeColor="text1"/>
          <w:sz w:val="20"/>
        </w:rPr>
        <w:t xml:space="preserve">4.022.003 </w:t>
      </w:r>
      <w:r w:rsidR="000F0498" w:rsidRPr="008474CF">
        <w:rPr>
          <w:sz w:val="20"/>
        </w:rPr>
        <w:t>Schweizer Franken</w:t>
      </w:r>
      <w:r w:rsidRPr="008474CF">
        <w:rPr>
          <w:sz w:val="20"/>
        </w:rPr>
        <w:t xml:space="preserve"> </w:t>
      </w:r>
      <w:r w:rsidR="00464BF5" w:rsidRPr="008474CF">
        <w:rPr>
          <w:sz w:val="20"/>
        </w:rPr>
        <w:br/>
      </w:r>
      <w:r w:rsidRPr="008474CF">
        <w:rPr>
          <w:sz w:val="20"/>
        </w:rPr>
        <w:t xml:space="preserve">zum </w:t>
      </w:r>
      <w:r w:rsidR="003F2509" w:rsidRPr="008474CF">
        <w:rPr>
          <w:sz w:val="20"/>
        </w:rPr>
        <w:t xml:space="preserve">31. Dezember </w:t>
      </w:r>
      <w:r w:rsidR="00C354E7" w:rsidRPr="008474CF">
        <w:rPr>
          <w:sz w:val="20"/>
        </w:rPr>
        <w:t>2023</w:t>
      </w:r>
      <w:r w:rsidRPr="008474CF">
        <w:rPr>
          <w:sz w:val="20"/>
        </w:rPr>
        <w:t xml:space="preserve">). </w:t>
      </w:r>
      <w:r w:rsidR="00C84274" w:rsidRPr="008474CF">
        <w:rPr>
          <w:sz w:val="20"/>
        </w:rPr>
        <w:t>D</w:t>
      </w:r>
      <w:r w:rsidR="000464BE" w:rsidRPr="008474CF">
        <w:rPr>
          <w:sz w:val="20"/>
        </w:rPr>
        <w:t>e</w:t>
      </w:r>
      <w:r w:rsidR="00C84274" w:rsidRPr="008474CF">
        <w:rPr>
          <w:sz w:val="20"/>
        </w:rPr>
        <w:t>r</w:t>
      </w:r>
      <w:r w:rsidRPr="008474CF">
        <w:rPr>
          <w:sz w:val="20"/>
        </w:rPr>
        <w:t xml:space="preserve"> </w:t>
      </w:r>
      <w:r w:rsidR="00C84274" w:rsidRPr="008474CF">
        <w:rPr>
          <w:sz w:val="20"/>
        </w:rPr>
        <w:t>Zahlungsmittelbestand</w:t>
      </w:r>
      <w:r w:rsidRPr="008474CF">
        <w:rPr>
          <w:sz w:val="20"/>
        </w:rPr>
        <w:t xml:space="preserve"> </w:t>
      </w:r>
      <w:r w:rsidR="00EF71B4" w:rsidRPr="008474CF">
        <w:rPr>
          <w:sz w:val="20"/>
        </w:rPr>
        <w:t>nahm</w:t>
      </w:r>
      <w:r w:rsidR="00C354E7" w:rsidRPr="008474CF">
        <w:rPr>
          <w:sz w:val="20"/>
        </w:rPr>
        <w:t xml:space="preserve"> </w:t>
      </w:r>
      <w:r w:rsidRPr="008474CF">
        <w:rPr>
          <w:color w:val="000000" w:themeColor="text1"/>
          <w:sz w:val="20"/>
        </w:rPr>
        <w:t xml:space="preserve">von </w:t>
      </w:r>
      <w:r w:rsidR="00C354E7" w:rsidRPr="008474CF">
        <w:rPr>
          <w:color w:val="000000" w:themeColor="text1"/>
          <w:sz w:val="20"/>
        </w:rPr>
        <w:t xml:space="preserve">5.437.576 </w:t>
      </w:r>
      <w:r w:rsidR="000F0498" w:rsidRPr="008474CF">
        <w:rPr>
          <w:color w:val="000000" w:themeColor="text1"/>
          <w:sz w:val="20"/>
        </w:rPr>
        <w:t>Schweizer</w:t>
      </w:r>
      <w:r w:rsidR="000F0498" w:rsidRPr="008474CF">
        <w:rPr>
          <w:sz w:val="20"/>
        </w:rPr>
        <w:t xml:space="preserve"> Franken</w:t>
      </w:r>
      <w:r w:rsidRPr="008474CF">
        <w:rPr>
          <w:sz w:val="20"/>
        </w:rPr>
        <w:t xml:space="preserve"> </w:t>
      </w:r>
      <w:r w:rsidR="00464BF5" w:rsidRPr="008474CF">
        <w:rPr>
          <w:sz w:val="20"/>
        </w:rPr>
        <w:br/>
      </w:r>
      <w:r w:rsidR="007047EC" w:rsidRPr="008474CF">
        <w:rPr>
          <w:sz w:val="20"/>
        </w:rPr>
        <w:t xml:space="preserve">zum 31. Dezember </w:t>
      </w:r>
      <w:r w:rsidR="00C354E7" w:rsidRPr="008474CF">
        <w:rPr>
          <w:sz w:val="20"/>
        </w:rPr>
        <w:t xml:space="preserve">2023 </w:t>
      </w:r>
      <w:r w:rsidRPr="008474CF">
        <w:rPr>
          <w:color w:val="000000" w:themeColor="text1"/>
          <w:sz w:val="20"/>
        </w:rPr>
        <w:t xml:space="preserve">auf </w:t>
      </w:r>
      <w:r w:rsidR="00C354E7" w:rsidRPr="008474CF">
        <w:rPr>
          <w:color w:val="000000" w:themeColor="text1"/>
          <w:sz w:val="20"/>
        </w:rPr>
        <w:t>5.819.</w:t>
      </w:r>
      <w:r w:rsidR="00C71191" w:rsidRPr="008474CF">
        <w:rPr>
          <w:color w:val="000000" w:themeColor="text1"/>
          <w:sz w:val="20"/>
        </w:rPr>
        <w:t xml:space="preserve">625 </w:t>
      </w:r>
      <w:r w:rsidR="000F0498" w:rsidRPr="008474CF">
        <w:rPr>
          <w:color w:val="000000" w:themeColor="text1"/>
          <w:sz w:val="20"/>
        </w:rPr>
        <w:t>Schweizer Franken</w:t>
      </w:r>
      <w:r w:rsidRPr="008474CF">
        <w:rPr>
          <w:color w:val="000000" w:themeColor="text1"/>
          <w:sz w:val="20"/>
        </w:rPr>
        <w:t xml:space="preserve"> zum </w:t>
      </w:r>
      <w:r w:rsidR="007047EC" w:rsidRPr="008474CF">
        <w:rPr>
          <w:sz w:val="20"/>
        </w:rPr>
        <w:t xml:space="preserve">31. Dezember </w:t>
      </w:r>
      <w:r w:rsidR="00C354E7" w:rsidRPr="008474CF">
        <w:rPr>
          <w:sz w:val="20"/>
        </w:rPr>
        <w:t>2024</w:t>
      </w:r>
      <w:r w:rsidR="000464BE" w:rsidRPr="008474CF">
        <w:rPr>
          <w:sz w:val="20"/>
        </w:rPr>
        <w:t xml:space="preserve"> zu</w:t>
      </w:r>
      <w:r w:rsidRPr="008474CF">
        <w:rPr>
          <w:sz w:val="20"/>
        </w:rPr>
        <w:t>.</w:t>
      </w:r>
    </w:p>
    <w:p w14:paraId="1C8D9F7A" w14:textId="77777777" w:rsidR="00A824AF" w:rsidRPr="008474CF" w:rsidRDefault="00A824AF" w:rsidP="00BC6E60">
      <w:pPr>
        <w:ind w:left="567" w:hanging="567"/>
        <w:rPr>
          <w:rFonts w:cs="Arial"/>
        </w:rPr>
      </w:pPr>
    </w:p>
    <w:p w14:paraId="002BD43B" w14:textId="7AED13AA" w:rsidR="00A824AF" w:rsidRPr="008474CF" w:rsidRDefault="00145697" w:rsidP="002F343D">
      <w:pPr>
        <w:numPr>
          <w:ilvl w:val="0"/>
          <w:numId w:val="7"/>
        </w:numPr>
        <w:rPr>
          <w:rFonts w:cs="Arial"/>
        </w:rPr>
      </w:pPr>
      <w:r w:rsidRPr="008474CF">
        <w:rPr>
          <w:rFonts w:cs="Arial"/>
        </w:rPr>
        <w:t>Die zum</w:t>
      </w:r>
      <w:r w:rsidR="00F54FC5" w:rsidRPr="008474CF">
        <w:rPr>
          <w:rFonts w:cs="Arial"/>
        </w:rPr>
        <w:t xml:space="preserve"> </w:t>
      </w:r>
      <w:r w:rsidR="007047EC" w:rsidRPr="008474CF">
        <w:rPr>
          <w:rFonts w:cs="Arial"/>
        </w:rPr>
        <w:t xml:space="preserve">31. Dezember </w:t>
      </w:r>
      <w:r w:rsidR="000C2850" w:rsidRPr="008474CF">
        <w:rPr>
          <w:rFonts w:cs="Arial"/>
        </w:rPr>
        <w:t xml:space="preserve">2024 </w:t>
      </w:r>
      <w:r w:rsidRPr="008474CF">
        <w:rPr>
          <w:rFonts w:cs="Arial"/>
        </w:rPr>
        <w:t xml:space="preserve">fällig gewordenen </w:t>
      </w:r>
      <w:r w:rsidR="0022365B" w:rsidRPr="008474CF">
        <w:rPr>
          <w:rFonts w:cs="Arial"/>
        </w:rPr>
        <w:t xml:space="preserve">Forderungen beliefen sich insgesamt </w:t>
      </w:r>
      <w:r w:rsidR="007047EC" w:rsidRPr="008474CF">
        <w:rPr>
          <w:rFonts w:cs="Arial"/>
          <w:color w:val="000000" w:themeColor="text1"/>
        </w:rPr>
        <w:t xml:space="preserve">auf </w:t>
      </w:r>
      <w:r w:rsidR="000C2850" w:rsidRPr="008474CF">
        <w:rPr>
          <w:rFonts w:cs="Arial"/>
          <w:color w:val="000000" w:themeColor="text1"/>
        </w:rPr>
        <w:t>100</w:t>
      </w:r>
      <w:r w:rsidR="00A35ED1" w:rsidRPr="008474CF">
        <w:rPr>
          <w:rFonts w:cs="Arial"/>
          <w:color w:val="000000" w:themeColor="text1"/>
        </w:rPr>
        <w:t>.</w:t>
      </w:r>
      <w:r w:rsidR="000C2850" w:rsidRPr="008474CF">
        <w:rPr>
          <w:rFonts w:cs="Arial"/>
          <w:color w:val="000000" w:themeColor="text1"/>
        </w:rPr>
        <w:t>406</w:t>
      </w:r>
      <w:r w:rsidR="00464BF5" w:rsidRPr="008474CF">
        <w:rPr>
          <w:rFonts w:cs="Arial"/>
          <w:color w:val="000000" w:themeColor="text1"/>
        </w:rPr>
        <w:t> </w:t>
      </w:r>
      <w:r w:rsidR="000F0498" w:rsidRPr="008474CF">
        <w:rPr>
          <w:rFonts w:cs="Arial"/>
          <w:color w:val="000000" w:themeColor="text1"/>
        </w:rPr>
        <w:t>Schweizer Franken</w:t>
      </w:r>
      <w:r w:rsidR="00A824AF" w:rsidRPr="008474CF">
        <w:rPr>
          <w:rFonts w:cs="Arial"/>
          <w:color w:val="000000" w:themeColor="text1"/>
        </w:rPr>
        <w:t xml:space="preserve">, </w:t>
      </w:r>
      <w:r w:rsidR="0057203E" w:rsidRPr="008474CF">
        <w:rPr>
          <w:rFonts w:cs="Arial"/>
        </w:rPr>
        <w:t>gegenüber</w:t>
      </w:r>
      <w:r w:rsidR="00A824AF" w:rsidRPr="008474CF">
        <w:rPr>
          <w:rFonts w:cs="Arial"/>
        </w:rPr>
        <w:t xml:space="preserve"> </w:t>
      </w:r>
      <w:r w:rsidR="000C2850" w:rsidRPr="008474CF">
        <w:rPr>
          <w:rFonts w:cs="Arial"/>
          <w:color w:val="000000" w:themeColor="text1"/>
        </w:rPr>
        <w:t>193</w:t>
      </w:r>
      <w:r w:rsidR="0057203E" w:rsidRPr="008474CF">
        <w:rPr>
          <w:rFonts w:cs="Arial"/>
          <w:color w:val="000000" w:themeColor="text1"/>
        </w:rPr>
        <w:t>.</w:t>
      </w:r>
      <w:r w:rsidR="000C2850" w:rsidRPr="008474CF">
        <w:rPr>
          <w:rFonts w:cs="Arial"/>
          <w:color w:val="000000" w:themeColor="text1"/>
        </w:rPr>
        <w:t xml:space="preserve">890 </w:t>
      </w:r>
      <w:r w:rsidR="000F0498" w:rsidRPr="008474CF">
        <w:rPr>
          <w:rFonts w:cs="Arial"/>
          <w:color w:val="000000" w:themeColor="text1"/>
        </w:rPr>
        <w:t>Schweizer Franken</w:t>
      </w:r>
      <w:r w:rsidR="00666306" w:rsidRPr="008474CF">
        <w:rPr>
          <w:rFonts w:cs="Arial"/>
          <w:color w:val="000000" w:themeColor="text1"/>
        </w:rPr>
        <w:t xml:space="preserve"> </w:t>
      </w:r>
      <w:r w:rsidR="007047EC" w:rsidRPr="008474CF">
        <w:rPr>
          <w:rFonts w:cs="Arial"/>
        </w:rPr>
        <w:t xml:space="preserve">am 31. Dezember </w:t>
      </w:r>
      <w:r w:rsidR="000C2850" w:rsidRPr="008474CF">
        <w:rPr>
          <w:rFonts w:cs="Arial"/>
        </w:rPr>
        <w:t>2023</w:t>
      </w:r>
      <w:r w:rsidR="00A824AF" w:rsidRPr="008474CF">
        <w:rPr>
          <w:rFonts w:cs="Arial"/>
        </w:rPr>
        <w:t xml:space="preserve">. </w:t>
      </w:r>
      <w:r w:rsidR="00503E6F" w:rsidRPr="008474CF">
        <w:rPr>
          <w:rFonts w:cs="Arial"/>
        </w:rPr>
        <w:t xml:space="preserve">Der Saldo der Forderungen zum Ende des Jahres </w:t>
      </w:r>
      <w:r w:rsidR="000C2850" w:rsidRPr="008474CF">
        <w:rPr>
          <w:rFonts w:cs="Arial"/>
        </w:rPr>
        <w:t xml:space="preserve">2024 </w:t>
      </w:r>
      <w:r w:rsidR="00A824AF" w:rsidRPr="008474CF">
        <w:rPr>
          <w:rFonts w:cs="Arial"/>
        </w:rPr>
        <w:t xml:space="preserve">umfasst </w:t>
      </w:r>
      <w:r w:rsidR="007047EC" w:rsidRPr="008474CF">
        <w:rPr>
          <w:rFonts w:cs="Arial"/>
        </w:rPr>
        <w:t xml:space="preserve">Beiträge in Höhe von </w:t>
      </w:r>
      <w:r w:rsidR="000C2850" w:rsidRPr="008474CF">
        <w:rPr>
          <w:rFonts w:cs="Arial"/>
        </w:rPr>
        <w:t>131</w:t>
      </w:r>
      <w:r w:rsidR="00EC0086" w:rsidRPr="008474CF">
        <w:rPr>
          <w:rFonts w:cs="Arial"/>
        </w:rPr>
        <w:t>.</w:t>
      </w:r>
      <w:r w:rsidR="000C2850" w:rsidRPr="008474CF">
        <w:rPr>
          <w:rFonts w:cs="Arial"/>
        </w:rPr>
        <w:t xml:space="preserve">228 </w:t>
      </w:r>
      <w:r w:rsidR="000F0498" w:rsidRPr="008474CF">
        <w:rPr>
          <w:rFonts w:cs="Arial"/>
        </w:rPr>
        <w:t>Schweizer Franken</w:t>
      </w:r>
      <w:r w:rsidR="00B57720" w:rsidRPr="008474CF">
        <w:rPr>
          <w:rFonts w:cs="Arial"/>
        </w:rPr>
        <w:t xml:space="preserve">, die </w:t>
      </w:r>
      <w:r w:rsidR="00D561C8" w:rsidRPr="008474CF">
        <w:rPr>
          <w:rFonts w:cs="Arial"/>
        </w:rPr>
        <w:t xml:space="preserve">teilweise </w:t>
      </w:r>
      <w:r w:rsidR="00F54FC5" w:rsidRPr="008474CF">
        <w:rPr>
          <w:rFonts w:cs="Arial"/>
        </w:rPr>
        <w:t xml:space="preserve">durch eine Wertberichtigung </w:t>
      </w:r>
      <w:r w:rsidR="00D6147F" w:rsidRPr="008474CF">
        <w:rPr>
          <w:rFonts w:cs="Arial"/>
        </w:rPr>
        <w:t xml:space="preserve">dieser Forderungen </w:t>
      </w:r>
      <w:r w:rsidR="00F54FC5" w:rsidRPr="008474CF">
        <w:rPr>
          <w:rFonts w:cs="Arial"/>
        </w:rPr>
        <w:t>in Höhe von 42</w:t>
      </w:r>
      <w:r w:rsidR="00547E8D" w:rsidRPr="008474CF">
        <w:rPr>
          <w:rFonts w:cs="Arial"/>
        </w:rPr>
        <w:t>.</w:t>
      </w:r>
      <w:r w:rsidR="00F54FC5" w:rsidRPr="008474CF">
        <w:rPr>
          <w:rFonts w:cs="Arial"/>
        </w:rPr>
        <w:t xml:space="preserve">912 </w:t>
      </w:r>
      <w:r w:rsidR="000F0498" w:rsidRPr="008474CF">
        <w:rPr>
          <w:rFonts w:cs="Arial"/>
        </w:rPr>
        <w:t>Schweizer Franken</w:t>
      </w:r>
      <w:r w:rsidR="00F54FC5" w:rsidRPr="008474CF">
        <w:rPr>
          <w:rFonts w:cs="Arial"/>
        </w:rPr>
        <w:t xml:space="preserve"> ausgeglichen wurden</w:t>
      </w:r>
      <w:r w:rsidR="008D6CF4" w:rsidRPr="008474CF">
        <w:rPr>
          <w:rFonts w:cs="Arial"/>
        </w:rPr>
        <w:t xml:space="preserve">, </w:t>
      </w:r>
      <w:r w:rsidR="00F54FC5" w:rsidRPr="008474CF">
        <w:rPr>
          <w:rFonts w:cs="Arial"/>
        </w:rPr>
        <w:t xml:space="preserve">sowie </w:t>
      </w:r>
      <w:r w:rsidR="00E95F7A" w:rsidRPr="008474CF">
        <w:rPr>
          <w:rFonts w:cs="Arial"/>
        </w:rPr>
        <w:t xml:space="preserve">nicht eingezogene Gebühren für </w:t>
      </w:r>
      <w:r w:rsidR="00244181">
        <w:rPr>
          <w:rFonts w:cs="Arial"/>
        </w:rPr>
        <w:t>UPOV PRISMA</w:t>
      </w:r>
      <w:r w:rsidR="00E95F7A" w:rsidRPr="008474CF">
        <w:rPr>
          <w:rFonts w:cs="Arial"/>
        </w:rPr>
        <w:t xml:space="preserve">- und </w:t>
      </w:r>
      <w:r w:rsidR="00AC11BF" w:rsidRPr="008474CF">
        <w:rPr>
          <w:rFonts w:cs="Arial"/>
        </w:rPr>
        <w:t>PLUTO-Datenbank</w:t>
      </w:r>
      <w:r w:rsidR="000D346D" w:rsidRPr="008474CF">
        <w:rPr>
          <w:rFonts w:cs="Arial"/>
        </w:rPr>
        <w:t>nutzungen</w:t>
      </w:r>
      <w:r w:rsidR="00AC11BF" w:rsidRPr="008474CF">
        <w:rPr>
          <w:rFonts w:cs="Arial"/>
        </w:rPr>
        <w:t xml:space="preserve"> </w:t>
      </w:r>
      <w:r w:rsidR="00E95F7A" w:rsidRPr="008474CF">
        <w:rPr>
          <w:rFonts w:cs="Arial"/>
        </w:rPr>
        <w:t xml:space="preserve">in Höhe von </w:t>
      </w:r>
      <w:r w:rsidR="00F54FC5" w:rsidRPr="008474CF">
        <w:rPr>
          <w:rFonts w:cs="Arial"/>
        </w:rPr>
        <w:t>12</w:t>
      </w:r>
      <w:r w:rsidR="007E6F5C" w:rsidRPr="008474CF">
        <w:rPr>
          <w:rFonts w:cs="Arial"/>
        </w:rPr>
        <w:t>.</w:t>
      </w:r>
      <w:r w:rsidR="00F54FC5" w:rsidRPr="008474CF">
        <w:rPr>
          <w:rFonts w:cs="Arial"/>
        </w:rPr>
        <w:t xml:space="preserve">000 </w:t>
      </w:r>
      <w:r w:rsidR="000F0498" w:rsidRPr="008474CF">
        <w:rPr>
          <w:rFonts w:cs="Arial"/>
        </w:rPr>
        <w:t>Schweizer Franken</w:t>
      </w:r>
      <w:r w:rsidR="00E95F7A" w:rsidRPr="008474CF">
        <w:rPr>
          <w:rFonts w:cs="Arial"/>
        </w:rPr>
        <w:t xml:space="preserve"> </w:t>
      </w:r>
      <w:r w:rsidR="00412EAD" w:rsidRPr="008474CF">
        <w:rPr>
          <w:rFonts w:cs="Arial"/>
        </w:rPr>
        <w:t xml:space="preserve">und </w:t>
      </w:r>
      <w:r w:rsidR="004D4AB6" w:rsidRPr="008474CF">
        <w:rPr>
          <w:rFonts w:cs="Arial"/>
        </w:rPr>
        <w:t>sonstige Forderungen</w:t>
      </w:r>
      <w:r w:rsidR="007047EC" w:rsidRPr="008474CF">
        <w:rPr>
          <w:rFonts w:cs="Arial"/>
        </w:rPr>
        <w:t xml:space="preserve"> in Höhe von </w:t>
      </w:r>
      <w:r w:rsidR="00F54FC5" w:rsidRPr="008474CF">
        <w:rPr>
          <w:rFonts w:cs="Arial"/>
        </w:rPr>
        <w:t>90</w:t>
      </w:r>
      <w:r w:rsidR="00464BF5" w:rsidRPr="008474CF">
        <w:rPr>
          <w:rFonts w:cs="Arial"/>
        </w:rPr>
        <w:t> </w:t>
      </w:r>
      <w:r w:rsidR="000F0498" w:rsidRPr="008474CF">
        <w:rPr>
          <w:rFonts w:cs="Arial"/>
        </w:rPr>
        <w:t>Schweizer Franken</w:t>
      </w:r>
      <w:r w:rsidR="00412EAD" w:rsidRPr="008474CF">
        <w:rPr>
          <w:rFonts w:cs="Arial"/>
        </w:rPr>
        <w:t>.</w:t>
      </w:r>
    </w:p>
    <w:p w14:paraId="2C7984CC" w14:textId="77777777" w:rsidR="00191695" w:rsidRPr="008474CF" w:rsidRDefault="00191695" w:rsidP="00BC6E60">
      <w:pPr>
        <w:ind w:left="567" w:hanging="567"/>
        <w:rPr>
          <w:rFonts w:cs="Arial"/>
        </w:rPr>
      </w:pPr>
    </w:p>
    <w:p w14:paraId="4CE843C7" w14:textId="5D24633D" w:rsidR="00FA2EAD" w:rsidRPr="008474CF" w:rsidRDefault="00914D9C" w:rsidP="002F343D">
      <w:pPr>
        <w:pStyle w:val="ListParagraph"/>
        <w:numPr>
          <w:ilvl w:val="0"/>
          <w:numId w:val="7"/>
        </w:numPr>
        <w:jc w:val="both"/>
        <w:rPr>
          <w:sz w:val="20"/>
        </w:rPr>
      </w:pPr>
      <w:r w:rsidRPr="008474CF">
        <w:rPr>
          <w:sz w:val="20"/>
        </w:rPr>
        <w:t xml:space="preserve">Die UPOV hatte zum 31. Dezember 2024 gegenüber Bediensteten Leistungsverpflichtungen von 5.581.482 Schweizer Franken (gegenüber 4.231.165 Schweizer Franken zum 31. Dezember 2023). Den Verpflichtungen aus ASHI, Beihilfen für die Rückübersiedlung und langfristig aufgelaufenem Jahresurlaub wurden versicherungsmathematische Berechnungen zugrunde gelegt. Die bedeutendste Verpflichtung, nämlich </w:t>
      </w:r>
      <w:r w:rsidR="00571F43" w:rsidRPr="008474CF">
        <w:rPr>
          <w:sz w:val="20"/>
        </w:rPr>
        <w:t>in Bezug</w:t>
      </w:r>
      <w:r w:rsidRPr="008474CF">
        <w:rPr>
          <w:sz w:val="20"/>
        </w:rPr>
        <w:t xml:space="preserve"> auf ASHI, beläuft sich zum 31. Dezember 2024 auf 5.352.935 Schweizer Franken. Dies entspricht einer Erhöhung von 1.366.092 </w:t>
      </w:r>
      <w:r w:rsidR="00464BF5" w:rsidRPr="008474CF">
        <w:rPr>
          <w:sz w:val="20"/>
        </w:rPr>
        <w:t xml:space="preserve">Schweizer </w:t>
      </w:r>
      <w:r w:rsidRPr="008474CF">
        <w:rPr>
          <w:sz w:val="20"/>
        </w:rPr>
        <w:t>Franken gegenüber dem Saldo zum 31. Dezember 2023 von 3.986.843 Schweizer Franken. Die Berechnung der ASHI-Verbindlichkeit erfolgt durch einen unabhängigen Versicherungsmathematiker. Gemäß den IPSAS-Anforderungen</w:t>
      </w:r>
      <w:r w:rsidR="00E34830" w:rsidRPr="008474CF">
        <w:rPr>
          <w:sz w:val="20"/>
        </w:rPr>
        <w:t xml:space="preserve"> stellt die </w:t>
      </w:r>
      <w:r w:rsidRPr="008474CF">
        <w:rPr>
          <w:sz w:val="20"/>
        </w:rPr>
        <w:t xml:space="preserve">im Jahresabschluss erfasste ASHI-Verbindlichkeit den derzeitigen Wert aller künftigen Leistungen an Bestandsrentner und deren Angehörige, sowie von aktiven Mitarbeitern erworbene Leistungsansprüche nach Beendigung des Dienstverhältnisses, dar. Im Durchschnitt steigen die Kosten medizinischer </w:t>
      </w:r>
      <w:r w:rsidRPr="008474CF">
        <w:rPr>
          <w:sz w:val="20"/>
        </w:rPr>
        <w:lastRenderedPageBreak/>
        <w:t xml:space="preserve">Versorgung im Alter, sodass der Großteil der zu erwartenden Kosten medizinischer Versorgung in der Zukunft fällig werden wird. UPOV-Mitarbeiter und pensionierte Beschäftigte beteiligen sich an der Krankenversicherung der WIPO. Um die Kosten und Risiken der Krankenversicherung zu handhaben, hat </w:t>
      </w:r>
      <w:r w:rsidR="006A3ACC" w:rsidRPr="008474CF">
        <w:rPr>
          <w:sz w:val="20"/>
        </w:rPr>
        <w:t xml:space="preserve">die </w:t>
      </w:r>
      <w:r w:rsidRPr="008474CF">
        <w:rPr>
          <w:sz w:val="20"/>
        </w:rPr>
        <w:t>WIPO einen Versicherungsvertrag abgeschlossen, der die Zahlung einer gleichbleibenden Prämie pro Person für alle Bestandsrentner und aktive Mitarbeiter ermöglicht, wodurch Zahlungen für ältere pensionierte Beschäftigte im Verhältnis zu den ihnen entstandenen Kosten medizinischer Versorgung reduziert werden</w:t>
      </w:r>
      <w:r w:rsidR="00FA2EAD" w:rsidRPr="008474CF">
        <w:rPr>
          <w:rFonts w:eastAsia="SimSun"/>
          <w:sz w:val="20"/>
          <w:lang w:eastAsia="zh-CN"/>
        </w:rPr>
        <w:t>.</w:t>
      </w:r>
      <w:r w:rsidR="006A3ACC" w:rsidRPr="008474CF">
        <w:rPr>
          <w:rFonts w:eastAsia="SimSun"/>
          <w:sz w:val="20"/>
          <w:lang w:eastAsia="zh-CN"/>
        </w:rPr>
        <w:t xml:space="preserve"> </w:t>
      </w:r>
    </w:p>
    <w:p w14:paraId="057CFDF7" w14:textId="77777777" w:rsidR="00FA2EAD" w:rsidRPr="008474CF" w:rsidRDefault="00FA2EAD" w:rsidP="00BC6E60">
      <w:pPr>
        <w:pStyle w:val="ListParagraph"/>
        <w:ind w:hanging="567"/>
        <w:jc w:val="both"/>
        <w:rPr>
          <w:sz w:val="20"/>
        </w:rPr>
      </w:pPr>
      <w:r w:rsidRPr="008474CF">
        <w:rPr>
          <w:rFonts w:eastAsia="SimSun"/>
          <w:sz w:val="20"/>
          <w:lang w:eastAsia="zh-CN"/>
        </w:rPr>
        <w:t xml:space="preserve"> </w:t>
      </w:r>
    </w:p>
    <w:p w14:paraId="611F3BDC" w14:textId="224E991E" w:rsidR="00CD08F2" w:rsidRPr="008474CF" w:rsidRDefault="00FA2EAD" w:rsidP="002F343D">
      <w:pPr>
        <w:pStyle w:val="ListParagraph"/>
        <w:numPr>
          <w:ilvl w:val="0"/>
          <w:numId w:val="7"/>
        </w:numPr>
        <w:jc w:val="both"/>
        <w:rPr>
          <w:rFonts w:eastAsia="SimSun"/>
          <w:sz w:val="20"/>
          <w:lang w:eastAsia="zh-CN"/>
        </w:rPr>
      </w:pPr>
      <w:r w:rsidRPr="008474CF">
        <w:rPr>
          <w:rFonts w:eastAsia="SimSun"/>
          <w:sz w:val="20"/>
          <w:lang w:eastAsia="zh-CN"/>
        </w:rPr>
        <w:t xml:space="preserve">Die </w:t>
      </w:r>
      <w:bookmarkStart w:id="15" w:name="_Hlk192858059"/>
      <w:r w:rsidR="004843AE" w:rsidRPr="008474CF">
        <w:rPr>
          <w:rFonts w:eastAsia="SimSun"/>
          <w:sz w:val="20"/>
          <w:lang w:eastAsia="zh-CN"/>
        </w:rPr>
        <w:t xml:space="preserve">ASHI-Verbindlichkeitsberechnung enthält eine Reihe von versicherungsmathematischen Annahmen. Dazu gehören der Diskontsatz, die Teuerungsrate für medizinische Versorgung, die Alterseinstufung für medizinische Leistungen, Ruhestandsquoten und Sterblichkeitsraten. Änderungen in diesen Annahmen von Jahr zu Jahr führen zu versicherungsmathematischen Gewinnen und Verlusten, die als Teil der Verbindlichkeit in der Darstellung der Finanzlage erfasst sind. Eine Aufschlüsselung der aus versicherungsmathematischen Gewinnen und Verlusten resultierenden Bewegungen in der Verbindlichkeit ist in Anmerkung 5 zum Jahresabschluss enthalten. Der Anstieg der Verbindlichkeiten im Jahr </w:t>
      </w:r>
      <w:r w:rsidR="00595B43" w:rsidRPr="008474CF">
        <w:rPr>
          <w:rFonts w:eastAsia="SimSun"/>
          <w:sz w:val="20"/>
          <w:lang w:eastAsia="zh-CN"/>
        </w:rPr>
        <w:t xml:space="preserve">2024 ist </w:t>
      </w:r>
      <w:r w:rsidR="006959CD" w:rsidRPr="008474CF">
        <w:rPr>
          <w:rFonts w:eastAsia="SimSun"/>
          <w:sz w:val="20"/>
          <w:lang w:eastAsia="zh-CN"/>
        </w:rPr>
        <w:t xml:space="preserve">zum Teil </w:t>
      </w:r>
      <w:r w:rsidR="00595B43" w:rsidRPr="008474CF">
        <w:rPr>
          <w:rFonts w:eastAsia="SimSun"/>
          <w:sz w:val="20"/>
          <w:lang w:eastAsia="zh-CN"/>
        </w:rPr>
        <w:t xml:space="preserve">auf die </w:t>
      </w:r>
      <w:r w:rsidR="003318FE" w:rsidRPr="008474CF">
        <w:rPr>
          <w:rFonts w:eastAsia="SimSun"/>
          <w:sz w:val="20"/>
          <w:lang w:eastAsia="zh-CN"/>
        </w:rPr>
        <w:t>Anpassung der Eröffnungsbilanz</w:t>
      </w:r>
      <w:r w:rsidR="00595B43" w:rsidRPr="008474CF">
        <w:rPr>
          <w:rFonts w:eastAsia="SimSun"/>
          <w:sz w:val="20"/>
          <w:lang w:eastAsia="zh-CN"/>
        </w:rPr>
        <w:t xml:space="preserve"> der Verpflichtung für einen zusätzlichen Rentner </w:t>
      </w:r>
      <w:r w:rsidR="005D2C12" w:rsidRPr="008474CF">
        <w:rPr>
          <w:rFonts w:eastAsia="SimSun"/>
          <w:sz w:val="20"/>
          <w:lang w:eastAsia="zh-CN"/>
        </w:rPr>
        <w:t xml:space="preserve">und Angehörige </w:t>
      </w:r>
      <w:r w:rsidR="00595B43" w:rsidRPr="008474CF">
        <w:rPr>
          <w:rFonts w:eastAsia="SimSun"/>
          <w:sz w:val="20"/>
          <w:lang w:eastAsia="zh-CN"/>
        </w:rPr>
        <w:t xml:space="preserve">zurückzuführen, die in den </w:t>
      </w:r>
      <w:r w:rsidR="006F4A80" w:rsidRPr="008474CF">
        <w:rPr>
          <w:rFonts w:eastAsia="SimSun"/>
          <w:sz w:val="20"/>
          <w:lang w:eastAsia="zh-CN"/>
        </w:rPr>
        <w:t xml:space="preserve">Berechnungen der Vorjahre </w:t>
      </w:r>
      <w:r w:rsidR="00595B43" w:rsidRPr="008474CF">
        <w:rPr>
          <w:rFonts w:eastAsia="SimSun"/>
          <w:sz w:val="20"/>
          <w:lang w:eastAsia="zh-CN"/>
        </w:rPr>
        <w:t xml:space="preserve">nicht </w:t>
      </w:r>
      <w:r w:rsidR="006F4A80" w:rsidRPr="008474CF">
        <w:rPr>
          <w:rFonts w:eastAsia="SimSun"/>
          <w:sz w:val="20"/>
          <w:lang w:eastAsia="zh-CN"/>
        </w:rPr>
        <w:t xml:space="preserve">berücksichtigt </w:t>
      </w:r>
      <w:r w:rsidR="006548CB" w:rsidRPr="008474CF">
        <w:rPr>
          <w:rFonts w:eastAsia="SimSun"/>
          <w:sz w:val="20"/>
          <w:lang w:eastAsia="zh-CN"/>
        </w:rPr>
        <w:t xml:space="preserve">wurden (mit einer </w:t>
      </w:r>
      <w:r w:rsidR="006F4A80" w:rsidRPr="008474CF">
        <w:rPr>
          <w:rFonts w:eastAsia="SimSun"/>
          <w:sz w:val="20"/>
          <w:lang w:eastAsia="zh-CN"/>
        </w:rPr>
        <w:t xml:space="preserve">Gesamtauswirkung von </w:t>
      </w:r>
      <w:r w:rsidR="00595B43" w:rsidRPr="008474CF">
        <w:rPr>
          <w:rFonts w:eastAsia="SimSun"/>
          <w:sz w:val="20"/>
          <w:lang w:eastAsia="zh-CN"/>
        </w:rPr>
        <w:t>516</w:t>
      </w:r>
      <w:r w:rsidR="00251EE4" w:rsidRPr="008474CF">
        <w:rPr>
          <w:rFonts w:eastAsia="SimSun"/>
          <w:sz w:val="20"/>
          <w:lang w:eastAsia="zh-CN"/>
        </w:rPr>
        <w:t>.</w:t>
      </w:r>
      <w:r w:rsidR="00595B43" w:rsidRPr="008474CF">
        <w:rPr>
          <w:rFonts w:eastAsia="SimSun"/>
          <w:sz w:val="20"/>
          <w:lang w:eastAsia="zh-CN"/>
        </w:rPr>
        <w:t>643</w:t>
      </w:r>
      <w:r w:rsidR="006F4A80" w:rsidRPr="008474CF">
        <w:rPr>
          <w:rFonts w:eastAsia="SimSun"/>
          <w:sz w:val="20"/>
          <w:lang w:eastAsia="zh-CN"/>
        </w:rPr>
        <w:t xml:space="preserve"> </w:t>
      </w:r>
      <w:r w:rsidR="000F0498" w:rsidRPr="008474CF">
        <w:rPr>
          <w:rFonts w:eastAsia="SimSun"/>
          <w:sz w:val="20"/>
          <w:lang w:eastAsia="zh-CN"/>
        </w:rPr>
        <w:t>Schweizer Franken</w:t>
      </w:r>
      <w:r w:rsidR="006548CB" w:rsidRPr="008474CF">
        <w:rPr>
          <w:rFonts w:eastAsia="SimSun"/>
          <w:sz w:val="20"/>
          <w:lang w:eastAsia="zh-CN"/>
        </w:rPr>
        <w:t>)</w:t>
      </w:r>
      <w:r w:rsidR="00595B43" w:rsidRPr="008474CF">
        <w:rPr>
          <w:rFonts w:eastAsia="SimSun"/>
          <w:sz w:val="20"/>
          <w:lang w:eastAsia="zh-CN"/>
        </w:rPr>
        <w:t xml:space="preserve">. </w:t>
      </w:r>
      <w:r w:rsidR="006959CD" w:rsidRPr="008474CF">
        <w:rPr>
          <w:rFonts w:eastAsia="SimSun"/>
          <w:sz w:val="20"/>
          <w:lang w:eastAsia="zh-CN"/>
        </w:rPr>
        <w:t>Ein weiterer wesentlicher Faktor für den Anstieg der Verbindlichkeit</w:t>
      </w:r>
      <w:r w:rsidR="00102C38" w:rsidRPr="008474CF">
        <w:rPr>
          <w:rFonts w:eastAsia="SimSun"/>
          <w:sz w:val="20"/>
          <w:lang w:eastAsia="zh-CN"/>
        </w:rPr>
        <w:t>en</w:t>
      </w:r>
      <w:r w:rsidR="006959CD" w:rsidRPr="008474CF">
        <w:rPr>
          <w:rFonts w:eastAsia="SimSun"/>
          <w:sz w:val="20"/>
          <w:lang w:eastAsia="zh-CN"/>
        </w:rPr>
        <w:t xml:space="preserve"> war </w:t>
      </w:r>
      <w:r w:rsidR="00FE7586" w:rsidRPr="008474CF">
        <w:rPr>
          <w:rFonts w:eastAsia="SimSun"/>
          <w:sz w:val="20"/>
          <w:lang w:eastAsia="zh-CN"/>
        </w:rPr>
        <w:t xml:space="preserve">ein Rückgang des </w:t>
      </w:r>
      <w:r w:rsidR="00FE7586" w:rsidRPr="008474CF">
        <w:rPr>
          <w:rFonts w:cs="Times New Roman"/>
          <w:sz w:val="20"/>
          <w:szCs w:val="24"/>
        </w:rPr>
        <w:t xml:space="preserve">Diskontsatzes </w:t>
      </w:r>
      <w:r w:rsidR="00595B43" w:rsidRPr="008474CF">
        <w:rPr>
          <w:rFonts w:eastAsia="SimSun"/>
          <w:sz w:val="20"/>
          <w:lang w:eastAsia="zh-CN"/>
        </w:rPr>
        <w:t>von 1,80</w:t>
      </w:r>
      <w:r w:rsidR="00464BF5" w:rsidRPr="008474CF">
        <w:rPr>
          <w:rFonts w:eastAsia="SimSun"/>
          <w:sz w:val="20"/>
          <w:lang w:eastAsia="zh-CN"/>
        </w:rPr>
        <w:t> </w:t>
      </w:r>
      <w:r w:rsidR="00595B43" w:rsidRPr="008474CF">
        <w:rPr>
          <w:rFonts w:eastAsia="SimSun"/>
          <w:sz w:val="20"/>
          <w:lang w:eastAsia="zh-CN"/>
        </w:rPr>
        <w:t xml:space="preserve">Prozent auf 1,50 Prozent. Der Diskontsatz wurde anhand der Renditekurven von </w:t>
      </w:r>
      <w:r w:rsidR="00464BF5" w:rsidRPr="008474CF">
        <w:rPr>
          <w:rFonts w:eastAsia="SimSun"/>
          <w:sz w:val="20"/>
          <w:lang w:eastAsia="zh-CN"/>
        </w:rPr>
        <w:br/>
      </w:r>
      <w:r w:rsidR="00595B43" w:rsidRPr="008474CF">
        <w:rPr>
          <w:rFonts w:eastAsia="SimSun"/>
          <w:sz w:val="20"/>
          <w:lang w:eastAsia="zh-CN"/>
        </w:rPr>
        <w:t xml:space="preserve">AA-Unternehmensanleihen </w:t>
      </w:r>
      <w:r w:rsidR="00FE7586" w:rsidRPr="008474CF">
        <w:rPr>
          <w:rFonts w:eastAsia="SimSun"/>
          <w:sz w:val="20"/>
          <w:lang w:eastAsia="zh-CN"/>
        </w:rPr>
        <w:t>bestimmt</w:t>
      </w:r>
      <w:r w:rsidR="00595B43" w:rsidRPr="008474CF">
        <w:rPr>
          <w:rFonts w:eastAsia="SimSun"/>
          <w:sz w:val="20"/>
          <w:lang w:eastAsia="zh-CN"/>
        </w:rPr>
        <w:t xml:space="preserve">. </w:t>
      </w:r>
      <w:r w:rsidR="006959CD" w:rsidRPr="008474CF">
        <w:rPr>
          <w:rFonts w:eastAsia="SimSun"/>
          <w:sz w:val="20"/>
          <w:lang w:eastAsia="zh-CN"/>
        </w:rPr>
        <w:t xml:space="preserve">Darüber hinaus kam es bei der Bewertung für </w:t>
      </w:r>
      <w:r w:rsidR="001E0D3F" w:rsidRPr="008474CF">
        <w:rPr>
          <w:rFonts w:eastAsia="SimSun"/>
          <w:sz w:val="20"/>
          <w:lang w:eastAsia="zh-CN"/>
        </w:rPr>
        <w:t xml:space="preserve">das Jahr </w:t>
      </w:r>
      <w:r w:rsidR="006959CD" w:rsidRPr="008474CF">
        <w:rPr>
          <w:rFonts w:eastAsia="SimSun"/>
          <w:sz w:val="20"/>
          <w:lang w:eastAsia="zh-CN"/>
        </w:rPr>
        <w:t xml:space="preserve">2024 </w:t>
      </w:r>
      <w:r w:rsidR="00595B43" w:rsidRPr="008474CF">
        <w:rPr>
          <w:rFonts w:eastAsia="SimSun"/>
          <w:sz w:val="20"/>
          <w:lang w:eastAsia="zh-CN"/>
        </w:rPr>
        <w:t xml:space="preserve">zu einem Anstieg der Kosten für medizinische </w:t>
      </w:r>
      <w:r w:rsidR="002C2E71" w:rsidRPr="008474CF">
        <w:rPr>
          <w:rFonts w:eastAsia="SimSun"/>
          <w:sz w:val="20"/>
          <w:lang w:eastAsia="zh-CN"/>
        </w:rPr>
        <w:t>Versorgung</w:t>
      </w:r>
      <w:r w:rsidR="00595B43" w:rsidRPr="008474CF">
        <w:rPr>
          <w:rFonts w:eastAsia="SimSun"/>
          <w:sz w:val="20"/>
          <w:lang w:eastAsia="zh-CN"/>
        </w:rPr>
        <w:t xml:space="preserve"> in jedem Alter, der auf einer im Laufe des Jahres durchgeführten </w:t>
      </w:r>
      <w:r w:rsidR="00BE38F1" w:rsidRPr="008474CF">
        <w:rPr>
          <w:rFonts w:eastAsia="SimSun"/>
          <w:sz w:val="20"/>
          <w:lang w:eastAsia="zh-CN"/>
        </w:rPr>
        <w:t>umfassenden</w:t>
      </w:r>
      <w:r w:rsidR="00595B43" w:rsidRPr="008474CF">
        <w:rPr>
          <w:rFonts w:eastAsia="SimSun"/>
          <w:sz w:val="20"/>
          <w:lang w:eastAsia="zh-CN"/>
        </w:rPr>
        <w:t xml:space="preserve"> Studie über medizinische </w:t>
      </w:r>
      <w:r w:rsidR="00B35EBE" w:rsidRPr="008474CF">
        <w:rPr>
          <w:rFonts w:eastAsia="SimSun"/>
          <w:sz w:val="20"/>
          <w:lang w:eastAsia="zh-CN"/>
        </w:rPr>
        <w:t xml:space="preserve">Versorgung </w:t>
      </w:r>
      <w:r w:rsidR="00595B43" w:rsidRPr="008474CF">
        <w:rPr>
          <w:rFonts w:eastAsia="SimSun"/>
          <w:sz w:val="20"/>
          <w:lang w:eastAsia="zh-CN"/>
        </w:rPr>
        <w:t xml:space="preserve">beruhte. Diese Auswirkungen wurden teilweise durch einen Rückgang der </w:t>
      </w:r>
      <w:r w:rsidR="00D87752" w:rsidRPr="008474CF">
        <w:rPr>
          <w:rFonts w:cs="Times New Roman"/>
          <w:sz w:val="20"/>
          <w:szCs w:val="24"/>
        </w:rPr>
        <w:t>Teuerungsrate für medizinische Versorgung</w:t>
      </w:r>
      <w:r w:rsidR="00D87752" w:rsidRPr="008474CF">
        <w:rPr>
          <w:rFonts w:eastAsia="SimSun"/>
          <w:sz w:val="20"/>
          <w:lang w:eastAsia="zh-CN"/>
        </w:rPr>
        <w:t xml:space="preserve"> </w:t>
      </w:r>
      <w:r w:rsidR="00595B43" w:rsidRPr="008474CF">
        <w:rPr>
          <w:rFonts w:eastAsia="SimSun"/>
          <w:sz w:val="20"/>
          <w:lang w:eastAsia="zh-CN"/>
        </w:rPr>
        <w:t>von 3,20</w:t>
      </w:r>
      <w:r w:rsidR="000B189E">
        <w:rPr>
          <w:rFonts w:eastAsia="SimSun"/>
          <w:sz w:val="20"/>
          <w:lang w:eastAsia="zh-CN"/>
        </w:rPr>
        <w:t> %</w:t>
      </w:r>
      <w:r w:rsidR="00595B43" w:rsidRPr="008474CF">
        <w:rPr>
          <w:rFonts w:eastAsia="SimSun"/>
          <w:sz w:val="20"/>
          <w:lang w:eastAsia="zh-CN"/>
        </w:rPr>
        <w:t xml:space="preserve"> (anfänglich) und 2,60</w:t>
      </w:r>
      <w:r w:rsidR="000B189E">
        <w:rPr>
          <w:rFonts w:eastAsia="SimSun"/>
          <w:sz w:val="20"/>
          <w:lang w:eastAsia="zh-CN"/>
        </w:rPr>
        <w:t> %</w:t>
      </w:r>
      <w:r w:rsidR="00595B43" w:rsidRPr="008474CF">
        <w:rPr>
          <w:rFonts w:eastAsia="SimSun"/>
          <w:sz w:val="20"/>
          <w:lang w:eastAsia="zh-CN"/>
        </w:rPr>
        <w:t xml:space="preserve"> (endgültig) auf 2,40</w:t>
      </w:r>
      <w:r w:rsidR="000B189E">
        <w:rPr>
          <w:rFonts w:eastAsia="SimSun"/>
          <w:sz w:val="20"/>
          <w:lang w:eastAsia="zh-CN"/>
        </w:rPr>
        <w:t> %</w:t>
      </w:r>
      <w:r w:rsidR="00595B43" w:rsidRPr="008474CF">
        <w:rPr>
          <w:rFonts w:eastAsia="SimSun"/>
          <w:sz w:val="20"/>
          <w:lang w:eastAsia="zh-CN"/>
        </w:rPr>
        <w:t xml:space="preserve"> (anfänglich und endgültig) ausgeglichen. </w:t>
      </w:r>
      <w:r w:rsidR="00CD08F2" w:rsidRPr="008474CF">
        <w:rPr>
          <w:rFonts w:eastAsia="SimSun"/>
          <w:sz w:val="20"/>
          <w:lang w:eastAsia="zh-CN"/>
        </w:rPr>
        <w:t>Die folgende Grafik zeigt</w:t>
      </w:r>
      <w:r w:rsidR="00600511" w:rsidRPr="008474CF">
        <w:rPr>
          <w:rFonts w:cs="Times New Roman"/>
          <w:sz w:val="20"/>
          <w:szCs w:val="24"/>
        </w:rPr>
        <w:t xml:space="preserve"> die Entwicklung der ASHI-Verbindlichkeiten seit </w:t>
      </w:r>
      <w:r w:rsidR="0099213A" w:rsidRPr="008474CF">
        <w:rPr>
          <w:rFonts w:eastAsia="SimSun"/>
          <w:sz w:val="20"/>
          <w:lang w:eastAsia="zh-CN"/>
        </w:rPr>
        <w:t>2020</w:t>
      </w:r>
      <w:r w:rsidR="00CD08F2" w:rsidRPr="008474CF">
        <w:rPr>
          <w:rFonts w:eastAsia="SimSun"/>
          <w:sz w:val="20"/>
          <w:lang w:eastAsia="zh-CN"/>
        </w:rPr>
        <w:t xml:space="preserve"> und </w:t>
      </w:r>
      <w:r w:rsidR="003C1B2E" w:rsidRPr="008474CF">
        <w:rPr>
          <w:rFonts w:cs="Times New Roman"/>
          <w:sz w:val="20"/>
          <w:szCs w:val="24"/>
        </w:rPr>
        <w:t xml:space="preserve">bildet die versicherungsmathematischen Prognosen für die Jahre </w:t>
      </w:r>
      <w:r w:rsidR="00595B43" w:rsidRPr="008474CF">
        <w:rPr>
          <w:rFonts w:eastAsia="SimSun"/>
          <w:sz w:val="20"/>
          <w:lang w:eastAsia="zh-CN"/>
        </w:rPr>
        <w:t xml:space="preserve">2025-2028 </w:t>
      </w:r>
      <w:r w:rsidR="00CD08F2" w:rsidRPr="008474CF">
        <w:rPr>
          <w:rFonts w:eastAsia="SimSun"/>
          <w:sz w:val="20"/>
          <w:lang w:eastAsia="zh-CN"/>
        </w:rPr>
        <w:t>(</w:t>
      </w:r>
      <w:r w:rsidR="00C23EE4" w:rsidRPr="008474CF">
        <w:rPr>
          <w:rFonts w:cs="Times New Roman"/>
          <w:sz w:val="20"/>
          <w:szCs w:val="24"/>
        </w:rPr>
        <w:t xml:space="preserve">beruhend auf denselben Annahmen wie bei der Berechnung für das Jahr </w:t>
      </w:r>
      <w:r w:rsidR="00595B43" w:rsidRPr="008474CF">
        <w:rPr>
          <w:rFonts w:eastAsia="SimSun"/>
          <w:sz w:val="20"/>
          <w:lang w:eastAsia="zh-CN"/>
        </w:rPr>
        <w:t>2024</w:t>
      </w:r>
      <w:r w:rsidR="00CD08F2" w:rsidRPr="008474CF">
        <w:rPr>
          <w:rFonts w:eastAsia="SimSun"/>
          <w:sz w:val="20"/>
          <w:lang w:eastAsia="zh-CN"/>
        </w:rPr>
        <w:t>)</w:t>
      </w:r>
      <w:r w:rsidR="00CF2C5B" w:rsidRPr="008474CF">
        <w:rPr>
          <w:rFonts w:eastAsia="SimSun"/>
          <w:sz w:val="20"/>
          <w:lang w:eastAsia="zh-CN"/>
        </w:rPr>
        <w:t xml:space="preserve"> ab</w:t>
      </w:r>
      <w:r w:rsidR="00CD08F2" w:rsidRPr="008474CF">
        <w:rPr>
          <w:rFonts w:eastAsia="SimSun"/>
          <w:sz w:val="20"/>
          <w:lang w:eastAsia="zh-CN"/>
        </w:rPr>
        <w:t xml:space="preserve">. </w:t>
      </w:r>
      <w:r w:rsidR="00E86B17" w:rsidRPr="008474CF">
        <w:rPr>
          <w:rFonts w:cs="Times New Roman"/>
          <w:sz w:val="20"/>
          <w:szCs w:val="24"/>
        </w:rPr>
        <w:t xml:space="preserve">Zudem veranschaulicht die Grafik die Veränderung des Diskontsatzes und der Teuerungsrate für medizinische Versorgung seit </w:t>
      </w:r>
      <w:r w:rsidR="0099213A" w:rsidRPr="008474CF">
        <w:rPr>
          <w:rFonts w:eastAsia="SimSun"/>
          <w:sz w:val="20"/>
          <w:lang w:eastAsia="zh-CN"/>
        </w:rPr>
        <w:t>2020</w:t>
      </w:r>
      <w:r w:rsidR="00CD08F2" w:rsidRPr="008474CF">
        <w:rPr>
          <w:rFonts w:eastAsia="SimSun"/>
          <w:sz w:val="20"/>
          <w:lang w:eastAsia="zh-CN"/>
        </w:rPr>
        <w:t xml:space="preserve">: </w:t>
      </w:r>
    </w:p>
    <w:bookmarkEnd w:id="15"/>
    <w:p w14:paraId="064CF7C5" w14:textId="5D79CADF" w:rsidR="004937D3" w:rsidRPr="008474CF" w:rsidRDefault="004937D3">
      <w:pPr>
        <w:jc w:val="left"/>
        <w:rPr>
          <w:rFonts w:cs="Arial"/>
          <w:b/>
          <w:i/>
        </w:rPr>
      </w:pPr>
    </w:p>
    <w:p w14:paraId="78332C9B" w14:textId="5646611B" w:rsidR="009E2118" w:rsidRPr="008474CF" w:rsidRDefault="009E2118" w:rsidP="00F01218">
      <w:pPr>
        <w:autoSpaceDE w:val="0"/>
        <w:autoSpaceDN w:val="0"/>
        <w:adjustRightInd w:val="0"/>
        <w:jc w:val="center"/>
        <w:rPr>
          <w:rFonts w:cs="Arial"/>
          <w:b/>
          <w:i/>
        </w:rPr>
      </w:pPr>
      <w:r w:rsidRPr="008474CF">
        <w:rPr>
          <w:rFonts w:cs="Arial"/>
          <w:b/>
          <w:i/>
        </w:rPr>
        <w:t>Entwicklung der ASHI-Verbindlichkeit</w:t>
      </w:r>
      <w:r w:rsidR="00CF2C5B" w:rsidRPr="008474CF">
        <w:rPr>
          <w:rFonts w:cs="Arial"/>
          <w:b/>
          <w:i/>
        </w:rPr>
        <w:t>en</w:t>
      </w:r>
      <w:r w:rsidRPr="008474CF">
        <w:rPr>
          <w:rFonts w:cs="Arial"/>
          <w:b/>
          <w:i/>
        </w:rPr>
        <w:t xml:space="preserve"> </w:t>
      </w:r>
      <w:r w:rsidR="00122073" w:rsidRPr="008474CF">
        <w:rPr>
          <w:rFonts w:cs="Arial"/>
          <w:b/>
          <w:i/>
        </w:rPr>
        <w:t xml:space="preserve">2020-2028 </w:t>
      </w:r>
      <w:r w:rsidR="00595B43" w:rsidRPr="008474CF">
        <w:rPr>
          <w:rFonts w:cs="Arial"/>
          <w:b/>
          <w:i/>
        </w:rPr>
        <w:t>(31. Dezember)</w:t>
      </w:r>
    </w:p>
    <w:p w14:paraId="4B302724" w14:textId="71E5A868" w:rsidR="00FA2EAD" w:rsidRPr="008474CF" w:rsidRDefault="00813290" w:rsidP="00813290">
      <w:pPr>
        <w:autoSpaceDE w:val="0"/>
        <w:autoSpaceDN w:val="0"/>
        <w:adjustRightInd w:val="0"/>
        <w:jc w:val="center"/>
      </w:pPr>
      <w:r w:rsidRPr="00813290">
        <w:rPr>
          <w:noProof/>
        </w:rPr>
        <w:drawing>
          <wp:inline distT="0" distB="0" distL="0" distR="0" wp14:anchorId="74A1F072" wp14:editId="414AE951">
            <wp:extent cx="5868035" cy="3275965"/>
            <wp:effectExtent l="0" t="0" r="0" b="635"/>
            <wp:docPr id="9862149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8035" cy="3275965"/>
                    </a:xfrm>
                    <a:prstGeom prst="rect">
                      <a:avLst/>
                    </a:prstGeom>
                    <a:noFill/>
                    <a:ln>
                      <a:noFill/>
                    </a:ln>
                  </pic:spPr>
                </pic:pic>
              </a:graphicData>
            </a:graphic>
          </wp:inline>
        </w:drawing>
      </w:r>
    </w:p>
    <w:p w14:paraId="4F8133EE" w14:textId="279BB3B6" w:rsidR="00A7529B" w:rsidRPr="008474CF" w:rsidRDefault="00356F55" w:rsidP="002F343D">
      <w:pPr>
        <w:pStyle w:val="ListParagraph"/>
        <w:numPr>
          <w:ilvl w:val="0"/>
          <w:numId w:val="7"/>
        </w:numPr>
        <w:jc w:val="both"/>
        <w:rPr>
          <w:rFonts w:eastAsia="SimSun"/>
          <w:color w:val="000000"/>
          <w:sz w:val="20"/>
          <w:lang w:eastAsia="zh-CN"/>
        </w:rPr>
      </w:pPr>
      <w:r w:rsidRPr="008474CF">
        <w:rPr>
          <w:sz w:val="20"/>
        </w:rPr>
        <w:t>Die Projektionen der ASHI-Verbindlichkeiten für den Zeitraum 202</w:t>
      </w:r>
      <w:r w:rsidR="008D6542" w:rsidRPr="008474CF">
        <w:rPr>
          <w:sz w:val="20"/>
        </w:rPr>
        <w:t>5</w:t>
      </w:r>
      <w:r w:rsidRPr="008474CF">
        <w:rPr>
          <w:sz w:val="20"/>
        </w:rPr>
        <w:t>-202</w:t>
      </w:r>
      <w:r w:rsidR="008D6542" w:rsidRPr="008474CF">
        <w:rPr>
          <w:sz w:val="20"/>
        </w:rPr>
        <w:t>8</w:t>
      </w:r>
      <w:r w:rsidRPr="008474CF">
        <w:rPr>
          <w:sz w:val="20"/>
        </w:rPr>
        <w:t xml:space="preserve"> werden auf der Grundlage der versicherungsmathematischen Annahmen und der Zensusdaten berechnet, die für die Bewertung im Jahr 202</w:t>
      </w:r>
      <w:r w:rsidR="008D6542" w:rsidRPr="008474CF">
        <w:rPr>
          <w:sz w:val="20"/>
        </w:rPr>
        <w:t>4</w:t>
      </w:r>
      <w:r w:rsidRPr="008474CF">
        <w:rPr>
          <w:sz w:val="20"/>
        </w:rPr>
        <w:t xml:space="preserve"> verwendet wurden, und lassen Gewinne oder Verluste aus etwaigen künftigen Änderungen der versicherungsmathematischen Annahmen oder der demografischen Entwicklungen, welche die Berechnungen in den Folgejahren erheblich beeinflussen könnten, unberücksichtigt</w:t>
      </w:r>
      <w:r w:rsidR="00A7529B" w:rsidRPr="008474CF">
        <w:rPr>
          <w:sz w:val="20"/>
        </w:rPr>
        <w:t xml:space="preserve">. </w:t>
      </w:r>
    </w:p>
    <w:p w14:paraId="125AEB72" w14:textId="77777777" w:rsidR="00A7529B" w:rsidRPr="008474CF" w:rsidRDefault="00A7529B" w:rsidP="00BC6E60">
      <w:pPr>
        <w:pStyle w:val="ListParagraph"/>
        <w:ind w:hanging="567"/>
        <w:jc w:val="both"/>
        <w:rPr>
          <w:rFonts w:eastAsia="SimSun"/>
          <w:sz w:val="20"/>
          <w:lang w:eastAsia="zh-CN"/>
        </w:rPr>
      </w:pPr>
    </w:p>
    <w:p w14:paraId="65853D45" w14:textId="43EE0449" w:rsidR="00A824AF" w:rsidRPr="008474CF" w:rsidRDefault="00A2035C" w:rsidP="002F343D">
      <w:pPr>
        <w:pStyle w:val="ListParagraph"/>
        <w:numPr>
          <w:ilvl w:val="0"/>
          <w:numId w:val="7"/>
        </w:numPr>
        <w:jc w:val="both"/>
        <w:rPr>
          <w:sz w:val="20"/>
        </w:rPr>
      </w:pPr>
      <w:r w:rsidRPr="008474CF">
        <w:rPr>
          <w:sz w:val="20"/>
        </w:rPr>
        <w:t>Auf seiner dreiunddreißigsten außerordentlichen Tagung vom 17. März 2016 entschied der Rat der UPOV, die für die künftige Finanzierung der ASHI-Verbindlichkeiten der UPOV zugewiesenen Mittel auf einem gesonderten Konto zu halten. Zum 31. Dezember 202</w:t>
      </w:r>
      <w:r w:rsidR="006D0EB6" w:rsidRPr="008474CF">
        <w:rPr>
          <w:sz w:val="20"/>
        </w:rPr>
        <w:t>4</w:t>
      </w:r>
      <w:r w:rsidRPr="008474CF">
        <w:rPr>
          <w:sz w:val="20"/>
        </w:rPr>
        <w:t xml:space="preserve"> belief sich der Gesamtsaldo dieser Fonds auf 1.</w:t>
      </w:r>
      <w:r w:rsidR="0029246C" w:rsidRPr="008474CF">
        <w:rPr>
          <w:sz w:val="20"/>
        </w:rPr>
        <w:t>105.527</w:t>
      </w:r>
      <w:r w:rsidRPr="008474CF">
        <w:rPr>
          <w:sz w:val="20"/>
        </w:rPr>
        <w:t xml:space="preserve"> Schweizer Franken (1.</w:t>
      </w:r>
      <w:r w:rsidR="00ED7C3E" w:rsidRPr="008474CF">
        <w:rPr>
          <w:sz w:val="20"/>
        </w:rPr>
        <w:t xml:space="preserve">187.257 </w:t>
      </w:r>
      <w:r w:rsidRPr="008474CF">
        <w:rPr>
          <w:sz w:val="20"/>
        </w:rPr>
        <w:t>Schweizer Franken zum 31. Dezember 202</w:t>
      </w:r>
      <w:r w:rsidR="00E2408D" w:rsidRPr="008474CF">
        <w:rPr>
          <w:sz w:val="20"/>
        </w:rPr>
        <w:t>3</w:t>
      </w:r>
      <w:r w:rsidRPr="008474CF">
        <w:rPr>
          <w:sz w:val="20"/>
        </w:rPr>
        <w:t xml:space="preserve">). Die Mittel </w:t>
      </w:r>
      <w:r w:rsidRPr="008474CF">
        <w:rPr>
          <w:sz w:val="20"/>
        </w:rPr>
        <w:lastRenderedPageBreak/>
        <w:t>werden auf einem der Hauptbankkonten der UPOV gehalten, werden aber über eine derzeit bei der Bank verfügte Sperranweisung getrennt von den Betriebsmitteln verwaltet. Die UPOV verwaltet die ASHI-Mittel in Übereinstimmung mit der Anlagepolitik der WIPO, wonach sie als strategische Barmittel klassifiziert sind</w:t>
      </w:r>
      <w:r w:rsidR="00D05126" w:rsidRPr="008474CF">
        <w:rPr>
          <w:sz w:val="20"/>
        </w:rPr>
        <w:t xml:space="preserve">. </w:t>
      </w:r>
    </w:p>
    <w:p w14:paraId="53BE43CA" w14:textId="6BCF4EB0" w:rsidR="006959CD" w:rsidRPr="008474CF" w:rsidRDefault="006959CD" w:rsidP="00F01218">
      <w:pPr>
        <w:pStyle w:val="ListParagraph"/>
        <w:jc w:val="both"/>
        <w:rPr>
          <w:rFonts w:eastAsia="SimSun"/>
          <w:sz w:val="20"/>
          <w:lang w:eastAsia="zh-CN"/>
        </w:rPr>
      </w:pPr>
    </w:p>
    <w:p w14:paraId="0FFE8078" w14:textId="26983F85" w:rsidR="006959CD" w:rsidRPr="008474CF" w:rsidRDefault="006959CD" w:rsidP="002F343D">
      <w:pPr>
        <w:pStyle w:val="ListParagraph"/>
        <w:numPr>
          <w:ilvl w:val="0"/>
          <w:numId w:val="7"/>
        </w:numPr>
        <w:jc w:val="both"/>
        <w:rPr>
          <w:rFonts w:eastAsia="SimSun"/>
          <w:sz w:val="20"/>
          <w:lang w:eastAsia="zh-CN"/>
        </w:rPr>
      </w:pPr>
      <w:r w:rsidRPr="008474CF">
        <w:rPr>
          <w:sz w:val="20"/>
        </w:rPr>
        <w:t xml:space="preserve">Es </w:t>
      </w:r>
      <w:r w:rsidR="005A4C08" w:rsidRPr="008474CF">
        <w:rPr>
          <w:sz w:val="20"/>
        </w:rPr>
        <w:t>sei</w:t>
      </w:r>
      <w:r w:rsidRPr="008474CF">
        <w:rPr>
          <w:sz w:val="20"/>
        </w:rPr>
        <w:t xml:space="preserve"> </w:t>
      </w:r>
      <w:r w:rsidR="005A4C08" w:rsidRPr="008474CF">
        <w:rPr>
          <w:sz w:val="20"/>
        </w:rPr>
        <w:t>angemerkt</w:t>
      </w:r>
      <w:r w:rsidRPr="008474CF">
        <w:rPr>
          <w:sz w:val="20"/>
        </w:rPr>
        <w:t>, da</w:t>
      </w:r>
      <w:r w:rsidR="00013A54" w:rsidRPr="008474CF">
        <w:rPr>
          <w:sz w:val="20"/>
        </w:rPr>
        <w:t>ss</w:t>
      </w:r>
      <w:r w:rsidRPr="008474CF">
        <w:rPr>
          <w:sz w:val="20"/>
        </w:rPr>
        <w:t xml:space="preserve"> die WIPO und die UPOV, wie von den WIPO-Versammlungen im Juli 2024 und </w:t>
      </w:r>
      <w:r w:rsidR="00F64392" w:rsidRPr="008474CF">
        <w:rPr>
          <w:sz w:val="20"/>
        </w:rPr>
        <w:t>entsprechend</w:t>
      </w:r>
      <w:r w:rsidRPr="008474CF">
        <w:rPr>
          <w:sz w:val="20"/>
        </w:rPr>
        <w:t xml:space="preserve"> der </w:t>
      </w:r>
      <w:r w:rsidR="00A742FF" w:rsidRPr="008474CF">
        <w:rPr>
          <w:sz w:val="20"/>
        </w:rPr>
        <w:t>Zustimmung</w:t>
      </w:r>
      <w:r w:rsidRPr="008474CF">
        <w:rPr>
          <w:sz w:val="20"/>
        </w:rPr>
        <w:t xml:space="preserve"> durch den Beratenden Aussch</w:t>
      </w:r>
      <w:r w:rsidR="00013A54" w:rsidRPr="008474CF">
        <w:rPr>
          <w:sz w:val="20"/>
        </w:rPr>
        <w:t>uss</w:t>
      </w:r>
      <w:r w:rsidRPr="008474CF">
        <w:rPr>
          <w:sz w:val="20"/>
        </w:rPr>
        <w:t xml:space="preserve"> der UPOV auf seiner 101. Tagung im Oktober 2023 gebilligt, die Schaffung einer getrennten Einrichtung, die als </w:t>
      </w:r>
      <w:r w:rsidR="005B3606" w:rsidRPr="008474CF">
        <w:rPr>
          <w:sz w:val="20"/>
        </w:rPr>
        <w:t>Plan mehrerer Arbeitgeber</w:t>
      </w:r>
      <w:r w:rsidRPr="008474CF">
        <w:rPr>
          <w:sz w:val="20"/>
        </w:rPr>
        <w:t xml:space="preserve"> konzipiert ist, </w:t>
      </w:r>
      <w:r w:rsidR="00D573AB" w:rsidRPr="008474CF">
        <w:rPr>
          <w:sz w:val="20"/>
        </w:rPr>
        <w:t>für die</w:t>
      </w:r>
      <w:r w:rsidRPr="008474CF">
        <w:rPr>
          <w:sz w:val="20"/>
        </w:rPr>
        <w:t xml:space="preserve"> Verwaltung der für die Finanzierung der ASHI vorgesehenen Mittel gebilligt haben. Das Halten dieser Mittel in einer getrennten Einheit würde es ermöglichen, sie als Planvermögen </w:t>
      </w:r>
      <w:r w:rsidR="006A3ACC" w:rsidRPr="008474CF">
        <w:rPr>
          <w:sz w:val="20"/>
        </w:rPr>
        <w:t>zuzuordnen</w:t>
      </w:r>
      <w:r w:rsidRPr="008474CF">
        <w:rPr>
          <w:sz w:val="20"/>
        </w:rPr>
        <w:t xml:space="preserve">, wie in IPSAS 39 </w:t>
      </w:r>
      <w:r w:rsidR="006D3328" w:rsidRPr="008474CF">
        <w:rPr>
          <w:sz w:val="20"/>
        </w:rPr>
        <w:t>festgelegt</w:t>
      </w:r>
      <w:r w:rsidRPr="008474CF">
        <w:rPr>
          <w:sz w:val="20"/>
        </w:rPr>
        <w:t xml:space="preserve">, und </w:t>
      </w:r>
      <w:r w:rsidR="006A3ACC" w:rsidRPr="008474CF">
        <w:rPr>
          <w:sz w:val="20"/>
        </w:rPr>
        <w:t>eine Modifizierung</w:t>
      </w:r>
      <w:r w:rsidRPr="008474CF">
        <w:rPr>
          <w:sz w:val="20"/>
        </w:rPr>
        <w:t xml:space="preserve"> der Darstellung des Jahresabschlusses zu ermöglichen, um die ASHI-Verbindlichkeit</w:t>
      </w:r>
      <w:r w:rsidR="00CF2C5B" w:rsidRPr="008474CF">
        <w:rPr>
          <w:sz w:val="20"/>
        </w:rPr>
        <w:t>en</w:t>
      </w:r>
      <w:r w:rsidRPr="008474CF">
        <w:rPr>
          <w:sz w:val="20"/>
        </w:rPr>
        <w:t xml:space="preserve"> abzüglich der angesammelten Mittel darzustellen. Da die Schaffung der getrennten Einheit Ende 2024 noch nicht abgeschlossen war, wird in den </w:t>
      </w:r>
      <w:r w:rsidR="00C031FA" w:rsidRPr="008474CF">
        <w:rPr>
          <w:sz w:val="20"/>
        </w:rPr>
        <w:t>vorstehenden</w:t>
      </w:r>
      <w:r w:rsidRPr="008474CF">
        <w:rPr>
          <w:sz w:val="20"/>
        </w:rPr>
        <w:t xml:space="preserve"> </w:t>
      </w:r>
      <w:r w:rsidR="00CF2C5B" w:rsidRPr="008474CF">
        <w:rPr>
          <w:sz w:val="20"/>
        </w:rPr>
        <w:t>Projektionen</w:t>
      </w:r>
      <w:r w:rsidRPr="008474CF">
        <w:rPr>
          <w:sz w:val="20"/>
        </w:rPr>
        <w:t xml:space="preserve"> </w:t>
      </w:r>
      <w:r w:rsidR="005A4C08" w:rsidRPr="008474CF">
        <w:rPr>
          <w:sz w:val="20"/>
        </w:rPr>
        <w:t>bezüglich</w:t>
      </w:r>
      <w:r w:rsidRPr="008474CF">
        <w:rPr>
          <w:sz w:val="20"/>
        </w:rPr>
        <w:t xml:space="preserve"> ASHI-Verbindlichkeit</w:t>
      </w:r>
      <w:r w:rsidR="005A4C08" w:rsidRPr="008474CF">
        <w:rPr>
          <w:sz w:val="20"/>
        </w:rPr>
        <w:t xml:space="preserve">en </w:t>
      </w:r>
      <w:r w:rsidRPr="008474CF">
        <w:rPr>
          <w:sz w:val="20"/>
        </w:rPr>
        <w:t>die Verbindlichkeit ohne diese Mittel nicht dargestellt.</w:t>
      </w:r>
    </w:p>
    <w:p w14:paraId="33B6662C" w14:textId="77777777" w:rsidR="009070F5" w:rsidRPr="008474CF" w:rsidRDefault="009070F5" w:rsidP="00F01218">
      <w:pPr>
        <w:tabs>
          <w:tab w:val="left" w:pos="6889"/>
        </w:tabs>
        <w:rPr>
          <w:rFonts w:cs="Arial"/>
          <w:b/>
          <w:color w:val="000000" w:themeColor="text1"/>
        </w:rPr>
      </w:pPr>
    </w:p>
    <w:p w14:paraId="5C060B13" w14:textId="2C295384" w:rsidR="001776DA" w:rsidRPr="008474CF" w:rsidRDefault="001776DA">
      <w:pPr>
        <w:jc w:val="left"/>
        <w:rPr>
          <w:b/>
          <w:caps/>
        </w:rPr>
      </w:pPr>
      <w:bookmarkStart w:id="16" w:name="_Toc161842415"/>
    </w:p>
    <w:p w14:paraId="7E38EDCC" w14:textId="7D8E7C12" w:rsidR="00FC4C46" w:rsidRPr="008474CF" w:rsidRDefault="00FC4C46" w:rsidP="00FC4C46">
      <w:pPr>
        <w:pStyle w:val="Heading1"/>
        <w:jc w:val="left"/>
        <w:rPr>
          <w:lang w:val="de-DE"/>
        </w:rPr>
      </w:pPr>
      <w:bookmarkStart w:id="17" w:name="_Toc205303744"/>
      <w:r w:rsidRPr="008474CF">
        <w:rPr>
          <w:lang w:val="de-DE"/>
        </w:rPr>
        <w:t>E</w:t>
      </w:r>
      <w:r w:rsidR="0081090D" w:rsidRPr="008474CF">
        <w:rPr>
          <w:lang w:val="de-DE"/>
        </w:rPr>
        <w:t xml:space="preserve">rklärung bezüglich interner </w:t>
      </w:r>
      <w:r w:rsidRPr="008474CF">
        <w:rPr>
          <w:lang w:val="de-DE"/>
        </w:rPr>
        <w:t>K</w:t>
      </w:r>
      <w:bookmarkEnd w:id="16"/>
      <w:r w:rsidR="0081090D" w:rsidRPr="008474CF">
        <w:rPr>
          <w:lang w:val="de-DE"/>
        </w:rPr>
        <w:t xml:space="preserve">ontrolle für das Jahr </w:t>
      </w:r>
      <w:r w:rsidRPr="008474CF">
        <w:rPr>
          <w:lang w:val="de-DE"/>
        </w:rPr>
        <w:t>2024</w:t>
      </w:r>
      <w:bookmarkEnd w:id="17"/>
    </w:p>
    <w:p w14:paraId="6907A5EA" w14:textId="77777777" w:rsidR="00FC4C46" w:rsidRPr="008474CF" w:rsidRDefault="00FC4C46" w:rsidP="00FC4C46">
      <w:pPr>
        <w:pStyle w:val="BodyText"/>
        <w:rPr>
          <w:rFonts w:cs="Arial"/>
          <w:color w:val="000000" w:themeColor="text1"/>
        </w:rPr>
      </w:pPr>
    </w:p>
    <w:p w14:paraId="2AFDF12C" w14:textId="77777777" w:rsidR="00E65052" w:rsidRPr="008474CF" w:rsidRDefault="00E65052" w:rsidP="00E65052">
      <w:pPr>
        <w:pStyle w:val="BodyText"/>
        <w:rPr>
          <w:b/>
          <w:bCs/>
        </w:rPr>
      </w:pPr>
      <w:r w:rsidRPr="008474CF">
        <w:rPr>
          <w:b/>
          <w:bCs/>
        </w:rPr>
        <w:t>Verantwortungsbereich</w:t>
      </w:r>
    </w:p>
    <w:p w14:paraId="5339366E" w14:textId="77777777" w:rsidR="00FC4C46" w:rsidRPr="008474CF" w:rsidRDefault="00FC4C46" w:rsidP="00FC4C46">
      <w:pPr>
        <w:pStyle w:val="BodyText"/>
        <w:rPr>
          <w:rFonts w:cs="Arial"/>
          <w:color w:val="000000" w:themeColor="text1"/>
        </w:rPr>
      </w:pPr>
    </w:p>
    <w:p w14:paraId="54E9EF74" w14:textId="71244898" w:rsidR="00FC4C46" w:rsidRPr="008474CF" w:rsidRDefault="00D6544A" w:rsidP="00FC4C46">
      <w:pPr>
        <w:ind w:right="-167"/>
        <w:rPr>
          <w:rFonts w:cs="Arial"/>
          <w:color w:val="000000" w:themeColor="text1"/>
        </w:rPr>
      </w:pPr>
      <w:r w:rsidRPr="008474CF">
        <w:rPr>
          <w:rFonts w:cs="Arial"/>
          <w:color w:val="000000" w:themeColor="text1"/>
        </w:rPr>
        <w:t>Als Generalsekretär des Internationalen Verbandes zum Schutz von Pflanzenzüchtungen (UPOV) bin ich gemäß der mir, insbesondere durch Regel 5.8 d) der Finanzordnung und ihrer Durchführungsbestimmungen (FRR) der UPOV, übertragenen Verantwortung für die Unterhaltung eines Systems interner Finanzkontrolle rechenschaftspflichtig, das gewährleistet, dass</w:t>
      </w:r>
      <w:r w:rsidR="00FC4C46" w:rsidRPr="008474CF">
        <w:rPr>
          <w:rFonts w:cs="Arial"/>
          <w:color w:val="000000" w:themeColor="text1"/>
        </w:rPr>
        <w:t>:</w:t>
      </w:r>
    </w:p>
    <w:p w14:paraId="2D9418A6" w14:textId="77777777" w:rsidR="00FC4C46" w:rsidRPr="008474CF" w:rsidRDefault="00FC4C46" w:rsidP="00FC4C46">
      <w:pPr>
        <w:rPr>
          <w:rFonts w:cs="Arial"/>
          <w:color w:val="000000" w:themeColor="text1"/>
        </w:rPr>
      </w:pPr>
    </w:p>
    <w:p w14:paraId="0EBA5B9A" w14:textId="77777777" w:rsidR="00AB5D74" w:rsidRPr="008474CF" w:rsidRDefault="00AB5D74" w:rsidP="002F343D">
      <w:pPr>
        <w:numPr>
          <w:ilvl w:val="0"/>
          <w:numId w:val="11"/>
        </w:numPr>
        <w:jc w:val="left"/>
        <w:rPr>
          <w:rFonts w:cs="Arial"/>
          <w:color w:val="000000" w:themeColor="text1"/>
        </w:rPr>
      </w:pPr>
      <w:r w:rsidRPr="008474CF">
        <w:rPr>
          <w:rFonts w:cs="Arial"/>
          <w:color w:val="000000" w:themeColor="text1"/>
        </w:rPr>
        <w:t>alle Gelder und sonstigen Finanzmittel der UPOV ordnungsgemäß entgegengenommen, verwahrt und verwendet werden;</w:t>
      </w:r>
    </w:p>
    <w:p w14:paraId="1E58DD9E" w14:textId="484F6D7A" w:rsidR="00AB5D74" w:rsidRPr="008474CF" w:rsidRDefault="00AB5D74" w:rsidP="002F343D">
      <w:pPr>
        <w:numPr>
          <w:ilvl w:val="0"/>
          <w:numId w:val="11"/>
        </w:numPr>
        <w:jc w:val="left"/>
        <w:rPr>
          <w:rFonts w:cs="Arial"/>
          <w:color w:val="000000" w:themeColor="text1"/>
        </w:rPr>
      </w:pPr>
      <w:r w:rsidRPr="008474CF">
        <w:rPr>
          <w:rFonts w:cs="Arial"/>
          <w:color w:val="000000" w:themeColor="text1"/>
        </w:rPr>
        <w:t>Verpflichtungen und Ausgaben mit den Haushaltsmitteln oder sonstigen vom Rat gebilligten Finanzrückstellungen oder mit den Zwecken und Vorschriften im Zusammenhang mit spezifischen Treuhandgeldern übereinstimmen; und</w:t>
      </w:r>
    </w:p>
    <w:p w14:paraId="2C1B08A9" w14:textId="76E43438" w:rsidR="00FC4C46" w:rsidRPr="008474CF" w:rsidRDefault="00AB5D74" w:rsidP="002F343D">
      <w:pPr>
        <w:numPr>
          <w:ilvl w:val="0"/>
          <w:numId w:val="11"/>
        </w:numPr>
        <w:jc w:val="left"/>
        <w:rPr>
          <w:rFonts w:cs="Arial"/>
          <w:color w:val="000000" w:themeColor="text1"/>
        </w:rPr>
      </w:pPr>
      <w:r w:rsidRPr="008474CF">
        <w:rPr>
          <w:rFonts w:cs="Arial"/>
          <w:color w:val="000000" w:themeColor="text1"/>
        </w:rPr>
        <w:t>die Mittel der UPOV wirksam, effizient und wirtschaftlich verwendet werden</w:t>
      </w:r>
      <w:r w:rsidR="00FC4C46" w:rsidRPr="008474CF">
        <w:rPr>
          <w:rFonts w:cs="Arial"/>
          <w:color w:val="000000" w:themeColor="text1"/>
        </w:rPr>
        <w:t>.</w:t>
      </w:r>
    </w:p>
    <w:p w14:paraId="24280D38" w14:textId="77777777" w:rsidR="00FC4C46" w:rsidRPr="008474CF" w:rsidRDefault="00FC4C46" w:rsidP="00FC4C46">
      <w:pPr>
        <w:rPr>
          <w:rFonts w:cs="Arial"/>
          <w:color w:val="000000" w:themeColor="text1"/>
        </w:rPr>
      </w:pPr>
    </w:p>
    <w:p w14:paraId="2F8FDE4F" w14:textId="0A0B61C2" w:rsidR="00FC4C46" w:rsidRPr="008474CF" w:rsidRDefault="000E1576" w:rsidP="00FC4C46">
      <w:pPr>
        <w:rPr>
          <w:rFonts w:cs="Arial"/>
          <w:color w:val="000000" w:themeColor="text1"/>
        </w:rPr>
      </w:pPr>
      <w:r w:rsidRPr="008474CF">
        <w:rPr>
          <w:rFonts w:cs="Arial"/>
          <w:color w:val="000000" w:themeColor="text1"/>
        </w:rPr>
        <w:t xml:space="preserve">Bei Unterzeichnung dieser Erklärung stütze ich mich </w:t>
      </w:r>
      <w:r w:rsidR="002F2154" w:rsidRPr="008474CF">
        <w:rPr>
          <w:rFonts w:cs="Arial"/>
          <w:color w:val="000000" w:themeColor="text1"/>
        </w:rPr>
        <w:t>insbesondere</w:t>
      </w:r>
      <w:r w:rsidRPr="008474CF">
        <w:rPr>
          <w:rFonts w:cs="Arial"/>
          <w:color w:val="000000" w:themeColor="text1"/>
        </w:rPr>
        <w:t xml:space="preserve"> auf die Zusicherungen</w:t>
      </w:r>
      <w:r w:rsidR="00D14FCF" w:rsidRPr="008474CF">
        <w:rPr>
          <w:rFonts w:cs="Arial"/>
          <w:color w:val="000000" w:themeColor="text1"/>
        </w:rPr>
        <w:t>, die mir</w:t>
      </w:r>
      <w:r w:rsidRPr="008474CF">
        <w:rPr>
          <w:rFonts w:cs="Arial"/>
          <w:color w:val="000000" w:themeColor="text1"/>
        </w:rPr>
        <w:t xml:space="preserve"> in Form </w:t>
      </w:r>
      <w:r w:rsidR="00C0178C" w:rsidRPr="008474CF">
        <w:rPr>
          <w:rFonts w:cs="Arial"/>
          <w:color w:val="000000" w:themeColor="text1"/>
        </w:rPr>
        <w:t>der</w:t>
      </w:r>
      <w:r w:rsidRPr="008474CF">
        <w:rPr>
          <w:rFonts w:cs="Arial"/>
          <w:color w:val="000000" w:themeColor="text1"/>
        </w:rPr>
        <w:t xml:space="preserve"> Vollständigkeitserklärung</w:t>
      </w:r>
      <w:r w:rsidR="00AF1919" w:rsidRPr="008474CF">
        <w:rPr>
          <w:rFonts w:cs="Arial"/>
          <w:color w:val="000000" w:themeColor="text1"/>
        </w:rPr>
        <w:t xml:space="preserve"> (MRL)</w:t>
      </w:r>
      <w:r w:rsidRPr="008474CF">
        <w:rPr>
          <w:rFonts w:cs="Arial"/>
          <w:color w:val="000000" w:themeColor="text1"/>
        </w:rPr>
        <w:t xml:space="preserve"> </w:t>
      </w:r>
      <w:r w:rsidR="0051101D" w:rsidRPr="008474CF">
        <w:rPr>
          <w:rFonts w:cs="Arial"/>
          <w:color w:val="000000" w:themeColor="text1"/>
        </w:rPr>
        <w:t xml:space="preserve">der </w:t>
      </w:r>
      <w:r w:rsidRPr="008474CF">
        <w:rPr>
          <w:rFonts w:cs="Arial"/>
          <w:color w:val="000000" w:themeColor="text1"/>
        </w:rPr>
        <w:t xml:space="preserve">Stellvertretenden </w:t>
      </w:r>
      <w:r w:rsidR="0051101D" w:rsidRPr="008474CF">
        <w:rPr>
          <w:rFonts w:cs="Arial"/>
          <w:color w:val="000000" w:themeColor="text1"/>
        </w:rPr>
        <w:t>Generalsekretärin</w:t>
      </w:r>
      <w:r w:rsidRPr="008474CF">
        <w:rPr>
          <w:rFonts w:cs="Arial"/>
          <w:color w:val="000000" w:themeColor="text1"/>
        </w:rPr>
        <w:t xml:space="preserve">, </w:t>
      </w:r>
      <w:r w:rsidR="00924A02" w:rsidRPr="008474CF">
        <w:rPr>
          <w:rFonts w:cs="Arial"/>
          <w:color w:val="000000" w:themeColor="text1"/>
        </w:rPr>
        <w:t>der</w:t>
      </w:r>
      <w:r w:rsidRPr="008474CF">
        <w:rPr>
          <w:rFonts w:cs="Arial"/>
          <w:color w:val="000000" w:themeColor="text1"/>
        </w:rPr>
        <w:t xml:space="preserve"> Zusammenfassung der UPOV-Zuverlässigkeitsgewähr und </w:t>
      </w:r>
      <w:r w:rsidR="0007150B" w:rsidRPr="008474CF">
        <w:rPr>
          <w:rFonts w:cs="Arial"/>
          <w:color w:val="000000" w:themeColor="text1"/>
        </w:rPr>
        <w:t>der</w:t>
      </w:r>
      <w:r w:rsidR="001C6547" w:rsidRPr="008474CF">
        <w:rPr>
          <w:rFonts w:cs="Arial"/>
          <w:color w:val="000000" w:themeColor="text1"/>
        </w:rPr>
        <w:t xml:space="preserve"> </w:t>
      </w:r>
      <w:r w:rsidR="00A7576B" w:rsidRPr="008474CF">
        <w:rPr>
          <w:rFonts w:cs="Arial"/>
          <w:color w:val="000000" w:themeColor="text1"/>
        </w:rPr>
        <w:t xml:space="preserve">Zuverlässigkeitsgewährfunktionen der WIPO </w:t>
      </w:r>
      <w:r w:rsidR="004707A7" w:rsidRPr="008474CF">
        <w:rPr>
          <w:rFonts w:cs="Arial"/>
          <w:color w:val="000000" w:themeColor="text1"/>
        </w:rPr>
        <w:t xml:space="preserve">gemäß </w:t>
      </w:r>
      <w:r w:rsidR="00AD1129" w:rsidRPr="008474CF">
        <w:rPr>
          <w:rFonts w:cs="Arial"/>
          <w:color w:val="000000" w:themeColor="text1"/>
        </w:rPr>
        <w:t>der</w:t>
      </w:r>
      <w:r w:rsidR="004707A7" w:rsidRPr="008474CF">
        <w:rPr>
          <w:rFonts w:cs="Arial"/>
          <w:color w:val="000000" w:themeColor="text1"/>
        </w:rPr>
        <w:t xml:space="preserve"> </w:t>
      </w:r>
      <w:r w:rsidR="00AD1129" w:rsidRPr="008474CF">
        <w:rPr>
          <w:rFonts w:cs="Arial"/>
          <w:color w:val="000000" w:themeColor="text1"/>
        </w:rPr>
        <w:t xml:space="preserve">Vereinbarung </w:t>
      </w:r>
      <w:r w:rsidR="004707A7" w:rsidRPr="008474CF">
        <w:rPr>
          <w:rFonts w:cs="Arial"/>
          <w:color w:val="000000" w:themeColor="text1"/>
        </w:rPr>
        <w:t>zwischen der Weltorganisation für geistiges Eigentum (WIPO) und der UPOV („WIPO/UPOV-Vereinbarung“)</w:t>
      </w:r>
      <w:r w:rsidR="00B40970" w:rsidRPr="008474CF">
        <w:rPr>
          <w:rStyle w:val="FootnoteReference"/>
          <w:rFonts w:cs="Arial"/>
          <w:color w:val="000000" w:themeColor="text1"/>
        </w:rPr>
        <w:t xml:space="preserve"> </w:t>
      </w:r>
      <w:r w:rsidR="00B40970" w:rsidRPr="008474CF">
        <w:rPr>
          <w:rStyle w:val="FootnoteReference"/>
          <w:rFonts w:cs="Arial"/>
          <w:color w:val="000000" w:themeColor="text1"/>
        </w:rPr>
        <w:footnoteReference w:id="2"/>
      </w:r>
      <w:r w:rsidR="004707A7" w:rsidRPr="008474CF">
        <w:rPr>
          <w:rFonts w:cs="Arial"/>
          <w:color w:val="000000" w:themeColor="text1"/>
        </w:rPr>
        <w:t xml:space="preserve"> gegeben wurden.</w:t>
      </w:r>
    </w:p>
    <w:p w14:paraId="3D5042AF" w14:textId="77777777" w:rsidR="00FC4C46" w:rsidRPr="008474CF" w:rsidRDefault="00FC4C46" w:rsidP="00FC4C46">
      <w:pPr>
        <w:pStyle w:val="BodyText"/>
        <w:rPr>
          <w:rFonts w:cs="Arial"/>
          <w:color w:val="000000" w:themeColor="text1"/>
        </w:rPr>
      </w:pPr>
    </w:p>
    <w:p w14:paraId="4B1B0013" w14:textId="77777777" w:rsidR="00FC4C46" w:rsidRPr="008474CF" w:rsidRDefault="00FC4C46" w:rsidP="00FC4C46">
      <w:pPr>
        <w:rPr>
          <w:b/>
          <w:bCs/>
        </w:rPr>
      </w:pPr>
      <w:r w:rsidRPr="008474CF">
        <w:rPr>
          <w:b/>
          <w:bCs/>
        </w:rPr>
        <w:t>Zweck des Systems der internen Kontrolle</w:t>
      </w:r>
    </w:p>
    <w:p w14:paraId="65DEC433" w14:textId="77777777" w:rsidR="00FC4C46" w:rsidRPr="008474CF" w:rsidRDefault="00FC4C46" w:rsidP="00FC4C46">
      <w:pPr>
        <w:pStyle w:val="BodyText"/>
        <w:rPr>
          <w:rFonts w:cs="Arial"/>
          <w:color w:val="000000" w:themeColor="text1"/>
        </w:rPr>
      </w:pPr>
    </w:p>
    <w:p w14:paraId="2E19B690" w14:textId="71B20A98" w:rsidR="00FC4C46" w:rsidRPr="008474CF" w:rsidRDefault="0063451B" w:rsidP="00FC4C46">
      <w:pPr>
        <w:pStyle w:val="BodyText"/>
        <w:rPr>
          <w:rFonts w:cs="Arial"/>
          <w:color w:val="000000" w:themeColor="text1"/>
        </w:rPr>
      </w:pPr>
      <w:r w:rsidRPr="008474CF">
        <w:rPr>
          <w:rFonts w:cs="Arial"/>
          <w:color w:val="000000" w:themeColor="text1"/>
        </w:rPr>
        <w:t xml:space="preserve">Unser System der internen Kontrolle ist ein Prozess, der vom Rat, dem Beratenden Ausschuss, dem Generalsekretär, </w:t>
      </w:r>
      <w:r w:rsidR="0051101D" w:rsidRPr="008474CF">
        <w:rPr>
          <w:rFonts w:cs="Arial"/>
          <w:color w:val="000000" w:themeColor="text1"/>
        </w:rPr>
        <w:t xml:space="preserve">der </w:t>
      </w:r>
      <w:r w:rsidRPr="008474CF">
        <w:rPr>
          <w:rFonts w:cs="Arial"/>
          <w:color w:val="000000" w:themeColor="text1"/>
        </w:rPr>
        <w:t>Stellvertretenden Generalsekretär</w:t>
      </w:r>
      <w:r w:rsidR="0051101D" w:rsidRPr="008474CF">
        <w:rPr>
          <w:rFonts w:cs="Arial"/>
          <w:color w:val="000000" w:themeColor="text1"/>
        </w:rPr>
        <w:t>in</w:t>
      </w:r>
      <w:r w:rsidRPr="008474CF">
        <w:rPr>
          <w:rFonts w:cs="Arial"/>
          <w:color w:val="000000" w:themeColor="text1"/>
        </w:rPr>
        <w:t xml:space="preserve"> und anderen führenden Beamten durchgeführt wird, und der darauf ausgerichtet ist, die Fähigkeit der UPOV, ihre Ziele und Aufgaben zu erfüllen und den entsprechenden Richtlinien zu entsprechen</w:t>
      </w:r>
      <w:r w:rsidR="0051101D" w:rsidRPr="008474CF">
        <w:rPr>
          <w:rFonts w:cs="Arial"/>
          <w:color w:val="000000" w:themeColor="text1"/>
        </w:rPr>
        <w:t>,</w:t>
      </w:r>
      <w:r w:rsidRPr="008474CF">
        <w:rPr>
          <w:rFonts w:cs="Arial"/>
          <w:color w:val="000000" w:themeColor="text1"/>
        </w:rPr>
        <w:t xml:space="preserve"> angemessen zu gewährleisten. Ziel dieses internen Kontrollsystems ist es, das Risiko auf ein erträgliches Maß zu begrenzen, statt es vollständig zu beseitigen. Als solches sieht es eine angemessene Zuverlässigkeitsgewähr für die folgenden drei Bereiche vor</w:t>
      </w:r>
      <w:r w:rsidR="00FC4C46" w:rsidRPr="008474CF">
        <w:rPr>
          <w:rFonts w:cs="Arial"/>
          <w:color w:val="000000" w:themeColor="text1"/>
        </w:rPr>
        <w:t>:</w:t>
      </w:r>
    </w:p>
    <w:p w14:paraId="2B7D8A94" w14:textId="77777777" w:rsidR="00FC4C46" w:rsidRPr="008474CF" w:rsidRDefault="00FC4C46" w:rsidP="00FC4C46">
      <w:pPr>
        <w:pStyle w:val="BodyText"/>
        <w:rPr>
          <w:rFonts w:cs="Arial"/>
          <w:color w:val="000000" w:themeColor="text1"/>
        </w:rPr>
      </w:pPr>
    </w:p>
    <w:p w14:paraId="6CD7ABCE" w14:textId="77777777" w:rsidR="00853F25" w:rsidRPr="008474CF" w:rsidRDefault="00853F25" w:rsidP="002F343D">
      <w:pPr>
        <w:pStyle w:val="ListParagraph"/>
        <w:widowControl w:val="0"/>
        <w:numPr>
          <w:ilvl w:val="1"/>
          <w:numId w:val="10"/>
        </w:numPr>
        <w:autoSpaceDE w:val="0"/>
        <w:autoSpaceDN w:val="0"/>
        <w:rPr>
          <w:color w:val="000000" w:themeColor="text1"/>
          <w:sz w:val="20"/>
        </w:rPr>
      </w:pPr>
      <w:r w:rsidRPr="008474CF">
        <w:rPr>
          <w:color w:val="000000" w:themeColor="text1"/>
          <w:sz w:val="20"/>
        </w:rPr>
        <w:t>Verlässlichkeit der Finanzberichterstattung – genehmigte Vorgänge werden ordnungsgemäß aufgezeichnet, und schwerwiegende Fehler oder Unregelmäßigkeiten werden entweder verhindert oder rechtzeitig aufgedeckt;</w:t>
      </w:r>
    </w:p>
    <w:p w14:paraId="28E6DECC" w14:textId="77777777" w:rsidR="00853F25" w:rsidRPr="008474CF" w:rsidRDefault="00853F25" w:rsidP="002F343D">
      <w:pPr>
        <w:pStyle w:val="ListParagraph"/>
        <w:widowControl w:val="0"/>
        <w:numPr>
          <w:ilvl w:val="1"/>
          <w:numId w:val="10"/>
        </w:numPr>
        <w:autoSpaceDE w:val="0"/>
        <w:autoSpaceDN w:val="0"/>
        <w:rPr>
          <w:color w:val="000000" w:themeColor="text1"/>
          <w:sz w:val="20"/>
        </w:rPr>
      </w:pPr>
      <w:r w:rsidRPr="008474CF">
        <w:rPr>
          <w:color w:val="000000" w:themeColor="text1"/>
          <w:sz w:val="20"/>
        </w:rPr>
        <w:t>Wirksamkeit und Effizienz der Geschäftsvorgänge, den Schutz der Vermögenswerte und sparsames Wirtschaften; und</w:t>
      </w:r>
    </w:p>
    <w:p w14:paraId="5801DC1A" w14:textId="3BFE042A" w:rsidR="00FC4C46" w:rsidRPr="008474CF" w:rsidRDefault="00853F25" w:rsidP="002F343D">
      <w:pPr>
        <w:pStyle w:val="ListParagraph"/>
        <w:widowControl w:val="0"/>
        <w:numPr>
          <w:ilvl w:val="1"/>
          <w:numId w:val="10"/>
        </w:numPr>
        <w:autoSpaceDE w:val="0"/>
        <w:autoSpaceDN w:val="0"/>
        <w:rPr>
          <w:color w:val="000000" w:themeColor="text1"/>
          <w:sz w:val="20"/>
        </w:rPr>
      </w:pPr>
      <w:r w:rsidRPr="008474CF">
        <w:rPr>
          <w:color w:val="000000" w:themeColor="text1"/>
          <w:sz w:val="20"/>
        </w:rPr>
        <w:t>Einhaltung des Rechtsrahmens der UPOV</w:t>
      </w:r>
      <w:r w:rsidR="00FC4C46" w:rsidRPr="008474CF">
        <w:rPr>
          <w:color w:val="000000" w:themeColor="text1"/>
          <w:sz w:val="20"/>
        </w:rPr>
        <w:t>.</w:t>
      </w:r>
    </w:p>
    <w:p w14:paraId="5A65C0DD" w14:textId="77777777" w:rsidR="00FC4C46" w:rsidRPr="008474CF" w:rsidRDefault="00FC4C46" w:rsidP="00FC4C46">
      <w:pPr>
        <w:keepNext/>
        <w:keepLines/>
        <w:rPr>
          <w:rFonts w:cs="Arial"/>
          <w:color w:val="000000" w:themeColor="text1"/>
        </w:rPr>
      </w:pPr>
    </w:p>
    <w:p w14:paraId="3C5C0191" w14:textId="77777777" w:rsidR="00CC268B" w:rsidRPr="008474CF" w:rsidRDefault="00CC268B" w:rsidP="00CC268B">
      <w:pPr>
        <w:pStyle w:val="BodyText"/>
        <w:rPr>
          <w:rFonts w:cs="Arial"/>
          <w:color w:val="000000" w:themeColor="text1"/>
        </w:rPr>
      </w:pPr>
      <w:r w:rsidRPr="008474CF">
        <w:rPr>
          <w:rFonts w:cs="Arial"/>
          <w:color w:val="000000" w:themeColor="text1"/>
        </w:rPr>
        <w:t xml:space="preserve">Somit ist das System der internen Kontrolle der UPOV auf operativer Ebene nicht nur eine Politik oder ein Verfahren, das zu bestimmten Zeitpunkten durchgeführt wird. Es wird vielmehr durch interne Kontrollprozesse kontinuierlich auf allen Ebenen innerhalb der UPOV betrieben, um die vorstehend genannten Ziele zu gewährleisten. </w:t>
      </w:r>
    </w:p>
    <w:p w14:paraId="30B4FA5C" w14:textId="77777777" w:rsidR="00CC268B" w:rsidRPr="008474CF" w:rsidRDefault="00CC268B" w:rsidP="00CC268B">
      <w:pPr>
        <w:pStyle w:val="BodyText"/>
        <w:rPr>
          <w:rFonts w:cs="Arial"/>
          <w:color w:val="000000" w:themeColor="text1"/>
        </w:rPr>
      </w:pPr>
    </w:p>
    <w:p w14:paraId="29F5575E" w14:textId="432C6949" w:rsidR="00CC268B" w:rsidRPr="008474CF" w:rsidRDefault="00CC268B" w:rsidP="00CC268B">
      <w:pPr>
        <w:pStyle w:val="BodyText"/>
        <w:rPr>
          <w:rFonts w:cs="Arial"/>
          <w:color w:val="000000" w:themeColor="text1"/>
        </w:rPr>
      </w:pPr>
      <w:r w:rsidRPr="008474CF">
        <w:rPr>
          <w:rFonts w:cs="Arial"/>
          <w:color w:val="000000" w:themeColor="text1"/>
        </w:rPr>
        <w:lastRenderedPageBreak/>
        <w:t>Diese Erklärung wird entsprechend den sieben Komponenten des UPOV-Rahmens zur Rechenschaftslegung (Dokument CC/98/3) vorgelegt, der sich wiederum am COSO</w:t>
      </w:r>
      <w:r w:rsidR="004032C1" w:rsidRPr="008474CF">
        <w:rPr>
          <w:rStyle w:val="FootnoteReference"/>
          <w:rFonts w:cs="Arial"/>
          <w:color w:val="000000" w:themeColor="text1"/>
        </w:rPr>
        <w:footnoteReference w:id="3"/>
      </w:r>
      <w:r w:rsidRPr="008474CF">
        <w:rPr>
          <w:rFonts w:cs="Arial"/>
          <w:color w:val="000000" w:themeColor="text1"/>
        </w:rPr>
        <w:t>-Rahmen für interne Kontrolle und Drei-Linien-Modell</w:t>
      </w:r>
      <w:r w:rsidR="00BF5A03" w:rsidRPr="008474CF">
        <w:rPr>
          <w:rStyle w:val="FootnoteReference"/>
          <w:rFonts w:cs="Arial"/>
          <w:color w:val="000000" w:themeColor="text1"/>
        </w:rPr>
        <w:footnoteReference w:id="4"/>
      </w:r>
      <w:r w:rsidRPr="008474CF">
        <w:rPr>
          <w:rFonts w:cs="Arial"/>
          <w:color w:val="000000" w:themeColor="text1"/>
        </w:rPr>
        <w:t xml:space="preserve"> orientiert.</w:t>
      </w:r>
    </w:p>
    <w:p w14:paraId="4425709D" w14:textId="77777777" w:rsidR="00CC268B" w:rsidRPr="008474CF" w:rsidRDefault="00CC268B" w:rsidP="00CC268B">
      <w:pPr>
        <w:pStyle w:val="BodyText"/>
        <w:rPr>
          <w:rFonts w:cs="Arial"/>
          <w:color w:val="000000" w:themeColor="text1"/>
        </w:rPr>
      </w:pPr>
    </w:p>
    <w:p w14:paraId="1EEE68A5" w14:textId="1E2613EE" w:rsidR="00FC4C46" w:rsidRPr="008474CF" w:rsidRDefault="00CC268B" w:rsidP="00CC268B">
      <w:pPr>
        <w:pStyle w:val="BodyText"/>
        <w:rPr>
          <w:rFonts w:cs="Arial"/>
          <w:color w:val="000000" w:themeColor="text1"/>
        </w:rPr>
      </w:pPr>
      <w:r w:rsidRPr="008474CF">
        <w:rPr>
          <w:rFonts w:cs="Arial"/>
          <w:color w:val="000000" w:themeColor="text1"/>
        </w:rPr>
        <w:t xml:space="preserve">Meine vorstehende aktuelle Erklärung bezüglich der internen Kontrollprozesse der UPOV gilt für das </w:t>
      </w:r>
      <w:r w:rsidR="00BD22C5" w:rsidRPr="008474CF">
        <w:rPr>
          <w:rFonts w:cs="Arial"/>
          <w:color w:val="000000" w:themeColor="text1"/>
        </w:rPr>
        <w:br/>
      </w:r>
      <w:r w:rsidRPr="008474CF">
        <w:rPr>
          <w:rFonts w:cs="Arial"/>
          <w:color w:val="000000" w:themeColor="text1"/>
        </w:rPr>
        <w:t>am 31. Dezember 202</w:t>
      </w:r>
      <w:r w:rsidR="000E08B6" w:rsidRPr="008474CF">
        <w:rPr>
          <w:rFonts w:cs="Arial"/>
          <w:color w:val="000000" w:themeColor="text1"/>
        </w:rPr>
        <w:t>4</w:t>
      </w:r>
      <w:r w:rsidRPr="008474CF">
        <w:rPr>
          <w:rFonts w:cs="Arial"/>
          <w:color w:val="000000" w:themeColor="text1"/>
        </w:rPr>
        <w:t xml:space="preserve"> endende </w:t>
      </w:r>
      <w:r w:rsidR="000E08B6" w:rsidRPr="008474CF">
        <w:rPr>
          <w:rFonts w:cs="Arial"/>
          <w:color w:val="000000" w:themeColor="text1"/>
        </w:rPr>
        <w:t>Rechnungsj</w:t>
      </w:r>
      <w:r w:rsidRPr="008474CF">
        <w:rPr>
          <w:rFonts w:cs="Arial"/>
          <w:color w:val="000000" w:themeColor="text1"/>
        </w:rPr>
        <w:t>ahr und bis zum Datum der Billigung des Jahresabschlusses der UPOV für das Jahr 202</w:t>
      </w:r>
      <w:r w:rsidR="000E08B6" w:rsidRPr="008474CF">
        <w:rPr>
          <w:rFonts w:cs="Arial"/>
          <w:color w:val="000000" w:themeColor="text1"/>
        </w:rPr>
        <w:t>4</w:t>
      </w:r>
      <w:r w:rsidR="00FC4C46" w:rsidRPr="008474CF">
        <w:rPr>
          <w:rFonts w:cs="Arial"/>
          <w:color w:val="000000" w:themeColor="text1"/>
        </w:rPr>
        <w:t>.</w:t>
      </w:r>
    </w:p>
    <w:p w14:paraId="3B313EDC" w14:textId="77777777" w:rsidR="00FC4C46" w:rsidRPr="008474CF" w:rsidRDefault="00FC4C46" w:rsidP="00FC4C46">
      <w:pPr>
        <w:pStyle w:val="BodyText"/>
        <w:rPr>
          <w:rFonts w:cs="Arial"/>
          <w:color w:val="000000" w:themeColor="text1"/>
        </w:rPr>
      </w:pPr>
    </w:p>
    <w:p w14:paraId="6B454B3F" w14:textId="77777777" w:rsidR="00FC4C46" w:rsidRPr="008474CF" w:rsidRDefault="00FC4C46" w:rsidP="00FC4C46">
      <w:pPr>
        <w:rPr>
          <w:rFonts w:eastAsiaTheme="majorEastAsia" w:cs="Arial"/>
          <w:b/>
          <w:color w:val="000000" w:themeColor="text1"/>
        </w:rPr>
      </w:pPr>
    </w:p>
    <w:p w14:paraId="5C649B1C" w14:textId="2D2EA964" w:rsidR="00FC4C46" w:rsidRPr="008474CF" w:rsidRDefault="006A3ACC" w:rsidP="002F343D">
      <w:pPr>
        <w:pStyle w:val="BodyText"/>
        <w:widowControl w:val="0"/>
        <w:numPr>
          <w:ilvl w:val="0"/>
          <w:numId w:val="13"/>
        </w:numPr>
        <w:autoSpaceDE w:val="0"/>
        <w:autoSpaceDN w:val="0"/>
        <w:jc w:val="left"/>
        <w:rPr>
          <w:rFonts w:cs="Arial"/>
          <w:b/>
          <w:bCs/>
        </w:rPr>
      </w:pPr>
      <w:r w:rsidRPr="008474CF">
        <w:rPr>
          <w:rFonts w:cs="Arial"/>
          <w:b/>
          <w:bCs/>
        </w:rPr>
        <w:t>Ergebnisbasiert</w:t>
      </w:r>
      <w:r w:rsidR="00FC4C46" w:rsidRPr="008474CF">
        <w:rPr>
          <w:rFonts w:cs="Arial"/>
          <w:b/>
          <w:bCs/>
        </w:rPr>
        <w:t xml:space="preserve">e Planung </w:t>
      </w:r>
    </w:p>
    <w:p w14:paraId="1A9F5851" w14:textId="77777777" w:rsidR="00FC4C46" w:rsidRPr="008474CF" w:rsidRDefault="00FC4C46" w:rsidP="00FC4C46">
      <w:pPr>
        <w:pStyle w:val="Heading1"/>
        <w:rPr>
          <w:rFonts w:cs="Arial"/>
          <w:b w:val="0"/>
          <w:color w:val="000000" w:themeColor="text1"/>
          <w:lang w:val="de-DE"/>
        </w:rPr>
      </w:pPr>
    </w:p>
    <w:p w14:paraId="6E0BD86A" w14:textId="20C89B81" w:rsidR="00FC4C46" w:rsidRPr="008474CF" w:rsidRDefault="00FC4C46" w:rsidP="00FC4C46">
      <w:pPr>
        <w:rPr>
          <w:rFonts w:cs="Arial"/>
          <w:color w:val="000000" w:themeColor="text1"/>
        </w:rPr>
      </w:pPr>
      <w:r w:rsidRPr="008474CF">
        <w:rPr>
          <w:rFonts w:cs="Arial"/>
          <w:color w:val="000000" w:themeColor="text1"/>
        </w:rPr>
        <w:t xml:space="preserve">Die UPOV verfügt über </w:t>
      </w:r>
      <w:r w:rsidR="00A422F9" w:rsidRPr="008474CF">
        <w:rPr>
          <w:rFonts w:cs="Arial"/>
          <w:color w:val="000000" w:themeColor="text1"/>
        </w:rPr>
        <w:t>ergebnisbasierte Verwaltungsprozesse</w:t>
      </w:r>
      <w:r w:rsidRPr="008474CF">
        <w:rPr>
          <w:rFonts w:cs="Arial"/>
          <w:color w:val="000000" w:themeColor="text1"/>
        </w:rPr>
        <w:t xml:space="preserve">, </w:t>
      </w:r>
      <w:r w:rsidR="00A422F9" w:rsidRPr="008474CF">
        <w:rPr>
          <w:rFonts w:cs="Arial"/>
          <w:color w:val="000000" w:themeColor="text1"/>
        </w:rPr>
        <w:t>die</w:t>
      </w:r>
      <w:r w:rsidRPr="008474CF">
        <w:rPr>
          <w:rFonts w:cs="Arial"/>
          <w:color w:val="000000" w:themeColor="text1"/>
        </w:rPr>
        <w:t xml:space="preserve"> sich am Strategischen Geschäftsplan orientier</w:t>
      </w:r>
      <w:r w:rsidR="00A422F9" w:rsidRPr="008474CF">
        <w:rPr>
          <w:rFonts w:cs="Arial"/>
          <w:color w:val="000000" w:themeColor="text1"/>
        </w:rPr>
        <w:t>en</w:t>
      </w:r>
      <w:r w:rsidRPr="008474CF">
        <w:rPr>
          <w:rFonts w:cs="Arial"/>
          <w:color w:val="000000" w:themeColor="text1"/>
        </w:rPr>
        <w:t xml:space="preserve"> und in einem vom Rat der UPOV </w:t>
      </w:r>
      <w:r w:rsidR="000E286A" w:rsidRPr="008474CF">
        <w:rPr>
          <w:rFonts w:cs="Arial"/>
          <w:color w:val="000000" w:themeColor="text1"/>
        </w:rPr>
        <w:t>genehmigten</w:t>
      </w:r>
      <w:r w:rsidRPr="008474CF">
        <w:rPr>
          <w:rFonts w:cs="Arial"/>
          <w:color w:val="000000" w:themeColor="text1"/>
        </w:rPr>
        <w:t xml:space="preserve"> Zweijahresprogramm </w:t>
      </w:r>
      <w:r w:rsidR="00A422F9" w:rsidRPr="008474CF">
        <w:rPr>
          <w:rFonts w:cs="Arial"/>
          <w:color w:val="000000" w:themeColor="text1"/>
        </w:rPr>
        <w:t>nebst</w:t>
      </w:r>
      <w:r w:rsidRPr="008474CF">
        <w:rPr>
          <w:rFonts w:cs="Arial"/>
          <w:color w:val="000000" w:themeColor="text1"/>
        </w:rPr>
        <w:t xml:space="preserve"> Haushaltsplan verankert </w:t>
      </w:r>
      <w:r w:rsidR="00A422F9" w:rsidRPr="008474CF">
        <w:rPr>
          <w:rFonts w:cs="Arial"/>
          <w:color w:val="000000" w:themeColor="text1"/>
        </w:rPr>
        <w:t>sind</w:t>
      </w:r>
      <w:r w:rsidRPr="008474CF">
        <w:rPr>
          <w:rFonts w:cs="Arial"/>
          <w:color w:val="000000" w:themeColor="text1"/>
        </w:rPr>
        <w:t>.</w:t>
      </w:r>
      <w:r w:rsidR="006A3ACC" w:rsidRPr="008474CF">
        <w:rPr>
          <w:rFonts w:cs="Arial"/>
          <w:color w:val="000000" w:themeColor="text1"/>
        </w:rPr>
        <w:t xml:space="preserve"> </w:t>
      </w:r>
      <w:r w:rsidRPr="008474CF">
        <w:rPr>
          <w:rFonts w:cs="Arial"/>
          <w:color w:val="000000" w:themeColor="text1"/>
        </w:rPr>
        <w:t xml:space="preserve">Die Prüfung und </w:t>
      </w:r>
      <w:r w:rsidR="00185E5F" w:rsidRPr="008474CF">
        <w:rPr>
          <w:rFonts w:cs="Arial"/>
          <w:color w:val="000000" w:themeColor="text1"/>
        </w:rPr>
        <w:t>Annahme</w:t>
      </w:r>
      <w:r w:rsidRPr="008474CF">
        <w:rPr>
          <w:rFonts w:cs="Arial"/>
          <w:color w:val="000000" w:themeColor="text1"/>
        </w:rPr>
        <w:t xml:space="preserve"> des Programms und Haushaltsplans der UPOV umfa</w:t>
      </w:r>
      <w:r w:rsidR="00C27166" w:rsidRPr="008474CF">
        <w:rPr>
          <w:rFonts w:cs="Arial"/>
          <w:color w:val="000000" w:themeColor="text1"/>
        </w:rPr>
        <w:t>ss</w:t>
      </w:r>
      <w:r w:rsidRPr="008474CF">
        <w:rPr>
          <w:rFonts w:cs="Arial"/>
          <w:color w:val="000000" w:themeColor="text1"/>
        </w:rPr>
        <w:t xml:space="preserve">t die </w:t>
      </w:r>
      <w:r w:rsidR="00ED1E53" w:rsidRPr="008474CF">
        <w:rPr>
          <w:rFonts w:cs="Arial"/>
          <w:color w:val="000000" w:themeColor="text1"/>
        </w:rPr>
        <w:t>Annahme</w:t>
      </w:r>
      <w:r w:rsidRPr="008474CF">
        <w:rPr>
          <w:rFonts w:cs="Arial"/>
          <w:color w:val="000000" w:themeColor="text1"/>
        </w:rPr>
        <w:t xml:space="preserve"> des im </w:t>
      </w:r>
      <w:r w:rsidR="00A5507C" w:rsidRPr="008474CF">
        <w:rPr>
          <w:rFonts w:cs="Arial"/>
          <w:color w:val="000000" w:themeColor="text1"/>
        </w:rPr>
        <w:t>UPOV-</w:t>
      </w:r>
      <w:r w:rsidRPr="008474CF">
        <w:rPr>
          <w:rFonts w:cs="Arial"/>
          <w:color w:val="000000" w:themeColor="text1"/>
        </w:rPr>
        <w:t>Strategiehaus</w:t>
      </w:r>
      <w:r w:rsidR="00A5507C" w:rsidRPr="008474CF">
        <w:rPr>
          <w:rFonts w:cs="Arial"/>
          <w:color w:val="000000" w:themeColor="text1"/>
        </w:rPr>
        <w:t xml:space="preserve"> </w:t>
      </w:r>
      <w:r w:rsidRPr="008474CF">
        <w:rPr>
          <w:rFonts w:cs="Arial"/>
          <w:color w:val="000000" w:themeColor="text1"/>
        </w:rPr>
        <w:t xml:space="preserve">dargelegten Arbeitsprogramms und der </w:t>
      </w:r>
      <w:r w:rsidR="000E78BF" w:rsidRPr="008474CF">
        <w:rPr>
          <w:rFonts w:cs="Arial"/>
          <w:color w:val="000000" w:themeColor="text1"/>
        </w:rPr>
        <w:t>zugehörigen</w:t>
      </w:r>
      <w:r w:rsidRPr="008474CF">
        <w:rPr>
          <w:rFonts w:cs="Arial"/>
          <w:color w:val="000000" w:themeColor="text1"/>
        </w:rPr>
        <w:t xml:space="preserve"> Ressourcen in Verbindung mit den erwarteten Ergebnissen.</w:t>
      </w:r>
      <w:r w:rsidR="006A3ACC" w:rsidRPr="008474CF">
        <w:rPr>
          <w:rFonts w:cs="Arial"/>
          <w:color w:val="000000" w:themeColor="text1"/>
        </w:rPr>
        <w:t xml:space="preserve"> </w:t>
      </w:r>
    </w:p>
    <w:p w14:paraId="577A552A" w14:textId="77777777" w:rsidR="00FC4C46" w:rsidRPr="008474CF" w:rsidRDefault="00FC4C46" w:rsidP="00FC4C46">
      <w:pPr>
        <w:rPr>
          <w:rFonts w:cs="Arial"/>
          <w:color w:val="000000" w:themeColor="text1"/>
        </w:rPr>
      </w:pPr>
    </w:p>
    <w:p w14:paraId="0B221370" w14:textId="2A94586E" w:rsidR="00FC4C46" w:rsidRPr="008474CF" w:rsidRDefault="00FC4C46" w:rsidP="00FC4C46">
      <w:pPr>
        <w:jc w:val="left"/>
        <w:rPr>
          <w:rFonts w:cs="Arial"/>
          <w:b/>
          <w:bCs/>
        </w:rPr>
      </w:pPr>
    </w:p>
    <w:p w14:paraId="355067BC" w14:textId="77777777" w:rsidR="00FC4C46" w:rsidRPr="008474CF" w:rsidRDefault="00FC4C46" w:rsidP="002F343D">
      <w:pPr>
        <w:pStyle w:val="BodyText"/>
        <w:widowControl w:val="0"/>
        <w:numPr>
          <w:ilvl w:val="0"/>
          <w:numId w:val="13"/>
        </w:numPr>
        <w:autoSpaceDE w:val="0"/>
        <w:autoSpaceDN w:val="0"/>
        <w:jc w:val="left"/>
        <w:rPr>
          <w:rFonts w:cs="Arial"/>
          <w:b/>
          <w:bCs/>
        </w:rPr>
      </w:pPr>
      <w:r w:rsidRPr="008474CF">
        <w:rPr>
          <w:rFonts w:cs="Arial"/>
          <w:b/>
          <w:bCs/>
        </w:rPr>
        <w:t>Leistungs- und Risikomanagement</w:t>
      </w:r>
    </w:p>
    <w:p w14:paraId="68A86C0A" w14:textId="77777777" w:rsidR="00FC4C46" w:rsidRPr="008474CF" w:rsidRDefault="00FC4C46" w:rsidP="00FC4C46">
      <w:pPr>
        <w:pStyle w:val="Heading1"/>
        <w:rPr>
          <w:rFonts w:cs="Arial"/>
          <w:b w:val="0"/>
          <w:color w:val="000000" w:themeColor="text1"/>
          <w:lang w:val="de-DE"/>
        </w:rPr>
      </w:pPr>
    </w:p>
    <w:p w14:paraId="2045A62F" w14:textId="1A553657" w:rsidR="00FC4C46" w:rsidRPr="008474CF" w:rsidRDefault="00FC4C46" w:rsidP="00FC4C46">
      <w:pPr>
        <w:rPr>
          <w:rFonts w:cs="Arial"/>
          <w:color w:val="000000" w:themeColor="text1"/>
        </w:rPr>
      </w:pPr>
      <w:r w:rsidRPr="008474CF">
        <w:rPr>
          <w:rFonts w:cs="Arial"/>
          <w:color w:val="000000" w:themeColor="text1"/>
        </w:rPr>
        <w:t xml:space="preserve">Eine umfassende und </w:t>
      </w:r>
      <w:r w:rsidR="00906557" w:rsidRPr="008474CF">
        <w:rPr>
          <w:rFonts w:cs="Arial"/>
          <w:color w:val="000000" w:themeColor="text1"/>
        </w:rPr>
        <w:t xml:space="preserve">ausführliche </w:t>
      </w:r>
      <w:r w:rsidRPr="008474CF">
        <w:rPr>
          <w:rFonts w:cs="Arial"/>
          <w:color w:val="000000" w:themeColor="text1"/>
        </w:rPr>
        <w:t xml:space="preserve">Berichterstattung an die Mitglieder </w:t>
      </w:r>
      <w:r w:rsidR="009D6BF5" w:rsidRPr="008474CF">
        <w:rPr>
          <w:rFonts w:cs="Arial"/>
          <w:color w:val="000000" w:themeColor="text1"/>
        </w:rPr>
        <w:t>wird</w:t>
      </w:r>
      <w:r w:rsidRPr="008474CF">
        <w:rPr>
          <w:rFonts w:cs="Arial"/>
          <w:color w:val="000000" w:themeColor="text1"/>
        </w:rPr>
        <w:t xml:space="preserve"> im UPOV-</w:t>
      </w:r>
      <w:r w:rsidR="005A6E69" w:rsidRPr="008474CF">
        <w:rPr>
          <w:rFonts w:cs="Arial"/>
          <w:color w:val="000000" w:themeColor="text1"/>
        </w:rPr>
        <w:t>Ergebnis</w:t>
      </w:r>
      <w:r w:rsidRPr="008474CF">
        <w:rPr>
          <w:rFonts w:cs="Arial"/>
          <w:color w:val="000000" w:themeColor="text1"/>
        </w:rPr>
        <w:t>bericht gemäß den FRR der UPOV</w:t>
      </w:r>
      <w:r w:rsidR="00CA560A" w:rsidRPr="008474CF">
        <w:rPr>
          <w:rFonts w:cs="Arial"/>
          <w:color w:val="000000" w:themeColor="text1"/>
        </w:rPr>
        <w:t xml:space="preserve"> bereitgestellt</w:t>
      </w:r>
      <w:r w:rsidRPr="008474CF">
        <w:rPr>
          <w:rFonts w:cs="Arial"/>
          <w:color w:val="000000" w:themeColor="text1"/>
        </w:rPr>
        <w:t xml:space="preserve">, </w:t>
      </w:r>
      <w:r w:rsidR="00CA560A" w:rsidRPr="008474CF">
        <w:rPr>
          <w:rFonts w:cs="Arial"/>
          <w:color w:val="000000" w:themeColor="text1"/>
        </w:rPr>
        <w:t>was</w:t>
      </w:r>
      <w:r w:rsidRPr="008474CF">
        <w:rPr>
          <w:rFonts w:cs="Arial"/>
          <w:color w:val="000000" w:themeColor="text1"/>
        </w:rPr>
        <w:t xml:space="preserve"> Klarheit und Transparenz </w:t>
      </w:r>
      <w:r w:rsidR="00571F43" w:rsidRPr="008474CF">
        <w:rPr>
          <w:rFonts w:cs="Arial"/>
          <w:color w:val="000000" w:themeColor="text1"/>
        </w:rPr>
        <w:t>in Bezug</w:t>
      </w:r>
      <w:r w:rsidRPr="008474CF">
        <w:rPr>
          <w:rFonts w:cs="Arial"/>
          <w:color w:val="000000" w:themeColor="text1"/>
        </w:rPr>
        <w:t xml:space="preserve"> </w:t>
      </w:r>
      <w:r w:rsidR="005A6E69" w:rsidRPr="008474CF">
        <w:rPr>
          <w:rFonts w:cs="Arial"/>
          <w:color w:val="000000" w:themeColor="text1"/>
        </w:rPr>
        <w:t>auf die finanziellen und programmatischen Ergebnisse</w:t>
      </w:r>
      <w:r w:rsidRPr="008474CF">
        <w:rPr>
          <w:rFonts w:cs="Arial"/>
          <w:color w:val="000000" w:themeColor="text1"/>
        </w:rPr>
        <w:t xml:space="preserve"> der UPOV </w:t>
      </w:r>
      <w:r w:rsidR="00CA560A" w:rsidRPr="008474CF">
        <w:rPr>
          <w:rFonts w:cs="Arial"/>
          <w:color w:val="000000" w:themeColor="text1"/>
        </w:rPr>
        <w:t>schafft</w:t>
      </w:r>
      <w:r w:rsidRPr="008474CF">
        <w:rPr>
          <w:rFonts w:cs="Arial"/>
          <w:color w:val="000000" w:themeColor="text1"/>
        </w:rPr>
        <w:t>.</w:t>
      </w:r>
    </w:p>
    <w:p w14:paraId="2B0517CA" w14:textId="77777777" w:rsidR="00FC4C46" w:rsidRPr="008474CF" w:rsidRDefault="00FC4C46" w:rsidP="00FC4C46">
      <w:pPr>
        <w:rPr>
          <w:rFonts w:cs="Arial"/>
        </w:rPr>
      </w:pPr>
    </w:p>
    <w:p w14:paraId="7D6E7B7E" w14:textId="7B5BFCC9" w:rsidR="00FC4C46" w:rsidRPr="008474CF" w:rsidRDefault="00224B94" w:rsidP="00FC4C46">
      <w:pPr>
        <w:rPr>
          <w:rFonts w:cs="Arial"/>
          <w:color w:val="000000" w:themeColor="text1"/>
        </w:rPr>
      </w:pPr>
      <w:r w:rsidRPr="008474CF">
        <w:rPr>
          <w:rFonts w:cs="Arial"/>
          <w:color w:val="000000" w:themeColor="text1"/>
        </w:rPr>
        <w:t>Die UPOV hat ihre Hauptrisiken, die im WIPO-System für Unternehmensrisikomanagement erfasst und im Laufe der Zeit weiter verwaltet und neu bewertet werden, im Verlauf von 202</w:t>
      </w:r>
      <w:r w:rsidR="006C2B19" w:rsidRPr="008474CF">
        <w:rPr>
          <w:rFonts w:cs="Arial"/>
          <w:color w:val="000000" w:themeColor="text1"/>
        </w:rPr>
        <w:t>4</w:t>
      </w:r>
      <w:r w:rsidRPr="008474CF">
        <w:rPr>
          <w:rFonts w:cs="Arial"/>
          <w:color w:val="000000" w:themeColor="text1"/>
        </w:rPr>
        <w:t xml:space="preserve"> weiterhin beobachtet. </w:t>
      </w:r>
      <w:r w:rsidR="001309DB" w:rsidRPr="008474CF">
        <w:rPr>
          <w:rFonts w:cs="Arial"/>
          <w:color w:val="000000" w:themeColor="text1"/>
        </w:rPr>
        <w:t xml:space="preserve">Hauptrisiken </w:t>
      </w:r>
      <w:r w:rsidRPr="008474CF">
        <w:rPr>
          <w:rFonts w:cs="Arial"/>
          <w:color w:val="000000" w:themeColor="text1"/>
        </w:rPr>
        <w:t xml:space="preserve">und angemessene </w:t>
      </w:r>
      <w:r w:rsidR="00EC0FDA" w:rsidRPr="008474CF">
        <w:rPr>
          <w:rFonts w:cs="Arial"/>
          <w:color w:val="000000" w:themeColor="text1"/>
        </w:rPr>
        <w:t>R</w:t>
      </w:r>
      <w:r w:rsidRPr="008474CF">
        <w:rPr>
          <w:rFonts w:cs="Arial"/>
          <w:color w:val="000000" w:themeColor="text1"/>
        </w:rPr>
        <w:t>eaktionen</w:t>
      </w:r>
      <w:r w:rsidR="00EC0FDA" w:rsidRPr="008474CF">
        <w:rPr>
          <w:rFonts w:cs="Arial"/>
          <w:color w:val="000000" w:themeColor="text1"/>
        </w:rPr>
        <w:t xml:space="preserve"> auf die Risiken</w:t>
      </w:r>
      <w:r w:rsidRPr="008474CF">
        <w:rPr>
          <w:rFonts w:cs="Arial"/>
          <w:color w:val="000000" w:themeColor="text1"/>
        </w:rPr>
        <w:t xml:space="preserve"> wurden regelmäßig überprüft. Dazu gehören folgende Hauptrisiken, die im Jahr 202</w:t>
      </w:r>
      <w:r w:rsidR="00C37402" w:rsidRPr="008474CF">
        <w:rPr>
          <w:rFonts w:cs="Arial"/>
          <w:color w:val="000000" w:themeColor="text1"/>
        </w:rPr>
        <w:t>4</w:t>
      </w:r>
      <w:r w:rsidRPr="008474CF">
        <w:rPr>
          <w:rFonts w:cs="Arial"/>
          <w:color w:val="000000" w:themeColor="text1"/>
        </w:rPr>
        <w:t xml:space="preserve"> und </w:t>
      </w:r>
      <w:r w:rsidR="00752217" w:rsidRPr="008474CF">
        <w:rPr>
          <w:rFonts w:cs="Arial"/>
          <w:color w:val="000000" w:themeColor="text1"/>
        </w:rPr>
        <w:t xml:space="preserve">zu bewältigen waren </w:t>
      </w:r>
      <w:r w:rsidRPr="008474CF">
        <w:rPr>
          <w:rFonts w:cs="Arial"/>
          <w:color w:val="000000" w:themeColor="text1"/>
        </w:rPr>
        <w:t xml:space="preserve">darüber hinaus zu bewältigen </w:t>
      </w:r>
      <w:r w:rsidR="00752217" w:rsidRPr="008474CF">
        <w:rPr>
          <w:rFonts w:cs="Arial"/>
          <w:color w:val="000000" w:themeColor="text1"/>
        </w:rPr>
        <w:t>sind</w:t>
      </w:r>
      <w:r w:rsidR="00FC4C46" w:rsidRPr="008474CF">
        <w:rPr>
          <w:rFonts w:cs="Arial"/>
          <w:color w:val="000000" w:themeColor="text1"/>
        </w:rPr>
        <w:t>:</w:t>
      </w:r>
    </w:p>
    <w:p w14:paraId="12848C2F" w14:textId="77777777" w:rsidR="00FC4C46" w:rsidRPr="008474CF" w:rsidRDefault="00FC4C46" w:rsidP="00FC4C46">
      <w:pPr>
        <w:pStyle w:val="BodyText"/>
        <w:rPr>
          <w:rFonts w:cs="Arial"/>
          <w:color w:val="000000" w:themeColor="text1"/>
        </w:rPr>
      </w:pPr>
    </w:p>
    <w:tbl>
      <w:tblPr>
        <w:tblW w:w="9752" w:type="dxa"/>
        <w:tblCellMar>
          <w:left w:w="0" w:type="dxa"/>
          <w:right w:w="0" w:type="dxa"/>
        </w:tblCellMar>
        <w:tblLook w:val="04A0" w:firstRow="1" w:lastRow="0" w:firstColumn="1" w:lastColumn="0" w:noHBand="0" w:noVBand="1"/>
      </w:tblPr>
      <w:tblGrid>
        <w:gridCol w:w="2097"/>
        <w:gridCol w:w="3299"/>
        <w:gridCol w:w="4356"/>
      </w:tblGrid>
      <w:tr w:rsidR="00FC4C46" w:rsidRPr="008474CF" w14:paraId="7C39D063" w14:textId="77777777" w:rsidTr="001521C2">
        <w:trPr>
          <w:trHeight w:val="228"/>
          <w:tblHeader/>
        </w:trPr>
        <w:tc>
          <w:tcPr>
            <w:tcW w:w="2097"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0202A0D9" w14:textId="0C8B688F" w:rsidR="00FC4C46" w:rsidRPr="008474CF" w:rsidRDefault="00FC4C46" w:rsidP="003153AD">
            <w:pPr>
              <w:pStyle w:val="BodyText"/>
              <w:spacing w:before="20" w:after="60"/>
              <w:rPr>
                <w:rFonts w:cs="Arial"/>
                <w:color w:val="FFFFFF" w:themeColor="background1"/>
              </w:rPr>
            </w:pPr>
            <w:r w:rsidRPr="008474CF">
              <w:rPr>
                <w:rFonts w:cs="Arial"/>
                <w:b/>
                <w:bCs/>
                <w:color w:val="FFFFFF" w:themeColor="background1"/>
              </w:rPr>
              <w:t xml:space="preserve">Strategische </w:t>
            </w:r>
            <w:r w:rsidR="003C6E2B" w:rsidRPr="008474CF">
              <w:rPr>
                <w:rFonts w:cs="Arial"/>
                <w:b/>
                <w:bCs/>
                <w:color w:val="FFFFFF" w:themeColor="background1"/>
              </w:rPr>
              <w:t>Säule</w:t>
            </w:r>
          </w:p>
        </w:tc>
        <w:tc>
          <w:tcPr>
            <w:tcW w:w="3299"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39E15A08" w14:textId="79D3310D" w:rsidR="00FC4C46" w:rsidRPr="008474CF" w:rsidRDefault="00FC4C46" w:rsidP="003153AD">
            <w:pPr>
              <w:pStyle w:val="BodyText"/>
              <w:spacing w:before="20" w:after="60"/>
              <w:rPr>
                <w:rFonts w:cs="Arial"/>
                <w:color w:val="FFFFFF" w:themeColor="background1"/>
              </w:rPr>
            </w:pPr>
            <w:r w:rsidRPr="008474CF">
              <w:rPr>
                <w:rFonts w:cs="Arial"/>
                <w:b/>
                <w:bCs/>
                <w:color w:val="FFFFFF" w:themeColor="background1"/>
              </w:rPr>
              <w:t>Risiko</w:t>
            </w:r>
            <w:r w:rsidR="00121864" w:rsidRPr="008474CF">
              <w:rPr>
                <w:rFonts w:cs="Arial"/>
                <w:b/>
                <w:bCs/>
                <w:color w:val="FFFFFF" w:themeColor="background1"/>
              </w:rPr>
              <w:t>beschreibung</w:t>
            </w:r>
          </w:p>
        </w:tc>
        <w:tc>
          <w:tcPr>
            <w:tcW w:w="4356"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1547BD67" w14:textId="6C49A351" w:rsidR="00FC4C46" w:rsidRPr="008474CF" w:rsidRDefault="00FC4C46" w:rsidP="003153AD">
            <w:pPr>
              <w:pStyle w:val="BodyText"/>
              <w:spacing w:before="20" w:after="60"/>
              <w:rPr>
                <w:rFonts w:cs="Arial"/>
                <w:color w:val="FFFFFF" w:themeColor="background1"/>
              </w:rPr>
            </w:pPr>
            <w:r w:rsidRPr="008474CF">
              <w:rPr>
                <w:rFonts w:cs="Arial"/>
                <w:b/>
                <w:bCs/>
                <w:color w:val="FFFFFF" w:themeColor="background1"/>
              </w:rPr>
              <w:t xml:space="preserve">Kontrolle und </w:t>
            </w:r>
            <w:r w:rsidR="00121864" w:rsidRPr="008474CF">
              <w:rPr>
                <w:rFonts w:cs="Arial"/>
                <w:b/>
                <w:bCs/>
                <w:color w:val="FFFFFF" w:themeColor="background1"/>
              </w:rPr>
              <w:t>Minderung</w:t>
            </w:r>
          </w:p>
        </w:tc>
      </w:tr>
      <w:tr w:rsidR="00FC4C46" w:rsidRPr="008474CF" w14:paraId="1DEC35BA" w14:textId="77777777" w:rsidTr="003153AD">
        <w:trPr>
          <w:trHeight w:val="1717"/>
        </w:trPr>
        <w:tc>
          <w:tcPr>
            <w:tcW w:w="2097"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50FC5A1A" w14:textId="443BBEEE" w:rsidR="00FC4C46" w:rsidRPr="008474CF" w:rsidRDefault="00FC4C46" w:rsidP="0030703E">
            <w:pPr>
              <w:pStyle w:val="BodyText"/>
              <w:spacing w:before="60" w:after="120"/>
              <w:jc w:val="left"/>
              <w:rPr>
                <w:rFonts w:cs="Arial"/>
                <w:b/>
                <w:color w:val="000000" w:themeColor="text1"/>
                <w:sz w:val="18"/>
                <w:szCs w:val="18"/>
              </w:rPr>
            </w:pPr>
            <w:r w:rsidRPr="008474CF">
              <w:rPr>
                <w:rFonts w:cs="Arial"/>
                <w:b/>
                <w:bCs/>
                <w:color w:val="000000" w:themeColor="text1"/>
                <w:sz w:val="18"/>
                <w:szCs w:val="18"/>
              </w:rPr>
              <w:t xml:space="preserve">Säule 1 - </w:t>
            </w:r>
            <w:r w:rsidR="00623B10" w:rsidRPr="008474CF">
              <w:rPr>
                <w:rFonts w:cs="Arial"/>
                <w:b/>
                <w:bCs/>
                <w:color w:val="000000" w:themeColor="text1"/>
                <w:sz w:val="18"/>
                <w:szCs w:val="18"/>
              </w:rPr>
              <w:t>Interessengruppen zusammenbringen, um dazu beizutragen, das UPOV-System zu gestalten</w:t>
            </w:r>
          </w:p>
        </w:tc>
        <w:tc>
          <w:tcPr>
            <w:tcW w:w="3299"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7C198643" w14:textId="77777777" w:rsidR="00FC4C46" w:rsidRPr="008474CF" w:rsidRDefault="00FC4C46" w:rsidP="003153AD">
            <w:pPr>
              <w:rPr>
                <w:rFonts w:cs="Arial"/>
                <w:sz w:val="18"/>
                <w:szCs w:val="18"/>
              </w:rPr>
            </w:pPr>
            <w:r w:rsidRPr="008474CF">
              <w:rPr>
                <w:rFonts w:cs="Arial"/>
                <w:sz w:val="18"/>
                <w:szCs w:val="18"/>
              </w:rPr>
              <w:t xml:space="preserve">Verzögerungen in der nationalen Politik oder in der Gesetzgebung verzögern oder verhindern den Beitritt oder die Ratifizierung der UPOV-Mitglieder zur Akte von 1991 des UPOV-Übereinkommens. </w:t>
            </w:r>
          </w:p>
        </w:tc>
        <w:tc>
          <w:tcPr>
            <w:tcW w:w="4356"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7A40AAFA" w14:textId="35A681B7" w:rsidR="00FC4C46" w:rsidRPr="008474CF" w:rsidRDefault="00FC4C46" w:rsidP="003153AD">
            <w:pPr>
              <w:pStyle w:val="BodyText"/>
              <w:spacing w:before="60" w:after="120"/>
              <w:rPr>
                <w:rFonts w:cs="Arial"/>
                <w:color w:val="000000" w:themeColor="text1"/>
                <w:sz w:val="18"/>
                <w:szCs w:val="18"/>
              </w:rPr>
            </w:pPr>
            <w:r w:rsidRPr="008474CF">
              <w:rPr>
                <w:rFonts w:cs="Arial"/>
                <w:sz w:val="18"/>
                <w:szCs w:val="18"/>
              </w:rPr>
              <w:t xml:space="preserve">Verstärkte </w:t>
            </w:r>
            <w:r w:rsidR="00797EF9" w:rsidRPr="008474CF">
              <w:rPr>
                <w:rFonts w:cs="Arial"/>
                <w:sz w:val="18"/>
                <w:szCs w:val="18"/>
              </w:rPr>
              <w:t>legislative Anleitung</w:t>
            </w:r>
            <w:r w:rsidRPr="008474CF">
              <w:rPr>
                <w:rFonts w:cs="Arial"/>
                <w:sz w:val="18"/>
                <w:szCs w:val="18"/>
              </w:rPr>
              <w:t xml:space="preserve"> und </w:t>
            </w:r>
            <w:r w:rsidR="001606A6" w:rsidRPr="008474CF">
              <w:rPr>
                <w:rFonts w:cs="Arial"/>
                <w:sz w:val="18"/>
                <w:szCs w:val="18"/>
              </w:rPr>
              <w:t>Tätigkeiten im Bereich der</w:t>
            </w:r>
            <w:r w:rsidR="0051101D" w:rsidRPr="008474CF">
              <w:rPr>
                <w:rFonts w:cs="Arial"/>
                <w:sz w:val="18"/>
                <w:szCs w:val="18"/>
              </w:rPr>
              <w:t xml:space="preserve"> </w:t>
            </w:r>
            <w:r w:rsidR="001606A6" w:rsidRPr="008474CF">
              <w:rPr>
                <w:rFonts w:cs="Arial"/>
                <w:sz w:val="18"/>
                <w:szCs w:val="18"/>
              </w:rPr>
              <w:t>Öffentlichkeitsarbeit</w:t>
            </w:r>
            <w:r w:rsidRPr="008474CF">
              <w:rPr>
                <w:rFonts w:cs="Arial"/>
                <w:sz w:val="18"/>
                <w:szCs w:val="18"/>
              </w:rPr>
              <w:t xml:space="preserve">, die die Vorteile der UPOV aufzeigen und gleichzeitig die Entwicklungsziele der Länder durch </w:t>
            </w:r>
            <w:r w:rsidR="00645E95" w:rsidRPr="008474CF">
              <w:rPr>
                <w:rFonts w:cs="Arial"/>
                <w:sz w:val="18"/>
                <w:szCs w:val="18"/>
              </w:rPr>
              <w:t xml:space="preserve">Beteiligungsprogramme </w:t>
            </w:r>
            <w:r w:rsidRPr="008474CF">
              <w:rPr>
                <w:rFonts w:cs="Arial"/>
                <w:sz w:val="18"/>
                <w:szCs w:val="18"/>
              </w:rPr>
              <w:t>und Foren unterstützen, um aufzuzeigen, wie die UPOV-Mitgliedschaft zur landwirtschaftlichen Entwicklung beiträgt.</w:t>
            </w:r>
            <w:r w:rsidR="006A3ACC" w:rsidRPr="008474CF">
              <w:rPr>
                <w:rFonts w:cs="Arial"/>
                <w:sz w:val="18"/>
                <w:szCs w:val="18"/>
              </w:rPr>
              <w:t xml:space="preserve"> </w:t>
            </w:r>
          </w:p>
        </w:tc>
      </w:tr>
      <w:tr w:rsidR="00FC4C46" w:rsidRPr="008474CF" w14:paraId="2C8792A4" w14:textId="77777777" w:rsidTr="003153AD">
        <w:trPr>
          <w:trHeight w:val="1495"/>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09D5F29F" w14:textId="31D5F43A" w:rsidR="00FC4C46" w:rsidRPr="008474CF" w:rsidRDefault="00FC4C46" w:rsidP="0030703E">
            <w:pPr>
              <w:pStyle w:val="BodyText"/>
              <w:spacing w:before="60" w:after="120"/>
              <w:jc w:val="left"/>
              <w:rPr>
                <w:rFonts w:cs="Arial"/>
                <w:b/>
                <w:color w:val="000000" w:themeColor="text1"/>
                <w:sz w:val="18"/>
                <w:szCs w:val="18"/>
              </w:rPr>
            </w:pPr>
            <w:r w:rsidRPr="008474CF">
              <w:rPr>
                <w:rFonts w:cs="Arial"/>
                <w:b/>
                <w:color w:val="000000" w:themeColor="text1"/>
                <w:sz w:val="18"/>
                <w:szCs w:val="18"/>
              </w:rPr>
              <w:t xml:space="preserve">Säule 2 - </w:t>
            </w:r>
            <w:r w:rsidR="0030703E" w:rsidRPr="008474CF">
              <w:rPr>
                <w:rFonts w:cs="Arial"/>
                <w:b/>
                <w:color w:val="000000" w:themeColor="text1"/>
                <w:sz w:val="18"/>
                <w:szCs w:val="18"/>
              </w:rPr>
              <w:t>Bereitstell</w:t>
            </w:r>
            <w:r w:rsidR="00494997" w:rsidRPr="008474CF">
              <w:rPr>
                <w:rFonts w:cs="Arial"/>
                <w:b/>
                <w:color w:val="000000" w:themeColor="text1"/>
                <w:sz w:val="18"/>
                <w:szCs w:val="18"/>
              </w:rPr>
              <w:t>ung</w:t>
            </w:r>
            <w:r w:rsidR="0030703E" w:rsidRPr="008474CF">
              <w:rPr>
                <w:rFonts w:cs="Arial"/>
                <w:b/>
                <w:color w:val="000000" w:themeColor="text1"/>
                <w:sz w:val="18"/>
                <w:szCs w:val="18"/>
              </w:rPr>
              <w:t xml:space="preserve"> von Anleitung und Unterstützung und Erleichterung der Zusammenarbeit bei der Umsetzung des UPOV-Systems</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6FC96D43" w14:textId="3E8FB88A" w:rsidR="00FC4C46" w:rsidRPr="008474CF" w:rsidRDefault="00FC4C46" w:rsidP="003153AD">
            <w:pPr>
              <w:pStyle w:val="BodyText"/>
              <w:spacing w:before="60" w:after="120"/>
              <w:rPr>
                <w:rFonts w:cs="Arial"/>
                <w:color w:val="000000" w:themeColor="text1"/>
                <w:sz w:val="18"/>
                <w:szCs w:val="18"/>
              </w:rPr>
            </w:pPr>
            <w:r w:rsidRPr="008474CF">
              <w:rPr>
                <w:rFonts w:cs="Arial"/>
                <w:color w:val="000000" w:themeColor="text1"/>
                <w:sz w:val="18"/>
                <w:szCs w:val="18"/>
              </w:rPr>
              <w:t xml:space="preserve">Geringere Sichtbarkeit und geringeres Verständnis der </w:t>
            </w:r>
            <w:r w:rsidR="000B7CCA" w:rsidRPr="008474CF">
              <w:rPr>
                <w:rFonts w:cs="Arial"/>
                <w:color w:val="000000" w:themeColor="text1"/>
                <w:sz w:val="18"/>
                <w:szCs w:val="18"/>
              </w:rPr>
              <w:t>Rolle</w:t>
            </w:r>
            <w:r w:rsidRPr="008474CF">
              <w:rPr>
                <w:rFonts w:cs="Arial"/>
                <w:color w:val="000000" w:themeColor="text1"/>
                <w:sz w:val="18"/>
                <w:szCs w:val="18"/>
              </w:rPr>
              <w:t xml:space="preserve"> und der Vorteile der UPOV wirken sich auf die Verbreitung der UPOV aus.</w:t>
            </w:r>
            <w:r w:rsidR="006A3ACC" w:rsidRPr="008474CF">
              <w:rPr>
                <w:rFonts w:cs="Arial"/>
                <w:color w:val="000000" w:themeColor="text1"/>
                <w:sz w:val="18"/>
                <w:szCs w:val="18"/>
              </w:rPr>
              <w:t xml:space="preserve"> </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1D71A9B0" w14:textId="725042AB" w:rsidR="00FC4C46" w:rsidRPr="008474CF" w:rsidRDefault="00FC4C46" w:rsidP="003153AD">
            <w:pPr>
              <w:pStyle w:val="BodyText"/>
              <w:spacing w:before="60" w:after="120"/>
              <w:rPr>
                <w:rFonts w:cs="Arial"/>
                <w:color w:val="000000" w:themeColor="text1"/>
                <w:sz w:val="18"/>
                <w:szCs w:val="18"/>
              </w:rPr>
            </w:pPr>
            <w:r w:rsidRPr="008474CF">
              <w:rPr>
                <w:rFonts w:cs="Arial"/>
                <w:sz w:val="18"/>
                <w:szCs w:val="18"/>
              </w:rPr>
              <w:t>Umsetzung einer gezielten Kommunikationsstrategie über mehrere Kanäle (Website, soziale Medien, Veranstaltungen), Entwicklung ansprechender Inhalte, um die Vorteile des UPOV-Systems anhand von Fallstudien und Erfolgsgeschichten aufzuzeigen.</w:t>
            </w:r>
            <w:r w:rsidR="006A3ACC" w:rsidRPr="008474CF">
              <w:rPr>
                <w:rFonts w:cs="Arial"/>
                <w:sz w:val="18"/>
                <w:szCs w:val="18"/>
              </w:rPr>
              <w:t xml:space="preserve"> </w:t>
            </w:r>
          </w:p>
        </w:tc>
      </w:tr>
      <w:tr w:rsidR="00FC4C46" w:rsidRPr="008474CF" w14:paraId="3E86B689" w14:textId="77777777" w:rsidTr="003153AD">
        <w:trPr>
          <w:trHeight w:val="1966"/>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68115EEA" w14:textId="20A2CB3E" w:rsidR="00FC4C46" w:rsidRPr="008474CF" w:rsidRDefault="00FC4C46" w:rsidP="0030703E">
            <w:pPr>
              <w:pStyle w:val="BodyText"/>
              <w:spacing w:before="60" w:after="120"/>
              <w:jc w:val="left"/>
              <w:rPr>
                <w:rFonts w:cs="Arial"/>
                <w:b/>
                <w:color w:val="000000" w:themeColor="text1"/>
                <w:sz w:val="18"/>
                <w:szCs w:val="18"/>
              </w:rPr>
            </w:pPr>
            <w:r w:rsidRPr="008474CF">
              <w:rPr>
                <w:rFonts w:cs="Arial"/>
                <w:b/>
                <w:color w:val="000000" w:themeColor="text1"/>
                <w:sz w:val="18"/>
                <w:szCs w:val="18"/>
              </w:rPr>
              <w:t xml:space="preserve">Säule 3 - </w:t>
            </w:r>
            <w:r w:rsidR="0030703E" w:rsidRPr="008474CF">
              <w:rPr>
                <w:rFonts w:cs="Arial"/>
                <w:b/>
                <w:color w:val="000000" w:themeColor="text1"/>
                <w:sz w:val="18"/>
                <w:szCs w:val="18"/>
              </w:rPr>
              <w:t>Bereitstell</w:t>
            </w:r>
            <w:r w:rsidR="00494997" w:rsidRPr="008474CF">
              <w:rPr>
                <w:rFonts w:cs="Arial"/>
                <w:b/>
                <w:color w:val="000000" w:themeColor="text1"/>
                <w:sz w:val="18"/>
                <w:szCs w:val="18"/>
              </w:rPr>
              <w:t>ung</w:t>
            </w:r>
            <w:r w:rsidR="0030703E" w:rsidRPr="008474CF">
              <w:rPr>
                <w:rFonts w:cs="Arial"/>
                <w:b/>
                <w:color w:val="000000" w:themeColor="text1"/>
                <w:sz w:val="18"/>
                <w:szCs w:val="18"/>
              </w:rPr>
              <w:t xml:space="preserve"> qualitativ hochwertiger Dienstleistungen für UPOV-Mitglieder und Nutzer des UPOV-Systems</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7D731FD4" w14:textId="4698C4A4" w:rsidR="00FC4C46" w:rsidRPr="008474CF" w:rsidRDefault="00FC4C46" w:rsidP="003153AD">
            <w:pPr>
              <w:pStyle w:val="BodyText"/>
              <w:spacing w:before="60" w:after="120"/>
              <w:rPr>
                <w:rFonts w:cs="Arial"/>
                <w:color w:val="000000" w:themeColor="text1"/>
                <w:sz w:val="18"/>
                <w:szCs w:val="18"/>
              </w:rPr>
            </w:pPr>
            <w:r w:rsidRPr="008474CF">
              <w:rPr>
                <w:rFonts w:cs="Arial"/>
                <w:sz w:val="18"/>
                <w:szCs w:val="18"/>
              </w:rPr>
              <w:t xml:space="preserve">Technische Komplexität und Ressourcenbeschränkungen wirken sich auf die Entwicklung und Umsetzung der </w:t>
            </w:r>
            <w:r w:rsidR="00BD22C5" w:rsidRPr="008474CF">
              <w:rPr>
                <w:rFonts w:cs="Arial"/>
                <w:sz w:val="18"/>
                <w:szCs w:val="18"/>
              </w:rPr>
              <w:t>UPOV </w:t>
            </w:r>
            <w:r w:rsidRPr="008474CF">
              <w:rPr>
                <w:rFonts w:cs="Arial"/>
                <w:sz w:val="18"/>
                <w:szCs w:val="18"/>
              </w:rPr>
              <w:t>e-PVP-Dienste aus.</w:t>
            </w:r>
            <w:r w:rsidR="006A3ACC" w:rsidRPr="008474CF">
              <w:rPr>
                <w:rFonts w:cs="Arial"/>
                <w:sz w:val="18"/>
                <w:szCs w:val="18"/>
              </w:rPr>
              <w:t xml:space="preserve"> </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44990CA4" w14:textId="6574F8BD" w:rsidR="00FC4C46" w:rsidRPr="008474CF" w:rsidRDefault="00FC4C46" w:rsidP="003153AD">
            <w:pPr>
              <w:pStyle w:val="BodyText"/>
              <w:spacing w:before="60" w:after="120"/>
              <w:rPr>
                <w:rFonts w:cs="Arial"/>
                <w:color w:val="000000" w:themeColor="text1"/>
                <w:sz w:val="18"/>
                <w:szCs w:val="18"/>
              </w:rPr>
            </w:pPr>
            <w:r w:rsidRPr="008474CF">
              <w:rPr>
                <w:rFonts w:cs="Arial"/>
                <w:sz w:val="18"/>
                <w:szCs w:val="18"/>
              </w:rPr>
              <w:t>Festlegung von Prioritäten für die UPOV-e-PVP-Dienstleistungskomponenten (</w:t>
            </w:r>
            <w:r w:rsidR="00244181">
              <w:rPr>
                <w:rFonts w:cs="Arial"/>
                <w:sz w:val="18"/>
                <w:szCs w:val="18"/>
              </w:rPr>
              <w:t>UPOV PRISMA</w:t>
            </w:r>
            <w:r w:rsidRPr="008474CF">
              <w:rPr>
                <w:rFonts w:cs="Arial"/>
                <w:sz w:val="18"/>
                <w:szCs w:val="18"/>
              </w:rPr>
              <w:t xml:space="preserve">, Verwaltungsmodul, DUS-Austauschplattform, PLUTO) auf der Grundlage der Bedürfnisse der Mitglieder und der verfügbaren Ressourcen und Umsetzung einer schrittweisen Entwicklung zur Bewältigung der Komplexität. Unterstützung der Nutzung durch die Mitglieder durch Hilfestellung und Schulung und Einbeziehung der Rückmeldungen der Nutzer zur Festlegung der Prioritäten für die Systementwicklung. </w:t>
            </w:r>
          </w:p>
        </w:tc>
      </w:tr>
      <w:tr w:rsidR="00FC4C46" w:rsidRPr="008474CF" w14:paraId="4BF4CB11" w14:textId="77777777" w:rsidTr="003153AD">
        <w:trPr>
          <w:trHeight w:val="1966"/>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51158022" w14:textId="43EC1D52" w:rsidR="00FC4C46" w:rsidRPr="008474CF" w:rsidRDefault="000F7340" w:rsidP="0030703E">
            <w:pPr>
              <w:pStyle w:val="BodyText"/>
              <w:spacing w:before="60" w:after="120"/>
              <w:jc w:val="left"/>
              <w:rPr>
                <w:rFonts w:cs="Arial"/>
                <w:b/>
                <w:color w:val="000000" w:themeColor="text1"/>
                <w:sz w:val="18"/>
                <w:szCs w:val="18"/>
              </w:rPr>
            </w:pPr>
            <w:r w:rsidRPr="008474CF">
              <w:rPr>
                <w:rFonts w:cs="Arial"/>
                <w:b/>
                <w:color w:val="000000" w:themeColor="text1"/>
                <w:sz w:val="18"/>
                <w:szCs w:val="18"/>
              </w:rPr>
              <w:lastRenderedPageBreak/>
              <w:t>Fundament: Unsere Mitarbeitenden befähigen, effizient, kooperativ und innovativ zu arbeiten, indem wir ihnen die richtigen Ressourcen, Schulungen und ein geeignetes Umfeld zur Verfügung stellen</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40E17470" w14:textId="77777777" w:rsidR="00FC4C46" w:rsidRPr="008474CF" w:rsidRDefault="00FC4C46" w:rsidP="003153AD">
            <w:pPr>
              <w:pStyle w:val="BodyText"/>
              <w:spacing w:before="60" w:after="120"/>
              <w:rPr>
                <w:rFonts w:cs="Arial"/>
                <w:sz w:val="18"/>
                <w:szCs w:val="18"/>
              </w:rPr>
            </w:pPr>
            <w:r w:rsidRPr="008474CF">
              <w:rPr>
                <w:rFonts w:cs="Arial"/>
                <w:sz w:val="18"/>
                <w:szCs w:val="18"/>
              </w:rPr>
              <w:t xml:space="preserve">Unsichere wirtschaftliche Bedingungen und begrenzte Ressourcen beeinträchtigen die Fähigkeit der UPOV, ihre operative Kapazität aufrechtzuerhalten und zu verbessern. </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243CCF98" w14:textId="77777777" w:rsidR="00FC4C46" w:rsidRPr="008474CF" w:rsidRDefault="00FC4C46" w:rsidP="003153AD">
            <w:pPr>
              <w:rPr>
                <w:rFonts w:cs="Arial"/>
                <w:sz w:val="18"/>
                <w:szCs w:val="18"/>
              </w:rPr>
            </w:pPr>
            <w:r w:rsidRPr="008474CF">
              <w:rPr>
                <w:rFonts w:cs="Arial"/>
                <w:sz w:val="18"/>
                <w:szCs w:val="18"/>
              </w:rPr>
              <w:t xml:space="preserve">Diversifizierung der Einnahmen durch Ausweitung der gebührenpflichtigen Dienstleistungen, Treuhandfonds und Prüfung von Initiativen mit mehreren Gebern. Unterbreitung proaktiver Vorschläge an UPOV-Mitglieder zur Erhöhung der Kernfinanzierung. Kontinuierliche Überwachung der Einnahmen im Vergleich zu den Prognosen und entsprechende Anpassung der operativen Pläne mit Schwerpunkt auf den Kerndienstleistungen und strategischen Prioritäten. </w:t>
            </w:r>
          </w:p>
        </w:tc>
      </w:tr>
    </w:tbl>
    <w:p w14:paraId="091F24A5" w14:textId="77777777" w:rsidR="00FC4C46" w:rsidRPr="008474CF" w:rsidRDefault="00FC4C46" w:rsidP="00FC4C46">
      <w:pPr>
        <w:rPr>
          <w:rFonts w:cs="Arial"/>
          <w:color w:val="000000" w:themeColor="text1"/>
        </w:rPr>
      </w:pPr>
    </w:p>
    <w:p w14:paraId="26D34638" w14:textId="77777777" w:rsidR="008474CF" w:rsidRPr="008474CF" w:rsidRDefault="008474CF" w:rsidP="00FC4C46">
      <w:pPr>
        <w:rPr>
          <w:rFonts w:cs="Arial"/>
          <w:color w:val="000000" w:themeColor="text1"/>
        </w:rPr>
      </w:pPr>
    </w:p>
    <w:p w14:paraId="0ACD7CC6" w14:textId="78FDE741" w:rsidR="00FC4C46" w:rsidRPr="008474CF" w:rsidRDefault="00FC4C46" w:rsidP="002F343D">
      <w:pPr>
        <w:pStyle w:val="BodyText"/>
        <w:widowControl w:val="0"/>
        <w:numPr>
          <w:ilvl w:val="0"/>
          <w:numId w:val="13"/>
        </w:numPr>
        <w:autoSpaceDE w:val="0"/>
        <w:autoSpaceDN w:val="0"/>
        <w:jc w:val="left"/>
        <w:rPr>
          <w:b/>
          <w:bCs/>
        </w:rPr>
      </w:pPr>
      <w:r w:rsidRPr="008474CF">
        <w:rPr>
          <w:b/>
          <w:bCs/>
        </w:rPr>
        <w:t>Überwachung, Aufsicht, Beschwerde</w:t>
      </w:r>
      <w:r w:rsidR="00A03E99" w:rsidRPr="008474CF">
        <w:rPr>
          <w:b/>
          <w:bCs/>
        </w:rPr>
        <w:t>-</w:t>
      </w:r>
      <w:r w:rsidRPr="008474CF">
        <w:rPr>
          <w:b/>
          <w:bCs/>
        </w:rPr>
        <w:t xml:space="preserve"> und Reaktionsmechanismen</w:t>
      </w:r>
    </w:p>
    <w:p w14:paraId="08387F91" w14:textId="77777777" w:rsidR="00FC4C46" w:rsidRPr="008474CF" w:rsidRDefault="00FC4C46" w:rsidP="00FC4C46">
      <w:pPr>
        <w:pStyle w:val="BodyText"/>
        <w:rPr>
          <w:b/>
          <w:bCs/>
          <w:color w:val="000000" w:themeColor="text1"/>
        </w:rPr>
      </w:pPr>
    </w:p>
    <w:p w14:paraId="7A8283A9" w14:textId="6E69A3C4" w:rsidR="00FC4C46" w:rsidRPr="008474CF" w:rsidRDefault="00FC4C46" w:rsidP="008474CF">
      <w:pPr>
        <w:pStyle w:val="BodyText"/>
        <w:rPr>
          <w:rFonts w:cs="Arial"/>
          <w:color w:val="000000" w:themeColor="text1"/>
        </w:rPr>
      </w:pPr>
      <w:r w:rsidRPr="008474CF">
        <w:rPr>
          <w:rFonts w:cs="Arial"/>
          <w:color w:val="000000" w:themeColor="text1"/>
        </w:rPr>
        <w:t xml:space="preserve">Als Generalsekretär der UPOV bin ich letztendlich für die Wirksamkeit des Systems der internen Kontrollen </w:t>
      </w:r>
      <w:r w:rsidRPr="008474CF">
        <w:rPr>
          <w:rFonts w:cs="Arial"/>
          <w:color w:val="000000" w:themeColor="text1"/>
          <w:spacing w:val="-2"/>
        </w:rPr>
        <w:t xml:space="preserve">verantwortlich. </w:t>
      </w:r>
      <w:r w:rsidR="004A3FD7" w:rsidRPr="008474CF">
        <w:rPr>
          <w:rFonts w:cs="Arial"/>
          <w:color w:val="000000" w:themeColor="text1"/>
          <w:spacing w:val="-2"/>
        </w:rPr>
        <w:t>Meine Feststellung, strukturiert durch die nachstehenden „drei Linien“, stützt sich auf Folgendes</w:t>
      </w:r>
      <w:r w:rsidRPr="008474CF">
        <w:rPr>
          <w:rFonts w:cs="Arial"/>
          <w:color w:val="000000" w:themeColor="text1"/>
          <w:spacing w:val="-2"/>
        </w:rPr>
        <w:t xml:space="preserve">: </w:t>
      </w:r>
      <w:r w:rsidRPr="008474CF">
        <w:rPr>
          <w:rFonts w:cs="Arial"/>
          <w:color w:val="000000" w:themeColor="text1"/>
        </w:rPr>
        <w:br/>
      </w:r>
    </w:p>
    <w:p w14:paraId="7C01EE1D" w14:textId="77777777" w:rsidR="00FC4C46" w:rsidRPr="008474CF" w:rsidRDefault="00FC4C46" w:rsidP="00FC4C46">
      <w:pPr>
        <w:rPr>
          <w:rFonts w:cs="Arial"/>
          <w:color w:val="000000" w:themeColor="text1"/>
        </w:rPr>
      </w:pPr>
      <w:r w:rsidRPr="008474CF">
        <w:rPr>
          <w:rFonts w:cs="Arial"/>
          <w:noProof/>
        </w:rPr>
        <mc:AlternateContent>
          <mc:Choice Requires="wpg">
            <w:drawing>
              <wp:inline distT="0" distB="0" distL="0" distR="0" wp14:anchorId="588D1A7B" wp14:editId="7DF01A1F">
                <wp:extent cx="6239510" cy="3390900"/>
                <wp:effectExtent l="12700" t="12700" r="8890" b="12700"/>
                <wp:docPr id="17" name="Group 7"/>
                <wp:cNvGraphicFramePr/>
                <a:graphic xmlns:a="http://schemas.openxmlformats.org/drawingml/2006/main">
                  <a:graphicData uri="http://schemas.microsoft.com/office/word/2010/wordprocessingGroup">
                    <wpg:wgp>
                      <wpg:cNvGrpSpPr/>
                      <wpg:grpSpPr>
                        <a:xfrm>
                          <a:off x="0" y="0"/>
                          <a:ext cx="6239510" cy="3390900"/>
                          <a:chOff x="-4630" y="-4560"/>
                          <a:chExt cx="8551022" cy="3927432"/>
                        </a:xfrm>
                      </wpg:grpSpPr>
                      <wps:wsp>
                        <wps:cNvPr id="18" name="Rettangolo con angoli arrotondati 43"/>
                        <wps:cNvSpPr/>
                        <wps:spPr>
                          <a:xfrm>
                            <a:off x="-4630" y="-4560"/>
                            <a:ext cx="2609042" cy="430253"/>
                          </a:xfrm>
                          <a:prstGeom prst="roundRect">
                            <a:avLst>
                              <a:gd name="adj" fmla="val 8559"/>
                            </a:avLst>
                          </a:prstGeom>
                          <a:solidFill>
                            <a:schemeClr val="bg1"/>
                          </a:solidFill>
                          <a:ln w="25400" cap="flat" cmpd="sng" algn="ctr">
                            <a:solidFill>
                              <a:schemeClr val="accent1">
                                <a:lumMod val="40000"/>
                                <a:lumOff val="60000"/>
                              </a:schemeClr>
                            </a:solidFill>
                            <a:prstDash val="solid"/>
                          </a:ln>
                          <a:effectLst/>
                        </wps:spPr>
                        <wps:txbx>
                          <w:txbxContent>
                            <w:p w14:paraId="3487A8CD" w14:textId="70D1316E" w:rsidR="00FC4C46" w:rsidRPr="008474CF" w:rsidRDefault="00FC4C46" w:rsidP="00FC4C46">
                              <w:pPr>
                                <w:pStyle w:val="NormalWeb"/>
                                <w:spacing w:after="0"/>
                                <w:jc w:val="center"/>
                                <w:textAlignment w:val="baseline"/>
                                <w:rPr>
                                  <w:rFonts w:ascii="Arial" w:hAnsi="Arial" w:cs="Arial"/>
                                  <w:sz w:val="16"/>
                                </w:rPr>
                              </w:pPr>
                              <w:r w:rsidRPr="008474CF">
                                <w:rPr>
                                  <w:rFonts w:ascii="Arial" w:hAnsi="Arial" w:cs="Arial"/>
                                  <w:b/>
                                  <w:bCs/>
                                  <w:kern w:val="24"/>
                                  <w:sz w:val="32"/>
                                  <w:szCs w:val="48"/>
                                </w:rPr>
                                <w:t xml:space="preserve">Erste </w:t>
                              </w:r>
                              <w:r w:rsidR="00121864" w:rsidRPr="008474CF">
                                <w:rPr>
                                  <w:rFonts w:ascii="Arial" w:hAnsi="Arial" w:cs="Arial"/>
                                  <w:b/>
                                  <w:bCs/>
                                  <w:kern w:val="24"/>
                                  <w:sz w:val="32"/>
                                  <w:szCs w:val="48"/>
                                </w:rPr>
                                <w:t>Linie</w:t>
                              </w:r>
                            </w:p>
                          </w:txbxContent>
                        </wps:txbx>
                        <wps:bodyPr lIns="40500" tIns="40500" rIns="40500" bIns="40500" rtlCol="0" anchor="ctr" anchorCtr="1"/>
                      </wps:wsp>
                      <wps:wsp>
                        <wps:cNvPr id="19" name="Rettangolo con angoli arrotondati 43"/>
                        <wps:cNvSpPr/>
                        <wps:spPr>
                          <a:xfrm>
                            <a:off x="-4630" y="506927"/>
                            <a:ext cx="2609042" cy="3415945"/>
                          </a:xfrm>
                          <a:prstGeom prst="roundRect">
                            <a:avLst>
                              <a:gd name="adj" fmla="val 2232"/>
                            </a:avLst>
                          </a:prstGeom>
                          <a:solidFill>
                            <a:schemeClr val="bg1"/>
                          </a:solidFill>
                          <a:ln w="25400" cap="flat" cmpd="sng" algn="ctr">
                            <a:solidFill>
                              <a:schemeClr val="accent1">
                                <a:lumMod val="40000"/>
                                <a:lumOff val="60000"/>
                              </a:schemeClr>
                            </a:solidFill>
                            <a:prstDash val="solid"/>
                          </a:ln>
                          <a:effectLst/>
                        </wps:spPr>
                        <wps:txbx>
                          <w:txbxContent>
                            <w:p w14:paraId="53638A80" w14:textId="08212D3D" w:rsidR="00FC4C46" w:rsidRPr="008474CF" w:rsidRDefault="0051101D" w:rsidP="00FC4C46">
                              <w:pPr>
                                <w:pStyle w:val="NormalWeb"/>
                                <w:spacing w:before="144" w:beforeAutospacing="0" w:after="0" w:afterAutospacing="0"/>
                                <w:jc w:val="center"/>
                                <w:textAlignment w:val="baseline"/>
                                <w:rPr>
                                  <w:rFonts w:ascii="Arial" w:hAnsi="Arial" w:cs="Arial"/>
                                  <w:spacing w:val="-2"/>
                                  <w:sz w:val="18"/>
                                  <w:szCs w:val="20"/>
                                </w:rPr>
                              </w:pPr>
                              <w:r w:rsidRPr="008474CF">
                                <w:rPr>
                                  <w:rFonts w:ascii="Arial" w:hAnsi="Arial" w:cs="Arial"/>
                                  <w:spacing w:val="-2"/>
                                  <w:sz w:val="18"/>
                                  <w:szCs w:val="20"/>
                                </w:rPr>
                                <w:t xml:space="preserve">Die </w:t>
                              </w:r>
                              <w:r w:rsidR="00772DED" w:rsidRPr="008474CF">
                                <w:rPr>
                                  <w:rFonts w:ascii="Arial" w:hAnsi="Arial" w:cs="Arial"/>
                                  <w:spacing w:val="-2"/>
                                  <w:sz w:val="18"/>
                                  <w:szCs w:val="20"/>
                                </w:rPr>
                                <w:t>Stellvertretende Generalsekretär</w:t>
                              </w:r>
                              <w:r w:rsidRPr="008474CF">
                                <w:rPr>
                                  <w:rFonts w:ascii="Arial" w:hAnsi="Arial" w:cs="Arial"/>
                                  <w:spacing w:val="-2"/>
                                  <w:sz w:val="18"/>
                                  <w:szCs w:val="20"/>
                                </w:rPr>
                                <w:t>in</w:t>
                              </w:r>
                              <w:r w:rsidR="00772DED" w:rsidRPr="008474CF">
                                <w:rPr>
                                  <w:rFonts w:ascii="Arial" w:hAnsi="Arial" w:cs="Arial"/>
                                  <w:spacing w:val="-2"/>
                                  <w:sz w:val="18"/>
                                  <w:szCs w:val="20"/>
                                </w:rPr>
                                <w:t xml:space="preserve"> der UPOV ist für das Erreichen der erwarteten Ergebnisse, die Durchführung der von der UPOV beauftragten Tätigkeiten und die Verwaltung der anvertrauten Ressourcen verantwortlich</w:t>
                              </w:r>
                              <w:r w:rsidR="00FC4C46" w:rsidRPr="008474CF">
                                <w:rPr>
                                  <w:rFonts w:ascii="Arial" w:hAnsi="Arial" w:cs="Arial"/>
                                  <w:spacing w:val="-2"/>
                                  <w:sz w:val="18"/>
                                  <w:szCs w:val="20"/>
                                </w:rPr>
                                <w:t xml:space="preserve">. </w:t>
                              </w:r>
                              <w:r w:rsidR="006D7E07" w:rsidRPr="008474CF">
                                <w:rPr>
                                  <w:rFonts w:ascii="Arial" w:hAnsi="Arial" w:cs="Arial"/>
                                  <w:spacing w:val="-2"/>
                                  <w:sz w:val="18"/>
                                  <w:szCs w:val="20"/>
                                </w:rPr>
                                <w:t xml:space="preserve">Die Managementerklärung </w:t>
                              </w:r>
                              <w:r w:rsidRPr="008474CF">
                                <w:rPr>
                                  <w:rFonts w:ascii="Arial" w:hAnsi="Arial" w:cs="Arial"/>
                                  <w:spacing w:val="-2"/>
                                  <w:sz w:val="18"/>
                                  <w:szCs w:val="20"/>
                                </w:rPr>
                                <w:t xml:space="preserve">der </w:t>
                              </w:r>
                              <w:r w:rsidR="006D7E07" w:rsidRPr="008474CF">
                                <w:rPr>
                                  <w:rFonts w:ascii="Arial" w:hAnsi="Arial" w:cs="Arial"/>
                                  <w:spacing w:val="-2"/>
                                  <w:sz w:val="18"/>
                                  <w:szCs w:val="20"/>
                                </w:rPr>
                                <w:t xml:space="preserve">Stellvertretenden </w:t>
                              </w:r>
                              <w:r w:rsidRPr="008474CF">
                                <w:rPr>
                                  <w:rFonts w:ascii="Arial" w:hAnsi="Arial" w:cs="Arial"/>
                                  <w:spacing w:val="-2"/>
                                  <w:sz w:val="18"/>
                                  <w:szCs w:val="20"/>
                                </w:rPr>
                                <w:t xml:space="preserve">Generalsekretärin </w:t>
                              </w:r>
                              <w:r w:rsidR="006D7E07" w:rsidRPr="008474CF">
                                <w:rPr>
                                  <w:rFonts w:ascii="Arial" w:hAnsi="Arial" w:cs="Arial"/>
                                  <w:spacing w:val="-2"/>
                                  <w:sz w:val="18"/>
                                  <w:szCs w:val="20"/>
                                </w:rPr>
                                <w:t xml:space="preserve">erkennt </w:t>
                              </w:r>
                              <w:r w:rsidRPr="008474CF">
                                <w:rPr>
                                  <w:rFonts w:ascii="Arial" w:hAnsi="Arial" w:cs="Arial"/>
                                  <w:spacing w:val="-2"/>
                                  <w:sz w:val="18"/>
                                  <w:szCs w:val="20"/>
                                </w:rPr>
                                <w:t xml:space="preserve">deren </w:t>
                              </w:r>
                              <w:r w:rsidR="006D7E07" w:rsidRPr="008474CF">
                                <w:rPr>
                                  <w:rFonts w:ascii="Arial" w:hAnsi="Arial" w:cs="Arial"/>
                                  <w:spacing w:val="-2"/>
                                  <w:sz w:val="18"/>
                                  <w:szCs w:val="20"/>
                                </w:rPr>
                                <w:t>Verantwortung für die Einrichtung und Unterhaltung gut funktionierender Systeme und eines Mechanismus für die interne Kontrolle, der darauf abzielt, Fälle von Betrug und größeren Fehlern darzulegen und/oder aufzudecken, an</w:t>
                              </w:r>
                              <w:r w:rsidR="00FC4C46" w:rsidRPr="008474CF">
                                <w:rPr>
                                  <w:rFonts w:ascii="Arial" w:hAnsi="Arial" w:cs="Arial"/>
                                  <w:spacing w:val="-2"/>
                                  <w:sz w:val="18"/>
                                  <w:szCs w:val="20"/>
                                </w:rPr>
                                <w:t xml:space="preserve">. </w:t>
                              </w:r>
                              <w:r w:rsidR="00E44D05" w:rsidRPr="008474CF">
                                <w:rPr>
                                  <w:rFonts w:ascii="Arial" w:hAnsi="Arial" w:cs="Arial"/>
                                  <w:spacing w:val="-2"/>
                                  <w:sz w:val="18"/>
                                  <w:szCs w:val="20"/>
                                </w:rPr>
                                <w:t>Unter Berücksichtigung dieser Elemente betrachte ich die „erste Linie" als solide erfüllt</w:t>
                              </w:r>
                              <w:r w:rsidR="00FC4C46" w:rsidRPr="008474CF">
                                <w:rPr>
                                  <w:rFonts w:ascii="Arial" w:hAnsi="Arial" w:cs="Arial"/>
                                  <w:spacing w:val="-2"/>
                                  <w:sz w:val="18"/>
                                  <w:szCs w:val="20"/>
                                </w:rPr>
                                <w:t>.</w:t>
                              </w:r>
                            </w:p>
                          </w:txbxContent>
                        </wps:txbx>
                        <wps:bodyPr lIns="40500" tIns="40500" rIns="40500" bIns="40500" rtlCol="0" anchor="t"/>
                      </wps:wsp>
                      <wps:wsp>
                        <wps:cNvPr id="20" name="Rectangle 20"/>
                        <wps:cNvSpPr/>
                        <wps:spPr bwMode="auto">
                          <a:xfrm>
                            <a:off x="2464351" y="1123853"/>
                            <a:ext cx="45719" cy="72008"/>
                          </a:xfrm>
                          <a:prstGeom prst="rect">
                            <a:avLst/>
                          </a:prstGeom>
                          <a:noFill/>
                          <a:ln>
                            <a:noFill/>
                          </a:ln>
                          <a:effectLst/>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arto="http://schemas.microsoft.com/office/word/2006/arto" xmlns:pic="http://schemas.openxmlformats.org/drawingml/2006/picture" xmlns="">
                                <a:solidFill>
                                  <a:schemeClr val="accent1"/>
                                </a:solidFill>
                              </a14:hiddenFill>
                            </a:ext>
                            <a:ext uri="{91240B29-F687-4f45-9708-019B960494DF}">
                              <a14:hiddenLine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arto="http://schemas.microsoft.com/office/word/2006/arto" xmlns:pic="http://schemas.openxmlformats.org/drawingml/2006/picture" xmlns="" w="9525" cap="flat" cmpd="sng" algn="ctr">
                                <a:solidFill>
                                  <a:schemeClr val="tx1"/>
                                </a:solidFill>
                                <a:prstDash val="solid"/>
                                <a:round/>
                                <a:headEnd type="none" w="med" len="med"/>
                                <a:tailEnd type="none" w="med" len="med"/>
                              </a14:hiddenLine>
                            </a:ext>
                            <a:ext uri="{AF507438-7753-43e0-B8FC-AC1667EBCBE1}">
                              <a14:hiddenEffect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arto="http://schemas.microsoft.com/office/word/2006/arto" xmlns:pic="http://schemas.openxmlformats.org/drawingml/2006/picture" xmlns="">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21" name="Rectangle 21"/>
                        <wps:cNvSpPr/>
                        <wps:spPr bwMode="auto">
                          <a:xfrm>
                            <a:off x="2892157" y="727866"/>
                            <a:ext cx="914400" cy="914400"/>
                          </a:xfrm>
                          <a:prstGeom prst="rect">
                            <a:avLst/>
                          </a:prstGeom>
                          <a:noFill/>
                          <a:ln>
                            <a:noFill/>
                          </a:ln>
                          <a:effectLst/>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arto="http://schemas.microsoft.com/office/word/2006/arto" xmlns:pic="http://schemas.openxmlformats.org/drawingml/2006/picture" xmlns="">
                                <a:solidFill>
                                  <a:schemeClr val="accent1"/>
                                </a:solidFill>
                              </a14:hiddenFill>
                            </a:ext>
                            <a:ext uri="{91240B29-F687-4f45-9708-019B960494DF}">
                              <a14:hiddenLine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arto="http://schemas.microsoft.com/office/word/2006/arto" xmlns:pic="http://schemas.openxmlformats.org/drawingml/2006/picture" xmlns="" w="9525" cap="flat" cmpd="sng" algn="ctr">
                                <a:solidFill>
                                  <a:schemeClr val="tx1"/>
                                </a:solidFill>
                                <a:prstDash val="solid"/>
                                <a:round/>
                                <a:headEnd type="none" w="med" len="med"/>
                                <a:tailEnd type="none" w="med" len="med"/>
                              </a14:hiddenLine>
                            </a:ext>
                            <a:ext uri="{AF507438-7753-43e0-B8FC-AC1667EBCBE1}">
                              <a14:hiddenEffect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arto="http://schemas.microsoft.com/office/word/2006/arto" xmlns:pic="http://schemas.openxmlformats.org/drawingml/2006/picture" xmlns="">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22" name="Rettangolo con angoli arrotondati 43"/>
                        <wps:cNvSpPr/>
                        <wps:spPr>
                          <a:xfrm>
                            <a:off x="2710531" y="8608"/>
                            <a:ext cx="2597680" cy="417081"/>
                          </a:xfrm>
                          <a:prstGeom prst="roundRect">
                            <a:avLst>
                              <a:gd name="adj" fmla="val 8559"/>
                            </a:avLst>
                          </a:prstGeom>
                          <a:solidFill>
                            <a:schemeClr val="bg1"/>
                          </a:solidFill>
                          <a:ln w="25400" cap="flat" cmpd="sng" algn="ctr">
                            <a:solidFill>
                              <a:schemeClr val="bg1">
                                <a:lumMod val="75000"/>
                              </a:schemeClr>
                            </a:solidFill>
                            <a:prstDash val="solid"/>
                          </a:ln>
                          <a:effectLst/>
                        </wps:spPr>
                        <wps:txbx>
                          <w:txbxContent>
                            <w:p w14:paraId="2CC53C06" w14:textId="24DBAD41" w:rsidR="00FC4C46" w:rsidRPr="008474CF" w:rsidRDefault="00FC4C46" w:rsidP="00FC4C46">
                              <w:pPr>
                                <w:pStyle w:val="NormalWeb"/>
                                <w:spacing w:after="0"/>
                                <w:jc w:val="center"/>
                                <w:textAlignment w:val="baseline"/>
                                <w:rPr>
                                  <w:rFonts w:ascii="Arial" w:hAnsi="Arial" w:cs="Arial"/>
                                  <w:b/>
                                  <w:bCs/>
                                  <w:kern w:val="24"/>
                                  <w:sz w:val="32"/>
                                  <w:szCs w:val="48"/>
                                </w:rPr>
                              </w:pPr>
                              <w:r w:rsidRPr="008474CF">
                                <w:rPr>
                                  <w:rFonts w:ascii="Arial" w:hAnsi="Arial" w:cs="Arial"/>
                                  <w:b/>
                                  <w:bCs/>
                                  <w:kern w:val="24"/>
                                  <w:sz w:val="32"/>
                                  <w:szCs w:val="48"/>
                                </w:rPr>
                                <w:t xml:space="preserve">Zweite </w:t>
                              </w:r>
                              <w:r w:rsidR="00121864" w:rsidRPr="008474CF">
                                <w:rPr>
                                  <w:rFonts w:ascii="Arial" w:hAnsi="Arial" w:cs="Arial"/>
                                  <w:b/>
                                  <w:bCs/>
                                  <w:kern w:val="24"/>
                                  <w:sz w:val="32"/>
                                  <w:szCs w:val="48"/>
                                </w:rPr>
                                <w:t>Linie</w:t>
                              </w:r>
                            </w:p>
                          </w:txbxContent>
                        </wps:txbx>
                        <wps:bodyPr lIns="40500" tIns="40500" rIns="40500" bIns="40500" rtlCol="0" anchor="ctr" anchorCtr="1"/>
                      </wps:wsp>
                      <wps:wsp>
                        <wps:cNvPr id="23" name="Rettangolo con angoli arrotondati 43"/>
                        <wps:cNvSpPr/>
                        <wps:spPr>
                          <a:xfrm>
                            <a:off x="2710533" y="515829"/>
                            <a:ext cx="2597678" cy="3407043"/>
                          </a:xfrm>
                          <a:prstGeom prst="roundRect">
                            <a:avLst>
                              <a:gd name="adj" fmla="val 2232"/>
                            </a:avLst>
                          </a:prstGeom>
                          <a:solidFill>
                            <a:schemeClr val="bg1"/>
                          </a:solidFill>
                          <a:ln w="25400" cap="flat" cmpd="sng" algn="ctr">
                            <a:solidFill>
                              <a:schemeClr val="bg1">
                                <a:lumMod val="75000"/>
                              </a:schemeClr>
                            </a:solidFill>
                            <a:prstDash val="solid"/>
                          </a:ln>
                          <a:effectLst/>
                        </wps:spPr>
                        <wps:txbx>
                          <w:txbxContent>
                            <w:p w14:paraId="25781957" w14:textId="237C3853" w:rsidR="00CB07F4" w:rsidRPr="008474CF" w:rsidRDefault="0051101D" w:rsidP="00CB07F4">
                              <w:pPr>
                                <w:pStyle w:val="NormalWeb"/>
                                <w:spacing w:before="144" w:beforeAutospacing="0" w:after="0" w:afterAutospacing="0"/>
                                <w:jc w:val="center"/>
                                <w:textAlignment w:val="baseline"/>
                                <w:rPr>
                                  <w:rFonts w:ascii="Arial" w:hAnsi="Arial" w:cs="Arial"/>
                                  <w:sz w:val="18"/>
                                  <w:szCs w:val="18"/>
                                </w:rPr>
                              </w:pPr>
                              <w:r w:rsidRPr="008474CF">
                                <w:rPr>
                                  <w:rFonts w:ascii="Arial" w:hAnsi="Arial" w:cs="Arial"/>
                                  <w:kern w:val="24"/>
                                  <w:sz w:val="18"/>
                                  <w:szCs w:val="18"/>
                                </w:rPr>
                                <w:t xml:space="preserve">Die </w:t>
                              </w:r>
                              <w:r w:rsidR="00864827" w:rsidRPr="008474CF">
                                <w:rPr>
                                  <w:rFonts w:ascii="Arial" w:hAnsi="Arial" w:cs="Arial"/>
                                  <w:kern w:val="24"/>
                                  <w:sz w:val="18"/>
                                  <w:szCs w:val="18"/>
                                </w:rPr>
                                <w:t>Aufgabe des Managements, sich mit den Unternehmensrisiken zu befassen, mitsamt der Einhaltung unseres Regelwerks, der ethischen Verhaltensregeln, der internen Kontrolle, der Informations- und Technologiesicherheit, der Nachhaltigkeit und der Qualitätssicherung. Die Zuverlässigkeitsgewähr wird durch einen systematischen Prozess der Selbstbewertung und internen Validierung der Kontrollen auf Betriebsebene sowie durch die bei der WIPO vorhandenen Kontrollen auf Schlüsselprozessebene untermauert. Ich bin überzeugt, dass wir die „zweite Linie" zuverlässig umsetzen</w:t>
                              </w:r>
                              <w:r w:rsidR="00CB07F4" w:rsidRPr="008474CF">
                                <w:rPr>
                                  <w:rFonts w:ascii="Arial" w:hAnsi="Arial" w:cs="Arial"/>
                                  <w:kern w:val="24"/>
                                  <w:sz w:val="18"/>
                                  <w:szCs w:val="18"/>
                                </w:rPr>
                                <w:t>.</w:t>
                              </w:r>
                            </w:p>
                            <w:p w14:paraId="259C7EC2" w14:textId="13527F84" w:rsidR="00FC4C46" w:rsidRPr="008474CF" w:rsidRDefault="00FC4C46" w:rsidP="00E34F2D">
                              <w:pPr>
                                <w:pStyle w:val="NormalWeb"/>
                                <w:spacing w:before="144"/>
                                <w:jc w:val="center"/>
                                <w:textAlignment w:val="baseline"/>
                                <w:rPr>
                                  <w:rFonts w:ascii="Arial" w:hAnsi="Arial" w:cs="Arial"/>
                                  <w:kern w:val="24"/>
                                  <w:sz w:val="18"/>
                                  <w:szCs w:val="18"/>
                                </w:rPr>
                              </w:pPr>
                            </w:p>
                          </w:txbxContent>
                        </wps:txbx>
                        <wps:bodyPr lIns="40500" tIns="40500" rIns="40500" bIns="40500" rtlCol="0" anchor="t"/>
                      </wps:wsp>
                      <wps:wsp>
                        <wps:cNvPr id="24" name="Rettangolo con angoli arrotondati 43"/>
                        <wps:cNvSpPr/>
                        <wps:spPr>
                          <a:xfrm>
                            <a:off x="5454703" y="8608"/>
                            <a:ext cx="3091689" cy="417078"/>
                          </a:xfrm>
                          <a:prstGeom prst="roundRect">
                            <a:avLst>
                              <a:gd name="adj" fmla="val 8559"/>
                            </a:avLst>
                          </a:prstGeom>
                          <a:solidFill>
                            <a:schemeClr val="bg1"/>
                          </a:solidFill>
                          <a:ln w="25400" cap="flat" cmpd="sng" algn="ctr">
                            <a:solidFill>
                              <a:schemeClr val="accent2">
                                <a:lumMod val="60000"/>
                                <a:lumOff val="40000"/>
                              </a:schemeClr>
                            </a:solidFill>
                            <a:prstDash val="solid"/>
                          </a:ln>
                          <a:effectLst/>
                        </wps:spPr>
                        <wps:txbx>
                          <w:txbxContent>
                            <w:p w14:paraId="7FB7A460" w14:textId="6461690C" w:rsidR="00FC4C46" w:rsidRPr="008474CF" w:rsidRDefault="00FC4C46" w:rsidP="00FC4C46">
                              <w:pPr>
                                <w:pStyle w:val="NormalWeb"/>
                                <w:spacing w:after="0"/>
                                <w:jc w:val="center"/>
                                <w:textAlignment w:val="baseline"/>
                                <w:rPr>
                                  <w:rFonts w:ascii="Arial" w:hAnsi="Arial" w:cs="Arial"/>
                                  <w:b/>
                                  <w:bCs/>
                                  <w:kern w:val="24"/>
                                  <w:sz w:val="40"/>
                                  <w:szCs w:val="48"/>
                                </w:rPr>
                              </w:pPr>
                              <w:r w:rsidRPr="008474CF">
                                <w:rPr>
                                  <w:rFonts w:ascii="Arial" w:hAnsi="Arial" w:cs="Arial"/>
                                  <w:b/>
                                  <w:bCs/>
                                  <w:kern w:val="24"/>
                                  <w:sz w:val="32"/>
                                  <w:szCs w:val="40"/>
                                </w:rPr>
                                <w:t xml:space="preserve">Dritte </w:t>
                              </w:r>
                              <w:r w:rsidR="00121864" w:rsidRPr="008474CF">
                                <w:rPr>
                                  <w:rFonts w:ascii="Arial" w:hAnsi="Arial" w:cs="Arial"/>
                                  <w:b/>
                                  <w:bCs/>
                                  <w:kern w:val="24"/>
                                  <w:sz w:val="32"/>
                                  <w:szCs w:val="48"/>
                                </w:rPr>
                                <w:t>Linie</w:t>
                              </w:r>
                            </w:p>
                          </w:txbxContent>
                        </wps:txbx>
                        <wps:bodyPr lIns="40500" tIns="40500" rIns="40500" bIns="40500" rtlCol="0" anchor="ctr" anchorCtr="1"/>
                      </wps:wsp>
                      <wps:wsp>
                        <wps:cNvPr id="25" name="Rettangolo con angoli arrotondati 43"/>
                        <wps:cNvSpPr/>
                        <wps:spPr>
                          <a:xfrm>
                            <a:off x="5454703" y="515831"/>
                            <a:ext cx="3087060" cy="3407041"/>
                          </a:xfrm>
                          <a:prstGeom prst="roundRect">
                            <a:avLst>
                              <a:gd name="adj" fmla="val 2232"/>
                            </a:avLst>
                          </a:prstGeom>
                          <a:solidFill>
                            <a:schemeClr val="bg1"/>
                          </a:solidFill>
                          <a:ln w="25400" cap="flat" cmpd="sng" algn="ctr">
                            <a:solidFill>
                              <a:schemeClr val="accent2">
                                <a:lumMod val="60000"/>
                                <a:lumOff val="40000"/>
                              </a:schemeClr>
                            </a:solidFill>
                            <a:prstDash val="solid"/>
                          </a:ln>
                          <a:effectLst/>
                        </wps:spPr>
                        <wps:txbx>
                          <w:txbxContent>
                            <w:p w14:paraId="4329F727" w14:textId="7E00119C" w:rsidR="00FC4C46" w:rsidRPr="008474CF" w:rsidRDefault="00141528" w:rsidP="00FC4C46">
                              <w:pPr>
                                <w:pStyle w:val="NormalWeb"/>
                                <w:spacing w:before="144" w:beforeAutospacing="0" w:after="0" w:afterAutospacing="0"/>
                                <w:jc w:val="center"/>
                                <w:textAlignment w:val="baseline"/>
                                <w:rPr>
                                  <w:rFonts w:ascii="Arial" w:hAnsi="Arial" w:cs="Arial"/>
                                  <w:sz w:val="18"/>
                                  <w:szCs w:val="20"/>
                                </w:rPr>
                              </w:pPr>
                              <w:r w:rsidRPr="008474CF">
                                <w:rPr>
                                  <w:rFonts w:ascii="Arial" w:hAnsi="Arial" w:cs="Arial"/>
                                  <w:kern w:val="24"/>
                                  <w:sz w:val="18"/>
                                  <w:szCs w:val="20"/>
                                </w:rPr>
                                <w:t xml:space="preserve">Die </w:t>
                              </w:r>
                              <w:r w:rsidR="00606C48" w:rsidRPr="008474CF">
                                <w:rPr>
                                  <w:rFonts w:ascii="Arial" w:hAnsi="Arial" w:cs="Arial"/>
                                  <w:kern w:val="24"/>
                                  <w:sz w:val="18"/>
                                  <w:szCs w:val="20"/>
                                </w:rPr>
                                <w:t>WIPO-Abteilung für interne Revision und Aufsicht (IOD), auf deren Zusicherungen und Beratungsdienste ich mich stütze, und zwar in Form des WIPO-Jahresberichts vom Leiter der IOD, von Berichten über interne Prüfungen und Bewertungen sowie Managementberichte aufgrund von Untersuchungen und, soweit vorhanden, IOD-Berichten über die UPOV</w:t>
                              </w:r>
                              <w:r w:rsidR="00FC4C46" w:rsidRPr="008474CF">
                                <w:rPr>
                                  <w:rFonts w:ascii="Arial" w:hAnsi="Arial" w:cs="Arial"/>
                                  <w:kern w:val="24"/>
                                  <w:sz w:val="18"/>
                                  <w:szCs w:val="20"/>
                                </w:rPr>
                                <w:t xml:space="preserve">. </w:t>
                              </w:r>
                              <w:r w:rsidR="0071558F" w:rsidRPr="008474CF">
                                <w:rPr>
                                  <w:rFonts w:ascii="Arial" w:hAnsi="Arial" w:cs="Arial"/>
                                  <w:kern w:val="24"/>
                                  <w:sz w:val="18"/>
                                  <w:szCs w:val="20"/>
                                </w:rPr>
                                <w:t>Es besteht eine Synergie zwischen den sowohl bezüglich der UPOV als auch der WIPO durch die IOD durchgeführten Audits</w:t>
                              </w:r>
                              <w:r w:rsidR="00FC4C46" w:rsidRPr="008474CF">
                                <w:rPr>
                                  <w:rFonts w:ascii="Arial" w:hAnsi="Arial" w:cs="Arial"/>
                                  <w:kern w:val="24"/>
                                  <w:sz w:val="18"/>
                                  <w:szCs w:val="20"/>
                                </w:rPr>
                                <w:t xml:space="preserve">. </w:t>
                              </w:r>
                              <w:r w:rsidR="003662D1" w:rsidRPr="008474CF">
                                <w:rPr>
                                  <w:rFonts w:ascii="Arial" w:hAnsi="Arial" w:cs="Arial"/>
                                  <w:kern w:val="24"/>
                                  <w:sz w:val="18"/>
                                  <w:szCs w:val="20"/>
                                </w:rPr>
                                <w:t>Ich entnehme der IOD-Einschätzung der WIPO die Zusicherung, dass mit Ausnahme einiger noch verbesserungswürdiger Bereiche keine erheblichen Risiken und kein Versagen der Unternehmensführung oder der internen Kontrollen festgestellt wurden</w:t>
                              </w:r>
                              <w:r w:rsidR="00FC4C46" w:rsidRPr="008474CF">
                                <w:rPr>
                                  <w:rFonts w:ascii="Arial" w:hAnsi="Arial" w:cs="Arial"/>
                                  <w:kern w:val="24"/>
                                  <w:sz w:val="18"/>
                                  <w:szCs w:val="20"/>
                                </w:rPr>
                                <w:t>.</w:t>
                              </w:r>
                            </w:p>
                          </w:txbxContent>
                        </wps:txbx>
                        <wps:bodyPr lIns="40500" tIns="40500" rIns="40500" bIns="40500" rtlCol="0" anchor="t"/>
                      </wps:wsp>
                    </wpg:wgp>
                  </a:graphicData>
                </a:graphic>
              </wp:inline>
            </w:drawing>
          </mc:Choice>
          <mc:Fallback>
            <w:pict>
              <v:group w14:anchorId="588D1A7B" id="Group 7" o:spid="_x0000_s1026" style="width:491.3pt;height:267pt;mso-position-horizontal-relative:char;mso-position-vertical-relative:line" coordorigin="-46,-45" coordsize="85510,3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eW1AQAABAZAAAOAAAAZHJzL2Uyb0RvYy54bWzsmV1v2zYYhe8H7D8Quk8sUd9GnCJIlmBA&#10;1gVNh17TlGRrkESNomO3v36HFCV/pNuKzMmCrDeyKIoUefjw8CV99m5TV+Qhl10pmpnjnboOyRsu&#10;srJZzJzfPl6fJA7pFGsyVokmnzmf8855d/7jD2frdppTsRRVlkuCSppuum5nzlKpdjqZdHyZ16w7&#10;FW3eILMQsmYKSbmYZJKtUXtdTajrRpO1kFkrBc+7Dk+v+kzn3NRfFDlXvxZFlytSzRy0TZmrNNe5&#10;vk7Oz9h0IVm7LLltBntCK2pWNvjoWNUVU4ysZPmoqrrkUnSiUKdc1BNRFCXPTR/QG8896M2NFKvW&#10;9GUxXS/aUSZIe6DTk6vl7x9uZHvf3kkosW4X0MKkdF82haz1L1pJNkayz6Nk+UYRjocR9dPQg7Ic&#10;eb6fuqlrReVLKK/LnQSRjxeQfxKE0Zj7k60hCVGeUltDSuPAp3pYJkMDJnvNWrcApdtq0f07Le6X&#10;rM2NxN0UWtxJUmbgGNQ2rAavH3IFeheiEoSLhpjbkjAphRKAWpUk8HVrdbNQfhSym3bQ9CsqflWN&#10;QU0aQb/AahH4Lg1N5aMUbNrKTt3koib6ZuYAkCb7AMoNfOzhtlOGwsw2n2W/O6SoKzD9wCoCrVOr&#10;rX0XVQ9V6oKdqMrsuqwqk9CTML+sJEHZmTNfeLbs3ltVQ9Yzh4YBBp5whjlcVEzhtm6hZNcsHMKq&#10;BcyBK2lauVfaTPTtNxjneaM88161qn8RWf9tVD5whccaLNOkaHiMbow1GXT2PqJ7eMW6ZV/IZNme&#10;VI3uaG6MAtpp7PRI9mOn79RmvrHDOxfZZ/BR/dyAucANdX/VbkLuJua7CamqS9E7EGv4UsCAtBrA&#10;SScuFdK9tpbunqfnxzx9AcxDN8Kk1npDaDvn9zj3Ay9Mg9COyGA6A5VPA53S0US+g66t9JtA771P&#10;D4Tm8Li8KzO+L8s3xQwdbJxrG69ygme2f4/tmszXcBy4PlspYTxooNEugTSIAj/0zGLmedRPen/e&#10;gh2EsYdJpRfDGOFJ8g9Q7xk3mnXgxo3QVmxmTj9+44NvGVE7flipzNrdtfy6hBHesk7dMYkVAeog&#10;ckMuPOiLQ9aIgmDYf6yYzB1rc6kXBFubC9Enh/Q2Z3OszfU5zao2NgeB8LXB8XbMr5Ci/oSA7UJ/&#10;FVUNZojlYscKkYGAj+cXF+YlBEotU7fNfcu1TWof0ebwcfOJydbag4KzvBfDYs6mZtJvBe3f1SUb&#10;cYGxLcrR6nuVrO/DcV/Ieik0eoSmWQP0FHkKmklKvTA2aMY0TqJIs7cl04wXlNVo2vtenwHxQ8P9&#10;zma/UP8P2UQAOrB55OiXxp4b+r2BJlHvj1tGaZjGUWIhDbzYTYaI868gfWPhrw6x9aTdDX1jBJpm&#10;zXrWGNcs/Wbfdfyl/zWEutR/ZqZRP5w19MKEmi3WAdUxdpRmixy4sdtvGTGex8H61Qe7/zHW4wb9&#10;DUS0wbNhHAZhELs9xo+t2XdTL0psaKutGUD/ffzwxqy5P5mgj+x5PIIwrj2eTIwHFs/v2sGwoTku&#10;3q/CtcMXwV27NoKSvXjZd5PYxWnljmsfNxh59a79eok3Z0XHj1MOjijMuTOO3c223P5FoM/1d9Nm&#10;37j9I+P8TwAAAP//AwBQSwMEFAAGAAgAAAAhAOywfMndAAAABQEAAA8AAABkcnMvZG93bnJldi54&#10;bWxMj0FrwkAQhe8F/8Mygre6iVaxaTYiYnuSgloovY3ZMQlmZ0N2TeK/77aX9jLweI/3vknXg6lF&#10;R62rLCuIpxEI4tzqigsFH6fXxxUI55E11pZJwZ0crLPRQ4qJtj0fqDv6QoQSdgkqKL1vEildXpJB&#10;N7UNcfAutjXog2wLqVvsQ7mp5SyKltJgxWGhxIa2JeXX480oeOux38zjXbe/Xrb3r9Pi/XMfk1KT&#10;8bB5AeFp8H9h+MEP6JAFprO9sXaiVhAe8b83eM+r2RLEWcFi/hSBzFL5nz77BgAA//8DAFBLAQIt&#10;ABQABgAIAAAAIQC2gziS/gAAAOEBAAATAAAAAAAAAAAAAAAAAAAAAABbQ29udGVudF9UeXBlc10u&#10;eG1sUEsBAi0AFAAGAAgAAAAhADj9If/WAAAAlAEAAAsAAAAAAAAAAAAAAAAALwEAAF9yZWxzLy5y&#10;ZWxzUEsBAi0AFAAGAAgAAAAhAFbVl5bUBAAAEBkAAA4AAAAAAAAAAAAAAAAALgIAAGRycy9lMm9E&#10;b2MueG1sUEsBAi0AFAAGAAgAAAAhAOywfMndAAAABQEAAA8AAAAAAAAAAAAAAAAALgcAAGRycy9k&#10;b3ducmV2LnhtbFBLBQYAAAAABAAEAPMAAAA4CAAAAAA=&#10;">
                <v:roundrect id="Rettangolo con angoli arrotondati 43" o:spid="_x0000_s1027" style="position:absolute;left:-46;top:-45;width:26090;height:4301;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ZNxgAAANsAAAAPAAAAZHJzL2Rvd25yZXYueG1sRI9Pa8JA&#10;EMXvBb/DMkIvRTe1IhJdpbQIVqjiH9DjkB2TtNnZkN2a+O07h0JvM7w37/1mvuxcpW7UhNKzgedh&#10;Aoo487bk3MDpuBpMQYWIbLHyTAbuFGC56D3MMbW+5T3dDjFXEsIhRQNFjHWqdcgKchiGviYW7eob&#10;h1HWJte2wVbCXaVHSTLRDkuWhgJreiso+z78OAMfl/C0Xdfvn9U52V1e8GvcTjdjYx773esMVKQu&#10;/pv/rtdW8AVWfpEB9OIXAAD//wMAUEsBAi0AFAAGAAgAAAAhANvh9svuAAAAhQEAABMAAAAAAAAA&#10;AAAAAAAAAAAAAFtDb250ZW50X1R5cGVzXS54bWxQSwECLQAUAAYACAAAACEAWvQsW78AAAAVAQAA&#10;CwAAAAAAAAAAAAAAAAAfAQAAX3JlbHMvLnJlbHNQSwECLQAUAAYACAAAACEAJmVmTcYAAADbAAAA&#10;DwAAAAAAAAAAAAAAAAAHAgAAZHJzL2Rvd25yZXYueG1sUEsFBgAAAAADAAMAtwAAAPoCAAAAAA==&#10;" fillcolor="white [3212]" strokecolor="#b8cce4 [1300]" strokeweight="2pt">
                  <v:textbox inset="1.125mm,1.125mm,1.125mm,1.125mm">
                    <w:txbxContent>
                      <w:p w14:paraId="3487A8CD" w14:textId="70D1316E" w:rsidR="00FC4C46" w:rsidRPr="008474CF" w:rsidRDefault="00FC4C46" w:rsidP="00FC4C46">
                        <w:pPr>
                          <w:pStyle w:val="NormalWeb"/>
                          <w:spacing w:after="0"/>
                          <w:jc w:val="center"/>
                          <w:textAlignment w:val="baseline"/>
                          <w:rPr>
                            <w:rFonts w:ascii="Arial" w:hAnsi="Arial" w:cs="Arial"/>
                            <w:sz w:val="16"/>
                          </w:rPr>
                        </w:pPr>
                        <w:r w:rsidRPr="008474CF">
                          <w:rPr>
                            <w:rFonts w:ascii="Arial" w:hAnsi="Arial" w:cs="Arial"/>
                            <w:b/>
                            <w:bCs/>
                            <w:kern w:val="24"/>
                            <w:sz w:val="32"/>
                            <w:szCs w:val="48"/>
                          </w:rPr>
                          <w:t xml:space="preserve">Erste </w:t>
                        </w:r>
                        <w:r w:rsidR="00121864" w:rsidRPr="008474CF">
                          <w:rPr>
                            <w:rFonts w:ascii="Arial" w:hAnsi="Arial" w:cs="Arial"/>
                            <w:b/>
                            <w:bCs/>
                            <w:kern w:val="24"/>
                            <w:sz w:val="32"/>
                            <w:szCs w:val="48"/>
                          </w:rPr>
                          <w:t>Linie</w:t>
                        </w:r>
                      </w:p>
                    </w:txbxContent>
                  </v:textbox>
                </v:roundrect>
                <v:roundrect id="Rettangolo con angoli arrotondati 43" o:spid="_x0000_s1028" style="position:absolute;left:-46;top:5069;width:26090;height:34159;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NvkwwAAANsAAAAPAAAAZHJzL2Rvd25yZXYueG1sRE/NagIx&#10;EL4X+g5hCl6kZhXRdmsUkQr1IOjqAwyb6WbpZrIm6br26ZuC0Nt8fL+zWPW2ER35UDtWMB5lIIhL&#10;p2uuFJxP2+cXECEia2wck4IbBVgtHx8WmGt35SN1RaxECuGQowITY5tLGUpDFsPItcSJ+3TeYkzQ&#10;V1J7vKZw28hJls2kxZpTg8GWNobKr+LbKiiGp6n5OXfD6bvPusNu3+7nl51Sg6d+/QYiUh//xXf3&#10;h07zX+Hvl3SAXP4CAAD//wMAUEsBAi0AFAAGAAgAAAAhANvh9svuAAAAhQEAABMAAAAAAAAAAAAA&#10;AAAAAAAAAFtDb250ZW50X1R5cGVzXS54bWxQSwECLQAUAAYACAAAACEAWvQsW78AAAAVAQAACwAA&#10;AAAAAAAAAAAAAAAfAQAAX3JlbHMvLnJlbHNQSwECLQAUAAYACAAAACEAtbDb5MMAAADbAAAADwAA&#10;AAAAAAAAAAAAAAAHAgAAZHJzL2Rvd25yZXYueG1sUEsFBgAAAAADAAMAtwAAAPcCAAAAAA==&#10;" fillcolor="white [3212]" strokecolor="#b8cce4 [1300]" strokeweight="2pt">
                  <v:textbox inset="1.125mm,1.125mm,1.125mm,1.125mm">
                    <w:txbxContent>
                      <w:p w14:paraId="53638A80" w14:textId="08212D3D" w:rsidR="00FC4C46" w:rsidRPr="008474CF" w:rsidRDefault="0051101D" w:rsidP="00FC4C46">
                        <w:pPr>
                          <w:pStyle w:val="NormalWeb"/>
                          <w:spacing w:before="144" w:beforeAutospacing="0" w:after="0" w:afterAutospacing="0"/>
                          <w:jc w:val="center"/>
                          <w:textAlignment w:val="baseline"/>
                          <w:rPr>
                            <w:rFonts w:ascii="Arial" w:hAnsi="Arial" w:cs="Arial"/>
                            <w:spacing w:val="-2"/>
                            <w:sz w:val="18"/>
                            <w:szCs w:val="20"/>
                          </w:rPr>
                        </w:pPr>
                        <w:r w:rsidRPr="008474CF">
                          <w:rPr>
                            <w:rFonts w:ascii="Arial" w:hAnsi="Arial" w:cs="Arial"/>
                            <w:spacing w:val="-2"/>
                            <w:sz w:val="18"/>
                            <w:szCs w:val="20"/>
                          </w:rPr>
                          <w:t xml:space="preserve">Die </w:t>
                        </w:r>
                        <w:r w:rsidR="00772DED" w:rsidRPr="008474CF">
                          <w:rPr>
                            <w:rFonts w:ascii="Arial" w:hAnsi="Arial" w:cs="Arial"/>
                            <w:spacing w:val="-2"/>
                            <w:sz w:val="18"/>
                            <w:szCs w:val="20"/>
                          </w:rPr>
                          <w:t>Stellvertretende Generalsekretär</w:t>
                        </w:r>
                        <w:r w:rsidRPr="008474CF">
                          <w:rPr>
                            <w:rFonts w:ascii="Arial" w:hAnsi="Arial" w:cs="Arial"/>
                            <w:spacing w:val="-2"/>
                            <w:sz w:val="18"/>
                            <w:szCs w:val="20"/>
                          </w:rPr>
                          <w:t>in</w:t>
                        </w:r>
                        <w:r w:rsidR="00772DED" w:rsidRPr="008474CF">
                          <w:rPr>
                            <w:rFonts w:ascii="Arial" w:hAnsi="Arial" w:cs="Arial"/>
                            <w:spacing w:val="-2"/>
                            <w:sz w:val="18"/>
                            <w:szCs w:val="20"/>
                          </w:rPr>
                          <w:t xml:space="preserve"> der UPOV ist für das Erreichen der erwarteten Ergebnisse, die Durchführung der von der UPOV beauftragten Tätigkeiten und die Verwaltung der anvertrauten Ressourcen verantwortlich</w:t>
                        </w:r>
                        <w:r w:rsidR="00FC4C46" w:rsidRPr="008474CF">
                          <w:rPr>
                            <w:rFonts w:ascii="Arial" w:hAnsi="Arial" w:cs="Arial"/>
                            <w:spacing w:val="-2"/>
                            <w:sz w:val="18"/>
                            <w:szCs w:val="20"/>
                          </w:rPr>
                          <w:t xml:space="preserve">. </w:t>
                        </w:r>
                        <w:r w:rsidR="006D7E07" w:rsidRPr="008474CF">
                          <w:rPr>
                            <w:rFonts w:ascii="Arial" w:hAnsi="Arial" w:cs="Arial"/>
                            <w:spacing w:val="-2"/>
                            <w:sz w:val="18"/>
                            <w:szCs w:val="20"/>
                          </w:rPr>
                          <w:t xml:space="preserve">Die Managementerklärung </w:t>
                        </w:r>
                        <w:r w:rsidRPr="008474CF">
                          <w:rPr>
                            <w:rFonts w:ascii="Arial" w:hAnsi="Arial" w:cs="Arial"/>
                            <w:spacing w:val="-2"/>
                            <w:sz w:val="18"/>
                            <w:szCs w:val="20"/>
                          </w:rPr>
                          <w:t xml:space="preserve">der </w:t>
                        </w:r>
                        <w:r w:rsidR="006D7E07" w:rsidRPr="008474CF">
                          <w:rPr>
                            <w:rFonts w:ascii="Arial" w:hAnsi="Arial" w:cs="Arial"/>
                            <w:spacing w:val="-2"/>
                            <w:sz w:val="18"/>
                            <w:szCs w:val="20"/>
                          </w:rPr>
                          <w:t xml:space="preserve">Stellvertretenden </w:t>
                        </w:r>
                        <w:r w:rsidRPr="008474CF">
                          <w:rPr>
                            <w:rFonts w:ascii="Arial" w:hAnsi="Arial" w:cs="Arial"/>
                            <w:spacing w:val="-2"/>
                            <w:sz w:val="18"/>
                            <w:szCs w:val="20"/>
                          </w:rPr>
                          <w:t xml:space="preserve">Generalsekretärin </w:t>
                        </w:r>
                        <w:r w:rsidR="006D7E07" w:rsidRPr="008474CF">
                          <w:rPr>
                            <w:rFonts w:ascii="Arial" w:hAnsi="Arial" w:cs="Arial"/>
                            <w:spacing w:val="-2"/>
                            <w:sz w:val="18"/>
                            <w:szCs w:val="20"/>
                          </w:rPr>
                          <w:t xml:space="preserve">erkennt </w:t>
                        </w:r>
                        <w:r w:rsidRPr="008474CF">
                          <w:rPr>
                            <w:rFonts w:ascii="Arial" w:hAnsi="Arial" w:cs="Arial"/>
                            <w:spacing w:val="-2"/>
                            <w:sz w:val="18"/>
                            <w:szCs w:val="20"/>
                          </w:rPr>
                          <w:t xml:space="preserve">deren </w:t>
                        </w:r>
                        <w:r w:rsidR="006D7E07" w:rsidRPr="008474CF">
                          <w:rPr>
                            <w:rFonts w:ascii="Arial" w:hAnsi="Arial" w:cs="Arial"/>
                            <w:spacing w:val="-2"/>
                            <w:sz w:val="18"/>
                            <w:szCs w:val="20"/>
                          </w:rPr>
                          <w:t>Verantwortung für die Einrichtung und Unterhaltung gut funktionierender Systeme und eines Mechanismus für die interne Kontrolle, der darauf abzielt, Fälle von Betrug und größeren Fehlern darzulegen und/oder aufzudecken, an</w:t>
                        </w:r>
                        <w:r w:rsidR="00FC4C46" w:rsidRPr="008474CF">
                          <w:rPr>
                            <w:rFonts w:ascii="Arial" w:hAnsi="Arial" w:cs="Arial"/>
                            <w:spacing w:val="-2"/>
                            <w:sz w:val="18"/>
                            <w:szCs w:val="20"/>
                          </w:rPr>
                          <w:t xml:space="preserve">. </w:t>
                        </w:r>
                        <w:r w:rsidR="00E44D05" w:rsidRPr="008474CF">
                          <w:rPr>
                            <w:rFonts w:ascii="Arial" w:hAnsi="Arial" w:cs="Arial"/>
                            <w:spacing w:val="-2"/>
                            <w:sz w:val="18"/>
                            <w:szCs w:val="20"/>
                          </w:rPr>
                          <w:t>Unter Berücksichtigung dieser Elemente betrachte ich die „erste Linie" als solide erfüllt</w:t>
                        </w:r>
                        <w:r w:rsidR="00FC4C46" w:rsidRPr="008474CF">
                          <w:rPr>
                            <w:rFonts w:ascii="Arial" w:hAnsi="Arial" w:cs="Arial"/>
                            <w:spacing w:val="-2"/>
                            <w:sz w:val="18"/>
                            <w:szCs w:val="20"/>
                          </w:rPr>
                          <w:t>.</w:t>
                        </w:r>
                      </w:p>
                    </w:txbxContent>
                  </v:textbox>
                </v:roundrect>
                <v:rect id="Rectangle 20" o:spid="_x0000_s1029" style="position:absolute;left:24643;top:11238;width:45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rect id="Rectangle 21" o:spid="_x0000_s1030" style="position:absolute;left:28921;top:7278;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roundrect id="Rettangolo con angoli arrotondati 43" o:spid="_x0000_s1031" style="position:absolute;left:27105;top:86;width:25977;height:417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2WovwAAANsAAAAPAAAAZHJzL2Rvd25yZXYueG1sRI/NCsIw&#10;EITvgu8QVvBmU3uQUo0iQsGDB38P3pZmbYvNpjRR69sbQfA4zMw3zGLVm0Y8qXO1ZQXTKAZBXFhd&#10;c6ngfMonKQjnkTU2lknBmxyslsPBAjNtX3yg59GXIkDYZaig8r7NpHRFRQZdZFvi4N1sZ9AH2ZVS&#10;d/gKcNPIJI5n0mDNYaHCljYVFffjwyhY53qPj9M2kZfpNd+klF7S+06p8ahfz0F46v0//GtvtYIk&#10;ge+X8APk8gMAAP//AwBQSwECLQAUAAYACAAAACEA2+H2y+4AAACFAQAAEwAAAAAAAAAAAAAAAAAA&#10;AAAAW0NvbnRlbnRfVHlwZXNdLnhtbFBLAQItABQABgAIAAAAIQBa9CxbvwAAABUBAAALAAAAAAAA&#10;AAAAAAAAAB8BAABfcmVscy8ucmVsc1BLAQItABQABgAIAAAAIQDAO2WovwAAANsAAAAPAAAAAAAA&#10;AAAAAAAAAAcCAABkcnMvZG93bnJldi54bWxQSwUGAAAAAAMAAwC3AAAA8wIAAAAA&#10;" fillcolor="white [3212]" strokecolor="#bfbfbf [2412]" strokeweight="2pt">
                  <v:textbox inset="1.125mm,1.125mm,1.125mm,1.125mm">
                    <w:txbxContent>
                      <w:p w14:paraId="2CC53C06" w14:textId="24DBAD41" w:rsidR="00FC4C46" w:rsidRPr="008474CF" w:rsidRDefault="00FC4C46" w:rsidP="00FC4C46">
                        <w:pPr>
                          <w:pStyle w:val="NormalWeb"/>
                          <w:spacing w:after="0"/>
                          <w:jc w:val="center"/>
                          <w:textAlignment w:val="baseline"/>
                          <w:rPr>
                            <w:rFonts w:ascii="Arial" w:hAnsi="Arial" w:cs="Arial"/>
                            <w:b/>
                            <w:bCs/>
                            <w:kern w:val="24"/>
                            <w:sz w:val="32"/>
                            <w:szCs w:val="48"/>
                          </w:rPr>
                        </w:pPr>
                        <w:r w:rsidRPr="008474CF">
                          <w:rPr>
                            <w:rFonts w:ascii="Arial" w:hAnsi="Arial" w:cs="Arial"/>
                            <w:b/>
                            <w:bCs/>
                            <w:kern w:val="24"/>
                            <w:sz w:val="32"/>
                            <w:szCs w:val="48"/>
                          </w:rPr>
                          <w:t xml:space="preserve">Zweite </w:t>
                        </w:r>
                        <w:r w:rsidR="00121864" w:rsidRPr="008474CF">
                          <w:rPr>
                            <w:rFonts w:ascii="Arial" w:hAnsi="Arial" w:cs="Arial"/>
                            <w:b/>
                            <w:bCs/>
                            <w:kern w:val="24"/>
                            <w:sz w:val="32"/>
                            <w:szCs w:val="48"/>
                          </w:rPr>
                          <w:t>Linie</w:t>
                        </w:r>
                      </w:p>
                    </w:txbxContent>
                  </v:textbox>
                </v:roundrect>
                <v:roundrect id="Rettangolo con angoli arrotondati 43" o:spid="_x0000_s1032" style="position:absolute;left:27105;top:5158;width:25977;height:34070;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sNxQAAANsAAAAPAAAAZHJzL2Rvd25yZXYueG1sRI/dagIx&#10;FITvC75DOEJvimarUOxqXEpFURClWujtYXPcHzcnSxJ1fXtTKPRymJlvmFnWmUZcyfnKsoLXYQKC&#10;OLe64kLB93E5mIDwAVljY5kU3MlDNu89zTDV9sZfdD2EQkQI+xQVlCG0qZQ+L8mgH9qWOHon6wyG&#10;KF0htcNbhJtGjpLkTRqsOC6U2NJnSfn5cDEK3Lbe7PLF6qd5rxfjxC/3Lxd7Uuq5331MQQTqwn/4&#10;r73WCkZj+P0Sf4CcPwAAAP//AwBQSwECLQAUAAYACAAAACEA2+H2y+4AAACFAQAAEwAAAAAAAAAA&#10;AAAAAAAAAAAAW0NvbnRlbnRfVHlwZXNdLnhtbFBLAQItABQABgAIAAAAIQBa9CxbvwAAABUBAAAL&#10;AAAAAAAAAAAAAAAAAB8BAABfcmVscy8ucmVsc1BLAQItABQABgAIAAAAIQCKWosNxQAAANsAAAAP&#10;AAAAAAAAAAAAAAAAAAcCAABkcnMvZG93bnJldi54bWxQSwUGAAAAAAMAAwC3AAAA+QIAAAAA&#10;" fillcolor="white [3212]" strokecolor="#bfbfbf [2412]" strokeweight="2pt">
                  <v:textbox inset="1.125mm,1.125mm,1.125mm,1.125mm">
                    <w:txbxContent>
                      <w:p w14:paraId="25781957" w14:textId="237C3853" w:rsidR="00CB07F4" w:rsidRPr="008474CF" w:rsidRDefault="0051101D" w:rsidP="00CB07F4">
                        <w:pPr>
                          <w:pStyle w:val="NormalWeb"/>
                          <w:spacing w:before="144" w:beforeAutospacing="0" w:after="0" w:afterAutospacing="0"/>
                          <w:jc w:val="center"/>
                          <w:textAlignment w:val="baseline"/>
                          <w:rPr>
                            <w:rFonts w:ascii="Arial" w:hAnsi="Arial" w:cs="Arial"/>
                            <w:sz w:val="18"/>
                            <w:szCs w:val="18"/>
                          </w:rPr>
                        </w:pPr>
                        <w:r w:rsidRPr="008474CF">
                          <w:rPr>
                            <w:rFonts w:ascii="Arial" w:hAnsi="Arial" w:cs="Arial"/>
                            <w:kern w:val="24"/>
                            <w:sz w:val="18"/>
                            <w:szCs w:val="18"/>
                          </w:rPr>
                          <w:t xml:space="preserve">Die </w:t>
                        </w:r>
                        <w:r w:rsidR="00864827" w:rsidRPr="008474CF">
                          <w:rPr>
                            <w:rFonts w:ascii="Arial" w:hAnsi="Arial" w:cs="Arial"/>
                            <w:kern w:val="24"/>
                            <w:sz w:val="18"/>
                            <w:szCs w:val="18"/>
                          </w:rPr>
                          <w:t>Aufgabe des Managements, sich mit den Unternehmensrisiken zu befassen, mitsamt der Einhaltung unseres Regelwerks, der ethischen Verhaltensregeln, der internen Kontrolle, der Informations- und Technologiesicherheit, der Nachhaltigkeit und der Qualitätssicherung. Die Zuverlässigkeitsgewähr wird durch einen systematischen Prozess der Selbstbewertung und internen Validierung der Kontrollen auf Betriebsebene sowie durch die bei der WIPO vorhandenen Kontrollen auf Schlüsselprozessebene untermauert. Ich bin überzeugt, dass wir die „zweite Linie" zuverlässig umsetzen</w:t>
                        </w:r>
                        <w:r w:rsidR="00CB07F4" w:rsidRPr="008474CF">
                          <w:rPr>
                            <w:rFonts w:ascii="Arial" w:hAnsi="Arial" w:cs="Arial"/>
                            <w:kern w:val="24"/>
                            <w:sz w:val="18"/>
                            <w:szCs w:val="18"/>
                          </w:rPr>
                          <w:t>.</w:t>
                        </w:r>
                      </w:p>
                      <w:p w14:paraId="259C7EC2" w14:textId="13527F84" w:rsidR="00FC4C46" w:rsidRPr="008474CF" w:rsidRDefault="00FC4C46" w:rsidP="00E34F2D">
                        <w:pPr>
                          <w:pStyle w:val="NormalWeb"/>
                          <w:spacing w:before="144"/>
                          <w:jc w:val="center"/>
                          <w:textAlignment w:val="baseline"/>
                          <w:rPr>
                            <w:rFonts w:ascii="Arial" w:hAnsi="Arial" w:cs="Arial"/>
                            <w:kern w:val="24"/>
                            <w:sz w:val="18"/>
                            <w:szCs w:val="18"/>
                          </w:rPr>
                        </w:pPr>
                      </w:p>
                    </w:txbxContent>
                  </v:textbox>
                </v:roundrect>
                <v:roundrect id="Rettangolo con angoli arrotondati 43" o:spid="_x0000_s1033" style="position:absolute;left:54547;top:86;width:30916;height:417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eVxAAAANsAAAAPAAAAZHJzL2Rvd25yZXYueG1sRI/RasJA&#10;FETfhf7Dcgu+6aZSpaSuIRSUPAjW2A+4ZG+TTbN30+xW49+7QsHHYWbOMOtstJ040+CNYwUv8wQE&#10;ceW04VrB12k7ewPhA7LGzjEpuJKHbPM0WWOq3YWPdC5DLSKEfYoKmhD6VEpfNWTRz11PHL1vN1gM&#10;UQ611ANeItx2cpEkK2nRcFxosKePhqqf8s8q2P9i8WlsXq7atjWHsl3uCr9Uavo85u8gAo3hEf5v&#10;F1rB4hXuX+IPkJsbAAAA//8DAFBLAQItABQABgAIAAAAIQDb4fbL7gAAAIUBAAATAAAAAAAAAAAA&#10;AAAAAAAAAABbQ29udGVudF9UeXBlc10ueG1sUEsBAi0AFAAGAAgAAAAhAFr0LFu/AAAAFQEAAAsA&#10;AAAAAAAAAAAAAAAAHwEAAF9yZWxzLy5yZWxzUEsBAi0AFAAGAAgAAAAhACMU15XEAAAA2wAAAA8A&#10;AAAAAAAAAAAAAAAABwIAAGRycy9kb3ducmV2LnhtbFBLBQYAAAAAAwADALcAAAD4AgAAAAA=&#10;" fillcolor="white [3212]" strokecolor="#d99594 [1941]" strokeweight="2pt">
                  <v:textbox inset="1.125mm,1.125mm,1.125mm,1.125mm">
                    <w:txbxContent>
                      <w:p w14:paraId="7FB7A460" w14:textId="6461690C" w:rsidR="00FC4C46" w:rsidRPr="008474CF" w:rsidRDefault="00FC4C46" w:rsidP="00FC4C46">
                        <w:pPr>
                          <w:pStyle w:val="NormalWeb"/>
                          <w:spacing w:after="0"/>
                          <w:jc w:val="center"/>
                          <w:textAlignment w:val="baseline"/>
                          <w:rPr>
                            <w:rFonts w:ascii="Arial" w:hAnsi="Arial" w:cs="Arial"/>
                            <w:b/>
                            <w:bCs/>
                            <w:kern w:val="24"/>
                            <w:sz w:val="40"/>
                            <w:szCs w:val="48"/>
                          </w:rPr>
                        </w:pPr>
                        <w:r w:rsidRPr="008474CF">
                          <w:rPr>
                            <w:rFonts w:ascii="Arial" w:hAnsi="Arial" w:cs="Arial"/>
                            <w:b/>
                            <w:bCs/>
                            <w:kern w:val="24"/>
                            <w:sz w:val="32"/>
                            <w:szCs w:val="40"/>
                          </w:rPr>
                          <w:t xml:space="preserve">Dritte </w:t>
                        </w:r>
                        <w:r w:rsidR="00121864" w:rsidRPr="008474CF">
                          <w:rPr>
                            <w:rFonts w:ascii="Arial" w:hAnsi="Arial" w:cs="Arial"/>
                            <w:b/>
                            <w:bCs/>
                            <w:kern w:val="24"/>
                            <w:sz w:val="32"/>
                            <w:szCs w:val="48"/>
                          </w:rPr>
                          <w:t>Linie</w:t>
                        </w:r>
                      </w:p>
                    </w:txbxContent>
                  </v:textbox>
                </v:roundrect>
                <v:roundrect id="Rettangolo con angoli arrotondati 43" o:spid="_x0000_s1034" style="position:absolute;left:54547;top:5158;width:30870;height:34070;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pLwgAAANsAAAAPAAAAZHJzL2Rvd25yZXYueG1sRI/RagIx&#10;FETfC/5DuELfarbKFlmNUgRBEItVP+Cyue4GNzdLEt2tX98Igo/DzJxh5sveNuJGPhjHCj5HGQji&#10;0mnDlYLTcf0xBREissbGMSn4owDLxeBtjoV2Hf/S7RArkSAcClRQx9gWUoayJoth5Fri5J2dtxiT&#10;9JXUHrsEt40cZ9mXtGg4LdTY0qqm8nK4WgW8o9ywye+Xje5+dJhsp/uVV+p92H/PQETq4yv8bG+0&#10;gnEOjy/pB8jFPwAAAP//AwBQSwECLQAUAAYACAAAACEA2+H2y+4AAACFAQAAEwAAAAAAAAAAAAAA&#10;AAAAAAAAW0NvbnRlbnRfVHlwZXNdLnhtbFBLAQItABQABgAIAAAAIQBa9CxbvwAAABUBAAALAAAA&#10;AAAAAAAAAAAAAB8BAABfcmVscy8ucmVsc1BLAQItABQABgAIAAAAIQDtJspLwgAAANsAAAAPAAAA&#10;AAAAAAAAAAAAAAcCAABkcnMvZG93bnJldi54bWxQSwUGAAAAAAMAAwC3AAAA9gIAAAAA&#10;" fillcolor="white [3212]" strokecolor="#d99594 [1941]" strokeweight="2pt">
                  <v:textbox inset="1.125mm,1.125mm,1.125mm,1.125mm">
                    <w:txbxContent>
                      <w:p w14:paraId="4329F727" w14:textId="7E00119C" w:rsidR="00FC4C46" w:rsidRPr="008474CF" w:rsidRDefault="00141528" w:rsidP="00FC4C46">
                        <w:pPr>
                          <w:pStyle w:val="NormalWeb"/>
                          <w:spacing w:before="144" w:beforeAutospacing="0" w:after="0" w:afterAutospacing="0"/>
                          <w:jc w:val="center"/>
                          <w:textAlignment w:val="baseline"/>
                          <w:rPr>
                            <w:rFonts w:ascii="Arial" w:hAnsi="Arial" w:cs="Arial"/>
                            <w:sz w:val="18"/>
                            <w:szCs w:val="20"/>
                          </w:rPr>
                        </w:pPr>
                        <w:r w:rsidRPr="008474CF">
                          <w:rPr>
                            <w:rFonts w:ascii="Arial" w:hAnsi="Arial" w:cs="Arial"/>
                            <w:kern w:val="24"/>
                            <w:sz w:val="18"/>
                            <w:szCs w:val="20"/>
                          </w:rPr>
                          <w:t xml:space="preserve">Die </w:t>
                        </w:r>
                        <w:r w:rsidR="00606C48" w:rsidRPr="008474CF">
                          <w:rPr>
                            <w:rFonts w:ascii="Arial" w:hAnsi="Arial" w:cs="Arial"/>
                            <w:kern w:val="24"/>
                            <w:sz w:val="18"/>
                            <w:szCs w:val="20"/>
                          </w:rPr>
                          <w:t>WIPO-Abteilung für interne Revision und Aufsicht (IOD), auf deren Zusicherungen und Beratungsdienste ich mich stütze, und zwar in Form des WIPO-Jahresberichts vom Leiter der IOD, von Berichten über interne Prüfungen und Bewertungen sowie Managementberichte aufgrund von Untersuchungen und, soweit vorhanden, IOD-Berichten über die UPOV</w:t>
                        </w:r>
                        <w:r w:rsidR="00FC4C46" w:rsidRPr="008474CF">
                          <w:rPr>
                            <w:rFonts w:ascii="Arial" w:hAnsi="Arial" w:cs="Arial"/>
                            <w:kern w:val="24"/>
                            <w:sz w:val="18"/>
                            <w:szCs w:val="20"/>
                          </w:rPr>
                          <w:t xml:space="preserve">. </w:t>
                        </w:r>
                        <w:r w:rsidR="0071558F" w:rsidRPr="008474CF">
                          <w:rPr>
                            <w:rFonts w:ascii="Arial" w:hAnsi="Arial" w:cs="Arial"/>
                            <w:kern w:val="24"/>
                            <w:sz w:val="18"/>
                            <w:szCs w:val="20"/>
                          </w:rPr>
                          <w:t>Es besteht eine Synergie zwischen den sowohl bezüglich der UPOV als auch der WIPO durch die IOD durchgeführten Audits</w:t>
                        </w:r>
                        <w:r w:rsidR="00FC4C46" w:rsidRPr="008474CF">
                          <w:rPr>
                            <w:rFonts w:ascii="Arial" w:hAnsi="Arial" w:cs="Arial"/>
                            <w:kern w:val="24"/>
                            <w:sz w:val="18"/>
                            <w:szCs w:val="20"/>
                          </w:rPr>
                          <w:t xml:space="preserve">. </w:t>
                        </w:r>
                        <w:r w:rsidR="003662D1" w:rsidRPr="008474CF">
                          <w:rPr>
                            <w:rFonts w:ascii="Arial" w:hAnsi="Arial" w:cs="Arial"/>
                            <w:kern w:val="24"/>
                            <w:sz w:val="18"/>
                            <w:szCs w:val="20"/>
                          </w:rPr>
                          <w:t>Ich entnehme der IOD-Einschätzung der WIPO die Zusicherung, dass mit Ausnahme einiger noch verbesserungswürdiger Bereiche keine erheblichen Risiken und kein Versagen der Unternehmensführung oder der internen Kontrollen festgestellt wurden</w:t>
                        </w:r>
                        <w:r w:rsidR="00FC4C46" w:rsidRPr="008474CF">
                          <w:rPr>
                            <w:rFonts w:ascii="Arial" w:hAnsi="Arial" w:cs="Arial"/>
                            <w:kern w:val="24"/>
                            <w:sz w:val="18"/>
                            <w:szCs w:val="20"/>
                          </w:rPr>
                          <w:t>.</w:t>
                        </w:r>
                      </w:p>
                    </w:txbxContent>
                  </v:textbox>
                </v:roundrect>
                <w10:anchorlock/>
              </v:group>
            </w:pict>
          </mc:Fallback>
        </mc:AlternateContent>
      </w:r>
    </w:p>
    <w:p w14:paraId="7118DB53" w14:textId="77777777" w:rsidR="00FC4C46" w:rsidRPr="008474CF" w:rsidRDefault="00FC4C46" w:rsidP="00FC4C46">
      <w:pPr>
        <w:rPr>
          <w:rFonts w:cs="Arial"/>
          <w:color w:val="000000" w:themeColor="text1"/>
        </w:rPr>
      </w:pPr>
    </w:p>
    <w:p w14:paraId="61A2E4AE" w14:textId="279F1376" w:rsidR="00FC4C46" w:rsidRPr="008474CF" w:rsidRDefault="000175DE" w:rsidP="00FC4C46">
      <w:pPr>
        <w:rPr>
          <w:rFonts w:cs="Arial"/>
          <w:color w:val="000000" w:themeColor="text1"/>
        </w:rPr>
      </w:pPr>
      <w:r w:rsidRPr="008474CF">
        <w:rPr>
          <w:rFonts w:cs="Arial"/>
          <w:color w:val="000000" w:themeColor="text1"/>
        </w:rPr>
        <w:t>Meine Feststellung wird ebenfalls durch folgende Faktoren gestützt</w:t>
      </w:r>
      <w:r w:rsidR="00FC4C46" w:rsidRPr="008474CF">
        <w:rPr>
          <w:rFonts w:cs="Arial"/>
          <w:color w:val="000000" w:themeColor="text1"/>
        </w:rPr>
        <w:t>:</w:t>
      </w:r>
    </w:p>
    <w:p w14:paraId="412BC5D8" w14:textId="77777777" w:rsidR="00FC4C46" w:rsidRPr="008474CF" w:rsidRDefault="00FC4C46" w:rsidP="00FC4C46">
      <w:pPr>
        <w:rPr>
          <w:rFonts w:cs="Arial"/>
          <w:color w:val="000000" w:themeColor="text1"/>
        </w:rPr>
      </w:pPr>
    </w:p>
    <w:p w14:paraId="4751D91E" w14:textId="77777777" w:rsidR="00FC4C46" w:rsidRPr="008474CF" w:rsidRDefault="00FC4C46" w:rsidP="00FC4C46">
      <w:pPr>
        <w:rPr>
          <w:rFonts w:cs="Arial"/>
          <w:color w:val="000000" w:themeColor="text1"/>
        </w:rPr>
      </w:pPr>
      <w:r w:rsidRPr="008474CF">
        <w:rPr>
          <w:rFonts w:cs="Arial"/>
          <w:noProof/>
        </w:rPr>
        <mc:AlternateContent>
          <mc:Choice Requires="wpg">
            <w:drawing>
              <wp:inline distT="0" distB="0" distL="0" distR="0" wp14:anchorId="343D6BF0" wp14:editId="43ED00AC">
                <wp:extent cx="6175170" cy="1722966"/>
                <wp:effectExtent l="12700" t="12700" r="10160" b="17145"/>
                <wp:docPr id="26" name="Group 2"/>
                <wp:cNvGraphicFramePr/>
                <a:graphic xmlns:a="http://schemas.openxmlformats.org/drawingml/2006/main">
                  <a:graphicData uri="http://schemas.microsoft.com/office/word/2010/wordprocessingGroup">
                    <wpg:wgp>
                      <wpg:cNvGrpSpPr/>
                      <wpg:grpSpPr>
                        <a:xfrm>
                          <a:off x="0" y="0"/>
                          <a:ext cx="6175170" cy="1722966"/>
                          <a:chOff x="4531" y="-2"/>
                          <a:chExt cx="8282195" cy="3083839"/>
                        </a:xfrm>
                      </wpg:grpSpPr>
                      <wps:wsp>
                        <wps:cNvPr id="27" name="Rettangolo con angoli arrotondati 45"/>
                        <wps:cNvSpPr/>
                        <wps:spPr>
                          <a:xfrm>
                            <a:off x="4531" y="705302"/>
                            <a:ext cx="3961212" cy="2378534"/>
                          </a:xfrm>
                          <a:prstGeom prst="roundRect">
                            <a:avLst>
                              <a:gd name="adj" fmla="val 4650"/>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B6BCF" w14:textId="2ED0F58A" w:rsidR="00FC4C46" w:rsidRPr="008474CF" w:rsidRDefault="00FC4C46" w:rsidP="00FC4C46">
                              <w:pPr>
                                <w:pStyle w:val="NormalWeb"/>
                                <w:spacing w:before="60"/>
                                <w:jc w:val="center"/>
                                <w:textAlignment w:val="baseline"/>
                                <w:rPr>
                                  <w:rFonts w:ascii="Arial" w:hAnsi="Arial" w:cs="Arial"/>
                                  <w:color w:val="000000" w:themeColor="text1"/>
                                  <w:sz w:val="20"/>
                                  <w:szCs w:val="20"/>
                                </w:rPr>
                              </w:pPr>
                              <w:r w:rsidRPr="008474CF">
                                <w:rPr>
                                  <w:rFonts w:ascii="Arial" w:hAnsi="Arial" w:cs="Arial"/>
                                  <w:b/>
                                  <w:bCs/>
                                  <w:color w:val="000000" w:themeColor="text1"/>
                                  <w:kern w:val="24"/>
                                  <w:sz w:val="20"/>
                                  <w:szCs w:val="20"/>
                                </w:rPr>
                                <w:t xml:space="preserve">Externer </w:t>
                              </w:r>
                              <w:r w:rsidR="00B47465" w:rsidRPr="008474CF">
                                <w:rPr>
                                  <w:rFonts w:ascii="Arial" w:hAnsi="Arial" w:cs="Arial"/>
                                  <w:b/>
                                  <w:bCs/>
                                  <w:color w:val="000000" w:themeColor="text1"/>
                                  <w:kern w:val="24"/>
                                  <w:sz w:val="20"/>
                                  <w:szCs w:val="20"/>
                                </w:rPr>
                                <w:t>Revisor</w:t>
                              </w:r>
                            </w:p>
                            <w:p w14:paraId="3763B978" w14:textId="2572F5EC" w:rsidR="00FC4C46" w:rsidRPr="008474CF" w:rsidRDefault="00B02F91" w:rsidP="00FC4C46">
                              <w:pPr>
                                <w:jc w:val="center"/>
                                <w:rPr>
                                  <w:color w:val="000000" w:themeColor="text1"/>
                                </w:rPr>
                              </w:pPr>
                              <w:r w:rsidRPr="008474CF">
                                <w:rPr>
                                  <w:color w:val="000000" w:themeColor="text1"/>
                                </w:rPr>
                                <w:t>Ich berücksichtige die Empfehlungen des Externen Revisors, dessen Bericht mit seiner Stellungnahme sowie seinen Bemerkungen und Kommentaren dem Beratenden Ausschuss und dem Rat der UPOV vorgelegt wird, und vertraue auf seine Arbeit</w:t>
                              </w:r>
                              <w:r w:rsidR="00FC4C46" w:rsidRPr="008474CF">
                                <w:rPr>
                                  <w:color w:val="000000" w:themeColor="text1"/>
                                </w:rPr>
                                <w:t>.</w:t>
                              </w:r>
                            </w:p>
                          </w:txbxContent>
                        </wps:txbx>
                        <wps:bodyPr lIns="40500" tIns="40500" rIns="40500" bIns="40500" rtlCol="0" anchor="t"/>
                      </wps:wsp>
                      <wps:wsp>
                        <wps:cNvPr id="28" name="Rettangolo con angoli arrotondati 44"/>
                        <wps:cNvSpPr/>
                        <wps:spPr>
                          <a:xfrm>
                            <a:off x="4059304" y="705510"/>
                            <a:ext cx="4226022" cy="2378327"/>
                          </a:xfrm>
                          <a:prstGeom prst="roundRect">
                            <a:avLst>
                              <a:gd name="adj" fmla="val 3908"/>
                            </a:avLst>
                          </a:prstGeom>
                          <a:solidFill>
                            <a:schemeClr val="bg1"/>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EFF33" w14:textId="77CC6626" w:rsidR="00FC4C46" w:rsidRPr="008474CF" w:rsidRDefault="00FC4C46" w:rsidP="00FC4C46">
                              <w:pPr>
                                <w:pStyle w:val="NormalWeb"/>
                                <w:spacing w:before="60"/>
                                <w:jc w:val="center"/>
                                <w:textAlignment w:val="baseline"/>
                                <w:rPr>
                                  <w:rFonts w:ascii="Arial" w:hAnsi="Arial" w:cs="Arial"/>
                                  <w:color w:val="000000" w:themeColor="text1"/>
                                  <w:sz w:val="20"/>
                                  <w:szCs w:val="20"/>
                                </w:rPr>
                              </w:pPr>
                              <w:r w:rsidRPr="008474CF">
                                <w:rPr>
                                  <w:rFonts w:ascii="Arial" w:hAnsi="Arial" w:cs="Arial"/>
                                  <w:b/>
                                  <w:bCs/>
                                  <w:color w:val="000000" w:themeColor="text1"/>
                                  <w:kern w:val="24"/>
                                  <w:sz w:val="20"/>
                                  <w:szCs w:val="20"/>
                                </w:rPr>
                                <w:t>Beratender Ausschu</w:t>
                              </w:r>
                              <w:r w:rsidR="0067164F" w:rsidRPr="008474CF">
                                <w:rPr>
                                  <w:rFonts w:ascii="Arial" w:hAnsi="Arial" w:cs="Arial"/>
                                  <w:b/>
                                  <w:bCs/>
                                  <w:color w:val="000000" w:themeColor="text1"/>
                                  <w:kern w:val="24"/>
                                  <w:sz w:val="20"/>
                                  <w:szCs w:val="20"/>
                                </w:rPr>
                                <w:t>ss</w:t>
                              </w:r>
                              <w:r w:rsidRPr="008474CF">
                                <w:rPr>
                                  <w:rFonts w:ascii="Arial" w:hAnsi="Arial" w:cs="Arial"/>
                                  <w:color w:val="000000" w:themeColor="text1"/>
                                  <w:kern w:val="24"/>
                                  <w:sz w:val="20"/>
                                  <w:szCs w:val="20"/>
                                </w:rPr>
                                <w:t xml:space="preserve"> </w:t>
                              </w:r>
                              <w:r w:rsidRPr="008474CF">
                                <w:rPr>
                                  <w:rFonts w:ascii="Arial" w:hAnsi="Arial" w:cs="Arial"/>
                                  <w:color w:val="000000" w:themeColor="text1"/>
                                  <w:sz w:val="20"/>
                                  <w:szCs w:val="20"/>
                                </w:rPr>
                                <w:t>und Rat der UPOV</w:t>
                              </w:r>
                            </w:p>
                            <w:p w14:paraId="2B20E966" w14:textId="5BB7087B" w:rsidR="00FC4C46" w:rsidRPr="008474CF" w:rsidRDefault="0067164F" w:rsidP="00FC4C46">
                              <w:pPr>
                                <w:jc w:val="center"/>
                                <w:rPr>
                                  <w:sz w:val="22"/>
                                  <w:szCs w:val="22"/>
                                </w:rPr>
                              </w:pPr>
                              <w:r w:rsidRPr="008474CF">
                                <w:rPr>
                                  <w:color w:val="000000" w:themeColor="text1"/>
                                </w:rPr>
                                <w:t>Die Beobachtungen des Beratenden Ausschusses und des Rates der UPOV</w:t>
                              </w:r>
                              <w:r w:rsidR="00FC4C46" w:rsidRPr="008474CF">
                                <w:rPr>
                                  <w:color w:val="000000" w:themeColor="text1"/>
                                </w:rPr>
                                <w:t>.</w:t>
                              </w:r>
                              <w:r w:rsidR="00FC4C46" w:rsidRPr="008474CF">
                                <w:rPr>
                                  <w:sz w:val="22"/>
                                  <w:szCs w:val="22"/>
                                </w:rPr>
                                <w:br/>
                              </w:r>
                            </w:p>
                            <w:p w14:paraId="28A6A56E" w14:textId="77777777" w:rsidR="00FC4C46" w:rsidRPr="008474CF" w:rsidRDefault="00FC4C46" w:rsidP="00FC4C46">
                              <w:pPr>
                                <w:rPr>
                                  <w:sz w:val="22"/>
                                  <w:szCs w:val="22"/>
                                </w:rPr>
                              </w:pPr>
                            </w:p>
                          </w:txbxContent>
                        </wps:txbx>
                        <wps:bodyPr lIns="40500" tIns="40500" rIns="40500" bIns="40500" rtlCol="0" anchor="t"/>
                      </wps:wsp>
                      <wps:wsp>
                        <wps:cNvPr id="29" name="Rettangolo con angoli arrotondati 45"/>
                        <wps:cNvSpPr/>
                        <wps:spPr>
                          <a:xfrm>
                            <a:off x="32668" y="-2"/>
                            <a:ext cx="8254058" cy="607941"/>
                          </a:xfrm>
                          <a:prstGeom prst="roundRect">
                            <a:avLst>
                              <a:gd name="adj" fmla="val 8559"/>
                            </a:avLst>
                          </a:prstGeom>
                          <a:solidFill>
                            <a:schemeClr val="bg1"/>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5295B" w14:textId="33732139" w:rsidR="00FC4C46" w:rsidRPr="008474CF" w:rsidRDefault="000175DE" w:rsidP="00FC4C46">
                              <w:pPr>
                                <w:pStyle w:val="NormalWeb"/>
                                <w:spacing w:before="0" w:after="0"/>
                                <w:jc w:val="center"/>
                                <w:textAlignment w:val="baseline"/>
                                <w:rPr>
                                  <w:sz w:val="28"/>
                                  <w:szCs w:val="28"/>
                                </w:rPr>
                              </w:pPr>
                              <w:r w:rsidRPr="008474CF">
                                <w:rPr>
                                  <w:rFonts w:asciiTheme="minorHAnsi" w:hAnsi="Calibri" w:cstheme="minorBidi"/>
                                  <w:b/>
                                  <w:bCs/>
                                  <w:color w:val="000000" w:themeColor="text1"/>
                                  <w:kern w:val="24"/>
                                  <w:sz w:val="28"/>
                                  <w:szCs w:val="28"/>
                                </w:rPr>
                                <w:t>Durchführung</w:t>
                              </w:r>
                            </w:p>
                          </w:txbxContent>
                        </wps:txbx>
                        <wps:bodyPr lIns="40500" tIns="40500" rIns="40500" bIns="40500" rtlCol="0" anchor="ctr" anchorCtr="1"/>
                      </wps:wsp>
                    </wpg:wgp>
                  </a:graphicData>
                </a:graphic>
              </wp:inline>
            </w:drawing>
          </mc:Choice>
          <mc:Fallback>
            <w:pict>
              <v:group w14:anchorId="343D6BF0" id="Group 2" o:spid="_x0000_s1035" style="width:486.25pt;height:135.65pt;mso-position-horizontal-relative:char;mso-position-vertical-relative:line" coordorigin="45" coordsize="82821,30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XSCZQMAAMYNAAAOAAAAZHJzL2Uyb0RvYy54bWzsV9lO3DAUfa/Uf7DyDkmcZTIRAw9QUKUu&#10;CNoP8DjOTCrHjmzDDH/fazsJgUILFKhUMQ8Zb3fxyTnXzt7BtuXokindSLEI4t0oQExQWTVitQi+&#10;fzveKQKkDREV4VKwRXDFdHCw//7d3qYrGZZrySumEDgRutx0i2BtTFeGoaZr1hK9KzsmYLKWqiUG&#10;umoVVopswHvLQxxFebiRquqUpExrGD3yk8G+81/XjJqvda2ZQXwRQG7GPZV7Lu0z3N8j5UqRbt3Q&#10;Pg3yhCxa0ggIOro6IoagC9X84qptqJJa1maXyjaUdd1Q5vYAu4mjW7s5UfKic3tZlZtVN8IE0N7C&#10;6clu6ZfLE9Wdd6cKkNh0K8DC9exetrVq7T9kibYOsqsRMrY1iMJgHs+yeAbIUpiLZxjP89yDSteA&#10;vLVLsyQOEEzv4GHmQ29d4ALH88xbJ1GRFMncrgmH4OGNlDYdkERf46D/DofzNemYg1eXgMOpQk21&#10;CPAsQIK0wNUzZoC5K8klolIg12wQUUoaCYQ2DUozm61NC+xHEHWpAc87EByRmEVZEvVoDEgm8zzG&#10;MfZY4GRWZEl6AwtSdkqbEyZbZBuLANghqjOguGMeufykjaNg1edPqh8BqlsOhL4kHKV55vgO4PZr&#10;oTW4tIZa8qY6bjh3HatAdsgVAttFsFzFfTI3VnHxJ0NCKRMmdinyi/azrLzDNIKfdUlKGLZUcXHy&#10;YRhyc0XApuAIMYkLczYwkGOA2rXMFWfOnzhjNbxL4B52cUdHPsY0Jb0mFfPD2b2huXVoPdcAzujb&#10;7+ke357E/XprylwxGo2j3yXmjUcLF1kKMxq3jZDqLgccgO4j+/UDSB4ai5LZLreO506mdmQpqyvg&#10;Pv8oQE9pBDBAnZx21LSznHaU4YfSV1Yi6FpCYTUuAesXlOq18fKShUPmwZJ1orL5PUyyUTZPotTV&#10;L1BtFvecHVSbYpxHeKLaBOqHfwVD+Rwk9jTVJvOo6B2+umq9eqaqHeV5U7WjmN9U+8KqdeT6T1Q7&#10;f4RqH3fQJjjPoSZM7hyDXgucQYmDOXtfyaPZPB0q5vPItciy4QbzinI12zepjsLzJ/+/P2Bd2X5+&#10;qVKjAriL2tP20MCB6/k7HrjuxgwfC+7O1H/Y2K+Rad/dCq4/v/Z/AgAA//8DAFBLAwQUAAYACAAA&#10;ACEAv2wKud0AAAAFAQAADwAAAGRycy9kb3ducmV2LnhtbEyPQWvCQBCF74X+h2UK3uomEWubZiMi&#10;ticRqoXS25gdk2B2NmTXJP77br20l4HHe7z3TbYcTSN66lxtWUE8jUAQF1bXXCr4PLw9PoNwHllj&#10;Y5kUXMnBMr+/yzDVduAP6ve+FKGEXYoKKu/bVEpXVGTQTW1LHLyT7Qz6ILtS6g6HUG4amUTRkzRY&#10;c1iosKV1RcV5fzEK3gccVrN402/Pp/X1+zDffW1jUmryMK5eQXga/V8YfvEDOuSB6WgvrJ1oFIRH&#10;/O0G72WRzEEcFSSLeAYyz+R/+vwHAAD//wMAUEsBAi0AFAAGAAgAAAAhALaDOJL+AAAA4QEAABMA&#10;AAAAAAAAAAAAAAAAAAAAAFtDb250ZW50X1R5cGVzXS54bWxQSwECLQAUAAYACAAAACEAOP0h/9YA&#10;AACUAQAACwAAAAAAAAAAAAAAAAAvAQAAX3JlbHMvLnJlbHNQSwECLQAUAAYACAAAACEAtmF0gmUD&#10;AADGDQAADgAAAAAAAAAAAAAAAAAuAgAAZHJzL2Uyb0RvYy54bWxQSwECLQAUAAYACAAAACEAv2wK&#10;ud0AAAAFAQAADwAAAAAAAAAAAAAAAAC/BQAAZHJzL2Rvd25yZXYueG1sUEsFBgAAAAAEAAQA8wAA&#10;AMkGAAAAAA==&#10;">
                <v:roundrect id="Rettangolo con angoli arrotondati 45" o:spid="_x0000_s1036" style="position:absolute;left:45;top:7053;width:39612;height:23785;visibility:visible;mso-wrap-style:square;v-text-anchor:top" arcsize="30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DxAAAANsAAAAPAAAAZHJzL2Rvd25yZXYueG1sRI/RasJA&#10;FETfBf9huYIvohtFqkRXCUKhii00+gHX7DUJZu/G7BrTv+8WCj4OM3OGWW87U4mWGldaVjCdRCCI&#10;M6tLzhWcT+/jJQjnkTVWlknBDznYbvq9NcbaPvmb2tTnIkDYxaig8L6OpXRZQQbdxNbEwbvaxqAP&#10;ssmlbvAZ4KaSsyh6kwZLDgsF1rQrKLulD6OgPSaj/Xz35e+j5PC5TC92fsytUsNBl6xAeOr8K/zf&#10;/tAKZgv4+xJ+gNz8AgAA//8DAFBLAQItABQABgAIAAAAIQDb4fbL7gAAAIUBAAATAAAAAAAAAAAA&#10;AAAAAAAAAABbQ29udGVudF9UeXBlc10ueG1sUEsBAi0AFAAGAAgAAAAhAFr0LFu/AAAAFQEAAAsA&#10;AAAAAAAAAAAAAAAAHwEAAF9yZWxzLy5yZWxzUEsBAi0AFAAGAAgAAAAhAO35yAPEAAAA2wAAAA8A&#10;AAAAAAAAAAAAAAAABwIAAGRycy9kb3ducmV2LnhtbFBLBQYAAAAAAwADALcAAAD4AgAAAAA=&#10;" fillcolor="white [3212]" strokecolor="#b8cce4 [1300]" strokeweight="2pt">
                  <v:textbox inset="1.125mm,1.125mm,1.125mm,1.125mm">
                    <w:txbxContent>
                      <w:p w14:paraId="3BFB6BCF" w14:textId="2ED0F58A" w:rsidR="00FC4C46" w:rsidRPr="008474CF" w:rsidRDefault="00FC4C46" w:rsidP="00FC4C46">
                        <w:pPr>
                          <w:pStyle w:val="NormalWeb"/>
                          <w:spacing w:before="60"/>
                          <w:jc w:val="center"/>
                          <w:textAlignment w:val="baseline"/>
                          <w:rPr>
                            <w:rFonts w:ascii="Arial" w:hAnsi="Arial" w:cs="Arial"/>
                            <w:color w:val="000000" w:themeColor="text1"/>
                            <w:sz w:val="20"/>
                            <w:szCs w:val="20"/>
                          </w:rPr>
                        </w:pPr>
                        <w:r w:rsidRPr="008474CF">
                          <w:rPr>
                            <w:rFonts w:ascii="Arial" w:hAnsi="Arial" w:cs="Arial"/>
                            <w:b/>
                            <w:bCs/>
                            <w:color w:val="000000" w:themeColor="text1"/>
                            <w:kern w:val="24"/>
                            <w:sz w:val="20"/>
                            <w:szCs w:val="20"/>
                          </w:rPr>
                          <w:t xml:space="preserve">Externer </w:t>
                        </w:r>
                        <w:r w:rsidR="00B47465" w:rsidRPr="008474CF">
                          <w:rPr>
                            <w:rFonts w:ascii="Arial" w:hAnsi="Arial" w:cs="Arial"/>
                            <w:b/>
                            <w:bCs/>
                            <w:color w:val="000000" w:themeColor="text1"/>
                            <w:kern w:val="24"/>
                            <w:sz w:val="20"/>
                            <w:szCs w:val="20"/>
                          </w:rPr>
                          <w:t>Revisor</w:t>
                        </w:r>
                      </w:p>
                      <w:p w14:paraId="3763B978" w14:textId="2572F5EC" w:rsidR="00FC4C46" w:rsidRPr="008474CF" w:rsidRDefault="00B02F91" w:rsidP="00FC4C46">
                        <w:pPr>
                          <w:jc w:val="center"/>
                          <w:rPr>
                            <w:color w:val="000000" w:themeColor="text1"/>
                          </w:rPr>
                        </w:pPr>
                        <w:r w:rsidRPr="008474CF">
                          <w:rPr>
                            <w:color w:val="000000" w:themeColor="text1"/>
                          </w:rPr>
                          <w:t>Ich berücksichtige die Empfehlungen des Externen Revisors, dessen Bericht mit seiner Stellungnahme sowie seinen Bemerkungen und Kommentaren dem Beratenden Ausschuss und dem Rat der UPOV vorgelegt wird, und vertraue auf seine Arbeit</w:t>
                        </w:r>
                        <w:r w:rsidR="00FC4C46" w:rsidRPr="008474CF">
                          <w:rPr>
                            <w:color w:val="000000" w:themeColor="text1"/>
                          </w:rPr>
                          <w:t>.</w:t>
                        </w:r>
                      </w:p>
                    </w:txbxContent>
                  </v:textbox>
                </v:roundrect>
                <v:roundrect id="Rettangolo con angoli arrotondati 44" o:spid="_x0000_s1037" style="position:absolute;left:40593;top:7055;width:42260;height:23783;visibility:visible;mso-wrap-style:square;v-text-anchor:top" arcsize="25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K0wgAAANsAAAAPAAAAZHJzL2Rvd25yZXYueG1sRE/LasJA&#10;FN0X/IfhCu6aiS6kxIwSAoLSKq1K6fI2c5sEM3dCZvLw7zuLQpeH8053k2nEQJ2rLStYRjEI4sLq&#10;mksFt+v++QWE88gaG8uk4EEOdtvZU4qJtiN/0HDxpQgh7BJUUHnfJlK6oiKDLrItceB+bGfQB9iV&#10;Unc4hnDTyFUcr6XBmkNDhS3lFRX3S28U5Nl4XvbF6Xgu3/L3V8ps9v35pdRiPmUbEJ4m/y/+cx+0&#10;glUYG76EHyC3vwAAAP//AwBQSwECLQAUAAYACAAAACEA2+H2y+4AAACFAQAAEwAAAAAAAAAAAAAA&#10;AAAAAAAAW0NvbnRlbnRfVHlwZXNdLnhtbFBLAQItABQABgAIAAAAIQBa9CxbvwAAABUBAAALAAAA&#10;AAAAAAAAAAAAAB8BAABfcmVscy8ucmVsc1BLAQItABQABgAIAAAAIQAPWFK0wgAAANsAAAAPAAAA&#10;AAAAAAAAAAAAAAcCAABkcnMvZG93bnJldi54bWxQSwUGAAAAAAMAAwC3AAAA9gIAAAAA&#10;" fillcolor="white [3212]" strokecolor="#d99594 [1941]" strokeweight="2pt">
                  <v:textbox inset="1.125mm,1.125mm,1.125mm,1.125mm">
                    <w:txbxContent>
                      <w:p w14:paraId="07CEFF33" w14:textId="77CC6626" w:rsidR="00FC4C46" w:rsidRPr="008474CF" w:rsidRDefault="00FC4C46" w:rsidP="00FC4C46">
                        <w:pPr>
                          <w:pStyle w:val="NormalWeb"/>
                          <w:spacing w:before="60"/>
                          <w:jc w:val="center"/>
                          <w:textAlignment w:val="baseline"/>
                          <w:rPr>
                            <w:rFonts w:ascii="Arial" w:hAnsi="Arial" w:cs="Arial"/>
                            <w:color w:val="000000" w:themeColor="text1"/>
                            <w:sz w:val="20"/>
                            <w:szCs w:val="20"/>
                          </w:rPr>
                        </w:pPr>
                        <w:r w:rsidRPr="008474CF">
                          <w:rPr>
                            <w:rFonts w:ascii="Arial" w:hAnsi="Arial" w:cs="Arial"/>
                            <w:b/>
                            <w:bCs/>
                            <w:color w:val="000000" w:themeColor="text1"/>
                            <w:kern w:val="24"/>
                            <w:sz w:val="20"/>
                            <w:szCs w:val="20"/>
                          </w:rPr>
                          <w:t>Beratender Ausschu</w:t>
                        </w:r>
                        <w:r w:rsidR="0067164F" w:rsidRPr="008474CF">
                          <w:rPr>
                            <w:rFonts w:ascii="Arial" w:hAnsi="Arial" w:cs="Arial"/>
                            <w:b/>
                            <w:bCs/>
                            <w:color w:val="000000" w:themeColor="text1"/>
                            <w:kern w:val="24"/>
                            <w:sz w:val="20"/>
                            <w:szCs w:val="20"/>
                          </w:rPr>
                          <w:t>ss</w:t>
                        </w:r>
                        <w:r w:rsidRPr="008474CF">
                          <w:rPr>
                            <w:rFonts w:ascii="Arial" w:hAnsi="Arial" w:cs="Arial"/>
                            <w:color w:val="000000" w:themeColor="text1"/>
                            <w:kern w:val="24"/>
                            <w:sz w:val="20"/>
                            <w:szCs w:val="20"/>
                          </w:rPr>
                          <w:t xml:space="preserve"> </w:t>
                        </w:r>
                        <w:r w:rsidRPr="008474CF">
                          <w:rPr>
                            <w:rFonts w:ascii="Arial" w:hAnsi="Arial" w:cs="Arial"/>
                            <w:color w:val="000000" w:themeColor="text1"/>
                            <w:sz w:val="20"/>
                            <w:szCs w:val="20"/>
                          </w:rPr>
                          <w:t>und Rat der UPOV</w:t>
                        </w:r>
                      </w:p>
                      <w:p w14:paraId="2B20E966" w14:textId="5BB7087B" w:rsidR="00FC4C46" w:rsidRPr="008474CF" w:rsidRDefault="0067164F" w:rsidP="00FC4C46">
                        <w:pPr>
                          <w:jc w:val="center"/>
                          <w:rPr>
                            <w:sz w:val="22"/>
                            <w:szCs w:val="22"/>
                          </w:rPr>
                        </w:pPr>
                        <w:r w:rsidRPr="008474CF">
                          <w:rPr>
                            <w:color w:val="000000" w:themeColor="text1"/>
                          </w:rPr>
                          <w:t>Die Beobachtungen des Beratenden Ausschusses und des Rates der UPOV</w:t>
                        </w:r>
                        <w:r w:rsidR="00FC4C46" w:rsidRPr="008474CF">
                          <w:rPr>
                            <w:color w:val="000000" w:themeColor="text1"/>
                          </w:rPr>
                          <w:t>.</w:t>
                        </w:r>
                        <w:r w:rsidR="00FC4C46" w:rsidRPr="008474CF">
                          <w:rPr>
                            <w:sz w:val="22"/>
                            <w:szCs w:val="22"/>
                          </w:rPr>
                          <w:br/>
                        </w:r>
                      </w:p>
                      <w:p w14:paraId="28A6A56E" w14:textId="77777777" w:rsidR="00FC4C46" w:rsidRPr="008474CF" w:rsidRDefault="00FC4C46" w:rsidP="00FC4C46">
                        <w:pPr>
                          <w:rPr>
                            <w:sz w:val="22"/>
                            <w:szCs w:val="22"/>
                          </w:rPr>
                        </w:pPr>
                      </w:p>
                    </w:txbxContent>
                  </v:textbox>
                </v:roundrect>
                <v:roundrect id="Rettangolo con angoli arrotondati 45" o:spid="_x0000_s1038" style="position:absolute;left:326;width:82541;height:6079;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vhvwAAANsAAAAPAAAAZHJzL2Rvd25yZXYueG1sRI9Li8Iw&#10;FIX3gv8hXGF2murCRzWKKIKrAZ/rS3NtSpub0kRb//1kQHB5OI+Ps9p0thIvanzhWMF4lIAgzpwu&#10;OFdwvRyGcxA+IGusHJOCN3nYrPu9FabatXyi1znkIo6wT1GBCaFOpfSZIYt+5Gri6D1cYzFE2eRS&#10;N9jGcVvJSZJMpcWCI8FgTTtDWXl+2sg9/Lpuf8vvPGu3WL9NaV1RKvUz6LZLEIG68A1/2ketYLKA&#10;/y/xB8j1HwAAAP//AwBQSwECLQAUAAYACAAAACEA2+H2y+4AAACFAQAAEwAAAAAAAAAAAAAAAAAA&#10;AAAAW0NvbnRlbnRfVHlwZXNdLnhtbFBLAQItABQABgAIAAAAIQBa9CxbvwAAABUBAAALAAAAAAAA&#10;AAAAAAAAAB8BAABfcmVscy8ucmVsc1BLAQItABQABgAIAAAAIQAodKvhvwAAANsAAAAPAAAAAAAA&#10;AAAAAAAAAAcCAABkcnMvZG93bnJldi54bWxQSwUGAAAAAAMAAwC3AAAA8wIAAAAA&#10;" fillcolor="white [3212]" strokecolor="#548dd4 [1951]" strokeweight="2pt">
                  <v:textbox inset="1.125mm,1.125mm,1.125mm,1.125mm">
                    <w:txbxContent>
                      <w:p w14:paraId="1C25295B" w14:textId="33732139" w:rsidR="00FC4C46" w:rsidRPr="008474CF" w:rsidRDefault="000175DE" w:rsidP="00FC4C46">
                        <w:pPr>
                          <w:pStyle w:val="NormalWeb"/>
                          <w:spacing w:before="0" w:after="0"/>
                          <w:jc w:val="center"/>
                          <w:textAlignment w:val="baseline"/>
                          <w:rPr>
                            <w:sz w:val="28"/>
                            <w:szCs w:val="28"/>
                          </w:rPr>
                        </w:pPr>
                        <w:r w:rsidRPr="008474CF">
                          <w:rPr>
                            <w:rFonts w:asciiTheme="minorHAnsi" w:hAnsi="Calibri" w:cstheme="minorBidi"/>
                            <w:b/>
                            <w:bCs/>
                            <w:color w:val="000000" w:themeColor="text1"/>
                            <w:kern w:val="24"/>
                            <w:sz w:val="28"/>
                            <w:szCs w:val="28"/>
                          </w:rPr>
                          <w:t>Durchführung</w:t>
                        </w:r>
                      </w:p>
                    </w:txbxContent>
                  </v:textbox>
                </v:roundrect>
                <w10:anchorlock/>
              </v:group>
            </w:pict>
          </mc:Fallback>
        </mc:AlternateContent>
      </w:r>
    </w:p>
    <w:p w14:paraId="2A033216" w14:textId="77777777" w:rsidR="00FC4C46" w:rsidRPr="008474CF" w:rsidRDefault="00FC4C46" w:rsidP="00FC4C46">
      <w:pPr>
        <w:rPr>
          <w:rFonts w:cs="Arial"/>
          <w:color w:val="000000" w:themeColor="text1"/>
        </w:rPr>
      </w:pPr>
    </w:p>
    <w:p w14:paraId="57A535D4" w14:textId="3B531FE2" w:rsidR="00FC4C46" w:rsidRPr="008474CF" w:rsidRDefault="001C6B83" w:rsidP="00FC4C46">
      <w:pPr>
        <w:rPr>
          <w:rFonts w:cs="Arial"/>
          <w:color w:val="000000" w:themeColor="text1"/>
        </w:rPr>
      </w:pPr>
      <w:r w:rsidRPr="008474CF">
        <w:rPr>
          <w:rFonts w:cs="Arial"/>
          <w:color w:val="000000" w:themeColor="text1"/>
        </w:rPr>
        <w:t>Darüber hinaus stelle ich sicher</w:t>
      </w:r>
      <w:r w:rsidR="00FC4C46" w:rsidRPr="008474CF">
        <w:rPr>
          <w:rFonts w:cs="Arial"/>
          <w:color w:val="000000" w:themeColor="text1"/>
        </w:rPr>
        <w:t xml:space="preserve">, </w:t>
      </w:r>
      <w:r w:rsidR="00A822B4" w:rsidRPr="008474CF">
        <w:rPr>
          <w:rFonts w:cs="Arial"/>
          <w:color w:val="000000" w:themeColor="text1"/>
        </w:rPr>
        <w:t xml:space="preserve">dass es für Mitglieder Verfahren gibt, um Feedback zu geben, dass das UPOV-Büro Dienste zur Lösung von Kundenbeschwerden bereitstellt und dass für die UPOV-Bediensteten eine Reihe von offiziellen und </w:t>
      </w:r>
      <w:r w:rsidR="004F1817" w:rsidRPr="008474CF">
        <w:rPr>
          <w:rFonts w:cs="Arial"/>
          <w:color w:val="000000" w:themeColor="text1"/>
        </w:rPr>
        <w:t>inoffiziellen</w:t>
      </w:r>
      <w:r w:rsidR="00FC4C46" w:rsidRPr="008474CF">
        <w:rPr>
          <w:rFonts w:cs="Arial"/>
          <w:color w:val="000000" w:themeColor="text1"/>
        </w:rPr>
        <w:t xml:space="preserve"> Konfliktlösungsmechanismen über die WIPO </w:t>
      </w:r>
      <w:r w:rsidR="00A6309F" w:rsidRPr="008474CF">
        <w:rPr>
          <w:rFonts w:cs="Arial"/>
          <w:color w:val="000000" w:themeColor="text1"/>
        </w:rPr>
        <w:t xml:space="preserve">zur </w:t>
      </w:r>
      <w:r w:rsidR="00DB34E4" w:rsidRPr="008474CF">
        <w:rPr>
          <w:rFonts w:cs="Arial"/>
          <w:color w:val="000000" w:themeColor="text1"/>
        </w:rPr>
        <w:t>Verfügung</w:t>
      </w:r>
      <w:r w:rsidR="00A6309F" w:rsidRPr="008474CF">
        <w:rPr>
          <w:rFonts w:cs="Arial"/>
          <w:color w:val="000000" w:themeColor="text1"/>
        </w:rPr>
        <w:t xml:space="preserve"> stehen</w:t>
      </w:r>
      <w:r w:rsidR="00FC4C46" w:rsidRPr="008474CF">
        <w:rPr>
          <w:rFonts w:cs="Arial"/>
          <w:color w:val="000000" w:themeColor="text1"/>
        </w:rPr>
        <w:t>.</w:t>
      </w:r>
    </w:p>
    <w:p w14:paraId="780EFCEC" w14:textId="77777777" w:rsidR="00FC4C46" w:rsidRPr="008474CF" w:rsidRDefault="00FC4C46" w:rsidP="00FC4C46">
      <w:pPr>
        <w:rPr>
          <w:rFonts w:eastAsiaTheme="majorEastAsia" w:cs="Arial"/>
          <w:b/>
          <w:color w:val="000000" w:themeColor="text1"/>
        </w:rPr>
      </w:pPr>
    </w:p>
    <w:p w14:paraId="7209F40D" w14:textId="77777777" w:rsidR="00FC4C46" w:rsidRPr="008474CF" w:rsidRDefault="00FC4C46" w:rsidP="00FC4C46">
      <w:pPr>
        <w:rPr>
          <w:rFonts w:eastAsiaTheme="majorEastAsia" w:cs="Arial"/>
          <w:b/>
          <w:color w:val="000000" w:themeColor="text1"/>
        </w:rPr>
      </w:pPr>
    </w:p>
    <w:p w14:paraId="02E47C8E" w14:textId="032BC2EE" w:rsidR="00FC4C46" w:rsidRPr="008474CF" w:rsidRDefault="00FC4C46" w:rsidP="0020751D">
      <w:pPr>
        <w:pStyle w:val="BodyText"/>
        <w:keepNext/>
        <w:widowControl w:val="0"/>
        <w:numPr>
          <w:ilvl w:val="0"/>
          <w:numId w:val="13"/>
        </w:numPr>
        <w:autoSpaceDE w:val="0"/>
        <w:autoSpaceDN w:val="0"/>
        <w:jc w:val="left"/>
        <w:rPr>
          <w:b/>
          <w:bCs/>
        </w:rPr>
      </w:pPr>
      <w:r w:rsidRPr="008474CF">
        <w:rPr>
          <w:b/>
          <w:bCs/>
        </w:rPr>
        <w:t>Kontroll</w:t>
      </w:r>
      <w:r w:rsidR="00162E29" w:rsidRPr="008474CF">
        <w:rPr>
          <w:b/>
          <w:bCs/>
        </w:rPr>
        <w:t>aktivitäten</w:t>
      </w:r>
    </w:p>
    <w:p w14:paraId="128B015F" w14:textId="77777777" w:rsidR="00FC4C46" w:rsidRPr="008474CF" w:rsidRDefault="00FC4C46" w:rsidP="00FC4C46">
      <w:pPr>
        <w:rPr>
          <w:rFonts w:cs="Arial"/>
          <w:color w:val="000000" w:themeColor="text1"/>
        </w:rPr>
      </w:pPr>
    </w:p>
    <w:p w14:paraId="79C04C50" w14:textId="423129E1" w:rsidR="00FC4C46" w:rsidRPr="008474CF" w:rsidRDefault="00FC4C46" w:rsidP="00FC4C46">
      <w:pPr>
        <w:pStyle w:val="BodyText"/>
        <w:rPr>
          <w:rFonts w:cs="Arial"/>
          <w:color w:val="000000" w:themeColor="text1"/>
        </w:rPr>
      </w:pPr>
      <w:r w:rsidRPr="008474CF">
        <w:rPr>
          <w:rFonts w:cs="Arial"/>
          <w:color w:val="000000" w:themeColor="text1"/>
        </w:rPr>
        <w:t xml:space="preserve">Die UPOV profitiert von der kontinuierlichen Verbesserung der </w:t>
      </w:r>
      <w:r w:rsidR="0063663B" w:rsidRPr="008474CF">
        <w:rPr>
          <w:rFonts w:cs="Arial"/>
          <w:color w:val="000000" w:themeColor="text1"/>
        </w:rPr>
        <w:t>WIPO-Sicherungsverfahren</w:t>
      </w:r>
      <w:r w:rsidRPr="008474CF">
        <w:rPr>
          <w:rFonts w:cs="Arial"/>
          <w:color w:val="000000" w:themeColor="text1"/>
        </w:rPr>
        <w:t xml:space="preserve"> und der interne Kontrollrahmen wurde durch eine gründliche Überprüfung der </w:t>
      </w:r>
      <w:r w:rsidR="00F361E9" w:rsidRPr="008474CF">
        <w:rPr>
          <w:rFonts w:cs="Arial"/>
          <w:color w:val="000000" w:themeColor="text1"/>
        </w:rPr>
        <w:t>wichtigsten Kontrollen</w:t>
      </w:r>
      <w:r w:rsidRPr="008474CF">
        <w:rPr>
          <w:rFonts w:cs="Arial"/>
          <w:color w:val="000000" w:themeColor="text1"/>
        </w:rPr>
        <w:t xml:space="preserve"> im Jahr 2024 verstärkt. Die Überprüfung konzentrierte sich auf die Identifizierung und Rationalisierung </w:t>
      </w:r>
      <w:r w:rsidR="00C7244F" w:rsidRPr="008474CF">
        <w:rPr>
          <w:rFonts w:cs="Arial"/>
          <w:color w:val="000000" w:themeColor="text1"/>
        </w:rPr>
        <w:t>der</w:t>
      </w:r>
      <w:r w:rsidRPr="008474CF">
        <w:rPr>
          <w:rFonts w:cs="Arial"/>
          <w:color w:val="000000" w:themeColor="text1"/>
        </w:rPr>
        <w:t xml:space="preserve"> </w:t>
      </w:r>
      <w:r w:rsidR="00F361E9" w:rsidRPr="008474CF">
        <w:rPr>
          <w:rFonts w:cs="Arial"/>
          <w:color w:val="000000" w:themeColor="text1"/>
        </w:rPr>
        <w:t>wichtigsten Kontrollen</w:t>
      </w:r>
      <w:r w:rsidRPr="008474CF">
        <w:rPr>
          <w:rFonts w:cs="Arial"/>
          <w:color w:val="000000" w:themeColor="text1"/>
        </w:rPr>
        <w:t xml:space="preserve">, die für das Management </w:t>
      </w:r>
      <w:r w:rsidR="00B571AC" w:rsidRPr="008474CF">
        <w:rPr>
          <w:rFonts w:cs="Arial"/>
          <w:color w:val="000000" w:themeColor="text1"/>
        </w:rPr>
        <w:t>der</w:t>
      </w:r>
      <w:r w:rsidRPr="008474CF">
        <w:rPr>
          <w:rFonts w:cs="Arial"/>
          <w:color w:val="000000" w:themeColor="text1"/>
        </w:rPr>
        <w:t xml:space="preserve"> </w:t>
      </w:r>
      <w:r w:rsidR="00B571AC" w:rsidRPr="008474CF">
        <w:rPr>
          <w:rFonts w:cs="Arial"/>
          <w:color w:val="000000" w:themeColor="text1"/>
        </w:rPr>
        <w:t>wichtigsten Risiken</w:t>
      </w:r>
      <w:r w:rsidRPr="008474CF">
        <w:rPr>
          <w:rFonts w:cs="Arial"/>
          <w:color w:val="000000" w:themeColor="text1"/>
        </w:rPr>
        <w:t xml:space="preserve"> entscheidend sind.</w:t>
      </w:r>
    </w:p>
    <w:p w14:paraId="613C8FBF" w14:textId="77777777" w:rsidR="00FC4C46" w:rsidRPr="008474CF" w:rsidRDefault="00FC4C46" w:rsidP="00FC4C46">
      <w:pPr>
        <w:pStyle w:val="BodyText"/>
        <w:widowControl w:val="0"/>
        <w:autoSpaceDE w:val="0"/>
        <w:autoSpaceDN w:val="0"/>
        <w:jc w:val="left"/>
        <w:rPr>
          <w:rFonts w:cs="Arial"/>
          <w:color w:val="000000" w:themeColor="text1"/>
        </w:rPr>
      </w:pPr>
    </w:p>
    <w:p w14:paraId="6B6387CC" w14:textId="081E042B" w:rsidR="00FC4C46" w:rsidRPr="008474CF" w:rsidRDefault="00A912BF" w:rsidP="00FC4C46">
      <w:pPr>
        <w:pStyle w:val="BodyText"/>
        <w:widowControl w:val="0"/>
        <w:autoSpaceDE w:val="0"/>
        <w:autoSpaceDN w:val="0"/>
        <w:rPr>
          <w:rFonts w:cs="Arial"/>
          <w:color w:val="000000" w:themeColor="text1"/>
        </w:rPr>
      </w:pPr>
      <w:r w:rsidRPr="008474CF">
        <w:rPr>
          <w:rFonts w:cs="Arial"/>
          <w:color w:val="000000" w:themeColor="text1"/>
        </w:rPr>
        <w:t>Die</w:t>
      </w:r>
      <w:r w:rsidR="00FC4C46" w:rsidRPr="008474CF">
        <w:rPr>
          <w:rFonts w:cs="Arial"/>
          <w:color w:val="000000" w:themeColor="text1"/>
        </w:rPr>
        <w:t xml:space="preserve"> Hauptergebnisse der Überprüfung der </w:t>
      </w:r>
      <w:r w:rsidR="00F361E9" w:rsidRPr="008474CF">
        <w:rPr>
          <w:rFonts w:cs="Arial"/>
          <w:color w:val="000000" w:themeColor="text1"/>
        </w:rPr>
        <w:t>wichtigsten Kontrollen</w:t>
      </w:r>
      <w:r w:rsidR="00FC4C46" w:rsidRPr="008474CF">
        <w:rPr>
          <w:rFonts w:cs="Arial"/>
          <w:color w:val="000000" w:themeColor="text1"/>
        </w:rPr>
        <w:t xml:space="preserve"> </w:t>
      </w:r>
      <w:r w:rsidR="006A3ACC" w:rsidRPr="008474CF">
        <w:rPr>
          <w:rFonts w:cs="Arial"/>
          <w:color w:val="000000" w:themeColor="text1"/>
        </w:rPr>
        <w:t>umfassen</w:t>
      </w:r>
      <w:r w:rsidR="00FC4C46" w:rsidRPr="008474CF">
        <w:rPr>
          <w:rFonts w:cs="Arial"/>
          <w:color w:val="000000" w:themeColor="text1"/>
        </w:rPr>
        <w:t xml:space="preserve">: </w:t>
      </w:r>
    </w:p>
    <w:p w14:paraId="645D8F26" w14:textId="77777777" w:rsidR="00FC4C46" w:rsidRPr="008474CF" w:rsidRDefault="00FC4C46" w:rsidP="00FC4C46">
      <w:pPr>
        <w:pStyle w:val="BodyText"/>
        <w:widowControl w:val="0"/>
        <w:autoSpaceDE w:val="0"/>
        <w:autoSpaceDN w:val="0"/>
        <w:rPr>
          <w:rFonts w:cs="Arial"/>
          <w:color w:val="000000" w:themeColor="text1"/>
        </w:rPr>
      </w:pPr>
    </w:p>
    <w:p w14:paraId="74499053" w14:textId="18DA0751" w:rsidR="00FC4C46" w:rsidRPr="008474CF" w:rsidRDefault="00FC4C46" w:rsidP="002F343D">
      <w:pPr>
        <w:pStyle w:val="BodyText"/>
        <w:widowControl w:val="0"/>
        <w:numPr>
          <w:ilvl w:val="0"/>
          <w:numId w:val="15"/>
        </w:numPr>
        <w:autoSpaceDE w:val="0"/>
        <w:autoSpaceDN w:val="0"/>
        <w:rPr>
          <w:rFonts w:cs="Arial"/>
          <w:color w:val="000000" w:themeColor="text1"/>
        </w:rPr>
      </w:pPr>
      <w:r w:rsidRPr="008474CF">
        <w:rPr>
          <w:rFonts w:cs="Arial"/>
          <w:color w:val="000000" w:themeColor="text1"/>
        </w:rPr>
        <w:t xml:space="preserve">Verbesserte Ausrichtung der </w:t>
      </w:r>
      <w:r w:rsidR="00F361E9" w:rsidRPr="008474CF">
        <w:rPr>
          <w:rFonts w:cs="Arial"/>
          <w:color w:val="000000" w:themeColor="text1"/>
        </w:rPr>
        <w:t>wichtigsten Kontrollen</w:t>
      </w:r>
      <w:r w:rsidRPr="008474CF">
        <w:rPr>
          <w:rFonts w:cs="Arial"/>
          <w:color w:val="000000" w:themeColor="text1"/>
        </w:rPr>
        <w:t xml:space="preserve"> an den Grundsätzen des Committee of Sponsoring Organizations of the Treadway Commission (COSO), um eine umfassende Abdeckung aller fünf COSO-Komponenten und -Grundsätze sicherzustellen; </w:t>
      </w:r>
    </w:p>
    <w:p w14:paraId="4532B318" w14:textId="77777777" w:rsidR="00FC4C46" w:rsidRPr="008474CF" w:rsidRDefault="00FC4C46" w:rsidP="00FC4C46">
      <w:pPr>
        <w:pStyle w:val="BodyText"/>
        <w:widowControl w:val="0"/>
        <w:autoSpaceDE w:val="0"/>
        <w:autoSpaceDN w:val="0"/>
        <w:ind w:left="360" w:firstLine="60"/>
        <w:rPr>
          <w:rFonts w:cs="Arial"/>
          <w:color w:val="000000" w:themeColor="text1"/>
        </w:rPr>
      </w:pPr>
    </w:p>
    <w:p w14:paraId="450D6BC5" w14:textId="4C0717A9" w:rsidR="00FC4C46" w:rsidRPr="008474CF" w:rsidRDefault="00FC4C46" w:rsidP="002F343D">
      <w:pPr>
        <w:pStyle w:val="BodyText"/>
        <w:widowControl w:val="0"/>
        <w:numPr>
          <w:ilvl w:val="0"/>
          <w:numId w:val="15"/>
        </w:numPr>
        <w:autoSpaceDE w:val="0"/>
        <w:autoSpaceDN w:val="0"/>
        <w:rPr>
          <w:rFonts w:cs="Arial"/>
          <w:color w:val="000000" w:themeColor="text1"/>
        </w:rPr>
      </w:pPr>
      <w:r w:rsidRPr="008474CF">
        <w:rPr>
          <w:rFonts w:cs="Arial"/>
          <w:color w:val="000000" w:themeColor="text1"/>
        </w:rPr>
        <w:t>Verbesserte Kontrollbeschreibungen, die sich auf Kontroll</w:t>
      </w:r>
      <w:r w:rsidR="00E92469" w:rsidRPr="008474CF">
        <w:rPr>
          <w:rFonts w:cs="Arial"/>
          <w:color w:val="000000" w:themeColor="text1"/>
        </w:rPr>
        <w:t>aktivitä</w:t>
      </w:r>
      <w:r w:rsidRPr="008474CF">
        <w:rPr>
          <w:rFonts w:cs="Arial"/>
          <w:color w:val="000000" w:themeColor="text1"/>
        </w:rPr>
        <w:t xml:space="preserve">ten statt auf Prozessbeschreibungen konzentrieren, was zu einem gezielteren Kontrollrahmen führt; </w:t>
      </w:r>
    </w:p>
    <w:p w14:paraId="2EEC4C6B" w14:textId="77777777" w:rsidR="00FC4C46" w:rsidRPr="008474CF" w:rsidRDefault="00FC4C46" w:rsidP="00FC4C46">
      <w:pPr>
        <w:pStyle w:val="BodyText"/>
        <w:widowControl w:val="0"/>
        <w:autoSpaceDE w:val="0"/>
        <w:autoSpaceDN w:val="0"/>
        <w:ind w:left="360" w:firstLine="60"/>
        <w:rPr>
          <w:rFonts w:cs="Arial"/>
          <w:color w:val="000000" w:themeColor="text1"/>
        </w:rPr>
      </w:pPr>
    </w:p>
    <w:p w14:paraId="494EC776" w14:textId="27EA895B" w:rsidR="005357BF" w:rsidRPr="008474CF" w:rsidRDefault="00FC4C46" w:rsidP="002F343D">
      <w:pPr>
        <w:pStyle w:val="BodyText"/>
        <w:widowControl w:val="0"/>
        <w:numPr>
          <w:ilvl w:val="0"/>
          <w:numId w:val="15"/>
        </w:numPr>
        <w:autoSpaceDE w:val="0"/>
        <w:autoSpaceDN w:val="0"/>
        <w:rPr>
          <w:rFonts w:cs="Arial"/>
          <w:color w:val="000000" w:themeColor="text1"/>
        </w:rPr>
      </w:pPr>
      <w:r w:rsidRPr="008474CF">
        <w:rPr>
          <w:rFonts w:cs="Arial"/>
          <w:color w:val="000000" w:themeColor="text1"/>
        </w:rPr>
        <w:t xml:space="preserve">Verstärkte Verknüpfung </w:t>
      </w:r>
      <w:r w:rsidR="00CD4069" w:rsidRPr="008474CF">
        <w:rPr>
          <w:rFonts w:cs="Arial"/>
          <w:color w:val="000000" w:themeColor="text1"/>
        </w:rPr>
        <w:t xml:space="preserve">zwischen den </w:t>
      </w:r>
      <w:r w:rsidR="00F361E9" w:rsidRPr="008474CF">
        <w:rPr>
          <w:rFonts w:cs="Arial"/>
          <w:color w:val="000000" w:themeColor="text1"/>
        </w:rPr>
        <w:t>wichtigsten Kontrollen</w:t>
      </w:r>
      <w:r w:rsidRPr="008474CF">
        <w:rPr>
          <w:rFonts w:cs="Arial"/>
          <w:color w:val="000000" w:themeColor="text1"/>
        </w:rPr>
        <w:t xml:space="preserve"> und </w:t>
      </w:r>
      <w:r w:rsidR="00B571AC" w:rsidRPr="008474CF">
        <w:rPr>
          <w:rFonts w:cs="Arial"/>
          <w:color w:val="000000" w:themeColor="text1"/>
        </w:rPr>
        <w:t>wichtigsten Risiken</w:t>
      </w:r>
      <w:r w:rsidRPr="008474CF">
        <w:rPr>
          <w:rFonts w:cs="Arial"/>
          <w:color w:val="000000" w:themeColor="text1"/>
        </w:rPr>
        <w:t xml:space="preserve"> zur Verbesserung der Wirksamkeit des Risikomanagements.</w:t>
      </w:r>
    </w:p>
    <w:p w14:paraId="6E46CFCF" w14:textId="77777777" w:rsidR="005357BF" w:rsidRPr="008474CF" w:rsidRDefault="005357BF" w:rsidP="005357BF">
      <w:pPr>
        <w:pStyle w:val="ListParagraph"/>
        <w:rPr>
          <w:color w:val="000000" w:themeColor="text1"/>
        </w:rPr>
      </w:pPr>
    </w:p>
    <w:p w14:paraId="0A02498D" w14:textId="14611AA5" w:rsidR="00FC4C46" w:rsidRPr="008474CF" w:rsidRDefault="00FC4C46" w:rsidP="005357BF">
      <w:pPr>
        <w:pStyle w:val="BodyText"/>
        <w:widowControl w:val="0"/>
        <w:autoSpaceDE w:val="0"/>
        <w:autoSpaceDN w:val="0"/>
        <w:rPr>
          <w:rFonts w:cs="Arial"/>
          <w:color w:val="000000" w:themeColor="text1"/>
        </w:rPr>
      </w:pPr>
    </w:p>
    <w:p w14:paraId="14CC6B9C" w14:textId="77777777" w:rsidR="00FC4C46" w:rsidRPr="008474CF" w:rsidRDefault="00FC4C46" w:rsidP="002F343D">
      <w:pPr>
        <w:pStyle w:val="BodyText"/>
        <w:widowControl w:val="0"/>
        <w:numPr>
          <w:ilvl w:val="0"/>
          <w:numId w:val="13"/>
        </w:numPr>
        <w:autoSpaceDE w:val="0"/>
        <w:autoSpaceDN w:val="0"/>
        <w:jc w:val="left"/>
        <w:rPr>
          <w:b/>
          <w:bCs/>
        </w:rPr>
      </w:pPr>
      <w:r w:rsidRPr="008474CF">
        <w:rPr>
          <w:b/>
          <w:bCs/>
        </w:rPr>
        <w:t>Information und Kommunikation</w:t>
      </w:r>
    </w:p>
    <w:p w14:paraId="0148FACB" w14:textId="77777777" w:rsidR="00FC4C46" w:rsidRPr="008474CF" w:rsidRDefault="00FC4C46" w:rsidP="00FC4C46">
      <w:pPr>
        <w:pStyle w:val="BodyText"/>
        <w:rPr>
          <w:rFonts w:cs="Arial"/>
          <w:color w:val="000000" w:themeColor="text1"/>
        </w:rPr>
      </w:pPr>
    </w:p>
    <w:p w14:paraId="67C9FD48" w14:textId="77777777" w:rsidR="00FC4C46" w:rsidRPr="008474CF" w:rsidRDefault="00FC4C46" w:rsidP="00FC4C46">
      <w:pPr>
        <w:pStyle w:val="BodyText"/>
        <w:rPr>
          <w:rFonts w:cs="Arial"/>
          <w:color w:val="000000" w:themeColor="text1"/>
        </w:rPr>
      </w:pPr>
      <w:r w:rsidRPr="008474CF">
        <w:rPr>
          <w:rFonts w:cs="Arial"/>
          <w:color w:val="000000" w:themeColor="text1"/>
        </w:rPr>
        <w:t xml:space="preserve">Der leitende Datenbeauftragte und Datenschutzbeauftragte der WIPO überwacht die sich ständig weiterentwickelnden Fragen der Datenverwaltung und des Datenschutzes, die durch eine Datenverwaltungsstrategie und eine verstärkte Konzentration auf den Datenschutz weiter gestärkt werden.  </w:t>
      </w:r>
    </w:p>
    <w:p w14:paraId="4B06B48F" w14:textId="289C9AD1" w:rsidR="00FC4C46" w:rsidRPr="008474CF" w:rsidRDefault="00A700F1" w:rsidP="00FC4C46">
      <w:pPr>
        <w:pStyle w:val="BodyText"/>
        <w:rPr>
          <w:rFonts w:cs="Arial"/>
          <w:color w:val="000000" w:themeColor="text1"/>
        </w:rPr>
      </w:pPr>
      <w:r w:rsidRPr="008474CF">
        <w:rPr>
          <w:rFonts w:cs="Arial"/>
          <w:color w:val="000000" w:themeColor="text1"/>
        </w:rPr>
        <w:tab/>
      </w:r>
    </w:p>
    <w:p w14:paraId="5B49AB7D" w14:textId="3F12BA3D" w:rsidR="00FC4C46" w:rsidRPr="008474CF" w:rsidRDefault="00FC4C46" w:rsidP="00FC4C46">
      <w:pPr>
        <w:pStyle w:val="BodyText"/>
        <w:rPr>
          <w:rFonts w:cs="Arial"/>
          <w:color w:val="000000" w:themeColor="text1"/>
        </w:rPr>
      </w:pPr>
      <w:r w:rsidRPr="008474CF">
        <w:rPr>
          <w:rFonts w:cs="Arial"/>
          <w:color w:val="000000" w:themeColor="text1"/>
        </w:rPr>
        <w:t>Das Portfolio der Enterprise Resource Planning (ERP)-Lösungen bietet ein hohes Maß an Kontrolle, einschließlich Systemkontrollen auf Transaktionsebene und Datenanalysen.</w:t>
      </w:r>
      <w:r w:rsidR="003D1CD7" w:rsidRPr="008474CF">
        <w:rPr>
          <w:rFonts w:cs="Arial"/>
          <w:color w:val="000000" w:themeColor="text1"/>
        </w:rPr>
        <w:t xml:space="preserve"> </w:t>
      </w:r>
      <w:r w:rsidRPr="008474CF">
        <w:rPr>
          <w:rFonts w:cs="Arial"/>
          <w:color w:val="000000" w:themeColor="text1"/>
        </w:rPr>
        <w:t xml:space="preserve">Ein ERP-Transformationsprojekt ist im Gange, um das ERP-System auf eine neue Cloud-basierte Software-as-a-Service-Lösung zu aktualisieren, die die Möglichkeit bietet, administrative Geschäftsprozesse zu rationalisieren. </w:t>
      </w:r>
      <w:r w:rsidR="00363CF7" w:rsidRPr="008474CF">
        <w:rPr>
          <w:rFonts w:cs="Arial"/>
          <w:color w:val="000000" w:themeColor="text1"/>
        </w:rPr>
        <w:t xml:space="preserve">Die UPOV führt ein Verzeichnis der wichtigsten Risiken </w:t>
      </w:r>
      <w:r w:rsidRPr="008474CF">
        <w:rPr>
          <w:rFonts w:cs="Arial"/>
          <w:color w:val="000000" w:themeColor="text1"/>
        </w:rPr>
        <w:t xml:space="preserve">und die WIPO erfasst Kontrollen im </w:t>
      </w:r>
      <w:r w:rsidR="0058601D" w:rsidRPr="008474CF">
        <w:rPr>
          <w:rFonts w:cs="Arial"/>
          <w:color w:val="000000" w:themeColor="text1"/>
        </w:rPr>
        <w:t>WIPO-System für Unternehmensrisikomanagement</w:t>
      </w:r>
      <w:r w:rsidRPr="008474CF">
        <w:rPr>
          <w:rFonts w:cs="Arial"/>
          <w:color w:val="000000" w:themeColor="text1"/>
        </w:rPr>
        <w:t>.</w:t>
      </w:r>
      <w:r w:rsidR="006A3ACC" w:rsidRPr="008474CF">
        <w:rPr>
          <w:rFonts w:cs="Arial"/>
          <w:color w:val="000000" w:themeColor="text1"/>
        </w:rPr>
        <w:t xml:space="preserve"> </w:t>
      </w:r>
    </w:p>
    <w:p w14:paraId="3444B693" w14:textId="77777777" w:rsidR="00FC4C46" w:rsidRPr="008474CF" w:rsidRDefault="00FC4C46" w:rsidP="00FC4C46">
      <w:pPr>
        <w:pStyle w:val="BodyText"/>
        <w:rPr>
          <w:rFonts w:cs="Arial"/>
          <w:color w:val="000000" w:themeColor="text1"/>
        </w:rPr>
      </w:pPr>
      <w:r w:rsidRPr="008474CF">
        <w:rPr>
          <w:rFonts w:cs="Arial"/>
          <w:color w:val="000000" w:themeColor="text1"/>
        </w:rPr>
        <w:t xml:space="preserve"> </w:t>
      </w:r>
    </w:p>
    <w:p w14:paraId="4B1CE8EA" w14:textId="77777777" w:rsidR="00FC4C46" w:rsidRPr="008474CF" w:rsidRDefault="00FC4C46" w:rsidP="00FC4C46">
      <w:pPr>
        <w:pStyle w:val="BodyText"/>
        <w:rPr>
          <w:rFonts w:cs="Arial"/>
          <w:color w:val="000000" w:themeColor="text1"/>
        </w:rPr>
      </w:pPr>
    </w:p>
    <w:p w14:paraId="2F2025BC" w14:textId="77777777" w:rsidR="00FC4C46" w:rsidRPr="008474CF" w:rsidRDefault="00FC4C46" w:rsidP="002F343D">
      <w:pPr>
        <w:pStyle w:val="BodyText"/>
        <w:widowControl w:val="0"/>
        <w:numPr>
          <w:ilvl w:val="0"/>
          <w:numId w:val="13"/>
        </w:numPr>
        <w:autoSpaceDE w:val="0"/>
        <w:autoSpaceDN w:val="0"/>
        <w:jc w:val="left"/>
        <w:rPr>
          <w:b/>
          <w:bCs/>
        </w:rPr>
      </w:pPr>
      <w:r w:rsidRPr="008474CF">
        <w:rPr>
          <w:b/>
          <w:bCs/>
        </w:rPr>
        <w:t>Ethische Standards und Integrität</w:t>
      </w:r>
    </w:p>
    <w:p w14:paraId="7F547722" w14:textId="77777777" w:rsidR="00FC4C46" w:rsidRPr="008474CF" w:rsidRDefault="00FC4C46" w:rsidP="00FC4C46">
      <w:pPr>
        <w:rPr>
          <w:rFonts w:cs="Arial"/>
          <w:color w:val="FF0000"/>
        </w:rPr>
      </w:pPr>
    </w:p>
    <w:p w14:paraId="666B4B62" w14:textId="58DA1E4F" w:rsidR="00FC4C46" w:rsidRPr="008474CF" w:rsidRDefault="00FC4C46" w:rsidP="00FC4C46">
      <w:pPr>
        <w:rPr>
          <w:rFonts w:cs="Arial"/>
          <w:color w:val="000000" w:themeColor="text1"/>
        </w:rPr>
      </w:pPr>
      <w:r w:rsidRPr="008474CF">
        <w:rPr>
          <w:rFonts w:cs="Arial"/>
          <w:color w:val="000000" w:themeColor="text1"/>
        </w:rPr>
        <w:t xml:space="preserve">Das Ethikbüro der WIPO, das funktionell und operativ unabhängig ist, unterstützt mich bei der Sicherstellung, </w:t>
      </w:r>
      <w:r w:rsidR="00571F43" w:rsidRPr="008474CF">
        <w:rPr>
          <w:rFonts w:cs="Arial"/>
          <w:color w:val="000000" w:themeColor="text1"/>
        </w:rPr>
        <w:t>dass</w:t>
      </w:r>
      <w:r w:rsidRPr="008474CF">
        <w:rPr>
          <w:rFonts w:cs="Arial"/>
          <w:color w:val="000000" w:themeColor="text1"/>
        </w:rPr>
        <w:t xml:space="preserve"> das gesamte UPOV-Personal seine Aufgaben im Einklang mit den höchsten Ethik- und Integritätsstandards ausübt, wie dies in </w:t>
      </w:r>
      <w:r w:rsidR="00D411BE" w:rsidRPr="008474CF">
        <w:rPr>
          <w:rFonts w:cs="Arial"/>
          <w:color w:val="000000" w:themeColor="text1"/>
        </w:rPr>
        <w:t>der Personalordnung und ihren Durchführungsbestimmungen</w:t>
      </w:r>
      <w:r w:rsidRPr="008474CF">
        <w:rPr>
          <w:rFonts w:cs="Arial"/>
          <w:color w:val="000000" w:themeColor="text1"/>
        </w:rPr>
        <w:t xml:space="preserve">, den Verhaltensnormen für den internationalen öffentlichen Dienst, </w:t>
      </w:r>
      <w:r w:rsidR="000E249A" w:rsidRPr="008474CF">
        <w:t xml:space="preserve">der </w:t>
      </w:r>
      <w:r w:rsidR="001369DC" w:rsidRPr="008474CF">
        <w:rPr>
          <w:rFonts w:cs="Arial"/>
          <w:color w:val="000000" w:themeColor="text1"/>
        </w:rPr>
        <w:t>Ethik-Richtlinie der WIPO</w:t>
      </w:r>
      <w:r w:rsidRPr="008474CF">
        <w:rPr>
          <w:rFonts w:cs="Arial"/>
          <w:color w:val="000000" w:themeColor="text1"/>
        </w:rPr>
        <w:t xml:space="preserve"> und anderen einschlägigen </w:t>
      </w:r>
      <w:r w:rsidR="00021353" w:rsidRPr="008474CF">
        <w:rPr>
          <w:rFonts w:cs="Arial"/>
          <w:color w:val="000000" w:themeColor="text1"/>
        </w:rPr>
        <w:t>Leitg</w:t>
      </w:r>
      <w:r w:rsidRPr="008474CF">
        <w:rPr>
          <w:rFonts w:cs="Arial"/>
          <w:color w:val="000000" w:themeColor="text1"/>
        </w:rPr>
        <w:t xml:space="preserve">rundsätzen vorgeschrieben ist. </w:t>
      </w:r>
    </w:p>
    <w:p w14:paraId="3D37EE81" w14:textId="77777777" w:rsidR="00FC4C46" w:rsidRPr="008474CF" w:rsidRDefault="00FC4C46" w:rsidP="00FC4C46">
      <w:pPr>
        <w:rPr>
          <w:rFonts w:cs="Arial"/>
          <w:color w:val="000000" w:themeColor="text1"/>
        </w:rPr>
      </w:pPr>
      <w:r w:rsidRPr="008474CF">
        <w:rPr>
          <w:rFonts w:cs="Arial"/>
          <w:color w:val="000000" w:themeColor="text1"/>
        </w:rPr>
        <w:t xml:space="preserve"> </w:t>
      </w:r>
    </w:p>
    <w:p w14:paraId="25C5A707" w14:textId="42C9938B" w:rsidR="00FC4C46" w:rsidRPr="008474CF" w:rsidRDefault="00FC4C46" w:rsidP="00FC4C46">
      <w:pPr>
        <w:rPr>
          <w:rFonts w:cs="Arial"/>
          <w:color w:val="000000" w:themeColor="text1"/>
        </w:rPr>
      </w:pPr>
      <w:r w:rsidRPr="008474CF">
        <w:rPr>
          <w:rFonts w:cs="Arial"/>
          <w:color w:val="000000" w:themeColor="text1"/>
        </w:rPr>
        <w:t xml:space="preserve">Gemäß seinem Mandat und </w:t>
      </w:r>
      <w:r w:rsidR="00571F43" w:rsidRPr="008474CF">
        <w:rPr>
          <w:rFonts w:cs="Arial"/>
          <w:color w:val="000000" w:themeColor="text1"/>
        </w:rPr>
        <w:t>in Bezug</w:t>
      </w:r>
      <w:r w:rsidRPr="008474CF">
        <w:rPr>
          <w:rFonts w:cs="Arial"/>
          <w:color w:val="000000" w:themeColor="text1"/>
        </w:rPr>
        <w:t xml:space="preserve"> auf Ethik und Integrität verwaltet das Ethikbüro obligatorische </w:t>
      </w:r>
      <w:r w:rsidR="00736299" w:rsidRPr="008474CF">
        <w:rPr>
          <w:rFonts w:cs="Arial"/>
          <w:color w:val="000000" w:themeColor="text1"/>
        </w:rPr>
        <w:t>Schulung</w:t>
      </w:r>
      <w:r w:rsidRPr="008474CF">
        <w:rPr>
          <w:rFonts w:cs="Arial"/>
          <w:color w:val="000000" w:themeColor="text1"/>
        </w:rPr>
        <w:t xml:space="preserve">, entwickelt </w:t>
      </w:r>
      <w:r w:rsidR="00CD4069" w:rsidRPr="008474CF">
        <w:rPr>
          <w:rFonts w:cs="Arial"/>
          <w:color w:val="000000" w:themeColor="text1"/>
        </w:rPr>
        <w:t>Sensibilisierungsprogramme</w:t>
      </w:r>
      <w:r w:rsidRPr="008474CF">
        <w:rPr>
          <w:rFonts w:cs="Arial"/>
          <w:color w:val="000000" w:themeColor="text1"/>
        </w:rPr>
        <w:t>,</w:t>
      </w:r>
      <w:r w:rsidR="008B7125" w:rsidRPr="008474CF">
        <w:rPr>
          <w:rFonts w:cs="Arial"/>
          <w:color w:val="000000" w:themeColor="text1"/>
        </w:rPr>
        <w:t xml:space="preserve"> </w:t>
      </w:r>
      <w:r w:rsidRPr="008474CF">
        <w:rPr>
          <w:rFonts w:cs="Arial"/>
          <w:color w:val="000000" w:themeColor="text1"/>
        </w:rPr>
        <w:t xml:space="preserve">gibt allen WIPO- und UPOV-Mitgliedern vertrauliche Anleitung, verwaltet das Programm zur Offenlegung finanzieller und sonstiger Interessen und nimmt Beschwerden über Vergeltungsmaßnahmen entgegen, prüft sie und gibt objektive Feststellungen und Empfehlungen dazu ab. </w:t>
      </w:r>
    </w:p>
    <w:p w14:paraId="2AA57B0E" w14:textId="5456E696" w:rsidR="00FC4C46" w:rsidRPr="008474CF" w:rsidRDefault="006A3ACC" w:rsidP="00FC4C46">
      <w:pPr>
        <w:rPr>
          <w:rFonts w:cs="Arial"/>
        </w:rPr>
      </w:pPr>
      <w:r w:rsidRPr="008474CF">
        <w:rPr>
          <w:rFonts w:cs="Arial"/>
          <w:color w:val="000000" w:themeColor="text1"/>
        </w:rPr>
        <w:t xml:space="preserve"> </w:t>
      </w:r>
    </w:p>
    <w:p w14:paraId="296E94D0" w14:textId="77777777" w:rsidR="00FC4C46" w:rsidRPr="008474CF" w:rsidRDefault="00FC4C46" w:rsidP="00FC4C46">
      <w:pPr>
        <w:rPr>
          <w:rFonts w:eastAsiaTheme="majorEastAsia" w:cs="Arial"/>
          <w:b/>
          <w:color w:val="000000" w:themeColor="text1"/>
        </w:rPr>
      </w:pPr>
    </w:p>
    <w:p w14:paraId="124FC968" w14:textId="0D0135F7" w:rsidR="00FC4C46" w:rsidRPr="008474CF" w:rsidRDefault="00FC4C46" w:rsidP="002F343D">
      <w:pPr>
        <w:pStyle w:val="BodyText"/>
        <w:widowControl w:val="0"/>
        <w:numPr>
          <w:ilvl w:val="0"/>
          <w:numId w:val="13"/>
        </w:numPr>
        <w:autoSpaceDE w:val="0"/>
        <w:autoSpaceDN w:val="0"/>
        <w:jc w:val="left"/>
        <w:rPr>
          <w:b/>
          <w:bCs/>
        </w:rPr>
      </w:pPr>
      <w:r w:rsidRPr="008474CF">
        <w:rPr>
          <w:b/>
          <w:bCs/>
        </w:rPr>
        <w:t>Kontroll</w:t>
      </w:r>
      <w:r w:rsidR="00571F43" w:rsidRPr="008474CF">
        <w:rPr>
          <w:b/>
          <w:bCs/>
        </w:rPr>
        <w:t>umfeld</w:t>
      </w:r>
    </w:p>
    <w:p w14:paraId="19EE4618" w14:textId="77777777" w:rsidR="00FC4C46" w:rsidRPr="008474CF" w:rsidRDefault="00FC4C46" w:rsidP="00FC4C46">
      <w:pPr>
        <w:pStyle w:val="BodyText"/>
        <w:rPr>
          <w:rFonts w:cs="Arial"/>
          <w:color w:val="000000" w:themeColor="text1"/>
        </w:rPr>
      </w:pPr>
    </w:p>
    <w:p w14:paraId="6503B9BE" w14:textId="65194767" w:rsidR="00FC4C46" w:rsidRPr="008474CF" w:rsidRDefault="002A63B8" w:rsidP="00FC4C46">
      <w:pPr>
        <w:pStyle w:val="BodyText"/>
        <w:rPr>
          <w:rFonts w:cs="Arial"/>
          <w:color w:val="000000" w:themeColor="text1"/>
        </w:rPr>
      </w:pPr>
      <w:r w:rsidRPr="008474CF">
        <w:rPr>
          <w:rFonts w:cs="Arial"/>
          <w:color w:val="000000" w:themeColor="text1"/>
        </w:rPr>
        <w:t>Der Rechnungslegungsrahmen der UPOV</w:t>
      </w:r>
      <w:r w:rsidR="00FC4C46" w:rsidRPr="008474CF">
        <w:rPr>
          <w:rFonts w:cs="Arial"/>
          <w:color w:val="000000" w:themeColor="text1"/>
        </w:rPr>
        <w:t xml:space="preserve"> legt die Komponenten fest, die </w:t>
      </w:r>
      <w:r w:rsidR="0039440D" w:rsidRPr="008474CF">
        <w:rPr>
          <w:rFonts w:cs="Arial"/>
          <w:color w:val="000000" w:themeColor="text1"/>
        </w:rPr>
        <w:t>Good Governance</w:t>
      </w:r>
      <w:r w:rsidR="00FC4C46" w:rsidRPr="008474CF">
        <w:rPr>
          <w:rFonts w:cs="Arial"/>
          <w:color w:val="000000" w:themeColor="text1"/>
        </w:rPr>
        <w:t xml:space="preserve"> gewährleisten, indem sie </w:t>
      </w:r>
      <w:r w:rsidR="00E562A6" w:rsidRPr="008474CF">
        <w:rPr>
          <w:rFonts w:cs="Arial"/>
          <w:color w:val="000000" w:themeColor="text1"/>
        </w:rPr>
        <w:t>eine angemessene Zuverlässigkeitsgewähr hinsichtlich der Berichterstattung, der Wirksamkeit und Effizienz des Geschäftsbetriebs, der Einhaltung geltender Grundsätze, Vorschriften und Regeln sowie de</w:t>
      </w:r>
      <w:r w:rsidR="00F41611" w:rsidRPr="008474CF">
        <w:rPr>
          <w:rFonts w:cs="Arial"/>
          <w:color w:val="000000" w:themeColor="text1"/>
        </w:rPr>
        <w:t>s</w:t>
      </w:r>
      <w:r w:rsidR="00E562A6" w:rsidRPr="008474CF">
        <w:rPr>
          <w:rFonts w:cs="Arial"/>
          <w:color w:val="000000" w:themeColor="text1"/>
        </w:rPr>
        <w:t xml:space="preserve"> Schutze</w:t>
      </w:r>
      <w:r w:rsidR="00F41611" w:rsidRPr="008474CF">
        <w:rPr>
          <w:rFonts w:cs="Arial"/>
          <w:color w:val="000000" w:themeColor="text1"/>
        </w:rPr>
        <w:t>s</w:t>
      </w:r>
      <w:r w:rsidR="00E562A6" w:rsidRPr="008474CF">
        <w:rPr>
          <w:rFonts w:cs="Arial"/>
          <w:color w:val="000000" w:themeColor="text1"/>
        </w:rPr>
        <w:t xml:space="preserve"> von Ressourcen</w:t>
      </w:r>
      <w:r w:rsidR="00FC4C46" w:rsidRPr="008474CF">
        <w:rPr>
          <w:rFonts w:cs="Arial"/>
          <w:color w:val="000000" w:themeColor="text1"/>
        </w:rPr>
        <w:t xml:space="preserve"> bieten.</w:t>
      </w:r>
      <w:r w:rsidR="006A3ACC" w:rsidRPr="008474CF">
        <w:rPr>
          <w:rFonts w:cs="Arial"/>
          <w:color w:val="000000" w:themeColor="text1"/>
        </w:rPr>
        <w:t xml:space="preserve"> </w:t>
      </w:r>
      <w:r w:rsidR="00FC4C46" w:rsidRPr="008474CF">
        <w:rPr>
          <w:rFonts w:cs="Arial"/>
          <w:color w:val="000000" w:themeColor="text1"/>
        </w:rPr>
        <w:t xml:space="preserve">Das Kontrollumfeld umfasst eine Reihe von </w:t>
      </w:r>
      <w:r w:rsidR="00F361E9" w:rsidRPr="008474CF">
        <w:rPr>
          <w:rFonts w:cs="Arial"/>
          <w:color w:val="000000" w:themeColor="text1"/>
        </w:rPr>
        <w:t>wichtigsten Kontrollen</w:t>
      </w:r>
      <w:r w:rsidR="00FC4C46" w:rsidRPr="008474CF">
        <w:rPr>
          <w:rFonts w:cs="Arial"/>
          <w:color w:val="000000" w:themeColor="text1"/>
        </w:rPr>
        <w:t xml:space="preserve">, bei denen es sich um Kontrollen auf </w:t>
      </w:r>
      <w:r w:rsidR="00B4108C" w:rsidRPr="008474CF">
        <w:rPr>
          <w:rFonts w:cs="Arial"/>
          <w:color w:val="000000" w:themeColor="text1"/>
        </w:rPr>
        <w:t>Betriebsebene</w:t>
      </w:r>
      <w:r w:rsidR="00FC4C46" w:rsidRPr="008474CF">
        <w:rPr>
          <w:rFonts w:cs="Arial"/>
          <w:color w:val="000000" w:themeColor="text1"/>
        </w:rPr>
        <w:t xml:space="preserve"> und </w:t>
      </w:r>
      <w:r w:rsidR="00D545B3" w:rsidRPr="008474CF">
        <w:rPr>
          <w:rFonts w:cs="Arial"/>
          <w:color w:val="000000" w:themeColor="text1"/>
        </w:rPr>
        <w:t xml:space="preserve">Kontrollen auf </w:t>
      </w:r>
      <w:r w:rsidR="00FC4C46" w:rsidRPr="008474CF">
        <w:rPr>
          <w:rFonts w:cs="Arial"/>
          <w:color w:val="000000" w:themeColor="text1"/>
        </w:rPr>
        <w:t>Prozes</w:t>
      </w:r>
      <w:r w:rsidR="00D545B3" w:rsidRPr="008474CF">
        <w:rPr>
          <w:rFonts w:cs="Arial"/>
          <w:color w:val="000000" w:themeColor="text1"/>
        </w:rPr>
        <w:t>sebene</w:t>
      </w:r>
      <w:r w:rsidR="00FC4C46" w:rsidRPr="008474CF">
        <w:rPr>
          <w:rFonts w:cs="Arial"/>
          <w:color w:val="000000" w:themeColor="text1"/>
        </w:rPr>
        <w:t xml:space="preserve"> handelt, die die ultimative Kontrolle über alle Bereiche des COSO-Rahmen</w:t>
      </w:r>
      <w:r w:rsidR="00A57477" w:rsidRPr="008474CF">
        <w:rPr>
          <w:rFonts w:cs="Arial"/>
          <w:color w:val="000000" w:themeColor="text1"/>
        </w:rPr>
        <w:t>werk</w:t>
      </w:r>
      <w:r w:rsidR="00FC4C46" w:rsidRPr="008474CF">
        <w:rPr>
          <w:rFonts w:cs="Arial"/>
          <w:color w:val="000000" w:themeColor="text1"/>
        </w:rPr>
        <w:t>s gewährleisten.</w:t>
      </w:r>
      <w:r w:rsidR="006A3ACC" w:rsidRPr="008474CF">
        <w:rPr>
          <w:rFonts w:cs="Arial"/>
          <w:color w:val="000000" w:themeColor="text1"/>
        </w:rPr>
        <w:t xml:space="preserve"> </w:t>
      </w:r>
      <w:r w:rsidR="00FC4C46" w:rsidRPr="008474CF">
        <w:rPr>
          <w:rFonts w:cs="Arial"/>
          <w:color w:val="000000" w:themeColor="text1"/>
        </w:rPr>
        <w:t> </w:t>
      </w:r>
    </w:p>
    <w:p w14:paraId="5AF9A29C" w14:textId="77777777" w:rsidR="00FC4C46" w:rsidRPr="008474CF" w:rsidRDefault="00FC4C46" w:rsidP="00FC4C46">
      <w:pPr>
        <w:pStyle w:val="BodyText"/>
        <w:rPr>
          <w:rFonts w:cs="Arial"/>
          <w:i/>
          <w:color w:val="00B050"/>
        </w:rPr>
      </w:pPr>
    </w:p>
    <w:p w14:paraId="35E02CCA" w14:textId="79CDB354" w:rsidR="00FC4C46" w:rsidRPr="008474CF" w:rsidRDefault="003E2732" w:rsidP="00FC4C46">
      <w:pPr>
        <w:pStyle w:val="BodyText"/>
        <w:rPr>
          <w:rFonts w:cs="Arial"/>
          <w:color w:val="000000" w:themeColor="text1"/>
        </w:rPr>
      </w:pPr>
      <w:r w:rsidRPr="008474CF">
        <w:rPr>
          <w:rFonts w:cs="Arial"/>
          <w:color w:val="000000" w:themeColor="text1"/>
        </w:rPr>
        <w:t>Hinsichtlich der Finanzverwaltung der UPOV sieht die am 26. November 1982 unterzeichnete WIPO/UPOV-Vereinbarung Folgendes vor</w:t>
      </w:r>
      <w:r w:rsidR="00FC4C46" w:rsidRPr="008474CF">
        <w:rPr>
          <w:rFonts w:cs="Arial"/>
          <w:color w:val="000000" w:themeColor="text1"/>
        </w:rPr>
        <w:t xml:space="preserve">: </w:t>
      </w:r>
    </w:p>
    <w:p w14:paraId="74230D5B" w14:textId="77777777" w:rsidR="00FC4C46" w:rsidRPr="008474CF" w:rsidRDefault="00FC4C46" w:rsidP="00FC4C46">
      <w:pPr>
        <w:pStyle w:val="BodyText"/>
        <w:rPr>
          <w:rFonts w:cs="Arial"/>
          <w:color w:val="000000" w:themeColor="text1"/>
        </w:rPr>
      </w:pPr>
    </w:p>
    <w:p w14:paraId="7FC4634D" w14:textId="30F30A1F" w:rsidR="00FC4C46" w:rsidRPr="008474CF" w:rsidRDefault="00CC193D" w:rsidP="008474CF">
      <w:pPr>
        <w:pStyle w:val="BodyText"/>
        <w:keepNext/>
        <w:spacing w:after="120"/>
        <w:ind w:left="567" w:right="567"/>
        <w:jc w:val="center"/>
        <w:rPr>
          <w:rFonts w:cs="Arial"/>
          <w:color w:val="000000" w:themeColor="text1"/>
          <w:sz w:val="18"/>
          <w:szCs w:val="18"/>
        </w:rPr>
      </w:pPr>
      <w:r w:rsidRPr="008474CF">
        <w:rPr>
          <w:rFonts w:cs="Arial"/>
          <w:color w:val="000000" w:themeColor="text1"/>
          <w:sz w:val="18"/>
          <w:szCs w:val="18"/>
        </w:rPr>
        <w:lastRenderedPageBreak/>
        <w:t>„</w:t>
      </w:r>
      <w:r w:rsidR="00FC4C46" w:rsidRPr="008474CF">
        <w:rPr>
          <w:rFonts w:cs="Arial"/>
          <w:color w:val="000000" w:themeColor="text1"/>
          <w:sz w:val="18"/>
          <w:szCs w:val="18"/>
        </w:rPr>
        <w:t>Artikel 1</w:t>
      </w:r>
      <w:r w:rsidR="008474CF">
        <w:rPr>
          <w:rFonts w:cs="Arial"/>
          <w:color w:val="000000" w:themeColor="text1"/>
          <w:sz w:val="18"/>
          <w:szCs w:val="18"/>
        </w:rPr>
        <w:br/>
      </w:r>
      <w:r w:rsidR="00595A2E" w:rsidRPr="008474CF">
        <w:rPr>
          <w:rFonts w:cs="Arial"/>
          <w:color w:val="000000" w:themeColor="text1"/>
          <w:sz w:val="18"/>
          <w:szCs w:val="18"/>
        </w:rPr>
        <w:t>Bedarf</w:t>
      </w:r>
      <w:r w:rsidR="00FC4C46" w:rsidRPr="008474CF">
        <w:rPr>
          <w:rFonts w:cs="Arial"/>
          <w:color w:val="000000" w:themeColor="text1"/>
          <w:sz w:val="18"/>
          <w:szCs w:val="18"/>
        </w:rPr>
        <w:t xml:space="preserve"> der UPOV</w:t>
      </w:r>
    </w:p>
    <w:p w14:paraId="2C227BEE" w14:textId="76D82598" w:rsidR="00FC4C46" w:rsidRPr="008474CF" w:rsidRDefault="00FC4C46" w:rsidP="008474CF">
      <w:pPr>
        <w:pStyle w:val="BodyText"/>
        <w:keepNext/>
        <w:spacing w:after="120"/>
        <w:ind w:left="567" w:right="567"/>
        <w:rPr>
          <w:rFonts w:cs="Arial"/>
          <w:color w:val="000000" w:themeColor="text1"/>
          <w:sz w:val="18"/>
          <w:szCs w:val="18"/>
        </w:rPr>
      </w:pPr>
      <w:r w:rsidRPr="008474CF">
        <w:rPr>
          <w:rFonts w:cs="Arial"/>
          <w:color w:val="000000" w:themeColor="text1"/>
          <w:sz w:val="18"/>
          <w:szCs w:val="18"/>
        </w:rPr>
        <w:t>1)</w:t>
      </w:r>
      <w:r w:rsidR="008474CF">
        <w:rPr>
          <w:rFonts w:cs="Arial"/>
          <w:color w:val="000000" w:themeColor="text1"/>
          <w:sz w:val="18"/>
          <w:szCs w:val="18"/>
        </w:rPr>
        <w:tab/>
      </w:r>
      <w:r w:rsidRPr="008474CF">
        <w:rPr>
          <w:rFonts w:cs="Arial"/>
          <w:color w:val="000000" w:themeColor="text1"/>
          <w:sz w:val="18"/>
          <w:szCs w:val="18"/>
        </w:rPr>
        <w:t xml:space="preserve">Die WIPO </w:t>
      </w:r>
      <w:r w:rsidR="00595A2E" w:rsidRPr="008474CF">
        <w:rPr>
          <w:rFonts w:cs="Arial"/>
          <w:color w:val="000000" w:themeColor="text1"/>
          <w:sz w:val="18"/>
          <w:szCs w:val="18"/>
        </w:rPr>
        <w:t>sorgt für den Bedarf</w:t>
      </w:r>
      <w:r w:rsidRPr="008474CF">
        <w:rPr>
          <w:rFonts w:cs="Arial"/>
          <w:color w:val="000000" w:themeColor="text1"/>
          <w:sz w:val="18"/>
          <w:szCs w:val="18"/>
        </w:rPr>
        <w:t xml:space="preserve"> der UPOV </w:t>
      </w:r>
      <w:r w:rsidR="00571F43" w:rsidRPr="008474CF">
        <w:rPr>
          <w:rFonts w:cs="Arial"/>
          <w:color w:val="000000" w:themeColor="text1"/>
          <w:sz w:val="18"/>
          <w:szCs w:val="18"/>
        </w:rPr>
        <w:t>in Bezug</w:t>
      </w:r>
      <w:r w:rsidRPr="008474CF">
        <w:rPr>
          <w:rFonts w:cs="Arial"/>
          <w:color w:val="000000" w:themeColor="text1"/>
          <w:sz w:val="18"/>
          <w:szCs w:val="18"/>
        </w:rPr>
        <w:t xml:space="preserve"> auf </w:t>
      </w:r>
    </w:p>
    <w:p w14:paraId="41F93626" w14:textId="77D541D5" w:rsidR="00FC4C46" w:rsidRPr="008474CF" w:rsidRDefault="008474CF" w:rsidP="008474CF">
      <w:pPr>
        <w:pStyle w:val="BodyText"/>
        <w:keepNext/>
        <w:spacing w:after="120"/>
        <w:ind w:left="567" w:right="567"/>
        <w:rPr>
          <w:rFonts w:cs="Arial"/>
          <w:color w:val="000000" w:themeColor="text1"/>
          <w:sz w:val="18"/>
          <w:szCs w:val="18"/>
        </w:rPr>
      </w:pPr>
      <w:r>
        <w:rPr>
          <w:rFonts w:cs="Arial"/>
          <w:color w:val="000000" w:themeColor="text1"/>
          <w:sz w:val="18"/>
          <w:szCs w:val="18"/>
        </w:rPr>
        <w:tab/>
      </w:r>
      <w:r w:rsidR="00FC4C46" w:rsidRPr="008474CF">
        <w:rPr>
          <w:rFonts w:cs="Arial"/>
          <w:color w:val="000000" w:themeColor="text1"/>
          <w:sz w:val="18"/>
          <w:szCs w:val="18"/>
        </w:rPr>
        <w:t>[...]</w:t>
      </w:r>
    </w:p>
    <w:p w14:paraId="109F1DBC" w14:textId="4B4B7254" w:rsidR="00FC4C46" w:rsidRPr="008474CF" w:rsidRDefault="008474CF" w:rsidP="008474CF">
      <w:pPr>
        <w:pStyle w:val="BodyText"/>
        <w:spacing w:after="120"/>
        <w:ind w:left="567" w:right="567"/>
        <w:rPr>
          <w:rFonts w:cs="Arial"/>
          <w:color w:val="000000" w:themeColor="text1"/>
          <w:sz w:val="18"/>
          <w:szCs w:val="18"/>
        </w:rPr>
      </w:pPr>
      <w:r>
        <w:rPr>
          <w:rFonts w:cs="Arial"/>
          <w:color w:val="000000" w:themeColor="text1"/>
          <w:sz w:val="18"/>
          <w:szCs w:val="18"/>
        </w:rPr>
        <w:tab/>
      </w:r>
      <w:r w:rsidR="00CC193D" w:rsidRPr="008474CF">
        <w:rPr>
          <w:rFonts w:cs="Arial"/>
          <w:color w:val="000000" w:themeColor="text1"/>
          <w:sz w:val="18"/>
          <w:szCs w:val="18"/>
        </w:rPr>
        <w:t>„</w:t>
      </w:r>
      <w:r w:rsidR="00FC4C46" w:rsidRPr="008474CF">
        <w:rPr>
          <w:rFonts w:cs="Arial"/>
          <w:color w:val="000000" w:themeColor="text1"/>
          <w:sz w:val="18"/>
          <w:szCs w:val="18"/>
        </w:rPr>
        <w:t xml:space="preserve">iv) </w:t>
      </w:r>
      <w:r w:rsidR="00325E18" w:rsidRPr="008474CF">
        <w:rPr>
          <w:rFonts w:cs="Arial"/>
          <w:color w:val="000000" w:themeColor="text1"/>
          <w:sz w:val="18"/>
          <w:szCs w:val="18"/>
        </w:rPr>
        <w:t>die Finanzverwaltung der UPOV (Entgegennahme und Verauslagung von Mitteln, Buchführung, interne Finanzkontrolle und dergleichen)</w:t>
      </w:r>
      <w:r w:rsidR="00FC4C46" w:rsidRPr="008474CF">
        <w:rPr>
          <w:rFonts w:cs="Arial"/>
          <w:color w:val="000000" w:themeColor="text1"/>
          <w:sz w:val="18"/>
          <w:szCs w:val="18"/>
        </w:rPr>
        <w:t>,</w:t>
      </w:r>
    </w:p>
    <w:p w14:paraId="4344652D" w14:textId="286DD45D" w:rsidR="00FC4C46" w:rsidRPr="008474CF" w:rsidRDefault="00FC4C46" w:rsidP="008474CF">
      <w:pPr>
        <w:pStyle w:val="BodyText"/>
        <w:spacing w:after="120"/>
        <w:ind w:left="567" w:right="567"/>
        <w:rPr>
          <w:rFonts w:cs="Arial"/>
          <w:color w:val="000000" w:themeColor="text1"/>
          <w:sz w:val="18"/>
          <w:szCs w:val="18"/>
        </w:rPr>
      </w:pPr>
      <w:r w:rsidRPr="008474CF">
        <w:rPr>
          <w:rFonts w:cs="Arial"/>
          <w:color w:val="000000" w:themeColor="text1"/>
          <w:sz w:val="18"/>
          <w:szCs w:val="18"/>
        </w:rPr>
        <w:tab/>
        <w:t>[...]</w:t>
      </w:r>
    </w:p>
    <w:p w14:paraId="31EA4BCF" w14:textId="5D272C5B" w:rsidR="00FC4C46" w:rsidRPr="008474CF" w:rsidRDefault="00FC4C46" w:rsidP="008474CF">
      <w:pPr>
        <w:pStyle w:val="BodyText"/>
        <w:spacing w:after="120"/>
        <w:ind w:left="567" w:right="567"/>
        <w:rPr>
          <w:rFonts w:cs="Arial"/>
          <w:color w:val="000000" w:themeColor="text1"/>
          <w:sz w:val="18"/>
          <w:szCs w:val="18"/>
        </w:rPr>
      </w:pPr>
      <w:r w:rsidRPr="008474CF">
        <w:rPr>
          <w:rFonts w:cs="Arial"/>
          <w:color w:val="000000" w:themeColor="text1"/>
          <w:sz w:val="18"/>
          <w:szCs w:val="18"/>
        </w:rPr>
        <w:t>2)</w:t>
      </w:r>
      <w:r w:rsidR="008474CF">
        <w:rPr>
          <w:rFonts w:cs="Arial"/>
          <w:color w:val="000000" w:themeColor="text1"/>
          <w:sz w:val="18"/>
          <w:szCs w:val="18"/>
        </w:rPr>
        <w:tab/>
      </w:r>
      <w:r w:rsidR="00D10358" w:rsidRPr="008474CF">
        <w:rPr>
          <w:rFonts w:cs="Arial"/>
          <w:color w:val="000000" w:themeColor="text1"/>
          <w:sz w:val="18"/>
          <w:szCs w:val="18"/>
        </w:rPr>
        <w:t>Der Bedarf der UPOV ist auf der Grundlage vollkommener Gleichheit mit dem Bedarf der anderen von der WIPO verwalteten Verbände zu befriedigen</w:t>
      </w:r>
      <w:r w:rsidRPr="008474CF">
        <w:rPr>
          <w:rFonts w:cs="Arial"/>
          <w:color w:val="000000" w:themeColor="text1"/>
          <w:sz w:val="18"/>
          <w:szCs w:val="18"/>
        </w:rPr>
        <w:t>.</w:t>
      </w:r>
      <w:r w:rsidR="00CC193D" w:rsidRPr="008474CF">
        <w:rPr>
          <w:rFonts w:cs="Arial"/>
          <w:color w:val="000000" w:themeColor="text1"/>
          <w:sz w:val="18"/>
          <w:szCs w:val="18"/>
        </w:rPr>
        <w:t>“</w:t>
      </w:r>
    </w:p>
    <w:p w14:paraId="046B2396" w14:textId="77777777" w:rsidR="00FC4C46" w:rsidRPr="008474CF" w:rsidRDefault="00FC4C46" w:rsidP="008474CF">
      <w:pPr>
        <w:pStyle w:val="BodyText"/>
        <w:spacing w:after="120"/>
        <w:ind w:left="567" w:right="567"/>
        <w:rPr>
          <w:rFonts w:cs="Arial"/>
          <w:color w:val="000000" w:themeColor="text1"/>
          <w:sz w:val="18"/>
          <w:szCs w:val="18"/>
        </w:rPr>
      </w:pPr>
    </w:p>
    <w:p w14:paraId="1D40EDBD" w14:textId="42DD8DE1" w:rsidR="00FC4C46" w:rsidRPr="008474CF" w:rsidRDefault="00CC193D" w:rsidP="008474CF">
      <w:pPr>
        <w:pStyle w:val="BodyText"/>
        <w:spacing w:after="120"/>
        <w:ind w:left="567" w:right="567"/>
        <w:jc w:val="center"/>
        <w:rPr>
          <w:rFonts w:cs="Arial"/>
          <w:color w:val="000000" w:themeColor="text1"/>
          <w:sz w:val="18"/>
          <w:szCs w:val="18"/>
        </w:rPr>
      </w:pPr>
      <w:r w:rsidRPr="008474CF">
        <w:rPr>
          <w:rFonts w:cs="Arial"/>
          <w:color w:val="000000" w:themeColor="text1"/>
          <w:sz w:val="18"/>
          <w:szCs w:val="18"/>
        </w:rPr>
        <w:t>„</w:t>
      </w:r>
      <w:r w:rsidR="00FC4C46" w:rsidRPr="008474CF">
        <w:rPr>
          <w:rFonts w:cs="Arial"/>
          <w:color w:val="000000" w:themeColor="text1"/>
          <w:sz w:val="18"/>
          <w:szCs w:val="18"/>
        </w:rPr>
        <w:t>Artikel 8</w:t>
      </w:r>
      <w:r w:rsidR="008474CF">
        <w:rPr>
          <w:rFonts w:cs="Arial"/>
          <w:color w:val="000000" w:themeColor="text1"/>
          <w:sz w:val="18"/>
          <w:szCs w:val="18"/>
        </w:rPr>
        <w:br/>
      </w:r>
      <w:r w:rsidR="00A25748" w:rsidRPr="008474CF">
        <w:rPr>
          <w:rFonts w:cs="Arial"/>
          <w:color w:val="000000" w:themeColor="text1"/>
          <w:sz w:val="18"/>
          <w:szCs w:val="18"/>
        </w:rPr>
        <w:t xml:space="preserve">Verwaltungsordnung und </w:t>
      </w:r>
      <w:r w:rsidR="00FC4C46" w:rsidRPr="008474CF">
        <w:rPr>
          <w:rFonts w:cs="Arial"/>
          <w:color w:val="000000" w:themeColor="text1"/>
          <w:sz w:val="18"/>
          <w:szCs w:val="18"/>
        </w:rPr>
        <w:t>Finanzordnung der UPOV</w:t>
      </w:r>
    </w:p>
    <w:p w14:paraId="5EED20A2" w14:textId="4898BD04" w:rsidR="00FC4C46" w:rsidRPr="008474CF" w:rsidRDefault="00FC4C46" w:rsidP="008474CF">
      <w:pPr>
        <w:pStyle w:val="BodyText"/>
        <w:spacing w:after="120"/>
        <w:ind w:left="567" w:right="567"/>
        <w:rPr>
          <w:rFonts w:cs="Arial"/>
          <w:color w:val="000000" w:themeColor="text1"/>
          <w:sz w:val="18"/>
          <w:szCs w:val="18"/>
        </w:rPr>
      </w:pPr>
      <w:r w:rsidRPr="008474CF">
        <w:rPr>
          <w:rFonts w:cs="Arial"/>
          <w:color w:val="000000" w:themeColor="text1"/>
          <w:sz w:val="18"/>
          <w:szCs w:val="18"/>
        </w:rPr>
        <w:t>1)</w:t>
      </w:r>
      <w:r w:rsidR="008474CF">
        <w:rPr>
          <w:rFonts w:cs="Arial"/>
          <w:color w:val="000000" w:themeColor="text1"/>
          <w:sz w:val="18"/>
          <w:szCs w:val="18"/>
        </w:rPr>
        <w:tab/>
      </w:r>
      <w:r w:rsidR="00D1561C" w:rsidRPr="008474CF">
        <w:rPr>
          <w:rFonts w:cs="Arial"/>
          <w:color w:val="000000" w:themeColor="text1"/>
          <w:sz w:val="18"/>
          <w:szCs w:val="18"/>
        </w:rPr>
        <w:t>Vorbehaltlich anderer Artikel dieses Übereinkommens und vorbehaltlich der Absätze 2 und 3 dieses Artikels sind die Personalsatzungen und die Personalordnung der WIPO sowie die Finanzordnung der WIPO und deren Durchführungsbestimmungen mit allen späteren Änderungen auch auf das Personal des Büros der UPOV und auf die UPOV-Finanzen entsprechend anzuwenden; jedoch kann der Rat der UPOV mit dem Generaldirektor der WIPO Ausnahmen und Ergänzungen jeder Art zu den genannten Vorschriften vereinbaren; in einem solchen Fall gehen die vereinbarten Ausnahmen und Ergänzungen vor. Die genannten Vorschriften bilden die in Artikel 201 des UPOV-Übereinkommens vorgesehene Verwaltungsordnung und Finanzordnung</w:t>
      </w:r>
      <w:r w:rsidRPr="008474CF">
        <w:rPr>
          <w:rFonts w:cs="Arial"/>
          <w:color w:val="000000" w:themeColor="text1"/>
          <w:sz w:val="18"/>
          <w:szCs w:val="18"/>
        </w:rPr>
        <w:t>.</w:t>
      </w:r>
    </w:p>
    <w:p w14:paraId="4A09D0CD" w14:textId="77777777" w:rsidR="00FC4C46" w:rsidRPr="008474CF" w:rsidRDefault="00FC4C46" w:rsidP="008474CF">
      <w:pPr>
        <w:pStyle w:val="BodyText"/>
        <w:spacing w:after="120"/>
        <w:ind w:right="567" w:firstLine="567"/>
        <w:rPr>
          <w:rFonts w:cs="Arial"/>
          <w:color w:val="000000" w:themeColor="text1"/>
          <w:sz w:val="18"/>
          <w:szCs w:val="18"/>
        </w:rPr>
      </w:pPr>
      <w:r w:rsidRPr="008474CF">
        <w:rPr>
          <w:rFonts w:cs="Arial"/>
          <w:color w:val="000000" w:themeColor="text1"/>
          <w:sz w:val="18"/>
          <w:szCs w:val="18"/>
        </w:rPr>
        <w:t>[...]</w:t>
      </w:r>
    </w:p>
    <w:p w14:paraId="759C1C2A" w14:textId="269818D9" w:rsidR="00FC4C46" w:rsidRPr="008474CF" w:rsidRDefault="00FC4C46" w:rsidP="008474CF">
      <w:pPr>
        <w:pStyle w:val="BodyText"/>
        <w:spacing w:after="120"/>
        <w:ind w:left="567" w:right="567"/>
        <w:rPr>
          <w:rFonts w:cs="Arial"/>
          <w:color w:val="000000" w:themeColor="text1"/>
          <w:sz w:val="18"/>
          <w:szCs w:val="18"/>
        </w:rPr>
      </w:pPr>
      <w:r w:rsidRPr="008474CF">
        <w:rPr>
          <w:rFonts w:cs="Arial"/>
          <w:color w:val="000000" w:themeColor="text1"/>
          <w:sz w:val="18"/>
          <w:szCs w:val="18"/>
        </w:rPr>
        <w:t>3)</w:t>
      </w:r>
      <w:r w:rsidR="008474CF">
        <w:rPr>
          <w:rFonts w:cs="Arial"/>
          <w:color w:val="000000" w:themeColor="text1"/>
          <w:sz w:val="18"/>
          <w:szCs w:val="18"/>
        </w:rPr>
        <w:tab/>
      </w:r>
      <w:r w:rsidR="00B4487A" w:rsidRPr="008474CF">
        <w:rPr>
          <w:rFonts w:cs="Arial"/>
          <w:color w:val="000000" w:themeColor="text1"/>
          <w:sz w:val="18"/>
          <w:szCs w:val="18"/>
        </w:rPr>
        <w:t>In allen die UPOV betreffenden Finanzangelegenheiten ist der Kontrolleur der WIPO auch dem Rat der UPOV gegenüber verantwortlich</w:t>
      </w:r>
      <w:r w:rsidRPr="008474CF">
        <w:rPr>
          <w:rFonts w:cs="Arial"/>
          <w:color w:val="000000" w:themeColor="text1"/>
          <w:sz w:val="18"/>
          <w:szCs w:val="18"/>
        </w:rPr>
        <w:t>.</w:t>
      </w:r>
      <w:r w:rsidR="00CC193D" w:rsidRPr="008474CF">
        <w:rPr>
          <w:rFonts w:cs="Arial"/>
          <w:color w:val="000000" w:themeColor="text1"/>
          <w:sz w:val="18"/>
          <w:szCs w:val="18"/>
        </w:rPr>
        <w:t>“</w:t>
      </w:r>
    </w:p>
    <w:p w14:paraId="00F17358" w14:textId="77777777" w:rsidR="00FC4C46" w:rsidRPr="008474CF" w:rsidRDefault="00FC4C46" w:rsidP="00FC4C46">
      <w:pPr>
        <w:pStyle w:val="BodyText"/>
        <w:rPr>
          <w:rFonts w:cs="Arial"/>
          <w:color w:val="000000" w:themeColor="text1"/>
        </w:rPr>
      </w:pPr>
    </w:p>
    <w:p w14:paraId="49E2A2A7" w14:textId="77777777" w:rsidR="00FC4C46" w:rsidRPr="008474CF" w:rsidRDefault="00FC4C46" w:rsidP="00FC4C46">
      <w:pPr>
        <w:pStyle w:val="BodyText"/>
        <w:rPr>
          <w:rFonts w:cs="Arial"/>
          <w:color w:val="000000" w:themeColor="text1"/>
        </w:rPr>
      </w:pPr>
    </w:p>
    <w:p w14:paraId="1686B68A" w14:textId="4D423F58" w:rsidR="00FC4C46" w:rsidRPr="008474CF" w:rsidRDefault="00FC4C46" w:rsidP="00FC4C46">
      <w:pPr>
        <w:pStyle w:val="Caption"/>
        <w:rPr>
          <w:color w:val="000000" w:themeColor="text1"/>
          <w:sz w:val="20"/>
        </w:rPr>
      </w:pPr>
      <w:r w:rsidRPr="008474CF">
        <w:rPr>
          <w:sz w:val="20"/>
        </w:rPr>
        <w:t>Schlussfolgerung</w:t>
      </w:r>
    </w:p>
    <w:p w14:paraId="49159137" w14:textId="77777777" w:rsidR="00FC4C46" w:rsidRPr="008474CF" w:rsidRDefault="00FC4C46" w:rsidP="00FC4C46">
      <w:pPr>
        <w:pStyle w:val="BodyText"/>
        <w:rPr>
          <w:rFonts w:cs="Arial"/>
          <w:color w:val="000000" w:themeColor="text1"/>
        </w:rPr>
      </w:pPr>
    </w:p>
    <w:p w14:paraId="5B70D6F3" w14:textId="51A42FB7" w:rsidR="00FC4C46" w:rsidRPr="008474CF" w:rsidRDefault="004954B7" w:rsidP="00FC4C46">
      <w:pPr>
        <w:pStyle w:val="BodyText"/>
        <w:rPr>
          <w:rFonts w:cs="Arial"/>
          <w:color w:val="000000" w:themeColor="text1"/>
        </w:rPr>
      </w:pPr>
      <w:r w:rsidRPr="008474CF">
        <w:rPr>
          <w:rFonts w:cs="Arial"/>
          <w:color w:val="000000" w:themeColor="text1"/>
        </w:rPr>
        <w:t>Auf der Grundlage dieser Erklärung und der Beweise, auf die sie sich stützt, komme ich zu dem Schluss, dass es nach meinem besten Wissen und Gewissen und auf Grundlage der Informationen, über die ich verfüge, keine wesentlichen Schwächen gab, die die Zuverlässigkeit der Jahresabsch</w:t>
      </w:r>
      <w:r w:rsidR="00314A8D" w:rsidRPr="008474CF">
        <w:rPr>
          <w:rFonts w:cs="Arial"/>
          <w:color w:val="000000" w:themeColor="text1"/>
        </w:rPr>
        <w:t>l</w:t>
      </w:r>
      <w:r w:rsidRPr="008474CF">
        <w:rPr>
          <w:rFonts w:cs="Arial"/>
          <w:color w:val="000000" w:themeColor="text1"/>
        </w:rPr>
        <w:t xml:space="preserve">üsse der </w:t>
      </w:r>
      <w:r w:rsidR="00FC4C46" w:rsidRPr="008474CF">
        <w:rPr>
          <w:rFonts w:cs="Arial"/>
          <w:color w:val="000000" w:themeColor="text1"/>
        </w:rPr>
        <w:t xml:space="preserve">Organisation beeinträchtigen würden, </w:t>
      </w:r>
      <w:r w:rsidR="008D6A35" w:rsidRPr="008474CF">
        <w:rPr>
          <w:rFonts w:cs="Arial"/>
          <w:color w:val="000000" w:themeColor="text1"/>
        </w:rPr>
        <w:t>und dass sich keine wesentlichen Fragen ergeben, die im vorliegenden Dokument für den Berichtszeitraum angegangen werden müssten</w:t>
      </w:r>
      <w:r w:rsidR="00FC4C46" w:rsidRPr="008474CF">
        <w:rPr>
          <w:rFonts w:cs="Arial"/>
          <w:color w:val="000000" w:themeColor="text1"/>
        </w:rPr>
        <w:t xml:space="preserve">. </w:t>
      </w:r>
    </w:p>
    <w:p w14:paraId="12F31EAB" w14:textId="77777777" w:rsidR="00FC4C46" w:rsidRPr="008474CF" w:rsidRDefault="00FC4C46" w:rsidP="00FC4C46">
      <w:pPr>
        <w:rPr>
          <w:rFonts w:cs="Arial"/>
          <w:color w:val="000000" w:themeColor="text1"/>
        </w:rPr>
      </w:pPr>
    </w:p>
    <w:p w14:paraId="13EC394D" w14:textId="77777777" w:rsidR="00FC4C46" w:rsidRPr="008474CF" w:rsidRDefault="00FC4C46" w:rsidP="00FC4C46">
      <w:pPr>
        <w:rPr>
          <w:rFonts w:cs="Arial"/>
          <w:color w:val="000000" w:themeColor="text1"/>
        </w:rPr>
      </w:pPr>
    </w:p>
    <w:p w14:paraId="685EF4C5" w14:textId="77777777" w:rsidR="00FC4C46" w:rsidRPr="008474CF" w:rsidRDefault="00FC4C46" w:rsidP="00FC4C46">
      <w:pPr>
        <w:tabs>
          <w:tab w:val="left" w:pos="5528"/>
        </w:tabs>
        <w:rPr>
          <w:rFonts w:cs="Arial"/>
          <w:color w:val="000000" w:themeColor="text1"/>
        </w:rPr>
      </w:pPr>
      <w:r w:rsidRPr="008474CF">
        <w:rPr>
          <w:rFonts w:cs="Arial"/>
          <w:color w:val="000000" w:themeColor="text1"/>
        </w:rPr>
        <w:tab/>
        <w:t>Daren Tang</w:t>
      </w:r>
    </w:p>
    <w:p w14:paraId="1DE11371" w14:textId="77777777" w:rsidR="00FC4C46" w:rsidRPr="008474CF" w:rsidRDefault="00FC4C46" w:rsidP="00FC4C46">
      <w:pPr>
        <w:tabs>
          <w:tab w:val="left" w:pos="5528"/>
        </w:tabs>
        <w:rPr>
          <w:rFonts w:cs="Arial"/>
          <w:color w:val="000000" w:themeColor="text1"/>
        </w:rPr>
      </w:pPr>
      <w:r w:rsidRPr="008474CF">
        <w:rPr>
          <w:rFonts w:cs="Arial"/>
          <w:color w:val="000000" w:themeColor="text1"/>
        </w:rPr>
        <w:tab/>
        <w:t>Generalsekretär</w:t>
      </w:r>
    </w:p>
    <w:p w14:paraId="5EB3A2C7" w14:textId="77777777" w:rsidR="00FC4C46" w:rsidRPr="008474CF" w:rsidRDefault="00FC4C46" w:rsidP="00FC4C46">
      <w:pPr>
        <w:tabs>
          <w:tab w:val="left" w:pos="5528"/>
        </w:tabs>
        <w:rPr>
          <w:rFonts w:cs="Arial"/>
          <w:color w:val="000000" w:themeColor="text1"/>
        </w:rPr>
      </w:pPr>
    </w:p>
    <w:p w14:paraId="2C788622" w14:textId="731842B6" w:rsidR="00FC4C46" w:rsidRPr="008474CF" w:rsidRDefault="00FC4C46" w:rsidP="00FC4C46">
      <w:pPr>
        <w:tabs>
          <w:tab w:val="left" w:pos="5528"/>
        </w:tabs>
        <w:rPr>
          <w:rFonts w:cs="Arial"/>
          <w:color w:val="000000" w:themeColor="text1"/>
        </w:rPr>
      </w:pPr>
      <w:r w:rsidRPr="008474CF">
        <w:rPr>
          <w:rFonts w:cs="Arial"/>
          <w:color w:val="000000" w:themeColor="text1"/>
        </w:rPr>
        <w:tab/>
        <w:t>Datum:</w:t>
      </w:r>
      <w:r w:rsidR="006135A0" w:rsidRPr="008474CF">
        <w:rPr>
          <w:rFonts w:cs="Arial"/>
          <w:color w:val="000000" w:themeColor="text1"/>
        </w:rPr>
        <w:t xml:space="preserve"> </w:t>
      </w:r>
      <w:r w:rsidR="008D6A35" w:rsidRPr="008474CF">
        <w:rPr>
          <w:rFonts w:cs="Arial"/>
          <w:color w:val="000000" w:themeColor="text1"/>
        </w:rPr>
        <w:t xml:space="preserve">23. </w:t>
      </w:r>
      <w:r w:rsidR="006135A0" w:rsidRPr="008474CF">
        <w:rPr>
          <w:rFonts w:cs="Arial"/>
          <w:color w:val="000000" w:themeColor="text1"/>
        </w:rPr>
        <w:t>Mai 2025</w:t>
      </w:r>
    </w:p>
    <w:p w14:paraId="26BE9806" w14:textId="77777777" w:rsidR="00FC4C46" w:rsidRPr="008474CF" w:rsidRDefault="00FC4C46" w:rsidP="00FC4C46">
      <w:pPr>
        <w:pStyle w:val="BodyText"/>
        <w:rPr>
          <w:rFonts w:cs="Arial"/>
          <w:color w:val="000000" w:themeColor="text1"/>
        </w:rPr>
      </w:pPr>
    </w:p>
    <w:p w14:paraId="78DAF791" w14:textId="77777777" w:rsidR="00FC4C46" w:rsidRPr="008474CF" w:rsidRDefault="00FC4C46" w:rsidP="00FC4C46">
      <w:pPr>
        <w:pStyle w:val="BodyText"/>
        <w:rPr>
          <w:color w:val="000000" w:themeColor="text1"/>
        </w:rPr>
      </w:pPr>
    </w:p>
    <w:p w14:paraId="03586A45" w14:textId="77777777" w:rsidR="00FC4C46" w:rsidRPr="008474CF" w:rsidRDefault="00FC4C46" w:rsidP="00FC4C46">
      <w:pPr>
        <w:tabs>
          <w:tab w:val="left" w:pos="6889"/>
        </w:tabs>
        <w:rPr>
          <w:b/>
          <w:color w:val="000000" w:themeColor="text1"/>
        </w:rPr>
      </w:pPr>
      <w:r w:rsidRPr="008474CF">
        <w:rPr>
          <w:b/>
          <w:color w:val="000000" w:themeColor="text1"/>
        </w:rPr>
        <w:tab/>
      </w:r>
    </w:p>
    <w:p w14:paraId="71F17E74" w14:textId="77777777" w:rsidR="00FC4C46" w:rsidRPr="008474CF" w:rsidRDefault="00FC4C46" w:rsidP="00FC4C46">
      <w:pPr>
        <w:pStyle w:val="Heading1"/>
        <w:rPr>
          <w:rFonts w:cs="Arial"/>
          <w:color w:val="000000" w:themeColor="text1"/>
          <w:lang w:val="de-DE"/>
        </w:rPr>
      </w:pPr>
    </w:p>
    <w:p w14:paraId="1DA4D20F" w14:textId="77777777" w:rsidR="00F27BCD" w:rsidRPr="008474CF" w:rsidRDefault="00F27BCD" w:rsidP="00F27BCD">
      <w:pPr>
        <w:pStyle w:val="BodyText"/>
        <w:rPr>
          <w:rFonts w:cs="Arial"/>
          <w:color w:val="000000" w:themeColor="text1"/>
        </w:rPr>
      </w:pPr>
    </w:p>
    <w:p w14:paraId="49D02DB0" w14:textId="77777777" w:rsidR="00A45AC5" w:rsidRPr="008474CF" w:rsidRDefault="00A45AC5" w:rsidP="00A45AC5">
      <w:pPr>
        <w:pStyle w:val="BodyText"/>
        <w:rPr>
          <w:color w:val="000000" w:themeColor="text1"/>
        </w:rPr>
      </w:pPr>
    </w:p>
    <w:p w14:paraId="41A3C949" w14:textId="77777777" w:rsidR="00ED5C63" w:rsidRPr="008474CF" w:rsidRDefault="00ED5C63" w:rsidP="00ED5C63">
      <w:pPr>
        <w:tabs>
          <w:tab w:val="left" w:pos="6889"/>
        </w:tabs>
        <w:rPr>
          <w:b/>
          <w:color w:val="000000" w:themeColor="text1"/>
        </w:rPr>
      </w:pPr>
      <w:r w:rsidRPr="008474CF">
        <w:rPr>
          <w:b/>
          <w:color w:val="000000" w:themeColor="text1"/>
        </w:rPr>
        <w:tab/>
      </w:r>
    </w:p>
    <w:p w14:paraId="1A6B4C67" w14:textId="59835267" w:rsidR="00191695" w:rsidRPr="008474CF" w:rsidRDefault="00A824AF" w:rsidP="000357D6">
      <w:pPr>
        <w:pStyle w:val="Heading1"/>
        <w:jc w:val="center"/>
        <w:rPr>
          <w:rFonts w:cs="Arial"/>
          <w:lang w:val="de-DE"/>
        </w:rPr>
      </w:pPr>
      <w:r w:rsidRPr="008474CF">
        <w:rPr>
          <w:rFonts w:cs="Arial"/>
          <w:lang w:val="de-DE"/>
        </w:rPr>
        <w:br w:type="page"/>
      </w:r>
      <w:bookmarkStart w:id="18" w:name="_Toc84329886"/>
      <w:bookmarkStart w:id="19" w:name="_Toc205303745"/>
      <w:r w:rsidR="00D17284" w:rsidRPr="008474CF">
        <w:rPr>
          <w:rFonts w:cs="Arial"/>
          <w:lang w:val="de-DE"/>
        </w:rPr>
        <w:lastRenderedPageBreak/>
        <w:t xml:space="preserve">Darstellung </w:t>
      </w:r>
      <w:r w:rsidR="00383939" w:rsidRPr="008474CF">
        <w:rPr>
          <w:rFonts w:cs="Arial"/>
          <w:lang w:val="de-DE"/>
        </w:rPr>
        <w:t>I:</w:t>
      </w:r>
      <w:r w:rsidR="006A3ACC" w:rsidRPr="008474CF">
        <w:rPr>
          <w:rFonts w:cs="Arial"/>
          <w:lang w:val="de-DE"/>
        </w:rPr>
        <w:t xml:space="preserve"> </w:t>
      </w:r>
      <w:bookmarkEnd w:id="18"/>
      <w:r w:rsidR="0062576C" w:rsidRPr="008474CF">
        <w:rPr>
          <w:rFonts w:cs="Arial"/>
          <w:lang w:val="de-DE"/>
        </w:rPr>
        <w:t>Darstellung der Finanzlage</w:t>
      </w:r>
      <w:bookmarkEnd w:id="19"/>
    </w:p>
    <w:p w14:paraId="215EBB73" w14:textId="0C4C7463" w:rsidR="00A824AF" w:rsidRPr="008474CF" w:rsidRDefault="006C7B75" w:rsidP="00191695">
      <w:pPr>
        <w:jc w:val="center"/>
        <w:rPr>
          <w:rFonts w:cs="Arial"/>
          <w:b/>
        </w:rPr>
      </w:pPr>
      <w:r w:rsidRPr="008474CF">
        <w:rPr>
          <w:rFonts w:cs="Arial"/>
          <w:b/>
        </w:rPr>
        <w:t xml:space="preserve">zum 31. Dezember </w:t>
      </w:r>
      <w:r w:rsidR="00531FE8" w:rsidRPr="008474CF">
        <w:rPr>
          <w:rFonts w:cs="Arial"/>
          <w:b/>
        </w:rPr>
        <w:t>2024</w:t>
      </w:r>
    </w:p>
    <w:p w14:paraId="4A49EED0" w14:textId="0A74612B" w:rsidR="006606EB" w:rsidRPr="008474CF" w:rsidRDefault="000357D6" w:rsidP="000357D6">
      <w:pPr>
        <w:jc w:val="center"/>
        <w:rPr>
          <w:rFonts w:cs="Arial"/>
          <w:i/>
        </w:rPr>
      </w:pPr>
      <w:r w:rsidRPr="008474CF">
        <w:rPr>
          <w:rFonts w:cs="Arial"/>
          <w:i/>
        </w:rPr>
        <w:t xml:space="preserve">(in </w:t>
      </w:r>
      <w:r w:rsidR="000F0498" w:rsidRPr="008474CF">
        <w:rPr>
          <w:rFonts w:cs="Arial"/>
          <w:i/>
        </w:rPr>
        <w:t>Schweizer Franken</w:t>
      </w:r>
      <w:r w:rsidRPr="008474CF">
        <w:rPr>
          <w:rFonts w:cs="Arial"/>
          <w:i/>
        </w:rPr>
        <w:t>)</w:t>
      </w:r>
    </w:p>
    <w:p w14:paraId="115B78B5" w14:textId="77777777" w:rsidR="005D3AB8" w:rsidRPr="008474CF" w:rsidRDefault="005D3AB8" w:rsidP="000357D6">
      <w:pPr>
        <w:jc w:val="center"/>
        <w:rPr>
          <w:rFonts w:cs="Arial"/>
          <w:i/>
        </w:rPr>
      </w:pPr>
    </w:p>
    <w:p w14:paraId="7D3274BE" w14:textId="6BBD0442" w:rsidR="005D3AB8" w:rsidRPr="008474CF" w:rsidRDefault="00DF7A5F" w:rsidP="00F01218">
      <w:pPr>
        <w:pStyle w:val="Caption"/>
        <w:jc w:val="center"/>
      </w:pPr>
      <w:r w:rsidRPr="00DF7A5F">
        <w:rPr>
          <w:noProof/>
        </w:rPr>
        <w:drawing>
          <wp:inline distT="0" distB="0" distL="0" distR="0" wp14:anchorId="1D574046" wp14:editId="02D86E12">
            <wp:extent cx="6137910" cy="4913630"/>
            <wp:effectExtent l="0" t="0" r="0" b="1270"/>
            <wp:docPr id="7874990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7910" cy="4913630"/>
                    </a:xfrm>
                    <a:prstGeom prst="rect">
                      <a:avLst/>
                    </a:prstGeom>
                    <a:noFill/>
                    <a:ln>
                      <a:noFill/>
                    </a:ln>
                  </pic:spPr>
                </pic:pic>
              </a:graphicData>
            </a:graphic>
          </wp:inline>
        </w:drawing>
      </w:r>
    </w:p>
    <w:p w14:paraId="13B597AF" w14:textId="77777777" w:rsidR="006D30A8" w:rsidRPr="008474CF" w:rsidRDefault="006D30A8" w:rsidP="000357D6">
      <w:pPr>
        <w:jc w:val="center"/>
        <w:rPr>
          <w:rFonts w:cs="Arial"/>
          <w:i/>
        </w:rPr>
      </w:pPr>
    </w:p>
    <w:p w14:paraId="3888D563" w14:textId="77777777" w:rsidR="006D30A8" w:rsidRPr="008474CF" w:rsidRDefault="006D30A8" w:rsidP="000357D6">
      <w:pPr>
        <w:jc w:val="center"/>
        <w:rPr>
          <w:rFonts w:cs="Arial"/>
          <w:i/>
        </w:rPr>
      </w:pPr>
    </w:p>
    <w:p w14:paraId="746F155F" w14:textId="77777777" w:rsidR="006606EB" w:rsidRPr="008474CF" w:rsidRDefault="006606EB" w:rsidP="00191695">
      <w:pPr>
        <w:pStyle w:val="Heading1"/>
        <w:jc w:val="center"/>
        <w:rPr>
          <w:rFonts w:cs="Arial"/>
          <w:lang w:val="de-DE"/>
        </w:rPr>
      </w:pPr>
    </w:p>
    <w:p w14:paraId="6493D89E" w14:textId="77777777" w:rsidR="00191695" w:rsidRPr="008474CF" w:rsidRDefault="00A824AF" w:rsidP="000357D6">
      <w:pPr>
        <w:pStyle w:val="Caption"/>
        <w:jc w:val="center"/>
        <w:rPr>
          <w:rStyle w:val="Heading1Char"/>
          <w:b/>
          <w:sz w:val="20"/>
        </w:rPr>
      </w:pPr>
      <w:r w:rsidRPr="008474CF">
        <w:rPr>
          <w:sz w:val="20"/>
        </w:rPr>
        <w:br w:type="page"/>
      </w:r>
    </w:p>
    <w:p w14:paraId="16EA1006" w14:textId="5127F4B5" w:rsidR="00A824AF" w:rsidRPr="008474CF" w:rsidRDefault="00D17284" w:rsidP="00DE3D35">
      <w:pPr>
        <w:pStyle w:val="Heading1"/>
        <w:jc w:val="center"/>
        <w:rPr>
          <w:rFonts w:cs="Arial"/>
          <w:lang w:val="de-DE"/>
        </w:rPr>
      </w:pPr>
      <w:bookmarkStart w:id="20" w:name="_Toc205303746"/>
      <w:r w:rsidRPr="008474CF">
        <w:rPr>
          <w:rFonts w:cs="Arial"/>
          <w:lang w:val="de-DE"/>
        </w:rPr>
        <w:lastRenderedPageBreak/>
        <w:t>D</w:t>
      </w:r>
      <w:r w:rsidR="0081090D" w:rsidRPr="008474CF">
        <w:rPr>
          <w:rFonts w:cs="Arial"/>
          <w:lang w:val="de-DE"/>
        </w:rPr>
        <w:t xml:space="preserve">arstellung </w:t>
      </w:r>
      <w:r w:rsidR="00DE3D35" w:rsidRPr="008474CF">
        <w:rPr>
          <w:rFonts w:cs="Arial"/>
          <w:lang w:val="de-DE"/>
        </w:rPr>
        <w:t xml:space="preserve">II: </w:t>
      </w:r>
      <w:r w:rsidR="00767B3D" w:rsidRPr="008474CF">
        <w:rPr>
          <w:rFonts w:cs="Arial"/>
          <w:lang w:val="de-DE"/>
        </w:rPr>
        <w:t>D</w:t>
      </w:r>
      <w:r w:rsidR="0081090D" w:rsidRPr="008474CF">
        <w:rPr>
          <w:rFonts w:cs="Arial"/>
          <w:lang w:val="de-DE"/>
        </w:rPr>
        <w:t>arstellung der erfolgsrechnung</w:t>
      </w:r>
      <w:bookmarkEnd w:id="20"/>
    </w:p>
    <w:p w14:paraId="2C757BDD" w14:textId="73A67BE7" w:rsidR="00DE3D35" w:rsidRPr="008474CF" w:rsidRDefault="00A25D06" w:rsidP="00DE3D35">
      <w:pPr>
        <w:jc w:val="center"/>
        <w:rPr>
          <w:rFonts w:cs="Arial"/>
          <w:b/>
        </w:rPr>
      </w:pPr>
      <w:r w:rsidRPr="008474CF">
        <w:rPr>
          <w:rFonts w:cs="Arial"/>
          <w:b/>
        </w:rPr>
        <w:t>für das am 31. Dezember 2024 abgelaufene Rechnungsjahr</w:t>
      </w:r>
    </w:p>
    <w:p w14:paraId="321DA447" w14:textId="481B9AC8" w:rsidR="00DE3D35" w:rsidRPr="008474CF" w:rsidRDefault="00DE3D35" w:rsidP="00DE3D35">
      <w:pPr>
        <w:jc w:val="center"/>
        <w:rPr>
          <w:rFonts w:cs="Arial"/>
          <w:i/>
        </w:rPr>
      </w:pPr>
      <w:r w:rsidRPr="008474CF">
        <w:rPr>
          <w:rFonts w:cs="Arial"/>
          <w:i/>
        </w:rPr>
        <w:t xml:space="preserve">(in </w:t>
      </w:r>
      <w:r w:rsidR="000F0498" w:rsidRPr="008474CF">
        <w:rPr>
          <w:rFonts w:cs="Arial"/>
          <w:i/>
        </w:rPr>
        <w:t>Schweizer Franken</w:t>
      </w:r>
      <w:r w:rsidRPr="008474CF">
        <w:rPr>
          <w:rFonts w:cs="Arial"/>
          <w:i/>
        </w:rPr>
        <w:t>)</w:t>
      </w:r>
    </w:p>
    <w:p w14:paraId="36340D36" w14:textId="77777777" w:rsidR="006D30A8" w:rsidRPr="008474CF" w:rsidRDefault="006D30A8" w:rsidP="006D30A8">
      <w:pPr>
        <w:rPr>
          <w:rFonts w:cs="Arial"/>
          <w:i/>
        </w:rPr>
      </w:pPr>
    </w:p>
    <w:p w14:paraId="05EBAD28" w14:textId="71367E65" w:rsidR="006D30A8" w:rsidRPr="008474CF" w:rsidRDefault="00CD1D54" w:rsidP="00F01218">
      <w:pPr>
        <w:pStyle w:val="Caption"/>
        <w:jc w:val="center"/>
      </w:pPr>
      <w:r w:rsidRPr="00CD1D54">
        <w:rPr>
          <w:noProof/>
        </w:rPr>
        <w:drawing>
          <wp:inline distT="0" distB="0" distL="0" distR="0" wp14:anchorId="21D79000" wp14:editId="6A4EEF12">
            <wp:extent cx="6075045" cy="3172460"/>
            <wp:effectExtent l="0" t="0" r="1905" b="8890"/>
            <wp:docPr id="17196796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5045" cy="3172460"/>
                    </a:xfrm>
                    <a:prstGeom prst="rect">
                      <a:avLst/>
                    </a:prstGeom>
                    <a:noFill/>
                    <a:ln>
                      <a:noFill/>
                    </a:ln>
                  </pic:spPr>
                </pic:pic>
              </a:graphicData>
            </a:graphic>
          </wp:inline>
        </w:drawing>
      </w:r>
      <w:r w:rsidR="000D2BD6" w:rsidRPr="008474CF">
        <w:rPr>
          <w:b w:val="0"/>
          <w:bCs w:val="0"/>
        </w:rPr>
        <w:t xml:space="preserve"> </w:t>
      </w:r>
    </w:p>
    <w:p w14:paraId="3D5E9785" w14:textId="77777777" w:rsidR="005D3AB8" w:rsidRPr="008474CF" w:rsidRDefault="005D3AB8" w:rsidP="00DE3D35">
      <w:pPr>
        <w:jc w:val="center"/>
        <w:rPr>
          <w:rFonts w:cs="Arial"/>
          <w:i/>
        </w:rPr>
      </w:pPr>
    </w:p>
    <w:p w14:paraId="70E7A7CC" w14:textId="77777777" w:rsidR="005D3AB8" w:rsidRPr="008474CF" w:rsidRDefault="005D3AB8" w:rsidP="00DE3D35">
      <w:pPr>
        <w:jc w:val="center"/>
        <w:rPr>
          <w:rFonts w:cs="Arial"/>
          <w:i/>
        </w:rPr>
      </w:pPr>
    </w:p>
    <w:p w14:paraId="021D3F30" w14:textId="77777777" w:rsidR="00DE3D35" w:rsidRPr="008474CF" w:rsidRDefault="00DE3D35" w:rsidP="00DE3D35">
      <w:pPr>
        <w:rPr>
          <w:rFonts w:cs="Arial"/>
        </w:rPr>
      </w:pPr>
    </w:p>
    <w:p w14:paraId="370DD481" w14:textId="77777777" w:rsidR="006606EB" w:rsidRPr="008474CF" w:rsidRDefault="006606EB" w:rsidP="006606EB">
      <w:pPr>
        <w:jc w:val="center"/>
        <w:rPr>
          <w:rFonts w:cs="Arial"/>
        </w:rPr>
      </w:pPr>
    </w:p>
    <w:p w14:paraId="289E17F5" w14:textId="77777777" w:rsidR="00706113" w:rsidRPr="008474CF" w:rsidRDefault="00A824AF" w:rsidP="000357D6">
      <w:pPr>
        <w:pStyle w:val="Caption"/>
        <w:jc w:val="center"/>
        <w:rPr>
          <w:rStyle w:val="Heading1Char"/>
          <w:b/>
          <w:sz w:val="20"/>
        </w:rPr>
      </w:pPr>
      <w:r w:rsidRPr="008474CF">
        <w:rPr>
          <w:sz w:val="20"/>
        </w:rPr>
        <w:br w:type="page"/>
      </w:r>
    </w:p>
    <w:p w14:paraId="5409DA3C" w14:textId="0809AD7E" w:rsidR="00DE3D35" w:rsidRPr="008474CF" w:rsidRDefault="003164D4" w:rsidP="00DE3D35">
      <w:pPr>
        <w:pStyle w:val="Heading1"/>
        <w:jc w:val="center"/>
        <w:rPr>
          <w:rFonts w:cs="Arial"/>
          <w:lang w:val="de-DE"/>
        </w:rPr>
      </w:pPr>
      <w:bookmarkStart w:id="21" w:name="_Toc205303747"/>
      <w:r w:rsidRPr="008474CF">
        <w:rPr>
          <w:rFonts w:cs="Arial"/>
          <w:lang w:val="de-DE"/>
        </w:rPr>
        <w:lastRenderedPageBreak/>
        <w:t>D</w:t>
      </w:r>
      <w:r w:rsidR="0081090D" w:rsidRPr="008474CF">
        <w:rPr>
          <w:rFonts w:cs="Arial"/>
          <w:lang w:val="de-DE"/>
        </w:rPr>
        <w:t>arstellung</w:t>
      </w:r>
      <w:r w:rsidRPr="008474CF">
        <w:rPr>
          <w:rFonts w:cs="Arial"/>
          <w:lang w:val="de-DE"/>
        </w:rPr>
        <w:t xml:space="preserve"> </w:t>
      </w:r>
      <w:r w:rsidR="00DE3D35" w:rsidRPr="008474CF">
        <w:rPr>
          <w:rFonts w:cs="Arial"/>
          <w:lang w:val="de-DE"/>
        </w:rPr>
        <w:t xml:space="preserve">III: </w:t>
      </w:r>
      <w:r w:rsidRPr="008474CF">
        <w:rPr>
          <w:rFonts w:cs="Arial"/>
          <w:lang w:val="de-DE"/>
        </w:rPr>
        <w:t>D</w:t>
      </w:r>
      <w:r w:rsidR="0081090D" w:rsidRPr="008474CF">
        <w:rPr>
          <w:rFonts w:cs="Arial"/>
          <w:lang w:val="de-DE"/>
        </w:rPr>
        <w:t>arstellung der Veränderung des Nettovermögens</w:t>
      </w:r>
      <w:bookmarkEnd w:id="21"/>
    </w:p>
    <w:p w14:paraId="19060D89" w14:textId="7863B096" w:rsidR="00A824AF" w:rsidRPr="008474CF" w:rsidRDefault="00F524E9" w:rsidP="00DE3D35">
      <w:pPr>
        <w:jc w:val="center"/>
        <w:rPr>
          <w:rFonts w:cs="Arial"/>
          <w:b/>
        </w:rPr>
      </w:pPr>
      <w:r w:rsidRPr="008474CF">
        <w:rPr>
          <w:rFonts w:cs="Arial"/>
          <w:b/>
        </w:rPr>
        <w:t>für das am 31. Dezember 2024 abgelaufene Rechnungsjahr</w:t>
      </w:r>
    </w:p>
    <w:p w14:paraId="1841FD2A" w14:textId="39F7353F" w:rsidR="00A824AF" w:rsidRPr="008474CF" w:rsidRDefault="00A824AF" w:rsidP="00A824AF">
      <w:pPr>
        <w:jc w:val="center"/>
        <w:rPr>
          <w:rFonts w:cs="Arial"/>
          <w:i/>
        </w:rPr>
      </w:pPr>
      <w:r w:rsidRPr="008474CF">
        <w:rPr>
          <w:rFonts w:cs="Arial"/>
          <w:i/>
        </w:rPr>
        <w:t xml:space="preserve">(in </w:t>
      </w:r>
      <w:r w:rsidR="000F0498" w:rsidRPr="008474CF">
        <w:rPr>
          <w:rFonts w:cs="Arial"/>
          <w:i/>
        </w:rPr>
        <w:t>Schweizer Franken</w:t>
      </w:r>
      <w:r w:rsidRPr="008474CF">
        <w:rPr>
          <w:rFonts w:cs="Arial"/>
          <w:i/>
        </w:rPr>
        <w:t>)</w:t>
      </w:r>
    </w:p>
    <w:p w14:paraId="3699F72B" w14:textId="6128699E" w:rsidR="006D30A8" w:rsidRPr="008474CF" w:rsidRDefault="006D30A8" w:rsidP="00F01218">
      <w:pPr>
        <w:jc w:val="center"/>
        <w:rPr>
          <w:rFonts w:cs="Arial"/>
          <w:i/>
        </w:rPr>
      </w:pPr>
    </w:p>
    <w:p w14:paraId="4BAC0E54" w14:textId="6E63CD28" w:rsidR="006D30A8" w:rsidRPr="008474CF" w:rsidRDefault="00DF7A5F" w:rsidP="006D30A8">
      <w:pPr>
        <w:rPr>
          <w:rFonts w:cs="Arial"/>
          <w:i/>
        </w:rPr>
      </w:pPr>
      <w:r w:rsidRPr="00DF7A5F">
        <w:rPr>
          <w:noProof/>
        </w:rPr>
        <w:drawing>
          <wp:inline distT="0" distB="0" distL="0" distR="0" wp14:anchorId="26BECE38" wp14:editId="5FE91C5A">
            <wp:extent cx="6137910" cy="6115050"/>
            <wp:effectExtent l="0" t="0" r="0" b="0"/>
            <wp:docPr id="1499418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7910" cy="6115050"/>
                    </a:xfrm>
                    <a:prstGeom prst="rect">
                      <a:avLst/>
                    </a:prstGeom>
                    <a:noFill/>
                    <a:ln>
                      <a:noFill/>
                    </a:ln>
                  </pic:spPr>
                </pic:pic>
              </a:graphicData>
            </a:graphic>
          </wp:inline>
        </w:drawing>
      </w:r>
    </w:p>
    <w:p w14:paraId="22AE80F6" w14:textId="33EEE3B7" w:rsidR="005D3AB8" w:rsidRPr="008474CF" w:rsidRDefault="005D3AB8" w:rsidP="00A824AF">
      <w:pPr>
        <w:jc w:val="center"/>
        <w:rPr>
          <w:rFonts w:cs="Arial"/>
          <w:i/>
        </w:rPr>
      </w:pPr>
    </w:p>
    <w:p w14:paraId="33B05A10" w14:textId="590C85A5" w:rsidR="00A824AF" w:rsidRPr="008474CF" w:rsidRDefault="00A824AF" w:rsidP="005D7523">
      <w:pPr>
        <w:pStyle w:val="Caption"/>
      </w:pPr>
      <w:r w:rsidRPr="008474CF">
        <w:br w:type="page"/>
      </w:r>
    </w:p>
    <w:p w14:paraId="0F7BEBE3" w14:textId="6AEA14DC" w:rsidR="00706113" w:rsidRPr="008474CF" w:rsidRDefault="00DF19CA" w:rsidP="000357D6">
      <w:pPr>
        <w:pStyle w:val="Heading1"/>
        <w:jc w:val="center"/>
        <w:rPr>
          <w:rFonts w:cs="Arial"/>
          <w:lang w:val="de-DE"/>
        </w:rPr>
      </w:pPr>
      <w:bookmarkStart w:id="22" w:name="_Toc336009926"/>
      <w:bookmarkStart w:id="23" w:name="_Toc457491912"/>
      <w:bookmarkStart w:id="24" w:name="_Toc84329889"/>
      <w:bookmarkStart w:id="25" w:name="_Toc205303748"/>
      <w:r w:rsidRPr="008474CF">
        <w:rPr>
          <w:rFonts w:cs="Arial"/>
          <w:lang w:val="de-DE"/>
        </w:rPr>
        <w:lastRenderedPageBreak/>
        <w:t xml:space="preserve">Darstellung </w:t>
      </w:r>
      <w:r w:rsidR="00706113" w:rsidRPr="008474CF">
        <w:rPr>
          <w:rFonts w:cs="Arial"/>
          <w:lang w:val="de-DE"/>
        </w:rPr>
        <w:t>IV: Kapitalflussrechnung</w:t>
      </w:r>
      <w:bookmarkEnd w:id="22"/>
      <w:bookmarkEnd w:id="23"/>
      <w:bookmarkEnd w:id="24"/>
      <w:bookmarkEnd w:id="25"/>
    </w:p>
    <w:p w14:paraId="20150F4D" w14:textId="6D7691F5" w:rsidR="00A824AF" w:rsidRPr="008474CF" w:rsidRDefault="00ED17CE" w:rsidP="00A824AF">
      <w:pPr>
        <w:jc w:val="center"/>
        <w:rPr>
          <w:rFonts w:cs="Arial"/>
          <w:b/>
        </w:rPr>
      </w:pPr>
      <w:r w:rsidRPr="008474CF">
        <w:rPr>
          <w:rFonts w:cs="Arial"/>
          <w:b/>
        </w:rPr>
        <w:t>für das am 31. Dezember 2024 abgelaufene Rechnungsjahr</w:t>
      </w:r>
    </w:p>
    <w:p w14:paraId="62F8BA69" w14:textId="51185482" w:rsidR="00A824AF" w:rsidRPr="008474CF" w:rsidRDefault="00A824AF" w:rsidP="00A824AF">
      <w:pPr>
        <w:jc w:val="center"/>
        <w:rPr>
          <w:rFonts w:cs="Arial"/>
          <w:i/>
        </w:rPr>
      </w:pPr>
      <w:r w:rsidRPr="008474CF">
        <w:rPr>
          <w:rFonts w:cs="Arial"/>
          <w:i/>
        </w:rPr>
        <w:t xml:space="preserve">(in </w:t>
      </w:r>
      <w:r w:rsidR="000F0498" w:rsidRPr="008474CF">
        <w:rPr>
          <w:rFonts w:cs="Arial"/>
          <w:i/>
        </w:rPr>
        <w:t>Schweizer Franken</w:t>
      </w:r>
      <w:r w:rsidRPr="008474CF">
        <w:rPr>
          <w:rFonts w:cs="Arial"/>
          <w:i/>
        </w:rPr>
        <w:t>)</w:t>
      </w:r>
    </w:p>
    <w:p w14:paraId="7B144C3F" w14:textId="77777777" w:rsidR="00393B7B" w:rsidRPr="008474CF" w:rsidRDefault="00393B7B" w:rsidP="00A824AF">
      <w:pPr>
        <w:jc w:val="center"/>
        <w:rPr>
          <w:rFonts w:cs="Arial"/>
          <w:i/>
        </w:rPr>
      </w:pPr>
    </w:p>
    <w:p w14:paraId="185130F7" w14:textId="1B63836A" w:rsidR="00A824AF" w:rsidRPr="008474CF" w:rsidRDefault="00A37E37" w:rsidP="00A824AF">
      <w:pPr>
        <w:jc w:val="center"/>
        <w:rPr>
          <w:rFonts w:cs="Arial"/>
          <w:b/>
        </w:rPr>
      </w:pPr>
      <w:r w:rsidRPr="00A37E37">
        <w:rPr>
          <w:noProof/>
        </w:rPr>
        <w:drawing>
          <wp:inline distT="0" distB="0" distL="0" distR="0" wp14:anchorId="6CC55A57" wp14:editId="38F3C1EB">
            <wp:extent cx="6137910" cy="2896870"/>
            <wp:effectExtent l="0" t="0" r="0" b="0"/>
            <wp:docPr id="10122120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7910" cy="2896870"/>
                    </a:xfrm>
                    <a:prstGeom prst="rect">
                      <a:avLst/>
                    </a:prstGeom>
                    <a:noFill/>
                    <a:ln>
                      <a:noFill/>
                    </a:ln>
                  </pic:spPr>
                </pic:pic>
              </a:graphicData>
            </a:graphic>
          </wp:inline>
        </w:drawing>
      </w:r>
    </w:p>
    <w:p w14:paraId="7DD04566" w14:textId="77777777" w:rsidR="005D3AB8" w:rsidRPr="008474CF" w:rsidRDefault="005D3AB8" w:rsidP="00A824AF">
      <w:pPr>
        <w:jc w:val="center"/>
        <w:rPr>
          <w:rFonts w:cs="Arial"/>
          <w:b/>
        </w:rPr>
      </w:pPr>
    </w:p>
    <w:p w14:paraId="3A0359CF" w14:textId="7BFEAEAC" w:rsidR="005D3AB8" w:rsidRPr="008474CF" w:rsidRDefault="005D3AB8" w:rsidP="00A824AF">
      <w:pPr>
        <w:jc w:val="center"/>
        <w:rPr>
          <w:rFonts w:cs="Arial"/>
          <w:b/>
        </w:rPr>
      </w:pPr>
    </w:p>
    <w:p w14:paraId="2D992880" w14:textId="61A28115" w:rsidR="006606EB" w:rsidRPr="008474CF" w:rsidRDefault="006A3ACC" w:rsidP="006606EB">
      <w:pPr>
        <w:pStyle w:val="Heading1"/>
        <w:rPr>
          <w:rFonts w:cs="Arial"/>
          <w:lang w:val="de-DE"/>
        </w:rPr>
      </w:pPr>
      <w:r w:rsidRPr="008474CF">
        <w:rPr>
          <w:rFonts w:cs="Arial"/>
          <w:bCs/>
          <w:lang w:val="de-DE"/>
        </w:rPr>
        <w:t xml:space="preserve"> </w:t>
      </w:r>
      <w:r w:rsidR="00A824AF" w:rsidRPr="008474CF">
        <w:rPr>
          <w:rFonts w:cs="Arial"/>
          <w:lang w:val="de-DE"/>
        </w:rPr>
        <w:t xml:space="preserve"> </w:t>
      </w:r>
    </w:p>
    <w:p w14:paraId="67B38938" w14:textId="7356B4D6" w:rsidR="00706113" w:rsidRPr="008474CF" w:rsidRDefault="00A824AF" w:rsidP="000357D6">
      <w:pPr>
        <w:pStyle w:val="Caption"/>
        <w:jc w:val="center"/>
        <w:rPr>
          <w:rStyle w:val="Heading1Char"/>
          <w:b/>
          <w:sz w:val="20"/>
        </w:rPr>
      </w:pPr>
      <w:r w:rsidRPr="008474CF">
        <w:rPr>
          <w:sz w:val="20"/>
        </w:rPr>
        <w:br w:type="page"/>
      </w:r>
      <w:bookmarkStart w:id="26" w:name="_Toc336009927"/>
    </w:p>
    <w:p w14:paraId="6DA41790" w14:textId="70457BDC" w:rsidR="00DE3D35" w:rsidRPr="008474CF" w:rsidRDefault="00A60703" w:rsidP="00DE3D35">
      <w:pPr>
        <w:pStyle w:val="Heading1"/>
        <w:jc w:val="center"/>
        <w:rPr>
          <w:rFonts w:cs="Arial"/>
          <w:lang w:val="de-DE"/>
        </w:rPr>
      </w:pPr>
      <w:bookmarkStart w:id="27" w:name="_Toc205303749"/>
      <w:r w:rsidRPr="008474CF">
        <w:rPr>
          <w:rFonts w:cs="Arial"/>
          <w:lang w:val="de-DE"/>
        </w:rPr>
        <w:lastRenderedPageBreak/>
        <w:t>D</w:t>
      </w:r>
      <w:r w:rsidR="0081090D" w:rsidRPr="008474CF">
        <w:rPr>
          <w:rFonts w:cs="Arial"/>
          <w:lang w:val="de-DE"/>
        </w:rPr>
        <w:t>arstellung</w:t>
      </w:r>
      <w:r w:rsidRPr="008474CF">
        <w:rPr>
          <w:rFonts w:cs="Arial"/>
          <w:lang w:val="de-DE"/>
        </w:rPr>
        <w:t xml:space="preserve"> </w:t>
      </w:r>
      <w:r w:rsidR="00E45EF0" w:rsidRPr="008474CF">
        <w:rPr>
          <w:rFonts w:cs="Arial"/>
          <w:lang w:val="de-DE"/>
        </w:rPr>
        <w:t xml:space="preserve">V: </w:t>
      </w:r>
      <w:r w:rsidR="00E30F57" w:rsidRPr="008474CF">
        <w:rPr>
          <w:rFonts w:cs="Arial"/>
          <w:lang w:val="de-DE"/>
        </w:rPr>
        <w:t>G</w:t>
      </w:r>
      <w:r w:rsidR="0081090D" w:rsidRPr="008474CF">
        <w:rPr>
          <w:rFonts w:cs="Arial"/>
          <w:lang w:val="de-DE"/>
        </w:rPr>
        <w:t>egenüberstellung</w:t>
      </w:r>
      <w:r w:rsidR="00E30F57" w:rsidRPr="008474CF">
        <w:rPr>
          <w:rFonts w:cs="Arial"/>
          <w:lang w:val="de-DE"/>
        </w:rPr>
        <w:t xml:space="preserve"> </w:t>
      </w:r>
      <w:r w:rsidR="0081090D" w:rsidRPr="008474CF">
        <w:rPr>
          <w:rFonts w:cs="Arial"/>
          <w:lang w:val="de-DE"/>
        </w:rPr>
        <w:t xml:space="preserve">von </w:t>
      </w:r>
      <w:r w:rsidR="00E30F57" w:rsidRPr="008474CF">
        <w:rPr>
          <w:rFonts w:cs="Arial"/>
          <w:lang w:val="de-DE"/>
        </w:rPr>
        <w:t>S</w:t>
      </w:r>
      <w:r w:rsidR="0081090D" w:rsidRPr="008474CF">
        <w:rPr>
          <w:rFonts w:cs="Arial"/>
          <w:lang w:val="de-DE"/>
        </w:rPr>
        <w:t>oll</w:t>
      </w:r>
      <w:r w:rsidR="00E30F57" w:rsidRPr="008474CF">
        <w:rPr>
          <w:rFonts w:cs="Arial"/>
          <w:lang w:val="de-DE"/>
        </w:rPr>
        <w:t xml:space="preserve">- </w:t>
      </w:r>
      <w:r w:rsidR="0081090D" w:rsidRPr="008474CF">
        <w:rPr>
          <w:rFonts w:cs="Arial"/>
          <w:lang w:val="de-DE"/>
        </w:rPr>
        <w:t>und</w:t>
      </w:r>
      <w:r w:rsidR="00E30F57" w:rsidRPr="008474CF">
        <w:rPr>
          <w:rFonts w:cs="Arial"/>
          <w:lang w:val="de-DE"/>
        </w:rPr>
        <w:t xml:space="preserve"> I</w:t>
      </w:r>
      <w:r w:rsidR="0081090D" w:rsidRPr="008474CF">
        <w:rPr>
          <w:rFonts w:cs="Arial"/>
          <w:lang w:val="de-DE"/>
        </w:rPr>
        <w:t>stbeträgen</w:t>
      </w:r>
      <w:bookmarkEnd w:id="27"/>
      <w:r w:rsidR="00DE3D35" w:rsidRPr="008474CF">
        <w:rPr>
          <w:rFonts w:cs="Arial"/>
          <w:lang w:val="de-DE"/>
        </w:rPr>
        <w:t xml:space="preserve"> </w:t>
      </w:r>
    </w:p>
    <w:p w14:paraId="4B28D092" w14:textId="7686EA9C" w:rsidR="00A824AF" w:rsidRPr="008474CF" w:rsidRDefault="00E30F57" w:rsidP="00706113">
      <w:pPr>
        <w:jc w:val="center"/>
        <w:rPr>
          <w:rFonts w:cs="Arial"/>
          <w:b/>
        </w:rPr>
      </w:pPr>
      <w:r w:rsidRPr="008474CF">
        <w:rPr>
          <w:rFonts w:cs="Arial"/>
          <w:b/>
        </w:rPr>
        <w:t>für das am 31. Dezember 2024 abgelaufene Rechnungsjahr</w:t>
      </w:r>
    </w:p>
    <w:p w14:paraId="77D6422F" w14:textId="2D4A2DD3" w:rsidR="00A824AF" w:rsidRPr="008474CF" w:rsidRDefault="00A824AF" w:rsidP="00A824AF">
      <w:pPr>
        <w:jc w:val="center"/>
        <w:rPr>
          <w:rFonts w:cs="Arial"/>
          <w:i/>
        </w:rPr>
      </w:pPr>
      <w:r w:rsidRPr="008474CF">
        <w:rPr>
          <w:rFonts w:cs="Arial"/>
          <w:i/>
        </w:rPr>
        <w:t xml:space="preserve">(in Tausend </w:t>
      </w:r>
      <w:r w:rsidR="000F0498" w:rsidRPr="008474CF">
        <w:rPr>
          <w:rFonts w:cs="Arial"/>
          <w:i/>
        </w:rPr>
        <w:t>Schweizer Franken</w:t>
      </w:r>
      <w:r w:rsidRPr="008474CF">
        <w:rPr>
          <w:rFonts w:cs="Arial"/>
          <w:i/>
        </w:rPr>
        <w:t>)</w:t>
      </w:r>
    </w:p>
    <w:p w14:paraId="50678F1C" w14:textId="77777777" w:rsidR="00E45414" w:rsidRPr="008474CF" w:rsidRDefault="00E45414" w:rsidP="00A824AF">
      <w:pPr>
        <w:jc w:val="center"/>
        <w:rPr>
          <w:rFonts w:cs="Arial"/>
          <w:i/>
        </w:rPr>
      </w:pPr>
    </w:p>
    <w:p w14:paraId="65040E95" w14:textId="356DF2E5" w:rsidR="00162492" w:rsidRPr="008474CF" w:rsidRDefault="00F266A9" w:rsidP="00F01218">
      <w:pPr>
        <w:jc w:val="center"/>
        <w:rPr>
          <w:rFonts w:cs="Arial"/>
          <w:i/>
        </w:rPr>
      </w:pPr>
      <w:r w:rsidRPr="00F266A9">
        <w:rPr>
          <w:noProof/>
        </w:rPr>
        <w:drawing>
          <wp:inline distT="0" distB="0" distL="0" distR="0" wp14:anchorId="2A7B6482" wp14:editId="5BCBD317">
            <wp:extent cx="6130290" cy="4699000"/>
            <wp:effectExtent l="0" t="0" r="3810" b="6350"/>
            <wp:docPr id="16198029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0290" cy="4699000"/>
                    </a:xfrm>
                    <a:prstGeom prst="rect">
                      <a:avLst/>
                    </a:prstGeom>
                    <a:noFill/>
                    <a:ln>
                      <a:noFill/>
                    </a:ln>
                  </pic:spPr>
                </pic:pic>
              </a:graphicData>
            </a:graphic>
          </wp:inline>
        </w:drawing>
      </w:r>
    </w:p>
    <w:p w14:paraId="33056CE1" w14:textId="5D7881D8" w:rsidR="00CE23D2" w:rsidRPr="008474CF" w:rsidRDefault="00CE23D2" w:rsidP="00A824AF">
      <w:pPr>
        <w:jc w:val="center"/>
        <w:rPr>
          <w:rFonts w:cs="Arial"/>
          <w:i/>
        </w:rPr>
      </w:pPr>
    </w:p>
    <w:p w14:paraId="731A2231" w14:textId="4C8BCD3E" w:rsidR="00CE23D2" w:rsidRPr="008474CF" w:rsidRDefault="00CE23D2" w:rsidP="00A824AF">
      <w:pPr>
        <w:jc w:val="center"/>
        <w:rPr>
          <w:rFonts w:cs="Arial"/>
          <w:i/>
        </w:rPr>
      </w:pPr>
    </w:p>
    <w:p w14:paraId="7A5E9F91" w14:textId="77777777" w:rsidR="00E45EF0" w:rsidRPr="008474CF" w:rsidRDefault="00E45EF0" w:rsidP="00A824AF">
      <w:pPr>
        <w:rPr>
          <w:rFonts w:cs="Arial"/>
          <w:sz w:val="16"/>
          <w:szCs w:val="16"/>
        </w:rPr>
      </w:pPr>
    </w:p>
    <w:p w14:paraId="47E9BBE4" w14:textId="3193EE25" w:rsidR="00D61512" w:rsidRPr="008474CF" w:rsidRDefault="00456F6D" w:rsidP="002F343D">
      <w:pPr>
        <w:pStyle w:val="Default"/>
        <w:numPr>
          <w:ilvl w:val="0"/>
          <w:numId w:val="9"/>
        </w:numPr>
        <w:rPr>
          <w:sz w:val="16"/>
          <w:szCs w:val="16"/>
          <w:lang w:val="de-DE"/>
        </w:rPr>
      </w:pPr>
      <w:r w:rsidRPr="008474CF">
        <w:rPr>
          <w:sz w:val="16"/>
          <w:szCs w:val="16"/>
          <w:lang w:val="de-DE"/>
        </w:rPr>
        <w:t>Der ursprüngliche Haushaltsplan zeigt das Budget des</w:t>
      </w:r>
      <w:r w:rsidR="00EC0F51" w:rsidRPr="008474CF">
        <w:rPr>
          <w:sz w:val="16"/>
          <w:szCs w:val="16"/>
          <w:lang w:val="de-DE"/>
        </w:rPr>
        <w:t xml:space="preserve"> ersten Jahres </w:t>
      </w:r>
      <w:r w:rsidR="00D94AEB" w:rsidRPr="008474CF">
        <w:rPr>
          <w:sz w:val="16"/>
          <w:szCs w:val="16"/>
          <w:lang w:val="de-DE"/>
        </w:rPr>
        <w:t>des für die Rechnungsperiode 2024-2025 gebilligten Programms und Haushaltsplans</w:t>
      </w:r>
      <w:r w:rsidR="00EC0F51" w:rsidRPr="008474CF">
        <w:rPr>
          <w:sz w:val="16"/>
          <w:szCs w:val="16"/>
          <w:lang w:val="de-DE"/>
        </w:rPr>
        <w:t>.</w:t>
      </w:r>
      <w:r w:rsidR="006A3ACC" w:rsidRPr="008474CF">
        <w:rPr>
          <w:sz w:val="16"/>
          <w:szCs w:val="16"/>
          <w:lang w:val="de-DE"/>
        </w:rPr>
        <w:t xml:space="preserve"> </w:t>
      </w:r>
    </w:p>
    <w:p w14:paraId="6CD9EDE5" w14:textId="0279D445" w:rsidR="00D61512" w:rsidRPr="008474CF" w:rsidRDefault="001953AF" w:rsidP="002F343D">
      <w:pPr>
        <w:pStyle w:val="Default"/>
        <w:numPr>
          <w:ilvl w:val="0"/>
          <w:numId w:val="9"/>
        </w:numPr>
        <w:rPr>
          <w:sz w:val="16"/>
          <w:szCs w:val="16"/>
          <w:lang w:val="de-DE"/>
        </w:rPr>
      </w:pPr>
      <w:r w:rsidRPr="008474CF">
        <w:rPr>
          <w:sz w:val="16"/>
          <w:szCs w:val="16"/>
          <w:lang w:val="de-DE"/>
        </w:rPr>
        <w:t>Zeigt die Differenz zwischen dem endgültigen Haushaltsplan und den tatsächlichen Einnahmen und Ausgaben auf einer Vergleichsbasis (vor IPSAS-Anpassungen) für das am 31. Dezember 2024 abgelaufene Rechnungsjahr</w:t>
      </w:r>
      <w:r w:rsidR="00D61512" w:rsidRPr="008474CF">
        <w:rPr>
          <w:sz w:val="16"/>
          <w:szCs w:val="16"/>
          <w:lang w:val="de-DE"/>
        </w:rPr>
        <w:t xml:space="preserve">. </w:t>
      </w:r>
    </w:p>
    <w:p w14:paraId="7BFAEB82" w14:textId="091534DD" w:rsidR="00D61512" w:rsidRPr="008474CF" w:rsidRDefault="00AE0E8A" w:rsidP="002F343D">
      <w:pPr>
        <w:pStyle w:val="Default"/>
        <w:numPr>
          <w:ilvl w:val="0"/>
          <w:numId w:val="9"/>
        </w:numPr>
        <w:rPr>
          <w:sz w:val="16"/>
          <w:szCs w:val="16"/>
          <w:lang w:val="de-DE"/>
        </w:rPr>
      </w:pPr>
      <w:r w:rsidRPr="008474CF">
        <w:rPr>
          <w:color w:val="auto"/>
          <w:sz w:val="16"/>
          <w:szCs w:val="16"/>
          <w:lang w:val="de-DE"/>
        </w:rPr>
        <w:t>Die am Überschuss vorgenommenen IPSAS-Anpassungen sind im Einzelnen in der Anmerkung 11 dieses Jahresabschlusses ausgeführt</w:t>
      </w:r>
      <w:r w:rsidR="00D61512" w:rsidRPr="008474CF">
        <w:rPr>
          <w:color w:val="FF0000"/>
          <w:sz w:val="16"/>
          <w:szCs w:val="16"/>
          <w:lang w:val="de-DE"/>
        </w:rPr>
        <w:t xml:space="preserve">. </w:t>
      </w:r>
    </w:p>
    <w:p w14:paraId="26607418" w14:textId="77777777" w:rsidR="007E35FA" w:rsidRPr="008474CF" w:rsidRDefault="007E35FA" w:rsidP="007E35FA">
      <w:pPr>
        <w:pStyle w:val="Default"/>
        <w:rPr>
          <w:color w:val="FF0000"/>
          <w:sz w:val="20"/>
          <w:szCs w:val="20"/>
          <w:lang w:val="de-DE"/>
        </w:rPr>
      </w:pPr>
    </w:p>
    <w:p w14:paraId="2D3E1A22" w14:textId="77777777" w:rsidR="007E35FA" w:rsidRPr="008474CF" w:rsidRDefault="007E35FA">
      <w:pPr>
        <w:jc w:val="left"/>
        <w:rPr>
          <w:rFonts w:cs="Arial"/>
          <w:b/>
          <w:caps/>
        </w:rPr>
      </w:pPr>
      <w:bookmarkStart w:id="28" w:name="_Toc109138977"/>
      <w:r w:rsidRPr="008474CF">
        <w:rPr>
          <w:rFonts w:cs="Arial"/>
        </w:rPr>
        <w:br w:type="page"/>
      </w:r>
    </w:p>
    <w:p w14:paraId="0BA196A2" w14:textId="59C30A90" w:rsidR="00B61C54" w:rsidRPr="008474CF" w:rsidRDefault="00305E04" w:rsidP="00B61C54">
      <w:pPr>
        <w:pStyle w:val="Heading1"/>
        <w:jc w:val="center"/>
        <w:rPr>
          <w:rFonts w:cs="Arial"/>
          <w:lang w:val="de-DE"/>
        </w:rPr>
      </w:pPr>
      <w:bookmarkStart w:id="29" w:name="_Toc336009929"/>
      <w:bookmarkStart w:id="30" w:name="_Toc457491914"/>
      <w:bookmarkStart w:id="31" w:name="_Toc84329891"/>
      <w:bookmarkStart w:id="32" w:name="_Toc205303750"/>
      <w:bookmarkEnd w:id="26"/>
      <w:bookmarkEnd w:id="28"/>
      <w:r w:rsidRPr="008474CF">
        <w:rPr>
          <w:rFonts w:cs="Arial"/>
          <w:lang w:val="de-DE"/>
        </w:rPr>
        <w:lastRenderedPageBreak/>
        <w:t xml:space="preserve">Anmerkungen </w:t>
      </w:r>
      <w:bookmarkEnd w:id="29"/>
      <w:bookmarkEnd w:id="30"/>
      <w:bookmarkEnd w:id="31"/>
      <w:r w:rsidR="00987CBE" w:rsidRPr="008474CF">
        <w:rPr>
          <w:rFonts w:cs="Arial"/>
          <w:lang w:val="de-DE"/>
        </w:rPr>
        <w:t>zum Jahresabschluss</w:t>
      </w:r>
      <w:bookmarkEnd w:id="32"/>
    </w:p>
    <w:p w14:paraId="511C73AE" w14:textId="77777777" w:rsidR="00B61C54" w:rsidRPr="008474CF" w:rsidRDefault="00B61C54" w:rsidP="00B61C54">
      <w:pPr>
        <w:rPr>
          <w:rFonts w:cs="Arial"/>
        </w:rPr>
      </w:pPr>
    </w:p>
    <w:p w14:paraId="4B8EC835" w14:textId="51E2F1CE" w:rsidR="00B61C54" w:rsidRPr="008474CF" w:rsidRDefault="00B61C54" w:rsidP="00B56280">
      <w:pPr>
        <w:pStyle w:val="Heading2Notes"/>
        <w:ind w:left="1843" w:hanging="1843"/>
        <w:rPr>
          <w:rFonts w:ascii="Arial" w:hAnsi="Arial" w:cs="Arial"/>
          <w:lang w:val="de-DE"/>
        </w:rPr>
      </w:pPr>
      <w:bookmarkStart w:id="33" w:name="_Toc336009930"/>
      <w:bookmarkStart w:id="34" w:name="_Toc457491915"/>
      <w:bookmarkStart w:id="35" w:name="_Toc84329892"/>
      <w:bookmarkStart w:id="36" w:name="_Toc205303751"/>
      <w:r w:rsidRPr="008474CF">
        <w:rPr>
          <w:rFonts w:ascii="Arial" w:hAnsi="Arial" w:cs="Arial"/>
          <w:lang w:val="de-DE"/>
        </w:rPr>
        <w:t>Anmerkung 1:</w:t>
      </w:r>
      <w:r w:rsidRPr="008474CF">
        <w:rPr>
          <w:rFonts w:ascii="Arial" w:hAnsi="Arial" w:cs="Arial"/>
          <w:lang w:val="de-DE"/>
        </w:rPr>
        <w:tab/>
      </w:r>
      <w:bookmarkEnd w:id="33"/>
      <w:bookmarkEnd w:id="34"/>
      <w:bookmarkEnd w:id="35"/>
      <w:r w:rsidR="0018265D" w:rsidRPr="008474CF">
        <w:rPr>
          <w:rFonts w:ascii="Arial" w:hAnsi="Arial" w:cs="Arial"/>
          <w:lang w:val="de-DE"/>
        </w:rPr>
        <w:t>Ziele, Führung der Organisation und Haushaltsplan der UPOV</w:t>
      </w:r>
      <w:bookmarkEnd w:id="36"/>
    </w:p>
    <w:p w14:paraId="3FA3659B" w14:textId="77777777" w:rsidR="00B61C54" w:rsidRPr="008474CF" w:rsidRDefault="00B61C54" w:rsidP="00B61C54">
      <w:pPr>
        <w:rPr>
          <w:rFonts w:cs="Arial"/>
        </w:rPr>
      </w:pPr>
    </w:p>
    <w:p w14:paraId="2C72B27F" w14:textId="77777777" w:rsidR="00FE69A2" w:rsidRPr="008474CF" w:rsidRDefault="00FE69A2" w:rsidP="00FE69A2">
      <w:pPr>
        <w:rPr>
          <w:rFonts w:cs="Arial"/>
        </w:rPr>
      </w:pPr>
      <w:r w:rsidRPr="008474CF">
        <w:rPr>
          <w:rFonts w:cs="Arial"/>
        </w:rPr>
        <w:t>Der Internationale Verband zum Schutz von Pflanzenzüchtungen (UPOV) ist eine zwischenstaatliche Organisation mit Sitz in Genf. Die Aufgabe der UPOV besteht in der Bereitstellung und Förderung eines wirksamen Sortenschutzsystems mit dem Ziel, die Entwicklung neuer Pflanzensorten zum Nutzen der Gesellschaft zu begünstigen.</w:t>
      </w:r>
    </w:p>
    <w:p w14:paraId="4736719A" w14:textId="77777777" w:rsidR="00FE69A2" w:rsidRPr="008474CF" w:rsidRDefault="00FE69A2" w:rsidP="00FE69A2">
      <w:pPr>
        <w:rPr>
          <w:rFonts w:cs="Arial"/>
        </w:rPr>
      </w:pPr>
    </w:p>
    <w:p w14:paraId="7168D6A5" w14:textId="45B8854F" w:rsidR="00A824AF" w:rsidRPr="008474CF" w:rsidRDefault="00FE69A2" w:rsidP="00FE69A2">
      <w:pPr>
        <w:rPr>
          <w:rFonts w:cs="Arial"/>
        </w:rPr>
      </w:pPr>
      <w:r w:rsidRPr="008474CF">
        <w:rPr>
          <w:rFonts w:cs="Arial"/>
        </w:rPr>
        <w:t>Die UPOV wurde durch das 1961 in Paris unterzeichnete Internationale Übereinkommen zum Schutz von Pflanzenzüchtungen (dem UPOV-Übereinkommen) gegründet. Das Übereinkommen trat 1968 in Kraft. Es wurde 1972, 1978 und 1991 in Genf revidiert. Die Akte von 1991 trat am 24. April 1998 in Kraft. Die hauptsächlichen Ziele der UPOV sind gemäß dem UPOV-Übereinkommen:</w:t>
      </w:r>
    </w:p>
    <w:p w14:paraId="5DFF5EBE" w14:textId="77777777" w:rsidR="00A824AF" w:rsidRPr="008474CF" w:rsidRDefault="00A824AF" w:rsidP="00A824AF">
      <w:pPr>
        <w:rPr>
          <w:rFonts w:cs="Arial"/>
        </w:rPr>
      </w:pPr>
    </w:p>
    <w:p w14:paraId="28E280F5" w14:textId="6F871218" w:rsidR="00A824AF" w:rsidRPr="008474CF" w:rsidRDefault="008D20A6" w:rsidP="002F343D">
      <w:pPr>
        <w:numPr>
          <w:ilvl w:val="0"/>
          <w:numId w:val="6"/>
        </w:numPr>
        <w:ind w:right="713"/>
        <w:rPr>
          <w:rFonts w:cs="Arial"/>
        </w:rPr>
      </w:pPr>
      <w:r w:rsidRPr="008474CF">
        <w:rPr>
          <w:rFonts w:cs="Arial"/>
        </w:rPr>
        <w:t>Bereitstellung und Entwicklung der rechtlichen, administrativen und technischen Grundlage für die internationale Zusammenarbeit auf dem Gebiet des Sortenschutzes</w:t>
      </w:r>
      <w:r w:rsidR="00A824AF" w:rsidRPr="008474CF">
        <w:rPr>
          <w:rFonts w:cs="Arial"/>
        </w:rPr>
        <w:t>;</w:t>
      </w:r>
    </w:p>
    <w:p w14:paraId="1479F9FE" w14:textId="77777777" w:rsidR="00A824AF" w:rsidRPr="008474CF" w:rsidRDefault="00A824AF" w:rsidP="00A824AF">
      <w:pPr>
        <w:ind w:right="713"/>
        <w:rPr>
          <w:rFonts w:cs="Arial"/>
        </w:rPr>
      </w:pPr>
    </w:p>
    <w:p w14:paraId="0245D9ED" w14:textId="77777777" w:rsidR="00420682" w:rsidRPr="008474CF" w:rsidRDefault="00420682" w:rsidP="002F343D">
      <w:pPr>
        <w:numPr>
          <w:ilvl w:val="0"/>
          <w:numId w:val="6"/>
        </w:numPr>
        <w:ind w:right="713"/>
        <w:rPr>
          <w:rFonts w:cs="Arial"/>
        </w:rPr>
      </w:pPr>
      <w:r w:rsidRPr="008474CF">
        <w:rPr>
          <w:rFonts w:cs="Arial"/>
        </w:rPr>
        <w:t>Unterstützung von Staaten und Organisationen bei der Ausarbeitung von Rechtsvorschriften und der Umsetzung eines wirksamen Sortenschutzsystems; und</w:t>
      </w:r>
    </w:p>
    <w:p w14:paraId="6F5F15D0" w14:textId="77777777" w:rsidR="00A824AF" w:rsidRPr="008474CF" w:rsidRDefault="00A824AF" w:rsidP="00A824AF">
      <w:pPr>
        <w:ind w:right="713"/>
        <w:rPr>
          <w:rFonts w:cs="Arial"/>
        </w:rPr>
      </w:pPr>
    </w:p>
    <w:p w14:paraId="2DD4C1FA" w14:textId="269AE248" w:rsidR="00A824AF" w:rsidRPr="008474CF" w:rsidRDefault="00D050DF" w:rsidP="002F343D">
      <w:pPr>
        <w:numPr>
          <w:ilvl w:val="0"/>
          <w:numId w:val="6"/>
        </w:numPr>
        <w:ind w:right="713"/>
        <w:rPr>
          <w:rFonts w:cs="Arial"/>
        </w:rPr>
      </w:pPr>
      <w:r w:rsidRPr="008474CF">
        <w:rPr>
          <w:rFonts w:cs="Arial"/>
        </w:rPr>
        <w:t>Sensibilisierung und Erhöhung des Verständnisses der Öffentlichkeit für das UPOV-Sortenschutzsystem</w:t>
      </w:r>
      <w:r w:rsidR="00A824AF" w:rsidRPr="008474CF">
        <w:rPr>
          <w:rFonts w:cs="Arial"/>
        </w:rPr>
        <w:t>.</w:t>
      </w:r>
    </w:p>
    <w:p w14:paraId="56225F92" w14:textId="77777777" w:rsidR="00A824AF" w:rsidRPr="008474CF" w:rsidRDefault="00A824AF" w:rsidP="00A824AF">
      <w:pPr>
        <w:rPr>
          <w:rFonts w:cs="Arial"/>
        </w:rPr>
      </w:pPr>
    </w:p>
    <w:p w14:paraId="05A9BEE7" w14:textId="77777777" w:rsidR="002F343D" w:rsidRPr="008474CF" w:rsidRDefault="002F343D" w:rsidP="002F343D">
      <w:pPr>
        <w:rPr>
          <w:rFonts w:cs="Arial"/>
        </w:rPr>
      </w:pPr>
      <w:r w:rsidRPr="008474CF">
        <w:rPr>
          <w:rFonts w:cs="Arial"/>
        </w:rPr>
        <w:t>Gemäß Artikel 25 der Akte von 1991 und Artikel 15 der Akte von 1978 sind der Rat und das Verbandsbüro die ständigen Organe der UPOV.</w:t>
      </w:r>
    </w:p>
    <w:p w14:paraId="5C0D68C7" w14:textId="77777777" w:rsidR="002F343D" w:rsidRPr="008474CF" w:rsidRDefault="002F343D" w:rsidP="002F343D">
      <w:pPr>
        <w:rPr>
          <w:rFonts w:cs="Arial"/>
        </w:rPr>
      </w:pPr>
    </w:p>
    <w:p w14:paraId="0979715D" w14:textId="77777777" w:rsidR="002F343D" w:rsidRPr="008474CF" w:rsidRDefault="002F343D" w:rsidP="002F343D">
      <w:pPr>
        <w:rPr>
          <w:rFonts w:cs="Arial"/>
        </w:rPr>
      </w:pPr>
      <w:r w:rsidRPr="008474CF">
        <w:rPr>
          <w:rFonts w:cs="Arial"/>
        </w:rPr>
        <w:t xml:space="preserve">Der Rat leitet die UPOV und setzt sich aus den Vertretern der Verbandsmitglieder zusammen. Dem Rat obliegt es, die Interessen der UPOV zu wahren und deren Entwicklung zu fördern sowie deren Programm und Haushaltsplan anzunehmen und sämtliche Entscheidungen zu treffen, die für die Gewährleistung des wirksamen Funktionierens der UPOV erforderlich sind. Der Rat tritt jährlich einmal zu einer ordentlichen Tagung zusammen. Falls erforderlich, wird er auch zu außerordentlichen Tagungen einberufen. Der Rat hat eine Reihe von Gremien eingesetzt, die einmal im Jahr tagen. </w:t>
      </w:r>
    </w:p>
    <w:p w14:paraId="12FEB2D0" w14:textId="77777777" w:rsidR="002F343D" w:rsidRPr="008474CF" w:rsidRDefault="002F343D" w:rsidP="002F343D">
      <w:pPr>
        <w:rPr>
          <w:rFonts w:cs="Arial"/>
        </w:rPr>
      </w:pPr>
    </w:p>
    <w:p w14:paraId="501E879D" w14:textId="698BB640" w:rsidR="002F343D" w:rsidRPr="008474CF" w:rsidRDefault="002F343D" w:rsidP="002F343D">
      <w:pPr>
        <w:rPr>
          <w:rFonts w:cs="Arial"/>
        </w:rPr>
      </w:pPr>
      <w:r w:rsidRPr="008474CF">
        <w:rPr>
          <w:rFonts w:cs="Arial"/>
        </w:rPr>
        <w:t xml:space="preserve">Das Verbandsbüro ist das Sekretariat der UPOV und wird vom Generalsekretär geleitet. Das Personal des Büros der UPOV untersteht, mit Ausnahme </w:t>
      </w:r>
      <w:r w:rsidR="000128C7" w:rsidRPr="008474CF">
        <w:rPr>
          <w:rFonts w:cs="Arial"/>
        </w:rPr>
        <w:t xml:space="preserve">der </w:t>
      </w:r>
      <w:r w:rsidRPr="008474CF">
        <w:rPr>
          <w:rFonts w:cs="Arial"/>
        </w:rPr>
        <w:t xml:space="preserve">Stellvertretenden </w:t>
      </w:r>
      <w:r w:rsidR="000128C7" w:rsidRPr="008474CF">
        <w:rPr>
          <w:rFonts w:cs="Arial"/>
        </w:rPr>
        <w:t>Generalsekretärin</w:t>
      </w:r>
      <w:r w:rsidRPr="008474CF">
        <w:rPr>
          <w:rFonts w:cs="Arial"/>
        </w:rPr>
        <w:t xml:space="preserve">, </w:t>
      </w:r>
      <w:r w:rsidR="000128C7" w:rsidRPr="008474CF">
        <w:rPr>
          <w:rFonts w:cs="Arial"/>
        </w:rPr>
        <w:t xml:space="preserve">der </w:t>
      </w:r>
      <w:r w:rsidRPr="008474CF">
        <w:rPr>
          <w:rFonts w:cs="Arial"/>
        </w:rPr>
        <w:t>Stellvertretenden Generalsekretär</w:t>
      </w:r>
      <w:r w:rsidR="000128C7" w:rsidRPr="008474CF">
        <w:rPr>
          <w:rFonts w:cs="Arial"/>
        </w:rPr>
        <w:t>in</w:t>
      </w:r>
      <w:r w:rsidRPr="008474CF">
        <w:rPr>
          <w:rFonts w:cs="Arial"/>
        </w:rPr>
        <w:t xml:space="preserve"> der UPOV. 1982 wurde eine Vereinbarung über Zusammenarbeit (die WIPO/UPOV-Vereinbarung) zwischen der UPOV und der Weltorganisation für geistiges Eigentum (WIPO), einer Sonderorganisation der Vereinten Nationen, geschlossen. Nach dieser Vereinbarung ernennt der Rat der UPOV den Generaldirektor der WIPO zum Generalsekretär der UPOV. </w:t>
      </w:r>
      <w:r w:rsidR="000128C7" w:rsidRPr="008474CF">
        <w:rPr>
          <w:rFonts w:cs="Arial"/>
        </w:rPr>
        <w:t xml:space="preserve">Die </w:t>
      </w:r>
      <w:r w:rsidRPr="008474CF">
        <w:rPr>
          <w:rFonts w:cs="Arial"/>
        </w:rPr>
        <w:t>Stellvertretende Generalsekretär</w:t>
      </w:r>
      <w:r w:rsidR="000128C7" w:rsidRPr="008474CF">
        <w:rPr>
          <w:rFonts w:cs="Arial"/>
        </w:rPr>
        <w:t>in</w:t>
      </w:r>
      <w:r w:rsidRPr="008474CF">
        <w:rPr>
          <w:rFonts w:cs="Arial"/>
        </w:rPr>
        <w:t xml:space="preserve"> ist dafür verantwortlich, die im angenommenen Programm und Haushaltsprogramm ausgewiesenen Ergebnisse zu liefern. 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w:t>
      </w:r>
    </w:p>
    <w:p w14:paraId="3E4578C3" w14:textId="77777777" w:rsidR="002F343D" w:rsidRPr="008474CF" w:rsidRDefault="002F343D" w:rsidP="002F343D">
      <w:pPr>
        <w:rPr>
          <w:rFonts w:cs="Arial"/>
        </w:rPr>
      </w:pPr>
    </w:p>
    <w:p w14:paraId="57382D18" w14:textId="3CB0D577" w:rsidR="00A824AF" w:rsidRPr="008474CF" w:rsidRDefault="002F343D" w:rsidP="002F343D">
      <w:pPr>
        <w:rPr>
          <w:rFonts w:cs="Arial"/>
        </w:rPr>
      </w:pPr>
      <w:r w:rsidRPr="008474CF">
        <w:rPr>
          <w:rFonts w:cs="Arial"/>
        </w:rPr>
        <w:t>Die UPOV finanziert sich überwiegend über Beiträge und außeretatmäßige Mittel (Treuhandgelder) von Verbandsmitgliedern. Die UPOV arbeitet im Rahmen eines für zwei Jahre erstellten Programms und Haushaltsplans. Das vorgeschlagene Programm und der Haushaltsplan enthalten Schätzungen bezüglich der Einnahmen und Ausgaben der Rechnungsperiode, auf die sie sich beziehen. Er wird dem Beratenden Ausschuss vom Generalsekretär zu Erörterungen, Abgabe von Kommentaren und Empfehlungen, einschließlich etwaiger Änderungen, vorgelegt. Der Rat nimmt nach Prüfung des vorgeschlagenen Programms und Haushaltsplans und der Empfehlungen des Beratenden Ausschusses das Programm und den Haushaltsplan an</w:t>
      </w:r>
      <w:r w:rsidR="00A824AF" w:rsidRPr="008474CF">
        <w:rPr>
          <w:rFonts w:cs="Arial"/>
        </w:rPr>
        <w:t>.</w:t>
      </w:r>
      <w:r w:rsidR="006A3ACC" w:rsidRPr="008474CF">
        <w:rPr>
          <w:rFonts w:cs="Arial"/>
        </w:rPr>
        <w:t xml:space="preserve"> </w:t>
      </w:r>
    </w:p>
    <w:p w14:paraId="2126D4A0" w14:textId="77777777" w:rsidR="00A824AF" w:rsidRPr="008474CF" w:rsidRDefault="00A824AF" w:rsidP="00A824AF">
      <w:pPr>
        <w:rPr>
          <w:rFonts w:cs="Arial"/>
        </w:rPr>
      </w:pPr>
    </w:p>
    <w:p w14:paraId="69B7CEF8" w14:textId="77777777" w:rsidR="00A824AF" w:rsidRPr="008474CF" w:rsidRDefault="00A824AF" w:rsidP="00A824AF">
      <w:pPr>
        <w:rPr>
          <w:rFonts w:cs="Arial"/>
          <w:b/>
          <w:bCs/>
          <w:caps/>
        </w:rPr>
      </w:pPr>
      <w:r w:rsidRPr="008474CF">
        <w:rPr>
          <w:rFonts w:cs="Arial"/>
          <w:b/>
          <w:bCs/>
          <w:caps/>
        </w:rPr>
        <w:br w:type="page"/>
      </w:r>
    </w:p>
    <w:p w14:paraId="4B8BFFEC" w14:textId="06A7A32C" w:rsidR="00A824AF" w:rsidRPr="008474CF" w:rsidRDefault="009A1AA5" w:rsidP="00B56280">
      <w:pPr>
        <w:pStyle w:val="Heading2Notes"/>
        <w:ind w:left="1843" w:hanging="1843"/>
        <w:rPr>
          <w:rFonts w:ascii="Arial" w:hAnsi="Arial" w:cs="Arial"/>
          <w:lang w:val="de-DE"/>
        </w:rPr>
      </w:pPr>
      <w:bookmarkStart w:id="37" w:name="_Toc84329893"/>
      <w:bookmarkStart w:id="38" w:name="_Toc205303752"/>
      <w:r w:rsidRPr="008474CF">
        <w:rPr>
          <w:rFonts w:ascii="Arial" w:hAnsi="Arial" w:cs="Arial"/>
          <w:lang w:val="de-DE"/>
        </w:rPr>
        <w:lastRenderedPageBreak/>
        <w:t xml:space="preserve">Anmerkung </w:t>
      </w:r>
      <w:r w:rsidR="00A824AF" w:rsidRPr="008474CF">
        <w:rPr>
          <w:rFonts w:ascii="Arial" w:hAnsi="Arial" w:cs="Arial"/>
          <w:lang w:val="de-DE"/>
        </w:rPr>
        <w:t>2:</w:t>
      </w:r>
      <w:r w:rsidR="00A824AF" w:rsidRPr="008474CF">
        <w:rPr>
          <w:rFonts w:ascii="Arial" w:hAnsi="Arial" w:cs="Arial"/>
          <w:lang w:val="de-DE"/>
        </w:rPr>
        <w:tab/>
      </w:r>
      <w:bookmarkEnd w:id="37"/>
      <w:r w:rsidR="00795256" w:rsidRPr="008474CF">
        <w:rPr>
          <w:rFonts w:ascii="Arial" w:hAnsi="Arial" w:cs="Arial"/>
          <w:lang w:val="de-DE"/>
        </w:rPr>
        <w:t>Wichtige Rechnungslegungsgrundsätze</w:t>
      </w:r>
      <w:bookmarkEnd w:id="38"/>
    </w:p>
    <w:p w14:paraId="54E5D5ED" w14:textId="77777777" w:rsidR="009A1AA5" w:rsidRPr="008474CF" w:rsidRDefault="009A1AA5" w:rsidP="00A824AF">
      <w:pPr>
        <w:rPr>
          <w:rFonts w:cs="Arial"/>
          <w:b/>
        </w:rPr>
      </w:pPr>
    </w:p>
    <w:p w14:paraId="104CD318" w14:textId="2A7118BC" w:rsidR="00A824AF" w:rsidRPr="008474CF" w:rsidRDefault="001037D3" w:rsidP="00A824AF">
      <w:pPr>
        <w:rPr>
          <w:rFonts w:cs="Arial"/>
          <w:b/>
        </w:rPr>
      </w:pPr>
      <w:r w:rsidRPr="008474CF">
        <w:rPr>
          <w:rFonts w:cs="Arial"/>
          <w:b/>
        </w:rPr>
        <w:t>Grundlage für die Erstellung des Jahresabschlusses</w:t>
      </w:r>
    </w:p>
    <w:p w14:paraId="6E4B0C11" w14:textId="77777777" w:rsidR="00A824AF" w:rsidRPr="008474CF" w:rsidRDefault="00A824AF" w:rsidP="00A824AF">
      <w:pPr>
        <w:rPr>
          <w:rFonts w:cs="Arial"/>
          <w:b/>
        </w:rPr>
      </w:pPr>
    </w:p>
    <w:p w14:paraId="78B45BEA" w14:textId="179B8C2D" w:rsidR="00E36778" w:rsidRPr="008474CF" w:rsidRDefault="00E36778" w:rsidP="00E36778">
      <w:pPr>
        <w:pStyle w:val="Style3"/>
        <w:rPr>
          <w:rFonts w:cs="Arial"/>
          <w:sz w:val="20"/>
        </w:rPr>
      </w:pPr>
      <w:r w:rsidRPr="008474CF">
        <w:rPr>
          <w:rFonts w:cs="Arial"/>
          <w:sz w:val="20"/>
        </w:rPr>
        <w:t xml:space="preserve">Dieser Jahresabschluss wurde entsprechend den Internationalen Rechnungslegungsstandards für den öffentlichen Sektor (IPSAS) erstellt. Der Jahresabschluss wird in Schweizer Franken, der Berichts- und funktionalen Währung der UPOV, dargestellt. Die Rechnungslegungsmethoden wurden über die gesamte Periode hinweg konsequent angewandt. </w:t>
      </w:r>
    </w:p>
    <w:p w14:paraId="2E30021A" w14:textId="674BD52B" w:rsidR="002564D5" w:rsidRPr="008474CF" w:rsidRDefault="00E36778" w:rsidP="00E36778">
      <w:pPr>
        <w:pStyle w:val="Style3"/>
        <w:spacing w:after="0"/>
        <w:rPr>
          <w:sz w:val="20"/>
        </w:rPr>
      </w:pPr>
      <w:r w:rsidRPr="008474CF">
        <w:rPr>
          <w:rFonts w:cs="Arial"/>
          <w:sz w:val="20"/>
        </w:rPr>
        <w:t xml:space="preserve">Dieser Jahresabschluss wurde, sofern nicht anders angegeben, auf der Grundlage von historischen Kosten erstellt. Die Darstellung des Barmittelflusses wird unter Verwendung der indirekten Methode erstellt. Dieser Jahresabschluss wurde auf der Grundlage der Periodenabgrenzung und Unternehmensfortführung (going-concern) erstellt. Die Darstellung der Finanzlage weist zum 31. Dezember </w:t>
      </w:r>
      <w:r w:rsidR="009534BE" w:rsidRPr="008474CF">
        <w:rPr>
          <w:rFonts w:cs="Arial"/>
          <w:sz w:val="20"/>
        </w:rPr>
        <w:t xml:space="preserve">2024 </w:t>
      </w:r>
      <w:r w:rsidRPr="008474CF">
        <w:rPr>
          <w:rFonts w:cs="Arial"/>
          <w:sz w:val="20"/>
        </w:rPr>
        <w:t>ein negatives Nettovermögen aus, was auf einen Anstieg der langfristigen Leistungsverpflichtungen gegenüber Bediensteten zurückzuführen ist. Dies hat keinen Einfluss auf die Fähigkeit der UPOV zur Unternehmensfortführung. Der Rat der UPOV hat das Programm und den Haushaltsplan des Verbandes für die Rechnungsperiode 2024-2025 gebilligt, und es besteht nicht die Absicht, die Tätigkeiten der UPOV zu ändern</w:t>
      </w:r>
      <w:r w:rsidR="002564D5" w:rsidRPr="008474CF">
        <w:rPr>
          <w:sz w:val="20"/>
        </w:rPr>
        <w:t>.</w:t>
      </w:r>
    </w:p>
    <w:p w14:paraId="795E562D" w14:textId="77777777" w:rsidR="00EC55DF" w:rsidRPr="008474CF" w:rsidRDefault="00EC55DF" w:rsidP="002564D5">
      <w:pPr>
        <w:pStyle w:val="Style3"/>
        <w:spacing w:after="0"/>
        <w:rPr>
          <w:sz w:val="20"/>
        </w:rPr>
      </w:pPr>
    </w:p>
    <w:p w14:paraId="5C98B2DF" w14:textId="7DAB0AE6" w:rsidR="00EC55DF" w:rsidRPr="008474CF" w:rsidRDefault="00CB5C87" w:rsidP="00EC55DF">
      <w:pPr>
        <w:pStyle w:val="Default"/>
        <w:jc w:val="both"/>
        <w:rPr>
          <w:sz w:val="20"/>
          <w:szCs w:val="20"/>
          <w:lang w:val="de-DE"/>
        </w:rPr>
      </w:pPr>
      <w:r w:rsidRPr="008474CF">
        <w:rPr>
          <w:sz w:val="20"/>
          <w:szCs w:val="20"/>
          <w:lang w:val="de-DE"/>
        </w:rPr>
        <w:t xml:space="preserve">Der Standard </w:t>
      </w:r>
      <w:r w:rsidR="00EC55DF" w:rsidRPr="008474CF">
        <w:rPr>
          <w:sz w:val="20"/>
          <w:szCs w:val="20"/>
          <w:lang w:val="de-DE"/>
        </w:rPr>
        <w:t xml:space="preserve">IPSAS 43 </w:t>
      </w:r>
      <w:r w:rsidR="00B56D7C" w:rsidRPr="008474CF">
        <w:rPr>
          <w:i/>
          <w:iCs/>
          <w:sz w:val="20"/>
          <w:szCs w:val="20"/>
          <w:lang w:val="de-DE"/>
        </w:rPr>
        <w:t>Leasingverhältnisse</w:t>
      </w:r>
      <w:r w:rsidR="00B56D7C" w:rsidRPr="008474CF">
        <w:rPr>
          <w:sz w:val="20"/>
          <w:szCs w:val="20"/>
          <w:lang w:val="de-DE"/>
        </w:rPr>
        <w:t xml:space="preserve"> wurde im Januar 2022 veröffentlicht </w:t>
      </w:r>
      <w:r w:rsidR="00AE28F8" w:rsidRPr="008474CF">
        <w:rPr>
          <w:sz w:val="20"/>
          <w:szCs w:val="20"/>
          <w:lang w:val="de-DE"/>
        </w:rPr>
        <w:t>mit dem</w:t>
      </w:r>
      <w:r w:rsidR="00B56D7C" w:rsidRPr="008474CF">
        <w:rPr>
          <w:sz w:val="20"/>
          <w:szCs w:val="20"/>
          <w:lang w:val="de-DE"/>
        </w:rPr>
        <w:t xml:space="preserve"> 1. Januar 2025 </w:t>
      </w:r>
      <w:r w:rsidR="00AE28F8" w:rsidRPr="008474CF">
        <w:rPr>
          <w:sz w:val="20"/>
          <w:szCs w:val="20"/>
          <w:lang w:val="de-DE"/>
        </w:rPr>
        <w:t>als Datum der Umsetzung</w:t>
      </w:r>
      <w:r w:rsidR="00B56D7C" w:rsidRPr="008474CF">
        <w:rPr>
          <w:sz w:val="20"/>
          <w:szCs w:val="20"/>
          <w:lang w:val="de-DE"/>
        </w:rPr>
        <w:t>. Dieser Standard hat keine Auswirkungen auf den Jahresabschluss der UPOV</w:t>
      </w:r>
      <w:r w:rsidR="00EC55DF" w:rsidRPr="008474CF">
        <w:rPr>
          <w:sz w:val="20"/>
          <w:szCs w:val="20"/>
          <w:lang w:val="de-DE"/>
        </w:rPr>
        <w:t xml:space="preserve">. </w:t>
      </w:r>
    </w:p>
    <w:p w14:paraId="632F5F97" w14:textId="77777777" w:rsidR="00D37BAB" w:rsidRPr="008474CF" w:rsidRDefault="00D37BAB" w:rsidP="00C21351">
      <w:pPr>
        <w:pStyle w:val="Default"/>
        <w:jc w:val="both"/>
        <w:rPr>
          <w:sz w:val="20"/>
          <w:szCs w:val="20"/>
          <w:lang w:val="de-DE"/>
        </w:rPr>
      </w:pPr>
    </w:p>
    <w:p w14:paraId="215EE175" w14:textId="0868A759" w:rsidR="00101170" w:rsidRPr="008474CF" w:rsidRDefault="00CB5C87" w:rsidP="00394906">
      <w:r w:rsidRPr="008474CF">
        <w:t xml:space="preserve">Der Standard </w:t>
      </w:r>
      <w:r w:rsidR="00D37BAB" w:rsidRPr="008474CF">
        <w:t xml:space="preserve">IPSAS 44 </w:t>
      </w:r>
      <w:r w:rsidR="003172C0" w:rsidRPr="008474CF">
        <w:rPr>
          <w:i/>
          <w:iCs/>
        </w:rPr>
        <w:t>Zur Veräußerung gehaltene langfristige Vermögenswerte und aufgegebene Geschäftseinheiten</w:t>
      </w:r>
      <w:r w:rsidR="003172C0" w:rsidRPr="008474CF">
        <w:t xml:space="preserve"> wurde im Mai 2022 mit dem 1. Januar 2025 als Datum der obligatorischen Umsetzung veröffentlicht</w:t>
      </w:r>
      <w:r w:rsidR="00D37BAB" w:rsidRPr="008474CF">
        <w:t xml:space="preserve">. </w:t>
      </w:r>
      <w:r w:rsidR="003B5781" w:rsidRPr="008474CF">
        <w:t xml:space="preserve">Dieser Standard wurde von der UPOV im Jahr 2024 angewandt und hat keine Auswirkungen auf </w:t>
      </w:r>
      <w:r w:rsidR="00273506" w:rsidRPr="008474CF">
        <w:t xml:space="preserve">den </w:t>
      </w:r>
      <w:r w:rsidR="003172C0" w:rsidRPr="008474CF">
        <w:t>Jahresabschluss</w:t>
      </w:r>
      <w:r w:rsidR="003B5781" w:rsidRPr="008474CF">
        <w:t xml:space="preserve"> </w:t>
      </w:r>
      <w:r w:rsidR="00273506" w:rsidRPr="008474CF">
        <w:t>der UPOV</w:t>
      </w:r>
      <w:r w:rsidR="003B5781" w:rsidRPr="008474CF">
        <w:t>.</w:t>
      </w:r>
    </w:p>
    <w:p w14:paraId="4582904A" w14:textId="77777777" w:rsidR="003B5781" w:rsidRPr="008474CF" w:rsidRDefault="003B5781" w:rsidP="00394906"/>
    <w:p w14:paraId="677C1053" w14:textId="2A25BA72" w:rsidR="004A7416" w:rsidRPr="008474CF" w:rsidRDefault="00CB5C87" w:rsidP="00394906">
      <w:r w:rsidRPr="008474CF">
        <w:rPr>
          <w:szCs w:val="18"/>
        </w:rPr>
        <w:t xml:space="preserve">Der Standard </w:t>
      </w:r>
      <w:r w:rsidR="00101170" w:rsidRPr="008474CF">
        <w:rPr>
          <w:szCs w:val="18"/>
        </w:rPr>
        <w:t xml:space="preserve">IPSAS 45 </w:t>
      </w:r>
      <w:r w:rsidR="00551015" w:rsidRPr="008474CF">
        <w:rPr>
          <w:i/>
          <w:iCs/>
        </w:rPr>
        <w:t>Sachanlagen</w:t>
      </w:r>
      <w:r w:rsidR="00551015" w:rsidRPr="008474CF">
        <w:rPr>
          <w:iCs/>
          <w:szCs w:val="18"/>
        </w:rPr>
        <w:t xml:space="preserve"> </w:t>
      </w:r>
      <w:r w:rsidR="005F5199" w:rsidRPr="008474CF">
        <w:rPr>
          <w:iCs/>
          <w:szCs w:val="18"/>
        </w:rPr>
        <w:t>wurde im Mai 2023 mit dem 1. Januar 2025 als Datum der obligatorischen Umsetzung veröffentlicht</w:t>
      </w:r>
      <w:r w:rsidR="00101170" w:rsidRPr="008474CF">
        <w:rPr>
          <w:iCs/>
          <w:szCs w:val="18"/>
        </w:rPr>
        <w:t>.</w:t>
      </w:r>
      <w:r w:rsidR="00101170" w:rsidRPr="008474CF">
        <w:rPr>
          <w:szCs w:val="18"/>
        </w:rPr>
        <w:t xml:space="preserve"> </w:t>
      </w:r>
      <w:r w:rsidR="003B5781" w:rsidRPr="008474CF">
        <w:t xml:space="preserve">Dieser Standard wurde von der UPOV im Jahr 2024 angewandt und hat keine Auswirkungen auf </w:t>
      </w:r>
      <w:r w:rsidR="00273506" w:rsidRPr="008474CF">
        <w:t xml:space="preserve">den </w:t>
      </w:r>
      <w:r w:rsidR="003172C0" w:rsidRPr="008474CF">
        <w:t>Jahresabschluss</w:t>
      </w:r>
      <w:r w:rsidR="003B5781" w:rsidRPr="008474CF">
        <w:t xml:space="preserve"> </w:t>
      </w:r>
      <w:r w:rsidR="00273506" w:rsidRPr="008474CF">
        <w:t>der UPOV</w:t>
      </w:r>
      <w:r w:rsidR="004A7416" w:rsidRPr="008474CF">
        <w:t xml:space="preserve">. </w:t>
      </w:r>
    </w:p>
    <w:p w14:paraId="3B94AC79" w14:textId="1D8B3F02" w:rsidR="00101170" w:rsidRPr="008474CF" w:rsidRDefault="00101170" w:rsidP="00394906">
      <w:pPr>
        <w:rPr>
          <w:szCs w:val="18"/>
        </w:rPr>
      </w:pPr>
    </w:p>
    <w:p w14:paraId="3B8D49A5" w14:textId="4C250476" w:rsidR="003B5781" w:rsidRPr="008474CF" w:rsidRDefault="00CB5C87" w:rsidP="00394906">
      <w:r w:rsidRPr="008474CF">
        <w:rPr>
          <w:szCs w:val="18"/>
        </w:rPr>
        <w:t xml:space="preserve">Der Standard </w:t>
      </w:r>
      <w:r w:rsidR="00101170" w:rsidRPr="008474CF">
        <w:rPr>
          <w:szCs w:val="18"/>
        </w:rPr>
        <w:t xml:space="preserve">IPSAS 46 </w:t>
      </w:r>
      <w:r w:rsidR="00225AD8" w:rsidRPr="008474CF">
        <w:rPr>
          <w:i/>
          <w:szCs w:val="18"/>
        </w:rPr>
        <w:t>Bewertungen</w:t>
      </w:r>
      <w:r w:rsidR="00101170" w:rsidRPr="008474CF">
        <w:rPr>
          <w:szCs w:val="18"/>
        </w:rPr>
        <w:t xml:space="preserve"> </w:t>
      </w:r>
      <w:r w:rsidR="00A07936" w:rsidRPr="008474CF">
        <w:rPr>
          <w:szCs w:val="18"/>
        </w:rPr>
        <w:t>wurde im Mai 2023 mit dem 1. Januar 2025 als Datum der obligatorischen Umsetzung veröffentlicht</w:t>
      </w:r>
      <w:r w:rsidR="00101170" w:rsidRPr="008474CF">
        <w:rPr>
          <w:szCs w:val="18"/>
        </w:rPr>
        <w:t xml:space="preserve">. </w:t>
      </w:r>
      <w:r w:rsidR="003B5781" w:rsidRPr="008474CF">
        <w:t xml:space="preserve">Dieser Standard wurde von der UPOV im Jahr 2024 angewandt und hat keine Auswirkungen auf </w:t>
      </w:r>
      <w:r w:rsidR="001344C2" w:rsidRPr="008474CF">
        <w:t xml:space="preserve">den </w:t>
      </w:r>
      <w:r w:rsidR="003172C0" w:rsidRPr="008474CF">
        <w:t>Jahresabschluss</w:t>
      </w:r>
      <w:r w:rsidR="003B5781" w:rsidRPr="008474CF">
        <w:t xml:space="preserve"> </w:t>
      </w:r>
      <w:r w:rsidR="001344C2" w:rsidRPr="008474CF">
        <w:t>der UPOV</w:t>
      </w:r>
      <w:r w:rsidR="003B5781" w:rsidRPr="008474CF">
        <w:t xml:space="preserve">. </w:t>
      </w:r>
    </w:p>
    <w:p w14:paraId="6A9F9EB9" w14:textId="364F0CB8" w:rsidR="00101170" w:rsidRPr="008474CF" w:rsidRDefault="00101170" w:rsidP="00394906">
      <w:pPr>
        <w:rPr>
          <w:szCs w:val="18"/>
        </w:rPr>
      </w:pPr>
    </w:p>
    <w:p w14:paraId="08990D0E" w14:textId="7CAAB63D" w:rsidR="00101170" w:rsidRPr="008474CF" w:rsidRDefault="00CB5C87" w:rsidP="00394906">
      <w:pPr>
        <w:rPr>
          <w:szCs w:val="18"/>
        </w:rPr>
      </w:pPr>
      <w:r w:rsidRPr="008474CF">
        <w:rPr>
          <w:szCs w:val="18"/>
        </w:rPr>
        <w:t xml:space="preserve">Der Standard </w:t>
      </w:r>
      <w:r w:rsidR="00101170" w:rsidRPr="008474CF">
        <w:rPr>
          <w:szCs w:val="18"/>
        </w:rPr>
        <w:t xml:space="preserve">IPSAS 47 </w:t>
      </w:r>
      <w:r w:rsidR="00250E0B" w:rsidRPr="008474CF">
        <w:rPr>
          <w:i/>
          <w:szCs w:val="18"/>
        </w:rPr>
        <w:t>Erträge</w:t>
      </w:r>
      <w:r w:rsidR="00101170" w:rsidRPr="008474CF">
        <w:rPr>
          <w:szCs w:val="18"/>
        </w:rPr>
        <w:t xml:space="preserve"> </w:t>
      </w:r>
      <w:r w:rsidR="009B74CE" w:rsidRPr="008474CF">
        <w:rPr>
          <w:szCs w:val="18"/>
        </w:rPr>
        <w:t>wurde im Mai 2023 mit dem 1. Januar 2026 als Datum der obligatorischen Umsetzung veröffentlicht. Die UPOV analysiert derzeit die Auswirkungen dieses Standards</w:t>
      </w:r>
      <w:r w:rsidR="00101170" w:rsidRPr="008474CF">
        <w:rPr>
          <w:szCs w:val="18"/>
        </w:rPr>
        <w:t>.</w:t>
      </w:r>
    </w:p>
    <w:p w14:paraId="72969080" w14:textId="77777777" w:rsidR="00101170" w:rsidRPr="008474CF" w:rsidRDefault="00101170" w:rsidP="00394906"/>
    <w:p w14:paraId="1532641B" w14:textId="24375E5D" w:rsidR="00101170" w:rsidRPr="008474CF" w:rsidRDefault="00CB5C87" w:rsidP="00394906">
      <w:pPr>
        <w:rPr>
          <w:szCs w:val="18"/>
        </w:rPr>
      </w:pPr>
      <w:r w:rsidRPr="008474CF">
        <w:rPr>
          <w:szCs w:val="18"/>
        </w:rPr>
        <w:t xml:space="preserve">Der Standard </w:t>
      </w:r>
      <w:r w:rsidR="00101170" w:rsidRPr="008474CF">
        <w:rPr>
          <w:szCs w:val="18"/>
        </w:rPr>
        <w:t xml:space="preserve">IPSAS 48 </w:t>
      </w:r>
      <w:r w:rsidR="00593F02" w:rsidRPr="008474CF">
        <w:rPr>
          <w:i/>
          <w:szCs w:val="18"/>
        </w:rPr>
        <w:t>Transferaufwendungen</w:t>
      </w:r>
      <w:r w:rsidR="00101170" w:rsidRPr="008474CF">
        <w:rPr>
          <w:szCs w:val="18"/>
        </w:rPr>
        <w:t xml:space="preserve"> </w:t>
      </w:r>
      <w:r w:rsidR="00C57E23" w:rsidRPr="008474CF">
        <w:rPr>
          <w:szCs w:val="18"/>
        </w:rPr>
        <w:t>wurde im Mai 2023 mit dem 1. Januar 2026 als Datum der obligatorischen Umsetzung veröffentlicht. Die UPOV analysiert derzeit die Auswirkungen dieses Standards</w:t>
      </w:r>
      <w:r w:rsidR="00101170" w:rsidRPr="008474CF">
        <w:rPr>
          <w:szCs w:val="18"/>
        </w:rPr>
        <w:t>.</w:t>
      </w:r>
    </w:p>
    <w:p w14:paraId="2DFC208B" w14:textId="77777777" w:rsidR="00101170" w:rsidRPr="008474CF" w:rsidRDefault="00101170" w:rsidP="00394906"/>
    <w:p w14:paraId="16A70375" w14:textId="4AA07B62" w:rsidR="00101170" w:rsidRPr="008474CF" w:rsidRDefault="00CB5C87" w:rsidP="00394906">
      <w:pPr>
        <w:rPr>
          <w:szCs w:val="18"/>
        </w:rPr>
      </w:pPr>
      <w:r w:rsidRPr="008474CF">
        <w:rPr>
          <w:szCs w:val="18"/>
        </w:rPr>
        <w:t xml:space="preserve">Der Standard </w:t>
      </w:r>
      <w:r w:rsidR="00101170" w:rsidRPr="008474CF">
        <w:rPr>
          <w:szCs w:val="18"/>
        </w:rPr>
        <w:t xml:space="preserve">IPSAS 49 </w:t>
      </w:r>
      <w:r w:rsidR="00211473" w:rsidRPr="008474CF">
        <w:rPr>
          <w:i/>
          <w:szCs w:val="18"/>
        </w:rPr>
        <w:t>Altersvorsorgepläne</w:t>
      </w:r>
      <w:r w:rsidR="00101170" w:rsidRPr="008474CF">
        <w:rPr>
          <w:szCs w:val="18"/>
        </w:rPr>
        <w:t xml:space="preserve"> </w:t>
      </w:r>
      <w:r w:rsidR="00696539" w:rsidRPr="008474CF">
        <w:rPr>
          <w:szCs w:val="18"/>
        </w:rPr>
        <w:t>wurde im November 2023 mit dem 1. Januar 2026 als Datum der obligatorischen Umsetzung veröffentlicht. Es steht nicht zu erwarten, dass dieser Standard Auswirkungen auf den Jahresabschluss der UPOV haben wird</w:t>
      </w:r>
      <w:r w:rsidR="00101170" w:rsidRPr="008474CF">
        <w:rPr>
          <w:szCs w:val="18"/>
        </w:rPr>
        <w:t>.</w:t>
      </w:r>
    </w:p>
    <w:p w14:paraId="7FC6A404" w14:textId="77777777" w:rsidR="003B5781" w:rsidRPr="008474CF" w:rsidRDefault="003B5781" w:rsidP="00394906">
      <w:pPr>
        <w:rPr>
          <w:szCs w:val="18"/>
        </w:rPr>
      </w:pPr>
    </w:p>
    <w:p w14:paraId="0A1FD63D" w14:textId="3D0F9B95" w:rsidR="003B5781" w:rsidRPr="008474CF" w:rsidRDefault="00CB5C87" w:rsidP="00394906">
      <w:r w:rsidRPr="008474CF">
        <w:t xml:space="preserve">Der Standard </w:t>
      </w:r>
      <w:r w:rsidR="003B5781" w:rsidRPr="008474CF">
        <w:t xml:space="preserve">IPSAS 50 </w:t>
      </w:r>
      <w:r w:rsidR="00551015" w:rsidRPr="008474CF">
        <w:rPr>
          <w:i/>
          <w:iCs/>
        </w:rPr>
        <w:t>Exploration und Evaluierung</w:t>
      </w:r>
      <w:r w:rsidR="003B5781" w:rsidRPr="008474CF">
        <w:rPr>
          <w:i/>
          <w:iCs/>
        </w:rPr>
        <w:t xml:space="preserve"> von mineralischen Ressourcen </w:t>
      </w:r>
      <w:r w:rsidR="003B5781" w:rsidRPr="008474CF">
        <w:t xml:space="preserve">wurde im November 2024 </w:t>
      </w:r>
      <w:r w:rsidR="00B247DE" w:rsidRPr="008474CF">
        <w:t>mit dem</w:t>
      </w:r>
      <w:r w:rsidR="00282629" w:rsidRPr="008474CF">
        <w:t xml:space="preserve"> </w:t>
      </w:r>
      <w:r w:rsidR="003B5781" w:rsidRPr="008474CF">
        <w:t xml:space="preserve">1. Januar 2027 </w:t>
      </w:r>
      <w:r w:rsidR="00282629" w:rsidRPr="008474CF">
        <w:t>als Datum der obligatorischen Umsetzung veröffentlicht</w:t>
      </w:r>
      <w:r w:rsidR="003B5781" w:rsidRPr="008474CF">
        <w:t xml:space="preserve">. </w:t>
      </w:r>
      <w:r w:rsidR="00434B4C" w:rsidRPr="008474CF">
        <w:t>Es steht nicht zu erwarten, dass dieser Standard Auswirkungen auf den Jahresabschluss der UPOV haben wird</w:t>
      </w:r>
      <w:r w:rsidR="003B5781" w:rsidRPr="008474CF">
        <w:t xml:space="preserve">. </w:t>
      </w:r>
    </w:p>
    <w:p w14:paraId="7F3E435B" w14:textId="77777777" w:rsidR="003B5781" w:rsidRPr="008474CF" w:rsidRDefault="003B5781" w:rsidP="00394906"/>
    <w:p w14:paraId="4F8AABF5" w14:textId="32CF1E1A" w:rsidR="003B5781" w:rsidRPr="008474CF" w:rsidRDefault="003B5781" w:rsidP="00394906">
      <w:r w:rsidRPr="008474CF">
        <w:t xml:space="preserve">Änderungen an IPSAS 43, IPSAS 47 und IPSAS 48, </w:t>
      </w:r>
      <w:r w:rsidR="009534BE" w:rsidRPr="008474CF">
        <w:rPr>
          <w:i/>
          <w:iCs/>
        </w:rPr>
        <w:t xml:space="preserve">Konzessionsleasingverhältnisse </w:t>
      </w:r>
      <w:r w:rsidRPr="008474CF">
        <w:rPr>
          <w:i/>
          <w:iCs/>
        </w:rPr>
        <w:t>und andere Vereinbarungen zur Übertragung von Rechten an Vermögenswerten</w:t>
      </w:r>
      <w:r w:rsidRPr="008474CF">
        <w:t xml:space="preserve">, wurden im Oktober 2024 mit </w:t>
      </w:r>
      <w:r w:rsidR="00244181">
        <w:br/>
      </w:r>
      <w:r w:rsidR="00030139" w:rsidRPr="008474CF">
        <w:t xml:space="preserve">dem </w:t>
      </w:r>
      <w:r w:rsidRPr="008474CF">
        <w:t xml:space="preserve">1. Januar 2027 </w:t>
      </w:r>
      <w:r w:rsidR="00030139" w:rsidRPr="008474CF">
        <w:t>als Datum der obligatorischen Umsetzung veröffentlicht</w:t>
      </w:r>
      <w:r w:rsidRPr="008474CF">
        <w:t xml:space="preserve">. Die UPOV </w:t>
      </w:r>
      <w:r w:rsidR="00F90DBC" w:rsidRPr="008474CF">
        <w:t>analysiert</w:t>
      </w:r>
      <w:r w:rsidRPr="008474CF">
        <w:t xml:space="preserve"> derzeit die Auswirkungen dieser Änderungen.</w:t>
      </w:r>
    </w:p>
    <w:p w14:paraId="5B4FED59" w14:textId="77777777" w:rsidR="00D74D5A" w:rsidRPr="008474CF" w:rsidRDefault="00D74D5A" w:rsidP="00A824AF">
      <w:pPr>
        <w:rPr>
          <w:rFonts w:cs="Arial"/>
          <w:b/>
        </w:rPr>
      </w:pPr>
    </w:p>
    <w:p w14:paraId="0B4356DE" w14:textId="333D22C5" w:rsidR="00A824AF" w:rsidRPr="008474CF" w:rsidRDefault="00A824AF" w:rsidP="00A824AF">
      <w:pPr>
        <w:rPr>
          <w:rFonts w:cs="Arial"/>
          <w:b/>
        </w:rPr>
      </w:pPr>
      <w:r w:rsidRPr="008474CF">
        <w:rPr>
          <w:rFonts w:cs="Arial"/>
          <w:b/>
        </w:rPr>
        <w:t>Fremdwährung</w:t>
      </w:r>
      <w:r w:rsidR="0009337C" w:rsidRPr="008474CF">
        <w:rPr>
          <w:rFonts w:cs="Arial"/>
          <w:b/>
        </w:rPr>
        <w:t>en</w:t>
      </w:r>
    </w:p>
    <w:p w14:paraId="31684BEE" w14:textId="77777777" w:rsidR="00A824AF" w:rsidRPr="008474CF" w:rsidRDefault="00A824AF" w:rsidP="00A824AF">
      <w:pPr>
        <w:rPr>
          <w:rFonts w:cs="Arial"/>
          <w:b/>
        </w:rPr>
      </w:pPr>
    </w:p>
    <w:p w14:paraId="0935B5AB" w14:textId="5BA04D97" w:rsidR="00A824AF" w:rsidRPr="008474CF" w:rsidRDefault="00ED1E44" w:rsidP="00A824AF">
      <w:pPr>
        <w:pStyle w:val="Style3"/>
        <w:spacing w:after="0"/>
        <w:rPr>
          <w:rFonts w:cs="Arial"/>
          <w:sz w:val="20"/>
        </w:rPr>
      </w:pPr>
      <w:r w:rsidRPr="008474CF">
        <w:rPr>
          <w:rFonts w:cs="Arial"/>
          <w:sz w:val="20"/>
        </w:rPr>
        <w:t>Die funktionale Währung der UPOV ist der Schweizer Franken und dieser Jahresabschluss wird in dieser Währung dargestellt. Sämtliche in anderen Währungen erfolgenden Transaktionen werden in Schweizer Franken umgerechnet, wobei die zum Zeitpunkt der Transaktion gängigen operationellen Umrechnungskurse der Vereinten Nationen (UNORE) zugrunde gelegt werden. Sowohl die realisierten als auch die unrealisierten Gewinne und Verluste, die aus der Erfüllung solcher Transaktionen und aus der Umrechnung der Aktiva und Passiva zum Bilanzstichtag hervorgehen, und die in anderen Währungen als der funktionalen Währung der UPOV angegeben sind, sind in der Erfolgsrechnung ausgewiesen</w:t>
      </w:r>
      <w:r w:rsidR="00A824AF" w:rsidRPr="008474CF">
        <w:rPr>
          <w:rFonts w:cs="Arial"/>
          <w:sz w:val="20"/>
        </w:rPr>
        <w:t>.</w:t>
      </w:r>
    </w:p>
    <w:p w14:paraId="6C870A2E" w14:textId="77777777" w:rsidR="00716BA5" w:rsidRPr="008474CF" w:rsidRDefault="00716BA5" w:rsidP="00A824AF">
      <w:pPr>
        <w:pStyle w:val="Style3"/>
        <w:spacing w:after="0"/>
        <w:rPr>
          <w:rFonts w:cs="Arial"/>
          <w:sz w:val="20"/>
        </w:rPr>
      </w:pPr>
    </w:p>
    <w:p w14:paraId="139E753C" w14:textId="77777777" w:rsidR="00716BA5" w:rsidRPr="008474CF" w:rsidRDefault="00716BA5" w:rsidP="00BD17F6">
      <w:pPr>
        <w:pStyle w:val="Style3"/>
        <w:keepNext/>
        <w:rPr>
          <w:rFonts w:cs="Arial"/>
          <w:b/>
          <w:sz w:val="20"/>
        </w:rPr>
      </w:pPr>
      <w:r w:rsidRPr="008474CF">
        <w:rPr>
          <w:rFonts w:cs="Arial"/>
          <w:b/>
          <w:sz w:val="20"/>
        </w:rPr>
        <w:lastRenderedPageBreak/>
        <w:t>Segmentberichterstattung</w:t>
      </w:r>
    </w:p>
    <w:p w14:paraId="0EF8D8A9" w14:textId="3E8EE1D9" w:rsidR="003C0736" w:rsidRPr="008474CF" w:rsidRDefault="00BB3863" w:rsidP="00F01218">
      <w:pPr>
        <w:pStyle w:val="Style3"/>
        <w:spacing w:after="0"/>
        <w:rPr>
          <w:rFonts w:cs="Arial"/>
          <w:sz w:val="20"/>
        </w:rPr>
      </w:pPr>
      <w:r w:rsidRPr="008474CF">
        <w:rPr>
          <w:rFonts w:cs="Arial"/>
          <w:sz w:val="20"/>
        </w:rPr>
        <w:t>Ein Segment ist eine unterscheidbare Tätigkeit oder Gruppe von Tätigkeiten, für die es zweckmäßig ist, finanzielle Information getrennt aufzuführen. Bei der UPOV basiert die Segmentinformation auf den Haupttätigkeiten und -finanzierungsquellen der UPOV. Demzufolge legt die UPOV separate Finanzinformation für zwei Segmente vor: 1) ordentliches Programm und Haushaltsplan und 2) Treuhandgelder. Die Ergebnisse der UPOV nach Segmenten sind in Anmerkungen 12 und 13 dargelegt. Da die UPOV-Vermögenswerte und -Verbindlichkeiten nicht nach Segmenten verwaltet werden, werden diese Informationen in den Anmerkungen zum Jahresabschluss nicht dargelegt</w:t>
      </w:r>
      <w:r w:rsidR="00716BA5" w:rsidRPr="008474CF">
        <w:rPr>
          <w:rFonts w:cs="Arial"/>
          <w:sz w:val="20"/>
        </w:rPr>
        <w:t xml:space="preserve">. </w:t>
      </w:r>
    </w:p>
    <w:p w14:paraId="2AC01DB9" w14:textId="77777777" w:rsidR="00BB3863" w:rsidRPr="008474CF" w:rsidRDefault="00BB3863" w:rsidP="00F01218">
      <w:pPr>
        <w:pStyle w:val="Style3"/>
        <w:spacing w:after="0"/>
      </w:pPr>
    </w:p>
    <w:p w14:paraId="20772836" w14:textId="6C9D358D" w:rsidR="00A824AF" w:rsidRPr="008474CF" w:rsidRDefault="00830CD1" w:rsidP="00A824AF">
      <w:pPr>
        <w:rPr>
          <w:rFonts w:cs="Arial"/>
          <w:b/>
        </w:rPr>
      </w:pPr>
      <w:r w:rsidRPr="008474CF">
        <w:rPr>
          <w:rFonts w:cs="Arial"/>
          <w:b/>
        </w:rPr>
        <w:t>Zahlungsmittelbestand</w:t>
      </w:r>
    </w:p>
    <w:p w14:paraId="164E5EDC" w14:textId="77777777" w:rsidR="00A824AF" w:rsidRPr="008474CF" w:rsidRDefault="00A824AF" w:rsidP="00A824AF">
      <w:pPr>
        <w:rPr>
          <w:rFonts w:cs="Arial"/>
        </w:rPr>
      </w:pPr>
    </w:p>
    <w:p w14:paraId="5799DD16" w14:textId="497D223F" w:rsidR="00A824AF" w:rsidRPr="008474CF" w:rsidRDefault="004D17E5" w:rsidP="00A824AF">
      <w:pPr>
        <w:rPr>
          <w:rFonts w:cs="Arial"/>
        </w:rPr>
      </w:pPr>
      <w:r w:rsidRPr="008474CF">
        <w:rPr>
          <w:rFonts w:cs="Arial"/>
        </w:rPr>
        <w:t>Der Zahlungsmittelbestand umfasst Kassenbestände, täglich fällige Bankeinlagen, Einlagen mit einer Fälligkeit von bis zu 90 Tagen und andere kurzfristige äußerst liquide Anlagen, die jederzeit in flüssige Mittel umgewandelt werden können und einem unbedeutenden Wertschwankungsrisiko unterliegen</w:t>
      </w:r>
      <w:r w:rsidR="00A824AF" w:rsidRPr="008474CF">
        <w:rPr>
          <w:rFonts w:cs="Arial"/>
        </w:rPr>
        <w:t>.</w:t>
      </w:r>
    </w:p>
    <w:p w14:paraId="6B3FFFB8" w14:textId="0D7B567C" w:rsidR="008D0874" w:rsidRPr="008474CF" w:rsidRDefault="008D0874">
      <w:pPr>
        <w:jc w:val="left"/>
        <w:rPr>
          <w:rFonts w:cs="Arial"/>
          <w:b/>
        </w:rPr>
      </w:pPr>
    </w:p>
    <w:p w14:paraId="1934CAE8" w14:textId="420F97D1" w:rsidR="00A824AF" w:rsidRPr="008474CF" w:rsidRDefault="00A824AF" w:rsidP="00A824AF">
      <w:pPr>
        <w:rPr>
          <w:rFonts w:cs="Arial"/>
          <w:b/>
        </w:rPr>
      </w:pPr>
      <w:r w:rsidRPr="008474CF">
        <w:rPr>
          <w:rFonts w:cs="Arial"/>
          <w:b/>
        </w:rPr>
        <w:t>Forderungen</w:t>
      </w:r>
    </w:p>
    <w:p w14:paraId="1958E23A" w14:textId="77777777" w:rsidR="00A824AF" w:rsidRPr="008474CF" w:rsidRDefault="00A824AF" w:rsidP="00A824AF">
      <w:pPr>
        <w:rPr>
          <w:rFonts w:cs="Arial"/>
          <w:b/>
        </w:rPr>
      </w:pPr>
    </w:p>
    <w:p w14:paraId="01EB8A8A" w14:textId="23083063" w:rsidR="00A824AF" w:rsidRPr="008474CF" w:rsidRDefault="00D00A51" w:rsidP="006C632B">
      <w:pPr>
        <w:pStyle w:val="Style3"/>
        <w:spacing w:after="0"/>
        <w:rPr>
          <w:rFonts w:cs="Arial"/>
          <w:sz w:val="20"/>
        </w:rPr>
      </w:pPr>
      <w:r w:rsidRPr="008474CF">
        <w:rPr>
          <w:rFonts w:cs="Arial"/>
          <w:sz w:val="20"/>
        </w:rPr>
        <w:t>Die Beiträge werden zu Beginn des Rechnungsjahres als Einnahmen verbucht. Eine Wertberichtigung auf Forderungen wird in voller Höhe für jedes Mitglied vorgenommen, das ausstehende Beitragszahlungen aufweist, wenn ein Teil der Beitragsrückstände vor dem letzten Zweijahreszeitraum datiert ist</w:t>
      </w:r>
      <w:r w:rsidR="006C632B" w:rsidRPr="008474CF">
        <w:rPr>
          <w:rFonts w:cs="Arial"/>
          <w:sz w:val="20"/>
        </w:rPr>
        <w:t>.</w:t>
      </w:r>
    </w:p>
    <w:p w14:paraId="442E7DD7" w14:textId="77777777" w:rsidR="00A824AF" w:rsidRPr="008474CF" w:rsidRDefault="00A824AF" w:rsidP="00A824AF">
      <w:pPr>
        <w:rPr>
          <w:rFonts w:cs="Arial"/>
        </w:rPr>
      </w:pPr>
    </w:p>
    <w:p w14:paraId="469E734E" w14:textId="062A2B67" w:rsidR="00A824AF" w:rsidRPr="008474CF" w:rsidRDefault="00D95C43" w:rsidP="00A824AF">
      <w:pPr>
        <w:rPr>
          <w:rFonts w:cs="Arial"/>
          <w:b/>
        </w:rPr>
      </w:pPr>
      <w:r w:rsidRPr="008474CF">
        <w:rPr>
          <w:rFonts w:cs="Arial"/>
          <w:b/>
        </w:rPr>
        <w:t>Betriebsausstattung</w:t>
      </w:r>
    </w:p>
    <w:p w14:paraId="47BA4BC8" w14:textId="77777777" w:rsidR="00A824AF" w:rsidRPr="008474CF" w:rsidRDefault="00A824AF" w:rsidP="00A824AF">
      <w:pPr>
        <w:rPr>
          <w:rFonts w:cs="Arial"/>
          <w:b/>
        </w:rPr>
      </w:pPr>
    </w:p>
    <w:p w14:paraId="50FA0655" w14:textId="2B46C376" w:rsidR="00AD6F6A" w:rsidRPr="008474CF" w:rsidRDefault="00197A42" w:rsidP="004017D6">
      <w:pPr>
        <w:pStyle w:val="Style3"/>
        <w:spacing w:after="0"/>
        <w:rPr>
          <w:rFonts w:cs="Arial"/>
          <w:sz w:val="20"/>
        </w:rPr>
      </w:pPr>
      <w:r w:rsidRPr="008474CF">
        <w:rPr>
          <w:rFonts w:cs="Arial"/>
          <w:sz w:val="20"/>
        </w:rPr>
        <w:t>Betriebsausstattung wird zu den Anschaffungskosten abzüglich kumulierter Abschreibung und Wertminderung bewertet. Betriebsausstattung wird als Sachanlage anerkannt, wenn die Kosten pro Objekt bei 10.000 Schweizer Franken oder darüber liegen. Zum 31. Dezember 2024 werden keine Posten als Betriebsausstattung aktiviert</w:t>
      </w:r>
      <w:r w:rsidR="0062050D" w:rsidRPr="008474CF">
        <w:rPr>
          <w:rFonts w:cs="Arial"/>
          <w:sz w:val="20"/>
        </w:rPr>
        <w:t>.</w:t>
      </w:r>
    </w:p>
    <w:p w14:paraId="56A36C12" w14:textId="30680A5D" w:rsidR="00194C8C" w:rsidRPr="008474CF" w:rsidRDefault="00194C8C">
      <w:pPr>
        <w:jc w:val="left"/>
        <w:rPr>
          <w:rFonts w:cs="Arial"/>
          <w:b/>
        </w:rPr>
      </w:pPr>
    </w:p>
    <w:p w14:paraId="62DC6AE1" w14:textId="622593C9" w:rsidR="00A824AF" w:rsidRPr="008474CF" w:rsidRDefault="00A824AF" w:rsidP="00A824AF">
      <w:pPr>
        <w:pStyle w:val="Style3"/>
        <w:spacing w:after="0"/>
        <w:rPr>
          <w:rFonts w:cs="Arial"/>
          <w:sz w:val="20"/>
        </w:rPr>
      </w:pPr>
      <w:r w:rsidRPr="008474CF">
        <w:rPr>
          <w:rFonts w:cs="Arial"/>
          <w:b/>
          <w:sz w:val="20"/>
        </w:rPr>
        <w:t>Immaterielle Vermögenswerte</w:t>
      </w:r>
    </w:p>
    <w:p w14:paraId="3CFD1CDE" w14:textId="77777777" w:rsidR="00A824AF" w:rsidRPr="008474CF" w:rsidRDefault="00A824AF" w:rsidP="00A824AF">
      <w:pPr>
        <w:pStyle w:val="Style3"/>
        <w:spacing w:after="0"/>
        <w:rPr>
          <w:rFonts w:cs="Arial"/>
          <w:b/>
          <w:sz w:val="20"/>
        </w:rPr>
      </w:pPr>
    </w:p>
    <w:p w14:paraId="55495666" w14:textId="47CFE9A1" w:rsidR="00A824AF" w:rsidRPr="008474CF" w:rsidRDefault="00F73DBA" w:rsidP="006519FD">
      <w:pPr>
        <w:pStyle w:val="Style3"/>
        <w:spacing w:after="0"/>
        <w:rPr>
          <w:rFonts w:cs="Arial"/>
          <w:i/>
          <w:sz w:val="20"/>
        </w:rPr>
      </w:pPr>
      <w:r w:rsidRPr="008474CF">
        <w:rPr>
          <w:rFonts w:cs="Arial"/>
          <w:sz w:val="20"/>
        </w:rPr>
        <w:t>Immaterielle Vermögenswerte werden zu den Anschaffungskosten abzüglich kumulierter Abschreibung und Wertminderung geführt. Erworbene Computersoftwarelizenzen werden ausgehend von den Kosten für die Anschaffung und für die Erlangung der Nutzungsfähigkeit der spezifischen Software aktiviert. Kosten, die unmittelbar mit der Entwicklung von Software zur Nutzung durch die UPOV verbunden sind, werden als immaterieller Vermögenswert aktiviert, wenn die Anerkennungskriterien nach IPSAS 31 erfüllt sind. Zu den unmittelbaren Kosten gehören die Personalkosten für den Softwareentwickler. Zum 31. Dezember 2024 wurden keine Kosten als immaterielle Anlagewerte aktiviert</w:t>
      </w:r>
      <w:r w:rsidR="00A824AF" w:rsidRPr="008474CF">
        <w:rPr>
          <w:rFonts w:cs="Arial"/>
          <w:sz w:val="20"/>
        </w:rPr>
        <w:t>.</w:t>
      </w:r>
    </w:p>
    <w:p w14:paraId="79847A84" w14:textId="689DCD21" w:rsidR="00B661F6" w:rsidRPr="008474CF" w:rsidRDefault="00B661F6" w:rsidP="00A824AF">
      <w:pPr>
        <w:pStyle w:val="Style3Bold"/>
        <w:spacing w:after="0"/>
        <w:rPr>
          <w:rFonts w:cs="Arial"/>
          <w:i/>
        </w:rPr>
      </w:pPr>
    </w:p>
    <w:p w14:paraId="103A2849" w14:textId="7D7EB00F" w:rsidR="00A824AF" w:rsidRPr="008474CF" w:rsidRDefault="00F06DC7" w:rsidP="00A824AF">
      <w:pPr>
        <w:pStyle w:val="Style3Bold"/>
        <w:spacing w:after="0"/>
        <w:rPr>
          <w:rFonts w:cs="Arial"/>
          <w:sz w:val="20"/>
        </w:rPr>
      </w:pPr>
      <w:r w:rsidRPr="008474CF">
        <w:rPr>
          <w:rFonts w:cs="Arial"/>
          <w:sz w:val="20"/>
        </w:rPr>
        <w:t>Leistungsverpflichtungen gegenüber Bediensteten</w:t>
      </w:r>
    </w:p>
    <w:p w14:paraId="22282D6C" w14:textId="77777777" w:rsidR="00A824AF" w:rsidRPr="008474CF" w:rsidRDefault="00A824AF" w:rsidP="00A824AF">
      <w:pPr>
        <w:pStyle w:val="Style3"/>
        <w:spacing w:after="0"/>
        <w:rPr>
          <w:rFonts w:cs="Arial"/>
          <w:sz w:val="20"/>
        </w:rPr>
      </w:pPr>
    </w:p>
    <w:p w14:paraId="139A6F32" w14:textId="77777777" w:rsidR="009C1B8A" w:rsidRPr="008474CF" w:rsidRDefault="009C1B8A" w:rsidP="009C1B8A">
      <w:pPr>
        <w:rPr>
          <w:rFonts w:cs="Arial"/>
        </w:rPr>
      </w:pPr>
      <w:r w:rsidRPr="008474CF">
        <w:rPr>
          <w:rFonts w:cs="Arial"/>
        </w:rPr>
        <w:t>Leistungsverpflichtungen für Krankenversicherung nach Ausscheiden aus dem Dienst (ASHI), Beihilfen für die Rückübersiedlung und Reisekosten und langfristig kumulierter Jahresurlaub werden gemäß den Berechnungen eines unabhängigen Versicherungsmathematikers auf jährlicher Basis und unter Zugrundelegung des Anwartschaftsbarwertverfahrens festgelegt. Für die ASHI-Verpflichtung werden versicherungsmathematische Gewinne und Verluste im Nettovermögen erfasst. Darüber hinaus werden Leistungsverpflichtungen für den Wert von über einen kurzen Zeitraum kumuliertem Jahresurlaub, des nicht genommenen Heimaturlaubs, der verdienten, aber unbezahlten Überstunden, der Leistungen bei Beendigung des Dienstverhältnisses sowie für am Bilanzstichtag zu zahlende Studienbeihilfen, die nicht in den laufenden Aufwendungen enthalten sind, festgelegt.</w:t>
      </w:r>
    </w:p>
    <w:p w14:paraId="26A87B33" w14:textId="77777777" w:rsidR="009C1B8A" w:rsidRPr="008474CF" w:rsidRDefault="009C1B8A" w:rsidP="009C1B8A">
      <w:pPr>
        <w:rPr>
          <w:rFonts w:cs="Arial"/>
        </w:rPr>
      </w:pPr>
    </w:p>
    <w:p w14:paraId="288B298C" w14:textId="77777777" w:rsidR="009C1B8A" w:rsidRPr="008474CF" w:rsidRDefault="009C1B8A" w:rsidP="009C1B8A">
      <w:pPr>
        <w:rPr>
          <w:rFonts w:cs="Arial"/>
        </w:rPr>
      </w:pPr>
      <w:r w:rsidRPr="008474CF">
        <w:rPr>
          <w:rFonts w:cs="Arial"/>
        </w:rPr>
        <w:t>Gemäß der am 26. November 1982 unterzeichneten WIPO/UPOV-Vereinbarung ist die UPOV eine Mitgliedsorganisation, die sich an der gemeinsamen Pensionskasse des Personals der Vereinten Nationen (der „Kasse") beteiligt, die von der Generalversammlung der Vereinten Nationen eingerichtet wurde, um Rentenleistungen, Bestattungsgelder oder Invalidenleistungen und damit verbundene Leistungen gegenüber Bediensteten zu sichern. Die Kasse ist ein kapitalgedeckter, leistungsorientierter Pensionsplan mehrerer Arbeitgeber. Wie in Artikel 3 Buchstabe b der Satzung der Kasse ausgeführt, steht die Mitgliedschaft in der Pensionskasse den Sonderorganisationen und allen anderen internationalen, zwischenstaatlichen Organisationen offen, die am gemeinsamen System für Besoldung, Beihilfen und andere Beschäftigungsbedingungen der Vereinten Nationen und der Sonderorganisationen teilnehmen.</w:t>
      </w:r>
    </w:p>
    <w:p w14:paraId="7DC5A76A" w14:textId="77777777" w:rsidR="009C1B8A" w:rsidRPr="008474CF" w:rsidRDefault="009C1B8A" w:rsidP="009C1B8A">
      <w:pPr>
        <w:rPr>
          <w:rFonts w:cs="Arial"/>
        </w:rPr>
      </w:pPr>
    </w:p>
    <w:p w14:paraId="02C4EB4E" w14:textId="33A546FB" w:rsidR="00D760AE" w:rsidRPr="008474CF" w:rsidRDefault="009C1B8A" w:rsidP="00244181">
      <w:pPr>
        <w:keepLines/>
        <w:rPr>
          <w:rFonts w:cs="Arial"/>
        </w:rPr>
      </w:pPr>
      <w:r w:rsidRPr="008474CF">
        <w:rPr>
          <w:rFonts w:cs="Arial"/>
        </w:rPr>
        <w:lastRenderedPageBreak/>
        <w:t>Im Rahmen der Kasse tragen die teilnehmenden Organisationen kollektiv ein versicherungsmathematisches Risiko, das mit den derzeitigen und ehemaligen Bediensteten anderer an der Kasse beteiligter Organisationen zusammenhängt, was dazu führt, dass es keine stetige und verlässliche Grundlage für die Zuordnung von Vorsorgeverpflichtungen, Planvermögen und Kosten auf die einzelnen an der Kasse beteiligten Organisationen gibt. Die UPOV und die Kasse sind ebenso wie die anderen an der Kasse beteiligten Organisationen nicht in der Lage, den verhältnismäßigen Anteil der UPOV an den leistungsorientierten Vorsorgeverpflichtungen, dem Planvermögen und den in Verbindung mit dem Plan anfallenden Kosten mit ausreichender Zuverlässigkeit zu Rechnungslegungszwecken festzustellen. Folglich behandelte die UPOV diesen Plan wie einen beitragsorientierten Plan in Einklang mit den Anforderungen von IPSAS 39 - Leistungen gegenüber Bediensteten. Die Beiträge der UPOV zu dieser Kasse während der Rechnungsperiode werden in der Darstellung der Erfolgsrechnung als Ausgaben erfasst</w:t>
      </w:r>
      <w:r w:rsidR="00BB0E72" w:rsidRPr="008474CF">
        <w:rPr>
          <w:rFonts w:cs="Arial"/>
        </w:rPr>
        <w:t>.</w:t>
      </w:r>
    </w:p>
    <w:p w14:paraId="5783C715" w14:textId="77777777" w:rsidR="00BB0E72" w:rsidRPr="008474CF" w:rsidRDefault="00BB0E72" w:rsidP="00A824AF">
      <w:pPr>
        <w:pStyle w:val="Style3"/>
        <w:spacing w:after="0"/>
        <w:rPr>
          <w:rFonts w:cs="Arial"/>
          <w:b/>
          <w:sz w:val="20"/>
        </w:rPr>
      </w:pPr>
    </w:p>
    <w:p w14:paraId="6A24D70E" w14:textId="77777777" w:rsidR="007439EC" w:rsidRPr="008474CF" w:rsidRDefault="007439EC" w:rsidP="007439EC">
      <w:pPr>
        <w:rPr>
          <w:rFonts w:cs="Arial"/>
          <w:b/>
        </w:rPr>
      </w:pPr>
      <w:r w:rsidRPr="008474CF">
        <w:rPr>
          <w:rFonts w:cs="Arial"/>
          <w:b/>
        </w:rPr>
        <w:t>Rückstellungen</w:t>
      </w:r>
    </w:p>
    <w:p w14:paraId="49F9BCF5" w14:textId="77777777" w:rsidR="00A824AF" w:rsidRPr="008474CF" w:rsidRDefault="00A824AF" w:rsidP="00A824AF">
      <w:pPr>
        <w:rPr>
          <w:rFonts w:cs="Arial"/>
        </w:rPr>
      </w:pPr>
    </w:p>
    <w:p w14:paraId="0CD2DD98" w14:textId="21EE3839" w:rsidR="00A824AF" w:rsidRPr="008474CF" w:rsidRDefault="006A2736" w:rsidP="00A824AF">
      <w:pPr>
        <w:pStyle w:val="Style3"/>
        <w:spacing w:after="0"/>
        <w:rPr>
          <w:rFonts w:cs="Arial"/>
          <w:sz w:val="20"/>
        </w:rPr>
      </w:pPr>
      <w:r w:rsidRPr="008474CF">
        <w:rPr>
          <w:rFonts w:cs="Arial"/>
          <w:sz w:val="20"/>
        </w:rPr>
        <w:t>Rückstellungen werden erfasst, wenn die UPOV aufgrund eines vergangenen Ereignisses eine rechtliche oder faktische Verpflichtung hat, wobei es wahrscheinlich ist, dass zur Erfüllung der Verpflichtung und wenn eine zuverlässige Schätzung der Höhe der Verpflichtung vorgenommen werden kann, ein Abfluss von Ressourcen verlangt wird</w:t>
      </w:r>
      <w:r w:rsidR="00A824AF" w:rsidRPr="008474CF">
        <w:rPr>
          <w:rFonts w:cs="Arial"/>
          <w:sz w:val="20"/>
        </w:rPr>
        <w:t>.</w:t>
      </w:r>
      <w:r w:rsidR="006A3ACC" w:rsidRPr="008474CF">
        <w:rPr>
          <w:rFonts w:cs="Arial"/>
          <w:sz w:val="20"/>
        </w:rPr>
        <w:t xml:space="preserve"> </w:t>
      </w:r>
    </w:p>
    <w:p w14:paraId="108BDADA" w14:textId="77777777" w:rsidR="00A824AF" w:rsidRPr="008474CF" w:rsidRDefault="00A824AF" w:rsidP="00A824AF">
      <w:pPr>
        <w:rPr>
          <w:rFonts w:cs="Arial"/>
          <w:b/>
        </w:rPr>
      </w:pPr>
    </w:p>
    <w:p w14:paraId="59BDD3AE" w14:textId="77777777" w:rsidR="007E6BAA" w:rsidRPr="008474CF" w:rsidRDefault="007E6BAA" w:rsidP="007E6BAA">
      <w:pPr>
        <w:rPr>
          <w:rFonts w:cs="Arial"/>
          <w:b/>
          <w:bCs/>
        </w:rPr>
      </w:pPr>
      <w:r w:rsidRPr="008474CF">
        <w:rPr>
          <w:rFonts w:cs="Arial"/>
          <w:b/>
          <w:bCs/>
        </w:rPr>
        <w:t>Erfassung von Erlösen</w:t>
      </w:r>
    </w:p>
    <w:p w14:paraId="19D76DD9" w14:textId="77777777" w:rsidR="00A824AF" w:rsidRPr="008474CF" w:rsidRDefault="00A824AF" w:rsidP="00A824AF">
      <w:pPr>
        <w:rPr>
          <w:rFonts w:cs="Arial"/>
        </w:rPr>
      </w:pPr>
    </w:p>
    <w:p w14:paraId="789DECBA" w14:textId="4881646B" w:rsidR="00A824AF" w:rsidRPr="008474CF" w:rsidRDefault="006E3688" w:rsidP="00A824AF">
      <w:pPr>
        <w:pStyle w:val="Style3"/>
        <w:spacing w:after="0"/>
        <w:rPr>
          <w:rFonts w:cs="Arial"/>
          <w:sz w:val="20"/>
        </w:rPr>
      </w:pPr>
      <w:r w:rsidRPr="008474CF">
        <w:rPr>
          <w:rFonts w:cs="Arial"/>
          <w:sz w:val="20"/>
        </w:rPr>
        <w:t>Erlöse aus Transaktionen ohne Gegenleistung, wie etwa außeretatmäßige Mittel (Treuhandgelder), die auf durchsetzbaren Übereinkommen basieren, werden zu dem Zeitpunkt als Einnahmen erfasst, zu dem das Übereinkommen verbindlich wird, außer das Übereinkommen enthält Bedingungen in Bezug auf spezielle Leistungen oder auf die Rückzahlung von Restbeträgen. Solche Abkommen erfordern eine erstmalige Anerkennung einer Verbindlichkeit, um die Erfassung der Einnahme abzugrenzen, und die Einnahme wird dann erfasst, wenn die Verbindlichkeit durch Erfüllung der spezifischen im Abkommen enthaltenen Bedingungen ausgebucht wird</w:t>
      </w:r>
      <w:r w:rsidR="00A824AF" w:rsidRPr="008474CF">
        <w:rPr>
          <w:rFonts w:cs="Arial"/>
          <w:sz w:val="20"/>
        </w:rPr>
        <w:t>.</w:t>
      </w:r>
    </w:p>
    <w:p w14:paraId="5D8FA609" w14:textId="77777777" w:rsidR="00A824AF" w:rsidRPr="008474CF" w:rsidRDefault="00A824AF" w:rsidP="00A824AF">
      <w:pPr>
        <w:pStyle w:val="Style3"/>
        <w:spacing w:after="0"/>
        <w:rPr>
          <w:rFonts w:cs="Arial"/>
          <w:sz w:val="20"/>
        </w:rPr>
      </w:pPr>
    </w:p>
    <w:p w14:paraId="6AE19AE2" w14:textId="1CA1EF50" w:rsidR="00A824AF" w:rsidRPr="008474CF" w:rsidRDefault="00060CD5" w:rsidP="00A824AF">
      <w:pPr>
        <w:pStyle w:val="Style3Bold"/>
        <w:spacing w:after="0"/>
        <w:rPr>
          <w:rFonts w:cs="Arial"/>
          <w:b w:val="0"/>
          <w:sz w:val="20"/>
        </w:rPr>
      </w:pPr>
      <w:r w:rsidRPr="008474CF">
        <w:rPr>
          <w:rFonts w:cs="Arial"/>
          <w:b w:val="0"/>
          <w:sz w:val="20"/>
        </w:rPr>
        <w:t xml:space="preserve">Beiträge werden zu Beginn jedes Jahres der Haushaltsperiode, auf die sich der Beitrag bezieht, als Einnahme erfasst. </w:t>
      </w:r>
      <w:r w:rsidR="00244181">
        <w:rPr>
          <w:rFonts w:cs="Arial"/>
          <w:b w:val="0"/>
          <w:sz w:val="20"/>
        </w:rPr>
        <w:t>UPOV PRISMA</w:t>
      </w:r>
      <w:r w:rsidRPr="008474CF">
        <w:rPr>
          <w:rFonts w:cs="Arial"/>
          <w:b w:val="0"/>
          <w:sz w:val="20"/>
        </w:rPr>
        <w:t>-Gebühren werden zum Zeitpunkt der Einreichung des Sortenschutzantrags als Einnahme erfasst. Gebühren für UPOV PLUTO werden zum Zeitpunkt der Rechnungsstellung nach Abschluss des Abonnements als Einnahmen erfasst</w:t>
      </w:r>
      <w:r w:rsidR="001A7F4A" w:rsidRPr="008474CF">
        <w:rPr>
          <w:rFonts w:cs="Arial"/>
          <w:b w:val="0"/>
          <w:sz w:val="20"/>
        </w:rPr>
        <w:t>.</w:t>
      </w:r>
      <w:r w:rsidR="006A3ACC" w:rsidRPr="008474CF">
        <w:rPr>
          <w:rFonts w:cs="Arial"/>
          <w:b w:val="0"/>
          <w:sz w:val="20"/>
        </w:rPr>
        <w:t xml:space="preserve"> </w:t>
      </w:r>
    </w:p>
    <w:p w14:paraId="6BFFB45A" w14:textId="77777777" w:rsidR="00A824AF" w:rsidRPr="008474CF" w:rsidRDefault="00A824AF" w:rsidP="00A824AF">
      <w:pPr>
        <w:pStyle w:val="Style3Bold"/>
        <w:spacing w:after="0"/>
        <w:rPr>
          <w:rFonts w:cs="Arial"/>
          <w:b w:val="0"/>
          <w:sz w:val="20"/>
        </w:rPr>
      </w:pPr>
    </w:p>
    <w:p w14:paraId="4BB6E265" w14:textId="752A75A4" w:rsidR="00A824AF" w:rsidRPr="008474CF" w:rsidRDefault="00155B32" w:rsidP="00A824AF">
      <w:pPr>
        <w:pStyle w:val="Style3Bold"/>
        <w:spacing w:after="0"/>
        <w:rPr>
          <w:rFonts w:cs="Arial"/>
          <w:b w:val="0"/>
          <w:sz w:val="20"/>
        </w:rPr>
      </w:pPr>
      <w:r w:rsidRPr="008474CF">
        <w:rPr>
          <w:rFonts w:cs="Arial"/>
          <w:b w:val="0"/>
          <w:sz w:val="20"/>
        </w:rPr>
        <w:t>Beiträge in Form von Dienstleistungen werden nicht im Jahresabschluss erfasst</w:t>
      </w:r>
      <w:r w:rsidR="00A824AF" w:rsidRPr="008474CF">
        <w:rPr>
          <w:rFonts w:cs="Arial"/>
          <w:b w:val="0"/>
          <w:sz w:val="20"/>
        </w:rPr>
        <w:t>.</w:t>
      </w:r>
    </w:p>
    <w:p w14:paraId="421826B7" w14:textId="77777777" w:rsidR="00333C97" w:rsidRPr="008474CF" w:rsidRDefault="00333C97" w:rsidP="00A824AF">
      <w:pPr>
        <w:pStyle w:val="Style3Bold"/>
        <w:spacing w:after="0"/>
        <w:rPr>
          <w:rFonts w:cs="Arial"/>
          <w:sz w:val="20"/>
        </w:rPr>
      </w:pPr>
    </w:p>
    <w:p w14:paraId="33921525" w14:textId="6A16E775" w:rsidR="00A824AF" w:rsidRPr="008474CF" w:rsidRDefault="00A828B7" w:rsidP="00A824AF">
      <w:pPr>
        <w:pStyle w:val="Style3Bold"/>
        <w:spacing w:after="0"/>
        <w:rPr>
          <w:rFonts w:cs="Arial"/>
          <w:sz w:val="20"/>
        </w:rPr>
      </w:pPr>
      <w:r w:rsidRPr="008474CF">
        <w:rPr>
          <w:rFonts w:cs="Arial"/>
          <w:sz w:val="20"/>
        </w:rPr>
        <w:t>Erfassung von Ausgaben</w:t>
      </w:r>
    </w:p>
    <w:p w14:paraId="0641FE0B" w14:textId="77777777" w:rsidR="00A824AF" w:rsidRPr="008474CF" w:rsidRDefault="00A824AF" w:rsidP="00A824AF">
      <w:pPr>
        <w:pStyle w:val="Style3"/>
        <w:spacing w:after="0"/>
        <w:rPr>
          <w:rFonts w:cs="Arial"/>
          <w:sz w:val="20"/>
        </w:rPr>
      </w:pPr>
    </w:p>
    <w:p w14:paraId="50CC63FD" w14:textId="5D73083D" w:rsidR="00F73707" w:rsidRPr="008474CF" w:rsidRDefault="003F773D" w:rsidP="00A824AF">
      <w:pPr>
        <w:pStyle w:val="Style3"/>
        <w:spacing w:after="0"/>
        <w:rPr>
          <w:rFonts w:cs="Arial"/>
          <w:sz w:val="20"/>
        </w:rPr>
      </w:pPr>
      <w:r w:rsidRPr="008474CF">
        <w:rPr>
          <w:rFonts w:cs="Arial"/>
          <w:sz w:val="20"/>
        </w:rPr>
        <w:t>Ausgaben werden erfasst, sobald die Waren entgegengenommen und die Leistungen erbracht wurden</w:t>
      </w:r>
      <w:r w:rsidR="00A824AF" w:rsidRPr="008474CF">
        <w:rPr>
          <w:rFonts w:cs="Arial"/>
          <w:sz w:val="20"/>
        </w:rPr>
        <w:t>.</w:t>
      </w:r>
    </w:p>
    <w:p w14:paraId="2451F0B4" w14:textId="2D63AAA0" w:rsidR="00194C8C" w:rsidRPr="008474CF" w:rsidRDefault="00194C8C">
      <w:pPr>
        <w:jc w:val="left"/>
        <w:rPr>
          <w:rFonts w:cs="Arial"/>
          <w:b/>
          <w:bCs/>
        </w:rPr>
      </w:pPr>
    </w:p>
    <w:p w14:paraId="2CED24B4" w14:textId="4D0A6F05" w:rsidR="00A824AF" w:rsidRPr="008474CF" w:rsidRDefault="00A824AF" w:rsidP="00A824AF">
      <w:pPr>
        <w:pStyle w:val="Style3Bold"/>
        <w:spacing w:after="0"/>
        <w:rPr>
          <w:rFonts w:cs="Arial"/>
          <w:sz w:val="20"/>
        </w:rPr>
      </w:pPr>
      <w:r w:rsidRPr="008474CF">
        <w:rPr>
          <w:rFonts w:cs="Arial"/>
          <w:sz w:val="20"/>
        </w:rPr>
        <w:t>Finanzinstrumente</w:t>
      </w:r>
    </w:p>
    <w:p w14:paraId="20A5DCE4" w14:textId="77777777" w:rsidR="00A824AF" w:rsidRPr="008474CF" w:rsidRDefault="00A824AF" w:rsidP="00A824AF">
      <w:pPr>
        <w:pStyle w:val="Style3"/>
        <w:spacing w:after="0"/>
        <w:rPr>
          <w:rFonts w:cs="Arial"/>
          <w:sz w:val="20"/>
        </w:rPr>
      </w:pPr>
    </w:p>
    <w:p w14:paraId="1617E5F5" w14:textId="77777777" w:rsidR="00A824AF" w:rsidRPr="008474CF" w:rsidRDefault="00A824AF" w:rsidP="00A824AF">
      <w:pPr>
        <w:pStyle w:val="Style3"/>
        <w:spacing w:after="0"/>
        <w:rPr>
          <w:rFonts w:cs="Arial"/>
          <w:b/>
          <w:i/>
          <w:sz w:val="20"/>
        </w:rPr>
      </w:pPr>
      <w:r w:rsidRPr="008474CF">
        <w:rPr>
          <w:rFonts w:cs="Arial"/>
          <w:b/>
          <w:i/>
          <w:sz w:val="20"/>
        </w:rPr>
        <w:t>Finanzielle Vermögenswerte</w:t>
      </w:r>
    </w:p>
    <w:p w14:paraId="3BEDD6F7" w14:textId="77777777" w:rsidR="00513CB8" w:rsidRPr="008474CF" w:rsidRDefault="00513CB8" w:rsidP="00813D7B">
      <w:pPr>
        <w:autoSpaceDE w:val="0"/>
        <w:autoSpaceDN w:val="0"/>
        <w:adjustRightInd w:val="0"/>
        <w:spacing w:line="276" w:lineRule="auto"/>
        <w:rPr>
          <w:rFonts w:cs="Arial"/>
          <w:bCs/>
          <w:color w:val="000000"/>
          <w:lang w:eastAsia="en-GB"/>
        </w:rPr>
      </w:pPr>
    </w:p>
    <w:p w14:paraId="71FF6065" w14:textId="1E65A168" w:rsidR="0087405C" w:rsidRPr="008474CF" w:rsidRDefault="0093079E" w:rsidP="00813D7B">
      <w:pPr>
        <w:autoSpaceDE w:val="0"/>
        <w:autoSpaceDN w:val="0"/>
        <w:adjustRightInd w:val="0"/>
        <w:spacing w:line="276" w:lineRule="auto"/>
        <w:rPr>
          <w:rFonts w:cs="Arial"/>
          <w:bCs/>
          <w:color w:val="000000"/>
          <w:lang w:eastAsia="en-GB"/>
        </w:rPr>
      </w:pPr>
      <w:r w:rsidRPr="008474CF">
        <w:rPr>
          <w:rFonts w:cs="Arial"/>
          <w:bCs/>
          <w:color w:val="000000"/>
          <w:lang w:eastAsia="en-GB"/>
        </w:rPr>
        <w:t xml:space="preserve">Finanzielle </w:t>
      </w:r>
      <w:r w:rsidR="000D5C2D" w:rsidRPr="008474CF">
        <w:rPr>
          <w:rFonts w:cs="Arial"/>
          <w:bCs/>
          <w:color w:val="000000"/>
          <w:lang w:eastAsia="en-GB"/>
        </w:rPr>
        <w:t>Vermögenswerte werden erstmalig zum beizulegenden Zeitwert erfasst, der normalerweise dem Transaktionspreis entspricht. Nach der erstmaligen Erfassung klassifiziert die UPOV ihre finanziellen Vermögenswerte als zu amortisierten Kosten bewertet</w:t>
      </w:r>
      <w:r w:rsidR="003E3776" w:rsidRPr="008474CF">
        <w:rPr>
          <w:rFonts w:cs="Arial"/>
          <w:bCs/>
          <w:color w:val="000000"/>
          <w:lang w:eastAsia="en-GB"/>
        </w:rPr>
        <w:t xml:space="preserve">. </w:t>
      </w:r>
    </w:p>
    <w:p w14:paraId="1D12B72E" w14:textId="77777777" w:rsidR="00513CB8" w:rsidRPr="008474CF" w:rsidRDefault="00513CB8" w:rsidP="00813D7B">
      <w:pPr>
        <w:autoSpaceDE w:val="0"/>
        <w:autoSpaceDN w:val="0"/>
        <w:adjustRightInd w:val="0"/>
        <w:spacing w:line="276" w:lineRule="auto"/>
        <w:rPr>
          <w:rFonts w:cs="Arial"/>
          <w:bCs/>
          <w:color w:val="000000"/>
          <w:lang w:eastAsia="en-GB"/>
        </w:rPr>
      </w:pPr>
    </w:p>
    <w:p w14:paraId="288E9BC6" w14:textId="37784C45" w:rsidR="00E477AF" w:rsidRPr="008474CF" w:rsidRDefault="0087405C" w:rsidP="00813D7B">
      <w:pPr>
        <w:autoSpaceDE w:val="0"/>
        <w:autoSpaceDN w:val="0"/>
        <w:adjustRightInd w:val="0"/>
        <w:spacing w:line="276" w:lineRule="auto"/>
        <w:rPr>
          <w:rFonts w:cs="Arial"/>
          <w:bCs/>
          <w:color w:val="000000"/>
          <w:lang w:eastAsia="en-GB"/>
        </w:rPr>
      </w:pPr>
      <w:r w:rsidRPr="008474CF">
        <w:rPr>
          <w:rFonts w:cs="Arial"/>
          <w:bCs/>
          <w:color w:val="000000"/>
          <w:lang w:eastAsia="en-GB"/>
        </w:rPr>
        <w:t>Die Klassifizierung hängt vom UPOV-Verwaltungsmodell für die finanziellen Vermögenswerte und den vertraglichen Kapitalflussrechnungsmerkmalen der finanziellen Vermögenswerte ab</w:t>
      </w:r>
      <w:r w:rsidR="003E3776" w:rsidRPr="008474CF">
        <w:rPr>
          <w:rFonts w:cs="Arial"/>
          <w:bCs/>
          <w:color w:val="000000"/>
          <w:lang w:eastAsia="en-GB"/>
        </w:rPr>
        <w:t xml:space="preserve">. </w:t>
      </w:r>
    </w:p>
    <w:p w14:paraId="0832C2BE" w14:textId="77777777" w:rsidR="00513CB8" w:rsidRPr="008474CF" w:rsidRDefault="00513CB8" w:rsidP="00813D7B">
      <w:pPr>
        <w:autoSpaceDE w:val="0"/>
        <w:autoSpaceDN w:val="0"/>
        <w:adjustRightInd w:val="0"/>
        <w:spacing w:line="276" w:lineRule="auto"/>
        <w:rPr>
          <w:rFonts w:cs="Arial"/>
          <w:bCs/>
          <w:color w:val="000000"/>
          <w:lang w:eastAsia="en-GB"/>
        </w:rPr>
      </w:pPr>
    </w:p>
    <w:p w14:paraId="01FAB9F3" w14:textId="720A1774" w:rsidR="00B86F58" w:rsidRPr="008474CF" w:rsidRDefault="003E3776" w:rsidP="00813D7B">
      <w:pPr>
        <w:autoSpaceDE w:val="0"/>
        <w:autoSpaceDN w:val="0"/>
        <w:adjustRightInd w:val="0"/>
        <w:spacing w:line="276" w:lineRule="auto"/>
        <w:rPr>
          <w:rFonts w:cs="Arial"/>
          <w:b/>
          <w:bCs/>
          <w:i/>
          <w:color w:val="000000"/>
          <w:lang w:eastAsia="en-GB"/>
        </w:rPr>
      </w:pPr>
      <w:r w:rsidRPr="008474CF">
        <w:rPr>
          <w:rFonts w:cs="Arial"/>
          <w:bCs/>
          <w:color w:val="000000"/>
          <w:lang w:eastAsia="en-GB"/>
        </w:rPr>
        <w:t xml:space="preserve">Die UPOV bewertet auf einer </w:t>
      </w:r>
      <w:r w:rsidR="001A7F4A" w:rsidRPr="008474CF">
        <w:rPr>
          <w:rFonts w:cs="Arial"/>
          <w:bCs/>
          <w:color w:val="000000"/>
          <w:lang w:eastAsia="en-GB"/>
        </w:rPr>
        <w:t xml:space="preserve">zukunftsorientierten </w:t>
      </w:r>
      <w:r w:rsidRPr="008474CF">
        <w:rPr>
          <w:rFonts w:cs="Arial"/>
          <w:bCs/>
          <w:color w:val="000000"/>
          <w:lang w:eastAsia="en-GB"/>
        </w:rPr>
        <w:t>Basis die erwarteten Kreditverluste im Zusammenhang mit ihren zu fortgeführten Anschaffungskosten bewerteten finanziellen Vermögenswerten.</w:t>
      </w:r>
    </w:p>
    <w:p w14:paraId="54A4204F" w14:textId="77777777" w:rsidR="00513CB8" w:rsidRPr="008474CF" w:rsidRDefault="00513CB8" w:rsidP="00813D7B">
      <w:pPr>
        <w:autoSpaceDE w:val="0"/>
        <w:autoSpaceDN w:val="0"/>
        <w:adjustRightInd w:val="0"/>
        <w:spacing w:line="276" w:lineRule="auto"/>
        <w:jc w:val="left"/>
        <w:rPr>
          <w:rFonts w:cs="Arial"/>
          <w:b/>
          <w:bCs/>
          <w:i/>
          <w:color w:val="000000"/>
          <w:lang w:eastAsia="en-GB"/>
        </w:rPr>
      </w:pPr>
    </w:p>
    <w:p w14:paraId="0ABC498A" w14:textId="510C540D" w:rsidR="00230E3B" w:rsidRPr="008474CF" w:rsidRDefault="00BA5EB6" w:rsidP="00813D7B">
      <w:pPr>
        <w:autoSpaceDE w:val="0"/>
        <w:autoSpaceDN w:val="0"/>
        <w:adjustRightInd w:val="0"/>
        <w:spacing w:line="276" w:lineRule="auto"/>
        <w:jc w:val="left"/>
        <w:rPr>
          <w:rFonts w:cs="Arial"/>
          <w:b/>
          <w:bCs/>
          <w:i/>
          <w:color w:val="000000"/>
          <w:lang w:eastAsia="en-GB"/>
        </w:rPr>
      </w:pPr>
      <w:r w:rsidRPr="008474CF">
        <w:rPr>
          <w:rFonts w:cs="Arial"/>
          <w:b/>
          <w:bCs/>
          <w:i/>
          <w:color w:val="000000"/>
          <w:lang w:eastAsia="en-GB"/>
        </w:rPr>
        <w:t>Finanzverbindlichkeiten</w:t>
      </w:r>
    </w:p>
    <w:p w14:paraId="62F7FE59" w14:textId="77777777" w:rsidR="00027B37" w:rsidRPr="008474CF" w:rsidRDefault="00027B37" w:rsidP="006078F7">
      <w:pPr>
        <w:pStyle w:val="Style3"/>
        <w:spacing w:after="0"/>
        <w:rPr>
          <w:rFonts w:cs="Arial"/>
          <w:bCs/>
          <w:color w:val="000000"/>
          <w:sz w:val="20"/>
          <w:lang w:eastAsia="en-GB"/>
        </w:rPr>
      </w:pPr>
    </w:p>
    <w:p w14:paraId="745DF7B1" w14:textId="23C0D2DC" w:rsidR="00BF7DEA" w:rsidRPr="008474CF" w:rsidRDefault="0077062C" w:rsidP="006078F7">
      <w:pPr>
        <w:pStyle w:val="Style3"/>
        <w:spacing w:after="0"/>
        <w:rPr>
          <w:rFonts w:cs="Arial"/>
          <w:bCs/>
          <w:color w:val="000000"/>
          <w:sz w:val="20"/>
          <w:lang w:eastAsia="en-GB"/>
        </w:rPr>
      </w:pPr>
      <w:r w:rsidRPr="008474CF">
        <w:rPr>
          <w:rFonts w:cs="Arial"/>
          <w:bCs/>
          <w:color w:val="000000"/>
          <w:sz w:val="20"/>
          <w:lang w:eastAsia="en-GB"/>
        </w:rPr>
        <w:t>Die UPOV erfasst ihre Finanzverbindlichkeiten erstmalig zum beizulegenden Zeitwert. Nach der erstmaligen Erfassung werden die Finanzverbindlichkeiten anschließend zu amortisierten Kosten bewertet</w:t>
      </w:r>
      <w:r w:rsidR="00BF7DEA" w:rsidRPr="008474CF">
        <w:rPr>
          <w:rFonts w:cs="Arial"/>
          <w:bCs/>
          <w:color w:val="000000"/>
          <w:sz w:val="20"/>
          <w:lang w:eastAsia="en-GB"/>
        </w:rPr>
        <w:t>.</w:t>
      </w:r>
    </w:p>
    <w:p w14:paraId="53F439DA" w14:textId="77777777" w:rsidR="00BF7DEA" w:rsidRPr="008474CF" w:rsidRDefault="00BF7DEA" w:rsidP="006078F7">
      <w:pPr>
        <w:pStyle w:val="Style3"/>
        <w:spacing w:after="0"/>
        <w:rPr>
          <w:rFonts w:cs="Arial"/>
          <w:b/>
          <w:sz w:val="20"/>
        </w:rPr>
      </w:pPr>
    </w:p>
    <w:p w14:paraId="478D9619" w14:textId="77777777" w:rsidR="00A824AF" w:rsidRPr="008474CF" w:rsidRDefault="00A824AF" w:rsidP="00244181">
      <w:pPr>
        <w:pStyle w:val="Style3"/>
        <w:keepNext/>
        <w:spacing w:after="0"/>
        <w:rPr>
          <w:rFonts w:cs="Arial"/>
          <w:b/>
          <w:sz w:val="20"/>
        </w:rPr>
      </w:pPr>
      <w:r w:rsidRPr="008474CF">
        <w:rPr>
          <w:rFonts w:cs="Arial"/>
          <w:b/>
          <w:sz w:val="20"/>
        </w:rPr>
        <w:lastRenderedPageBreak/>
        <w:t>Verwendung von Schätzungen</w:t>
      </w:r>
    </w:p>
    <w:p w14:paraId="1DC42084" w14:textId="77777777" w:rsidR="00A824AF" w:rsidRPr="008474CF" w:rsidRDefault="00A824AF" w:rsidP="00244181">
      <w:pPr>
        <w:keepNext/>
        <w:rPr>
          <w:rFonts w:cs="Arial"/>
        </w:rPr>
      </w:pPr>
    </w:p>
    <w:p w14:paraId="52FFBA2D" w14:textId="2139870E" w:rsidR="007C0E44" w:rsidRPr="008474CF" w:rsidRDefault="00CE1ADD" w:rsidP="00A824AF">
      <w:pPr>
        <w:pStyle w:val="Style3"/>
        <w:spacing w:after="0"/>
        <w:rPr>
          <w:rFonts w:cs="Arial"/>
          <w:sz w:val="20"/>
        </w:rPr>
      </w:pPr>
      <w:r w:rsidRPr="008474CF">
        <w:rPr>
          <w:rFonts w:cs="Arial"/>
          <w:sz w:val="20"/>
        </w:rPr>
        <w:t>Der Jahresabschluss enthält notwendigerweise Beträge, die auf Schätzungen und Annahmen seitens der Geschäftsführung beruhen. Schätzungen umfassen, sind aber nicht begrenzt auf: ASHI und Beihilfe zur Rückübersiedlung und Rückreise (deren Wert von einem unabhängigen Versicherungsmathematiker berechnet wird), andere Leistungsverpflichtungen gegenüber Bediensteten, finanzielle Risiken bezüglich Forderungen und antizipative Passiva. Tatsächliche Ergebnisse können von diesen Schätzungen abweichen. An den Schätzungen vorgenommene Änderungen werden in der Rechnungsperiode, in der sie bekannt werden, ausgewiesen</w:t>
      </w:r>
      <w:r w:rsidR="00A824AF" w:rsidRPr="008474CF">
        <w:rPr>
          <w:rFonts w:cs="Arial"/>
          <w:sz w:val="20"/>
        </w:rPr>
        <w:t>.</w:t>
      </w:r>
    </w:p>
    <w:p w14:paraId="3796282A" w14:textId="46E92E46" w:rsidR="007C0E44" w:rsidRPr="008474CF" w:rsidRDefault="007C0E44" w:rsidP="00244181">
      <w:pPr>
        <w:pStyle w:val="Heading2Notes"/>
        <w:keepNext w:val="0"/>
        <w:rPr>
          <w:rFonts w:ascii="Arial" w:hAnsi="Arial" w:cs="Arial"/>
          <w:lang w:val="de-DE"/>
        </w:rPr>
      </w:pPr>
      <w:bookmarkStart w:id="39" w:name="_Toc84329894"/>
    </w:p>
    <w:p w14:paraId="444A3D82" w14:textId="77777777" w:rsidR="008D0874" w:rsidRPr="008474CF" w:rsidRDefault="008D0874" w:rsidP="00244181">
      <w:pPr>
        <w:pStyle w:val="Heading2Notes"/>
        <w:keepNext w:val="0"/>
        <w:rPr>
          <w:rFonts w:ascii="Arial" w:hAnsi="Arial" w:cs="Arial"/>
          <w:lang w:val="de-DE"/>
        </w:rPr>
      </w:pPr>
    </w:p>
    <w:p w14:paraId="168FA89B" w14:textId="1CCDE7AE" w:rsidR="00A824AF" w:rsidRPr="008474CF" w:rsidRDefault="002D58CC" w:rsidP="00B56280">
      <w:pPr>
        <w:pStyle w:val="Heading2Notes"/>
        <w:ind w:left="1843" w:hanging="1843"/>
        <w:rPr>
          <w:rFonts w:ascii="Arial" w:hAnsi="Arial" w:cs="Arial"/>
          <w:lang w:val="de-DE"/>
        </w:rPr>
      </w:pPr>
      <w:bookmarkStart w:id="40" w:name="_Toc205303753"/>
      <w:r w:rsidRPr="008474CF">
        <w:rPr>
          <w:rFonts w:ascii="Arial" w:hAnsi="Arial" w:cs="Arial"/>
          <w:lang w:val="de-DE"/>
        </w:rPr>
        <w:t xml:space="preserve">Anmerkung </w:t>
      </w:r>
      <w:r w:rsidR="00A824AF" w:rsidRPr="008474CF">
        <w:rPr>
          <w:rFonts w:ascii="Arial" w:hAnsi="Arial" w:cs="Arial"/>
          <w:lang w:val="de-DE"/>
        </w:rPr>
        <w:t>3:</w:t>
      </w:r>
      <w:r w:rsidR="00A824AF" w:rsidRPr="008474CF">
        <w:rPr>
          <w:rFonts w:ascii="Arial" w:hAnsi="Arial" w:cs="Arial"/>
          <w:lang w:val="de-DE"/>
        </w:rPr>
        <w:tab/>
      </w:r>
      <w:bookmarkEnd w:id="39"/>
      <w:r w:rsidR="005E61AD" w:rsidRPr="008474CF">
        <w:rPr>
          <w:rFonts w:ascii="Arial" w:hAnsi="Arial" w:cs="Arial"/>
          <w:lang w:val="de-DE"/>
        </w:rPr>
        <w:t>Zahlungsmittelbestand</w:t>
      </w:r>
      <w:bookmarkEnd w:id="40"/>
    </w:p>
    <w:p w14:paraId="17EF58ED" w14:textId="0E70AB0C" w:rsidR="00C643AD" w:rsidRPr="008474CF" w:rsidRDefault="00C643AD" w:rsidP="00A824AF">
      <w:pPr>
        <w:pStyle w:val="Style3"/>
        <w:spacing w:after="0"/>
        <w:rPr>
          <w:rFonts w:cs="Arial"/>
          <w:sz w:val="20"/>
        </w:rPr>
      </w:pPr>
    </w:p>
    <w:p w14:paraId="543334F8" w14:textId="32BF5966" w:rsidR="006A2185" w:rsidRPr="008474CF" w:rsidRDefault="00F266A9" w:rsidP="001521C2">
      <w:pPr>
        <w:pStyle w:val="Style3"/>
        <w:rPr>
          <w:rFonts w:cs="Arial"/>
          <w:sz w:val="20"/>
        </w:rPr>
      </w:pPr>
      <w:r w:rsidRPr="00F266A9">
        <w:rPr>
          <w:noProof/>
        </w:rPr>
        <w:drawing>
          <wp:inline distT="0" distB="0" distL="0" distR="0" wp14:anchorId="70E4A89D" wp14:editId="0796797D">
            <wp:extent cx="5852160" cy="2830830"/>
            <wp:effectExtent l="0" t="0" r="0" b="7620"/>
            <wp:docPr id="121848650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2160" cy="2830830"/>
                    </a:xfrm>
                    <a:prstGeom prst="rect">
                      <a:avLst/>
                    </a:prstGeom>
                    <a:noFill/>
                    <a:ln>
                      <a:noFill/>
                    </a:ln>
                  </pic:spPr>
                </pic:pic>
              </a:graphicData>
            </a:graphic>
          </wp:inline>
        </w:drawing>
      </w:r>
    </w:p>
    <w:p w14:paraId="4B83E2C3" w14:textId="77777777" w:rsidR="006A2185" w:rsidRDefault="006A2185" w:rsidP="00A824AF">
      <w:pPr>
        <w:pStyle w:val="Style3"/>
        <w:spacing w:after="0"/>
        <w:rPr>
          <w:rFonts w:cs="Arial"/>
          <w:sz w:val="20"/>
        </w:rPr>
      </w:pPr>
    </w:p>
    <w:p w14:paraId="1D9F366C" w14:textId="49C35A15" w:rsidR="00A824AF" w:rsidRPr="008474CF" w:rsidRDefault="00636270" w:rsidP="00A824AF">
      <w:pPr>
        <w:pStyle w:val="Style3"/>
        <w:spacing w:after="0"/>
        <w:rPr>
          <w:rFonts w:cs="Arial"/>
          <w:sz w:val="20"/>
        </w:rPr>
      </w:pPr>
      <w:r w:rsidRPr="008474CF">
        <w:rPr>
          <w:rFonts w:cs="Arial"/>
          <w:sz w:val="20"/>
        </w:rPr>
        <w:t>Bareinlagen werden im Allgemeinen auf Tagesgeldkonten gehalten</w:t>
      </w:r>
      <w:r w:rsidR="00BF793F" w:rsidRPr="008474CF">
        <w:rPr>
          <w:rFonts w:cs="Arial"/>
          <w:sz w:val="20"/>
        </w:rPr>
        <w:t xml:space="preserve">. </w:t>
      </w:r>
    </w:p>
    <w:p w14:paraId="7FF79011" w14:textId="77777777" w:rsidR="009A6907" w:rsidRPr="008474CF" w:rsidRDefault="009A6907" w:rsidP="00A824AF">
      <w:pPr>
        <w:pStyle w:val="Style3"/>
        <w:spacing w:after="0"/>
        <w:rPr>
          <w:rFonts w:cs="Arial"/>
          <w:sz w:val="20"/>
        </w:rPr>
      </w:pPr>
    </w:p>
    <w:p w14:paraId="575EDD47" w14:textId="03478D51" w:rsidR="00A824AF" w:rsidRPr="008474CF" w:rsidRDefault="00A81C3E" w:rsidP="00A824AF">
      <w:pPr>
        <w:pStyle w:val="Style3"/>
        <w:spacing w:after="0"/>
        <w:rPr>
          <w:rFonts w:cs="Arial"/>
          <w:sz w:val="20"/>
        </w:rPr>
      </w:pPr>
      <w:r w:rsidRPr="008474CF">
        <w:rPr>
          <w:rFonts w:cs="Arial"/>
          <w:sz w:val="20"/>
        </w:rPr>
        <w:t>Der Saldo des Betriebsmittelfonds wird als verfügungsbeschränkt betrachtet, auch wenn Zinsen, die der Saldo des Betriebsmittelfonds einbringt, dem Gesamtguthaben der UPOV gutgeschrieben werden. Treuhandgelder, die im Namen von Gebern außeretatmäßiger Mittel treuhänderisch verwaltet werden, werden auf der Grundlage von Vereinbarungen mit den Gebern in der Währung, in der die Ausgaben später erfasst werden, deponiert</w:t>
      </w:r>
      <w:r w:rsidR="00A824AF" w:rsidRPr="008474CF">
        <w:rPr>
          <w:rFonts w:cs="Arial"/>
          <w:sz w:val="20"/>
        </w:rPr>
        <w:t xml:space="preserve">. </w:t>
      </w:r>
    </w:p>
    <w:p w14:paraId="6D5BC56E" w14:textId="77777777" w:rsidR="00A824AF" w:rsidRPr="008474CF" w:rsidRDefault="00A824AF" w:rsidP="00A824AF">
      <w:pPr>
        <w:pStyle w:val="Style3"/>
        <w:spacing w:after="0"/>
        <w:rPr>
          <w:rFonts w:cs="Arial"/>
          <w:sz w:val="20"/>
        </w:rPr>
      </w:pPr>
    </w:p>
    <w:p w14:paraId="74B20897" w14:textId="623BB694" w:rsidR="00A824AF" w:rsidRPr="008474CF" w:rsidRDefault="006B63F2" w:rsidP="00A824AF">
      <w:pPr>
        <w:pStyle w:val="Style3"/>
        <w:spacing w:after="0"/>
        <w:rPr>
          <w:rFonts w:cs="Arial"/>
          <w:sz w:val="20"/>
        </w:rPr>
      </w:pPr>
      <w:r w:rsidRPr="008474CF">
        <w:rPr>
          <w:rFonts w:cs="Arial"/>
          <w:sz w:val="20"/>
        </w:rPr>
        <w:t>Auf seiner dreiunddreißigsten außerordentlichen Tagung vom 17. März 2016 entschied der Rat der UPOV, die für die künftige Finanzierung der ASHI-Verbindlichkeiten der UPOV zugewiesenen Mittel auf einem gesonderten Konto zu halten. Zum 31. Dezember 202</w:t>
      </w:r>
      <w:r w:rsidR="009B0350" w:rsidRPr="008474CF">
        <w:rPr>
          <w:rFonts w:cs="Arial"/>
          <w:sz w:val="20"/>
        </w:rPr>
        <w:t>4</w:t>
      </w:r>
      <w:r w:rsidRPr="008474CF">
        <w:rPr>
          <w:rFonts w:cs="Arial"/>
          <w:sz w:val="20"/>
        </w:rPr>
        <w:t xml:space="preserve"> belief sich der Gesamtsaldo dieser Fonds auf </w:t>
      </w:r>
      <w:r w:rsidR="004E6970" w:rsidRPr="008474CF">
        <w:rPr>
          <w:rFonts w:cs="Arial"/>
          <w:sz w:val="20"/>
        </w:rPr>
        <w:t>1.105.527</w:t>
      </w:r>
      <w:r w:rsidRPr="008474CF">
        <w:rPr>
          <w:rFonts w:cs="Arial"/>
          <w:sz w:val="20"/>
        </w:rPr>
        <w:t xml:space="preserve"> Schweizer Franken (</w:t>
      </w:r>
      <w:r w:rsidR="00B310A5" w:rsidRPr="008474CF">
        <w:rPr>
          <w:rFonts w:cs="Arial"/>
          <w:sz w:val="20"/>
        </w:rPr>
        <w:t>1.187.257</w:t>
      </w:r>
      <w:r w:rsidRPr="008474CF">
        <w:rPr>
          <w:rFonts w:cs="Arial"/>
          <w:sz w:val="20"/>
        </w:rPr>
        <w:t xml:space="preserve"> Schweizer Franken zum 31. Dezember 202</w:t>
      </w:r>
      <w:r w:rsidR="00B310A5" w:rsidRPr="008474CF">
        <w:rPr>
          <w:rFonts w:cs="Arial"/>
          <w:sz w:val="20"/>
        </w:rPr>
        <w:t>3</w:t>
      </w:r>
      <w:r w:rsidRPr="008474CF">
        <w:rPr>
          <w:rFonts w:cs="Arial"/>
          <w:sz w:val="20"/>
        </w:rPr>
        <w:t>). Gemäß der Entscheidung des Rates auf der dreiundfünfzigsten ordentlichen Tagung vom 1. November 2019 werden die Mittel auf einem der Hauptbankkonten der UPOV gehalten, werden aber über eine derzeit bei der Bank verfügte Sperranweisung getrennt von den Betriebsmitteln verwaltet. Die UPOV verwaltet die ASHI-Mittel in Übereinstimmung mit der Anlagepolitik der WIPO, wonach sie als strategische Barmittel klassifiziert sind</w:t>
      </w:r>
      <w:r w:rsidR="00A824AF" w:rsidRPr="008474CF">
        <w:rPr>
          <w:rFonts w:cs="Arial"/>
          <w:sz w:val="20"/>
        </w:rPr>
        <w:t>.</w:t>
      </w:r>
    </w:p>
    <w:p w14:paraId="46ED6956" w14:textId="77777777" w:rsidR="00B437E4" w:rsidRPr="008474CF" w:rsidRDefault="00B437E4" w:rsidP="005D7523"/>
    <w:p w14:paraId="0FC8828E" w14:textId="77777777" w:rsidR="00AD74C0" w:rsidRPr="008474CF" w:rsidRDefault="00AD74C0" w:rsidP="005D7523">
      <w:bookmarkStart w:id="41" w:name="_Toc84329895"/>
    </w:p>
    <w:p w14:paraId="1CEEE4C8" w14:textId="24DD7E8A" w:rsidR="00A824AF" w:rsidRPr="008474CF" w:rsidRDefault="002D58CC" w:rsidP="00244181">
      <w:pPr>
        <w:pStyle w:val="Heading2Notes"/>
        <w:ind w:left="1843" w:hanging="1843"/>
        <w:rPr>
          <w:rFonts w:ascii="Arial" w:hAnsi="Arial" w:cs="Arial"/>
          <w:lang w:val="de-DE"/>
        </w:rPr>
      </w:pPr>
      <w:bookmarkStart w:id="42" w:name="_Toc205303754"/>
      <w:r w:rsidRPr="008474CF">
        <w:rPr>
          <w:rFonts w:ascii="Arial" w:hAnsi="Arial" w:cs="Arial"/>
          <w:lang w:val="de-DE"/>
        </w:rPr>
        <w:lastRenderedPageBreak/>
        <w:t xml:space="preserve">Anmerkung </w:t>
      </w:r>
      <w:r w:rsidR="00A824AF" w:rsidRPr="008474CF">
        <w:rPr>
          <w:rFonts w:ascii="Arial" w:hAnsi="Arial" w:cs="Arial"/>
          <w:lang w:val="de-DE"/>
        </w:rPr>
        <w:t>4:</w:t>
      </w:r>
      <w:r w:rsidR="00A824AF" w:rsidRPr="008474CF">
        <w:rPr>
          <w:rFonts w:ascii="Arial" w:hAnsi="Arial" w:cs="Arial"/>
          <w:lang w:val="de-DE"/>
        </w:rPr>
        <w:tab/>
        <w:t>Forderungen</w:t>
      </w:r>
      <w:bookmarkEnd w:id="41"/>
      <w:bookmarkEnd w:id="42"/>
    </w:p>
    <w:p w14:paraId="504A8F17" w14:textId="77777777" w:rsidR="00170616" w:rsidRPr="008474CF" w:rsidRDefault="00170616" w:rsidP="00244181">
      <w:pPr>
        <w:keepNext/>
        <w:rPr>
          <w:rFonts w:cs="Arial"/>
        </w:rPr>
      </w:pPr>
    </w:p>
    <w:p w14:paraId="42322E15" w14:textId="116EE301" w:rsidR="006C0171" w:rsidRPr="008474CF" w:rsidRDefault="00F266A9" w:rsidP="00F01218">
      <w:pPr>
        <w:jc w:val="center"/>
        <w:rPr>
          <w:rFonts w:cs="Arial"/>
        </w:rPr>
      </w:pPr>
      <w:r w:rsidRPr="00F266A9">
        <w:rPr>
          <w:noProof/>
        </w:rPr>
        <w:drawing>
          <wp:inline distT="0" distB="0" distL="0" distR="0" wp14:anchorId="5BCAADC1" wp14:editId="5521EC30">
            <wp:extent cx="5804535" cy="2154555"/>
            <wp:effectExtent l="0" t="0" r="5715" b="0"/>
            <wp:docPr id="33707769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04535" cy="2154555"/>
                    </a:xfrm>
                    <a:prstGeom prst="rect">
                      <a:avLst/>
                    </a:prstGeom>
                    <a:noFill/>
                    <a:ln>
                      <a:noFill/>
                    </a:ln>
                  </pic:spPr>
                </pic:pic>
              </a:graphicData>
            </a:graphic>
          </wp:inline>
        </w:drawing>
      </w:r>
    </w:p>
    <w:p w14:paraId="5E9A211A" w14:textId="77777777" w:rsidR="00DD63D3" w:rsidRPr="008474CF" w:rsidRDefault="00DD63D3" w:rsidP="00A824AF">
      <w:pPr>
        <w:rPr>
          <w:rFonts w:cs="Arial"/>
        </w:rPr>
      </w:pPr>
    </w:p>
    <w:p w14:paraId="19C1F39A" w14:textId="1083F392" w:rsidR="0058181D" w:rsidRPr="008474CF" w:rsidRDefault="007439A1" w:rsidP="00A824AF">
      <w:pPr>
        <w:rPr>
          <w:rFonts w:cs="Arial"/>
        </w:rPr>
      </w:pPr>
      <w:r w:rsidRPr="008474CF">
        <w:rPr>
          <w:rFonts w:cs="Arial"/>
        </w:rPr>
        <w:t xml:space="preserve">Beiträge stellen nicht eingezogene Einnahmen in Verbindung mit dem UPOV-Beitragssystem </w:t>
      </w:r>
      <w:r w:rsidR="004D4F02" w:rsidRPr="008474CF">
        <w:rPr>
          <w:rFonts w:cs="Arial"/>
        </w:rPr>
        <w:t>dar. Die</w:t>
      </w:r>
      <w:r w:rsidRPr="008474CF">
        <w:rPr>
          <w:rFonts w:cs="Arial"/>
        </w:rPr>
        <w:t xml:space="preserve"> Höhe des jährlichen Beitrags jedes Verbandsmitglieds wird nach den von den Verbandsmitgliedern übernommenen Beitragseinheiten berechnet (Artikel 26 der Akte von 1978 und Artikel 29 der Akte von 1991 des Übereinkommens). Wo zutreffend, wird eine Wertberichtigung vorgenommen, um den Wert ausstehender Forderungen aus Beiträgen auszugleichen. Die Wertberichtigung umfasst ausstehende Beträge aus Rechnungsperioden vor der letzten Rechnungsperiode</w:t>
      </w:r>
      <w:r w:rsidR="00A824AF" w:rsidRPr="008474CF">
        <w:rPr>
          <w:rFonts w:cs="Arial"/>
        </w:rPr>
        <w:t xml:space="preserve">. </w:t>
      </w:r>
      <w:r w:rsidR="0058181D" w:rsidRPr="008474CF">
        <w:rPr>
          <w:rFonts w:cs="Arial"/>
        </w:rPr>
        <w:t>Für das Jahr 2024 wurde ein Beitrags</w:t>
      </w:r>
      <w:r w:rsidR="007A4432" w:rsidRPr="008474CF">
        <w:rPr>
          <w:rFonts w:cs="Arial"/>
        </w:rPr>
        <w:t>wertberichtigung</w:t>
      </w:r>
      <w:r w:rsidR="0058181D" w:rsidRPr="008474CF">
        <w:rPr>
          <w:rFonts w:cs="Arial"/>
        </w:rPr>
        <w:t xml:space="preserve"> von 42.912 </w:t>
      </w:r>
      <w:r w:rsidR="000F0498" w:rsidRPr="008474CF">
        <w:rPr>
          <w:rFonts w:cs="Arial"/>
        </w:rPr>
        <w:t>Schweizer Franken</w:t>
      </w:r>
      <w:r w:rsidR="0058181D" w:rsidRPr="008474CF">
        <w:rPr>
          <w:rFonts w:cs="Arial"/>
        </w:rPr>
        <w:t xml:space="preserve"> festgelegt</w:t>
      </w:r>
      <w:r w:rsidR="003B065A" w:rsidRPr="008474CF">
        <w:rPr>
          <w:rFonts w:cs="Arial"/>
        </w:rPr>
        <w:t>.</w:t>
      </w:r>
      <w:r w:rsidR="006A3ACC" w:rsidRPr="008474CF">
        <w:rPr>
          <w:rFonts w:cs="Arial"/>
        </w:rPr>
        <w:t xml:space="preserve"> </w:t>
      </w:r>
    </w:p>
    <w:p w14:paraId="3F238398" w14:textId="77777777" w:rsidR="005E1412" w:rsidRPr="008474CF" w:rsidRDefault="005E1412">
      <w:pPr>
        <w:jc w:val="left"/>
        <w:rPr>
          <w:rFonts w:cs="Arial"/>
        </w:rPr>
      </w:pPr>
    </w:p>
    <w:p w14:paraId="108AB4F4" w14:textId="77777777" w:rsidR="0020503E" w:rsidRPr="008474CF" w:rsidRDefault="0020503E" w:rsidP="00F01218">
      <w:pPr>
        <w:jc w:val="left"/>
        <w:rPr>
          <w:rFonts w:cs="Arial"/>
        </w:rPr>
      </w:pPr>
    </w:p>
    <w:p w14:paraId="33AEF6D0" w14:textId="046A00E2" w:rsidR="00AD74C0" w:rsidRPr="008474CF" w:rsidRDefault="0020503E" w:rsidP="00B56280">
      <w:pPr>
        <w:pStyle w:val="Heading2Notes"/>
        <w:ind w:left="1843" w:hanging="1843"/>
        <w:rPr>
          <w:rFonts w:ascii="Arial" w:hAnsi="Arial" w:cs="Arial"/>
          <w:lang w:val="de-DE"/>
        </w:rPr>
      </w:pPr>
      <w:bookmarkStart w:id="43" w:name="_Toc84329896"/>
      <w:bookmarkStart w:id="44" w:name="_Toc205303755"/>
      <w:r w:rsidRPr="008474CF">
        <w:rPr>
          <w:rFonts w:ascii="Arial" w:hAnsi="Arial" w:cs="Arial"/>
          <w:lang w:val="de-DE"/>
        </w:rPr>
        <w:t xml:space="preserve">Anmerkung </w:t>
      </w:r>
      <w:r w:rsidR="00C746BD" w:rsidRPr="008474CF">
        <w:rPr>
          <w:rFonts w:ascii="Arial" w:hAnsi="Arial" w:cs="Arial"/>
          <w:lang w:val="de-DE"/>
        </w:rPr>
        <w:t>5</w:t>
      </w:r>
      <w:r w:rsidR="00A824AF" w:rsidRPr="008474CF">
        <w:rPr>
          <w:rFonts w:ascii="Arial" w:hAnsi="Arial" w:cs="Arial"/>
          <w:lang w:val="de-DE"/>
        </w:rPr>
        <w:t>:</w:t>
      </w:r>
      <w:r w:rsidR="00A824AF" w:rsidRPr="008474CF">
        <w:rPr>
          <w:rFonts w:ascii="Arial" w:hAnsi="Arial" w:cs="Arial"/>
          <w:lang w:val="de-DE"/>
        </w:rPr>
        <w:tab/>
        <w:t xml:space="preserve">Leistungen </w:t>
      </w:r>
      <w:bookmarkEnd w:id="43"/>
      <w:r w:rsidR="00861B7C" w:rsidRPr="008474CF">
        <w:rPr>
          <w:rFonts w:ascii="Arial" w:hAnsi="Arial" w:cs="Arial"/>
          <w:lang w:val="de-DE"/>
        </w:rPr>
        <w:t>für Bedienstete</w:t>
      </w:r>
      <w:bookmarkEnd w:id="44"/>
    </w:p>
    <w:p w14:paraId="4B31CACD" w14:textId="77777777" w:rsidR="00E45414" w:rsidRPr="008474CF" w:rsidRDefault="00E45414">
      <w:pPr>
        <w:pStyle w:val="Caption"/>
        <w:rPr>
          <w:b w:val="0"/>
          <w:bCs w:val="0"/>
          <w:sz w:val="20"/>
        </w:rPr>
      </w:pPr>
    </w:p>
    <w:p w14:paraId="44D57124" w14:textId="1744F19A" w:rsidR="00AC3CB0" w:rsidRPr="008474CF" w:rsidRDefault="00F266A9" w:rsidP="00F01218">
      <w:pPr>
        <w:pStyle w:val="Caption"/>
        <w:jc w:val="center"/>
      </w:pPr>
      <w:r w:rsidRPr="00F266A9">
        <w:rPr>
          <w:noProof/>
        </w:rPr>
        <w:drawing>
          <wp:inline distT="0" distB="0" distL="0" distR="0" wp14:anchorId="5AA6A0AD" wp14:editId="6E4990CD">
            <wp:extent cx="5931535" cy="2973705"/>
            <wp:effectExtent l="0" t="0" r="0" b="0"/>
            <wp:docPr id="122976877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1535" cy="2973705"/>
                    </a:xfrm>
                    <a:prstGeom prst="rect">
                      <a:avLst/>
                    </a:prstGeom>
                    <a:noFill/>
                    <a:ln>
                      <a:noFill/>
                    </a:ln>
                  </pic:spPr>
                </pic:pic>
              </a:graphicData>
            </a:graphic>
          </wp:inline>
        </w:drawing>
      </w:r>
    </w:p>
    <w:p w14:paraId="6795007A" w14:textId="77777777" w:rsidR="00E451BB" w:rsidRPr="008474CF" w:rsidRDefault="00E451BB" w:rsidP="00851447">
      <w:pPr>
        <w:pStyle w:val="Style3"/>
        <w:rPr>
          <w:rFonts w:cs="Arial"/>
          <w:sz w:val="20"/>
        </w:rPr>
      </w:pPr>
    </w:p>
    <w:p w14:paraId="0FB98B06" w14:textId="7B78E278" w:rsidR="00851447" w:rsidRPr="008474CF" w:rsidRDefault="00140EE4" w:rsidP="00851447">
      <w:pPr>
        <w:pStyle w:val="Style3"/>
        <w:rPr>
          <w:rFonts w:cs="Arial"/>
          <w:sz w:val="20"/>
        </w:rPr>
      </w:pPr>
      <w:r w:rsidRPr="008474CF">
        <w:rPr>
          <w:rFonts w:cs="Arial"/>
          <w:sz w:val="20"/>
        </w:rPr>
        <w:t>Langfristige personalbezogene Leistungen umfassen Krankenversicherung nach Ausscheiden aus dem Dienst (ASHI), Beihilfe zur Rückübersiedlung und Rückreise und kumulierter Urlaub (Posten)</w:t>
      </w:r>
      <w:r w:rsidR="00851447" w:rsidRPr="008474CF">
        <w:rPr>
          <w:rFonts w:cs="Arial"/>
          <w:sz w:val="20"/>
        </w:rPr>
        <w:t>:</w:t>
      </w:r>
    </w:p>
    <w:p w14:paraId="7BA6E762" w14:textId="0AA9BDD8" w:rsidR="00851447" w:rsidRPr="008474CF" w:rsidRDefault="00851447" w:rsidP="00851447">
      <w:pPr>
        <w:pStyle w:val="Style3"/>
        <w:rPr>
          <w:rFonts w:cs="Arial"/>
          <w:sz w:val="20"/>
        </w:rPr>
      </w:pPr>
      <w:r w:rsidRPr="008474CF">
        <w:rPr>
          <w:rFonts w:cs="Arial"/>
          <w:b/>
          <w:i/>
          <w:sz w:val="20"/>
        </w:rPr>
        <w:t>ASHI</w:t>
      </w:r>
      <w:r w:rsidRPr="008474CF">
        <w:rPr>
          <w:rFonts w:cs="Arial"/>
          <w:b/>
          <w:bCs/>
          <w:i/>
          <w:iCs/>
          <w:sz w:val="20"/>
        </w:rPr>
        <w:t>:</w:t>
      </w:r>
      <w:r w:rsidRPr="008474CF">
        <w:rPr>
          <w:rFonts w:cs="Arial"/>
          <w:sz w:val="20"/>
        </w:rPr>
        <w:t xml:space="preserve"> </w:t>
      </w:r>
      <w:r w:rsidR="001007F7" w:rsidRPr="008474CF">
        <w:rPr>
          <w:rFonts w:cs="Arial"/>
          <w:sz w:val="20"/>
        </w:rPr>
        <w:t>Bedienstete (und deren Ehegatten, unterhaltsberechtigte Kinder sowie Hinterbliebene), die aus dem Dienst ausscheiden, haben Anspruch auf die Fortführung ihrer ASHI-Krankenversicherung, wenn sie nach Beendigung des Dienstverhältnisses weiterhin in die Krankenversicherung einzahlen. Gemäß der Personalordnung wird ein Anteil von 65 Prozent der monatlichen Krankenversicherungsprämie von der UPOV übernommen.</w:t>
      </w:r>
    </w:p>
    <w:p w14:paraId="4D0794E2" w14:textId="386C19D5" w:rsidR="00851447" w:rsidRPr="008474CF" w:rsidRDefault="00CA705C" w:rsidP="00851447">
      <w:pPr>
        <w:pStyle w:val="Style3"/>
        <w:rPr>
          <w:rFonts w:cs="Arial"/>
          <w:sz w:val="20"/>
        </w:rPr>
      </w:pPr>
      <w:r w:rsidRPr="008474CF">
        <w:rPr>
          <w:rFonts w:cs="Arial"/>
          <w:b/>
          <w:i/>
          <w:sz w:val="20"/>
        </w:rPr>
        <w:t>Beihilfe zur Rückübersiedlung und Rückreis</w:t>
      </w:r>
      <w:r w:rsidR="00851447" w:rsidRPr="008474CF">
        <w:rPr>
          <w:rFonts w:cs="Arial"/>
          <w:b/>
          <w:i/>
          <w:sz w:val="20"/>
        </w:rPr>
        <w:t xml:space="preserve">e: </w:t>
      </w:r>
      <w:r w:rsidR="00030D20" w:rsidRPr="008474CF">
        <w:rPr>
          <w:rFonts w:cs="Arial"/>
          <w:sz w:val="20"/>
        </w:rPr>
        <w:t>Die UPOV ist vertraglich zu Leistungen verpflichtet, wie etwa Beihilfen zur Rückübersiedlung und Rückreise für bestimmte international rekrutierte Bedienstete zum Zeitpunkt ihres Ausscheidens aus dem Dienst</w:t>
      </w:r>
      <w:r w:rsidR="00A22995" w:rsidRPr="008474CF">
        <w:rPr>
          <w:rFonts w:cs="Arial"/>
          <w:sz w:val="20"/>
        </w:rPr>
        <w:t>.</w:t>
      </w:r>
    </w:p>
    <w:p w14:paraId="36E78CBA" w14:textId="7066C771" w:rsidR="00851447" w:rsidRPr="008474CF" w:rsidRDefault="00851447" w:rsidP="00851447">
      <w:pPr>
        <w:pStyle w:val="Style3"/>
        <w:rPr>
          <w:rFonts w:cs="Arial"/>
          <w:sz w:val="20"/>
        </w:rPr>
      </w:pPr>
      <w:r w:rsidRPr="008474CF">
        <w:rPr>
          <w:rFonts w:cs="Arial"/>
          <w:b/>
          <w:i/>
          <w:sz w:val="20"/>
        </w:rPr>
        <w:lastRenderedPageBreak/>
        <w:t>Kumulierter Urlaub (</w:t>
      </w:r>
      <w:r w:rsidR="00030D20" w:rsidRPr="008474CF">
        <w:rPr>
          <w:rFonts w:cs="Arial"/>
          <w:b/>
          <w:i/>
          <w:sz w:val="20"/>
        </w:rPr>
        <w:t>Posten</w:t>
      </w:r>
      <w:r w:rsidRPr="008474CF">
        <w:rPr>
          <w:rFonts w:cs="Arial"/>
          <w:b/>
          <w:i/>
          <w:sz w:val="20"/>
        </w:rPr>
        <w:t xml:space="preserve">): </w:t>
      </w:r>
      <w:r w:rsidR="00F2016D" w:rsidRPr="008474CF">
        <w:rPr>
          <w:sz w:val="20"/>
        </w:rPr>
        <w:t>Der kumulierte Jahresurlaub wird als langfristige Leistung für Bedienstete mit unbefristeten, fortlaufenden oder befristeten Arbeitsverträgen eingestuft. Mitarbeiter, die einen Posten innehaben, können normalerweise bis zu 15 Tagen Jahresurlaub pro Jahr und insgesamt 60 Tage ansammeln. Bei Ausscheiden aus dem Dienst können sich Mitarbeiter, die einen Posten innehaben und Jahresurlaub angesammelt haben, einen Betrag über eine Höhe</w:t>
      </w:r>
      <w:r w:rsidR="00314A8D" w:rsidRPr="008474CF">
        <w:rPr>
          <w:sz w:val="20"/>
        </w:rPr>
        <w:t>,</w:t>
      </w:r>
      <w:r w:rsidR="00F2016D" w:rsidRPr="008474CF">
        <w:rPr>
          <w:sz w:val="20"/>
        </w:rPr>
        <w:t xml:space="preserve"> die ihrem Gehalt für die Zeit des kumulierten Jahresurlaubs entspricht</w:t>
      </w:r>
      <w:r w:rsidR="00314A8D" w:rsidRPr="008474CF">
        <w:rPr>
          <w:sz w:val="20"/>
        </w:rPr>
        <w:t>,</w:t>
      </w:r>
      <w:r w:rsidR="00F2016D" w:rsidRPr="008474CF">
        <w:rPr>
          <w:sz w:val="20"/>
        </w:rPr>
        <w:t xml:space="preserve"> bis zu einer Höchstzahl von 60 Tagen auszahlen lassen</w:t>
      </w:r>
      <w:r w:rsidR="00A332D4" w:rsidRPr="008474CF">
        <w:rPr>
          <w:sz w:val="20"/>
        </w:rPr>
        <w:t>.</w:t>
      </w:r>
    </w:p>
    <w:p w14:paraId="673DA40D" w14:textId="687DA64A" w:rsidR="00851447" w:rsidRPr="008474CF" w:rsidRDefault="001A3FA6" w:rsidP="00851447">
      <w:pPr>
        <w:pStyle w:val="Style3"/>
        <w:spacing w:after="0"/>
        <w:rPr>
          <w:rFonts w:cs="Arial"/>
          <w:sz w:val="20"/>
        </w:rPr>
      </w:pPr>
      <w:r w:rsidRPr="008474CF">
        <w:rPr>
          <w:rFonts w:cs="Arial"/>
          <w:sz w:val="20"/>
        </w:rPr>
        <w:t>Leistungsverpflichtungen gegenüber Bediensteten unter ASHI, Beihilfe zur Rückübersiedlung und Rückreise und kumulierter Urlaub (Posten) werden von einem unabhängigen Versicherungsmathematiker berechnet. Versicherungsmathematische Annahmen haben eine beträchtliche Auswirkung auf die Leistungsverpflichtungen gegenüber Bediensteten. Eine Beschreibung der die Höhe der ASHI-Verbindlichkeiten beeinflussenden Faktoren findet sich in den diesem Jahresabschluss vorhergehenden Erörterungen und Analysen. Die wesentlichen versicherungsmathematischen Annahmen, die bei der Ermittlung von langfristigen Leistungsverpflichtungen gegenüber Bediensteten angewendet werden, werden im Folgenden erläutert. Diskontsätze wurden anhand der Renditekurven von AA-Unternehmensanleihen bestimmt</w:t>
      </w:r>
      <w:r w:rsidR="00851447" w:rsidRPr="008474CF">
        <w:rPr>
          <w:rFonts w:cs="Arial"/>
          <w:sz w:val="20"/>
        </w:rPr>
        <w:t>:</w:t>
      </w:r>
    </w:p>
    <w:p w14:paraId="2C2A0323" w14:textId="77777777" w:rsidR="007609FC" w:rsidRPr="008474CF" w:rsidRDefault="007609FC" w:rsidP="00851447">
      <w:pPr>
        <w:pStyle w:val="Style3"/>
        <w:spacing w:after="0"/>
        <w:rPr>
          <w:rFonts w:cs="Arial"/>
          <w:sz w:val="20"/>
        </w:rPr>
      </w:pPr>
    </w:p>
    <w:p w14:paraId="35BDE75E" w14:textId="51342609" w:rsidR="007609FC" w:rsidRPr="008474CF" w:rsidRDefault="00F266A9" w:rsidP="00F01218">
      <w:pPr>
        <w:pStyle w:val="Style3"/>
        <w:spacing w:after="0"/>
        <w:jc w:val="center"/>
        <w:rPr>
          <w:rFonts w:cs="Arial"/>
          <w:sz w:val="20"/>
        </w:rPr>
      </w:pPr>
      <w:r w:rsidRPr="00F266A9">
        <w:rPr>
          <w:noProof/>
        </w:rPr>
        <w:drawing>
          <wp:inline distT="0" distB="0" distL="0" distR="0" wp14:anchorId="6AC7E194" wp14:editId="45334083">
            <wp:extent cx="6137910" cy="4378960"/>
            <wp:effectExtent l="0" t="0" r="0" b="0"/>
            <wp:docPr id="21216304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37910" cy="4378960"/>
                    </a:xfrm>
                    <a:prstGeom prst="rect">
                      <a:avLst/>
                    </a:prstGeom>
                    <a:noFill/>
                    <a:ln>
                      <a:noFill/>
                    </a:ln>
                  </pic:spPr>
                </pic:pic>
              </a:graphicData>
            </a:graphic>
          </wp:inline>
        </w:drawing>
      </w:r>
    </w:p>
    <w:p w14:paraId="5201BF21" w14:textId="77777777" w:rsidR="005E1412" w:rsidRPr="008474CF" w:rsidRDefault="005E1412" w:rsidP="00851447">
      <w:pPr>
        <w:pStyle w:val="Style3"/>
        <w:spacing w:after="0"/>
        <w:rPr>
          <w:rFonts w:cs="Arial"/>
          <w:sz w:val="20"/>
        </w:rPr>
      </w:pPr>
    </w:p>
    <w:p w14:paraId="5F957810" w14:textId="4E4861C9" w:rsidR="007F5A07" w:rsidRPr="008474CF" w:rsidRDefault="009C2579" w:rsidP="00F01218">
      <w:pPr>
        <w:pStyle w:val="Style3"/>
        <w:spacing w:after="0"/>
      </w:pPr>
      <w:r w:rsidRPr="008474CF">
        <w:rPr>
          <w:sz w:val="20"/>
        </w:rPr>
        <w:t xml:space="preserve">Der derzeitige Wert der leistungsorientierten Verpflichtungen im Hinblick auf ASHI wird unter Verwendung des Anwartschaftsbarwertverfahrens, einschließlich unter Abzug der geschätzten künftigen Geldabflüsse, bestimmt. Gemäß den IPSAS wird die ASHI-Verbindlichkeit der UPOV </w:t>
      </w:r>
      <w:r w:rsidR="00FE4177" w:rsidRPr="008474CF">
        <w:rPr>
          <w:sz w:val="20"/>
        </w:rPr>
        <w:t xml:space="preserve">zum </w:t>
      </w:r>
      <w:r w:rsidR="00732FA1" w:rsidRPr="008474CF">
        <w:rPr>
          <w:sz w:val="20"/>
        </w:rPr>
        <w:t xml:space="preserve">31. Dezember 2024 </w:t>
      </w:r>
      <w:r w:rsidR="004C38F6" w:rsidRPr="008474CF">
        <w:rPr>
          <w:sz w:val="20"/>
        </w:rPr>
        <w:t>als ungedeckt betrachtet, da keinerlei Planvermögen in einer rechtlich gesonderten Organisation oder einem Fonds gehalten wird und deshalb kein Planvermögen von der in der Darstellung der Finanzlage erfassten Verbindlichkeit abgezogen wird. Es ist allerdings anzumerken, dass die UPOV Mittel hält, die für die künftige Finanzierung von ASHI-Verbindlichkeiten vorgesehen sind (siehe Anmerkung 3). Die folgende Tabelle führt die in der Darstellung der Erfolgsrechnung erfassten Ausgaben für ASHI auf</w:t>
      </w:r>
      <w:r w:rsidR="000E6EE1" w:rsidRPr="008474CF">
        <w:rPr>
          <w:sz w:val="20"/>
        </w:rPr>
        <w:t>:</w:t>
      </w:r>
    </w:p>
    <w:p w14:paraId="62AFD79C" w14:textId="1C7A9D4C" w:rsidR="00AD74C0" w:rsidRPr="008474CF" w:rsidRDefault="00AD74C0" w:rsidP="006519FD">
      <w:pPr>
        <w:rPr>
          <w:rFonts w:cs="Arial"/>
        </w:rPr>
      </w:pPr>
    </w:p>
    <w:p w14:paraId="26F1391D" w14:textId="37CF9B5D" w:rsidR="00AD74C0" w:rsidRPr="008474CF" w:rsidRDefault="007D7BBF" w:rsidP="00F01218">
      <w:pPr>
        <w:jc w:val="center"/>
        <w:rPr>
          <w:rFonts w:cs="Arial"/>
        </w:rPr>
      </w:pPr>
      <w:r w:rsidRPr="007D7BBF">
        <w:rPr>
          <w:noProof/>
        </w:rPr>
        <w:lastRenderedPageBreak/>
        <w:drawing>
          <wp:inline distT="0" distB="0" distL="0" distR="0" wp14:anchorId="04435813" wp14:editId="6FBE22A9">
            <wp:extent cx="5915660" cy="1510665"/>
            <wp:effectExtent l="0" t="0" r="6350" b="3810"/>
            <wp:docPr id="79063364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5660" cy="1510665"/>
                    </a:xfrm>
                    <a:prstGeom prst="rect">
                      <a:avLst/>
                    </a:prstGeom>
                    <a:noFill/>
                    <a:ln>
                      <a:noFill/>
                    </a:ln>
                  </pic:spPr>
                </pic:pic>
              </a:graphicData>
            </a:graphic>
          </wp:inline>
        </w:drawing>
      </w:r>
    </w:p>
    <w:p w14:paraId="01268A86" w14:textId="77777777" w:rsidR="007F5A07" w:rsidRPr="008474CF" w:rsidRDefault="007F5A07" w:rsidP="006519FD">
      <w:pPr>
        <w:rPr>
          <w:rFonts w:cs="Arial"/>
        </w:rPr>
      </w:pPr>
    </w:p>
    <w:p w14:paraId="317282D7" w14:textId="5DDDC6F0" w:rsidR="00732FA1" w:rsidRPr="008474CF" w:rsidRDefault="00732FA1">
      <w:pPr>
        <w:jc w:val="left"/>
        <w:rPr>
          <w:rFonts w:cs="Arial"/>
        </w:rPr>
      </w:pPr>
    </w:p>
    <w:p w14:paraId="24A79404" w14:textId="0CCEB5CC" w:rsidR="007F5A07" w:rsidRPr="008474CF" w:rsidRDefault="0081790E" w:rsidP="006519FD">
      <w:pPr>
        <w:rPr>
          <w:rFonts w:cs="Arial"/>
        </w:rPr>
      </w:pPr>
      <w:r w:rsidRPr="008474CF">
        <w:rPr>
          <w:rFonts w:cs="Arial"/>
        </w:rPr>
        <w:t>Die folgende Tabelle führt die Änderungen der leistungsorientierten Vorsorgeverpflichtungen der ASHI auf, einschließlich der Auswirkungen versicherungsmathematischer Gewinne/(Verluste)</w:t>
      </w:r>
      <w:r w:rsidR="007F5A07" w:rsidRPr="008474CF">
        <w:rPr>
          <w:rFonts w:cs="Arial"/>
        </w:rPr>
        <w:t>:</w:t>
      </w:r>
    </w:p>
    <w:p w14:paraId="5B677998" w14:textId="7320A43C" w:rsidR="004937D3" w:rsidRPr="008474CF" w:rsidRDefault="004937D3" w:rsidP="006519FD">
      <w:pPr>
        <w:rPr>
          <w:rFonts w:cs="Arial"/>
        </w:rPr>
      </w:pPr>
    </w:p>
    <w:p w14:paraId="22C645DF" w14:textId="0B777678" w:rsidR="0044289F" w:rsidRPr="008474CF" w:rsidRDefault="007D7BBF" w:rsidP="00D23BC7">
      <w:pPr>
        <w:spacing w:after="120"/>
        <w:jc w:val="center"/>
        <w:rPr>
          <w:rFonts w:cs="Arial"/>
        </w:rPr>
      </w:pPr>
      <w:r w:rsidRPr="007D7BBF">
        <w:rPr>
          <w:noProof/>
        </w:rPr>
        <w:drawing>
          <wp:inline distT="0" distB="0" distL="0" distR="0" wp14:anchorId="6AB94C35" wp14:editId="68431420">
            <wp:extent cx="6137910" cy="4327525"/>
            <wp:effectExtent l="0" t="0" r="0" b="0"/>
            <wp:docPr id="91405967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7910" cy="4327525"/>
                    </a:xfrm>
                    <a:prstGeom prst="rect">
                      <a:avLst/>
                    </a:prstGeom>
                    <a:noFill/>
                    <a:ln>
                      <a:noFill/>
                    </a:ln>
                  </pic:spPr>
                </pic:pic>
              </a:graphicData>
            </a:graphic>
          </wp:inline>
        </w:drawing>
      </w:r>
    </w:p>
    <w:p w14:paraId="13168623" w14:textId="0762DCAD" w:rsidR="002D043A" w:rsidRPr="008474CF" w:rsidRDefault="002D043A" w:rsidP="00D2272B"/>
    <w:p w14:paraId="6AFE7164" w14:textId="42837F7C" w:rsidR="009B2091" w:rsidRPr="008474CF" w:rsidRDefault="000F5123" w:rsidP="009B2091">
      <w:pPr>
        <w:rPr>
          <w:rFonts w:cs="Arial"/>
        </w:rPr>
      </w:pPr>
      <w:bookmarkStart w:id="45" w:name="_Hlk192858195"/>
      <w:r w:rsidRPr="008474CF">
        <w:rPr>
          <w:rFonts w:cs="Arial"/>
        </w:rPr>
        <w:t>Wie die vorstehende Tabelle zeigt</w:t>
      </w:r>
      <w:r w:rsidR="00BD078C" w:rsidRPr="008474CF">
        <w:rPr>
          <w:rFonts w:cs="Arial"/>
        </w:rPr>
        <w:t xml:space="preserve">, war ein </w:t>
      </w:r>
      <w:r w:rsidR="009B2091" w:rsidRPr="008474CF">
        <w:rPr>
          <w:rFonts w:cs="Arial"/>
        </w:rPr>
        <w:t xml:space="preserve">wesentlicher </w:t>
      </w:r>
      <w:r w:rsidR="00BD078C" w:rsidRPr="008474CF">
        <w:rPr>
          <w:rFonts w:cs="Arial"/>
        </w:rPr>
        <w:t>Faktor für den Anstieg der leistungsorientierten V</w:t>
      </w:r>
      <w:r w:rsidR="001432E6" w:rsidRPr="008474CF">
        <w:rPr>
          <w:rFonts w:cs="Arial"/>
        </w:rPr>
        <w:t>orsorgev</w:t>
      </w:r>
      <w:r w:rsidR="00BD078C" w:rsidRPr="008474CF">
        <w:rPr>
          <w:rFonts w:cs="Arial"/>
        </w:rPr>
        <w:t xml:space="preserve">erpflichtung der ASHI </w:t>
      </w:r>
      <w:r w:rsidR="009B2091" w:rsidRPr="008474CF">
        <w:rPr>
          <w:rFonts w:cs="Arial"/>
        </w:rPr>
        <w:t xml:space="preserve">im Jahr 2024 eine Anpassung der </w:t>
      </w:r>
      <w:r w:rsidR="00A92A42" w:rsidRPr="008474CF">
        <w:rPr>
          <w:rFonts w:cs="Arial"/>
        </w:rPr>
        <w:t xml:space="preserve">Eröffnungsbilanz </w:t>
      </w:r>
      <w:r w:rsidR="009B2091" w:rsidRPr="008474CF">
        <w:rPr>
          <w:rFonts w:cs="Arial"/>
        </w:rPr>
        <w:t xml:space="preserve">für einen zusätzlichen </w:t>
      </w:r>
      <w:r w:rsidR="00663DCC" w:rsidRPr="008474CF">
        <w:rPr>
          <w:rFonts w:cs="Arial"/>
        </w:rPr>
        <w:t>Pensionierte</w:t>
      </w:r>
      <w:r w:rsidR="00314A8D" w:rsidRPr="008474CF">
        <w:rPr>
          <w:rFonts w:cs="Arial"/>
        </w:rPr>
        <w:t>n plus Angehörige</w:t>
      </w:r>
      <w:r w:rsidR="009B2091" w:rsidRPr="008474CF">
        <w:rPr>
          <w:rFonts w:cs="Arial"/>
        </w:rPr>
        <w:t>, die in den Berechnungen der Vorjahre nicht berücksichtigt wurden (mit einer Gesamtauswirkung von 516</w:t>
      </w:r>
      <w:r w:rsidR="00B360FB" w:rsidRPr="008474CF">
        <w:rPr>
          <w:rFonts w:cs="Arial"/>
        </w:rPr>
        <w:t>.</w:t>
      </w:r>
      <w:r w:rsidR="009B2091" w:rsidRPr="008474CF">
        <w:rPr>
          <w:rFonts w:cs="Arial"/>
        </w:rPr>
        <w:t xml:space="preserve">643 </w:t>
      </w:r>
      <w:r w:rsidR="000F0498" w:rsidRPr="008474CF">
        <w:rPr>
          <w:rFonts w:cs="Arial"/>
        </w:rPr>
        <w:t>Schweizer Franken</w:t>
      </w:r>
      <w:r w:rsidR="00BD078C" w:rsidRPr="008474CF">
        <w:rPr>
          <w:rFonts w:cs="Arial"/>
        </w:rPr>
        <w:t xml:space="preserve">, die </w:t>
      </w:r>
      <w:r w:rsidR="009B2091" w:rsidRPr="008474CF">
        <w:rPr>
          <w:rFonts w:cs="Arial"/>
        </w:rPr>
        <w:t xml:space="preserve">in </w:t>
      </w:r>
      <w:r w:rsidR="00BD078C" w:rsidRPr="008474CF">
        <w:rPr>
          <w:rFonts w:cs="Arial"/>
        </w:rPr>
        <w:t xml:space="preserve">der </w:t>
      </w:r>
      <w:r w:rsidR="009B2091" w:rsidRPr="008474CF">
        <w:rPr>
          <w:rFonts w:cs="Arial"/>
        </w:rPr>
        <w:t xml:space="preserve">Eröffnungsbilanz </w:t>
      </w:r>
      <w:r w:rsidR="0007119F" w:rsidRPr="008474CF">
        <w:rPr>
          <w:rFonts w:cs="Arial"/>
        </w:rPr>
        <w:t xml:space="preserve">2024 </w:t>
      </w:r>
      <w:r w:rsidR="00A92A42" w:rsidRPr="008474CF">
        <w:rPr>
          <w:rFonts w:cs="Arial"/>
        </w:rPr>
        <w:t xml:space="preserve">als </w:t>
      </w:r>
      <w:r w:rsidR="001D13F4" w:rsidRPr="008474CF">
        <w:rPr>
          <w:rFonts w:cs="Arial"/>
        </w:rPr>
        <w:t>erfahrungs</w:t>
      </w:r>
      <w:r w:rsidR="006A3ACC" w:rsidRPr="008474CF">
        <w:rPr>
          <w:rFonts w:cs="Arial"/>
        </w:rPr>
        <w:t>basierter</w:t>
      </w:r>
      <w:r w:rsidR="001D13F4" w:rsidRPr="008474CF">
        <w:rPr>
          <w:rFonts w:cs="Arial"/>
        </w:rPr>
        <w:t xml:space="preserve"> Verlust</w:t>
      </w:r>
      <w:r w:rsidR="00A92A42" w:rsidRPr="008474CF">
        <w:rPr>
          <w:rFonts w:cs="Arial"/>
        </w:rPr>
        <w:t xml:space="preserve"> </w:t>
      </w:r>
      <w:r w:rsidR="009B2091" w:rsidRPr="008474CF">
        <w:rPr>
          <w:rFonts w:cs="Arial"/>
        </w:rPr>
        <w:t xml:space="preserve">angepasst wurde). </w:t>
      </w:r>
      <w:r w:rsidR="00BD078C" w:rsidRPr="008474CF">
        <w:rPr>
          <w:rFonts w:cs="Arial"/>
        </w:rPr>
        <w:t xml:space="preserve">Der Anstieg bei der </w:t>
      </w:r>
      <w:r w:rsidR="009B2091" w:rsidRPr="008474CF">
        <w:rPr>
          <w:rFonts w:cs="Arial"/>
        </w:rPr>
        <w:t xml:space="preserve">Bewertung für </w:t>
      </w:r>
      <w:r w:rsidR="0012479E" w:rsidRPr="008474CF">
        <w:rPr>
          <w:rFonts w:cs="Arial"/>
        </w:rPr>
        <w:t xml:space="preserve">das Jahr </w:t>
      </w:r>
      <w:r w:rsidR="009B2091" w:rsidRPr="008474CF">
        <w:rPr>
          <w:rFonts w:cs="Arial"/>
        </w:rPr>
        <w:t xml:space="preserve">2024 </w:t>
      </w:r>
      <w:r w:rsidR="00BD078C" w:rsidRPr="008474CF">
        <w:rPr>
          <w:rFonts w:cs="Arial"/>
        </w:rPr>
        <w:t xml:space="preserve">ist auch auf </w:t>
      </w:r>
      <w:r w:rsidR="009B2091" w:rsidRPr="008474CF">
        <w:rPr>
          <w:rFonts w:cs="Arial"/>
        </w:rPr>
        <w:t xml:space="preserve">eine Senkung des </w:t>
      </w:r>
      <w:r w:rsidR="00D05B19" w:rsidRPr="008474CF">
        <w:rPr>
          <w:rFonts w:cs="Arial"/>
        </w:rPr>
        <w:t>Diskont</w:t>
      </w:r>
      <w:r w:rsidR="009B2091" w:rsidRPr="008474CF">
        <w:rPr>
          <w:rFonts w:cs="Arial"/>
        </w:rPr>
        <w:t>satzes von 1,80</w:t>
      </w:r>
      <w:r w:rsidR="000B189E">
        <w:rPr>
          <w:rFonts w:cs="Arial"/>
        </w:rPr>
        <w:t> %</w:t>
      </w:r>
      <w:r w:rsidR="009B2091" w:rsidRPr="008474CF">
        <w:rPr>
          <w:rFonts w:cs="Arial"/>
        </w:rPr>
        <w:t xml:space="preserve"> auf 1,50</w:t>
      </w:r>
      <w:r w:rsidR="000B189E">
        <w:rPr>
          <w:rFonts w:cs="Arial"/>
        </w:rPr>
        <w:t> %</w:t>
      </w:r>
      <w:r w:rsidR="009B2091" w:rsidRPr="008474CF">
        <w:rPr>
          <w:rFonts w:cs="Arial"/>
        </w:rPr>
        <w:t xml:space="preserve"> sowie auf einen </w:t>
      </w:r>
      <w:r w:rsidR="00BD078C" w:rsidRPr="008474CF">
        <w:rPr>
          <w:rFonts w:cs="Arial"/>
        </w:rPr>
        <w:t xml:space="preserve">Anstieg </w:t>
      </w:r>
      <w:r w:rsidR="009B2091" w:rsidRPr="008474CF">
        <w:rPr>
          <w:rFonts w:cs="Arial"/>
        </w:rPr>
        <w:t xml:space="preserve">der Kosten für medizinische </w:t>
      </w:r>
      <w:r w:rsidR="002366AF" w:rsidRPr="008474CF">
        <w:rPr>
          <w:rFonts w:cs="Arial"/>
        </w:rPr>
        <w:t>Versorgung</w:t>
      </w:r>
      <w:r w:rsidR="009B2091" w:rsidRPr="008474CF">
        <w:rPr>
          <w:rFonts w:cs="Arial"/>
        </w:rPr>
        <w:t xml:space="preserve"> in jedem Alter zurückzuführen, der auf einer im Laufe des Jahres durchgeführten </w:t>
      </w:r>
      <w:r w:rsidR="002366AF" w:rsidRPr="008474CF">
        <w:rPr>
          <w:rFonts w:cs="Arial"/>
        </w:rPr>
        <w:t>umfassenden</w:t>
      </w:r>
      <w:r w:rsidR="009B2091" w:rsidRPr="008474CF">
        <w:rPr>
          <w:rFonts w:cs="Arial"/>
        </w:rPr>
        <w:t xml:space="preserve"> Studie über medizinische </w:t>
      </w:r>
      <w:r w:rsidR="002366AF" w:rsidRPr="008474CF">
        <w:rPr>
          <w:rFonts w:cs="Arial"/>
        </w:rPr>
        <w:t>Versorgung</w:t>
      </w:r>
      <w:r w:rsidR="009B2091" w:rsidRPr="008474CF">
        <w:rPr>
          <w:rFonts w:cs="Arial"/>
        </w:rPr>
        <w:t xml:space="preserve"> beruht. Diese </w:t>
      </w:r>
      <w:r w:rsidR="00BD078C" w:rsidRPr="008474CF">
        <w:rPr>
          <w:rFonts w:cs="Arial"/>
        </w:rPr>
        <w:t xml:space="preserve">versicherungsmathematischen </w:t>
      </w:r>
      <w:r w:rsidR="009B2091" w:rsidRPr="008474CF">
        <w:rPr>
          <w:rFonts w:cs="Arial"/>
        </w:rPr>
        <w:t xml:space="preserve">Verluste wurden teilweise durch versicherungsmathematische Gewinne ausgeglichen, die auf </w:t>
      </w:r>
      <w:r w:rsidR="001D113F" w:rsidRPr="008474CF">
        <w:rPr>
          <w:rFonts w:cs="Arial"/>
        </w:rPr>
        <w:t>einen Rückgang</w:t>
      </w:r>
      <w:r w:rsidR="009B2091" w:rsidRPr="008474CF">
        <w:rPr>
          <w:rFonts w:cs="Arial"/>
        </w:rPr>
        <w:t xml:space="preserve"> der </w:t>
      </w:r>
      <w:r w:rsidR="00CC55DF" w:rsidRPr="008474CF">
        <w:rPr>
          <w:szCs w:val="24"/>
        </w:rPr>
        <w:t>Teuerungsrate für medizinische Versorgung</w:t>
      </w:r>
      <w:r w:rsidR="009B2091" w:rsidRPr="008474CF">
        <w:rPr>
          <w:rFonts w:cs="Arial"/>
        </w:rPr>
        <w:t xml:space="preserve"> von 3,20</w:t>
      </w:r>
      <w:r w:rsidR="000B189E">
        <w:rPr>
          <w:rFonts w:cs="Arial"/>
        </w:rPr>
        <w:t> %</w:t>
      </w:r>
      <w:r w:rsidR="009B2091" w:rsidRPr="008474CF">
        <w:rPr>
          <w:rFonts w:cs="Arial"/>
        </w:rPr>
        <w:t xml:space="preserve"> (</w:t>
      </w:r>
      <w:r w:rsidR="00CC55DF" w:rsidRPr="008474CF">
        <w:rPr>
          <w:rFonts w:cs="Arial"/>
        </w:rPr>
        <w:t>anfänglich</w:t>
      </w:r>
      <w:r w:rsidR="009B2091" w:rsidRPr="008474CF">
        <w:rPr>
          <w:rFonts w:cs="Arial"/>
        </w:rPr>
        <w:t>) und 2,60</w:t>
      </w:r>
      <w:r w:rsidR="000B189E">
        <w:rPr>
          <w:rFonts w:cs="Arial"/>
        </w:rPr>
        <w:t> %</w:t>
      </w:r>
      <w:r w:rsidR="009B2091" w:rsidRPr="008474CF">
        <w:rPr>
          <w:rFonts w:cs="Arial"/>
        </w:rPr>
        <w:t xml:space="preserve"> (endgültig) auf 2,40</w:t>
      </w:r>
      <w:r w:rsidR="000B189E">
        <w:rPr>
          <w:rFonts w:cs="Arial"/>
        </w:rPr>
        <w:t> %</w:t>
      </w:r>
      <w:r w:rsidR="009B2091" w:rsidRPr="008474CF">
        <w:rPr>
          <w:rFonts w:cs="Arial"/>
        </w:rPr>
        <w:t xml:space="preserve"> (</w:t>
      </w:r>
      <w:r w:rsidR="00CC55DF" w:rsidRPr="008474CF">
        <w:rPr>
          <w:rFonts w:cs="Arial"/>
        </w:rPr>
        <w:t xml:space="preserve">anfänglich </w:t>
      </w:r>
      <w:r w:rsidR="009B2091" w:rsidRPr="008474CF">
        <w:rPr>
          <w:rFonts w:cs="Arial"/>
        </w:rPr>
        <w:t>und endgültig) zurückzuführen sind.</w:t>
      </w:r>
    </w:p>
    <w:p w14:paraId="477BD01D" w14:textId="77777777" w:rsidR="00D2272B" w:rsidRPr="008474CF" w:rsidRDefault="00D2272B" w:rsidP="006519FD"/>
    <w:bookmarkEnd w:id="45"/>
    <w:p w14:paraId="07B9C63A" w14:textId="508EF84A" w:rsidR="00D71E1E" w:rsidRPr="008474CF" w:rsidRDefault="00F11BAA" w:rsidP="00EC633A">
      <w:pPr>
        <w:keepLines/>
        <w:rPr>
          <w:rFonts w:cs="Arial"/>
        </w:rPr>
      </w:pPr>
      <w:r w:rsidRPr="008474CF">
        <w:rPr>
          <w:rFonts w:cs="Arial"/>
        </w:rPr>
        <w:lastRenderedPageBreak/>
        <w:t>Der von der UPOV für ASHI gezahlte Beitragsanteil betrug insgesamt</w:t>
      </w:r>
      <w:r w:rsidR="007F5A07" w:rsidRPr="008474CF">
        <w:rPr>
          <w:rFonts w:cs="Arial"/>
        </w:rPr>
        <w:t xml:space="preserve"> </w:t>
      </w:r>
      <w:r w:rsidR="0007119F" w:rsidRPr="008474CF">
        <w:rPr>
          <w:rFonts w:cs="Arial"/>
        </w:rPr>
        <w:t>69</w:t>
      </w:r>
      <w:r w:rsidRPr="008474CF">
        <w:rPr>
          <w:rFonts w:cs="Arial"/>
        </w:rPr>
        <w:t>.</w:t>
      </w:r>
      <w:r w:rsidR="0007119F" w:rsidRPr="008474CF">
        <w:rPr>
          <w:rFonts w:cs="Arial"/>
        </w:rPr>
        <w:t xml:space="preserve">947 </w:t>
      </w:r>
      <w:r w:rsidR="000F0498" w:rsidRPr="008474CF">
        <w:rPr>
          <w:rFonts w:cs="Arial"/>
        </w:rPr>
        <w:t>Schweizer Franken</w:t>
      </w:r>
      <w:r w:rsidR="00E563FF" w:rsidRPr="008474CF">
        <w:rPr>
          <w:rFonts w:cs="Arial"/>
        </w:rPr>
        <w:t xml:space="preserve"> für das Jahr 2024</w:t>
      </w:r>
      <w:r w:rsidR="007F5A07" w:rsidRPr="008474CF">
        <w:rPr>
          <w:rFonts w:cs="Arial"/>
        </w:rPr>
        <w:t xml:space="preserve"> (</w:t>
      </w:r>
      <w:r w:rsidR="0007119F" w:rsidRPr="008474CF">
        <w:rPr>
          <w:rFonts w:cs="Arial"/>
        </w:rPr>
        <w:t>40</w:t>
      </w:r>
      <w:r w:rsidRPr="008474CF">
        <w:rPr>
          <w:rFonts w:cs="Arial"/>
        </w:rPr>
        <w:t>.</w:t>
      </w:r>
      <w:r w:rsidR="0007119F" w:rsidRPr="008474CF">
        <w:rPr>
          <w:rFonts w:cs="Arial"/>
        </w:rPr>
        <w:t xml:space="preserve">939 </w:t>
      </w:r>
      <w:r w:rsidR="000F0498" w:rsidRPr="008474CF">
        <w:rPr>
          <w:rFonts w:cs="Arial"/>
        </w:rPr>
        <w:t>Schweizer Franken</w:t>
      </w:r>
      <w:r w:rsidR="007F5A07" w:rsidRPr="008474CF">
        <w:rPr>
          <w:rFonts w:cs="Arial"/>
        </w:rPr>
        <w:t xml:space="preserve"> im Jahr </w:t>
      </w:r>
      <w:r w:rsidR="0007119F" w:rsidRPr="008474CF">
        <w:rPr>
          <w:rFonts w:cs="Arial"/>
        </w:rPr>
        <w:t>2023</w:t>
      </w:r>
      <w:r w:rsidR="007F5A07" w:rsidRPr="008474CF">
        <w:rPr>
          <w:rFonts w:cs="Arial"/>
        </w:rPr>
        <w:t xml:space="preserve">). </w:t>
      </w:r>
      <w:r w:rsidR="00902EAC" w:rsidRPr="008474CF">
        <w:rPr>
          <w:rFonts w:cs="Arial"/>
        </w:rPr>
        <w:t xml:space="preserve">Die erwarteten ASHI-Beiträge für die Übernahme medizinischer Kosten belaufen sich für das Jahr 2025 auf </w:t>
      </w:r>
      <w:r w:rsidR="002426C5" w:rsidRPr="008474CF">
        <w:rPr>
          <w:rFonts w:cs="Arial"/>
        </w:rPr>
        <w:t>154</w:t>
      </w:r>
      <w:r w:rsidR="00902EAC" w:rsidRPr="008474CF">
        <w:rPr>
          <w:rFonts w:cs="Arial"/>
        </w:rPr>
        <w:t>.</w:t>
      </w:r>
      <w:r w:rsidR="002426C5" w:rsidRPr="008474CF">
        <w:rPr>
          <w:rFonts w:cs="Arial"/>
        </w:rPr>
        <w:t xml:space="preserve">996 </w:t>
      </w:r>
      <w:r w:rsidR="000F0498" w:rsidRPr="008474CF">
        <w:rPr>
          <w:rFonts w:cs="Arial"/>
        </w:rPr>
        <w:t>Schweizer Franken</w:t>
      </w:r>
      <w:r w:rsidR="007F5A07" w:rsidRPr="008474CF">
        <w:rPr>
          <w:rFonts w:cs="Arial"/>
        </w:rPr>
        <w:t xml:space="preserve">. </w:t>
      </w:r>
      <w:r w:rsidR="00076129" w:rsidRPr="008474CF">
        <w:rPr>
          <w:rFonts w:cs="Arial"/>
        </w:rPr>
        <w:t xml:space="preserve">Die gewichtete durchschnittliche Laufzeit der leistungsorientierten Vorsorgeverpflichtung betrug zum </w:t>
      </w:r>
      <w:r w:rsidR="00F53E82" w:rsidRPr="008474CF">
        <w:rPr>
          <w:rFonts w:cs="Arial"/>
        </w:rPr>
        <w:t xml:space="preserve">31. Dezember </w:t>
      </w:r>
      <w:r w:rsidR="002426C5" w:rsidRPr="008474CF">
        <w:rPr>
          <w:rFonts w:cs="Arial"/>
        </w:rPr>
        <w:t>2024 18</w:t>
      </w:r>
      <w:r w:rsidR="00EC633A">
        <w:rPr>
          <w:rFonts w:cs="Arial"/>
        </w:rPr>
        <w:t> </w:t>
      </w:r>
      <w:r w:rsidR="007F5A07" w:rsidRPr="008474CF">
        <w:rPr>
          <w:rFonts w:cs="Arial"/>
        </w:rPr>
        <w:t xml:space="preserve">Jahre. </w:t>
      </w:r>
      <w:r w:rsidR="0099250A" w:rsidRPr="008474CF">
        <w:rPr>
          <w:rFonts w:cs="Arial"/>
        </w:rPr>
        <w:t>Die folgende Tabelle führt den derzeitigen Wert der leistungsorientierten Vorsorgeverpflichtungen und erfahrungsbedingte Anpassungen der ASHI-Verbindlichkeiten für 2024 und die vier vorhergehenden Jahre auf</w:t>
      </w:r>
      <w:r w:rsidR="00F53E82" w:rsidRPr="008474CF">
        <w:rPr>
          <w:rFonts w:cs="Arial"/>
        </w:rPr>
        <w:t>:</w:t>
      </w:r>
    </w:p>
    <w:p w14:paraId="7CF6656D" w14:textId="77777777" w:rsidR="002B619B" w:rsidRPr="008474CF" w:rsidRDefault="002B619B" w:rsidP="006519FD">
      <w:pPr>
        <w:rPr>
          <w:rFonts w:cs="Arial"/>
        </w:rPr>
      </w:pPr>
    </w:p>
    <w:p w14:paraId="6378A884" w14:textId="48A4B34E" w:rsidR="00E45414" w:rsidRDefault="007D7BBF" w:rsidP="00EC633A">
      <w:pPr>
        <w:spacing w:after="120"/>
        <w:jc w:val="center"/>
        <w:rPr>
          <w:rFonts w:cs="Arial"/>
        </w:rPr>
      </w:pPr>
      <w:r w:rsidRPr="007D7BBF">
        <w:rPr>
          <w:noProof/>
        </w:rPr>
        <w:drawing>
          <wp:inline distT="0" distB="0" distL="0" distR="0" wp14:anchorId="2AB92B62" wp14:editId="6214FFE6">
            <wp:extent cx="6137910" cy="1189355"/>
            <wp:effectExtent l="0" t="0" r="0" b="0"/>
            <wp:docPr id="57643154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37910" cy="1189355"/>
                    </a:xfrm>
                    <a:prstGeom prst="rect">
                      <a:avLst/>
                    </a:prstGeom>
                    <a:noFill/>
                    <a:ln>
                      <a:noFill/>
                    </a:ln>
                  </pic:spPr>
                </pic:pic>
              </a:graphicData>
            </a:graphic>
          </wp:inline>
        </w:drawing>
      </w:r>
    </w:p>
    <w:p w14:paraId="4564F49D" w14:textId="77777777" w:rsidR="007D7BBF" w:rsidRPr="008474CF" w:rsidRDefault="007D7BBF" w:rsidP="007D7BBF">
      <w:pPr>
        <w:rPr>
          <w:rFonts w:cs="Arial"/>
        </w:rPr>
      </w:pPr>
    </w:p>
    <w:p w14:paraId="5B04DBC3" w14:textId="5ACE0BFF" w:rsidR="00F53E82" w:rsidRPr="008474CF" w:rsidRDefault="0034370D" w:rsidP="006519FD">
      <w:pPr>
        <w:rPr>
          <w:rFonts w:cs="Arial"/>
        </w:rPr>
      </w:pPr>
      <w:r w:rsidRPr="008474CF">
        <w:rPr>
          <w:rFonts w:cs="Arial"/>
        </w:rPr>
        <w:t>Die folgende Sensitivitätsanalyse zeigt, wie sich Änderungen wesentlicher versicherungsmathematischer Annahmen, des Diskontsatzes und der Teuerungsrate für medizinische Versorgung auf die leistungsorientierten Vorsorgeverpflichtungen ausgewirkt hätten. Die in der Analyse verwendeten prozentualen Veränderungen werden aufgrund historischer Entwicklungen als angemessen betrachtet</w:t>
      </w:r>
      <w:r w:rsidR="00F53E82" w:rsidRPr="008474CF">
        <w:rPr>
          <w:rFonts w:cs="Arial"/>
        </w:rPr>
        <w:t>:</w:t>
      </w:r>
    </w:p>
    <w:p w14:paraId="1F443B4E" w14:textId="77777777" w:rsidR="000E2AE8" w:rsidRPr="008474CF" w:rsidRDefault="000E2AE8" w:rsidP="006519FD">
      <w:pPr>
        <w:rPr>
          <w:rFonts w:cs="Arial"/>
        </w:rPr>
      </w:pPr>
    </w:p>
    <w:p w14:paraId="646FAD71" w14:textId="4E975AFC" w:rsidR="006C0171" w:rsidRPr="008474CF" w:rsidRDefault="00164DAE" w:rsidP="006519FD">
      <w:pPr>
        <w:rPr>
          <w:rFonts w:cs="Arial"/>
        </w:rPr>
      </w:pPr>
      <w:r w:rsidRPr="00164DAE">
        <w:rPr>
          <w:noProof/>
        </w:rPr>
        <w:drawing>
          <wp:inline distT="0" distB="0" distL="0" distR="0" wp14:anchorId="17B30EA7" wp14:editId="7D0F4A03">
            <wp:extent cx="5899785" cy="1685925"/>
            <wp:effectExtent l="0" t="0" r="5715" b="0"/>
            <wp:docPr id="50788619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99785" cy="1685925"/>
                    </a:xfrm>
                    <a:prstGeom prst="rect">
                      <a:avLst/>
                    </a:prstGeom>
                    <a:noFill/>
                    <a:ln>
                      <a:noFill/>
                    </a:ln>
                  </pic:spPr>
                </pic:pic>
              </a:graphicData>
            </a:graphic>
          </wp:inline>
        </w:drawing>
      </w:r>
    </w:p>
    <w:p w14:paraId="67F30B99" w14:textId="77777777" w:rsidR="008817E0" w:rsidRPr="008474CF" w:rsidRDefault="008817E0" w:rsidP="006519FD">
      <w:pPr>
        <w:rPr>
          <w:rFonts w:cs="Arial"/>
        </w:rPr>
      </w:pPr>
    </w:p>
    <w:p w14:paraId="2B5DAD95" w14:textId="419A3E68" w:rsidR="00036458" w:rsidRPr="008474CF" w:rsidRDefault="00164DAE" w:rsidP="00F01218">
      <w:pPr>
        <w:jc w:val="center"/>
        <w:rPr>
          <w:rFonts w:cs="Arial"/>
        </w:rPr>
      </w:pPr>
      <w:r w:rsidRPr="00164DAE">
        <w:rPr>
          <w:noProof/>
        </w:rPr>
        <w:drawing>
          <wp:inline distT="0" distB="0" distL="0" distR="0" wp14:anchorId="17BA1678" wp14:editId="7D4B020A">
            <wp:extent cx="5899785" cy="1987550"/>
            <wp:effectExtent l="0" t="0" r="5715" b="0"/>
            <wp:docPr id="91387859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9785" cy="1987550"/>
                    </a:xfrm>
                    <a:prstGeom prst="rect">
                      <a:avLst/>
                    </a:prstGeom>
                    <a:noFill/>
                    <a:ln>
                      <a:noFill/>
                    </a:ln>
                  </pic:spPr>
                </pic:pic>
              </a:graphicData>
            </a:graphic>
          </wp:inline>
        </w:drawing>
      </w:r>
    </w:p>
    <w:p w14:paraId="43D8E553" w14:textId="77931A60" w:rsidR="00036458" w:rsidRPr="008474CF" w:rsidRDefault="00036458" w:rsidP="006519FD">
      <w:pPr>
        <w:rPr>
          <w:rFonts w:cs="Arial"/>
        </w:rPr>
      </w:pPr>
    </w:p>
    <w:p w14:paraId="6F679B00" w14:textId="77777777" w:rsidR="00971AA8" w:rsidRPr="008474CF" w:rsidRDefault="00971AA8" w:rsidP="006519FD">
      <w:pPr>
        <w:rPr>
          <w:rFonts w:cs="Arial"/>
        </w:rPr>
      </w:pPr>
    </w:p>
    <w:p w14:paraId="74B24D7A" w14:textId="5833F970" w:rsidR="00A824AF" w:rsidRPr="008474CF" w:rsidRDefault="003216B1" w:rsidP="00A824AF">
      <w:pPr>
        <w:pStyle w:val="Style3"/>
        <w:spacing w:after="0"/>
        <w:rPr>
          <w:rFonts w:cs="Arial"/>
          <w:b/>
          <w:color w:val="000000" w:themeColor="text1"/>
          <w:sz w:val="20"/>
        </w:rPr>
      </w:pPr>
      <w:r w:rsidRPr="008474CF">
        <w:rPr>
          <w:rFonts w:cs="Arial"/>
          <w:b/>
          <w:color w:val="000000" w:themeColor="text1"/>
          <w:sz w:val="20"/>
        </w:rPr>
        <w:t>Gemeinsame Pensionskasse der Bediensteten der Vereinten Nationen</w:t>
      </w:r>
    </w:p>
    <w:p w14:paraId="27659A5A" w14:textId="77777777" w:rsidR="00641335" w:rsidRPr="008474CF" w:rsidRDefault="00641335" w:rsidP="00A824AF">
      <w:pPr>
        <w:pStyle w:val="Style3"/>
        <w:spacing w:after="0"/>
        <w:rPr>
          <w:rFonts w:cs="Arial"/>
          <w:b/>
          <w:color w:val="000000" w:themeColor="text1"/>
          <w:sz w:val="20"/>
        </w:rPr>
      </w:pPr>
    </w:p>
    <w:p w14:paraId="03586FEB" w14:textId="13559086" w:rsidR="00944C8F" w:rsidRPr="008474CF" w:rsidRDefault="00F3151D" w:rsidP="00944C8F">
      <w:pPr>
        <w:pStyle w:val="BodyText"/>
      </w:pPr>
      <w:bookmarkStart w:id="46" w:name="_Hlk160643002"/>
      <w:bookmarkStart w:id="47" w:name="_Hlk192765778"/>
      <w:bookmarkStart w:id="48" w:name="_Hlk160646956"/>
      <w:bookmarkStart w:id="49" w:name="_Hlk192765153"/>
      <w:r w:rsidRPr="008474CF">
        <w:t>In der Satzung der Kasse heißt es, dass der Vorstand der Kasse mindestens alle drei Jahre eine versicherungsmathematische Bewertung des Fonds durch den beratenden Versicherungsmathematiker erstellen lässt</w:t>
      </w:r>
      <w:r w:rsidR="00944C8F" w:rsidRPr="008474CF">
        <w:t xml:space="preserve">. </w:t>
      </w:r>
      <w:r w:rsidR="002D7978" w:rsidRPr="008474CF">
        <w:t>In der Praxis ließ der Vorstand der Pensionskasse in der Regel alle zwei Jahre eine versicherungsmathematische Bewertung erstellen</w:t>
      </w:r>
      <w:r w:rsidR="00944C8F" w:rsidRPr="008474CF">
        <w:t xml:space="preserve">. </w:t>
      </w:r>
      <w:r w:rsidR="00FD6D43" w:rsidRPr="008474CF">
        <w:t>Hauptzweck der versicherungsmathematischen Bewertung ist es, festzustellen, ob das derzeitige oder geschätzte künftige Vermögen des Fonds ausreichen wird, um ihre Verbindlichkeiten</w:t>
      </w:r>
      <w:r w:rsidR="00944C8F" w:rsidRPr="008474CF">
        <w:t xml:space="preserve"> </w:t>
      </w:r>
      <w:r w:rsidR="00A97485" w:rsidRPr="008474CF">
        <w:t xml:space="preserve">auf unbegrenzte </w:t>
      </w:r>
      <w:r w:rsidR="00F004E6" w:rsidRPr="008474CF">
        <w:t>Zeit</w:t>
      </w:r>
      <w:r w:rsidR="00944C8F" w:rsidRPr="008474CF">
        <w:t xml:space="preserve"> </w:t>
      </w:r>
      <w:r w:rsidR="003834A9" w:rsidRPr="008474CF">
        <w:rPr>
          <w:rFonts w:cs="Arial"/>
          <w:color w:val="000000" w:themeColor="text1"/>
        </w:rPr>
        <w:t>erfüllen zu können</w:t>
      </w:r>
      <w:r w:rsidR="00944C8F" w:rsidRPr="008474CF">
        <w:t xml:space="preserve">. In der veröffentlichten Finanzierungspolitik </w:t>
      </w:r>
      <w:r w:rsidR="000C4D3A" w:rsidRPr="008474CF">
        <w:t>der</w:t>
      </w:r>
      <w:r w:rsidR="00944C8F" w:rsidRPr="008474CF">
        <w:t xml:space="preserve"> </w:t>
      </w:r>
      <w:r w:rsidR="000C4D3A" w:rsidRPr="008474CF">
        <w:t>Kasse</w:t>
      </w:r>
      <w:r w:rsidR="00944C8F" w:rsidRPr="008474CF">
        <w:t xml:space="preserve"> (abrufbar auf der Website </w:t>
      </w:r>
      <w:r w:rsidR="000C4D3A" w:rsidRPr="008474CF">
        <w:t>der</w:t>
      </w:r>
      <w:r w:rsidR="00944C8F" w:rsidRPr="008474CF">
        <w:t xml:space="preserve"> </w:t>
      </w:r>
      <w:r w:rsidR="000C4D3A" w:rsidRPr="008474CF">
        <w:t>Kasse</w:t>
      </w:r>
      <w:r w:rsidR="00944C8F" w:rsidRPr="008474CF">
        <w:t xml:space="preserve">) sind die </w:t>
      </w:r>
      <w:r w:rsidR="00C15FA2" w:rsidRPr="008474CF">
        <w:t>Verfahren</w:t>
      </w:r>
      <w:r w:rsidR="00944C8F" w:rsidRPr="008474CF">
        <w:t xml:space="preserve">, Prozesse und Ziele festgelegt, die zur Überwachung der Finanzierungsposition und der damit verbundenen Risiken verwendet werden. Dazu gehört </w:t>
      </w:r>
      <w:r w:rsidR="00944C8F" w:rsidRPr="00EC633A">
        <w:rPr>
          <w:spacing w:val="-2"/>
        </w:rPr>
        <w:t>auch die Praxis, einen versicherungsmathematischen Wert der Vermögenswerte zu verwenden, der kurzfristige Anlagegewinne und -verluste für den Zweck der Berichterstattung über die langfristige Solvenz glättet.</w:t>
      </w:r>
    </w:p>
    <w:bookmarkEnd w:id="46"/>
    <w:p w14:paraId="65C984B5" w14:textId="77777777" w:rsidR="006602B0" w:rsidRPr="008474CF" w:rsidRDefault="006602B0" w:rsidP="005D7523">
      <w:pPr>
        <w:pStyle w:val="Style3"/>
        <w:spacing w:after="0"/>
        <w:rPr>
          <w:rFonts w:cs="Arial"/>
          <w:color w:val="000000" w:themeColor="text1"/>
          <w:sz w:val="20"/>
        </w:rPr>
      </w:pPr>
    </w:p>
    <w:p w14:paraId="0A0D3A30" w14:textId="20A2F5FA" w:rsidR="00944C8F" w:rsidRPr="008474CF" w:rsidRDefault="006F2D16" w:rsidP="00F01218">
      <w:pPr>
        <w:pStyle w:val="Style3"/>
        <w:spacing w:after="0"/>
        <w:rPr>
          <w:rFonts w:cs="Arial"/>
          <w:color w:val="000000" w:themeColor="text1"/>
        </w:rPr>
      </w:pPr>
      <w:bookmarkStart w:id="50" w:name="_Hlk160643061"/>
      <w:r w:rsidRPr="008474CF">
        <w:rPr>
          <w:rFonts w:cs="Arial"/>
          <w:color w:val="000000" w:themeColor="text1"/>
          <w:sz w:val="20"/>
        </w:rPr>
        <w:t xml:space="preserve">Die finanziellen Verpflichtungen der UPOV gegenüber der Kasse bestehen aus ihren Pflichtbeiträgen zu dem von der Generalversammlung der Vereinten Nationen festgesetzten Satz </w:t>
      </w:r>
      <w:r w:rsidR="003D0BA1" w:rsidRPr="008474CF">
        <w:rPr>
          <w:rFonts w:cs="Arial"/>
          <w:color w:val="000000" w:themeColor="text1"/>
          <w:sz w:val="20"/>
        </w:rPr>
        <w:t>(derzeit 7,9</w:t>
      </w:r>
      <w:r w:rsidR="000B189E">
        <w:rPr>
          <w:rFonts w:cs="Arial"/>
          <w:color w:val="000000" w:themeColor="text1"/>
          <w:sz w:val="20"/>
        </w:rPr>
        <w:t> %</w:t>
      </w:r>
      <w:r w:rsidR="003D0BA1" w:rsidRPr="008474CF">
        <w:rPr>
          <w:rFonts w:cs="Arial"/>
          <w:color w:val="000000" w:themeColor="text1"/>
          <w:sz w:val="20"/>
        </w:rPr>
        <w:t xml:space="preserve"> </w:t>
      </w:r>
      <w:r w:rsidR="00FC4C46" w:rsidRPr="008474CF">
        <w:rPr>
          <w:rFonts w:cs="Arial"/>
          <w:color w:val="000000" w:themeColor="text1"/>
          <w:sz w:val="20"/>
        </w:rPr>
        <w:t xml:space="preserve">der </w:t>
      </w:r>
      <w:r w:rsidR="00AD0304" w:rsidRPr="008474CF">
        <w:rPr>
          <w:rFonts w:cs="Arial"/>
          <w:color w:val="000000" w:themeColor="text1"/>
          <w:sz w:val="20"/>
        </w:rPr>
        <w:t>versorgungsrelevanten Bezüge</w:t>
      </w:r>
      <w:r w:rsidR="00FC4C46" w:rsidRPr="008474CF">
        <w:rPr>
          <w:rFonts w:cs="Arial"/>
          <w:color w:val="000000" w:themeColor="text1"/>
          <w:sz w:val="20"/>
        </w:rPr>
        <w:t xml:space="preserve"> </w:t>
      </w:r>
      <w:r w:rsidR="003D0BA1" w:rsidRPr="008474CF">
        <w:rPr>
          <w:rFonts w:cs="Arial"/>
          <w:color w:val="000000" w:themeColor="text1"/>
          <w:sz w:val="20"/>
        </w:rPr>
        <w:t>für Teilnehmer und 15,8</w:t>
      </w:r>
      <w:r w:rsidR="000B189E">
        <w:rPr>
          <w:rFonts w:cs="Arial"/>
          <w:color w:val="000000" w:themeColor="text1"/>
          <w:sz w:val="20"/>
        </w:rPr>
        <w:t> %</w:t>
      </w:r>
      <w:r w:rsidR="003D0BA1" w:rsidRPr="008474CF">
        <w:rPr>
          <w:rFonts w:cs="Arial"/>
          <w:color w:val="000000" w:themeColor="text1"/>
          <w:sz w:val="20"/>
        </w:rPr>
        <w:t xml:space="preserve"> für Mitgliedsorganisationen) </w:t>
      </w:r>
      <w:r w:rsidR="00434835" w:rsidRPr="008474CF">
        <w:rPr>
          <w:rFonts w:cs="Arial"/>
          <w:color w:val="000000" w:themeColor="text1"/>
          <w:sz w:val="20"/>
        </w:rPr>
        <w:t>sowie einem Anteil an etwaigen versicherungsmathematischen Ausgleichszahlungen zur Deckung von Defiziten gemäß Artikel 26 der Satzung der Pensionskasse. Solche Ausgleichszahlungen zur Deckung von Defiziten werden nur fällig, falls und wenn sich die Generalversammlung der Vereinten Nationen auf die Bestimmung von Artikel 26 beruft, nachdem aufgrund einer Bewertung der versicherungsmathematischen Situation der Pensionskasse zum Bewertungsstichtag festgestellt wurde, dass eine Ausgleichszahlung erforderlich ist. Jede Mitgliedsorganisation leistet einen Beitrag zu dieser Ausgleichszahlung, der proportional zu den Gesamtbeiträgen, die jede Organisation während der drei, der Bewertung vorausgehenden Jahre, entrichtet hat, ist</w:t>
      </w:r>
      <w:r w:rsidR="003D0BA1" w:rsidRPr="008474CF">
        <w:rPr>
          <w:rFonts w:cs="Arial"/>
          <w:color w:val="000000" w:themeColor="text1"/>
          <w:sz w:val="20"/>
        </w:rPr>
        <w:t xml:space="preserve">. </w:t>
      </w:r>
      <w:r w:rsidR="00944C8F" w:rsidRPr="008474CF">
        <w:rPr>
          <w:rFonts w:cs="Arial"/>
          <w:color w:val="000000" w:themeColor="text1"/>
          <w:sz w:val="20"/>
        </w:rPr>
        <w:t>Es war nie notwendig, sich auf Artikel 26 zu berufen, und es wurde</w:t>
      </w:r>
      <w:r w:rsidR="003C4F41" w:rsidRPr="008474CF">
        <w:rPr>
          <w:rFonts w:cs="Arial"/>
          <w:color w:val="000000" w:themeColor="text1"/>
          <w:sz w:val="20"/>
        </w:rPr>
        <w:t>n</w:t>
      </w:r>
      <w:r w:rsidR="00944C8F" w:rsidRPr="008474CF">
        <w:rPr>
          <w:rFonts w:cs="Arial"/>
          <w:color w:val="000000" w:themeColor="text1"/>
          <w:sz w:val="20"/>
        </w:rPr>
        <w:t xml:space="preserve"> auch nie Ausgleichszahlung</w:t>
      </w:r>
      <w:r w:rsidR="003C4F41" w:rsidRPr="008474CF">
        <w:rPr>
          <w:rFonts w:cs="Arial"/>
          <w:color w:val="000000" w:themeColor="text1"/>
          <w:sz w:val="20"/>
        </w:rPr>
        <w:t>en</w:t>
      </w:r>
      <w:r w:rsidR="00944C8F" w:rsidRPr="008474CF">
        <w:rPr>
          <w:rFonts w:cs="Arial"/>
          <w:color w:val="000000" w:themeColor="text1"/>
          <w:sz w:val="20"/>
        </w:rPr>
        <w:t xml:space="preserve"> beantragt.</w:t>
      </w:r>
    </w:p>
    <w:p w14:paraId="395C0CB7" w14:textId="77777777" w:rsidR="006602B0" w:rsidRPr="008474CF" w:rsidRDefault="006602B0" w:rsidP="005D7523">
      <w:pPr>
        <w:pStyle w:val="Style3"/>
        <w:spacing w:after="0"/>
        <w:rPr>
          <w:rFonts w:cs="Arial"/>
          <w:color w:val="000000" w:themeColor="text1"/>
          <w:sz w:val="20"/>
        </w:rPr>
      </w:pPr>
    </w:p>
    <w:p w14:paraId="445CA545" w14:textId="4C23D9C4" w:rsidR="00944C8F" w:rsidRPr="008474CF" w:rsidRDefault="009A789E" w:rsidP="00B12CD0">
      <w:pPr>
        <w:keepLines/>
      </w:pPr>
      <w:bookmarkStart w:id="51" w:name="_Hlk160645787"/>
      <w:bookmarkEnd w:id="50"/>
      <w:r w:rsidRPr="008474CF">
        <w:t xml:space="preserve">Die letzte versicherungsmathematische Bewertung für die Kasse </w:t>
      </w:r>
      <w:r w:rsidR="009C609C" w:rsidRPr="008474CF">
        <w:t xml:space="preserve">wurde </w:t>
      </w:r>
      <w:r w:rsidR="00B01557" w:rsidRPr="008474CF">
        <w:t xml:space="preserve">zum </w:t>
      </w:r>
      <w:r w:rsidR="003C0736" w:rsidRPr="008474CF">
        <w:t xml:space="preserve">31. </w:t>
      </w:r>
      <w:r w:rsidR="00B01557" w:rsidRPr="008474CF">
        <w:t xml:space="preserve">Dezember </w:t>
      </w:r>
      <w:r w:rsidR="00944C8F" w:rsidRPr="008474CF">
        <w:t xml:space="preserve">2023 </w:t>
      </w:r>
      <w:r w:rsidR="00B01557" w:rsidRPr="008474CF">
        <w:t>abgeschlossen</w:t>
      </w:r>
      <w:r w:rsidR="008D4417" w:rsidRPr="008474CF">
        <w:t xml:space="preserve">, und </w:t>
      </w:r>
      <w:r w:rsidR="0062667D" w:rsidRPr="008474CF">
        <w:t>die</w:t>
      </w:r>
      <w:r w:rsidR="00944C8F" w:rsidRPr="008474CF">
        <w:t xml:space="preserve"> </w:t>
      </w:r>
      <w:r w:rsidR="0062667D" w:rsidRPr="008474CF">
        <w:t>Kasse</w:t>
      </w:r>
      <w:r w:rsidR="00944C8F" w:rsidRPr="008474CF">
        <w:t xml:space="preserve"> wird eine </w:t>
      </w:r>
      <w:r w:rsidR="00B01557" w:rsidRPr="008474CF">
        <w:t xml:space="preserve">Fortschreibung der Teilnahmedaten </w:t>
      </w:r>
      <w:r w:rsidR="009F2876" w:rsidRPr="008474CF">
        <w:t xml:space="preserve">zum </w:t>
      </w:r>
      <w:r w:rsidR="003C0736" w:rsidRPr="008474CF">
        <w:t xml:space="preserve">31. </w:t>
      </w:r>
      <w:r w:rsidR="00B01557" w:rsidRPr="008474CF">
        <w:t xml:space="preserve">Dezember </w:t>
      </w:r>
      <w:r w:rsidR="00944C8F" w:rsidRPr="008474CF">
        <w:t xml:space="preserve">2023 </w:t>
      </w:r>
      <w:r w:rsidR="009F2876" w:rsidRPr="008474CF">
        <w:t>auf den</w:t>
      </w:r>
      <w:r w:rsidR="00B01557" w:rsidRPr="008474CF">
        <w:t xml:space="preserve"> </w:t>
      </w:r>
      <w:r w:rsidR="003C0736" w:rsidRPr="008474CF">
        <w:t>31</w:t>
      </w:r>
      <w:r w:rsidR="00B01557" w:rsidRPr="008474CF">
        <w:t xml:space="preserve">. Dezember </w:t>
      </w:r>
      <w:r w:rsidR="00944C8F" w:rsidRPr="008474CF">
        <w:t xml:space="preserve">2024 verwenden, um </w:t>
      </w:r>
      <w:r w:rsidR="009F2876" w:rsidRPr="008474CF">
        <w:t>im</w:t>
      </w:r>
      <w:r w:rsidR="00944C8F" w:rsidRPr="008474CF">
        <w:t xml:space="preserve"> Jahresabschluss 2024 einen versicherungsmathematischen Barwert der aufgelaufenen Planleistungen auszuweisen.</w:t>
      </w:r>
    </w:p>
    <w:bookmarkEnd w:id="51"/>
    <w:p w14:paraId="1BC57C7F" w14:textId="0E2EB57C" w:rsidR="00B01557" w:rsidRPr="008474CF" w:rsidRDefault="00B01557">
      <w:pPr>
        <w:rPr>
          <w:rFonts w:cs="Arial"/>
        </w:rPr>
      </w:pPr>
    </w:p>
    <w:p w14:paraId="1D9D54AE" w14:textId="1B07A4CA" w:rsidR="00944C8F" w:rsidRPr="008474CF" w:rsidRDefault="00B01557" w:rsidP="00944C8F">
      <w:pPr>
        <w:pStyle w:val="BodyText"/>
      </w:pPr>
      <w:bookmarkStart w:id="52" w:name="_Hlk160645805"/>
      <w:r w:rsidRPr="008474CF">
        <w:t xml:space="preserve">Die versicherungsmathematische Bewertung zum </w:t>
      </w:r>
      <w:r w:rsidR="003C0736" w:rsidRPr="008474CF">
        <w:t>31</w:t>
      </w:r>
      <w:r w:rsidRPr="008474CF">
        <w:t xml:space="preserve">. Dezember </w:t>
      </w:r>
      <w:r w:rsidR="00944C8F" w:rsidRPr="008474CF">
        <w:t xml:space="preserve">2023 </w:t>
      </w:r>
      <w:r w:rsidR="00686BA5" w:rsidRPr="008474CF">
        <w:t>ergab</w:t>
      </w:r>
      <w:r w:rsidR="00814C84" w:rsidRPr="008474CF">
        <w:t xml:space="preserve"> </w:t>
      </w:r>
      <w:r w:rsidR="00686BA5" w:rsidRPr="008474CF">
        <w:t>ein</w:t>
      </w:r>
      <w:r w:rsidR="00814C84" w:rsidRPr="008474CF">
        <w:t xml:space="preserve"> Deckungsverhältnis des versicherungsmathematischen Vermögens gegenüber versicherungsmathematischen Verbindlichkeiten von </w:t>
      </w:r>
      <w:r w:rsidR="00944C8F" w:rsidRPr="008474CF">
        <w:t>111,0</w:t>
      </w:r>
      <w:r w:rsidR="000B189E">
        <w:t> %</w:t>
      </w:r>
      <w:r w:rsidR="00944C8F" w:rsidRPr="008474CF">
        <w:t xml:space="preserve"> (117,0</w:t>
      </w:r>
      <w:r w:rsidR="000B189E">
        <w:t> %</w:t>
      </w:r>
      <w:r w:rsidR="00944C8F" w:rsidRPr="008474CF">
        <w:t xml:space="preserve"> in der Bewertung von 2021), wenn die künftig erwarteten Rentenanpassungen (Indexierung der Lebenshaltungskosten auf die Leistungen) berücksichtigt werden. </w:t>
      </w:r>
      <w:r w:rsidR="009F2876" w:rsidRPr="008474CF">
        <w:t xml:space="preserve">Das </w:t>
      </w:r>
      <w:r w:rsidR="00944C8F" w:rsidRPr="008474CF">
        <w:t xml:space="preserve">gemeldete </w:t>
      </w:r>
      <w:r w:rsidR="009F2876" w:rsidRPr="008474CF">
        <w:t xml:space="preserve">Deckungsverhältnis </w:t>
      </w:r>
      <w:r w:rsidR="00944C8F" w:rsidRPr="008474CF">
        <w:t>beträgt 152,0</w:t>
      </w:r>
      <w:r w:rsidR="000B189E">
        <w:t> %</w:t>
      </w:r>
      <w:r w:rsidR="00944C8F" w:rsidRPr="008474CF">
        <w:t xml:space="preserve"> (158,2</w:t>
      </w:r>
      <w:r w:rsidR="000B189E">
        <w:t> %</w:t>
      </w:r>
      <w:r w:rsidR="00944C8F" w:rsidRPr="008474CF">
        <w:t xml:space="preserve"> bei der Bewertung 2021), wenn das derzeitige System der Rentenanpassungen nicht berücksichtigt </w:t>
      </w:r>
      <w:r w:rsidR="009F2876" w:rsidRPr="008474CF">
        <w:t>würde</w:t>
      </w:r>
      <w:r w:rsidR="00944C8F" w:rsidRPr="008474CF">
        <w:t xml:space="preserve">, und wäre das Maß, anhand dessen die versicherungsmathematische </w:t>
      </w:r>
      <w:r w:rsidR="002F57A3" w:rsidRPr="008474CF">
        <w:rPr>
          <w:rFonts w:cs="Arial"/>
          <w:color w:val="000000" w:themeColor="text1"/>
        </w:rPr>
        <w:t xml:space="preserve">Deckungslage </w:t>
      </w:r>
      <w:r w:rsidR="00944C8F" w:rsidRPr="008474CF">
        <w:t xml:space="preserve">gemäß Artikel 26 festgestellt wird. </w:t>
      </w:r>
    </w:p>
    <w:bookmarkEnd w:id="52"/>
    <w:p w14:paraId="502D1C73" w14:textId="77777777" w:rsidR="004B45AE" w:rsidRPr="008474CF" w:rsidRDefault="004B45AE">
      <w:pPr>
        <w:rPr>
          <w:rFonts w:cs="Arial"/>
          <w:color w:val="000000" w:themeColor="text1"/>
        </w:rPr>
      </w:pPr>
    </w:p>
    <w:p w14:paraId="2525AA70" w14:textId="7AC8EF6A" w:rsidR="009A6692" w:rsidRPr="008474CF" w:rsidRDefault="00767318" w:rsidP="005D7523">
      <w:pPr>
        <w:pStyle w:val="Style3"/>
        <w:spacing w:after="0"/>
        <w:rPr>
          <w:rFonts w:cs="Arial"/>
          <w:color w:val="000000" w:themeColor="text1"/>
          <w:sz w:val="20"/>
        </w:rPr>
      </w:pPr>
      <w:bookmarkStart w:id="53" w:name="_Hlk160645924"/>
      <w:r w:rsidRPr="008474CF">
        <w:rPr>
          <w:rFonts w:cs="Arial"/>
          <w:color w:val="000000" w:themeColor="text1"/>
          <w:sz w:val="20"/>
        </w:rPr>
        <w:t>Nach Bewertung der versicherungsmathematischen Deckungslage der Kasse zog der beratende Versicherungsmathematiker den Schluss, dass zum 31. Dezember 2023 keine Notwendigkeit für Ausgleichszahlungen gemäß Artikel 26 der Satzung der Kasse besteht, da der versicherungsmathematische Wert des Vermögens den versicherungsmathematischen Wert aller Verbindlichkeiten des Fonds übersteigt. Zudem überstieg zum Zeitpunkt der Bewertung auch der Marktwert der Aktiva den versicherungsmathematischen Wert sämtlicher Passiva. Zum Zeitpunkt der Erstellung dieses Berichts hat sich die Generalversammlung nicht auf die Bestimmung von Artikel 26 berufen</w:t>
      </w:r>
      <w:r w:rsidR="003D0BA1" w:rsidRPr="008474CF">
        <w:rPr>
          <w:rFonts w:cs="Arial"/>
          <w:color w:val="000000" w:themeColor="text1"/>
          <w:sz w:val="20"/>
        </w:rPr>
        <w:t>.</w:t>
      </w:r>
      <w:bookmarkEnd w:id="53"/>
    </w:p>
    <w:p w14:paraId="20720E59" w14:textId="77777777" w:rsidR="001E09D0" w:rsidRPr="008474CF" w:rsidRDefault="001E09D0" w:rsidP="005D7523">
      <w:pPr>
        <w:pStyle w:val="Style3"/>
        <w:spacing w:after="0"/>
        <w:rPr>
          <w:rFonts w:cs="Arial"/>
          <w:color w:val="000000" w:themeColor="text1"/>
          <w:sz w:val="20"/>
        </w:rPr>
      </w:pPr>
    </w:p>
    <w:p w14:paraId="2E5944CE" w14:textId="2A57DDA7" w:rsidR="006602B0" w:rsidRPr="008474CF" w:rsidRDefault="00345CCD" w:rsidP="005D7523">
      <w:pPr>
        <w:pStyle w:val="Style3"/>
        <w:spacing w:after="0"/>
        <w:rPr>
          <w:sz w:val="20"/>
        </w:rPr>
      </w:pPr>
      <w:r w:rsidRPr="008474CF">
        <w:rPr>
          <w:sz w:val="20"/>
        </w:rPr>
        <w:t xml:space="preserve">Sollte Artikel 26 wegen eines versicherungsmathematischen Defizits entweder während des laufenden Betriebs oder aufgrund der Beendigung der Kasse geltend gemacht werden, würden die von jeder Mitgliedsorganisation geforderten Ausgleichszahlungen auf dem Anteil der Beiträge dieser Mitgliedsorganisation an den Gesamtbeiträgen, die in den drei Jahren vor dem Bewertungsstichtag an die Kasse gezahlt wurden, basieren. Insgesamt wurden in den letzten drei Jahren </w:t>
      </w:r>
      <w:r w:rsidR="00324082" w:rsidRPr="008474CF">
        <w:rPr>
          <w:sz w:val="20"/>
        </w:rPr>
        <w:t>(</w:t>
      </w:r>
      <w:r w:rsidR="00273352" w:rsidRPr="008474CF">
        <w:rPr>
          <w:sz w:val="20"/>
        </w:rPr>
        <w:t>2021</w:t>
      </w:r>
      <w:r w:rsidR="00B01557" w:rsidRPr="008474CF">
        <w:rPr>
          <w:sz w:val="20"/>
        </w:rPr>
        <w:t xml:space="preserve">, </w:t>
      </w:r>
      <w:r w:rsidR="00273352" w:rsidRPr="008474CF">
        <w:rPr>
          <w:sz w:val="20"/>
        </w:rPr>
        <w:t xml:space="preserve">2022 </w:t>
      </w:r>
      <w:r w:rsidR="00324082" w:rsidRPr="008474CF">
        <w:rPr>
          <w:sz w:val="20"/>
        </w:rPr>
        <w:t xml:space="preserve">und </w:t>
      </w:r>
      <w:r w:rsidR="00273352" w:rsidRPr="008474CF">
        <w:rPr>
          <w:sz w:val="20"/>
        </w:rPr>
        <w:t>2023</w:t>
      </w:r>
      <w:r w:rsidR="00324082" w:rsidRPr="008474CF">
        <w:rPr>
          <w:sz w:val="20"/>
        </w:rPr>
        <w:t xml:space="preserve">) </w:t>
      </w:r>
      <w:r w:rsidR="00273352" w:rsidRPr="008474CF">
        <w:rPr>
          <w:sz w:val="20"/>
        </w:rPr>
        <w:t>9.499,41</w:t>
      </w:r>
      <w:r w:rsidR="000B189E">
        <w:rPr>
          <w:sz w:val="20"/>
        </w:rPr>
        <w:t> </w:t>
      </w:r>
      <w:r w:rsidR="00324082" w:rsidRPr="008474CF">
        <w:rPr>
          <w:sz w:val="20"/>
        </w:rPr>
        <w:t>Millionen US-Dollar</w:t>
      </w:r>
      <w:r w:rsidR="002A17E0" w:rsidRPr="008474CF">
        <w:rPr>
          <w:rFonts w:cs="Arial"/>
          <w:color w:val="000000" w:themeColor="text1"/>
          <w:sz w:val="20"/>
        </w:rPr>
        <w:t xml:space="preserve"> </w:t>
      </w:r>
      <w:r w:rsidR="002A17E0" w:rsidRPr="008474CF">
        <w:rPr>
          <w:sz w:val="20"/>
        </w:rPr>
        <w:t xml:space="preserve">an die Kasse gezahlt, davon </w:t>
      </w:r>
      <w:r w:rsidR="00324082" w:rsidRPr="008474CF">
        <w:rPr>
          <w:sz w:val="20"/>
        </w:rPr>
        <w:t>0,</w:t>
      </w:r>
      <w:r w:rsidR="009A6692" w:rsidRPr="008474CF">
        <w:rPr>
          <w:sz w:val="20"/>
        </w:rPr>
        <w:t xml:space="preserve">017 </w:t>
      </w:r>
      <w:r w:rsidR="00324082" w:rsidRPr="008474CF">
        <w:rPr>
          <w:sz w:val="20"/>
        </w:rPr>
        <w:t>Prozent von der UPOV (einschließlich Teilnehmer und UPOV-Beiträge).</w:t>
      </w:r>
    </w:p>
    <w:p w14:paraId="13870DB8" w14:textId="77777777" w:rsidR="006602B0" w:rsidRPr="008474CF" w:rsidRDefault="006602B0" w:rsidP="005D7523">
      <w:pPr>
        <w:pStyle w:val="Style3"/>
        <w:spacing w:after="0"/>
        <w:rPr>
          <w:rFonts w:cs="Arial"/>
          <w:color w:val="000000" w:themeColor="text1"/>
        </w:rPr>
      </w:pPr>
    </w:p>
    <w:p w14:paraId="5D38CD6F" w14:textId="0161E5AC" w:rsidR="00324082" w:rsidRPr="008474CF" w:rsidRDefault="00103340" w:rsidP="005D7523">
      <w:pPr>
        <w:pStyle w:val="Style3"/>
        <w:spacing w:after="0"/>
      </w:pPr>
      <w:r w:rsidRPr="008474CF">
        <w:rPr>
          <w:sz w:val="20"/>
        </w:rPr>
        <w:t xml:space="preserve">Im Verlauf von </w:t>
      </w:r>
      <w:r w:rsidR="00FC4C46" w:rsidRPr="008474CF">
        <w:rPr>
          <w:sz w:val="20"/>
        </w:rPr>
        <w:t xml:space="preserve">2024 </w:t>
      </w:r>
      <w:r w:rsidR="00390ABE" w:rsidRPr="008474CF">
        <w:rPr>
          <w:sz w:val="20"/>
        </w:rPr>
        <w:t xml:space="preserve">beliefen sich die an die Kasse entrichteten Beiträge (nur unter Einschluss der UPOV-Beiträge) auf </w:t>
      </w:r>
      <w:r w:rsidR="001E09D0" w:rsidRPr="008474CF">
        <w:rPr>
          <w:sz w:val="20"/>
        </w:rPr>
        <w:t xml:space="preserve">301.445 </w:t>
      </w:r>
      <w:r w:rsidR="000F0498" w:rsidRPr="008474CF">
        <w:rPr>
          <w:sz w:val="20"/>
        </w:rPr>
        <w:t>Schweizer Franken</w:t>
      </w:r>
      <w:r w:rsidR="00324082" w:rsidRPr="008474CF">
        <w:rPr>
          <w:sz w:val="20"/>
        </w:rPr>
        <w:t xml:space="preserve"> (</w:t>
      </w:r>
      <w:r w:rsidR="00FC4C46" w:rsidRPr="008474CF">
        <w:rPr>
          <w:sz w:val="20"/>
        </w:rPr>
        <w:t xml:space="preserve">314.377 </w:t>
      </w:r>
      <w:r w:rsidR="000F0498" w:rsidRPr="008474CF">
        <w:rPr>
          <w:sz w:val="20"/>
        </w:rPr>
        <w:t>Schweizer Franken</w:t>
      </w:r>
      <w:r w:rsidR="00324082" w:rsidRPr="008474CF">
        <w:rPr>
          <w:sz w:val="20"/>
        </w:rPr>
        <w:t xml:space="preserve"> im Jahr </w:t>
      </w:r>
      <w:r w:rsidR="00FC4C46" w:rsidRPr="008474CF">
        <w:rPr>
          <w:sz w:val="20"/>
        </w:rPr>
        <w:t>2023</w:t>
      </w:r>
      <w:r w:rsidR="00324082" w:rsidRPr="008474CF">
        <w:rPr>
          <w:sz w:val="20"/>
        </w:rPr>
        <w:t xml:space="preserve">). </w:t>
      </w:r>
      <w:bookmarkStart w:id="54" w:name="_Hlk161157816"/>
      <w:r w:rsidR="00CD5D99" w:rsidRPr="008474CF">
        <w:rPr>
          <w:sz w:val="20"/>
        </w:rPr>
        <w:t xml:space="preserve">Erwartete im Jahr 2025 fällige Beiträge belaufen sich auf ungefähr </w:t>
      </w:r>
      <w:r w:rsidR="004A0DD6" w:rsidRPr="008474CF">
        <w:rPr>
          <w:sz w:val="20"/>
        </w:rPr>
        <w:t>331.142</w:t>
      </w:r>
      <w:bookmarkEnd w:id="54"/>
      <w:r w:rsidR="00324082" w:rsidRPr="008474CF">
        <w:rPr>
          <w:sz w:val="20"/>
        </w:rPr>
        <w:t xml:space="preserve"> </w:t>
      </w:r>
      <w:r w:rsidR="000F0498" w:rsidRPr="008474CF">
        <w:rPr>
          <w:sz w:val="20"/>
        </w:rPr>
        <w:t>Schweizer Franken</w:t>
      </w:r>
      <w:r w:rsidR="00324082" w:rsidRPr="008474CF">
        <w:rPr>
          <w:sz w:val="20"/>
        </w:rPr>
        <w:t>.</w:t>
      </w:r>
    </w:p>
    <w:p w14:paraId="6DF41ED1" w14:textId="77777777" w:rsidR="00324082" w:rsidRPr="008474CF" w:rsidRDefault="00324082" w:rsidP="005D7523">
      <w:pPr>
        <w:pStyle w:val="Style3"/>
        <w:spacing w:after="0"/>
        <w:rPr>
          <w:rFonts w:cs="Arial"/>
          <w:color w:val="000000" w:themeColor="text1"/>
          <w:sz w:val="20"/>
        </w:rPr>
      </w:pPr>
    </w:p>
    <w:p w14:paraId="77D70649" w14:textId="3F286705" w:rsidR="003D0BA1" w:rsidRPr="008474CF" w:rsidRDefault="00686123" w:rsidP="005D7523">
      <w:pPr>
        <w:pStyle w:val="Style3"/>
        <w:spacing w:after="0"/>
        <w:rPr>
          <w:rFonts w:cs="Arial"/>
          <w:color w:val="000000" w:themeColor="text1"/>
          <w:sz w:val="20"/>
        </w:rPr>
      </w:pPr>
      <w:r w:rsidRPr="008474CF">
        <w:rPr>
          <w:rFonts w:cs="Arial"/>
          <w:color w:val="000000" w:themeColor="text1"/>
          <w:sz w:val="20"/>
        </w:rPr>
        <w:t>Die Mitgliedschaft in der Kasse kann durch Beschluss der Generalversammlung der Vereinten Nationen auf entsprechende Empfehlung des Vorstands der Kasse beendet werden. Ein anteiliger Anteil am Gesamtvermögen der Kasse zum Zeitpunkt der Beendigung wird der ehemaligen Mitgliedsorganisation ausschließlich zugunsten ihrer zu diesem Zeitpunkt an der Kasse beteiligten Mitarbeiter gemäß einer zwischen der Organisation und der Kasse getroffenen Vereinbarung ausgezahlt. Der Betrag wird vom Vorstand der Gemeinsamen Pensionskasse der Bediensteten der Vereinten Nationen auf der Grundlage einer versicherungsmathematischen Bewertung der Aktiva und Passiva der Kasse zum Zeitpunkt der Beendigung festgelegt, wobei kein Teil der Aktiva, der die Passiva übersteigt, im Betrag enthalten ist</w:t>
      </w:r>
      <w:r w:rsidR="003D0BA1" w:rsidRPr="008474CF">
        <w:rPr>
          <w:rFonts w:cs="Arial"/>
          <w:color w:val="000000" w:themeColor="text1"/>
          <w:sz w:val="20"/>
        </w:rPr>
        <w:t>.</w:t>
      </w:r>
    </w:p>
    <w:p w14:paraId="27F26E4C" w14:textId="77777777" w:rsidR="00034C24" w:rsidRPr="008474CF" w:rsidRDefault="00034C24" w:rsidP="005D7523">
      <w:pPr>
        <w:pStyle w:val="Style3"/>
        <w:spacing w:after="0"/>
        <w:rPr>
          <w:rFonts w:cs="Arial"/>
          <w:color w:val="000000" w:themeColor="text1"/>
          <w:sz w:val="20"/>
        </w:rPr>
      </w:pPr>
    </w:p>
    <w:p w14:paraId="0CF84740" w14:textId="1543AE3B" w:rsidR="00DE1334" w:rsidRPr="008474CF" w:rsidRDefault="00CD5B65" w:rsidP="00DE1334">
      <w:pPr>
        <w:pStyle w:val="BodyText"/>
      </w:pPr>
      <w:r w:rsidRPr="008474CF">
        <w:rPr>
          <w:rFonts w:cs="Arial"/>
          <w:color w:val="000000" w:themeColor="text1"/>
        </w:rPr>
        <w:t xml:space="preserve">Der Ausschuss der Rechnungsprüfer der Vereinten Nationen führt jährlich eine Buchprüfung der Kasse durch und erstattet dem Vorstand der Pensionskasse und der Generalversammlung der Vereinten Nationen jährlich Bericht über die Buchprüfung. Die Kasse </w:t>
      </w:r>
      <w:r w:rsidR="00DE1334" w:rsidRPr="008474CF">
        <w:t xml:space="preserve">stellt wöchentlich Informationen </w:t>
      </w:r>
      <w:r w:rsidR="008B53BF" w:rsidRPr="008474CF">
        <w:rPr>
          <w:rFonts w:cs="Arial"/>
          <w:color w:val="000000" w:themeColor="text1"/>
        </w:rPr>
        <w:t xml:space="preserve">über </w:t>
      </w:r>
      <w:r w:rsidR="002F57A3" w:rsidRPr="008474CF">
        <w:rPr>
          <w:rFonts w:cs="Arial"/>
          <w:color w:val="000000" w:themeColor="text1"/>
        </w:rPr>
        <w:t xml:space="preserve">ihre </w:t>
      </w:r>
      <w:r w:rsidR="008B53BF" w:rsidRPr="008474CF">
        <w:rPr>
          <w:rFonts w:cs="Arial"/>
          <w:color w:val="000000" w:themeColor="text1"/>
        </w:rPr>
        <w:t xml:space="preserve">Anlagen </w:t>
      </w:r>
      <w:r w:rsidR="000166FF" w:rsidRPr="008474CF">
        <w:t xml:space="preserve">zur </w:t>
      </w:r>
      <w:r w:rsidR="00DE1334" w:rsidRPr="008474CF">
        <w:t>Verfügung</w:t>
      </w:r>
      <w:r w:rsidR="000166FF" w:rsidRPr="008474CF">
        <w:t xml:space="preserve">, </w:t>
      </w:r>
      <w:r w:rsidR="00704B8A" w:rsidRPr="008474CF">
        <w:t xml:space="preserve">die über die Website der Kasse eingesehen werden können unter </w:t>
      </w:r>
      <w:r w:rsidR="00DE1334" w:rsidRPr="008474CF">
        <w:rPr>
          <w:rFonts w:eastAsia="Calibri"/>
        </w:rPr>
        <w:t>www.unjspf.org</w:t>
      </w:r>
      <w:r w:rsidR="00DE1334" w:rsidRPr="008474CF">
        <w:t>.</w:t>
      </w:r>
    </w:p>
    <w:bookmarkEnd w:id="47"/>
    <w:p w14:paraId="0F190EEA" w14:textId="1B8579D8" w:rsidR="003D0BA1" w:rsidRPr="008474CF" w:rsidRDefault="003D0BA1">
      <w:pPr>
        <w:pStyle w:val="Style3"/>
        <w:spacing w:after="0"/>
        <w:rPr>
          <w:rFonts w:cs="Arial"/>
          <w:color w:val="000000" w:themeColor="text1"/>
          <w:sz w:val="20"/>
        </w:rPr>
      </w:pPr>
    </w:p>
    <w:p w14:paraId="005011FB" w14:textId="0C8A64BE" w:rsidR="00A824AF" w:rsidRPr="008474CF" w:rsidRDefault="004A5EBA" w:rsidP="000B189E">
      <w:pPr>
        <w:pStyle w:val="Heading2Notes"/>
        <w:ind w:left="1843" w:hanging="1843"/>
        <w:rPr>
          <w:rFonts w:ascii="Arial" w:hAnsi="Arial" w:cs="Arial"/>
          <w:lang w:val="de-DE"/>
        </w:rPr>
      </w:pPr>
      <w:bookmarkStart w:id="55" w:name="_Toc84329898"/>
      <w:bookmarkStart w:id="56" w:name="_Toc205303756"/>
      <w:bookmarkEnd w:id="48"/>
      <w:bookmarkEnd w:id="49"/>
      <w:r w:rsidRPr="008474CF">
        <w:rPr>
          <w:rFonts w:ascii="Arial" w:hAnsi="Arial" w:cs="Arial"/>
          <w:lang w:val="de-DE"/>
        </w:rPr>
        <w:lastRenderedPageBreak/>
        <w:t xml:space="preserve">Anmerkung </w:t>
      </w:r>
      <w:r w:rsidR="00BB34C9" w:rsidRPr="008474CF">
        <w:rPr>
          <w:rFonts w:ascii="Arial" w:hAnsi="Arial" w:cs="Arial"/>
          <w:lang w:val="de-DE"/>
        </w:rPr>
        <w:t>6</w:t>
      </w:r>
      <w:r w:rsidR="00A824AF" w:rsidRPr="008474CF">
        <w:rPr>
          <w:rFonts w:ascii="Arial" w:hAnsi="Arial" w:cs="Arial"/>
          <w:lang w:val="de-DE"/>
        </w:rPr>
        <w:t>:</w:t>
      </w:r>
      <w:r w:rsidR="00A824AF" w:rsidRPr="008474CF">
        <w:rPr>
          <w:rFonts w:ascii="Arial" w:hAnsi="Arial" w:cs="Arial"/>
          <w:lang w:val="de-DE"/>
        </w:rPr>
        <w:tab/>
      </w:r>
      <w:bookmarkEnd w:id="55"/>
      <w:r w:rsidR="00660937" w:rsidRPr="008474CF">
        <w:rPr>
          <w:rFonts w:ascii="Arial" w:hAnsi="Arial" w:cs="Arial"/>
          <w:lang w:val="de-DE"/>
        </w:rPr>
        <w:t>Im Voraus entrichtete Beiträge</w:t>
      </w:r>
      <w:bookmarkEnd w:id="56"/>
    </w:p>
    <w:p w14:paraId="1ACE7F89" w14:textId="77777777" w:rsidR="00036458" w:rsidRPr="008474CF" w:rsidRDefault="00036458" w:rsidP="000B189E">
      <w:pPr>
        <w:pStyle w:val="Style3"/>
        <w:keepNext/>
        <w:spacing w:after="0"/>
        <w:rPr>
          <w:rFonts w:cs="Arial"/>
          <w:sz w:val="20"/>
        </w:rPr>
      </w:pPr>
    </w:p>
    <w:p w14:paraId="7EFF6AD5" w14:textId="3E1007D5" w:rsidR="00036458" w:rsidRPr="008474CF" w:rsidRDefault="00B12CD0" w:rsidP="00F01218">
      <w:pPr>
        <w:pStyle w:val="Style3"/>
        <w:spacing w:after="0"/>
        <w:jc w:val="center"/>
        <w:rPr>
          <w:rFonts w:cs="Arial"/>
          <w:sz w:val="20"/>
        </w:rPr>
      </w:pPr>
      <w:r w:rsidRPr="00B12CD0">
        <w:rPr>
          <w:noProof/>
        </w:rPr>
        <w:drawing>
          <wp:inline distT="0" distB="0" distL="0" distR="0" wp14:anchorId="2A12C204" wp14:editId="51B6AB17">
            <wp:extent cx="5883910" cy="1192530"/>
            <wp:effectExtent l="0" t="0" r="2540" b="7620"/>
            <wp:docPr id="4318805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83910" cy="1192530"/>
                    </a:xfrm>
                    <a:prstGeom prst="rect">
                      <a:avLst/>
                    </a:prstGeom>
                    <a:noFill/>
                    <a:ln>
                      <a:noFill/>
                    </a:ln>
                  </pic:spPr>
                </pic:pic>
              </a:graphicData>
            </a:graphic>
          </wp:inline>
        </w:drawing>
      </w:r>
    </w:p>
    <w:p w14:paraId="2C196A89" w14:textId="77777777" w:rsidR="005A1343" w:rsidRPr="008474CF" w:rsidRDefault="005A1343" w:rsidP="00A824AF">
      <w:pPr>
        <w:pStyle w:val="Style3"/>
        <w:spacing w:after="0"/>
        <w:rPr>
          <w:rFonts w:cs="Arial"/>
          <w:sz w:val="20"/>
        </w:rPr>
      </w:pPr>
    </w:p>
    <w:p w14:paraId="57EFD7BF" w14:textId="4C2A0B66" w:rsidR="001660B4" w:rsidRPr="008474CF" w:rsidRDefault="00F41A88" w:rsidP="003478E3">
      <w:pPr>
        <w:pStyle w:val="Style3"/>
        <w:spacing w:after="0"/>
        <w:rPr>
          <w:rFonts w:cs="Arial"/>
          <w:sz w:val="20"/>
        </w:rPr>
      </w:pPr>
      <w:bookmarkStart w:id="57" w:name="_Toc84329899"/>
      <w:r w:rsidRPr="008474CF">
        <w:rPr>
          <w:rFonts w:cs="Arial"/>
          <w:sz w:val="20"/>
        </w:rPr>
        <w:t>Im Voraus entrichtete Beiträge werden als im Voraus eingegangene Verbindlichkeiten verbucht und in dem Jahr, auf das sie sich beziehen, als Einnahme erfasst. Außeretatmäßige Mittel von Gebern von Treuhandgeldern, die an Bedingungen geknüpft sind, die von der UPOV eine Erbringung von Dienstleistungen für die Empfängerregierungen oder andere Dritte erfordern, werden solange als abgegrenzte Einnahme behandelt, bis die Leistungen, auf die sich die außeretatmäßigen Mittel (Treuhandgelder) beziehen, erfüllt sind, woraufhin die Einnahme verbucht wird</w:t>
      </w:r>
      <w:r w:rsidR="003478E3" w:rsidRPr="008474CF">
        <w:rPr>
          <w:rFonts w:cs="Arial"/>
          <w:sz w:val="20"/>
        </w:rPr>
        <w:t>.</w:t>
      </w:r>
    </w:p>
    <w:p w14:paraId="04041A41" w14:textId="6ADE85F5" w:rsidR="001660B4" w:rsidRDefault="001660B4">
      <w:pPr>
        <w:jc w:val="left"/>
        <w:rPr>
          <w:rFonts w:cs="Arial"/>
        </w:rPr>
      </w:pPr>
    </w:p>
    <w:p w14:paraId="6302EDDC" w14:textId="77777777" w:rsidR="00B12CD0" w:rsidRPr="008474CF" w:rsidRDefault="00B12CD0">
      <w:pPr>
        <w:jc w:val="left"/>
        <w:rPr>
          <w:rFonts w:cs="Arial"/>
        </w:rPr>
      </w:pPr>
    </w:p>
    <w:p w14:paraId="09249455" w14:textId="53E95055" w:rsidR="00A824AF" w:rsidRPr="008474CF" w:rsidRDefault="004A5EBA" w:rsidP="00BD17F6">
      <w:pPr>
        <w:pStyle w:val="Heading2Notes"/>
        <w:ind w:left="1843" w:hanging="1843"/>
        <w:rPr>
          <w:rFonts w:ascii="Arial" w:hAnsi="Arial" w:cs="Arial"/>
          <w:lang w:val="de-DE"/>
        </w:rPr>
      </w:pPr>
      <w:bookmarkStart w:id="58" w:name="_Toc205303757"/>
      <w:r w:rsidRPr="008474CF">
        <w:rPr>
          <w:rFonts w:ascii="Arial" w:hAnsi="Arial" w:cs="Arial"/>
          <w:lang w:val="de-DE"/>
        </w:rPr>
        <w:t xml:space="preserve">Anmerkung </w:t>
      </w:r>
      <w:r w:rsidR="00BB34C9" w:rsidRPr="008474CF">
        <w:rPr>
          <w:rFonts w:ascii="Arial" w:hAnsi="Arial" w:cs="Arial"/>
          <w:lang w:val="de-DE"/>
        </w:rPr>
        <w:t>7</w:t>
      </w:r>
      <w:r w:rsidR="00A824AF" w:rsidRPr="008474CF">
        <w:rPr>
          <w:rFonts w:ascii="Arial" w:hAnsi="Arial" w:cs="Arial"/>
          <w:lang w:val="de-DE"/>
        </w:rPr>
        <w:t>:</w:t>
      </w:r>
      <w:r w:rsidR="00A824AF" w:rsidRPr="008474CF">
        <w:rPr>
          <w:rFonts w:ascii="Arial" w:hAnsi="Arial" w:cs="Arial"/>
          <w:lang w:val="de-DE"/>
        </w:rPr>
        <w:tab/>
      </w:r>
      <w:bookmarkEnd w:id="57"/>
      <w:r w:rsidR="005E674B" w:rsidRPr="008474CF">
        <w:rPr>
          <w:rFonts w:ascii="Arial" w:hAnsi="Arial" w:cs="Arial"/>
          <w:lang w:val="de-DE"/>
        </w:rPr>
        <w:t>Andere kurzfristige Verbindlichkeiten</w:t>
      </w:r>
      <w:bookmarkEnd w:id="58"/>
    </w:p>
    <w:p w14:paraId="608F20A6" w14:textId="1F3A5785" w:rsidR="003478E3" w:rsidRPr="008474CF" w:rsidRDefault="003478E3" w:rsidP="00BD17F6">
      <w:pPr>
        <w:pStyle w:val="Caption"/>
        <w:keepNext/>
      </w:pPr>
    </w:p>
    <w:p w14:paraId="1C3C54C6" w14:textId="318D7CE8" w:rsidR="00CE23D2" w:rsidRPr="008474CF" w:rsidRDefault="009039A5" w:rsidP="00F01218">
      <w:pPr>
        <w:jc w:val="center"/>
        <w:rPr>
          <w:rFonts w:cs="Arial"/>
        </w:rPr>
      </w:pPr>
      <w:r w:rsidRPr="008474CF">
        <w:rPr>
          <w:rFonts w:cs="Arial"/>
        </w:rPr>
        <w:t xml:space="preserve"> </w:t>
      </w:r>
      <w:r w:rsidR="00B12CD0" w:rsidRPr="00B12CD0">
        <w:rPr>
          <w:noProof/>
        </w:rPr>
        <w:drawing>
          <wp:inline distT="0" distB="0" distL="0" distR="0" wp14:anchorId="49C59673" wp14:editId="17EE71B9">
            <wp:extent cx="5852160" cy="962025"/>
            <wp:effectExtent l="0" t="0" r="0" b="9525"/>
            <wp:docPr id="14494484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52160" cy="962025"/>
                    </a:xfrm>
                    <a:prstGeom prst="rect">
                      <a:avLst/>
                    </a:prstGeom>
                    <a:noFill/>
                    <a:ln>
                      <a:noFill/>
                    </a:ln>
                  </pic:spPr>
                </pic:pic>
              </a:graphicData>
            </a:graphic>
          </wp:inline>
        </w:drawing>
      </w:r>
    </w:p>
    <w:p w14:paraId="3D9B0DBC" w14:textId="77777777" w:rsidR="00CE23D2" w:rsidRPr="008474CF" w:rsidRDefault="00CE23D2" w:rsidP="005E3B7B">
      <w:pPr>
        <w:rPr>
          <w:rFonts w:cs="Arial"/>
        </w:rPr>
      </w:pPr>
    </w:p>
    <w:p w14:paraId="2954BE85" w14:textId="6DDFE7E8" w:rsidR="005E3B7B" w:rsidRPr="008474CF" w:rsidRDefault="005E5040" w:rsidP="005E3B7B">
      <w:pPr>
        <w:rPr>
          <w:rFonts w:cs="Arial"/>
        </w:rPr>
      </w:pPr>
      <w:r w:rsidRPr="008474CF">
        <w:rPr>
          <w:rFonts w:cs="Arial"/>
        </w:rPr>
        <w:t>Andere kurzfristige Verbindlichkeiten sind an die WIPO zu entrichtende Beträge für Dienstleistungen, die im Rahmen der WIPO/UPOV-Vereinbarung erbracht wurden</w:t>
      </w:r>
      <w:r w:rsidR="00A824AF" w:rsidRPr="008474CF">
        <w:rPr>
          <w:rFonts w:cs="Arial"/>
        </w:rPr>
        <w:t>.</w:t>
      </w:r>
    </w:p>
    <w:p w14:paraId="331DCADC" w14:textId="671F4683" w:rsidR="005E3B7B" w:rsidRPr="008474CF" w:rsidRDefault="005E3B7B" w:rsidP="005E3B7B">
      <w:pPr>
        <w:rPr>
          <w:rFonts w:cs="Arial"/>
        </w:rPr>
      </w:pPr>
    </w:p>
    <w:p w14:paraId="35E10993" w14:textId="36ED517C" w:rsidR="00885DCE" w:rsidRPr="008474CF" w:rsidRDefault="00885DCE" w:rsidP="005E3B7B">
      <w:pPr>
        <w:rPr>
          <w:rFonts w:cs="Arial"/>
        </w:rPr>
      </w:pPr>
    </w:p>
    <w:p w14:paraId="495BC961" w14:textId="7C67F374" w:rsidR="00885DCE" w:rsidRPr="008474CF" w:rsidRDefault="00885DCE" w:rsidP="00B56280">
      <w:pPr>
        <w:pStyle w:val="Heading2Notes"/>
        <w:ind w:left="1843" w:hanging="1843"/>
        <w:rPr>
          <w:lang w:val="de-DE"/>
        </w:rPr>
      </w:pPr>
      <w:bookmarkStart w:id="59" w:name="_Toc205303758"/>
      <w:r w:rsidRPr="008474CF">
        <w:rPr>
          <w:lang w:val="de-DE"/>
        </w:rPr>
        <w:t xml:space="preserve">Anmerkung </w:t>
      </w:r>
      <w:r w:rsidR="00CD7A95" w:rsidRPr="008474CF">
        <w:rPr>
          <w:lang w:val="de-DE"/>
        </w:rPr>
        <w:t>8</w:t>
      </w:r>
      <w:r w:rsidRPr="008474CF">
        <w:rPr>
          <w:lang w:val="de-DE"/>
        </w:rPr>
        <w:t>:</w:t>
      </w:r>
      <w:r w:rsidRPr="008474CF">
        <w:rPr>
          <w:lang w:val="de-DE"/>
        </w:rPr>
        <w:tab/>
        <w:t>Eventualverbindlichkeiten</w:t>
      </w:r>
      <w:bookmarkEnd w:id="59"/>
    </w:p>
    <w:p w14:paraId="2AFE7A13" w14:textId="4B42E7D3" w:rsidR="00885DCE" w:rsidRPr="008474CF" w:rsidRDefault="00885DCE" w:rsidP="00B56280">
      <w:pPr>
        <w:ind w:left="1843" w:hanging="1843"/>
        <w:rPr>
          <w:rFonts w:cs="Arial"/>
        </w:rPr>
      </w:pPr>
    </w:p>
    <w:p w14:paraId="076BA43B" w14:textId="1CBCF649" w:rsidR="005E1412" w:rsidRPr="008474CF" w:rsidRDefault="00E74A87" w:rsidP="00B56280">
      <w:pPr>
        <w:ind w:left="1843" w:hanging="1843"/>
        <w:rPr>
          <w:rFonts w:cs="Arial"/>
        </w:rPr>
      </w:pPr>
      <w:r w:rsidRPr="008474CF">
        <w:rPr>
          <w:rFonts w:cs="Arial"/>
        </w:rPr>
        <w:t xml:space="preserve">Die UPOV hat zum 31. Dezember </w:t>
      </w:r>
      <w:r w:rsidR="00D71713" w:rsidRPr="008474CF">
        <w:rPr>
          <w:rFonts w:cs="Arial"/>
        </w:rPr>
        <w:t xml:space="preserve">2024 </w:t>
      </w:r>
      <w:r w:rsidRPr="008474CF">
        <w:rPr>
          <w:rFonts w:cs="Arial"/>
        </w:rPr>
        <w:t>keine Eventualverbindlichkeiten.</w:t>
      </w:r>
    </w:p>
    <w:p w14:paraId="69D04CA4" w14:textId="77777777" w:rsidR="005E1412" w:rsidRPr="008474CF" w:rsidRDefault="005E1412" w:rsidP="00B56280">
      <w:pPr>
        <w:ind w:left="1843" w:hanging="1843"/>
        <w:rPr>
          <w:rFonts w:cs="Arial"/>
        </w:rPr>
      </w:pPr>
    </w:p>
    <w:p w14:paraId="18FC2BE5" w14:textId="77777777" w:rsidR="005E3B7B" w:rsidRPr="008474CF" w:rsidRDefault="005E3B7B" w:rsidP="00B56280">
      <w:pPr>
        <w:ind w:left="1843" w:hanging="1843"/>
        <w:rPr>
          <w:rFonts w:cs="Arial"/>
        </w:rPr>
      </w:pPr>
    </w:p>
    <w:p w14:paraId="1D2CBF18" w14:textId="51E501F1" w:rsidR="00A824AF" w:rsidRPr="008474CF" w:rsidRDefault="004A5EBA" w:rsidP="00B56280">
      <w:pPr>
        <w:pStyle w:val="Heading2Notes"/>
        <w:ind w:left="1843" w:hanging="1843"/>
        <w:rPr>
          <w:rFonts w:ascii="Arial" w:hAnsi="Arial" w:cs="Arial"/>
          <w:lang w:val="de-DE"/>
        </w:rPr>
      </w:pPr>
      <w:bookmarkStart w:id="60" w:name="_Toc84329900"/>
      <w:bookmarkStart w:id="61" w:name="_Toc205303759"/>
      <w:r w:rsidRPr="008474CF">
        <w:rPr>
          <w:rFonts w:ascii="Arial" w:hAnsi="Arial" w:cs="Arial"/>
          <w:lang w:val="de-DE"/>
        </w:rPr>
        <w:t xml:space="preserve">Anmerkung </w:t>
      </w:r>
      <w:r w:rsidR="00CD7A95" w:rsidRPr="008474CF">
        <w:rPr>
          <w:rFonts w:ascii="Arial" w:hAnsi="Arial" w:cs="Arial"/>
          <w:lang w:val="de-DE"/>
        </w:rPr>
        <w:t>9</w:t>
      </w:r>
      <w:r w:rsidR="00A824AF" w:rsidRPr="008474CF">
        <w:rPr>
          <w:rFonts w:ascii="Arial" w:hAnsi="Arial" w:cs="Arial"/>
          <w:lang w:val="de-DE"/>
        </w:rPr>
        <w:t>:</w:t>
      </w:r>
      <w:r w:rsidR="00A824AF" w:rsidRPr="008474CF">
        <w:rPr>
          <w:rFonts w:ascii="Arial" w:hAnsi="Arial" w:cs="Arial"/>
          <w:lang w:val="de-DE"/>
        </w:rPr>
        <w:tab/>
      </w:r>
      <w:bookmarkEnd w:id="60"/>
      <w:r w:rsidR="00CB72A4" w:rsidRPr="008474CF">
        <w:rPr>
          <w:rFonts w:ascii="Arial" w:hAnsi="Arial" w:cs="Arial"/>
          <w:lang w:val="de-DE"/>
        </w:rPr>
        <w:t>Transaktionen mit nahestehenden Personen und Einheiten</w:t>
      </w:r>
      <w:bookmarkEnd w:id="61"/>
    </w:p>
    <w:p w14:paraId="58ABB975" w14:textId="77777777" w:rsidR="00A824AF" w:rsidRPr="008474CF" w:rsidRDefault="00A824AF" w:rsidP="004A5EBA">
      <w:pPr>
        <w:rPr>
          <w:rFonts w:cs="Arial"/>
        </w:rPr>
      </w:pPr>
    </w:p>
    <w:p w14:paraId="4EF6B11E" w14:textId="2E27CB5C" w:rsidR="00A824AF" w:rsidRPr="008474CF" w:rsidRDefault="000851C1" w:rsidP="00A824AF">
      <w:pPr>
        <w:pStyle w:val="Style3"/>
        <w:spacing w:after="0"/>
        <w:rPr>
          <w:rFonts w:cs="Arial"/>
          <w:sz w:val="20"/>
        </w:rPr>
      </w:pPr>
      <w:r w:rsidRPr="008474CF">
        <w:rPr>
          <w:rFonts w:cs="Arial"/>
          <w:sz w:val="20"/>
        </w:rPr>
        <w:t>Der Rat setzt sich aus den Vertretern der Verbandsmitglieder zusammen. Sie erhalten keine Vergütung von der UPOV</w:t>
      </w:r>
      <w:r w:rsidR="00A824AF" w:rsidRPr="008474CF">
        <w:rPr>
          <w:rFonts w:cs="Arial"/>
          <w:sz w:val="20"/>
        </w:rPr>
        <w:t xml:space="preserve">. </w:t>
      </w:r>
    </w:p>
    <w:p w14:paraId="68F5B026" w14:textId="77777777" w:rsidR="00A824AF" w:rsidRPr="008474CF" w:rsidRDefault="00A824AF" w:rsidP="00A824AF">
      <w:pPr>
        <w:pStyle w:val="Style3"/>
        <w:spacing w:after="0"/>
        <w:rPr>
          <w:rFonts w:cs="Arial"/>
          <w:sz w:val="20"/>
        </w:rPr>
      </w:pPr>
    </w:p>
    <w:p w14:paraId="3473A35B" w14:textId="3CDEF898" w:rsidR="00A824AF" w:rsidRPr="008474CF" w:rsidRDefault="00AD049F" w:rsidP="00A824AF">
      <w:pPr>
        <w:pStyle w:val="Style3"/>
        <w:spacing w:after="0"/>
        <w:rPr>
          <w:rFonts w:cs="Arial"/>
          <w:sz w:val="20"/>
        </w:rPr>
      </w:pPr>
      <w:r w:rsidRPr="008474CF">
        <w:rPr>
          <w:rFonts w:cs="Arial"/>
          <w:sz w:val="20"/>
        </w:rPr>
        <w:t>Die UPOV hat keinerlei Interesse an Beteiligungen an assoziierten oder gemeinsamen Unternehmen und hat keine von ihr geführten Unternehmen. 1982 wurde zwischen der UPOV und der WIPO eine Vereinbarung über Zusammenarbeit (die WIPO/UPOV-Vereinbarung) unterzeichnet. Nach dieser Vereinbarung ernennt der Rat der UPOV den Generaldirektor der WIPO zum Generalsekretär der UPOV. Gemäß der Vereinbarung erfüllt die WIPO die Anforderungen der UPOV im Hinblick auf die Bereitstellung von Räumlichkeiten, Personalverwaltung, Finanzverwaltung, Beschaffungsdienste und sonstige administrative Unterstützungsleistungen. Die WIPO wird gemäß den Bedingungen der erwähnten Vereinbarung von der UPOV für die Kosten dieser Dienste entschädigt. Im Jahr 202</w:t>
      </w:r>
      <w:r w:rsidR="00BD35A0" w:rsidRPr="008474CF">
        <w:rPr>
          <w:rFonts w:cs="Arial"/>
          <w:sz w:val="20"/>
        </w:rPr>
        <w:t>4</w:t>
      </w:r>
      <w:r w:rsidRPr="008474CF">
        <w:rPr>
          <w:rFonts w:cs="Arial"/>
          <w:sz w:val="20"/>
        </w:rPr>
        <w:t xml:space="preserve"> entrichtete die UPOV 618.000 Schweizer Franken an die WIPO zur Deckung der Kosten für diese Dienstleistungen, welche in den UPOV-Betriebskosten für das Jahr erfasst wurden. Zusätzlich erstattete die UPOV der WIPO in ihrem Namen ausgezahlte Mittel. Gemäß der Vereinbarung übt das Verbandsbüro seine Funktionen vollständig unabhängig von der WIPO aus</w:t>
      </w:r>
      <w:r w:rsidR="00A824AF" w:rsidRPr="008474CF">
        <w:rPr>
          <w:rFonts w:cs="Arial"/>
          <w:sz w:val="20"/>
        </w:rPr>
        <w:t>.</w:t>
      </w:r>
      <w:r w:rsidR="006A3ACC" w:rsidRPr="008474CF">
        <w:rPr>
          <w:rFonts w:cs="Arial"/>
          <w:sz w:val="20"/>
        </w:rPr>
        <w:t xml:space="preserve"> </w:t>
      </w:r>
    </w:p>
    <w:p w14:paraId="534EB612" w14:textId="77777777" w:rsidR="00A824AF" w:rsidRPr="008474CF" w:rsidRDefault="00A824AF" w:rsidP="00A824AF">
      <w:pPr>
        <w:pStyle w:val="Style3"/>
        <w:spacing w:after="0"/>
        <w:rPr>
          <w:rFonts w:cs="Arial"/>
          <w:sz w:val="20"/>
        </w:rPr>
      </w:pPr>
    </w:p>
    <w:p w14:paraId="1E218FA3" w14:textId="2C238412" w:rsidR="009039A5" w:rsidRPr="008474CF" w:rsidRDefault="000C4702" w:rsidP="009039A5">
      <w:pPr>
        <w:rPr>
          <w:rFonts w:cs="Arial"/>
        </w:rPr>
      </w:pPr>
      <w:r w:rsidRPr="008474CF">
        <w:t>Entsprechend der Zustimmun</w:t>
      </w:r>
      <w:r w:rsidR="009039A5" w:rsidRPr="008474CF">
        <w:t>g durch den Beratenden Ausschu</w:t>
      </w:r>
      <w:r w:rsidRPr="008474CF">
        <w:t>ss</w:t>
      </w:r>
      <w:r w:rsidR="009039A5" w:rsidRPr="008474CF">
        <w:t xml:space="preserve"> der UPOV auf seiner 101. Tagung im Oktober 2023 </w:t>
      </w:r>
      <w:r w:rsidR="009039A5" w:rsidRPr="008474CF">
        <w:rPr>
          <w:rFonts w:cs="Arial"/>
        </w:rPr>
        <w:t xml:space="preserve">billigten die Versammlungen der Mitgliedstaaten der WIPO im Juli 2024 die Schaffung einer getrennten Einrichtung, die als </w:t>
      </w:r>
      <w:r w:rsidR="005B3606" w:rsidRPr="008474CF">
        <w:rPr>
          <w:rFonts w:cs="Arial"/>
        </w:rPr>
        <w:t>Plan mehrerer Arbeitgeber</w:t>
      </w:r>
      <w:r w:rsidR="009039A5" w:rsidRPr="008474CF">
        <w:rPr>
          <w:rFonts w:cs="Arial"/>
        </w:rPr>
        <w:t xml:space="preserve"> eingerichtet werden soll und für die Verwaltung der zur Finanzierung der ASHI vorgesehenen Mittel zuständig ist. Sowohl die WIPO als auch die UPOV werden sich an diesem </w:t>
      </w:r>
      <w:r w:rsidR="00D75AED" w:rsidRPr="008474CF">
        <w:rPr>
          <w:rFonts w:cs="Arial"/>
        </w:rPr>
        <w:t>Plan mehrere</w:t>
      </w:r>
      <w:r w:rsidR="002F57A3" w:rsidRPr="008474CF">
        <w:rPr>
          <w:rFonts w:cs="Arial"/>
        </w:rPr>
        <w:t>r</w:t>
      </w:r>
      <w:r w:rsidR="00D75AED" w:rsidRPr="008474CF">
        <w:rPr>
          <w:rFonts w:cs="Arial"/>
        </w:rPr>
        <w:t xml:space="preserve"> Arbeitgeber</w:t>
      </w:r>
      <w:r w:rsidR="009039A5" w:rsidRPr="008474CF">
        <w:rPr>
          <w:rFonts w:cs="Arial"/>
        </w:rPr>
        <w:t xml:space="preserve"> beteiligen, wobei die Verantwortung für die Überwachung des Plans einem formellen Beratungsausschuss übertragen wird. Die Arbeiten zur </w:t>
      </w:r>
      <w:r w:rsidR="002F57A3" w:rsidRPr="008474CF">
        <w:rPr>
          <w:rFonts w:cs="Arial"/>
        </w:rPr>
        <w:t xml:space="preserve">Schaffung </w:t>
      </w:r>
      <w:r w:rsidR="009039A5" w:rsidRPr="008474CF">
        <w:rPr>
          <w:rFonts w:cs="Arial"/>
        </w:rPr>
        <w:t xml:space="preserve">der getrennten Einrichtung wurden 2025 fortgesetzt </w:t>
      </w:r>
      <w:r w:rsidR="00F41611" w:rsidRPr="008474CF">
        <w:rPr>
          <w:rFonts w:cs="Arial"/>
        </w:rPr>
        <w:t>mit Wirkung zum</w:t>
      </w:r>
      <w:r w:rsidR="009039A5" w:rsidRPr="008474CF">
        <w:rPr>
          <w:rFonts w:cs="Arial"/>
        </w:rPr>
        <w:t xml:space="preserve"> 1. April 2025.</w:t>
      </w:r>
    </w:p>
    <w:p w14:paraId="3DC01DB6" w14:textId="77777777" w:rsidR="009039A5" w:rsidRPr="008474CF" w:rsidRDefault="009039A5" w:rsidP="00A824AF">
      <w:pPr>
        <w:pStyle w:val="Style3"/>
        <w:spacing w:after="0"/>
        <w:rPr>
          <w:rFonts w:cs="Arial"/>
          <w:sz w:val="20"/>
        </w:rPr>
      </w:pPr>
    </w:p>
    <w:p w14:paraId="0DABAC7B" w14:textId="3B66F515" w:rsidR="00A824AF" w:rsidRPr="008474CF" w:rsidRDefault="00CC56CA" w:rsidP="00A824AF">
      <w:pPr>
        <w:pStyle w:val="Style3"/>
        <w:spacing w:after="0"/>
        <w:rPr>
          <w:rFonts w:cs="Arial"/>
          <w:sz w:val="20"/>
        </w:rPr>
      </w:pPr>
      <w:r w:rsidRPr="008474CF">
        <w:rPr>
          <w:rFonts w:cs="Arial"/>
          <w:sz w:val="20"/>
        </w:rPr>
        <w:lastRenderedPageBreak/>
        <w:t xml:space="preserve">Zum Managementpersonal der UPOV in Schlüsselpositionen gehören der Generalsekretär, </w:t>
      </w:r>
      <w:r w:rsidR="002F57A3" w:rsidRPr="008474CF">
        <w:rPr>
          <w:rFonts w:cs="Arial"/>
          <w:sz w:val="20"/>
        </w:rPr>
        <w:t xml:space="preserve">die </w:t>
      </w:r>
      <w:r w:rsidRPr="008474CF">
        <w:rPr>
          <w:rFonts w:cs="Arial"/>
          <w:sz w:val="20"/>
        </w:rPr>
        <w:t>Stellvertretende Generalsekretär</w:t>
      </w:r>
      <w:r w:rsidR="002F57A3" w:rsidRPr="008474CF">
        <w:rPr>
          <w:rFonts w:cs="Arial"/>
          <w:sz w:val="20"/>
        </w:rPr>
        <w:t>in</w:t>
      </w:r>
      <w:r w:rsidRPr="008474CF">
        <w:rPr>
          <w:rFonts w:cs="Arial"/>
          <w:sz w:val="20"/>
        </w:rPr>
        <w:t xml:space="preserve"> und Bedienstete in Leitungsfunktion. Der derzeitige Generaldirektor der WIPO hat jegliches Gehalt oder eine Zulage für seine Funktion als Generalsekretär der UPOV abgelehnt. Das restliche Managementpersonal in Schlüsselpositionen wird von der UPOV vergütet. Die an das Managementpersonal in Schlüsselpositionen ausgezahlte Gesamtvergütung umfasst Gehälter, Zulagen und mit Dienstreisen und Sonstigem verbundene Ansprüche, die gemäß der Personalordnung ausgezahlt werden. Managementpersonal in Schlüsselpositionen ist an der gemeinsamen Pensionskasse der Vereinten Nationen (UNJSPF) beteiligt, zu der das Personal und die UPOV beitragen und es ist auch zur Teilnahme an der kollektiven Krankenversicherung berechtigt</w:t>
      </w:r>
      <w:r w:rsidR="00A824AF" w:rsidRPr="008474CF">
        <w:rPr>
          <w:rFonts w:cs="Arial"/>
          <w:sz w:val="20"/>
        </w:rPr>
        <w:t xml:space="preserve">. </w:t>
      </w:r>
    </w:p>
    <w:p w14:paraId="0E04994B" w14:textId="77777777" w:rsidR="00A824AF" w:rsidRPr="008474CF" w:rsidRDefault="00A824AF" w:rsidP="00A824AF">
      <w:pPr>
        <w:pStyle w:val="Style3"/>
        <w:spacing w:after="0"/>
        <w:rPr>
          <w:rFonts w:cs="Arial"/>
          <w:sz w:val="20"/>
        </w:rPr>
      </w:pPr>
    </w:p>
    <w:p w14:paraId="617984F9" w14:textId="23078DD9" w:rsidR="00A824AF" w:rsidRPr="008474CF" w:rsidRDefault="005E7BAE" w:rsidP="009A7611">
      <w:pPr>
        <w:jc w:val="left"/>
        <w:rPr>
          <w:rFonts w:cs="Arial"/>
        </w:rPr>
      </w:pPr>
      <w:r w:rsidRPr="008474CF">
        <w:rPr>
          <w:rFonts w:cs="Arial"/>
        </w:rPr>
        <w:t>Managementpersonal in Schlüsselpositionen und dessen Gesamtvergütung waren folgendermaßen (der Generalsekretär ist nicht in die Tabelle einbezogen, da er keine Vergütung von der UPOV bezieht)</w:t>
      </w:r>
      <w:r w:rsidR="00A824AF" w:rsidRPr="008474CF">
        <w:rPr>
          <w:rFonts w:cs="Arial"/>
        </w:rPr>
        <w:t>:</w:t>
      </w:r>
    </w:p>
    <w:p w14:paraId="293EFD39" w14:textId="1400AD82" w:rsidR="00036458" w:rsidRPr="008474CF" w:rsidRDefault="00036458" w:rsidP="00036458">
      <w:pPr>
        <w:pStyle w:val="Style3"/>
        <w:spacing w:after="0"/>
        <w:rPr>
          <w:rFonts w:cs="Arial"/>
          <w:sz w:val="20"/>
        </w:rPr>
      </w:pPr>
    </w:p>
    <w:p w14:paraId="6863520A" w14:textId="61E4E3B1" w:rsidR="00DB5252" w:rsidRPr="008474CF" w:rsidRDefault="009039A5" w:rsidP="00F01218">
      <w:pPr>
        <w:jc w:val="center"/>
        <w:rPr>
          <w:rFonts w:cs="Arial"/>
        </w:rPr>
      </w:pPr>
      <w:r w:rsidRPr="008474CF">
        <w:rPr>
          <w:rFonts w:cs="Arial"/>
        </w:rPr>
        <w:t xml:space="preserve"> </w:t>
      </w:r>
    </w:p>
    <w:p w14:paraId="082F293D" w14:textId="02147FCD" w:rsidR="001E11E5" w:rsidRPr="008474CF" w:rsidRDefault="00B12CD0" w:rsidP="00A824AF">
      <w:pPr>
        <w:rPr>
          <w:rFonts w:cs="Arial"/>
        </w:rPr>
      </w:pPr>
      <w:r w:rsidRPr="00B12CD0">
        <w:rPr>
          <w:noProof/>
        </w:rPr>
        <w:drawing>
          <wp:inline distT="0" distB="0" distL="0" distR="0" wp14:anchorId="4E29002D" wp14:editId="00E11233">
            <wp:extent cx="6137910" cy="1271905"/>
            <wp:effectExtent l="0" t="0" r="0" b="0"/>
            <wp:docPr id="82274204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37910" cy="1271905"/>
                    </a:xfrm>
                    <a:prstGeom prst="rect">
                      <a:avLst/>
                    </a:prstGeom>
                    <a:noFill/>
                    <a:ln>
                      <a:noFill/>
                    </a:ln>
                  </pic:spPr>
                </pic:pic>
              </a:graphicData>
            </a:graphic>
          </wp:inline>
        </w:drawing>
      </w:r>
    </w:p>
    <w:p w14:paraId="085D6057" w14:textId="77777777" w:rsidR="003B11D8" w:rsidRPr="008474CF" w:rsidRDefault="003B11D8" w:rsidP="00C21351">
      <w:pPr>
        <w:rPr>
          <w:rFonts w:cs="Arial"/>
        </w:rPr>
      </w:pPr>
      <w:bookmarkStart w:id="62" w:name="_Toc84329901"/>
    </w:p>
    <w:p w14:paraId="131F9180" w14:textId="5AABB576" w:rsidR="00BC6E60" w:rsidRPr="008474CF" w:rsidRDefault="00F9786D" w:rsidP="00C21351">
      <w:pPr>
        <w:rPr>
          <w:rFonts w:cs="Arial"/>
        </w:rPr>
      </w:pPr>
      <w:r w:rsidRPr="008474CF">
        <w:rPr>
          <w:rFonts w:cs="Arial"/>
        </w:rPr>
        <w:t>Es gab keine weitere Vergütung oder Ausgleichszahlungen für Managementpersonal in Schlüsselpositionen oder ihnen nahestehende Familienmitglieder</w:t>
      </w:r>
      <w:r w:rsidR="000745BA" w:rsidRPr="008474CF">
        <w:rPr>
          <w:rFonts w:cs="Arial"/>
        </w:rPr>
        <w:t>.</w:t>
      </w:r>
    </w:p>
    <w:p w14:paraId="698A0706" w14:textId="77777777" w:rsidR="00B026C1" w:rsidRPr="008474CF" w:rsidRDefault="00B026C1" w:rsidP="00C21351">
      <w:pPr>
        <w:rPr>
          <w:rFonts w:cs="Arial"/>
        </w:rPr>
      </w:pPr>
    </w:p>
    <w:p w14:paraId="2DB0D626" w14:textId="77777777" w:rsidR="005D0C9E" w:rsidRPr="008474CF" w:rsidRDefault="005D0C9E">
      <w:pPr>
        <w:rPr>
          <w:rFonts w:cs="Arial"/>
        </w:rPr>
      </w:pPr>
    </w:p>
    <w:p w14:paraId="75D99EE3" w14:textId="5F28FFD3" w:rsidR="008754B4" w:rsidRPr="008474CF" w:rsidRDefault="004A5EBA" w:rsidP="00450D12">
      <w:pPr>
        <w:pStyle w:val="Heading2Notes"/>
        <w:ind w:left="1843" w:hanging="1843"/>
        <w:rPr>
          <w:rFonts w:ascii="Arial" w:hAnsi="Arial" w:cs="Arial"/>
          <w:lang w:val="de-DE"/>
        </w:rPr>
      </w:pPr>
      <w:bookmarkStart w:id="63" w:name="_Toc205303760"/>
      <w:r w:rsidRPr="008474CF">
        <w:rPr>
          <w:rFonts w:ascii="Arial" w:hAnsi="Arial" w:cs="Arial"/>
          <w:lang w:val="de-DE"/>
        </w:rPr>
        <w:t xml:space="preserve">Anmerkung </w:t>
      </w:r>
      <w:r w:rsidR="00CD7A95" w:rsidRPr="008474CF">
        <w:rPr>
          <w:rFonts w:ascii="Arial" w:hAnsi="Arial" w:cs="Arial"/>
          <w:lang w:val="de-DE"/>
        </w:rPr>
        <w:t>10</w:t>
      </w:r>
      <w:r w:rsidR="00A824AF" w:rsidRPr="008474CF">
        <w:rPr>
          <w:rFonts w:ascii="Arial" w:hAnsi="Arial" w:cs="Arial"/>
          <w:lang w:val="de-DE"/>
        </w:rPr>
        <w:t>:</w:t>
      </w:r>
      <w:r w:rsidR="00A824AF" w:rsidRPr="008474CF">
        <w:rPr>
          <w:rFonts w:ascii="Arial" w:hAnsi="Arial" w:cs="Arial"/>
          <w:lang w:val="de-DE"/>
        </w:rPr>
        <w:tab/>
      </w:r>
      <w:r w:rsidRPr="008474CF">
        <w:rPr>
          <w:rFonts w:ascii="Arial" w:hAnsi="Arial" w:cs="Arial"/>
          <w:lang w:val="de-DE"/>
        </w:rPr>
        <w:t>Nettovermögen</w:t>
      </w:r>
      <w:bookmarkEnd w:id="62"/>
      <w:bookmarkEnd w:id="63"/>
    </w:p>
    <w:p w14:paraId="289FEAB1" w14:textId="77777777" w:rsidR="00883CD5" w:rsidRPr="008474CF" w:rsidRDefault="00883CD5" w:rsidP="00450D12">
      <w:pPr>
        <w:pStyle w:val="Heading2Notes"/>
        <w:ind w:left="1843" w:hanging="1843"/>
        <w:rPr>
          <w:rFonts w:ascii="Arial" w:hAnsi="Arial" w:cs="Arial"/>
          <w:lang w:val="de-DE"/>
        </w:rPr>
      </w:pPr>
    </w:p>
    <w:p w14:paraId="2A062994" w14:textId="391F1953" w:rsidR="00584923" w:rsidRPr="008474CF" w:rsidRDefault="00B12CD0" w:rsidP="00C278C2">
      <w:pPr>
        <w:spacing w:after="120"/>
        <w:jc w:val="center"/>
        <w:rPr>
          <w:rFonts w:cs="Arial"/>
        </w:rPr>
      </w:pPr>
      <w:r w:rsidRPr="00B12CD0">
        <w:rPr>
          <w:noProof/>
        </w:rPr>
        <w:drawing>
          <wp:inline distT="0" distB="0" distL="0" distR="0" wp14:anchorId="6EBA51AF" wp14:editId="0A770586">
            <wp:extent cx="6137910" cy="2857500"/>
            <wp:effectExtent l="0" t="0" r="0" b="0"/>
            <wp:docPr id="18922084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37910" cy="2857500"/>
                    </a:xfrm>
                    <a:prstGeom prst="rect">
                      <a:avLst/>
                    </a:prstGeom>
                    <a:noFill/>
                    <a:ln>
                      <a:noFill/>
                    </a:ln>
                  </pic:spPr>
                </pic:pic>
              </a:graphicData>
            </a:graphic>
          </wp:inline>
        </w:drawing>
      </w:r>
    </w:p>
    <w:p w14:paraId="34083217" w14:textId="77777777" w:rsidR="00563FE9" w:rsidRPr="008474CF" w:rsidRDefault="00563FE9" w:rsidP="00A824AF">
      <w:pPr>
        <w:rPr>
          <w:rFonts w:cs="Arial"/>
        </w:rPr>
      </w:pPr>
    </w:p>
    <w:p w14:paraId="535650CE" w14:textId="0B7996AA" w:rsidR="00BC2FA1" w:rsidRPr="008474CF" w:rsidRDefault="001A6E1E" w:rsidP="00A824AF">
      <w:pPr>
        <w:rPr>
          <w:rFonts w:cs="Arial"/>
        </w:rPr>
      </w:pPr>
      <w:r w:rsidRPr="008474CF">
        <w:rPr>
          <w:rFonts w:cs="Arial"/>
        </w:rPr>
        <w:t>Gemäß Regel 4.2 der UPOV-Finanzordnung und ihrer Durchführungsbestimmungen hat die UPOV einen Betriebsmittelfonds. Zum 31. Dezember 202</w:t>
      </w:r>
      <w:r w:rsidR="005B5A2B" w:rsidRPr="008474CF">
        <w:rPr>
          <w:rFonts w:cs="Arial"/>
        </w:rPr>
        <w:t>4</w:t>
      </w:r>
      <w:r w:rsidRPr="008474CF">
        <w:rPr>
          <w:rFonts w:cs="Arial"/>
        </w:rPr>
        <w:t xml:space="preserve"> beläuft sich der Betriebsmittelfonds auf 578.345 Schweizer Franken. Nach Regel 4.2 dient der Betriebsmittelfonds folgenden Zwecken</w:t>
      </w:r>
      <w:r w:rsidR="00A824AF" w:rsidRPr="008474CF">
        <w:rPr>
          <w:rFonts w:cs="Arial"/>
        </w:rPr>
        <w:t>:</w:t>
      </w:r>
    </w:p>
    <w:p w14:paraId="370F88A7" w14:textId="77777777" w:rsidR="00A824AF" w:rsidRPr="008474CF" w:rsidRDefault="00A824AF" w:rsidP="00A824AF">
      <w:pPr>
        <w:rPr>
          <w:rFonts w:cs="Arial"/>
        </w:rPr>
      </w:pPr>
    </w:p>
    <w:p w14:paraId="1774EBE4" w14:textId="77777777" w:rsidR="00480C55" w:rsidRPr="008474CF" w:rsidRDefault="00480C55" w:rsidP="00480C55">
      <w:pPr>
        <w:numPr>
          <w:ilvl w:val="0"/>
          <w:numId w:val="8"/>
        </w:numPr>
        <w:tabs>
          <w:tab w:val="clear" w:pos="418"/>
          <w:tab w:val="num" w:pos="1170"/>
        </w:tabs>
        <w:ind w:left="1170" w:hanging="810"/>
        <w:jc w:val="left"/>
        <w:rPr>
          <w:rFonts w:cs="Arial"/>
        </w:rPr>
      </w:pPr>
      <w:r w:rsidRPr="008474CF">
        <w:rPr>
          <w:rFonts w:cs="Arial"/>
        </w:rPr>
        <w:t>der Deckung der im Haushaltsplan vorgesehenen Ausgaben, bevor die Beiträge der Verbandsmitglieder eingegangen sind;</w:t>
      </w:r>
    </w:p>
    <w:p w14:paraId="7B8A48FD" w14:textId="77777777" w:rsidR="00480C55" w:rsidRPr="008474CF" w:rsidRDefault="00480C55" w:rsidP="00480C55">
      <w:pPr>
        <w:numPr>
          <w:ilvl w:val="0"/>
          <w:numId w:val="8"/>
        </w:numPr>
        <w:tabs>
          <w:tab w:val="clear" w:pos="418"/>
          <w:tab w:val="num" w:pos="1170"/>
        </w:tabs>
        <w:ind w:left="1170" w:hanging="810"/>
        <w:jc w:val="left"/>
        <w:rPr>
          <w:rFonts w:cs="Arial"/>
        </w:rPr>
      </w:pPr>
      <w:r w:rsidRPr="008474CF">
        <w:rPr>
          <w:rFonts w:cs="Arial"/>
        </w:rPr>
        <w:t>der Deckung der unvorhergesehenen, aber unvermeidlichen Ausgaben, die sich aus der Durchführung des gebilligten Programms ergeben;</w:t>
      </w:r>
    </w:p>
    <w:p w14:paraId="15FF4D77" w14:textId="031F16D6" w:rsidR="00A824AF" w:rsidRPr="008474CF" w:rsidRDefault="00480C55" w:rsidP="00480C55">
      <w:pPr>
        <w:numPr>
          <w:ilvl w:val="0"/>
          <w:numId w:val="8"/>
        </w:numPr>
        <w:tabs>
          <w:tab w:val="clear" w:pos="418"/>
          <w:tab w:val="num" w:pos="1170"/>
        </w:tabs>
        <w:jc w:val="left"/>
        <w:rPr>
          <w:rFonts w:cs="Arial"/>
        </w:rPr>
      </w:pPr>
      <w:r w:rsidRPr="008474CF">
        <w:rPr>
          <w:rFonts w:cs="Arial"/>
        </w:rPr>
        <w:t>der Deckung aller weiteren Ausgaben, die vom Rat beschlossen werden könnten</w:t>
      </w:r>
      <w:r w:rsidR="00A824AF" w:rsidRPr="008474CF">
        <w:rPr>
          <w:rFonts w:cs="Arial"/>
        </w:rPr>
        <w:t>.</w:t>
      </w:r>
    </w:p>
    <w:p w14:paraId="7E4B9269" w14:textId="77777777" w:rsidR="00A824AF" w:rsidRPr="008474CF" w:rsidRDefault="00A824AF" w:rsidP="00A824AF">
      <w:pPr>
        <w:rPr>
          <w:rFonts w:cs="Arial"/>
        </w:rPr>
      </w:pPr>
    </w:p>
    <w:p w14:paraId="57607E1C" w14:textId="77777777" w:rsidR="005B5A2B" w:rsidRPr="008474CF" w:rsidRDefault="005B5A2B" w:rsidP="005B5A2B">
      <w:pPr>
        <w:rPr>
          <w:rFonts w:cs="Arial"/>
        </w:rPr>
      </w:pPr>
      <w:r w:rsidRPr="008474CF">
        <w:rPr>
          <w:rFonts w:cs="Arial"/>
        </w:rPr>
        <w:t>Die aus dem Betriebsmittelfonds entnommenen Beträge zur Deckung oben genannter Ausgabeanforderungen werden diesem Fonds gemäß Regel 4.2 wieder zugeführt.</w:t>
      </w:r>
    </w:p>
    <w:p w14:paraId="2BD2D65C" w14:textId="77777777" w:rsidR="005B5A2B" w:rsidRPr="008474CF" w:rsidRDefault="005B5A2B" w:rsidP="005B5A2B">
      <w:pPr>
        <w:rPr>
          <w:rFonts w:cs="Arial"/>
        </w:rPr>
      </w:pPr>
    </w:p>
    <w:p w14:paraId="52764743" w14:textId="77777777" w:rsidR="005B5A2B" w:rsidRPr="008474CF" w:rsidRDefault="005B5A2B" w:rsidP="005B5A2B">
      <w:pPr>
        <w:rPr>
          <w:rFonts w:cs="Arial"/>
        </w:rPr>
      </w:pPr>
      <w:r w:rsidRPr="008474CF">
        <w:rPr>
          <w:rFonts w:cs="Arial"/>
        </w:rPr>
        <w:t>Der Reservefonds repräsentiert die kumulierten Überschüsse und Defizite der UPOV. Gemäß Regel 4.6 der vom Rat im Oktober 2020 überarbeiteten UPOV-Finanzordnung und ihrer Durchführungsbestimmungen unterliegt die Verwendung des Reservefonds für andere Zwecke als die Deckung von Defiziten der Entscheidung des Rates. Wenn der Reservefonds nach Abschluss der Rechnungsperiode 15 Prozent der Gesamteinnahmen übersteigt, soll der Rat über die Verwendung der die Ausgaben der Rechnungsperiode übersteigenden Einnahmen entscheiden.</w:t>
      </w:r>
    </w:p>
    <w:p w14:paraId="1E98A5E4" w14:textId="77777777" w:rsidR="005B5A2B" w:rsidRPr="008474CF" w:rsidRDefault="005B5A2B" w:rsidP="005B5A2B">
      <w:pPr>
        <w:rPr>
          <w:rFonts w:cs="Arial"/>
        </w:rPr>
      </w:pPr>
    </w:p>
    <w:p w14:paraId="6EEA8DE8" w14:textId="23EC00F9" w:rsidR="00174C1A" w:rsidRPr="008474CF" w:rsidRDefault="005B5A2B" w:rsidP="005B5A2B">
      <w:pPr>
        <w:rPr>
          <w:rFonts w:cs="Arial"/>
        </w:rPr>
      </w:pPr>
      <w:r w:rsidRPr="008474CF">
        <w:rPr>
          <w:rFonts w:cs="Arial"/>
        </w:rPr>
        <w:t xml:space="preserve">Seit der Einführung von IPSAS-39 im Jahr 2017 müssen versicherungsmathematische Gewinne und Verluste für ASHI direkt über das Nettovermögen erfasst werden. Der Betrag versicherungsmathematischer Verluste im Nettovermögen beläuft sich zum 31. Dezember 2024 auf </w:t>
      </w:r>
      <w:r w:rsidR="007C509D" w:rsidRPr="008474CF">
        <w:rPr>
          <w:rFonts w:cs="Arial"/>
        </w:rPr>
        <w:t>2.865.072</w:t>
      </w:r>
      <w:r w:rsidRPr="008474CF">
        <w:rPr>
          <w:rFonts w:cs="Arial"/>
        </w:rPr>
        <w:t xml:space="preserve"> Schweizer Franken aufgrund der im Jahr 2024 erfassten versicherungsmathematischen </w:t>
      </w:r>
      <w:r w:rsidR="00F44078" w:rsidRPr="008474CF">
        <w:rPr>
          <w:rFonts w:cs="Arial"/>
        </w:rPr>
        <w:t xml:space="preserve">Verluste </w:t>
      </w:r>
      <w:r w:rsidRPr="008474CF">
        <w:rPr>
          <w:rFonts w:cs="Arial"/>
        </w:rPr>
        <w:t xml:space="preserve">von </w:t>
      </w:r>
      <w:r w:rsidR="00F64AE2" w:rsidRPr="008474CF">
        <w:rPr>
          <w:rFonts w:cs="Arial"/>
        </w:rPr>
        <w:t xml:space="preserve">1.364.272 </w:t>
      </w:r>
      <w:r w:rsidRPr="008474CF">
        <w:rPr>
          <w:rFonts w:cs="Arial"/>
        </w:rPr>
        <w:t>Schweizer Franken</w:t>
      </w:r>
      <w:r w:rsidR="003705C5" w:rsidRPr="008474CF">
        <w:rPr>
          <w:rFonts w:cs="Arial"/>
        </w:rPr>
        <w:t xml:space="preserve">. </w:t>
      </w:r>
    </w:p>
    <w:p w14:paraId="3752FCBC" w14:textId="77777777" w:rsidR="00A824AF" w:rsidRDefault="00A824AF" w:rsidP="00A824AF">
      <w:pPr>
        <w:rPr>
          <w:rFonts w:cs="Arial"/>
        </w:rPr>
      </w:pPr>
    </w:p>
    <w:p w14:paraId="30934793" w14:textId="77777777" w:rsidR="00C278C2" w:rsidRPr="008474CF" w:rsidRDefault="00C278C2" w:rsidP="00A824AF">
      <w:pPr>
        <w:rPr>
          <w:rFonts w:cs="Arial"/>
        </w:rPr>
      </w:pPr>
    </w:p>
    <w:p w14:paraId="47E8DC32" w14:textId="66B98496" w:rsidR="00A824AF" w:rsidRPr="008474CF" w:rsidRDefault="004A5EBA" w:rsidP="00B56280">
      <w:pPr>
        <w:pStyle w:val="Heading2Notes"/>
        <w:ind w:left="1843" w:hanging="1843"/>
        <w:rPr>
          <w:rFonts w:ascii="Arial" w:hAnsi="Arial" w:cs="Arial"/>
          <w:lang w:val="de-DE"/>
        </w:rPr>
      </w:pPr>
      <w:bookmarkStart w:id="64" w:name="_Toc84329902"/>
      <w:bookmarkStart w:id="65" w:name="_Toc205303761"/>
      <w:r w:rsidRPr="008474CF">
        <w:rPr>
          <w:rFonts w:ascii="Arial" w:hAnsi="Arial" w:cs="Arial"/>
          <w:lang w:val="de-DE"/>
        </w:rPr>
        <w:t xml:space="preserve">Anmerkung </w:t>
      </w:r>
      <w:r w:rsidR="004D1238" w:rsidRPr="008474CF">
        <w:rPr>
          <w:rFonts w:ascii="Arial" w:hAnsi="Arial" w:cs="Arial"/>
          <w:lang w:val="de-DE"/>
        </w:rPr>
        <w:t>11</w:t>
      </w:r>
      <w:r w:rsidR="00A824AF" w:rsidRPr="008474CF">
        <w:rPr>
          <w:rFonts w:ascii="Arial" w:hAnsi="Arial" w:cs="Arial"/>
          <w:lang w:val="de-DE"/>
        </w:rPr>
        <w:t>:</w:t>
      </w:r>
      <w:r w:rsidR="00A824AF" w:rsidRPr="008474CF">
        <w:rPr>
          <w:rFonts w:ascii="Arial" w:hAnsi="Arial" w:cs="Arial"/>
          <w:lang w:val="de-DE"/>
        </w:rPr>
        <w:tab/>
      </w:r>
      <w:bookmarkEnd w:id="64"/>
      <w:r w:rsidR="009B4D10" w:rsidRPr="008474CF">
        <w:rPr>
          <w:rFonts w:ascii="Arial" w:hAnsi="Arial" w:cs="Arial"/>
          <w:lang w:val="de-DE"/>
        </w:rPr>
        <w:t>Gegenüberstellung von budgetärem Vergleich (Darstellung V) und Erfolgsrechnung (Darstellung II)</w:t>
      </w:r>
      <w:bookmarkEnd w:id="65"/>
    </w:p>
    <w:p w14:paraId="4B5456E2" w14:textId="77777777" w:rsidR="00A824AF" w:rsidRPr="008474CF" w:rsidRDefault="00A824AF" w:rsidP="004A5EBA">
      <w:pPr>
        <w:rPr>
          <w:rFonts w:cs="Arial"/>
        </w:rPr>
      </w:pPr>
    </w:p>
    <w:p w14:paraId="7D960B71" w14:textId="5F612511" w:rsidR="00A824AF" w:rsidRPr="008474CF" w:rsidRDefault="00D027D0" w:rsidP="00A824AF">
      <w:pPr>
        <w:rPr>
          <w:rFonts w:cs="Arial"/>
          <w:color w:val="000000" w:themeColor="text1"/>
        </w:rPr>
      </w:pPr>
      <w:r w:rsidRPr="008474CF">
        <w:rPr>
          <w:rFonts w:cs="Arial"/>
        </w:rPr>
        <w:t xml:space="preserve">Das UPOV-Programm und der Haushaltsplan werden auf der Grundlage der modifizierten Periodenrechnung gemäß der UPOV-Finanzordnung und ihrer Durchführungsbestimmungen erstellt und vom Rat gebilligt. Im ordentlichen Programm und Haushaltsplan für die Rechnungsperiode 2024-2025 wurden Einnahmen und Ausgaben von </w:t>
      </w:r>
      <w:r w:rsidR="00CA4B12" w:rsidRPr="008474CF">
        <w:rPr>
          <w:rFonts w:cs="Arial"/>
        </w:rPr>
        <w:t>7.901.307</w:t>
      </w:r>
      <w:r w:rsidRPr="008474CF">
        <w:rPr>
          <w:rFonts w:cs="Arial"/>
        </w:rPr>
        <w:t xml:space="preserve"> Schweizer Franken veranschlagt</w:t>
      </w:r>
      <w:r w:rsidR="00A824AF" w:rsidRPr="008474CF">
        <w:rPr>
          <w:rFonts w:cs="Arial"/>
          <w:color w:val="000000" w:themeColor="text1"/>
        </w:rPr>
        <w:t>.</w:t>
      </w:r>
    </w:p>
    <w:p w14:paraId="5E2EA766" w14:textId="77777777" w:rsidR="00B326CD" w:rsidRPr="008474CF" w:rsidRDefault="00B326CD" w:rsidP="00A824AF">
      <w:pPr>
        <w:rPr>
          <w:rFonts w:cs="Arial"/>
          <w:color w:val="000000" w:themeColor="text1"/>
        </w:rPr>
      </w:pPr>
    </w:p>
    <w:p w14:paraId="1B5B74BB" w14:textId="40882A6E" w:rsidR="00B326CD" w:rsidRPr="008474CF" w:rsidRDefault="00B326CD" w:rsidP="00A824AF">
      <w:pPr>
        <w:rPr>
          <w:rFonts w:cs="Arial"/>
          <w:color w:val="000000" w:themeColor="text1"/>
        </w:rPr>
      </w:pPr>
      <w:r w:rsidRPr="008474CF">
        <w:rPr>
          <w:rFonts w:cs="Arial"/>
          <w:color w:val="000000" w:themeColor="text1"/>
        </w:rPr>
        <w:t>Für 2024, das erste Jahr der Rechnungsperiode, belief sich der ursprüngliche und endgültige Haushaltsvoranschlag für Einnahmen und Ausgaben auf 3</w:t>
      </w:r>
      <w:r w:rsidR="003A48B3" w:rsidRPr="008474CF">
        <w:rPr>
          <w:rFonts w:cs="Arial"/>
          <w:color w:val="000000" w:themeColor="text1"/>
        </w:rPr>
        <w:t>.</w:t>
      </w:r>
      <w:r w:rsidRPr="008474CF">
        <w:rPr>
          <w:rFonts w:cs="Arial"/>
          <w:color w:val="000000" w:themeColor="text1"/>
        </w:rPr>
        <w:t>951</w:t>
      </w:r>
      <w:r w:rsidR="003A48B3" w:rsidRPr="008474CF">
        <w:rPr>
          <w:rFonts w:cs="Arial"/>
          <w:color w:val="000000" w:themeColor="text1"/>
        </w:rPr>
        <w:t>.</w:t>
      </w:r>
      <w:r w:rsidRPr="008474CF">
        <w:rPr>
          <w:rFonts w:cs="Arial"/>
          <w:color w:val="000000" w:themeColor="text1"/>
        </w:rPr>
        <w:t xml:space="preserve">000 </w:t>
      </w:r>
      <w:r w:rsidR="000F0498" w:rsidRPr="008474CF">
        <w:rPr>
          <w:rFonts w:cs="Arial"/>
          <w:color w:val="000000" w:themeColor="text1"/>
        </w:rPr>
        <w:t>Schweizer Franken</w:t>
      </w:r>
      <w:r w:rsidRPr="008474CF">
        <w:rPr>
          <w:rFonts w:cs="Arial"/>
          <w:color w:val="000000" w:themeColor="text1"/>
        </w:rPr>
        <w:t xml:space="preserve">. Die tatsächlichen Einnahmen auf </w:t>
      </w:r>
      <w:r w:rsidR="00F44078" w:rsidRPr="008474CF">
        <w:rPr>
          <w:rFonts w:cs="Arial"/>
          <w:color w:val="000000" w:themeColor="text1"/>
        </w:rPr>
        <w:t xml:space="preserve">der Grundlage der </w:t>
      </w:r>
      <w:r w:rsidRPr="008474CF">
        <w:rPr>
          <w:rFonts w:cs="Arial"/>
          <w:color w:val="000000" w:themeColor="text1"/>
        </w:rPr>
        <w:t xml:space="preserve">modifizierten </w:t>
      </w:r>
      <w:r w:rsidR="00244B51" w:rsidRPr="008474CF">
        <w:rPr>
          <w:rFonts w:cs="Arial"/>
          <w:color w:val="000000" w:themeColor="text1"/>
        </w:rPr>
        <w:t>Periodenrechnung</w:t>
      </w:r>
      <w:r w:rsidRPr="008474CF">
        <w:rPr>
          <w:rFonts w:cs="Arial"/>
          <w:color w:val="000000" w:themeColor="text1"/>
        </w:rPr>
        <w:t xml:space="preserve"> für das erste Jahr der Rechnungsperiode betrugen 3</w:t>
      </w:r>
      <w:r w:rsidR="00F44078" w:rsidRPr="008474CF">
        <w:rPr>
          <w:rFonts w:cs="Arial"/>
          <w:color w:val="000000" w:themeColor="text1"/>
        </w:rPr>
        <w:t>.</w:t>
      </w:r>
      <w:r w:rsidRPr="008474CF">
        <w:rPr>
          <w:rFonts w:cs="Arial"/>
          <w:color w:val="000000" w:themeColor="text1"/>
        </w:rPr>
        <w:t>795</w:t>
      </w:r>
      <w:r w:rsidR="000C4702" w:rsidRPr="008474CF">
        <w:rPr>
          <w:rFonts w:cs="Arial"/>
          <w:color w:val="000000" w:themeColor="text1"/>
        </w:rPr>
        <w:t>.</w:t>
      </w:r>
      <w:r w:rsidRPr="008474CF">
        <w:rPr>
          <w:rFonts w:cs="Arial"/>
          <w:color w:val="000000" w:themeColor="text1"/>
        </w:rPr>
        <w:t xml:space="preserve">327 </w:t>
      </w:r>
      <w:r w:rsidR="000F0498" w:rsidRPr="008474CF">
        <w:rPr>
          <w:rFonts w:cs="Arial"/>
          <w:color w:val="000000" w:themeColor="text1"/>
        </w:rPr>
        <w:t>Schweizer Franken</w:t>
      </w:r>
      <w:r w:rsidRPr="008474CF">
        <w:rPr>
          <w:rFonts w:cs="Arial"/>
          <w:color w:val="000000" w:themeColor="text1"/>
        </w:rPr>
        <w:t xml:space="preserve">. Die tatsächlichen Ausgaben auf der Grundlage der modifizierten </w:t>
      </w:r>
      <w:r w:rsidR="000C4702" w:rsidRPr="008474CF">
        <w:rPr>
          <w:rFonts w:cs="Arial"/>
          <w:color w:val="000000" w:themeColor="text1"/>
        </w:rPr>
        <w:t xml:space="preserve">Periodenrechnung </w:t>
      </w:r>
      <w:r w:rsidRPr="008474CF">
        <w:rPr>
          <w:rFonts w:cs="Arial"/>
          <w:color w:val="000000" w:themeColor="text1"/>
        </w:rPr>
        <w:t>für das erste Jahr der Rechnungsperiode betrugen 3</w:t>
      </w:r>
      <w:r w:rsidR="000C4702" w:rsidRPr="008474CF">
        <w:rPr>
          <w:rFonts w:cs="Arial"/>
          <w:color w:val="000000" w:themeColor="text1"/>
        </w:rPr>
        <w:t>.</w:t>
      </w:r>
      <w:r w:rsidRPr="008474CF">
        <w:rPr>
          <w:rFonts w:cs="Arial"/>
          <w:color w:val="000000" w:themeColor="text1"/>
        </w:rPr>
        <w:t>437</w:t>
      </w:r>
      <w:r w:rsidR="000C4702" w:rsidRPr="008474CF">
        <w:rPr>
          <w:rFonts w:cs="Arial"/>
          <w:color w:val="000000" w:themeColor="text1"/>
        </w:rPr>
        <w:t>.</w:t>
      </w:r>
      <w:r w:rsidRPr="008474CF">
        <w:rPr>
          <w:rFonts w:cs="Arial"/>
          <w:color w:val="000000" w:themeColor="text1"/>
        </w:rPr>
        <w:t xml:space="preserve">341 </w:t>
      </w:r>
      <w:r w:rsidR="000F0498" w:rsidRPr="008474CF">
        <w:rPr>
          <w:rFonts w:cs="Arial"/>
          <w:color w:val="000000" w:themeColor="text1"/>
        </w:rPr>
        <w:t>Schweizer Franken</w:t>
      </w:r>
      <w:r w:rsidRPr="008474CF">
        <w:rPr>
          <w:rFonts w:cs="Arial"/>
          <w:color w:val="000000" w:themeColor="text1"/>
        </w:rPr>
        <w:t>. Der UPOV-</w:t>
      </w:r>
      <w:r w:rsidR="006A3ACC" w:rsidRPr="008474CF">
        <w:rPr>
          <w:rFonts w:cs="Arial"/>
          <w:color w:val="000000" w:themeColor="text1"/>
        </w:rPr>
        <w:t>Ergebnisbericht</w:t>
      </w:r>
      <w:r w:rsidRPr="008474CF">
        <w:rPr>
          <w:rFonts w:cs="Arial"/>
          <w:color w:val="000000" w:themeColor="text1"/>
        </w:rPr>
        <w:t xml:space="preserve"> für 2024 enthält eine Erläuterung der wesentlichen Unterschiede zwischen dem Haushaltsplan und den tatsächlichen Beträgen.</w:t>
      </w:r>
    </w:p>
    <w:p w14:paraId="0041EB1C" w14:textId="77777777" w:rsidR="00A824AF" w:rsidRPr="008474CF" w:rsidRDefault="00A824AF" w:rsidP="00A824AF">
      <w:pPr>
        <w:rPr>
          <w:rFonts w:cs="Arial"/>
          <w:color w:val="000000" w:themeColor="text1"/>
        </w:rPr>
      </w:pPr>
    </w:p>
    <w:p w14:paraId="75B2F569" w14:textId="77777777" w:rsidR="007022B1" w:rsidRPr="008474CF" w:rsidRDefault="007022B1" w:rsidP="007022B1">
      <w:pPr>
        <w:pStyle w:val="STYLEDUTEXTE"/>
        <w:rPr>
          <w:rFonts w:cs="Arial"/>
          <w:sz w:val="20"/>
        </w:rPr>
      </w:pPr>
      <w:r w:rsidRPr="008474CF">
        <w:rPr>
          <w:rFonts w:cs="Arial"/>
          <w:sz w:val="20"/>
        </w:rPr>
        <w:t xml:space="preserve">Haushaltsplan und Rechnungsabschluss der UPOV werden auf zwei verschiedenen Grundlagen erstellt. Die Darstellung der Vermögenslage, die Darstellung der Erfolgsrechnung, die Darstellung der Entwicklung des Nettovermögens und die Darstellung der Kapitalflussrechnung werden auf der Basis der vollständigen Periodenrechnung erstellt, wohingegen die Gegenüberstellung von budgetierten und tatsächlichen Beträgen (Darstellung V) auf der Basis der modifizierten Periodenrechnung erstellt wird. </w:t>
      </w:r>
    </w:p>
    <w:p w14:paraId="6D7DAA03" w14:textId="77777777" w:rsidR="007022B1" w:rsidRPr="008474CF" w:rsidRDefault="007022B1" w:rsidP="007022B1">
      <w:pPr>
        <w:pStyle w:val="STYLEDUTEXTE"/>
        <w:rPr>
          <w:rFonts w:cs="Arial"/>
          <w:sz w:val="20"/>
        </w:rPr>
      </w:pPr>
    </w:p>
    <w:p w14:paraId="52B8ABFF" w14:textId="08F03273" w:rsidR="00723AB8" w:rsidRPr="008474CF" w:rsidRDefault="007022B1" w:rsidP="007022B1">
      <w:pPr>
        <w:pStyle w:val="STYLEDUTEXTE"/>
        <w:rPr>
          <w:rFonts w:cs="Arial"/>
          <w:sz w:val="20"/>
        </w:rPr>
      </w:pPr>
      <w:r w:rsidRPr="008474CF">
        <w:rPr>
          <w:rFonts w:cs="Arial"/>
          <w:sz w:val="20"/>
        </w:rPr>
        <w:t>Wie von IPSAS 24 gefordert, wird eine Gegenüberstellung der tatsächlichen Beträge auf vergleichbarer Basis mit Haushaltsplan, wie in Darstellung V dargelegt, und der tatsächlichen Beträge im Jahresabschluss vorgelegt, woraus getrennt voneinander sämtliche Unterschiede im Hinblick auf Grundlage, Zeit und Einheiten hervorgehen</w:t>
      </w:r>
      <w:r w:rsidR="00A824AF" w:rsidRPr="008474CF">
        <w:rPr>
          <w:rFonts w:cs="Arial"/>
          <w:sz w:val="20"/>
        </w:rPr>
        <w:t xml:space="preserve">. </w:t>
      </w:r>
    </w:p>
    <w:p w14:paraId="6040A6A7" w14:textId="77777777" w:rsidR="00723AB8" w:rsidRPr="008474CF" w:rsidRDefault="00723AB8" w:rsidP="00A824AF">
      <w:pPr>
        <w:pStyle w:val="STYLEDUTEXTE"/>
        <w:rPr>
          <w:rFonts w:cs="Arial"/>
          <w:sz w:val="20"/>
        </w:rPr>
      </w:pPr>
    </w:p>
    <w:p w14:paraId="72EA1FC8" w14:textId="7657A0F9" w:rsidR="00E15ABE" w:rsidRPr="008474CF" w:rsidRDefault="00097723" w:rsidP="00A824AF">
      <w:pPr>
        <w:pStyle w:val="STYLEDUTEXTE"/>
        <w:rPr>
          <w:rFonts w:cs="Arial"/>
          <w:b/>
          <w:bCs/>
          <w:sz w:val="20"/>
        </w:rPr>
      </w:pPr>
      <w:r w:rsidRPr="008474CF">
        <w:rPr>
          <w:rFonts w:cs="Arial"/>
          <w:b/>
          <w:bCs/>
          <w:sz w:val="20"/>
        </w:rPr>
        <w:t xml:space="preserve">Gegenüberstellung </w:t>
      </w:r>
      <w:r w:rsidR="00E15ABE" w:rsidRPr="008474CF">
        <w:rPr>
          <w:rFonts w:cs="Arial"/>
          <w:b/>
          <w:bCs/>
          <w:sz w:val="20"/>
        </w:rPr>
        <w:t xml:space="preserve">für das Jahr </w:t>
      </w:r>
      <w:r w:rsidR="004B258C" w:rsidRPr="008474CF">
        <w:rPr>
          <w:rFonts w:cs="Arial"/>
          <w:b/>
          <w:bCs/>
          <w:sz w:val="20"/>
        </w:rPr>
        <w:t>2024</w:t>
      </w:r>
    </w:p>
    <w:p w14:paraId="47D3FD60" w14:textId="77777777" w:rsidR="00584923" w:rsidRPr="008474CF" w:rsidRDefault="00584923" w:rsidP="00A824AF">
      <w:pPr>
        <w:pStyle w:val="STYLEDUTEXTE"/>
        <w:rPr>
          <w:rFonts w:cs="Arial"/>
          <w:b/>
          <w:bCs/>
          <w:sz w:val="20"/>
        </w:rPr>
      </w:pPr>
    </w:p>
    <w:p w14:paraId="2C953494" w14:textId="04DAADCA" w:rsidR="00584923" w:rsidRPr="008474CF" w:rsidRDefault="00B12CD0" w:rsidP="00A824AF">
      <w:pPr>
        <w:pStyle w:val="STYLEDUTEXTE"/>
        <w:rPr>
          <w:rFonts w:cs="Arial"/>
          <w:b/>
          <w:bCs/>
          <w:sz w:val="20"/>
        </w:rPr>
      </w:pPr>
      <w:r w:rsidRPr="00B12CD0">
        <w:rPr>
          <w:noProof/>
        </w:rPr>
        <w:drawing>
          <wp:inline distT="0" distB="0" distL="0" distR="0" wp14:anchorId="3E3B47CE" wp14:editId="7A395765">
            <wp:extent cx="5876290" cy="2734945"/>
            <wp:effectExtent l="0" t="0" r="0" b="8255"/>
            <wp:docPr id="8927628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76290" cy="2734945"/>
                    </a:xfrm>
                    <a:prstGeom prst="rect">
                      <a:avLst/>
                    </a:prstGeom>
                    <a:noFill/>
                    <a:ln>
                      <a:noFill/>
                    </a:ln>
                  </pic:spPr>
                </pic:pic>
              </a:graphicData>
            </a:graphic>
          </wp:inline>
        </w:drawing>
      </w:r>
    </w:p>
    <w:p w14:paraId="11AB3C97" w14:textId="43E0D068" w:rsidR="00723AB8" w:rsidRPr="008474CF" w:rsidRDefault="005B42AD" w:rsidP="00F01218">
      <w:pPr>
        <w:pStyle w:val="STYLEDUTEXTE"/>
        <w:jc w:val="center"/>
        <w:rPr>
          <w:rFonts w:cs="Arial"/>
          <w:sz w:val="20"/>
        </w:rPr>
      </w:pPr>
      <w:r w:rsidRPr="008474CF">
        <w:rPr>
          <w:rFonts w:cs="Arial"/>
        </w:rPr>
        <w:t xml:space="preserve"> </w:t>
      </w:r>
    </w:p>
    <w:p w14:paraId="114F9449" w14:textId="1BF74C29" w:rsidR="00723AB8" w:rsidRPr="008474CF" w:rsidRDefault="00CB1F12" w:rsidP="00B56280">
      <w:pPr>
        <w:pStyle w:val="Heading2Notes"/>
        <w:ind w:left="1843" w:hanging="1843"/>
        <w:rPr>
          <w:rFonts w:ascii="Arial" w:hAnsi="Arial" w:cs="Arial"/>
          <w:lang w:val="de-DE"/>
        </w:rPr>
      </w:pPr>
      <w:bookmarkStart w:id="66" w:name="_Toc84329903"/>
      <w:bookmarkStart w:id="67" w:name="_Toc205303762"/>
      <w:r w:rsidRPr="008474CF">
        <w:rPr>
          <w:rFonts w:ascii="Arial" w:hAnsi="Arial" w:cs="Arial"/>
          <w:lang w:val="de-DE"/>
        </w:rPr>
        <w:lastRenderedPageBreak/>
        <w:t xml:space="preserve">Anmerkung </w:t>
      </w:r>
      <w:r w:rsidR="00A653A1" w:rsidRPr="008474CF">
        <w:rPr>
          <w:rFonts w:ascii="Arial" w:hAnsi="Arial" w:cs="Arial"/>
          <w:lang w:val="de-DE"/>
        </w:rPr>
        <w:t>12</w:t>
      </w:r>
      <w:r w:rsidR="00A824AF" w:rsidRPr="008474CF">
        <w:rPr>
          <w:rFonts w:ascii="Arial" w:hAnsi="Arial" w:cs="Arial"/>
          <w:lang w:val="de-DE"/>
        </w:rPr>
        <w:t>:</w:t>
      </w:r>
      <w:r w:rsidR="00A824AF" w:rsidRPr="008474CF">
        <w:rPr>
          <w:rFonts w:ascii="Arial" w:hAnsi="Arial" w:cs="Arial"/>
          <w:lang w:val="de-DE"/>
        </w:rPr>
        <w:tab/>
      </w:r>
      <w:r w:rsidR="00187DDC" w:rsidRPr="008474CF">
        <w:rPr>
          <w:rFonts w:ascii="Arial" w:hAnsi="Arial" w:cs="Arial"/>
          <w:lang w:val="de-DE"/>
        </w:rPr>
        <w:t>Einnahmen</w:t>
      </w:r>
      <w:bookmarkEnd w:id="66"/>
      <w:bookmarkEnd w:id="67"/>
    </w:p>
    <w:p w14:paraId="35A6D3DC" w14:textId="77777777" w:rsidR="00647FA8" w:rsidRPr="008474CF" w:rsidRDefault="00647FA8">
      <w:pPr>
        <w:pStyle w:val="Heading2Notes"/>
        <w:rPr>
          <w:rFonts w:ascii="Arial" w:hAnsi="Arial" w:cs="Arial"/>
          <w:lang w:val="de-DE"/>
        </w:rPr>
      </w:pPr>
    </w:p>
    <w:p w14:paraId="59B06E82" w14:textId="03223AB1" w:rsidR="00CC5B48" w:rsidRPr="008474CF" w:rsidRDefault="008260F3" w:rsidP="00F01218">
      <w:pPr>
        <w:pStyle w:val="Styletexte"/>
        <w:spacing w:after="0"/>
        <w:jc w:val="center"/>
        <w:rPr>
          <w:rFonts w:cs="Arial"/>
          <w:sz w:val="20"/>
        </w:rPr>
      </w:pPr>
      <w:r w:rsidRPr="005B7723">
        <w:rPr>
          <w:noProof/>
        </w:rPr>
        <w:drawing>
          <wp:inline distT="0" distB="0" distL="0" distR="0" wp14:anchorId="53323BBE" wp14:editId="38947FF1">
            <wp:extent cx="6137910" cy="2131060"/>
            <wp:effectExtent l="0" t="0" r="0" b="0"/>
            <wp:docPr id="36187094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37910" cy="2131060"/>
                    </a:xfrm>
                    <a:prstGeom prst="rect">
                      <a:avLst/>
                    </a:prstGeom>
                    <a:noFill/>
                    <a:ln>
                      <a:noFill/>
                    </a:ln>
                  </pic:spPr>
                </pic:pic>
              </a:graphicData>
            </a:graphic>
          </wp:inline>
        </w:drawing>
      </w:r>
    </w:p>
    <w:p w14:paraId="68B3AA87" w14:textId="77777777" w:rsidR="001F374E" w:rsidRPr="008474CF" w:rsidRDefault="001F374E" w:rsidP="00187DDC">
      <w:pPr>
        <w:pStyle w:val="Styletexte"/>
        <w:spacing w:after="0"/>
        <w:rPr>
          <w:rFonts w:cs="Arial"/>
          <w:sz w:val="20"/>
        </w:rPr>
      </w:pPr>
    </w:p>
    <w:p w14:paraId="03223874" w14:textId="1DFABEE8" w:rsidR="00C77C07" w:rsidRPr="008474CF" w:rsidRDefault="004C0CDC" w:rsidP="00C21351">
      <w:pPr>
        <w:pStyle w:val="Styletexte"/>
        <w:spacing w:after="0"/>
      </w:pPr>
      <w:r w:rsidRPr="008474CF">
        <w:rPr>
          <w:rFonts w:cs="Arial"/>
          <w:sz w:val="20"/>
        </w:rPr>
        <w:t>Beiträge sind im ordentlichen Programm und Haushaltsplan als im Januar 2024 fällige Beträge dargestellt. Außeretatmäßige Mittel in der Rubrik der Treuhandgelder sind Einnahmen, die in Verbindung mit Beiträgen von Gebern zu einzelnen Projekten, die nicht im ordentlichen Programm und Haushaltsplan enthalten sind, geleistet werden. Einnahmen aus außeretatmäßigen Mitteln (Treuhandgelder) werden so lange abgegrenzt, bis sie durch Erbringung der spezifischen Dienstleistungen, die in dem mit dem Geldgeber vereinbarten Arbeitsplan vorgesehenen ist, eingebracht werden</w:t>
      </w:r>
      <w:r w:rsidR="00A824AF" w:rsidRPr="008474CF">
        <w:rPr>
          <w:rFonts w:cs="Arial"/>
          <w:sz w:val="20"/>
        </w:rPr>
        <w:t xml:space="preserve">. </w:t>
      </w:r>
      <w:bookmarkStart w:id="68" w:name="_Toc84329904"/>
    </w:p>
    <w:p w14:paraId="74617B05" w14:textId="5FA918A3" w:rsidR="00CC5B48" w:rsidRPr="008474CF" w:rsidRDefault="00CC5B48">
      <w:pPr>
        <w:jc w:val="left"/>
        <w:rPr>
          <w:rFonts w:cs="Arial"/>
        </w:rPr>
      </w:pPr>
    </w:p>
    <w:p w14:paraId="1A05FAA3" w14:textId="7522FBAE" w:rsidR="00B326CD" w:rsidRPr="008474CF" w:rsidRDefault="00B326CD">
      <w:pPr>
        <w:jc w:val="left"/>
        <w:rPr>
          <w:rFonts w:ascii="Arial Bold" w:hAnsi="Arial Bold" w:cs="Arial"/>
        </w:rPr>
      </w:pPr>
    </w:p>
    <w:p w14:paraId="45FA187F" w14:textId="2348391C" w:rsidR="00A824AF" w:rsidRPr="008474CF" w:rsidRDefault="00F45269" w:rsidP="00B56280">
      <w:pPr>
        <w:pStyle w:val="Heading2Notes"/>
        <w:ind w:left="1843" w:hanging="1843"/>
        <w:rPr>
          <w:rFonts w:ascii="Arial" w:hAnsi="Arial" w:cs="Arial"/>
          <w:lang w:val="de-DE"/>
        </w:rPr>
      </w:pPr>
      <w:bookmarkStart w:id="69" w:name="_Toc205303763"/>
      <w:r w:rsidRPr="008474CF">
        <w:rPr>
          <w:rFonts w:ascii="Arial" w:hAnsi="Arial" w:cs="Arial"/>
          <w:lang w:val="de-DE"/>
        </w:rPr>
        <w:t xml:space="preserve">Anmerkung </w:t>
      </w:r>
      <w:r w:rsidR="00A653A1" w:rsidRPr="008474CF">
        <w:rPr>
          <w:rFonts w:ascii="Arial" w:hAnsi="Arial" w:cs="Arial"/>
          <w:lang w:val="de-DE"/>
        </w:rPr>
        <w:t>13</w:t>
      </w:r>
      <w:r w:rsidR="00A824AF" w:rsidRPr="008474CF">
        <w:rPr>
          <w:rFonts w:ascii="Arial" w:hAnsi="Arial" w:cs="Arial"/>
          <w:lang w:val="de-DE"/>
        </w:rPr>
        <w:t>:</w:t>
      </w:r>
      <w:r w:rsidR="00A824AF" w:rsidRPr="008474CF">
        <w:rPr>
          <w:rFonts w:ascii="Arial" w:hAnsi="Arial" w:cs="Arial"/>
          <w:lang w:val="de-DE"/>
        </w:rPr>
        <w:tab/>
      </w:r>
      <w:r w:rsidRPr="008474CF">
        <w:rPr>
          <w:rFonts w:ascii="Arial" w:hAnsi="Arial" w:cs="Arial"/>
          <w:lang w:val="de-DE"/>
        </w:rPr>
        <w:t>Ausgaben</w:t>
      </w:r>
      <w:bookmarkEnd w:id="68"/>
      <w:bookmarkEnd w:id="69"/>
    </w:p>
    <w:p w14:paraId="52DC7B41" w14:textId="762307DE" w:rsidR="00483FD7" w:rsidRPr="008474CF" w:rsidRDefault="00483FD7" w:rsidP="00A824AF">
      <w:pPr>
        <w:pStyle w:val="Styletexte"/>
        <w:spacing w:after="0"/>
        <w:rPr>
          <w:rFonts w:cs="Arial"/>
          <w:sz w:val="20"/>
        </w:rPr>
      </w:pPr>
    </w:p>
    <w:p w14:paraId="65F7A662" w14:textId="0FCF83F3" w:rsidR="00483FD7" w:rsidRPr="008474CF" w:rsidRDefault="008260F3" w:rsidP="00F01218">
      <w:pPr>
        <w:pStyle w:val="Styletexte"/>
        <w:spacing w:after="0"/>
        <w:jc w:val="center"/>
        <w:rPr>
          <w:rFonts w:cs="Arial"/>
          <w:sz w:val="20"/>
        </w:rPr>
      </w:pPr>
      <w:r w:rsidRPr="008260F3">
        <w:rPr>
          <w:noProof/>
        </w:rPr>
        <w:drawing>
          <wp:inline distT="0" distB="0" distL="0" distR="0" wp14:anchorId="2445B659" wp14:editId="73707757">
            <wp:extent cx="6137910" cy="2476500"/>
            <wp:effectExtent l="0" t="0" r="0" b="0"/>
            <wp:docPr id="22001696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37910" cy="2476500"/>
                    </a:xfrm>
                    <a:prstGeom prst="rect">
                      <a:avLst/>
                    </a:prstGeom>
                    <a:noFill/>
                    <a:ln>
                      <a:noFill/>
                    </a:ln>
                  </pic:spPr>
                </pic:pic>
              </a:graphicData>
            </a:graphic>
          </wp:inline>
        </w:drawing>
      </w:r>
    </w:p>
    <w:p w14:paraId="7D054BA4" w14:textId="77777777" w:rsidR="00E15ABE" w:rsidRPr="008474CF" w:rsidRDefault="00E15ABE" w:rsidP="00A824AF">
      <w:pPr>
        <w:pStyle w:val="Styletexte"/>
        <w:spacing w:after="0"/>
        <w:rPr>
          <w:rFonts w:cs="Arial"/>
          <w:sz w:val="20"/>
        </w:rPr>
      </w:pPr>
    </w:p>
    <w:p w14:paraId="5570443C" w14:textId="77777777" w:rsidR="007C670C" w:rsidRPr="008474CF" w:rsidRDefault="007C670C" w:rsidP="007C670C">
      <w:pPr>
        <w:rPr>
          <w:rFonts w:cs="Arial"/>
        </w:rPr>
      </w:pPr>
      <w:bookmarkStart w:id="70" w:name="_Hlk161157249"/>
      <w:r w:rsidRPr="008474CF">
        <w:rPr>
          <w:rFonts w:cs="Arial"/>
        </w:rPr>
        <w:t>Der Personalaufwand umfasst kurzfristige Leistungen für Bedienstete, wie etwa Grundgehalt, Ortszuschläge, Zulagen für Unterhaltsberechtigte, Beiträge zur Pensionskasse, Beiträge zur Krankenversicherung und zu anderen Versicherungen, Heimaturlaub und andere Ansprüche für fest Angestellte und befristete Verträge. Infolge der Einführung der IPSAS umfasst der Personalaufwand auch Beträge für die Veränderungen im Hinblick auf Leistungsverpflichtungen gegenüber Bediensteten.</w:t>
      </w:r>
    </w:p>
    <w:p w14:paraId="4EF68E42" w14:textId="77777777" w:rsidR="007C670C" w:rsidRPr="008474CF" w:rsidRDefault="007C670C" w:rsidP="007C670C">
      <w:pPr>
        <w:rPr>
          <w:rFonts w:cs="Arial"/>
        </w:rPr>
      </w:pPr>
    </w:p>
    <w:p w14:paraId="25CC3A2C" w14:textId="77777777" w:rsidR="007C670C" w:rsidRPr="008474CF" w:rsidRDefault="007C670C" w:rsidP="007C670C">
      <w:pPr>
        <w:rPr>
          <w:rFonts w:cs="Arial"/>
        </w:rPr>
      </w:pPr>
      <w:r w:rsidRPr="008474CF">
        <w:rPr>
          <w:rFonts w:cs="Arial"/>
        </w:rPr>
        <w:t xml:space="preserve">Zu Reisen, Ausbildung und Stipendien gehören die Kosten für Flugtickets, Spesen, Transferkosten und sonstige Reisekosten für Bedienstete auf Dienstreise und Reisen für Teilnehmer und Referenten in Verbindung mit Ausbildungstätigkeiten. Zu vertraglich vereinbarten Dienstleistungen gehören Übersetzer, Dolmetscher und andere Dienstleistungen, die nicht vom Personal erbracht werden. </w:t>
      </w:r>
    </w:p>
    <w:p w14:paraId="0C707B60" w14:textId="77777777" w:rsidR="007C670C" w:rsidRPr="008474CF" w:rsidRDefault="007C670C" w:rsidP="007C670C">
      <w:pPr>
        <w:rPr>
          <w:rFonts w:cs="Arial"/>
        </w:rPr>
      </w:pPr>
    </w:p>
    <w:p w14:paraId="5989656E" w14:textId="26E07836" w:rsidR="003F5E9F" w:rsidRPr="008474CF" w:rsidRDefault="007C670C" w:rsidP="007C670C">
      <w:r w:rsidRPr="008474CF">
        <w:rPr>
          <w:rFonts w:cs="Arial"/>
        </w:rPr>
        <w:t>Der Betriebsaufwand umfasst Zahlungen im Rahmen der WIPO/UPOV-Vereinbarung wie etwa Instandhaltung der Räume, Personalverwaltung, Finanzverwaltung, Beschaffungsdienste und sonstige administrativen Unterstützungsleistungen</w:t>
      </w:r>
      <w:r w:rsidR="003F5E9F" w:rsidRPr="008474CF">
        <w:rPr>
          <w:rFonts w:cs="Arial"/>
        </w:rPr>
        <w:t>.</w:t>
      </w:r>
      <w:bookmarkEnd w:id="70"/>
    </w:p>
    <w:p w14:paraId="13635000" w14:textId="343C6C26" w:rsidR="005B42AD" w:rsidRPr="008474CF" w:rsidRDefault="00C624DE" w:rsidP="006156E3">
      <w:pPr>
        <w:pStyle w:val="Styletexte"/>
        <w:spacing w:after="0"/>
        <w:rPr>
          <w:rFonts w:cs="Arial"/>
          <w:b/>
          <w:caps/>
        </w:rPr>
      </w:pPr>
      <w:r w:rsidRPr="008474CF">
        <w:rPr>
          <w:rFonts w:cs="Arial"/>
          <w:sz w:val="20"/>
        </w:rPr>
        <w:t xml:space="preserve"> </w:t>
      </w:r>
      <w:bookmarkStart w:id="71" w:name="_Toc84329905"/>
    </w:p>
    <w:p w14:paraId="5A59E345" w14:textId="75C5EF54" w:rsidR="00951D01" w:rsidRPr="008474CF" w:rsidRDefault="00951D01">
      <w:pPr>
        <w:jc w:val="left"/>
        <w:rPr>
          <w:rFonts w:cs="Arial"/>
          <w:b/>
          <w:caps/>
        </w:rPr>
      </w:pPr>
    </w:p>
    <w:p w14:paraId="2AA9C64E" w14:textId="6D40646F" w:rsidR="00A824AF" w:rsidRPr="008474CF" w:rsidRDefault="00F45269" w:rsidP="00BD17F6">
      <w:pPr>
        <w:pStyle w:val="Heading2Notes"/>
        <w:ind w:left="1843" w:hanging="1843"/>
        <w:rPr>
          <w:rFonts w:ascii="Arial" w:hAnsi="Arial" w:cs="Arial"/>
          <w:lang w:val="de-DE"/>
        </w:rPr>
      </w:pPr>
      <w:bookmarkStart w:id="72" w:name="_Toc205303764"/>
      <w:r w:rsidRPr="008474CF">
        <w:rPr>
          <w:rFonts w:ascii="Arial" w:hAnsi="Arial" w:cs="Arial"/>
          <w:lang w:val="de-DE"/>
        </w:rPr>
        <w:lastRenderedPageBreak/>
        <w:t xml:space="preserve">Anmerkung </w:t>
      </w:r>
      <w:r w:rsidR="00CA0539" w:rsidRPr="008474CF">
        <w:rPr>
          <w:rFonts w:ascii="Arial" w:hAnsi="Arial" w:cs="Arial"/>
          <w:lang w:val="de-DE"/>
        </w:rPr>
        <w:t>14</w:t>
      </w:r>
      <w:r w:rsidR="00A824AF" w:rsidRPr="008474CF">
        <w:rPr>
          <w:rFonts w:ascii="Arial" w:hAnsi="Arial" w:cs="Arial"/>
          <w:lang w:val="de-DE"/>
        </w:rPr>
        <w:t>:</w:t>
      </w:r>
      <w:r w:rsidR="00A824AF" w:rsidRPr="008474CF">
        <w:rPr>
          <w:rFonts w:ascii="Arial" w:hAnsi="Arial" w:cs="Arial"/>
          <w:lang w:val="de-DE"/>
        </w:rPr>
        <w:tab/>
      </w:r>
      <w:r w:rsidRPr="008474CF">
        <w:rPr>
          <w:rFonts w:ascii="Arial" w:hAnsi="Arial" w:cs="Arial"/>
          <w:lang w:val="de-DE"/>
        </w:rPr>
        <w:t>Finanzinstrumente</w:t>
      </w:r>
      <w:bookmarkEnd w:id="71"/>
      <w:bookmarkEnd w:id="72"/>
    </w:p>
    <w:p w14:paraId="4E296D3C" w14:textId="77777777" w:rsidR="00A824AF" w:rsidRPr="008474CF" w:rsidRDefault="00A824AF" w:rsidP="00BD17F6">
      <w:pPr>
        <w:keepNext/>
        <w:rPr>
          <w:rFonts w:cs="Arial"/>
        </w:rPr>
      </w:pPr>
      <w:bookmarkStart w:id="73" w:name="_Hlk164101904"/>
    </w:p>
    <w:p w14:paraId="67F7C099" w14:textId="77777777" w:rsidR="00FF74A5" w:rsidRPr="008474CF" w:rsidRDefault="00FF74A5" w:rsidP="00FF74A5">
      <w:pPr>
        <w:autoSpaceDE w:val="0"/>
        <w:autoSpaceDN w:val="0"/>
        <w:adjustRightInd w:val="0"/>
        <w:rPr>
          <w:rFonts w:cs="Arial"/>
        </w:rPr>
      </w:pPr>
      <w:r w:rsidRPr="008474CF">
        <w:rPr>
          <w:rFonts w:cs="Arial"/>
        </w:rPr>
        <w:t xml:space="preserve">Die UPOV ist gewissen Liquiditäts-, Zinsänderungs-, Währungs- und Kreditrisiken ausgesetzt, die bei normalem Betrieb entstehen. </w:t>
      </w:r>
    </w:p>
    <w:p w14:paraId="26A4A6D1" w14:textId="77777777" w:rsidR="00FF74A5" w:rsidRPr="008474CF" w:rsidRDefault="00FF74A5" w:rsidP="00FF74A5">
      <w:pPr>
        <w:autoSpaceDE w:val="0"/>
        <w:autoSpaceDN w:val="0"/>
        <w:adjustRightInd w:val="0"/>
        <w:rPr>
          <w:rFonts w:cs="Arial"/>
        </w:rPr>
      </w:pPr>
    </w:p>
    <w:p w14:paraId="2BEEB2B7" w14:textId="15A075B9" w:rsidR="00A824AF" w:rsidRPr="008474CF" w:rsidRDefault="00FF74A5" w:rsidP="00FF74A5">
      <w:pPr>
        <w:autoSpaceDE w:val="0"/>
        <w:autoSpaceDN w:val="0"/>
        <w:adjustRightInd w:val="0"/>
        <w:rPr>
          <w:rFonts w:cs="Arial"/>
        </w:rPr>
      </w:pPr>
      <w:r w:rsidRPr="008474CF">
        <w:rPr>
          <w:rFonts w:cs="Arial"/>
        </w:rPr>
        <w:t>Der Verband verwaltet seine Anlagen gemäß seiner Anlagepolitik. Der Generalsekretär kann gemäß der Anlagepolitik der UPOV kurzfristige Anlagen von Geldern tätigen, die nicht für den unmittelbaren Bedarf benötigt werden. Sofern nicht anders vom Rat vereinbart, entspricht die Anlagepolitik der UPOV der Anlagepolitik der WIPO für Operative Liquidität. Der Generalsekretär kann für Angelegenheiten, die ausschließlich die UPOV betreffen, die Beratung des Beratungsausschusses für Kapitalanlagen der WIPO einholen. Der Generalsekretär unterrichtet zudem den Beratenden Ausschuss regelmäßig über die Anlagen</w:t>
      </w:r>
      <w:r w:rsidR="003E5BC0" w:rsidRPr="008474CF">
        <w:rPr>
          <w:rFonts w:cs="Arial"/>
        </w:rPr>
        <w:t xml:space="preserve">. </w:t>
      </w:r>
      <w:bookmarkEnd w:id="73"/>
    </w:p>
    <w:p w14:paraId="4EA45947" w14:textId="77777777" w:rsidR="00EF5457" w:rsidRPr="008474CF" w:rsidRDefault="00EF5457" w:rsidP="00A824AF">
      <w:pPr>
        <w:autoSpaceDE w:val="0"/>
        <w:autoSpaceDN w:val="0"/>
        <w:adjustRightInd w:val="0"/>
        <w:rPr>
          <w:rFonts w:cs="Arial"/>
        </w:rPr>
      </w:pPr>
    </w:p>
    <w:p w14:paraId="7F4ADA10" w14:textId="4CF444A1" w:rsidR="00733550" w:rsidRPr="008474CF" w:rsidRDefault="00733550" w:rsidP="00733550">
      <w:pPr>
        <w:autoSpaceDE w:val="0"/>
        <w:autoSpaceDN w:val="0"/>
        <w:adjustRightInd w:val="0"/>
        <w:rPr>
          <w:rFonts w:cs="Arial"/>
          <w:b/>
          <w:lang w:eastAsia="en-GB"/>
        </w:rPr>
      </w:pPr>
      <w:r w:rsidRPr="008474CF">
        <w:rPr>
          <w:rFonts w:cs="Arial"/>
          <w:b/>
          <w:lang w:eastAsia="en-GB"/>
        </w:rPr>
        <w:t xml:space="preserve">Überblick über </w:t>
      </w:r>
      <w:r w:rsidR="00FF74A5" w:rsidRPr="008474CF">
        <w:rPr>
          <w:rFonts w:cs="Arial"/>
          <w:b/>
          <w:lang w:eastAsia="en-GB"/>
        </w:rPr>
        <w:t xml:space="preserve">die </w:t>
      </w:r>
      <w:r w:rsidRPr="008474CF">
        <w:rPr>
          <w:rFonts w:cs="Arial"/>
          <w:b/>
          <w:lang w:eastAsia="en-GB"/>
        </w:rPr>
        <w:t>Finanzinstrumente</w:t>
      </w:r>
    </w:p>
    <w:p w14:paraId="759C91DE" w14:textId="77777777" w:rsidR="00733550" w:rsidRPr="008474CF" w:rsidRDefault="00733550" w:rsidP="00733550">
      <w:pPr>
        <w:autoSpaceDE w:val="0"/>
        <w:autoSpaceDN w:val="0"/>
        <w:adjustRightInd w:val="0"/>
        <w:rPr>
          <w:rFonts w:cs="Arial"/>
          <w:b/>
          <w:lang w:eastAsia="en-GB"/>
        </w:rPr>
      </w:pPr>
    </w:p>
    <w:p w14:paraId="1294EDCF" w14:textId="0527C848" w:rsidR="00733550" w:rsidRPr="008474CF" w:rsidRDefault="00733550" w:rsidP="00733550">
      <w:pPr>
        <w:autoSpaceDE w:val="0"/>
        <w:autoSpaceDN w:val="0"/>
        <w:adjustRightInd w:val="0"/>
        <w:rPr>
          <w:rFonts w:cs="Arial"/>
          <w:lang w:eastAsia="en-GB"/>
        </w:rPr>
      </w:pPr>
      <w:r w:rsidRPr="008474CF">
        <w:rPr>
          <w:rFonts w:cs="Arial"/>
          <w:lang w:eastAsia="en-GB"/>
        </w:rPr>
        <w:t xml:space="preserve">Die Finanzinstrumente </w:t>
      </w:r>
      <w:r w:rsidR="002A7AEC" w:rsidRPr="008474CF">
        <w:rPr>
          <w:rFonts w:cs="Arial"/>
          <w:lang w:eastAsia="en-GB"/>
        </w:rPr>
        <w:t>sind folgendermaßen kategorisiert</w:t>
      </w:r>
      <w:r w:rsidRPr="008474CF">
        <w:rPr>
          <w:rFonts w:cs="Arial"/>
          <w:lang w:eastAsia="en-GB"/>
        </w:rPr>
        <w:t>:</w:t>
      </w:r>
    </w:p>
    <w:p w14:paraId="7673D0EC" w14:textId="77777777" w:rsidR="0093752D" w:rsidRPr="008474CF" w:rsidRDefault="0093752D" w:rsidP="00A824AF">
      <w:pPr>
        <w:autoSpaceDE w:val="0"/>
        <w:autoSpaceDN w:val="0"/>
        <w:adjustRightInd w:val="0"/>
        <w:rPr>
          <w:rFonts w:cs="Arial"/>
          <w:lang w:eastAsia="en-GB"/>
        </w:rPr>
      </w:pPr>
    </w:p>
    <w:p w14:paraId="5422ECD0" w14:textId="70A3EC1A" w:rsidR="00FF130A" w:rsidRPr="008474CF" w:rsidRDefault="00C278C2" w:rsidP="00F01218">
      <w:pPr>
        <w:autoSpaceDE w:val="0"/>
        <w:autoSpaceDN w:val="0"/>
        <w:adjustRightInd w:val="0"/>
        <w:jc w:val="center"/>
        <w:rPr>
          <w:rFonts w:cs="Arial"/>
          <w:lang w:eastAsia="en-GB"/>
        </w:rPr>
      </w:pPr>
      <w:r w:rsidRPr="00C278C2">
        <w:rPr>
          <w:noProof/>
        </w:rPr>
        <w:drawing>
          <wp:inline distT="0" distB="0" distL="0" distR="0" wp14:anchorId="6A72EE51" wp14:editId="30315C05">
            <wp:extent cx="6003290" cy="659765"/>
            <wp:effectExtent l="0" t="0" r="0" b="6985"/>
            <wp:docPr id="1318864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03290" cy="659765"/>
                    </a:xfrm>
                    <a:prstGeom prst="rect">
                      <a:avLst/>
                    </a:prstGeom>
                    <a:noFill/>
                    <a:ln>
                      <a:noFill/>
                    </a:ln>
                  </pic:spPr>
                </pic:pic>
              </a:graphicData>
            </a:graphic>
          </wp:inline>
        </w:drawing>
      </w:r>
    </w:p>
    <w:p w14:paraId="19177416" w14:textId="30E053E0" w:rsidR="00BB0DEA" w:rsidRPr="008474CF" w:rsidRDefault="00BB0DEA">
      <w:pPr>
        <w:jc w:val="left"/>
        <w:rPr>
          <w:rFonts w:cs="Arial"/>
          <w:lang w:eastAsia="en-GB"/>
        </w:rPr>
      </w:pPr>
    </w:p>
    <w:p w14:paraId="6EDB59F3" w14:textId="3933F3A9" w:rsidR="0093752D" w:rsidRPr="008474CF" w:rsidRDefault="00733550" w:rsidP="00A824AF">
      <w:pPr>
        <w:autoSpaceDE w:val="0"/>
        <w:autoSpaceDN w:val="0"/>
        <w:adjustRightInd w:val="0"/>
        <w:rPr>
          <w:rFonts w:cs="Arial"/>
          <w:lang w:eastAsia="en-GB"/>
        </w:rPr>
      </w:pPr>
      <w:r w:rsidRPr="008474CF">
        <w:rPr>
          <w:rFonts w:cs="Arial"/>
          <w:lang w:eastAsia="en-GB"/>
        </w:rPr>
        <w:t>Die Buchwerte der einzelnen Kategorien von finanziellen Vermögenswerten und Verbindlichkeiten stellen sich wie folgt dar:</w:t>
      </w:r>
    </w:p>
    <w:p w14:paraId="7437E8C3" w14:textId="77777777" w:rsidR="00EB7D22" w:rsidRPr="008474CF" w:rsidRDefault="00EB7D22" w:rsidP="00A824AF">
      <w:pPr>
        <w:autoSpaceDE w:val="0"/>
        <w:autoSpaceDN w:val="0"/>
        <w:adjustRightInd w:val="0"/>
        <w:rPr>
          <w:rFonts w:cs="Arial"/>
          <w:lang w:eastAsia="en-GB"/>
        </w:rPr>
      </w:pPr>
    </w:p>
    <w:p w14:paraId="7016AE3E" w14:textId="7BF7A684" w:rsidR="0060332C" w:rsidRPr="008474CF" w:rsidRDefault="00034B87" w:rsidP="00A824AF">
      <w:pPr>
        <w:autoSpaceDE w:val="0"/>
        <w:autoSpaceDN w:val="0"/>
        <w:adjustRightInd w:val="0"/>
        <w:rPr>
          <w:rFonts w:cs="Arial"/>
          <w:lang w:eastAsia="en-GB"/>
        </w:rPr>
      </w:pPr>
      <w:r w:rsidRPr="00034B87">
        <w:rPr>
          <w:noProof/>
        </w:rPr>
        <w:drawing>
          <wp:inline distT="0" distB="0" distL="0" distR="0" wp14:anchorId="6E18B728" wp14:editId="29354729">
            <wp:extent cx="6003290" cy="1637665"/>
            <wp:effectExtent l="0" t="0" r="0" b="635"/>
            <wp:docPr id="1309197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03290" cy="1637665"/>
                    </a:xfrm>
                    <a:prstGeom prst="rect">
                      <a:avLst/>
                    </a:prstGeom>
                    <a:noFill/>
                    <a:ln>
                      <a:noFill/>
                    </a:ln>
                  </pic:spPr>
                </pic:pic>
              </a:graphicData>
            </a:graphic>
          </wp:inline>
        </w:drawing>
      </w:r>
    </w:p>
    <w:p w14:paraId="3127812D" w14:textId="6547DA63" w:rsidR="0060332C" w:rsidRPr="008474CF" w:rsidRDefault="0060332C" w:rsidP="00F01218">
      <w:pPr>
        <w:autoSpaceDE w:val="0"/>
        <w:autoSpaceDN w:val="0"/>
        <w:adjustRightInd w:val="0"/>
        <w:jc w:val="center"/>
        <w:rPr>
          <w:rFonts w:cs="Arial"/>
          <w:lang w:eastAsia="en-GB"/>
        </w:rPr>
      </w:pPr>
    </w:p>
    <w:p w14:paraId="6739A13A" w14:textId="77777777" w:rsidR="00E45414" w:rsidRPr="008474CF" w:rsidRDefault="00E45414" w:rsidP="00A824AF">
      <w:pPr>
        <w:autoSpaceDE w:val="0"/>
        <w:autoSpaceDN w:val="0"/>
        <w:adjustRightInd w:val="0"/>
        <w:rPr>
          <w:rFonts w:cs="Arial"/>
          <w:b/>
          <w:lang w:eastAsia="en-GB"/>
        </w:rPr>
      </w:pPr>
    </w:p>
    <w:p w14:paraId="35B098F8" w14:textId="6F1F6843" w:rsidR="00733550" w:rsidRPr="008474CF" w:rsidRDefault="00733550" w:rsidP="00A824AF">
      <w:pPr>
        <w:autoSpaceDE w:val="0"/>
        <w:autoSpaceDN w:val="0"/>
        <w:adjustRightInd w:val="0"/>
        <w:rPr>
          <w:rFonts w:cs="Arial"/>
          <w:b/>
          <w:lang w:eastAsia="en-GB"/>
        </w:rPr>
      </w:pPr>
      <w:r w:rsidRPr="008474CF">
        <w:rPr>
          <w:rFonts w:cs="Arial"/>
          <w:b/>
          <w:lang w:eastAsia="en-GB"/>
        </w:rPr>
        <w:t>Beizulegende Zeitwert</w:t>
      </w:r>
      <w:r w:rsidR="002A7AEC" w:rsidRPr="008474CF">
        <w:rPr>
          <w:rFonts w:cs="Arial"/>
          <w:b/>
          <w:lang w:eastAsia="en-GB"/>
        </w:rPr>
        <w:t>e</w:t>
      </w:r>
    </w:p>
    <w:p w14:paraId="52E92228" w14:textId="77777777" w:rsidR="00733550" w:rsidRPr="008474CF" w:rsidRDefault="00733550" w:rsidP="00A824AF">
      <w:pPr>
        <w:autoSpaceDE w:val="0"/>
        <w:autoSpaceDN w:val="0"/>
        <w:adjustRightInd w:val="0"/>
        <w:rPr>
          <w:rFonts w:cs="Arial"/>
          <w:b/>
          <w:lang w:eastAsia="en-GB"/>
        </w:rPr>
      </w:pPr>
    </w:p>
    <w:p w14:paraId="54D03DFC" w14:textId="177A6F8D" w:rsidR="00733550" w:rsidRPr="008474CF" w:rsidRDefault="00E53ECE" w:rsidP="00733550">
      <w:pPr>
        <w:autoSpaceDE w:val="0"/>
        <w:autoSpaceDN w:val="0"/>
        <w:adjustRightInd w:val="0"/>
        <w:rPr>
          <w:rFonts w:cs="Arial"/>
          <w:lang w:eastAsia="en-GB"/>
        </w:rPr>
      </w:pPr>
      <w:r w:rsidRPr="008474CF">
        <w:rPr>
          <w:rFonts w:cs="Arial"/>
          <w:lang w:eastAsia="en-GB"/>
        </w:rPr>
        <w:t>Der beizulegende Zeitwert der finanziellen Vermögenswerte und Finanzverbindlichkeiten ist in Höhe des Betrages enthalten, zu dem das Instrument in einer gegenwärtigen Transaktion zwischen willigen Parteien ausgetauscht werden könnte, wenn es sich nicht um einen Zwangsverkauf oder eine Zwangsliquidation handelt. Barmittel und kurzfristige Einlagen, Forderungen aus Transaktionen mit Gegenleistung, Kreditorenforderungen und andere kurzfristige Verbindlichkeiten nahe an deren Buchwerten, weitgehend bedingt durch die kurzfristigen Fälligkeiten dieser Instrumente. Forderungen aus Transaktionen ohne Gegenleistung werden von der UPOV aufgrund von Parametern, wie z. B. Zinssätzen und Risikomerkmalen, bewertet. Wo zutreffend, wird eine Wertberichtigung vorgenommen, um den Wert ausstehender Forderungen aus Beiträgen auszugleichen. Die Wertberichtigung umfasst Beitragssummen, die Rückstände aufweisen, die vor dem letzten Zweijahreszeitraum datiert sind. Für die finanziellen Vermögenswerte und Verbindlichkeiten der UPOV zum Bilanzstichtag ist der Buchwert gleich dem beizulegenden Zeitwert</w:t>
      </w:r>
      <w:r w:rsidR="00733550" w:rsidRPr="008474CF">
        <w:rPr>
          <w:rFonts w:cs="Arial"/>
          <w:lang w:eastAsia="en-GB"/>
        </w:rPr>
        <w:t>.</w:t>
      </w:r>
    </w:p>
    <w:p w14:paraId="53E6C423" w14:textId="77777777" w:rsidR="00010786" w:rsidRPr="008474CF" w:rsidRDefault="00010786" w:rsidP="00733550">
      <w:pPr>
        <w:autoSpaceDE w:val="0"/>
        <w:autoSpaceDN w:val="0"/>
        <w:adjustRightInd w:val="0"/>
        <w:rPr>
          <w:rFonts w:cs="Arial"/>
          <w:b/>
          <w:lang w:eastAsia="en-GB"/>
        </w:rPr>
      </w:pPr>
    </w:p>
    <w:p w14:paraId="56FF5984" w14:textId="77777777" w:rsidR="00A824AF" w:rsidRPr="008474CF" w:rsidRDefault="00A824AF" w:rsidP="00A824AF">
      <w:pPr>
        <w:rPr>
          <w:rFonts w:cs="Arial"/>
          <w:b/>
        </w:rPr>
      </w:pPr>
      <w:r w:rsidRPr="008474CF">
        <w:rPr>
          <w:rFonts w:cs="Arial"/>
          <w:b/>
        </w:rPr>
        <w:t>Kreditrisiko</w:t>
      </w:r>
    </w:p>
    <w:p w14:paraId="1D19FEE3" w14:textId="77777777" w:rsidR="00A824AF" w:rsidRPr="008474CF" w:rsidRDefault="00A824AF" w:rsidP="00A824AF">
      <w:pPr>
        <w:rPr>
          <w:rFonts w:cs="Arial"/>
          <w:b/>
        </w:rPr>
      </w:pPr>
    </w:p>
    <w:p w14:paraId="0689CC59" w14:textId="77777777" w:rsidR="009A271F" w:rsidRPr="008474CF" w:rsidRDefault="009A271F" w:rsidP="009A271F">
      <w:pPr>
        <w:rPr>
          <w:rFonts w:cs="Arial"/>
          <w:lang w:eastAsia="en-GB"/>
        </w:rPr>
      </w:pPr>
      <w:r w:rsidRPr="008474CF">
        <w:rPr>
          <w:rFonts w:cs="Arial"/>
          <w:lang w:eastAsia="en-GB"/>
        </w:rPr>
        <w:t>Das Kreditrisiko ist das Risiko finanzieller Verluste für die UPOV, wenn Gegenparteien finanzieller Instrumente ihren Vertragsverpflichtungen nicht nachkommen, und entsteht hauptsächlich aus Forderungen und dem Zahlungsmittelbestand. Der Buchwert von finanziellen Vermögenswerten stellt das maximale Kreditrisiko dar. Für die Zwecke der Finanzberichterstattung berechnet die UPOV Wertberichtigungen für erwartete Kreditverluste im Zusammenhang mit ihren finanziellen Vermögenswerten.</w:t>
      </w:r>
    </w:p>
    <w:p w14:paraId="6F7121D6" w14:textId="77777777" w:rsidR="009A271F" w:rsidRPr="008474CF" w:rsidRDefault="009A271F" w:rsidP="009A271F">
      <w:pPr>
        <w:rPr>
          <w:rFonts w:cs="Arial"/>
          <w:lang w:eastAsia="en-GB"/>
        </w:rPr>
      </w:pPr>
    </w:p>
    <w:p w14:paraId="02007B78" w14:textId="622BEEB9" w:rsidR="005372FB" w:rsidRPr="008474CF" w:rsidRDefault="009A271F" w:rsidP="009A271F">
      <w:pPr>
        <w:rPr>
          <w:rFonts w:cs="Arial"/>
        </w:rPr>
      </w:pPr>
      <w:r w:rsidRPr="008474CF">
        <w:rPr>
          <w:rFonts w:cs="Arial"/>
          <w:lang w:eastAsia="en-GB"/>
        </w:rPr>
        <w:t>Die Forderungen der UPOV gehen fast ausschließlich auf Verbandsmitglieder zurück, die souveräne Staaten und zwischenstaatliche Organisationen vertreten, weshalb die kreditbezogenen Risiken als geringfügig betrachtet werden</w:t>
      </w:r>
      <w:r w:rsidR="00617423" w:rsidRPr="008474CF">
        <w:rPr>
          <w:rFonts w:cs="Arial"/>
        </w:rPr>
        <w:t xml:space="preserve">. </w:t>
      </w:r>
    </w:p>
    <w:p w14:paraId="678D5347" w14:textId="77777777" w:rsidR="005372FB" w:rsidRPr="008474CF" w:rsidRDefault="005372FB">
      <w:pPr>
        <w:rPr>
          <w:rFonts w:cs="Arial"/>
        </w:rPr>
      </w:pPr>
    </w:p>
    <w:p w14:paraId="33C0BCD6" w14:textId="34C1E05D" w:rsidR="00A824AF" w:rsidRPr="008474CF" w:rsidRDefault="00F06031">
      <w:pPr>
        <w:rPr>
          <w:rFonts w:cs="Arial"/>
        </w:rPr>
      </w:pPr>
      <w:r w:rsidRPr="008474CF">
        <w:rPr>
          <w:rFonts w:cs="Arial"/>
        </w:rPr>
        <w:t>Der Zahlungsmittelbestand kann nur bei Instituten mit einer kurzfristigen Bonitätsbewertung von mindestens A</w:t>
      </w:r>
      <w:r w:rsidRPr="008474CF">
        <w:rPr>
          <w:rFonts w:cs="Arial"/>
        </w:rPr>
        <w:noBreakHyphen/>
        <w:t xml:space="preserve">2/P-2 oder einer langfristigen Bonitätsbewertung von mindestens A/A2 gehalten werden. Die Einstufung der Kreditwürdigkeit des Zahlungsmittelbestandes ist dementsprechend zum 31. Dezember </w:t>
      </w:r>
      <w:r w:rsidR="00B326CD" w:rsidRPr="008474CF">
        <w:rPr>
          <w:rFonts w:cs="Arial"/>
        </w:rPr>
        <w:t xml:space="preserve">2024 </w:t>
      </w:r>
      <w:r w:rsidR="00E3310F" w:rsidRPr="008474CF">
        <w:rPr>
          <w:rFonts w:cs="Arial"/>
        </w:rPr>
        <w:t xml:space="preserve">in der </w:t>
      </w:r>
      <w:r w:rsidR="0000308B" w:rsidRPr="008474CF">
        <w:rPr>
          <w:rFonts w:cs="Arial"/>
        </w:rPr>
        <w:t xml:space="preserve">folgenden </w:t>
      </w:r>
      <w:r w:rsidR="00E3310F" w:rsidRPr="008474CF">
        <w:rPr>
          <w:rFonts w:cs="Arial"/>
        </w:rPr>
        <w:t>Tabelle aufgeführt</w:t>
      </w:r>
      <w:r w:rsidR="00A824AF" w:rsidRPr="008474CF">
        <w:rPr>
          <w:rFonts w:cs="Arial"/>
        </w:rPr>
        <w:t>:</w:t>
      </w:r>
    </w:p>
    <w:p w14:paraId="041939C2" w14:textId="77777777" w:rsidR="00A824AF" w:rsidRPr="008474CF" w:rsidRDefault="00A824AF" w:rsidP="00A824AF">
      <w:pPr>
        <w:rPr>
          <w:rFonts w:cs="Arial"/>
          <w:b/>
        </w:rPr>
      </w:pPr>
    </w:p>
    <w:p w14:paraId="56C97D0D" w14:textId="4AA8C43B" w:rsidR="0060332C" w:rsidRPr="008474CF" w:rsidRDefault="00692420" w:rsidP="00BD3D3B">
      <w:pPr>
        <w:spacing w:after="120"/>
        <w:jc w:val="center"/>
        <w:rPr>
          <w:rFonts w:cs="Arial"/>
          <w:b/>
        </w:rPr>
      </w:pPr>
      <w:r w:rsidRPr="00692420">
        <w:rPr>
          <w:noProof/>
        </w:rPr>
        <w:drawing>
          <wp:inline distT="0" distB="0" distL="0" distR="0" wp14:anchorId="21034E26" wp14:editId="2754118C">
            <wp:extent cx="3999230" cy="1153160"/>
            <wp:effectExtent l="0" t="0" r="1270" b="8890"/>
            <wp:docPr id="137323767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99230" cy="1153160"/>
                    </a:xfrm>
                    <a:prstGeom prst="rect">
                      <a:avLst/>
                    </a:prstGeom>
                    <a:noFill/>
                    <a:ln>
                      <a:noFill/>
                    </a:ln>
                  </pic:spPr>
                </pic:pic>
              </a:graphicData>
            </a:graphic>
          </wp:inline>
        </w:drawing>
      </w:r>
    </w:p>
    <w:p w14:paraId="0ACF30B2" w14:textId="77777777" w:rsidR="00617423" w:rsidRPr="008474CF" w:rsidRDefault="00617423" w:rsidP="00617423">
      <w:pPr>
        <w:autoSpaceDE w:val="0"/>
        <w:autoSpaceDN w:val="0"/>
        <w:adjustRightInd w:val="0"/>
        <w:jc w:val="center"/>
        <w:rPr>
          <w:rFonts w:cs="Arial"/>
          <w:lang w:eastAsia="en-GB"/>
        </w:rPr>
      </w:pPr>
    </w:p>
    <w:p w14:paraId="7D616A3B" w14:textId="77777777" w:rsidR="00617423" w:rsidRPr="008474CF" w:rsidRDefault="00617423" w:rsidP="00617423">
      <w:pPr>
        <w:autoSpaceDE w:val="0"/>
        <w:autoSpaceDN w:val="0"/>
        <w:adjustRightInd w:val="0"/>
        <w:jc w:val="left"/>
        <w:rPr>
          <w:rFonts w:cs="Arial"/>
          <w:b/>
          <w:lang w:eastAsia="en-GB"/>
        </w:rPr>
      </w:pPr>
      <w:r w:rsidRPr="008474CF">
        <w:rPr>
          <w:rFonts w:cs="Arial"/>
          <w:b/>
          <w:lang w:eastAsia="en-GB"/>
        </w:rPr>
        <w:t>Liquiditätsrisiko</w:t>
      </w:r>
    </w:p>
    <w:p w14:paraId="1D354A47" w14:textId="77777777" w:rsidR="00617423" w:rsidRPr="008474CF" w:rsidRDefault="00617423" w:rsidP="00A824AF">
      <w:pPr>
        <w:autoSpaceDE w:val="0"/>
        <w:autoSpaceDN w:val="0"/>
        <w:adjustRightInd w:val="0"/>
        <w:rPr>
          <w:rFonts w:cs="Arial"/>
          <w:lang w:eastAsia="en-GB"/>
        </w:rPr>
      </w:pPr>
    </w:p>
    <w:p w14:paraId="1584FCE6" w14:textId="1AF0F1CE" w:rsidR="00DF048C" w:rsidRPr="008474CF" w:rsidRDefault="005E4F49" w:rsidP="00F01218">
      <w:pPr>
        <w:autoSpaceDE w:val="0"/>
        <w:autoSpaceDN w:val="0"/>
        <w:adjustRightInd w:val="0"/>
        <w:rPr>
          <w:rFonts w:cs="Arial"/>
          <w:b/>
        </w:rPr>
      </w:pPr>
      <w:r w:rsidRPr="008474CF">
        <w:rPr>
          <w:rFonts w:cs="Arial"/>
          <w:lang w:eastAsia="en-GB"/>
        </w:rPr>
        <w:t>Das Liquiditätsrisiko ist das Risiko der UPOV, ihren Verpflichtungen bei Fälligkeit nicht nachkommen zu können. Die UPOV ist keinem bedeutenden Liquiditätsrisiko ausgesetzt, da sie über im Wesentlichen frei verfügbare Geldmittel verfügt. Die Anlagegrundsätze verlangen, dass operative und Kernliquidität so angelegt werden, dass die für die Deckung des Zahlungsmittelbedarfs der UPOV erforderliche Liquidität sichergestellt ist. Operative Barmittelbestände werden über kurzfristige Zeiträume angelegt (Höchstlaufzeit zwölf Monate) in risikoarme Asset-Klassen, die zu geringen Kosten leicht liquidierbar sind. Kernliquidität wird mittelfristig (Laufzeiten von mehr als zwölf Monaten) so angelegt, dass gelegentlicher Zugriff auf einen Teil der Barmittel möglich ist, was geplante große Zahlungen erleichtert. Strategische Barmittel sind langfristig anzulegen und derzeit bestehen keine kurz- oder mittelfristigen Liquiditätsanforderungen</w:t>
      </w:r>
      <w:r w:rsidR="00A824AF" w:rsidRPr="008474CF">
        <w:rPr>
          <w:rFonts w:cs="Arial"/>
        </w:rPr>
        <w:t>.</w:t>
      </w:r>
    </w:p>
    <w:p w14:paraId="5D5F511A" w14:textId="77777777" w:rsidR="00DF048C" w:rsidRPr="008474CF" w:rsidRDefault="00DF048C" w:rsidP="00A824AF">
      <w:pPr>
        <w:rPr>
          <w:rFonts w:cs="Arial"/>
          <w:b/>
        </w:rPr>
      </w:pPr>
    </w:p>
    <w:p w14:paraId="5408EDFF" w14:textId="46C5681F" w:rsidR="00A824AF" w:rsidRPr="008474CF" w:rsidRDefault="00A824AF" w:rsidP="00F01218">
      <w:pPr>
        <w:jc w:val="left"/>
        <w:rPr>
          <w:rFonts w:cs="Arial"/>
          <w:b/>
        </w:rPr>
      </w:pPr>
      <w:r w:rsidRPr="008474CF">
        <w:rPr>
          <w:rFonts w:cs="Arial"/>
          <w:b/>
        </w:rPr>
        <w:t>Währungsrisiko</w:t>
      </w:r>
    </w:p>
    <w:p w14:paraId="759F3B88" w14:textId="77777777" w:rsidR="00A824AF" w:rsidRPr="008474CF" w:rsidRDefault="00A824AF" w:rsidP="00A824AF">
      <w:pPr>
        <w:autoSpaceDE w:val="0"/>
        <w:autoSpaceDN w:val="0"/>
        <w:adjustRightInd w:val="0"/>
        <w:rPr>
          <w:rFonts w:cs="Arial"/>
          <w:lang w:eastAsia="en-GB"/>
        </w:rPr>
      </w:pPr>
    </w:p>
    <w:p w14:paraId="78BBBFD2" w14:textId="586B1ABA" w:rsidR="00A824AF" w:rsidRPr="008474CF" w:rsidRDefault="00100ACC" w:rsidP="00A824AF">
      <w:pPr>
        <w:pStyle w:val="Style3"/>
        <w:spacing w:after="0"/>
        <w:rPr>
          <w:rFonts w:cs="Arial"/>
          <w:sz w:val="20"/>
        </w:rPr>
      </w:pPr>
      <w:r w:rsidRPr="008474CF">
        <w:rPr>
          <w:rFonts w:cs="Arial"/>
          <w:sz w:val="20"/>
        </w:rPr>
        <w:t>Die UPOV kann Einnahmen aus außeretatmäßigen Mitteln (Treuhandgeldern) in Währungen, die nicht ihre funktionale Währung, nämlich der Schweizer Franken, sind, entgegennehmen und Ausgaben in anderen Währungen tätigen und ist folglich einem Wechselkursrisiko aufgrund von Wechselkursschwankungen ausgesetzt. Die UPOV setzt keine derivaten Finanzinstrumente zur Absicherung des Wechselkursrisikos ein</w:t>
      </w:r>
      <w:r w:rsidR="00A824AF" w:rsidRPr="008474CF">
        <w:rPr>
          <w:rFonts w:cs="Arial"/>
          <w:sz w:val="20"/>
        </w:rPr>
        <w:t>.</w:t>
      </w:r>
      <w:r w:rsidR="006A3ACC" w:rsidRPr="008474CF">
        <w:rPr>
          <w:rFonts w:cs="Arial"/>
          <w:sz w:val="20"/>
        </w:rPr>
        <w:t xml:space="preserve"> </w:t>
      </w:r>
    </w:p>
    <w:p w14:paraId="55BADF63" w14:textId="77777777" w:rsidR="00D27DCB" w:rsidRPr="008474CF" w:rsidRDefault="00D27DCB" w:rsidP="00A824AF">
      <w:pPr>
        <w:rPr>
          <w:rFonts w:cs="Arial"/>
          <w:b/>
        </w:rPr>
      </w:pPr>
    </w:p>
    <w:p w14:paraId="7D18BBCB" w14:textId="77777777" w:rsidR="00A824AF" w:rsidRPr="008474CF" w:rsidRDefault="00A824AF" w:rsidP="00A824AF">
      <w:pPr>
        <w:rPr>
          <w:rFonts w:cs="Arial"/>
          <w:b/>
          <w:bCs/>
        </w:rPr>
      </w:pPr>
      <w:r w:rsidRPr="008474CF">
        <w:rPr>
          <w:rFonts w:cs="Arial"/>
          <w:b/>
        </w:rPr>
        <w:t>Marktrisiko</w:t>
      </w:r>
    </w:p>
    <w:p w14:paraId="38E94AFD" w14:textId="77777777" w:rsidR="00A824AF" w:rsidRPr="008474CF" w:rsidRDefault="00A824AF" w:rsidP="00A824AF">
      <w:pPr>
        <w:rPr>
          <w:rFonts w:cs="Arial"/>
        </w:rPr>
      </w:pPr>
    </w:p>
    <w:p w14:paraId="68EEA9A5" w14:textId="4B04D27A" w:rsidR="00A824AF" w:rsidRPr="008474CF" w:rsidRDefault="00740FAC" w:rsidP="00A824AF">
      <w:pPr>
        <w:rPr>
          <w:rFonts w:cs="Arial"/>
        </w:rPr>
      </w:pPr>
      <w:r w:rsidRPr="008474CF">
        <w:rPr>
          <w:rFonts w:cs="Arial"/>
        </w:rPr>
        <w:t>Das Marktrisiko ist das Risiko von Schwankungen der Marktpreise, wie z.B. Zinssätzen, die sich auf das Einkommen der UPOV oder den Wert des Bestandes ihrer Finanzinstrumente auswirken können. Die UPOV ist keinem Marktrisiko ausgesetzt</w:t>
      </w:r>
      <w:r w:rsidR="00A824AF" w:rsidRPr="008474CF">
        <w:rPr>
          <w:rFonts w:cs="Arial"/>
        </w:rPr>
        <w:t xml:space="preserve">. </w:t>
      </w:r>
    </w:p>
    <w:p w14:paraId="26EF01B3" w14:textId="77777777" w:rsidR="00A824AF" w:rsidRPr="008474CF" w:rsidRDefault="00A824AF" w:rsidP="0027283B">
      <w:pPr>
        <w:rPr>
          <w:rFonts w:cs="Arial"/>
          <w:b/>
        </w:rPr>
      </w:pPr>
    </w:p>
    <w:p w14:paraId="3A20F2F0" w14:textId="77777777" w:rsidR="00A824AF" w:rsidRPr="008474CF" w:rsidRDefault="00A824AF" w:rsidP="00A824AF">
      <w:pPr>
        <w:rPr>
          <w:rFonts w:cs="Arial"/>
          <w:bCs/>
          <w:caps/>
        </w:rPr>
      </w:pPr>
    </w:p>
    <w:p w14:paraId="1D14C2E5" w14:textId="2BD748BB" w:rsidR="00A824AF" w:rsidRPr="008474CF" w:rsidRDefault="00F45269" w:rsidP="00740FAC">
      <w:pPr>
        <w:pStyle w:val="Heading2Notes"/>
        <w:ind w:left="1843" w:hanging="1843"/>
        <w:rPr>
          <w:rFonts w:ascii="Arial" w:hAnsi="Arial" w:cs="Arial"/>
          <w:lang w:val="de-DE"/>
        </w:rPr>
      </w:pPr>
      <w:bookmarkStart w:id="74" w:name="_Toc84329906"/>
      <w:bookmarkStart w:id="75" w:name="_Toc205303765"/>
      <w:r w:rsidRPr="008474CF">
        <w:rPr>
          <w:rFonts w:ascii="Arial" w:hAnsi="Arial" w:cs="Arial"/>
          <w:lang w:val="de-DE"/>
        </w:rPr>
        <w:t xml:space="preserve">Anmerkung </w:t>
      </w:r>
      <w:r w:rsidR="00CA0539" w:rsidRPr="008474CF">
        <w:rPr>
          <w:rFonts w:ascii="Arial" w:hAnsi="Arial" w:cs="Arial"/>
          <w:lang w:val="de-DE"/>
        </w:rPr>
        <w:t>15</w:t>
      </w:r>
      <w:r w:rsidR="00A824AF" w:rsidRPr="008474CF">
        <w:rPr>
          <w:rFonts w:ascii="Arial" w:hAnsi="Arial" w:cs="Arial"/>
          <w:lang w:val="de-DE"/>
        </w:rPr>
        <w:t>:</w:t>
      </w:r>
      <w:r w:rsidR="00A824AF" w:rsidRPr="008474CF">
        <w:rPr>
          <w:rFonts w:ascii="Arial" w:hAnsi="Arial" w:cs="Arial"/>
          <w:lang w:val="de-DE"/>
        </w:rPr>
        <w:tab/>
      </w:r>
      <w:r w:rsidRPr="008474CF">
        <w:rPr>
          <w:rFonts w:ascii="Arial" w:hAnsi="Arial" w:cs="Arial"/>
          <w:lang w:val="de-DE"/>
        </w:rPr>
        <w:t xml:space="preserve">Ereignisse </w:t>
      </w:r>
      <w:r w:rsidR="00A824AF" w:rsidRPr="008474CF">
        <w:rPr>
          <w:rFonts w:ascii="Arial" w:hAnsi="Arial" w:cs="Arial"/>
          <w:lang w:val="de-DE"/>
        </w:rPr>
        <w:t xml:space="preserve">nach dem </w:t>
      </w:r>
      <w:r w:rsidRPr="008474CF">
        <w:rPr>
          <w:rFonts w:ascii="Arial" w:hAnsi="Arial" w:cs="Arial"/>
          <w:lang w:val="de-DE"/>
        </w:rPr>
        <w:t>Bilanzstichtag</w:t>
      </w:r>
      <w:bookmarkEnd w:id="74"/>
      <w:bookmarkEnd w:id="75"/>
    </w:p>
    <w:p w14:paraId="1E2F659C" w14:textId="31736CB3" w:rsidR="00ED5C63" w:rsidRPr="008474CF" w:rsidRDefault="00ED5C63" w:rsidP="00A824AF">
      <w:pPr>
        <w:pStyle w:val="Styletexte"/>
        <w:spacing w:after="0"/>
        <w:rPr>
          <w:rFonts w:cs="Arial"/>
          <w:sz w:val="20"/>
        </w:rPr>
      </w:pPr>
    </w:p>
    <w:p w14:paraId="421D2ACE" w14:textId="6C637599" w:rsidR="00ED5C63" w:rsidRPr="008474CF" w:rsidRDefault="005F1105" w:rsidP="00ED5C63">
      <w:pPr>
        <w:rPr>
          <w:rFonts w:cs="Arial"/>
        </w:rPr>
      </w:pPr>
      <w:r w:rsidRPr="008474CF">
        <w:rPr>
          <w:rFonts w:cs="Arial"/>
        </w:rPr>
        <w:t>Der Bilanzstichtag der UPOV ist der 31. Dezember 2024 und die Herausgabe ihres Jahresabschlusses wurde mit selbem Datum wie der Prüfvermerk des Externen Revisors genehmigt</w:t>
      </w:r>
      <w:r w:rsidR="00ED5C63" w:rsidRPr="008474CF">
        <w:rPr>
          <w:rFonts w:cs="Arial"/>
        </w:rPr>
        <w:t>.</w:t>
      </w:r>
    </w:p>
    <w:p w14:paraId="08A2AD64" w14:textId="77777777" w:rsidR="004F602A" w:rsidRPr="008474CF" w:rsidRDefault="004F602A" w:rsidP="004F602A"/>
    <w:p w14:paraId="43986339" w14:textId="0DFD2797" w:rsidR="004F602A" w:rsidRPr="008474CF" w:rsidRDefault="00224630" w:rsidP="004F602A">
      <w:pPr>
        <w:rPr>
          <w:rFonts w:cs="Arial"/>
        </w:rPr>
      </w:pPr>
      <w:r w:rsidRPr="008474CF">
        <w:t>Entsprechend</w:t>
      </w:r>
      <w:r w:rsidR="004F602A" w:rsidRPr="008474CF">
        <w:t xml:space="preserve"> der </w:t>
      </w:r>
      <w:r w:rsidR="00A921CB" w:rsidRPr="008474CF">
        <w:t>Zustimmung</w:t>
      </w:r>
      <w:r w:rsidR="004F602A" w:rsidRPr="008474CF">
        <w:t xml:space="preserve"> durch den Beratenden Ausschu</w:t>
      </w:r>
      <w:r w:rsidR="005F1105" w:rsidRPr="008474CF">
        <w:t>ss</w:t>
      </w:r>
      <w:r w:rsidR="004F602A" w:rsidRPr="008474CF">
        <w:t xml:space="preserve"> der UPOV auf seiner 101. Tagung im Oktober 2023 </w:t>
      </w:r>
      <w:r w:rsidR="004F602A" w:rsidRPr="008474CF">
        <w:rPr>
          <w:rFonts w:cs="Arial"/>
        </w:rPr>
        <w:t xml:space="preserve">billigten die Versammlungen der Mitgliedstaaten der WIPO im Juli 2024 die Schaffung einer getrennten Einrichtung, die als </w:t>
      </w:r>
      <w:r w:rsidR="005B3606" w:rsidRPr="008474CF">
        <w:rPr>
          <w:rFonts w:cs="Arial"/>
        </w:rPr>
        <w:t>Plan mehrerer Arbeitgeber</w:t>
      </w:r>
      <w:r w:rsidR="004F602A" w:rsidRPr="008474CF">
        <w:rPr>
          <w:rFonts w:cs="Arial"/>
        </w:rPr>
        <w:t xml:space="preserve"> eingerichtet werden soll und für die Verwaltung der zur Finanzierung der ASHI vorgesehenen Mittel zuständig ist. Sowohl die WIPO als auch die UPOV werden sich an diesem </w:t>
      </w:r>
      <w:r w:rsidR="00A67B30" w:rsidRPr="008474CF">
        <w:rPr>
          <w:rFonts w:cs="Arial"/>
        </w:rPr>
        <w:t>Plan mehrerer Arbeitgeber</w:t>
      </w:r>
      <w:r w:rsidR="00C84E2E" w:rsidRPr="008474CF">
        <w:rPr>
          <w:rFonts w:cs="Arial"/>
        </w:rPr>
        <w:t xml:space="preserve"> </w:t>
      </w:r>
      <w:r w:rsidR="004F602A" w:rsidRPr="008474CF">
        <w:rPr>
          <w:rFonts w:cs="Arial"/>
        </w:rPr>
        <w:t xml:space="preserve">beteiligen. Im Laufe des Jahres 2025 wurde an der </w:t>
      </w:r>
      <w:r w:rsidR="0000308B" w:rsidRPr="008474CF">
        <w:rPr>
          <w:rFonts w:cs="Arial"/>
        </w:rPr>
        <w:t xml:space="preserve">Schaffung </w:t>
      </w:r>
      <w:r w:rsidR="004F602A" w:rsidRPr="008474CF">
        <w:rPr>
          <w:rFonts w:cs="Arial"/>
        </w:rPr>
        <w:t xml:space="preserve">der </w:t>
      </w:r>
      <w:r w:rsidR="00C84E2E" w:rsidRPr="008474CF">
        <w:rPr>
          <w:rFonts w:cs="Arial"/>
        </w:rPr>
        <w:t>getrennten</w:t>
      </w:r>
      <w:r w:rsidR="004F602A" w:rsidRPr="008474CF">
        <w:rPr>
          <w:rFonts w:cs="Arial"/>
        </w:rPr>
        <w:t xml:space="preserve"> Einrichtung</w:t>
      </w:r>
      <w:r w:rsidR="00314A8D" w:rsidRPr="008474CF">
        <w:rPr>
          <w:rFonts w:cs="Arial"/>
        </w:rPr>
        <w:t xml:space="preserve"> mit Wirkung zum </w:t>
      </w:r>
      <w:r w:rsidR="004F602A" w:rsidRPr="008474CF">
        <w:rPr>
          <w:rFonts w:cs="Arial"/>
        </w:rPr>
        <w:t xml:space="preserve">1. April 2025 </w:t>
      </w:r>
      <w:r w:rsidR="00314A8D" w:rsidRPr="008474CF">
        <w:rPr>
          <w:rFonts w:cs="Arial"/>
        </w:rPr>
        <w:t>gearbeitet</w:t>
      </w:r>
      <w:r w:rsidR="004F602A" w:rsidRPr="008474CF">
        <w:rPr>
          <w:rFonts w:cs="Arial"/>
        </w:rPr>
        <w:t>.</w:t>
      </w:r>
    </w:p>
    <w:p w14:paraId="74000264" w14:textId="77777777" w:rsidR="00ED5C63" w:rsidRPr="008474CF" w:rsidRDefault="00ED5C63" w:rsidP="00ED5C63">
      <w:pPr>
        <w:rPr>
          <w:rFonts w:cs="Arial"/>
        </w:rPr>
      </w:pPr>
    </w:p>
    <w:p w14:paraId="14F4CC3A" w14:textId="21120895" w:rsidR="00B86F58" w:rsidRPr="008474CF" w:rsidRDefault="003251A9" w:rsidP="00F01218">
      <w:r w:rsidRPr="008474CF">
        <w:rPr>
          <w:rFonts w:cs="Arial"/>
        </w:rPr>
        <w:t>Es gab keine weiteren vorteilhaften oder nachteiligen wesentlichen Ereignisse, die in der Zeit zwischen dem Bilanzstichtag und dem Datum, an dem der Jahresabschluss für die Veröffentlichung freigegeben wurde, stattfanden, die wesentlichen Einfluss auf den Jahresabschluss gehabt hätten</w:t>
      </w:r>
      <w:r w:rsidR="00ED5C63" w:rsidRPr="008474CF">
        <w:rPr>
          <w:rFonts w:cs="Arial"/>
        </w:rPr>
        <w:t>.</w:t>
      </w:r>
    </w:p>
    <w:p w14:paraId="20AC5876" w14:textId="77777777" w:rsidR="00B21631" w:rsidRPr="008474CF" w:rsidRDefault="00B21631" w:rsidP="00B21631">
      <w:pPr>
        <w:rPr>
          <w:rFonts w:cs="Arial"/>
        </w:rPr>
      </w:pPr>
    </w:p>
    <w:p w14:paraId="0ECA76E5" w14:textId="77777777" w:rsidR="00B21631" w:rsidRPr="008474CF" w:rsidRDefault="00B21631" w:rsidP="00B21631">
      <w:pPr>
        <w:rPr>
          <w:rFonts w:cs="Arial"/>
        </w:rPr>
      </w:pPr>
    </w:p>
    <w:p w14:paraId="083FE25F" w14:textId="77777777" w:rsidR="00B21631" w:rsidRPr="008474CF" w:rsidRDefault="00B21631" w:rsidP="00B21631"/>
    <w:p w14:paraId="0E4B7AC8" w14:textId="0B742B57" w:rsidR="00A824AF" w:rsidRPr="001D79EE" w:rsidRDefault="00A824AF">
      <w:pPr>
        <w:jc w:val="right"/>
        <w:rPr>
          <w:rFonts w:cs="Arial"/>
          <w:color w:val="000000" w:themeColor="text1"/>
        </w:rPr>
      </w:pPr>
      <w:r w:rsidRPr="008474CF">
        <w:rPr>
          <w:rFonts w:cs="Arial"/>
        </w:rPr>
        <w:t xml:space="preserve">[Ende </w:t>
      </w:r>
      <w:r w:rsidR="0000308B" w:rsidRPr="008474CF">
        <w:rPr>
          <w:rFonts w:cs="Arial"/>
        </w:rPr>
        <w:t xml:space="preserve">der </w:t>
      </w:r>
      <w:r w:rsidR="0005526B" w:rsidRPr="008474CF">
        <w:rPr>
          <w:rFonts w:cs="Arial"/>
        </w:rPr>
        <w:t>Anlage</w:t>
      </w:r>
      <w:r w:rsidRPr="008474CF">
        <w:rPr>
          <w:rFonts w:cs="Arial"/>
        </w:rPr>
        <w:t xml:space="preserve"> und des Dokuments]</w:t>
      </w:r>
    </w:p>
    <w:sectPr w:rsidR="00A824AF" w:rsidRPr="001D79EE" w:rsidSect="00682646">
      <w:headerReference w:type="even" r:id="rId38"/>
      <w:headerReference w:type="default" r:id="rId39"/>
      <w:footerReference w:type="even" r:id="rId40"/>
      <w:footerReference w:type="default" r:id="rId41"/>
      <w:headerReference w:type="first" r:id="rId42"/>
      <w:footerReference w:type="first" r:id="rId43"/>
      <w:footnotePr>
        <w:numRestart w:val="eachPage"/>
      </w:footnotePr>
      <w:pgSz w:w="11907" w:h="16840" w:code="9"/>
      <w:pgMar w:top="510" w:right="1106" w:bottom="992"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BC086" w14:textId="77777777" w:rsidR="00E74FA4" w:rsidRPr="008474CF" w:rsidRDefault="00E74FA4" w:rsidP="006655D3">
      <w:r w:rsidRPr="008474CF">
        <w:separator/>
      </w:r>
    </w:p>
    <w:p w14:paraId="4605A035" w14:textId="77777777" w:rsidR="00E74FA4" w:rsidRPr="008474CF" w:rsidRDefault="00E74FA4" w:rsidP="006655D3"/>
    <w:p w14:paraId="60DFEEB0" w14:textId="77777777" w:rsidR="00E74FA4" w:rsidRPr="008474CF" w:rsidRDefault="00E74FA4" w:rsidP="006655D3"/>
  </w:endnote>
  <w:endnote w:type="continuationSeparator" w:id="0">
    <w:p w14:paraId="4250B578" w14:textId="77777777" w:rsidR="00E74FA4" w:rsidRPr="008474CF" w:rsidRDefault="00E74FA4" w:rsidP="006655D3">
      <w:r w:rsidRPr="008474CF">
        <w:separator/>
      </w:r>
    </w:p>
    <w:p w14:paraId="2D4E9CCE" w14:textId="77777777" w:rsidR="00E74FA4" w:rsidRPr="008474CF" w:rsidRDefault="00E74FA4">
      <w:pPr>
        <w:pStyle w:val="Footer"/>
        <w:spacing w:after="60"/>
        <w:rPr>
          <w:sz w:val="18"/>
          <w:lang w:val="de-DE"/>
        </w:rPr>
      </w:pPr>
      <w:r w:rsidRPr="008474CF">
        <w:rPr>
          <w:sz w:val="18"/>
          <w:lang w:val="de-DE"/>
        </w:rPr>
        <w:t>(Suite de la note de la page précédente)</w:t>
      </w:r>
    </w:p>
    <w:p w14:paraId="3BE24701" w14:textId="77777777" w:rsidR="00E74FA4" w:rsidRPr="008474CF" w:rsidRDefault="00E74FA4" w:rsidP="006655D3"/>
    <w:p w14:paraId="72CAC5BB" w14:textId="77777777" w:rsidR="00E74FA4" w:rsidRPr="008474CF" w:rsidRDefault="00E74FA4" w:rsidP="006655D3"/>
  </w:endnote>
  <w:endnote w:type="continuationNotice" w:id="1">
    <w:p w14:paraId="5CCB4AC2" w14:textId="77777777" w:rsidR="00E74FA4" w:rsidRPr="008474CF" w:rsidRDefault="00E74FA4" w:rsidP="006655D3">
      <w:r w:rsidRPr="008474CF">
        <w:t xml:space="preserve">(Suite </w:t>
      </w:r>
      <w:r w:rsidRPr="008474CF">
        <w:t>de la note page suivante)</w:t>
      </w:r>
    </w:p>
    <w:p w14:paraId="7DFFD4AE" w14:textId="77777777" w:rsidR="00E74FA4" w:rsidRPr="008474CF" w:rsidRDefault="00E74FA4" w:rsidP="006655D3"/>
    <w:p w14:paraId="5A8F201B" w14:textId="77777777" w:rsidR="00E74FA4" w:rsidRPr="008474CF" w:rsidRDefault="00E74FA4"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85E5" w14:textId="37686A98" w:rsidR="006F75BE" w:rsidRPr="008474CF" w:rsidRDefault="006F75BE" w:rsidP="001C7937">
    <w:pPr>
      <w:pStyle w:val="Foote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4999" w14:textId="6F2F1C17" w:rsidR="006F75BE" w:rsidRPr="008474CF" w:rsidRDefault="006F75BE">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2D9F1" w14:textId="3BCE2A07" w:rsidR="006F75BE" w:rsidRPr="008474CF" w:rsidRDefault="006F75BE">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8AB7" w14:textId="77777777" w:rsidR="00E74FA4" w:rsidRPr="008474CF" w:rsidRDefault="00E74FA4" w:rsidP="006655D3">
      <w:r w:rsidRPr="008474CF">
        <w:separator/>
      </w:r>
    </w:p>
  </w:footnote>
  <w:footnote w:type="continuationSeparator" w:id="0">
    <w:p w14:paraId="7C0C917F" w14:textId="77777777" w:rsidR="00E74FA4" w:rsidRPr="008474CF" w:rsidRDefault="00E74FA4" w:rsidP="006655D3">
      <w:r w:rsidRPr="008474CF">
        <w:separator/>
      </w:r>
    </w:p>
  </w:footnote>
  <w:footnote w:type="continuationNotice" w:id="1">
    <w:p w14:paraId="14308CD6" w14:textId="77777777" w:rsidR="00E74FA4" w:rsidRPr="008474CF" w:rsidRDefault="00E74FA4" w:rsidP="00AB530F">
      <w:pPr>
        <w:pStyle w:val="Footer"/>
        <w:rPr>
          <w:lang w:val="de-DE"/>
        </w:rPr>
      </w:pPr>
    </w:p>
  </w:footnote>
  <w:footnote w:id="2">
    <w:p w14:paraId="6854958F" w14:textId="20FACC11" w:rsidR="00B40970" w:rsidRPr="008474CF" w:rsidRDefault="00B40970" w:rsidP="00B40970">
      <w:pPr>
        <w:pStyle w:val="FootnoteText"/>
        <w:rPr>
          <w:lang w:val="de-DE"/>
        </w:rPr>
      </w:pPr>
      <w:r w:rsidRPr="008474CF">
        <w:rPr>
          <w:rStyle w:val="FootnoteReference"/>
          <w:lang w:val="de-DE"/>
        </w:rPr>
        <w:footnoteRef/>
      </w:r>
      <w:r w:rsidRPr="008474CF">
        <w:rPr>
          <w:lang w:val="de-DE"/>
        </w:rPr>
        <w:t xml:space="preserve"> </w:t>
      </w:r>
      <w:r w:rsidR="00785CFA" w:rsidRPr="008474CF">
        <w:rPr>
          <w:sz w:val="18"/>
          <w:lang w:val="de-DE"/>
        </w:rPr>
        <w:t>Abschnitt 7 dieses Dokuments enthält weitere Einzelheiten</w:t>
      </w:r>
    </w:p>
  </w:footnote>
  <w:footnote w:id="3">
    <w:p w14:paraId="02D832ED" w14:textId="77777777" w:rsidR="004032C1" w:rsidRPr="008474CF" w:rsidRDefault="004032C1" w:rsidP="004032C1">
      <w:pPr>
        <w:pStyle w:val="FootnoteText"/>
        <w:rPr>
          <w:lang w:val="de-DE"/>
        </w:rPr>
      </w:pPr>
      <w:r w:rsidRPr="008474CF">
        <w:rPr>
          <w:rStyle w:val="FootnoteReference"/>
          <w:lang w:val="de-DE"/>
        </w:rPr>
        <w:footnoteRef/>
      </w:r>
      <w:r w:rsidRPr="008474CF">
        <w:rPr>
          <w:lang w:val="de-DE"/>
        </w:rPr>
        <w:t xml:space="preserve"> </w:t>
      </w:r>
      <w:r w:rsidRPr="008474CF">
        <w:rPr>
          <w:sz w:val="18"/>
          <w:lang w:val="de-DE"/>
        </w:rPr>
        <w:t>Committee of Sponsoring Organizations of the Treadway Commission</w:t>
      </w:r>
    </w:p>
  </w:footnote>
  <w:footnote w:id="4">
    <w:p w14:paraId="044C86BE" w14:textId="77777777" w:rsidR="00BF5A03" w:rsidRDefault="00BF5A03" w:rsidP="00BF5A03">
      <w:pPr>
        <w:pStyle w:val="FootnoteText"/>
      </w:pPr>
      <w:r w:rsidRPr="008474CF">
        <w:rPr>
          <w:rStyle w:val="FootnoteReference"/>
          <w:lang w:val="de-DE"/>
        </w:rPr>
        <w:footnoteRef/>
      </w:r>
      <w:r w:rsidRPr="008474CF">
        <w:rPr>
          <w:lang w:val="de-DE"/>
        </w:rPr>
        <w:t xml:space="preserve"> </w:t>
      </w:r>
      <w:r w:rsidRPr="008474CF">
        <w:rPr>
          <w:sz w:val="18"/>
          <w:lang w:val="de-DE"/>
        </w:rPr>
        <w:t>https://www.theiia.org/globalassets/site/about-us/advocacy/three-lines-model-updated.pdf</w:t>
      </w:r>
      <w:r w:rsidRPr="008474CF" w:rsidDel="00CA6EC9">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EE58" w14:textId="77777777" w:rsidR="006F75BE" w:rsidRPr="008474CF" w:rsidRDefault="006F75BE" w:rsidP="001C7937">
    <w:pPr>
      <w:pStyle w:val="Header"/>
      <w:rPr>
        <w:rStyle w:val="PageNumber"/>
        <w:lang w:val="de-DE"/>
      </w:rPr>
    </w:pPr>
    <w:r w:rsidRPr="008474CF">
      <w:rPr>
        <w:rStyle w:val="PageNumber"/>
        <w:lang w:val="de-DE"/>
      </w:rPr>
      <w:t>C/51/</w:t>
    </w:r>
  </w:p>
  <w:p w14:paraId="3578952A" w14:textId="470316A7" w:rsidR="006F75BE" w:rsidRPr="008474CF" w:rsidRDefault="006F75BE" w:rsidP="001C7937">
    <w:pPr>
      <w:pStyle w:val="Header"/>
      <w:rPr>
        <w:lang w:val="de-DE"/>
      </w:rPr>
    </w:pPr>
    <w:r w:rsidRPr="008474CF">
      <w:rPr>
        <w:lang w:val="de-DE"/>
      </w:rPr>
      <w:t xml:space="preserve">Seite </w:t>
    </w:r>
    <w:r w:rsidRPr="008474CF">
      <w:rPr>
        <w:rStyle w:val="PageNumber"/>
        <w:lang w:val="de-DE"/>
      </w:rPr>
      <w:fldChar w:fldCharType="begin"/>
    </w:r>
    <w:r w:rsidRPr="008474CF">
      <w:rPr>
        <w:rStyle w:val="PageNumber"/>
        <w:lang w:val="de-DE"/>
      </w:rPr>
      <w:instrText xml:space="preserve"> PAGE </w:instrText>
    </w:r>
    <w:r w:rsidRPr="008474CF">
      <w:rPr>
        <w:rStyle w:val="PageNumber"/>
        <w:lang w:val="de-DE"/>
      </w:rPr>
      <w:fldChar w:fldCharType="separate"/>
    </w:r>
    <w:r w:rsidRPr="008474CF">
      <w:rPr>
        <w:rStyle w:val="PageNumber"/>
        <w:lang w:val="de-DE"/>
      </w:rPr>
      <w:t>1</w:t>
    </w:r>
    <w:r w:rsidRPr="008474CF">
      <w:rPr>
        <w:rStyle w:val="PageNumber"/>
        <w:lang w:val="de-DE"/>
      </w:rPr>
      <w:fldChar w:fldCharType="end"/>
    </w:r>
  </w:p>
  <w:p w14:paraId="6DFF3503" w14:textId="77777777" w:rsidR="006F75BE" w:rsidRPr="008474CF" w:rsidRDefault="006F75BE" w:rsidP="001C79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BC95" w14:textId="77777777" w:rsidR="006F75BE" w:rsidRPr="008474CF" w:rsidRDefault="006F75BE" w:rsidP="00EB048E">
    <w:pPr>
      <w:pStyle w:val="Header"/>
      <w:rPr>
        <w:rStyle w:val="PageNumber"/>
        <w:lang w:val="de-DE"/>
      </w:rPr>
    </w:pPr>
    <w:r w:rsidRPr="008474CF">
      <w:rPr>
        <w:rStyle w:val="PageNumber"/>
        <w:lang w:val="de-DE"/>
      </w:rPr>
      <w:t>C/51/</w:t>
    </w:r>
  </w:p>
  <w:p w14:paraId="6D9673AC" w14:textId="36604E3F" w:rsidR="006F75BE" w:rsidRPr="008474CF" w:rsidRDefault="006F75BE" w:rsidP="00EB048E">
    <w:pPr>
      <w:pStyle w:val="Header"/>
      <w:rPr>
        <w:lang w:val="de-DE"/>
      </w:rPr>
    </w:pPr>
    <w:r w:rsidRPr="008474CF">
      <w:rPr>
        <w:lang w:val="de-DE"/>
      </w:rPr>
      <w:t xml:space="preserve">Seite </w:t>
    </w:r>
    <w:r w:rsidRPr="008474CF">
      <w:rPr>
        <w:rStyle w:val="PageNumber"/>
        <w:lang w:val="de-DE"/>
      </w:rPr>
      <w:fldChar w:fldCharType="begin"/>
    </w:r>
    <w:r w:rsidRPr="008474CF">
      <w:rPr>
        <w:rStyle w:val="PageNumber"/>
        <w:lang w:val="de-DE"/>
      </w:rPr>
      <w:instrText xml:space="preserve"> PAGE </w:instrText>
    </w:r>
    <w:r w:rsidRPr="008474CF">
      <w:rPr>
        <w:rStyle w:val="PageNumber"/>
        <w:lang w:val="de-DE"/>
      </w:rPr>
      <w:fldChar w:fldCharType="separate"/>
    </w:r>
    <w:r w:rsidRPr="008474CF">
      <w:rPr>
        <w:rStyle w:val="PageNumber"/>
        <w:lang w:val="de-DE"/>
      </w:rPr>
      <w:t>1</w:t>
    </w:r>
    <w:r w:rsidRPr="008474CF">
      <w:rPr>
        <w:rStyle w:val="PageNumber"/>
        <w:lang w:val="de-DE"/>
      </w:rPr>
      <w:fldChar w:fldCharType="end"/>
    </w:r>
  </w:p>
  <w:p w14:paraId="3FE07BA1" w14:textId="77777777" w:rsidR="006F75BE" w:rsidRPr="008474CF" w:rsidRDefault="006F75BE"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1DDE" w14:textId="7BA205F2" w:rsidR="006F75BE" w:rsidRPr="008474CF" w:rsidRDefault="002E06CD" w:rsidP="001C7937">
    <w:pPr>
      <w:pStyle w:val="Header"/>
      <w:rPr>
        <w:rStyle w:val="PageNumber"/>
        <w:lang w:val="de-DE"/>
      </w:rPr>
    </w:pPr>
    <w:r w:rsidRPr="008474CF">
      <w:rPr>
        <w:rStyle w:val="PageNumber"/>
        <w:lang w:val="de-DE"/>
      </w:rPr>
      <w:t>C/59/9</w:t>
    </w:r>
  </w:p>
  <w:p w14:paraId="2B2F853F" w14:textId="02AF71BD" w:rsidR="006F75BE" w:rsidRPr="008474CF" w:rsidRDefault="0005526B" w:rsidP="001C7937">
    <w:pPr>
      <w:pStyle w:val="Header"/>
      <w:rPr>
        <w:lang w:val="de-DE"/>
      </w:rPr>
    </w:pPr>
    <w:r w:rsidRPr="008474CF">
      <w:rPr>
        <w:lang w:val="de-DE"/>
      </w:rPr>
      <w:t>Anlage</w:t>
    </w:r>
    <w:r w:rsidR="006F75BE" w:rsidRPr="008474CF">
      <w:rPr>
        <w:lang w:val="de-DE"/>
      </w:rPr>
      <w:t xml:space="preserve">, Seite </w:t>
    </w:r>
    <w:r w:rsidR="006F75BE" w:rsidRPr="008474CF">
      <w:rPr>
        <w:rStyle w:val="PageNumber"/>
        <w:lang w:val="de-DE"/>
      </w:rPr>
      <w:fldChar w:fldCharType="begin"/>
    </w:r>
    <w:r w:rsidR="006F75BE" w:rsidRPr="008474CF">
      <w:rPr>
        <w:rStyle w:val="PageNumber"/>
        <w:lang w:val="de-DE"/>
      </w:rPr>
      <w:instrText xml:space="preserve"> PAGE </w:instrText>
    </w:r>
    <w:r w:rsidR="006F75BE" w:rsidRPr="008474CF">
      <w:rPr>
        <w:rStyle w:val="PageNumber"/>
        <w:lang w:val="de-DE"/>
      </w:rPr>
      <w:fldChar w:fldCharType="separate"/>
    </w:r>
    <w:r w:rsidR="004937D3" w:rsidRPr="008474CF">
      <w:rPr>
        <w:rStyle w:val="PageNumber"/>
        <w:lang w:val="de-DE"/>
      </w:rPr>
      <w:t>30</w:t>
    </w:r>
    <w:r w:rsidR="006F75BE" w:rsidRPr="008474CF">
      <w:rPr>
        <w:rStyle w:val="PageNumber"/>
        <w:lang w:val="de-DE"/>
      </w:rPr>
      <w:fldChar w:fldCharType="end"/>
    </w:r>
  </w:p>
  <w:p w14:paraId="5917932F" w14:textId="77777777" w:rsidR="006F75BE" w:rsidRPr="008474CF" w:rsidRDefault="006F75BE" w:rsidP="001C793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D22E" w14:textId="38885F8A" w:rsidR="00CB29BD" w:rsidRPr="008474CF" w:rsidRDefault="002E06CD" w:rsidP="00CB29BD">
    <w:pPr>
      <w:pStyle w:val="Header"/>
      <w:rPr>
        <w:rStyle w:val="PageNumber"/>
        <w:lang w:val="de-DE"/>
      </w:rPr>
    </w:pPr>
    <w:r w:rsidRPr="008474CF">
      <w:rPr>
        <w:rStyle w:val="PageNumber"/>
        <w:lang w:val="de-DE"/>
      </w:rPr>
      <w:t>C/59/9</w:t>
    </w:r>
  </w:p>
  <w:p w14:paraId="1F9EDF32" w14:textId="1FAB1DEE" w:rsidR="006F75BE" w:rsidRPr="008474CF" w:rsidRDefault="0005526B" w:rsidP="00EB048E">
    <w:pPr>
      <w:pStyle w:val="Header"/>
      <w:rPr>
        <w:lang w:val="de-DE"/>
      </w:rPr>
    </w:pPr>
    <w:r w:rsidRPr="008474CF">
      <w:rPr>
        <w:lang w:val="de-DE"/>
      </w:rPr>
      <w:t>Anlage</w:t>
    </w:r>
    <w:r w:rsidR="006F75BE" w:rsidRPr="008474CF">
      <w:rPr>
        <w:lang w:val="de-DE"/>
      </w:rPr>
      <w:t xml:space="preserve">, Seite </w:t>
    </w:r>
    <w:r w:rsidR="006F75BE" w:rsidRPr="008474CF">
      <w:rPr>
        <w:rStyle w:val="PageNumber"/>
        <w:lang w:val="de-DE"/>
      </w:rPr>
      <w:fldChar w:fldCharType="begin"/>
    </w:r>
    <w:r w:rsidR="006F75BE" w:rsidRPr="008474CF">
      <w:rPr>
        <w:rStyle w:val="PageNumber"/>
        <w:lang w:val="de-DE"/>
      </w:rPr>
      <w:instrText xml:space="preserve"> PAGE </w:instrText>
    </w:r>
    <w:r w:rsidR="006F75BE" w:rsidRPr="008474CF">
      <w:rPr>
        <w:rStyle w:val="PageNumber"/>
        <w:lang w:val="de-DE"/>
      </w:rPr>
      <w:fldChar w:fldCharType="separate"/>
    </w:r>
    <w:r w:rsidR="004937D3" w:rsidRPr="008474CF">
      <w:rPr>
        <w:rStyle w:val="PageNumber"/>
        <w:lang w:val="de-DE"/>
      </w:rPr>
      <w:t>23</w:t>
    </w:r>
    <w:r w:rsidR="006F75BE" w:rsidRPr="008474CF">
      <w:rPr>
        <w:rStyle w:val="PageNumber"/>
        <w:lang w:val="de-DE"/>
      </w:rPr>
      <w:fldChar w:fldCharType="end"/>
    </w:r>
  </w:p>
  <w:p w14:paraId="2CE53F6E" w14:textId="77777777" w:rsidR="006F75BE" w:rsidRPr="008474CF" w:rsidRDefault="006F75BE"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D2B6" w14:textId="63605B76" w:rsidR="006F75BE" w:rsidRPr="008474CF" w:rsidRDefault="002E06CD">
    <w:pPr>
      <w:pStyle w:val="Header"/>
      <w:rPr>
        <w:lang w:val="de-DE"/>
      </w:rPr>
    </w:pPr>
    <w:r w:rsidRPr="008474CF">
      <w:rPr>
        <w:lang w:val="de-DE"/>
      </w:rPr>
      <w:t>C/59/9</w:t>
    </w:r>
  </w:p>
  <w:p w14:paraId="196E429F" w14:textId="77777777" w:rsidR="006F75BE" w:rsidRPr="008474CF" w:rsidRDefault="006F75BE">
    <w:pPr>
      <w:pStyle w:val="Header"/>
      <w:rPr>
        <w:lang w:val="de-DE"/>
      </w:rPr>
    </w:pPr>
  </w:p>
  <w:p w14:paraId="35FE9193" w14:textId="02A7E4C5" w:rsidR="006F75BE" w:rsidRPr="008474CF" w:rsidRDefault="0005526B">
    <w:pPr>
      <w:pStyle w:val="Header"/>
      <w:rPr>
        <w:lang w:val="de-DE"/>
      </w:rPr>
    </w:pPr>
    <w:r w:rsidRPr="008474CF">
      <w:rPr>
        <w:lang w:val="de-DE"/>
      </w:rPr>
      <w:t>ANLAGE</w:t>
    </w:r>
  </w:p>
  <w:p w14:paraId="022376A5" w14:textId="77777777" w:rsidR="006F75BE" w:rsidRPr="008474CF" w:rsidRDefault="006F75BE">
    <w:pPr>
      <w:pStyle w:val="Header"/>
      <w:rPr>
        <w:lang w:val="de-DE"/>
      </w:rPr>
    </w:pPr>
  </w:p>
  <w:p w14:paraId="258B3AEF" w14:textId="77777777" w:rsidR="006F75BE" w:rsidRPr="008474CF" w:rsidRDefault="006F75BE">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E004BC"/>
    <w:multiLevelType w:val="hybridMultilevel"/>
    <w:tmpl w:val="021419F2"/>
    <w:lvl w:ilvl="0" w:tplc="AA76E0C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D80BD2"/>
    <w:multiLevelType w:val="hybridMultilevel"/>
    <w:tmpl w:val="F82E8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D2490"/>
    <w:multiLevelType w:val="multilevel"/>
    <w:tmpl w:val="BE821298"/>
    <w:styleLink w:val="CurrentList2"/>
    <w:lvl w:ilvl="0">
      <w:start w:val="4"/>
      <w:numFmt w:val="decimal"/>
      <w:lvlText w:val="%1."/>
      <w:lvlJc w:val="left"/>
      <w:pPr>
        <w:tabs>
          <w:tab w:val="num" w:pos="1080"/>
        </w:tabs>
        <w:ind w:left="567" w:hanging="567"/>
      </w:pPr>
      <w:rPr>
        <w:rFonts w:ascii="Arial" w:hAnsi="Arial" w:cs="Arial"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60A6F1A"/>
    <w:multiLevelType w:val="hybridMultilevel"/>
    <w:tmpl w:val="F84E59F2"/>
    <w:lvl w:ilvl="0" w:tplc="3072FBD0">
      <w:start w:val="1"/>
      <w:numFmt w:val="lowerRoman"/>
      <w:lvlText w:val="(%1)"/>
      <w:lvlJc w:val="left"/>
      <w:pPr>
        <w:ind w:left="976" w:hanging="720"/>
      </w:pPr>
      <w:rPr>
        <w:rFonts w:ascii="Arial" w:eastAsia="Arial" w:hAnsi="Arial" w:cs="Arial" w:hint="default"/>
        <w:spacing w:val="-1"/>
        <w:w w:val="99"/>
        <w:sz w:val="20"/>
        <w:szCs w:val="20"/>
        <w:lang w:val="en-US" w:eastAsia="en-US" w:bidi="en-US"/>
      </w:rPr>
    </w:lvl>
    <w:lvl w:ilvl="1" w:tplc="19204E78">
      <w:numFmt w:val="bullet"/>
      <w:lvlText w:val=""/>
      <w:lvlJc w:val="left"/>
      <w:pPr>
        <w:ind w:left="976" w:hanging="360"/>
      </w:pPr>
      <w:rPr>
        <w:rFonts w:ascii="Symbol" w:eastAsia="Symbol" w:hAnsi="Symbol" w:cs="Symbol" w:hint="default"/>
        <w:w w:val="99"/>
        <w:sz w:val="20"/>
        <w:szCs w:val="20"/>
        <w:lang w:val="en-US" w:eastAsia="en-US" w:bidi="en-US"/>
      </w:rPr>
    </w:lvl>
    <w:lvl w:ilvl="2" w:tplc="B97A1492">
      <w:numFmt w:val="bullet"/>
      <w:lvlText w:val="•"/>
      <w:lvlJc w:val="left"/>
      <w:pPr>
        <w:ind w:left="2717" w:hanging="360"/>
      </w:pPr>
      <w:rPr>
        <w:lang w:val="en-US" w:eastAsia="en-US" w:bidi="en-US"/>
      </w:rPr>
    </w:lvl>
    <w:lvl w:ilvl="3" w:tplc="95765674">
      <w:numFmt w:val="bullet"/>
      <w:lvlText w:val="•"/>
      <w:lvlJc w:val="left"/>
      <w:pPr>
        <w:ind w:left="3585" w:hanging="360"/>
      </w:pPr>
      <w:rPr>
        <w:lang w:val="en-US" w:eastAsia="en-US" w:bidi="en-US"/>
      </w:rPr>
    </w:lvl>
    <w:lvl w:ilvl="4" w:tplc="F2CC0036">
      <w:numFmt w:val="bullet"/>
      <w:lvlText w:val="•"/>
      <w:lvlJc w:val="left"/>
      <w:pPr>
        <w:ind w:left="4454" w:hanging="360"/>
      </w:pPr>
      <w:rPr>
        <w:lang w:val="en-US" w:eastAsia="en-US" w:bidi="en-US"/>
      </w:rPr>
    </w:lvl>
    <w:lvl w:ilvl="5" w:tplc="5E9E4E36">
      <w:numFmt w:val="bullet"/>
      <w:lvlText w:val="•"/>
      <w:lvlJc w:val="left"/>
      <w:pPr>
        <w:ind w:left="5323" w:hanging="360"/>
      </w:pPr>
      <w:rPr>
        <w:lang w:val="en-US" w:eastAsia="en-US" w:bidi="en-US"/>
      </w:rPr>
    </w:lvl>
    <w:lvl w:ilvl="6" w:tplc="02CA5DE0">
      <w:numFmt w:val="bullet"/>
      <w:lvlText w:val="•"/>
      <w:lvlJc w:val="left"/>
      <w:pPr>
        <w:ind w:left="6191" w:hanging="360"/>
      </w:pPr>
      <w:rPr>
        <w:lang w:val="en-US" w:eastAsia="en-US" w:bidi="en-US"/>
      </w:rPr>
    </w:lvl>
    <w:lvl w:ilvl="7" w:tplc="F5848A9A">
      <w:numFmt w:val="bullet"/>
      <w:lvlText w:val="•"/>
      <w:lvlJc w:val="left"/>
      <w:pPr>
        <w:ind w:left="7060" w:hanging="360"/>
      </w:pPr>
      <w:rPr>
        <w:lang w:val="en-US" w:eastAsia="en-US" w:bidi="en-US"/>
      </w:rPr>
    </w:lvl>
    <w:lvl w:ilvl="8" w:tplc="C9B85180">
      <w:numFmt w:val="bullet"/>
      <w:lvlText w:val="•"/>
      <w:lvlJc w:val="left"/>
      <w:pPr>
        <w:ind w:left="7929" w:hanging="360"/>
      </w:pPr>
      <w:rPr>
        <w:lang w:val="en-US" w:eastAsia="en-US" w:bidi="en-US"/>
      </w:rPr>
    </w:lvl>
  </w:abstractNum>
  <w:abstractNum w:abstractNumId="5" w15:restartNumberingAfterBreak="0">
    <w:nsid w:val="392B5D68"/>
    <w:multiLevelType w:val="hybridMultilevel"/>
    <w:tmpl w:val="8D14A45C"/>
    <w:lvl w:ilvl="0" w:tplc="0EA8A318">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4912CD"/>
    <w:multiLevelType w:val="hybridMultilevel"/>
    <w:tmpl w:val="EECA49E8"/>
    <w:lvl w:ilvl="0" w:tplc="5E2C1EE4">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505A466F"/>
    <w:multiLevelType w:val="hybridMultilevel"/>
    <w:tmpl w:val="AE94FCA4"/>
    <w:lvl w:ilvl="0" w:tplc="13E23DB4">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8" w15:restartNumberingAfterBreak="0">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C45B33"/>
    <w:multiLevelType w:val="hybridMultilevel"/>
    <w:tmpl w:val="BE821298"/>
    <w:lvl w:ilvl="0" w:tplc="B852BC40">
      <w:start w:val="4"/>
      <w:numFmt w:val="decimal"/>
      <w:lvlText w:val="%1."/>
      <w:lvlJc w:val="left"/>
      <w:pPr>
        <w:tabs>
          <w:tab w:val="num" w:pos="1080"/>
        </w:tabs>
        <w:ind w:left="567" w:hanging="567"/>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71FB8"/>
    <w:multiLevelType w:val="multilevel"/>
    <w:tmpl w:val="6694CC08"/>
    <w:styleLink w:val="AktuelleListe1"/>
    <w:lvl w:ilvl="0">
      <w:start w:val="1"/>
      <w:numFmt w:val="lowerRoman"/>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92235238">
    <w:abstractNumId w:val="8"/>
  </w:num>
  <w:num w:numId="2" w16cid:durableId="468130306">
    <w:abstractNumId w:val="14"/>
  </w:num>
  <w:num w:numId="3" w16cid:durableId="2053537396">
    <w:abstractNumId w:val="11"/>
  </w:num>
  <w:num w:numId="4" w16cid:durableId="756747757">
    <w:abstractNumId w:val="10"/>
  </w:num>
  <w:num w:numId="5" w16cid:durableId="694648617">
    <w:abstractNumId w:val="0"/>
  </w:num>
  <w:num w:numId="6" w16cid:durableId="216169699">
    <w:abstractNumId w:val="12"/>
  </w:num>
  <w:num w:numId="7" w16cid:durableId="1493401372">
    <w:abstractNumId w:val="9"/>
  </w:num>
  <w:num w:numId="8" w16cid:durableId="873883399">
    <w:abstractNumId w:val="7"/>
  </w:num>
  <w:num w:numId="9" w16cid:durableId="1605260210">
    <w:abstractNumId w:val="1"/>
  </w:num>
  <w:num w:numId="10" w16cid:durableId="440761845">
    <w:abstractNumId w:val="4"/>
  </w:num>
  <w:num w:numId="11" w16cid:durableId="1752773385">
    <w:abstractNumId w:val="6"/>
  </w:num>
  <w:num w:numId="12" w16cid:durableId="1948535181">
    <w:abstractNumId w:val="3"/>
  </w:num>
  <w:num w:numId="13" w16cid:durableId="208037016">
    <w:abstractNumId w:val="2"/>
  </w:num>
  <w:num w:numId="14" w16cid:durableId="502860324">
    <w:abstractNumId w:val="13"/>
  </w:num>
  <w:num w:numId="15" w16cid:durableId="75571325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de-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732"/>
    <w:rsid w:val="00000042"/>
    <w:rsid w:val="00000E41"/>
    <w:rsid w:val="00000EFE"/>
    <w:rsid w:val="00000FA5"/>
    <w:rsid w:val="00001377"/>
    <w:rsid w:val="000015A8"/>
    <w:rsid w:val="0000170A"/>
    <w:rsid w:val="00001AB4"/>
    <w:rsid w:val="00001CD5"/>
    <w:rsid w:val="00002159"/>
    <w:rsid w:val="00003006"/>
    <w:rsid w:val="0000308B"/>
    <w:rsid w:val="00003CC3"/>
    <w:rsid w:val="000073DB"/>
    <w:rsid w:val="00010786"/>
    <w:rsid w:val="00010CF3"/>
    <w:rsid w:val="00011352"/>
    <w:rsid w:val="000118DC"/>
    <w:rsid w:val="00011CE5"/>
    <w:rsid w:val="00011E27"/>
    <w:rsid w:val="000128C7"/>
    <w:rsid w:val="00013166"/>
    <w:rsid w:val="00013A54"/>
    <w:rsid w:val="00014104"/>
    <w:rsid w:val="000148BC"/>
    <w:rsid w:val="000149E9"/>
    <w:rsid w:val="00014AC4"/>
    <w:rsid w:val="00014DF2"/>
    <w:rsid w:val="00015CEC"/>
    <w:rsid w:val="000166FF"/>
    <w:rsid w:val="00016A3A"/>
    <w:rsid w:val="0001729C"/>
    <w:rsid w:val="000175DE"/>
    <w:rsid w:val="00017B12"/>
    <w:rsid w:val="0002077A"/>
    <w:rsid w:val="00021353"/>
    <w:rsid w:val="00024115"/>
    <w:rsid w:val="000243E8"/>
    <w:rsid w:val="00024AB8"/>
    <w:rsid w:val="00026484"/>
    <w:rsid w:val="000269CA"/>
    <w:rsid w:val="00026A99"/>
    <w:rsid w:val="00027B37"/>
    <w:rsid w:val="00027F79"/>
    <w:rsid w:val="00030139"/>
    <w:rsid w:val="00030854"/>
    <w:rsid w:val="00030D20"/>
    <w:rsid w:val="000312E8"/>
    <w:rsid w:val="0003131E"/>
    <w:rsid w:val="00031340"/>
    <w:rsid w:val="00031AE3"/>
    <w:rsid w:val="00034B65"/>
    <w:rsid w:val="00034B87"/>
    <w:rsid w:val="00034C24"/>
    <w:rsid w:val="000354B8"/>
    <w:rsid w:val="000357D6"/>
    <w:rsid w:val="00036028"/>
    <w:rsid w:val="00036458"/>
    <w:rsid w:val="00037A1E"/>
    <w:rsid w:val="000413A3"/>
    <w:rsid w:val="0004297F"/>
    <w:rsid w:val="00042A8C"/>
    <w:rsid w:val="00042AE0"/>
    <w:rsid w:val="00043DEC"/>
    <w:rsid w:val="00044642"/>
    <w:rsid w:val="000446B9"/>
    <w:rsid w:val="00045359"/>
    <w:rsid w:val="000464BE"/>
    <w:rsid w:val="00046978"/>
    <w:rsid w:val="00046B80"/>
    <w:rsid w:val="000470C5"/>
    <w:rsid w:val="00047E21"/>
    <w:rsid w:val="000501E6"/>
    <w:rsid w:val="00050E16"/>
    <w:rsid w:val="00053073"/>
    <w:rsid w:val="00053226"/>
    <w:rsid w:val="00054338"/>
    <w:rsid w:val="0005526B"/>
    <w:rsid w:val="00057496"/>
    <w:rsid w:val="00057AB0"/>
    <w:rsid w:val="000608D5"/>
    <w:rsid w:val="00060CD5"/>
    <w:rsid w:val="000614D8"/>
    <w:rsid w:val="00061DC5"/>
    <w:rsid w:val="00061F16"/>
    <w:rsid w:val="000639BC"/>
    <w:rsid w:val="00064040"/>
    <w:rsid w:val="0006769B"/>
    <w:rsid w:val="00067755"/>
    <w:rsid w:val="00070695"/>
    <w:rsid w:val="0007119F"/>
    <w:rsid w:val="0007150B"/>
    <w:rsid w:val="00071651"/>
    <w:rsid w:val="000745BA"/>
    <w:rsid w:val="0007493C"/>
    <w:rsid w:val="00076129"/>
    <w:rsid w:val="000803D1"/>
    <w:rsid w:val="000803F1"/>
    <w:rsid w:val="00080447"/>
    <w:rsid w:val="000808BF"/>
    <w:rsid w:val="00080A1D"/>
    <w:rsid w:val="00080A4B"/>
    <w:rsid w:val="00084B05"/>
    <w:rsid w:val="00084FC7"/>
    <w:rsid w:val="000851C1"/>
    <w:rsid w:val="00085341"/>
    <w:rsid w:val="00085505"/>
    <w:rsid w:val="00085A3D"/>
    <w:rsid w:val="0008785E"/>
    <w:rsid w:val="00090C21"/>
    <w:rsid w:val="000931FD"/>
    <w:rsid w:val="0009337C"/>
    <w:rsid w:val="00094411"/>
    <w:rsid w:val="00096A0A"/>
    <w:rsid w:val="00097723"/>
    <w:rsid w:val="000A1841"/>
    <w:rsid w:val="000A4A55"/>
    <w:rsid w:val="000A4C97"/>
    <w:rsid w:val="000A50D8"/>
    <w:rsid w:val="000A602F"/>
    <w:rsid w:val="000B0197"/>
    <w:rsid w:val="000B049E"/>
    <w:rsid w:val="000B189E"/>
    <w:rsid w:val="000B466B"/>
    <w:rsid w:val="000B5256"/>
    <w:rsid w:val="000B6E51"/>
    <w:rsid w:val="000B6F44"/>
    <w:rsid w:val="000B77D8"/>
    <w:rsid w:val="000B7CCA"/>
    <w:rsid w:val="000C1105"/>
    <w:rsid w:val="000C1657"/>
    <w:rsid w:val="000C17BD"/>
    <w:rsid w:val="000C1F34"/>
    <w:rsid w:val="000C271C"/>
    <w:rsid w:val="000C2850"/>
    <w:rsid w:val="000C39F7"/>
    <w:rsid w:val="000C3AE4"/>
    <w:rsid w:val="000C3E71"/>
    <w:rsid w:val="000C4702"/>
    <w:rsid w:val="000C4D3A"/>
    <w:rsid w:val="000C4E25"/>
    <w:rsid w:val="000C7021"/>
    <w:rsid w:val="000C755D"/>
    <w:rsid w:val="000C7F8E"/>
    <w:rsid w:val="000D07BD"/>
    <w:rsid w:val="000D1FAE"/>
    <w:rsid w:val="000D2BD6"/>
    <w:rsid w:val="000D346D"/>
    <w:rsid w:val="000D35E5"/>
    <w:rsid w:val="000D5413"/>
    <w:rsid w:val="000D55E5"/>
    <w:rsid w:val="000D55F0"/>
    <w:rsid w:val="000D5C2D"/>
    <w:rsid w:val="000D5E86"/>
    <w:rsid w:val="000D6BBC"/>
    <w:rsid w:val="000D7780"/>
    <w:rsid w:val="000D78B2"/>
    <w:rsid w:val="000E08B6"/>
    <w:rsid w:val="000E0F89"/>
    <w:rsid w:val="000E1576"/>
    <w:rsid w:val="000E1BD8"/>
    <w:rsid w:val="000E249A"/>
    <w:rsid w:val="000E286A"/>
    <w:rsid w:val="000E2AE8"/>
    <w:rsid w:val="000E38DA"/>
    <w:rsid w:val="000E4DB5"/>
    <w:rsid w:val="000E5C0D"/>
    <w:rsid w:val="000E636A"/>
    <w:rsid w:val="000E6EE1"/>
    <w:rsid w:val="000E71EC"/>
    <w:rsid w:val="000E78BF"/>
    <w:rsid w:val="000F0498"/>
    <w:rsid w:val="000F1549"/>
    <w:rsid w:val="000F2BFA"/>
    <w:rsid w:val="000F2E9C"/>
    <w:rsid w:val="000F2F11"/>
    <w:rsid w:val="000F3752"/>
    <w:rsid w:val="000F48DC"/>
    <w:rsid w:val="000F5123"/>
    <w:rsid w:val="000F52E3"/>
    <w:rsid w:val="000F6647"/>
    <w:rsid w:val="000F733C"/>
    <w:rsid w:val="000F7340"/>
    <w:rsid w:val="0010059D"/>
    <w:rsid w:val="00100705"/>
    <w:rsid w:val="001007F7"/>
    <w:rsid w:val="00100ACC"/>
    <w:rsid w:val="00101170"/>
    <w:rsid w:val="00101E22"/>
    <w:rsid w:val="00102C38"/>
    <w:rsid w:val="00103340"/>
    <w:rsid w:val="0010336A"/>
    <w:rsid w:val="001037D3"/>
    <w:rsid w:val="001043B7"/>
    <w:rsid w:val="00104701"/>
    <w:rsid w:val="00104C19"/>
    <w:rsid w:val="00105929"/>
    <w:rsid w:val="001077F7"/>
    <w:rsid w:val="00110C36"/>
    <w:rsid w:val="00112B6B"/>
    <w:rsid w:val="00112FC7"/>
    <w:rsid w:val="001131D5"/>
    <w:rsid w:val="001138FF"/>
    <w:rsid w:val="001159B0"/>
    <w:rsid w:val="00115D3E"/>
    <w:rsid w:val="00116946"/>
    <w:rsid w:val="001179B3"/>
    <w:rsid w:val="00117FB4"/>
    <w:rsid w:val="0012012B"/>
    <w:rsid w:val="0012041A"/>
    <w:rsid w:val="00120CE4"/>
    <w:rsid w:val="0012156A"/>
    <w:rsid w:val="00121864"/>
    <w:rsid w:val="00122073"/>
    <w:rsid w:val="00122BA7"/>
    <w:rsid w:val="0012479E"/>
    <w:rsid w:val="001252E0"/>
    <w:rsid w:val="00125A4F"/>
    <w:rsid w:val="001279B4"/>
    <w:rsid w:val="001307B5"/>
    <w:rsid w:val="001309DB"/>
    <w:rsid w:val="00132267"/>
    <w:rsid w:val="00132934"/>
    <w:rsid w:val="0013428E"/>
    <w:rsid w:val="001344C2"/>
    <w:rsid w:val="0013593F"/>
    <w:rsid w:val="00135FBE"/>
    <w:rsid w:val="001369DC"/>
    <w:rsid w:val="00140ED9"/>
    <w:rsid w:val="00140EE4"/>
    <w:rsid w:val="00141528"/>
    <w:rsid w:val="00141858"/>
    <w:rsid w:val="00141DB8"/>
    <w:rsid w:val="00142F20"/>
    <w:rsid w:val="001432E6"/>
    <w:rsid w:val="001435B2"/>
    <w:rsid w:val="00144B1C"/>
    <w:rsid w:val="00144B1E"/>
    <w:rsid w:val="00145697"/>
    <w:rsid w:val="0014569B"/>
    <w:rsid w:val="0014626F"/>
    <w:rsid w:val="00146BF7"/>
    <w:rsid w:val="0014704B"/>
    <w:rsid w:val="00147604"/>
    <w:rsid w:val="00147678"/>
    <w:rsid w:val="00147935"/>
    <w:rsid w:val="00147DA5"/>
    <w:rsid w:val="00150F45"/>
    <w:rsid w:val="00152069"/>
    <w:rsid w:val="001521C2"/>
    <w:rsid w:val="001526B5"/>
    <w:rsid w:val="001540C1"/>
    <w:rsid w:val="001544B5"/>
    <w:rsid w:val="00154BA5"/>
    <w:rsid w:val="00155B32"/>
    <w:rsid w:val="00157E38"/>
    <w:rsid w:val="001606A6"/>
    <w:rsid w:val="00162492"/>
    <w:rsid w:val="001628B4"/>
    <w:rsid w:val="00162E29"/>
    <w:rsid w:val="00163868"/>
    <w:rsid w:val="00164DAE"/>
    <w:rsid w:val="001660B4"/>
    <w:rsid w:val="0016776C"/>
    <w:rsid w:val="0016796E"/>
    <w:rsid w:val="00167D84"/>
    <w:rsid w:val="0017052B"/>
    <w:rsid w:val="00170616"/>
    <w:rsid w:val="00172084"/>
    <w:rsid w:val="00172FA7"/>
    <w:rsid w:val="0017474A"/>
    <w:rsid w:val="00174C1A"/>
    <w:rsid w:val="001758C6"/>
    <w:rsid w:val="00175E57"/>
    <w:rsid w:val="00176044"/>
    <w:rsid w:val="00176821"/>
    <w:rsid w:val="00176EF3"/>
    <w:rsid w:val="00177525"/>
    <w:rsid w:val="001776DA"/>
    <w:rsid w:val="00180984"/>
    <w:rsid w:val="00180B14"/>
    <w:rsid w:val="001821D5"/>
    <w:rsid w:val="0018265D"/>
    <w:rsid w:val="00182B99"/>
    <w:rsid w:val="00182CBD"/>
    <w:rsid w:val="001830B9"/>
    <w:rsid w:val="0018337D"/>
    <w:rsid w:val="00183C84"/>
    <w:rsid w:val="00185022"/>
    <w:rsid w:val="00185860"/>
    <w:rsid w:val="001859FA"/>
    <w:rsid w:val="00185E5F"/>
    <w:rsid w:val="001862C5"/>
    <w:rsid w:val="0018747C"/>
    <w:rsid w:val="00187DDC"/>
    <w:rsid w:val="00190831"/>
    <w:rsid w:val="00190832"/>
    <w:rsid w:val="001908E1"/>
    <w:rsid w:val="00191695"/>
    <w:rsid w:val="00191CDD"/>
    <w:rsid w:val="00194C8C"/>
    <w:rsid w:val="0019500A"/>
    <w:rsid w:val="00195100"/>
    <w:rsid w:val="001953AF"/>
    <w:rsid w:val="00195AD5"/>
    <w:rsid w:val="00195F64"/>
    <w:rsid w:val="001961D1"/>
    <w:rsid w:val="001965E6"/>
    <w:rsid w:val="00196CB5"/>
    <w:rsid w:val="00197A42"/>
    <w:rsid w:val="00197AC5"/>
    <w:rsid w:val="001A01A4"/>
    <w:rsid w:val="001A3FA6"/>
    <w:rsid w:val="001A4FE4"/>
    <w:rsid w:val="001A5165"/>
    <w:rsid w:val="001A5DE6"/>
    <w:rsid w:val="001A6E1E"/>
    <w:rsid w:val="001A6F47"/>
    <w:rsid w:val="001A7F4A"/>
    <w:rsid w:val="001B06A3"/>
    <w:rsid w:val="001B15B8"/>
    <w:rsid w:val="001B35D6"/>
    <w:rsid w:val="001C0ED3"/>
    <w:rsid w:val="001C1525"/>
    <w:rsid w:val="001C2B62"/>
    <w:rsid w:val="001C502A"/>
    <w:rsid w:val="001C6547"/>
    <w:rsid w:val="001C6B83"/>
    <w:rsid w:val="001C76F2"/>
    <w:rsid w:val="001C7937"/>
    <w:rsid w:val="001C7946"/>
    <w:rsid w:val="001D0548"/>
    <w:rsid w:val="001D0A5E"/>
    <w:rsid w:val="001D107E"/>
    <w:rsid w:val="001D113F"/>
    <w:rsid w:val="001D125B"/>
    <w:rsid w:val="001D13F4"/>
    <w:rsid w:val="001D29ED"/>
    <w:rsid w:val="001D4972"/>
    <w:rsid w:val="001D4C9D"/>
    <w:rsid w:val="001D79EE"/>
    <w:rsid w:val="001D7C94"/>
    <w:rsid w:val="001E09D0"/>
    <w:rsid w:val="001E0D3F"/>
    <w:rsid w:val="001E11E5"/>
    <w:rsid w:val="001E35F8"/>
    <w:rsid w:val="001E383C"/>
    <w:rsid w:val="001E48B4"/>
    <w:rsid w:val="001E69AF"/>
    <w:rsid w:val="001E7353"/>
    <w:rsid w:val="001F0802"/>
    <w:rsid w:val="001F1F1B"/>
    <w:rsid w:val="001F333C"/>
    <w:rsid w:val="001F374E"/>
    <w:rsid w:val="001F391E"/>
    <w:rsid w:val="00201EB6"/>
    <w:rsid w:val="00201F28"/>
    <w:rsid w:val="00204342"/>
    <w:rsid w:val="00204749"/>
    <w:rsid w:val="00204D6B"/>
    <w:rsid w:val="0020503E"/>
    <w:rsid w:val="0020542B"/>
    <w:rsid w:val="00205952"/>
    <w:rsid w:val="0020751D"/>
    <w:rsid w:val="00207B48"/>
    <w:rsid w:val="00207E6C"/>
    <w:rsid w:val="00210EBE"/>
    <w:rsid w:val="00211473"/>
    <w:rsid w:val="0021332C"/>
    <w:rsid w:val="00213982"/>
    <w:rsid w:val="0021450E"/>
    <w:rsid w:val="00214C72"/>
    <w:rsid w:val="00215223"/>
    <w:rsid w:val="002159D8"/>
    <w:rsid w:val="00216607"/>
    <w:rsid w:val="0021673C"/>
    <w:rsid w:val="00216A86"/>
    <w:rsid w:val="00217357"/>
    <w:rsid w:val="00217732"/>
    <w:rsid w:val="00220006"/>
    <w:rsid w:val="00220FA1"/>
    <w:rsid w:val="00222491"/>
    <w:rsid w:val="00222890"/>
    <w:rsid w:val="00222E09"/>
    <w:rsid w:val="002233FA"/>
    <w:rsid w:val="0022365B"/>
    <w:rsid w:val="00224630"/>
    <w:rsid w:val="00224B94"/>
    <w:rsid w:val="00224D91"/>
    <w:rsid w:val="00225AD8"/>
    <w:rsid w:val="00227ED4"/>
    <w:rsid w:val="002306CC"/>
    <w:rsid w:val="002309E1"/>
    <w:rsid w:val="00230E3B"/>
    <w:rsid w:val="00231C4F"/>
    <w:rsid w:val="00232AC6"/>
    <w:rsid w:val="00232BD3"/>
    <w:rsid w:val="00233094"/>
    <w:rsid w:val="002333BA"/>
    <w:rsid w:val="0023348F"/>
    <w:rsid w:val="00234682"/>
    <w:rsid w:val="0023511F"/>
    <w:rsid w:val="002366AF"/>
    <w:rsid w:val="00236A46"/>
    <w:rsid w:val="0024129F"/>
    <w:rsid w:val="002426C5"/>
    <w:rsid w:val="0024416D"/>
    <w:rsid w:val="00244181"/>
    <w:rsid w:val="00244B51"/>
    <w:rsid w:val="00244BEE"/>
    <w:rsid w:val="00245216"/>
    <w:rsid w:val="00245D32"/>
    <w:rsid w:val="00246364"/>
    <w:rsid w:val="002465AC"/>
    <w:rsid w:val="00246C95"/>
    <w:rsid w:val="002508AB"/>
    <w:rsid w:val="00250E0B"/>
    <w:rsid w:val="002510F8"/>
    <w:rsid w:val="00251EE4"/>
    <w:rsid w:val="0025224D"/>
    <w:rsid w:val="0025292E"/>
    <w:rsid w:val="00253B54"/>
    <w:rsid w:val="002564D5"/>
    <w:rsid w:val="00260605"/>
    <w:rsid w:val="00261ECA"/>
    <w:rsid w:val="002676CC"/>
    <w:rsid w:val="002707EA"/>
    <w:rsid w:val="00271911"/>
    <w:rsid w:val="00271D11"/>
    <w:rsid w:val="00272703"/>
    <w:rsid w:val="0027283B"/>
    <w:rsid w:val="002730EE"/>
    <w:rsid w:val="00273352"/>
    <w:rsid w:val="00273506"/>
    <w:rsid w:val="00273A35"/>
    <w:rsid w:val="002751D7"/>
    <w:rsid w:val="002756DE"/>
    <w:rsid w:val="00276CBB"/>
    <w:rsid w:val="0027754B"/>
    <w:rsid w:val="0027791B"/>
    <w:rsid w:val="002800A0"/>
    <w:rsid w:val="002801B3"/>
    <w:rsid w:val="002809D0"/>
    <w:rsid w:val="00281060"/>
    <w:rsid w:val="00281A63"/>
    <w:rsid w:val="00281ADE"/>
    <w:rsid w:val="00282629"/>
    <w:rsid w:val="00282CFF"/>
    <w:rsid w:val="00283563"/>
    <w:rsid w:val="00285D59"/>
    <w:rsid w:val="00286D6E"/>
    <w:rsid w:val="00290542"/>
    <w:rsid w:val="002906BF"/>
    <w:rsid w:val="00290F9D"/>
    <w:rsid w:val="002912FC"/>
    <w:rsid w:val="00291706"/>
    <w:rsid w:val="002920C9"/>
    <w:rsid w:val="0029246C"/>
    <w:rsid w:val="00292D58"/>
    <w:rsid w:val="00293455"/>
    <w:rsid w:val="002940E8"/>
    <w:rsid w:val="00294751"/>
    <w:rsid w:val="00296C8A"/>
    <w:rsid w:val="00297A09"/>
    <w:rsid w:val="002A17E0"/>
    <w:rsid w:val="002A1809"/>
    <w:rsid w:val="002A1AF5"/>
    <w:rsid w:val="002A237A"/>
    <w:rsid w:val="002A40A0"/>
    <w:rsid w:val="002A533A"/>
    <w:rsid w:val="002A63B8"/>
    <w:rsid w:val="002A6E50"/>
    <w:rsid w:val="002A78D1"/>
    <w:rsid w:val="002A7AEC"/>
    <w:rsid w:val="002B006E"/>
    <w:rsid w:val="002B012D"/>
    <w:rsid w:val="002B0A8D"/>
    <w:rsid w:val="002B0B2E"/>
    <w:rsid w:val="002B39DC"/>
    <w:rsid w:val="002B4290"/>
    <w:rsid w:val="002B4298"/>
    <w:rsid w:val="002B5EC5"/>
    <w:rsid w:val="002B619B"/>
    <w:rsid w:val="002B77FD"/>
    <w:rsid w:val="002B7D09"/>
    <w:rsid w:val="002B7F3B"/>
    <w:rsid w:val="002C0800"/>
    <w:rsid w:val="002C0ADD"/>
    <w:rsid w:val="002C1618"/>
    <w:rsid w:val="002C1FAE"/>
    <w:rsid w:val="002C256A"/>
    <w:rsid w:val="002C29AC"/>
    <w:rsid w:val="002C2E71"/>
    <w:rsid w:val="002C2FA7"/>
    <w:rsid w:val="002C2FAF"/>
    <w:rsid w:val="002C30EE"/>
    <w:rsid w:val="002C4D4E"/>
    <w:rsid w:val="002C5CD6"/>
    <w:rsid w:val="002C6757"/>
    <w:rsid w:val="002C683B"/>
    <w:rsid w:val="002D043A"/>
    <w:rsid w:val="002D0C40"/>
    <w:rsid w:val="002D2FA2"/>
    <w:rsid w:val="002D3525"/>
    <w:rsid w:val="002D58CC"/>
    <w:rsid w:val="002D5BC0"/>
    <w:rsid w:val="002D6395"/>
    <w:rsid w:val="002D65D1"/>
    <w:rsid w:val="002D7978"/>
    <w:rsid w:val="002D7B51"/>
    <w:rsid w:val="002E06CD"/>
    <w:rsid w:val="002E485F"/>
    <w:rsid w:val="002E4F36"/>
    <w:rsid w:val="002F2154"/>
    <w:rsid w:val="002F2B83"/>
    <w:rsid w:val="002F343D"/>
    <w:rsid w:val="002F377A"/>
    <w:rsid w:val="002F57A3"/>
    <w:rsid w:val="002F69EC"/>
    <w:rsid w:val="002F712B"/>
    <w:rsid w:val="00301EE8"/>
    <w:rsid w:val="00304D58"/>
    <w:rsid w:val="003055CC"/>
    <w:rsid w:val="00305A7F"/>
    <w:rsid w:val="00305D29"/>
    <w:rsid w:val="00305E04"/>
    <w:rsid w:val="003061F2"/>
    <w:rsid w:val="00306229"/>
    <w:rsid w:val="00306BEE"/>
    <w:rsid w:val="0030703E"/>
    <w:rsid w:val="00312A3B"/>
    <w:rsid w:val="00314A8D"/>
    <w:rsid w:val="003152FE"/>
    <w:rsid w:val="00316175"/>
    <w:rsid w:val="003164D4"/>
    <w:rsid w:val="003172C0"/>
    <w:rsid w:val="00317938"/>
    <w:rsid w:val="0032020E"/>
    <w:rsid w:val="003216B1"/>
    <w:rsid w:val="00324082"/>
    <w:rsid w:val="00324470"/>
    <w:rsid w:val="00324715"/>
    <w:rsid w:val="00324B40"/>
    <w:rsid w:val="003251A9"/>
    <w:rsid w:val="003258A9"/>
    <w:rsid w:val="00325E18"/>
    <w:rsid w:val="00326656"/>
    <w:rsid w:val="00327436"/>
    <w:rsid w:val="00327627"/>
    <w:rsid w:val="003278ED"/>
    <w:rsid w:val="003318FE"/>
    <w:rsid w:val="00332D7A"/>
    <w:rsid w:val="00333200"/>
    <w:rsid w:val="00333C97"/>
    <w:rsid w:val="00333F6D"/>
    <w:rsid w:val="00334395"/>
    <w:rsid w:val="00334BEB"/>
    <w:rsid w:val="0033615D"/>
    <w:rsid w:val="00336FA1"/>
    <w:rsid w:val="00340897"/>
    <w:rsid w:val="003408AA"/>
    <w:rsid w:val="003412E7"/>
    <w:rsid w:val="00341ACA"/>
    <w:rsid w:val="0034370D"/>
    <w:rsid w:val="00344BD6"/>
    <w:rsid w:val="00345CCD"/>
    <w:rsid w:val="00346398"/>
    <w:rsid w:val="0034671F"/>
    <w:rsid w:val="003467FC"/>
    <w:rsid w:val="003478E3"/>
    <w:rsid w:val="00347F8B"/>
    <w:rsid w:val="00352498"/>
    <w:rsid w:val="0035372F"/>
    <w:rsid w:val="00353F92"/>
    <w:rsid w:val="003544AB"/>
    <w:rsid w:val="0035528D"/>
    <w:rsid w:val="00355429"/>
    <w:rsid w:val="00355725"/>
    <w:rsid w:val="00356F55"/>
    <w:rsid w:val="0036052F"/>
    <w:rsid w:val="00360B22"/>
    <w:rsid w:val="0036157A"/>
    <w:rsid w:val="00361821"/>
    <w:rsid w:val="00361E9E"/>
    <w:rsid w:val="00361EFE"/>
    <w:rsid w:val="003631E5"/>
    <w:rsid w:val="00363CF7"/>
    <w:rsid w:val="00364B8E"/>
    <w:rsid w:val="00364F9D"/>
    <w:rsid w:val="003651F2"/>
    <w:rsid w:val="003662D1"/>
    <w:rsid w:val="003705C5"/>
    <w:rsid w:val="003720FF"/>
    <w:rsid w:val="00372D31"/>
    <w:rsid w:val="003741CB"/>
    <w:rsid w:val="00377360"/>
    <w:rsid w:val="003804A8"/>
    <w:rsid w:val="00380E22"/>
    <w:rsid w:val="00380E40"/>
    <w:rsid w:val="00380EFD"/>
    <w:rsid w:val="0038130A"/>
    <w:rsid w:val="003828C2"/>
    <w:rsid w:val="0038343B"/>
    <w:rsid w:val="003834A9"/>
    <w:rsid w:val="003834C6"/>
    <w:rsid w:val="00383939"/>
    <w:rsid w:val="00383C0E"/>
    <w:rsid w:val="00383D94"/>
    <w:rsid w:val="00384CA5"/>
    <w:rsid w:val="00387285"/>
    <w:rsid w:val="0038775D"/>
    <w:rsid w:val="00390776"/>
    <w:rsid w:val="00390ABE"/>
    <w:rsid w:val="00391F3A"/>
    <w:rsid w:val="003923AA"/>
    <w:rsid w:val="0039270D"/>
    <w:rsid w:val="00392ABA"/>
    <w:rsid w:val="00393877"/>
    <w:rsid w:val="00393B7B"/>
    <w:rsid w:val="00393DDB"/>
    <w:rsid w:val="0039440D"/>
    <w:rsid w:val="00394906"/>
    <w:rsid w:val="0039633A"/>
    <w:rsid w:val="00396B5E"/>
    <w:rsid w:val="0039723C"/>
    <w:rsid w:val="003A179B"/>
    <w:rsid w:val="003A2A7A"/>
    <w:rsid w:val="003A481E"/>
    <w:rsid w:val="003A48B3"/>
    <w:rsid w:val="003A6218"/>
    <w:rsid w:val="003A6DED"/>
    <w:rsid w:val="003B065A"/>
    <w:rsid w:val="003B11D8"/>
    <w:rsid w:val="003B14FE"/>
    <w:rsid w:val="003B3804"/>
    <w:rsid w:val="003B43BB"/>
    <w:rsid w:val="003B5781"/>
    <w:rsid w:val="003B748D"/>
    <w:rsid w:val="003B75E1"/>
    <w:rsid w:val="003C0736"/>
    <w:rsid w:val="003C107E"/>
    <w:rsid w:val="003C1B2E"/>
    <w:rsid w:val="003C1E76"/>
    <w:rsid w:val="003C2739"/>
    <w:rsid w:val="003C4A38"/>
    <w:rsid w:val="003C4F41"/>
    <w:rsid w:val="003C51D4"/>
    <w:rsid w:val="003C57F9"/>
    <w:rsid w:val="003C5B70"/>
    <w:rsid w:val="003C6E2B"/>
    <w:rsid w:val="003C789B"/>
    <w:rsid w:val="003C7C50"/>
    <w:rsid w:val="003C7FBE"/>
    <w:rsid w:val="003D0BA1"/>
    <w:rsid w:val="003D1CD7"/>
    <w:rsid w:val="003D227C"/>
    <w:rsid w:val="003D2B4D"/>
    <w:rsid w:val="003D6F18"/>
    <w:rsid w:val="003E0B8A"/>
    <w:rsid w:val="003E167D"/>
    <w:rsid w:val="003E2732"/>
    <w:rsid w:val="003E2998"/>
    <w:rsid w:val="003E3776"/>
    <w:rsid w:val="003E5BC0"/>
    <w:rsid w:val="003E5E9A"/>
    <w:rsid w:val="003E7DF6"/>
    <w:rsid w:val="003F02CD"/>
    <w:rsid w:val="003F2509"/>
    <w:rsid w:val="003F285E"/>
    <w:rsid w:val="003F2E24"/>
    <w:rsid w:val="003F4373"/>
    <w:rsid w:val="003F4E3A"/>
    <w:rsid w:val="003F5E9F"/>
    <w:rsid w:val="003F5F2B"/>
    <w:rsid w:val="003F61EC"/>
    <w:rsid w:val="003F62FC"/>
    <w:rsid w:val="003F773D"/>
    <w:rsid w:val="00401109"/>
    <w:rsid w:val="0040119E"/>
    <w:rsid w:val="004017D6"/>
    <w:rsid w:val="004032C1"/>
    <w:rsid w:val="004035A9"/>
    <w:rsid w:val="00404201"/>
    <w:rsid w:val="00405051"/>
    <w:rsid w:val="00405745"/>
    <w:rsid w:val="0040575A"/>
    <w:rsid w:val="00407750"/>
    <w:rsid w:val="004120CB"/>
    <w:rsid w:val="00412EAD"/>
    <w:rsid w:val="0041583C"/>
    <w:rsid w:val="00416658"/>
    <w:rsid w:val="00416A76"/>
    <w:rsid w:val="00416B06"/>
    <w:rsid w:val="00420682"/>
    <w:rsid w:val="004213E7"/>
    <w:rsid w:val="00422DA6"/>
    <w:rsid w:val="004230A4"/>
    <w:rsid w:val="00423629"/>
    <w:rsid w:val="0042390E"/>
    <w:rsid w:val="00423B20"/>
    <w:rsid w:val="00424156"/>
    <w:rsid w:val="004244A8"/>
    <w:rsid w:val="004262A2"/>
    <w:rsid w:val="00430182"/>
    <w:rsid w:val="00432574"/>
    <w:rsid w:val="0043433B"/>
    <w:rsid w:val="0043449C"/>
    <w:rsid w:val="00434835"/>
    <w:rsid w:val="00434B4C"/>
    <w:rsid w:val="00435226"/>
    <w:rsid w:val="004358E4"/>
    <w:rsid w:val="0044099B"/>
    <w:rsid w:val="00440AE1"/>
    <w:rsid w:val="004418AB"/>
    <w:rsid w:val="00442860"/>
    <w:rsid w:val="0044289F"/>
    <w:rsid w:val="00443EDE"/>
    <w:rsid w:val="00444A88"/>
    <w:rsid w:val="00445ED1"/>
    <w:rsid w:val="00445FA4"/>
    <w:rsid w:val="00447B8A"/>
    <w:rsid w:val="004506B2"/>
    <w:rsid w:val="00450D12"/>
    <w:rsid w:val="004523B4"/>
    <w:rsid w:val="0045241D"/>
    <w:rsid w:val="004544BC"/>
    <w:rsid w:val="00454DA6"/>
    <w:rsid w:val="00455644"/>
    <w:rsid w:val="004556AC"/>
    <w:rsid w:val="00456F6D"/>
    <w:rsid w:val="00460801"/>
    <w:rsid w:val="0046135E"/>
    <w:rsid w:val="004619F2"/>
    <w:rsid w:val="00461D4B"/>
    <w:rsid w:val="004621B7"/>
    <w:rsid w:val="004624D6"/>
    <w:rsid w:val="00462DBE"/>
    <w:rsid w:val="00463EB9"/>
    <w:rsid w:val="00464BF5"/>
    <w:rsid w:val="0046679C"/>
    <w:rsid w:val="00466A89"/>
    <w:rsid w:val="00466D62"/>
    <w:rsid w:val="00467CAE"/>
    <w:rsid w:val="004707A7"/>
    <w:rsid w:val="00471391"/>
    <w:rsid w:val="00474DA4"/>
    <w:rsid w:val="00475469"/>
    <w:rsid w:val="00476B4D"/>
    <w:rsid w:val="00477365"/>
    <w:rsid w:val="004779C2"/>
    <w:rsid w:val="004803E0"/>
    <w:rsid w:val="004805FA"/>
    <w:rsid w:val="00480C55"/>
    <w:rsid w:val="0048117E"/>
    <w:rsid w:val="00481AFF"/>
    <w:rsid w:val="00481EDD"/>
    <w:rsid w:val="00483FD7"/>
    <w:rsid w:val="004843AE"/>
    <w:rsid w:val="004846E9"/>
    <w:rsid w:val="004849FD"/>
    <w:rsid w:val="00487284"/>
    <w:rsid w:val="0048778B"/>
    <w:rsid w:val="004900FA"/>
    <w:rsid w:val="0049060F"/>
    <w:rsid w:val="00492B31"/>
    <w:rsid w:val="00492C8B"/>
    <w:rsid w:val="004932AB"/>
    <w:rsid w:val="004935D2"/>
    <w:rsid w:val="004937D3"/>
    <w:rsid w:val="00494997"/>
    <w:rsid w:val="004954B7"/>
    <w:rsid w:val="00497A0D"/>
    <w:rsid w:val="004A018B"/>
    <w:rsid w:val="004A0DD6"/>
    <w:rsid w:val="004A22F1"/>
    <w:rsid w:val="004A3FD7"/>
    <w:rsid w:val="004A4F4A"/>
    <w:rsid w:val="004A5EBA"/>
    <w:rsid w:val="004A7416"/>
    <w:rsid w:val="004B1215"/>
    <w:rsid w:val="004B1374"/>
    <w:rsid w:val="004B1379"/>
    <w:rsid w:val="004B258C"/>
    <w:rsid w:val="004B45AE"/>
    <w:rsid w:val="004B4F6F"/>
    <w:rsid w:val="004B5B7F"/>
    <w:rsid w:val="004B7567"/>
    <w:rsid w:val="004B7A77"/>
    <w:rsid w:val="004C0CDC"/>
    <w:rsid w:val="004C386F"/>
    <w:rsid w:val="004C38F6"/>
    <w:rsid w:val="004C517D"/>
    <w:rsid w:val="004C546A"/>
    <w:rsid w:val="004C567C"/>
    <w:rsid w:val="004C6AD3"/>
    <w:rsid w:val="004C7409"/>
    <w:rsid w:val="004C74D1"/>
    <w:rsid w:val="004C7533"/>
    <w:rsid w:val="004D047D"/>
    <w:rsid w:val="004D1238"/>
    <w:rsid w:val="004D17E5"/>
    <w:rsid w:val="004D182E"/>
    <w:rsid w:val="004D2768"/>
    <w:rsid w:val="004D333B"/>
    <w:rsid w:val="004D3C82"/>
    <w:rsid w:val="004D3DD1"/>
    <w:rsid w:val="004D499C"/>
    <w:rsid w:val="004D4AB6"/>
    <w:rsid w:val="004D4C35"/>
    <w:rsid w:val="004D4F02"/>
    <w:rsid w:val="004D56B2"/>
    <w:rsid w:val="004D5A4C"/>
    <w:rsid w:val="004D7BFE"/>
    <w:rsid w:val="004E1F9E"/>
    <w:rsid w:val="004E3C52"/>
    <w:rsid w:val="004E68FD"/>
    <w:rsid w:val="004E6970"/>
    <w:rsid w:val="004F00C6"/>
    <w:rsid w:val="004F17C2"/>
    <w:rsid w:val="004F1817"/>
    <w:rsid w:val="004F1E9E"/>
    <w:rsid w:val="004F240D"/>
    <w:rsid w:val="004F305A"/>
    <w:rsid w:val="004F4B60"/>
    <w:rsid w:val="004F4FB1"/>
    <w:rsid w:val="004F5042"/>
    <w:rsid w:val="004F5417"/>
    <w:rsid w:val="004F5494"/>
    <w:rsid w:val="004F5869"/>
    <w:rsid w:val="004F5D76"/>
    <w:rsid w:val="004F602A"/>
    <w:rsid w:val="004F71C9"/>
    <w:rsid w:val="005002B8"/>
    <w:rsid w:val="005017F2"/>
    <w:rsid w:val="00501C1B"/>
    <w:rsid w:val="00501CD8"/>
    <w:rsid w:val="00501FCB"/>
    <w:rsid w:val="0050250E"/>
    <w:rsid w:val="00502997"/>
    <w:rsid w:val="00503E6F"/>
    <w:rsid w:val="00505C78"/>
    <w:rsid w:val="005070D6"/>
    <w:rsid w:val="0050779B"/>
    <w:rsid w:val="00507D86"/>
    <w:rsid w:val="0051101D"/>
    <w:rsid w:val="0051183F"/>
    <w:rsid w:val="00512164"/>
    <w:rsid w:val="00512EAB"/>
    <w:rsid w:val="00513C76"/>
    <w:rsid w:val="00513CB8"/>
    <w:rsid w:val="00514C19"/>
    <w:rsid w:val="00515A5E"/>
    <w:rsid w:val="005173C8"/>
    <w:rsid w:val="00517C23"/>
    <w:rsid w:val="00520120"/>
    <w:rsid w:val="00520297"/>
    <w:rsid w:val="0052081B"/>
    <w:rsid w:val="00522E02"/>
    <w:rsid w:val="00524DE4"/>
    <w:rsid w:val="00526447"/>
    <w:rsid w:val="00531FE8"/>
    <w:rsid w:val="00533253"/>
    <w:rsid w:val="00533818"/>
    <w:rsid w:val="005338F9"/>
    <w:rsid w:val="00533FF6"/>
    <w:rsid w:val="00535471"/>
    <w:rsid w:val="005357BF"/>
    <w:rsid w:val="00535862"/>
    <w:rsid w:val="00535A83"/>
    <w:rsid w:val="00536695"/>
    <w:rsid w:val="0053726F"/>
    <w:rsid w:val="005372FB"/>
    <w:rsid w:val="00540183"/>
    <w:rsid w:val="005407CD"/>
    <w:rsid w:val="0054281C"/>
    <w:rsid w:val="00542B6F"/>
    <w:rsid w:val="00543CC6"/>
    <w:rsid w:val="0054454F"/>
    <w:rsid w:val="00544581"/>
    <w:rsid w:val="00545F17"/>
    <w:rsid w:val="00546F39"/>
    <w:rsid w:val="00547112"/>
    <w:rsid w:val="00547E8D"/>
    <w:rsid w:val="00551015"/>
    <w:rsid w:val="00551C2D"/>
    <w:rsid w:val="00551CC9"/>
    <w:rsid w:val="0055268D"/>
    <w:rsid w:val="005535AB"/>
    <w:rsid w:val="005546D9"/>
    <w:rsid w:val="0055501B"/>
    <w:rsid w:val="00556ABF"/>
    <w:rsid w:val="00556ED8"/>
    <w:rsid w:val="00557A44"/>
    <w:rsid w:val="00560D96"/>
    <w:rsid w:val="005611E5"/>
    <w:rsid w:val="00562D42"/>
    <w:rsid w:val="00563B29"/>
    <w:rsid w:val="00563FE9"/>
    <w:rsid w:val="00564687"/>
    <w:rsid w:val="0056494C"/>
    <w:rsid w:val="005649FD"/>
    <w:rsid w:val="00564BAC"/>
    <w:rsid w:val="00571F43"/>
    <w:rsid w:val="0057203E"/>
    <w:rsid w:val="0057264A"/>
    <w:rsid w:val="00573697"/>
    <w:rsid w:val="005745A4"/>
    <w:rsid w:val="00574B33"/>
    <w:rsid w:val="00576ACD"/>
    <w:rsid w:val="00576BE4"/>
    <w:rsid w:val="0058181D"/>
    <w:rsid w:val="00583AD7"/>
    <w:rsid w:val="0058474E"/>
    <w:rsid w:val="00584923"/>
    <w:rsid w:val="0058601D"/>
    <w:rsid w:val="005870C7"/>
    <w:rsid w:val="0058786A"/>
    <w:rsid w:val="00587D0C"/>
    <w:rsid w:val="00591192"/>
    <w:rsid w:val="00592456"/>
    <w:rsid w:val="0059342F"/>
    <w:rsid w:val="00593F02"/>
    <w:rsid w:val="0059402D"/>
    <w:rsid w:val="00594A52"/>
    <w:rsid w:val="00595A2E"/>
    <w:rsid w:val="00595B13"/>
    <w:rsid w:val="00595B2C"/>
    <w:rsid w:val="00595B43"/>
    <w:rsid w:val="00596ABE"/>
    <w:rsid w:val="00596EAD"/>
    <w:rsid w:val="005976F2"/>
    <w:rsid w:val="005A12BE"/>
    <w:rsid w:val="005A1343"/>
    <w:rsid w:val="005A1AA0"/>
    <w:rsid w:val="005A1FE2"/>
    <w:rsid w:val="005A29F1"/>
    <w:rsid w:val="005A398D"/>
    <w:rsid w:val="005A400A"/>
    <w:rsid w:val="005A4583"/>
    <w:rsid w:val="005A4594"/>
    <w:rsid w:val="005A4C08"/>
    <w:rsid w:val="005A6827"/>
    <w:rsid w:val="005A6E36"/>
    <w:rsid w:val="005A6E69"/>
    <w:rsid w:val="005B1295"/>
    <w:rsid w:val="005B172D"/>
    <w:rsid w:val="005B1DFB"/>
    <w:rsid w:val="005B3606"/>
    <w:rsid w:val="005B42AD"/>
    <w:rsid w:val="005B522F"/>
    <w:rsid w:val="005B52E3"/>
    <w:rsid w:val="005B5A2B"/>
    <w:rsid w:val="005B7127"/>
    <w:rsid w:val="005B7723"/>
    <w:rsid w:val="005B77EF"/>
    <w:rsid w:val="005B7B6A"/>
    <w:rsid w:val="005B7D8B"/>
    <w:rsid w:val="005C0A20"/>
    <w:rsid w:val="005C1E9E"/>
    <w:rsid w:val="005C3146"/>
    <w:rsid w:val="005C3A1E"/>
    <w:rsid w:val="005C4970"/>
    <w:rsid w:val="005C4BBB"/>
    <w:rsid w:val="005C612C"/>
    <w:rsid w:val="005C6677"/>
    <w:rsid w:val="005C67E6"/>
    <w:rsid w:val="005C7252"/>
    <w:rsid w:val="005C79AA"/>
    <w:rsid w:val="005D05C4"/>
    <w:rsid w:val="005D0C9E"/>
    <w:rsid w:val="005D2C12"/>
    <w:rsid w:val="005D31FD"/>
    <w:rsid w:val="005D3AB8"/>
    <w:rsid w:val="005D46C8"/>
    <w:rsid w:val="005D5EBB"/>
    <w:rsid w:val="005D645A"/>
    <w:rsid w:val="005D6995"/>
    <w:rsid w:val="005D6A92"/>
    <w:rsid w:val="005D6B42"/>
    <w:rsid w:val="005D7523"/>
    <w:rsid w:val="005D79D0"/>
    <w:rsid w:val="005E034E"/>
    <w:rsid w:val="005E0A71"/>
    <w:rsid w:val="005E1359"/>
    <w:rsid w:val="005E1412"/>
    <w:rsid w:val="005E280C"/>
    <w:rsid w:val="005E2A08"/>
    <w:rsid w:val="005E3B7B"/>
    <w:rsid w:val="005E4E51"/>
    <w:rsid w:val="005E4F49"/>
    <w:rsid w:val="005E5040"/>
    <w:rsid w:val="005E521E"/>
    <w:rsid w:val="005E5224"/>
    <w:rsid w:val="005E61AD"/>
    <w:rsid w:val="005E659E"/>
    <w:rsid w:val="005E674B"/>
    <w:rsid w:val="005E71B6"/>
    <w:rsid w:val="005E727B"/>
    <w:rsid w:val="005E7BAE"/>
    <w:rsid w:val="005E7EBD"/>
    <w:rsid w:val="005F0224"/>
    <w:rsid w:val="005F06DB"/>
    <w:rsid w:val="005F0DC6"/>
    <w:rsid w:val="005F1024"/>
    <w:rsid w:val="005F1105"/>
    <w:rsid w:val="005F1DDA"/>
    <w:rsid w:val="005F221F"/>
    <w:rsid w:val="005F2B9B"/>
    <w:rsid w:val="005F3491"/>
    <w:rsid w:val="005F40F9"/>
    <w:rsid w:val="005F5199"/>
    <w:rsid w:val="005F51FD"/>
    <w:rsid w:val="005F5B7B"/>
    <w:rsid w:val="005F5EAA"/>
    <w:rsid w:val="005F65A1"/>
    <w:rsid w:val="005F66E7"/>
    <w:rsid w:val="005F759A"/>
    <w:rsid w:val="005F7B92"/>
    <w:rsid w:val="00600511"/>
    <w:rsid w:val="0060111B"/>
    <w:rsid w:val="006014F7"/>
    <w:rsid w:val="0060151C"/>
    <w:rsid w:val="00602462"/>
    <w:rsid w:val="00603094"/>
    <w:rsid w:val="00603236"/>
    <w:rsid w:val="0060332C"/>
    <w:rsid w:val="006034FE"/>
    <w:rsid w:val="00603B58"/>
    <w:rsid w:val="00603F86"/>
    <w:rsid w:val="006041EC"/>
    <w:rsid w:val="00604317"/>
    <w:rsid w:val="006044FB"/>
    <w:rsid w:val="00605358"/>
    <w:rsid w:val="00605AAA"/>
    <w:rsid w:val="00605DFF"/>
    <w:rsid w:val="0060659B"/>
    <w:rsid w:val="006066ED"/>
    <w:rsid w:val="00606C48"/>
    <w:rsid w:val="006078F7"/>
    <w:rsid w:val="006079AA"/>
    <w:rsid w:val="0061044C"/>
    <w:rsid w:val="006109E2"/>
    <w:rsid w:val="00610B80"/>
    <w:rsid w:val="006114E4"/>
    <w:rsid w:val="00612379"/>
    <w:rsid w:val="0061322D"/>
    <w:rsid w:val="0061344E"/>
    <w:rsid w:val="006135A0"/>
    <w:rsid w:val="006153B6"/>
    <w:rsid w:val="0061555F"/>
    <w:rsid w:val="006156E3"/>
    <w:rsid w:val="00615FF3"/>
    <w:rsid w:val="00616A61"/>
    <w:rsid w:val="00617423"/>
    <w:rsid w:val="0062050D"/>
    <w:rsid w:val="00623AB2"/>
    <w:rsid w:val="00623B10"/>
    <w:rsid w:val="00623FF9"/>
    <w:rsid w:val="0062576C"/>
    <w:rsid w:val="0062667D"/>
    <w:rsid w:val="006267DA"/>
    <w:rsid w:val="006268BB"/>
    <w:rsid w:val="00626D7B"/>
    <w:rsid w:val="00626FC6"/>
    <w:rsid w:val="00632782"/>
    <w:rsid w:val="0063451B"/>
    <w:rsid w:val="00636270"/>
    <w:rsid w:val="006363EB"/>
    <w:rsid w:val="0063663B"/>
    <w:rsid w:val="0063681F"/>
    <w:rsid w:val="00636CA6"/>
    <w:rsid w:val="00637A28"/>
    <w:rsid w:val="00637D83"/>
    <w:rsid w:val="00640033"/>
    <w:rsid w:val="00641200"/>
    <w:rsid w:val="00641335"/>
    <w:rsid w:val="00641735"/>
    <w:rsid w:val="006424BB"/>
    <w:rsid w:val="00645CA8"/>
    <w:rsid w:val="00645DCB"/>
    <w:rsid w:val="00645E95"/>
    <w:rsid w:val="00647A18"/>
    <w:rsid w:val="00647FA8"/>
    <w:rsid w:val="006507BA"/>
    <w:rsid w:val="006517A6"/>
    <w:rsid w:val="006519FD"/>
    <w:rsid w:val="00651B94"/>
    <w:rsid w:val="00651FFF"/>
    <w:rsid w:val="006523F8"/>
    <w:rsid w:val="00652458"/>
    <w:rsid w:val="00652C18"/>
    <w:rsid w:val="006541C7"/>
    <w:rsid w:val="006548CB"/>
    <w:rsid w:val="00654C37"/>
    <w:rsid w:val="006569C0"/>
    <w:rsid w:val="006602B0"/>
    <w:rsid w:val="00660365"/>
    <w:rsid w:val="006606EB"/>
    <w:rsid w:val="0066090C"/>
    <w:rsid w:val="00660937"/>
    <w:rsid w:val="0066321B"/>
    <w:rsid w:val="00663DCC"/>
    <w:rsid w:val="00664983"/>
    <w:rsid w:val="006655D3"/>
    <w:rsid w:val="00665A97"/>
    <w:rsid w:val="00666306"/>
    <w:rsid w:val="00667404"/>
    <w:rsid w:val="00667A24"/>
    <w:rsid w:val="00667F10"/>
    <w:rsid w:val="006710EA"/>
    <w:rsid w:val="0067164F"/>
    <w:rsid w:val="0067240B"/>
    <w:rsid w:val="006733D6"/>
    <w:rsid w:val="006735C8"/>
    <w:rsid w:val="00674F8D"/>
    <w:rsid w:val="00676391"/>
    <w:rsid w:val="00677A58"/>
    <w:rsid w:val="00677E73"/>
    <w:rsid w:val="0068042E"/>
    <w:rsid w:val="0068064C"/>
    <w:rsid w:val="00681D85"/>
    <w:rsid w:val="006822BA"/>
    <w:rsid w:val="00682646"/>
    <w:rsid w:val="006835B6"/>
    <w:rsid w:val="006846D2"/>
    <w:rsid w:val="00684A35"/>
    <w:rsid w:val="00686060"/>
    <w:rsid w:val="00686123"/>
    <w:rsid w:val="00686BA5"/>
    <w:rsid w:val="00687EB4"/>
    <w:rsid w:val="00690FED"/>
    <w:rsid w:val="00692420"/>
    <w:rsid w:val="006933C2"/>
    <w:rsid w:val="0069594D"/>
    <w:rsid w:val="006959CD"/>
    <w:rsid w:val="00695C56"/>
    <w:rsid w:val="00696539"/>
    <w:rsid w:val="006A0421"/>
    <w:rsid w:val="006A1EF7"/>
    <w:rsid w:val="006A2185"/>
    <w:rsid w:val="006A2736"/>
    <w:rsid w:val="006A2B98"/>
    <w:rsid w:val="006A2FF3"/>
    <w:rsid w:val="006A3293"/>
    <w:rsid w:val="006A3ACC"/>
    <w:rsid w:val="006A441B"/>
    <w:rsid w:val="006A47A3"/>
    <w:rsid w:val="006A5974"/>
    <w:rsid w:val="006A5997"/>
    <w:rsid w:val="006A5BB7"/>
    <w:rsid w:val="006A5CDE"/>
    <w:rsid w:val="006A644A"/>
    <w:rsid w:val="006B11A5"/>
    <w:rsid w:val="006B1261"/>
    <w:rsid w:val="006B17D2"/>
    <w:rsid w:val="006B19BD"/>
    <w:rsid w:val="006B2609"/>
    <w:rsid w:val="006B4155"/>
    <w:rsid w:val="006B4463"/>
    <w:rsid w:val="006B5B62"/>
    <w:rsid w:val="006B602F"/>
    <w:rsid w:val="006B63F2"/>
    <w:rsid w:val="006B6560"/>
    <w:rsid w:val="006C0171"/>
    <w:rsid w:val="006C02DD"/>
    <w:rsid w:val="006C1E86"/>
    <w:rsid w:val="006C224E"/>
    <w:rsid w:val="006C2A7A"/>
    <w:rsid w:val="006C2B19"/>
    <w:rsid w:val="006C354A"/>
    <w:rsid w:val="006C394C"/>
    <w:rsid w:val="006C3D6F"/>
    <w:rsid w:val="006C42DC"/>
    <w:rsid w:val="006C4AAB"/>
    <w:rsid w:val="006C54AF"/>
    <w:rsid w:val="006C632B"/>
    <w:rsid w:val="006C7B75"/>
    <w:rsid w:val="006D0EB6"/>
    <w:rsid w:val="006D1BEC"/>
    <w:rsid w:val="006D2224"/>
    <w:rsid w:val="006D30A8"/>
    <w:rsid w:val="006D3328"/>
    <w:rsid w:val="006D36E5"/>
    <w:rsid w:val="006D3788"/>
    <w:rsid w:val="006D469F"/>
    <w:rsid w:val="006D603D"/>
    <w:rsid w:val="006D6CAD"/>
    <w:rsid w:val="006D780A"/>
    <w:rsid w:val="006D7DBC"/>
    <w:rsid w:val="006D7E07"/>
    <w:rsid w:val="006E1AA1"/>
    <w:rsid w:val="006E1DBF"/>
    <w:rsid w:val="006E3290"/>
    <w:rsid w:val="006E3688"/>
    <w:rsid w:val="006E3995"/>
    <w:rsid w:val="006E4610"/>
    <w:rsid w:val="006E4A38"/>
    <w:rsid w:val="006E4C4A"/>
    <w:rsid w:val="006E4CB2"/>
    <w:rsid w:val="006E5E59"/>
    <w:rsid w:val="006E70B9"/>
    <w:rsid w:val="006E7745"/>
    <w:rsid w:val="006E7AA6"/>
    <w:rsid w:val="006F07F7"/>
    <w:rsid w:val="006F1031"/>
    <w:rsid w:val="006F2A78"/>
    <w:rsid w:val="006F2BA3"/>
    <w:rsid w:val="006F2D16"/>
    <w:rsid w:val="006F3EBF"/>
    <w:rsid w:val="006F49FE"/>
    <w:rsid w:val="006F4A26"/>
    <w:rsid w:val="006F4A80"/>
    <w:rsid w:val="006F56C0"/>
    <w:rsid w:val="006F726E"/>
    <w:rsid w:val="006F75BE"/>
    <w:rsid w:val="00700927"/>
    <w:rsid w:val="0070170C"/>
    <w:rsid w:val="007019F3"/>
    <w:rsid w:val="007022B1"/>
    <w:rsid w:val="00702BB6"/>
    <w:rsid w:val="007036A9"/>
    <w:rsid w:val="00704013"/>
    <w:rsid w:val="007047EC"/>
    <w:rsid w:val="00704B8A"/>
    <w:rsid w:val="00706113"/>
    <w:rsid w:val="0070685C"/>
    <w:rsid w:val="00706B38"/>
    <w:rsid w:val="00710652"/>
    <w:rsid w:val="00710944"/>
    <w:rsid w:val="00710E7D"/>
    <w:rsid w:val="00711B61"/>
    <w:rsid w:val="0071271E"/>
    <w:rsid w:val="0071279F"/>
    <w:rsid w:val="007127F0"/>
    <w:rsid w:val="007128A5"/>
    <w:rsid w:val="00712DC9"/>
    <w:rsid w:val="00713FC6"/>
    <w:rsid w:val="00714CEC"/>
    <w:rsid w:val="00714DEE"/>
    <w:rsid w:val="0071558F"/>
    <w:rsid w:val="0071573E"/>
    <w:rsid w:val="00716BA5"/>
    <w:rsid w:val="00717551"/>
    <w:rsid w:val="0072072F"/>
    <w:rsid w:val="007218BA"/>
    <w:rsid w:val="0072232A"/>
    <w:rsid w:val="007229EE"/>
    <w:rsid w:val="00723AB8"/>
    <w:rsid w:val="0072487A"/>
    <w:rsid w:val="007248ED"/>
    <w:rsid w:val="00724B26"/>
    <w:rsid w:val="00725901"/>
    <w:rsid w:val="00727D3E"/>
    <w:rsid w:val="00730645"/>
    <w:rsid w:val="007308AE"/>
    <w:rsid w:val="007309AF"/>
    <w:rsid w:val="0073159D"/>
    <w:rsid w:val="00732DEC"/>
    <w:rsid w:val="00732FA1"/>
    <w:rsid w:val="0073309D"/>
    <w:rsid w:val="007332B4"/>
    <w:rsid w:val="00733550"/>
    <w:rsid w:val="007335B3"/>
    <w:rsid w:val="007347B1"/>
    <w:rsid w:val="00735B11"/>
    <w:rsid w:val="00735BD5"/>
    <w:rsid w:val="00736299"/>
    <w:rsid w:val="00740FAC"/>
    <w:rsid w:val="0074161F"/>
    <w:rsid w:val="0074297F"/>
    <w:rsid w:val="00743833"/>
    <w:rsid w:val="007439A1"/>
    <w:rsid w:val="007439EC"/>
    <w:rsid w:val="007442A1"/>
    <w:rsid w:val="007446B7"/>
    <w:rsid w:val="007451EC"/>
    <w:rsid w:val="00745DB4"/>
    <w:rsid w:val="00745F16"/>
    <w:rsid w:val="00751613"/>
    <w:rsid w:val="00751BC6"/>
    <w:rsid w:val="00751D1E"/>
    <w:rsid w:val="00751DC3"/>
    <w:rsid w:val="00751F36"/>
    <w:rsid w:val="00752217"/>
    <w:rsid w:val="0075286B"/>
    <w:rsid w:val="00753728"/>
    <w:rsid w:val="00753B72"/>
    <w:rsid w:val="007556F6"/>
    <w:rsid w:val="007609FC"/>
    <w:rsid w:val="00760EEF"/>
    <w:rsid w:val="00760F1C"/>
    <w:rsid w:val="00761EFB"/>
    <w:rsid w:val="00762CB4"/>
    <w:rsid w:val="007642EB"/>
    <w:rsid w:val="00764B12"/>
    <w:rsid w:val="00765242"/>
    <w:rsid w:val="00765581"/>
    <w:rsid w:val="00767318"/>
    <w:rsid w:val="00767B3D"/>
    <w:rsid w:val="007704C6"/>
    <w:rsid w:val="0077062C"/>
    <w:rsid w:val="007706DC"/>
    <w:rsid w:val="007716C5"/>
    <w:rsid w:val="007716C6"/>
    <w:rsid w:val="00772D6E"/>
    <w:rsid w:val="00772DED"/>
    <w:rsid w:val="00777495"/>
    <w:rsid w:val="00777EE5"/>
    <w:rsid w:val="00781895"/>
    <w:rsid w:val="00781A2A"/>
    <w:rsid w:val="00783100"/>
    <w:rsid w:val="00784836"/>
    <w:rsid w:val="00784BC7"/>
    <w:rsid w:val="00784DF3"/>
    <w:rsid w:val="00785CFA"/>
    <w:rsid w:val="0079023E"/>
    <w:rsid w:val="007904E8"/>
    <w:rsid w:val="00790500"/>
    <w:rsid w:val="00790BFE"/>
    <w:rsid w:val="007925DE"/>
    <w:rsid w:val="007926B0"/>
    <w:rsid w:val="0079316B"/>
    <w:rsid w:val="00795256"/>
    <w:rsid w:val="0079544A"/>
    <w:rsid w:val="00795535"/>
    <w:rsid w:val="007959E9"/>
    <w:rsid w:val="007964F7"/>
    <w:rsid w:val="00796E98"/>
    <w:rsid w:val="007971F2"/>
    <w:rsid w:val="00797947"/>
    <w:rsid w:val="00797EF9"/>
    <w:rsid w:val="007A0105"/>
    <w:rsid w:val="007A2854"/>
    <w:rsid w:val="007A4432"/>
    <w:rsid w:val="007A6A48"/>
    <w:rsid w:val="007A6C0B"/>
    <w:rsid w:val="007A7485"/>
    <w:rsid w:val="007A7E31"/>
    <w:rsid w:val="007B049D"/>
    <w:rsid w:val="007B052A"/>
    <w:rsid w:val="007B109E"/>
    <w:rsid w:val="007B10C7"/>
    <w:rsid w:val="007B27E5"/>
    <w:rsid w:val="007B2C62"/>
    <w:rsid w:val="007B2F91"/>
    <w:rsid w:val="007B31DD"/>
    <w:rsid w:val="007B443E"/>
    <w:rsid w:val="007B7108"/>
    <w:rsid w:val="007B7EB9"/>
    <w:rsid w:val="007C0E44"/>
    <w:rsid w:val="007C1D92"/>
    <w:rsid w:val="007C3CAE"/>
    <w:rsid w:val="007C433B"/>
    <w:rsid w:val="007C494B"/>
    <w:rsid w:val="007C4A37"/>
    <w:rsid w:val="007C4CB9"/>
    <w:rsid w:val="007C509D"/>
    <w:rsid w:val="007C670C"/>
    <w:rsid w:val="007D080D"/>
    <w:rsid w:val="007D0B9D"/>
    <w:rsid w:val="007D199B"/>
    <w:rsid w:val="007D19B0"/>
    <w:rsid w:val="007D1BE4"/>
    <w:rsid w:val="007D1ECB"/>
    <w:rsid w:val="007D1FF7"/>
    <w:rsid w:val="007D39E2"/>
    <w:rsid w:val="007D4635"/>
    <w:rsid w:val="007D7BBF"/>
    <w:rsid w:val="007E1F32"/>
    <w:rsid w:val="007E35FA"/>
    <w:rsid w:val="007E4854"/>
    <w:rsid w:val="007E6BAA"/>
    <w:rsid w:val="007E6DEA"/>
    <w:rsid w:val="007E6F5C"/>
    <w:rsid w:val="007E7D56"/>
    <w:rsid w:val="007F0AD0"/>
    <w:rsid w:val="007F0E66"/>
    <w:rsid w:val="007F498F"/>
    <w:rsid w:val="007F4F42"/>
    <w:rsid w:val="007F5A07"/>
    <w:rsid w:val="008005FC"/>
    <w:rsid w:val="00800FCE"/>
    <w:rsid w:val="0080132A"/>
    <w:rsid w:val="0080249E"/>
    <w:rsid w:val="00802AA2"/>
    <w:rsid w:val="0080359D"/>
    <w:rsid w:val="00804D19"/>
    <w:rsid w:val="00806649"/>
    <w:rsid w:val="0080679D"/>
    <w:rsid w:val="00806CE4"/>
    <w:rsid w:val="00806DDA"/>
    <w:rsid w:val="00807696"/>
    <w:rsid w:val="008108B0"/>
    <w:rsid w:val="0081090D"/>
    <w:rsid w:val="008114AA"/>
    <w:rsid w:val="00811A29"/>
    <w:rsid w:val="00811B20"/>
    <w:rsid w:val="00811C4B"/>
    <w:rsid w:val="00811FDF"/>
    <w:rsid w:val="008120CC"/>
    <w:rsid w:val="008125E7"/>
    <w:rsid w:val="00813290"/>
    <w:rsid w:val="00813316"/>
    <w:rsid w:val="00813D7B"/>
    <w:rsid w:val="00814C84"/>
    <w:rsid w:val="008151D1"/>
    <w:rsid w:val="00816032"/>
    <w:rsid w:val="0081790E"/>
    <w:rsid w:val="00817D2D"/>
    <w:rsid w:val="00820978"/>
    <w:rsid w:val="008211B5"/>
    <w:rsid w:val="0082135F"/>
    <w:rsid w:val="00821B3F"/>
    <w:rsid w:val="008221D2"/>
    <w:rsid w:val="0082240F"/>
    <w:rsid w:val="0082296E"/>
    <w:rsid w:val="00823209"/>
    <w:rsid w:val="00823EFE"/>
    <w:rsid w:val="00824099"/>
    <w:rsid w:val="00824CA3"/>
    <w:rsid w:val="008260F3"/>
    <w:rsid w:val="008266F9"/>
    <w:rsid w:val="00830182"/>
    <w:rsid w:val="00830CD1"/>
    <w:rsid w:val="00834167"/>
    <w:rsid w:val="008343F8"/>
    <w:rsid w:val="00835946"/>
    <w:rsid w:val="00836CFA"/>
    <w:rsid w:val="00837A5E"/>
    <w:rsid w:val="00840571"/>
    <w:rsid w:val="00841093"/>
    <w:rsid w:val="00842D52"/>
    <w:rsid w:val="00842DF4"/>
    <w:rsid w:val="008436B3"/>
    <w:rsid w:val="00844DC1"/>
    <w:rsid w:val="00845D92"/>
    <w:rsid w:val="00846D7C"/>
    <w:rsid w:val="00846E2C"/>
    <w:rsid w:val="008474CF"/>
    <w:rsid w:val="00847EAD"/>
    <w:rsid w:val="0085073B"/>
    <w:rsid w:val="00851447"/>
    <w:rsid w:val="00851E8D"/>
    <w:rsid w:val="00853F25"/>
    <w:rsid w:val="008548B7"/>
    <w:rsid w:val="00854986"/>
    <w:rsid w:val="00855138"/>
    <w:rsid w:val="00856E26"/>
    <w:rsid w:val="00860087"/>
    <w:rsid w:val="0086127B"/>
    <w:rsid w:val="00861B7C"/>
    <w:rsid w:val="00861CD5"/>
    <w:rsid w:val="00864827"/>
    <w:rsid w:val="00865A8D"/>
    <w:rsid w:val="00865B2E"/>
    <w:rsid w:val="00865CAA"/>
    <w:rsid w:val="008660A0"/>
    <w:rsid w:val="00867215"/>
    <w:rsid w:val="00867AC1"/>
    <w:rsid w:val="008709CF"/>
    <w:rsid w:val="008727C1"/>
    <w:rsid w:val="008729FB"/>
    <w:rsid w:val="00873AAA"/>
    <w:rsid w:val="0087405C"/>
    <w:rsid w:val="008745D5"/>
    <w:rsid w:val="00874A60"/>
    <w:rsid w:val="008750E1"/>
    <w:rsid w:val="008754B4"/>
    <w:rsid w:val="00875AC7"/>
    <w:rsid w:val="00877E79"/>
    <w:rsid w:val="008817E0"/>
    <w:rsid w:val="00883CD5"/>
    <w:rsid w:val="00884461"/>
    <w:rsid w:val="0088462D"/>
    <w:rsid w:val="00884C73"/>
    <w:rsid w:val="008858F3"/>
    <w:rsid w:val="00885DCE"/>
    <w:rsid w:val="008866D2"/>
    <w:rsid w:val="008866F7"/>
    <w:rsid w:val="00887D69"/>
    <w:rsid w:val="00890A67"/>
    <w:rsid w:val="00890DF8"/>
    <w:rsid w:val="00893355"/>
    <w:rsid w:val="00895BFC"/>
    <w:rsid w:val="008961C8"/>
    <w:rsid w:val="008A072E"/>
    <w:rsid w:val="008A08F9"/>
    <w:rsid w:val="008A4DD8"/>
    <w:rsid w:val="008A4EEF"/>
    <w:rsid w:val="008A71CA"/>
    <w:rsid w:val="008A743F"/>
    <w:rsid w:val="008A7AE6"/>
    <w:rsid w:val="008B154E"/>
    <w:rsid w:val="008B15E4"/>
    <w:rsid w:val="008B1E2D"/>
    <w:rsid w:val="008B2273"/>
    <w:rsid w:val="008B3277"/>
    <w:rsid w:val="008B3846"/>
    <w:rsid w:val="008B53BF"/>
    <w:rsid w:val="008B545B"/>
    <w:rsid w:val="008B6A70"/>
    <w:rsid w:val="008B7125"/>
    <w:rsid w:val="008C04B2"/>
    <w:rsid w:val="008C0970"/>
    <w:rsid w:val="008C2EE9"/>
    <w:rsid w:val="008C2F1A"/>
    <w:rsid w:val="008C3320"/>
    <w:rsid w:val="008C3848"/>
    <w:rsid w:val="008C3EE8"/>
    <w:rsid w:val="008C440E"/>
    <w:rsid w:val="008C574E"/>
    <w:rsid w:val="008C6967"/>
    <w:rsid w:val="008C6E8A"/>
    <w:rsid w:val="008C6EF6"/>
    <w:rsid w:val="008C6F83"/>
    <w:rsid w:val="008D084A"/>
    <w:rsid w:val="008D0874"/>
    <w:rsid w:val="008D0BC5"/>
    <w:rsid w:val="008D1EB7"/>
    <w:rsid w:val="008D20A6"/>
    <w:rsid w:val="008D2CF7"/>
    <w:rsid w:val="008D42A9"/>
    <w:rsid w:val="008D4417"/>
    <w:rsid w:val="008D5067"/>
    <w:rsid w:val="008D54C1"/>
    <w:rsid w:val="008D6542"/>
    <w:rsid w:val="008D6A35"/>
    <w:rsid w:val="008D6CF4"/>
    <w:rsid w:val="008D70C5"/>
    <w:rsid w:val="008E0896"/>
    <w:rsid w:val="008E132D"/>
    <w:rsid w:val="008E138F"/>
    <w:rsid w:val="008E2702"/>
    <w:rsid w:val="008E27E8"/>
    <w:rsid w:val="008E2875"/>
    <w:rsid w:val="008E2F6E"/>
    <w:rsid w:val="008E2FE2"/>
    <w:rsid w:val="008E3EA9"/>
    <w:rsid w:val="008E531A"/>
    <w:rsid w:val="008E5720"/>
    <w:rsid w:val="008E697F"/>
    <w:rsid w:val="008E7157"/>
    <w:rsid w:val="008F02A2"/>
    <w:rsid w:val="008F24A7"/>
    <w:rsid w:val="008F2E2F"/>
    <w:rsid w:val="008F32E9"/>
    <w:rsid w:val="008F5C97"/>
    <w:rsid w:val="008F5D05"/>
    <w:rsid w:val="008F5E17"/>
    <w:rsid w:val="008F6535"/>
    <w:rsid w:val="00900C26"/>
    <w:rsid w:val="0090197F"/>
    <w:rsid w:val="00902EAC"/>
    <w:rsid w:val="00903264"/>
    <w:rsid w:val="009039A5"/>
    <w:rsid w:val="00903E6B"/>
    <w:rsid w:val="009045B9"/>
    <w:rsid w:val="00904986"/>
    <w:rsid w:val="00905662"/>
    <w:rsid w:val="00906084"/>
    <w:rsid w:val="00906557"/>
    <w:rsid w:val="009065F8"/>
    <w:rsid w:val="00906DDC"/>
    <w:rsid w:val="009070F5"/>
    <w:rsid w:val="00907163"/>
    <w:rsid w:val="00911540"/>
    <w:rsid w:val="00914D9C"/>
    <w:rsid w:val="009158F3"/>
    <w:rsid w:val="00917D87"/>
    <w:rsid w:val="00921830"/>
    <w:rsid w:val="009239C4"/>
    <w:rsid w:val="00923E7D"/>
    <w:rsid w:val="00924A02"/>
    <w:rsid w:val="00926D16"/>
    <w:rsid w:val="00926D4A"/>
    <w:rsid w:val="0092746E"/>
    <w:rsid w:val="00930290"/>
    <w:rsid w:val="0093079E"/>
    <w:rsid w:val="009321F1"/>
    <w:rsid w:val="00933050"/>
    <w:rsid w:val="00933990"/>
    <w:rsid w:val="00933F29"/>
    <w:rsid w:val="00934003"/>
    <w:rsid w:val="00934E09"/>
    <w:rsid w:val="00935F67"/>
    <w:rsid w:val="00936253"/>
    <w:rsid w:val="00936CD2"/>
    <w:rsid w:val="0093752D"/>
    <w:rsid w:val="00937D18"/>
    <w:rsid w:val="00940D1F"/>
    <w:rsid w:val="00940D46"/>
    <w:rsid w:val="0094442C"/>
    <w:rsid w:val="009447AC"/>
    <w:rsid w:val="00944C8F"/>
    <w:rsid w:val="009456D4"/>
    <w:rsid w:val="009461DF"/>
    <w:rsid w:val="009461EC"/>
    <w:rsid w:val="009470D4"/>
    <w:rsid w:val="00947487"/>
    <w:rsid w:val="0095023C"/>
    <w:rsid w:val="00951D01"/>
    <w:rsid w:val="00951D95"/>
    <w:rsid w:val="00951DE6"/>
    <w:rsid w:val="009523C9"/>
    <w:rsid w:val="00952DD4"/>
    <w:rsid w:val="00953486"/>
    <w:rsid w:val="009534BE"/>
    <w:rsid w:val="009541F2"/>
    <w:rsid w:val="0095448B"/>
    <w:rsid w:val="00955D26"/>
    <w:rsid w:val="0095652B"/>
    <w:rsid w:val="00956AC6"/>
    <w:rsid w:val="00957024"/>
    <w:rsid w:val="00962709"/>
    <w:rsid w:val="00963672"/>
    <w:rsid w:val="00963E04"/>
    <w:rsid w:val="00964627"/>
    <w:rsid w:val="00965197"/>
    <w:rsid w:val="00965AE7"/>
    <w:rsid w:val="00965CE8"/>
    <w:rsid w:val="00970999"/>
    <w:rsid w:val="00970FED"/>
    <w:rsid w:val="0097124D"/>
    <w:rsid w:val="00971AA8"/>
    <w:rsid w:val="00971D6B"/>
    <w:rsid w:val="0097237F"/>
    <w:rsid w:val="009728EC"/>
    <w:rsid w:val="00972E06"/>
    <w:rsid w:val="00973A1B"/>
    <w:rsid w:val="00974F61"/>
    <w:rsid w:val="00977B6A"/>
    <w:rsid w:val="009843DF"/>
    <w:rsid w:val="0098522D"/>
    <w:rsid w:val="00985700"/>
    <w:rsid w:val="00987587"/>
    <w:rsid w:val="00987813"/>
    <w:rsid w:val="00987CBE"/>
    <w:rsid w:val="0099125A"/>
    <w:rsid w:val="0099185F"/>
    <w:rsid w:val="0099210E"/>
    <w:rsid w:val="0099213A"/>
    <w:rsid w:val="0099250A"/>
    <w:rsid w:val="009928A0"/>
    <w:rsid w:val="00992D82"/>
    <w:rsid w:val="009940A3"/>
    <w:rsid w:val="00995204"/>
    <w:rsid w:val="00995356"/>
    <w:rsid w:val="00995532"/>
    <w:rsid w:val="00996061"/>
    <w:rsid w:val="00996244"/>
    <w:rsid w:val="00996490"/>
    <w:rsid w:val="00997029"/>
    <w:rsid w:val="00997236"/>
    <w:rsid w:val="009972B8"/>
    <w:rsid w:val="009A1AA5"/>
    <w:rsid w:val="009A26D7"/>
    <w:rsid w:val="009A271F"/>
    <w:rsid w:val="009A2A74"/>
    <w:rsid w:val="009A2FAB"/>
    <w:rsid w:val="009A4210"/>
    <w:rsid w:val="009A4CD8"/>
    <w:rsid w:val="009A4EC9"/>
    <w:rsid w:val="009A6692"/>
    <w:rsid w:val="009A6907"/>
    <w:rsid w:val="009A6B28"/>
    <w:rsid w:val="009A7339"/>
    <w:rsid w:val="009A7611"/>
    <w:rsid w:val="009A789E"/>
    <w:rsid w:val="009B0350"/>
    <w:rsid w:val="009B07C4"/>
    <w:rsid w:val="009B2091"/>
    <w:rsid w:val="009B337E"/>
    <w:rsid w:val="009B382E"/>
    <w:rsid w:val="009B440E"/>
    <w:rsid w:val="009B4548"/>
    <w:rsid w:val="009B4962"/>
    <w:rsid w:val="009B4B3A"/>
    <w:rsid w:val="009B4D10"/>
    <w:rsid w:val="009B5881"/>
    <w:rsid w:val="009B5990"/>
    <w:rsid w:val="009B5BD3"/>
    <w:rsid w:val="009B74CE"/>
    <w:rsid w:val="009B78B3"/>
    <w:rsid w:val="009B7D32"/>
    <w:rsid w:val="009C05C9"/>
    <w:rsid w:val="009C06E1"/>
    <w:rsid w:val="009C0D20"/>
    <w:rsid w:val="009C0FD0"/>
    <w:rsid w:val="009C1B8A"/>
    <w:rsid w:val="009C2579"/>
    <w:rsid w:val="009C342A"/>
    <w:rsid w:val="009C4755"/>
    <w:rsid w:val="009C5F9D"/>
    <w:rsid w:val="009C609C"/>
    <w:rsid w:val="009C6D93"/>
    <w:rsid w:val="009D03D7"/>
    <w:rsid w:val="009D06BD"/>
    <w:rsid w:val="009D3CFE"/>
    <w:rsid w:val="009D4B57"/>
    <w:rsid w:val="009D50F3"/>
    <w:rsid w:val="009D538F"/>
    <w:rsid w:val="009D645C"/>
    <w:rsid w:val="009D690D"/>
    <w:rsid w:val="009D6BF5"/>
    <w:rsid w:val="009D798C"/>
    <w:rsid w:val="009D7CB8"/>
    <w:rsid w:val="009E04E5"/>
    <w:rsid w:val="009E106D"/>
    <w:rsid w:val="009E15F7"/>
    <w:rsid w:val="009E2118"/>
    <w:rsid w:val="009E220F"/>
    <w:rsid w:val="009E2317"/>
    <w:rsid w:val="009E2444"/>
    <w:rsid w:val="009E2FCF"/>
    <w:rsid w:val="009E3427"/>
    <w:rsid w:val="009E540D"/>
    <w:rsid w:val="009E5C29"/>
    <w:rsid w:val="009E60FF"/>
    <w:rsid w:val="009E65B6"/>
    <w:rsid w:val="009E6D9C"/>
    <w:rsid w:val="009F161E"/>
    <w:rsid w:val="009F1997"/>
    <w:rsid w:val="009F1BA6"/>
    <w:rsid w:val="009F20EF"/>
    <w:rsid w:val="009F21EA"/>
    <w:rsid w:val="009F2876"/>
    <w:rsid w:val="009F350E"/>
    <w:rsid w:val="009F458D"/>
    <w:rsid w:val="009F5B65"/>
    <w:rsid w:val="009F61BA"/>
    <w:rsid w:val="009F6B7E"/>
    <w:rsid w:val="009F77CF"/>
    <w:rsid w:val="00A0053B"/>
    <w:rsid w:val="00A00AF5"/>
    <w:rsid w:val="00A00C6A"/>
    <w:rsid w:val="00A03E99"/>
    <w:rsid w:val="00A04863"/>
    <w:rsid w:val="00A06DBF"/>
    <w:rsid w:val="00A07853"/>
    <w:rsid w:val="00A07936"/>
    <w:rsid w:val="00A10510"/>
    <w:rsid w:val="00A12DDE"/>
    <w:rsid w:val="00A1366A"/>
    <w:rsid w:val="00A147A0"/>
    <w:rsid w:val="00A17EE3"/>
    <w:rsid w:val="00A2035C"/>
    <w:rsid w:val="00A2039E"/>
    <w:rsid w:val="00A204C5"/>
    <w:rsid w:val="00A214F3"/>
    <w:rsid w:val="00A22136"/>
    <w:rsid w:val="00A22995"/>
    <w:rsid w:val="00A24C10"/>
    <w:rsid w:val="00A25748"/>
    <w:rsid w:val="00A25D06"/>
    <w:rsid w:val="00A25D1F"/>
    <w:rsid w:val="00A26E89"/>
    <w:rsid w:val="00A270FE"/>
    <w:rsid w:val="00A315DA"/>
    <w:rsid w:val="00A3224A"/>
    <w:rsid w:val="00A32867"/>
    <w:rsid w:val="00A332D4"/>
    <w:rsid w:val="00A3365A"/>
    <w:rsid w:val="00A3594F"/>
    <w:rsid w:val="00A35B7A"/>
    <w:rsid w:val="00A35ED1"/>
    <w:rsid w:val="00A362FE"/>
    <w:rsid w:val="00A37E37"/>
    <w:rsid w:val="00A37F0E"/>
    <w:rsid w:val="00A406F8"/>
    <w:rsid w:val="00A422F9"/>
    <w:rsid w:val="00A42AC3"/>
    <w:rsid w:val="00A430CF"/>
    <w:rsid w:val="00A4400A"/>
    <w:rsid w:val="00A4572F"/>
    <w:rsid w:val="00A45738"/>
    <w:rsid w:val="00A45AC5"/>
    <w:rsid w:val="00A46296"/>
    <w:rsid w:val="00A47BF3"/>
    <w:rsid w:val="00A47D11"/>
    <w:rsid w:val="00A47FD5"/>
    <w:rsid w:val="00A51A13"/>
    <w:rsid w:val="00A52FF7"/>
    <w:rsid w:val="00A53A57"/>
    <w:rsid w:val="00A53A67"/>
    <w:rsid w:val="00A53DF9"/>
    <w:rsid w:val="00A5411F"/>
    <w:rsid w:val="00A54309"/>
    <w:rsid w:val="00A54637"/>
    <w:rsid w:val="00A5507C"/>
    <w:rsid w:val="00A56155"/>
    <w:rsid w:val="00A573BA"/>
    <w:rsid w:val="00A57477"/>
    <w:rsid w:val="00A60703"/>
    <w:rsid w:val="00A615EE"/>
    <w:rsid w:val="00A61C65"/>
    <w:rsid w:val="00A6252A"/>
    <w:rsid w:val="00A62A1E"/>
    <w:rsid w:val="00A6309F"/>
    <w:rsid w:val="00A653A1"/>
    <w:rsid w:val="00A67013"/>
    <w:rsid w:val="00A67B30"/>
    <w:rsid w:val="00A67F2D"/>
    <w:rsid w:val="00A700F1"/>
    <w:rsid w:val="00A72967"/>
    <w:rsid w:val="00A72A9E"/>
    <w:rsid w:val="00A73E07"/>
    <w:rsid w:val="00A742FF"/>
    <w:rsid w:val="00A7529B"/>
    <w:rsid w:val="00A75669"/>
    <w:rsid w:val="00A75703"/>
    <w:rsid w:val="00A7576B"/>
    <w:rsid w:val="00A76CFB"/>
    <w:rsid w:val="00A80063"/>
    <w:rsid w:val="00A809C6"/>
    <w:rsid w:val="00A81C3E"/>
    <w:rsid w:val="00A822B4"/>
    <w:rsid w:val="00A824AF"/>
    <w:rsid w:val="00A828B7"/>
    <w:rsid w:val="00A82A87"/>
    <w:rsid w:val="00A8306B"/>
    <w:rsid w:val="00A843EA"/>
    <w:rsid w:val="00A86A7D"/>
    <w:rsid w:val="00A9097F"/>
    <w:rsid w:val="00A912BF"/>
    <w:rsid w:val="00A921CB"/>
    <w:rsid w:val="00A922A5"/>
    <w:rsid w:val="00A92A42"/>
    <w:rsid w:val="00A94190"/>
    <w:rsid w:val="00A97485"/>
    <w:rsid w:val="00AA0C66"/>
    <w:rsid w:val="00AA13BC"/>
    <w:rsid w:val="00AA173E"/>
    <w:rsid w:val="00AA1A3D"/>
    <w:rsid w:val="00AA2CE4"/>
    <w:rsid w:val="00AA6DD4"/>
    <w:rsid w:val="00AA74F5"/>
    <w:rsid w:val="00AA79BF"/>
    <w:rsid w:val="00AB09F6"/>
    <w:rsid w:val="00AB215B"/>
    <w:rsid w:val="00AB286B"/>
    <w:rsid w:val="00AB2B93"/>
    <w:rsid w:val="00AB2FDD"/>
    <w:rsid w:val="00AB3B0F"/>
    <w:rsid w:val="00AB4F74"/>
    <w:rsid w:val="00AB530F"/>
    <w:rsid w:val="00AB5384"/>
    <w:rsid w:val="00AB5D74"/>
    <w:rsid w:val="00AB6049"/>
    <w:rsid w:val="00AB741C"/>
    <w:rsid w:val="00AB7E5B"/>
    <w:rsid w:val="00AC0347"/>
    <w:rsid w:val="00AC0753"/>
    <w:rsid w:val="00AC11BF"/>
    <w:rsid w:val="00AC15E6"/>
    <w:rsid w:val="00AC22CB"/>
    <w:rsid w:val="00AC2414"/>
    <w:rsid w:val="00AC2768"/>
    <w:rsid w:val="00AC2883"/>
    <w:rsid w:val="00AC34E1"/>
    <w:rsid w:val="00AC3638"/>
    <w:rsid w:val="00AC3CB0"/>
    <w:rsid w:val="00AC4C67"/>
    <w:rsid w:val="00AC4FCB"/>
    <w:rsid w:val="00AD0304"/>
    <w:rsid w:val="00AD049F"/>
    <w:rsid w:val="00AD1129"/>
    <w:rsid w:val="00AD14FD"/>
    <w:rsid w:val="00AD1D18"/>
    <w:rsid w:val="00AD3493"/>
    <w:rsid w:val="00AD49EE"/>
    <w:rsid w:val="00AD5C6F"/>
    <w:rsid w:val="00AD657D"/>
    <w:rsid w:val="00AD68CE"/>
    <w:rsid w:val="00AD6F6A"/>
    <w:rsid w:val="00AD74C0"/>
    <w:rsid w:val="00AE0170"/>
    <w:rsid w:val="00AE0E8A"/>
    <w:rsid w:val="00AE0EF1"/>
    <w:rsid w:val="00AE28F8"/>
    <w:rsid w:val="00AE2937"/>
    <w:rsid w:val="00AE2BD7"/>
    <w:rsid w:val="00AE3070"/>
    <w:rsid w:val="00AE6565"/>
    <w:rsid w:val="00AE7E22"/>
    <w:rsid w:val="00AF0726"/>
    <w:rsid w:val="00AF09F8"/>
    <w:rsid w:val="00AF1919"/>
    <w:rsid w:val="00AF1D0F"/>
    <w:rsid w:val="00AF35BF"/>
    <w:rsid w:val="00AF5213"/>
    <w:rsid w:val="00AF5B1B"/>
    <w:rsid w:val="00B01557"/>
    <w:rsid w:val="00B026C1"/>
    <w:rsid w:val="00B02A67"/>
    <w:rsid w:val="00B02BD5"/>
    <w:rsid w:val="00B02F91"/>
    <w:rsid w:val="00B03F1C"/>
    <w:rsid w:val="00B05031"/>
    <w:rsid w:val="00B05796"/>
    <w:rsid w:val="00B05A22"/>
    <w:rsid w:val="00B07301"/>
    <w:rsid w:val="00B07BF3"/>
    <w:rsid w:val="00B10E54"/>
    <w:rsid w:val="00B113AD"/>
    <w:rsid w:val="00B11C05"/>
    <w:rsid w:val="00B11C21"/>
    <w:rsid w:val="00B11F3E"/>
    <w:rsid w:val="00B12CD0"/>
    <w:rsid w:val="00B12FD9"/>
    <w:rsid w:val="00B14B5E"/>
    <w:rsid w:val="00B14BDD"/>
    <w:rsid w:val="00B150D3"/>
    <w:rsid w:val="00B15283"/>
    <w:rsid w:val="00B16D78"/>
    <w:rsid w:val="00B20C18"/>
    <w:rsid w:val="00B20C89"/>
    <w:rsid w:val="00B21631"/>
    <w:rsid w:val="00B224DE"/>
    <w:rsid w:val="00B247DE"/>
    <w:rsid w:val="00B24B72"/>
    <w:rsid w:val="00B25BD2"/>
    <w:rsid w:val="00B25E9D"/>
    <w:rsid w:val="00B27048"/>
    <w:rsid w:val="00B305AF"/>
    <w:rsid w:val="00B308F3"/>
    <w:rsid w:val="00B30DA0"/>
    <w:rsid w:val="00B30E7D"/>
    <w:rsid w:val="00B30FC1"/>
    <w:rsid w:val="00B310A5"/>
    <w:rsid w:val="00B322BD"/>
    <w:rsid w:val="00B324D4"/>
    <w:rsid w:val="00B326CD"/>
    <w:rsid w:val="00B3315F"/>
    <w:rsid w:val="00B33275"/>
    <w:rsid w:val="00B35164"/>
    <w:rsid w:val="00B35EBE"/>
    <w:rsid w:val="00B360FB"/>
    <w:rsid w:val="00B4065C"/>
    <w:rsid w:val="00B40970"/>
    <w:rsid w:val="00B4108C"/>
    <w:rsid w:val="00B41C1C"/>
    <w:rsid w:val="00B42451"/>
    <w:rsid w:val="00B426FC"/>
    <w:rsid w:val="00B43118"/>
    <w:rsid w:val="00B437E4"/>
    <w:rsid w:val="00B445F0"/>
    <w:rsid w:val="00B44787"/>
    <w:rsid w:val="00B4487A"/>
    <w:rsid w:val="00B44F54"/>
    <w:rsid w:val="00B46575"/>
    <w:rsid w:val="00B46618"/>
    <w:rsid w:val="00B46C59"/>
    <w:rsid w:val="00B46DD5"/>
    <w:rsid w:val="00B47465"/>
    <w:rsid w:val="00B508EF"/>
    <w:rsid w:val="00B51B4D"/>
    <w:rsid w:val="00B523AD"/>
    <w:rsid w:val="00B5379E"/>
    <w:rsid w:val="00B55175"/>
    <w:rsid w:val="00B55243"/>
    <w:rsid w:val="00B552FD"/>
    <w:rsid w:val="00B56280"/>
    <w:rsid w:val="00B56D7C"/>
    <w:rsid w:val="00B571AC"/>
    <w:rsid w:val="00B57720"/>
    <w:rsid w:val="00B578EF"/>
    <w:rsid w:val="00B61777"/>
    <w:rsid w:val="00B617E0"/>
    <w:rsid w:val="00B61C54"/>
    <w:rsid w:val="00B61CA9"/>
    <w:rsid w:val="00B62EDA"/>
    <w:rsid w:val="00B63FDA"/>
    <w:rsid w:val="00B65547"/>
    <w:rsid w:val="00B661F6"/>
    <w:rsid w:val="00B66420"/>
    <w:rsid w:val="00B66930"/>
    <w:rsid w:val="00B67B2E"/>
    <w:rsid w:val="00B716F3"/>
    <w:rsid w:val="00B71F7F"/>
    <w:rsid w:val="00B723A4"/>
    <w:rsid w:val="00B72E13"/>
    <w:rsid w:val="00B7353C"/>
    <w:rsid w:val="00B737B9"/>
    <w:rsid w:val="00B74ECE"/>
    <w:rsid w:val="00B759E0"/>
    <w:rsid w:val="00B75E9B"/>
    <w:rsid w:val="00B7612D"/>
    <w:rsid w:val="00B76BE7"/>
    <w:rsid w:val="00B77147"/>
    <w:rsid w:val="00B77C69"/>
    <w:rsid w:val="00B77CDC"/>
    <w:rsid w:val="00B80C60"/>
    <w:rsid w:val="00B81162"/>
    <w:rsid w:val="00B81A80"/>
    <w:rsid w:val="00B821F0"/>
    <w:rsid w:val="00B82D5D"/>
    <w:rsid w:val="00B82E8E"/>
    <w:rsid w:val="00B83BD0"/>
    <w:rsid w:val="00B83CE4"/>
    <w:rsid w:val="00B84BBD"/>
    <w:rsid w:val="00B85F2F"/>
    <w:rsid w:val="00B86AD8"/>
    <w:rsid w:val="00B86F58"/>
    <w:rsid w:val="00B92694"/>
    <w:rsid w:val="00B9339D"/>
    <w:rsid w:val="00B966B9"/>
    <w:rsid w:val="00B96EF3"/>
    <w:rsid w:val="00B973FA"/>
    <w:rsid w:val="00BA067A"/>
    <w:rsid w:val="00BA0A02"/>
    <w:rsid w:val="00BA0E85"/>
    <w:rsid w:val="00BA219B"/>
    <w:rsid w:val="00BA29DD"/>
    <w:rsid w:val="00BA43FB"/>
    <w:rsid w:val="00BA5EB6"/>
    <w:rsid w:val="00BB030C"/>
    <w:rsid w:val="00BB0714"/>
    <w:rsid w:val="00BB0DEA"/>
    <w:rsid w:val="00BB0E72"/>
    <w:rsid w:val="00BB12CB"/>
    <w:rsid w:val="00BB1B53"/>
    <w:rsid w:val="00BB1BD1"/>
    <w:rsid w:val="00BB2405"/>
    <w:rsid w:val="00BB34C9"/>
    <w:rsid w:val="00BB3863"/>
    <w:rsid w:val="00BB3B84"/>
    <w:rsid w:val="00BB4707"/>
    <w:rsid w:val="00BC1234"/>
    <w:rsid w:val="00BC127D"/>
    <w:rsid w:val="00BC1FE6"/>
    <w:rsid w:val="00BC2370"/>
    <w:rsid w:val="00BC2539"/>
    <w:rsid w:val="00BC2894"/>
    <w:rsid w:val="00BC2FA1"/>
    <w:rsid w:val="00BC38CA"/>
    <w:rsid w:val="00BC50DE"/>
    <w:rsid w:val="00BC5519"/>
    <w:rsid w:val="00BC6B84"/>
    <w:rsid w:val="00BC6E60"/>
    <w:rsid w:val="00BD078C"/>
    <w:rsid w:val="00BD17F6"/>
    <w:rsid w:val="00BD22C5"/>
    <w:rsid w:val="00BD249E"/>
    <w:rsid w:val="00BD35A0"/>
    <w:rsid w:val="00BD3D3B"/>
    <w:rsid w:val="00BD5A5C"/>
    <w:rsid w:val="00BD74B8"/>
    <w:rsid w:val="00BE0115"/>
    <w:rsid w:val="00BE0280"/>
    <w:rsid w:val="00BE11CE"/>
    <w:rsid w:val="00BE1305"/>
    <w:rsid w:val="00BE1C8F"/>
    <w:rsid w:val="00BE2E49"/>
    <w:rsid w:val="00BE3138"/>
    <w:rsid w:val="00BE38F1"/>
    <w:rsid w:val="00BE4467"/>
    <w:rsid w:val="00BE505C"/>
    <w:rsid w:val="00BE593E"/>
    <w:rsid w:val="00BE723A"/>
    <w:rsid w:val="00BE7446"/>
    <w:rsid w:val="00BE7ECD"/>
    <w:rsid w:val="00BF06E2"/>
    <w:rsid w:val="00BF0FEF"/>
    <w:rsid w:val="00BF128B"/>
    <w:rsid w:val="00BF30D2"/>
    <w:rsid w:val="00BF5A03"/>
    <w:rsid w:val="00BF5AB6"/>
    <w:rsid w:val="00BF72CA"/>
    <w:rsid w:val="00BF75D0"/>
    <w:rsid w:val="00BF793F"/>
    <w:rsid w:val="00BF7DEA"/>
    <w:rsid w:val="00C00703"/>
    <w:rsid w:val="00C01207"/>
    <w:rsid w:val="00C0178C"/>
    <w:rsid w:val="00C031FA"/>
    <w:rsid w:val="00C048B5"/>
    <w:rsid w:val="00C053E7"/>
    <w:rsid w:val="00C056CF"/>
    <w:rsid w:val="00C05DC8"/>
    <w:rsid w:val="00C06111"/>
    <w:rsid w:val="00C061B6"/>
    <w:rsid w:val="00C06809"/>
    <w:rsid w:val="00C07CCB"/>
    <w:rsid w:val="00C111F5"/>
    <w:rsid w:val="00C1252B"/>
    <w:rsid w:val="00C13122"/>
    <w:rsid w:val="00C14ECE"/>
    <w:rsid w:val="00C15FA2"/>
    <w:rsid w:val="00C16DF2"/>
    <w:rsid w:val="00C17BF8"/>
    <w:rsid w:val="00C2007C"/>
    <w:rsid w:val="00C21240"/>
    <w:rsid w:val="00C21351"/>
    <w:rsid w:val="00C2177E"/>
    <w:rsid w:val="00C21998"/>
    <w:rsid w:val="00C22F09"/>
    <w:rsid w:val="00C23EE4"/>
    <w:rsid w:val="00C2446C"/>
    <w:rsid w:val="00C2538A"/>
    <w:rsid w:val="00C25F46"/>
    <w:rsid w:val="00C27166"/>
    <w:rsid w:val="00C277F2"/>
    <w:rsid w:val="00C278C2"/>
    <w:rsid w:val="00C303BE"/>
    <w:rsid w:val="00C3257C"/>
    <w:rsid w:val="00C336E3"/>
    <w:rsid w:val="00C33D52"/>
    <w:rsid w:val="00C33D90"/>
    <w:rsid w:val="00C34AB8"/>
    <w:rsid w:val="00C354E5"/>
    <w:rsid w:val="00C354E7"/>
    <w:rsid w:val="00C36202"/>
    <w:rsid w:val="00C36A9C"/>
    <w:rsid w:val="00C36AE5"/>
    <w:rsid w:val="00C37402"/>
    <w:rsid w:val="00C40A56"/>
    <w:rsid w:val="00C40EF2"/>
    <w:rsid w:val="00C41180"/>
    <w:rsid w:val="00C41F17"/>
    <w:rsid w:val="00C41FC1"/>
    <w:rsid w:val="00C43984"/>
    <w:rsid w:val="00C44808"/>
    <w:rsid w:val="00C44BA7"/>
    <w:rsid w:val="00C4751D"/>
    <w:rsid w:val="00C47854"/>
    <w:rsid w:val="00C504B6"/>
    <w:rsid w:val="00C504EF"/>
    <w:rsid w:val="00C5090A"/>
    <w:rsid w:val="00C50E9B"/>
    <w:rsid w:val="00C51FE3"/>
    <w:rsid w:val="00C527FA"/>
    <w:rsid w:val="00C5280D"/>
    <w:rsid w:val="00C53337"/>
    <w:rsid w:val="00C53EB3"/>
    <w:rsid w:val="00C550A3"/>
    <w:rsid w:val="00C553C2"/>
    <w:rsid w:val="00C564A9"/>
    <w:rsid w:val="00C568DC"/>
    <w:rsid w:val="00C5791C"/>
    <w:rsid w:val="00C57AEA"/>
    <w:rsid w:val="00C57E23"/>
    <w:rsid w:val="00C60E0D"/>
    <w:rsid w:val="00C624DE"/>
    <w:rsid w:val="00C63490"/>
    <w:rsid w:val="00C639B9"/>
    <w:rsid w:val="00C643AD"/>
    <w:rsid w:val="00C658A5"/>
    <w:rsid w:val="00C65923"/>
    <w:rsid w:val="00C65B6E"/>
    <w:rsid w:val="00C66290"/>
    <w:rsid w:val="00C66F9E"/>
    <w:rsid w:val="00C679A7"/>
    <w:rsid w:val="00C71191"/>
    <w:rsid w:val="00C718DA"/>
    <w:rsid w:val="00C720BE"/>
    <w:rsid w:val="00C7244F"/>
    <w:rsid w:val="00C72B7A"/>
    <w:rsid w:val="00C72E30"/>
    <w:rsid w:val="00C746BD"/>
    <w:rsid w:val="00C75BD7"/>
    <w:rsid w:val="00C75FFB"/>
    <w:rsid w:val="00C77C07"/>
    <w:rsid w:val="00C80553"/>
    <w:rsid w:val="00C822D6"/>
    <w:rsid w:val="00C823E1"/>
    <w:rsid w:val="00C832F1"/>
    <w:rsid w:val="00C84274"/>
    <w:rsid w:val="00C84E2E"/>
    <w:rsid w:val="00C85F24"/>
    <w:rsid w:val="00C86C95"/>
    <w:rsid w:val="00C86F9A"/>
    <w:rsid w:val="00C90D83"/>
    <w:rsid w:val="00C91A51"/>
    <w:rsid w:val="00C9397E"/>
    <w:rsid w:val="00C943D8"/>
    <w:rsid w:val="00C94466"/>
    <w:rsid w:val="00C9669A"/>
    <w:rsid w:val="00C973F2"/>
    <w:rsid w:val="00CA0539"/>
    <w:rsid w:val="00CA28B3"/>
    <w:rsid w:val="00CA2F12"/>
    <w:rsid w:val="00CA304C"/>
    <w:rsid w:val="00CA399F"/>
    <w:rsid w:val="00CA3B66"/>
    <w:rsid w:val="00CA3CCA"/>
    <w:rsid w:val="00CA4B12"/>
    <w:rsid w:val="00CA560A"/>
    <w:rsid w:val="00CA5D72"/>
    <w:rsid w:val="00CA705C"/>
    <w:rsid w:val="00CA774A"/>
    <w:rsid w:val="00CA78EE"/>
    <w:rsid w:val="00CB03C7"/>
    <w:rsid w:val="00CB07F4"/>
    <w:rsid w:val="00CB0B22"/>
    <w:rsid w:val="00CB1A45"/>
    <w:rsid w:val="00CB1DC2"/>
    <w:rsid w:val="00CB1E19"/>
    <w:rsid w:val="00CB1F12"/>
    <w:rsid w:val="00CB1F46"/>
    <w:rsid w:val="00CB22E4"/>
    <w:rsid w:val="00CB29BD"/>
    <w:rsid w:val="00CB32C8"/>
    <w:rsid w:val="00CB3CBE"/>
    <w:rsid w:val="00CB3D17"/>
    <w:rsid w:val="00CB464C"/>
    <w:rsid w:val="00CB5B2C"/>
    <w:rsid w:val="00CB5C87"/>
    <w:rsid w:val="00CB72A4"/>
    <w:rsid w:val="00CB7373"/>
    <w:rsid w:val="00CB7590"/>
    <w:rsid w:val="00CC0DE7"/>
    <w:rsid w:val="00CC11B0"/>
    <w:rsid w:val="00CC193D"/>
    <w:rsid w:val="00CC268B"/>
    <w:rsid w:val="00CC2841"/>
    <w:rsid w:val="00CC47D2"/>
    <w:rsid w:val="00CC4CB7"/>
    <w:rsid w:val="00CC55DF"/>
    <w:rsid w:val="00CC56CA"/>
    <w:rsid w:val="00CC5B48"/>
    <w:rsid w:val="00CC5CFF"/>
    <w:rsid w:val="00CC6075"/>
    <w:rsid w:val="00CC7347"/>
    <w:rsid w:val="00CD0061"/>
    <w:rsid w:val="00CD02BE"/>
    <w:rsid w:val="00CD08F2"/>
    <w:rsid w:val="00CD0A6B"/>
    <w:rsid w:val="00CD19D4"/>
    <w:rsid w:val="00CD1D54"/>
    <w:rsid w:val="00CD211C"/>
    <w:rsid w:val="00CD4069"/>
    <w:rsid w:val="00CD419A"/>
    <w:rsid w:val="00CD5B65"/>
    <w:rsid w:val="00CD5D99"/>
    <w:rsid w:val="00CD7A95"/>
    <w:rsid w:val="00CE08D9"/>
    <w:rsid w:val="00CE0E6C"/>
    <w:rsid w:val="00CE0FB7"/>
    <w:rsid w:val="00CE10F7"/>
    <w:rsid w:val="00CE1ADD"/>
    <w:rsid w:val="00CE23D2"/>
    <w:rsid w:val="00CE354D"/>
    <w:rsid w:val="00CE4067"/>
    <w:rsid w:val="00CE4603"/>
    <w:rsid w:val="00CE5B21"/>
    <w:rsid w:val="00CE5B7A"/>
    <w:rsid w:val="00CE69E0"/>
    <w:rsid w:val="00CE7496"/>
    <w:rsid w:val="00CF1330"/>
    <w:rsid w:val="00CF19F4"/>
    <w:rsid w:val="00CF2C5B"/>
    <w:rsid w:val="00CF3608"/>
    <w:rsid w:val="00CF3989"/>
    <w:rsid w:val="00CF46AC"/>
    <w:rsid w:val="00CF4805"/>
    <w:rsid w:val="00CF481B"/>
    <w:rsid w:val="00CF6AB9"/>
    <w:rsid w:val="00CF7726"/>
    <w:rsid w:val="00CF7E36"/>
    <w:rsid w:val="00CF7EE9"/>
    <w:rsid w:val="00D00A51"/>
    <w:rsid w:val="00D00D9F"/>
    <w:rsid w:val="00D01A3A"/>
    <w:rsid w:val="00D01C8E"/>
    <w:rsid w:val="00D025F9"/>
    <w:rsid w:val="00D027D0"/>
    <w:rsid w:val="00D0351E"/>
    <w:rsid w:val="00D03648"/>
    <w:rsid w:val="00D03C15"/>
    <w:rsid w:val="00D03F50"/>
    <w:rsid w:val="00D04987"/>
    <w:rsid w:val="00D04F56"/>
    <w:rsid w:val="00D050DF"/>
    <w:rsid w:val="00D05126"/>
    <w:rsid w:val="00D0572D"/>
    <w:rsid w:val="00D05B19"/>
    <w:rsid w:val="00D100B3"/>
    <w:rsid w:val="00D10358"/>
    <w:rsid w:val="00D110C8"/>
    <w:rsid w:val="00D112ED"/>
    <w:rsid w:val="00D11D0B"/>
    <w:rsid w:val="00D12136"/>
    <w:rsid w:val="00D128AA"/>
    <w:rsid w:val="00D1299E"/>
    <w:rsid w:val="00D12E82"/>
    <w:rsid w:val="00D1379C"/>
    <w:rsid w:val="00D13A68"/>
    <w:rsid w:val="00D14DA4"/>
    <w:rsid w:val="00D14FCF"/>
    <w:rsid w:val="00D1561C"/>
    <w:rsid w:val="00D1574C"/>
    <w:rsid w:val="00D17284"/>
    <w:rsid w:val="00D20288"/>
    <w:rsid w:val="00D2062C"/>
    <w:rsid w:val="00D2272B"/>
    <w:rsid w:val="00D23BC7"/>
    <w:rsid w:val="00D23BE7"/>
    <w:rsid w:val="00D24A7D"/>
    <w:rsid w:val="00D24D42"/>
    <w:rsid w:val="00D25DC7"/>
    <w:rsid w:val="00D27089"/>
    <w:rsid w:val="00D27534"/>
    <w:rsid w:val="00D27DCB"/>
    <w:rsid w:val="00D32090"/>
    <w:rsid w:val="00D32137"/>
    <w:rsid w:val="00D3327A"/>
    <w:rsid w:val="00D338C1"/>
    <w:rsid w:val="00D34344"/>
    <w:rsid w:val="00D350F6"/>
    <w:rsid w:val="00D35B23"/>
    <w:rsid w:val="00D36EDE"/>
    <w:rsid w:val="00D3708D"/>
    <w:rsid w:val="00D37185"/>
    <w:rsid w:val="00D37BAB"/>
    <w:rsid w:val="00D40426"/>
    <w:rsid w:val="00D40C30"/>
    <w:rsid w:val="00D41043"/>
    <w:rsid w:val="00D411BE"/>
    <w:rsid w:val="00D413F4"/>
    <w:rsid w:val="00D42027"/>
    <w:rsid w:val="00D42613"/>
    <w:rsid w:val="00D44434"/>
    <w:rsid w:val="00D4467C"/>
    <w:rsid w:val="00D44E80"/>
    <w:rsid w:val="00D50BED"/>
    <w:rsid w:val="00D5258F"/>
    <w:rsid w:val="00D538E4"/>
    <w:rsid w:val="00D5410E"/>
    <w:rsid w:val="00D545B3"/>
    <w:rsid w:val="00D5496C"/>
    <w:rsid w:val="00D54E11"/>
    <w:rsid w:val="00D561C8"/>
    <w:rsid w:val="00D56DFD"/>
    <w:rsid w:val="00D573AB"/>
    <w:rsid w:val="00D5756B"/>
    <w:rsid w:val="00D57C96"/>
    <w:rsid w:val="00D57D18"/>
    <w:rsid w:val="00D6062F"/>
    <w:rsid w:val="00D60807"/>
    <w:rsid w:val="00D6147F"/>
    <w:rsid w:val="00D61512"/>
    <w:rsid w:val="00D61AB8"/>
    <w:rsid w:val="00D652C6"/>
    <w:rsid w:val="00D6544A"/>
    <w:rsid w:val="00D670A3"/>
    <w:rsid w:val="00D67975"/>
    <w:rsid w:val="00D67D80"/>
    <w:rsid w:val="00D7066A"/>
    <w:rsid w:val="00D71713"/>
    <w:rsid w:val="00D71E1E"/>
    <w:rsid w:val="00D71ED9"/>
    <w:rsid w:val="00D72310"/>
    <w:rsid w:val="00D72EC0"/>
    <w:rsid w:val="00D7335F"/>
    <w:rsid w:val="00D73B22"/>
    <w:rsid w:val="00D745F5"/>
    <w:rsid w:val="00D74D5A"/>
    <w:rsid w:val="00D751EC"/>
    <w:rsid w:val="00D75407"/>
    <w:rsid w:val="00D75AED"/>
    <w:rsid w:val="00D75B26"/>
    <w:rsid w:val="00D760AE"/>
    <w:rsid w:val="00D77E70"/>
    <w:rsid w:val="00D80DB7"/>
    <w:rsid w:val="00D80DBE"/>
    <w:rsid w:val="00D812DE"/>
    <w:rsid w:val="00D83B57"/>
    <w:rsid w:val="00D85CC5"/>
    <w:rsid w:val="00D85D36"/>
    <w:rsid w:val="00D86313"/>
    <w:rsid w:val="00D87752"/>
    <w:rsid w:val="00D878B1"/>
    <w:rsid w:val="00D90A24"/>
    <w:rsid w:val="00D90BBC"/>
    <w:rsid w:val="00D9104A"/>
    <w:rsid w:val="00D91203"/>
    <w:rsid w:val="00D91876"/>
    <w:rsid w:val="00D92760"/>
    <w:rsid w:val="00D92996"/>
    <w:rsid w:val="00D94A77"/>
    <w:rsid w:val="00D94AEB"/>
    <w:rsid w:val="00D95174"/>
    <w:rsid w:val="00D95C43"/>
    <w:rsid w:val="00D95FAE"/>
    <w:rsid w:val="00D969AA"/>
    <w:rsid w:val="00D96DE9"/>
    <w:rsid w:val="00D96E37"/>
    <w:rsid w:val="00DA27AA"/>
    <w:rsid w:val="00DA341F"/>
    <w:rsid w:val="00DA39E5"/>
    <w:rsid w:val="00DA4973"/>
    <w:rsid w:val="00DA6F36"/>
    <w:rsid w:val="00DB180B"/>
    <w:rsid w:val="00DB2733"/>
    <w:rsid w:val="00DB3152"/>
    <w:rsid w:val="00DB322C"/>
    <w:rsid w:val="00DB32F1"/>
    <w:rsid w:val="00DB34E4"/>
    <w:rsid w:val="00DB3596"/>
    <w:rsid w:val="00DB38B2"/>
    <w:rsid w:val="00DB510A"/>
    <w:rsid w:val="00DB5252"/>
    <w:rsid w:val="00DB5521"/>
    <w:rsid w:val="00DB596E"/>
    <w:rsid w:val="00DB7773"/>
    <w:rsid w:val="00DB79BE"/>
    <w:rsid w:val="00DC00EA"/>
    <w:rsid w:val="00DC0AA5"/>
    <w:rsid w:val="00DC2937"/>
    <w:rsid w:val="00DC33AB"/>
    <w:rsid w:val="00DC369D"/>
    <w:rsid w:val="00DC3802"/>
    <w:rsid w:val="00DC4A09"/>
    <w:rsid w:val="00DC593A"/>
    <w:rsid w:val="00DC6DF1"/>
    <w:rsid w:val="00DD28CD"/>
    <w:rsid w:val="00DD405A"/>
    <w:rsid w:val="00DD4DC0"/>
    <w:rsid w:val="00DD63D3"/>
    <w:rsid w:val="00DD6916"/>
    <w:rsid w:val="00DD7276"/>
    <w:rsid w:val="00DD75BE"/>
    <w:rsid w:val="00DD7655"/>
    <w:rsid w:val="00DD76F8"/>
    <w:rsid w:val="00DE063F"/>
    <w:rsid w:val="00DE06EC"/>
    <w:rsid w:val="00DE1334"/>
    <w:rsid w:val="00DE2169"/>
    <w:rsid w:val="00DE3A31"/>
    <w:rsid w:val="00DE3D35"/>
    <w:rsid w:val="00DE45DE"/>
    <w:rsid w:val="00DE5F47"/>
    <w:rsid w:val="00DE6DB0"/>
    <w:rsid w:val="00DE7AA3"/>
    <w:rsid w:val="00DF048C"/>
    <w:rsid w:val="00DF0E4D"/>
    <w:rsid w:val="00DF18F8"/>
    <w:rsid w:val="00DF19CA"/>
    <w:rsid w:val="00DF29D6"/>
    <w:rsid w:val="00DF2D6B"/>
    <w:rsid w:val="00DF6593"/>
    <w:rsid w:val="00DF6CD6"/>
    <w:rsid w:val="00DF7A5F"/>
    <w:rsid w:val="00E00247"/>
    <w:rsid w:val="00E00821"/>
    <w:rsid w:val="00E03FBE"/>
    <w:rsid w:val="00E04903"/>
    <w:rsid w:val="00E06D8D"/>
    <w:rsid w:val="00E0737C"/>
    <w:rsid w:val="00E07D87"/>
    <w:rsid w:val="00E11B5F"/>
    <w:rsid w:val="00E14D08"/>
    <w:rsid w:val="00E15ABE"/>
    <w:rsid w:val="00E168CE"/>
    <w:rsid w:val="00E17043"/>
    <w:rsid w:val="00E202E0"/>
    <w:rsid w:val="00E20435"/>
    <w:rsid w:val="00E210C5"/>
    <w:rsid w:val="00E215FB"/>
    <w:rsid w:val="00E2408D"/>
    <w:rsid w:val="00E25AD3"/>
    <w:rsid w:val="00E25CC7"/>
    <w:rsid w:val="00E25CD4"/>
    <w:rsid w:val="00E30801"/>
    <w:rsid w:val="00E30DA7"/>
    <w:rsid w:val="00E30F57"/>
    <w:rsid w:val="00E31B46"/>
    <w:rsid w:val="00E32F5D"/>
    <w:rsid w:val="00E32F7E"/>
    <w:rsid w:val="00E3310F"/>
    <w:rsid w:val="00E337AE"/>
    <w:rsid w:val="00E340B2"/>
    <w:rsid w:val="00E34830"/>
    <w:rsid w:val="00E34F2D"/>
    <w:rsid w:val="00E359BD"/>
    <w:rsid w:val="00E36778"/>
    <w:rsid w:val="00E3678E"/>
    <w:rsid w:val="00E372A2"/>
    <w:rsid w:val="00E414F8"/>
    <w:rsid w:val="00E41FCB"/>
    <w:rsid w:val="00E42D0E"/>
    <w:rsid w:val="00E4353A"/>
    <w:rsid w:val="00E44D05"/>
    <w:rsid w:val="00E44E01"/>
    <w:rsid w:val="00E451BB"/>
    <w:rsid w:val="00E45414"/>
    <w:rsid w:val="00E45EF0"/>
    <w:rsid w:val="00E477AF"/>
    <w:rsid w:val="00E500C0"/>
    <w:rsid w:val="00E511DA"/>
    <w:rsid w:val="00E5267B"/>
    <w:rsid w:val="00E52C13"/>
    <w:rsid w:val="00E53ECE"/>
    <w:rsid w:val="00E541EB"/>
    <w:rsid w:val="00E54B33"/>
    <w:rsid w:val="00E55E6F"/>
    <w:rsid w:val="00E562A6"/>
    <w:rsid w:val="00E563FF"/>
    <w:rsid w:val="00E56777"/>
    <w:rsid w:val="00E602EC"/>
    <w:rsid w:val="00E60DC6"/>
    <w:rsid w:val="00E61CD4"/>
    <w:rsid w:val="00E61E82"/>
    <w:rsid w:val="00E61ECB"/>
    <w:rsid w:val="00E62C53"/>
    <w:rsid w:val="00E62CD0"/>
    <w:rsid w:val="00E6379D"/>
    <w:rsid w:val="00E63C0E"/>
    <w:rsid w:val="00E64A54"/>
    <w:rsid w:val="00E65052"/>
    <w:rsid w:val="00E65F2B"/>
    <w:rsid w:val="00E70742"/>
    <w:rsid w:val="00E70C03"/>
    <w:rsid w:val="00E71B7A"/>
    <w:rsid w:val="00E72D49"/>
    <w:rsid w:val="00E73287"/>
    <w:rsid w:val="00E74A87"/>
    <w:rsid w:val="00E74C99"/>
    <w:rsid w:val="00E74FA4"/>
    <w:rsid w:val="00E7593C"/>
    <w:rsid w:val="00E7678A"/>
    <w:rsid w:val="00E77077"/>
    <w:rsid w:val="00E80AF5"/>
    <w:rsid w:val="00E822E6"/>
    <w:rsid w:val="00E83A21"/>
    <w:rsid w:val="00E83F88"/>
    <w:rsid w:val="00E851EF"/>
    <w:rsid w:val="00E86A9D"/>
    <w:rsid w:val="00E86B17"/>
    <w:rsid w:val="00E90782"/>
    <w:rsid w:val="00E91F59"/>
    <w:rsid w:val="00E92469"/>
    <w:rsid w:val="00E925F2"/>
    <w:rsid w:val="00E935F1"/>
    <w:rsid w:val="00E94A81"/>
    <w:rsid w:val="00E95525"/>
    <w:rsid w:val="00E95F7A"/>
    <w:rsid w:val="00E97ED7"/>
    <w:rsid w:val="00EA0425"/>
    <w:rsid w:val="00EA04B5"/>
    <w:rsid w:val="00EA10D6"/>
    <w:rsid w:val="00EA1506"/>
    <w:rsid w:val="00EA1FFB"/>
    <w:rsid w:val="00EA311D"/>
    <w:rsid w:val="00EA4DFE"/>
    <w:rsid w:val="00EA4EA9"/>
    <w:rsid w:val="00EA6FC0"/>
    <w:rsid w:val="00EA73BD"/>
    <w:rsid w:val="00EB048E"/>
    <w:rsid w:val="00EB0BB6"/>
    <w:rsid w:val="00EB4E9C"/>
    <w:rsid w:val="00EB5402"/>
    <w:rsid w:val="00EB7D22"/>
    <w:rsid w:val="00EC0086"/>
    <w:rsid w:val="00EC04C7"/>
    <w:rsid w:val="00EC081C"/>
    <w:rsid w:val="00EC0B9E"/>
    <w:rsid w:val="00EC0F51"/>
    <w:rsid w:val="00EC0FDA"/>
    <w:rsid w:val="00EC1D8A"/>
    <w:rsid w:val="00EC2C3C"/>
    <w:rsid w:val="00EC326F"/>
    <w:rsid w:val="00EC3584"/>
    <w:rsid w:val="00EC3BA0"/>
    <w:rsid w:val="00EC43E2"/>
    <w:rsid w:val="00EC55DF"/>
    <w:rsid w:val="00EC60A5"/>
    <w:rsid w:val="00EC633A"/>
    <w:rsid w:val="00EC68DE"/>
    <w:rsid w:val="00EC6A92"/>
    <w:rsid w:val="00ED08D2"/>
    <w:rsid w:val="00ED17CE"/>
    <w:rsid w:val="00ED1A42"/>
    <w:rsid w:val="00ED1E44"/>
    <w:rsid w:val="00ED1E53"/>
    <w:rsid w:val="00ED2221"/>
    <w:rsid w:val="00ED3708"/>
    <w:rsid w:val="00ED50AC"/>
    <w:rsid w:val="00ED5C63"/>
    <w:rsid w:val="00ED64B3"/>
    <w:rsid w:val="00ED6AB1"/>
    <w:rsid w:val="00ED7558"/>
    <w:rsid w:val="00ED7C3E"/>
    <w:rsid w:val="00EE0702"/>
    <w:rsid w:val="00EE34DF"/>
    <w:rsid w:val="00EE3604"/>
    <w:rsid w:val="00EE3E5B"/>
    <w:rsid w:val="00EE4ACE"/>
    <w:rsid w:val="00EE4FE0"/>
    <w:rsid w:val="00EE509D"/>
    <w:rsid w:val="00EE684B"/>
    <w:rsid w:val="00EE6ABB"/>
    <w:rsid w:val="00EE6B95"/>
    <w:rsid w:val="00EF0DFE"/>
    <w:rsid w:val="00EF1CD8"/>
    <w:rsid w:val="00EF2A53"/>
    <w:rsid w:val="00EF2F89"/>
    <w:rsid w:val="00EF4F3A"/>
    <w:rsid w:val="00EF4FB8"/>
    <w:rsid w:val="00EF5457"/>
    <w:rsid w:val="00EF71B4"/>
    <w:rsid w:val="00EF7611"/>
    <w:rsid w:val="00EF7B14"/>
    <w:rsid w:val="00F00013"/>
    <w:rsid w:val="00F004E6"/>
    <w:rsid w:val="00F00C2D"/>
    <w:rsid w:val="00F01218"/>
    <w:rsid w:val="00F015B8"/>
    <w:rsid w:val="00F019DC"/>
    <w:rsid w:val="00F01FE9"/>
    <w:rsid w:val="00F0234C"/>
    <w:rsid w:val="00F03A33"/>
    <w:rsid w:val="00F03E98"/>
    <w:rsid w:val="00F04E04"/>
    <w:rsid w:val="00F05FA6"/>
    <w:rsid w:val="00F06031"/>
    <w:rsid w:val="00F063CA"/>
    <w:rsid w:val="00F069D3"/>
    <w:rsid w:val="00F06DC7"/>
    <w:rsid w:val="00F073CE"/>
    <w:rsid w:val="00F07E55"/>
    <w:rsid w:val="00F1101A"/>
    <w:rsid w:val="00F11BAA"/>
    <w:rsid w:val="00F1237A"/>
    <w:rsid w:val="00F12385"/>
    <w:rsid w:val="00F13C30"/>
    <w:rsid w:val="00F14325"/>
    <w:rsid w:val="00F161D1"/>
    <w:rsid w:val="00F2016D"/>
    <w:rsid w:val="00F20B92"/>
    <w:rsid w:val="00F221FC"/>
    <w:rsid w:val="00F229B1"/>
    <w:rsid w:val="00F22CBD"/>
    <w:rsid w:val="00F234DC"/>
    <w:rsid w:val="00F2386A"/>
    <w:rsid w:val="00F266A9"/>
    <w:rsid w:val="00F272F1"/>
    <w:rsid w:val="00F278AD"/>
    <w:rsid w:val="00F27BCD"/>
    <w:rsid w:val="00F313ED"/>
    <w:rsid w:val="00F3151D"/>
    <w:rsid w:val="00F31EF0"/>
    <w:rsid w:val="00F347D6"/>
    <w:rsid w:val="00F3577B"/>
    <w:rsid w:val="00F361E9"/>
    <w:rsid w:val="00F36DBC"/>
    <w:rsid w:val="00F376DF"/>
    <w:rsid w:val="00F40D9E"/>
    <w:rsid w:val="00F41611"/>
    <w:rsid w:val="00F41A88"/>
    <w:rsid w:val="00F41BCA"/>
    <w:rsid w:val="00F41EC4"/>
    <w:rsid w:val="00F42882"/>
    <w:rsid w:val="00F44078"/>
    <w:rsid w:val="00F45269"/>
    <w:rsid w:val="00F45372"/>
    <w:rsid w:val="00F4611D"/>
    <w:rsid w:val="00F46974"/>
    <w:rsid w:val="00F513B7"/>
    <w:rsid w:val="00F524E9"/>
    <w:rsid w:val="00F5259B"/>
    <w:rsid w:val="00F53085"/>
    <w:rsid w:val="00F532FE"/>
    <w:rsid w:val="00F534AA"/>
    <w:rsid w:val="00F53E82"/>
    <w:rsid w:val="00F540BD"/>
    <w:rsid w:val="00F548A7"/>
    <w:rsid w:val="00F549C1"/>
    <w:rsid w:val="00F54FC5"/>
    <w:rsid w:val="00F553CD"/>
    <w:rsid w:val="00F560F7"/>
    <w:rsid w:val="00F56AD7"/>
    <w:rsid w:val="00F608A6"/>
    <w:rsid w:val="00F61A88"/>
    <w:rsid w:val="00F6302E"/>
    <w:rsid w:val="00F6334D"/>
    <w:rsid w:val="00F63549"/>
    <w:rsid w:val="00F63599"/>
    <w:rsid w:val="00F64392"/>
    <w:rsid w:val="00F645DF"/>
    <w:rsid w:val="00F64AE2"/>
    <w:rsid w:val="00F6622D"/>
    <w:rsid w:val="00F66E46"/>
    <w:rsid w:val="00F66F67"/>
    <w:rsid w:val="00F676F4"/>
    <w:rsid w:val="00F6771B"/>
    <w:rsid w:val="00F67FE4"/>
    <w:rsid w:val="00F706E9"/>
    <w:rsid w:val="00F71A7F"/>
    <w:rsid w:val="00F71E01"/>
    <w:rsid w:val="00F73707"/>
    <w:rsid w:val="00F73DBA"/>
    <w:rsid w:val="00F7563E"/>
    <w:rsid w:val="00F75686"/>
    <w:rsid w:val="00F75DB1"/>
    <w:rsid w:val="00F76236"/>
    <w:rsid w:val="00F7743A"/>
    <w:rsid w:val="00F80BF1"/>
    <w:rsid w:val="00F80EA0"/>
    <w:rsid w:val="00F8205E"/>
    <w:rsid w:val="00F829D1"/>
    <w:rsid w:val="00F8412D"/>
    <w:rsid w:val="00F84A60"/>
    <w:rsid w:val="00F84F19"/>
    <w:rsid w:val="00F84F46"/>
    <w:rsid w:val="00F867B2"/>
    <w:rsid w:val="00F86E58"/>
    <w:rsid w:val="00F87C22"/>
    <w:rsid w:val="00F90449"/>
    <w:rsid w:val="00F90990"/>
    <w:rsid w:val="00F90DBC"/>
    <w:rsid w:val="00F91246"/>
    <w:rsid w:val="00F916C2"/>
    <w:rsid w:val="00F9205E"/>
    <w:rsid w:val="00F956AE"/>
    <w:rsid w:val="00F960CD"/>
    <w:rsid w:val="00F967BA"/>
    <w:rsid w:val="00F9693C"/>
    <w:rsid w:val="00F9786D"/>
    <w:rsid w:val="00F97A92"/>
    <w:rsid w:val="00FA067A"/>
    <w:rsid w:val="00FA12FC"/>
    <w:rsid w:val="00FA2C9D"/>
    <w:rsid w:val="00FA2EAD"/>
    <w:rsid w:val="00FA2FC4"/>
    <w:rsid w:val="00FA3544"/>
    <w:rsid w:val="00FA49AB"/>
    <w:rsid w:val="00FA4A14"/>
    <w:rsid w:val="00FA6E16"/>
    <w:rsid w:val="00FA73C6"/>
    <w:rsid w:val="00FB03AB"/>
    <w:rsid w:val="00FB095C"/>
    <w:rsid w:val="00FB11A6"/>
    <w:rsid w:val="00FB1390"/>
    <w:rsid w:val="00FB1400"/>
    <w:rsid w:val="00FB16F8"/>
    <w:rsid w:val="00FB1E2F"/>
    <w:rsid w:val="00FB3B55"/>
    <w:rsid w:val="00FB3BBB"/>
    <w:rsid w:val="00FB4702"/>
    <w:rsid w:val="00FB50D5"/>
    <w:rsid w:val="00FB615F"/>
    <w:rsid w:val="00FB6D47"/>
    <w:rsid w:val="00FB6E5B"/>
    <w:rsid w:val="00FB73CD"/>
    <w:rsid w:val="00FB7DB9"/>
    <w:rsid w:val="00FC0CC5"/>
    <w:rsid w:val="00FC11D6"/>
    <w:rsid w:val="00FC26A7"/>
    <w:rsid w:val="00FC33FC"/>
    <w:rsid w:val="00FC4C46"/>
    <w:rsid w:val="00FC4DE1"/>
    <w:rsid w:val="00FC5AD7"/>
    <w:rsid w:val="00FC6B69"/>
    <w:rsid w:val="00FC6F74"/>
    <w:rsid w:val="00FC7BB6"/>
    <w:rsid w:val="00FC7C90"/>
    <w:rsid w:val="00FD065F"/>
    <w:rsid w:val="00FD12D5"/>
    <w:rsid w:val="00FD2D24"/>
    <w:rsid w:val="00FD5D7C"/>
    <w:rsid w:val="00FD6285"/>
    <w:rsid w:val="00FD6656"/>
    <w:rsid w:val="00FD67FF"/>
    <w:rsid w:val="00FD6D43"/>
    <w:rsid w:val="00FD7D0A"/>
    <w:rsid w:val="00FE02C9"/>
    <w:rsid w:val="00FE3288"/>
    <w:rsid w:val="00FE39C7"/>
    <w:rsid w:val="00FE40EB"/>
    <w:rsid w:val="00FE4177"/>
    <w:rsid w:val="00FE45F2"/>
    <w:rsid w:val="00FE47A5"/>
    <w:rsid w:val="00FE5853"/>
    <w:rsid w:val="00FE58AB"/>
    <w:rsid w:val="00FE5BDE"/>
    <w:rsid w:val="00FE637A"/>
    <w:rsid w:val="00FE69A2"/>
    <w:rsid w:val="00FE69E9"/>
    <w:rsid w:val="00FE6A31"/>
    <w:rsid w:val="00FE706B"/>
    <w:rsid w:val="00FE7586"/>
    <w:rsid w:val="00FF1226"/>
    <w:rsid w:val="00FF130A"/>
    <w:rsid w:val="00FF1AFF"/>
    <w:rsid w:val="00FF1E13"/>
    <w:rsid w:val="00FF2434"/>
    <w:rsid w:val="00FF4D07"/>
    <w:rsid w:val="00FF5364"/>
    <w:rsid w:val="00FF5D68"/>
    <w:rsid w:val="00FF63C1"/>
    <w:rsid w:val="00FF642D"/>
    <w:rsid w:val="00FF7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ECEFE"/>
  <w15:docId w15:val="{2425F36C-E146-4F5E-BC66-7FE8DF8B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lang w:val="de-DE"/>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lang w:val="fr-FR"/>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A824AF"/>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uiPriority w:val="99"/>
    <w:rsid w:val="00557A44"/>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7959E9"/>
    <w:pPr>
      <w:tabs>
        <w:tab w:val="right" w:leader="dot" w:pos="9639"/>
      </w:tabs>
      <w:spacing w:before="120"/>
      <w:ind w:left="284" w:right="851"/>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754B4"/>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1"/>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basedOn w:val="Normal"/>
    <w:link w:val="CommentTextChar"/>
    <w:rsid w:val="00A824AF"/>
    <w:pPr>
      <w:jc w:val="left"/>
    </w:pPr>
    <w:rPr>
      <w:rFonts w:cs="Arial"/>
      <w:sz w:val="18"/>
    </w:rPr>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3"/>
      </w:numPr>
      <w:spacing w:after="220"/>
      <w:jc w:val="left"/>
    </w:pPr>
    <w:rPr>
      <w:rFonts w:cs="Arial"/>
      <w:sz w:val="22"/>
    </w:rPr>
  </w:style>
  <w:style w:type="paragraph" w:customStyle="1" w:styleId="ONUME">
    <w:name w:val="ONUM E"/>
    <w:basedOn w:val="BodyText"/>
    <w:rsid w:val="00A824AF"/>
    <w:pPr>
      <w:numPr>
        <w:numId w:val="2"/>
      </w:numPr>
      <w:spacing w:after="220"/>
      <w:jc w:val="left"/>
    </w:pPr>
    <w:rPr>
      <w:rFonts w:cs="Arial"/>
      <w:sz w:val="22"/>
    </w:rPr>
  </w:style>
  <w:style w:type="paragraph" w:styleId="ListNumber">
    <w:name w:val="List Number"/>
    <w:basedOn w:val="Normal"/>
    <w:rsid w:val="00A824AF"/>
    <w:pPr>
      <w:numPr>
        <w:numId w:val="4"/>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styleId="BookTitle">
    <w:name w:val="Book Title"/>
    <w:basedOn w:val="DefaultParagraphFont"/>
    <w:uiPriority w:val="33"/>
    <w:qFormat/>
    <w:rsid w:val="00A824AF"/>
    <w:rPr>
      <w:b/>
      <w:bCs/>
      <w:smallCaps/>
      <w:spacing w:val="5"/>
    </w:rPr>
  </w:style>
  <w:style w:type="paragraph" w:customStyle="1" w:styleId="Default">
    <w:name w:val="Default"/>
    <w:rsid w:val="00A824AF"/>
    <w:pPr>
      <w:autoSpaceDE w:val="0"/>
      <w:autoSpaceDN w:val="0"/>
      <w:adjustRightInd w:val="0"/>
    </w:pPr>
    <w:rPr>
      <w:rFonts w:ascii="Arial" w:hAnsi="Arial" w:cs="Arial"/>
      <w:color w:val="000000"/>
      <w:sz w:val="24"/>
      <w:szCs w:val="24"/>
      <w:lang w:val="en-GB"/>
    </w:rPr>
  </w:style>
  <w:style w:type="paragraph" w:customStyle="1" w:styleId="Heading2Notes">
    <w:name w:val="Heading 2_Notes"/>
    <w:basedOn w:val="Heading2"/>
    <w:qFormat/>
    <w:rsid w:val="00B61C54"/>
    <w:rPr>
      <w:caps/>
    </w:rPr>
  </w:style>
  <w:style w:type="paragraph" w:styleId="TOCHeading">
    <w:name w:val="TOC Heading"/>
    <w:basedOn w:val="Heading1"/>
    <w:next w:val="Normal"/>
    <w:uiPriority w:val="39"/>
    <w:unhideWhenUsed/>
    <w:qFormat/>
    <w:rsid w:val="000357D6"/>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styleId="NormalWeb">
    <w:name w:val="Normal (Web)"/>
    <w:basedOn w:val="Normal"/>
    <w:uiPriority w:val="99"/>
    <w:unhideWhenUsed/>
    <w:rsid w:val="004900FA"/>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semiHidden/>
    <w:unhideWhenUsed/>
    <w:rsid w:val="0040575A"/>
    <w:rPr>
      <w:sz w:val="16"/>
      <w:szCs w:val="16"/>
    </w:rPr>
  </w:style>
  <w:style w:type="paragraph" w:styleId="CommentSubject">
    <w:name w:val="annotation subject"/>
    <w:basedOn w:val="CommentText"/>
    <w:next w:val="CommentText"/>
    <w:link w:val="CommentSubjectChar"/>
    <w:semiHidden/>
    <w:unhideWhenUsed/>
    <w:rsid w:val="0040575A"/>
    <w:pPr>
      <w:jc w:val="both"/>
    </w:pPr>
    <w:rPr>
      <w:rFonts w:cs="Times New Roman"/>
      <w:b/>
      <w:bCs/>
      <w:sz w:val="20"/>
    </w:rPr>
  </w:style>
  <w:style w:type="character" w:customStyle="1" w:styleId="CommentSubjectChar">
    <w:name w:val="Comment Subject Char"/>
    <w:basedOn w:val="CommentTextChar"/>
    <w:link w:val="CommentSubject"/>
    <w:semiHidden/>
    <w:rsid w:val="0040575A"/>
    <w:rPr>
      <w:rFonts w:ascii="Arial" w:hAnsi="Arial" w:cs="Arial"/>
      <w:b/>
      <w:bCs/>
      <w:sz w:val="18"/>
    </w:rPr>
  </w:style>
  <w:style w:type="character" w:styleId="Emphasis">
    <w:name w:val="Emphasis"/>
    <w:basedOn w:val="DefaultParagraphFont"/>
    <w:uiPriority w:val="20"/>
    <w:qFormat/>
    <w:rsid w:val="007C3CAE"/>
    <w:rPr>
      <w:i/>
      <w:iCs/>
    </w:rPr>
  </w:style>
  <w:style w:type="paragraph" w:styleId="Revision">
    <w:name w:val="Revision"/>
    <w:hidden/>
    <w:uiPriority w:val="99"/>
    <w:semiHidden/>
    <w:rsid w:val="00AB741C"/>
    <w:rPr>
      <w:rFonts w:ascii="Arial" w:hAnsi="Arial"/>
    </w:rPr>
  </w:style>
  <w:style w:type="character" w:customStyle="1" w:styleId="FootnoteTextChar">
    <w:name w:val="Footnote Text Char"/>
    <w:basedOn w:val="DefaultParagraphFont"/>
    <w:link w:val="FootnoteText"/>
    <w:uiPriority w:val="99"/>
    <w:rsid w:val="00557A44"/>
    <w:rPr>
      <w:rFonts w:ascii="Arial" w:hAnsi="Arial"/>
      <w:sz w:val="16"/>
    </w:rPr>
  </w:style>
  <w:style w:type="numbering" w:customStyle="1" w:styleId="CurrentList1">
    <w:name w:val="Current List1"/>
    <w:uiPriority w:val="99"/>
    <w:rsid w:val="004B1374"/>
  </w:style>
  <w:style w:type="numbering" w:customStyle="1" w:styleId="CurrentList2">
    <w:name w:val="Current List2"/>
    <w:uiPriority w:val="99"/>
    <w:rsid w:val="00CC7347"/>
    <w:pPr>
      <w:numPr>
        <w:numId w:val="12"/>
      </w:numPr>
    </w:pPr>
  </w:style>
  <w:style w:type="character" w:styleId="Strong">
    <w:name w:val="Strong"/>
    <w:basedOn w:val="DefaultParagraphFont"/>
    <w:uiPriority w:val="22"/>
    <w:qFormat/>
    <w:rsid w:val="00F063CA"/>
    <w:rPr>
      <w:b/>
      <w:bCs/>
    </w:rPr>
  </w:style>
  <w:style w:type="numbering" w:customStyle="1" w:styleId="AktuelleListe1">
    <w:name w:val="Aktuelle Liste1"/>
    <w:uiPriority w:val="99"/>
    <w:rsid w:val="00D350F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0355">
      <w:bodyDiv w:val="1"/>
      <w:marLeft w:val="0"/>
      <w:marRight w:val="0"/>
      <w:marTop w:val="0"/>
      <w:marBottom w:val="0"/>
      <w:divBdr>
        <w:top w:val="none" w:sz="0" w:space="0" w:color="auto"/>
        <w:left w:val="none" w:sz="0" w:space="0" w:color="auto"/>
        <w:bottom w:val="none" w:sz="0" w:space="0" w:color="auto"/>
        <w:right w:val="none" w:sz="0" w:space="0" w:color="auto"/>
      </w:divBdr>
    </w:div>
    <w:div w:id="46758045">
      <w:bodyDiv w:val="1"/>
      <w:marLeft w:val="0"/>
      <w:marRight w:val="0"/>
      <w:marTop w:val="0"/>
      <w:marBottom w:val="0"/>
      <w:divBdr>
        <w:top w:val="none" w:sz="0" w:space="0" w:color="auto"/>
        <w:left w:val="none" w:sz="0" w:space="0" w:color="auto"/>
        <w:bottom w:val="none" w:sz="0" w:space="0" w:color="auto"/>
        <w:right w:val="none" w:sz="0" w:space="0" w:color="auto"/>
      </w:divBdr>
    </w:div>
    <w:div w:id="130483998">
      <w:bodyDiv w:val="1"/>
      <w:marLeft w:val="0"/>
      <w:marRight w:val="0"/>
      <w:marTop w:val="0"/>
      <w:marBottom w:val="0"/>
      <w:divBdr>
        <w:top w:val="none" w:sz="0" w:space="0" w:color="auto"/>
        <w:left w:val="none" w:sz="0" w:space="0" w:color="auto"/>
        <w:bottom w:val="none" w:sz="0" w:space="0" w:color="auto"/>
        <w:right w:val="none" w:sz="0" w:space="0" w:color="auto"/>
      </w:divBdr>
    </w:div>
    <w:div w:id="135341577">
      <w:bodyDiv w:val="1"/>
      <w:marLeft w:val="0"/>
      <w:marRight w:val="0"/>
      <w:marTop w:val="0"/>
      <w:marBottom w:val="0"/>
      <w:divBdr>
        <w:top w:val="none" w:sz="0" w:space="0" w:color="auto"/>
        <w:left w:val="none" w:sz="0" w:space="0" w:color="auto"/>
        <w:bottom w:val="none" w:sz="0" w:space="0" w:color="auto"/>
        <w:right w:val="none" w:sz="0" w:space="0" w:color="auto"/>
      </w:divBdr>
    </w:div>
    <w:div w:id="203324958">
      <w:bodyDiv w:val="1"/>
      <w:marLeft w:val="0"/>
      <w:marRight w:val="0"/>
      <w:marTop w:val="0"/>
      <w:marBottom w:val="0"/>
      <w:divBdr>
        <w:top w:val="none" w:sz="0" w:space="0" w:color="auto"/>
        <w:left w:val="none" w:sz="0" w:space="0" w:color="auto"/>
        <w:bottom w:val="none" w:sz="0" w:space="0" w:color="auto"/>
        <w:right w:val="none" w:sz="0" w:space="0" w:color="auto"/>
      </w:divBdr>
    </w:div>
    <w:div w:id="281964443">
      <w:bodyDiv w:val="1"/>
      <w:marLeft w:val="0"/>
      <w:marRight w:val="0"/>
      <w:marTop w:val="0"/>
      <w:marBottom w:val="0"/>
      <w:divBdr>
        <w:top w:val="none" w:sz="0" w:space="0" w:color="auto"/>
        <w:left w:val="none" w:sz="0" w:space="0" w:color="auto"/>
        <w:bottom w:val="none" w:sz="0" w:space="0" w:color="auto"/>
        <w:right w:val="none" w:sz="0" w:space="0" w:color="auto"/>
      </w:divBdr>
    </w:div>
    <w:div w:id="364259215">
      <w:bodyDiv w:val="1"/>
      <w:marLeft w:val="0"/>
      <w:marRight w:val="0"/>
      <w:marTop w:val="0"/>
      <w:marBottom w:val="0"/>
      <w:divBdr>
        <w:top w:val="none" w:sz="0" w:space="0" w:color="auto"/>
        <w:left w:val="none" w:sz="0" w:space="0" w:color="auto"/>
        <w:bottom w:val="none" w:sz="0" w:space="0" w:color="auto"/>
        <w:right w:val="none" w:sz="0" w:space="0" w:color="auto"/>
      </w:divBdr>
    </w:div>
    <w:div w:id="389310420">
      <w:bodyDiv w:val="1"/>
      <w:marLeft w:val="0"/>
      <w:marRight w:val="0"/>
      <w:marTop w:val="0"/>
      <w:marBottom w:val="0"/>
      <w:divBdr>
        <w:top w:val="none" w:sz="0" w:space="0" w:color="auto"/>
        <w:left w:val="none" w:sz="0" w:space="0" w:color="auto"/>
        <w:bottom w:val="none" w:sz="0" w:space="0" w:color="auto"/>
        <w:right w:val="none" w:sz="0" w:space="0" w:color="auto"/>
      </w:divBdr>
    </w:div>
    <w:div w:id="434399627">
      <w:bodyDiv w:val="1"/>
      <w:marLeft w:val="0"/>
      <w:marRight w:val="0"/>
      <w:marTop w:val="0"/>
      <w:marBottom w:val="0"/>
      <w:divBdr>
        <w:top w:val="none" w:sz="0" w:space="0" w:color="auto"/>
        <w:left w:val="none" w:sz="0" w:space="0" w:color="auto"/>
        <w:bottom w:val="none" w:sz="0" w:space="0" w:color="auto"/>
        <w:right w:val="none" w:sz="0" w:space="0" w:color="auto"/>
      </w:divBdr>
    </w:div>
    <w:div w:id="476453287">
      <w:bodyDiv w:val="1"/>
      <w:marLeft w:val="0"/>
      <w:marRight w:val="0"/>
      <w:marTop w:val="0"/>
      <w:marBottom w:val="0"/>
      <w:divBdr>
        <w:top w:val="none" w:sz="0" w:space="0" w:color="auto"/>
        <w:left w:val="none" w:sz="0" w:space="0" w:color="auto"/>
        <w:bottom w:val="none" w:sz="0" w:space="0" w:color="auto"/>
        <w:right w:val="none" w:sz="0" w:space="0" w:color="auto"/>
      </w:divBdr>
    </w:div>
    <w:div w:id="489564737">
      <w:bodyDiv w:val="1"/>
      <w:marLeft w:val="0"/>
      <w:marRight w:val="0"/>
      <w:marTop w:val="0"/>
      <w:marBottom w:val="0"/>
      <w:divBdr>
        <w:top w:val="none" w:sz="0" w:space="0" w:color="auto"/>
        <w:left w:val="none" w:sz="0" w:space="0" w:color="auto"/>
        <w:bottom w:val="none" w:sz="0" w:space="0" w:color="auto"/>
        <w:right w:val="none" w:sz="0" w:space="0" w:color="auto"/>
      </w:divBdr>
    </w:div>
    <w:div w:id="491214399">
      <w:bodyDiv w:val="1"/>
      <w:marLeft w:val="0"/>
      <w:marRight w:val="0"/>
      <w:marTop w:val="0"/>
      <w:marBottom w:val="0"/>
      <w:divBdr>
        <w:top w:val="none" w:sz="0" w:space="0" w:color="auto"/>
        <w:left w:val="none" w:sz="0" w:space="0" w:color="auto"/>
        <w:bottom w:val="none" w:sz="0" w:space="0" w:color="auto"/>
        <w:right w:val="none" w:sz="0" w:space="0" w:color="auto"/>
      </w:divBdr>
    </w:div>
    <w:div w:id="491717796">
      <w:bodyDiv w:val="1"/>
      <w:marLeft w:val="0"/>
      <w:marRight w:val="0"/>
      <w:marTop w:val="0"/>
      <w:marBottom w:val="0"/>
      <w:divBdr>
        <w:top w:val="none" w:sz="0" w:space="0" w:color="auto"/>
        <w:left w:val="none" w:sz="0" w:space="0" w:color="auto"/>
        <w:bottom w:val="none" w:sz="0" w:space="0" w:color="auto"/>
        <w:right w:val="none" w:sz="0" w:space="0" w:color="auto"/>
      </w:divBdr>
    </w:div>
    <w:div w:id="528417380">
      <w:bodyDiv w:val="1"/>
      <w:marLeft w:val="0"/>
      <w:marRight w:val="0"/>
      <w:marTop w:val="0"/>
      <w:marBottom w:val="0"/>
      <w:divBdr>
        <w:top w:val="none" w:sz="0" w:space="0" w:color="auto"/>
        <w:left w:val="none" w:sz="0" w:space="0" w:color="auto"/>
        <w:bottom w:val="none" w:sz="0" w:space="0" w:color="auto"/>
        <w:right w:val="none" w:sz="0" w:space="0" w:color="auto"/>
      </w:divBdr>
    </w:div>
    <w:div w:id="563104319">
      <w:bodyDiv w:val="1"/>
      <w:marLeft w:val="0"/>
      <w:marRight w:val="0"/>
      <w:marTop w:val="0"/>
      <w:marBottom w:val="0"/>
      <w:divBdr>
        <w:top w:val="none" w:sz="0" w:space="0" w:color="auto"/>
        <w:left w:val="none" w:sz="0" w:space="0" w:color="auto"/>
        <w:bottom w:val="none" w:sz="0" w:space="0" w:color="auto"/>
        <w:right w:val="none" w:sz="0" w:space="0" w:color="auto"/>
      </w:divBdr>
    </w:div>
    <w:div w:id="574363546">
      <w:bodyDiv w:val="1"/>
      <w:marLeft w:val="0"/>
      <w:marRight w:val="0"/>
      <w:marTop w:val="0"/>
      <w:marBottom w:val="0"/>
      <w:divBdr>
        <w:top w:val="none" w:sz="0" w:space="0" w:color="auto"/>
        <w:left w:val="none" w:sz="0" w:space="0" w:color="auto"/>
        <w:bottom w:val="none" w:sz="0" w:space="0" w:color="auto"/>
        <w:right w:val="none" w:sz="0" w:space="0" w:color="auto"/>
      </w:divBdr>
    </w:div>
    <w:div w:id="583301933">
      <w:bodyDiv w:val="1"/>
      <w:marLeft w:val="0"/>
      <w:marRight w:val="0"/>
      <w:marTop w:val="0"/>
      <w:marBottom w:val="0"/>
      <w:divBdr>
        <w:top w:val="none" w:sz="0" w:space="0" w:color="auto"/>
        <w:left w:val="none" w:sz="0" w:space="0" w:color="auto"/>
        <w:bottom w:val="none" w:sz="0" w:space="0" w:color="auto"/>
        <w:right w:val="none" w:sz="0" w:space="0" w:color="auto"/>
      </w:divBdr>
    </w:div>
    <w:div w:id="624119476">
      <w:bodyDiv w:val="1"/>
      <w:marLeft w:val="0"/>
      <w:marRight w:val="0"/>
      <w:marTop w:val="0"/>
      <w:marBottom w:val="0"/>
      <w:divBdr>
        <w:top w:val="none" w:sz="0" w:space="0" w:color="auto"/>
        <w:left w:val="none" w:sz="0" w:space="0" w:color="auto"/>
        <w:bottom w:val="none" w:sz="0" w:space="0" w:color="auto"/>
        <w:right w:val="none" w:sz="0" w:space="0" w:color="auto"/>
      </w:divBdr>
    </w:div>
    <w:div w:id="695926846">
      <w:bodyDiv w:val="1"/>
      <w:marLeft w:val="0"/>
      <w:marRight w:val="0"/>
      <w:marTop w:val="0"/>
      <w:marBottom w:val="0"/>
      <w:divBdr>
        <w:top w:val="none" w:sz="0" w:space="0" w:color="auto"/>
        <w:left w:val="none" w:sz="0" w:space="0" w:color="auto"/>
        <w:bottom w:val="none" w:sz="0" w:space="0" w:color="auto"/>
        <w:right w:val="none" w:sz="0" w:space="0" w:color="auto"/>
      </w:divBdr>
    </w:div>
    <w:div w:id="716318954">
      <w:bodyDiv w:val="1"/>
      <w:marLeft w:val="0"/>
      <w:marRight w:val="0"/>
      <w:marTop w:val="0"/>
      <w:marBottom w:val="0"/>
      <w:divBdr>
        <w:top w:val="none" w:sz="0" w:space="0" w:color="auto"/>
        <w:left w:val="none" w:sz="0" w:space="0" w:color="auto"/>
        <w:bottom w:val="none" w:sz="0" w:space="0" w:color="auto"/>
        <w:right w:val="none" w:sz="0" w:space="0" w:color="auto"/>
      </w:divBdr>
    </w:div>
    <w:div w:id="734401676">
      <w:bodyDiv w:val="1"/>
      <w:marLeft w:val="0"/>
      <w:marRight w:val="0"/>
      <w:marTop w:val="0"/>
      <w:marBottom w:val="0"/>
      <w:divBdr>
        <w:top w:val="none" w:sz="0" w:space="0" w:color="auto"/>
        <w:left w:val="none" w:sz="0" w:space="0" w:color="auto"/>
        <w:bottom w:val="none" w:sz="0" w:space="0" w:color="auto"/>
        <w:right w:val="none" w:sz="0" w:space="0" w:color="auto"/>
      </w:divBdr>
    </w:div>
    <w:div w:id="751006220">
      <w:bodyDiv w:val="1"/>
      <w:marLeft w:val="0"/>
      <w:marRight w:val="0"/>
      <w:marTop w:val="0"/>
      <w:marBottom w:val="0"/>
      <w:divBdr>
        <w:top w:val="none" w:sz="0" w:space="0" w:color="auto"/>
        <w:left w:val="none" w:sz="0" w:space="0" w:color="auto"/>
        <w:bottom w:val="none" w:sz="0" w:space="0" w:color="auto"/>
        <w:right w:val="none" w:sz="0" w:space="0" w:color="auto"/>
      </w:divBdr>
    </w:div>
    <w:div w:id="776632128">
      <w:bodyDiv w:val="1"/>
      <w:marLeft w:val="0"/>
      <w:marRight w:val="0"/>
      <w:marTop w:val="0"/>
      <w:marBottom w:val="0"/>
      <w:divBdr>
        <w:top w:val="none" w:sz="0" w:space="0" w:color="auto"/>
        <w:left w:val="none" w:sz="0" w:space="0" w:color="auto"/>
        <w:bottom w:val="none" w:sz="0" w:space="0" w:color="auto"/>
        <w:right w:val="none" w:sz="0" w:space="0" w:color="auto"/>
      </w:divBdr>
    </w:div>
    <w:div w:id="798500911">
      <w:bodyDiv w:val="1"/>
      <w:marLeft w:val="0"/>
      <w:marRight w:val="0"/>
      <w:marTop w:val="0"/>
      <w:marBottom w:val="0"/>
      <w:divBdr>
        <w:top w:val="none" w:sz="0" w:space="0" w:color="auto"/>
        <w:left w:val="none" w:sz="0" w:space="0" w:color="auto"/>
        <w:bottom w:val="none" w:sz="0" w:space="0" w:color="auto"/>
        <w:right w:val="none" w:sz="0" w:space="0" w:color="auto"/>
      </w:divBdr>
    </w:div>
    <w:div w:id="807669076">
      <w:bodyDiv w:val="1"/>
      <w:marLeft w:val="0"/>
      <w:marRight w:val="0"/>
      <w:marTop w:val="0"/>
      <w:marBottom w:val="0"/>
      <w:divBdr>
        <w:top w:val="none" w:sz="0" w:space="0" w:color="auto"/>
        <w:left w:val="none" w:sz="0" w:space="0" w:color="auto"/>
        <w:bottom w:val="none" w:sz="0" w:space="0" w:color="auto"/>
        <w:right w:val="none" w:sz="0" w:space="0" w:color="auto"/>
      </w:divBdr>
    </w:div>
    <w:div w:id="812792306">
      <w:bodyDiv w:val="1"/>
      <w:marLeft w:val="0"/>
      <w:marRight w:val="0"/>
      <w:marTop w:val="0"/>
      <w:marBottom w:val="0"/>
      <w:divBdr>
        <w:top w:val="none" w:sz="0" w:space="0" w:color="auto"/>
        <w:left w:val="none" w:sz="0" w:space="0" w:color="auto"/>
        <w:bottom w:val="none" w:sz="0" w:space="0" w:color="auto"/>
        <w:right w:val="none" w:sz="0" w:space="0" w:color="auto"/>
      </w:divBdr>
    </w:div>
    <w:div w:id="814495886">
      <w:bodyDiv w:val="1"/>
      <w:marLeft w:val="0"/>
      <w:marRight w:val="0"/>
      <w:marTop w:val="0"/>
      <w:marBottom w:val="0"/>
      <w:divBdr>
        <w:top w:val="none" w:sz="0" w:space="0" w:color="auto"/>
        <w:left w:val="none" w:sz="0" w:space="0" w:color="auto"/>
        <w:bottom w:val="none" w:sz="0" w:space="0" w:color="auto"/>
        <w:right w:val="none" w:sz="0" w:space="0" w:color="auto"/>
      </w:divBdr>
    </w:div>
    <w:div w:id="960652919">
      <w:bodyDiv w:val="1"/>
      <w:marLeft w:val="0"/>
      <w:marRight w:val="0"/>
      <w:marTop w:val="0"/>
      <w:marBottom w:val="0"/>
      <w:divBdr>
        <w:top w:val="none" w:sz="0" w:space="0" w:color="auto"/>
        <w:left w:val="none" w:sz="0" w:space="0" w:color="auto"/>
        <w:bottom w:val="none" w:sz="0" w:space="0" w:color="auto"/>
        <w:right w:val="none" w:sz="0" w:space="0" w:color="auto"/>
      </w:divBdr>
    </w:div>
    <w:div w:id="990595746">
      <w:bodyDiv w:val="1"/>
      <w:marLeft w:val="0"/>
      <w:marRight w:val="0"/>
      <w:marTop w:val="0"/>
      <w:marBottom w:val="0"/>
      <w:divBdr>
        <w:top w:val="none" w:sz="0" w:space="0" w:color="auto"/>
        <w:left w:val="none" w:sz="0" w:space="0" w:color="auto"/>
        <w:bottom w:val="none" w:sz="0" w:space="0" w:color="auto"/>
        <w:right w:val="none" w:sz="0" w:space="0" w:color="auto"/>
      </w:divBdr>
    </w:div>
    <w:div w:id="998004194">
      <w:bodyDiv w:val="1"/>
      <w:marLeft w:val="0"/>
      <w:marRight w:val="0"/>
      <w:marTop w:val="0"/>
      <w:marBottom w:val="0"/>
      <w:divBdr>
        <w:top w:val="none" w:sz="0" w:space="0" w:color="auto"/>
        <w:left w:val="none" w:sz="0" w:space="0" w:color="auto"/>
        <w:bottom w:val="none" w:sz="0" w:space="0" w:color="auto"/>
        <w:right w:val="none" w:sz="0" w:space="0" w:color="auto"/>
      </w:divBdr>
    </w:div>
    <w:div w:id="1057557618">
      <w:bodyDiv w:val="1"/>
      <w:marLeft w:val="0"/>
      <w:marRight w:val="0"/>
      <w:marTop w:val="0"/>
      <w:marBottom w:val="0"/>
      <w:divBdr>
        <w:top w:val="none" w:sz="0" w:space="0" w:color="auto"/>
        <w:left w:val="none" w:sz="0" w:space="0" w:color="auto"/>
        <w:bottom w:val="none" w:sz="0" w:space="0" w:color="auto"/>
        <w:right w:val="none" w:sz="0" w:space="0" w:color="auto"/>
      </w:divBdr>
    </w:div>
    <w:div w:id="1150560989">
      <w:bodyDiv w:val="1"/>
      <w:marLeft w:val="0"/>
      <w:marRight w:val="0"/>
      <w:marTop w:val="0"/>
      <w:marBottom w:val="0"/>
      <w:divBdr>
        <w:top w:val="none" w:sz="0" w:space="0" w:color="auto"/>
        <w:left w:val="none" w:sz="0" w:space="0" w:color="auto"/>
        <w:bottom w:val="none" w:sz="0" w:space="0" w:color="auto"/>
        <w:right w:val="none" w:sz="0" w:space="0" w:color="auto"/>
      </w:divBdr>
    </w:div>
    <w:div w:id="1184629124">
      <w:bodyDiv w:val="1"/>
      <w:marLeft w:val="0"/>
      <w:marRight w:val="0"/>
      <w:marTop w:val="0"/>
      <w:marBottom w:val="0"/>
      <w:divBdr>
        <w:top w:val="none" w:sz="0" w:space="0" w:color="auto"/>
        <w:left w:val="none" w:sz="0" w:space="0" w:color="auto"/>
        <w:bottom w:val="none" w:sz="0" w:space="0" w:color="auto"/>
        <w:right w:val="none" w:sz="0" w:space="0" w:color="auto"/>
      </w:divBdr>
    </w:div>
    <w:div w:id="1188906853">
      <w:bodyDiv w:val="1"/>
      <w:marLeft w:val="0"/>
      <w:marRight w:val="0"/>
      <w:marTop w:val="0"/>
      <w:marBottom w:val="0"/>
      <w:divBdr>
        <w:top w:val="none" w:sz="0" w:space="0" w:color="auto"/>
        <w:left w:val="none" w:sz="0" w:space="0" w:color="auto"/>
        <w:bottom w:val="none" w:sz="0" w:space="0" w:color="auto"/>
        <w:right w:val="none" w:sz="0" w:space="0" w:color="auto"/>
      </w:divBdr>
    </w:div>
    <w:div w:id="1252079141">
      <w:bodyDiv w:val="1"/>
      <w:marLeft w:val="0"/>
      <w:marRight w:val="0"/>
      <w:marTop w:val="0"/>
      <w:marBottom w:val="0"/>
      <w:divBdr>
        <w:top w:val="none" w:sz="0" w:space="0" w:color="auto"/>
        <w:left w:val="none" w:sz="0" w:space="0" w:color="auto"/>
        <w:bottom w:val="none" w:sz="0" w:space="0" w:color="auto"/>
        <w:right w:val="none" w:sz="0" w:space="0" w:color="auto"/>
      </w:divBdr>
    </w:div>
    <w:div w:id="1293094335">
      <w:bodyDiv w:val="1"/>
      <w:marLeft w:val="0"/>
      <w:marRight w:val="0"/>
      <w:marTop w:val="0"/>
      <w:marBottom w:val="0"/>
      <w:divBdr>
        <w:top w:val="none" w:sz="0" w:space="0" w:color="auto"/>
        <w:left w:val="none" w:sz="0" w:space="0" w:color="auto"/>
        <w:bottom w:val="none" w:sz="0" w:space="0" w:color="auto"/>
        <w:right w:val="none" w:sz="0" w:space="0" w:color="auto"/>
      </w:divBdr>
    </w:div>
    <w:div w:id="1296369360">
      <w:bodyDiv w:val="1"/>
      <w:marLeft w:val="0"/>
      <w:marRight w:val="0"/>
      <w:marTop w:val="0"/>
      <w:marBottom w:val="0"/>
      <w:divBdr>
        <w:top w:val="none" w:sz="0" w:space="0" w:color="auto"/>
        <w:left w:val="none" w:sz="0" w:space="0" w:color="auto"/>
        <w:bottom w:val="none" w:sz="0" w:space="0" w:color="auto"/>
        <w:right w:val="none" w:sz="0" w:space="0" w:color="auto"/>
      </w:divBdr>
    </w:div>
    <w:div w:id="1351833388">
      <w:bodyDiv w:val="1"/>
      <w:marLeft w:val="0"/>
      <w:marRight w:val="0"/>
      <w:marTop w:val="0"/>
      <w:marBottom w:val="0"/>
      <w:divBdr>
        <w:top w:val="none" w:sz="0" w:space="0" w:color="auto"/>
        <w:left w:val="none" w:sz="0" w:space="0" w:color="auto"/>
        <w:bottom w:val="none" w:sz="0" w:space="0" w:color="auto"/>
        <w:right w:val="none" w:sz="0" w:space="0" w:color="auto"/>
      </w:divBdr>
    </w:div>
    <w:div w:id="1356537970">
      <w:bodyDiv w:val="1"/>
      <w:marLeft w:val="0"/>
      <w:marRight w:val="0"/>
      <w:marTop w:val="0"/>
      <w:marBottom w:val="0"/>
      <w:divBdr>
        <w:top w:val="none" w:sz="0" w:space="0" w:color="auto"/>
        <w:left w:val="none" w:sz="0" w:space="0" w:color="auto"/>
        <w:bottom w:val="none" w:sz="0" w:space="0" w:color="auto"/>
        <w:right w:val="none" w:sz="0" w:space="0" w:color="auto"/>
      </w:divBdr>
    </w:div>
    <w:div w:id="1460610710">
      <w:bodyDiv w:val="1"/>
      <w:marLeft w:val="0"/>
      <w:marRight w:val="0"/>
      <w:marTop w:val="0"/>
      <w:marBottom w:val="0"/>
      <w:divBdr>
        <w:top w:val="none" w:sz="0" w:space="0" w:color="auto"/>
        <w:left w:val="none" w:sz="0" w:space="0" w:color="auto"/>
        <w:bottom w:val="none" w:sz="0" w:space="0" w:color="auto"/>
        <w:right w:val="none" w:sz="0" w:space="0" w:color="auto"/>
      </w:divBdr>
    </w:div>
    <w:div w:id="1540509428">
      <w:bodyDiv w:val="1"/>
      <w:marLeft w:val="0"/>
      <w:marRight w:val="0"/>
      <w:marTop w:val="0"/>
      <w:marBottom w:val="0"/>
      <w:divBdr>
        <w:top w:val="none" w:sz="0" w:space="0" w:color="auto"/>
        <w:left w:val="none" w:sz="0" w:space="0" w:color="auto"/>
        <w:bottom w:val="none" w:sz="0" w:space="0" w:color="auto"/>
        <w:right w:val="none" w:sz="0" w:space="0" w:color="auto"/>
      </w:divBdr>
    </w:div>
    <w:div w:id="1564094863">
      <w:bodyDiv w:val="1"/>
      <w:marLeft w:val="0"/>
      <w:marRight w:val="0"/>
      <w:marTop w:val="0"/>
      <w:marBottom w:val="0"/>
      <w:divBdr>
        <w:top w:val="none" w:sz="0" w:space="0" w:color="auto"/>
        <w:left w:val="none" w:sz="0" w:space="0" w:color="auto"/>
        <w:bottom w:val="none" w:sz="0" w:space="0" w:color="auto"/>
        <w:right w:val="none" w:sz="0" w:space="0" w:color="auto"/>
      </w:divBdr>
    </w:div>
    <w:div w:id="1677732207">
      <w:bodyDiv w:val="1"/>
      <w:marLeft w:val="0"/>
      <w:marRight w:val="0"/>
      <w:marTop w:val="0"/>
      <w:marBottom w:val="0"/>
      <w:divBdr>
        <w:top w:val="none" w:sz="0" w:space="0" w:color="auto"/>
        <w:left w:val="none" w:sz="0" w:space="0" w:color="auto"/>
        <w:bottom w:val="none" w:sz="0" w:space="0" w:color="auto"/>
        <w:right w:val="none" w:sz="0" w:space="0" w:color="auto"/>
      </w:divBdr>
    </w:div>
    <w:div w:id="1682778694">
      <w:bodyDiv w:val="1"/>
      <w:marLeft w:val="0"/>
      <w:marRight w:val="0"/>
      <w:marTop w:val="0"/>
      <w:marBottom w:val="0"/>
      <w:divBdr>
        <w:top w:val="none" w:sz="0" w:space="0" w:color="auto"/>
        <w:left w:val="none" w:sz="0" w:space="0" w:color="auto"/>
        <w:bottom w:val="none" w:sz="0" w:space="0" w:color="auto"/>
        <w:right w:val="none" w:sz="0" w:space="0" w:color="auto"/>
      </w:divBdr>
    </w:div>
    <w:div w:id="1717772682">
      <w:bodyDiv w:val="1"/>
      <w:marLeft w:val="0"/>
      <w:marRight w:val="0"/>
      <w:marTop w:val="0"/>
      <w:marBottom w:val="0"/>
      <w:divBdr>
        <w:top w:val="none" w:sz="0" w:space="0" w:color="auto"/>
        <w:left w:val="none" w:sz="0" w:space="0" w:color="auto"/>
        <w:bottom w:val="none" w:sz="0" w:space="0" w:color="auto"/>
        <w:right w:val="none" w:sz="0" w:space="0" w:color="auto"/>
      </w:divBdr>
    </w:div>
    <w:div w:id="1760053274">
      <w:bodyDiv w:val="1"/>
      <w:marLeft w:val="0"/>
      <w:marRight w:val="0"/>
      <w:marTop w:val="0"/>
      <w:marBottom w:val="0"/>
      <w:divBdr>
        <w:top w:val="none" w:sz="0" w:space="0" w:color="auto"/>
        <w:left w:val="none" w:sz="0" w:space="0" w:color="auto"/>
        <w:bottom w:val="none" w:sz="0" w:space="0" w:color="auto"/>
        <w:right w:val="none" w:sz="0" w:space="0" w:color="auto"/>
      </w:divBdr>
    </w:div>
    <w:div w:id="1791438993">
      <w:bodyDiv w:val="1"/>
      <w:marLeft w:val="0"/>
      <w:marRight w:val="0"/>
      <w:marTop w:val="0"/>
      <w:marBottom w:val="0"/>
      <w:divBdr>
        <w:top w:val="none" w:sz="0" w:space="0" w:color="auto"/>
        <w:left w:val="none" w:sz="0" w:space="0" w:color="auto"/>
        <w:bottom w:val="none" w:sz="0" w:space="0" w:color="auto"/>
        <w:right w:val="none" w:sz="0" w:space="0" w:color="auto"/>
      </w:divBdr>
    </w:div>
    <w:div w:id="1891573227">
      <w:bodyDiv w:val="1"/>
      <w:marLeft w:val="0"/>
      <w:marRight w:val="0"/>
      <w:marTop w:val="0"/>
      <w:marBottom w:val="0"/>
      <w:divBdr>
        <w:top w:val="none" w:sz="0" w:space="0" w:color="auto"/>
        <w:left w:val="none" w:sz="0" w:space="0" w:color="auto"/>
        <w:bottom w:val="none" w:sz="0" w:space="0" w:color="auto"/>
        <w:right w:val="none" w:sz="0" w:space="0" w:color="auto"/>
      </w:divBdr>
    </w:div>
    <w:div w:id="1898124249">
      <w:bodyDiv w:val="1"/>
      <w:marLeft w:val="0"/>
      <w:marRight w:val="0"/>
      <w:marTop w:val="0"/>
      <w:marBottom w:val="0"/>
      <w:divBdr>
        <w:top w:val="none" w:sz="0" w:space="0" w:color="auto"/>
        <w:left w:val="none" w:sz="0" w:space="0" w:color="auto"/>
        <w:bottom w:val="none" w:sz="0" w:space="0" w:color="auto"/>
        <w:right w:val="none" w:sz="0" w:space="0" w:color="auto"/>
      </w:divBdr>
    </w:div>
    <w:div w:id="2052680454">
      <w:bodyDiv w:val="1"/>
      <w:marLeft w:val="0"/>
      <w:marRight w:val="0"/>
      <w:marTop w:val="0"/>
      <w:marBottom w:val="0"/>
      <w:divBdr>
        <w:top w:val="none" w:sz="0" w:space="0" w:color="auto"/>
        <w:left w:val="none" w:sz="0" w:space="0" w:color="auto"/>
        <w:bottom w:val="none" w:sz="0" w:space="0" w:color="auto"/>
        <w:right w:val="none" w:sz="0" w:space="0" w:color="auto"/>
      </w:divBdr>
    </w:div>
    <w:div w:id="2076975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header" Target="header4.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header" Target="header2.xml"/><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header" Target="header3.xml"/><Relationship Id="rId20" Type="http://schemas.openxmlformats.org/officeDocument/2006/relationships/image" Target="media/image11.emf"/><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FD82E-42F3-434A-BAE3-3BE83F3E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9662</Words>
  <Characters>69241</Characters>
  <Application>Microsoft Office Word</Application>
  <DocSecurity>0</DocSecurity>
  <Lines>1357</Lines>
  <Paragraphs>373</Paragraphs>
  <ScaleCrop>false</ScaleCrop>
  <HeadingPairs>
    <vt:vector size="2" baseType="variant">
      <vt:variant>
        <vt:lpstr>Title</vt:lpstr>
      </vt:variant>
      <vt:variant>
        <vt:i4>1</vt:i4>
      </vt:variant>
    </vt:vector>
  </HeadingPairs>
  <TitlesOfParts>
    <vt:vector size="1" baseType="lpstr">
      <vt:lpstr>C/59/9</vt:lpstr>
    </vt:vector>
  </TitlesOfParts>
  <Company>UPOV</Company>
  <LinksUpToDate>false</LinksUpToDate>
  <CharactersWithSpaces>78530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C/59/9</dc:title>
  <dc:subject/>
  <dc:creator>SANCHEZ VIZCAINO GOMEZ Rosa Maria</dc:creator>
  <cp:keywords>FOR OFFICIAL USE ONLY, docId:91B44A2FFAD4A848D00C0A7325E6D34D</cp:keywords>
  <dc:description/>
  <cp:lastModifiedBy>SANCHEZ VIZCAINO GOMEZ Rosa Maria</cp:lastModifiedBy>
  <cp:revision>36</cp:revision>
  <cp:lastPrinted>2025-06-29T14:35:00Z</cp:lastPrinted>
  <dcterms:created xsi:type="dcterms:W3CDTF">2025-08-05T13:57:00Z</dcterms:created>
  <dcterms:modified xsi:type="dcterms:W3CDTF">2025-08-29T09:17:00Z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3a7f6bbe-196a-43c0-8010-5872b91c951d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2024-03-08T19:45:44Z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238457f3-ebb4-4c7e-b6f0-8d8193cce044</vt:lpwstr>
  </property>
  <property fmtid="{D5CDD505-2E9C-101B-9397-08002B2CF9AE}" pid="14" name="MSIP_Label_20773ee6-353b-4fb9-a59d-0b94c8c67bea_ContentBits">
    <vt:lpwstr>0</vt:lpwstr>
  </property>
</Properties>
</file>